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header24.xml" ContentType="application/vnd.openxmlformats-officedocument.wordprocessingml.head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0.xml" ContentType="application/vnd.openxmlformats-officedocument.wordprocessingml.foot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1071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98"/>
        <w:gridCol w:w="2894"/>
        <w:gridCol w:w="2126"/>
        <w:gridCol w:w="2280"/>
        <w:gridCol w:w="1213"/>
      </w:tblGrid>
      <w:tr w:rsidR="00A5690C" w14:paraId="0F52FF4E" w14:textId="77777777" w:rsidTr="00A2712C">
        <w:trPr>
          <w:trHeight w:val="813"/>
        </w:trPr>
        <w:tc>
          <w:tcPr>
            <w:tcW w:w="2198" w:type="dxa"/>
          </w:tcPr>
          <w:p w14:paraId="756C883D" w14:textId="74E786D3" w:rsidR="00A5690C" w:rsidRDefault="00A5690C" w:rsidP="00A2712C">
            <w:pPr>
              <w:spacing w:before="120" w:after="120"/>
              <w:ind w:left="0"/>
              <w:jc w:val="center"/>
              <w:rPr>
                <w:b/>
                <w:u w:val="single"/>
              </w:rPr>
            </w:pPr>
            <w:r>
              <w:rPr>
                <w:noProof/>
              </w:rPr>
              <w:drawing>
                <wp:inline distT="0" distB="0" distL="0" distR="0" wp14:anchorId="09A9E5B8" wp14:editId="55DE6B1B">
                  <wp:extent cx="1302106" cy="336499"/>
                  <wp:effectExtent l="0" t="0" r="0" b="0"/>
                  <wp:docPr id="30" name="Obrázok 30" descr="md_logo_s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md_logo_sk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09462" cy="338400"/>
                          </a:xfrm>
                          <a:prstGeom prst="rect">
                            <a:avLst/>
                          </a:prstGeom>
                          <a:noFill/>
                          <a:ln>
                            <a:noFill/>
                          </a:ln>
                        </pic:spPr>
                      </pic:pic>
                    </a:graphicData>
                  </a:graphic>
                </wp:inline>
              </w:drawing>
            </w:r>
          </w:p>
        </w:tc>
        <w:tc>
          <w:tcPr>
            <w:tcW w:w="2894" w:type="dxa"/>
          </w:tcPr>
          <w:p w14:paraId="5FB38CA9" w14:textId="77777777" w:rsidR="00A5690C" w:rsidRDefault="00A5690C" w:rsidP="00A2712C">
            <w:pPr>
              <w:spacing w:after="120"/>
              <w:ind w:left="0"/>
              <w:rPr>
                <w:b/>
                <w:u w:val="single"/>
              </w:rPr>
            </w:pPr>
            <w:r>
              <w:rPr>
                <w:noProof/>
              </w:rPr>
              <w:drawing>
                <wp:inline distT="0" distB="0" distL="0" distR="0" wp14:anchorId="50BFCB8A" wp14:editId="68F05A14">
                  <wp:extent cx="1806854" cy="414424"/>
                  <wp:effectExtent l="0" t="0" r="0" b="0"/>
                  <wp:docPr id="22" name="Obrázok 22" descr="z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z10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5003" cy="414000"/>
                          </a:xfrm>
                          <a:prstGeom prst="rect">
                            <a:avLst/>
                          </a:prstGeom>
                          <a:noFill/>
                          <a:ln>
                            <a:noFill/>
                          </a:ln>
                        </pic:spPr>
                      </pic:pic>
                    </a:graphicData>
                  </a:graphic>
                </wp:inline>
              </w:drawing>
            </w:r>
          </w:p>
        </w:tc>
        <w:tc>
          <w:tcPr>
            <w:tcW w:w="2126" w:type="dxa"/>
          </w:tcPr>
          <w:p w14:paraId="06281D05" w14:textId="77777777" w:rsidR="00A5690C" w:rsidRDefault="00A5690C" w:rsidP="00A2712C">
            <w:pPr>
              <w:spacing w:before="120" w:after="160"/>
              <w:ind w:left="0"/>
              <w:jc w:val="right"/>
              <w:rPr>
                <w:b/>
                <w:u w:val="single"/>
              </w:rPr>
            </w:pPr>
            <w:r>
              <w:rPr>
                <w:b/>
                <w:noProof/>
                <w:sz w:val="22"/>
                <w:szCs w:val="22"/>
              </w:rPr>
              <w:drawing>
                <wp:inline distT="0" distB="0" distL="0" distR="0" wp14:anchorId="67BC8F26" wp14:editId="47CC957F">
                  <wp:extent cx="1248203" cy="396000"/>
                  <wp:effectExtent l="0" t="0" r="0" b="0"/>
                  <wp:docPr id="23" name="Obrázok 23" desc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1.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48203" cy="396000"/>
                          </a:xfrm>
                          <a:prstGeom prst="rect">
                            <a:avLst/>
                          </a:prstGeom>
                          <a:noFill/>
                          <a:ln>
                            <a:noFill/>
                          </a:ln>
                        </pic:spPr>
                      </pic:pic>
                    </a:graphicData>
                  </a:graphic>
                </wp:inline>
              </w:drawing>
            </w:r>
          </w:p>
        </w:tc>
        <w:tc>
          <w:tcPr>
            <w:tcW w:w="2280" w:type="dxa"/>
          </w:tcPr>
          <w:p w14:paraId="4BEDF254" w14:textId="77777777" w:rsidR="00A5690C" w:rsidRDefault="00A5690C" w:rsidP="00A2712C">
            <w:pPr>
              <w:spacing w:before="120" w:after="120"/>
              <w:ind w:left="0"/>
              <w:jc w:val="center"/>
              <w:rPr>
                <w:b/>
                <w:u w:val="single"/>
              </w:rPr>
            </w:pPr>
            <w:r>
              <w:rPr>
                <w:noProof/>
              </w:rPr>
              <w:drawing>
                <wp:inline distT="0" distB="0" distL="0" distR="0" wp14:anchorId="0E900A2C" wp14:editId="46E2F614">
                  <wp:extent cx="1341054" cy="324000"/>
                  <wp:effectExtent l="0" t="0" r="0" b="0"/>
                  <wp:docPr id="27" name="Obrázok 27" desc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E:\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41054" cy="324000"/>
                          </a:xfrm>
                          <a:prstGeom prst="rect">
                            <a:avLst/>
                          </a:prstGeom>
                          <a:noFill/>
                          <a:ln>
                            <a:noFill/>
                          </a:ln>
                        </pic:spPr>
                      </pic:pic>
                    </a:graphicData>
                  </a:graphic>
                </wp:inline>
              </w:drawing>
            </w:r>
          </w:p>
        </w:tc>
        <w:tc>
          <w:tcPr>
            <w:tcW w:w="1213" w:type="dxa"/>
          </w:tcPr>
          <w:p w14:paraId="02764C1F" w14:textId="77777777" w:rsidR="00A5690C" w:rsidRDefault="00A5690C" w:rsidP="00A2712C">
            <w:pPr>
              <w:spacing w:before="120" w:after="120"/>
              <w:ind w:left="0"/>
              <w:jc w:val="right"/>
              <w:rPr>
                <w:b/>
                <w:u w:val="single"/>
              </w:rPr>
            </w:pPr>
            <w:r w:rsidRPr="0094437E">
              <w:rPr>
                <w:b/>
                <w:noProof/>
                <w:sz w:val="26"/>
                <w:szCs w:val="26"/>
              </w:rPr>
              <w:drawing>
                <wp:inline distT="0" distB="0" distL="0" distR="0" wp14:anchorId="0C072AAC" wp14:editId="09FCADF4">
                  <wp:extent cx="555955" cy="382788"/>
                  <wp:effectExtent l="0" t="0" r="0" b="0"/>
                  <wp:docPr id="28" name="Obrázok 3" descr="Logo_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U"/>
                          <pic:cNvPicPr>
                            <a:picLocks noChangeAspect="1" noChangeArrowheads="1"/>
                          </pic:cNvPicPr>
                        </pic:nvPicPr>
                        <pic:blipFill>
                          <a:blip r:embed="rId15" cstate="print"/>
                          <a:srcRect/>
                          <a:stretch>
                            <a:fillRect/>
                          </a:stretch>
                        </pic:blipFill>
                        <pic:spPr bwMode="auto">
                          <a:xfrm>
                            <a:off x="0" y="0"/>
                            <a:ext cx="558721" cy="384692"/>
                          </a:xfrm>
                          <a:prstGeom prst="rect">
                            <a:avLst/>
                          </a:prstGeom>
                          <a:noFill/>
                          <a:ln w="9525">
                            <a:noFill/>
                            <a:miter lim="800000"/>
                            <a:headEnd/>
                            <a:tailEnd/>
                          </a:ln>
                        </pic:spPr>
                      </pic:pic>
                    </a:graphicData>
                  </a:graphic>
                </wp:inline>
              </w:drawing>
            </w:r>
          </w:p>
        </w:tc>
      </w:tr>
    </w:tbl>
    <w:p w14:paraId="7E191619" w14:textId="77777777" w:rsidR="00A5690C" w:rsidRPr="00D32598" w:rsidRDefault="00A5690C" w:rsidP="00A5690C">
      <w:pPr>
        <w:spacing w:before="120"/>
        <w:jc w:val="center"/>
        <w:rPr>
          <w:b/>
        </w:rPr>
      </w:pPr>
      <w:r w:rsidRPr="00D32598">
        <w:rPr>
          <w:b/>
        </w:rPr>
        <w:t>Ministerstvo dopravy a výstavby Slovenskej republiky</w:t>
      </w:r>
    </w:p>
    <w:p w14:paraId="2371A7DB" w14:textId="77777777" w:rsidR="00A5690C" w:rsidRPr="00D32598" w:rsidRDefault="00A5690C" w:rsidP="00A5690C">
      <w:pPr>
        <w:jc w:val="center"/>
      </w:pPr>
      <w:r w:rsidRPr="00D32598">
        <w:t>Riadiaci orgán pre Operačný program Integrovaná infraštruktúra</w:t>
      </w:r>
    </w:p>
    <w:p w14:paraId="5A415041" w14:textId="77777777" w:rsidR="00A5690C" w:rsidRPr="00D32598" w:rsidRDefault="00A5690C" w:rsidP="00A5690C">
      <w:pPr>
        <w:spacing w:before="240"/>
        <w:jc w:val="center"/>
        <w:rPr>
          <w:b/>
        </w:rPr>
      </w:pPr>
      <w:r w:rsidRPr="00D32598">
        <w:rPr>
          <w:b/>
        </w:rPr>
        <w:t>Úrad podpredsedu vlády SR pre investície a informatizáciu</w:t>
      </w:r>
    </w:p>
    <w:p w14:paraId="16B0A356" w14:textId="21C99419" w:rsidR="00A5690C" w:rsidRPr="00D32598" w:rsidRDefault="00A5690C" w:rsidP="00A5690C">
      <w:pPr>
        <w:jc w:val="center"/>
        <w:rPr>
          <w:b/>
        </w:rPr>
      </w:pPr>
      <w:r w:rsidRPr="00D32598">
        <w:rPr>
          <w:b/>
        </w:rPr>
        <w:t>Ministerstvo školstva, vedy, výskumu a športu Slovenskej republiky</w:t>
      </w:r>
    </w:p>
    <w:p w14:paraId="1176C5EE" w14:textId="77777777" w:rsidR="00A5690C" w:rsidRDefault="00A5690C" w:rsidP="00A5690C">
      <w:pPr>
        <w:jc w:val="center"/>
        <w:rPr>
          <w:b/>
        </w:rPr>
      </w:pPr>
      <w:r w:rsidRPr="00D32598">
        <w:rPr>
          <w:b/>
        </w:rPr>
        <w:t>Ministerstvo hospodárstva Slovenskej republiky</w:t>
      </w:r>
    </w:p>
    <w:p w14:paraId="1493EAF8" w14:textId="77777777" w:rsidR="00A5690C" w:rsidRPr="00A678BE" w:rsidRDefault="00A5690C" w:rsidP="00A5690C">
      <w:pPr>
        <w:jc w:val="center"/>
      </w:pPr>
      <w:r w:rsidRPr="00A678BE">
        <w:t>Sprostredkovateľské orgány pre Operačný program Integrovaná infraštruktúra</w:t>
      </w:r>
    </w:p>
    <w:p w14:paraId="2BA3B65A" w14:textId="77777777" w:rsidR="00A5690C" w:rsidRDefault="00A5690C" w:rsidP="00A5690C">
      <w:pPr>
        <w:spacing w:before="120"/>
        <w:ind w:left="-567"/>
        <w:jc w:val="center"/>
        <w:rPr>
          <w:b/>
          <w:sz w:val="22"/>
          <w:szCs w:val="22"/>
        </w:rPr>
      </w:pPr>
    </w:p>
    <w:p w14:paraId="7E23053E" w14:textId="71DD85DC" w:rsidR="00544A1F" w:rsidRPr="00C16FCA" w:rsidRDefault="00544A1F" w:rsidP="00C16FCA">
      <w:pPr>
        <w:spacing w:after="240"/>
        <w:jc w:val="center"/>
        <w:rPr>
          <w:sz w:val="22"/>
          <w:szCs w:val="22"/>
        </w:rPr>
      </w:pPr>
    </w:p>
    <w:p w14:paraId="208D095F" w14:textId="77777777" w:rsidR="00544A1F" w:rsidRDefault="00544A1F" w:rsidP="00544A1F">
      <w:pPr>
        <w:spacing w:before="120" w:after="240"/>
        <w:jc w:val="center"/>
      </w:pPr>
    </w:p>
    <w:p w14:paraId="45061C35" w14:textId="77777777" w:rsidR="00351D17" w:rsidRDefault="00351D17" w:rsidP="00544A1F">
      <w:pPr>
        <w:spacing w:before="120" w:after="240"/>
        <w:jc w:val="center"/>
      </w:pPr>
    </w:p>
    <w:p w14:paraId="1674F380" w14:textId="77777777" w:rsidR="00351D17" w:rsidRDefault="00351D17" w:rsidP="00544A1F">
      <w:pPr>
        <w:spacing w:before="120" w:after="240"/>
        <w:jc w:val="center"/>
      </w:pPr>
    </w:p>
    <w:p w14:paraId="1FAE2B9A" w14:textId="77777777" w:rsidR="00351D17" w:rsidRDefault="00351D17" w:rsidP="00544A1F">
      <w:pPr>
        <w:spacing w:before="120" w:after="240"/>
        <w:jc w:val="center"/>
      </w:pPr>
    </w:p>
    <w:p w14:paraId="77CB6BF6" w14:textId="77777777" w:rsidR="00351D17" w:rsidRDefault="00351D17" w:rsidP="00544A1F">
      <w:pPr>
        <w:spacing w:before="120" w:after="240"/>
        <w:jc w:val="center"/>
      </w:pPr>
    </w:p>
    <w:p w14:paraId="51F9C556" w14:textId="77777777" w:rsidR="00351D17" w:rsidRDefault="00351D17" w:rsidP="00544A1F">
      <w:pPr>
        <w:spacing w:before="120" w:after="240"/>
        <w:jc w:val="center"/>
      </w:pPr>
    </w:p>
    <w:p w14:paraId="5DAD4013" w14:textId="77777777" w:rsidR="00544A1F" w:rsidRPr="00A81B79" w:rsidRDefault="00544A1F" w:rsidP="00544A1F">
      <w:pPr>
        <w:spacing w:before="120" w:after="240"/>
        <w:jc w:val="center"/>
      </w:pPr>
    </w:p>
    <w:p w14:paraId="5A800C71" w14:textId="77777777" w:rsidR="00544A1F" w:rsidRDefault="00544A1F" w:rsidP="00544A1F">
      <w:pPr>
        <w:jc w:val="center"/>
        <w:rPr>
          <w:rFonts w:ascii="Tahoma" w:hAnsi="Tahoma" w:cs="Tahoma"/>
          <w:b/>
          <w:sz w:val="40"/>
          <w:szCs w:val="40"/>
        </w:rPr>
      </w:pPr>
      <w:r>
        <w:rPr>
          <w:rFonts w:ascii="Tahoma" w:hAnsi="Tahoma" w:cs="Tahoma"/>
          <w:b/>
          <w:sz w:val="40"/>
          <w:szCs w:val="40"/>
        </w:rPr>
        <w:t xml:space="preserve">Operačný program </w:t>
      </w:r>
    </w:p>
    <w:p w14:paraId="7D6A2855" w14:textId="77777777" w:rsidR="00544A1F" w:rsidRPr="00034B9B" w:rsidRDefault="00544A1F" w:rsidP="00544A1F">
      <w:pPr>
        <w:jc w:val="center"/>
        <w:rPr>
          <w:rFonts w:ascii="Tahoma" w:hAnsi="Tahoma" w:cs="Tahoma"/>
          <w:b/>
          <w:sz w:val="34"/>
          <w:szCs w:val="34"/>
        </w:rPr>
      </w:pPr>
      <w:r>
        <w:rPr>
          <w:rFonts w:ascii="Tahoma" w:hAnsi="Tahoma" w:cs="Tahoma"/>
          <w:b/>
          <w:sz w:val="40"/>
          <w:szCs w:val="40"/>
        </w:rPr>
        <w:t>Integrovaná infraštruktúra 2014 - 2020</w:t>
      </w:r>
    </w:p>
    <w:p w14:paraId="6C9A4A8C" w14:textId="1C1642D0" w:rsidR="00544A1F" w:rsidRPr="0098089F" w:rsidRDefault="0098089F" w:rsidP="0098089F">
      <w:pPr>
        <w:spacing w:before="120" w:after="240"/>
        <w:jc w:val="center"/>
        <w:rPr>
          <w:i/>
        </w:rPr>
      </w:pPr>
      <w:r w:rsidRPr="0098089F">
        <w:rPr>
          <w:i/>
        </w:rPr>
        <w:t xml:space="preserve">Verzia </w:t>
      </w:r>
      <w:r w:rsidR="00624FF9">
        <w:rPr>
          <w:i/>
        </w:rPr>
        <w:t>7</w:t>
      </w:r>
      <w:r w:rsidR="00F027AC">
        <w:rPr>
          <w:i/>
        </w:rPr>
        <w:t>.0</w:t>
      </w:r>
    </w:p>
    <w:p w14:paraId="762ADEDB" w14:textId="77777777" w:rsidR="00544A1F" w:rsidRPr="005D6636" w:rsidRDefault="00544A1F" w:rsidP="0098089F">
      <w:pPr>
        <w:spacing w:before="120" w:after="240"/>
        <w:jc w:val="center"/>
      </w:pPr>
    </w:p>
    <w:p w14:paraId="65B47D74" w14:textId="77777777" w:rsidR="00544A1F" w:rsidRDefault="00544A1F" w:rsidP="00544A1F">
      <w:pPr>
        <w:spacing w:before="120" w:after="240"/>
      </w:pPr>
    </w:p>
    <w:p w14:paraId="583DBBC2" w14:textId="77777777" w:rsidR="00544A1F" w:rsidRDefault="00544A1F" w:rsidP="00544A1F">
      <w:pPr>
        <w:tabs>
          <w:tab w:val="left" w:pos="1871"/>
        </w:tabs>
        <w:spacing w:before="120"/>
      </w:pPr>
    </w:p>
    <w:p w14:paraId="5358DB8A" w14:textId="77777777" w:rsidR="00544A1F" w:rsidRDefault="00544A1F" w:rsidP="00544A1F">
      <w:pPr>
        <w:tabs>
          <w:tab w:val="left" w:pos="1871"/>
        </w:tabs>
        <w:spacing w:before="120"/>
      </w:pPr>
    </w:p>
    <w:p w14:paraId="12EB23B6" w14:textId="77777777" w:rsidR="00544A1F" w:rsidRDefault="00544A1F" w:rsidP="00544A1F">
      <w:pPr>
        <w:tabs>
          <w:tab w:val="left" w:pos="1871"/>
        </w:tabs>
        <w:spacing w:before="120"/>
      </w:pPr>
    </w:p>
    <w:p w14:paraId="61C5CA24" w14:textId="77777777" w:rsidR="00544A1F" w:rsidRDefault="00544A1F" w:rsidP="00544A1F">
      <w:pPr>
        <w:tabs>
          <w:tab w:val="left" w:pos="1871"/>
        </w:tabs>
        <w:spacing w:before="120"/>
      </w:pPr>
    </w:p>
    <w:p w14:paraId="7BE8BCCA" w14:textId="77777777" w:rsidR="00544A1F" w:rsidRDefault="00544A1F" w:rsidP="00544A1F">
      <w:pPr>
        <w:tabs>
          <w:tab w:val="left" w:pos="1871"/>
        </w:tabs>
        <w:spacing w:before="120"/>
        <w:jc w:val="center"/>
      </w:pPr>
    </w:p>
    <w:p w14:paraId="2A9F78EF" w14:textId="77777777" w:rsidR="005C2633" w:rsidRDefault="005C2633" w:rsidP="00544A1F">
      <w:pPr>
        <w:tabs>
          <w:tab w:val="left" w:pos="1871"/>
        </w:tabs>
        <w:spacing w:before="120"/>
        <w:jc w:val="center"/>
      </w:pPr>
    </w:p>
    <w:p w14:paraId="700B435C" w14:textId="78F5047E" w:rsidR="005C2633" w:rsidRDefault="005C2633" w:rsidP="00C16FCA">
      <w:pPr>
        <w:tabs>
          <w:tab w:val="left" w:pos="1871"/>
        </w:tabs>
        <w:spacing w:before="120"/>
      </w:pPr>
    </w:p>
    <w:p w14:paraId="2F1B5BA7" w14:textId="77777777" w:rsidR="009A7820" w:rsidRDefault="009A7820" w:rsidP="00544A1F">
      <w:pPr>
        <w:tabs>
          <w:tab w:val="left" w:pos="1871"/>
        </w:tabs>
        <w:spacing w:before="120"/>
        <w:jc w:val="center"/>
      </w:pPr>
    </w:p>
    <w:p w14:paraId="7B240499" w14:textId="3310AC1D" w:rsidR="00544A1F" w:rsidRDefault="00FA4C5A" w:rsidP="00544A1F">
      <w:pPr>
        <w:tabs>
          <w:tab w:val="left" w:pos="1871"/>
        </w:tabs>
        <w:spacing w:before="120"/>
        <w:jc w:val="center"/>
      </w:pPr>
      <w:r>
        <w:t>Bratislava</w:t>
      </w:r>
      <w:r w:rsidR="00D42D2B">
        <w:t>,</w:t>
      </w:r>
      <w:r w:rsidR="008B1BAF">
        <w:t xml:space="preserve"> </w:t>
      </w:r>
      <w:r w:rsidR="001D1617">
        <w:t xml:space="preserve">január </w:t>
      </w:r>
      <w:r w:rsidR="00EB3585">
        <w:t>2020</w:t>
      </w:r>
    </w:p>
    <w:p w14:paraId="2FD15C3E" w14:textId="77777777" w:rsidR="00544A1F" w:rsidRDefault="00544A1F" w:rsidP="00544A1F">
      <w:pPr>
        <w:pStyle w:val="Hlavikaobsahu"/>
        <w:spacing w:before="0"/>
        <w:sectPr w:rsidR="00544A1F" w:rsidSect="00A5690C">
          <w:headerReference w:type="default" r:id="rId16"/>
          <w:footerReference w:type="default" r:id="rId17"/>
          <w:pgSz w:w="11906" w:h="16838"/>
          <w:pgMar w:top="1531" w:right="1361" w:bottom="1304" w:left="851" w:header="709" w:footer="709" w:gutter="0"/>
          <w:cols w:space="708"/>
          <w:docGrid w:linePitch="360"/>
        </w:sectPr>
      </w:pPr>
    </w:p>
    <w:sdt>
      <w:sdtPr>
        <w:rPr>
          <w:rFonts w:ascii="Times New Roman" w:eastAsia="Times New Roman" w:hAnsi="Times New Roman" w:cs="Times New Roman"/>
          <w:b w:val="0"/>
          <w:bCs w:val="0"/>
          <w:color w:val="auto"/>
          <w:sz w:val="24"/>
          <w:szCs w:val="24"/>
          <w:lang w:eastAsia="sk-SK"/>
        </w:rPr>
        <w:id w:val="78374576"/>
        <w:docPartObj>
          <w:docPartGallery w:val="Table of Contents"/>
          <w:docPartUnique/>
        </w:docPartObj>
      </w:sdtPr>
      <w:sdtEndPr/>
      <w:sdtContent>
        <w:p w14:paraId="0DCC7757" w14:textId="77777777" w:rsidR="00717C03" w:rsidRDefault="00717C03" w:rsidP="00544A1F">
          <w:pPr>
            <w:pStyle w:val="Hlavikaobsahu"/>
            <w:pBdr>
              <w:bottom w:val="none" w:sz="0" w:space="0" w:color="auto"/>
            </w:pBdr>
            <w:spacing w:before="0"/>
          </w:pPr>
          <w:r>
            <w:t>Obsah</w:t>
          </w:r>
        </w:p>
        <w:p w14:paraId="310C9264" w14:textId="77777777" w:rsidR="00C94FAA" w:rsidRDefault="006D349B">
          <w:pPr>
            <w:pStyle w:val="Obsah1"/>
            <w:rPr>
              <w:rFonts w:asciiTheme="minorHAnsi" w:eastAsiaTheme="minorEastAsia" w:hAnsiTheme="minorHAnsi" w:cstheme="minorBidi"/>
              <w:b w:val="0"/>
              <w:bCs w:val="0"/>
              <w:caps w:val="0"/>
              <w:color w:val="auto"/>
              <w:szCs w:val="22"/>
            </w:rPr>
          </w:pPr>
          <w:r>
            <w:fldChar w:fldCharType="begin"/>
          </w:r>
          <w:r w:rsidR="00717C03">
            <w:instrText xml:space="preserve"> TOC \o "1-3" \h \z \u </w:instrText>
          </w:r>
          <w:r>
            <w:fldChar w:fldCharType="separate"/>
          </w:r>
          <w:hyperlink w:anchor="_Toc28951577" w:history="1">
            <w:r w:rsidR="00C94FAA" w:rsidRPr="001D46A0">
              <w:rPr>
                <w:rStyle w:val="Hypertextovprepojenie"/>
              </w:rPr>
              <w:t>1</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Stratégia operačného programu</w:t>
            </w:r>
            <w:r w:rsidR="00C94FAA">
              <w:rPr>
                <w:webHidden/>
              </w:rPr>
              <w:tab/>
            </w:r>
            <w:r w:rsidR="00C94FAA">
              <w:rPr>
                <w:webHidden/>
              </w:rPr>
              <w:fldChar w:fldCharType="begin"/>
            </w:r>
            <w:r w:rsidR="00C94FAA">
              <w:rPr>
                <w:webHidden/>
              </w:rPr>
              <w:instrText xml:space="preserve"> PAGEREF _Toc28951577 \h </w:instrText>
            </w:r>
            <w:r w:rsidR="00C94FAA">
              <w:rPr>
                <w:webHidden/>
              </w:rPr>
            </w:r>
            <w:r w:rsidR="00C94FAA">
              <w:rPr>
                <w:webHidden/>
              </w:rPr>
              <w:fldChar w:fldCharType="separate"/>
            </w:r>
            <w:r w:rsidR="00C94FAA">
              <w:rPr>
                <w:webHidden/>
              </w:rPr>
              <w:t>9</w:t>
            </w:r>
            <w:r w:rsidR="00C94FAA">
              <w:rPr>
                <w:webHidden/>
              </w:rPr>
              <w:fldChar w:fldCharType="end"/>
            </w:r>
          </w:hyperlink>
        </w:p>
        <w:p w14:paraId="4A58E2F0" w14:textId="77777777" w:rsidR="00C94FAA" w:rsidRDefault="001061E2">
          <w:pPr>
            <w:pStyle w:val="Obsah2"/>
            <w:rPr>
              <w:rFonts w:asciiTheme="minorHAnsi" w:eastAsiaTheme="minorEastAsia" w:hAnsiTheme="minorHAnsi" w:cstheme="minorBidi"/>
              <w:b w:val="0"/>
              <w:bCs w:val="0"/>
              <w:noProof/>
              <w:sz w:val="22"/>
              <w:szCs w:val="22"/>
            </w:rPr>
          </w:pPr>
          <w:hyperlink w:anchor="_Toc28951578" w:history="1">
            <w:r w:rsidR="00C94FAA" w:rsidRPr="001D46A0">
              <w:rPr>
                <w:rStyle w:val="Hypertextovprepojenie"/>
                <w:noProof/>
              </w:rPr>
              <w:t>1.1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Stratégia OP pre príspevok k stratégii EÚ pre inteligentný, udržateľný a inkluzívny rast a na dosiahnutie ekonomickej, sociálnej a územnej súdržnosti</w:t>
            </w:r>
            <w:r w:rsidR="00C94FAA">
              <w:rPr>
                <w:noProof/>
                <w:webHidden/>
              </w:rPr>
              <w:tab/>
            </w:r>
            <w:r w:rsidR="00C94FAA">
              <w:rPr>
                <w:noProof/>
                <w:webHidden/>
              </w:rPr>
              <w:fldChar w:fldCharType="begin"/>
            </w:r>
            <w:r w:rsidR="00C94FAA">
              <w:rPr>
                <w:noProof/>
                <w:webHidden/>
              </w:rPr>
              <w:instrText xml:space="preserve"> PAGEREF _Toc28951578 \h </w:instrText>
            </w:r>
            <w:r w:rsidR="00C94FAA">
              <w:rPr>
                <w:noProof/>
                <w:webHidden/>
              </w:rPr>
            </w:r>
            <w:r w:rsidR="00C94FAA">
              <w:rPr>
                <w:noProof/>
                <w:webHidden/>
              </w:rPr>
              <w:fldChar w:fldCharType="separate"/>
            </w:r>
            <w:r w:rsidR="00C94FAA">
              <w:rPr>
                <w:noProof/>
                <w:webHidden/>
              </w:rPr>
              <w:t>9</w:t>
            </w:r>
            <w:r w:rsidR="00C94FAA">
              <w:rPr>
                <w:noProof/>
                <w:webHidden/>
              </w:rPr>
              <w:fldChar w:fldCharType="end"/>
            </w:r>
          </w:hyperlink>
        </w:p>
        <w:p w14:paraId="4F06FE82" w14:textId="77777777" w:rsidR="00C94FAA" w:rsidRDefault="001061E2">
          <w:pPr>
            <w:pStyle w:val="Obsah3"/>
            <w:rPr>
              <w:rFonts w:asciiTheme="minorHAnsi" w:eastAsiaTheme="minorEastAsia" w:hAnsiTheme="minorHAnsi" w:cstheme="minorBidi"/>
              <w:szCs w:val="22"/>
            </w:rPr>
          </w:pPr>
          <w:hyperlink w:anchor="_Toc28951579" w:history="1">
            <w:r w:rsidR="00C94FAA" w:rsidRPr="001D46A0">
              <w:rPr>
                <w:rStyle w:val="Hypertextovprepojenie"/>
              </w:rPr>
              <w:t>1.1.1</w:t>
            </w:r>
            <w:r w:rsidR="00C94FAA">
              <w:rPr>
                <w:rFonts w:asciiTheme="minorHAnsi" w:eastAsiaTheme="minorEastAsia" w:hAnsiTheme="minorHAnsi" w:cstheme="minorBidi"/>
                <w:szCs w:val="22"/>
              </w:rPr>
              <w:tab/>
            </w:r>
            <w:r w:rsidR="00C94FAA" w:rsidRPr="001D46A0">
              <w:rPr>
                <w:rStyle w:val="Hypertextovprepojenie"/>
              </w:rPr>
              <w:t>Popis stratégie OP z hľadiska prínosu k stratégii Európa 2020 a k dosiahnutiu ekonomickej, sociálnej a územnej súdržnosti</w:t>
            </w:r>
            <w:r w:rsidR="00C94FAA">
              <w:rPr>
                <w:webHidden/>
              </w:rPr>
              <w:tab/>
            </w:r>
            <w:r w:rsidR="00C94FAA">
              <w:rPr>
                <w:webHidden/>
              </w:rPr>
              <w:fldChar w:fldCharType="begin"/>
            </w:r>
            <w:r w:rsidR="00C94FAA">
              <w:rPr>
                <w:webHidden/>
              </w:rPr>
              <w:instrText xml:space="preserve"> PAGEREF _Toc28951579 \h </w:instrText>
            </w:r>
            <w:r w:rsidR="00C94FAA">
              <w:rPr>
                <w:webHidden/>
              </w:rPr>
            </w:r>
            <w:r w:rsidR="00C94FAA">
              <w:rPr>
                <w:webHidden/>
              </w:rPr>
              <w:fldChar w:fldCharType="separate"/>
            </w:r>
            <w:r w:rsidR="00C94FAA">
              <w:rPr>
                <w:webHidden/>
              </w:rPr>
              <w:t>9</w:t>
            </w:r>
            <w:r w:rsidR="00C94FAA">
              <w:rPr>
                <w:webHidden/>
              </w:rPr>
              <w:fldChar w:fldCharType="end"/>
            </w:r>
          </w:hyperlink>
        </w:p>
        <w:p w14:paraId="5A5E9B97" w14:textId="77777777" w:rsidR="00C94FAA" w:rsidRDefault="001061E2">
          <w:pPr>
            <w:pStyle w:val="Obsah3"/>
            <w:rPr>
              <w:rFonts w:asciiTheme="minorHAnsi" w:eastAsiaTheme="minorEastAsia" w:hAnsiTheme="minorHAnsi" w:cstheme="minorBidi"/>
              <w:szCs w:val="22"/>
            </w:rPr>
          </w:pPr>
          <w:hyperlink w:anchor="_Toc28951580" w:history="1">
            <w:r w:rsidR="00C94FAA" w:rsidRPr="001D46A0">
              <w:rPr>
                <w:rStyle w:val="Hypertextovprepojenie"/>
              </w:rPr>
              <w:t>1.1.2</w:t>
            </w:r>
            <w:r w:rsidR="00C94FAA">
              <w:rPr>
                <w:rFonts w:asciiTheme="minorHAnsi" w:eastAsiaTheme="minorEastAsia" w:hAnsiTheme="minorHAnsi" w:cstheme="minorBidi"/>
                <w:szCs w:val="22"/>
              </w:rPr>
              <w:tab/>
            </w:r>
            <w:r w:rsidR="00C94FAA" w:rsidRPr="001D46A0">
              <w:rPr>
                <w:rStyle w:val="Hypertextovprepojenie"/>
              </w:rPr>
              <w:t>Zdôvodnenie výberu tematických cieľov a príslušných investičných priorít</w:t>
            </w:r>
            <w:r w:rsidR="00C94FAA">
              <w:rPr>
                <w:webHidden/>
              </w:rPr>
              <w:tab/>
            </w:r>
            <w:r w:rsidR="00C94FAA">
              <w:rPr>
                <w:webHidden/>
              </w:rPr>
              <w:fldChar w:fldCharType="begin"/>
            </w:r>
            <w:r w:rsidR="00C94FAA">
              <w:rPr>
                <w:webHidden/>
              </w:rPr>
              <w:instrText xml:space="preserve"> PAGEREF _Toc28951580 \h </w:instrText>
            </w:r>
            <w:r w:rsidR="00C94FAA">
              <w:rPr>
                <w:webHidden/>
              </w:rPr>
            </w:r>
            <w:r w:rsidR="00C94FAA">
              <w:rPr>
                <w:webHidden/>
              </w:rPr>
              <w:fldChar w:fldCharType="separate"/>
            </w:r>
            <w:r w:rsidR="00C94FAA">
              <w:rPr>
                <w:webHidden/>
              </w:rPr>
              <w:t>26</w:t>
            </w:r>
            <w:r w:rsidR="00C94FAA">
              <w:rPr>
                <w:webHidden/>
              </w:rPr>
              <w:fldChar w:fldCharType="end"/>
            </w:r>
          </w:hyperlink>
        </w:p>
        <w:p w14:paraId="7A83CBF0" w14:textId="77777777" w:rsidR="00C94FAA" w:rsidRDefault="001061E2">
          <w:pPr>
            <w:pStyle w:val="Obsah2"/>
            <w:rPr>
              <w:rFonts w:asciiTheme="minorHAnsi" w:eastAsiaTheme="minorEastAsia" w:hAnsiTheme="minorHAnsi" w:cstheme="minorBidi"/>
              <w:b w:val="0"/>
              <w:bCs w:val="0"/>
              <w:noProof/>
              <w:sz w:val="22"/>
              <w:szCs w:val="22"/>
            </w:rPr>
          </w:pPr>
          <w:hyperlink w:anchor="_Toc28951581" w:history="1">
            <w:r w:rsidR="00C94FAA" w:rsidRPr="001D46A0">
              <w:rPr>
                <w:rStyle w:val="Hypertextovprepojenie"/>
                <w:noProof/>
              </w:rPr>
              <w:t>1.2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Zdôvodnenie finančnej alokácie OP</w:t>
            </w:r>
            <w:r w:rsidR="00C94FAA">
              <w:rPr>
                <w:noProof/>
                <w:webHidden/>
              </w:rPr>
              <w:tab/>
            </w:r>
            <w:r w:rsidR="00C94FAA">
              <w:rPr>
                <w:noProof/>
                <w:webHidden/>
              </w:rPr>
              <w:fldChar w:fldCharType="begin"/>
            </w:r>
            <w:r w:rsidR="00C94FAA">
              <w:rPr>
                <w:noProof/>
                <w:webHidden/>
              </w:rPr>
              <w:instrText xml:space="preserve"> PAGEREF _Toc28951581 \h </w:instrText>
            </w:r>
            <w:r w:rsidR="00C94FAA">
              <w:rPr>
                <w:noProof/>
                <w:webHidden/>
              </w:rPr>
            </w:r>
            <w:r w:rsidR="00C94FAA">
              <w:rPr>
                <w:noProof/>
                <w:webHidden/>
              </w:rPr>
              <w:fldChar w:fldCharType="separate"/>
            </w:r>
            <w:r w:rsidR="00C94FAA">
              <w:rPr>
                <w:noProof/>
                <w:webHidden/>
              </w:rPr>
              <w:t>32</w:t>
            </w:r>
            <w:r w:rsidR="00C94FAA">
              <w:rPr>
                <w:noProof/>
                <w:webHidden/>
              </w:rPr>
              <w:fldChar w:fldCharType="end"/>
            </w:r>
          </w:hyperlink>
        </w:p>
        <w:p w14:paraId="2D33BF75" w14:textId="77777777" w:rsidR="00C94FAA" w:rsidRDefault="001061E2">
          <w:pPr>
            <w:pStyle w:val="Obsah3"/>
            <w:rPr>
              <w:rFonts w:asciiTheme="minorHAnsi" w:eastAsiaTheme="minorEastAsia" w:hAnsiTheme="minorHAnsi" w:cstheme="minorBidi"/>
              <w:szCs w:val="22"/>
            </w:rPr>
          </w:pPr>
          <w:hyperlink w:anchor="_Toc28951582" w:history="1">
            <w:r w:rsidR="00C94FAA" w:rsidRPr="001D46A0">
              <w:rPr>
                <w:rStyle w:val="Hypertextovprepojenie"/>
              </w:rPr>
              <w:t>1.2.1</w:t>
            </w:r>
            <w:r w:rsidR="00C94FAA">
              <w:rPr>
                <w:rFonts w:asciiTheme="minorHAnsi" w:eastAsiaTheme="minorEastAsia" w:hAnsiTheme="minorHAnsi" w:cstheme="minorBidi"/>
                <w:szCs w:val="22"/>
              </w:rPr>
              <w:tab/>
            </w:r>
            <w:r w:rsidR="00C94FAA" w:rsidRPr="001D46A0">
              <w:rPr>
                <w:rStyle w:val="Hypertextovprepojenie"/>
              </w:rPr>
              <w:t>Doprava</w:t>
            </w:r>
            <w:r w:rsidR="00C94FAA">
              <w:rPr>
                <w:webHidden/>
              </w:rPr>
              <w:tab/>
            </w:r>
            <w:r w:rsidR="00C94FAA">
              <w:rPr>
                <w:webHidden/>
              </w:rPr>
              <w:fldChar w:fldCharType="begin"/>
            </w:r>
            <w:r w:rsidR="00C94FAA">
              <w:rPr>
                <w:webHidden/>
              </w:rPr>
              <w:instrText xml:space="preserve"> PAGEREF _Toc28951582 \h </w:instrText>
            </w:r>
            <w:r w:rsidR="00C94FAA">
              <w:rPr>
                <w:webHidden/>
              </w:rPr>
            </w:r>
            <w:r w:rsidR="00C94FAA">
              <w:rPr>
                <w:webHidden/>
              </w:rPr>
              <w:fldChar w:fldCharType="separate"/>
            </w:r>
            <w:r w:rsidR="00C94FAA">
              <w:rPr>
                <w:webHidden/>
              </w:rPr>
              <w:t>32</w:t>
            </w:r>
            <w:r w:rsidR="00C94FAA">
              <w:rPr>
                <w:webHidden/>
              </w:rPr>
              <w:fldChar w:fldCharType="end"/>
            </w:r>
          </w:hyperlink>
        </w:p>
        <w:p w14:paraId="3544BC5A" w14:textId="77777777" w:rsidR="00C94FAA" w:rsidRDefault="001061E2">
          <w:pPr>
            <w:pStyle w:val="Obsah3"/>
            <w:rPr>
              <w:rFonts w:asciiTheme="minorHAnsi" w:eastAsiaTheme="minorEastAsia" w:hAnsiTheme="minorHAnsi" w:cstheme="minorBidi"/>
              <w:szCs w:val="22"/>
            </w:rPr>
          </w:pPr>
          <w:hyperlink w:anchor="_Toc28951583" w:history="1">
            <w:r w:rsidR="00C94FAA" w:rsidRPr="001D46A0">
              <w:rPr>
                <w:rStyle w:val="Hypertextovprepojenie"/>
              </w:rPr>
              <w:t>1.2.2</w:t>
            </w:r>
            <w:r w:rsidR="00C94FAA">
              <w:rPr>
                <w:rFonts w:asciiTheme="minorHAnsi" w:eastAsiaTheme="minorEastAsia" w:hAnsiTheme="minorHAnsi" w:cstheme="minorBidi"/>
                <w:szCs w:val="22"/>
              </w:rPr>
              <w:tab/>
            </w:r>
            <w:r w:rsidR="00C94FAA" w:rsidRPr="001D46A0">
              <w:rPr>
                <w:rStyle w:val="Hypertextovprepojenie"/>
              </w:rPr>
              <w:t>Informačná spoločnosť</w:t>
            </w:r>
            <w:r w:rsidR="00C94FAA">
              <w:rPr>
                <w:webHidden/>
              </w:rPr>
              <w:tab/>
            </w:r>
            <w:r w:rsidR="00C94FAA">
              <w:rPr>
                <w:webHidden/>
              </w:rPr>
              <w:fldChar w:fldCharType="begin"/>
            </w:r>
            <w:r w:rsidR="00C94FAA">
              <w:rPr>
                <w:webHidden/>
              </w:rPr>
              <w:instrText xml:space="preserve"> PAGEREF _Toc28951583 \h </w:instrText>
            </w:r>
            <w:r w:rsidR="00C94FAA">
              <w:rPr>
                <w:webHidden/>
              </w:rPr>
            </w:r>
            <w:r w:rsidR="00C94FAA">
              <w:rPr>
                <w:webHidden/>
              </w:rPr>
              <w:fldChar w:fldCharType="separate"/>
            </w:r>
            <w:r w:rsidR="00C94FAA">
              <w:rPr>
                <w:webHidden/>
              </w:rPr>
              <w:t>33</w:t>
            </w:r>
            <w:r w:rsidR="00C94FAA">
              <w:rPr>
                <w:webHidden/>
              </w:rPr>
              <w:fldChar w:fldCharType="end"/>
            </w:r>
          </w:hyperlink>
        </w:p>
        <w:p w14:paraId="28FAA229"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584" w:history="1">
            <w:r w:rsidR="00C94FAA" w:rsidRPr="001D46A0">
              <w:rPr>
                <w:rStyle w:val="Hypertextovprepojenie"/>
              </w:rPr>
              <w:t>2</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Prioritné osi</w:t>
            </w:r>
            <w:r w:rsidR="00C94FAA">
              <w:rPr>
                <w:webHidden/>
              </w:rPr>
              <w:tab/>
            </w:r>
            <w:r w:rsidR="00C94FAA">
              <w:rPr>
                <w:webHidden/>
              </w:rPr>
              <w:fldChar w:fldCharType="begin"/>
            </w:r>
            <w:r w:rsidR="00C94FAA">
              <w:rPr>
                <w:webHidden/>
              </w:rPr>
              <w:instrText xml:space="preserve"> PAGEREF _Toc28951584 \h </w:instrText>
            </w:r>
            <w:r w:rsidR="00C94FAA">
              <w:rPr>
                <w:webHidden/>
              </w:rPr>
            </w:r>
            <w:r w:rsidR="00C94FAA">
              <w:rPr>
                <w:webHidden/>
              </w:rPr>
              <w:fldChar w:fldCharType="separate"/>
            </w:r>
            <w:r w:rsidR="00C94FAA">
              <w:rPr>
                <w:webHidden/>
              </w:rPr>
              <w:t>41</w:t>
            </w:r>
            <w:r w:rsidR="00C94FAA">
              <w:rPr>
                <w:webHidden/>
              </w:rPr>
              <w:fldChar w:fldCharType="end"/>
            </w:r>
          </w:hyperlink>
        </w:p>
        <w:p w14:paraId="322BD417" w14:textId="77777777" w:rsidR="00C94FAA" w:rsidRDefault="001061E2">
          <w:pPr>
            <w:pStyle w:val="Obsah2"/>
            <w:rPr>
              <w:rFonts w:asciiTheme="minorHAnsi" w:eastAsiaTheme="minorEastAsia" w:hAnsiTheme="minorHAnsi" w:cstheme="minorBidi"/>
              <w:b w:val="0"/>
              <w:bCs w:val="0"/>
              <w:noProof/>
              <w:sz w:val="22"/>
              <w:szCs w:val="22"/>
            </w:rPr>
          </w:pPr>
          <w:hyperlink w:anchor="_Toc28951585" w:history="1">
            <w:r w:rsidR="00C94FAA" w:rsidRPr="001D46A0">
              <w:rPr>
                <w:rStyle w:val="Hypertextovprepojenie"/>
                <w:noProof/>
              </w:rPr>
              <w:t>Popis prioritných osí okrem technickej pomoci</w:t>
            </w:r>
            <w:r w:rsidR="00C94FAA">
              <w:rPr>
                <w:noProof/>
                <w:webHidden/>
              </w:rPr>
              <w:tab/>
            </w:r>
            <w:r w:rsidR="00C94FAA">
              <w:rPr>
                <w:noProof/>
                <w:webHidden/>
              </w:rPr>
              <w:fldChar w:fldCharType="begin"/>
            </w:r>
            <w:r w:rsidR="00C94FAA">
              <w:rPr>
                <w:noProof/>
                <w:webHidden/>
              </w:rPr>
              <w:instrText xml:space="preserve"> PAGEREF _Toc28951585 \h </w:instrText>
            </w:r>
            <w:r w:rsidR="00C94FAA">
              <w:rPr>
                <w:noProof/>
                <w:webHidden/>
              </w:rPr>
            </w:r>
            <w:r w:rsidR="00C94FAA">
              <w:rPr>
                <w:noProof/>
                <w:webHidden/>
              </w:rPr>
              <w:fldChar w:fldCharType="separate"/>
            </w:r>
            <w:r w:rsidR="00C94FAA">
              <w:rPr>
                <w:noProof/>
                <w:webHidden/>
              </w:rPr>
              <w:t>41</w:t>
            </w:r>
            <w:r w:rsidR="00C94FAA">
              <w:rPr>
                <w:noProof/>
                <w:webHidden/>
              </w:rPr>
              <w:fldChar w:fldCharType="end"/>
            </w:r>
          </w:hyperlink>
        </w:p>
        <w:p w14:paraId="56743DFC" w14:textId="77777777" w:rsidR="00C94FAA" w:rsidRDefault="001061E2">
          <w:pPr>
            <w:pStyle w:val="Obsah2"/>
            <w:rPr>
              <w:rFonts w:asciiTheme="minorHAnsi" w:eastAsiaTheme="minorEastAsia" w:hAnsiTheme="minorHAnsi" w:cstheme="minorBidi"/>
              <w:b w:val="0"/>
              <w:bCs w:val="0"/>
              <w:noProof/>
              <w:sz w:val="22"/>
              <w:szCs w:val="22"/>
            </w:rPr>
          </w:pPr>
          <w:hyperlink w:anchor="_Toc28951586" w:history="1">
            <w:r w:rsidR="00C94FAA" w:rsidRPr="001D46A0">
              <w:rPr>
                <w:rStyle w:val="Hypertextovprepojenie"/>
                <w:noProof/>
              </w:rPr>
              <w:t>2.1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w:t>
            </w:r>
            <w:r w:rsidR="00C94FAA" w:rsidRPr="001D46A0">
              <w:rPr>
                <w:rStyle w:val="Hypertextovprepojenie"/>
                <w:noProof/>
              </w:rPr>
              <w:t xml:space="preserve"> </w:t>
            </w:r>
            <w:r w:rsidR="00C94FAA" w:rsidRPr="001D46A0">
              <w:rPr>
                <w:rStyle w:val="Hypertextovprepojenie"/>
                <w:noProof/>
              </w:rPr>
              <w:t>1: ŽELEZNIČNÁ INFRAŠTRUKTÚRA (TEN-T CORE) A OBNOVA MOBILNÝCH PROSTRIEDKOV</w:t>
            </w:r>
            <w:r w:rsidR="00C94FAA">
              <w:rPr>
                <w:noProof/>
                <w:webHidden/>
              </w:rPr>
              <w:tab/>
            </w:r>
            <w:r w:rsidR="00C94FAA">
              <w:rPr>
                <w:noProof/>
                <w:webHidden/>
              </w:rPr>
              <w:fldChar w:fldCharType="begin"/>
            </w:r>
            <w:r w:rsidR="00C94FAA">
              <w:rPr>
                <w:noProof/>
                <w:webHidden/>
              </w:rPr>
              <w:instrText xml:space="preserve"> PAGEREF _Toc28951586 \h </w:instrText>
            </w:r>
            <w:r w:rsidR="00C94FAA">
              <w:rPr>
                <w:noProof/>
                <w:webHidden/>
              </w:rPr>
            </w:r>
            <w:r w:rsidR="00C94FAA">
              <w:rPr>
                <w:noProof/>
                <w:webHidden/>
              </w:rPr>
              <w:fldChar w:fldCharType="separate"/>
            </w:r>
            <w:r w:rsidR="00C94FAA">
              <w:rPr>
                <w:noProof/>
                <w:webHidden/>
              </w:rPr>
              <w:t>41</w:t>
            </w:r>
            <w:r w:rsidR="00C94FAA">
              <w:rPr>
                <w:noProof/>
                <w:webHidden/>
              </w:rPr>
              <w:fldChar w:fldCharType="end"/>
            </w:r>
          </w:hyperlink>
        </w:p>
        <w:p w14:paraId="447ADF43" w14:textId="77777777" w:rsidR="00C94FAA" w:rsidRDefault="001061E2">
          <w:pPr>
            <w:pStyle w:val="Obsah3"/>
            <w:rPr>
              <w:rFonts w:asciiTheme="minorHAnsi" w:eastAsiaTheme="minorEastAsia" w:hAnsiTheme="minorHAnsi" w:cstheme="minorBidi"/>
              <w:szCs w:val="22"/>
            </w:rPr>
          </w:pPr>
          <w:hyperlink w:anchor="_Toc28951587" w:history="1">
            <w:r w:rsidR="00C94FAA" w:rsidRPr="001D46A0">
              <w:rPr>
                <w:rStyle w:val="Hypertextovprepojenie"/>
              </w:rPr>
              <w:t>2.1.1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_Toc28951587 \h </w:instrText>
            </w:r>
            <w:r w:rsidR="00C94FAA">
              <w:rPr>
                <w:webHidden/>
              </w:rPr>
            </w:r>
            <w:r w:rsidR="00C94FAA">
              <w:rPr>
                <w:webHidden/>
              </w:rPr>
              <w:fldChar w:fldCharType="separate"/>
            </w:r>
            <w:r w:rsidR="00C94FAA">
              <w:rPr>
                <w:webHidden/>
              </w:rPr>
              <w:t>41</w:t>
            </w:r>
            <w:r w:rsidR="00C94FAA">
              <w:rPr>
                <w:webHidden/>
              </w:rPr>
              <w:fldChar w:fldCharType="end"/>
            </w:r>
          </w:hyperlink>
        </w:p>
        <w:p w14:paraId="38D3EAB4" w14:textId="77777777" w:rsidR="00C94FAA" w:rsidRDefault="001061E2">
          <w:pPr>
            <w:pStyle w:val="Obsah3"/>
            <w:rPr>
              <w:rFonts w:asciiTheme="minorHAnsi" w:eastAsiaTheme="minorEastAsia" w:hAnsiTheme="minorHAnsi" w:cstheme="minorBidi"/>
              <w:szCs w:val="22"/>
            </w:rPr>
          </w:pPr>
          <w:hyperlink w:anchor="_Toc28951588" w:history="1">
            <w:r w:rsidR="00C94FAA" w:rsidRPr="001D46A0">
              <w:rPr>
                <w:rStyle w:val="Hypertextovprepojenie"/>
              </w:rPr>
              <w:t>2.1.2</w:t>
            </w:r>
            <w:r w:rsidR="00C94FAA">
              <w:rPr>
                <w:rFonts w:asciiTheme="minorHAnsi" w:eastAsiaTheme="minorEastAsia" w:hAnsiTheme="minorHAnsi" w:cstheme="minorBidi"/>
                <w:szCs w:val="22"/>
              </w:rPr>
              <w:tab/>
            </w:r>
            <w:r w:rsidR="00C94FAA" w:rsidRPr="001D46A0">
              <w:rPr>
                <w:rStyle w:val="Hypertextovprepojenie"/>
              </w:rPr>
              <w:t>INVESTIČNÁ PRIORITA 7i): Podpora multimodálneho jednotného európskeho dopravného priestoru pomocou investícií do TEN-T</w:t>
            </w:r>
            <w:r w:rsidR="00C94FAA">
              <w:rPr>
                <w:webHidden/>
              </w:rPr>
              <w:tab/>
            </w:r>
            <w:r w:rsidR="00C94FAA">
              <w:rPr>
                <w:webHidden/>
              </w:rPr>
              <w:fldChar w:fldCharType="begin"/>
            </w:r>
            <w:r w:rsidR="00C94FAA">
              <w:rPr>
                <w:webHidden/>
              </w:rPr>
              <w:instrText xml:space="preserve"> PAGEREF _Toc28951588 \h </w:instrText>
            </w:r>
            <w:r w:rsidR="00C94FAA">
              <w:rPr>
                <w:webHidden/>
              </w:rPr>
            </w:r>
            <w:r w:rsidR="00C94FAA">
              <w:rPr>
                <w:webHidden/>
              </w:rPr>
              <w:fldChar w:fldCharType="separate"/>
            </w:r>
            <w:r w:rsidR="00C94FAA">
              <w:rPr>
                <w:webHidden/>
              </w:rPr>
              <w:t>41</w:t>
            </w:r>
            <w:r w:rsidR="00C94FAA">
              <w:rPr>
                <w:webHidden/>
              </w:rPr>
              <w:fldChar w:fldCharType="end"/>
            </w:r>
          </w:hyperlink>
        </w:p>
        <w:p w14:paraId="34DFBB4E" w14:textId="77777777" w:rsidR="00C94FAA" w:rsidRDefault="001061E2">
          <w:pPr>
            <w:pStyle w:val="Obsah3"/>
            <w:rPr>
              <w:rFonts w:asciiTheme="minorHAnsi" w:eastAsiaTheme="minorEastAsia" w:hAnsiTheme="minorHAnsi" w:cstheme="minorBidi"/>
              <w:szCs w:val="22"/>
            </w:rPr>
          </w:pPr>
          <w:hyperlink w:anchor="_Toc28951589" w:history="1">
            <w:r w:rsidR="00C94FAA" w:rsidRPr="001D46A0">
              <w:rPr>
                <w:rStyle w:val="Hypertextovprepojenie"/>
              </w:rPr>
              <w:t>2.1.3</w:t>
            </w:r>
            <w:r w:rsidR="00C94FAA">
              <w:rPr>
                <w:rFonts w:asciiTheme="minorHAnsi" w:eastAsiaTheme="minorEastAsia" w:hAnsiTheme="minorHAnsi" w:cstheme="minorBidi"/>
                <w:szCs w:val="22"/>
              </w:rPr>
              <w:tab/>
            </w:r>
            <w:r w:rsidR="00C94FAA" w:rsidRPr="001D46A0">
              <w:rPr>
                <w:rStyle w:val="Hypertextovprepojenie"/>
              </w:rPr>
              <w:t>INVESTIČNÁ PRIORITA 7iii): Vývoj a modernizácia komplexných, interoperabilných železničných systémov vysokej kvality a podpora opatrení na znižovanie hluku</w:t>
            </w:r>
            <w:r w:rsidR="00C94FAA">
              <w:rPr>
                <w:webHidden/>
              </w:rPr>
              <w:tab/>
            </w:r>
            <w:r w:rsidR="00C94FAA">
              <w:rPr>
                <w:webHidden/>
              </w:rPr>
              <w:fldChar w:fldCharType="begin"/>
            </w:r>
            <w:r w:rsidR="00C94FAA">
              <w:rPr>
                <w:webHidden/>
              </w:rPr>
              <w:instrText xml:space="preserve"> PAGEREF _Toc28951589 \h </w:instrText>
            </w:r>
            <w:r w:rsidR="00C94FAA">
              <w:rPr>
                <w:webHidden/>
              </w:rPr>
            </w:r>
            <w:r w:rsidR="00C94FAA">
              <w:rPr>
                <w:webHidden/>
              </w:rPr>
              <w:fldChar w:fldCharType="separate"/>
            </w:r>
            <w:r w:rsidR="00C94FAA">
              <w:rPr>
                <w:webHidden/>
              </w:rPr>
              <w:t>46</w:t>
            </w:r>
            <w:r w:rsidR="00C94FAA">
              <w:rPr>
                <w:webHidden/>
              </w:rPr>
              <w:fldChar w:fldCharType="end"/>
            </w:r>
          </w:hyperlink>
        </w:p>
        <w:p w14:paraId="062176DB" w14:textId="77777777" w:rsidR="00C94FAA" w:rsidRDefault="001061E2">
          <w:pPr>
            <w:pStyle w:val="Obsah3"/>
            <w:rPr>
              <w:rFonts w:asciiTheme="minorHAnsi" w:eastAsiaTheme="minorEastAsia" w:hAnsiTheme="minorHAnsi" w:cstheme="minorBidi"/>
              <w:szCs w:val="22"/>
            </w:rPr>
          </w:pPr>
          <w:hyperlink w:anchor="_Toc28951590" w:history="1">
            <w:r w:rsidR="00C94FAA" w:rsidRPr="001D46A0">
              <w:rPr>
                <w:rStyle w:val="Hypertextovprepojenie"/>
              </w:rPr>
              <w:t>2.1.4</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_Toc28951590 \h </w:instrText>
            </w:r>
            <w:r w:rsidR="00C94FAA">
              <w:rPr>
                <w:webHidden/>
              </w:rPr>
            </w:r>
            <w:r w:rsidR="00C94FAA">
              <w:rPr>
                <w:webHidden/>
              </w:rPr>
              <w:fldChar w:fldCharType="separate"/>
            </w:r>
            <w:r w:rsidR="00C94FAA">
              <w:rPr>
                <w:webHidden/>
              </w:rPr>
              <w:t>51</w:t>
            </w:r>
            <w:r w:rsidR="00C94FAA">
              <w:rPr>
                <w:webHidden/>
              </w:rPr>
              <w:fldChar w:fldCharType="end"/>
            </w:r>
          </w:hyperlink>
        </w:p>
        <w:p w14:paraId="4CD96907" w14:textId="77777777" w:rsidR="00C94FAA" w:rsidRDefault="001061E2">
          <w:pPr>
            <w:pStyle w:val="Obsah3"/>
            <w:rPr>
              <w:rFonts w:asciiTheme="minorHAnsi" w:eastAsiaTheme="minorEastAsia" w:hAnsiTheme="minorHAnsi" w:cstheme="minorBidi"/>
              <w:szCs w:val="22"/>
            </w:rPr>
          </w:pPr>
          <w:hyperlink w:anchor="_Toc28951591" w:history="1">
            <w:r w:rsidR="00C94FAA" w:rsidRPr="001D46A0">
              <w:rPr>
                <w:rStyle w:val="Hypertextovprepojenie"/>
              </w:rPr>
              <w:t>2.1.5</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_Toc28951591 \h </w:instrText>
            </w:r>
            <w:r w:rsidR="00C94FAA">
              <w:rPr>
                <w:webHidden/>
              </w:rPr>
            </w:r>
            <w:r w:rsidR="00C94FAA">
              <w:rPr>
                <w:webHidden/>
              </w:rPr>
              <w:fldChar w:fldCharType="separate"/>
            </w:r>
            <w:r w:rsidR="00C94FAA">
              <w:rPr>
                <w:webHidden/>
              </w:rPr>
              <w:t>52</w:t>
            </w:r>
            <w:r w:rsidR="00C94FAA">
              <w:rPr>
                <w:webHidden/>
              </w:rPr>
              <w:fldChar w:fldCharType="end"/>
            </w:r>
          </w:hyperlink>
        </w:p>
        <w:p w14:paraId="4B9F1798" w14:textId="77777777" w:rsidR="00C94FAA" w:rsidRDefault="001061E2">
          <w:pPr>
            <w:pStyle w:val="Obsah3"/>
            <w:rPr>
              <w:rFonts w:asciiTheme="minorHAnsi" w:eastAsiaTheme="minorEastAsia" w:hAnsiTheme="minorHAnsi" w:cstheme="minorBidi"/>
              <w:szCs w:val="22"/>
            </w:rPr>
          </w:pPr>
          <w:hyperlink w:anchor="_Toc28951592" w:history="1">
            <w:r w:rsidR="00C94FAA" w:rsidRPr="001D46A0">
              <w:rPr>
                <w:rStyle w:val="Hypertextovprepojenie"/>
              </w:rPr>
              <w:t>2.1.6</w:t>
            </w:r>
            <w:r w:rsidR="00C94FAA">
              <w:rPr>
                <w:rFonts w:asciiTheme="minorHAnsi" w:eastAsiaTheme="minorEastAsia" w:hAnsiTheme="minorHAnsi" w:cstheme="minorBidi"/>
                <w:szCs w:val="22"/>
              </w:rPr>
              <w:tab/>
            </w:r>
            <w:r w:rsidR="00C94FAA" w:rsidRPr="001D46A0">
              <w:rPr>
                <w:rStyle w:val="Hypertextovprepojenie"/>
              </w:rPr>
              <w:t>Súhrn plánovaného využitia technickej pomoci vrátane, ak je to vhodné, akcií na posilnenie administratívnej kapacity orgánov zapojených do riadenia a kontroly programu a prijímateľov (ak je to vhodné)</w:t>
            </w:r>
            <w:r w:rsidR="00C94FAA">
              <w:rPr>
                <w:webHidden/>
              </w:rPr>
              <w:tab/>
            </w:r>
            <w:r w:rsidR="00C94FAA">
              <w:rPr>
                <w:webHidden/>
              </w:rPr>
              <w:fldChar w:fldCharType="begin"/>
            </w:r>
            <w:r w:rsidR="00C94FAA">
              <w:rPr>
                <w:webHidden/>
              </w:rPr>
              <w:instrText xml:space="preserve"> PAGEREF _Toc28951592 \h </w:instrText>
            </w:r>
            <w:r w:rsidR="00C94FAA">
              <w:rPr>
                <w:webHidden/>
              </w:rPr>
            </w:r>
            <w:r w:rsidR="00C94FAA">
              <w:rPr>
                <w:webHidden/>
              </w:rPr>
              <w:fldChar w:fldCharType="separate"/>
            </w:r>
            <w:r w:rsidR="00C94FAA">
              <w:rPr>
                <w:webHidden/>
              </w:rPr>
              <w:t>52</w:t>
            </w:r>
            <w:r w:rsidR="00C94FAA">
              <w:rPr>
                <w:webHidden/>
              </w:rPr>
              <w:fldChar w:fldCharType="end"/>
            </w:r>
          </w:hyperlink>
        </w:p>
        <w:p w14:paraId="31590B32" w14:textId="77777777" w:rsidR="00C94FAA" w:rsidRDefault="001061E2">
          <w:pPr>
            <w:pStyle w:val="Obsah2"/>
            <w:rPr>
              <w:rFonts w:asciiTheme="minorHAnsi" w:eastAsiaTheme="minorEastAsia" w:hAnsiTheme="minorHAnsi" w:cstheme="minorBidi"/>
              <w:b w:val="0"/>
              <w:bCs w:val="0"/>
              <w:noProof/>
              <w:sz w:val="22"/>
              <w:szCs w:val="22"/>
            </w:rPr>
          </w:pPr>
          <w:hyperlink w:anchor="_Toc28951593" w:history="1">
            <w:r w:rsidR="00C94FAA" w:rsidRPr="001D46A0">
              <w:rPr>
                <w:rStyle w:val="Hypertextovprepojenie"/>
                <w:noProof/>
              </w:rPr>
              <w:t>2.2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2: CESTNÁ INFRAŠTRUKTÚRA (TEN-T)</w:t>
            </w:r>
            <w:r w:rsidR="00C94FAA">
              <w:rPr>
                <w:noProof/>
                <w:webHidden/>
              </w:rPr>
              <w:tab/>
            </w:r>
            <w:r w:rsidR="00C94FAA">
              <w:rPr>
                <w:noProof/>
                <w:webHidden/>
              </w:rPr>
              <w:fldChar w:fldCharType="begin"/>
            </w:r>
            <w:r w:rsidR="00C94FAA">
              <w:rPr>
                <w:noProof/>
                <w:webHidden/>
              </w:rPr>
              <w:instrText xml:space="preserve"> PAGEREF _Toc28951593 \h </w:instrText>
            </w:r>
            <w:r w:rsidR="00C94FAA">
              <w:rPr>
                <w:noProof/>
                <w:webHidden/>
              </w:rPr>
            </w:r>
            <w:r w:rsidR="00C94FAA">
              <w:rPr>
                <w:noProof/>
                <w:webHidden/>
              </w:rPr>
              <w:fldChar w:fldCharType="separate"/>
            </w:r>
            <w:r w:rsidR="00C94FAA">
              <w:rPr>
                <w:noProof/>
                <w:webHidden/>
              </w:rPr>
              <w:t>53</w:t>
            </w:r>
            <w:r w:rsidR="00C94FAA">
              <w:rPr>
                <w:noProof/>
                <w:webHidden/>
              </w:rPr>
              <w:fldChar w:fldCharType="end"/>
            </w:r>
          </w:hyperlink>
        </w:p>
        <w:p w14:paraId="400F42FF" w14:textId="77777777" w:rsidR="00C94FAA" w:rsidRDefault="001061E2">
          <w:pPr>
            <w:pStyle w:val="Obsah3"/>
            <w:rPr>
              <w:rFonts w:asciiTheme="minorHAnsi" w:eastAsiaTheme="minorEastAsia" w:hAnsiTheme="minorHAnsi" w:cstheme="minorBidi"/>
              <w:szCs w:val="22"/>
            </w:rPr>
          </w:pPr>
          <w:hyperlink w:anchor="_Toc28951594" w:history="1">
            <w:r w:rsidR="00C94FAA" w:rsidRPr="001D46A0">
              <w:rPr>
                <w:rStyle w:val="Hypertextovprepojenie"/>
              </w:rPr>
              <w:t>2.2.1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_Toc28951594 \h </w:instrText>
            </w:r>
            <w:r w:rsidR="00C94FAA">
              <w:rPr>
                <w:webHidden/>
              </w:rPr>
            </w:r>
            <w:r w:rsidR="00C94FAA">
              <w:rPr>
                <w:webHidden/>
              </w:rPr>
              <w:fldChar w:fldCharType="separate"/>
            </w:r>
            <w:r w:rsidR="00C94FAA">
              <w:rPr>
                <w:webHidden/>
              </w:rPr>
              <w:t>53</w:t>
            </w:r>
            <w:r w:rsidR="00C94FAA">
              <w:rPr>
                <w:webHidden/>
              </w:rPr>
              <w:fldChar w:fldCharType="end"/>
            </w:r>
          </w:hyperlink>
        </w:p>
        <w:p w14:paraId="248A1591" w14:textId="77777777" w:rsidR="00C94FAA" w:rsidRDefault="001061E2">
          <w:pPr>
            <w:pStyle w:val="Obsah3"/>
            <w:rPr>
              <w:rFonts w:asciiTheme="minorHAnsi" w:eastAsiaTheme="minorEastAsia" w:hAnsiTheme="minorHAnsi" w:cstheme="minorBidi"/>
              <w:szCs w:val="22"/>
            </w:rPr>
          </w:pPr>
          <w:hyperlink w:anchor="_Toc28951595" w:history="1">
            <w:r w:rsidR="00C94FAA" w:rsidRPr="001D46A0">
              <w:rPr>
                <w:rStyle w:val="Hypertextovprepojenie"/>
              </w:rPr>
              <w:t>2.2.2</w:t>
            </w:r>
            <w:r w:rsidR="00C94FAA">
              <w:rPr>
                <w:rFonts w:asciiTheme="minorHAnsi" w:eastAsiaTheme="minorEastAsia" w:hAnsiTheme="minorHAnsi" w:cstheme="minorBidi"/>
                <w:szCs w:val="22"/>
              </w:rPr>
              <w:tab/>
            </w:r>
            <w:r w:rsidR="00C94FAA" w:rsidRPr="001D46A0">
              <w:rPr>
                <w:rStyle w:val="Hypertextovprepojenie"/>
              </w:rPr>
              <w:t>INVESTIČNÁ PRIORITA 7i): Podpora multimodálneho jednotného európskeho dopravného priestoru pomocou investícií do TEN-T</w:t>
            </w:r>
            <w:r w:rsidR="00C94FAA">
              <w:rPr>
                <w:webHidden/>
              </w:rPr>
              <w:tab/>
            </w:r>
            <w:r w:rsidR="00C94FAA">
              <w:rPr>
                <w:webHidden/>
              </w:rPr>
              <w:fldChar w:fldCharType="begin"/>
            </w:r>
            <w:r w:rsidR="00C94FAA">
              <w:rPr>
                <w:webHidden/>
              </w:rPr>
              <w:instrText xml:space="preserve"> PAGEREF _Toc28951595 \h </w:instrText>
            </w:r>
            <w:r w:rsidR="00C94FAA">
              <w:rPr>
                <w:webHidden/>
              </w:rPr>
            </w:r>
            <w:r w:rsidR="00C94FAA">
              <w:rPr>
                <w:webHidden/>
              </w:rPr>
              <w:fldChar w:fldCharType="separate"/>
            </w:r>
            <w:r w:rsidR="00C94FAA">
              <w:rPr>
                <w:webHidden/>
              </w:rPr>
              <w:t>53</w:t>
            </w:r>
            <w:r w:rsidR="00C94FAA">
              <w:rPr>
                <w:webHidden/>
              </w:rPr>
              <w:fldChar w:fldCharType="end"/>
            </w:r>
          </w:hyperlink>
        </w:p>
        <w:p w14:paraId="606A28DA" w14:textId="77777777" w:rsidR="00C94FAA" w:rsidRDefault="001061E2">
          <w:pPr>
            <w:pStyle w:val="Obsah3"/>
            <w:rPr>
              <w:rFonts w:asciiTheme="minorHAnsi" w:eastAsiaTheme="minorEastAsia" w:hAnsiTheme="minorHAnsi" w:cstheme="minorBidi"/>
              <w:szCs w:val="22"/>
            </w:rPr>
          </w:pPr>
          <w:hyperlink w:anchor="_Toc28951596" w:history="1">
            <w:r w:rsidR="00C94FAA" w:rsidRPr="001D46A0">
              <w:rPr>
                <w:rStyle w:val="Hypertextovprepojenie"/>
              </w:rPr>
              <w:t>2.2.3</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_Toc28951596 \h </w:instrText>
            </w:r>
            <w:r w:rsidR="00C94FAA">
              <w:rPr>
                <w:webHidden/>
              </w:rPr>
            </w:r>
            <w:r w:rsidR="00C94FAA">
              <w:rPr>
                <w:webHidden/>
              </w:rPr>
              <w:fldChar w:fldCharType="separate"/>
            </w:r>
            <w:r w:rsidR="00C94FAA">
              <w:rPr>
                <w:webHidden/>
              </w:rPr>
              <w:t>60</w:t>
            </w:r>
            <w:r w:rsidR="00C94FAA">
              <w:rPr>
                <w:webHidden/>
              </w:rPr>
              <w:fldChar w:fldCharType="end"/>
            </w:r>
          </w:hyperlink>
        </w:p>
        <w:p w14:paraId="63AE107B" w14:textId="77777777" w:rsidR="00C94FAA" w:rsidRDefault="001061E2">
          <w:pPr>
            <w:pStyle w:val="Obsah3"/>
            <w:rPr>
              <w:rFonts w:asciiTheme="minorHAnsi" w:eastAsiaTheme="minorEastAsia" w:hAnsiTheme="minorHAnsi" w:cstheme="minorBidi"/>
              <w:szCs w:val="22"/>
            </w:rPr>
          </w:pPr>
          <w:hyperlink w:anchor="_Toc28951597" w:history="1">
            <w:r w:rsidR="00C94FAA" w:rsidRPr="001D46A0">
              <w:rPr>
                <w:rStyle w:val="Hypertextovprepojenie"/>
              </w:rPr>
              <w:t>2.2.4</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_Toc28951597 \h </w:instrText>
            </w:r>
            <w:r w:rsidR="00C94FAA">
              <w:rPr>
                <w:webHidden/>
              </w:rPr>
            </w:r>
            <w:r w:rsidR="00C94FAA">
              <w:rPr>
                <w:webHidden/>
              </w:rPr>
              <w:fldChar w:fldCharType="separate"/>
            </w:r>
            <w:r w:rsidR="00C94FAA">
              <w:rPr>
                <w:webHidden/>
              </w:rPr>
              <w:t>60</w:t>
            </w:r>
            <w:r w:rsidR="00C94FAA">
              <w:rPr>
                <w:webHidden/>
              </w:rPr>
              <w:fldChar w:fldCharType="end"/>
            </w:r>
          </w:hyperlink>
        </w:p>
        <w:p w14:paraId="27BB1DFF" w14:textId="77777777" w:rsidR="00C94FAA" w:rsidRDefault="001061E2">
          <w:pPr>
            <w:pStyle w:val="Obsah3"/>
            <w:rPr>
              <w:rFonts w:asciiTheme="minorHAnsi" w:eastAsiaTheme="minorEastAsia" w:hAnsiTheme="minorHAnsi" w:cstheme="minorBidi"/>
              <w:szCs w:val="22"/>
            </w:rPr>
          </w:pPr>
          <w:hyperlink w:anchor="_Toc28951598" w:history="1">
            <w:r w:rsidR="00C94FAA" w:rsidRPr="001D46A0">
              <w:rPr>
                <w:rStyle w:val="Hypertextovprepojenie"/>
              </w:rPr>
              <w:t>2.2.5</w:t>
            </w:r>
            <w:r w:rsidR="00C94FAA">
              <w:rPr>
                <w:rFonts w:asciiTheme="minorHAnsi" w:eastAsiaTheme="minorEastAsia" w:hAnsiTheme="minorHAnsi" w:cstheme="minorBidi"/>
                <w:szCs w:val="22"/>
              </w:rPr>
              <w:tab/>
            </w:r>
            <w:r w:rsidR="00C94FAA" w:rsidRPr="001D46A0">
              <w:rPr>
                <w:rStyle w:val="Hypertextovprepojenie"/>
              </w:rPr>
              <w:t>Súhrn plánovaného využitia technickej pomoci vrátane, ak je to vhodné, akcií na posilnenie administratívnej kapacity orgánov zapojených do riadenia a kontroly programu a prijímateľov (ak je to vhodné)</w:t>
            </w:r>
            <w:r w:rsidR="00C94FAA">
              <w:rPr>
                <w:webHidden/>
              </w:rPr>
              <w:tab/>
            </w:r>
            <w:r w:rsidR="00C94FAA">
              <w:rPr>
                <w:webHidden/>
              </w:rPr>
              <w:fldChar w:fldCharType="begin"/>
            </w:r>
            <w:r w:rsidR="00C94FAA">
              <w:rPr>
                <w:webHidden/>
              </w:rPr>
              <w:instrText xml:space="preserve"> PAGEREF _Toc28951598 \h </w:instrText>
            </w:r>
            <w:r w:rsidR="00C94FAA">
              <w:rPr>
                <w:webHidden/>
              </w:rPr>
            </w:r>
            <w:r w:rsidR="00C94FAA">
              <w:rPr>
                <w:webHidden/>
              </w:rPr>
              <w:fldChar w:fldCharType="separate"/>
            </w:r>
            <w:r w:rsidR="00C94FAA">
              <w:rPr>
                <w:webHidden/>
              </w:rPr>
              <w:t>61</w:t>
            </w:r>
            <w:r w:rsidR="00C94FAA">
              <w:rPr>
                <w:webHidden/>
              </w:rPr>
              <w:fldChar w:fldCharType="end"/>
            </w:r>
          </w:hyperlink>
        </w:p>
        <w:p w14:paraId="507A74E9" w14:textId="77777777" w:rsidR="00C94FAA" w:rsidRDefault="001061E2">
          <w:pPr>
            <w:pStyle w:val="Obsah2"/>
            <w:rPr>
              <w:rFonts w:asciiTheme="minorHAnsi" w:eastAsiaTheme="minorEastAsia" w:hAnsiTheme="minorHAnsi" w:cstheme="minorBidi"/>
              <w:b w:val="0"/>
              <w:bCs w:val="0"/>
              <w:noProof/>
              <w:sz w:val="22"/>
              <w:szCs w:val="22"/>
            </w:rPr>
          </w:pPr>
          <w:hyperlink w:anchor="_Toc28951599" w:history="1">
            <w:r w:rsidR="00C94FAA" w:rsidRPr="001D46A0">
              <w:rPr>
                <w:rStyle w:val="Hypertextovprepojenie"/>
                <w:noProof/>
              </w:rPr>
              <w:t>2.3</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3: VEREJNÁ OSOBNÁ DOPRAVA</w:t>
            </w:r>
            <w:r w:rsidR="00C94FAA">
              <w:rPr>
                <w:noProof/>
                <w:webHidden/>
              </w:rPr>
              <w:tab/>
            </w:r>
            <w:r w:rsidR="00C94FAA">
              <w:rPr>
                <w:noProof/>
                <w:webHidden/>
              </w:rPr>
              <w:fldChar w:fldCharType="begin"/>
            </w:r>
            <w:r w:rsidR="00C94FAA">
              <w:rPr>
                <w:noProof/>
                <w:webHidden/>
              </w:rPr>
              <w:instrText xml:space="preserve"> PAGEREF _Toc28951599 \h </w:instrText>
            </w:r>
            <w:r w:rsidR="00C94FAA">
              <w:rPr>
                <w:noProof/>
                <w:webHidden/>
              </w:rPr>
            </w:r>
            <w:r w:rsidR="00C94FAA">
              <w:rPr>
                <w:noProof/>
                <w:webHidden/>
              </w:rPr>
              <w:fldChar w:fldCharType="separate"/>
            </w:r>
            <w:r w:rsidR="00C94FAA">
              <w:rPr>
                <w:noProof/>
                <w:webHidden/>
              </w:rPr>
              <w:t>62</w:t>
            </w:r>
            <w:r w:rsidR="00C94FAA">
              <w:rPr>
                <w:noProof/>
                <w:webHidden/>
              </w:rPr>
              <w:fldChar w:fldCharType="end"/>
            </w:r>
          </w:hyperlink>
        </w:p>
        <w:p w14:paraId="04E3EE1B" w14:textId="77777777" w:rsidR="00C94FAA" w:rsidRDefault="001061E2">
          <w:pPr>
            <w:pStyle w:val="Obsah3"/>
            <w:rPr>
              <w:rFonts w:asciiTheme="minorHAnsi" w:eastAsiaTheme="minorEastAsia" w:hAnsiTheme="minorHAnsi" w:cstheme="minorBidi"/>
              <w:szCs w:val="22"/>
            </w:rPr>
          </w:pPr>
          <w:hyperlink w:anchor="_Toc28951600" w:history="1">
            <w:r w:rsidR="00C94FAA" w:rsidRPr="001D46A0">
              <w:rPr>
                <w:rStyle w:val="Hypertextovprepojenie"/>
              </w:rPr>
              <w:t>2.3.1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_Toc28951600 \h </w:instrText>
            </w:r>
            <w:r w:rsidR="00C94FAA">
              <w:rPr>
                <w:webHidden/>
              </w:rPr>
            </w:r>
            <w:r w:rsidR="00C94FAA">
              <w:rPr>
                <w:webHidden/>
              </w:rPr>
              <w:fldChar w:fldCharType="separate"/>
            </w:r>
            <w:r w:rsidR="00C94FAA">
              <w:rPr>
                <w:webHidden/>
              </w:rPr>
              <w:t>62</w:t>
            </w:r>
            <w:r w:rsidR="00C94FAA">
              <w:rPr>
                <w:webHidden/>
              </w:rPr>
              <w:fldChar w:fldCharType="end"/>
            </w:r>
          </w:hyperlink>
        </w:p>
        <w:p w14:paraId="37324505" w14:textId="77777777" w:rsidR="00C94FAA" w:rsidRDefault="001061E2">
          <w:pPr>
            <w:pStyle w:val="Obsah3"/>
            <w:rPr>
              <w:rFonts w:asciiTheme="minorHAnsi" w:eastAsiaTheme="minorEastAsia" w:hAnsiTheme="minorHAnsi" w:cstheme="minorBidi"/>
              <w:szCs w:val="22"/>
            </w:rPr>
          </w:pPr>
          <w:hyperlink w:anchor="_Toc28951601" w:history="1">
            <w:r w:rsidR="00C94FAA" w:rsidRPr="001D46A0">
              <w:rPr>
                <w:rStyle w:val="Hypertextovprepojenie"/>
              </w:rPr>
              <w:t>2.3.2</w:t>
            </w:r>
            <w:r w:rsidR="00C94FAA">
              <w:rPr>
                <w:rFonts w:asciiTheme="minorHAnsi" w:eastAsiaTheme="minorEastAsia" w:hAnsiTheme="minorHAnsi" w:cstheme="minorBidi"/>
                <w:szCs w:val="22"/>
              </w:rPr>
              <w:tab/>
            </w:r>
            <w:r w:rsidR="00C94FAA" w:rsidRPr="001D46A0">
              <w:rPr>
                <w:rStyle w:val="Hypertextovprepojenie"/>
              </w:rPr>
              <w:t>INVESTIČNÁ PRIORITA 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r w:rsidR="00C94FAA">
              <w:rPr>
                <w:webHidden/>
              </w:rPr>
              <w:tab/>
            </w:r>
            <w:r w:rsidR="00C94FAA">
              <w:rPr>
                <w:webHidden/>
              </w:rPr>
              <w:fldChar w:fldCharType="begin"/>
            </w:r>
            <w:r w:rsidR="00C94FAA">
              <w:rPr>
                <w:webHidden/>
              </w:rPr>
              <w:instrText xml:space="preserve"> PAGEREF _Toc28951601 \h </w:instrText>
            </w:r>
            <w:r w:rsidR="00C94FAA">
              <w:rPr>
                <w:webHidden/>
              </w:rPr>
            </w:r>
            <w:r w:rsidR="00C94FAA">
              <w:rPr>
                <w:webHidden/>
              </w:rPr>
              <w:fldChar w:fldCharType="separate"/>
            </w:r>
            <w:r w:rsidR="00C94FAA">
              <w:rPr>
                <w:webHidden/>
              </w:rPr>
              <w:t>62</w:t>
            </w:r>
            <w:r w:rsidR="00C94FAA">
              <w:rPr>
                <w:webHidden/>
              </w:rPr>
              <w:fldChar w:fldCharType="end"/>
            </w:r>
          </w:hyperlink>
        </w:p>
        <w:p w14:paraId="1E8EA809" w14:textId="77777777" w:rsidR="00C94FAA" w:rsidRDefault="001061E2">
          <w:pPr>
            <w:pStyle w:val="Obsah3"/>
            <w:rPr>
              <w:rFonts w:asciiTheme="minorHAnsi" w:eastAsiaTheme="minorEastAsia" w:hAnsiTheme="minorHAnsi" w:cstheme="minorBidi"/>
              <w:szCs w:val="22"/>
            </w:rPr>
          </w:pPr>
          <w:hyperlink w:anchor="_Toc28951602" w:history="1">
            <w:r w:rsidR="00C94FAA" w:rsidRPr="001D46A0">
              <w:rPr>
                <w:rStyle w:val="Hypertextovprepojenie"/>
              </w:rPr>
              <w:t>2.3.3</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_Toc28951602 \h </w:instrText>
            </w:r>
            <w:r w:rsidR="00C94FAA">
              <w:rPr>
                <w:webHidden/>
              </w:rPr>
            </w:r>
            <w:r w:rsidR="00C94FAA">
              <w:rPr>
                <w:webHidden/>
              </w:rPr>
              <w:fldChar w:fldCharType="separate"/>
            </w:r>
            <w:r w:rsidR="00C94FAA">
              <w:rPr>
                <w:webHidden/>
              </w:rPr>
              <w:t>69</w:t>
            </w:r>
            <w:r w:rsidR="00C94FAA">
              <w:rPr>
                <w:webHidden/>
              </w:rPr>
              <w:fldChar w:fldCharType="end"/>
            </w:r>
          </w:hyperlink>
        </w:p>
        <w:p w14:paraId="61D1253A" w14:textId="77777777" w:rsidR="00C94FAA" w:rsidRDefault="001061E2">
          <w:pPr>
            <w:pStyle w:val="Obsah3"/>
            <w:rPr>
              <w:rFonts w:asciiTheme="minorHAnsi" w:eastAsiaTheme="minorEastAsia" w:hAnsiTheme="minorHAnsi" w:cstheme="minorBidi"/>
              <w:szCs w:val="22"/>
            </w:rPr>
          </w:pPr>
          <w:hyperlink w:anchor="_Toc28951603" w:history="1">
            <w:r w:rsidR="00C94FAA" w:rsidRPr="001D46A0">
              <w:rPr>
                <w:rStyle w:val="Hypertextovprepojenie"/>
              </w:rPr>
              <w:t>2.3.4</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_Toc28951603 \h </w:instrText>
            </w:r>
            <w:r w:rsidR="00C94FAA">
              <w:rPr>
                <w:webHidden/>
              </w:rPr>
            </w:r>
            <w:r w:rsidR="00C94FAA">
              <w:rPr>
                <w:webHidden/>
              </w:rPr>
              <w:fldChar w:fldCharType="separate"/>
            </w:r>
            <w:r w:rsidR="00C94FAA">
              <w:rPr>
                <w:webHidden/>
              </w:rPr>
              <w:t>70</w:t>
            </w:r>
            <w:r w:rsidR="00C94FAA">
              <w:rPr>
                <w:webHidden/>
              </w:rPr>
              <w:fldChar w:fldCharType="end"/>
            </w:r>
          </w:hyperlink>
        </w:p>
        <w:p w14:paraId="2F8E189C" w14:textId="77777777" w:rsidR="00C94FAA" w:rsidRDefault="001061E2">
          <w:pPr>
            <w:pStyle w:val="Obsah3"/>
            <w:rPr>
              <w:rFonts w:asciiTheme="minorHAnsi" w:eastAsiaTheme="minorEastAsia" w:hAnsiTheme="minorHAnsi" w:cstheme="minorBidi"/>
              <w:szCs w:val="22"/>
            </w:rPr>
          </w:pPr>
          <w:hyperlink w:anchor="_Toc28951604" w:history="1">
            <w:r w:rsidR="00C94FAA" w:rsidRPr="001D46A0">
              <w:rPr>
                <w:rStyle w:val="Hypertextovprepojenie"/>
              </w:rPr>
              <w:t>2.3.5</w:t>
            </w:r>
            <w:r w:rsidR="00C94FAA">
              <w:rPr>
                <w:rFonts w:asciiTheme="minorHAnsi" w:eastAsiaTheme="minorEastAsia" w:hAnsiTheme="minorHAnsi" w:cstheme="minorBidi"/>
                <w:szCs w:val="22"/>
              </w:rPr>
              <w:tab/>
            </w:r>
            <w:r w:rsidR="00C94FAA" w:rsidRPr="001D46A0">
              <w:rPr>
                <w:rStyle w:val="Hypertextovprepojenie"/>
              </w:rPr>
              <w:t>Súhrn plánovaného využitia technickej pomoci vrátane, ak je to vhodné, akcií na posilnenie administratívnej kapacity orgánov zapojených do riadenia a kontroly programu a prijímateľov (ak je to vhodné)</w:t>
            </w:r>
            <w:r w:rsidR="00C94FAA">
              <w:rPr>
                <w:webHidden/>
              </w:rPr>
              <w:tab/>
            </w:r>
            <w:r w:rsidR="00C94FAA">
              <w:rPr>
                <w:webHidden/>
              </w:rPr>
              <w:fldChar w:fldCharType="begin"/>
            </w:r>
            <w:r w:rsidR="00C94FAA">
              <w:rPr>
                <w:webHidden/>
              </w:rPr>
              <w:instrText xml:space="preserve"> PAGEREF _Toc28951604 \h </w:instrText>
            </w:r>
            <w:r w:rsidR="00C94FAA">
              <w:rPr>
                <w:webHidden/>
              </w:rPr>
            </w:r>
            <w:r w:rsidR="00C94FAA">
              <w:rPr>
                <w:webHidden/>
              </w:rPr>
              <w:fldChar w:fldCharType="separate"/>
            </w:r>
            <w:r w:rsidR="00C94FAA">
              <w:rPr>
                <w:webHidden/>
              </w:rPr>
              <w:t>70</w:t>
            </w:r>
            <w:r w:rsidR="00C94FAA">
              <w:rPr>
                <w:webHidden/>
              </w:rPr>
              <w:fldChar w:fldCharType="end"/>
            </w:r>
          </w:hyperlink>
        </w:p>
        <w:p w14:paraId="7952D9C8" w14:textId="77777777" w:rsidR="00C94FAA" w:rsidRDefault="001061E2">
          <w:pPr>
            <w:pStyle w:val="Obsah2"/>
            <w:rPr>
              <w:rFonts w:asciiTheme="minorHAnsi" w:eastAsiaTheme="minorEastAsia" w:hAnsiTheme="minorHAnsi" w:cstheme="minorBidi"/>
              <w:b w:val="0"/>
              <w:bCs w:val="0"/>
              <w:noProof/>
              <w:sz w:val="22"/>
              <w:szCs w:val="22"/>
            </w:rPr>
          </w:pPr>
          <w:hyperlink w:anchor="_Toc28951605" w:history="1">
            <w:r w:rsidR="00C94FAA" w:rsidRPr="001D46A0">
              <w:rPr>
                <w:rStyle w:val="Hypertextovprepojenie"/>
                <w:noProof/>
              </w:rPr>
              <w:t>2.4</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4: INFRAŠTRUKTÚRA VODNEJ DOPRAVY (TEN-T CORE)</w:t>
            </w:r>
            <w:r w:rsidR="00C94FAA">
              <w:rPr>
                <w:noProof/>
                <w:webHidden/>
              </w:rPr>
              <w:tab/>
            </w:r>
            <w:r w:rsidR="00C94FAA">
              <w:rPr>
                <w:noProof/>
                <w:webHidden/>
              </w:rPr>
              <w:fldChar w:fldCharType="begin"/>
            </w:r>
            <w:r w:rsidR="00C94FAA">
              <w:rPr>
                <w:noProof/>
                <w:webHidden/>
              </w:rPr>
              <w:instrText xml:space="preserve"> PAGEREF _Toc28951605 \h </w:instrText>
            </w:r>
            <w:r w:rsidR="00C94FAA">
              <w:rPr>
                <w:noProof/>
                <w:webHidden/>
              </w:rPr>
            </w:r>
            <w:r w:rsidR="00C94FAA">
              <w:rPr>
                <w:noProof/>
                <w:webHidden/>
              </w:rPr>
              <w:fldChar w:fldCharType="separate"/>
            </w:r>
            <w:r w:rsidR="00C94FAA">
              <w:rPr>
                <w:noProof/>
                <w:webHidden/>
              </w:rPr>
              <w:t>71</w:t>
            </w:r>
            <w:r w:rsidR="00C94FAA">
              <w:rPr>
                <w:noProof/>
                <w:webHidden/>
              </w:rPr>
              <w:fldChar w:fldCharType="end"/>
            </w:r>
          </w:hyperlink>
        </w:p>
        <w:p w14:paraId="7A79C7F0" w14:textId="77777777" w:rsidR="00C94FAA" w:rsidRDefault="001061E2">
          <w:pPr>
            <w:pStyle w:val="Obsah3"/>
            <w:rPr>
              <w:rFonts w:asciiTheme="minorHAnsi" w:eastAsiaTheme="minorEastAsia" w:hAnsiTheme="minorHAnsi" w:cstheme="minorBidi"/>
              <w:szCs w:val="22"/>
            </w:rPr>
          </w:pPr>
          <w:hyperlink w:anchor="_Toc28951606" w:history="1">
            <w:r w:rsidR="00C94FAA" w:rsidRPr="001D46A0">
              <w:rPr>
                <w:rStyle w:val="Hypertextovprepojenie"/>
              </w:rPr>
              <w:t>2.4.1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_Toc28951606 \h </w:instrText>
            </w:r>
            <w:r w:rsidR="00C94FAA">
              <w:rPr>
                <w:webHidden/>
              </w:rPr>
            </w:r>
            <w:r w:rsidR="00C94FAA">
              <w:rPr>
                <w:webHidden/>
              </w:rPr>
              <w:fldChar w:fldCharType="separate"/>
            </w:r>
            <w:r w:rsidR="00C94FAA">
              <w:rPr>
                <w:webHidden/>
              </w:rPr>
              <w:t>71</w:t>
            </w:r>
            <w:r w:rsidR="00C94FAA">
              <w:rPr>
                <w:webHidden/>
              </w:rPr>
              <w:fldChar w:fldCharType="end"/>
            </w:r>
          </w:hyperlink>
        </w:p>
        <w:p w14:paraId="2CF82CD0" w14:textId="77777777" w:rsidR="00C94FAA" w:rsidRDefault="001061E2">
          <w:pPr>
            <w:pStyle w:val="Obsah3"/>
            <w:rPr>
              <w:rFonts w:asciiTheme="minorHAnsi" w:eastAsiaTheme="minorEastAsia" w:hAnsiTheme="minorHAnsi" w:cstheme="minorBidi"/>
              <w:szCs w:val="22"/>
            </w:rPr>
          </w:pPr>
          <w:hyperlink w:anchor="_Toc28951607" w:history="1">
            <w:r w:rsidR="00C94FAA" w:rsidRPr="001D46A0">
              <w:rPr>
                <w:rStyle w:val="Hypertextovprepojenie"/>
              </w:rPr>
              <w:t>2.4.2</w:t>
            </w:r>
            <w:r w:rsidR="00C94FAA">
              <w:rPr>
                <w:rFonts w:asciiTheme="minorHAnsi" w:eastAsiaTheme="minorEastAsia" w:hAnsiTheme="minorHAnsi" w:cstheme="minorBidi"/>
                <w:szCs w:val="22"/>
              </w:rPr>
              <w:tab/>
            </w:r>
            <w:r w:rsidR="00C94FAA" w:rsidRPr="001D46A0">
              <w:rPr>
                <w:rStyle w:val="Hypertextovprepojenie"/>
              </w:rPr>
              <w:t>INVESTIČNÁ PRIORITA 7i): Podpora multimodálneho jednotného európskeho dopravného priestoru pomocou investícií do TEN-T</w:t>
            </w:r>
            <w:r w:rsidR="00C94FAA">
              <w:rPr>
                <w:webHidden/>
              </w:rPr>
              <w:tab/>
            </w:r>
            <w:r w:rsidR="00C94FAA">
              <w:rPr>
                <w:webHidden/>
              </w:rPr>
              <w:fldChar w:fldCharType="begin"/>
            </w:r>
            <w:r w:rsidR="00C94FAA">
              <w:rPr>
                <w:webHidden/>
              </w:rPr>
              <w:instrText xml:space="preserve"> PAGEREF _Toc28951607 \h </w:instrText>
            </w:r>
            <w:r w:rsidR="00C94FAA">
              <w:rPr>
                <w:webHidden/>
              </w:rPr>
            </w:r>
            <w:r w:rsidR="00C94FAA">
              <w:rPr>
                <w:webHidden/>
              </w:rPr>
              <w:fldChar w:fldCharType="separate"/>
            </w:r>
            <w:r w:rsidR="00C94FAA">
              <w:rPr>
                <w:webHidden/>
              </w:rPr>
              <w:t>71</w:t>
            </w:r>
            <w:r w:rsidR="00C94FAA">
              <w:rPr>
                <w:webHidden/>
              </w:rPr>
              <w:fldChar w:fldCharType="end"/>
            </w:r>
          </w:hyperlink>
        </w:p>
        <w:p w14:paraId="47DBED52" w14:textId="77777777" w:rsidR="00C94FAA" w:rsidRDefault="001061E2">
          <w:pPr>
            <w:pStyle w:val="Obsah3"/>
            <w:rPr>
              <w:rFonts w:asciiTheme="minorHAnsi" w:eastAsiaTheme="minorEastAsia" w:hAnsiTheme="minorHAnsi" w:cstheme="minorBidi"/>
              <w:szCs w:val="22"/>
            </w:rPr>
          </w:pPr>
          <w:hyperlink w:anchor="_Toc28951608" w:history="1">
            <w:r w:rsidR="00C94FAA" w:rsidRPr="001D46A0">
              <w:rPr>
                <w:rStyle w:val="Hypertextovprepojenie"/>
              </w:rPr>
              <w:t>2.4.3</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_Toc28951608 \h </w:instrText>
            </w:r>
            <w:r w:rsidR="00C94FAA">
              <w:rPr>
                <w:webHidden/>
              </w:rPr>
            </w:r>
            <w:r w:rsidR="00C94FAA">
              <w:rPr>
                <w:webHidden/>
              </w:rPr>
              <w:fldChar w:fldCharType="separate"/>
            </w:r>
            <w:r w:rsidR="00C94FAA">
              <w:rPr>
                <w:webHidden/>
              </w:rPr>
              <w:t>76</w:t>
            </w:r>
            <w:r w:rsidR="00C94FAA">
              <w:rPr>
                <w:webHidden/>
              </w:rPr>
              <w:fldChar w:fldCharType="end"/>
            </w:r>
          </w:hyperlink>
        </w:p>
        <w:p w14:paraId="5B2C40BF" w14:textId="77777777" w:rsidR="00C94FAA" w:rsidRDefault="001061E2">
          <w:pPr>
            <w:pStyle w:val="Obsah3"/>
            <w:rPr>
              <w:rFonts w:asciiTheme="minorHAnsi" w:eastAsiaTheme="minorEastAsia" w:hAnsiTheme="minorHAnsi" w:cstheme="minorBidi"/>
              <w:szCs w:val="22"/>
            </w:rPr>
          </w:pPr>
          <w:hyperlink w:anchor="_Toc28951609" w:history="1">
            <w:r w:rsidR="00C94FAA" w:rsidRPr="001D46A0">
              <w:rPr>
                <w:rStyle w:val="Hypertextovprepojenie"/>
              </w:rPr>
              <w:t>2.4.4</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_Toc28951609 \h </w:instrText>
            </w:r>
            <w:r w:rsidR="00C94FAA">
              <w:rPr>
                <w:webHidden/>
              </w:rPr>
            </w:r>
            <w:r w:rsidR="00C94FAA">
              <w:rPr>
                <w:webHidden/>
              </w:rPr>
              <w:fldChar w:fldCharType="separate"/>
            </w:r>
            <w:r w:rsidR="00C94FAA">
              <w:rPr>
                <w:webHidden/>
              </w:rPr>
              <w:t>76</w:t>
            </w:r>
            <w:r w:rsidR="00C94FAA">
              <w:rPr>
                <w:webHidden/>
              </w:rPr>
              <w:fldChar w:fldCharType="end"/>
            </w:r>
          </w:hyperlink>
        </w:p>
        <w:p w14:paraId="4BBCD70C" w14:textId="77777777" w:rsidR="00C94FAA" w:rsidRDefault="001061E2">
          <w:pPr>
            <w:pStyle w:val="Obsah3"/>
            <w:rPr>
              <w:rFonts w:asciiTheme="minorHAnsi" w:eastAsiaTheme="minorEastAsia" w:hAnsiTheme="minorHAnsi" w:cstheme="minorBidi"/>
              <w:szCs w:val="22"/>
            </w:rPr>
          </w:pPr>
          <w:hyperlink w:anchor="_Toc28951610" w:history="1">
            <w:r w:rsidR="00C94FAA" w:rsidRPr="001D46A0">
              <w:rPr>
                <w:rStyle w:val="Hypertextovprepojenie"/>
              </w:rPr>
              <w:t>2.4.5</w:t>
            </w:r>
            <w:r w:rsidR="00C94FAA">
              <w:rPr>
                <w:rFonts w:asciiTheme="minorHAnsi" w:eastAsiaTheme="minorEastAsia" w:hAnsiTheme="minorHAnsi" w:cstheme="minorBidi"/>
                <w:szCs w:val="22"/>
              </w:rPr>
              <w:tab/>
            </w:r>
            <w:r w:rsidR="00C94FAA" w:rsidRPr="001D46A0">
              <w:rPr>
                <w:rStyle w:val="Hypertextovprepojenie"/>
              </w:rPr>
              <w:t>Súhrn plánovaného využitia technickej pomoci vrátane, ak je to vhodné, akcií na posilnenie administratívnej kapacity orgánov zapojených do riadenia a kontroly programu a prijímateľov (ak je to vhodné)</w:t>
            </w:r>
            <w:r w:rsidR="00C94FAA">
              <w:rPr>
                <w:webHidden/>
              </w:rPr>
              <w:tab/>
            </w:r>
            <w:r w:rsidR="00C94FAA">
              <w:rPr>
                <w:webHidden/>
              </w:rPr>
              <w:fldChar w:fldCharType="begin"/>
            </w:r>
            <w:r w:rsidR="00C94FAA">
              <w:rPr>
                <w:webHidden/>
              </w:rPr>
              <w:instrText xml:space="preserve"> PAGEREF _Toc28951610 \h </w:instrText>
            </w:r>
            <w:r w:rsidR="00C94FAA">
              <w:rPr>
                <w:webHidden/>
              </w:rPr>
            </w:r>
            <w:r w:rsidR="00C94FAA">
              <w:rPr>
                <w:webHidden/>
              </w:rPr>
              <w:fldChar w:fldCharType="separate"/>
            </w:r>
            <w:r w:rsidR="00C94FAA">
              <w:rPr>
                <w:webHidden/>
              </w:rPr>
              <w:t>77</w:t>
            </w:r>
            <w:r w:rsidR="00C94FAA">
              <w:rPr>
                <w:webHidden/>
              </w:rPr>
              <w:fldChar w:fldCharType="end"/>
            </w:r>
          </w:hyperlink>
        </w:p>
        <w:p w14:paraId="2692C446" w14:textId="77777777" w:rsidR="00C94FAA" w:rsidRDefault="001061E2">
          <w:pPr>
            <w:pStyle w:val="Obsah2"/>
            <w:rPr>
              <w:rFonts w:asciiTheme="minorHAnsi" w:eastAsiaTheme="minorEastAsia" w:hAnsiTheme="minorHAnsi" w:cstheme="minorBidi"/>
              <w:b w:val="0"/>
              <w:bCs w:val="0"/>
              <w:noProof/>
              <w:sz w:val="22"/>
              <w:szCs w:val="22"/>
            </w:rPr>
          </w:pPr>
          <w:hyperlink w:anchor="_Toc28951611" w:history="1">
            <w:r w:rsidR="00C94FAA" w:rsidRPr="001D46A0">
              <w:rPr>
                <w:rStyle w:val="Hypertextovprepojenie"/>
                <w:noProof/>
              </w:rPr>
              <w:t>2.5</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5: ŽELEZNIČNÁ INFRAŠTRUKTÚRA A OBNOVA MOBILNÝCH PROSTRIEDKOV</w:t>
            </w:r>
            <w:r w:rsidR="00C94FAA">
              <w:rPr>
                <w:noProof/>
                <w:webHidden/>
              </w:rPr>
              <w:tab/>
            </w:r>
            <w:r w:rsidR="00C94FAA">
              <w:rPr>
                <w:noProof/>
                <w:webHidden/>
              </w:rPr>
              <w:fldChar w:fldCharType="begin"/>
            </w:r>
            <w:r w:rsidR="00C94FAA">
              <w:rPr>
                <w:noProof/>
                <w:webHidden/>
              </w:rPr>
              <w:instrText xml:space="preserve"> PAGEREF _Toc28951611 \h </w:instrText>
            </w:r>
            <w:r w:rsidR="00C94FAA">
              <w:rPr>
                <w:noProof/>
                <w:webHidden/>
              </w:rPr>
            </w:r>
            <w:r w:rsidR="00C94FAA">
              <w:rPr>
                <w:noProof/>
                <w:webHidden/>
              </w:rPr>
              <w:fldChar w:fldCharType="separate"/>
            </w:r>
            <w:r w:rsidR="00C94FAA">
              <w:rPr>
                <w:noProof/>
                <w:webHidden/>
              </w:rPr>
              <w:t>78</w:t>
            </w:r>
            <w:r w:rsidR="00C94FAA">
              <w:rPr>
                <w:noProof/>
                <w:webHidden/>
              </w:rPr>
              <w:fldChar w:fldCharType="end"/>
            </w:r>
          </w:hyperlink>
        </w:p>
        <w:p w14:paraId="67806DE5" w14:textId="77777777" w:rsidR="00C94FAA" w:rsidRDefault="001061E2">
          <w:pPr>
            <w:pStyle w:val="Obsah3"/>
            <w:rPr>
              <w:rFonts w:asciiTheme="minorHAnsi" w:eastAsiaTheme="minorEastAsia" w:hAnsiTheme="minorHAnsi" w:cstheme="minorBidi"/>
              <w:szCs w:val="22"/>
            </w:rPr>
          </w:pPr>
          <w:hyperlink w:anchor="_Toc28951612" w:history="1">
            <w:r w:rsidR="00C94FAA" w:rsidRPr="001D46A0">
              <w:rPr>
                <w:rStyle w:val="Hypertextovprepojenie"/>
              </w:rPr>
              <w:t>2.5.1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_Toc28951612 \h </w:instrText>
            </w:r>
            <w:r w:rsidR="00C94FAA">
              <w:rPr>
                <w:webHidden/>
              </w:rPr>
            </w:r>
            <w:r w:rsidR="00C94FAA">
              <w:rPr>
                <w:webHidden/>
              </w:rPr>
              <w:fldChar w:fldCharType="separate"/>
            </w:r>
            <w:r w:rsidR="00C94FAA">
              <w:rPr>
                <w:webHidden/>
              </w:rPr>
              <w:t>78</w:t>
            </w:r>
            <w:r w:rsidR="00C94FAA">
              <w:rPr>
                <w:webHidden/>
              </w:rPr>
              <w:fldChar w:fldCharType="end"/>
            </w:r>
          </w:hyperlink>
        </w:p>
        <w:p w14:paraId="4504DA6F" w14:textId="77777777" w:rsidR="00C94FAA" w:rsidRDefault="001061E2">
          <w:pPr>
            <w:pStyle w:val="Obsah3"/>
            <w:rPr>
              <w:rFonts w:asciiTheme="minorHAnsi" w:eastAsiaTheme="minorEastAsia" w:hAnsiTheme="minorHAnsi" w:cstheme="minorBidi"/>
              <w:szCs w:val="22"/>
            </w:rPr>
          </w:pPr>
          <w:hyperlink w:anchor="_Toc28951613" w:history="1">
            <w:r w:rsidR="00C94FAA" w:rsidRPr="001D46A0">
              <w:rPr>
                <w:rStyle w:val="Hypertextovprepojenie"/>
              </w:rPr>
              <w:t>2.5.2</w:t>
            </w:r>
            <w:r w:rsidR="00C94FAA">
              <w:rPr>
                <w:rFonts w:asciiTheme="minorHAnsi" w:eastAsiaTheme="minorEastAsia" w:hAnsiTheme="minorHAnsi" w:cstheme="minorBidi"/>
                <w:szCs w:val="22"/>
              </w:rPr>
              <w:tab/>
            </w:r>
            <w:r w:rsidR="00C94FAA" w:rsidRPr="001D46A0">
              <w:rPr>
                <w:rStyle w:val="Hypertextovprepojenie"/>
              </w:rPr>
              <w:t>INVESTIČNÁ PRIORITA 7d): Vývoj a modernizácia komplexných, interoperabilných železničných systémov vysokej kvality a podpora opatrení na znižovanie hluku</w:t>
            </w:r>
            <w:r w:rsidR="00C94FAA">
              <w:rPr>
                <w:webHidden/>
              </w:rPr>
              <w:tab/>
            </w:r>
            <w:r w:rsidR="00C94FAA">
              <w:rPr>
                <w:webHidden/>
              </w:rPr>
              <w:fldChar w:fldCharType="begin"/>
            </w:r>
            <w:r w:rsidR="00C94FAA">
              <w:rPr>
                <w:webHidden/>
              </w:rPr>
              <w:instrText xml:space="preserve"> PAGEREF _Toc28951613 \h </w:instrText>
            </w:r>
            <w:r w:rsidR="00C94FAA">
              <w:rPr>
                <w:webHidden/>
              </w:rPr>
            </w:r>
            <w:r w:rsidR="00C94FAA">
              <w:rPr>
                <w:webHidden/>
              </w:rPr>
              <w:fldChar w:fldCharType="separate"/>
            </w:r>
            <w:r w:rsidR="00C94FAA">
              <w:rPr>
                <w:webHidden/>
              </w:rPr>
              <w:t>78</w:t>
            </w:r>
            <w:r w:rsidR="00C94FAA">
              <w:rPr>
                <w:webHidden/>
              </w:rPr>
              <w:fldChar w:fldCharType="end"/>
            </w:r>
          </w:hyperlink>
        </w:p>
        <w:p w14:paraId="663CB1E8" w14:textId="77777777" w:rsidR="00C94FAA" w:rsidRDefault="001061E2">
          <w:pPr>
            <w:pStyle w:val="Obsah3"/>
            <w:rPr>
              <w:rFonts w:asciiTheme="minorHAnsi" w:eastAsiaTheme="minorEastAsia" w:hAnsiTheme="minorHAnsi" w:cstheme="minorBidi"/>
              <w:szCs w:val="22"/>
            </w:rPr>
          </w:pPr>
          <w:hyperlink w:anchor="_Toc28951614" w:history="1">
            <w:r w:rsidR="00C94FAA" w:rsidRPr="001D46A0">
              <w:rPr>
                <w:rStyle w:val="Hypertextovprepojenie"/>
              </w:rPr>
              <w:t>2.5.3</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_Toc28951614 \h </w:instrText>
            </w:r>
            <w:r w:rsidR="00C94FAA">
              <w:rPr>
                <w:webHidden/>
              </w:rPr>
            </w:r>
            <w:r w:rsidR="00C94FAA">
              <w:rPr>
                <w:webHidden/>
              </w:rPr>
              <w:fldChar w:fldCharType="separate"/>
            </w:r>
            <w:r w:rsidR="00C94FAA">
              <w:rPr>
                <w:webHidden/>
              </w:rPr>
              <w:t>87</w:t>
            </w:r>
            <w:r w:rsidR="00C94FAA">
              <w:rPr>
                <w:webHidden/>
              </w:rPr>
              <w:fldChar w:fldCharType="end"/>
            </w:r>
          </w:hyperlink>
        </w:p>
        <w:p w14:paraId="41820C77" w14:textId="77777777" w:rsidR="00C94FAA" w:rsidRDefault="001061E2">
          <w:pPr>
            <w:pStyle w:val="Obsah3"/>
            <w:rPr>
              <w:rFonts w:asciiTheme="minorHAnsi" w:eastAsiaTheme="minorEastAsia" w:hAnsiTheme="minorHAnsi" w:cstheme="minorBidi"/>
              <w:szCs w:val="22"/>
            </w:rPr>
          </w:pPr>
          <w:hyperlink w:anchor="_Toc28951615" w:history="1">
            <w:r w:rsidR="00C94FAA" w:rsidRPr="001D46A0">
              <w:rPr>
                <w:rStyle w:val="Hypertextovprepojenie"/>
              </w:rPr>
              <w:t>2.5.4</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_Toc28951615 \h </w:instrText>
            </w:r>
            <w:r w:rsidR="00C94FAA">
              <w:rPr>
                <w:webHidden/>
              </w:rPr>
            </w:r>
            <w:r w:rsidR="00C94FAA">
              <w:rPr>
                <w:webHidden/>
              </w:rPr>
              <w:fldChar w:fldCharType="separate"/>
            </w:r>
            <w:r w:rsidR="00C94FAA">
              <w:rPr>
                <w:webHidden/>
              </w:rPr>
              <w:t>88</w:t>
            </w:r>
            <w:r w:rsidR="00C94FAA">
              <w:rPr>
                <w:webHidden/>
              </w:rPr>
              <w:fldChar w:fldCharType="end"/>
            </w:r>
          </w:hyperlink>
        </w:p>
        <w:p w14:paraId="3524FC62" w14:textId="77777777" w:rsidR="00C94FAA" w:rsidRDefault="001061E2">
          <w:pPr>
            <w:pStyle w:val="Obsah3"/>
            <w:rPr>
              <w:rFonts w:asciiTheme="minorHAnsi" w:eastAsiaTheme="minorEastAsia" w:hAnsiTheme="minorHAnsi" w:cstheme="minorBidi"/>
              <w:szCs w:val="22"/>
            </w:rPr>
          </w:pPr>
          <w:hyperlink w:anchor="_Toc28951616" w:history="1">
            <w:r w:rsidR="00C94FAA" w:rsidRPr="001D46A0">
              <w:rPr>
                <w:rStyle w:val="Hypertextovprepojenie"/>
              </w:rPr>
              <w:t>2.5.5</w:t>
            </w:r>
            <w:r w:rsidR="00C94FAA">
              <w:rPr>
                <w:rFonts w:asciiTheme="minorHAnsi" w:eastAsiaTheme="minorEastAsia" w:hAnsiTheme="minorHAnsi" w:cstheme="minorBidi"/>
                <w:szCs w:val="22"/>
              </w:rPr>
              <w:tab/>
            </w:r>
            <w:r w:rsidR="00C94FAA" w:rsidRPr="001D46A0">
              <w:rPr>
                <w:rStyle w:val="Hypertextovprepojenie"/>
              </w:rPr>
              <w:t>Súhrn plánovaného využitia technickej pomoci vrátane, ak je to vhodné, akcií na posilnenie administratívnej kapacity orgánov zapojených do riadenia a kontroly programu a prijímateľov (ak je to vhodné)</w:t>
            </w:r>
            <w:r w:rsidR="00C94FAA">
              <w:rPr>
                <w:webHidden/>
              </w:rPr>
              <w:tab/>
            </w:r>
            <w:r w:rsidR="00C94FAA">
              <w:rPr>
                <w:webHidden/>
              </w:rPr>
              <w:fldChar w:fldCharType="begin"/>
            </w:r>
            <w:r w:rsidR="00C94FAA">
              <w:rPr>
                <w:webHidden/>
              </w:rPr>
              <w:instrText xml:space="preserve"> PAGEREF _Toc28951616 \h </w:instrText>
            </w:r>
            <w:r w:rsidR="00C94FAA">
              <w:rPr>
                <w:webHidden/>
              </w:rPr>
            </w:r>
            <w:r w:rsidR="00C94FAA">
              <w:rPr>
                <w:webHidden/>
              </w:rPr>
              <w:fldChar w:fldCharType="separate"/>
            </w:r>
            <w:r w:rsidR="00C94FAA">
              <w:rPr>
                <w:webHidden/>
              </w:rPr>
              <w:t>88</w:t>
            </w:r>
            <w:r w:rsidR="00C94FAA">
              <w:rPr>
                <w:webHidden/>
              </w:rPr>
              <w:fldChar w:fldCharType="end"/>
            </w:r>
          </w:hyperlink>
        </w:p>
        <w:p w14:paraId="66F31C8F" w14:textId="77777777" w:rsidR="00C94FAA" w:rsidRDefault="001061E2">
          <w:pPr>
            <w:pStyle w:val="Obsah2"/>
            <w:rPr>
              <w:rFonts w:asciiTheme="minorHAnsi" w:eastAsiaTheme="minorEastAsia" w:hAnsiTheme="minorHAnsi" w:cstheme="minorBidi"/>
              <w:b w:val="0"/>
              <w:bCs w:val="0"/>
              <w:noProof/>
              <w:sz w:val="22"/>
              <w:szCs w:val="22"/>
            </w:rPr>
          </w:pPr>
          <w:hyperlink w:anchor="_Toc28951617" w:history="1">
            <w:r w:rsidR="00C94FAA" w:rsidRPr="001D46A0">
              <w:rPr>
                <w:rStyle w:val="Hypertextovprepojenie"/>
                <w:noProof/>
              </w:rPr>
              <w:t>2.6</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6: CESTNÁ INFRAŠTRUKTÚTA (mimo TEN-T CORE)</w:t>
            </w:r>
            <w:r w:rsidR="00C94FAA">
              <w:rPr>
                <w:noProof/>
                <w:webHidden/>
              </w:rPr>
              <w:tab/>
            </w:r>
            <w:r w:rsidR="00C94FAA">
              <w:rPr>
                <w:noProof/>
                <w:webHidden/>
              </w:rPr>
              <w:fldChar w:fldCharType="begin"/>
            </w:r>
            <w:r w:rsidR="00C94FAA">
              <w:rPr>
                <w:noProof/>
                <w:webHidden/>
              </w:rPr>
              <w:instrText xml:space="preserve"> PAGEREF _Toc28951617 \h </w:instrText>
            </w:r>
            <w:r w:rsidR="00C94FAA">
              <w:rPr>
                <w:noProof/>
                <w:webHidden/>
              </w:rPr>
            </w:r>
            <w:r w:rsidR="00C94FAA">
              <w:rPr>
                <w:noProof/>
                <w:webHidden/>
              </w:rPr>
              <w:fldChar w:fldCharType="separate"/>
            </w:r>
            <w:r w:rsidR="00C94FAA">
              <w:rPr>
                <w:noProof/>
                <w:webHidden/>
              </w:rPr>
              <w:t>89</w:t>
            </w:r>
            <w:r w:rsidR="00C94FAA">
              <w:rPr>
                <w:noProof/>
                <w:webHidden/>
              </w:rPr>
              <w:fldChar w:fldCharType="end"/>
            </w:r>
          </w:hyperlink>
        </w:p>
        <w:p w14:paraId="179B7571" w14:textId="77777777" w:rsidR="00C94FAA" w:rsidRDefault="001061E2">
          <w:pPr>
            <w:pStyle w:val="Obsah3"/>
            <w:rPr>
              <w:rFonts w:asciiTheme="minorHAnsi" w:eastAsiaTheme="minorEastAsia" w:hAnsiTheme="minorHAnsi" w:cstheme="minorBidi"/>
              <w:szCs w:val="22"/>
            </w:rPr>
          </w:pPr>
          <w:hyperlink w:anchor="_Toc28951618" w:history="1">
            <w:r w:rsidR="00C94FAA" w:rsidRPr="001D46A0">
              <w:rPr>
                <w:rStyle w:val="Hypertextovprepojenie"/>
              </w:rPr>
              <w:t>2.6.1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_Toc28951618 \h </w:instrText>
            </w:r>
            <w:r w:rsidR="00C94FAA">
              <w:rPr>
                <w:webHidden/>
              </w:rPr>
            </w:r>
            <w:r w:rsidR="00C94FAA">
              <w:rPr>
                <w:webHidden/>
              </w:rPr>
              <w:fldChar w:fldCharType="separate"/>
            </w:r>
            <w:r w:rsidR="00C94FAA">
              <w:rPr>
                <w:webHidden/>
              </w:rPr>
              <w:t>89</w:t>
            </w:r>
            <w:r w:rsidR="00C94FAA">
              <w:rPr>
                <w:webHidden/>
              </w:rPr>
              <w:fldChar w:fldCharType="end"/>
            </w:r>
          </w:hyperlink>
        </w:p>
        <w:p w14:paraId="41F51B36" w14:textId="77777777" w:rsidR="00C94FAA" w:rsidRDefault="001061E2">
          <w:pPr>
            <w:pStyle w:val="Obsah3"/>
            <w:rPr>
              <w:rFonts w:asciiTheme="minorHAnsi" w:eastAsiaTheme="minorEastAsia" w:hAnsiTheme="minorHAnsi" w:cstheme="minorBidi"/>
              <w:szCs w:val="22"/>
            </w:rPr>
          </w:pPr>
          <w:hyperlink w:anchor="_Toc28951619" w:history="1">
            <w:r w:rsidR="00C94FAA" w:rsidRPr="001D46A0">
              <w:rPr>
                <w:rStyle w:val="Hypertextovprepojenie"/>
              </w:rPr>
              <w:t>2.6.2</w:t>
            </w:r>
            <w:r w:rsidR="00C94FAA">
              <w:rPr>
                <w:rFonts w:asciiTheme="minorHAnsi" w:eastAsiaTheme="minorEastAsia" w:hAnsiTheme="minorHAnsi" w:cstheme="minorBidi"/>
                <w:szCs w:val="22"/>
              </w:rPr>
              <w:tab/>
            </w:r>
            <w:r w:rsidR="00C94FAA" w:rsidRPr="001D46A0">
              <w:rPr>
                <w:rStyle w:val="Hypertextovprepojenie"/>
              </w:rPr>
              <w:t>INVESTIČNÁ PRIORITA 7a): Podpora multimodálneho jednotného európskeho dopravného priestoru pomocou investícií do TEN-T</w:t>
            </w:r>
            <w:r w:rsidR="00C94FAA">
              <w:rPr>
                <w:webHidden/>
              </w:rPr>
              <w:tab/>
            </w:r>
            <w:r w:rsidR="00C94FAA">
              <w:rPr>
                <w:webHidden/>
              </w:rPr>
              <w:fldChar w:fldCharType="begin"/>
            </w:r>
            <w:r w:rsidR="00C94FAA">
              <w:rPr>
                <w:webHidden/>
              </w:rPr>
              <w:instrText xml:space="preserve"> PAGEREF _Toc28951619 \h </w:instrText>
            </w:r>
            <w:r w:rsidR="00C94FAA">
              <w:rPr>
                <w:webHidden/>
              </w:rPr>
            </w:r>
            <w:r w:rsidR="00C94FAA">
              <w:rPr>
                <w:webHidden/>
              </w:rPr>
              <w:fldChar w:fldCharType="separate"/>
            </w:r>
            <w:r w:rsidR="00C94FAA">
              <w:rPr>
                <w:webHidden/>
              </w:rPr>
              <w:t>89</w:t>
            </w:r>
            <w:r w:rsidR="00C94FAA">
              <w:rPr>
                <w:webHidden/>
              </w:rPr>
              <w:fldChar w:fldCharType="end"/>
            </w:r>
          </w:hyperlink>
        </w:p>
        <w:p w14:paraId="7321B211" w14:textId="77777777" w:rsidR="00C94FAA" w:rsidRDefault="001061E2">
          <w:pPr>
            <w:pStyle w:val="Obsah3"/>
            <w:rPr>
              <w:rFonts w:asciiTheme="minorHAnsi" w:eastAsiaTheme="minorEastAsia" w:hAnsiTheme="minorHAnsi" w:cstheme="minorBidi"/>
              <w:szCs w:val="22"/>
            </w:rPr>
          </w:pPr>
          <w:hyperlink w:anchor="_Toc28951620" w:history="1">
            <w:r w:rsidR="00C94FAA" w:rsidRPr="001D46A0">
              <w:rPr>
                <w:rStyle w:val="Hypertextovprepojenie"/>
              </w:rPr>
              <w:t>2.6.3</w:t>
            </w:r>
            <w:r w:rsidR="00C94FAA">
              <w:rPr>
                <w:rFonts w:asciiTheme="minorHAnsi" w:eastAsiaTheme="minorEastAsia" w:hAnsiTheme="minorHAnsi" w:cstheme="minorBidi"/>
                <w:szCs w:val="22"/>
              </w:rPr>
              <w:tab/>
            </w:r>
            <w:r w:rsidR="00C94FAA" w:rsidRPr="001D46A0">
              <w:rPr>
                <w:rStyle w:val="Hypertextovprepojenie"/>
              </w:rPr>
              <w:t>INVESTIČNÁ PRIORITA 7b): Posilnenie regionálnej mobility prepojením sekundárnych a terciárnych uzlov s infraštruktúrou TEN-T vrátane multimodálnych uzlov</w:t>
            </w:r>
            <w:r w:rsidR="00C94FAA">
              <w:rPr>
                <w:webHidden/>
              </w:rPr>
              <w:tab/>
            </w:r>
            <w:r w:rsidR="00C94FAA">
              <w:rPr>
                <w:webHidden/>
              </w:rPr>
              <w:fldChar w:fldCharType="begin"/>
            </w:r>
            <w:r w:rsidR="00C94FAA">
              <w:rPr>
                <w:webHidden/>
              </w:rPr>
              <w:instrText xml:space="preserve"> PAGEREF _Toc28951620 \h </w:instrText>
            </w:r>
            <w:r w:rsidR="00C94FAA">
              <w:rPr>
                <w:webHidden/>
              </w:rPr>
            </w:r>
            <w:r w:rsidR="00C94FAA">
              <w:rPr>
                <w:webHidden/>
              </w:rPr>
              <w:fldChar w:fldCharType="separate"/>
            </w:r>
            <w:r w:rsidR="00C94FAA">
              <w:rPr>
                <w:webHidden/>
              </w:rPr>
              <w:t>92</w:t>
            </w:r>
            <w:r w:rsidR="00C94FAA">
              <w:rPr>
                <w:webHidden/>
              </w:rPr>
              <w:fldChar w:fldCharType="end"/>
            </w:r>
          </w:hyperlink>
        </w:p>
        <w:p w14:paraId="6EB93301" w14:textId="77777777" w:rsidR="00C94FAA" w:rsidRDefault="001061E2">
          <w:pPr>
            <w:pStyle w:val="Obsah3"/>
            <w:rPr>
              <w:rFonts w:asciiTheme="minorHAnsi" w:eastAsiaTheme="minorEastAsia" w:hAnsiTheme="minorHAnsi" w:cstheme="minorBidi"/>
              <w:szCs w:val="22"/>
            </w:rPr>
          </w:pPr>
          <w:hyperlink w:anchor="_Toc28951621" w:history="1">
            <w:r w:rsidR="00C94FAA" w:rsidRPr="001D46A0">
              <w:rPr>
                <w:rStyle w:val="Hypertextovprepojenie"/>
              </w:rPr>
              <w:t>2.6.4</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_Toc28951621 \h </w:instrText>
            </w:r>
            <w:r w:rsidR="00C94FAA">
              <w:rPr>
                <w:webHidden/>
              </w:rPr>
            </w:r>
            <w:r w:rsidR="00C94FAA">
              <w:rPr>
                <w:webHidden/>
              </w:rPr>
              <w:fldChar w:fldCharType="separate"/>
            </w:r>
            <w:r w:rsidR="00C94FAA">
              <w:rPr>
                <w:webHidden/>
              </w:rPr>
              <w:t>98</w:t>
            </w:r>
            <w:r w:rsidR="00C94FAA">
              <w:rPr>
                <w:webHidden/>
              </w:rPr>
              <w:fldChar w:fldCharType="end"/>
            </w:r>
          </w:hyperlink>
        </w:p>
        <w:p w14:paraId="51E69EE1" w14:textId="77777777" w:rsidR="00C94FAA" w:rsidRDefault="001061E2">
          <w:pPr>
            <w:pStyle w:val="Obsah3"/>
            <w:rPr>
              <w:rFonts w:asciiTheme="minorHAnsi" w:eastAsiaTheme="minorEastAsia" w:hAnsiTheme="minorHAnsi" w:cstheme="minorBidi"/>
              <w:szCs w:val="22"/>
            </w:rPr>
          </w:pPr>
          <w:hyperlink w:anchor="_Toc28951622" w:history="1">
            <w:r w:rsidR="00C94FAA" w:rsidRPr="001D46A0">
              <w:rPr>
                <w:rStyle w:val="Hypertextovprepojenie"/>
              </w:rPr>
              <w:t>2.6.5</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_Toc28951622 \h </w:instrText>
            </w:r>
            <w:r w:rsidR="00C94FAA">
              <w:rPr>
                <w:webHidden/>
              </w:rPr>
            </w:r>
            <w:r w:rsidR="00C94FAA">
              <w:rPr>
                <w:webHidden/>
              </w:rPr>
              <w:fldChar w:fldCharType="separate"/>
            </w:r>
            <w:r w:rsidR="00C94FAA">
              <w:rPr>
                <w:webHidden/>
              </w:rPr>
              <w:t>98</w:t>
            </w:r>
            <w:r w:rsidR="00C94FAA">
              <w:rPr>
                <w:webHidden/>
              </w:rPr>
              <w:fldChar w:fldCharType="end"/>
            </w:r>
          </w:hyperlink>
        </w:p>
        <w:p w14:paraId="1769FEC6" w14:textId="77777777" w:rsidR="00C94FAA" w:rsidRDefault="001061E2">
          <w:pPr>
            <w:pStyle w:val="Obsah3"/>
            <w:rPr>
              <w:rFonts w:asciiTheme="minorHAnsi" w:eastAsiaTheme="minorEastAsia" w:hAnsiTheme="minorHAnsi" w:cstheme="minorBidi"/>
              <w:szCs w:val="22"/>
            </w:rPr>
          </w:pPr>
          <w:hyperlink w:anchor="_Toc28951623" w:history="1">
            <w:r w:rsidR="00C94FAA" w:rsidRPr="001D46A0">
              <w:rPr>
                <w:rStyle w:val="Hypertextovprepojenie"/>
              </w:rPr>
              <w:t>2.6.6</w:t>
            </w:r>
            <w:r w:rsidR="00C94FAA">
              <w:rPr>
                <w:rFonts w:asciiTheme="minorHAnsi" w:eastAsiaTheme="minorEastAsia" w:hAnsiTheme="minorHAnsi" w:cstheme="minorBidi"/>
                <w:szCs w:val="22"/>
              </w:rPr>
              <w:tab/>
            </w:r>
            <w:r w:rsidR="00C94FAA" w:rsidRPr="001D46A0">
              <w:rPr>
                <w:rStyle w:val="Hypertextovprepojenie"/>
              </w:rPr>
              <w:t>Súhrn plánovaného využitia technickej pomoci vrátane, ak je to vhodné, akcií na posilnenie administratívnej kapacity orgánov zapojených do riadenia a kontroly programu a prijímateľov (ak je to vhodné)</w:t>
            </w:r>
            <w:r w:rsidR="00C94FAA">
              <w:rPr>
                <w:webHidden/>
              </w:rPr>
              <w:tab/>
            </w:r>
            <w:r w:rsidR="00C94FAA">
              <w:rPr>
                <w:webHidden/>
              </w:rPr>
              <w:fldChar w:fldCharType="begin"/>
            </w:r>
            <w:r w:rsidR="00C94FAA">
              <w:rPr>
                <w:webHidden/>
              </w:rPr>
              <w:instrText xml:space="preserve"> PAGEREF _Toc28951623 \h </w:instrText>
            </w:r>
            <w:r w:rsidR="00C94FAA">
              <w:rPr>
                <w:webHidden/>
              </w:rPr>
            </w:r>
            <w:r w:rsidR="00C94FAA">
              <w:rPr>
                <w:webHidden/>
              </w:rPr>
              <w:fldChar w:fldCharType="separate"/>
            </w:r>
            <w:r w:rsidR="00C94FAA">
              <w:rPr>
                <w:webHidden/>
              </w:rPr>
              <w:t>99</w:t>
            </w:r>
            <w:r w:rsidR="00C94FAA">
              <w:rPr>
                <w:webHidden/>
              </w:rPr>
              <w:fldChar w:fldCharType="end"/>
            </w:r>
          </w:hyperlink>
        </w:p>
        <w:p w14:paraId="585FAE05" w14:textId="77777777" w:rsidR="00C94FAA" w:rsidRDefault="001061E2">
          <w:pPr>
            <w:pStyle w:val="Obsah2"/>
            <w:rPr>
              <w:rFonts w:asciiTheme="minorHAnsi" w:eastAsiaTheme="minorEastAsia" w:hAnsiTheme="minorHAnsi" w:cstheme="minorBidi"/>
              <w:b w:val="0"/>
              <w:bCs w:val="0"/>
              <w:noProof/>
              <w:sz w:val="22"/>
              <w:szCs w:val="22"/>
            </w:rPr>
          </w:pPr>
          <w:hyperlink w:anchor="_Toc28951624" w:history="1">
            <w:r w:rsidR="00C94FAA" w:rsidRPr="001D46A0">
              <w:rPr>
                <w:rStyle w:val="Hypertextovprepojenie"/>
                <w:noProof/>
              </w:rPr>
              <w:t>2.7</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7: INFORMAČNÁ SPOLOČNOSŤ</w:t>
            </w:r>
            <w:r w:rsidR="00C94FAA">
              <w:rPr>
                <w:noProof/>
                <w:webHidden/>
              </w:rPr>
              <w:tab/>
            </w:r>
            <w:r w:rsidR="00C94FAA">
              <w:rPr>
                <w:noProof/>
                <w:webHidden/>
              </w:rPr>
              <w:fldChar w:fldCharType="begin"/>
            </w:r>
            <w:r w:rsidR="00C94FAA">
              <w:rPr>
                <w:noProof/>
                <w:webHidden/>
              </w:rPr>
              <w:instrText xml:space="preserve"> PAGEREF _Toc28951624 \h </w:instrText>
            </w:r>
            <w:r w:rsidR="00C94FAA">
              <w:rPr>
                <w:noProof/>
                <w:webHidden/>
              </w:rPr>
            </w:r>
            <w:r w:rsidR="00C94FAA">
              <w:rPr>
                <w:noProof/>
                <w:webHidden/>
              </w:rPr>
              <w:fldChar w:fldCharType="separate"/>
            </w:r>
            <w:r w:rsidR="00C94FAA">
              <w:rPr>
                <w:noProof/>
                <w:webHidden/>
              </w:rPr>
              <w:t>100</w:t>
            </w:r>
            <w:r w:rsidR="00C94FAA">
              <w:rPr>
                <w:noProof/>
                <w:webHidden/>
              </w:rPr>
              <w:fldChar w:fldCharType="end"/>
            </w:r>
          </w:hyperlink>
        </w:p>
        <w:p w14:paraId="69A3E994" w14:textId="77777777" w:rsidR="00C94FAA" w:rsidRDefault="001061E2">
          <w:pPr>
            <w:pStyle w:val="Obsah3"/>
            <w:rPr>
              <w:rFonts w:asciiTheme="minorHAnsi" w:eastAsiaTheme="minorEastAsia" w:hAnsiTheme="minorHAnsi" w:cstheme="minorBidi"/>
              <w:szCs w:val="22"/>
            </w:rPr>
          </w:pPr>
          <w:hyperlink w:anchor="_Toc28951625" w:history="1">
            <w:r w:rsidR="00C94FAA" w:rsidRPr="001D46A0">
              <w:rPr>
                <w:rStyle w:val="Hypertextovprepojenie"/>
              </w:rPr>
              <w:t>2.7.1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_Toc28951625 \h </w:instrText>
            </w:r>
            <w:r w:rsidR="00C94FAA">
              <w:rPr>
                <w:webHidden/>
              </w:rPr>
            </w:r>
            <w:r w:rsidR="00C94FAA">
              <w:rPr>
                <w:webHidden/>
              </w:rPr>
              <w:fldChar w:fldCharType="separate"/>
            </w:r>
            <w:r w:rsidR="00C94FAA">
              <w:rPr>
                <w:webHidden/>
              </w:rPr>
              <w:t>100</w:t>
            </w:r>
            <w:r w:rsidR="00C94FAA">
              <w:rPr>
                <w:webHidden/>
              </w:rPr>
              <w:fldChar w:fldCharType="end"/>
            </w:r>
          </w:hyperlink>
        </w:p>
        <w:p w14:paraId="5044C4F5" w14:textId="77777777" w:rsidR="00C94FAA" w:rsidRDefault="001061E2">
          <w:pPr>
            <w:pStyle w:val="Obsah3"/>
            <w:rPr>
              <w:rFonts w:asciiTheme="minorHAnsi" w:eastAsiaTheme="minorEastAsia" w:hAnsiTheme="minorHAnsi" w:cstheme="minorBidi"/>
              <w:szCs w:val="22"/>
            </w:rPr>
          </w:pPr>
          <w:hyperlink w:anchor="_Toc28951626" w:history="1">
            <w:r w:rsidR="00C94FAA" w:rsidRPr="001D46A0">
              <w:rPr>
                <w:rStyle w:val="Hypertextovprepojenie"/>
              </w:rPr>
              <w:t>2.7.2</w:t>
            </w:r>
            <w:r w:rsidR="00C94FAA">
              <w:rPr>
                <w:rFonts w:asciiTheme="minorHAnsi" w:eastAsiaTheme="minorEastAsia" w:hAnsiTheme="minorHAnsi" w:cstheme="minorBidi"/>
                <w:szCs w:val="22"/>
              </w:rPr>
              <w:tab/>
            </w:r>
            <w:r w:rsidR="00C94FAA" w:rsidRPr="001D46A0">
              <w:rPr>
                <w:rStyle w:val="Hypertextovprepojenie"/>
              </w:rPr>
              <w:t>INVESTIČNÁ PRIORITA 2a): Rozšírenie širokopásmového pripojenia a zavádzanie vysokorýchlostných sietí a podpory zavádzania nastupujúcich technológií a sietí pre digitálne hospodárstvo</w:t>
            </w:r>
            <w:r w:rsidR="00C94FAA">
              <w:rPr>
                <w:webHidden/>
              </w:rPr>
              <w:tab/>
            </w:r>
            <w:r w:rsidR="00C94FAA">
              <w:rPr>
                <w:webHidden/>
              </w:rPr>
              <w:fldChar w:fldCharType="begin"/>
            </w:r>
            <w:r w:rsidR="00C94FAA">
              <w:rPr>
                <w:webHidden/>
              </w:rPr>
              <w:instrText xml:space="preserve"> PAGEREF _Toc28951626 \h </w:instrText>
            </w:r>
            <w:r w:rsidR="00C94FAA">
              <w:rPr>
                <w:webHidden/>
              </w:rPr>
            </w:r>
            <w:r w:rsidR="00C94FAA">
              <w:rPr>
                <w:webHidden/>
              </w:rPr>
              <w:fldChar w:fldCharType="separate"/>
            </w:r>
            <w:r w:rsidR="00C94FAA">
              <w:rPr>
                <w:webHidden/>
              </w:rPr>
              <w:t>100</w:t>
            </w:r>
            <w:r w:rsidR="00C94FAA">
              <w:rPr>
                <w:webHidden/>
              </w:rPr>
              <w:fldChar w:fldCharType="end"/>
            </w:r>
          </w:hyperlink>
        </w:p>
        <w:p w14:paraId="7944BDF2" w14:textId="77777777" w:rsidR="00C94FAA" w:rsidRDefault="001061E2">
          <w:pPr>
            <w:pStyle w:val="Obsah3"/>
            <w:rPr>
              <w:rFonts w:asciiTheme="minorHAnsi" w:eastAsiaTheme="minorEastAsia" w:hAnsiTheme="minorHAnsi" w:cstheme="minorBidi"/>
              <w:szCs w:val="22"/>
            </w:rPr>
          </w:pPr>
          <w:hyperlink w:anchor="_Toc28951627" w:history="1">
            <w:r w:rsidR="00C94FAA" w:rsidRPr="001D46A0">
              <w:rPr>
                <w:rStyle w:val="Hypertextovprepojenie"/>
              </w:rPr>
              <w:t>2.7.3</w:t>
            </w:r>
            <w:r w:rsidR="00C94FAA">
              <w:rPr>
                <w:rFonts w:asciiTheme="minorHAnsi" w:eastAsiaTheme="minorEastAsia" w:hAnsiTheme="minorHAnsi" w:cstheme="minorBidi"/>
                <w:szCs w:val="22"/>
              </w:rPr>
              <w:tab/>
            </w:r>
            <w:r w:rsidR="00C94FAA" w:rsidRPr="001D46A0">
              <w:rPr>
                <w:rStyle w:val="Hypertextovprepojenie"/>
              </w:rPr>
              <w:t>INVESTIČNÁ PRIORITA 2b): Vývoj produktov a služieb IKT, elektronického obchodu a posilnenia dopytu po IKT</w:t>
            </w:r>
            <w:r w:rsidR="00C94FAA">
              <w:rPr>
                <w:webHidden/>
              </w:rPr>
              <w:tab/>
            </w:r>
            <w:r w:rsidR="00C94FAA">
              <w:rPr>
                <w:webHidden/>
              </w:rPr>
              <w:fldChar w:fldCharType="begin"/>
            </w:r>
            <w:r w:rsidR="00C94FAA">
              <w:rPr>
                <w:webHidden/>
              </w:rPr>
              <w:instrText xml:space="preserve"> PAGEREF _Toc28951627 \h </w:instrText>
            </w:r>
            <w:r w:rsidR="00C94FAA">
              <w:rPr>
                <w:webHidden/>
              </w:rPr>
            </w:r>
            <w:r w:rsidR="00C94FAA">
              <w:rPr>
                <w:webHidden/>
              </w:rPr>
              <w:fldChar w:fldCharType="separate"/>
            </w:r>
            <w:r w:rsidR="00C94FAA">
              <w:rPr>
                <w:webHidden/>
              </w:rPr>
              <w:t>105</w:t>
            </w:r>
            <w:r w:rsidR="00C94FAA">
              <w:rPr>
                <w:webHidden/>
              </w:rPr>
              <w:fldChar w:fldCharType="end"/>
            </w:r>
          </w:hyperlink>
        </w:p>
        <w:p w14:paraId="5D37F00A" w14:textId="77777777" w:rsidR="00C94FAA" w:rsidRDefault="001061E2">
          <w:pPr>
            <w:pStyle w:val="Obsah3"/>
            <w:rPr>
              <w:rFonts w:asciiTheme="minorHAnsi" w:eastAsiaTheme="minorEastAsia" w:hAnsiTheme="minorHAnsi" w:cstheme="minorBidi"/>
              <w:szCs w:val="22"/>
            </w:rPr>
          </w:pPr>
          <w:hyperlink w:anchor="_Toc28951628" w:history="1">
            <w:r w:rsidR="00C94FAA" w:rsidRPr="001D46A0">
              <w:rPr>
                <w:rStyle w:val="Hypertextovprepojenie"/>
              </w:rPr>
              <w:t>2.7.4</w:t>
            </w:r>
            <w:r w:rsidR="00C94FAA">
              <w:rPr>
                <w:rFonts w:asciiTheme="minorHAnsi" w:eastAsiaTheme="minorEastAsia" w:hAnsiTheme="minorHAnsi" w:cstheme="minorBidi"/>
                <w:szCs w:val="22"/>
              </w:rPr>
              <w:tab/>
            </w:r>
            <w:r w:rsidR="00C94FAA" w:rsidRPr="001D46A0">
              <w:rPr>
                <w:rStyle w:val="Hypertextovprepojenie"/>
              </w:rPr>
              <w:t>INVESTIČNÁ PRIORITA 2c): Posilnenie aplikácií IKT v rámci elektronickej štátnej správy, elektronického vzdelávania, elektronickej inklúzie, elektronickej kultúry a elektronického zdravotníctva</w:t>
            </w:r>
            <w:r w:rsidR="00C94FAA">
              <w:rPr>
                <w:webHidden/>
              </w:rPr>
              <w:tab/>
            </w:r>
            <w:r w:rsidR="00C94FAA">
              <w:rPr>
                <w:webHidden/>
              </w:rPr>
              <w:fldChar w:fldCharType="begin"/>
            </w:r>
            <w:r w:rsidR="00C94FAA">
              <w:rPr>
                <w:webHidden/>
              </w:rPr>
              <w:instrText xml:space="preserve"> PAGEREF _Toc28951628 \h </w:instrText>
            </w:r>
            <w:r w:rsidR="00C94FAA">
              <w:rPr>
                <w:webHidden/>
              </w:rPr>
            </w:r>
            <w:r w:rsidR="00C94FAA">
              <w:rPr>
                <w:webHidden/>
              </w:rPr>
              <w:fldChar w:fldCharType="separate"/>
            </w:r>
            <w:r w:rsidR="00C94FAA">
              <w:rPr>
                <w:webHidden/>
              </w:rPr>
              <w:t>109</w:t>
            </w:r>
            <w:r w:rsidR="00C94FAA">
              <w:rPr>
                <w:webHidden/>
              </w:rPr>
              <w:fldChar w:fldCharType="end"/>
            </w:r>
          </w:hyperlink>
        </w:p>
        <w:p w14:paraId="460084AD" w14:textId="77777777" w:rsidR="00C94FAA" w:rsidRDefault="001061E2">
          <w:pPr>
            <w:pStyle w:val="Obsah3"/>
            <w:rPr>
              <w:rFonts w:asciiTheme="minorHAnsi" w:eastAsiaTheme="minorEastAsia" w:hAnsiTheme="minorHAnsi" w:cstheme="minorBidi"/>
              <w:szCs w:val="22"/>
            </w:rPr>
          </w:pPr>
          <w:hyperlink w:anchor="_Toc28951629" w:history="1">
            <w:r w:rsidR="00C94FAA" w:rsidRPr="001D46A0">
              <w:rPr>
                <w:rStyle w:val="Hypertextovprepojenie"/>
              </w:rPr>
              <w:t>2.7.5</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_Toc28951629 \h </w:instrText>
            </w:r>
            <w:r w:rsidR="00C94FAA">
              <w:rPr>
                <w:webHidden/>
              </w:rPr>
            </w:r>
            <w:r w:rsidR="00C94FAA">
              <w:rPr>
                <w:webHidden/>
              </w:rPr>
              <w:fldChar w:fldCharType="separate"/>
            </w:r>
            <w:r w:rsidR="00C94FAA">
              <w:rPr>
                <w:webHidden/>
              </w:rPr>
              <w:t>123</w:t>
            </w:r>
            <w:r w:rsidR="00C94FAA">
              <w:rPr>
                <w:webHidden/>
              </w:rPr>
              <w:fldChar w:fldCharType="end"/>
            </w:r>
          </w:hyperlink>
        </w:p>
        <w:p w14:paraId="1CEEC0E8" w14:textId="77777777" w:rsidR="00C94FAA" w:rsidRDefault="001061E2">
          <w:pPr>
            <w:pStyle w:val="Obsah3"/>
            <w:rPr>
              <w:rFonts w:asciiTheme="minorHAnsi" w:eastAsiaTheme="minorEastAsia" w:hAnsiTheme="minorHAnsi" w:cstheme="minorBidi"/>
              <w:szCs w:val="22"/>
            </w:rPr>
          </w:pPr>
          <w:hyperlink w:anchor="_Toc28951630" w:history="1">
            <w:r w:rsidR="00C94FAA" w:rsidRPr="001D46A0">
              <w:rPr>
                <w:rStyle w:val="Hypertextovprepojenie"/>
              </w:rPr>
              <w:t>2.7.6</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_Toc28951630 \h </w:instrText>
            </w:r>
            <w:r w:rsidR="00C94FAA">
              <w:rPr>
                <w:webHidden/>
              </w:rPr>
            </w:r>
            <w:r w:rsidR="00C94FAA">
              <w:rPr>
                <w:webHidden/>
              </w:rPr>
              <w:fldChar w:fldCharType="separate"/>
            </w:r>
            <w:r w:rsidR="00C94FAA">
              <w:rPr>
                <w:webHidden/>
              </w:rPr>
              <w:t>124</w:t>
            </w:r>
            <w:r w:rsidR="00C94FAA">
              <w:rPr>
                <w:webHidden/>
              </w:rPr>
              <w:fldChar w:fldCharType="end"/>
            </w:r>
          </w:hyperlink>
        </w:p>
        <w:p w14:paraId="0E6B58E1" w14:textId="77777777" w:rsidR="00C94FAA" w:rsidRDefault="001061E2">
          <w:pPr>
            <w:pStyle w:val="Obsah3"/>
            <w:rPr>
              <w:rFonts w:asciiTheme="minorHAnsi" w:eastAsiaTheme="minorEastAsia" w:hAnsiTheme="minorHAnsi" w:cstheme="minorBidi"/>
              <w:szCs w:val="22"/>
            </w:rPr>
          </w:pPr>
          <w:hyperlink w:anchor="_Toc28951631" w:history="1">
            <w:r w:rsidR="00C94FAA" w:rsidRPr="001D46A0">
              <w:rPr>
                <w:rStyle w:val="Hypertextovprepojenie"/>
              </w:rPr>
              <w:t>2.7.7</w:t>
            </w:r>
            <w:r w:rsidR="00C94FAA">
              <w:rPr>
                <w:rFonts w:asciiTheme="minorHAnsi" w:eastAsiaTheme="minorEastAsia" w:hAnsiTheme="minorHAnsi" w:cstheme="minorBidi"/>
                <w:szCs w:val="22"/>
              </w:rPr>
              <w:tab/>
            </w:r>
            <w:r w:rsidR="00C94FAA" w:rsidRPr="001D46A0">
              <w:rPr>
                <w:rStyle w:val="Hypertextovprepojenie"/>
              </w:rPr>
              <w:t>Súhrn plánovaného využitia technickej pomoci vrátane, ak je to vhodné, akcií na posilnenie administratívnej kapacity orgánov zapojených do riadenia a kontroly programu a prijímateľov (ak je to vhodné)</w:t>
            </w:r>
            <w:r w:rsidR="00C94FAA">
              <w:rPr>
                <w:webHidden/>
              </w:rPr>
              <w:tab/>
            </w:r>
            <w:r w:rsidR="00C94FAA">
              <w:rPr>
                <w:webHidden/>
              </w:rPr>
              <w:fldChar w:fldCharType="begin"/>
            </w:r>
            <w:r w:rsidR="00C94FAA">
              <w:rPr>
                <w:webHidden/>
              </w:rPr>
              <w:instrText xml:space="preserve"> PAGEREF _Toc28951631 \h </w:instrText>
            </w:r>
            <w:r w:rsidR="00C94FAA">
              <w:rPr>
                <w:webHidden/>
              </w:rPr>
            </w:r>
            <w:r w:rsidR="00C94FAA">
              <w:rPr>
                <w:webHidden/>
              </w:rPr>
              <w:fldChar w:fldCharType="separate"/>
            </w:r>
            <w:r w:rsidR="00C94FAA">
              <w:rPr>
                <w:webHidden/>
              </w:rPr>
              <w:t>125</w:t>
            </w:r>
            <w:r w:rsidR="00C94FAA">
              <w:rPr>
                <w:webHidden/>
              </w:rPr>
              <w:fldChar w:fldCharType="end"/>
            </w:r>
          </w:hyperlink>
        </w:p>
        <w:p w14:paraId="473D65FC" w14:textId="77777777" w:rsidR="00C94FAA" w:rsidRDefault="001061E2">
          <w:pPr>
            <w:pStyle w:val="Obsah2"/>
            <w:rPr>
              <w:rFonts w:asciiTheme="minorHAnsi" w:eastAsiaTheme="minorEastAsia" w:hAnsiTheme="minorHAnsi" w:cstheme="minorBidi"/>
              <w:b w:val="0"/>
              <w:bCs w:val="0"/>
              <w:noProof/>
              <w:sz w:val="22"/>
              <w:szCs w:val="22"/>
            </w:rPr>
          </w:pPr>
          <w:hyperlink w:anchor="_Toc28951632" w:history="1">
            <w:r w:rsidR="00C94FAA" w:rsidRPr="001D46A0">
              <w:rPr>
                <w:rStyle w:val="Hypertextovprepojenie"/>
                <w:noProof/>
              </w:rPr>
              <w:t>Popis prioritných osí pre technickú pomoc</w:t>
            </w:r>
            <w:r w:rsidR="00C94FAA">
              <w:rPr>
                <w:noProof/>
                <w:webHidden/>
              </w:rPr>
              <w:tab/>
            </w:r>
            <w:r w:rsidR="00C94FAA">
              <w:rPr>
                <w:noProof/>
                <w:webHidden/>
              </w:rPr>
              <w:fldChar w:fldCharType="begin"/>
            </w:r>
            <w:r w:rsidR="00C94FAA">
              <w:rPr>
                <w:noProof/>
                <w:webHidden/>
              </w:rPr>
              <w:instrText xml:space="preserve"> PAGEREF _Toc28951632 \h </w:instrText>
            </w:r>
            <w:r w:rsidR="00C94FAA">
              <w:rPr>
                <w:noProof/>
                <w:webHidden/>
              </w:rPr>
            </w:r>
            <w:r w:rsidR="00C94FAA">
              <w:rPr>
                <w:noProof/>
                <w:webHidden/>
              </w:rPr>
              <w:fldChar w:fldCharType="separate"/>
            </w:r>
            <w:r w:rsidR="00C94FAA">
              <w:rPr>
                <w:noProof/>
                <w:webHidden/>
              </w:rPr>
              <w:t>126</w:t>
            </w:r>
            <w:r w:rsidR="00C94FAA">
              <w:rPr>
                <w:noProof/>
                <w:webHidden/>
              </w:rPr>
              <w:fldChar w:fldCharType="end"/>
            </w:r>
          </w:hyperlink>
        </w:p>
        <w:p w14:paraId="197E61DF" w14:textId="77777777" w:rsidR="00C94FAA" w:rsidRDefault="001061E2">
          <w:pPr>
            <w:pStyle w:val="Obsah2"/>
            <w:rPr>
              <w:rFonts w:asciiTheme="minorHAnsi" w:eastAsiaTheme="minorEastAsia" w:hAnsiTheme="minorHAnsi" w:cstheme="minorBidi"/>
              <w:b w:val="0"/>
              <w:bCs w:val="0"/>
              <w:noProof/>
              <w:sz w:val="22"/>
              <w:szCs w:val="22"/>
            </w:rPr>
          </w:pPr>
          <w:hyperlink w:anchor="_Toc28951633" w:history="1">
            <w:r w:rsidR="00C94FAA" w:rsidRPr="001D46A0">
              <w:rPr>
                <w:rStyle w:val="Hypertextovprepojenie"/>
                <w:noProof/>
              </w:rPr>
              <w:t>2.8</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8 – Technická pomoc</w:t>
            </w:r>
            <w:r w:rsidR="00C94FAA">
              <w:rPr>
                <w:noProof/>
                <w:webHidden/>
              </w:rPr>
              <w:tab/>
            </w:r>
            <w:r w:rsidR="00C94FAA">
              <w:rPr>
                <w:noProof/>
                <w:webHidden/>
              </w:rPr>
              <w:fldChar w:fldCharType="begin"/>
            </w:r>
            <w:r w:rsidR="00C94FAA">
              <w:rPr>
                <w:noProof/>
                <w:webHidden/>
              </w:rPr>
              <w:instrText xml:space="preserve"> PAGEREF _Toc28951633 \h </w:instrText>
            </w:r>
            <w:r w:rsidR="00C94FAA">
              <w:rPr>
                <w:noProof/>
                <w:webHidden/>
              </w:rPr>
            </w:r>
            <w:r w:rsidR="00C94FAA">
              <w:rPr>
                <w:noProof/>
                <w:webHidden/>
              </w:rPr>
              <w:fldChar w:fldCharType="separate"/>
            </w:r>
            <w:r w:rsidR="00C94FAA">
              <w:rPr>
                <w:noProof/>
                <w:webHidden/>
              </w:rPr>
              <w:t>126</w:t>
            </w:r>
            <w:r w:rsidR="00C94FAA">
              <w:rPr>
                <w:noProof/>
                <w:webHidden/>
              </w:rPr>
              <w:fldChar w:fldCharType="end"/>
            </w:r>
          </w:hyperlink>
        </w:p>
        <w:p w14:paraId="207D5C04" w14:textId="77777777" w:rsidR="00C94FAA" w:rsidRDefault="001061E2">
          <w:pPr>
            <w:pStyle w:val="Obsah3"/>
            <w:rPr>
              <w:rFonts w:asciiTheme="minorHAnsi" w:eastAsiaTheme="minorEastAsia" w:hAnsiTheme="minorHAnsi" w:cstheme="minorBidi"/>
              <w:szCs w:val="22"/>
            </w:rPr>
          </w:pPr>
          <w:hyperlink w:anchor="_Toc28951634" w:history="1">
            <w:r w:rsidR="00C94FAA" w:rsidRPr="001D46A0">
              <w:rPr>
                <w:rStyle w:val="Hypertextovprepojenie"/>
              </w:rPr>
              <w:t>2.8.1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_Toc28951634 \h </w:instrText>
            </w:r>
            <w:r w:rsidR="00C94FAA">
              <w:rPr>
                <w:webHidden/>
              </w:rPr>
            </w:r>
            <w:r w:rsidR="00C94FAA">
              <w:rPr>
                <w:webHidden/>
              </w:rPr>
              <w:fldChar w:fldCharType="separate"/>
            </w:r>
            <w:r w:rsidR="00C94FAA">
              <w:rPr>
                <w:webHidden/>
              </w:rPr>
              <w:t>126</w:t>
            </w:r>
            <w:r w:rsidR="00C94FAA">
              <w:rPr>
                <w:webHidden/>
              </w:rPr>
              <w:fldChar w:fldCharType="end"/>
            </w:r>
          </w:hyperlink>
        </w:p>
        <w:p w14:paraId="043FBB2E" w14:textId="77777777" w:rsidR="00C94FAA" w:rsidRDefault="001061E2">
          <w:pPr>
            <w:pStyle w:val="Obsah3"/>
            <w:rPr>
              <w:rFonts w:asciiTheme="minorHAnsi" w:eastAsiaTheme="minorEastAsia" w:hAnsiTheme="minorHAnsi" w:cstheme="minorBidi"/>
              <w:szCs w:val="22"/>
            </w:rPr>
          </w:pPr>
          <w:hyperlink w:anchor="_Toc28951635" w:history="1">
            <w:r w:rsidR="00C94FAA" w:rsidRPr="001D46A0">
              <w:rPr>
                <w:rStyle w:val="Hypertextovprepojenie"/>
              </w:rPr>
              <w:t>2.8.2</w:t>
            </w:r>
            <w:r w:rsidR="00C94FAA">
              <w:rPr>
                <w:rFonts w:asciiTheme="minorHAnsi" w:eastAsiaTheme="minorEastAsia" w:hAnsiTheme="minorHAnsi" w:cstheme="minorBidi"/>
                <w:szCs w:val="22"/>
              </w:rPr>
              <w:tab/>
            </w:r>
            <w:r w:rsidR="00C94FAA" w:rsidRPr="001D46A0">
              <w:rPr>
                <w:rStyle w:val="Hypertextovprepojenie"/>
              </w:rPr>
              <w:t>Špecifické ciele pre investičné priority a očakávané výsledky</w:t>
            </w:r>
            <w:r w:rsidR="00C94FAA">
              <w:rPr>
                <w:webHidden/>
              </w:rPr>
              <w:tab/>
            </w:r>
            <w:r w:rsidR="00C94FAA">
              <w:rPr>
                <w:webHidden/>
              </w:rPr>
              <w:fldChar w:fldCharType="begin"/>
            </w:r>
            <w:r w:rsidR="00C94FAA">
              <w:rPr>
                <w:webHidden/>
              </w:rPr>
              <w:instrText xml:space="preserve"> PAGEREF _Toc28951635 \h </w:instrText>
            </w:r>
            <w:r w:rsidR="00C94FAA">
              <w:rPr>
                <w:webHidden/>
              </w:rPr>
            </w:r>
            <w:r w:rsidR="00C94FAA">
              <w:rPr>
                <w:webHidden/>
              </w:rPr>
              <w:fldChar w:fldCharType="separate"/>
            </w:r>
            <w:r w:rsidR="00C94FAA">
              <w:rPr>
                <w:webHidden/>
              </w:rPr>
              <w:t>126</w:t>
            </w:r>
            <w:r w:rsidR="00C94FAA">
              <w:rPr>
                <w:webHidden/>
              </w:rPr>
              <w:fldChar w:fldCharType="end"/>
            </w:r>
          </w:hyperlink>
        </w:p>
        <w:p w14:paraId="1BFC9041" w14:textId="77777777" w:rsidR="00C94FAA" w:rsidRDefault="001061E2">
          <w:pPr>
            <w:pStyle w:val="Obsah3"/>
            <w:rPr>
              <w:rFonts w:asciiTheme="minorHAnsi" w:eastAsiaTheme="minorEastAsia" w:hAnsiTheme="minorHAnsi" w:cstheme="minorBidi"/>
              <w:szCs w:val="22"/>
            </w:rPr>
          </w:pPr>
          <w:hyperlink w:anchor="_Toc28951636" w:history="1">
            <w:r w:rsidR="00C94FAA" w:rsidRPr="001D46A0">
              <w:rPr>
                <w:rStyle w:val="Hypertextovprepojenie"/>
              </w:rPr>
              <w:t>2.8.3</w:t>
            </w:r>
            <w:r w:rsidR="00C94FAA">
              <w:rPr>
                <w:rFonts w:asciiTheme="minorHAnsi" w:eastAsiaTheme="minorEastAsia" w:hAnsiTheme="minorHAnsi" w:cstheme="minorBidi"/>
                <w:szCs w:val="22"/>
              </w:rPr>
              <w:tab/>
            </w:r>
            <w:r w:rsidR="00C94FAA" w:rsidRPr="001D46A0">
              <w:rPr>
                <w:rStyle w:val="Hypertextovprepojenie"/>
              </w:rPr>
              <w:t>Aktivity, ktoré budú podporené a ich očakávaný prínos k špecifickému cieľu</w:t>
            </w:r>
            <w:r w:rsidR="00C94FAA">
              <w:rPr>
                <w:webHidden/>
              </w:rPr>
              <w:tab/>
            </w:r>
            <w:r w:rsidR="00C94FAA">
              <w:rPr>
                <w:webHidden/>
              </w:rPr>
              <w:fldChar w:fldCharType="begin"/>
            </w:r>
            <w:r w:rsidR="00C94FAA">
              <w:rPr>
                <w:webHidden/>
              </w:rPr>
              <w:instrText xml:space="preserve"> PAGEREF _Toc28951636 \h </w:instrText>
            </w:r>
            <w:r w:rsidR="00C94FAA">
              <w:rPr>
                <w:webHidden/>
              </w:rPr>
            </w:r>
            <w:r w:rsidR="00C94FAA">
              <w:rPr>
                <w:webHidden/>
              </w:rPr>
              <w:fldChar w:fldCharType="separate"/>
            </w:r>
            <w:r w:rsidR="00C94FAA">
              <w:rPr>
                <w:webHidden/>
              </w:rPr>
              <w:t>127</w:t>
            </w:r>
            <w:r w:rsidR="00C94FAA">
              <w:rPr>
                <w:webHidden/>
              </w:rPr>
              <w:fldChar w:fldCharType="end"/>
            </w:r>
          </w:hyperlink>
        </w:p>
        <w:p w14:paraId="4336DE76" w14:textId="77777777" w:rsidR="00C94FAA" w:rsidRDefault="001061E2">
          <w:pPr>
            <w:pStyle w:val="Obsah3"/>
            <w:rPr>
              <w:rFonts w:asciiTheme="minorHAnsi" w:eastAsiaTheme="minorEastAsia" w:hAnsiTheme="minorHAnsi" w:cstheme="minorBidi"/>
              <w:szCs w:val="22"/>
            </w:rPr>
          </w:pPr>
          <w:hyperlink w:anchor="_Toc28951637" w:history="1">
            <w:r w:rsidR="00C94FAA" w:rsidRPr="001D46A0">
              <w:rPr>
                <w:rStyle w:val="Hypertextovprepojenie"/>
              </w:rPr>
              <w:t>2.8.4</w:t>
            </w:r>
            <w:r w:rsidR="00C94FAA">
              <w:rPr>
                <w:rFonts w:asciiTheme="minorHAnsi" w:eastAsiaTheme="minorEastAsia" w:hAnsiTheme="minorHAnsi" w:cstheme="minorBidi"/>
                <w:szCs w:val="22"/>
              </w:rPr>
              <w:tab/>
            </w:r>
            <w:r w:rsidR="00C94FAA" w:rsidRPr="001D46A0">
              <w:rPr>
                <w:rStyle w:val="Hypertextovprepojenie"/>
              </w:rPr>
              <w:t>Aktivity, ktoré budú podporené a ich očakávaný prínos k špecifickému cieľu</w:t>
            </w:r>
            <w:r w:rsidR="00C94FAA">
              <w:rPr>
                <w:webHidden/>
              </w:rPr>
              <w:tab/>
            </w:r>
            <w:r w:rsidR="00C94FAA">
              <w:rPr>
                <w:webHidden/>
              </w:rPr>
              <w:fldChar w:fldCharType="begin"/>
            </w:r>
            <w:r w:rsidR="00C94FAA">
              <w:rPr>
                <w:webHidden/>
              </w:rPr>
              <w:instrText xml:space="preserve"> PAGEREF _Toc28951637 \h </w:instrText>
            </w:r>
            <w:r w:rsidR="00C94FAA">
              <w:rPr>
                <w:webHidden/>
              </w:rPr>
            </w:r>
            <w:r w:rsidR="00C94FAA">
              <w:rPr>
                <w:webHidden/>
              </w:rPr>
              <w:fldChar w:fldCharType="separate"/>
            </w:r>
            <w:r w:rsidR="00C94FAA">
              <w:rPr>
                <w:webHidden/>
              </w:rPr>
              <w:t>128</w:t>
            </w:r>
            <w:r w:rsidR="00C94FAA">
              <w:rPr>
                <w:webHidden/>
              </w:rPr>
              <w:fldChar w:fldCharType="end"/>
            </w:r>
          </w:hyperlink>
        </w:p>
        <w:p w14:paraId="2B012E55" w14:textId="77777777" w:rsidR="00C94FAA" w:rsidRDefault="001061E2">
          <w:pPr>
            <w:pStyle w:val="Obsah3"/>
            <w:rPr>
              <w:rFonts w:asciiTheme="minorHAnsi" w:eastAsiaTheme="minorEastAsia" w:hAnsiTheme="minorHAnsi" w:cstheme="minorBidi"/>
              <w:szCs w:val="22"/>
            </w:rPr>
          </w:pPr>
          <w:hyperlink w:anchor="_Toc28951638" w:history="1">
            <w:r w:rsidR="00C94FAA" w:rsidRPr="001D46A0">
              <w:rPr>
                <w:rStyle w:val="Hypertextovprepojenie"/>
              </w:rPr>
              <w:t>2.8.5</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_Toc28951638 \h </w:instrText>
            </w:r>
            <w:r w:rsidR="00C94FAA">
              <w:rPr>
                <w:webHidden/>
              </w:rPr>
            </w:r>
            <w:r w:rsidR="00C94FAA">
              <w:rPr>
                <w:webHidden/>
              </w:rPr>
              <w:fldChar w:fldCharType="separate"/>
            </w:r>
            <w:r w:rsidR="00C94FAA">
              <w:rPr>
                <w:webHidden/>
              </w:rPr>
              <w:t>129</w:t>
            </w:r>
            <w:r w:rsidR="00C94FAA">
              <w:rPr>
                <w:webHidden/>
              </w:rPr>
              <w:fldChar w:fldCharType="end"/>
            </w:r>
          </w:hyperlink>
        </w:p>
        <w:p w14:paraId="675B4812" w14:textId="77777777" w:rsidR="00C94FAA" w:rsidRDefault="001061E2">
          <w:pPr>
            <w:pStyle w:val="Obsah2"/>
            <w:rPr>
              <w:rFonts w:asciiTheme="minorHAnsi" w:eastAsiaTheme="minorEastAsia" w:hAnsiTheme="minorHAnsi" w:cstheme="minorBidi"/>
              <w:b w:val="0"/>
              <w:bCs w:val="0"/>
              <w:noProof/>
              <w:sz w:val="22"/>
              <w:szCs w:val="22"/>
            </w:rPr>
          </w:pPr>
          <w:hyperlink w:anchor="_Toc28951639" w:history="1">
            <w:r w:rsidR="00C94FAA" w:rsidRPr="001D46A0">
              <w:rPr>
                <w:rStyle w:val="Hypertextovprepojenie"/>
                <w:noProof/>
              </w:rPr>
              <w:t>Popis prioritných osí okrem technickej pomoci</w:t>
            </w:r>
            <w:r w:rsidR="00C94FAA">
              <w:rPr>
                <w:noProof/>
                <w:webHidden/>
              </w:rPr>
              <w:tab/>
            </w:r>
            <w:r w:rsidR="00C94FAA">
              <w:rPr>
                <w:noProof/>
                <w:webHidden/>
              </w:rPr>
              <w:fldChar w:fldCharType="begin"/>
            </w:r>
            <w:r w:rsidR="00C94FAA">
              <w:rPr>
                <w:noProof/>
                <w:webHidden/>
              </w:rPr>
              <w:instrText xml:space="preserve"> PAGEREF _Toc28951639 \h </w:instrText>
            </w:r>
            <w:r w:rsidR="00C94FAA">
              <w:rPr>
                <w:noProof/>
                <w:webHidden/>
              </w:rPr>
            </w:r>
            <w:r w:rsidR="00C94FAA">
              <w:rPr>
                <w:noProof/>
                <w:webHidden/>
              </w:rPr>
              <w:fldChar w:fldCharType="separate"/>
            </w:r>
            <w:r w:rsidR="00C94FAA">
              <w:rPr>
                <w:noProof/>
                <w:webHidden/>
              </w:rPr>
              <w:t>131</w:t>
            </w:r>
            <w:r w:rsidR="00C94FAA">
              <w:rPr>
                <w:noProof/>
                <w:webHidden/>
              </w:rPr>
              <w:fldChar w:fldCharType="end"/>
            </w:r>
          </w:hyperlink>
        </w:p>
        <w:p w14:paraId="33E8C889" w14:textId="77777777" w:rsidR="00C94FAA" w:rsidRDefault="001061E2">
          <w:pPr>
            <w:pStyle w:val="Obsah2"/>
            <w:rPr>
              <w:rFonts w:asciiTheme="minorHAnsi" w:eastAsiaTheme="minorEastAsia" w:hAnsiTheme="minorHAnsi" w:cstheme="minorBidi"/>
              <w:b w:val="0"/>
              <w:bCs w:val="0"/>
              <w:noProof/>
              <w:sz w:val="22"/>
              <w:szCs w:val="22"/>
            </w:rPr>
          </w:pPr>
          <w:hyperlink w:anchor="_Toc28951640" w:history="1">
            <w:r w:rsidR="00C94FAA" w:rsidRPr="001D46A0">
              <w:rPr>
                <w:rStyle w:val="Hypertextovprepojenie"/>
                <w:noProof/>
              </w:rPr>
              <w:t>2.9</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9: PODPORA VÝSKUMU, VÝVOJA A INOVÁCIÍ</w:t>
            </w:r>
            <w:r w:rsidR="00C94FAA">
              <w:rPr>
                <w:noProof/>
                <w:webHidden/>
              </w:rPr>
              <w:tab/>
            </w:r>
            <w:r w:rsidR="00C94FAA">
              <w:rPr>
                <w:noProof/>
                <w:webHidden/>
              </w:rPr>
              <w:fldChar w:fldCharType="begin"/>
            </w:r>
            <w:r w:rsidR="00C94FAA">
              <w:rPr>
                <w:noProof/>
                <w:webHidden/>
              </w:rPr>
              <w:instrText xml:space="preserve"> PAGEREF _Toc28951640 \h </w:instrText>
            </w:r>
            <w:r w:rsidR="00C94FAA">
              <w:rPr>
                <w:noProof/>
                <w:webHidden/>
              </w:rPr>
            </w:r>
            <w:r w:rsidR="00C94FAA">
              <w:rPr>
                <w:noProof/>
                <w:webHidden/>
              </w:rPr>
              <w:fldChar w:fldCharType="separate"/>
            </w:r>
            <w:r w:rsidR="00C94FAA">
              <w:rPr>
                <w:noProof/>
                <w:webHidden/>
              </w:rPr>
              <w:t>131</w:t>
            </w:r>
            <w:r w:rsidR="00C94FAA">
              <w:rPr>
                <w:noProof/>
                <w:webHidden/>
              </w:rPr>
              <w:fldChar w:fldCharType="end"/>
            </w:r>
          </w:hyperlink>
        </w:p>
        <w:p w14:paraId="0461FC20" w14:textId="77777777" w:rsidR="00C94FAA" w:rsidRDefault="001061E2">
          <w:pPr>
            <w:pStyle w:val="Obsah3"/>
            <w:rPr>
              <w:rFonts w:asciiTheme="minorHAnsi" w:eastAsiaTheme="minorEastAsia" w:hAnsiTheme="minorHAnsi" w:cstheme="minorBidi"/>
              <w:szCs w:val="22"/>
            </w:rPr>
          </w:pPr>
          <w:hyperlink w:anchor="_Toc28951641" w:history="1">
            <w:r w:rsidR="00C94FAA" w:rsidRPr="001D46A0">
              <w:rPr>
                <w:rStyle w:val="Hypertextovprepojenie"/>
              </w:rPr>
              <w:t>2.9.1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_Toc28951641 \h </w:instrText>
            </w:r>
            <w:r w:rsidR="00C94FAA">
              <w:rPr>
                <w:webHidden/>
              </w:rPr>
            </w:r>
            <w:r w:rsidR="00C94FAA">
              <w:rPr>
                <w:webHidden/>
              </w:rPr>
              <w:fldChar w:fldCharType="separate"/>
            </w:r>
            <w:r w:rsidR="00C94FAA">
              <w:rPr>
                <w:webHidden/>
              </w:rPr>
              <w:t>131</w:t>
            </w:r>
            <w:r w:rsidR="00C94FAA">
              <w:rPr>
                <w:webHidden/>
              </w:rPr>
              <w:fldChar w:fldCharType="end"/>
            </w:r>
          </w:hyperlink>
        </w:p>
        <w:p w14:paraId="3E120E9F" w14:textId="77777777" w:rsidR="00C94FAA" w:rsidRDefault="001061E2">
          <w:pPr>
            <w:pStyle w:val="Obsah3"/>
            <w:rPr>
              <w:rFonts w:asciiTheme="minorHAnsi" w:eastAsiaTheme="minorEastAsia" w:hAnsiTheme="minorHAnsi" w:cstheme="minorBidi"/>
              <w:szCs w:val="22"/>
            </w:rPr>
          </w:pPr>
          <w:hyperlink w:anchor="_Toc28951642" w:history="1">
            <w:r w:rsidR="00C94FAA" w:rsidRPr="001D46A0">
              <w:rPr>
                <w:rStyle w:val="Hypertextovprepojenie"/>
              </w:rPr>
              <w:t>2.9.2</w:t>
            </w:r>
            <w:r w:rsidR="00C94FAA">
              <w:rPr>
                <w:rFonts w:asciiTheme="minorHAnsi" w:eastAsiaTheme="minorEastAsia" w:hAnsiTheme="minorHAnsi" w:cstheme="minorBidi"/>
                <w:szCs w:val="22"/>
              </w:rPr>
              <w:tab/>
            </w:r>
            <w:r w:rsidR="00C94FAA" w:rsidRPr="001D46A0">
              <w:rPr>
                <w:rStyle w:val="Hypertextovprepojenie"/>
              </w:rPr>
              <w:t>INVESTIČNÁ PRIORITA 1a): Rozšírenie výskumnej a inovačnej infraštruktúry a kapacít na rozvoj excelentnosti v oblasti výskumu a inovácií a podpora kompetenčných centier, najmä takýchto centier európskeho záujmu</w:t>
            </w:r>
            <w:r w:rsidR="00C94FAA">
              <w:rPr>
                <w:webHidden/>
              </w:rPr>
              <w:tab/>
            </w:r>
            <w:r w:rsidR="00C94FAA">
              <w:rPr>
                <w:webHidden/>
              </w:rPr>
              <w:fldChar w:fldCharType="begin"/>
            </w:r>
            <w:r w:rsidR="00C94FAA">
              <w:rPr>
                <w:webHidden/>
              </w:rPr>
              <w:instrText xml:space="preserve"> PAGEREF _Toc28951642 \h </w:instrText>
            </w:r>
            <w:r w:rsidR="00C94FAA">
              <w:rPr>
                <w:webHidden/>
              </w:rPr>
            </w:r>
            <w:r w:rsidR="00C94FAA">
              <w:rPr>
                <w:webHidden/>
              </w:rPr>
              <w:fldChar w:fldCharType="separate"/>
            </w:r>
            <w:r w:rsidR="00C94FAA">
              <w:rPr>
                <w:webHidden/>
              </w:rPr>
              <w:t>131</w:t>
            </w:r>
            <w:r w:rsidR="00C94FAA">
              <w:rPr>
                <w:webHidden/>
              </w:rPr>
              <w:fldChar w:fldCharType="end"/>
            </w:r>
          </w:hyperlink>
        </w:p>
        <w:p w14:paraId="55C7D00A" w14:textId="77777777" w:rsidR="00C94FAA" w:rsidRDefault="001061E2">
          <w:pPr>
            <w:pStyle w:val="Obsah3"/>
            <w:rPr>
              <w:rFonts w:asciiTheme="minorHAnsi" w:eastAsiaTheme="minorEastAsia" w:hAnsiTheme="minorHAnsi" w:cstheme="minorBidi"/>
              <w:szCs w:val="22"/>
            </w:rPr>
          </w:pPr>
          <w:hyperlink w:anchor="_Toc28951643" w:history="1">
            <w:r w:rsidR="00C94FAA" w:rsidRPr="001D46A0">
              <w:rPr>
                <w:rStyle w:val="Hypertextovprepojenie"/>
              </w:rPr>
              <w:t>2.9.3</w:t>
            </w:r>
            <w:r w:rsidR="00C94FAA">
              <w:rPr>
                <w:rFonts w:asciiTheme="minorHAnsi" w:eastAsiaTheme="minorEastAsia" w:hAnsiTheme="minorHAnsi" w:cstheme="minorBidi"/>
                <w:szCs w:val="22"/>
              </w:rPr>
              <w:tab/>
            </w:r>
            <w:r w:rsidR="00C94FAA" w:rsidRPr="001D46A0">
              <w:rPr>
                <w:rStyle w:val="Hypertextovprepojenie"/>
              </w:rPr>
              <w:t>INVESTIČNÁ PRIORITA 1b): Podpora investovania podnikov do výskumu a inovácie a vytvárania prepojení a synergií medzi podnikmi, centrami výskumu a vývoja a vysokoškolským vzdelávacím prostredím, najmä podpory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opatrení skorého overovania výrobkov, rozšírených výrobných kapacít, prvej výroby, najmä v základných podporných technológiách, a šírenia technológií na všeobecný účel</w:t>
            </w:r>
            <w:r w:rsidR="00C94FAA">
              <w:rPr>
                <w:webHidden/>
              </w:rPr>
              <w:tab/>
            </w:r>
            <w:r w:rsidR="00C94FAA">
              <w:rPr>
                <w:webHidden/>
              </w:rPr>
              <w:fldChar w:fldCharType="begin"/>
            </w:r>
            <w:r w:rsidR="00C94FAA">
              <w:rPr>
                <w:webHidden/>
              </w:rPr>
              <w:instrText xml:space="preserve"> PAGEREF _Toc28951643 \h </w:instrText>
            </w:r>
            <w:r w:rsidR="00C94FAA">
              <w:rPr>
                <w:webHidden/>
              </w:rPr>
            </w:r>
            <w:r w:rsidR="00C94FAA">
              <w:rPr>
                <w:webHidden/>
              </w:rPr>
              <w:fldChar w:fldCharType="separate"/>
            </w:r>
            <w:r w:rsidR="00C94FAA">
              <w:rPr>
                <w:webHidden/>
              </w:rPr>
              <w:t>140</w:t>
            </w:r>
            <w:r w:rsidR="00C94FAA">
              <w:rPr>
                <w:webHidden/>
              </w:rPr>
              <w:fldChar w:fldCharType="end"/>
            </w:r>
          </w:hyperlink>
        </w:p>
        <w:p w14:paraId="6D84E726" w14:textId="77777777" w:rsidR="00C94FAA" w:rsidRDefault="001061E2">
          <w:pPr>
            <w:pStyle w:val="Obsah3"/>
            <w:rPr>
              <w:rFonts w:asciiTheme="minorHAnsi" w:eastAsiaTheme="minorEastAsia" w:hAnsiTheme="minorHAnsi" w:cstheme="minorBidi"/>
              <w:szCs w:val="22"/>
            </w:rPr>
          </w:pPr>
          <w:hyperlink w:anchor="_Toc28951644" w:history="1">
            <w:r w:rsidR="00C94FAA" w:rsidRPr="001D46A0">
              <w:rPr>
                <w:rStyle w:val="Hypertextovprepojenie"/>
              </w:rPr>
              <w:t>2.9.4</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_Toc28951644 \h </w:instrText>
            </w:r>
            <w:r w:rsidR="00C94FAA">
              <w:rPr>
                <w:webHidden/>
              </w:rPr>
            </w:r>
            <w:r w:rsidR="00C94FAA">
              <w:rPr>
                <w:webHidden/>
              </w:rPr>
              <w:fldChar w:fldCharType="separate"/>
            </w:r>
            <w:r w:rsidR="00C94FAA">
              <w:rPr>
                <w:webHidden/>
              </w:rPr>
              <w:t>148</w:t>
            </w:r>
            <w:r w:rsidR="00C94FAA">
              <w:rPr>
                <w:webHidden/>
              </w:rPr>
              <w:fldChar w:fldCharType="end"/>
            </w:r>
          </w:hyperlink>
        </w:p>
        <w:p w14:paraId="1EA47CA4" w14:textId="77777777" w:rsidR="00C94FAA" w:rsidRDefault="001061E2">
          <w:pPr>
            <w:pStyle w:val="Obsah3"/>
            <w:rPr>
              <w:rFonts w:asciiTheme="minorHAnsi" w:eastAsiaTheme="minorEastAsia" w:hAnsiTheme="minorHAnsi" w:cstheme="minorBidi"/>
              <w:szCs w:val="22"/>
            </w:rPr>
          </w:pPr>
          <w:hyperlink w:anchor="_Toc28951645" w:history="1">
            <w:r w:rsidR="00C94FAA" w:rsidRPr="001D46A0">
              <w:rPr>
                <w:rStyle w:val="Hypertextovprepojenie"/>
              </w:rPr>
              <w:t>2.9.5</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_Toc28951645 \h </w:instrText>
            </w:r>
            <w:r w:rsidR="00C94FAA">
              <w:rPr>
                <w:webHidden/>
              </w:rPr>
            </w:r>
            <w:r w:rsidR="00C94FAA">
              <w:rPr>
                <w:webHidden/>
              </w:rPr>
              <w:fldChar w:fldCharType="separate"/>
            </w:r>
            <w:r w:rsidR="00C94FAA">
              <w:rPr>
                <w:webHidden/>
              </w:rPr>
              <w:t>149</w:t>
            </w:r>
            <w:r w:rsidR="00C94FAA">
              <w:rPr>
                <w:webHidden/>
              </w:rPr>
              <w:fldChar w:fldCharType="end"/>
            </w:r>
          </w:hyperlink>
        </w:p>
        <w:p w14:paraId="274E5F58" w14:textId="77777777" w:rsidR="00C94FAA" w:rsidRDefault="001061E2">
          <w:pPr>
            <w:pStyle w:val="Obsah3"/>
            <w:rPr>
              <w:rFonts w:asciiTheme="minorHAnsi" w:eastAsiaTheme="minorEastAsia" w:hAnsiTheme="minorHAnsi" w:cstheme="minorBidi"/>
              <w:szCs w:val="22"/>
            </w:rPr>
          </w:pPr>
          <w:hyperlink w:anchor="_Toc28951646" w:history="1">
            <w:r w:rsidR="00C94FAA" w:rsidRPr="001D46A0">
              <w:rPr>
                <w:rStyle w:val="Hypertextovprepojenie"/>
              </w:rPr>
              <w:t>2.9.6</w:t>
            </w:r>
            <w:r w:rsidR="00C94FAA">
              <w:rPr>
                <w:rFonts w:asciiTheme="minorHAnsi" w:eastAsiaTheme="minorEastAsia" w:hAnsiTheme="minorHAnsi" w:cstheme="minorBidi"/>
                <w:szCs w:val="22"/>
              </w:rPr>
              <w:tab/>
            </w:r>
            <w:r w:rsidR="00C94FAA" w:rsidRPr="001D46A0">
              <w:rPr>
                <w:rStyle w:val="Hypertextovprepojenie"/>
              </w:rPr>
              <w:t>Prehľad o plánovanom použití technickej pomoci, vrátane aktivít na posilnenie administratívnej kapacity orgánov a prijímateľov prioritnej osi 9</w:t>
            </w:r>
            <w:r w:rsidR="00C94FAA">
              <w:rPr>
                <w:webHidden/>
              </w:rPr>
              <w:tab/>
            </w:r>
            <w:r w:rsidR="00C94FAA">
              <w:rPr>
                <w:webHidden/>
              </w:rPr>
              <w:fldChar w:fldCharType="begin"/>
            </w:r>
            <w:r w:rsidR="00C94FAA">
              <w:rPr>
                <w:webHidden/>
              </w:rPr>
              <w:instrText xml:space="preserve"> PAGEREF _Toc28951646 \h </w:instrText>
            </w:r>
            <w:r w:rsidR="00C94FAA">
              <w:rPr>
                <w:webHidden/>
              </w:rPr>
            </w:r>
            <w:r w:rsidR="00C94FAA">
              <w:rPr>
                <w:webHidden/>
              </w:rPr>
              <w:fldChar w:fldCharType="separate"/>
            </w:r>
            <w:r w:rsidR="00C94FAA">
              <w:rPr>
                <w:webHidden/>
              </w:rPr>
              <w:t>150</w:t>
            </w:r>
            <w:r w:rsidR="00C94FAA">
              <w:rPr>
                <w:webHidden/>
              </w:rPr>
              <w:fldChar w:fldCharType="end"/>
            </w:r>
          </w:hyperlink>
        </w:p>
        <w:p w14:paraId="04AC7C8D" w14:textId="77777777" w:rsidR="00C94FAA" w:rsidRDefault="001061E2">
          <w:pPr>
            <w:pStyle w:val="Obsah2"/>
            <w:rPr>
              <w:rFonts w:asciiTheme="minorHAnsi" w:eastAsiaTheme="minorEastAsia" w:hAnsiTheme="minorHAnsi" w:cstheme="minorBidi"/>
              <w:b w:val="0"/>
              <w:bCs w:val="0"/>
              <w:noProof/>
              <w:sz w:val="22"/>
              <w:szCs w:val="22"/>
            </w:rPr>
          </w:pPr>
          <w:hyperlink w:anchor="_Toc28951647" w:history="1">
            <w:r w:rsidR="00C94FAA" w:rsidRPr="001D46A0">
              <w:rPr>
                <w:rStyle w:val="Hypertextovprepojenie"/>
                <w:noProof/>
              </w:rPr>
              <w:t>2.10</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10: PODPORA VÝSKUMU, VÝVOJA A INOVÁCIÍ V BRATISLAVSKOM KRAJI</w:t>
            </w:r>
            <w:r w:rsidR="00C94FAA">
              <w:rPr>
                <w:noProof/>
                <w:webHidden/>
              </w:rPr>
              <w:tab/>
            </w:r>
            <w:r w:rsidR="00C94FAA">
              <w:rPr>
                <w:noProof/>
                <w:webHidden/>
              </w:rPr>
              <w:fldChar w:fldCharType="begin"/>
            </w:r>
            <w:r w:rsidR="00C94FAA">
              <w:rPr>
                <w:noProof/>
                <w:webHidden/>
              </w:rPr>
              <w:instrText xml:space="preserve"> PAGEREF _Toc28951647 \h </w:instrText>
            </w:r>
            <w:r w:rsidR="00C94FAA">
              <w:rPr>
                <w:noProof/>
                <w:webHidden/>
              </w:rPr>
            </w:r>
            <w:r w:rsidR="00C94FAA">
              <w:rPr>
                <w:noProof/>
                <w:webHidden/>
              </w:rPr>
              <w:fldChar w:fldCharType="separate"/>
            </w:r>
            <w:r w:rsidR="00C94FAA">
              <w:rPr>
                <w:noProof/>
                <w:webHidden/>
              </w:rPr>
              <w:t>151</w:t>
            </w:r>
            <w:r w:rsidR="00C94FAA">
              <w:rPr>
                <w:noProof/>
                <w:webHidden/>
              </w:rPr>
              <w:fldChar w:fldCharType="end"/>
            </w:r>
          </w:hyperlink>
        </w:p>
        <w:p w14:paraId="6832EEEF" w14:textId="77777777" w:rsidR="00C94FAA" w:rsidRDefault="001061E2">
          <w:pPr>
            <w:pStyle w:val="Obsah3"/>
            <w:rPr>
              <w:rFonts w:asciiTheme="minorHAnsi" w:eastAsiaTheme="minorEastAsia" w:hAnsiTheme="minorHAnsi" w:cstheme="minorBidi"/>
              <w:szCs w:val="22"/>
            </w:rPr>
          </w:pPr>
          <w:hyperlink w:anchor="_Toc28951648" w:history="1">
            <w:r w:rsidR="00C94FAA" w:rsidRPr="001D46A0">
              <w:rPr>
                <w:rStyle w:val="Hypertextovprepojenie"/>
              </w:rPr>
              <w:t>2.10.1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_Toc28951648 \h </w:instrText>
            </w:r>
            <w:r w:rsidR="00C94FAA">
              <w:rPr>
                <w:webHidden/>
              </w:rPr>
            </w:r>
            <w:r w:rsidR="00C94FAA">
              <w:rPr>
                <w:webHidden/>
              </w:rPr>
              <w:fldChar w:fldCharType="separate"/>
            </w:r>
            <w:r w:rsidR="00C94FAA">
              <w:rPr>
                <w:webHidden/>
              </w:rPr>
              <w:t>151</w:t>
            </w:r>
            <w:r w:rsidR="00C94FAA">
              <w:rPr>
                <w:webHidden/>
              </w:rPr>
              <w:fldChar w:fldCharType="end"/>
            </w:r>
          </w:hyperlink>
        </w:p>
        <w:p w14:paraId="05052C22" w14:textId="77777777" w:rsidR="00C94FAA" w:rsidRDefault="001061E2">
          <w:pPr>
            <w:pStyle w:val="Obsah3"/>
            <w:rPr>
              <w:rFonts w:asciiTheme="minorHAnsi" w:eastAsiaTheme="minorEastAsia" w:hAnsiTheme="minorHAnsi" w:cstheme="minorBidi"/>
              <w:szCs w:val="22"/>
            </w:rPr>
          </w:pPr>
          <w:hyperlink w:anchor="_Toc28951649" w:history="1">
            <w:r w:rsidR="00C94FAA" w:rsidRPr="001D46A0">
              <w:rPr>
                <w:rStyle w:val="Hypertextovprepojenie"/>
              </w:rPr>
              <w:t>2.10.2</w:t>
            </w:r>
            <w:r w:rsidR="00C94FAA">
              <w:rPr>
                <w:rFonts w:asciiTheme="minorHAnsi" w:eastAsiaTheme="minorEastAsia" w:hAnsiTheme="minorHAnsi" w:cstheme="minorBidi"/>
                <w:szCs w:val="22"/>
              </w:rPr>
              <w:tab/>
            </w:r>
            <w:r w:rsidR="00C94FAA" w:rsidRPr="001D46A0">
              <w:rPr>
                <w:rStyle w:val="Hypertextovprepojenie"/>
              </w:rPr>
              <w:t>INVESTIČNÁ PRIORITA 1a): Rozšírenie výskumnej a inovačnej infraštruktúry a kapacít na rozvoj excelentnosti v oblasti výskumu a inovácií a podpora kompetenčných centier, najmä takýchto centier európskeho záujmu</w:t>
            </w:r>
            <w:r w:rsidR="00C94FAA">
              <w:rPr>
                <w:webHidden/>
              </w:rPr>
              <w:tab/>
            </w:r>
            <w:r w:rsidR="00C94FAA">
              <w:rPr>
                <w:webHidden/>
              </w:rPr>
              <w:fldChar w:fldCharType="begin"/>
            </w:r>
            <w:r w:rsidR="00C94FAA">
              <w:rPr>
                <w:webHidden/>
              </w:rPr>
              <w:instrText xml:space="preserve"> PAGEREF _Toc28951649 \h </w:instrText>
            </w:r>
            <w:r w:rsidR="00C94FAA">
              <w:rPr>
                <w:webHidden/>
              </w:rPr>
            </w:r>
            <w:r w:rsidR="00C94FAA">
              <w:rPr>
                <w:webHidden/>
              </w:rPr>
              <w:fldChar w:fldCharType="separate"/>
            </w:r>
            <w:r w:rsidR="00C94FAA">
              <w:rPr>
                <w:webHidden/>
              </w:rPr>
              <w:t>151</w:t>
            </w:r>
            <w:r w:rsidR="00C94FAA">
              <w:rPr>
                <w:webHidden/>
              </w:rPr>
              <w:fldChar w:fldCharType="end"/>
            </w:r>
          </w:hyperlink>
        </w:p>
        <w:p w14:paraId="327AB7A5" w14:textId="77777777" w:rsidR="00C94FAA" w:rsidRDefault="001061E2">
          <w:pPr>
            <w:pStyle w:val="Obsah3"/>
            <w:rPr>
              <w:rFonts w:asciiTheme="minorHAnsi" w:eastAsiaTheme="minorEastAsia" w:hAnsiTheme="minorHAnsi" w:cstheme="minorBidi"/>
              <w:szCs w:val="22"/>
            </w:rPr>
          </w:pPr>
          <w:hyperlink w:anchor="_Toc28951650" w:history="1">
            <w:r w:rsidR="00C94FAA" w:rsidRPr="001D46A0">
              <w:rPr>
                <w:rStyle w:val="Hypertextovprepojenie"/>
              </w:rPr>
              <w:t>2.10.3</w:t>
            </w:r>
            <w:r w:rsidR="00C94FAA">
              <w:rPr>
                <w:rFonts w:asciiTheme="minorHAnsi" w:eastAsiaTheme="minorEastAsia" w:hAnsiTheme="minorHAnsi" w:cstheme="minorBidi"/>
                <w:szCs w:val="22"/>
              </w:rPr>
              <w:tab/>
            </w:r>
            <w:r w:rsidR="00C94FAA" w:rsidRPr="001D46A0">
              <w:rPr>
                <w:rStyle w:val="Hypertextovprepojenie"/>
              </w:rPr>
              <w:t>INVESTIČNÁ PRIORITA 1b): Podpora investovania podnikov do výskumu a inovácie a vytvárania prepojení a synergií medzi podnikmi, centrami výskumu a vývoja a vysokoškolským vzdelávacím prostredím, najmä podpory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opatrení skorého overovania výrobkov, rozšírených výrobných kapacít, prvej výroby, najmä v základných podporných technológiách, a šírenia technológií na všeobecný účel</w:t>
            </w:r>
            <w:r w:rsidR="00C94FAA">
              <w:rPr>
                <w:webHidden/>
              </w:rPr>
              <w:tab/>
            </w:r>
            <w:r w:rsidR="00C94FAA">
              <w:rPr>
                <w:webHidden/>
              </w:rPr>
              <w:fldChar w:fldCharType="begin"/>
            </w:r>
            <w:r w:rsidR="00C94FAA">
              <w:rPr>
                <w:webHidden/>
              </w:rPr>
              <w:instrText xml:space="preserve"> PAGEREF _Toc28951650 \h </w:instrText>
            </w:r>
            <w:r w:rsidR="00C94FAA">
              <w:rPr>
                <w:webHidden/>
              </w:rPr>
            </w:r>
            <w:r w:rsidR="00C94FAA">
              <w:rPr>
                <w:webHidden/>
              </w:rPr>
              <w:fldChar w:fldCharType="separate"/>
            </w:r>
            <w:r w:rsidR="00C94FAA">
              <w:rPr>
                <w:webHidden/>
              </w:rPr>
              <w:t>155</w:t>
            </w:r>
            <w:r w:rsidR="00C94FAA">
              <w:rPr>
                <w:webHidden/>
              </w:rPr>
              <w:fldChar w:fldCharType="end"/>
            </w:r>
          </w:hyperlink>
        </w:p>
        <w:p w14:paraId="28E3FDA0" w14:textId="77777777" w:rsidR="00C94FAA" w:rsidRDefault="001061E2">
          <w:pPr>
            <w:pStyle w:val="Obsah3"/>
            <w:rPr>
              <w:rFonts w:asciiTheme="minorHAnsi" w:eastAsiaTheme="minorEastAsia" w:hAnsiTheme="minorHAnsi" w:cstheme="minorBidi"/>
              <w:szCs w:val="22"/>
            </w:rPr>
          </w:pPr>
          <w:hyperlink w:anchor="_Toc28951651" w:history="1">
            <w:r w:rsidR="00C94FAA" w:rsidRPr="001D46A0">
              <w:rPr>
                <w:rStyle w:val="Hypertextovprepojenie"/>
              </w:rPr>
              <w:t>2.10.4</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_Toc28951651 \h </w:instrText>
            </w:r>
            <w:r w:rsidR="00C94FAA">
              <w:rPr>
                <w:webHidden/>
              </w:rPr>
            </w:r>
            <w:r w:rsidR="00C94FAA">
              <w:rPr>
                <w:webHidden/>
              </w:rPr>
              <w:fldChar w:fldCharType="separate"/>
            </w:r>
            <w:r w:rsidR="00C94FAA">
              <w:rPr>
                <w:webHidden/>
              </w:rPr>
              <w:t>160</w:t>
            </w:r>
            <w:r w:rsidR="00C94FAA">
              <w:rPr>
                <w:webHidden/>
              </w:rPr>
              <w:fldChar w:fldCharType="end"/>
            </w:r>
          </w:hyperlink>
        </w:p>
        <w:p w14:paraId="4D859DF1" w14:textId="77777777" w:rsidR="00C94FAA" w:rsidRDefault="001061E2">
          <w:pPr>
            <w:pStyle w:val="Obsah3"/>
            <w:rPr>
              <w:rFonts w:asciiTheme="minorHAnsi" w:eastAsiaTheme="minorEastAsia" w:hAnsiTheme="minorHAnsi" w:cstheme="minorBidi"/>
              <w:szCs w:val="22"/>
            </w:rPr>
          </w:pPr>
          <w:hyperlink w:anchor="_Toc28951652" w:history="1">
            <w:r w:rsidR="00C94FAA" w:rsidRPr="001D46A0">
              <w:rPr>
                <w:rStyle w:val="Hypertextovprepojenie"/>
              </w:rPr>
              <w:t>2.10.5</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_Toc28951652 \h </w:instrText>
            </w:r>
            <w:r w:rsidR="00C94FAA">
              <w:rPr>
                <w:webHidden/>
              </w:rPr>
            </w:r>
            <w:r w:rsidR="00C94FAA">
              <w:rPr>
                <w:webHidden/>
              </w:rPr>
              <w:fldChar w:fldCharType="separate"/>
            </w:r>
            <w:r w:rsidR="00C94FAA">
              <w:rPr>
                <w:webHidden/>
              </w:rPr>
              <w:t>161</w:t>
            </w:r>
            <w:r w:rsidR="00C94FAA">
              <w:rPr>
                <w:webHidden/>
              </w:rPr>
              <w:fldChar w:fldCharType="end"/>
            </w:r>
          </w:hyperlink>
        </w:p>
        <w:p w14:paraId="1A0916F2" w14:textId="77777777" w:rsidR="00C94FAA" w:rsidRDefault="001061E2">
          <w:pPr>
            <w:pStyle w:val="Obsah3"/>
            <w:rPr>
              <w:rFonts w:asciiTheme="minorHAnsi" w:eastAsiaTheme="minorEastAsia" w:hAnsiTheme="minorHAnsi" w:cstheme="minorBidi"/>
              <w:szCs w:val="22"/>
            </w:rPr>
          </w:pPr>
          <w:hyperlink w:anchor="_Toc28951653" w:history="1">
            <w:r w:rsidR="00C94FAA" w:rsidRPr="001D46A0">
              <w:rPr>
                <w:rStyle w:val="Hypertextovprepojenie"/>
              </w:rPr>
              <w:t>2.10.6</w:t>
            </w:r>
            <w:r w:rsidR="00C94FAA">
              <w:rPr>
                <w:rFonts w:asciiTheme="minorHAnsi" w:eastAsiaTheme="minorEastAsia" w:hAnsiTheme="minorHAnsi" w:cstheme="minorBidi"/>
                <w:szCs w:val="22"/>
              </w:rPr>
              <w:tab/>
            </w:r>
            <w:r w:rsidR="00C94FAA" w:rsidRPr="001D46A0">
              <w:rPr>
                <w:rStyle w:val="Hypertextovprepojenie"/>
              </w:rPr>
              <w:t>Prehľad o plánovanom použití technickej pomoci, vrátane aktivít na posilnenie administratívnej kapacity orgánov a prijímateľov prioritnej osi 10</w:t>
            </w:r>
            <w:r w:rsidR="00C94FAA">
              <w:rPr>
                <w:webHidden/>
              </w:rPr>
              <w:tab/>
            </w:r>
            <w:r w:rsidR="00C94FAA">
              <w:rPr>
                <w:webHidden/>
              </w:rPr>
              <w:fldChar w:fldCharType="begin"/>
            </w:r>
            <w:r w:rsidR="00C94FAA">
              <w:rPr>
                <w:webHidden/>
              </w:rPr>
              <w:instrText xml:space="preserve"> PAGEREF _Toc28951653 \h </w:instrText>
            </w:r>
            <w:r w:rsidR="00C94FAA">
              <w:rPr>
                <w:webHidden/>
              </w:rPr>
            </w:r>
            <w:r w:rsidR="00C94FAA">
              <w:rPr>
                <w:webHidden/>
              </w:rPr>
              <w:fldChar w:fldCharType="separate"/>
            </w:r>
            <w:r w:rsidR="00C94FAA">
              <w:rPr>
                <w:webHidden/>
              </w:rPr>
              <w:t>162</w:t>
            </w:r>
            <w:r w:rsidR="00C94FAA">
              <w:rPr>
                <w:webHidden/>
              </w:rPr>
              <w:fldChar w:fldCharType="end"/>
            </w:r>
          </w:hyperlink>
        </w:p>
        <w:p w14:paraId="69C20712" w14:textId="77777777" w:rsidR="00C94FAA" w:rsidRDefault="001061E2">
          <w:pPr>
            <w:pStyle w:val="Obsah2"/>
            <w:rPr>
              <w:rFonts w:asciiTheme="minorHAnsi" w:eastAsiaTheme="minorEastAsia" w:hAnsiTheme="minorHAnsi" w:cstheme="minorBidi"/>
              <w:b w:val="0"/>
              <w:bCs w:val="0"/>
              <w:noProof/>
              <w:sz w:val="22"/>
              <w:szCs w:val="22"/>
            </w:rPr>
          </w:pPr>
          <w:hyperlink w:anchor="_Toc28951654" w:history="1">
            <w:r w:rsidR="00C94FAA" w:rsidRPr="001D46A0">
              <w:rPr>
                <w:rStyle w:val="Hypertextovprepojenie"/>
                <w:noProof/>
              </w:rPr>
              <w:t>2.11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11: POSILNENIE KONKURENCIESCHOPNOSTI A RASTU MSP</w:t>
            </w:r>
            <w:r w:rsidR="00C94FAA">
              <w:rPr>
                <w:noProof/>
                <w:webHidden/>
              </w:rPr>
              <w:tab/>
            </w:r>
            <w:r w:rsidR="00C94FAA">
              <w:rPr>
                <w:noProof/>
                <w:webHidden/>
              </w:rPr>
              <w:fldChar w:fldCharType="begin"/>
            </w:r>
            <w:r w:rsidR="00C94FAA">
              <w:rPr>
                <w:noProof/>
                <w:webHidden/>
              </w:rPr>
              <w:instrText xml:space="preserve"> PAGEREF _Toc28951654 \h </w:instrText>
            </w:r>
            <w:r w:rsidR="00C94FAA">
              <w:rPr>
                <w:noProof/>
                <w:webHidden/>
              </w:rPr>
            </w:r>
            <w:r w:rsidR="00C94FAA">
              <w:rPr>
                <w:noProof/>
                <w:webHidden/>
              </w:rPr>
              <w:fldChar w:fldCharType="separate"/>
            </w:r>
            <w:r w:rsidR="00C94FAA">
              <w:rPr>
                <w:noProof/>
                <w:webHidden/>
              </w:rPr>
              <w:t>163</w:t>
            </w:r>
            <w:r w:rsidR="00C94FAA">
              <w:rPr>
                <w:noProof/>
                <w:webHidden/>
              </w:rPr>
              <w:fldChar w:fldCharType="end"/>
            </w:r>
          </w:hyperlink>
        </w:p>
        <w:p w14:paraId="5396307A" w14:textId="77777777" w:rsidR="00C94FAA" w:rsidRDefault="001061E2">
          <w:pPr>
            <w:pStyle w:val="Obsah3"/>
            <w:rPr>
              <w:rFonts w:asciiTheme="minorHAnsi" w:eastAsiaTheme="minorEastAsia" w:hAnsiTheme="minorHAnsi" w:cstheme="minorBidi"/>
              <w:szCs w:val="22"/>
            </w:rPr>
          </w:pPr>
          <w:hyperlink w:anchor="_Toc28951655" w:history="1">
            <w:r w:rsidR="00C94FAA" w:rsidRPr="001D46A0">
              <w:rPr>
                <w:rStyle w:val="Hypertextovprepojenie"/>
              </w:rPr>
              <w:t>2.11.1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_Toc28951655 \h </w:instrText>
            </w:r>
            <w:r w:rsidR="00C94FAA">
              <w:rPr>
                <w:webHidden/>
              </w:rPr>
            </w:r>
            <w:r w:rsidR="00C94FAA">
              <w:rPr>
                <w:webHidden/>
              </w:rPr>
              <w:fldChar w:fldCharType="separate"/>
            </w:r>
            <w:r w:rsidR="00C94FAA">
              <w:rPr>
                <w:webHidden/>
              </w:rPr>
              <w:t>163</w:t>
            </w:r>
            <w:r w:rsidR="00C94FAA">
              <w:rPr>
                <w:webHidden/>
              </w:rPr>
              <w:fldChar w:fldCharType="end"/>
            </w:r>
          </w:hyperlink>
        </w:p>
        <w:p w14:paraId="43CEAA96" w14:textId="77777777" w:rsidR="00C94FAA" w:rsidRDefault="001061E2">
          <w:pPr>
            <w:pStyle w:val="Obsah3"/>
            <w:rPr>
              <w:rFonts w:asciiTheme="minorHAnsi" w:eastAsiaTheme="minorEastAsia" w:hAnsiTheme="minorHAnsi" w:cstheme="minorBidi"/>
              <w:szCs w:val="22"/>
            </w:rPr>
          </w:pPr>
          <w:hyperlink w:anchor="_Toc28951656" w:history="1">
            <w:r w:rsidR="00C94FAA" w:rsidRPr="001D46A0">
              <w:rPr>
                <w:rStyle w:val="Hypertextovprepojenie"/>
              </w:rPr>
              <w:t>2.11.2</w:t>
            </w:r>
            <w:r w:rsidR="00C94FAA">
              <w:rPr>
                <w:rFonts w:asciiTheme="minorHAnsi" w:eastAsiaTheme="minorEastAsia" w:hAnsiTheme="minorHAnsi" w:cstheme="minorBidi"/>
                <w:szCs w:val="22"/>
              </w:rPr>
              <w:tab/>
            </w:r>
            <w:r w:rsidR="00C94FAA" w:rsidRPr="001D46A0">
              <w:rPr>
                <w:rStyle w:val="Hypertextovprepojenie"/>
              </w:rPr>
              <w:t>INVESTIČNÁ PRIORITA 3a): Podpora podnikania, najmä prostredníctvom uľahčenia využívania nových nápadov v hospodárstve a podpory zakladania nových firiem, a to aj prostredníctvom podnikateľských inkubátorov</w:t>
            </w:r>
            <w:r w:rsidR="00C94FAA">
              <w:rPr>
                <w:webHidden/>
              </w:rPr>
              <w:tab/>
            </w:r>
            <w:r w:rsidR="00C94FAA">
              <w:rPr>
                <w:webHidden/>
              </w:rPr>
              <w:fldChar w:fldCharType="begin"/>
            </w:r>
            <w:r w:rsidR="00C94FAA">
              <w:rPr>
                <w:webHidden/>
              </w:rPr>
              <w:instrText xml:space="preserve"> PAGEREF _Toc28951656 \h </w:instrText>
            </w:r>
            <w:r w:rsidR="00C94FAA">
              <w:rPr>
                <w:webHidden/>
              </w:rPr>
            </w:r>
            <w:r w:rsidR="00C94FAA">
              <w:rPr>
                <w:webHidden/>
              </w:rPr>
              <w:fldChar w:fldCharType="separate"/>
            </w:r>
            <w:r w:rsidR="00C94FAA">
              <w:rPr>
                <w:webHidden/>
              </w:rPr>
              <w:t>163</w:t>
            </w:r>
            <w:r w:rsidR="00C94FAA">
              <w:rPr>
                <w:webHidden/>
              </w:rPr>
              <w:fldChar w:fldCharType="end"/>
            </w:r>
          </w:hyperlink>
        </w:p>
        <w:p w14:paraId="6A731667" w14:textId="77777777" w:rsidR="00C94FAA" w:rsidRDefault="001061E2">
          <w:pPr>
            <w:pStyle w:val="Obsah3"/>
            <w:rPr>
              <w:rFonts w:asciiTheme="minorHAnsi" w:eastAsiaTheme="minorEastAsia" w:hAnsiTheme="minorHAnsi" w:cstheme="minorBidi"/>
              <w:szCs w:val="22"/>
            </w:rPr>
          </w:pPr>
          <w:hyperlink w:anchor="_Toc28951657" w:history="1">
            <w:r w:rsidR="00C94FAA" w:rsidRPr="001D46A0">
              <w:rPr>
                <w:rStyle w:val="Hypertextovprepojenie"/>
              </w:rPr>
              <w:t>2.11.3</w:t>
            </w:r>
            <w:r w:rsidR="00C94FAA">
              <w:rPr>
                <w:rFonts w:asciiTheme="minorHAnsi" w:eastAsiaTheme="minorEastAsia" w:hAnsiTheme="minorHAnsi" w:cstheme="minorBidi"/>
                <w:szCs w:val="22"/>
              </w:rPr>
              <w:tab/>
            </w:r>
            <w:r w:rsidR="00C94FAA" w:rsidRPr="001D46A0">
              <w:rPr>
                <w:rStyle w:val="Hypertextovprepojenie"/>
              </w:rPr>
              <w:t>INVESTIČNÁ PRIORITA 3b): Vývoj a uplatňovanie nových obchodných modelov MSP, najmä v rámci internacionalizácie</w:t>
            </w:r>
            <w:r w:rsidR="00C94FAA">
              <w:rPr>
                <w:webHidden/>
              </w:rPr>
              <w:tab/>
            </w:r>
            <w:r w:rsidR="00C94FAA">
              <w:rPr>
                <w:webHidden/>
              </w:rPr>
              <w:fldChar w:fldCharType="begin"/>
            </w:r>
            <w:r w:rsidR="00C94FAA">
              <w:rPr>
                <w:webHidden/>
              </w:rPr>
              <w:instrText xml:space="preserve"> PAGEREF _Toc28951657 \h </w:instrText>
            </w:r>
            <w:r w:rsidR="00C94FAA">
              <w:rPr>
                <w:webHidden/>
              </w:rPr>
            </w:r>
            <w:r w:rsidR="00C94FAA">
              <w:rPr>
                <w:webHidden/>
              </w:rPr>
              <w:fldChar w:fldCharType="separate"/>
            </w:r>
            <w:r w:rsidR="00C94FAA">
              <w:rPr>
                <w:webHidden/>
              </w:rPr>
              <w:t>170</w:t>
            </w:r>
            <w:r w:rsidR="00C94FAA">
              <w:rPr>
                <w:webHidden/>
              </w:rPr>
              <w:fldChar w:fldCharType="end"/>
            </w:r>
          </w:hyperlink>
        </w:p>
        <w:p w14:paraId="5C2F6C6C" w14:textId="77777777" w:rsidR="00C94FAA" w:rsidRDefault="001061E2">
          <w:pPr>
            <w:pStyle w:val="Obsah3"/>
            <w:rPr>
              <w:rFonts w:asciiTheme="minorHAnsi" w:eastAsiaTheme="minorEastAsia" w:hAnsiTheme="minorHAnsi" w:cstheme="minorBidi"/>
              <w:szCs w:val="22"/>
            </w:rPr>
          </w:pPr>
          <w:hyperlink w:anchor="_Toc28951658" w:history="1">
            <w:r w:rsidR="00C94FAA" w:rsidRPr="001D46A0">
              <w:rPr>
                <w:rStyle w:val="Hypertextovprepojenie"/>
              </w:rPr>
              <w:t>2.11.4</w:t>
            </w:r>
            <w:r w:rsidR="00C94FAA">
              <w:rPr>
                <w:rFonts w:asciiTheme="minorHAnsi" w:eastAsiaTheme="minorEastAsia" w:hAnsiTheme="minorHAnsi" w:cstheme="minorBidi"/>
                <w:szCs w:val="22"/>
              </w:rPr>
              <w:tab/>
            </w:r>
            <w:r w:rsidR="00C94FAA" w:rsidRPr="001D46A0">
              <w:rPr>
                <w:rStyle w:val="Hypertextovprepojenie"/>
              </w:rPr>
              <w:t>INVESTIČNÁ PRIORITA 3c): Podpora vytvárania a rozširovania vyspelých kapacít pre vývoj produktov a služieb</w:t>
            </w:r>
            <w:r w:rsidR="00C94FAA">
              <w:rPr>
                <w:webHidden/>
              </w:rPr>
              <w:tab/>
            </w:r>
            <w:r w:rsidR="00C94FAA">
              <w:rPr>
                <w:webHidden/>
              </w:rPr>
              <w:fldChar w:fldCharType="begin"/>
            </w:r>
            <w:r w:rsidR="00C94FAA">
              <w:rPr>
                <w:webHidden/>
              </w:rPr>
              <w:instrText xml:space="preserve"> PAGEREF _Toc28951658 \h </w:instrText>
            </w:r>
            <w:r w:rsidR="00C94FAA">
              <w:rPr>
                <w:webHidden/>
              </w:rPr>
            </w:r>
            <w:r w:rsidR="00C94FAA">
              <w:rPr>
                <w:webHidden/>
              </w:rPr>
              <w:fldChar w:fldCharType="separate"/>
            </w:r>
            <w:r w:rsidR="00C94FAA">
              <w:rPr>
                <w:webHidden/>
              </w:rPr>
              <w:t>174</w:t>
            </w:r>
            <w:r w:rsidR="00C94FAA">
              <w:rPr>
                <w:webHidden/>
              </w:rPr>
              <w:fldChar w:fldCharType="end"/>
            </w:r>
          </w:hyperlink>
        </w:p>
        <w:p w14:paraId="225F4081" w14:textId="77777777" w:rsidR="00C94FAA" w:rsidRDefault="001061E2">
          <w:pPr>
            <w:pStyle w:val="Obsah3"/>
            <w:rPr>
              <w:rFonts w:asciiTheme="minorHAnsi" w:eastAsiaTheme="minorEastAsia" w:hAnsiTheme="minorHAnsi" w:cstheme="minorBidi"/>
              <w:szCs w:val="22"/>
            </w:rPr>
          </w:pPr>
          <w:hyperlink w:anchor="_Toc28951659" w:history="1">
            <w:r w:rsidR="00C94FAA" w:rsidRPr="001D46A0">
              <w:rPr>
                <w:rStyle w:val="Hypertextovprepojenie"/>
              </w:rPr>
              <w:t>2.11.5</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_Toc28951659 \h </w:instrText>
            </w:r>
            <w:r w:rsidR="00C94FAA">
              <w:rPr>
                <w:webHidden/>
              </w:rPr>
            </w:r>
            <w:r w:rsidR="00C94FAA">
              <w:rPr>
                <w:webHidden/>
              </w:rPr>
              <w:fldChar w:fldCharType="separate"/>
            </w:r>
            <w:r w:rsidR="00C94FAA">
              <w:rPr>
                <w:webHidden/>
              </w:rPr>
              <w:t>180</w:t>
            </w:r>
            <w:r w:rsidR="00C94FAA">
              <w:rPr>
                <w:webHidden/>
              </w:rPr>
              <w:fldChar w:fldCharType="end"/>
            </w:r>
          </w:hyperlink>
        </w:p>
        <w:p w14:paraId="3B3A6377" w14:textId="77777777" w:rsidR="00C94FAA" w:rsidRDefault="001061E2">
          <w:pPr>
            <w:pStyle w:val="Obsah3"/>
            <w:rPr>
              <w:rFonts w:asciiTheme="minorHAnsi" w:eastAsiaTheme="minorEastAsia" w:hAnsiTheme="minorHAnsi" w:cstheme="minorBidi"/>
              <w:szCs w:val="22"/>
            </w:rPr>
          </w:pPr>
          <w:hyperlink w:anchor="_Toc28951660" w:history="1">
            <w:r w:rsidR="00C94FAA" w:rsidRPr="001D46A0">
              <w:rPr>
                <w:rStyle w:val="Hypertextovprepojenie"/>
              </w:rPr>
              <w:t>2.11.6</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_Toc28951660 \h </w:instrText>
            </w:r>
            <w:r w:rsidR="00C94FAA">
              <w:rPr>
                <w:webHidden/>
              </w:rPr>
            </w:r>
            <w:r w:rsidR="00C94FAA">
              <w:rPr>
                <w:webHidden/>
              </w:rPr>
              <w:fldChar w:fldCharType="separate"/>
            </w:r>
            <w:r w:rsidR="00C94FAA">
              <w:rPr>
                <w:webHidden/>
              </w:rPr>
              <w:t>181</w:t>
            </w:r>
            <w:r w:rsidR="00C94FAA">
              <w:rPr>
                <w:webHidden/>
              </w:rPr>
              <w:fldChar w:fldCharType="end"/>
            </w:r>
          </w:hyperlink>
        </w:p>
        <w:p w14:paraId="4A069476" w14:textId="77777777" w:rsidR="00C94FAA" w:rsidRDefault="001061E2">
          <w:pPr>
            <w:pStyle w:val="Obsah3"/>
            <w:rPr>
              <w:rFonts w:asciiTheme="minorHAnsi" w:eastAsiaTheme="minorEastAsia" w:hAnsiTheme="minorHAnsi" w:cstheme="minorBidi"/>
              <w:szCs w:val="22"/>
            </w:rPr>
          </w:pPr>
          <w:hyperlink w:anchor="_Toc28951661" w:history="1">
            <w:r w:rsidR="00C94FAA" w:rsidRPr="001D46A0">
              <w:rPr>
                <w:rStyle w:val="Hypertextovprepojenie"/>
              </w:rPr>
              <w:t>2.11.7</w:t>
            </w:r>
            <w:r w:rsidR="00C94FAA">
              <w:rPr>
                <w:rFonts w:asciiTheme="minorHAnsi" w:eastAsiaTheme="minorEastAsia" w:hAnsiTheme="minorHAnsi" w:cstheme="minorBidi"/>
                <w:szCs w:val="22"/>
              </w:rPr>
              <w:tab/>
            </w:r>
            <w:r w:rsidR="00C94FAA" w:rsidRPr="001D46A0">
              <w:rPr>
                <w:rStyle w:val="Hypertextovprepojenie"/>
              </w:rPr>
              <w:t>Prípadný prehľad o plánovanom použití technickej pomoci, v prípade potreby vrátane aktivít na posilnenie administratívnej kapacity orgánov a prijímateľov v rámci prioritnej osi 11</w:t>
            </w:r>
            <w:r w:rsidR="00C94FAA">
              <w:rPr>
                <w:webHidden/>
              </w:rPr>
              <w:tab/>
            </w:r>
            <w:r w:rsidR="00C94FAA">
              <w:rPr>
                <w:webHidden/>
              </w:rPr>
              <w:fldChar w:fldCharType="begin"/>
            </w:r>
            <w:r w:rsidR="00C94FAA">
              <w:rPr>
                <w:webHidden/>
              </w:rPr>
              <w:instrText xml:space="preserve"> PAGEREF _Toc28951661 \h </w:instrText>
            </w:r>
            <w:r w:rsidR="00C94FAA">
              <w:rPr>
                <w:webHidden/>
              </w:rPr>
            </w:r>
            <w:r w:rsidR="00C94FAA">
              <w:rPr>
                <w:webHidden/>
              </w:rPr>
              <w:fldChar w:fldCharType="separate"/>
            </w:r>
            <w:r w:rsidR="00C94FAA">
              <w:rPr>
                <w:webHidden/>
              </w:rPr>
              <w:t>182</w:t>
            </w:r>
            <w:r w:rsidR="00C94FAA">
              <w:rPr>
                <w:webHidden/>
              </w:rPr>
              <w:fldChar w:fldCharType="end"/>
            </w:r>
          </w:hyperlink>
        </w:p>
        <w:p w14:paraId="797A5099" w14:textId="77777777" w:rsidR="00C94FAA" w:rsidRDefault="001061E2">
          <w:pPr>
            <w:pStyle w:val="Obsah2"/>
            <w:rPr>
              <w:rFonts w:asciiTheme="minorHAnsi" w:eastAsiaTheme="minorEastAsia" w:hAnsiTheme="minorHAnsi" w:cstheme="minorBidi"/>
              <w:b w:val="0"/>
              <w:bCs w:val="0"/>
              <w:noProof/>
              <w:sz w:val="22"/>
              <w:szCs w:val="22"/>
            </w:rPr>
          </w:pPr>
          <w:hyperlink w:anchor="_Toc28951662" w:history="1">
            <w:r w:rsidR="00C94FAA" w:rsidRPr="001D46A0">
              <w:rPr>
                <w:rStyle w:val="Hypertextovprepojenie"/>
                <w:noProof/>
              </w:rPr>
              <w:t>2.12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12: Rozvoj konkurencieschopných MSP v Bratislavskom kraji</w:t>
            </w:r>
            <w:r w:rsidR="00C94FAA">
              <w:rPr>
                <w:noProof/>
                <w:webHidden/>
              </w:rPr>
              <w:tab/>
            </w:r>
            <w:r w:rsidR="00C94FAA">
              <w:rPr>
                <w:noProof/>
                <w:webHidden/>
              </w:rPr>
              <w:fldChar w:fldCharType="begin"/>
            </w:r>
            <w:r w:rsidR="00C94FAA">
              <w:rPr>
                <w:noProof/>
                <w:webHidden/>
              </w:rPr>
              <w:instrText xml:space="preserve"> PAGEREF _Toc28951662 \h </w:instrText>
            </w:r>
            <w:r w:rsidR="00C94FAA">
              <w:rPr>
                <w:noProof/>
                <w:webHidden/>
              </w:rPr>
            </w:r>
            <w:r w:rsidR="00C94FAA">
              <w:rPr>
                <w:noProof/>
                <w:webHidden/>
              </w:rPr>
              <w:fldChar w:fldCharType="separate"/>
            </w:r>
            <w:r w:rsidR="00C94FAA">
              <w:rPr>
                <w:noProof/>
                <w:webHidden/>
              </w:rPr>
              <w:t>183</w:t>
            </w:r>
            <w:r w:rsidR="00C94FAA">
              <w:rPr>
                <w:noProof/>
                <w:webHidden/>
              </w:rPr>
              <w:fldChar w:fldCharType="end"/>
            </w:r>
          </w:hyperlink>
        </w:p>
        <w:p w14:paraId="647306B3" w14:textId="77777777" w:rsidR="00C94FAA" w:rsidRDefault="001061E2">
          <w:pPr>
            <w:pStyle w:val="Obsah3"/>
            <w:rPr>
              <w:rFonts w:asciiTheme="minorHAnsi" w:eastAsiaTheme="minorEastAsia" w:hAnsiTheme="minorHAnsi" w:cstheme="minorBidi"/>
              <w:szCs w:val="22"/>
            </w:rPr>
          </w:pPr>
          <w:hyperlink w:anchor="_Toc28951663" w:history="1">
            <w:r w:rsidR="00C94FAA" w:rsidRPr="001D46A0">
              <w:rPr>
                <w:rStyle w:val="Hypertextovprepojenie"/>
              </w:rPr>
              <w:t>2.12.1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_Toc28951663 \h </w:instrText>
            </w:r>
            <w:r w:rsidR="00C94FAA">
              <w:rPr>
                <w:webHidden/>
              </w:rPr>
            </w:r>
            <w:r w:rsidR="00C94FAA">
              <w:rPr>
                <w:webHidden/>
              </w:rPr>
              <w:fldChar w:fldCharType="separate"/>
            </w:r>
            <w:r w:rsidR="00C94FAA">
              <w:rPr>
                <w:webHidden/>
              </w:rPr>
              <w:t>183</w:t>
            </w:r>
            <w:r w:rsidR="00C94FAA">
              <w:rPr>
                <w:webHidden/>
              </w:rPr>
              <w:fldChar w:fldCharType="end"/>
            </w:r>
          </w:hyperlink>
        </w:p>
        <w:p w14:paraId="2BD4EA74" w14:textId="77777777" w:rsidR="00C94FAA" w:rsidRDefault="001061E2">
          <w:pPr>
            <w:pStyle w:val="Obsah3"/>
            <w:rPr>
              <w:rFonts w:asciiTheme="minorHAnsi" w:eastAsiaTheme="minorEastAsia" w:hAnsiTheme="minorHAnsi" w:cstheme="minorBidi"/>
              <w:szCs w:val="22"/>
            </w:rPr>
          </w:pPr>
          <w:hyperlink w:anchor="_Toc28951664" w:history="1">
            <w:r w:rsidR="00C94FAA" w:rsidRPr="001D46A0">
              <w:rPr>
                <w:rStyle w:val="Hypertextovprepojenie"/>
              </w:rPr>
              <w:t>2.12.2</w:t>
            </w:r>
            <w:r w:rsidR="00C94FAA">
              <w:rPr>
                <w:rFonts w:asciiTheme="minorHAnsi" w:eastAsiaTheme="minorEastAsia" w:hAnsiTheme="minorHAnsi" w:cstheme="minorBidi"/>
                <w:szCs w:val="22"/>
              </w:rPr>
              <w:tab/>
            </w:r>
            <w:r w:rsidR="00C94FAA" w:rsidRPr="001D46A0">
              <w:rPr>
                <w:rStyle w:val="Hypertextovprepojenie"/>
              </w:rPr>
              <w:t>INVESTIČNÁ PRIORITA 3d): Podpora kapacity MSP pre rast na regionálnych, celoštátnych a medzinárodných trhoch a zapojenia sa do procesov inovácií</w:t>
            </w:r>
            <w:r w:rsidR="00C94FAA">
              <w:rPr>
                <w:webHidden/>
              </w:rPr>
              <w:tab/>
            </w:r>
            <w:r w:rsidR="00C94FAA">
              <w:rPr>
                <w:webHidden/>
              </w:rPr>
              <w:fldChar w:fldCharType="begin"/>
            </w:r>
            <w:r w:rsidR="00C94FAA">
              <w:rPr>
                <w:webHidden/>
              </w:rPr>
              <w:instrText xml:space="preserve"> PAGEREF _Toc28951664 \h </w:instrText>
            </w:r>
            <w:r w:rsidR="00C94FAA">
              <w:rPr>
                <w:webHidden/>
              </w:rPr>
            </w:r>
            <w:r w:rsidR="00C94FAA">
              <w:rPr>
                <w:webHidden/>
              </w:rPr>
              <w:fldChar w:fldCharType="separate"/>
            </w:r>
            <w:r w:rsidR="00C94FAA">
              <w:rPr>
                <w:webHidden/>
              </w:rPr>
              <w:t>183</w:t>
            </w:r>
            <w:r w:rsidR="00C94FAA">
              <w:rPr>
                <w:webHidden/>
              </w:rPr>
              <w:fldChar w:fldCharType="end"/>
            </w:r>
          </w:hyperlink>
        </w:p>
        <w:p w14:paraId="22332D6C" w14:textId="77777777" w:rsidR="00C94FAA" w:rsidRDefault="001061E2">
          <w:pPr>
            <w:pStyle w:val="Obsah3"/>
            <w:rPr>
              <w:rFonts w:asciiTheme="minorHAnsi" w:eastAsiaTheme="minorEastAsia" w:hAnsiTheme="minorHAnsi" w:cstheme="minorBidi"/>
              <w:szCs w:val="22"/>
            </w:rPr>
          </w:pPr>
          <w:hyperlink w:anchor="_Toc28951665" w:history="1">
            <w:r w:rsidR="00C94FAA" w:rsidRPr="001D46A0">
              <w:rPr>
                <w:rStyle w:val="Hypertextovprepojenie"/>
              </w:rPr>
              <w:t>2.12.3</w:t>
            </w:r>
            <w:r w:rsidR="00C94FAA">
              <w:rPr>
                <w:rFonts w:asciiTheme="minorHAnsi" w:eastAsiaTheme="minorEastAsia" w:hAnsiTheme="minorHAnsi" w:cstheme="minorBidi"/>
                <w:szCs w:val="22"/>
              </w:rPr>
              <w:tab/>
            </w:r>
            <w:r w:rsidR="00C94FAA" w:rsidRPr="001D46A0">
              <w:rPr>
                <w:rStyle w:val="Hypertextovprepojenie"/>
              </w:rPr>
              <w:t>Výkonnostný rámec prioritnej osi</w:t>
            </w:r>
            <w:r w:rsidR="00C94FAA">
              <w:rPr>
                <w:webHidden/>
              </w:rPr>
              <w:tab/>
            </w:r>
            <w:r w:rsidR="00C94FAA">
              <w:rPr>
                <w:webHidden/>
              </w:rPr>
              <w:fldChar w:fldCharType="begin"/>
            </w:r>
            <w:r w:rsidR="00C94FAA">
              <w:rPr>
                <w:webHidden/>
              </w:rPr>
              <w:instrText xml:space="preserve"> PAGEREF _Toc28951665 \h </w:instrText>
            </w:r>
            <w:r w:rsidR="00C94FAA">
              <w:rPr>
                <w:webHidden/>
              </w:rPr>
            </w:r>
            <w:r w:rsidR="00C94FAA">
              <w:rPr>
                <w:webHidden/>
              </w:rPr>
              <w:fldChar w:fldCharType="separate"/>
            </w:r>
            <w:r w:rsidR="00C94FAA">
              <w:rPr>
                <w:webHidden/>
              </w:rPr>
              <w:t>188</w:t>
            </w:r>
            <w:r w:rsidR="00C94FAA">
              <w:rPr>
                <w:webHidden/>
              </w:rPr>
              <w:fldChar w:fldCharType="end"/>
            </w:r>
          </w:hyperlink>
        </w:p>
        <w:p w14:paraId="20625470" w14:textId="77777777" w:rsidR="00C94FAA" w:rsidRDefault="001061E2">
          <w:pPr>
            <w:pStyle w:val="Obsah3"/>
            <w:rPr>
              <w:rFonts w:asciiTheme="minorHAnsi" w:eastAsiaTheme="minorEastAsia" w:hAnsiTheme="minorHAnsi" w:cstheme="minorBidi"/>
              <w:szCs w:val="22"/>
            </w:rPr>
          </w:pPr>
          <w:hyperlink w:anchor="_Toc28951666" w:history="1">
            <w:r w:rsidR="00C94FAA" w:rsidRPr="001D46A0">
              <w:rPr>
                <w:rStyle w:val="Hypertextovprepojenie"/>
              </w:rPr>
              <w:t>2.12.4</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_Toc28951666 \h </w:instrText>
            </w:r>
            <w:r w:rsidR="00C94FAA">
              <w:rPr>
                <w:webHidden/>
              </w:rPr>
            </w:r>
            <w:r w:rsidR="00C94FAA">
              <w:rPr>
                <w:webHidden/>
              </w:rPr>
              <w:fldChar w:fldCharType="separate"/>
            </w:r>
            <w:r w:rsidR="00C94FAA">
              <w:rPr>
                <w:webHidden/>
              </w:rPr>
              <w:t>189</w:t>
            </w:r>
            <w:r w:rsidR="00C94FAA">
              <w:rPr>
                <w:webHidden/>
              </w:rPr>
              <w:fldChar w:fldCharType="end"/>
            </w:r>
          </w:hyperlink>
        </w:p>
        <w:p w14:paraId="774E1C1C" w14:textId="77777777" w:rsidR="00C94FAA" w:rsidRDefault="001061E2">
          <w:pPr>
            <w:pStyle w:val="Obsah3"/>
            <w:rPr>
              <w:rFonts w:asciiTheme="minorHAnsi" w:eastAsiaTheme="minorEastAsia" w:hAnsiTheme="minorHAnsi" w:cstheme="minorBidi"/>
              <w:szCs w:val="22"/>
            </w:rPr>
          </w:pPr>
          <w:hyperlink w:anchor="_Toc28951667" w:history="1">
            <w:r w:rsidR="00C94FAA" w:rsidRPr="001D46A0">
              <w:rPr>
                <w:rStyle w:val="Hypertextovprepojenie"/>
              </w:rPr>
              <w:t>2.12.5</w:t>
            </w:r>
            <w:r w:rsidR="00C94FAA">
              <w:rPr>
                <w:rFonts w:asciiTheme="minorHAnsi" w:eastAsiaTheme="minorEastAsia" w:hAnsiTheme="minorHAnsi" w:cstheme="minorBidi"/>
                <w:szCs w:val="22"/>
              </w:rPr>
              <w:tab/>
            </w:r>
            <w:r w:rsidR="00C94FAA" w:rsidRPr="001D46A0">
              <w:rPr>
                <w:rStyle w:val="Hypertextovprepojenie"/>
              </w:rPr>
              <w:t>Prípadný prehľad o plánovanom použití technickej pomoci, v prípade potreby vrátane aktivít na posilnenie administratívnej kapacity orgánov a prijímateľov v rámci prioritnej osi 12</w:t>
            </w:r>
            <w:r w:rsidR="00C94FAA">
              <w:rPr>
                <w:webHidden/>
              </w:rPr>
              <w:tab/>
            </w:r>
            <w:r w:rsidR="00C94FAA">
              <w:rPr>
                <w:webHidden/>
              </w:rPr>
              <w:fldChar w:fldCharType="begin"/>
            </w:r>
            <w:r w:rsidR="00C94FAA">
              <w:rPr>
                <w:webHidden/>
              </w:rPr>
              <w:instrText xml:space="preserve"> PAGEREF _Toc28951667 \h </w:instrText>
            </w:r>
            <w:r w:rsidR="00C94FAA">
              <w:rPr>
                <w:webHidden/>
              </w:rPr>
            </w:r>
            <w:r w:rsidR="00C94FAA">
              <w:rPr>
                <w:webHidden/>
              </w:rPr>
              <w:fldChar w:fldCharType="separate"/>
            </w:r>
            <w:r w:rsidR="00C94FAA">
              <w:rPr>
                <w:webHidden/>
              </w:rPr>
              <w:t>190</w:t>
            </w:r>
            <w:r w:rsidR="00C94FAA">
              <w:rPr>
                <w:webHidden/>
              </w:rPr>
              <w:fldChar w:fldCharType="end"/>
            </w:r>
          </w:hyperlink>
        </w:p>
        <w:p w14:paraId="0A994CB2" w14:textId="77777777" w:rsidR="00C94FAA" w:rsidRDefault="001061E2">
          <w:pPr>
            <w:pStyle w:val="Obsah2"/>
            <w:rPr>
              <w:rFonts w:asciiTheme="minorHAnsi" w:eastAsiaTheme="minorEastAsia" w:hAnsiTheme="minorHAnsi" w:cstheme="minorBidi"/>
              <w:b w:val="0"/>
              <w:bCs w:val="0"/>
              <w:noProof/>
              <w:sz w:val="22"/>
              <w:szCs w:val="22"/>
            </w:rPr>
          </w:pPr>
          <w:hyperlink w:anchor="_Toc28951668" w:history="1">
            <w:r w:rsidR="00C94FAA" w:rsidRPr="001D46A0">
              <w:rPr>
                <w:rStyle w:val="Hypertextovprepojenie"/>
                <w:noProof/>
              </w:rPr>
              <w:t>Popis prioritných osí pre technickú pomoc</w:t>
            </w:r>
            <w:r w:rsidR="00C94FAA">
              <w:rPr>
                <w:noProof/>
                <w:webHidden/>
              </w:rPr>
              <w:tab/>
            </w:r>
            <w:r w:rsidR="00C94FAA">
              <w:rPr>
                <w:noProof/>
                <w:webHidden/>
              </w:rPr>
              <w:fldChar w:fldCharType="begin"/>
            </w:r>
            <w:r w:rsidR="00C94FAA">
              <w:rPr>
                <w:noProof/>
                <w:webHidden/>
              </w:rPr>
              <w:instrText xml:space="preserve"> PAGEREF _Toc28951668 \h </w:instrText>
            </w:r>
            <w:r w:rsidR="00C94FAA">
              <w:rPr>
                <w:noProof/>
                <w:webHidden/>
              </w:rPr>
            </w:r>
            <w:r w:rsidR="00C94FAA">
              <w:rPr>
                <w:noProof/>
                <w:webHidden/>
              </w:rPr>
              <w:fldChar w:fldCharType="separate"/>
            </w:r>
            <w:r w:rsidR="00C94FAA">
              <w:rPr>
                <w:noProof/>
                <w:webHidden/>
              </w:rPr>
              <w:t>191</w:t>
            </w:r>
            <w:r w:rsidR="00C94FAA">
              <w:rPr>
                <w:noProof/>
                <w:webHidden/>
              </w:rPr>
              <w:fldChar w:fldCharType="end"/>
            </w:r>
          </w:hyperlink>
        </w:p>
        <w:p w14:paraId="361FF925" w14:textId="77777777" w:rsidR="00C94FAA" w:rsidRDefault="001061E2">
          <w:pPr>
            <w:pStyle w:val="Obsah2"/>
            <w:rPr>
              <w:rFonts w:asciiTheme="minorHAnsi" w:eastAsiaTheme="minorEastAsia" w:hAnsiTheme="minorHAnsi" w:cstheme="minorBidi"/>
              <w:b w:val="0"/>
              <w:bCs w:val="0"/>
              <w:noProof/>
              <w:sz w:val="22"/>
              <w:szCs w:val="22"/>
            </w:rPr>
          </w:pPr>
          <w:hyperlink w:anchor="_Toc28951669" w:history="1">
            <w:r w:rsidR="00C94FAA" w:rsidRPr="001D46A0">
              <w:rPr>
                <w:rStyle w:val="Hypertextovprepojenie"/>
                <w:noProof/>
              </w:rPr>
              <w:t>2.13</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Prioritná os 13 – Technická pomoc VaI</w:t>
            </w:r>
            <w:r w:rsidR="00C94FAA">
              <w:rPr>
                <w:noProof/>
                <w:webHidden/>
              </w:rPr>
              <w:tab/>
            </w:r>
            <w:r w:rsidR="00C94FAA">
              <w:rPr>
                <w:noProof/>
                <w:webHidden/>
              </w:rPr>
              <w:fldChar w:fldCharType="begin"/>
            </w:r>
            <w:r w:rsidR="00C94FAA">
              <w:rPr>
                <w:noProof/>
                <w:webHidden/>
              </w:rPr>
              <w:instrText xml:space="preserve"> PAGEREF _Toc28951669 \h </w:instrText>
            </w:r>
            <w:r w:rsidR="00C94FAA">
              <w:rPr>
                <w:noProof/>
                <w:webHidden/>
              </w:rPr>
            </w:r>
            <w:r w:rsidR="00C94FAA">
              <w:rPr>
                <w:noProof/>
                <w:webHidden/>
              </w:rPr>
              <w:fldChar w:fldCharType="separate"/>
            </w:r>
            <w:r w:rsidR="00C94FAA">
              <w:rPr>
                <w:noProof/>
                <w:webHidden/>
              </w:rPr>
              <w:t>191</w:t>
            </w:r>
            <w:r w:rsidR="00C94FAA">
              <w:rPr>
                <w:noProof/>
                <w:webHidden/>
              </w:rPr>
              <w:fldChar w:fldCharType="end"/>
            </w:r>
          </w:hyperlink>
        </w:p>
        <w:p w14:paraId="03A5C7ED" w14:textId="77777777" w:rsidR="00C94FAA" w:rsidRDefault="001061E2">
          <w:pPr>
            <w:pStyle w:val="Obsah3"/>
            <w:rPr>
              <w:rFonts w:asciiTheme="minorHAnsi" w:eastAsiaTheme="minorEastAsia" w:hAnsiTheme="minorHAnsi" w:cstheme="minorBidi"/>
              <w:szCs w:val="22"/>
            </w:rPr>
          </w:pPr>
          <w:hyperlink w:anchor="_Toc28951670" w:history="1">
            <w:r w:rsidR="00C94FAA" w:rsidRPr="001D46A0">
              <w:rPr>
                <w:rStyle w:val="Hypertextovprepojenie"/>
              </w:rPr>
              <w:t>2.13.1</w:t>
            </w:r>
            <w:r w:rsidR="00C94FAA">
              <w:rPr>
                <w:rFonts w:asciiTheme="minorHAnsi" w:eastAsiaTheme="minorEastAsia" w:hAnsiTheme="minorHAnsi" w:cstheme="minorBidi"/>
                <w:szCs w:val="22"/>
              </w:rPr>
              <w:tab/>
            </w:r>
            <w:r w:rsidR="00C94FAA" w:rsidRPr="001D46A0">
              <w:rPr>
                <w:rStyle w:val="Hypertextovprepojenie"/>
              </w:rPr>
              <w:t>Fond, kategória regiónu a základ pre výpočet podpory Únie</w:t>
            </w:r>
            <w:r w:rsidR="00C94FAA">
              <w:rPr>
                <w:webHidden/>
              </w:rPr>
              <w:tab/>
            </w:r>
            <w:r w:rsidR="00C94FAA">
              <w:rPr>
                <w:webHidden/>
              </w:rPr>
              <w:fldChar w:fldCharType="begin"/>
            </w:r>
            <w:r w:rsidR="00C94FAA">
              <w:rPr>
                <w:webHidden/>
              </w:rPr>
              <w:instrText xml:space="preserve"> PAGEREF _Toc28951670 \h </w:instrText>
            </w:r>
            <w:r w:rsidR="00C94FAA">
              <w:rPr>
                <w:webHidden/>
              </w:rPr>
            </w:r>
            <w:r w:rsidR="00C94FAA">
              <w:rPr>
                <w:webHidden/>
              </w:rPr>
              <w:fldChar w:fldCharType="separate"/>
            </w:r>
            <w:r w:rsidR="00C94FAA">
              <w:rPr>
                <w:webHidden/>
              </w:rPr>
              <w:t>191</w:t>
            </w:r>
            <w:r w:rsidR="00C94FAA">
              <w:rPr>
                <w:webHidden/>
              </w:rPr>
              <w:fldChar w:fldCharType="end"/>
            </w:r>
          </w:hyperlink>
        </w:p>
        <w:p w14:paraId="09F38D84" w14:textId="77777777" w:rsidR="00C94FAA" w:rsidRDefault="001061E2">
          <w:pPr>
            <w:pStyle w:val="Obsah3"/>
            <w:rPr>
              <w:rFonts w:asciiTheme="minorHAnsi" w:eastAsiaTheme="minorEastAsia" w:hAnsiTheme="minorHAnsi" w:cstheme="minorBidi"/>
              <w:szCs w:val="22"/>
            </w:rPr>
          </w:pPr>
          <w:hyperlink w:anchor="_Toc28951671" w:history="1">
            <w:r w:rsidR="00C94FAA" w:rsidRPr="001D46A0">
              <w:rPr>
                <w:rStyle w:val="Hypertextovprepojenie"/>
              </w:rPr>
              <w:t>2.13.2</w:t>
            </w:r>
            <w:r w:rsidR="00C94FAA">
              <w:rPr>
                <w:rFonts w:asciiTheme="minorHAnsi" w:eastAsiaTheme="minorEastAsia" w:hAnsiTheme="minorHAnsi" w:cstheme="minorBidi"/>
                <w:szCs w:val="22"/>
              </w:rPr>
              <w:tab/>
            </w:r>
            <w:r w:rsidR="00C94FAA" w:rsidRPr="001D46A0">
              <w:rPr>
                <w:rStyle w:val="Hypertextovprepojenie"/>
              </w:rPr>
              <w:t>Špecifické ciele pre investičné priority a očakávané výsledky</w:t>
            </w:r>
            <w:r w:rsidR="00C94FAA">
              <w:rPr>
                <w:webHidden/>
              </w:rPr>
              <w:tab/>
            </w:r>
            <w:r w:rsidR="00C94FAA">
              <w:rPr>
                <w:webHidden/>
              </w:rPr>
              <w:fldChar w:fldCharType="begin"/>
            </w:r>
            <w:r w:rsidR="00C94FAA">
              <w:rPr>
                <w:webHidden/>
              </w:rPr>
              <w:instrText xml:space="preserve"> PAGEREF _Toc28951671 \h </w:instrText>
            </w:r>
            <w:r w:rsidR="00C94FAA">
              <w:rPr>
                <w:webHidden/>
              </w:rPr>
            </w:r>
            <w:r w:rsidR="00C94FAA">
              <w:rPr>
                <w:webHidden/>
              </w:rPr>
              <w:fldChar w:fldCharType="separate"/>
            </w:r>
            <w:r w:rsidR="00C94FAA">
              <w:rPr>
                <w:webHidden/>
              </w:rPr>
              <w:t>191</w:t>
            </w:r>
            <w:r w:rsidR="00C94FAA">
              <w:rPr>
                <w:webHidden/>
              </w:rPr>
              <w:fldChar w:fldCharType="end"/>
            </w:r>
          </w:hyperlink>
        </w:p>
        <w:p w14:paraId="5F88C031" w14:textId="77777777" w:rsidR="00C94FAA" w:rsidRDefault="001061E2">
          <w:pPr>
            <w:pStyle w:val="Obsah3"/>
            <w:rPr>
              <w:rFonts w:asciiTheme="minorHAnsi" w:eastAsiaTheme="minorEastAsia" w:hAnsiTheme="minorHAnsi" w:cstheme="minorBidi"/>
              <w:szCs w:val="22"/>
            </w:rPr>
          </w:pPr>
          <w:hyperlink w:anchor="_Toc28951672" w:history="1">
            <w:r w:rsidR="00C94FAA" w:rsidRPr="001D46A0">
              <w:rPr>
                <w:rStyle w:val="Hypertextovprepojenie"/>
              </w:rPr>
              <w:t>2.13.3</w:t>
            </w:r>
            <w:r w:rsidR="00C94FAA">
              <w:rPr>
                <w:rFonts w:asciiTheme="minorHAnsi" w:eastAsiaTheme="minorEastAsia" w:hAnsiTheme="minorHAnsi" w:cstheme="minorBidi"/>
                <w:szCs w:val="22"/>
              </w:rPr>
              <w:tab/>
            </w:r>
            <w:r w:rsidR="00C94FAA" w:rsidRPr="001D46A0">
              <w:rPr>
                <w:rStyle w:val="Hypertextovprepojenie"/>
              </w:rPr>
              <w:t>Aktivity, ktoré sa majú podporiť a ich očakávaný prínos pre špecifické ciele</w:t>
            </w:r>
            <w:r w:rsidR="00C94FAA">
              <w:rPr>
                <w:webHidden/>
              </w:rPr>
              <w:tab/>
            </w:r>
            <w:r w:rsidR="00C94FAA">
              <w:rPr>
                <w:webHidden/>
              </w:rPr>
              <w:fldChar w:fldCharType="begin"/>
            </w:r>
            <w:r w:rsidR="00C94FAA">
              <w:rPr>
                <w:webHidden/>
              </w:rPr>
              <w:instrText xml:space="preserve"> PAGEREF _Toc28951672 \h </w:instrText>
            </w:r>
            <w:r w:rsidR="00C94FAA">
              <w:rPr>
                <w:webHidden/>
              </w:rPr>
            </w:r>
            <w:r w:rsidR="00C94FAA">
              <w:rPr>
                <w:webHidden/>
              </w:rPr>
              <w:fldChar w:fldCharType="separate"/>
            </w:r>
            <w:r w:rsidR="00C94FAA">
              <w:rPr>
                <w:webHidden/>
              </w:rPr>
              <w:t>192</w:t>
            </w:r>
            <w:r w:rsidR="00C94FAA">
              <w:rPr>
                <w:webHidden/>
              </w:rPr>
              <w:fldChar w:fldCharType="end"/>
            </w:r>
          </w:hyperlink>
        </w:p>
        <w:p w14:paraId="1C41FD55" w14:textId="77777777" w:rsidR="00C94FAA" w:rsidRDefault="001061E2">
          <w:pPr>
            <w:pStyle w:val="Obsah3"/>
            <w:rPr>
              <w:rFonts w:asciiTheme="minorHAnsi" w:eastAsiaTheme="minorEastAsia" w:hAnsiTheme="minorHAnsi" w:cstheme="minorBidi"/>
              <w:szCs w:val="22"/>
            </w:rPr>
          </w:pPr>
          <w:hyperlink w:anchor="_Toc28951673" w:history="1">
            <w:r w:rsidR="00C94FAA" w:rsidRPr="001D46A0">
              <w:rPr>
                <w:rStyle w:val="Hypertextovprepojenie"/>
              </w:rPr>
              <w:t>2.13.4</w:t>
            </w:r>
            <w:r w:rsidR="00C94FAA">
              <w:rPr>
                <w:rFonts w:asciiTheme="minorHAnsi" w:eastAsiaTheme="minorEastAsia" w:hAnsiTheme="minorHAnsi" w:cstheme="minorBidi"/>
                <w:szCs w:val="22"/>
              </w:rPr>
              <w:tab/>
            </w:r>
            <w:r w:rsidR="00C94FAA" w:rsidRPr="001D46A0">
              <w:rPr>
                <w:rStyle w:val="Hypertextovprepojenie"/>
              </w:rPr>
              <w:t>Kategórie intervencií</w:t>
            </w:r>
            <w:r w:rsidR="00C94FAA">
              <w:rPr>
                <w:webHidden/>
              </w:rPr>
              <w:tab/>
            </w:r>
            <w:r w:rsidR="00C94FAA">
              <w:rPr>
                <w:webHidden/>
              </w:rPr>
              <w:fldChar w:fldCharType="begin"/>
            </w:r>
            <w:r w:rsidR="00C94FAA">
              <w:rPr>
                <w:webHidden/>
              </w:rPr>
              <w:instrText xml:space="preserve"> PAGEREF _Toc28951673 \h </w:instrText>
            </w:r>
            <w:r w:rsidR="00C94FAA">
              <w:rPr>
                <w:webHidden/>
              </w:rPr>
            </w:r>
            <w:r w:rsidR="00C94FAA">
              <w:rPr>
                <w:webHidden/>
              </w:rPr>
              <w:fldChar w:fldCharType="separate"/>
            </w:r>
            <w:r w:rsidR="00C94FAA">
              <w:rPr>
                <w:webHidden/>
              </w:rPr>
              <w:t>194</w:t>
            </w:r>
            <w:r w:rsidR="00C94FAA">
              <w:rPr>
                <w:webHidden/>
              </w:rPr>
              <w:fldChar w:fldCharType="end"/>
            </w:r>
          </w:hyperlink>
        </w:p>
        <w:p w14:paraId="2AA05E14"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674" w:history="1">
            <w:r w:rsidR="00C94FAA" w:rsidRPr="001D46A0">
              <w:rPr>
                <w:rStyle w:val="Hypertextovprepojenie"/>
              </w:rPr>
              <w:t>3</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Finančný plán operačného programu</w:t>
            </w:r>
            <w:r w:rsidR="00C94FAA">
              <w:rPr>
                <w:webHidden/>
              </w:rPr>
              <w:tab/>
            </w:r>
            <w:r w:rsidR="00C94FAA">
              <w:rPr>
                <w:webHidden/>
              </w:rPr>
              <w:fldChar w:fldCharType="begin"/>
            </w:r>
            <w:r w:rsidR="00C94FAA">
              <w:rPr>
                <w:webHidden/>
              </w:rPr>
              <w:instrText xml:space="preserve"> PAGEREF _Toc28951674 \h </w:instrText>
            </w:r>
            <w:r w:rsidR="00C94FAA">
              <w:rPr>
                <w:webHidden/>
              </w:rPr>
            </w:r>
            <w:r w:rsidR="00C94FAA">
              <w:rPr>
                <w:webHidden/>
              </w:rPr>
              <w:fldChar w:fldCharType="separate"/>
            </w:r>
            <w:r w:rsidR="00C94FAA">
              <w:rPr>
                <w:webHidden/>
              </w:rPr>
              <w:t>196</w:t>
            </w:r>
            <w:r w:rsidR="00C94FAA">
              <w:rPr>
                <w:webHidden/>
              </w:rPr>
              <w:fldChar w:fldCharType="end"/>
            </w:r>
          </w:hyperlink>
        </w:p>
        <w:p w14:paraId="6545E195" w14:textId="77777777" w:rsidR="00C94FAA" w:rsidRDefault="001061E2">
          <w:pPr>
            <w:pStyle w:val="Obsah2"/>
            <w:rPr>
              <w:rFonts w:asciiTheme="minorHAnsi" w:eastAsiaTheme="minorEastAsia" w:hAnsiTheme="minorHAnsi" w:cstheme="minorBidi"/>
              <w:b w:val="0"/>
              <w:bCs w:val="0"/>
              <w:noProof/>
              <w:sz w:val="22"/>
              <w:szCs w:val="22"/>
            </w:rPr>
          </w:pPr>
          <w:hyperlink w:anchor="_Toc28951675" w:history="1">
            <w:r w:rsidR="00C94FAA" w:rsidRPr="001D46A0">
              <w:rPr>
                <w:rStyle w:val="Hypertextovprepojenie"/>
                <w:noProof/>
              </w:rPr>
              <w:t>3.1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Prehľad podľa jednotlivých rokov, celková výška finančných prostriedkov navrhovaných na podporu z jednotlivých fondov s vymedzením zodpovedajúcej výšky výkonnostnej rezervy (zdroje EÚ)</w:t>
            </w:r>
            <w:r w:rsidR="00C94FAA">
              <w:rPr>
                <w:noProof/>
                <w:webHidden/>
              </w:rPr>
              <w:tab/>
            </w:r>
            <w:r w:rsidR="00C94FAA">
              <w:rPr>
                <w:noProof/>
                <w:webHidden/>
              </w:rPr>
              <w:fldChar w:fldCharType="begin"/>
            </w:r>
            <w:r w:rsidR="00C94FAA">
              <w:rPr>
                <w:noProof/>
                <w:webHidden/>
              </w:rPr>
              <w:instrText xml:space="preserve"> PAGEREF _Toc28951675 \h </w:instrText>
            </w:r>
            <w:r w:rsidR="00C94FAA">
              <w:rPr>
                <w:noProof/>
                <w:webHidden/>
              </w:rPr>
            </w:r>
            <w:r w:rsidR="00C94FAA">
              <w:rPr>
                <w:noProof/>
                <w:webHidden/>
              </w:rPr>
              <w:fldChar w:fldCharType="separate"/>
            </w:r>
            <w:r w:rsidR="00C94FAA">
              <w:rPr>
                <w:noProof/>
                <w:webHidden/>
              </w:rPr>
              <w:t>196</w:t>
            </w:r>
            <w:r w:rsidR="00C94FAA">
              <w:rPr>
                <w:noProof/>
                <w:webHidden/>
              </w:rPr>
              <w:fldChar w:fldCharType="end"/>
            </w:r>
          </w:hyperlink>
        </w:p>
        <w:p w14:paraId="44EBF36F" w14:textId="77777777" w:rsidR="00C94FAA" w:rsidRDefault="001061E2">
          <w:pPr>
            <w:pStyle w:val="Obsah2"/>
            <w:rPr>
              <w:rFonts w:asciiTheme="minorHAnsi" w:eastAsiaTheme="minorEastAsia" w:hAnsiTheme="minorHAnsi" w:cstheme="minorBidi"/>
              <w:b w:val="0"/>
              <w:bCs w:val="0"/>
              <w:noProof/>
              <w:sz w:val="22"/>
              <w:szCs w:val="22"/>
            </w:rPr>
          </w:pPr>
          <w:hyperlink w:anchor="_Toc28951676" w:history="1">
            <w:r w:rsidR="00C94FAA" w:rsidRPr="001D46A0">
              <w:rPr>
                <w:rStyle w:val="Hypertextovprepojenie"/>
                <w:noProof/>
              </w:rPr>
              <w:t>3.2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Finančný plán operačného programu, ktorý stanovuje celkovú výšku finančných prostriedkov na programové obdobie 2014 – 2020 z každého fondu ako aj výšku národného spolufinancovania na úrovni programu a jednotlivých prioritných osí (EUR)</w:t>
            </w:r>
            <w:r w:rsidR="00C94FAA">
              <w:rPr>
                <w:noProof/>
                <w:webHidden/>
              </w:rPr>
              <w:tab/>
            </w:r>
            <w:r w:rsidR="00C94FAA">
              <w:rPr>
                <w:noProof/>
                <w:webHidden/>
              </w:rPr>
              <w:fldChar w:fldCharType="begin"/>
            </w:r>
            <w:r w:rsidR="00C94FAA">
              <w:rPr>
                <w:noProof/>
                <w:webHidden/>
              </w:rPr>
              <w:instrText xml:space="preserve"> PAGEREF _Toc28951676 \h </w:instrText>
            </w:r>
            <w:r w:rsidR="00C94FAA">
              <w:rPr>
                <w:noProof/>
                <w:webHidden/>
              </w:rPr>
            </w:r>
            <w:r w:rsidR="00C94FAA">
              <w:rPr>
                <w:noProof/>
                <w:webHidden/>
              </w:rPr>
              <w:fldChar w:fldCharType="separate"/>
            </w:r>
            <w:r w:rsidR="00C94FAA">
              <w:rPr>
                <w:noProof/>
                <w:webHidden/>
              </w:rPr>
              <w:t>197</w:t>
            </w:r>
            <w:r w:rsidR="00C94FAA">
              <w:rPr>
                <w:noProof/>
                <w:webHidden/>
              </w:rPr>
              <w:fldChar w:fldCharType="end"/>
            </w:r>
          </w:hyperlink>
        </w:p>
        <w:p w14:paraId="2AE6CF27"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677" w:history="1">
            <w:r w:rsidR="00C94FAA" w:rsidRPr="001D46A0">
              <w:rPr>
                <w:rStyle w:val="Hypertextovprepojenie"/>
              </w:rPr>
              <w:t>4</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Integrovaný prístup k územnému rozvoju</w:t>
            </w:r>
            <w:r w:rsidR="00C94FAA">
              <w:rPr>
                <w:webHidden/>
              </w:rPr>
              <w:tab/>
            </w:r>
            <w:r w:rsidR="00C94FAA">
              <w:rPr>
                <w:webHidden/>
              </w:rPr>
              <w:fldChar w:fldCharType="begin"/>
            </w:r>
            <w:r w:rsidR="00C94FAA">
              <w:rPr>
                <w:webHidden/>
              </w:rPr>
              <w:instrText xml:space="preserve"> PAGEREF _Toc28951677 \h </w:instrText>
            </w:r>
            <w:r w:rsidR="00C94FAA">
              <w:rPr>
                <w:webHidden/>
              </w:rPr>
            </w:r>
            <w:r w:rsidR="00C94FAA">
              <w:rPr>
                <w:webHidden/>
              </w:rPr>
              <w:fldChar w:fldCharType="separate"/>
            </w:r>
            <w:r w:rsidR="00C94FAA">
              <w:rPr>
                <w:webHidden/>
              </w:rPr>
              <w:t>200</w:t>
            </w:r>
            <w:r w:rsidR="00C94FAA">
              <w:rPr>
                <w:webHidden/>
              </w:rPr>
              <w:fldChar w:fldCharType="end"/>
            </w:r>
          </w:hyperlink>
        </w:p>
        <w:p w14:paraId="73A5DF3C" w14:textId="77777777" w:rsidR="00C94FAA" w:rsidRDefault="001061E2">
          <w:pPr>
            <w:pStyle w:val="Obsah2"/>
            <w:rPr>
              <w:rFonts w:asciiTheme="minorHAnsi" w:eastAsiaTheme="minorEastAsia" w:hAnsiTheme="minorHAnsi" w:cstheme="minorBidi"/>
              <w:b w:val="0"/>
              <w:bCs w:val="0"/>
              <w:noProof/>
              <w:sz w:val="22"/>
              <w:szCs w:val="22"/>
            </w:rPr>
          </w:pPr>
          <w:hyperlink w:anchor="_Toc28951678" w:history="1">
            <w:r w:rsidR="00C94FAA" w:rsidRPr="001D46A0">
              <w:rPr>
                <w:rStyle w:val="Hypertextovprepojenie"/>
                <w:noProof/>
              </w:rPr>
              <w:t>4.1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Miestny rozvoj vedený komunitou</w:t>
            </w:r>
            <w:r w:rsidR="00C94FAA">
              <w:rPr>
                <w:noProof/>
                <w:webHidden/>
              </w:rPr>
              <w:tab/>
            </w:r>
            <w:r w:rsidR="00C94FAA">
              <w:rPr>
                <w:noProof/>
                <w:webHidden/>
              </w:rPr>
              <w:fldChar w:fldCharType="begin"/>
            </w:r>
            <w:r w:rsidR="00C94FAA">
              <w:rPr>
                <w:noProof/>
                <w:webHidden/>
              </w:rPr>
              <w:instrText xml:space="preserve"> PAGEREF _Toc28951678 \h </w:instrText>
            </w:r>
            <w:r w:rsidR="00C94FAA">
              <w:rPr>
                <w:noProof/>
                <w:webHidden/>
              </w:rPr>
            </w:r>
            <w:r w:rsidR="00C94FAA">
              <w:rPr>
                <w:noProof/>
                <w:webHidden/>
              </w:rPr>
              <w:fldChar w:fldCharType="separate"/>
            </w:r>
            <w:r w:rsidR="00C94FAA">
              <w:rPr>
                <w:noProof/>
                <w:webHidden/>
              </w:rPr>
              <w:t>200</w:t>
            </w:r>
            <w:r w:rsidR="00C94FAA">
              <w:rPr>
                <w:noProof/>
                <w:webHidden/>
              </w:rPr>
              <w:fldChar w:fldCharType="end"/>
            </w:r>
          </w:hyperlink>
        </w:p>
        <w:p w14:paraId="3D71F95B" w14:textId="77777777" w:rsidR="00C94FAA" w:rsidRDefault="001061E2">
          <w:pPr>
            <w:pStyle w:val="Obsah2"/>
            <w:rPr>
              <w:rFonts w:asciiTheme="minorHAnsi" w:eastAsiaTheme="minorEastAsia" w:hAnsiTheme="minorHAnsi" w:cstheme="minorBidi"/>
              <w:b w:val="0"/>
              <w:bCs w:val="0"/>
              <w:noProof/>
              <w:sz w:val="22"/>
              <w:szCs w:val="22"/>
            </w:rPr>
          </w:pPr>
          <w:hyperlink w:anchor="_Toc28951679" w:history="1">
            <w:r w:rsidR="00C94FAA" w:rsidRPr="001D46A0">
              <w:rPr>
                <w:rStyle w:val="Hypertextovprepojenie"/>
                <w:noProof/>
              </w:rPr>
              <w:t>4.2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Udržateľný mestský rozvoj</w:t>
            </w:r>
            <w:r w:rsidR="00C94FAA">
              <w:rPr>
                <w:noProof/>
                <w:webHidden/>
              </w:rPr>
              <w:tab/>
            </w:r>
            <w:r w:rsidR="00C94FAA">
              <w:rPr>
                <w:noProof/>
                <w:webHidden/>
              </w:rPr>
              <w:fldChar w:fldCharType="begin"/>
            </w:r>
            <w:r w:rsidR="00C94FAA">
              <w:rPr>
                <w:noProof/>
                <w:webHidden/>
              </w:rPr>
              <w:instrText xml:space="preserve"> PAGEREF _Toc28951679 \h </w:instrText>
            </w:r>
            <w:r w:rsidR="00C94FAA">
              <w:rPr>
                <w:noProof/>
                <w:webHidden/>
              </w:rPr>
            </w:r>
            <w:r w:rsidR="00C94FAA">
              <w:rPr>
                <w:noProof/>
                <w:webHidden/>
              </w:rPr>
              <w:fldChar w:fldCharType="separate"/>
            </w:r>
            <w:r w:rsidR="00C94FAA">
              <w:rPr>
                <w:noProof/>
                <w:webHidden/>
              </w:rPr>
              <w:t>200</w:t>
            </w:r>
            <w:r w:rsidR="00C94FAA">
              <w:rPr>
                <w:noProof/>
                <w:webHidden/>
              </w:rPr>
              <w:fldChar w:fldCharType="end"/>
            </w:r>
          </w:hyperlink>
        </w:p>
        <w:p w14:paraId="5877FBF0" w14:textId="77777777" w:rsidR="00C94FAA" w:rsidRDefault="001061E2">
          <w:pPr>
            <w:pStyle w:val="Obsah2"/>
            <w:rPr>
              <w:rFonts w:asciiTheme="minorHAnsi" w:eastAsiaTheme="minorEastAsia" w:hAnsiTheme="minorHAnsi" w:cstheme="minorBidi"/>
              <w:b w:val="0"/>
              <w:bCs w:val="0"/>
              <w:noProof/>
              <w:sz w:val="22"/>
              <w:szCs w:val="22"/>
            </w:rPr>
          </w:pPr>
          <w:hyperlink w:anchor="_Toc28951680" w:history="1">
            <w:r w:rsidR="00C94FAA" w:rsidRPr="001D46A0">
              <w:rPr>
                <w:rStyle w:val="Hypertextovprepojenie"/>
                <w:noProof/>
              </w:rPr>
              <w:t>4.3</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Integrovaná územná investícia (IÚI)</w:t>
            </w:r>
            <w:r w:rsidR="00C94FAA">
              <w:rPr>
                <w:noProof/>
                <w:webHidden/>
              </w:rPr>
              <w:tab/>
            </w:r>
            <w:r w:rsidR="00C94FAA">
              <w:rPr>
                <w:noProof/>
                <w:webHidden/>
              </w:rPr>
              <w:fldChar w:fldCharType="begin"/>
            </w:r>
            <w:r w:rsidR="00C94FAA">
              <w:rPr>
                <w:noProof/>
                <w:webHidden/>
              </w:rPr>
              <w:instrText xml:space="preserve"> PAGEREF _Toc28951680 \h </w:instrText>
            </w:r>
            <w:r w:rsidR="00C94FAA">
              <w:rPr>
                <w:noProof/>
                <w:webHidden/>
              </w:rPr>
            </w:r>
            <w:r w:rsidR="00C94FAA">
              <w:rPr>
                <w:noProof/>
                <w:webHidden/>
              </w:rPr>
              <w:fldChar w:fldCharType="separate"/>
            </w:r>
            <w:r w:rsidR="00C94FAA">
              <w:rPr>
                <w:noProof/>
                <w:webHidden/>
              </w:rPr>
              <w:t>200</w:t>
            </w:r>
            <w:r w:rsidR="00C94FAA">
              <w:rPr>
                <w:noProof/>
                <w:webHidden/>
              </w:rPr>
              <w:fldChar w:fldCharType="end"/>
            </w:r>
          </w:hyperlink>
        </w:p>
        <w:p w14:paraId="0E0904E6" w14:textId="77777777" w:rsidR="00C94FAA" w:rsidRDefault="001061E2">
          <w:pPr>
            <w:pStyle w:val="Obsah2"/>
            <w:rPr>
              <w:rFonts w:asciiTheme="minorHAnsi" w:eastAsiaTheme="minorEastAsia" w:hAnsiTheme="minorHAnsi" w:cstheme="minorBidi"/>
              <w:b w:val="0"/>
              <w:bCs w:val="0"/>
              <w:noProof/>
              <w:sz w:val="22"/>
              <w:szCs w:val="22"/>
            </w:rPr>
          </w:pPr>
          <w:hyperlink w:anchor="_Toc28951681" w:history="1">
            <w:r w:rsidR="00C94FAA" w:rsidRPr="001D46A0">
              <w:rPr>
                <w:rStyle w:val="Hypertextovprepojenie"/>
                <w:noProof/>
              </w:rPr>
              <w:t>4.4</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Opatrenia pre medziregionálne a nadnárodné akcie v rámci operačného programu, ktorých prijímatelia sa nachádzajú aspoň v jednom inom členskom štáte</w:t>
            </w:r>
            <w:r w:rsidR="00C94FAA">
              <w:rPr>
                <w:noProof/>
                <w:webHidden/>
              </w:rPr>
              <w:tab/>
            </w:r>
            <w:r w:rsidR="00C94FAA">
              <w:rPr>
                <w:noProof/>
                <w:webHidden/>
              </w:rPr>
              <w:fldChar w:fldCharType="begin"/>
            </w:r>
            <w:r w:rsidR="00C94FAA">
              <w:rPr>
                <w:noProof/>
                <w:webHidden/>
              </w:rPr>
              <w:instrText xml:space="preserve"> PAGEREF _Toc28951681 \h </w:instrText>
            </w:r>
            <w:r w:rsidR="00C94FAA">
              <w:rPr>
                <w:noProof/>
                <w:webHidden/>
              </w:rPr>
            </w:r>
            <w:r w:rsidR="00C94FAA">
              <w:rPr>
                <w:noProof/>
                <w:webHidden/>
              </w:rPr>
              <w:fldChar w:fldCharType="separate"/>
            </w:r>
            <w:r w:rsidR="00C94FAA">
              <w:rPr>
                <w:noProof/>
                <w:webHidden/>
              </w:rPr>
              <w:t>200</w:t>
            </w:r>
            <w:r w:rsidR="00C94FAA">
              <w:rPr>
                <w:noProof/>
                <w:webHidden/>
              </w:rPr>
              <w:fldChar w:fldCharType="end"/>
            </w:r>
          </w:hyperlink>
        </w:p>
        <w:p w14:paraId="0B0DB5D0" w14:textId="77777777" w:rsidR="00C94FAA" w:rsidRDefault="001061E2">
          <w:pPr>
            <w:pStyle w:val="Obsah2"/>
            <w:rPr>
              <w:rFonts w:asciiTheme="minorHAnsi" w:eastAsiaTheme="minorEastAsia" w:hAnsiTheme="minorHAnsi" w:cstheme="minorBidi"/>
              <w:b w:val="0"/>
              <w:bCs w:val="0"/>
              <w:noProof/>
              <w:sz w:val="22"/>
              <w:szCs w:val="22"/>
            </w:rPr>
          </w:pPr>
          <w:hyperlink w:anchor="_Toc28951682" w:history="1">
            <w:r w:rsidR="00C94FAA" w:rsidRPr="001D46A0">
              <w:rPr>
                <w:rStyle w:val="Hypertextovprepojenie"/>
                <w:noProof/>
              </w:rPr>
              <w:t>4.5</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Prínos plánovaných aktivít v rámci programu pre stratégie pre makroregióny a morské oblasti na základe potrieb oblasti programu identifikovaných členským štátom</w:t>
            </w:r>
            <w:r w:rsidR="00C94FAA">
              <w:rPr>
                <w:noProof/>
                <w:webHidden/>
              </w:rPr>
              <w:tab/>
            </w:r>
            <w:r w:rsidR="00C94FAA">
              <w:rPr>
                <w:noProof/>
                <w:webHidden/>
              </w:rPr>
              <w:fldChar w:fldCharType="begin"/>
            </w:r>
            <w:r w:rsidR="00C94FAA">
              <w:rPr>
                <w:noProof/>
                <w:webHidden/>
              </w:rPr>
              <w:instrText xml:space="preserve"> PAGEREF _Toc28951682 \h </w:instrText>
            </w:r>
            <w:r w:rsidR="00C94FAA">
              <w:rPr>
                <w:noProof/>
                <w:webHidden/>
              </w:rPr>
            </w:r>
            <w:r w:rsidR="00C94FAA">
              <w:rPr>
                <w:noProof/>
                <w:webHidden/>
              </w:rPr>
              <w:fldChar w:fldCharType="separate"/>
            </w:r>
            <w:r w:rsidR="00C94FAA">
              <w:rPr>
                <w:noProof/>
                <w:webHidden/>
              </w:rPr>
              <w:t>200</w:t>
            </w:r>
            <w:r w:rsidR="00C94FAA">
              <w:rPr>
                <w:noProof/>
                <w:webHidden/>
              </w:rPr>
              <w:fldChar w:fldCharType="end"/>
            </w:r>
          </w:hyperlink>
        </w:p>
        <w:p w14:paraId="2804A044"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683" w:history="1">
            <w:r w:rsidR="00C94FAA" w:rsidRPr="001D46A0">
              <w:rPr>
                <w:rStyle w:val="Hypertextovprepojenie"/>
              </w:rPr>
              <w:t>5</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Špecifické potreby geografických oblastí najviac postihnutých chudobou alebo cieľových skupín najviac ohrozených diskrimináciou alebo sociálnym vylúčením</w:t>
            </w:r>
            <w:r w:rsidR="00C94FAA">
              <w:rPr>
                <w:webHidden/>
              </w:rPr>
              <w:tab/>
            </w:r>
            <w:r w:rsidR="00C94FAA">
              <w:rPr>
                <w:webHidden/>
              </w:rPr>
              <w:fldChar w:fldCharType="begin"/>
            </w:r>
            <w:r w:rsidR="00C94FAA">
              <w:rPr>
                <w:webHidden/>
              </w:rPr>
              <w:instrText xml:space="preserve"> PAGEREF _Toc28951683 \h </w:instrText>
            </w:r>
            <w:r w:rsidR="00C94FAA">
              <w:rPr>
                <w:webHidden/>
              </w:rPr>
            </w:r>
            <w:r w:rsidR="00C94FAA">
              <w:rPr>
                <w:webHidden/>
              </w:rPr>
              <w:fldChar w:fldCharType="separate"/>
            </w:r>
            <w:r w:rsidR="00C94FAA">
              <w:rPr>
                <w:webHidden/>
              </w:rPr>
              <w:t>203</w:t>
            </w:r>
            <w:r w:rsidR="00C94FAA">
              <w:rPr>
                <w:webHidden/>
              </w:rPr>
              <w:fldChar w:fldCharType="end"/>
            </w:r>
          </w:hyperlink>
        </w:p>
        <w:p w14:paraId="548510EA" w14:textId="77777777" w:rsidR="00C94FAA" w:rsidRDefault="001061E2">
          <w:pPr>
            <w:pStyle w:val="Obsah2"/>
            <w:rPr>
              <w:rFonts w:asciiTheme="minorHAnsi" w:eastAsiaTheme="minorEastAsia" w:hAnsiTheme="minorHAnsi" w:cstheme="minorBidi"/>
              <w:b w:val="0"/>
              <w:bCs w:val="0"/>
              <w:noProof/>
              <w:sz w:val="22"/>
              <w:szCs w:val="22"/>
            </w:rPr>
          </w:pPr>
          <w:hyperlink w:anchor="_Toc28951684" w:history="1">
            <w:r w:rsidR="00C94FAA" w:rsidRPr="001D46A0">
              <w:rPr>
                <w:rStyle w:val="Hypertextovprepojenie"/>
                <w:noProof/>
              </w:rPr>
              <w:t>5.1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Geografické oblasti najviac postihnuté chudobou/cieľové skupiny najviac ohrozené diskrimináciou alebo sociálnym vylúčením</w:t>
            </w:r>
            <w:r w:rsidR="00C94FAA">
              <w:rPr>
                <w:noProof/>
                <w:webHidden/>
              </w:rPr>
              <w:tab/>
            </w:r>
            <w:r w:rsidR="00C94FAA">
              <w:rPr>
                <w:noProof/>
                <w:webHidden/>
              </w:rPr>
              <w:fldChar w:fldCharType="begin"/>
            </w:r>
            <w:r w:rsidR="00C94FAA">
              <w:rPr>
                <w:noProof/>
                <w:webHidden/>
              </w:rPr>
              <w:instrText xml:space="preserve"> PAGEREF _Toc28951684 \h </w:instrText>
            </w:r>
            <w:r w:rsidR="00C94FAA">
              <w:rPr>
                <w:noProof/>
                <w:webHidden/>
              </w:rPr>
            </w:r>
            <w:r w:rsidR="00C94FAA">
              <w:rPr>
                <w:noProof/>
                <w:webHidden/>
              </w:rPr>
              <w:fldChar w:fldCharType="separate"/>
            </w:r>
            <w:r w:rsidR="00C94FAA">
              <w:rPr>
                <w:noProof/>
                <w:webHidden/>
              </w:rPr>
              <w:t>203</w:t>
            </w:r>
            <w:r w:rsidR="00C94FAA">
              <w:rPr>
                <w:noProof/>
                <w:webHidden/>
              </w:rPr>
              <w:fldChar w:fldCharType="end"/>
            </w:r>
          </w:hyperlink>
        </w:p>
        <w:p w14:paraId="0FE6D467" w14:textId="77777777" w:rsidR="00C94FAA" w:rsidRDefault="001061E2">
          <w:pPr>
            <w:pStyle w:val="Obsah2"/>
            <w:rPr>
              <w:rFonts w:asciiTheme="minorHAnsi" w:eastAsiaTheme="minorEastAsia" w:hAnsiTheme="minorHAnsi" w:cstheme="minorBidi"/>
              <w:b w:val="0"/>
              <w:bCs w:val="0"/>
              <w:noProof/>
              <w:sz w:val="22"/>
              <w:szCs w:val="22"/>
            </w:rPr>
          </w:pPr>
          <w:hyperlink w:anchor="_Toc28951685" w:history="1">
            <w:r w:rsidR="00C94FAA" w:rsidRPr="001D46A0">
              <w:rPr>
                <w:rStyle w:val="Hypertextovprepojenie"/>
                <w:noProof/>
              </w:rPr>
              <w:t>5.2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Stratégia pre riešenie špecifických potrieb geografických oblastí najviac postihnutých chudobou/cieľových skupín najviac ohrozených diskrimináciou alebo sociálnym vylúčením</w:t>
            </w:r>
            <w:r w:rsidR="00C94FAA">
              <w:rPr>
                <w:noProof/>
                <w:webHidden/>
              </w:rPr>
              <w:tab/>
            </w:r>
            <w:r w:rsidR="00C94FAA">
              <w:rPr>
                <w:noProof/>
                <w:webHidden/>
              </w:rPr>
              <w:fldChar w:fldCharType="begin"/>
            </w:r>
            <w:r w:rsidR="00C94FAA">
              <w:rPr>
                <w:noProof/>
                <w:webHidden/>
              </w:rPr>
              <w:instrText xml:space="preserve"> PAGEREF _Toc28951685 \h </w:instrText>
            </w:r>
            <w:r w:rsidR="00C94FAA">
              <w:rPr>
                <w:noProof/>
                <w:webHidden/>
              </w:rPr>
            </w:r>
            <w:r w:rsidR="00C94FAA">
              <w:rPr>
                <w:noProof/>
                <w:webHidden/>
              </w:rPr>
              <w:fldChar w:fldCharType="separate"/>
            </w:r>
            <w:r w:rsidR="00C94FAA">
              <w:rPr>
                <w:noProof/>
                <w:webHidden/>
              </w:rPr>
              <w:t>203</w:t>
            </w:r>
            <w:r w:rsidR="00C94FAA">
              <w:rPr>
                <w:noProof/>
                <w:webHidden/>
              </w:rPr>
              <w:fldChar w:fldCharType="end"/>
            </w:r>
          </w:hyperlink>
        </w:p>
        <w:p w14:paraId="256F1C68"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686" w:history="1">
            <w:r w:rsidR="00C94FAA" w:rsidRPr="001D46A0">
              <w:rPr>
                <w:rStyle w:val="Hypertextovprepojenie"/>
              </w:rPr>
              <w:t>6</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Špecifické potreby geografických oblastí so závažne a trvalo znevýhodnenými prírodnými alebo demografickými podmienkami</w:t>
            </w:r>
            <w:r w:rsidR="00C94FAA">
              <w:rPr>
                <w:webHidden/>
              </w:rPr>
              <w:tab/>
            </w:r>
            <w:r w:rsidR="00C94FAA">
              <w:rPr>
                <w:webHidden/>
              </w:rPr>
              <w:fldChar w:fldCharType="begin"/>
            </w:r>
            <w:r w:rsidR="00C94FAA">
              <w:rPr>
                <w:webHidden/>
              </w:rPr>
              <w:instrText xml:space="preserve"> PAGEREF _Toc28951686 \h </w:instrText>
            </w:r>
            <w:r w:rsidR="00C94FAA">
              <w:rPr>
                <w:webHidden/>
              </w:rPr>
            </w:r>
            <w:r w:rsidR="00C94FAA">
              <w:rPr>
                <w:webHidden/>
              </w:rPr>
              <w:fldChar w:fldCharType="separate"/>
            </w:r>
            <w:r w:rsidR="00C94FAA">
              <w:rPr>
                <w:webHidden/>
              </w:rPr>
              <w:t>204</w:t>
            </w:r>
            <w:r w:rsidR="00C94FAA">
              <w:rPr>
                <w:webHidden/>
              </w:rPr>
              <w:fldChar w:fldCharType="end"/>
            </w:r>
          </w:hyperlink>
        </w:p>
        <w:p w14:paraId="32A182F8"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687" w:history="1">
            <w:r w:rsidR="00C94FAA" w:rsidRPr="001D46A0">
              <w:rPr>
                <w:rStyle w:val="Hypertextovprepojenie"/>
              </w:rPr>
              <w:t>7</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Orgány a subjekty zodpovedné za riadenie, kontrolu a audit a úlohy príslušných partnerov</w:t>
            </w:r>
            <w:r w:rsidR="00C94FAA">
              <w:rPr>
                <w:webHidden/>
              </w:rPr>
              <w:tab/>
            </w:r>
            <w:r w:rsidR="00C94FAA">
              <w:rPr>
                <w:webHidden/>
              </w:rPr>
              <w:fldChar w:fldCharType="begin"/>
            </w:r>
            <w:r w:rsidR="00C94FAA">
              <w:rPr>
                <w:webHidden/>
              </w:rPr>
              <w:instrText xml:space="preserve"> PAGEREF _Toc28951687 \h </w:instrText>
            </w:r>
            <w:r w:rsidR="00C94FAA">
              <w:rPr>
                <w:webHidden/>
              </w:rPr>
            </w:r>
            <w:r w:rsidR="00C94FAA">
              <w:rPr>
                <w:webHidden/>
              </w:rPr>
              <w:fldChar w:fldCharType="separate"/>
            </w:r>
            <w:r w:rsidR="00C94FAA">
              <w:rPr>
                <w:webHidden/>
              </w:rPr>
              <w:t>205</w:t>
            </w:r>
            <w:r w:rsidR="00C94FAA">
              <w:rPr>
                <w:webHidden/>
              </w:rPr>
              <w:fldChar w:fldCharType="end"/>
            </w:r>
          </w:hyperlink>
        </w:p>
        <w:p w14:paraId="792A3EFB" w14:textId="77777777" w:rsidR="00C94FAA" w:rsidRDefault="001061E2">
          <w:pPr>
            <w:pStyle w:val="Obsah2"/>
            <w:rPr>
              <w:rFonts w:asciiTheme="minorHAnsi" w:eastAsiaTheme="minorEastAsia" w:hAnsiTheme="minorHAnsi" w:cstheme="minorBidi"/>
              <w:b w:val="0"/>
              <w:bCs w:val="0"/>
              <w:noProof/>
              <w:sz w:val="22"/>
              <w:szCs w:val="22"/>
            </w:rPr>
          </w:pPr>
          <w:hyperlink w:anchor="_Toc28951688" w:history="1">
            <w:r w:rsidR="00C94FAA" w:rsidRPr="001D46A0">
              <w:rPr>
                <w:rStyle w:val="Hypertextovprepojenie"/>
                <w:noProof/>
              </w:rPr>
              <w:t>7.1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Identifikácia príslušných orgánov a subjektov</w:t>
            </w:r>
            <w:r w:rsidR="00C94FAA">
              <w:rPr>
                <w:noProof/>
                <w:webHidden/>
              </w:rPr>
              <w:tab/>
            </w:r>
            <w:r w:rsidR="00C94FAA">
              <w:rPr>
                <w:noProof/>
                <w:webHidden/>
              </w:rPr>
              <w:fldChar w:fldCharType="begin"/>
            </w:r>
            <w:r w:rsidR="00C94FAA">
              <w:rPr>
                <w:noProof/>
                <w:webHidden/>
              </w:rPr>
              <w:instrText xml:space="preserve"> PAGEREF _Toc28951688 \h </w:instrText>
            </w:r>
            <w:r w:rsidR="00C94FAA">
              <w:rPr>
                <w:noProof/>
                <w:webHidden/>
              </w:rPr>
            </w:r>
            <w:r w:rsidR="00C94FAA">
              <w:rPr>
                <w:noProof/>
                <w:webHidden/>
              </w:rPr>
              <w:fldChar w:fldCharType="separate"/>
            </w:r>
            <w:r w:rsidR="00C94FAA">
              <w:rPr>
                <w:noProof/>
                <w:webHidden/>
              </w:rPr>
              <w:t>205</w:t>
            </w:r>
            <w:r w:rsidR="00C94FAA">
              <w:rPr>
                <w:noProof/>
                <w:webHidden/>
              </w:rPr>
              <w:fldChar w:fldCharType="end"/>
            </w:r>
          </w:hyperlink>
        </w:p>
        <w:p w14:paraId="64BF09AF" w14:textId="77777777" w:rsidR="00C94FAA" w:rsidRDefault="001061E2">
          <w:pPr>
            <w:pStyle w:val="Obsah2"/>
            <w:rPr>
              <w:rFonts w:asciiTheme="minorHAnsi" w:eastAsiaTheme="minorEastAsia" w:hAnsiTheme="minorHAnsi" w:cstheme="minorBidi"/>
              <w:b w:val="0"/>
              <w:bCs w:val="0"/>
              <w:noProof/>
              <w:sz w:val="22"/>
              <w:szCs w:val="22"/>
            </w:rPr>
          </w:pPr>
          <w:hyperlink w:anchor="_Toc28951689" w:history="1">
            <w:r w:rsidR="00C94FAA" w:rsidRPr="001D46A0">
              <w:rPr>
                <w:rStyle w:val="Hypertextovprepojenie"/>
                <w:noProof/>
              </w:rPr>
              <w:t>7.2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Zapojenie príslušných partnerov do prípravy operačného programu a úlohy partnerov v rámci implementácie, monitorovania a hodnotenia operačného programu</w:t>
            </w:r>
            <w:r w:rsidR="00C94FAA">
              <w:rPr>
                <w:noProof/>
                <w:webHidden/>
              </w:rPr>
              <w:tab/>
            </w:r>
            <w:r w:rsidR="00C94FAA">
              <w:rPr>
                <w:noProof/>
                <w:webHidden/>
              </w:rPr>
              <w:fldChar w:fldCharType="begin"/>
            </w:r>
            <w:r w:rsidR="00C94FAA">
              <w:rPr>
                <w:noProof/>
                <w:webHidden/>
              </w:rPr>
              <w:instrText xml:space="preserve"> PAGEREF _Toc28951689 \h </w:instrText>
            </w:r>
            <w:r w:rsidR="00C94FAA">
              <w:rPr>
                <w:noProof/>
                <w:webHidden/>
              </w:rPr>
            </w:r>
            <w:r w:rsidR="00C94FAA">
              <w:rPr>
                <w:noProof/>
                <w:webHidden/>
              </w:rPr>
              <w:fldChar w:fldCharType="separate"/>
            </w:r>
            <w:r w:rsidR="00C94FAA">
              <w:rPr>
                <w:noProof/>
                <w:webHidden/>
              </w:rPr>
              <w:t>205</w:t>
            </w:r>
            <w:r w:rsidR="00C94FAA">
              <w:rPr>
                <w:noProof/>
                <w:webHidden/>
              </w:rPr>
              <w:fldChar w:fldCharType="end"/>
            </w:r>
          </w:hyperlink>
        </w:p>
        <w:p w14:paraId="0FE36B00" w14:textId="77777777" w:rsidR="00C94FAA" w:rsidRDefault="001061E2">
          <w:pPr>
            <w:pStyle w:val="Obsah3"/>
            <w:rPr>
              <w:rFonts w:asciiTheme="minorHAnsi" w:eastAsiaTheme="minorEastAsia" w:hAnsiTheme="minorHAnsi" w:cstheme="minorBidi"/>
              <w:szCs w:val="22"/>
            </w:rPr>
          </w:pPr>
          <w:hyperlink w:anchor="_Toc28951690" w:history="1">
            <w:r w:rsidR="00C94FAA" w:rsidRPr="001D46A0">
              <w:rPr>
                <w:rStyle w:val="Hypertextovprepojenie"/>
              </w:rPr>
              <w:t>7.2.1</w:t>
            </w:r>
            <w:r w:rsidR="00C94FAA">
              <w:rPr>
                <w:rFonts w:asciiTheme="minorHAnsi" w:eastAsiaTheme="minorEastAsia" w:hAnsiTheme="minorHAnsi" w:cstheme="minorBidi"/>
                <w:szCs w:val="22"/>
              </w:rPr>
              <w:tab/>
            </w:r>
            <w:r w:rsidR="00C94FAA" w:rsidRPr="001D46A0">
              <w:rPr>
                <w:rStyle w:val="Hypertextovprepojenie"/>
              </w:rPr>
              <w:t>Úloha príslušných partnerov pri príprave, implementácii, monitorovaní a hodnotení operačného programu</w:t>
            </w:r>
            <w:r w:rsidR="00C94FAA">
              <w:rPr>
                <w:webHidden/>
              </w:rPr>
              <w:tab/>
            </w:r>
            <w:r w:rsidR="00C94FAA">
              <w:rPr>
                <w:webHidden/>
              </w:rPr>
              <w:fldChar w:fldCharType="begin"/>
            </w:r>
            <w:r w:rsidR="00C94FAA">
              <w:rPr>
                <w:webHidden/>
              </w:rPr>
              <w:instrText xml:space="preserve"> PAGEREF _Toc28951690 \h </w:instrText>
            </w:r>
            <w:r w:rsidR="00C94FAA">
              <w:rPr>
                <w:webHidden/>
              </w:rPr>
            </w:r>
            <w:r w:rsidR="00C94FAA">
              <w:rPr>
                <w:webHidden/>
              </w:rPr>
              <w:fldChar w:fldCharType="separate"/>
            </w:r>
            <w:r w:rsidR="00C94FAA">
              <w:rPr>
                <w:webHidden/>
              </w:rPr>
              <w:t>205</w:t>
            </w:r>
            <w:r w:rsidR="00C94FAA">
              <w:rPr>
                <w:webHidden/>
              </w:rPr>
              <w:fldChar w:fldCharType="end"/>
            </w:r>
          </w:hyperlink>
        </w:p>
        <w:p w14:paraId="228C8C1C"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691" w:history="1">
            <w:r w:rsidR="00C94FAA" w:rsidRPr="001D46A0">
              <w:rPr>
                <w:rStyle w:val="Hypertextovprepojenie"/>
              </w:rPr>
              <w:t>8</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Koordinácia s inými programami a finančnými nástrojmi</w:t>
            </w:r>
            <w:r w:rsidR="00C94FAA">
              <w:rPr>
                <w:webHidden/>
              </w:rPr>
              <w:tab/>
            </w:r>
            <w:r w:rsidR="00C94FAA">
              <w:rPr>
                <w:webHidden/>
              </w:rPr>
              <w:fldChar w:fldCharType="begin"/>
            </w:r>
            <w:r w:rsidR="00C94FAA">
              <w:rPr>
                <w:webHidden/>
              </w:rPr>
              <w:instrText xml:space="preserve"> PAGEREF _Toc28951691 \h </w:instrText>
            </w:r>
            <w:r w:rsidR="00C94FAA">
              <w:rPr>
                <w:webHidden/>
              </w:rPr>
            </w:r>
            <w:r w:rsidR="00C94FAA">
              <w:rPr>
                <w:webHidden/>
              </w:rPr>
              <w:fldChar w:fldCharType="separate"/>
            </w:r>
            <w:r w:rsidR="00C94FAA">
              <w:rPr>
                <w:webHidden/>
              </w:rPr>
              <w:t>209</w:t>
            </w:r>
            <w:r w:rsidR="00C94FAA">
              <w:rPr>
                <w:webHidden/>
              </w:rPr>
              <w:fldChar w:fldCharType="end"/>
            </w:r>
          </w:hyperlink>
        </w:p>
        <w:p w14:paraId="04E7CEFD" w14:textId="77777777" w:rsidR="00C94FAA" w:rsidRDefault="001061E2">
          <w:pPr>
            <w:pStyle w:val="Obsah2"/>
            <w:rPr>
              <w:rFonts w:asciiTheme="minorHAnsi" w:eastAsiaTheme="minorEastAsia" w:hAnsiTheme="minorHAnsi" w:cstheme="minorBidi"/>
              <w:b w:val="0"/>
              <w:bCs w:val="0"/>
              <w:noProof/>
              <w:sz w:val="22"/>
              <w:szCs w:val="22"/>
            </w:rPr>
          </w:pPr>
          <w:hyperlink w:anchor="_Toc28951692" w:history="1">
            <w:r w:rsidR="00C94FAA" w:rsidRPr="001D46A0">
              <w:rPr>
                <w:rStyle w:val="Hypertextovprepojenie"/>
                <w:noProof/>
              </w:rPr>
              <w:t>8.1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Deliace línie s ostatnými EŠIF</w:t>
            </w:r>
            <w:r w:rsidR="00C94FAA">
              <w:rPr>
                <w:noProof/>
                <w:webHidden/>
              </w:rPr>
              <w:tab/>
            </w:r>
            <w:r w:rsidR="00C94FAA">
              <w:rPr>
                <w:noProof/>
                <w:webHidden/>
              </w:rPr>
              <w:fldChar w:fldCharType="begin"/>
            </w:r>
            <w:r w:rsidR="00C94FAA">
              <w:rPr>
                <w:noProof/>
                <w:webHidden/>
              </w:rPr>
              <w:instrText xml:space="preserve"> PAGEREF _Toc28951692 \h </w:instrText>
            </w:r>
            <w:r w:rsidR="00C94FAA">
              <w:rPr>
                <w:noProof/>
                <w:webHidden/>
              </w:rPr>
            </w:r>
            <w:r w:rsidR="00C94FAA">
              <w:rPr>
                <w:noProof/>
                <w:webHidden/>
              </w:rPr>
              <w:fldChar w:fldCharType="separate"/>
            </w:r>
            <w:r w:rsidR="00C94FAA">
              <w:rPr>
                <w:noProof/>
                <w:webHidden/>
              </w:rPr>
              <w:t>209</w:t>
            </w:r>
            <w:r w:rsidR="00C94FAA">
              <w:rPr>
                <w:noProof/>
                <w:webHidden/>
              </w:rPr>
              <w:fldChar w:fldCharType="end"/>
            </w:r>
          </w:hyperlink>
        </w:p>
        <w:p w14:paraId="4BFC77F5"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693" w:history="1">
            <w:r w:rsidR="00C94FAA" w:rsidRPr="001D46A0">
              <w:rPr>
                <w:rStyle w:val="Hypertextovprepojenie"/>
              </w:rPr>
              <w:t>9</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Ex ante kondicionality</w:t>
            </w:r>
            <w:r w:rsidR="00C94FAA">
              <w:rPr>
                <w:webHidden/>
              </w:rPr>
              <w:tab/>
            </w:r>
            <w:r w:rsidR="00C94FAA">
              <w:rPr>
                <w:webHidden/>
              </w:rPr>
              <w:fldChar w:fldCharType="begin"/>
            </w:r>
            <w:r w:rsidR="00C94FAA">
              <w:rPr>
                <w:webHidden/>
              </w:rPr>
              <w:instrText xml:space="preserve"> PAGEREF _Toc28951693 \h </w:instrText>
            </w:r>
            <w:r w:rsidR="00C94FAA">
              <w:rPr>
                <w:webHidden/>
              </w:rPr>
            </w:r>
            <w:r w:rsidR="00C94FAA">
              <w:rPr>
                <w:webHidden/>
              </w:rPr>
              <w:fldChar w:fldCharType="separate"/>
            </w:r>
            <w:r w:rsidR="00C94FAA">
              <w:rPr>
                <w:webHidden/>
              </w:rPr>
              <w:t>213</w:t>
            </w:r>
            <w:r w:rsidR="00C94FAA">
              <w:rPr>
                <w:webHidden/>
              </w:rPr>
              <w:fldChar w:fldCharType="end"/>
            </w:r>
          </w:hyperlink>
        </w:p>
        <w:p w14:paraId="2F92C6C0" w14:textId="77777777" w:rsidR="00C94FAA" w:rsidRDefault="001061E2">
          <w:pPr>
            <w:pStyle w:val="Obsah2"/>
            <w:rPr>
              <w:rFonts w:asciiTheme="minorHAnsi" w:eastAsiaTheme="minorEastAsia" w:hAnsiTheme="minorHAnsi" w:cstheme="minorBidi"/>
              <w:b w:val="0"/>
              <w:bCs w:val="0"/>
              <w:noProof/>
              <w:sz w:val="22"/>
              <w:szCs w:val="22"/>
            </w:rPr>
          </w:pPr>
          <w:hyperlink w:anchor="_Toc28951694" w:history="1">
            <w:r w:rsidR="00C94FAA" w:rsidRPr="001D46A0">
              <w:rPr>
                <w:rStyle w:val="Hypertextovprepojenie"/>
                <w:noProof/>
              </w:rPr>
              <w:t>9.1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Identifikácia príslušných ex ante kondicionalít a vyhodnotenie ich plnenia</w:t>
            </w:r>
            <w:r w:rsidR="00C94FAA">
              <w:rPr>
                <w:noProof/>
                <w:webHidden/>
              </w:rPr>
              <w:tab/>
            </w:r>
            <w:r w:rsidR="00C94FAA">
              <w:rPr>
                <w:noProof/>
                <w:webHidden/>
              </w:rPr>
              <w:fldChar w:fldCharType="begin"/>
            </w:r>
            <w:r w:rsidR="00C94FAA">
              <w:rPr>
                <w:noProof/>
                <w:webHidden/>
              </w:rPr>
              <w:instrText xml:space="preserve"> PAGEREF _Toc28951694 \h </w:instrText>
            </w:r>
            <w:r w:rsidR="00C94FAA">
              <w:rPr>
                <w:noProof/>
                <w:webHidden/>
              </w:rPr>
            </w:r>
            <w:r w:rsidR="00C94FAA">
              <w:rPr>
                <w:noProof/>
                <w:webHidden/>
              </w:rPr>
              <w:fldChar w:fldCharType="separate"/>
            </w:r>
            <w:r w:rsidR="00C94FAA">
              <w:rPr>
                <w:noProof/>
                <w:webHidden/>
              </w:rPr>
              <w:t>213</w:t>
            </w:r>
            <w:r w:rsidR="00C94FAA">
              <w:rPr>
                <w:noProof/>
                <w:webHidden/>
              </w:rPr>
              <w:fldChar w:fldCharType="end"/>
            </w:r>
          </w:hyperlink>
        </w:p>
        <w:p w14:paraId="2CDF77F0" w14:textId="77777777" w:rsidR="00C94FAA" w:rsidRDefault="001061E2">
          <w:pPr>
            <w:pStyle w:val="Obsah2"/>
            <w:rPr>
              <w:rFonts w:asciiTheme="minorHAnsi" w:eastAsiaTheme="minorEastAsia" w:hAnsiTheme="minorHAnsi" w:cstheme="minorBidi"/>
              <w:b w:val="0"/>
              <w:bCs w:val="0"/>
              <w:noProof/>
              <w:sz w:val="22"/>
              <w:szCs w:val="22"/>
            </w:rPr>
          </w:pPr>
          <w:hyperlink w:anchor="_Toc28951695" w:history="1">
            <w:r w:rsidR="00C94FAA" w:rsidRPr="001D46A0">
              <w:rPr>
                <w:rStyle w:val="Hypertextovprepojenie"/>
                <w:noProof/>
              </w:rPr>
              <w:t>9.2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Aktivity na zabezpečenie splnenia všeobecných a tematických ex ante kondicionalít</w:t>
            </w:r>
            <w:r w:rsidR="00C94FAA">
              <w:rPr>
                <w:noProof/>
                <w:webHidden/>
              </w:rPr>
              <w:tab/>
            </w:r>
            <w:r w:rsidR="00C94FAA">
              <w:rPr>
                <w:noProof/>
                <w:webHidden/>
              </w:rPr>
              <w:fldChar w:fldCharType="begin"/>
            </w:r>
            <w:r w:rsidR="00C94FAA">
              <w:rPr>
                <w:noProof/>
                <w:webHidden/>
              </w:rPr>
              <w:instrText xml:space="preserve"> PAGEREF _Toc28951695 \h </w:instrText>
            </w:r>
            <w:r w:rsidR="00C94FAA">
              <w:rPr>
                <w:noProof/>
                <w:webHidden/>
              </w:rPr>
            </w:r>
            <w:r w:rsidR="00C94FAA">
              <w:rPr>
                <w:noProof/>
                <w:webHidden/>
              </w:rPr>
              <w:fldChar w:fldCharType="separate"/>
            </w:r>
            <w:r w:rsidR="00C94FAA">
              <w:rPr>
                <w:noProof/>
                <w:webHidden/>
              </w:rPr>
              <w:t>243</w:t>
            </w:r>
            <w:r w:rsidR="00C94FAA">
              <w:rPr>
                <w:noProof/>
                <w:webHidden/>
              </w:rPr>
              <w:fldChar w:fldCharType="end"/>
            </w:r>
          </w:hyperlink>
        </w:p>
        <w:p w14:paraId="1408F0E8"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696" w:history="1">
            <w:r w:rsidR="00C94FAA" w:rsidRPr="001D46A0">
              <w:rPr>
                <w:rStyle w:val="Hypertextovprepojenie"/>
              </w:rPr>
              <w:t>10</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Zníženie administratívnej záťaže pre prijímateľov</w:t>
            </w:r>
            <w:r w:rsidR="00C94FAA">
              <w:rPr>
                <w:webHidden/>
              </w:rPr>
              <w:tab/>
            </w:r>
            <w:r w:rsidR="00C94FAA">
              <w:rPr>
                <w:webHidden/>
              </w:rPr>
              <w:fldChar w:fldCharType="begin"/>
            </w:r>
            <w:r w:rsidR="00C94FAA">
              <w:rPr>
                <w:webHidden/>
              </w:rPr>
              <w:instrText xml:space="preserve"> PAGEREF _Toc28951696 \h </w:instrText>
            </w:r>
            <w:r w:rsidR="00C94FAA">
              <w:rPr>
                <w:webHidden/>
              </w:rPr>
            </w:r>
            <w:r w:rsidR="00C94FAA">
              <w:rPr>
                <w:webHidden/>
              </w:rPr>
              <w:fldChar w:fldCharType="separate"/>
            </w:r>
            <w:r w:rsidR="00C94FAA">
              <w:rPr>
                <w:webHidden/>
              </w:rPr>
              <w:t>259</w:t>
            </w:r>
            <w:r w:rsidR="00C94FAA">
              <w:rPr>
                <w:webHidden/>
              </w:rPr>
              <w:fldChar w:fldCharType="end"/>
            </w:r>
          </w:hyperlink>
        </w:p>
        <w:p w14:paraId="360EA908"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697" w:history="1">
            <w:r w:rsidR="00C94FAA" w:rsidRPr="001D46A0">
              <w:rPr>
                <w:rStyle w:val="Hypertextovprepojenie"/>
              </w:rPr>
              <w:t>11</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Horizontálne princípy</w:t>
            </w:r>
            <w:r w:rsidR="00C94FAA">
              <w:rPr>
                <w:webHidden/>
              </w:rPr>
              <w:tab/>
            </w:r>
            <w:r w:rsidR="00C94FAA">
              <w:rPr>
                <w:webHidden/>
              </w:rPr>
              <w:fldChar w:fldCharType="begin"/>
            </w:r>
            <w:r w:rsidR="00C94FAA">
              <w:rPr>
                <w:webHidden/>
              </w:rPr>
              <w:instrText xml:space="preserve"> PAGEREF _Toc28951697 \h </w:instrText>
            </w:r>
            <w:r w:rsidR="00C94FAA">
              <w:rPr>
                <w:webHidden/>
              </w:rPr>
            </w:r>
            <w:r w:rsidR="00C94FAA">
              <w:rPr>
                <w:webHidden/>
              </w:rPr>
              <w:fldChar w:fldCharType="separate"/>
            </w:r>
            <w:r w:rsidR="00C94FAA">
              <w:rPr>
                <w:webHidden/>
              </w:rPr>
              <w:t>261</w:t>
            </w:r>
            <w:r w:rsidR="00C94FAA">
              <w:rPr>
                <w:webHidden/>
              </w:rPr>
              <w:fldChar w:fldCharType="end"/>
            </w:r>
          </w:hyperlink>
        </w:p>
        <w:p w14:paraId="6B776CF3" w14:textId="77777777" w:rsidR="00C94FAA" w:rsidRDefault="001061E2">
          <w:pPr>
            <w:pStyle w:val="Obsah2"/>
            <w:rPr>
              <w:rFonts w:asciiTheme="minorHAnsi" w:eastAsiaTheme="minorEastAsia" w:hAnsiTheme="minorHAnsi" w:cstheme="minorBidi"/>
              <w:b w:val="0"/>
              <w:bCs w:val="0"/>
              <w:noProof/>
              <w:sz w:val="22"/>
              <w:szCs w:val="22"/>
            </w:rPr>
          </w:pPr>
          <w:hyperlink w:anchor="_Toc28951698" w:history="1">
            <w:r w:rsidR="00C94FAA" w:rsidRPr="001D46A0">
              <w:rPr>
                <w:rStyle w:val="Hypertextovprepojenie"/>
                <w:noProof/>
              </w:rPr>
              <w:t>11.1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Udržateľný rozvoj</w:t>
            </w:r>
            <w:r w:rsidR="00C94FAA">
              <w:rPr>
                <w:noProof/>
                <w:webHidden/>
              </w:rPr>
              <w:tab/>
            </w:r>
            <w:r w:rsidR="00C94FAA">
              <w:rPr>
                <w:noProof/>
                <w:webHidden/>
              </w:rPr>
              <w:fldChar w:fldCharType="begin"/>
            </w:r>
            <w:r w:rsidR="00C94FAA">
              <w:rPr>
                <w:noProof/>
                <w:webHidden/>
              </w:rPr>
              <w:instrText xml:space="preserve"> PAGEREF _Toc28951698 \h </w:instrText>
            </w:r>
            <w:r w:rsidR="00C94FAA">
              <w:rPr>
                <w:noProof/>
                <w:webHidden/>
              </w:rPr>
            </w:r>
            <w:r w:rsidR="00C94FAA">
              <w:rPr>
                <w:noProof/>
                <w:webHidden/>
              </w:rPr>
              <w:fldChar w:fldCharType="separate"/>
            </w:r>
            <w:r w:rsidR="00C94FAA">
              <w:rPr>
                <w:noProof/>
                <w:webHidden/>
              </w:rPr>
              <w:t>261</w:t>
            </w:r>
            <w:r w:rsidR="00C94FAA">
              <w:rPr>
                <w:noProof/>
                <w:webHidden/>
              </w:rPr>
              <w:fldChar w:fldCharType="end"/>
            </w:r>
          </w:hyperlink>
        </w:p>
        <w:p w14:paraId="5F9B8655" w14:textId="77777777" w:rsidR="00C94FAA" w:rsidRDefault="001061E2">
          <w:pPr>
            <w:pStyle w:val="Obsah2"/>
            <w:rPr>
              <w:rFonts w:asciiTheme="minorHAnsi" w:eastAsiaTheme="minorEastAsia" w:hAnsiTheme="minorHAnsi" w:cstheme="minorBidi"/>
              <w:b w:val="0"/>
              <w:bCs w:val="0"/>
              <w:noProof/>
              <w:sz w:val="22"/>
              <w:szCs w:val="22"/>
            </w:rPr>
          </w:pPr>
          <w:hyperlink w:anchor="_Toc28951699" w:history="1">
            <w:r w:rsidR="00C94FAA" w:rsidRPr="001D46A0">
              <w:rPr>
                <w:rStyle w:val="Hypertextovprepojenie"/>
                <w:noProof/>
              </w:rPr>
              <w:t>11.2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Rovnosť príležitostí a nediskriminácia</w:t>
            </w:r>
            <w:r w:rsidR="00C94FAA">
              <w:rPr>
                <w:noProof/>
                <w:webHidden/>
              </w:rPr>
              <w:tab/>
            </w:r>
            <w:r w:rsidR="00C94FAA">
              <w:rPr>
                <w:noProof/>
                <w:webHidden/>
              </w:rPr>
              <w:fldChar w:fldCharType="begin"/>
            </w:r>
            <w:r w:rsidR="00C94FAA">
              <w:rPr>
                <w:noProof/>
                <w:webHidden/>
              </w:rPr>
              <w:instrText xml:space="preserve"> PAGEREF _Toc28951699 \h </w:instrText>
            </w:r>
            <w:r w:rsidR="00C94FAA">
              <w:rPr>
                <w:noProof/>
                <w:webHidden/>
              </w:rPr>
            </w:r>
            <w:r w:rsidR="00C94FAA">
              <w:rPr>
                <w:noProof/>
                <w:webHidden/>
              </w:rPr>
              <w:fldChar w:fldCharType="separate"/>
            </w:r>
            <w:r w:rsidR="00C94FAA">
              <w:rPr>
                <w:noProof/>
                <w:webHidden/>
              </w:rPr>
              <w:t>262</w:t>
            </w:r>
            <w:r w:rsidR="00C94FAA">
              <w:rPr>
                <w:noProof/>
                <w:webHidden/>
              </w:rPr>
              <w:fldChar w:fldCharType="end"/>
            </w:r>
          </w:hyperlink>
        </w:p>
        <w:p w14:paraId="6C7D65FC" w14:textId="77777777" w:rsidR="00C94FAA" w:rsidRDefault="001061E2">
          <w:pPr>
            <w:pStyle w:val="Obsah2"/>
            <w:rPr>
              <w:rFonts w:asciiTheme="minorHAnsi" w:eastAsiaTheme="minorEastAsia" w:hAnsiTheme="minorHAnsi" w:cstheme="minorBidi"/>
              <w:b w:val="0"/>
              <w:bCs w:val="0"/>
              <w:noProof/>
              <w:sz w:val="22"/>
              <w:szCs w:val="22"/>
            </w:rPr>
          </w:pPr>
          <w:hyperlink w:anchor="_Toc28951700" w:history="1">
            <w:r w:rsidR="00C94FAA" w:rsidRPr="001D46A0">
              <w:rPr>
                <w:rStyle w:val="Hypertextovprepojenie"/>
                <w:noProof/>
              </w:rPr>
              <w:t>11.3</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Rovnosť medzi mužmi a ženami</w:t>
            </w:r>
            <w:r w:rsidR="00C94FAA">
              <w:rPr>
                <w:noProof/>
                <w:webHidden/>
              </w:rPr>
              <w:tab/>
            </w:r>
            <w:r w:rsidR="00C94FAA">
              <w:rPr>
                <w:noProof/>
                <w:webHidden/>
              </w:rPr>
              <w:fldChar w:fldCharType="begin"/>
            </w:r>
            <w:r w:rsidR="00C94FAA">
              <w:rPr>
                <w:noProof/>
                <w:webHidden/>
              </w:rPr>
              <w:instrText xml:space="preserve"> PAGEREF _Toc28951700 \h </w:instrText>
            </w:r>
            <w:r w:rsidR="00C94FAA">
              <w:rPr>
                <w:noProof/>
                <w:webHidden/>
              </w:rPr>
            </w:r>
            <w:r w:rsidR="00C94FAA">
              <w:rPr>
                <w:noProof/>
                <w:webHidden/>
              </w:rPr>
              <w:fldChar w:fldCharType="separate"/>
            </w:r>
            <w:r w:rsidR="00C94FAA">
              <w:rPr>
                <w:noProof/>
                <w:webHidden/>
              </w:rPr>
              <w:t>263</w:t>
            </w:r>
            <w:r w:rsidR="00C94FAA">
              <w:rPr>
                <w:noProof/>
                <w:webHidden/>
              </w:rPr>
              <w:fldChar w:fldCharType="end"/>
            </w:r>
          </w:hyperlink>
        </w:p>
        <w:p w14:paraId="21BE5F19"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701" w:history="1">
            <w:r w:rsidR="00C94FAA" w:rsidRPr="001D46A0">
              <w:rPr>
                <w:rStyle w:val="Hypertextovprepojenie"/>
              </w:rPr>
              <w:t>12</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Samostatné časti</w:t>
            </w:r>
            <w:r w:rsidR="00C94FAA">
              <w:rPr>
                <w:webHidden/>
              </w:rPr>
              <w:tab/>
            </w:r>
            <w:r w:rsidR="00C94FAA">
              <w:rPr>
                <w:webHidden/>
              </w:rPr>
              <w:fldChar w:fldCharType="begin"/>
            </w:r>
            <w:r w:rsidR="00C94FAA">
              <w:rPr>
                <w:webHidden/>
              </w:rPr>
              <w:instrText xml:space="preserve"> PAGEREF _Toc28951701 \h </w:instrText>
            </w:r>
            <w:r w:rsidR="00C94FAA">
              <w:rPr>
                <w:webHidden/>
              </w:rPr>
            </w:r>
            <w:r w:rsidR="00C94FAA">
              <w:rPr>
                <w:webHidden/>
              </w:rPr>
              <w:fldChar w:fldCharType="separate"/>
            </w:r>
            <w:r w:rsidR="00C94FAA">
              <w:rPr>
                <w:webHidden/>
              </w:rPr>
              <w:t>265</w:t>
            </w:r>
            <w:r w:rsidR="00C94FAA">
              <w:rPr>
                <w:webHidden/>
              </w:rPr>
              <w:fldChar w:fldCharType="end"/>
            </w:r>
          </w:hyperlink>
        </w:p>
        <w:p w14:paraId="1F5300F3" w14:textId="77777777" w:rsidR="00C94FAA" w:rsidRDefault="001061E2">
          <w:pPr>
            <w:pStyle w:val="Obsah2"/>
            <w:rPr>
              <w:rFonts w:asciiTheme="minorHAnsi" w:eastAsiaTheme="minorEastAsia" w:hAnsiTheme="minorHAnsi" w:cstheme="minorBidi"/>
              <w:b w:val="0"/>
              <w:bCs w:val="0"/>
              <w:noProof/>
              <w:sz w:val="22"/>
              <w:szCs w:val="22"/>
            </w:rPr>
          </w:pPr>
          <w:hyperlink w:anchor="_Toc28951702" w:history="1">
            <w:r w:rsidR="00C94FAA" w:rsidRPr="001D46A0">
              <w:rPr>
                <w:rStyle w:val="Hypertextovprepojenie"/>
                <w:noProof/>
              </w:rPr>
              <w:t>12.1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Zoznam veľkých projektov</w:t>
            </w:r>
            <w:r w:rsidR="00C94FAA">
              <w:rPr>
                <w:noProof/>
                <w:webHidden/>
              </w:rPr>
              <w:tab/>
            </w:r>
            <w:r w:rsidR="00C94FAA">
              <w:rPr>
                <w:noProof/>
                <w:webHidden/>
              </w:rPr>
              <w:fldChar w:fldCharType="begin"/>
            </w:r>
            <w:r w:rsidR="00C94FAA">
              <w:rPr>
                <w:noProof/>
                <w:webHidden/>
              </w:rPr>
              <w:instrText xml:space="preserve"> PAGEREF _Toc28951702 \h </w:instrText>
            </w:r>
            <w:r w:rsidR="00C94FAA">
              <w:rPr>
                <w:noProof/>
                <w:webHidden/>
              </w:rPr>
            </w:r>
            <w:r w:rsidR="00C94FAA">
              <w:rPr>
                <w:noProof/>
                <w:webHidden/>
              </w:rPr>
              <w:fldChar w:fldCharType="separate"/>
            </w:r>
            <w:r w:rsidR="00C94FAA">
              <w:rPr>
                <w:noProof/>
                <w:webHidden/>
              </w:rPr>
              <w:t>265</w:t>
            </w:r>
            <w:r w:rsidR="00C94FAA">
              <w:rPr>
                <w:noProof/>
                <w:webHidden/>
              </w:rPr>
              <w:fldChar w:fldCharType="end"/>
            </w:r>
          </w:hyperlink>
        </w:p>
        <w:p w14:paraId="4E582CF7" w14:textId="77777777" w:rsidR="00C94FAA" w:rsidRDefault="001061E2">
          <w:pPr>
            <w:pStyle w:val="Obsah2"/>
            <w:rPr>
              <w:rFonts w:asciiTheme="minorHAnsi" w:eastAsiaTheme="minorEastAsia" w:hAnsiTheme="minorHAnsi" w:cstheme="minorBidi"/>
              <w:b w:val="0"/>
              <w:bCs w:val="0"/>
              <w:noProof/>
              <w:sz w:val="22"/>
              <w:szCs w:val="22"/>
            </w:rPr>
          </w:pPr>
          <w:hyperlink w:anchor="_Toc28951703" w:history="1">
            <w:r w:rsidR="00C94FAA" w:rsidRPr="001D46A0">
              <w:rPr>
                <w:rStyle w:val="Hypertextovprepojenie"/>
                <w:noProof/>
                <w:lang w:eastAsia="cs-CZ"/>
              </w:rPr>
              <w:t>12.2</w:t>
            </w:r>
            <w:r w:rsidR="00C94FAA">
              <w:rPr>
                <w:rFonts w:asciiTheme="minorHAnsi" w:eastAsiaTheme="minorEastAsia" w:hAnsiTheme="minorHAnsi" w:cstheme="minorBidi"/>
                <w:b w:val="0"/>
                <w:bCs w:val="0"/>
                <w:noProof/>
                <w:sz w:val="22"/>
                <w:szCs w:val="22"/>
              </w:rPr>
              <w:tab/>
            </w:r>
            <w:r w:rsidR="00C94FAA" w:rsidRPr="001D46A0">
              <w:rPr>
                <w:rStyle w:val="Hypertextovprepojenie"/>
                <w:noProof/>
                <w:lang w:eastAsia="cs-CZ"/>
              </w:rPr>
              <w:t>Výkonnostný rámec</w:t>
            </w:r>
            <w:r w:rsidR="00C94FAA">
              <w:rPr>
                <w:noProof/>
                <w:webHidden/>
              </w:rPr>
              <w:tab/>
            </w:r>
            <w:r w:rsidR="00C94FAA">
              <w:rPr>
                <w:noProof/>
                <w:webHidden/>
              </w:rPr>
              <w:fldChar w:fldCharType="begin"/>
            </w:r>
            <w:r w:rsidR="00C94FAA">
              <w:rPr>
                <w:noProof/>
                <w:webHidden/>
              </w:rPr>
              <w:instrText xml:space="preserve"> PAGEREF _Toc28951703 \h </w:instrText>
            </w:r>
            <w:r w:rsidR="00C94FAA">
              <w:rPr>
                <w:noProof/>
                <w:webHidden/>
              </w:rPr>
            </w:r>
            <w:r w:rsidR="00C94FAA">
              <w:rPr>
                <w:noProof/>
                <w:webHidden/>
              </w:rPr>
              <w:fldChar w:fldCharType="separate"/>
            </w:r>
            <w:r w:rsidR="00C94FAA">
              <w:rPr>
                <w:noProof/>
                <w:webHidden/>
              </w:rPr>
              <w:t>267</w:t>
            </w:r>
            <w:r w:rsidR="00C94FAA">
              <w:rPr>
                <w:noProof/>
                <w:webHidden/>
              </w:rPr>
              <w:fldChar w:fldCharType="end"/>
            </w:r>
          </w:hyperlink>
        </w:p>
        <w:p w14:paraId="27C1CC89" w14:textId="77777777" w:rsidR="00C94FAA" w:rsidRDefault="001061E2">
          <w:pPr>
            <w:pStyle w:val="Obsah2"/>
            <w:rPr>
              <w:rFonts w:asciiTheme="minorHAnsi" w:eastAsiaTheme="minorEastAsia" w:hAnsiTheme="minorHAnsi" w:cstheme="minorBidi"/>
              <w:b w:val="0"/>
              <w:bCs w:val="0"/>
              <w:noProof/>
              <w:sz w:val="22"/>
              <w:szCs w:val="22"/>
            </w:rPr>
          </w:pPr>
          <w:hyperlink w:anchor="_Toc28951704" w:history="1">
            <w:r w:rsidR="00C94FAA" w:rsidRPr="001D46A0">
              <w:rPr>
                <w:rStyle w:val="Hypertextovprepojenie"/>
                <w:noProof/>
              </w:rPr>
              <w:t>12.3</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Zapojenie príslušných partnerov do prípravy operačného programu a úlohy partnerov v rámci implementácie, monitorovania a hodnotenia operačného programu</w:t>
            </w:r>
            <w:r w:rsidR="00C94FAA">
              <w:rPr>
                <w:noProof/>
                <w:webHidden/>
              </w:rPr>
              <w:tab/>
            </w:r>
            <w:r w:rsidR="00C94FAA">
              <w:rPr>
                <w:noProof/>
                <w:webHidden/>
              </w:rPr>
              <w:fldChar w:fldCharType="begin"/>
            </w:r>
            <w:r w:rsidR="00C94FAA">
              <w:rPr>
                <w:noProof/>
                <w:webHidden/>
              </w:rPr>
              <w:instrText xml:space="preserve"> PAGEREF _Toc28951704 \h </w:instrText>
            </w:r>
            <w:r w:rsidR="00C94FAA">
              <w:rPr>
                <w:noProof/>
                <w:webHidden/>
              </w:rPr>
            </w:r>
            <w:r w:rsidR="00C94FAA">
              <w:rPr>
                <w:noProof/>
                <w:webHidden/>
              </w:rPr>
              <w:fldChar w:fldCharType="separate"/>
            </w:r>
            <w:r w:rsidR="00C94FAA">
              <w:rPr>
                <w:noProof/>
                <w:webHidden/>
              </w:rPr>
              <w:t>270</w:t>
            </w:r>
            <w:r w:rsidR="00C94FAA">
              <w:rPr>
                <w:noProof/>
                <w:webHidden/>
              </w:rPr>
              <w:fldChar w:fldCharType="end"/>
            </w:r>
          </w:hyperlink>
        </w:p>
        <w:p w14:paraId="50D05E37" w14:textId="77777777" w:rsidR="00C94FAA" w:rsidRDefault="001061E2">
          <w:pPr>
            <w:pStyle w:val="Obsah1"/>
            <w:rPr>
              <w:rFonts w:asciiTheme="minorHAnsi" w:eastAsiaTheme="minorEastAsia" w:hAnsiTheme="minorHAnsi" w:cstheme="minorBidi"/>
              <w:b w:val="0"/>
              <w:bCs w:val="0"/>
              <w:caps w:val="0"/>
              <w:color w:val="auto"/>
              <w:szCs w:val="22"/>
            </w:rPr>
          </w:pPr>
          <w:hyperlink w:anchor="_Toc28951705" w:history="1">
            <w:r w:rsidR="00C94FAA" w:rsidRPr="001D46A0">
              <w:rPr>
                <w:rStyle w:val="Hypertextovprepojenie"/>
              </w:rPr>
              <w:t>13</w:t>
            </w:r>
            <w:r w:rsidR="00C94FAA">
              <w:rPr>
                <w:rFonts w:asciiTheme="minorHAnsi" w:eastAsiaTheme="minorEastAsia" w:hAnsiTheme="minorHAnsi" w:cstheme="minorBidi"/>
                <w:b w:val="0"/>
                <w:bCs w:val="0"/>
                <w:caps w:val="0"/>
                <w:color w:val="auto"/>
                <w:szCs w:val="22"/>
              </w:rPr>
              <w:tab/>
            </w:r>
            <w:r w:rsidR="00C94FAA" w:rsidRPr="001D46A0">
              <w:rPr>
                <w:rStyle w:val="Hypertextovprepojenie"/>
              </w:rPr>
              <w:t>Prílohy</w:t>
            </w:r>
            <w:r w:rsidR="00C94FAA">
              <w:rPr>
                <w:webHidden/>
              </w:rPr>
              <w:tab/>
            </w:r>
            <w:r w:rsidR="00C94FAA">
              <w:rPr>
                <w:webHidden/>
              </w:rPr>
              <w:fldChar w:fldCharType="begin"/>
            </w:r>
            <w:r w:rsidR="00C94FAA">
              <w:rPr>
                <w:webHidden/>
              </w:rPr>
              <w:instrText xml:space="preserve"> PAGEREF _Toc28951705 \h </w:instrText>
            </w:r>
            <w:r w:rsidR="00C94FAA">
              <w:rPr>
                <w:webHidden/>
              </w:rPr>
            </w:r>
            <w:r w:rsidR="00C94FAA">
              <w:rPr>
                <w:webHidden/>
              </w:rPr>
              <w:fldChar w:fldCharType="separate"/>
            </w:r>
            <w:r w:rsidR="00C94FAA">
              <w:rPr>
                <w:webHidden/>
              </w:rPr>
              <w:t>274</w:t>
            </w:r>
            <w:r w:rsidR="00C94FAA">
              <w:rPr>
                <w:webHidden/>
              </w:rPr>
              <w:fldChar w:fldCharType="end"/>
            </w:r>
          </w:hyperlink>
        </w:p>
        <w:p w14:paraId="64BB3188" w14:textId="77777777" w:rsidR="00C94FAA" w:rsidRDefault="001061E2">
          <w:pPr>
            <w:pStyle w:val="Obsah2"/>
            <w:rPr>
              <w:rFonts w:asciiTheme="minorHAnsi" w:eastAsiaTheme="minorEastAsia" w:hAnsiTheme="minorHAnsi" w:cstheme="minorBidi"/>
              <w:b w:val="0"/>
              <w:bCs w:val="0"/>
              <w:noProof/>
              <w:sz w:val="22"/>
              <w:szCs w:val="22"/>
            </w:rPr>
          </w:pPr>
          <w:hyperlink w:anchor="_Toc28951706" w:history="1">
            <w:r w:rsidR="00C94FAA" w:rsidRPr="001D46A0">
              <w:rPr>
                <w:rStyle w:val="Hypertextovprepojenie"/>
                <w:noProof/>
              </w:rPr>
              <w:t>13.1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Záverečná správa z ex ante hodnotenia OPII</w:t>
            </w:r>
            <w:r w:rsidR="00C94FAA">
              <w:rPr>
                <w:noProof/>
                <w:webHidden/>
              </w:rPr>
              <w:tab/>
            </w:r>
            <w:r w:rsidR="00C94FAA">
              <w:rPr>
                <w:noProof/>
                <w:webHidden/>
              </w:rPr>
              <w:fldChar w:fldCharType="begin"/>
            </w:r>
            <w:r w:rsidR="00C94FAA">
              <w:rPr>
                <w:noProof/>
                <w:webHidden/>
              </w:rPr>
              <w:instrText xml:space="preserve"> PAGEREF _Toc28951706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7C68082B" w14:textId="77777777" w:rsidR="00C94FAA" w:rsidRDefault="001061E2">
          <w:pPr>
            <w:pStyle w:val="Obsah2"/>
            <w:rPr>
              <w:rFonts w:asciiTheme="minorHAnsi" w:eastAsiaTheme="minorEastAsia" w:hAnsiTheme="minorHAnsi" w:cstheme="minorBidi"/>
              <w:b w:val="0"/>
              <w:bCs w:val="0"/>
              <w:noProof/>
              <w:sz w:val="22"/>
              <w:szCs w:val="22"/>
            </w:rPr>
          </w:pPr>
          <w:hyperlink w:anchor="_Toc28951707" w:history="1">
            <w:r w:rsidR="00C94FAA" w:rsidRPr="001D46A0">
              <w:rPr>
                <w:rStyle w:val="Hypertextovprepojenie"/>
                <w:noProof/>
              </w:rPr>
              <w:t>13.2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Zoznam skratiek</w:t>
            </w:r>
            <w:r w:rsidR="00C94FAA">
              <w:rPr>
                <w:noProof/>
                <w:webHidden/>
              </w:rPr>
              <w:tab/>
            </w:r>
            <w:r w:rsidR="00C94FAA">
              <w:rPr>
                <w:noProof/>
                <w:webHidden/>
              </w:rPr>
              <w:fldChar w:fldCharType="begin"/>
            </w:r>
            <w:r w:rsidR="00C94FAA">
              <w:rPr>
                <w:noProof/>
                <w:webHidden/>
              </w:rPr>
              <w:instrText xml:space="preserve"> PAGEREF _Toc28951707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3E0E4AB0" w14:textId="77777777" w:rsidR="00C94FAA" w:rsidRDefault="001061E2">
          <w:pPr>
            <w:pStyle w:val="Obsah2"/>
            <w:rPr>
              <w:rFonts w:asciiTheme="minorHAnsi" w:eastAsiaTheme="minorEastAsia" w:hAnsiTheme="minorHAnsi" w:cstheme="minorBidi"/>
              <w:b w:val="0"/>
              <w:bCs w:val="0"/>
              <w:noProof/>
              <w:sz w:val="22"/>
              <w:szCs w:val="22"/>
            </w:rPr>
          </w:pPr>
          <w:hyperlink w:anchor="_Toc28951708" w:history="1">
            <w:r w:rsidR="00C94FAA" w:rsidRPr="001D46A0">
              <w:rPr>
                <w:rStyle w:val="Hypertextovprepojenie"/>
                <w:noProof/>
              </w:rPr>
              <w:t>13.3</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Systém vzájomnej koordinácie medzi OP Integrovaná infraštruktúra a OP Efektívna verejná správa</w:t>
            </w:r>
            <w:r w:rsidR="00C94FAA">
              <w:rPr>
                <w:noProof/>
                <w:webHidden/>
              </w:rPr>
              <w:tab/>
            </w:r>
            <w:r w:rsidR="00C94FAA">
              <w:rPr>
                <w:noProof/>
                <w:webHidden/>
              </w:rPr>
              <w:fldChar w:fldCharType="begin"/>
            </w:r>
            <w:r w:rsidR="00C94FAA">
              <w:rPr>
                <w:noProof/>
                <w:webHidden/>
              </w:rPr>
              <w:instrText xml:space="preserve"> PAGEREF _Toc28951708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45541F86" w14:textId="77777777" w:rsidR="00C94FAA" w:rsidRDefault="001061E2">
          <w:pPr>
            <w:pStyle w:val="Obsah2"/>
            <w:rPr>
              <w:rFonts w:asciiTheme="minorHAnsi" w:eastAsiaTheme="minorEastAsia" w:hAnsiTheme="minorHAnsi" w:cstheme="minorBidi"/>
              <w:b w:val="0"/>
              <w:bCs w:val="0"/>
              <w:noProof/>
              <w:sz w:val="22"/>
              <w:szCs w:val="22"/>
            </w:rPr>
          </w:pPr>
          <w:hyperlink w:anchor="_Toc28951709" w:history="1">
            <w:r w:rsidR="00C94FAA" w:rsidRPr="001D46A0">
              <w:rPr>
                <w:rStyle w:val="Hypertextovprepojenie"/>
                <w:noProof/>
              </w:rPr>
              <w:t>13.4</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Systém vzájomnej koordinácie medzi OP Integrovaná infraštruktúra a Programom rozvoja vidieka SR 2014 – 2020</w:t>
            </w:r>
            <w:r w:rsidR="00C94FAA">
              <w:rPr>
                <w:noProof/>
                <w:webHidden/>
              </w:rPr>
              <w:tab/>
            </w:r>
            <w:r w:rsidR="00C94FAA">
              <w:rPr>
                <w:noProof/>
                <w:webHidden/>
              </w:rPr>
              <w:fldChar w:fldCharType="begin"/>
            </w:r>
            <w:r w:rsidR="00C94FAA">
              <w:rPr>
                <w:noProof/>
                <w:webHidden/>
              </w:rPr>
              <w:instrText xml:space="preserve"> PAGEREF _Toc28951709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474A2C80" w14:textId="77777777" w:rsidR="00C94FAA" w:rsidRDefault="001061E2">
          <w:pPr>
            <w:pStyle w:val="Obsah2"/>
            <w:rPr>
              <w:rFonts w:asciiTheme="minorHAnsi" w:eastAsiaTheme="minorEastAsia" w:hAnsiTheme="minorHAnsi" w:cstheme="minorBidi"/>
              <w:b w:val="0"/>
              <w:bCs w:val="0"/>
              <w:noProof/>
              <w:sz w:val="22"/>
              <w:szCs w:val="22"/>
            </w:rPr>
          </w:pPr>
          <w:hyperlink w:anchor="_Toc28951710" w:history="1">
            <w:r w:rsidR="00C94FAA" w:rsidRPr="001D46A0">
              <w:rPr>
                <w:rStyle w:val="Hypertextovprepojenie"/>
                <w:noProof/>
              </w:rPr>
              <w:t>13.5</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Zlepšenie časovej dostupnosti</w:t>
            </w:r>
            <w:r w:rsidR="00C94FAA">
              <w:rPr>
                <w:noProof/>
                <w:webHidden/>
              </w:rPr>
              <w:tab/>
            </w:r>
            <w:r w:rsidR="00C94FAA">
              <w:rPr>
                <w:noProof/>
                <w:webHidden/>
              </w:rPr>
              <w:fldChar w:fldCharType="begin"/>
            </w:r>
            <w:r w:rsidR="00C94FAA">
              <w:rPr>
                <w:noProof/>
                <w:webHidden/>
              </w:rPr>
              <w:instrText xml:space="preserve"> PAGEREF _Toc28951710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0399F5A8" w14:textId="77777777" w:rsidR="00C94FAA" w:rsidRDefault="001061E2">
          <w:pPr>
            <w:pStyle w:val="Obsah2"/>
            <w:rPr>
              <w:rFonts w:asciiTheme="minorHAnsi" w:eastAsiaTheme="minorEastAsia" w:hAnsiTheme="minorHAnsi" w:cstheme="minorBidi"/>
              <w:b w:val="0"/>
              <w:bCs w:val="0"/>
              <w:noProof/>
              <w:sz w:val="22"/>
              <w:szCs w:val="22"/>
            </w:rPr>
          </w:pPr>
          <w:hyperlink w:anchor="_Toc28951711" w:history="1">
            <w:r w:rsidR="00C94FAA" w:rsidRPr="001D46A0">
              <w:rPr>
                <w:rStyle w:val="Hypertextovprepojenie"/>
                <w:noProof/>
              </w:rPr>
              <w:t>13.6</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Popis stavu a zámery v oblasti infraštruktúry pre VOD</w:t>
            </w:r>
            <w:r w:rsidR="00C94FAA">
              <w:rPr>
                <w:noProof/>
                <w:webHidden/>
              </w:rPr>
              <w:tab/>
            </w:r>
            <w:r w:rsidR="00C94FAA">
              <w:rPr>
                <w:noProof/>
                <w:webHidden/>
              </w:rPr>
              <w:fldChar w:fldCharType="begin"/>
            </w:r>
            <w:r w:rsidR="00C94FAA">
              <w:rPr>
                <w:noProof/>
                <w:webHidden/>
              </w:rPr>
              <w:instrText xml:space="preserve"> PAGEREF _Toc28951711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4471E8A0" w14:textId="77777777" w:rsidR="00C94FAA" w:rsidRDefault="001061E2">
          <w:pPr>
            <w:pStyle w:val="Obsah2"/>
            <w:rPr>
              <w:rFonts w:asciiTheme="minorHAnsi" w:eastAsiaTheme="minorEastAsia" w:hAnsiTheme="minorHAnsi" w:cstheme="minorBidi"/>
              <w:b w:val="0"/>
              <w:bCs w:val="0"/>
              <w:noProof/>
              <w:sz w:val="22"/>
              <w:szCs w:val="22"/>
            </w:rPr>
          </w:pPr>
          <w:hyperlink w:anchor="_Toc28951712" w:history="1">
            <w:r w:rsidR="00C94FAA" w:rsidRPr="001D46A0">
              <w:rPr>
                <w:rStyle w:val="Hypertextovprepojenie"/>
                <w:noProof/>
              </w:rPr>
              <w:t>13.7</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Mapy</w:t>
            </w:r>
            <w:r w:rsidR="00C94FAA">
              <w:rPr>
                <w:noProof/>
                <w:webHidden/>
              </w:rPr>
              <w:tab/>
            </w:r>
            <w:r w:rsidR="00C94FAA">
              <w:rPr>
                <w:noProof/>
                <w:webHidden/>
              </w:rPr>
              <w:fldChar w:fldCharType="begin"/>
            </w:r>
            <w:r w:rsidR="00C94FAA">
              <w:rPr>
                <w:noProof/>
                <w:webHidden/>
              </w:rPr>
              <w:instrText xml:space="preserve"> PAGEREF _Toc28951712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60F61D9C" w14:textId="77777777" w:rsidR="00C94FAA" w:rsidRDefault="001061E2">
          <w:pPr>
            <w:pStyle w:val="Obsah2"/>
            <w:rPr>
              <w:rFonts w:asciiTheme="minorHAnsi" w:eastAsiaTheme="minorEastAsia" w:hAnsiTheme="minorHAnsi" w:cstheme="minorBidi"/>
              <w:b w:val="0"/>
              <w:bCs w:val="0"/>
              <w:noProof/>
              <w:sz w:val="22"/>
              <w:szCs w:val="22"/>
            </w:rPr>
          </w:pPr>
          <w:hyperlink w:anchor="_Toc28951713" w:history="1">
            <w:r w:rsidR="00C94FAA" w:rsidRPr="001D46A0">
              <w:rPr>
                <w:rStyle w:val="Hypertextovprepojenie"/>
                <w:noProof/>
              </w:rPr>
              <w:t>13.8</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Všeobecné ex ante kondicionality</w:t>
            </w:r>
            <w:r w:rsidR="00C94FAA">
              <w:rPr>
                <w:noProof/>
                <w:webHidden/>
              </w:rPr>
              <w:tab/>
            </w:r>
            <w:r w:rsidR="00C94FAA">
              <w:rPr>
                <w:noProof/>
                <w:webHidden/>
              </w:rPr>
              <w:fldChar w:fldCharType="begin"/>
            </w:r>
            <w:r w:rsidR="00C94FAA">
              <w:rPr>
                <w:noProof/>
                <w:webHidden/>
              </w:rPr>
              <w:instrText xml:space="preserve"> PAGEREF _Toc28951713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5CDAE18E" w14:textId="77777777" w:rsidR="00C94FAA" w:rsidRDefault="001061E2">
          <w:pPr>
            <w:pStyle w:val="Obsah2"/>
            <w:rPr>
              <w:rFonts w:asciiTheme="minorHAnsi" w:eastAsiaTheme="minorEastAsia" w:hAnsiTheme="minorHAnsi" w:cstheme="minorBidi"/>
              <w:b w:val="0"/>
              <w:bCs w:val="0"/>
              <w:noProof/>
              <w:sz w:val="22"/>
              <w:szCs w:val="22"/>
            </w:rPr>
          </w:pPr>
          <w:hyperlink w:anchor="_Toc28951714" w:history="1">
            <w:r w:rsidR="00C94FAA" w:rsidRPr="001D46A0">
              <w:rPr>
                <w:rStyle w:val="Hypertextovprepojenie"/>
                <w:noProof/>
              </w:rPr>
              <w:t>13.9</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Slovník základných pojmov v oblasti VaI</w:t>
            </w:r>
            <w:r w:rsidR="00C94FAA">
              <w:rPr>
                <w:noProof/>
                <w:webHidden/>
              </w:rPr>
              <w:tab/>
            </w:r>
            <w:r w:rsidR="00C94FAA">
              <w:rPr>
                <w:noProof/>
                <w:webHidden/>
              </w:rPr>
              <w:fldChar w:fldCharType="begin"/>
            </w:r>
            <w:r w:rsidR="00C94FAA">
              <w:rPr>
                <w:noProof/>
                <w:webHidden/>
              </w:rPr>
              <w:instrText xml:space="preserve"> PAGEREF _Toc28951714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540BF667" w14:textId="77777777" w:rsidR="00C94FAA" w:rsidRDefault="001061E2">
          <w:pPr>
            <w:pStyle w:val="Obsah2"/>
            <w:rPr>
              <w:rFonts w:asciiTheme="minorHAnsi" w:eastAsiaTheme="minorEastAsia" w:hAnsiTheme="minorHAnsi" w:cstheme="minorBidi"/>
              <w:b w:val="0"/>
              <w:bCs w:val="0"/>
              <w:noProof/>
              <w:sz w:val="22"/>
              <w:szCs w:val="22"/>
            </w:rPr>
          </w:pPr>
          <w:hyperlink w:anchor="_Toc28951715" w:history="1">
            <w:r w:rsidR="00C94FAA" w:rsidRPr="001D46A0">
              <w:rPr>
                <w:rStyle w:val="Hypertextovprepojenie"/>
                <w:noProof/>
              </w:rPr>
              <w:t>13.10</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Zoznam oprávnených prijímateľov v oblasti VaI</w:t>
            </w:r>
            <w:r w:rsidR="00C94FAA">
              <w:rPr>
                <w:noProof/>
                <w:webHidden/>
              </w:rPr>
              <w:tab/>
            </w:r>
            <w:r w:rsidR="00C94FAA">
              <w:rPr>
                <w:noProof/>
                <w:webHidden/>
              </w:rPr>
              <w:fldChar w:fldCharType="begin"/>
            </w:r>
            <w:r w:rsidR="00C94FAA">
              <w:rPr>
                <w:noProof/>
                <w:webHidden/>
              </w:rPr>
              <w:instrText xml:space="preserve"> PAGEREF _Toc28951715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69F8A3E2" w14:textId="77777777" w:rsidR="00C94FAA" w:rsidRDefault="001061E2">
          <w:pPr>
            <w:pStyle w:val="Obsah2"/>
            <w:rPr>
              <w:rFonts w:asciiTheme="minorHAnsi" w:eastAsiaTheme="minorEastAsia" w:hAnsiTheme="minorHAnsi" w:cstheme="minorBidi"/>
              <w:b w:val="0"/>
              <w:bCs w:val="0"/>
              <w:noProof/>
              <w:sz w:val="22"/>
              <w:szCs w:val="22"/>
            </w:rPr>
          </w:pPr>
          <w:hyperlink w:anchor="_Toc28951716" w:history="1">
            <w:r w:rsidR="00C94FAA" w:rsidRPr="001D46A0">
              <w:rPr>
                <w:rStyle w:val="Hypertextovprepojenie"/>
                <w:noProof/>
              </w:rPr>
              <w:t>13.11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Skúsenosti z programového obdobia 2007 – 2013 v oblasti VaI</w:t>
            </w:r>
            <w:r w:rsidR="00C94FAA">
              <w:rPr>
                <w:noProof/>
                <w:webHidden/>
              </w:rPr>
              <w:tab/>
            </w:r>
            <w:r w:rsidR="00C94FAA">
              <w:rPr>
                <w:noProof/>
                <w:webHidden/>
              </w:rPr>
              <w:fldChar w:fldCharType="begin"/>
            </w:r>
            <w:r w:rsidR="00C94FAA">
              <w:rPr>
                <w:noProof/>
                <w:webHidden/>
              </w:rPr>
              <w:instrText xml:space="preserve"> PAGEREF _Toc28951716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02B40679" w14:textId="77777777" w:rsidR="00C94FAA" w:rsidRDefault="001061E2">
          <w:pPr>
            <w:pStyle w:val="Obsah2"/>
            <w:rPr>
              <w:rFonts w:asciiTheme="minorHAnsi" w:eastAsiaTheme="minorEastAsia" w:hAnsiTheme="minorHAnsi" w:cstheme="minorBidi"/>
              <w:b w:val="0"/>
              <w:bCs w:val="0"/>
              <w:noProof/>
              <w:sz w:val="22"/>
              <w:szCs w:val="22"/>
            </w:rPr>
          </w:pPr>
          <w:hyperlink w:anchor="_Toc28951717" w:history="1">
            <w:r w:rsidR="00C94FAA" w:rsidRPr="001D46A0">
              <w:rPr>
                <w:rStyle w:val="Hypertextovprepojenie"/>
                <w:noProof/>
              </w:rPr>
              <w:t>13.12</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Popis základných rozdielov medzi programovým obdobím 2007 – 2013 a programovým obdobím 2014 – 2020 v oblasti VaI</w:t>
            </w:r>
            <w:r w:rsidR="00C94FAA">
              <w:rPr>
                <w:noProof/>
                <w:webHidden/>
              </w:rPr>
              <w:tab/>
            </w:r>
            <w:r w:rsidR="00C94FAA">
              <w:rPr>
                <w:noProof/>
                <w:webHidden/>
              </w:rPr>
              <w:fldChar w:fldCharType="begin"/>
            </w:r>
            <w:r w:rsidR="00C94FAA">
              <w:rPr>
                <w:noProof/>
                <w:webHidden/>
              </w:rPr>
              <w:instrText xml:space="preserve"> PAGEREF _Toc28951717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4F68FC9D" w14:textId="77777777" w:rsidR="00C94FAA" w:rsidRDefault="001061E2">
          <w:pPr>
            <w:pStyle w:val="Obsah2"/>
            <w:rPr>
              <w:rFonts w:asciiTheme="minorHAnsi" w:eastAsiaTheme="minorEastAsia" w:hAnsiTheme="minorHAnsi" w:cstheme="minorBidi"/>
              <w:b w:val="0"/>
              <w:bCs w:val="0"/>
              <w:noProof/>
              <w:sz w:val="22"/>
              <w:szCs w:val="22"/>
            </w:rPr>
          </w:pPr>
          <w:hyperlink w:anchor="_Toc28951718" w:history="1">
            <w:r w:rsidR="00C94FAA" w:rsidRPr="001D46A0">
              <w:rPr>
                <w:rStyle w:val="Hypertextovprepojenie"/>
                <w:noProof/>
              </w:rPr>
              <w:t>13.13</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Prehľad národných projektov podporených z OP VaV</w:t>
            </w:r>
            <w:r w:rsidR="00C94FAA">
              <w:rPr>
                <w:noProof/>
                <w:webHidden/>
              </w:rPr>
              <w:tab/>
            </w:r>
            <w:r w:rsidR="00C94FAA">
              <w:rPr>
                <w:noProof/>
                <w:webHidden/>
              </w:rPr>
              <w:fldChar w:fldCharType="begin"/>
            </w:r>
            <w:r w:rsidR="00C94FAA">
              <w:rPr>
                <w:noProof/>
                <w:webHidden/>
              </w:rPr>
              <w:instrText xml:space="preserve"> PAGEREF _Toc28951718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09AFF6C5" w14:textId="77777777" w:rsidR="00C94FAA" w:rsidRDefault="001061E2">
          <w:pPr>
            <w:pStyle w:val="Obsah2"/>
            <w:rPr>
              <w:rFonts w:asciiTheme="minorHAnsi" w:eastAsiaTheme="minorEastAsia" w:hAnsiTheme="minorHAnsi" w:cstheme="minorBidi"/>
              <w:b w:val="0"/>
              <w:bCs w:val="0"/>
              <w:noProof/>
              <w:sz w:val="22"/>
              <w:szCs w:val="22"/>
            </w:rPr>
          </w:pPr>
          <w:hyperlink w:anchor="_Toc28951719" w:history="1">
            <w:r w:rsidR="00C94FAA" w:rsidRPr="001D46A0">
              <w:rPr>
                <w:rStyle w:val="Hypertextovprepojenie"/>
                <w:noProof/>
              </w:rPr>
              <w:t>13.14</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Základné princípy pre budovanie výskumnej infraštruktúry v programovom období 2014 - 2020</w:t>
            </w:r>
            <w:r w:rsidR="00C94FAA">
              <w:rPr>
                <w:noProof/>
                <w:webHidden/>
              </w:rPr>
              <w:tab/>
            </w:r>
            <w:r w:rsidR="00C94FAA">
              <w:rPr>
                <w:noProof/>
                <w:webHidden/>
              </w:rPr>
              <w:fldChar w:fldCharType="begin"/>
            </w:r>
            <w:r w:rsidR="00C94FAA">
              <w:rPr>
                <w:noProof/>
                <w:webHidden/>
              </w:rPr>
              <w:instrText xml:space="preserve"> PAGEREF _Toc28951719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3E9AA4FB" w14:textId="77777777" w:rsidR="00C94FAA" w:rsidRDefault="001061E2">
          <w:pPr>
            <w:pStyle w:val="Obsah2"/>
            <w:rPr>
              <w:rFonts w:asciiTheme="minorHAnsi" w:eastAsiaTheme="minorEastAsia" w:hAnsiTheme="minorHAnsi" w:cstheme="minorBidi"/>
              <w:b w:val="0"/>
              <w:bCs w:val="0"/>
              <w:noProof/>
              <w:sz w:val="22"/>
              <w:szCs w:val="22"/>
            </w:rPr>
          </w:pPr>
          <w:hyperlink w:anchor="_Toc28951720" w:history="1">
            <w:r w:rsidR="00C94FAA" w:rsidRPr="001D46A0">
              <w:rPr>
                <w:rStyle w:val="Hypertextovprepojenie"/>
                <w:noProof/>
              </w:rPr>
              <w:t>13.15</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Základné princípy monitorovania a hodnotenia implementácie OPII v oblasti VaI</w:t>
            </w:r>
            <w:r w:rsidR="00C94FAA">
              <w:rPr>
                <w:noProof/>
                <w:webHidden/>
              </w:rPr>
              <w:tab/>
            </w:r>
            <w:r w:rsidR="00C94FAA">
              <w:rPr>
                <w:noProof/>
                <w:webHidden/>
              </w:rPr>
              <w:fldChar w:fldCharType="begin"/>
            </w:r>
            <w:r w:rsidR="00C94FAA">
              <w:rPr>
                <w:noProof/>
                <w:webHidden/>
              </w:rPr>
              <w:instrText xml:space="preserve"> PAGEREF _Toc28951720 \h </w:instrText>
            </w:r>
            <w:r w:rsidR="00C94FAA">
              <w:rPr>
                <w:noProof/>
                <w:webHidden/>
              </w:rPr>
            </w:r>
            <w:r w:rsidR="00C94FAA">
              <w:rPr>
                <w:noProof/>
                <w:webHidden/>
              </w:rPr>
              <w:fldChar w:fldCharType="separate"/>
            </w:r>
            <w:r w:rsidR="00C94FAA">
              <w:rPr>
                <w:noProof/>
                <w:webHidden/>
              </w:rPr>
              <w:t>274</w:t>
            </w:r>
            <w:r w:rsidR="00C94FAA">
              <w:rPr>
                <w:noProof/>
                <w:webHidden/>
              </w:rPr>
              <w:fldChar w:fldCharType="end"/>
            </w:r>
          </w:hyperlink>
        </w:p>
        <w:p w14:paraId="4DB7FA9D" w14:textId="77777777" w:rsidR="00C94FAA" w:rsidRDefault="001061E2">
          <w:pPr>
            <w:pStyle w:val="Obsah2"/>
            <w:rPr>
              <w:rFonts w:asciiTheme="minorHAnsi" w:eastAsiaTheme="minorEastAsia" w:hAnsiTheme="minorHAnsi" w:cstheme="minorBidi"/>
              <w:b w:val="0"/>
              <w:bCs w:val="0"/>
              <w:noProof/>
              <w:sz w:val="22"/>
              <w:szCs w:val="22"/>
            </w:rPr>
          </w:pPr>
          <w:hyperlink w:anchor="_Toc28951721" w:history="1">
            <w:r w:rsidR="00C94FAA" w:rsidRPr="001D46A0">
              <w:rPr>
                <w:rStyle w:val="Hypertextovprepojenie"/>
                <w:noProof/>
              </w:rPr>
              <w:t>13.16</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Štatistiky</w:t>
            </w:r>
            <w:r w:rsidR="00C94FAA">
              <w:rPr>
                <w:noProof/>
                <w:webHidden/>
              </w:rPr>
              <w:tab/>
            </w:r>
            <w:r w:rsidR="00C94FAA">
              <w:rPr>
                <w:noProof/>
                <w:webHidden/>
              </w:rPr>
              <w:fldChar w:fldCharType="begin"/>
            </w:r>
            <w:r w:rsidR="00C94FAA">
              <w:rPr>
                <w:noProof/>
                <w:webHidden/>
              </w:rPr>
              <w:instrText xml:space="preserve"> PAGEREF _Toc28951721 \h </w:instrText>
            </w:r>
            <w:r w:rsidR="00C94FAA">
              <w:rPr>
                <w:noProof/>
                <w:webHidden/>
              </w:rPr>
            </w:r>
            <w:r w:rsidR="00C94FAA">
              <w:rPr>
                <w:noProof/>
                <w:webHidden/>
              </w:rPr>
              <w:fldChar w:fldCharType="separate"/>
            </w:r>
            <w:r w:rsidR="00C94FAA">
              <w:rPr>
                <w:noProof/>
                <w:webHidden/>
              </w:rPr>
              <w:t>275</w:t>
            </w:r>
            <w:r w:rsidR="00C94FAA">
              <w:rPr>
                <w:noProof/>
                <w:webHidden/>
              </w:rPr>
              <w:fldChar w:fldCharType="end"/>
            </w:r>
          </w:hyperlink>
        </w:p>
        <w:p w14:paraId="2616332D" w14:textId="77777777" w:rsidR="00C94FAA" w:rsidRDefault="001061E2">
          <w:pPr>
            <w:pStyle w:val="Obsah2"/>
            <w:rPr>
              <w:rFonts w:asciiTheme="minorHAnsi" w:eastAsiaTheme="minorEastAsia" w:hAnsiTheme="minorHAnsi" w:cstheme="minorBidi"/>
              <w:b w:val="0"/>
              <w:bCs w:val="0"/>
              <w:noProof/>
              <w:sz w:val="22"/>
              <w:szCs w:val="22"/>
            </w:rPr>
          </w:pPr>
          <w:hyperlink w:anchor="_Toc28951722" w:history="1">
            <w:r w:rsidR="00C94FAA" w:rsidRPr="001D46A0">
              <w:rPr>
                <w:rStyle w:val="Hypertextovprepojenie"/>
                <w:noProof/>
              </w:rPr>
              <w:t>13.17</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Koncept využívania inštitútu partnerstva vo výskumných projektoch v oblasti VaI</w:t>
            </w:r>
            <w:r w:rsidR="00C94FAA">
              <w:rPr>
                <w:noProof/>
                <w:webHidden/>
              </w:rPr>
              <w:tab/>
            </w:r>
            <w:r w:rsidR="00C94FAA">
              <w:rPr>
                <w:noProof/>
                <w:webHidden/>
              </w:rPr>
              <w:fldChar w:fldCharType="begin"/>
            </w:r>
            <w:r w:rsidR="00C94FAA">
              <w:rPr>
                <w:noProof/>
                <w:webHidden/>
              </w:rPr>
              <w:instrText xml:space="preserve"> PAGEREF _Toc28951722 \h </w:instrText>
            </w:r>
            <w:r w:rsidR="00C94FAA">
              <w:rPr>
                <w:noProof/>
                <w:webHidden/>
              </w:rPr>
            </w:r>
            <w:r w:rsidR="00C94FAA">
              <w:rPr>
                <w:noProof/>
                <w:webHidden/>
              </w:rPr>
              <w:fldChar w:fldCharType="separate"/>
            </w:r>
            <w:r w:rsidR="00C94FAA">
              <w:rPr>
                <w:noProof/>
                <w:webHidden/>
              </w:rPr>
              <w:t>275</w:t>
            </w:r>
            <w:r w:rsidR="00C94FAA">
              <w:rPr>
                <w:noProof/>
                <w:webHidden/>
              </w:rPr>
              <w:fldChar w:fldCharType="end"/>
            </w:r>
          </w:hyperlink>
        </w:p>
        <w:p w14:paraId="3CB60C88" w14:textId="77777777" w:rsidR="00C94FAA" w:rsidRDefault="001061E2">
          <w:pPr>
            <w:pStyle w:val="Obsah2"/>
            <w:rPr>
              <w:rFonts w:asciiTheme="minorHAnsi" w:eastAsiaTheme="minorEastAsia" w:hAnsiTheme="minorHAnsi" w:cstheme="minorBidi"/>
              <w:b w:val="0"/>
              <w:bCs w:val="0"/>
              <w:noProof/>
              <w:sz w:val="22"/>
              <w:szCs w:val="22"/>
            </w:rPr>
          </w:pPr>
          <w:hyperlink w:anchor="_Toc28951723" w:history="1">
            <w:r w:rsidR="00C94FAA" w:rsidRPr="001D46A0">
              <w:rPr>
                <w:rStyle w:val="Hypertextovprepojenie"/>
                <w:noProof/>
              </w:rPr>
              <w:t>13.18</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Komplementarity a synergie OPII (časť VaI) s ostatnými programami EÚ a programami Európskej územnej spolupráce</w:t>
            </w:r>
            <w:r w:rsidR="00C94FAA">
              <w:rPr>
                <w:noProof/>
                <w:webHidden/>
              </w:rPr>
              <w:tab/>
            </w:r>
            <w:r w:rsidR="00C94FAA">
              <w:rPr>
                <w:noProof/>
                <w:webHidden/>
              </w:rPr>
              <w:fldChar w:fldCharType="begin"/>
            </w:r>
            <w:r w:rsidR="00C94FAA">
              <w:rPr>
                <w:noProof/>
                <w:webHidden/>
              </w:rPr>
              <w:instrText xml:space="preserve"> PAGEREF _Toc28951723 \h </w:instrText>
            </w:r>
            <w:r w:rsidR="00C94FAA">
              <w:rPr>
                <w:noProof/>
                <w:webHidden/>
              </w:rPr>
            </w:r>
            <w:r w:rsidR="00C94FAA">
              <w:rPr>
                <w:noProof/>
                <w:webHidden/>
              </w:rPr>
              <w:fldChar w:fldCharType="separate"/>
            </w:r>
            <w:r w:rsidR="00C94FAA">
              <w:rPr>
                <w:noProof/>
                <w:webHidden/>
              </w:rPr>
              <w:t>275</w:t>
            </w:r>
            <w:r w:rsidR="00C94FAA">
              <w:rPr>
                <w:noProof/>
                <w:webHidden/>
              </w:rPr>
              <w:fldChar w:fldCharType="end"/>
            </w:r>
          </w:hyperlink>
        </w:p>
        <w:p w14:paraId="2F0B8650" w14:textId="77777777" w:rsidR="00C94FAA" w:rsidRDefault="001061E2">
          <w:pPr>
            <w:pStyle w:val="Obsah2"/>
            <w:rPr>
              <w:rFonts w:asciiTheme="minorHAnsi" w:eastAsiaTheme="minorEastAsia" w:hAnsiTheme="minorHAnsi" w:cstheme="minorBidi"/>
              <w:b w:val="0"/>
              <w:bCs w:val="0"/>
              <w:noProof/>
              <w:sz w:val="22"/>
              <w:szCs w:val="22"/>
            </w:rPr>
          </w:pPr>
          <w:hyperlink w:anchor="_Toc28951724" w:history="1">
            <w:r w:rsidR="00C94FAA" w:rsidRPr="001D46A0">
              <w:rPr>
                <w:rStyle w:val="Hypertextovprepojenie"/>
                <w:noProof/>
              </w:rPr>
              <w:t>13.19</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Správy z ex ante hodnotenia OP VaI</w:t>
            </w:r>
            <w:r w:rsidR="00C94FAA">
              <w:rPr>
                <w:noProof/>
                <w:webHidden/>
              </w:rPr>
              <w:tab/>
            </w:r>
            <w:r w:rsidR="00C94FAA">
              <w:rPr>
                <w:noProof/>
                <w:webHidden/>
              </w:rPr>
              <w:fldChar w:fldCharType="begin"/>
            </w:r>
            <w:r w:rsidR="00C94FAA">
              <w:rPr>
                <w:noProof/>
                <w:webHidden/>
              </w:rPr>
              <w:instrText xml:space="preserve"> PAGEREF _Toc28951724 \h </w:instrText>
            </w:r>
            <w:r w:rsidR="00C94FAA">
              <w:rPr>
                <w:noProof/>
                <w:webHidden/>
              </w:rPr>
            </w:r>
            <w:r w:rsidR="00C94FAA">
              <w:rPr>
                <w:noProof/>
                <w:webHidden/>
              </w:rPr>
              <w:fldChar w:fldCharType="separate"/>
            </w:r>
            <w:r w:rsidR="00C94FAA">
              <w:rPr>
                <w:noProof/>
                <w:webHidden/>
              </w:rPr>
              <w:t>275</w:t>
            </w:r>
            <w:r w:rsidR="00C94FAA">
              <w:rPr>
                <w:noProof/>
                <w:webHidden/>
              </w:rPr>
              <w:fldChar w:fldCharType="end"/>
            </w:r>
          </w:hyperlink>
        </w:p>
        <w:p w14:paraId="682C7AC9" w14:textId="77777777" w:rsidR="00C94FAA" w:rsidRDefault="001061E2">
          <w:pPr>
            <w:pStyle w:val="Obsah2"/>
            <w:rPr>
              <w:rFonts w:asciiTheme="minorHAnsi" w:eastAsiaTheme="minorEastAsia" w:hAnsiTheme="minorHAnsi" w:cstheme="minorBidi"/>
              <w:b w:val="0"/>
              <w:bCs w:val="0"/>
              <w:noProof/>
              <w:sz w:val="22"/>
              <w:szCs w:val="22"/>
            </w:rPr>
          </w:pPr>
          <w:hyperlink w:anchor="_Toc28951725" w:history="1">
            <w:r w:rsidR="00C94FAA" w:rsidRPr="001D46A0">
              <w:rPr>
                <w:rStyle w:val="Hypertextovprepojenie"/>
                <w:noProof/>
              </w:rPr>
              <w:t>13.20</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Stanovisko k posudzovaniu vplyvov OP VaI na životné prostredie</w:t>
            </w:r>
            <w:r w:rsidR="00C94FAA">
              <w:rPr>
                <w:noProof/>
                <w:webHidden/>
              </w:rPr>
              <w:tab/>
            </w:r>
            <w:r w:rsidR="00C94FAA">
              <w:rPr>
                <w:noProof/>
                <w:webHidden/>
              </w:rPr>
              <w:fldChar w:fldCharType="begin"/>
            </w:r>
            <w:r w:rsidR="00C94FAA">
              <w:rPr>
                <w:noProof/>
                <w:webHidden/>
              </w:rPr>
              <w:instrText xml:space="preserve"> PAGEREF _Toc28951725 \h </w:instrText>
            </w:r>
            <w:r w:rsidR="00C94FAA">
              <w:rPr>
                <w:noProof/>
                <w:webHidden/>
              </w:rPr>
            </w:r>
            <w:r w:rsidR="00C94FAA">
              <w:rPr>
                <w:noProof/>
                <w:webHidden/>
              </w:rPr>
              <w:fldChar w:fldCharType="separate"/>
            </w:r>
            <w:r w:rsidR="00C94FAA">
              <w:rPr>
                <w:noProof/>
                <w:webHidden/>
              </w:rPr>
              <w:t>275</w:t>
            </w:r>
            <w:r w:rsidR="00C94FAA">
              <w:rPr>
                <w:noProof/>
                <w:webHidden/>
              </w:rPr>
              <w:fldChar w:fldCharType="end"/>
            </w:r>
          </w:hyperlink>
        </w:p>
        <w:p w14:paraId="0D6F550D" w14:textId="77777777" w:rsidR="00C94FAA" w:rsidRDefault="001061E2">
          <w:pPr>
            <w:pStyle w:val="Obsah2"/>
            <w:rPr>
              <w:rFonts w:asciiTheme="minorHAnsi" w:eastAsiaTheme="minorEastAsia" w:hAnsiTheme="minorHAnsi" w:cstheme="minorBidi"/>
              <w:b w:val="0"/>
              <w:bCs w:val="0"/>
              <w:noProof/>
              <w:sz w:val="22"/>
              <w:szCs w:val="22"/>
            </w:rPr>
          </w:pPr>
          <w:hyperlink w:anchor="_Toc28951726" w:history="1">
            <w:r w:rsidR="00C94FAA" w:rsidRPr="001D46A0">
              <w:rPr>
                <w:rStyle w:val="Hypertextovprepojenie"/>
                <w:noProof/>
              </w:rPr>
              <w:t>13.21</w:t>
            </w:r>
            <w:r w:rsidR="00C94FAA">
              <w:rPr>
                <w:rFonts w:asciiTheme="minorHAnsi" w:eastAsiaTheme="minorEastAsia" w:hAnsiTheme="minorHAnsi" w:cstheme="minorBidi"/>
                <w:b w:val="0"/>
                <w:bCs w:val="0"/>
                <w:noProof/>
                <w:sz w:val="22"/>
                <w:szCs w:val="22"/>
              </w:rPr>
              <w:tab/>
            </w:r>
            <w:r w:rsidR="00C94FAA" w:rsidRPr="001D46A0">
              <w:rPr>
                <w:rStyle w:val="Hypertextovprepojenie"/>
                <w:noProof/>
              </w:rPr>
              <w:t>Obrázky, grafy a texty</w:t>
            </w:r>
            <w:r w:rsidR="00C94FAA">
              <w:rPr>
                <w:noProof/>
                <w:webHidden/>
              </w:rPr>
              <w:tab/>
            </w:r>
            <w:r w:rsidR="00C94FAA">
              <w:rPr>
                <w:noProof/>
                <w:webHidden/>
              </w:rPr>
              <w:fldChar w:fldCharType="begin"/>
            </w:r>
            <w:r w:rsidR="00C94FAA">
              <w:rPr>
                <w:noProof/>
                <w:webHidden/>
              </w:rPr>
              <w:instrText xml:space="preserve"> PAGEREF _Toc28951726 \h </w:instrText>
            </w:r>
            <w:r w:rsidR="00C94FAA">
              <w:rPr>
                <w:noProof/>
                <w:webHidden/>
              </w:rPr>
            </w:r>
            <w:r w:rsidR="00C94FAA">
              <w:rPr>
                <w:noProof/>
                <w:webHidden/>
              </w:rPr>
              <w:fldChar w:fldCharType="separate"/>
            </w:r>
            <w:r w:rsidR="00C94FAA">
              <w:rPr>
                <w:noProof/>
                <w:webHidden/>
              </w:rPr>
              <w:t>275</w:t>
            </w:r>
            <w:r w:rsidR="00C94FAA">
              <w:rPr>
                <w:noProof/>
                <w:webHidden/>
              </w:rPr>
              <w:fldChar w:fldCharType="end"/>
            </w:r>
          </w:hyperlink>
        </w:p>
        <w:p w14:paraId="3E29D9E1" w14:textId="77777777" w:rsidR="00717C03" w:rsidRDefault="006D349B">
          <w:r>
            <w:fldChar w:fldCharType="end"/>
          </w:r>
        </w:p>
      </w:sdtContent>
    </w:sdt>
    <w:p w14:paraId="66985E7C" w14:textId="77777777" w:rsidR="00717C03" w:rsidRDefault="00717C03" w:rsidP="00A46625">
      <w:pPr>
        <w:pStyle w:val="Nadpis1"/>
        <w:sectPr w:rsidR="00717C03" w:rsidSect="00D1658B">
          <w:pgSz w:w="11906" w:h="16838"/>
          <w:pgMar w:top="1474" w:right="1361" w:bottom="1304" w:left="1474" w:header="709" w:footer="709" w:gutter="0"/>
          <w:cols w:space="708"/>
          <w:docGrid w:linePitch="360"/>
        </w:sectPr>
      </w:pPr>
    </w:p>
    <w:tbl>
      <w:tblPr>
        <w:tblStyle w:val="Mriekatabuky"/>
        <w:tblW w:w="9242" w:type="dxa"/>
        <w:jc w:val="center"/>
        <w:tblLook w:val="04A0" w:firstRow="1" w:lastRow="0" w:firstColumn="1" w:lastColumn="0" w:noHBand="0" w:noVBand="1"/>
      </w:tblPr>
      <w:tblGrid>
        <w:gridCol w:w="4197"/>
        <w:gridCol w:w="5045"/>
      </w:tblGrid>
      <w:tr w:rsidR="00BB3348" w14:paraId="7F1506AA" w14:textId="77777777" w:rsidTr="00E641FB">
        <w:trPr>
          <w:trHeight w:val="397"/>
          <w:jc w:val="center"/>
        </w:trPr>
        <w:tc>
          <w:tcPr>
            <w:tcW w:w="4197" w:type="dxa"/>
            <w:shd w:val="clear" w:color="auto" w:fill="DBE5F1" w:themeFill="accent1" w:themeFillTint="33"/>
            <w:vAlign w:val="center"/>
          </w:tcPr>
          <w:p w14:paraId="7E6D9B67" w14:textId="77777777" w:rsidR="00BB3348" w:rsidRDefault="00BB3348" w:rsidP="00BB3348">
            <w:pPr>
              <w:ind w:left="0"/>
            </w:pPr>
            <w:r>
              <w:lastRenderedPageBreak/>
              <w:t>CCI</w:t>
            </w:r>
          </w:p>
        </w:tc>
        <w:tc>
          <w:tcPr>
            <w:tcW w:w="5045" w:type="dxa"/>
            <w:vAlign w:val="center"/>
          </w:tcPr>
          <w:p w14:paraId="4DEFAEE3" w14:textId="77777777" w:rsidR="00BB3348" w:rsidRDefault="00F246CF" w:rsidP="00BB3348">
            <w:pPr>
              <w:ind w:left="0"/>
            </w:pPr>
            <w:r>
              <w:t>2014SK16M1OP001</w:t>
            </w:r>
          </w:p>
        </w:tc>
      </w:tr>
      <w:tr w:rsidR="00BB3348" w14:paraId="557C8C38" w14:textId="77777777" w:rsidTr="00E641FB">
        <w:trPr>
          <w:trHeight w:val="397"/>
          <w:jc w:val="center"/>
        </w:trPr>
        <w:tc>
          <w:tcPr>
            <w:tcW w:w="4197" w:type="dxa"/>
            <w:shd w:val="clear" w:color="auto" w:fill="DBE5F1" w:themeFill="accent1" w:themeFillTint="33"/>
            <w:vAlign w:val="center"/>
          </w:tcPr>
          <w:p w14:paraId="64AD9D8B" w14:textId="77777777" w:rsidR="00BB3348" w:rsidRDefault="00BB3348" w:rsidP="00BB3348">
            <w:pPr>
              <w:ind w:left="0"/>
            </w:pPr>
            <w:r>
              <w:t>Názov</w:t>
            </w:r>
          </w:p>
        </w:tc>
        <w:tc>
          <w:tcPr>
            <w:tcW w:w="5045" w:type="dxa"/>
            <w:vAlign w:val="center"/>
          </w:tcPr>
          <w:p w14:paraId="7381CC03" w14:textId="77777777" w:rsidR="00BB3348" w:rsidRDefault="00BB3348" w:rsidP="00BB3348">
            <w:pPr>
              <w:ind w:left="0"/>
            </w:pPr>
            <w:r>
              <w:t xml:space="preserve">Operačný program Integrovaná infraštruktúra </w:t>
            </w:r>
          </w:p>
        </w:tc>
      </w:tr>
      <w:tr w:rsidR="00BB3348" w14:paraId="45B39B88" w14:textId="77777777" w:rsidTr="00E641FB">
        <w:trPr>
          <w:trHeight w:val="397"/>
          <w:jc w:val="center"/>
        </w:trPr>
        <w:tc>
          <w:tcPr>
            <w:tcW w:w="4197" w:type="dxa"/>
            <w:shd w:val="clear" w:color="auto" w:fill="DBE5F1" w:themeFill="accent1" w:themeFillTint="33"/>
            <w:vAlign w:val="center"/>
          </w:tcPr>
          <w:p w14:paraId="261C275F" w14:textId="77777777" w:rsidR="00BB3348" w:rsidRDefault="00BB3348" w:rsidP="00BB3348">
            <w:pPr>
              <w:ind w:left="0"/>
            </w:pPr>
            <w:r>
              <w:t>Verzia</w:t>
            </w:r>
          </w:p>
        </w:tc>
        <w:tc>
          <w:tcPr>
            <w:tcW w:w="5045" w:type="dxa"/>
            <w:vAlign w:val="center"/>
          </w:tcPr>
          <w:p w14:paraId="211F37FD" w14:textId="318A1033" w:rsidR="00BB3348" w:rsidRDefault="009A643C" w:rsidP="00FA1BF6">
            <w:pPr>
              <w:ind w:left="0"/>
            </w:pPr>
            <w:r>
              <w:t>7.0</w:t>
            </w:r>
          </w:p>
        </w:tc>
      </w:tr>
      <w:tr w:rsidR="00BB3348" w14:paraId="49DAB60D" w14:textId="77777777" w:rsidTr="00E641FB">
        <w:trPr>
          <w:trHeight w:val="397"/>
          <w:jc w:val="center"/>
        </w:trPr>
        <w:tc>
          <w:tcPr>
            <w:tcW w:w="4197" w:type="dxa"/>
            <w:shd w:val="clear" w:color="auto" w:fill="DBE5F1" w:themeFill="accent1" w:themeFillTint="33"/>
            <w:vAlign w:val="center"/>
          </w:tcPr>
          <w:p w14:paraId="16629A35" w14:textId="77777777" w:rsidR="00BB3348" w:rsidRDefault="00BB3348" w:rsidP="00BB3348">
            <w:pPr>
              <w:ind w:left="0"/>
            </w:pPr>
            <w:r>
              <w:t>Prvý rok</w:t>
            </w:r>
          </w:p>
        </w:tc>
        <w:tc>
          <w:tcPr>
            <w:tcW w:w="5045" w:type="dxa"/>
            <w:vAlign w:val="center"/>
          </w:tcPr>
          <w:p w14:paraId="5FC2A903" w14:textId="77777777" w:rsidR="00BB3348" w:rsidRDefault="00BB3348" w:rsidP="00BB3348">
            <w:pPr>
              <w:ind w:left="0"/>
            </w:pPr>
            <w:r>
              <w:t>2014</w:t>
            </w:r>
          </w:p>
        </w:tc>
      </w:tr>
      <w:tr w:rsidR="00BB3348" w14:paraId="2703E067" w14:textId="77777777" w:rsidTr="00E641FB">
        <w:trPr>
          <w:trHeight w:val="397"/>
          <w:jc w:val="center"/>
        </w:trPr>
        <w:tc>
          <w:tcPr>
            <w:tcW w:w="4197" w:type="dxa"/>
            <w:shd w:val="clear" w:color="auto" w:fill="DBE5F1" w:themeFill="accent1" w:themeFillTint="33"/>
            <w:vAlign w:val="center"/>
          </w:tcPr>
          <w:p w14:paraId="6686E205" w14:textId="77777777" w:rsidR="00BB3348" w:rsidRDefault="00BB3348" w:rsidP="00BB3348">
            <w:pPr>
              <w:ind w:left="0"/>
            </w:pPr>
            <w:r>
              <w:t>Posledný rok</w:t>
            </w:r>
          </w:p>
        </w:tc>
        <w:tc>
          <w:tcPr>
            <w:tcW w:w="5045" w:type="dxa"/>
            <w:vAlign w:val="center"/>
          </w:tcPr>
          <w:p w14:paraId="5F99B6BA" w14:textId="77777777" w:rsidR="00BB3348" w:rsidRDefault="004D7FC1" w:rsidP="00BB3348">
            <w:pPr>
              <w:ind w:left="0"/>
            </w:pPr>
            <w:r>
              <w:t>2020</w:t>
            </w:r>
          </w:p>
        </w:tc>
      </w:tr>
      <w:tr w:rsidR="00BB3348" w14:paraId="1CDB10FC" w14:textId="77777777" w:rsidTr="00E641FB">
        <w:trPr>
          <w:trHeight w:val="397"/>
          <w:jc w:val="center"/>
        </w:trPr>
        <w:tc>
          <w:tcPr>
            <w:tcW w:w="4197" w:type="dxa"/>
            <w:shd w:val="clear" w:color="auto" w:fill="DBE5F1" w:themeFill="accent1" w:themeFillTint="33"/>
            <w:vAlign w:val="center"/>
          </w:tcPr>
          <w:p w14:paraId="5AC4994C" w14:textId="77777777" w:rsidR="00BB3348" w:rsidRDefault="00BB3348" w:rsidP="00BB3348">
            <w:pPr>
              <w:ind w:left="0"/>
            </w:pPr>
            <w:r>
              <w:t>Oprávnený od</w:t>
            </w:r>
          </w:p>
        </w:tc>
        <w:tc>
          <w:tcPr>
            <w:tcW w:w="5045" w:type="dxa"/>
            <w:vAlign w:val="center"/>
          </w:tcPr>
          <w:p w14:paraId="4339D632" w14:textId="77777777" w:rsidR="00BB3348" w:rsidRDefault="00BB3348" w:rsidP="00BB3348">
            <w:pPr>
              <w:ind w:left="0"/>
            </w:pPr>
            <w:r>
              <w:t>01.01.2014</w:t>
            </w:r>
          </w:p>
        </w:tc>
      </w:tr>
      <w:tr w:rsidR="00BB3348" w14:paraId="617F7408" w14:textId="77777777" w:rsidTr="00E641FB">
        <w:trPr>
          <w:trHeight w:val="397"/>
          <w:jc w:val="center"/>
        </w:trPr>
        <w:tc>
          <w:tcPr>
            <w:tcW w:w="4197" w:type="dxa"/>
            <w:shd w:val="clear" w:color="auto" w:fill="DBE5F1" w:themeFill="accent1" w:themeFillTint="33"/>
            <w:vAlign w:val="center"/>
          </w:tcPr>
          <w:p w14:paraId="1B275EB4" w14:textId="77777777" w:rsidR="00BB3348" w:rsidRDefault="00BB3348" w:rsidP="00BB3348">
            <w:pPr>
              <w:ind w:left="0"/>
            </w:pPr>
            <w:r>
              <w:t>Oprávnený do</w:t>
            </w:r>
          </w:p>
        </w:tc>
        <w:tc>
          <w:tcPr>
            <w:tcW w:w="5045" w:type="dxa"/>
            <w:vAlign w:val="center"/>
          </w:tcPr>
          <w:p w14:paraId="5068D9FC" w14:textId="77777777" w:rsidR="00BB3348" w:rsidRDefault="00BB3348" w:rsidP="004D49A1">
            <w:pPr>
              <w:ind w:left="0"/>
            </w:pPr>
            <w:r>
              <w:t>31.12.</w:t>
            </w:r>
            <w:r w:rsidR="004D7FC1">
              <w:t>2023</w:t>
            </w:r>
          </w:p>
        </w:tc>
      </w:tr>
      <w:tr w:rsidR="00BB3348" w14:paraId="032FB413" w14:textId="77777777" w:rsidTr="00E641FB">
        <w:trPr>
          <w:trHeight w:val="397"/>
          <w:jc w:val="center"/>
        </w:trPr>
        <w:tc>
          <w:tcPr>
            <w:tcW w:w="4197" w:type="dxa"/>
            <w:shd w:val="clear" w:color="auto" w:fill="DBE5F1" w:themeFill="accent1" w:themeFillTint="33"/>
            <w:vAlign w:val="center"/>
          </w:tcPr>
          <w:p w14:paraId="71934ECA" w14:textId="77777777" w:rsidR="00BB3348" w:rsidRDefault="00BB3348" w:rsidP="00BB3348">
            <w:pPr>
              <w:ind w:left="0"/>
            </w:pPr>
            <w:r>
              <w:t>Číslo Rozhodnutia EK</w:t>
            </w:r>
          </w:p>
        </w:tc>
        <w:tc>
          <w:tcPr>
            <w:tcW w:w="5045" w:type="dxa"/>
            <w:vAlign w:val="center"/>
          </w:tcPr>
          <w:p w14:paraId="3B428D33" w14:textId="62F47F6F" w:rsidR="00BB3348" w:rsidRDefault="009A643C" w:rsidP="00BB3348">
            <w:pPr>
              <w:ind w:left="0"/>
            </w:pPr>
            <w:r>
              <w:t>C(2014)8045</w:t>
            </w:r>
          </w:p>
        </w:tc>
      </w:tr>
      <w:tr w:rsidR="00BB3348" w14:paraId="26B98E85" w14:textId="77777777" w:rsidTr="00E641FB">
        <w:trPr>
          <w:trHeight w:val="397"/>
          <w:jc w:val="center"/>
        </w:trPr>
        <w:tc>
          <w:tcPr>
            <w:tcW w:w="4197" w:type="dxa"/>
            <w:shd w:val="clear" w:color="auto" w:fill="DBE5F1" w:themeFill="accent1" w:themeFillTint="33"/>
            <w:vAlign w:val="center"/>
          </w:tcPr>
          <w:p w14:paraId="581BE882" w14:textId="77777777" w:rsidR="00BB3348" w:rsidRDefault="00BB3348" w:rsidP="00BB3348">
            <w:pPr>
              <w:ind w:left="0"/>
            </w:pPr>
            <w:r>
              <w:t>Dátum Rozhodnutia EK</w:t>
            </w:r>
          </w:p>
        </w:tc>
        <w:tc>
          <w:tcPr>
            <w:tcW w:w="5045" w:type="dxa"/>
            <w:vAlign w:val="center"/>
          </w:tcPr>
          <w:p w14:paraId="41B3B87E" w14:textId="30561548" w:rsidR="00BB3348" w:rsidRDefault="009A643C" w:rsidP="00BB3348">
            <w:pPr>
              <w:ind w:left="0"/>
            </w:pPr>
            <w:r>
              <w:t>28.10.2014</w:t>
            </w:r>
          </w:p>
        </w:tc>
      </w:tr>
      <w:tr w:rsidR="00BB3348" w14:paraId="394177E1" w14:textId="77777777" w:rsidTr="00E641FB">
        <w:trPr>
          <w:trHeight w:val="397"/>
          <w:jc w:val="center"/>
        </w:trPr>
        <w:tc>
          <w:tcPr>
            <w:tcW w:w="4197" w:type="dxa"/>
            <w:shd w:val="clear" w:color="auto" w:fill="DBE5F1" w:themeFill="accent1" w:themeFillTint="33"/>
            <w:vAlign w:val="center"/>
          </w:tcPr>
          <w:p w14:paraId="379D4881" w14:textId="77777777" w:rsidR="00BB3348" w:rsidRDefault="00BB3348" w:rsidP="00BB3348">
            <w:pPr>
              <w:ind w:left="0"/>
            </w:pPr>
            <w:r>
              <w:t>Rozhodnutie ČŠ, ktorým sa mení a dopĺňa OP</w:t>
            </w:r>
          </w:p>
        </w:tc>
        <w:tc>
          <w:tcPr>
            <w:tcW w:w="5045" w:type="dxa"/>
            <w:vAlign w:val="center"/>
          </w:tcPr>
          <w:p w14:paraId="27F33B94" w14:textId="2CBB3CB0" w:rsidR="00BB3348" w:rsidRDefault="00BB3348" w:rsidP="00BB3348">
            <w:pPr>
              <w:ind w:left="0"/>
            </w:pPr>
          </w:p>
        </w:tc>
      </w:tr>
      <w:tr w:rsidR="00BB3348" w14:paraId="00172B77" w14:textId="77777777" w:rsidTr="00E641FB">
        <w:trPr>
          <w:trHeight w:val="397"/>
          <w:jc w:val="center"/>
        </w:trPr>
        <w:tc>
          <w:tcPr>
            <w:tcW w:w="4197" w:type="dxa"/>
            <w:shd w:val="clear" w:color="auto" w:fill="DBE5F1" w:themeFill="accent1" w:themeFillTint="33"/>
            <w:vAlign w:val="center"/>
          </w:tcPr>
          <w:p w14:paraId="45087D84" w14:textId="77777777" w:rsidR="00BB3348" w:rsidRDefault="00BB3348" w:rsidP="00BB3348">
            <w:pPr>
              <w:ind w:left="0"/>
            </w:pPr>
            <w:r>
              <w:t>Oprávnené regióny (na úrovni NUTS)</w:t>
            </w:r>
          </w:p>
        </w:tc>
        <w:tc>
          <w:tcPr>
            <w:tcW w:w="5045" w:type="dxa"/>
            <w:vAlign w:val="center"/>
          </w:tcPr>
          <w:p w14:paraId="71C402FF" w14:textId="77777777" w:rsidR="00BB3348" w:rsidRDefault="004D49A1" w:rsidP="00BB3348">
            <w:pPr>
              <w:ind w:left="0"/>
            </w:pPr>
            <w:r>
              <w:t>SK Slovensko</w:t>
            </w:r>
          </w:p>
          <w:p w14:paraId="07B3ECDF" w14:textId="77777777" w:rsidR="004D49A1" w:rsidRDefault="004D49A1" w:rsidP="00BB3348">
            <w:pPr>
              <w:ind w:left="0"/>
            </w:pPr>
            <w:r>
              <w:t>SK0 Slovensko</w:t>
            </w:r>
          </w:p>
          <w:p w14:paraId="1C92E0C9" w14:textId="77777777" w:rsidR="004D49A1" w:rsidRDefault="004D49A1" w:rsidP="00BB3348">
            <w:pPr>
              <w:ind w:left="0"/>
            </w:pPr>
            <w:r>
              <w:t>SK01 Bratislavský kraj</w:t>
            </w:r>
          </w:p>
          <w:p w14:paraId="49C63438" w14:textId="77777777" w:rsidR="004D49A1" w:rsidRDefault="004D49A1" w:rsidP="00BB3348">
            <w:pPr>
              <w:ind w:left="0"/>
            </w:pPr>
            <w:r>
              <w:t>SK010 Bratislavský kraj</w:t>
            </w:r>
          </w:p>
          <w:p w14:paraId="53CE20D5" w14:textId="77777777" w:rsidR="004D49A1" w:rsidRDefault="004D49A1" w:rsidP="00BB3348">
            <w:pPr>
              <w:ind w:left="0"/>
            </w:pPr>
            <w:r>
              <w:t>SK02 Západné Slovensko</w:t>
            </w:r>
          </w:p>
          <w:p w14:paraId="25CE7913" w14:textId="77777777" w:rsidR="004D49A1" w:rsidRDefault="004D49A1" w:rsidP="00BB3348">
            <w:pPr>
              <w:ind w:left="0"/>
            </w:pPr>
            <w:r>
              <w:t>SK021 Trnavský kraj</w:t>
            </w:r>
          </w:p>
          <w:p w14:paraId="7D07A4BE" w14:textId="77777777" w:rsidR="004D49A1" w:rsidRDefault="004D49A1" w:rsidP="00BB3348">
            <w:pPr>
              <w:ind w:left="0"/>
            </w:pPr>
            <w:r>
              <w:t>SK022 Trenčiansky kraj</w:t>
            </w:r>
          </w:p>
          <w:p w14:paraId="2947FADF" w14:textId="77777777" w:rsidR="004D49A1" w:rsidRDefault="004D49A1" w:rsidP="00BB3348">
            <w:pPr>
              <w:ind w:left="0"/>
            </w:pPr>
            <w:r>
              <w:t>SK023 Nitriansky kraj</w:t>
            </w:r>
          </w:p>
          <w:p w14:paraId="496FFB94" w14:textId="77777777" w:rsidR="004D49A1" w:rsidRDefault="004D49A1" w:rsidP="00BB3348">
            <w:pPr>
              <w:ind w:left="0"/>
            </w:pPr>
            <w:r>
              <w:t>SK03 Stredné Slovensko</w:t>
            </w:r>
          </w:p>
          <w:p w14:paraId="681329F1" w14:textId="77777777" w:rsidR="004D49A1" w:rsidRDefault="004D49A1" w:rsidP="00BB3348">
            <w:pPr>
              <w:ind w:left="0"/>
            </w:pPr>
            <w:r>
              <w:t>SK031 Žilinský kraj</w:t>
            </w:r>
          </w:p>
          <w:p w14:paraId="423CDFD6" w14:textId="77777777" w:rsidR="004D49A1" w:rsidRDefault="004D49A1" w:rsidP="00BB3348">
            <w:pPr>
              <w:ind w:left="0"/>
            </w:pPr>
            <w:r>
              <w:t>SK032 Banskobystrický kraj</w:t>
            </w:r>
          </w:p>
          <w:p w14:paraId="3463F40D" w14:textId="77777777" w:rsidR="004D49A1" w:rsidRDefault="004D49A1" w:rsidP="00BB3348">
            <w:pPr>
              <w:ind w:left="0"/>
            </w:pPr>
            <w:r>
              <w:t>SK04 Východné Slovensko</w:t>
            </w:r>
          </w:p>
          <w:p w14:paraId="7996725B" w14:textId="77777777" w:rsidR="004D49A1" w:rsidRDefault="004D49A1" w:rsidP="00BB3348">
            <w:pPr>
              <w:ind w:left="0"/>
            </w:pPr>
            <w:r>
              <w:t>SK041 Prešovský kraj</w:t>
            </w:r>
          </w:p>
          <w:p w14:paraId="1BAE12E2" w14:textId="77777777" w:rsidR="004D49A1" w:rsidRDefault="004D49A1" w:rsidP="00BB3348">
            <w:pPr>
              <w:ind w:left="0"/>
            </w:pPr>
            <w:r>
              <w:t>SK042 Košický kraj</w:t>
            </w:r>
          </w:p>
        </w:tc>
      </w:tr>
    </w:tbl>
    <w:p w14:paraId="13EB3306" w14:textId="77777777" w:rsidR="00BB3348" w:rsidRDefault="00BB3348" w:rsidP="00A46625">
      <w:pPr>
        <w:pStyle w:val="Nadpis1"/>
        <w:sectPr w:rsidR="00BB3348" w:rsidSect="00E641FB">
          <w:headerReference w:type="default" r:id="rId18"/>
          <w:footerReference w:type="default" r:id="rId19"/>
          <w:pgSz w:w="11906" w:h="16838"/>
          <w:pgMar w:top="1474" w:right="1361" w:bottom="1304" w:left="1474" w:header="709" w:footer="709" w:gutter="0"/>
          <w:cols w:space="708"/>
          <w:docGrid w:linePitch="360"/>
        </w:sectPr>
      </w:pPr>
    </w:p>
    <w:p w14:paraId="411128E6" w14:textId="6F53F1F8" w:rsidR="0079492E" w:rsidRDefault="0079492E" w:rsidP="00A46625">
      <w:pPr>
        <w:pStyle w:val="Nadpis1"/>
      </w:pPr>
      <w:bookmarkStart w:id="0" w:name="_Toc28951577"/>
      <w:r>
        <w:lastRenderedPageBreak/>
        <w:t>Stratégia operačného programu</w:t>
      </w:r>
      <w:bookmarkEnd w:id="0"/>
    </w:p>
    <w:p w14:paraId="4A5ADE22" w14:textId="77777777" w:rsidR="00A46625" w:rsidRDefault="00A46625" w:rsidP="004B505E">
      <w:pPr>
        <w:pStyle w:val="Nadpis2"/>
        <w:tabs>
          <w:tab w:val="clear" w:pos="851"/>
        </w:tabs>
        <w:spacing w:before="240"/>
        <w:ind w:left="709" w:hanging="709"/>
        <w:jc w:val="both"/>
      </w:pPr>
      <w:bookmarkStart w:id="1" w:name="_Toc383209119"/>
      <w:bookmarkStart w:id="2" w:name="_Toc383236531"/>
      <w:bookmarkStart w:id="3" w:name="_Toc28951578"/>
      <w:r>
        <w:t>Stratégia OP pre príspevok k stratégii EÚ pre inteligentný, ud</w:t>
      </w:r>
      <w:r w:rsidR="00544A1F">
        <w:t>ržateľný a inkluzívny rast a na </w:t>
      </w:r>
      <w:r>
        <w:t>dosiahnutie ekonomickej, sociálnej a územnej súdržnosti</w:t>
      </w:r>
      <w:bookmarkEnd w:id="1"/>
      <w:bookmarkEnd w:id="2"/>
      <w:bookmarkEnd w:id="3"/>
    </w:p>
    <w:p w14:paraId="1B08992B" w14:textId="77777777" w:rsidR="00A46625" w:rsidRDefault="00A46625" w:rsidP="004B505E">
      <w:pPr>
        <w:pStyle w:val="Nadpis3"/>
        <w:tabs>
          <w:tab w:val="clear" w:pos="851"/>
        </w:tabs>
        <w:ind w:left="709" w:hanging="709"/>
        <w:jc w:val="both"/>
      </w:pPr>
      <w:bookmarkStart w:id="4" w:name="_Toc383209120"/>
      <w:bookmarkStart w:id="5" w:name="_Toc383236532"/>
      <w:bookmarkStart w:id="6" w:name="_Toc28951579"/>
      <w:r>
        <w:t>Popis stratégie OP z hľadiska prínosu k stratégii Európa 2020 a k dosiahnutiu ekonomickej, sociálnej a územnej súdržnosti</w:t>
      </w:r>
      <w:bookmarkEnd w:id="4"/>
      <w:bookmarkEnd w:id="5"/>
      <w:bookmarkEnd w:id="6"/>
    </w:p>
    <w:p w14:paraId="33E8BFCB" w14:textId="3D3857B0" w:rsidR="000C7996" w:rsidRDefault="000C7996" w:rsidP="000C7996">
      <w:pPr>
        <w:spacing w:before="180"/>
        <w:jc w:val="both"/>
        <w:rPr>
          <w:b/>
          <w:bCs/>
          <w:color w:val="000000"/>
          <w:sz w:val="22"/>
          <w:szCs w:val="22"/>
        </w:rPr>
      </w:pPr>
      <w:r w:rsidRPr="00A5254D">
        <w:rPr>
          <w:b/>
          <w:color w:val="000000"/>
          <w:sz w:val="22"/>
          <w:szCs w:val="22"/>
        </w:rPr>
        <w:t xml:space="preserve">Operačný program Integrovaná infraštruktúra </w:t>
      </w:r>
      <w:r>
        <w:rPr>
          <w:b/>
          <w:color w:val="000000"/>
          <w:sz w:val="22"/>
          <w:szCs w:val="22"/>
        </w:rPr>
        <w:t>(ďalej aj „OPII</w:t>
      </w:r>
      <w:r w:rsidRPr="00A5254D">
        <w:rPr>
          <w:b/>
          <w:color w:val="000000"/>
          <w:sz w:val="22"/>
          <w:szCs w:val="22"/>
        </w:rPr>
        <w:t>“) predstavuje programový dokument Slovenskej republiky pre čerpanie pomoci z fondov EÚ na roky 2014 – 2020 v sektore dopravy</w:t>
      </w:r>
      <w:r w:rsidR="00982A55">
        <w:rPr>
          <w:b/>
          <w:color w:val="000000"/>
          <w:sz w:val="22"/>
          <w:szCs w:val="22"/>
        </w:rPr>
        <w:t>,</w:t>
      </w:r>
      <w:r w:rsidRPr="00A5254D">
        <w:rPr>
          <w:b/>
          <w:color w:val="000000"/>
          <w:sz w:val="22"/>
          <w:szCs w:val="22"/>
        </w:rPr>
        <w:t xml:space="preserve"> v oblasti </w:t>
      </w:r>
      <w:r w:rsidRPr="00A5254D">
        <w:rPr>
          <w:b/>
          <w:bCs/>
          <w:color w:val="000000"/>
          <w:sz w:val="22"/>
          <w:szCs w:val="22"/>
        </w:rPr>
        <w:t>zlepšovania</w:t>
      </w:r>
      <w:r>
        <w:rPr>
          <w:b/>
          <w:bCs/>
          <w:color w:val="000000"/>
          <w:sz w:val="22"/>
          <w:szCs w:val="22"/>
        </w:rPr>
        <w:t xml:space="preserve"> prístupu k informačným a komunikačným technológiám a zlepšenia</w:t>
      </w:r>
      <w:r w:rsidRPr="00A5254D">
        <w:rPr>
          <w:b/>
          <w:bCs/>
          <w:color w:val="000000"/>
          <w:sz w:val="22"/>
          <w:szCs w:val="22"/>
        </w:rPr>
        <w:t xml:space="preserve"> ich využívania a</w:t>
      </w:r>
      <w:r w:rsidR="00982A55">
        <w:rPr>
          <w:b/>
          <w:bCs/>
          <w:color w:val="000000"/>
          <w:sz w:val="22"/>
          <w:szCs w:val="22"/>
        </w:rPr>
        <w:t> </w:t>
      </w:r>
      <w:r w:rsidRPr="00A5254D">
        <w:rPr>
          <w:b/>
          <w:bCs/>
          <w:color w:val="000000"/>
          <w:sz w:val="22"/>
          <w:szCs w:val="22"/>
        </w:rPr>
        <w:t>kvality</w:t>
      </w:r>
      <w:r w:rsidR="00982A55">
        <w:rPr>
          <w:b/>
          <w:bCs/>
          <w:color w:val="000000"/>
          <w:sz w:val="22"/>
          <w:szCs w:val="22"/>
        </w:rPr>
        <w:t xml:space="preserve"> a v oblasti </w:t>
      </w:r>
      <w:r w:rsidR="00982A55" w:rsidRPr="00AC445F">
        <w:rPr>
          <w:b/>
          <w:bCs/>
          <w:color w:val="000000"/>
          <w:sz w:val="22"/>
          <w:szCs w:val="22"/>
        </w:rPr>
        <w:t xml:space="preserve">zameranej na vytvorenie stabilného prostredia priaznivého pre inovácie pre všetky relevantné subjekty a </w:t>
      </w:r>
      <w:r w:rsidR="00982A55">
        <w:rPr>
          <w:b/>
          <w:bCs/>
          <w:color w:val="000000"/>
          <w:sz w:val="22"/>
          <w:szCs w:val="22"/>
        </w:rPr>
        <w:t>podporu zvýšenia efektívnosti a </w:t>
      </w:r>
      <w:r w:rsidR="00982A55" w:rsidRPr="00AC445F">
        <w:rPr>
          <w:b/>
          <w:bCs/>
          <w:color w:val="000000"/>
          <w:sz w:val="22"/>
          <w:szCs w:val="22"/>
        </w:rPr>
        <w:t>výkonnosti systému výskumu, vývoja a inovácií, ako základného piliera pre zvyšovanie konkurencieschopnosti, trvalo udržateľného hospodárskeho rastu a zamestnanosti</w:t>
      </w:r>
      <w:r w:rsidR="00E36ED4">
        <w:rPr>
          <w:rStyle w:val="Odkaznapoznmkupodiarou"/>
          <w:b/>
          <w:bCs/>
          <w:color w:val="000000"/>
          <w:sz w:val="22"/>
          <w:szCs w:val="22"/>
        </w:rPr>
        <w:footnoteReference w:id="1"/>
      </w:r>
      <w:r w:rsidRPr="00A5254D">
        <w:rPr>
          <w:b/>
          <w:bCs/>
          <w:color w:val="000000"/>
          <w:sz w:val="22"/>
          <w:szCs w:val="22"/>
        </w:rPr>
        <w:t>.</w:t>
      </w:r>
    </w:p>
    <w:p w14:paraId="031298EE" w14:textId="5632381E" w:rsidR="000C7996" w:rsidRPr="00A5254D" w:rsidRDefault="000C7996" w:rsidP="000C7996">
      <w:pPr>
        <w:spacing w:before="180"/>
        <w:jc w:val="both"/>
        <w:rPr>
          <w:b/>
          <w:sz w:val="22"/>
          <w:szCs w:val="22"/>
        </w:rPr>
      </w:pPr>
      <w:r w:rsidRPr="00A5254D">
        <w:rPr>
          <w:b/>
          <w:sz w:val="22"/>
          <w:szCs w:val="22"/>
        </w:rPr>
        <w:t xml:space="preserve">Globálnym cieľom </w:t>
      </w:r>
      <w:r>
        <w:rPr>
          <w:b/>
          <w:sz w:val="22"/>
          <w:szCs w:val="22"/>
        </w:rPr>
        <w:t>OPII</w:t>
      </w:r>
      <w:r w:rsidRPr="00A5254D">
        <w:rPr>
          <w:b/>
          <w:sz w:val="22"/>
          <w:szCs w:val="22"/>
        </w:rPr>
        <w:t xml:space="preserve"> je podpora trvalo udržateľnej mobility, hospodárskeho rastu, tvorby pracovných miest a zlepšenie podnikateľského prostredia prostredníctvom rozvoja dopravnej infraštruktúry, rozvoja verejnej osobnej dopravy</w:t>
      </w:r>
      <w:r w:rsidR="00A2712C">
        <w:rPr>
          <w:b/>
          <w:sz w:val="22"/>
          <w:szCs w:val="22"/>
        </w:rPr>
        <w:t>,</w:t>
      </w:r>
      <w:r w:rsidRPr="00A5254D">
        <w:rPr>
          <w:b/>
          <w:sz w:val="22"/>
          <w:szCs w:val="22"/>
        </w:rPr>
        <w:t> rozvoja informačnej spoločnosti</w:t>
      </w:r>
      <w:r w:rsidR="00A2712C">
        <w:rPr>
          <w:b/>
          <w:sz w:val="22"/>
          <w:szCs w:val="22"/>
        </w:rPr>
        <w:t xml:space="preserve"> a podpory výskumu a inovácií</w:t>
      </w:r>
      <w:r w:rsidRPr="00A5254D">
        <w:rPr>
          <w:b/>
          <w:sz w:val="22"/>
          <w:szCs w:val="22"/>
        </w:rPr>
        <w:t>.</w:t>
      </w:r>
    </w:p>
    <w:p w14:paraId="7B818F31" w14:textId="5F9FB2AF" w:rsidR="00DF3D5E" w:rsidRDefault="00DF3D5E" w:rsidP="00DF3D5E">
      <w:pPr>
        <w:spacing w:before="180"/>
        <w:jc w:val="both"/>
        <w:rPr>
          <w:bCs/>
          <w:color w:val="000000"/>
          <w:sz w:val="22"/>
          <w:szCs w:val="22"/>
        </w:rPr>
      </w:pPr>
      <w:r w:rsidRPr="00823AB8">
        <w:rPr>
          <w:bCs/>
          <w:color w:val="000000"/>
          <w:sz w:val="22"/>
          <w:szCs w:val="22"/>
        </w:rPr>
        <w:t xml:space="preserve">Za implementáciu OPII </w:t>
      </w:r>
      <w:r w:rsidR="003B0247" w:rsidRPr="00823AB8">
        <w:rPr>
          <w:bCs/>
          <w:color w:val="000000"/>
          <w:sz w:val="22"/>
          <w:szCs w:val="22"/>
        </w:rPr>
        <w:t xml:space="preserve">je </w:t>
      </w:r>
      <w:r w:rsidRPr="00823AB8">
        <w:rPr>
          <w:bCs/>
          <w:color w:val="000000"/>
          <w:sz w:val="22"/>
          <w:szCs w:val="22"/>
        </w:rPr>
        <w:t>z pozície Riadiaceho orgá</w:t>
      </w:r>
      <w:r w:rsidR="003B0247" w:rsidRPr="00823AB8">
        <w:rPr>
          <w:bCs/>
          <w:color w:val="000000"/>
          <w:sz w:val="22"/>
          <w:szCs w:val="22"/>
        </w:rPr>
        <w:t xml:space="preserve">nu </w:t>
      </w:r>
      <w:r w:rsidRPr="00823AB8">
        <w:rPr>
          <w:bCs/>
          <w:color w:val="000000"/>
          <w:sz w:val="22"/>
          <w:szCs w:val="22"/>
        </w:rPr>
        <w:t>zodpovedné Ministerstvo dopravy a výstavby S</w:t>
      </w:r>
      <w:r w:rsidR="003B0247" w:rsidRPr="00823AB8">
        <w:rPr>
          <w:bCs/>
          <w:color w:val="000000"/>
          <w:sz w:val="22"/>
          <w:szCs w:val="22"/>
        </w:rPr>
        <w:t xml:space="preserve">lovenskej republiky </w:t>
      </w:r>
      <w:r w:rsidRPr="00823AB8">
        <w:rPr>
          <w:bCs/>
          <w:color w:val="000000"/>
          <w:sz w:val="22"/>
          <w:szCs w:val="22"/>
        </w:rPr>
        <w:t>(ďalej len „MDV SR“)</w:t>
      </w:r>
      <w:r w:rsidR="00204CB9" w:rsidRPr="00823AB8">
        <w:rPr>
          <w:rStyle w:val="Odkaznapoznmkupodiarou"/>
          <w:bCs/>
          <w:color w:val="000000"/>
          <w:sz w:val="22"/>
          <w:szCs w:val="22"/>
        </w:rPr>
        <w:footnoteReference w:id="2"/>
      </w:r>
      <w:r w:rsidRPr="00823AB8">
        <w:rPr>
          <w:bCs/>
          <w:color w:val="000000"/>
          <w:sz w:val="22"/>
          <w:szCs w:val="22"/>
        </w:rPr>
        <w:t>. Pozícia Sprostredkovateľského orgánu pre prioritnú os 7 Informačná spoločnosť je v pôsobnosti Úradu podpredsedu vlády SR pre investície a informatizáciu (ďalej len „</w:t>
      </w:r>
      <w:r w:rsidR="00961B27" w:rsidRPr="00823AB8">
        <w:rPr>
          <w:bCs/>
          <w:color w:val="000000"/>
          <w:sz w:val="22"/>
          <w:szCs w:val="22"/>
        </w:rPr>
        <w:t>Ú</w:t>
      </w:r>
      <w:r w:rsidRPr="00823AB8">
        <w:rPr>
          <w:bCs/>
          <w:color w:val="000000"/>
          <w:sz w:val="22"/>
          <w:szCs w:val="22"/>
        </w:rPr>
        <w:t>PVII“)</w:t>
      </w:r>
      <w:r w:rsidRPr="00823AB8">
        <w:rPr>
          <w:rStyle w:val="Odkaznapoznmkupodiarou"/>
          <w:bCs/>
          <w:color w:val="000000"/>
          <w:sz w:val="22"/>
          <w:szCs w:val="22"/>
        </w:rPr>
        <w:footnoteReference w:id="3"/>
      </w:r>
      <w:r w:rsidRPr="00823AB8">
        <w:rPr>
          <w:bCs/>
          <w:color w:val="000000"/>
          <w:sz w:val="22"/>
          <w:szCs w:val="22"/>
        </w:rPr>
        <w:t>.</w:t>
      </w:r>
      <w:r w:rsidR="00823AB8">
        <w:rPr>
          <w:bCs/>
          <w:color w:val="000000"/>
          <w:sz w:val="22"/>
          <w:szCs w:val="22"/>
        </w:rPr>
        <w:t xml:space="preserve"> </w:t>
      </w:r>
      <w:r w:rsidR="00823AB8" w:rsidRPr="00E36ED4">
        <w:rPr>
          <w:bCs/>
          <w:color w:val="000000"/>
          <w:sz w:val="22"/>
          <w:szCs w:val="22"/>
        </w:rPr>
        <w:t>Pozícia Sprostredkovateľského orgánu pre prioritné osi 9 a 10 je v pôsobnosti Ministerstva školstva, vedy, výskumu a športu SR</w:t>
      </w:r>
      <w:r w:rsidR="008E0B02" w:rsidRPr="00E36ED4">
        <w:rPr>
          <w:bCs/>
          <w:color w:val="000000"/>
          <w:sz w:val="22"/>
          <w:szCs w:val="22"/>
        </w:rPr>
        <w:t xml:space="preserve"> a</w:t>
      </w:r>
      <w:r w:rsidR="00823AB8" w:rsidRPr="00E36ED4">
        <w:rPr>
          <w:bCs/>
          <w:color w:val="000000"/>
          <w:sz w:val="22"/>
          <w:szCs w:val="22"/>
        </w:rPr>
        <w:t xml:space="preserve"> Ministerstva hosp</w:t>
      </w:r>
      <w:r w:rsidR="008E0B02" w:rsidRPr="00E36ED4">
        <w:rPr>
          <w:bCs/>
          <w:color w:val="000000"/>
          <w:sz w:val="22"/>
          <w:szCs w:val="22"/>
        </w:rPr>
        <w:t>odárstva SR</w:t>
      </w:r>
      <w:r w:rsidR="00823AB8" w:rsidRPr="00E36ED4">
        <w:rPr>
          <w:bCs/>
          <w:color w:val="000000"/>
          <w:sz w:val="22"/>
          <w:szCs w:val="22"/>
        </w:rPr>
        <w:t>. Funkciu Sprostredkovateľského orgánu pre prioritné osi 11 a 12 vykonáva Ministerstvo hospodárstva SR.</w:t>
      </w:r>
    </w:p>
    <w:p w14:paraId="345F3581" w14:textId="3AD13B04" w:rsidR="004C5D03" w:rsidRDefault="000C7996" w:rsidP="000C7996">
      <w:pPr>
        <w:spacing w:before="180"/>
        <w:jc w:val="both"/>
        <w:rPr>
          <w:sz w:val="22"/>
          <w:szCs w:val="22"/>
        </w:rPr>
      </w:pPr>
      <w:r w:rsidRPr="00A5254D">
        <w:rPr>
          <w:bCs/>
          <w:color w:val="000000"/>
          <w:sz w:val="22"/>
          <w:szCs w:val="22"/>
        </w:rPr>
        <w:t>Implementačná stratégia OP</w:t>
      </w:r>
      <w:r>
        <w:rPr>
          <w:bCs/>
          <w:color w:val="000000"/>
          <w:sz w:val="22"/>
          <w:szCs w:val="22"/>
        </w:rPr>
        <w:t>II</w:t>
      </w:r>
      <w:r w:rsidRPr="00A5254D">
        <w:rPr>
          <w:bCs/>
          <w:color w:val="000000"/>
          <w:sz w:val="22"/>
          <w:szCs w:val="22"/>
        </w:rPr>
        <w:t xml:space="preserve"> vychádza z analýzy sektoru a prognózy jeho vývoja, z</w:t>
      </w:r>
      <w:r w:rsidR="004C5D03">
        <w:rPr>
          <w:bCs/>
          <w:color w:val="000000"/>
          <w:sz w:val="22"/>
          <w:szCs w:val="22"/>
        </w:rPr>
        <w:t> </w:t>
      </w:r>
      <w:r w:rsidRPr="00A5254D">
        <w:rPr>
          <w:bCs/>
          <w:color w:val="000000"/>
          <w:sz w:val="22"/>
          <w:szCs w:val="22"/>
        </w:rPr>
        <w:t>hlavných kľúčových disparít a potenciálnych faktorov rozvoja identifikovaných na makroekonomickej národnej úrovni, ako aj tých, ktoré sú špecifické pre sektor dopravy.</w:t>
      </w:r>
      <w:r w:rsidR="004C5D03">
        <w:rPr>
          <w:bCs/>
          <w:color w:val="000000"/>
          <w:sz w:val="22"/>
          <w:szCs w:val="22"/>
        </w:rPr>
        <w:t xml:space="preserve"> </w:t>
      </w:r>
      <w:r w:rsidR="004C5D03" w:rsidRPr="00230DA8">
        <w:rPr>
          <w:sz w:val="22"/>
          <w:szCs w:val="22"/>
        </w:rPr>
        <w:t>Zameranie prioritných osí zodpovedá potrebám identifikovaným v Pozičnom dokumente Komisie k vypracovaniu Partnerskej dohody a programov na Slovensku na roky 2014 - 2020 (ďalej len „pozičný dokument“) a strategických dokumentoch (ex ante kondicionality) a sú orientované na podporu faktorov rozvoja v oblasti dopravy a informačnej spoločnosti.</w:t>
      </w:r>
    </w:p>
    <w:p w14:paraId="4394533B" w14:textId="77777777" w:rsidR="000C7996" w:rsidRPr="004C5D03" w:rsidRDefault="000C7996" w:rsidP="000C7996">
      <w:pPr>
        <w:spacing w:before="180"/>
        <w:jc w:val="both"/>
        <w:rPr>
          <w:sz w:val="22"/>
          <w:szCs w:val="22"/>
        </w:rPr>
      </w:pPr>
      <w:r w:rsidRPr="00A5254D">
        <w:rPr>
          <w:bCs/>
          <w:color w:val="000000"/>
          <w:sz w:val="22"/>
          <w:szCs w:val="22"/>
        </w:rPr>
        <w:t>Investície do roku 2020 by mali slúžiť na vypĺňanie medzier a chýbajúcich spojení v základnej infraštruktúre na národnej aj cezhraničnej úrovni, s dôrazom na trvalo</w:t>
      </w:r>
      <w:r>
        <w:rPr>
          <w:bCs/>
          <w:color w:val="000000"/>
          <w:sz w:val="22"/>
          <w:szCs w:val="22"/>
        </w:rPr>
        <w:t xml:space="preserve"> </w:t>
      </w:r>
      <w:r w:rsidRPr="00A5254D">
        <w:rPr>
          <w:bCs/>
          <w:color w:val="000000"/>
          <w:sz w:val="22"/>
          <w:szCs w:val="22"/>
        </w:rPr>
        <w:t>udržateľnú, ekologickejšiu a nákladovo-efektív</w:t>
      </w:r>
      <w:r>
        <w:rPr>
          <w:bCs/>
          <w:color w:val="000000"/>
          <w:sz w:val="22"/>
          <w:szCs w:val="22"/>
        </w:rPr>
        <w:t>nejšiu dopravnú infraštruktúru.</w:t>
      </w:r>
    </w:p>
    <w:p w14:paraId="2C49CF35" w14:textId="77777777" w:rsidR="000C7996" w:rsidRDefault="000C7996" w:rsidP="000C7996">
      <w:pPr>
        <w:spacing w:before="180"/>
        <w:jc w:val="both"/>
        <w:rPr>
          <w:bCs/>
          <w:color w:val="000000"/>
          <w:sz w:val="22"/>
          <w:szCs w:val="22"/>
        </w:rPr>
      </w:pPr>
      <w:r w:rsidRPr="00A5254D">
        <w:rPr>
          <w:bCs/>
          <w:color w:val="000000"/>
          <w:sz w:val="22"/>
          <w:szCs w:val="22"/>
        </w:rPr>
        <w:t xml:space="preserve">Intervencie do výstavby novej a modernizácie existujúcej dopravnej infraštruktúry by okrem riešenia naliehavých otázok na dopravnej sieti mali prispieť k hospodárskemu rastu a tvorbe pracovných miest. V oblasti </w:t>
      </w:r>
      <w:r>
        <w:rPr>
          <w:bCs/>
          <w:color w:val="000000"/>
          <w:sz w:val="22"/>
          <w:szCs w:val="22"/>
        </w:rPr>
        <w:t xml:space="preserve">verejnej osobnej dopravy a </w:t>
      </w:r>
      <w:r w:rsidRPr="00A5254D">
        <w:rPr>
          <w:bCs/>
          <w:color w:val="000000"/>
          <w:sz w:val="22"/>
          <w:szCs w:val="22"/>
        </w:rPr>
        <w:t>udržateľn</w:t>
      </w:r>
      <w:r>
        <w:rPr>
          <w:bCs/>
          <w:color w:val="000000"/>
          <w:sz w:val="22"/>
          <w:szCs w:val="22"/>
        </w:rPr>
        <w:t>ej</w:t>
      </w:r>
      <w:r w:rsidRPr="00A5254D">
        <w:rPr>
          <w:bCs/>
          <w:color w:val="000000"/>
          <w:sz w:val="22"/>
          <w:szCs w:val="22"/>
        </w:rPr>
        <w:t xml:space="preserve"> me</w:t>
      </w:r>
      <w:r>
        <w:rPr>
          <w:bCs/>
          <w:color w:val="000000"/>
          <w:sz w:val="22"/>
          <w:szCs w:val="22"/>
        </w:rPr>
        <w:t xml:space="preserve">stskej mobility, budú podporované predovšetkým </w:t>
      </w:r>
      <w:r w:rsidRPr="00A5254D">
        <w:rPr>
          <w:bCs/>
          <w:color w:val="000000"/>
          <w:sz w:val="22"/>
          <w:szCs w:val="22"/>
        </w:rPr>
        <w:t>veľk</w:t>
      </w:r>
      <w:r>
        <w:rPr>
          <w:bCs/>
          <w:color w:val="000000"/>
          <w:sz w:val="22"/>
          <w:szCs w:val="22"/>
        </w:rPr>
        <w:t>é</w:t>
      </w:r>
      <w:r w:rsidRPr="00A5254D">
        <w:rPr>
          <w:bCs/>
          <w:color w:val="000000"/>
          <w:sz w:val="22"/>
          <w:szCs w:val="22"/>
        </w:rPr>
        <w:t xml:space="preserve"> sídelno-urbanistick</w:t>
      </w:r>
      <w:r>
        <w:rPr>
          <w:bCs/>
          <w:color w:val="000000"/>
          <w:sz w:val="22"/>
          <w:szCs w:val="22"/>
        </w:rPr>
        <w:t>é</w:t>
      </w:r>
      <w:r w:rsidRPr="00A5254D">
        <w:rPr>
          <w:bCs/>
          <w:color w:val="000000"/>
          <w:sz w:val="22"/>
          <w:szCs w:val="22"/>
        </w:rPr>
        <w:t xml:space="preserve"> aglomeráci</w:t>
      </w:r>
      <w:r>
        <w:rPr>
          <w:bCs/>
          <w:color w:val="000000"/>
          <w:sz w:val="22"/>
          <w:szCs w:val="22"/>
        </w:rPr>
        <w:t>e</w:t>
      </w:r>
      <w:r w:rsidRPr="00A5254D">
        <w:rPr>
          <w:bCs/>
          <w:color w:val="000000"/>
          <w:sz w:val="22"/>
          <w:szCs w:val="22"/>
        </w:rPr>
        <w:t>, a to prostredníctvom podpory integrácie dopravných systémov a obnovy mobilných prostriedkov zabezpečujúcich železničnú osobnú a mestskú hromadnú (dráhovú) prepravu cestujúcich.</w:t>
      </w:r>
    </w:p>
    <w:p w14:paraId="269EF6C0" w14:textId="77777777" w:rsidR="000C7996" w:rsidRDefault="000C7996" w:rsidP="000C7996">
      <w:pPr>
        <w:spacing w:before="180"/>
        <w:jc w:val="both"/>
        <w:rPr>
          <w:bCs/>
          <w:color w:val="000000"/>
          <w:sz w:val="22"/>
          <w:szCs w:val="22"/>
        </w:rPr>
      </w:pPr>
      <w:r>
        <w:rPr>
          <w:bCs/>
          <w:color w:val="000000"/>
          <w:sz w:val="22"/>
          <w:szCs w:val="22"/>
        </w:rPr>
        <w:lastRenderedPageBreak/>
        <w:t>Intervencie v oblasti rozvoja informačnej spoločnosti by mali prispieť k vytvoreniu agilnej spoločnosti schopnej flexibilne reagovať na meniace sa podmienky a otvárajúce sa príležitosti a prispieť k naplneniu kľúčových priorít Slovenska akými sú hospodársky rast, zvýšenie konkurencieschopnosti, posilnenie ekonomiky a zefektívnenie verejnej správy.</w:t>
      </w:r>
    </w:p>
    <w:p w14:paraId="621F1D5E" w14:textId="1A9840C6" w:rsidR="0081636D" w:rsidRDefault="0081636D" w:rsidP="0081636D">
      <w:pPr>
        <w:spacing w:before="180"/>
        <w:jc w:val="both"/>
        <w:rPr>
          <w:bCs/>
          <w:color w:val="000000"/>
          <w:sz w:val="22"/>
          <w:szCs w:val="22"/>
        </w:rPr>
      </w:pPr>
      <w:r>
        <w:rPr>
          <w:bCs/>
          <w:color w:val="000000"/>
          <w:sz w:val="22"/>
          <w:szCs w:val="22"/>
        </w:rPr>
        <w:t>Súčasne je nevyhnutné prepojenie s výst</w:t>
      </w:r>
      <w:r w:rsidR="008C1738">
        <w:rPr>
          <w:bCs/>
          <w:color w:val="000000"/>
          <w:sz w:val="22"/>
          <w:szCs w:val="22"/>
        </w:rPr>
        <w:t xml:space="preserve">upmi súhrnnej správy z procesu </w:t>
      </w:r>
      <w:r>
        <w:rPr>
          <w:bCs/>
          <w:color w:val="000000"/>
          <w:sz w:val="22"/>
          <w:szCs w:val="22"/>
        </w:rPr>
        <w:t>EDP (entrepreneur discovery procesu) platformy pre doménu „Digitálne Slovensko a kreatívny priemysel“, ktorý vznikol v rámci jednej z piatich domén Stratégie inteligentnej špecializácie ako plnenie Implementačného plánu Stratégie výskumu a inovácií pre inteligentnú špecializáciu SR (RIS3). Priorizácia oblastí podpory výskumu a inovácií na tri hlavné trendy a súvisiace vedľajšie trendy by mala prispieť k rozvoju konkurencieschopného digitálneho hospodárstva. Hlavné trendy ako výsledok EDP domény digitálne Slovensko a kreatívny priemysel:</w:t>
      </w:r>
    </w:p>
    <w:p w14:paraId="5EB6965C" w14:textId="61BA489B" w:rsidR="0081636D" w:rsidRDefault="0081636D" w:rsidP="0081636D">
      <w:pPr>
        <w:pStyle w:val="Odsekzoznamu"/>
        <w:numPr>
          <w:ilvl w:val="0"/>
          <w:numId w:val="125"/>
        </w:numPr>
        <w:spacing w:before="180"/>
        <w:jc w:val="both"/>
        <w:rPr>
          <w:bCs/>
          <w:color w:val="000000"/>
          <w:sz w:val="22"/>
          <w:szCs w:val="22"/>
        </w:rPr>
      </w:pPr>
      <w:r>
        <w:rPr>
          <w:bCs/>
          <w:color w:val="000000"/>
          <w:sz w:val="22"/>
          <w:szCs w:val="22"/>
        </w:rPr>
        <w:t>Priemysel 4.0 – pokročilé analytické a predikčné nástroje (pre priemyselné aplikácie) so zameraním na cloudové riešenia, veľkoobjemové dáta a vysokovýkonné počítanie, bezpečnosť a komunikácia v priemysle, digitálne dvojča, inovatívne IKT technológie pre priemyselné aplikácie.</w:t>
      </w:r>
    </w:p>
    <w:p w14:paraId="1DB320E4" w14:textId="4280595F" w:rsidR="0081636D" w:rsidRDefault="0081636D" w:rsidP="0081636D">
      <w:pPr>
        <w:pStyle w:val="Odsekzoznamu"/>
        <w:numPr>
          <w:ilvl w:val="0"/>
          <w:numId w:val="125"/>
        </w:numPr>
        <w:spacing w:before="180"/>
        <w:jc w:val="both"/>
        <w:rPr>
          <w:bCs/>
          <w:color w:val="000000"/>
          <w:sz w:val="22"/>
          <w:szCs w:val="22"/>
        </w:rPr>
      </w:pPr>
      <w:r>
        <w:rPr>
          <w:bCs/>
          <w:color w:val="000000"/>
          <w:sz w:val="22"/>
          <w:szCs w:val="22"/>
        </w:rPr>
        <w:t>Digitálne technológie pre spoločnosť – bezpečnosť, systémové nástroje digitalizácie, technické a telekomunikačné prostriedky digitalizácie.</w:t>
      </w:r>
    </w:p>
    <w:p w14:paraId="7C0179A8" w14:textId="77777777" w:rsidR="0081636D" w:rsidRDefault="0081636D" w:rsidP="0081636D">
      <w:pPr>
        <w:pStyle w:val="Odsekzoznamu"/>
        <w:numPr>
          <w:ilvl w:val="0"/>
          <w:numId w:val="125"/>
        </w:numPr>
        <w:spacing w:before="180"/>
        <w:jc w:val="both"/>
        <w:rPr>
          <w:bCs/>
          <w:color w:val="000000"/>
          <w:sz w:val="22"/>
          <w:szCs w:val="22"/>
        </w:rPr>
      </w:pPr>
      <w:r>
        <w:rPr>
          <w:bCs/>
          <w:color w:val="000000"/>
          <w:sz w:val="22"/>
          <w:szCs w:val="22"/>
        </w:rPr>
        <w:t>Kreatívny priemysel.</w:t>
      </w:r>
    </w:p>
    <w:p w14:paraId="6A453167" w14:textId="23C21E00" w:rsidR="00982A55" w:rsidRPr="00982A55" w:rsidRDefault="00982A55" w:rsidP="00982A55">
      <w:pPr>
        <w:spacing w:before="180"/>
        <w:jc w:val="both"/>
        <w:rPr>
          <w:bCs/>
          <w:color w:val="000000"/>
          <w:sz w:val="22"/>
          <w:szCs w:val="22"/>
        </w:rPr>
      </w:pPr>
      <w:r w:rsidRPr="00982A55">
        <w:rPr>
          <w:bCs/>
          <w:color w:val="000000"/>
          <w:sz w:val="22"/>
          <w:szCs w:val="22"/>
        </w:rPr>
        <w:t>Intervencie v oblasti výskumu a inovácií vychádza</w:t>
      </w:r>
      <w:r w:rsidR="00CD6F19">
        <w:rPr>
          <w:bCs/>
          <w:color w:val="000000"/>
          <w:sz w:val="22"/>
          <w:szCs w:val="22"/>
        </w:rPr>
        <w:t>jú</w:t>
      </w:r>
      <w:r w:rsidRPr="00982A55">
        <w:rPr>
          <w:bCs/>
          <w:color w:val="000000"/>
          <w:sz w:val="22"/>
          <w:szCs w:val="22"/>
        </w:rPr>
        <w:t xml:space="preserve"> z priorít stratégie Európa 2020</w:t>
      </w:r>
      <w:r w:rsidR="00E36ED4">
        <w:rPr>
          <w:bCs/>
          <w:color w:val="000000"/>
          <w:sz w:val="22"/>
          <w:szCs w:val="22"/>
        </w:rPr>
        <w:t>,</w:t>
      </w:r>
      <w:r w:rsidRPr="00982A55">
        <w:rPr>
          <w:bCs/>
          <w:color w:val="000000"/>
          <w:sz w:val="22"/>
          <w:szCs w:val="22"/>
        </w:rPr>
        <w:t xml:space="preserve"> ako aj hlavných odporúčaní Small Business Act a Akčného plánu pre podnikanie 2020.</w:t>
      </w:r>
    </w:p>
    <w:p w14:paraId="7B853E57" w14:textId="2EF5D3F5" w:rsidR="00982A55" w:rsidRPr="00982A55" w:rsidRDefault="00982A55" w:rsidP="00982A55">
      <w:pPr>
        <w:spacing w:before="180"/>
        <w:jc w:val="both"/>
        <w:rPr>
          <w:bCs/>
          <w:color w:val="000000"/>
          <w:sz w:val="22"/>
          <w:szCs w:val="22"/>
        </w:rPr>
      </w:pPr>
      <w:r w:rsidRPr="00982A55">
        <w:rPr>
          <w:bCs/>
          <w:color w:val="000000"/>
          <w:sz w:val="22"/>
          <w:szCs w:val="22"/>
        </w:rPr>
        <w:t>V roku 2012 celkové výdavky na VaV v SR predstavovali len 0,82</w:t>
      </w:r>
      <w:r w:rsidR="003E1B91">
        <w:rPr>
          <w:rStyle w:val="Odkaznapoznmkupodiarou"/>
          <w:bCs/>
          <w:color w:val="000000"/>
          <w:sz w:val="22"/>
          <w:szCs w:val="22"/>
        </w:rPr>
        <w:footnoteReference w:id="4"/>
      </w:r>
      <w:r w:rsidRPr="00982A55">
        <w:rPr>
          <w:bCs/>
          <w:color w:val="000000"/>
          <w:sz w:val="22"/>
          <w:szCs w:val="22"/>
        </w:rPr>
        <w:t xml:space="preserve"> % HDP (EÚ28 2,06 %, EÚ15 2,15 % a V4 1,27 %). Do roku 2020, aj v zmysle Stratégie Európa 2020, chce SR zvýšiť podiel súkromných zdrojov do roku 2020 na celkových výdavkoch na VaV pri zachovaní minimálne súčasného podielu verejných zdrojov na celkových výdavkoch na VaV tak, aby podie</w:t>
      </w:r>
      <w:r>
        <w:rPr>
          <w:bCs/>
          <w:color w:val="000000"/>
          <w:sz w:val="22"/>
          <w:szCs w:val="22"/>
        </w:rPr>
        <w:t>l verejných a </w:t>
      </w:r>
      <w:r w:rsidRPr="00982A55">
        <w:rPr>
          <w:bCs/>
          <w:color w:val="000000"/>
          <w:sz w:val="22"/>
          <w:szCs w:val="22"/>
        </w:rPr>
        <w:t>súkromných zdrojov bol 1:2, pri celkových výdavkoch na Va</w:t>
      </w:r>
      <w:r>
        <w:rPr>
          <w:bCs/>
          <w:color w:val="000000"/>
          <w:sz w:val="22"/>
          <w:szCs w:val="22"/>
        </w:rPr>
        <w:t>V minimálne 1,2 % HDP</w:t>
      </w:r>
      <w:r w:rsidR="003E1B91">
        <w:rPr>
          <w:rStyle w:val="Odkaznapoznmkupodiarou"/>
          <w:bCs/>
          <w:color w:val="000000"/>
          <w:sz w:val="22"/>
          <w:szCs w:val="22"/>
        </w:rPr>
        <w:footnoteReference w:id="5"/>
      </w:r>
      <w:r>
        <w:rPr>
          <w:bCs/>
          <w:color w:val="000000"/>
          <w:sz w:val="22"/>
          <w:szCs w:val="22"/>
        </w:rPr>
        <w:t>. Jeden z </w:t>
      </w:r>
      <w:r w:rsidRPr="00982A55">
        <w:rPr>
          <w:bCs/>
          <w:color w:val="000000"/>
          <w:sz w:val="22"/>
          <w:szCs w:val="22"/>
        </w:rPr>
        <w:t>hlavných nástrojov na dosiahnutie tohto cieľa je práve implementácia OPII zameraná na posilnenie inovačnej aktivity a konkurencieschopnosti podnikov s cieľom zvýšiť pridanú hodnotu, stimulovať rast a tvorbu pracovných miest, ako aj zlepšenie výkonnosti v oblasti VaI, vrátane kvality vysokoškolského vzdelávania a zvýšenia objemu súkromných investícií do VaI.</w:t>
      </w:r>
    </w:p>
    <w:p w14:paraId="7C2C38A3" w14:textId="21D62B8C" w:rsidR="00982A55" w:rsidRDefault="00982A55" w:rsidP="00982A55">
      <w:pPr>
        <w:spacing w:before="180"/>
        <w:jc w:val="both"/>
        <w:rPr>
          <w:bCs/>
          <w:color w:val="000000"/>
          <w:sz w:val="22"/>
          <w:szCs w:val="22"/>
        </w:rPr>
      </w:pPr>
      <w:r w:rsidRPr="00982A55">
        <w:rPr>
          <w:bCs/>
          <w:color w:val="000000"/>
          <w:sz w:val="22"/>
          <w:szCs w:val="22"/>
        </w:rPr>
        <w:t>OPII</w:t>
      </w:r>
      <w:r w:rsidR="002645EF">
        <w:rPr>
          <w:bCs/>
          <w:color w:val="000000"/>
          <w:sz w:val="22"/>
          <w:szCs w:val="22"/>
        </w:rPr>
        <w:t xml:space="preserve"> (časť VaI)</w:t>
      </w:r>
      <w:r w:rsidRPr="00982A55">
        <w:rPr>
          <w:bCs/>
          <w:color w:val="000000"/>
          <w:sz w:val="22"/>
          <w:szCs w:val="22"/>
        </w:rPr>
        <w:t xml:space="preserve"> pri definovaní svojich aktivít vychádza z odporúčaní Európskej komisie (ďalej len „EK“) definovaných v </w:t>
      </w:r>
      <w:r w:rsidR="00F673A9">
        <w:rPr>
          <w:bCs/>
          <w:color w:val="000000"/>
          <w:sz w:val="22"/>
          <w:szCs w:val="22"/>
        </w:rPr>
        <w:t>p</w:t>
      </w:r>
      <w:r w:rsidRPr="00982A55">
        <w:rPr>
          <w:bCs/>
          <w:color w:val="000000"/>
          <w:sz w:val="22"/>
          <w:szCs w:val="22"/>
        </w:rPr>
        <w:t>ozičnom dokumente</w:t>
      </w:r>
      <w:r w:rsidR="00ED590A">
        <w:rPr>
          <w:bCs/>
          <w:color w:val="000000"/>
          <w:sz w:val="22"/>
          <w:szCs w:val="22"/>
        </w:rPr>
        <w:t xml:space="preserve">. </w:t>
      </w:r>
      <w:r w:rsidRPr="00982A55">
        <w:rPr>
          <w:bCs/>
          <w:color w:val="000000"/>
          <w:sz w:val="22"/>
          <w:szCs w:val="22"/>
        </w:rPr>
        <w:t>Cieľom navrhovaných aktivít OPII</w:t>
      </w:r>
      <w:r w:rsidR="002645EF">
        <w:rPr>
          <w:bCs/>
          <w:color w:val="000000"/>
          <w:sz w:val="22"/>
          <w:szCs w:val="22"/>
        </w:rPr>
        <w:t xml:space="preserve"> (časť VaI)</w:t>
      </w:r>
      <w:r w:rsidRPr="00982A55">
        <w:rPr>
          <w:bCs/>
          <w:color w:val="000000"/>
          <w:sz w:val="22"/>
          <w:szCs w:val="22"/>
        </w:rPr>
        <w:t xml:space="preserve"> je zlepšiť situáciu v každej oblasti znalostného trojuholníka – vzdelávania, výskumu a inovácií</w:t>
      </w:r>
      <w:r w:rsidR="003E1B91">
        <w:rPr>
          <w:rStyle w:val="Odkaznapoznmkupodiarou"/>
          <w:bCs/>
          <w:color w:val="000000"/>
          <w:sz w:val="22"/>
          <w:szCs w:val="22"/>
        </w:rPr>
        <w:footnoteReference w:id="6"/>
      </w:r>
      <w:r w:rsidRPr="00982A55">
        <w:rPr>
          <w:bCs/>
          <w:color w:val="000000"/>
          <w:sz w:val="22"/>
          <w:szCs w:val="22"/>
        </w:rPr>
        <w:t>, čo priamo korešponduje aj so</w:t>
      </w:r>
      <w:r w:rsidR="00F673A9">
        <w:rPr>
          <w:bCs/>
          <w:color w:val="000000"/>
          <w:sz w:val="22"/>
          <w:szCs w:val="22"/>
        </w:rPr>
        <w:t> </w:t>
      </w:r>
      <w:r w:rsidRPr="00982A55">
        <w:rPr>
          <w:bCs/>
          <w:color w:val="000000"/>
          <w:sz w:val="22"/>
          <w:szCs w:val="22"/>
        </w:rPr>
        <w:t>špecifickými odporúčaniami Rady pre krajiny</w:t>
      </w:r>
      <w:r w:rsidR="00F673A9">
        <w:rPr>
          <w:rStyle w:val="Odkaznapoznmkupodiarou"/>
          <w:bCs/>
          <w:color w:val="000000"/>
          <w:sz w:val="22"/>
          <w:szCs w:val="22"/>
        </w:rPr>
        <w:footnoteReference w:id="7"/>
      </w:r>
      <w:r w:rsidRPr="00982A55">
        <w:rPr>
          <w:bCs/>
          <w:color w:val="000000"/>
          <w:sz w:val="22"/>
          <w:szCs w:val="22"/>
        </w:rPr>
        <w:t xml:space="preserve"> v zmysle ktorých je potrebné vypracovať plány na</w:t>
      </w:r>
      <w:r w:rsidR="00F20513">
        <w:rPr>
          <w:bCs/>
          <w:color w:val="000000"/>
          <w:sz w:val="22"/>
          <w:szCs w:val="22"/>
        </w:rPr>
        <w:t> </w:t>
      </w:r>
      <w:r w:rsidRPr="00982A55">
        <w:rPr>
          <w:bCs/>
          <w:color w:val="000000"/>
          <w:sz w:val="22"/>
          <w:szCs w:val="22"/>
        </w:rPr>
        <w:t>posilnenie účinného odovzdávania poznatkov a spolupráce medzi akademickou obcou, výskumom a</w:t>
      </w:r>
      <w:r w:rsidR="00F673A9">
        <w:rPr>
          <w:bCs/>
          <w:color w:val="000000"/>
          <w:sz w:val="22"/>
          <w:szCs w:val="22"/>
        </w:rPr>
        <w:t> </w:t>
      </w:r>
      <w:r w:rsidRPr="00982A55">
        <w:rPr>
          <w:bCs/>
          <w:color w:val="000000"/>
          <w:sz w:val="22"/>
          <w:szCs w:val="22"/>
        </w:rPr>
        <w:t>podnikateľskou sférou a zlepšiť kvalitu a relevantnosť vedeckej základne. Podnikateľské prostredie na</w:t>
      </w:r>
      <w:r w:rsidR="00F673A9">
        <w:rPr>
          <w:bCs/>
          <w:color w:val="000000"/>
          <w:sz w:val="22"/>
          <w:szCs w:val="22"/>
        </w:rPr>
        <w:t> </w:t>
      </w:r>
      <w:r w:rsidRPr="00982A55">
        <w:rPr>
          <w:bCs/>
          <w:color w:val="000000"/>
          <w:sz w:val="22"/>
          <w:szCs w:val="22"/>
        </w:rPr>
        <w:t>Slovensku je charakterizované frekventovanými zmenami legislatívy</w:t>
      </w:r>
      <w:r w:rsidR="00F673A9">
        <w:rPr>
          <w:rStyle w:val="Odkaznapoznmkupodiarou"/>
          <w:bCs/>
          <w:color w:val="000000"/>
          <w:sz w:val="22"/>
          <w:szCs w:val="22"/>
        </w:rPr>
        <w:footnoteReference w:id="8"/>
      </w:r>
      <w:r w:rsidRPr="00982A55">
        <w:rPr>
          <w:bCs/>
          <w:color w:val="000000"/>
          <w:sz w:val="22"/>
          <w:szCs w:val="22"/>
        </w:rPr>
        <w:t>, ktoré v kombinácii s</w:t>
      </w:r>
      <w:r w:rsidR="00F673A9">
        <w:rPr>
          <w:bCs/>
          <w:color w:val="000000"/>
          <w:sz w:val="22"/>
          <w:szCs w:val="22"/>
        </w:rPr>
        <w:t> </w:t>
      </w:r>
      <w:r w:rsidRPr="00982A55">
        <w:rPr>
          <w:bCs/>
          <w:color w:val="000000"/>
          <w:sz w:val="22"/>
          <w:szCs w:val="22"/>
        </w:rPr>
        <w:t>chýbajúcimi systémovými podpornými opatreniami vytvárajú prekážky úspešného rastu podnikov, osobitne malých a strednýc</w:t>
      </w:r>
      <w:r>
        <w:rPr>
          <w:bCs/>
          <w:color w:val="000000"/>
          <w:sz w:val="22"/>
          <w:szCs w:val="22"/>
        </w:rPr>
        <w:t>h podnikov (ďalej len „MSP“). V </w:t>
      </w:r>
      <w:r w:rsidRPr="00982A55">
        <w:rPr>
          <w:bCs/>
          <w:color w:val="000000"/>
          <w:sz w:val="22"/>
          <w:szCs w:val="22"/>
        </w:rPr>
        <w:t>zmysle odporúčaní Rady</w:t>
      </w:r>
      <w:r w:rsidR="00F673A9">
        <w:rPr>
          <w:rStyle w:val="Odkaznapoznmkupodiarou"/>
          <w:bCs/>
          <w:color w:val="000000"/>
          <w:sz w:val="22"/>
          <w:szCs w:val="22"/>
        </w:rPr>
        <w:footnoteReference w:id="9"/>
      </w:r>
      <w:r w:rsidRPr="00982A55">
        <w:rPr>
          <w:bCs/>
          <w:color w:val="000000"/>
          <w:sz w:val="22"/>
          <w:szCs w:val="22"/>
        </w:rPr>
        <w:t xml:space="preserve"> OPII zavádza opatrenia na zlepšenie podnikateľského prostredia, a to aj pre MSP </w:t>
      </w:r>
      <w:r w:rsidR="00F20513">
        <w:rPr>
          <w:bCs/>
          <w:color w:val="000000"/>
          <w:sz w:val="22"/>
          <w:szCs w:val="22"/>
        </w:rPr>
        <w:t>a prijme opatrenia na boj proti </w:t>
      </w:r>
      <w:r w:rsidRPr="00982A55">
        <w:rPr>
          <w:bCs/>
          <w:color w:val="000000"/>
          <w:sz w:val="22"/>
          <w:szCs w:val="22"/>
        </w:rPr>
        <w:t>korupcii a zintenzívni úsilie o zlepšenie efektívnosti ve</w:t>
      </w:r>
      <w:r w:rsidR="00F20513">
        <w:rPr>
          <w:bCs/>
          <w:color w:val="000000"/>
          <w:sz w:val="22"/>
          <w:szCs w:val="22"/>
        </w:rPr>
        <w:t xml:space="preserve">rejného obstarávania, pričom na </w:t>
      </w:r>
      <w:r w:rsidRPr="00982A55">
        <w:rPr>
          <w:bCs/>
          <w:color w:val="000000"/>
          <w:sz w:val="22"/>
          <w:szCs w:val="22"/>
        </w:rPr>
        <w:t xml:space="preserve">implementačnej úrovni OPII sa predpokladá so zavedením a využívaním </w:t>
      </w:r>
      <w:r w:rsidRPr="00982A55">
        <w:rPr>
          <w:bCs/>
          <w:color w:val="000000"/>
          <w:sz w:val="22"/>
          <w:szCs w:val="22"/>
        </w:rPr>
        <w:lastRenderedPageBreak/>
        <w:t>nástrojov predkomerčného obstarávania ako aj verejného obstarávania na podporu inovatívnych riešení.</w:t>
      </w:r>
    </w:p>
    <w:p w14:paraId="2879FA36" w14:textId="4E2B5DC9" w:rsidR="00BD4106" w:rsidRPr="00BD4106" w:rsidRDefault="00BD4106" w:rsidP="00BD4106">
      <w:pPr>
        <w:pStyle w:val="Zkladntext"/>
        <w:spacing w:before="180" w:after="0"/>
        <w:jc w:val="both"/>
        <w:rPr>
          <w:bCs/>
          <w:color w:val="000000"/>
          <w:sz w:val="22"/>
          <w:szCs w:val="22"/>
        </w:rPr>
      </w:pPr>
      <w:r w:rsidRPr="00BD4106">
        <w:rPr>
          <w:bCs/>
          <w:color w:val="000000"/>
          <w:sz w:val="22"/>
          <w:szCs w:val="22"/>
        </w:rPr>
        <w:t>OP</w:t>
      </w:r>
      <w:r>
        <w:rPr>
          <w:bCs/>
          <w:color w:val="000000"/>
          <w:sz w:val="22"/>
          <w:szCs w:val="22"/>
        </w:rPr>
        <w:t>II</w:t>
      </w:r>
      <w:r w:rsidR="002645EF">
        <w:rPr>
          <w:bCs/>
          <w:color w:val="000000"/>
          <w:sz w:val="22"/>
          <w:szCs w:val="22"/>
        </w:rPr>
        <w:t xml:space="preserve"> (časť VaI)</w:t>
      </w:r>
      <w:r w:rsidRPr="00BD4106">
        <w:rPr>
          <w:bCs/>
          <w:color w:val="000000"/>
          <w:sz w:val="22"/>
          <w:szCs w:val="22"/>
        </w:rPr>
        <w:t xml:space="preserve"> svojim zameraním, štruktúrou a obsahom aktivít priamo vychádza z analýzy potrieb a</w:t>
      </w:r>
      <w:r w:rsidR="00F20513">
        <w:rPr>
          <w:bCs/>
          <w:color w:val="000000"/>
          <w:sz w:val="22"/>
          <w:szCs w:val="22"/>
        </w:rPr>
        <w:t> </w:t>
      </w:r>
      <w:r w:rsidRPr="00BD4106">
        <w:rPr>
          <w:bCs/>
          <w:color w:val="000000"/>
          <w:sz w:val="22"/>
          <w:szCs w:val="22"/>
        </w:rPr>
        <w:t>rozvojového potenciálu, ako aj očakávaných výsledkov definovaných v Partnerskej dohode SR na</w:t>
      </w:r>
      <w:r w:rsidR="00F20513">
        <w:rPr>
          <w:bCs/>
          <w:color w:val="000000"/>
          <w:sz w:val="22"/>
          <w:szCs w:val="22"/>
        </w:rPr>
        <w:t> </w:t>
      </w:r>
      <w:r w:rsidRPr="00BD4106">
        <w:rPr>
          <w:bCs/>
          <w:color w:val="000000"/>
          <w:sz w:val="22"/>
          <w:szCs w:val="22"/>
        </w:rPr>
        <w:t>roky 2014 – 2020 (ďalej len „PD SR“) a reflektuje zásady štátnych politík v oblasti vzdelávania, výskumu, vývoja a inovácií, ktoré sú obsiahnuté v Národnom programe reforiem SR (ďalej len „NPR“)</w:t>
      </w:r>
      <w:r w:rsidR="009E1C90">
        <w:rPr>
          <w:rStyle w:val="Odkaznapoznmkupodiarou"/>
          <w:bCs/>
          <w:color w:val="000000"/>
          <w:sz w:val="22"/>
          <w:szCs w:val="22"/>
        </w:rPr>
        <w:footnoteReference w:id="10"/>
      </w:r>
      <w:r w:rsidRPr="00BD4106">
        <w:rPr>
          <w:bCs/>
          <w:color w:val="000000"/>
          <w:sz w:val="22"/>
          <w:szCs w:val="22"/>
        </w:rPr>
        <w:t>.</w:t>
      </w:r>
    </w:p>
    <w:p w14:paraId="4952E6AC" w14:textId="197E35F7" w:rsidR="00BD4106" w:rsidRDefault="00BD4106" w:rsidP="00BD4106">
      <w:pPr>
        <w:pStyle w:val="Zkladntext"/>
        <w:spacing w:before="180" w:after="0"/>
        <w:jc w:val="both"/>
        <w:rPr>
          <w:bCs/>
          <w:color w:val="000000"/>
          <w:sz w:val="22"/>
          <w:szCs w:val="22"/>
        </w:rPr>
      </w:pPr>
      <w:r w:rsidRPr="00BD4106">
        <w:rPr>
          <w:bCs/>
          <w:color w:val="000000"/>
          <w:sz w:val="22"/>
          <w:szCs w:val="22"/>
        </w:rPr>
        <w:t>Slovenský národný inovačný systém podporovaný politikami vzdelávania, výskumu, vývoja, inovácií a podpory MSP, patrí k najmenej rozvinutým v Európskej únii (ďalej len „EÚ“) z hľadiska jeho výkonnosti, riadenia a synergickej implementácie, čo implikuje potrebu zmeny. V rámci hodnotenia inovačnej výkonnosti krajín sa SR umiestnilo na 21. mieste medzi miernymi inovátormi</w:t>
      </w:r>
      <w:r w:rsidR="009E1C90">
        <w:rPr>
          <w:rStyle w:val="Odkaznapoznmkupodiarou"/>
          <w:bCs/>
          <w:color w:val="000000"/>
          <w:sz w:val="22"/>
          <w:szCs w:val="22"/>
        </w:rPr>
        <w:footnoteReference w:id="11"/>
      </w:r>
      <w:r w:rsidRPr="00BD4106">
        <w:rPr>
          <w:bCs/>
          <w:color w:val="000000"/>
          <w:sz w:val="22"/>
          <w:szCs w:val="22"/>
        </w:rPr>
        <w:t>.</w:t>
      </w:r>
    </w:p>
    <w:p w14:paraId="4CF8CB47" w14:textId="30515EB8" w:rsidR="00BD4106" w:rsidRPr="00F95B80" w:rsidRDefault="00BD4106" w:rsidP="00F95B80">
      <w:pPr>
        <w:pStyle w:val="Zkladntext"/>
        <w:spacing w:before="180" w:after="0"/>
        <w:jc w:val="both"/>
        <w:rPr>
          <w:bCs/>
          <w:color w:val="000000"/>
          <w:sz w:val="22"/>
          <w:szCs w:val="22"/>
        </w:rPr>
      </w:pPr>
      <w:r w:rsidRPr="00F95B80">
        <w:rPr>
          <w:bCs/>
          <w:color w:val="000000"/>
          <w:sz w:val="22"/>
          <w:szCs w:val="22"/>
        </w:rPr>
        <w:t>Zo zmeneného prístupu k riadeniu uvedených štátnych politík a efektívnejšej realizácie ich opatrení a</w:t>
      </w:r>
      <w:r w:rsidR="00F20513">
        <w:rPr>
          <w:bCs/>
          <w:color w:val="000000"/>
          <w:sz w:val="22"/>
          <w:szCs w:val="22"/>
        </w:rPr>
        <w:t> </w:t>
      </w:r>
      <w:r w:rsidRPr="00F95B80">
        <w:rPr>
          <w:bCs/>
          <w:color w:val="000000"/>
          <w:sz w:val="22"/>
          <w:szCs w:val="22"/>
        </w:rPr>
        <w:t>aktivít zameraných na integrovanie a silnejšie prepojenie týchto politík a ich realizácie vychádza aj koncepcia OPII, prostredníctvom ktorej bol po prvýkrát zadefinovaný spoločný programový dokument ministerstiev zodpovedných za realizáciu štátnych politík v oblasti vzdelávania, VVaI a podpory MSP takým spôsobom, aby sa dosiahol vzájomný synergický efekt medzi uvedenými oblasťami inovačného systému. OP</w:t>
      </w:r>
      <w:r w:rsidR="00F95B80" w:rsidRPr="00F95B80">
        <w:rPr>
          <w:bCs/>
          <w:color w:val="000000"/>
          <w:sz w:val="22"/>
          <w:szCs w:val="22"/>
        </w:rPr>
        <w:t>II</w:t>
      </w:r>
      <w:r w:rsidRPr="00F95B80">
        <w:rPr>
          <w:bCs/>
          <w:color w:val="000000"/>
          <w:sz w:val="22"/>
          <w:szCs w:val="22"/>
        </w:rPr>
        <w:t xml:space="preserve"> </w:t>
      </w:r>
      <w:r w:rsidR="00B128FC">
        <w:rPr>
          <w:bCs/>
          <w:color w:val="000000"/>
          <w:sz w:val="22"/>
          <w:szCs w:val="22"/>
        </w:rPr>
        <w:t>(časť VaI</w:t>
      </w:r>
      <w:r w:rsidR="00C05A80">
        <w:rPr>
          <w:bCs/>
          <w:color w:val="000000"/>
          <w:sz w:val="22"/>
          <w:szCs w:val="22"/>
        </w:rPr>
        <w:t xml:space="preserve">) </w:t>
      </w:r>
      <w:r w:rsidRPr="00F95B80">
        <w:rPr>
          <w:bCs/>
          <w:color w:val="000000"/>
          <w:sz w:val="22"/>
          <w:szCs w:val="22"/>
        </w:rPr>
        <w:t>je kľúčovým implementačným nástrojom stratégie “Poznatkami k prosperite – Stratégia výskumu a inovácií pre inteligentnú špecializáciu Slovenskej republiky” (ďalej “RIS3 SK”)</w:t>
      </w:r>
      <w:r w:rsidR="00C06B09">
        <w:rPr>
          <w:rStyle w:val="Odkaznapoznmkupodiarou"/>
          <w:bCs/>
          <w:color w:val="000000"/>
          <w:sz w:val="22"/>
          <w:szCs w:val="22"/>
        </w:rPr>
        <w:footnoteReference w:id="12"/>
      </w:r>
      <w:r w:rsidRPr="00F95B80">
        <w:rPr>
          <w:bCs/>
          <w:color w:val="000000"/>
          <w:sz w:val="22"/>
          <w:szCs w:val="22"/>
        </w:rPr>
        <w:t xml:space="preserve">. </w:t>
      </w:r>
      <w:r w:rsidR="00F95B80" w:rsidRPr="00F95B80">
        <w:rPr>
          <w:bCs/>
          <w:color w:val="000000"/>
          <w:sz w:val="22"/>
          <w:szCs w:val="22"/>
        </w:rPr>
        <w:t>OPII</w:t>
      </w:r>
      <w:r w:rsidRPr="00F95B80">
        <w:rPr>
          <w:bCs/>
          <w:color w:val="000000"/>
          <w:sz w:val="22"/>
          <w:szCs w:val="22"/>
        </w:rPr>
        <w:t xml:space="preserve"> je postavený na identifikovaných silných stránkach a reflektuje nielen existujúci stav, ale aj potenciál SR.</w:t>
      </w:r>
    </w:p>
    <w:p w14:paraId="210FED33" w14:textId="11C6B667" w:rsidR="00F95B80" w:rsidRPr="00F95B80" w:rsidRDefault="00F95B80" w:rsidP="00F95B80">
      <w:pPr>
        <w:pStyle w:val="Zkladntext"/>
        <w:spacing w:before="180" w:after="0"/>
        <w:jc w:val="both"/>
        <w:rPr>
          <w:bCs/>
          <w:color w:val="000000"/>
          <w:sz w:val="22"/>
          <w:szCs w:val="22"/>
        </w:rPr>
      </w:pPr>
      <w:r w:rsidRPr="00F95B80">
        <w:rPr>
          <w:bCs/>
          <w:color w:val="000000"/>
          <w:sz w:val="22"/>
          <w:szCs w:val="22"/>
        </w:rPr>
        <w:t>Hlavným zámerom RIS3 SK je „podnietiť štrukturálnu zmenu slovenskej ekonomiky smerom k rastu založenému na zvyšovaní inovačnej schopnosti a excelentnosti vo VaI s cieľom podporovať udržateľný rast príjmov, zamestnanosti a kvality života</w:t>
      </w:r>
      <w:r w:rsidR="00C06B09">
        <w:rPr>
          <w:rStyle w:val="Odkaznapoznmkupodiarou"/>
          <w:bCs/>
          <w:color w:val="000000"/>
          <w:sz w:val="22"/>
          <w:szCs w:val="22"/>
        </w:rPr>
        <w:footnoteReference w:id="13"/>
      </w:r>
      <w:r w:rsidRPr="00F95B80">
        <w:rPr>
          <w:bCs/>
          <w:color w:val="000000"/>
          <w:sz w:val="22"/>
          <w:szCs w:val="22"/>
        </w:rPr>
        <w:t>. K tomuto zámeru bude OPII prispievať podporou kvalitného/excelentného výskumu – ako nevyhnutnej podmienky pre budúce high tech inovácie v dlhšom časovom horizonte, experimentálneho vývoja s reálnou šancou transferu získaných poznatkov do budovania konkurencieschopnej podnikovej sféry (najmä MSP) prostredníctvom podpory zavádzania inovácií a aktívnej spolupráce medzi podnikmi, výskumno-vývojovými centrami a vzdelávaním. To by malo viesť k rozvoju inovovaných a nových produktov a služieb, prenosu technológií a poznatkov do praxe, inovácii procesov a vytváraniu sietí na zdieľanie informácií. Špeciálna pozornosť bude venovaná lepšej previazanosti MSP v rámci dodávateľských reťazcov v SR.</w:t>
      </w:r>
    </w:p>
    <w:p w14:paraId="564B1EEA" w14:textId="1E2448CB" w:rsidR="00F95B80" w:rsidRPr="00F95B80" w:rsidRDefault="00F95B80" w:rsidP="00F95B80">
      <w:pPr>
        <w:pStyle w:val="Zkladntext"/>
        <w:spacing w:before="180" w:after="0"/>
        <w:jc w:val="both"/>
        <w:rPr>
          <w:bCs/>
          <w:color w:val="000000"/>
          <w:sz w:val="22"/>
          <w:szCs w:val="22"/>
        </w:rPr>
      </w:pPr>
      <w:r w:rsidRPr="00F95B80">
        <w:rPr>
          <w:bCs/>
          <w:color w:val="000000"/>
          <w:sz w:val="22"/>
          <w:szCs w:val="22"/>
        </w:rPr>
        <w:t>SR potrebuje zvýšiť výkonnosť svojej ekonomiky prostredníctvom podpory jednotlivých elementov národného inovačného systému a jeho výstupov. Tento bol v rokoch 2007 – 2013 podporovaný primárne z OP implementovaných MŠVVaŠ SR</w:t>
      </w:r>
      <w:r w:rsidR="00737D97">
        <w:rPr>
          <w:rStyle w:val="Odkaznapoznmkupodiarou"/>
          <w:bCs/>
          <w:color w:val="000000"/>
          <w:sz w:val="22"/>
          <w:szCs w:val="22"/>
        </w:rPr>
        <w:footnoteReference w:id="14"/>
      </w:r>
      <w:r w:rsidRPr="00F95B80">
        <w:rPr>
          <w:bCs/>
          <w:color w:val="000000"/>
          <w:sz w:val="22"/>
          <w:szCs w:val="22"/>
        </w:rPr>
        <w:t xml:space="preserve"> a MH SR</w:t>
      </w:r>
      <w:r w:rsidR="00737D97">
        <w:rPr>
          <w:rStyle w:val="Odkaznapoznmkupodiarou"/>
          <w:bCs/>
          <w:color w:val="000000"/>
          <w:sz w:val="22"/>
          <w:szCs w:val="22"/>
        </w:rPr>
        <w:footnoteReference w:id="15"/>
      </w:r>
      <w:r w:rsidRPr="00F95B80">
        <w:rPr>
          <w:bCs/>
          <w:color w:val="000000"/>
          <w:sz w:val="22"/>
          <w:szCs w:val="22"/>
        </w:rPr>
        <w:t>.</w:t>
      </w:r>
    </w:p>
    <w:p w14:paraId="23A5E450" w14:textId="7BF9C4C5" w:rsidR="00F95B80" w:rsidRDefault="00F95B80" w:rsidP="00F95B80">
      <w:pPr>
        <w:pStyle w:val="Zkladntext"/>
        <w:spacing w:line="248" w:lineRule="auto"/>
        <w:ind w:right="116"/>
        <w:jc w:val="both"/>
      </w:pPr>
    </w:p>
    <w:p w14:paraId="0C0F0CA7" w14:textId="70231250" w:rsidR="00F95B80" w:rsidRPr="0034429F" w:rsidRDefault="00F95B80" w:rsidP="00F95B80">
      <w:pPr>
        <w:spacing w:before="60"/>
        <w:rPr>
          <w:b/>
          <w:bCs/>
          <w:color w:val="000000"/>
          <w:sz w:val="22"/>
          <w:szCs w:val="22"/>
        </w:rPr>
      </w:pPr>
      <w:r w:rsidRPr="0034429F">
        <w:rPr>
          <w:b/>
          <w:bCs/>
          <w:color w:val="000000"/>
          <w:sz w:val="22"/>
          <w:szCs w:val="22"/>
        </w:rPr>
        <w:t>Vzťah OP</w:t>
      </w:r>
      <w:r w:rsidR="004A0AB4" w:rsidRPr="0034429F">
        <w:rPr>
          <w:b/>
          <w:bCs/>
          <w:color w:val="000000"/>
          <w:sz w:val="22"/>
          <w:szCs w:val="22"/>
        </w:rPr>
        <w:t>II</w:t>
      </w:r>
      <w:r w:rsidR="00CA2DA2">
        <w:rPr>
          <w:b/>
          <w:bCs/>
          <w:color w:val="000000"/>
          <w:sz w:val="22"/>
          <w:szCs w:val="22"/>
        </w:rPr>
        <w:t xml:space="preserve"> (časť VaI)</w:t>
      </w:r>
      <w:r w:rsidRPr="0034429F">
        <w:rPr>
          <w:b/>
          <w:bCs/>
          <w:color w:val="000000"/>
          <w:sz w:val="22"/>
          <w:szCs w:val="22"/>
        </w:rPr>
        <w:t xml:space="preserve"> a RIS3 SK</w:t>
      </w:r>
    </w:p>
    <w:p w14:paraId="509FA444" w14:textId="1A580C3F" w:rsidR="00F95B80" w:rsidRPr="004A0AB4" w:rsidRDefault="00F95B80" w:rsidP="004A0AB4">
      <w:pPr>
        <w:pStyle w:val="Zkladntext"/>
        <w:spacing w:before="180" w:after="0" w:line="20" w:lineRule="atLeast"/>
        <w:jc w:val="both"/>
        <w:rPr>
          <w:bCs/>
          <w:color w:val="000000"/>
          <w:sz w:val="22"/>
          <w:szCs w:val="22"/>
        </w:rPr>
      </w:pPr>
      <w:r w:rsidRPr="004A0AB4">
        <w:rPr>
          <w:bCs/>
          <w:color w:val="000000"/>
          <w:sz w:val="22"/>
          <w:szCs w:val="22"/>
        </w:rPr>
        <w:t>Intervenčná stratégia OPII</w:t>
      </w:r>
      <w:r w:rsidR="00CA2DA2">
        <w:rPr>
          <w:bCs/>
          <w:color w:val="000000"/>
          <w:sz w:val="22"/>
          <w:szCs w:val="22"/>
        </w:rPr>
        <w:t xml:space="preserve"> (časť VaI)</w:t>
      </w:r>
      <w:r w:rsidRPr="004A0AB4">
        <w:rPr>
          <w:bCs/>
          <w:color w:val="000000"/>
          <w:sz w:val="22"/>
          <w:szCs w:val="22"/>
        </w:rPr>
        <w:t xml:space="preserve"> vychádza v plnej miere z RIS3 SK a Implementačného plánu RIS3 SK. OP</w:t>
      </w:r>
      <w:r w:rsidR="004A0AB4" w:rsidRPr="004A0AB4">
        <w:rPr>
          <w:bCs/>
          <w:color w:val="000000"/>
          <w:sz w:val="22"/>
          <w:szCs w:val="22"/>
        </w:rPr>
        <w:t>II</w:t>
      </w:r>
      <w:r w:rsidRPr="004A0AB4">
        <w:rPr>
          <w:bCs/>
          <w:color w:val="000000"/>
          <w:sz w:val="22"/>
          <w:szCs w:val="22"/>
        </w:rPr>
        <w:t xml:space="preserve"> je hlavným implementačným nástrojom RIS3 SK</w:t>
      </w:r>
      <w:r w:rsidR="009F0F96">
        <w:rPr>
          <w:rStyle w:val="Odkaznapoznmkupodiarou"/>
          <w:bCs/>
          <w:color w:val="000000"/>
          <w:sz w:val="22"/>
          <w:szCs w:val="22"/>
        </w:rPr>
        <w:footnoteReference w:id="16"/>
      </w:r>
      <w:r w:rsidRPr="004A0AB4">
        <w:rPr>
          <w:bCs/>
          <w:color w:val="000000"/>
          <w:sz w:val="22"/>
          <w:szCs w:val="22"/>
        </w:rPr>
        <w:t>. Pri definovaní základných línií intervenčnej logiky sa vychádzalo aj z úspešne podporených aktivít, dobrej praxe a získaných skúseností z programového obdobia 2007 – 2013.</w:t>
      </w:r>
    </w:p>
    <w:p w14:paraId="3FAC4F2E" w14:textId="22871839" w:rsidR="004A0AB4" w:rsidRPr="004A0AB4" w:rsidRDefault="004A0AB4" w:rsidP="004A0AB4">
      <w:pPr>
        <w:pStyle w:val="Zkladntext"/>
        <w:spacing w:before="180" w:after="0" w:line="20" w:lineRule="atLeast"/>
        <w:jc w:val="both"/>
        <w:rPr>
          <w:bCs/>
          <w:color w:val="000000"/>
          <w:sz w:val="22"/>
          <w:szCs w:val="22"/>
        </w:rPr>
      </w:pPr>
      <w:r w:rsidRPr="004A0AB4">
        <w:rPr>
          <w:bCs/>
          <w:color w:val="000000"/>
          <w:sz w:val="22"/>
          <w:szCs w:val="22"/>
        </w:rPr>
        <w:lastRenderedPageBreak/>
        <w:t xml:space="preserve">OPII </w:t>
      </w:r>
      <w:r w:rsidR="00A47321">
        <w:rPr>
          <w:bCs/>
          <w:color w:val="000000"/>
          <w:sz w:val="22"/>
          <w:szCs w:val="22"/>
        </w:rPr>
        <w:t xml:space="preserve">(časť VaI) </w:t>
      </w:r>
      <w:r w:rsidRPr="004A0AB4">
        <w:rPr>
          <w:bCs/>
          <w:color w:val="000000"/>
          <w:sz w:val="22"/>
          <w:szCs w:val="22"/>
        </w:rPr>
        <w:t>nepokrýva všetky aktivity zo stratégie RIS3 SK, ale len tie, ktoré sú v súlade s tematickým zameraním OP. Ostatné aktivity RIS3 SK budú implementované za využitia iných OP, národných nástrojov a zdrojov.</w:t>
      </w:r>
    </w:p>
    <w:p w14:paraId="55842F84" w14:textId="5087AC41" w:rsidR="004A0AB4" w:rsidRDefault="004A0AB4" w:rsidP="004A0AB4">
      <w:pPr>
        <w:pStyle w:val="Zkladntext"/>
        <w:spacing w:before="180" w:after="0" w:line="20" w:lineRule="atLeast"/>
        <w:jc w:val="both"/>
        <w:rPr>
          <w:bCs/>
          <w:color w:val="000000"/>
          <w:sz w:val="22"/>
          <w:szCs w:val="22"/>
        </w:rPr>
      </w:pPr>
      <w:r w:rsidRPr="004A0AB4">
        <w:rPr>
          <w:bCs/>
          <w:color w:val="000000"/>
          <w:sz w:val="22"/>
          <w:szCs w:val="22"/>
        </w:rPr>
        <w:t>Z hľadiska globálnej excelentnosti a so zohľadnením miestnej relevantnosti pre potreby inteligentnej špecializácie boli identifikované nasledovné domény inteligentnej špecializácie RIS3 SK:</w:t>
      </w:r>
    </w:p>
    <w:p w14:paraId="24FC32A5" w14:textId="77777777" w:rsidR="004A0AB4" w:rsidRPr="004A0AB4" w:rsidRDefault="004A0AB4" w:rsidP="004A0AB4">
      <w:pPr>
        <w:numPr>
          <w:ilvl w:val="0"/>
          <w:numId w:val="189"/>
        </w:numPr>
        <w:spacing w:before="120"/>
        <w:ind w:left="426" w:hanging="284"/>
        <w:jc w:val="both"/>
        <w:rPr>
          <w:bCs/>
          <w:color w:val="000000"/>
          <w:sz w:val="22"/>
          <w:szCs w:val="22"/>
        </w:rPr>
      </w:pPr>
      <w:r w:rsidRPr="004A0AB4">
        <w:rPr>
          <w:bCs/>
          <w:color w:val="000000"/>
          <w:sz w:val="22"/>
          <w:szCs w:val="22"/>
        </w:rPr>
        <w:t>Dopravné prostriedky pre 21. storočie</w:t>
      </w:r>
    </w:p>
    <w:p w14:paraId="26F11377" w14:textId="77777777" w:rsidR="004A0AB4" w:rsidRPr="004A0AB4" w:rsidRDefault="004A0AB4" w:rsidP="004A0AB4">
      <w:pPr>
        <w:numPr>
          <w:ilvl w:val="0"/>
          <w:numId w:val="189"/>
        </w:numPr>
        <w:ind w:left="426" w:hanging="284"/>
        <w:jc w:val="both"/>
        <w:rPr>
          <w:bCs/>
          <w:color w:val="000000"/>
          <w:sz w:val="22"/>
          <w:szCs w:val="22"/>
        </w:rPr>
      </w:pPr>
      <w:r w:rsidRPr="004A0AB4">
        <w:rPr>
          <w:bCs/>
          <w:color w:val="000000"/>
          <w:sz w:val="22"/>
          <w:szCs w:val="22"/>
        </w:rPr>
        <w:t>Priemysel pre 21. storočie</w:t>
      </w:r>
    </w:p>
    <w:p w14:paraId="09847E9F" w14:textId="77777777" w:rsidR="004A0AB4" w:rsidRPr="004A0AB4" w:rsidRDefault="004A0AB4" w:rsidP="004A0AB4">
      <w:pPr>
        <w:numPr>
          <w:ilvl w:val="0"/>
          <w:numId w:val="189"/>
        </w:numPr>
        <w:ind w:left="426" w:hanging="284"/>
        <w:jc w:val="both"/>
        <w:rPr>
          <w:bCs/>
          <w:color w:val="000000"/>
          <w:sz w:val="22"/>
          <w:szCs w:val="22"/>
        </w:rPr>
      </w:pPr>
      <w:r w:rsidRPr="004A0AB4">
        <w:rPr>
          <w:bCs/>
          <w:color w:val="000000"/>
          <w:sz w:val="22"/>
          <w:szCs w:val="22"/>
        </w:rPr>
        <w:t>Digitálne Slovensko a kreatívny priemysel</w:t>
      </w:r>
    </w:p>
    <w:p w14:paraId="3AFA4AB1" w14:textId="77777777" w:rsidR="004A0AB4" w:rsidRPr="004A0AB4" w:rsidRDefault="004A0AB4" w:rsidP="004A0AB4">
      <w:pPr>
        <w:numPr>
          <w:ilvl w:val="0"/>
          <w:numId w:val="189"/>
        </w:numPr>
        <w:ind w:left="426" w:hanging="284"/>
        <w:jc w:val="both"/>
        <w:rPr>
          <w:bCs/>
          <w:color w:val="000000"/>
          <w:sz w:val="22"/>
          <w:szCs w:val="22"/>
        </w:rPr>
      </w:pPr>
      <w:r w:rsidRPr="004A0AB4">
        <w:rPr>
          <w:bCs/>
          <w:color w:val="000000"/>
          <w:sz w:val="22"/>
          <w:szCs w:val="22"/>
        </w:rPr>
        <w:t>Zdravie obyvateľstva a zdravotnícke technológie</w:t>
      </w:r>
    </w:p>
    <w:p w14:paraId="2F10333B" w14:textId="77777777" w:rsidR="004A0AB4" w:rsidRPr="004A0AB4" w:rsidRDefault="004A0AB4" w:rsidP="004A0AB4">
      <w:pPr>
        <w:numPr>
          <w:ilvl w:val="0"/>
          <w:numId w:val="189"/>
        </w:numPr>
        <w:ind w:left="426" w:hanging="284"/>
        <w:jc w:val="both"/>
        <w:rPr>
          <w:bCs/>
          <w:color w:val="000000"/>
          <w:sz w:val="22"/>
          <w:szCs w:val="22"/>
        </w:rPr>
      </w:pPr>
      <w:r w:rsidRPr="004A0AB4">
        <w:rPr>
          <w:bCs/>
          <w:color w:val="000000"/>
          <w:sz w:val="22"/>
          <w:szCs w:val="22"/>
        </w:rPr>
        <w:t>Zdravé potraviny a životné prostredie</w:t>
      </w:r>
    </w:p>
    <w:p w14:paraId="72C70BE6" w14:textId="197C7C5E" w:rsidR="00823AB8" w:rsidRDefault="00823AB8" w:rsidP="00823AB8">
      <w:pPr>
        <w:pStyle w:val="Zkladntext"/>
        <w:spacing w:before="180" w:after="0"/>
        <w:rPr>
          <w:bCs/>
          <w:color w:val="000000"/>
          <w:sz w:val="22"/>
          <w:szCs w:val="22"/>
        </w:rPr>
      </w:pPr>
      <w:r w:rsidRPr="00823AB8">
        <w:rPr>
          <w:bCs/>
          <w:color w:val="000000"/>
          <w:sz w:val="22"/>
          <w:szCs w:val="22"/>
        </w:rPr>
        <w:t>V časti podpory VVaI bude RIS3 SK prostredníctvom OP</w:t>
      </w:r>
      <w:r>
        <w:rPr>
          <w:bCs/>
          <w:color w:val="000000"/>
          <w:sz w:val="22"/>
          <w:szCs w:val="22"/>
        </w:rPr>
        <w:t>II</w:t>
      </w:r>
      <w:r w:rsidR="008C1054">
        <w:rPr>
          <w:bCs/>
          <w:color w:val="000000"/>
          <w:sz w:val="22"/>
          <w:szCs w:val="22"/>
        </w:rPr>
        <w:t xml:space="preserve"> (PO 9 a 10</w:t>
      </w:r>
      <w:r w:rsidRPr="00823AB8">
        <w:rPr>
          <w:bCs/>
          <w:color w:val="000000"/>
          <w:sz w:val="22"/>
          <w:szCs w:val="22"/>
        </w:rPr>
        <w:t>) realizovaná:</w:t>
      </w:r>
    </w:p>
    <w:p w14:paraId="60A73BED" w14:textId="489E1DD5" w:rsidR="008C1054" w:rsidRPr="008C1054" w:rsidRDefault="008C1054" w:rsidP="008C1054">
      <w:pPr>
        <w:pStyle w:val="Odsekzoznamu"/>
        <w:numPr>
          <w:ilvl w:val="0"/>
          <w:numId w:val="40"/>
        </w:numPr>
        <w:spacing w:before="120"/>
        <w:ind w:left="426" w:hanging="284"/>
        <w:jc w:val="both"/>
        <w:rPr>
          <w:bCs/>
          <w:color w:val="000000"/>
          <w:sz w:val="22"/>
          <w:szCs w:val="22"/>
        </w:rPr>
      </w:pPr>
      <w:r w:rsidRPr="008C1054">
        <w:rPr>
          <w:bCs/>
          <w:color w:val="000000"/>
          <w:sz w:val="22"/>
          <w:szCs w:val="22"/>
        </w:rPr>
        <w:t>podporou projektov výhradne prispievajúcich k plneniu cieľov RIS3 SK, pričom v prípade horizontálnych opatrení na rozvoj výskumného a/alebo inovačného systému a opatrení relevantných nástrojov návratnej pomoci budú podporované prioritne projekty, ktoré prispievajú k plneniu cieľov RIS3 SK;</w:t>
      </w:r>
    </w:p>
    <w:p w14:paraId="0AB2E5BE" w14:textId="3CAB8FE9" w:rsidR="008C1054" w:rsidRPr="008C1054" w:rsidRDefault="008C1054" w:rsidP="008C1054">
      <w:pPr>
        <w:pStyle w:val="Odsekzoznamu"/>
        <w:numPr>
          <w:ilvl w:val="0"/>
          <w:numId w:val="40"/>
        </w:numPr>
        <w:spacing w:before="120"/>
        <w:ind w:left="426" w:hanging="284"/>
        <w:jc w:val="both"/>
        <w:rPr>
          <w:bCs/>
          <w:color w:val="000000"/>
          <w:sz w:val="22"/>
          <w:szCs w:val="22"/>
        </w:rPr>
      </w:pPr>
      <w:r w:rsidRPr="008C1054">
        <w:rPr>
          <w:bCs/>
          <w:color w:val="000000"/>
          <w:sz w:val="22"/>
          <w:szCs w:val="22"/>
        </w:rPr>
        <w:t>vytváraním opatrení a vzájomnou koordináciou intervencií s cieľom prioritizovať aktivity VaV v</w:t>
      </w:r>
      <w:r w:rsidR="00EE0E07">
        <w:rPr>
          <w:bCs/>
          <w:color w:val="000000"/>
          <w:sz w:val="22"/>
          <w:szCs w:val="22"/>
        </w:rPr>
        <w:t> </w:t>
      </w:r>
      <w:r w:rsidRPr="008C1054">
        <w:rPr>
          <w:bCs/>
          <w:color w:val="000000"/>
          <w:sz w:val="22"/>
          <w:szCs w:val="22"/>
        </w:rPr>
        <w:t>rámci domén inteligentnej špecializácie.</w:t>
      </w:r>
    </w:p>
    <w:p w14:paraId="57BBF4B8" w14:textId="6F41C267" w:rsidR="008C1054" w:rsidRDefault="008C1054" w:rsidP="00823AB8">
      <w:pPr>
        <w:pStyle w:val="Zkladntext"/>
        <w:spacing w:before="180" w:after="0"/>
        <w:rPr>
          <w:bCs/>
          <w:color w:val="000000"/>
          <w:sz w:val="22"/>
          <w:szCs w:val="22"/>
        </w:rPr>
      </w:pPr>
      <w:r w:rsidRPr="008C1054">
        <w:rPr>
          <w:bCs/>
          <w:color w:val="000000"/>
          <w:sz w:val="22"/>
          <w:szCs w:val="22"/>
        </w:rPr>
        <w:t>V</w:t>
      </w:r>
      <w:r w:rsidR="00A47321">
        <w:rPr>
          <w:bCs/>
          <w:color w:val="000000"/>
          <w:sz w:val="22"/>
          <w:szCs w:val="22"/>
        </w:rPr>
        <w:t xml:space="preserve"> </w:t>
      </w:r>
      <w:r w:rsidRPr="008C1054">
        <w:rPr>
          <w:bCs/>
          <w:color w:val="000000"/>
          <w:sz w:val="22"/>
          <w:szCs w:val="22"/>
        </w:rPr>
        <w:t>súlade s</w:t>
      </w:r>
      <w:r w:rsidR="00EE0E07">
        <w:rPr>
          <w:bCs/>
          <w:color w:val="000000"/>
          <w:sz w:val="22"/>
          <w:szCs w:val="22"/>
        </w:rPr>
        <w:t> </w:t>
      </w:r>
      <w:r w:rsidRPr="008C1054">
        <w:rPr>
          <w:bCs/>
          <w:color w:val="000000"/>
          <w:sz w:val="22"/>
          <w:szCs w:val="22"/>
        </w:rPr>
        <w:t>RIS3 SK bude OPII podporovať komplexné riešenie výskumných a</w:t>
      </w:r>
      <w:r w:rsidR="00EE0E07">
        <w:rPr>
          <w:bCs/>
          <w:color w:val="000000"/>
          <w:sz w:val="22"/>
          <w:szCs w:val="22"/>
        </w:rPr>
        <w:t> </w:t>
      </w:r>
      <w:r w:rsidRPr="008C1054">
        <w:rPr>
          <w:bCs/>
          <w:color w:val="000000"/>
          <w:sz w:val="22"/>
          <w:szCs w:val="22"/>
        </w:rPr>
        <w:t>inovačných projektov.</w:t>
      </w:r>
    </w:p>
    <w:p w14:paraId="48F5B72E" w14:textId="1E3E37AE" w:rsidR="008C1054" w:rsidRDefault="008C1054" w:rsidP="008C1054">
      <w:pPr>
        <w:pStyle w:val="Zkladntext"/>
        <w:spacing w:after="0"/>
        <w:rPr>
          <w:bCs/>
          <w:color w:val="000000"/>
          <w:sz w:val="22"/>
          <w:szCs w:val="22"/>
        </w:rPr>
      </w:pPr>
      <w:r w:rsidRPr="008C1054">
        <w:rPr>
          <w:bCs/>
          <w:color w:val="000000"/>
          <w:sz w:val="22"/>
          <w:szCs w:val="22"/>
        </w:rPr>
        <w:t>V</w:t>
      </w:r>
      <w:r w:rsidR="00EE0E07">
        <w:rPr>
          <w:bCs/>
          <w:color w:val="000000"/>
          <w:sz w:val="22"/>
          <w:szCs w:val="22"/>
        </w:rPr>
        <w:t> </w:t>
      </w:r>
      <w:r w:rsidRPr="008C1054">
        <w:rPr>
          <w:bCs/>
          <w:color w:val="000000"/>
          <w:sz w:val="22"/>
          <w:szCs w:val="22"/>
        </w:rPr>
        <w:t>časti podpory MSP bude RIS3 SK prostredníctvom OPII (PO 11 a</w:t>
      </w:r>
      <w:r w:rsidR="00EE0E07">
        <w:rPr>
          <w:bCs/>
          <w:color w:val="000000"/>
          <w:sz w:val="22"/>
          <w:szCs w:val="22"/>
        </w:rPr>
        <w:t> </w:t>
      </w:r>
      <w:r w:rsidRPr="008C1054">
        <w:rPr>
          <w:bCs/>
          <w:color w:val="000000"/>
          <w:sz w:val="22"/>
          <w:szCs w:val="22"/>
        </w:rPr>
        <w:t>12)</w:t>
      </w:r>
      <w:r>
        <w:rPr>
          <w:bCs/>
          <w:color w:val="000000"/>
          <w:sz w:val="22"/>
          <w:szCs w:val="22"/>
        </w:rPr>
        <w:t xml:space="preserve"> </w:t>
      </w:r>
      <w:r w:rsidRPr="008C1054">
        <w:rPr>
          <w:bCs/>
          <w:color w:val="000000"/>
          <w:sz w:val="22"/>
          <w:szCs w:val="22"/>
        </w:rPr>
        <w:t>realizovaná:</w:t>
      </w:r>
    </w:p>
    <w:p w14:paraId="1C3E1767" w14:textId="30553984" w:rsidR="008C1054" w:rsidRPr="008C1054" w:rsidRDefault="008C1054" w:rsidP="008C1054">
      <w:pPr>
        <w:pStyle w:val="Odsekzoznamu"/>
        <w:numPr>
          <w:ilvl w:val="0"/>
          <w:numId w:val="40"/>
        </w:numPr>
        <w:spacing w:before="120"/>
        <w:ind w:left="426" w:hanging="284"/>
        <w:jc w:val="both"/>
        <w:rPr>
          <w:bCs/>
          <w:color w:val="000000"/>
          <w:sz w:val="22"/>
          <w:szCs w:val="22"/>
        </w:rPr>
      </w:pPr>
      <w:r w:rsidRPr="008C1054">
        <w:rPr>
          <w:bCs/>
          <w:color w:val="000000"/>
          <w:sz w:val="22"/>
          <w:szCs w:val="22"/>
        </w:rPr>
        <w:t>prioritnou podporou projektov prispievajúcich k</w:t>
      </w:r>
      <w:r w:rsidR="00EE0E07">
        <w:rPr>
          <w:bCs/>
          <w:color w:val="000000"/>
          <w:sz w:val="22"/>
          <w:szCs w:val="22"/>
        </w:rPr>
        <w:t> </w:t>
      </w:r>
      <w:r w:rsidRPr="008C1054">
        <w:rPr>
          <w:bCs/>
          <w:color w:val="000000"/>
          <w:sz w:val="22"/>
          <w:szCs w:val="22"/>
        </w:rPr>
        <w:t>zavádzaniu inovácií v</w:t>
      </w:r>
      <w:r w:rsidR="00EE0E07">
        <w:rPr>
          <w:bCs/>
          <w:color w:val="000000"/>
          <w:sz w:val="22"/>
          <w:szCs w:val="22"/>
        </w:rPr>
        <w:t> </w:t>
      </w:r>
      <w:r w:rsidRPr="008C1054">
        <w:rPr>
          <w:bCs/>
          <w:color w:val="000000"/>
          <w:sz w:val="22"/>
          <w:szCs w:val="22"/>
        </w:rPr>
        <w:t>súlade s</w:t>
      </w:r>
      <w:r w:rsidR="00EE0E07">
        <w:rPr>
          <w:bCs/>
          <w:color w:val="000000"/>
          <w:sz w:val="22"/>
          <w:szCs w:val="22"/>
        </w:rPr>
        <w:t> </w:t>
      </w:r>
      <w:r w:rsidRPr="008C1054">
        <w:rPr>
          <w:bCs/>
          <w:color w:val="000000"/>
          <w:sz w:val="22"/>
          <w:szCs w:val="22"/>
        </w:rPr>
        <w:t>cieľmi RIS3 SK;</w:t>
      </w:r>
    </w:p>
    <w:p w14:paraId="15148D42" w14:textId="3315997B" w:rsidR="008C1054" w:rsidRPr="008C1054" w:rsidRDefault="008C1054" w:rsidP="008C1054">
      <w:pPr>
        <w:pStyle w:val="Odsekzoznamu"/>
        <w:numPr>
          <w:ilvl w:val="0"/>
          <w:numId w:val="40"/>
        </w:numPr>
        <w:spacing w:before="120"/>
        <w:ind w:left="426" w:hanging="284"/>
        <w:jc w:val="both"/>
        <w:rPr>
          <w:bCs/>
          <w:color w:val="000000"/>
          <w:sz w:val="22"/>
          <w:szCs w:val="22"/>
        </w:rPr>
      </w:pPr>
      <w:r w:rsidRPr="008C1054">
        <w:rPr>
          <w:bCs/>
          <w:color w:val="000000"/>
          <w:sz w:val="22"/>
          <w:szCs w:val="22"/>
        </w:rPr>
        <w:t>vytváraním opatrení a</w:t>
      </w:r>
      <w:r w:rsidR="00EE0E07">
        <w:rPr>
          <w:bCs/>
          <w:color w:val="000000"/>
          <w:sz w:val="22"/>
          <w:szCs w:val="22"/>
        </w:rPr>
        <w:t> </w:t>
      </w:r>
      <w:r w:rsidRPr="008C1054">
        <w:rPr>
          <w:bCs/>
          <w:color w:val="000000"/>
          <w:sz w:val="22"/>
          <w:szCs w:val="22"/>
        </w:rPr>
        <w:t>vzájomnou koordináciou intervencií s</w:t>
      </w:r>
      <w:r w:rsidR="00EE0E07">
        <w:rPr>
          <w:bCs/>
          <w:color w:val="000000"/>
          <w:sz w:val="22"/>
          <w:szCs w:val="22"/>
        </w:rPr>
        <w:t> </w:t>
      </w:r>
      <w:r w:rsidRPr="008C1054">
        <w:rPr>
          <w:bCs/>
          <w:color w:val="000000"/>
          <w:sz w:val="22"/>
          <w:szCs w:val="22"/>
        </w:rPr>
        <w:t>cieľom dosiahnuť prepojenie podnikateľských aktivít na príslušnú doménu inteligentnej špecializácie.</w:t>
      </w:r>
    </w:p>
    <w:p w14:paraId="3B6CFD11" w14:textId="12A712E8" w:rsidR="000C7996" w:rsidRPr="00A5254D" w:rsidRDefault="000C7996" w:rsidP="000C7996">
      <w:pPr>
        <w:spacing w:before="180"/>
        <w:jc w:val="both"/>
        <w:rPr>
          <w:bCs/>
          <w:color w:val="000000"/>
          <w:sz w:val="22"/>
          <w:szCs w:val="22"/>
        </w:rPr>
      </w:pPr>
      <w:r w:rsidRPr="00A5254D">
        <w:rPr>
          <w:bCs/>
          <w:color w:val="000000"/>
          <w:sz w:val="22"/>
          <w:szCs w:val="22"/>
        </w:rPr>
        <w:t>Obsah OP je v</w:t>
      </w:r>
      <w:r w:rsidR="00EE0E07">
        <w:rPr>
          <w:bCs/>
          <w:color w:val="000000"/>
          <w:sz w:val="22"/>
          <w:szCs w:val="22"/>
        </w:rPr>
        <w:t> </w:t>
      </w:r>
      <w:r w:rsidRPr="00A5254D">
        <w:rPr>
          <w:bCs/>
          <w:color w:val="000000"/>
          <w:sz w:val="22"/>
          <w:szCs w:val="22"/>
        </w:rPr>
        <w:t>súlade s</w:t>
      </w:r>
      <w:r w:rsidR="00EE0E07">
        <w:rPr>
          <w:bCs/>
          <w:color w:val="000000"/>
          <w:sz w:val="22"/>
          <w:szCs w:val="22"/>
        </w:rPr>
        <w:t> </w:t>
      </w:r>
      <w:r w:rsidRPr="00A5254D">
        <w:rPr>
          <w:bCs/>
          <w:color w:val="000000"/>
          <w:sz w:val="22"/>
          <w:szCs w:val="22"/>
        </w:rPr>
        <w:t>odporúčaniami EK, obsahom Národného programu reforiem Slovenskej republiky (na rok 2013), ako aj age</w:t>
      </w:r>
      <w:r>
        <w:rPr>
          <w:bCs/>
          <w:color w:val="000000"/>
          <w:sz w:val="22"/>
          <w:szCs w:val="22"/>
        </w:rPr>
        <w:t>ndou stratégie Európa 2020</w:t>
      </w:r>
      <w:r>
        <w:rPr>
          <w:rStyle w:val="Odkaznapoznmkupodiarou"/>
          <w:bCs/>
          <w:color w:val="000000"/>
          <w:sz w:val="22"/>
          <w:szCs w:val="22"/>
        </w:rPr>
        <w:footnoteReference w:id="17"/>
      </w:r>
      <w:r>
        <w:rPr>
          <w:bCs/>
          <w:color w:val="000000"/>
          <w:sz w:val="22"/>
          <w:szCs w:val="22"/>
        </w:rPr>
        <w:t>. P</w:t>
      </w:r>
      <w:r w:rsidRPr="00A5254D">
        <w:rPr>
          <w:bCs/>
          <w:color w:val="000000"/>
          <w:sz w:val="22"/>
          <w:szCs w:val="22"/>
        </w:rPr>
        <w:t xml:space="preserve">re programové obdobie 2014 – 2020 </w:t>
      </w:r>
      <w:r>
        <w:rPr>
          <w:bCs/>
          <w:color w:val="000000"/>
          <w:sz w:val="22"/>
          <w:szCs w:val="22"/>
        </w:rPr>
        <w:t>bolo vypracovaných</w:t>
      </w:r>
      <w:r w:rsidRPr="00A5254D">
        <w:rPr>
          <w:bCs/>
          <w:color w:val="000000"/>
          <w:sz w:val="22"/>
          <w:szCs w:val="22"/>
        </w:rPr>
        <w:t xml:space="preserve"> 11 tematických cieľov</w:t>
      </w:r>
      <w:r>
        <w:rPr>
          <w:rStyle w:val="Odkaznapoznmkupodiarou"/>
          <w:bCs/>
          <w:color w:val="000000"/>
          <w:sz w:val="22"/>
          <w:szCs w:val="22"/>
        </w:rPr>
        <w:footnoteReference w:id="18"/>
      </w:r>
      <w:r>
        <w:rPr>
          <w:bCs/>
          <w:color w:val="000000"/>
          <w:sz w:val="22"/>
          <w:szCs w:val="22"/>
        </w:rPr>
        <w:t>, ktoré sú spoločné pre </w:t>
      </w:r>
      <w:r w:rsidRPr="00A5254D">
        <w:rPr>
          <w:bCs/>
          <w:color w:val="000000"/>
          <w:sz w:val="22"/>
          <w:szCs w:val="22"/>
        </w:rPr>
        <w:t>politiku súdržnosti, vidiecky rozvoj a</w:t>
      </w:r>
      <w:r w:rsidR="00EE0E07">
        <w:rPr>
          <w:bCs/>
          <w:color w:val="000000"/>
          <w:sz w:val="22"/>
          <w:szCs w:val="22"/>
        </w:rPr>
        <w:t> </w:t>
      </w:r>
      <w:r w:rsidRPr="00A5254D">
        <w:rPr>
          <w:bCs/>
          <w:color w:val="000000"/>
          <w:sz w:val="22"/>
          <w:szCs w:val="22"/>
        </w:rPr>
        <w:t>pre námornú a</w:t>
      </w:r>
      <w:r w:rsidR="00EE0E07">
        <w:rPr>
          <w:bCs/>
          <w:color w:val="000000"/>
          <w:sz w:val="22"/>
          <w:szCs w:val="22"/>
        </w:rPr>
        <w:t> </w:t>
      </w:r>
      <w:r w:rsidRPr="00A5254D">
        <w:rPr>
          <w:bCs/>
          <w:color w:val="000000"/>
          <w:sz w:val="22"/>
          <w:szCs w:val="22"/>
        </w:rPr>
        <w:t>rybársku politiku. Zabezpečujú, aby zásahy v</w:t>
      </w:r>
      <w:r w:rsidR="00EE0E07">
        <w:rPr>
          <w:bCs/>
          <w:color w:val="000000"/>
          <w:sz w:val="22"/>
          <w:szCs w:val="22"/>
        </w:rPr>
        <w:t> </w:t>
      </w:r>
      <w:r w:rsidRPr="00A5254D">
        <w:rPr>
          <w:bCs/>
          <w:color w:val="000000"/>
          <w:sz w:val="22"/>
          <w:szCs w:val="22"/>
        </w:rPr>
        <w:t>rámci týchto politík smerovali k</w:t>
      </w:r>
      <w:r w:rsidR="00EE0E07">
        <w:rPr>
          <w:bCs/>
          <w:color w:val="000000"/>
          <w:sz w:val="22"/>
          <w:szCs w:val="22"/>
        </w:rPr>
        <w:t> </w:t>
      </w:r>
      <w:r w:rsidRPr="00A5254D">
        <w:rPr>
          <w:bCs/>
          <w:color w:val="000000"/>
          <w:sz w:val="22"/>
          <w:szCs w:val="22"/>
        </w:rPr>
        <w:t>dosiahnu</w:t>
      </w:r>
      <w:r>
        <w:rPr>
          <w:bCs/>
          <w:color w:val="000000"/>
          <w:sz w:val="22"/>
          <w:szCs w:val="22"/>
        </w:rPr>
        <w:t>tiu spoločných cieľov. Tieto tematické ciele</w:t>
      </w:r>
      <w:r w:rsidRPr="00A5254D">
        <w:rPr>
          <w:bCs/>
          <w:color w:val="000000"/>
          <w:sz w:val="22"/>
          <w:szCs w:val="22"/>
        </w:rPr>
        <w:t xml:space="preserve"> prevádza</w:t>
      </w:r>
      <w:r>
        <w:rPr>
          <w:bCs/>
          <w:color w:val="000000"/>
          <w:sz w:val="22"/>
          <w:szCs w:val="22"/>
        </w:rPr>
        <w:t>jú</w:t>
      </w:r>
      <w:r w:rsidRPr="00A5254D">
        <w:rPr>
          <w:bCs/>
          <w:color w:val="000000"/>
          <w:sz w:val="22"/>
          <w:szCs w:val="22"/>
        </w:rPr>
        <w:t xml:space="preserve"> stratégiu Európa 2020 na operačné ciele, ktoré budú podporované práve cez fondy spoločného strategického rámca.</w:t>
      </w:r>
    </w:p>
    <w:p w14:paraId="5F353C6E" w14:textId="2E8D1910" w:rsidR="000C7996" w:rsidRPr="00A5254D" w:rsidRDefault="000C7996" w:rsidP="000C7996">
      <w:pPr>
        <w:spacing w:before="180" w:after="120"/>
        <w:jc w:val="both"/>
        <w:rPr>
          <w:bCs/>
          <w:color w:val="000000"/>
          <w:sz w:val="22"/>
          <w:szCs w:val="22"/>
        </w:rPr>
      </w:pPr>
      <w:r>
        <w:rPr>
          <w:bCs/>
          <w:color w:val="000000"/>
          <w:sz w:val="22"/>
          <w:szCs w:val="22"/>
          <w:u w:val="single"/>
        </w:rPr>
        <w:t>OPII</w:t>
      </w:r>
      <w:r w:rsidRPr="00A5254D">
        <w:rPr>
          <w:bCs/>
          <w:color w:val="000000"/>
          <w:sz w:val="22"/>
          <w:szCs w:val="22"/>
          <w:u w:val="single"/>
        </w:rPr>
        <w:t xml:space="preserve"> sa zameriava na plnenie nasledujúcich tematických cieľov</w:t>
      </w:r>
      <w:r w:rsidRPr="00A5254D">
        <w:rPr>
          <w:bCs/>
          <w:color w:val="000000"/>
          <w:sz w:val="22"/>
          <w:szCs w:val="22"/>
        </w:rPr>
        <w:t>:</w:t>
      </w:r>
    </w:p>
    <w:p w14:paraId="185C3E33" w14:textId="0E1FCC32" w:rsidR="009E0158" w:rsidRDefault="000C7996" w:rsidP="003309FB">
      <w:pPr>
        <w:pStyle w:val="Odsekzoznamu"/>
        <w:numPr>
          <w:ilvl w:val="0"/>
          <w:numId w:val="40"/>
        </w:numPr>
        <w:spacing w:before="120"/>
        <w:ind w:left="426" w:hanging="284"/>
        <w:jc w:val="both"/>
        <w:rPr>
          <w:bCs/>
          <w:color w:val="000000"/>
          <w:sz w:val="22"/>
          <w:szCs w:val="22"/>
        </w:rPr>
      </w:pPr>
      <w:r w:rsidRPr="00A5254D">
        <w:rPr>
          <w:bCs/>
          <w:color w:val="000000"/>
          <w:sz w:val="22"/>
          <w:szCs w:val="22"/>
        </w:rPr>
        <w:t>Tematický cieľ 7 – Podpora udržateľnej dopravy a</w:t>
      </w:r>
      <w:r w:rsidR="00EE0E07">
        <w:rPr>
          <w:bCs/>
          <w:color w:val="000000"/>
          <w:sz w:val="22"/>
          <w:szCs w:val="22"/>
        </w:rPr>
        <w:t> </w:t>
      </w:r>
      <w:r w:rsidRPr="00A5254D">
        <w:rPr>
          <w:bCs/>
          <w:color w:val="000000"/>
          <w:sz w:val="22"/>
          <w:szCs w:val="22"/>
        </w:rPr>
        <w:t>odstraňovanie prekážok v</w:t>
      </w:r>
      <w:r w:rsidR="00EE0E07">
        <w:rPr>
          <w:bCs/>
          <w:color w:val="000000"/>
          <w:sz w:val="22"/>
          <w:szCs w:val="22"/>
        </w:rPr>
        <w:t> </w:t>
      </w:r>
      <w:r w:rsidRPr="00A5254D">
        <w:rPr>
          <w:bCs/>
          <w:color w:val="000000"/>
          <w:sz w:val="22"/>
          <w:szCs w:val="22"/>
        </w:rPr>
        <w:t>kľúčových sieťových infraštruktúrach,</w:t>
      </w:r>
    </w:p>
    <w:p w14:paraId="25CAF622" w14:textId="510B03F8" w:rsidR="009E0158" w:rsidRDefault="000C7996" w:rsidP="003309FB">
      <w:pPr>
        <w:pStyle w:val="Odsekzoznamu"/>
        <w:numPr>
          <w:ilvl w:val="0"/>
          <w:numId w:val="40"/>
        </w:numPr>
        <w:spacing w:before="120"/>
        <w:ind w:left="426" w:hanging="284"/>
        <w:jc w:val="both"/>
        <w:rPr>
          <w:bCs/>
          <w:color w:val="000000"/>
          <w:sz w:val="22"/>
          <w:szCs w:val="22"/>
        </w:rPr>
      </w:pPr>
      <w:r w:rsidRPr="00A5254D">
        <w:rPr>
          <w:bCs/>
          <w:color w:val="000000"/>
          <w:sz w:val="22"/>
          <w:szCs w:val="22"/>
        </w:rPr>
        <w:t>Tematický cieľ 2 – Zl</w:t>
      </w:r>
      <w:r>
        <w:rPr>
          <w:bCs/>
          <w:color w:val="000000"/>
          <w:sz w:val="22"/>
          <w:szCs w:val="22"/>
        </w:rPr>
        <w:t>epšenie prístupu k</w:t>
      </w:r>
      <w:r w:rsidR="00EE0E07">
        <w:rPr>
          <w:bCs/>
          <w:color w:val="000000"/>
          <w:sz w:val="22"/>
          <w:szCs w:val="22"/>
        </w:rPr>
        <w:t> </w:t>
      </w:r>
      <w:r>
        <w:rPr>
          <w:bCs/>
          <w:color w:val="000000"/>
          <w:sz w:val="22"/>
          <w:szCs w:val="22"/>
        </w:rPr>
        <w:t xml:space="preserve">IKT </w:t>
      </w:r>
      <w:r w:rsidRPr="00A5254D">
        <w:rPr>
          <w:bCs/>
          <w:color w:val="000000"/>
          <w:sz w:val="22"/>
          <w:szCs w:val="22"/>
        </w:rPr>
        <w:t>a</w:t>
      </w:r>
      <w:r w:rsidR="00EE0E07">
        <w:rPr>
          <w:bCs/>
          <w:color w:val="000000"/>
          <w:sz w:val="22"/>
          <w:szCs w:val="22"/>
        </w:rPr>
        <w:t> </w:t>
      </w:r>
      <w:r w:rsidRPr="00A5254D">
        <w:rPr>
          <w:bCs/>
          <w:color w:val="000000"/>
          <w:sz w:val="22"/>
          <w:szCs w:val="22"/>
        </w:rPr>
        <w:t>zlepšenie ich využívania a</w:t>
      </w:r>
      <w:r w:rsidR="00EE0E07">
        <w:rPr>
          <w:bCs/>
          <w:color w:val="000000"/>
          <w:sz w:val="22"/>
          <w:szCs w:val="22"/>
        </w:rPr>
        <w:t> </w:t>
      </w:r>
      <w:r w:rsidRPr="00A5254D">
        <w:rPr>
          <w:bCs/>
          <w:color w:val="000000"/>
          <w:sz w:val="22"/>
          <w:szCs w:val="22"/>
        </w:rPr>
        <w:t>kvality</w:t>
      </w:r>
      <w:r w:rsidR="003565C3">
        <w:rPr>
          <w:bCs/>
          <w:color w:val="000000"/>
          <w:sz w:val="22"/>
          <w:szCs w:val="22"/>
        </w:rPr>
        <w:t>,</w:t>
      </w:r>
    </w:p>
    <w:p w14:paraId="766EBE76" w14:textId="1D2D2DEE" w:rsidR="003565C3" w:rsidRDefault="003565C3">
      <w:pPr>
        <w:pStyle w:val="Odsekzoznamu"/>
        <w:numPr>
          <w:ilvl w:val="0"/>
          <w:numId w:val="40"/>
        </w:numPr>
        <w:spacing w:before="120"/>
        <w:ind w:left="426" w:hanging="284"/>
        <w:jc w:val="both"/>
        <w:rPr>
          <w:bCs/>
          <w:color w:val="000000"/>
          <w:sz w:val="22"/>
          <w:szCs w:val="22"/>
        </w:rPr>
      </w:pPr>
      <w:r>
        <w:rPr>
          <w:bCs/>
          <w:color w:val="000000"/>
          <w:sz w:val="22"/>
          <w:szCs w:val="22"/>
        </w:rPr>
        <w:t xml:space="preserve">Tematický cieľ 1 </w:t>
      </w:r>
      <w:r w:rsidRPr="00A5254D">
        <w:rPr>
          <w:bCs/>
          <w:color w:val="000000"/>
          <w:sz w:val="22"/>
          <w:szCs w:val="22"/>
        </w:rPr>
        <w:t>–</w:t>
      </w:r>
      <w:r>
        <w:rPr>
          <w:bCs/>
          <w:color w:val="000000"/>
          <w:sz w:val="22"/>
          <w:szCs w:val="22"/>
        </w:rPr>
        <w:t xml:space="preserve"> P</w:t>
      </w:r>
      <w:r w:rsidRPr="0005384F">
        <w:rPr>
          <w:bCs/>
          <w:color w:val="000000"/>
          <w:sz w:val="22"/>
          <w:szCs w:val="22"/>
        </w:rPr>
        <w:t>osilnenie výskumu, technologického rozvoja a</w:t>
      </w:r>
      <w:r w:rsidR="00EE0E07">
        <w:rPr>
          <w:bCs/>
          <w:color w:val="000000"/>
          <w:sz w:val="22"/>
          <w:szCs w:val="22"/>
        </w:rPr>
        <w:t> </w:t>
      </w:r>
      <w:r w:rsidRPr="0005384F">
        <w:rPr>
          <w:bCs/>
          <w:color w:val="000000"/>
          <w:sz w:val="22"/>
          <w:szCs w:val="22"/>
        </w:rPr>
        <w:t>inovácií,</w:t>
      </w:r>
    </w:p>
    <w:p w14:paraId="41D26FD9" w14:textId="49B8D7E8" w:rsidR="003565C3" w:rsidRPr="00351D17" w:rsidRDefault="003565C3">
      <w:pPr>
        <w:pStyle w:val="Odsekzoznamu"/>
        <w:numPr>
          <w:ilvl w:val="0"/>
          <w:numId w:val="40"/>
        </w:numPr>
        <w:spacing w:before="120"/>
        <w:ind w:left="426" w:hanging="284"/>
        <w:jc w:val="both"/>
        <w:rPr>
          <w:bCs/>
          <w:color w:val="000000"/>
          <w:sz w:val="22"/>
          <w:szCs w:val="22"/>
        </w:rPr>
      </w:pPr>
      <w:r>
        <w:rPr>
          <w:bCs/>
          <w:color w:val="000000"/>
          <w:sz w:val="22"/>
          <w:szCs w:val="22"/>
        </w:rPr>
        <w:t xml:space="preserve">Tematický cieľ 3 </w:t>
      </w:r>
      <w:r w:rsidRPr="00A5254D">
        <w:rPr>
          <w:bCs/>
          <w:color w:val="000000"/>
          <w:sz w:val="22"/>
          <w:szCs w:val="22"/>
        </w:rPr>
        <w:t>–</w:t>
      </w:r>
      <w:r>
        <w:rPr>
          <w:bCs/>
          <w:color w:val="000000"/>
          <w:sz w:val="22"/>
          <w:szCs w:val="22"/>
        </w:rPr>
        <w:t xml:space="preserve"> Zvýšenie konkurencieschopnosti MSP.</w:t>
      </w:r>
    </w:p>
    <w:p w14:paraId="76513464" w14:textId="32AD4AC7" w:rsidR="000C7996" w:rsidRDefault="000C7996" w:rsidP="000C7996">
      <w:pPr>
        <w:spacing w:before="240"/>
        <w:jc w:val="both"/>
        <w:rPr>
          <w:bCs/>
          <w:sz w:val="22"/>
          <w:szCs w:val="22"/>
        </w:rPr>
      </w:pPr>
      <w:r w:rsidRPr="00A5254D">
        <w:rPr>
          <w:bCs/>
          <w:color w:val="000000"/>
          <w:sz w:val="22"/>
          <w:szCs w:val="22"/>
        </w:rPr>
        <w:t>Tento dokument ďalej obsahuje súbor špecifických cieľov a</w:t>
      </w:r>
      <w:r w:rsidR="00EE0E07">
        <w:rPr>
          <w:bCs/>
          <w:color w:val="000000"/>
          <w:sz w:val="22"/>
          <w:szCs w:val="22"/>
        </w:rPr>
        <w:t> </w:t>
      </w:r>
      <w:r w:rsidRPr="00A5254D">
        <w:rPr>
          <w:bCs/>
          <w:color w:val="000000"/>
          <w:sz w:val="22"/>
          <w:szCs w:val="22"/>
        </w:rPr>
        <w:t>prioritných osí zahrňujúcich viacročné opatrenia na ich dosiahnutie. Tie budú realizované využitím finančnej pomoci z</w:t>
      </w:r>
      <w:r w:rsidR="00EE0E07">
        <w:rPr>
          <w:bCs/>
          <w:color w:val="000000"/>
          <w:sz w:val="22"/>
          <w:szCs w:val="22"/>
        </w:rPr>
        <w:t> </w:t>
      </w:r>
      <w:r w:rsidRPr="00A5254D">
        <w:rPr>
          <w:bCs/>
          <w:color w:val="000000"/>
          <w:sz w:val="22"/>
          <w:szCs w:val="22"/>
        </w:rPr>
        <w:t>Kohézneho fondu a</w:t>
      </w:r>
      <w:r w:rsidR="00EE0E07">
        <w:rPr>
          <w:bCs/>
          <w:color w:val="000000"/>
          <w:sz w:val="22"/>
          <w:szCs w:val="22"/>
        </w:rPr>
        <w:t> </w:t>
      </w:r>
      <w:r w:rsidRPr="00A5254D">
        <w:rPr>
          <w:bCs/>
          <w:color w:val="000000"/>
          <w:sz w:val="22"/>
          <w:szCs w:val="22"/>
        </w:rPr>
        <w:t>Európskeho fondu regionálneho rozvoja. Zároveň vytvárajú prepojenie na finančné nástroje</w:t>
      </w:r>
      <w:r>
        <w:rPr>
          <w:bCs/>
          <w:color w:val="000000"/>
          <w:sz w:val="22"/>
          <w:szCs w:val="22"/>
        </w:rPr>
        <w:t xml:space="preserve"> zriadené Európskou komisiou</w:t>
      </w:r>
      <w:r w:rsidRPr="00A5254D">
        <w:rPr>
          <w:bCs/>
          <w:color w:val="000000"/>
          <w:sz w:val="22"/>
          <w:szCs w:val="22"/>
        </w:rPr>
        <w:t xml:space="preserve">, predovšetkým </w:t>
      </w:r>
      <w:r>
        <w:rPr>
          <w:bCs/>
          <w:color w:val="000000"/>
          <w:sz w:val="22"/>
          <w:szCs w:val="22"/>
        </w:rPr>
        <w:t>N</w:t>
      </w:r>
      <w:r w:rsidRPr="00A5254D">
        <w:rPr>
          <w:bCs/>
          <w:color w:val="000000"/>
          <w:sz w:val="22"/>
          <w:szCs w:val="22"/>
        </w:rPr>
        <w:t>ástroj</w:t>
      </w:r>
      <w:r>
        <w:rPr>
          <w:bCs/>
          <w:color w:val="000000"/>
          <w:sz w:val="22"/>
          <w:szCs w:val="22"/>
        </w:rPr>
        <w:t xml:space="preserve"> na prepájanie Európy (NPE)</w:t>
      </w:r>
      <w:r>
        <w:rPr>
          <w:rStyle w:val="Odkaznapoznmkupodiarou"/>
          <w:bCs/>
          <w:color w:val="000000"/>
          <w:sz w:val="22"/>
          <w:szCs w:val="22"/>
        </w:rPr>
        <w:footnoteReference w:id="19"/>
      </w:r>
      <w:r w:rsidRPr="00A5254D">
        <w:rPr>
          <w:bCs/>
          <w:color w:val="000000"/>
          <w:sz w:val="22"/>
          <w:szCs w:val="22"/>
        </w:rPr>
        <w:t>.</w:t>
      </w:r>
      <w:r>
        <w:rPr>
          <w:bCs/>
          <w:color w:val="000000"/>
          <w:sz w:val="22"/>
          <w:szCs w:val="22"/>
        </w:rPr>
        <w:t xml:space="preserve"> </w:t>
      </w:r>
      <w:r w:rsidRPr="00831135">
        <w:rPr>
          <w:bCs/>
          <w:sz w:val="22"/>
          <w:szCs w:val="22"/>
        </w:rPr>
        <w:t>OPII taktiež vytvára predpoklady pre využitie finančných nástrojov</w:t>
      </w:r>
      <w:r>
        <w:rPr>
          <w:bCs/>
          <w:sz w:val="22"/>
          <w:szCs w:val="22"/>
        </w:rPr>
        <w:t xml:space="preserve"> zriadených na národnej úrovni</w:t>
      </w:r>
      <w:r w:rsidRPr="00831135">
        <w:rPr>
          <w:bCs/>
          <w:sz w:val="22"/>
          <w:szCs w:val="22"/>
        </w:rPr>
        <w:t>.</w:t>
      </w:r>
    </w:p>
    <w:p w14:paraId="2453C974" w14:textId="77777777" w:rsidR="006B419A" w:rsidRDefault="006B419A" w:rsidP="006B419A">
      <w:pPr>
        <w:jc w:val="both"/>
        <w:rPr>
          <w:bCs/>
          <w:sz w:val="22"/>
          <w:szCs w:val="22"/>
        </w:rPr>
      </w:pPr>
    </w:p>
    <w:p w14:paraId="3D643AFC" w14:textId="2775D045" w:rsidR="000C7996" w:rsidRDefault="006B419A" w:rsidP="006B419A">
      <w:pPr>
        <w:pStyle w:val="Tab"/>
        <w:spacing w:before="0"/>
        <w:ind w:left="714" w:hanging="714"/>
        <w:jc w:val="both"/>
      </w:pPr>
      <w:r>
        <w:t>Prehľad p</w:t>
      </w:r>
      <w:r w:rsidRPr="00831135">
        <w:t>rioritných osí</w:t>
      </w:r>
      <w:r>
        <w:t xml:space="preserve"> OPII vrátane stanovenia zodpovednosti z</w:t>
      </w:r>
      <w:r w:rsidR="00EE499B">
        <w:t>a implementáciu</w:t>
      </w:r>
      <w:r w:rsidR="00A9521B">
        <w:t xml:space="preserve"> – pozri Prílohu 21</w:t>
      </w:r>
    </w:p>
    <w:p w14:paraId="4937B934" w14:textId="7B15E3F1" w:rsidR="000C7996" w:rsidRDefault="000C7996" w:rsidP="000C7996">
      <w:pPr>
        <w:spacing w:before="240"/>
        <w:jc w:val="both"/>
        <w:rPr>
          <w:sz w:val="22"/>
          <w:szCs w:val="22"/>
        </w:rPr>
      </w:pPr>
      <w:r w:rsidRPr="00B322C7">
        <w:rPr>
          <w:sz w:val="22"/>
          <w:szCs w:val="22"/>
        </w:rPr>
        <w:lastRenderedPageBreak/>
        <w:t xml:space="preserve">Všeobecným pravidlom uplatňovaným pri implementácii dopravných stavieb OPII a zároveň </w:t>
      </w:r>
      <w:r w:rsidRPr="00B322C7">
        <w:rPr>
          <w:b/>
          <w:sz w:val="22"/>
          <w:szCs w:val="22"/>
        </w:rPr>
        <w:t xml:space="preserve">nevyhnutnou podmienkou pre priznanie nenávratného finančného príspevku bude, aby prijímatelia pred predložením projektu na schválenie preukázali existenciu relevantnej štúdie realizovateľnosti </w:t>
      </w:r>
      <w:r w:rsidR="00863F85">
        <w:rPr>
          <w:b/>
          <w:sz w:val="22"/>
          <w:szCs w:val="22"/>
        </w:rPr>
        <w:t xml:space="preserve">spracovanej v súlade s požiadavkami </w:t>
      </w:r>
      <w:r w:rsidRPr="00B322C7">
        <w:rPr>
          <w:b/>
          <w:sz w:val="22"/>
          <w:szCs w:val="22"/>
        </w:rPr>
        <w:t>EK</w:t>
      </w:r>
      <w:r w:rsidR="00A744AD">
        <w:rPr>
          <w:rStyle w:val="Odkaznapoznmkupodiarou"/>
          <w:b/>
          <w:sz w:val="22"/>
          <w:szCs w:val="22"/>
        </w:rPr>
        <w:footnoteReference w:id="20"/>
      </w:r>
      <w:r w:rsidRPr="00B322C7">
        <w:rPr>
          <w:sz w:val="22"/>
          <w:szCs w:val="22"/>
        </w:rPr>
        <w:t>. Štúdie by mali potvrdzovať správnosť navrhovaného riešenia, a to z dopravného, technického, ekonomického a environmentálneho hľadiska. Všeobecným pravidlom uplatňovaným pri implementácii projektov rozvoja informačnej spoločnosti a zároveň nevyhnutnou podmienkou pre priznanie nenávratného finančného príspevku bude existencia schválenej štúdie realizovateľnosti</w:t>
      </w:r>
      <w:r>
        <w:rPr>
          <w:sz w:val="22"/>
          <w:szCs w:val="22"/>
        </w:rPr>
        <w:t xml:space="preserve">, potvrdenie prevádzkovateľa centrálnej vládnej cloudovej infraštruktúry o podmienkach jej využívania, zmluva o partnerstve s poskytovateľom služieb riadenia informačno - technologických projektov </w:t>
      </w:r>
      <w:r w:rsidR="00213D1F">
        <w:rPr>
          <w:sz w:val="22"/>
          <w:szCs w:val="22"/>
        </w:rPr>
        <w:t xml:space="preserve">a publicity </w:t>
      </w:r>
      <w:r>
        <w:rPr>
          <w:sz w:val="22"/>
          <w:szCs w:val="22"/>
        </w:rPr>
        <w:t>vo verejnej správe (</w:t>
      </w:r>
      <w:r w:rsidR="008C5A74">
        <w:rPr>
          <w:sz w:val="22"/>
          <w:szCs w:val="22"/>
        </w:rPr>
        <w:t>Ú</w:t>
      </w:r>
      <w:r w:rsidR="00B3613F">
        <w:rPr>
          <w:sz w:val="22"/>
          <w:szCs w:val="22"/>
        </w:rPr>
        <w:t>P</w:t>
      </w:r>
      <w:r w:rsidR="00825797">
        <w:rPr>
          <w:sz w:val="22"/>
          <w:szCs w:val="22"/>
        </w:rPr>
        <w:t>VII</w:t>
      </w:r>
      <w:r>
        <w:rPr>
          <w:sz w:val="22"/>
          <w:szCs w:val="22"/>
        </w:rPr>
        <w:t>)</w:t>
      </w:r>
      <w:r>
        <w:rPr>
          <w:rStyle w:val="Odkaznapoznmkupodiarou"/>
          <w:sz w:val="22"/>
          <w:szCs w:val="22"/>
        </w:rPr>
        <w:footnoteReference w:id="21"/>
      </w:r>
      <w:r>
        <w:rPr>
          <w:sz w:val="22"/>
          <w:szCs w:val="22"/>
        </w:rPr>
        <w:t>.</w:t>
      </w:r>
    </w:p>
    <w:p w14:paraId="79C8C9B1" w14:textId="77777777" w:rsidR="00DB79F5" w:rsidRDefault="00DB79F5" w:rsidP="00A17295">
      <w:pPr>
        <w:pStyle w:val="tl3"/>
      </w:pPr>
      <w:r>
        <w:t>Doprava</w:t>
      </w:r>
    </w:p>
    <w:p w14:paraId="26EE8848" w14:textId="77777777" w:rsidR="00DB79F5" w:rsidRDefault="00DB79F5" w:rsidP="00DB79F5">
      <w:pPr>
        <w:autoSpaceDE w:val="0"/>
        <w:autoSpaceDN w:val="0"/>
        <w:adjustRightInd w:val="0"/>
        <w:jc w:val="both"/>
        <w:rPr>
          <w:sz w:val="22"/>
          <w:szCs w:val="22"/>
        </w:rPr>
      </w:pPr>
      <w:r w:rsidRPr="008D3AA3">
        <w:rPr>
          <w:sz w:val="22"/>
          <w:szCs w:val="22"/>
        </w:rPr>
        <w:t>Dopravná infraštruktúra predstavuje dôležitý faktor vo zvyšovaní konkurencieschopnosti, vytvára spojenie medzi regiónmi a</w:t>
      </w:r>
      <w:r>
        <w:rPr>
          <w:sz w:val="22"/>
          <w:szCs w:val="22"/>
        </w:rPr>
        <w:t> </w:t>
      </w:r>
      <w:r w:rsidRPr="008D3AA3">
        <w:rPr>
          <w:sz w:val="22"/>
          <w:szCs w:val="22"/>
        </w:rPr>
        <w:t>centrálnymi trhmi EÚ, podmieňuje rozvoj cestovného ruchu, prílev zahraničných investícií, je neoddeliteľnou súčasťou každodenného života obyvateľov. Bez výko</w:t>
      </w:r>
      <w:r w:rsidR="00A30CC5">
        <w:rPr>
          <w:sz w:val="22"/>
          <w:szCs w:val="22"/>
        </w:rPr>
        <w:t>nného dopravného systému umožňujúceho</w:t>
      </w:r>
      <w:r w:rsidRPr="008D3AA3">
        <w:rPr>
          <w:sz w:val="22"/>
          <w:szCs w:val="22"/>
        </w:rPr>
        <w:t xml:space="preserve"> </w:t>
      </w:r>
      <w:r w:rsidR="00A30CC5">
        <w:rPr>
          <w:sz w:val="22"/>
          <w:szCs w:val="22"/>
        </w:rPr>
        <w:t>naplno využiť</w:t>
      </w:r>
      <w:r w:rsidRPr="008D3AA3">
        <w:rPr>
          <w:sz w:val="22"/>
          <w:szCs w:val="22"/>
        </w:rPr>
        <w:t xml:space="preserve"> </w:t>
      </w:r>
      <w:r w:rsidR="00A30CC5">
        <w:rPr>
          <w:sz w:val="22"/>
          <w:szCs w:val="22"/>
        </w:rPr>
        <w:t>potenciál vnútorného</w:t>
      </w:r>
      <w:r w:rsidRPr="008D3AA3">
        <w:rPr>
          <w:sz w:val="22"/>
          <w:szCs w:val="22"/>
        </w:rPr>
        <w:t xml:space="preserve"> trh</w:t>
      </w:r>
      <w:r w:rsidR="00A30CC5">
        <w:rPr>
          <w:sz w:val="22"/>
          <w:szCs w:val="22"/>
        </w:rPr>
        <w:t>u EÚ</w:t>
      </w:r>
      <w:r w:rsidRPr="008D3AA3">
        <w:rPr>
          <w:sz w:val="22"/>
          <w:szCs w:val="22"/>
        </w:rPr>
        <w:t xml:space="preserve"> a</w:t>
      </w:r>
      <w:r w:rsidR="00A30CC5">
        <w:rPr>
          <w:sz w:val="22"/>
          <w:szCs w:val="22"/>
        </w:rPr>
        <w:t> zabezpečujúceho rozvoj globálneho</w:t>
      </w:r>
      <w:r w:rsidRPr="008D3AA3">
        <w:rPr>
          <w:sz w:val="22"/>
          <w:szCs w:val="22"/>
        </w:rPr>
        <w:t xml:space="preserve"> obchod</w:t>
      </w:r>
      <w:r w:rsidR="00A30CC5">
        <w:rPr>
          <w:sz w:val="22"/>
          <w:szCs w:val="22"/>
        </w:rPr>
        <w:t>u</w:t>
      </w:r>
      <w:r w:rsidRPr="008D3AA3">
        <w:rPr>
          <w:sz w:val="22"/>
          <w:szCs w:val="22"/>
        </w:rPr>
        <w:t xml:space="preserve"> je ťažké koncipovať</w:t>
      </w:r>
      <w:r w:rsidR="00A30CC5">
        <w:rPr>
          <w:sz w:val="22"/>
          <w:szCs w:val="22"/>
        </w:rPr>
        <w:t xml:space="preserve"> taký</w:t>
      </w:r>
      <w:r w:rsidRPr="008D3AA3">
        <w:rPr>
          <w:sz w:val="22"/>
          <w:szCs w:val="22"/>
        </w:rPr>
        <w:t xml:space="preserve"> silný ekonomický rast, ktorý </w:t>
      </w:r>
      <w:r w:rsidR="00A30CC5">
        <w:rPr>
          <w:sz w:val="22"/>
          <w:szCs w:val="22"/>
        </w:rPr>
        <w:t>by vytvoril predpoklady pre tvorbu nových pracovných miest</w:t>
      </w:r>
      <w:r w:rsidRPr="008D3AA3">
        <w:rPr>
          <w:sz w:val="22"/>
          <w:szCs w:val="22"/>
        </w:rPr>
        <w:t xml:space="preserve"> a</w:t>
      </w:r>
      <w:r w:rsidR="00A30CC5">
        <w:rPr>
          <w:sz w:val="22"/>
          <w:szCs w:val="22"/>
        </w:rPr>
        <w:t xml:space="preserve"> umožnil</w:t>
      </w:r>
      <w:r>
        <w:rPr>
          <w:sz w:val="22"/>
          <w:szCs w:val="22"/>
        </w:rPr>
        <w:t> </w:t>
      </w:r>
      <w:r w:rsidRPr="008D3AA3">
        <w:rPr>
          <w:sz w:val="22"/>
          <w:szCs w:val="22"/>
        </w:rPr>
        <w:t>zv</w:t>
      </w:r>
      <w:r w:rsidR="00A30CC5">
        <w:rPr>
          <w:sz w:val="22"/>
          <w:szCs w:val="22"/>
        </w:rPr>
        <w:t>yšovať životnú úroveň obyvateľstva</w:t>
      </w:r>
      <w:r w:rsidRPr="008D3AA3">
        <w:rPr>
          <w:sz w:val="22"/>
          <w:szCs w:val="22"/>
        </w:rPr>
        <w:t>.</w:t>
      </w:r>
    </w:p>
    <w:p w14:paraId="27EF0B19" w14:textId="77777777" w:rsidR="00DB79F5" w:rsidRPr="008D3AA3" w:rsidRDefault="00DB79F5" w:rsidP="00DB79F5">
      <w:pPr>
        <w:autoSpaceDE w:val="0"/>
        <w:autoSpaceDN w:val="0"/>
        <w:adjustRightInd w:val="0"/>
        <w:spacing w:before="180"/>
        <w:jc w:val="both"/>
        <w:rPr>
          <w:sz w:val="22"/>
          <w:szCs w:val="22"/>
        </w:rPr>
      </w:pPr>
      <w:r w:rsidRPr="008D3AA3">
        <w:rPr>
          <w:sz w:val="22"/>
          <w:szCs w:val="22"/>
        </w:rPr>
        <w:t>Cieľom rozvoja dopravnej infraštruktúry SR je reagovať na existujúce problémy na infraštruktúre a</w:t>
      </w:r>
      <w:r>
        <w:rPr>
          <w:sz w:val="22"/>
          <w:szCs w:val="22"/>
        </w:rPr>
        <w:t> </w:t>
      </w:r>
      <w:r w:rsidRPr="008D3AA3">
        <w:rPr>
          <w:sz w:val="22"/>
          <w:szCs w:val="22"/>
        </w:rPr>
        <w:t>zároveň predchádzať prognózovaným negatívnym stavom na dopravnej sieti. Zameranie rozvoja dopravnej infraštruktúry v</w:t>
      </w:r>
      <w:r>
        <w:rPr>
          <w:sz w:val="22"/>
          <w:szCs w:val="22"/>
        </w:rPr>
        <w:t> </w:t>
      </w:r>
      <w:r w:rsidRPr="008D3AA3">
        <w:rPr>
          <w:sz w:val="22"/>
          <w:szCs w:val="22"/>
        </w:rPr>
        <w:t>SR v</w:t>
      </w:r>
      <w:r>
        <w:rPr>
          <w:sz w:val="22"/>
          <w:szCs w:val="22"/>
        </w:rPr>
        <w:t> </w:t>
      </w:r>
      <w:r w:rsidRPr="008D3AA3">
        <w:rPr>
          <w:sz w:val="22"/>
          <w:szCs w:val="22"/>
        </w:rPr>
        <w:t>programovom období 2014 – 2020 vychádza predovšetkým z</w:t>
      </w:r>
      <w:r>
        <w:rPr>
          <w:sz w:val="22"/>
          <w:szCs w:val="22"/>
        </w:rPr>
        <w:t> </w:t>
      </w:r>
      <w:r w:rsidRPr="008D3AA3">
        <w:rPr>
          <w:sz w:val="22"/>
          <w:szCs w:val="22"/>
        </w:rPr>
        <w:t xml:space="preserve">požiadaviek na </w:t>
      </w:r>
      <w:r>
        <w:rPr>
          <w:sz w:val="22"/>
          <w:szCs w:val="22"/>
        </w:rPr>
        <w:t xml:space="preserve">dobudovanie chýbajúcich kľúčových miest na dopravnej infraštruktúre a </w:t>
      </w:r>
      <w:r w:rsidRPr="008D3AA3">
        <w:rPr>
          <w:sz w:val="22"/>
          <w:szCs w:val="22"/>
        </w:rPr>
        <w:t xml:space="preserve">zlepšenie kvality </w:t>
      </w:r>
      <w:r>
        <w:rPr>
          <w:sz w:val="22"/>
          <w:szCs w:val="22"/>
        </w:rPr>
        <w:t xml:space="preserve">existujúcej </w:t>
      </w:r>
      <w:r w:rsidRPr="008D3AA3">
        <w:rPr>
          <w:sz w:val="22"/>
          <w:szCs w:val="22"/>
        </w:rPr>
        <w:t xml:space="preserve">infraštruktúry, najmä cestnej </w:t>
      </w:r>
      <w:r>
        <w:rPr>
          <w:sz w:val="22"/>
          <w:szCs w:val="22"/>
        </w:rPr>
        <w:t xml:space="preserve">a </w:t>
      </w:r>
      <w:r w:rsidRPr="008D3AA3">
        <w:rPr>
          <w:sz w:val="22"/>
          <w:szCs w:val="22"/>
        </w:rPr>
        <w:t>železničnej dopravy, s</w:t>
      </w:r>
      <w:r>
        <w:rPr>
          <w:sz w:val="22"/>
          <w:szCs w:val="22"/>
        </w:rPr>
        <w:t>o zameraním </w:t>
      </w:r>
      <w:r w:rsidRPr="008D3AA3">
        <w:rPr>
          <w:sz w:val="22"/>
          <w:szCs w:val="22"/>
        </w:rPr>
        <w:t>na zvyšovanie bezpečnosti, spoľahlivosti, prístupnosti a</w:t>
      </w:r>
      <w:r>
        <w:rPr>
          <w:sz w:val="22"/>
          <w:szCs w:val="22"/>
        </w:rPr>
        <w:t> </w:t>
      </w:r>
      <w:r w:rsidRPr="008D3AA3">
        <w:rPr>
          <w:sz w:val="22"/>
          <w:szCs w:val="22"/>
        </w:rPr>
        <w:t>efektívnosti dopravy.</w:t>
      </w:r>
    </w:p>
    <w:p w14:paraId="188988DD" w14:textId="77777777" w:rsidR="00DB79F5" w:rsidRDefault="00DB79F5" w:rsidP="00DB79F5">
      <w:pPr>
        <w:autoSpaceDE w:val="0"/>
        <w:autoSpaceDN w:val="0"/>
        <w:adjustRightInd w:val="0"/>
        <w:spacing w:before="180"/>
        <w:jc w:val="both"/>
        <w:rPr>
          <w:sz w:val="22"/>
          <w:szCs w:val="22"/>
        </w:rPr>
      </w:pPr>
      <w:r w:rsidRPr="008D3AA3">
        <w:rPr>
          <w:sz w:val="22"/>
          <w:szCs w:val="22"/>
        </w:rPr>
        <w:t>V</w:t>
      </w:r>
      <w:r>
        <w:rPr>
          <w:sz w:val="22"/>
          <w:szCs w:val="22"/>
        </w:rPr>
        <w:t> </w:t>
      </w:r>
      <w:r w:rsidRPr="008D3AA3">
        <w:rPr>
          <w:sz w:val="22"/>
          <w:szCs w:val="22"/>
        </w:rPr>
        <w:t>rámci sietí pre medzištátne dopravné väzby je v</w:t>
      </w:r>
      <w:r>
        <w:rPr>
          <w:sz w:val="22"/>
          <w:szCs w:val="22"/>
        </w:rPr>
        <w:t> </w:t>
      </w:r>
      <w:r w:rsidRPr="008D3AA3">
        <w:rPr>
          <w:sz w:val="22"/>
          <w:szCs w:val="22"/>
        </w:rPr>
        <w:t>záujme dosiahnutia priestorovej kompatibility a</w:t>
      </w:r>
      <w:r>
        <w:rPr>
          <w:sz w:val="22"/>
          <w:szCs w:val="22"/>
        </w:rPr>
        <w:t> </w:t>
      </w:r>
      <w:r w:rsidRPr="008D3AA3">
        <w:rPr>
          <w:sz w:val="22"/>
          <w:szCs w:val="22"/>
        </w:rPr>
        <w:t>vzájomnej rovnocennosti dopravnej sústavy SR s</w:t>
      </w:r>
      <w:r>
        <w:rPr>
          <w:sz w:val="22"/>
          <w:szCs w:val="22"/>
        </w:rPr>
        <w:t> </w:t>
      </w:r>
      <w:r w:rsidRPr="008D3AA3">
        <w:rPr>
          <w:sz w:val="22"/>
          <w:szCs w:val="22"/>
        </w:rPr>
        <w:t>dopravnou sústavou EÚ nevyhnutná preferencia dobudovania hlavných európskych koridorov a</w:t>
      </w:r>
      <w:r>
        <w:rPr>
          <w:sz w:val="22"/>
          <w:szCs w:val="22"/>
        </w:rPr>
        <w:t> </w:t>
      </w:r>
      <w:r w:rsidRPr="008D3AA3">
        <w:rPr>
          <w:sz w:val="22"/>
          <w:szCs w:val="22"/>
        </w:rPr>
        <w:t xml:space="preserve">prepojovacích bodov jednotlivých druhov dopravy identifikovaných na území SR. </w:t>
      </w:r>
      <w:r>
        <w:rPr>
          <w:sz w:val="22"/>
          <w:szCs w:val="22"/>
        </w:rPr>
        <w:t>OPII-D</w:t>
      </w:r>
      <w:r w:rsidRPr="008D3AA3">
        <w:rPr>
          <w:sz w:val="22"/>
          <w:szCs w:val="22"/>
        </w:rPr>
        <w:t xml:space="preserve"> sa preto prioritne orientuje na výstavbu a</w:t>
      </w:r>
      <w:r>
        <w:rPr>
          <w:sz w:val="22"/>
          <w:szCs w:val="22"/>
        </w:rPr>
        <w:t> </w:t>
      </w:r>
      <w:r w:rsidRPr="008D3AA3">
        <w:rPr>
          <w:sz w:val="22"/>
          <w:szCs w:val="22"/>
        </w:rPr>
        <w:t>modernizáciu dopravnej infraštruktúry v</w:t>
      </w:r>
      <w:r>
        <w:rPr>
          <w:sz w:val="22"/>
          <w:szCs w:val="22"/>
        </w:rPr>
        <w:t> </w:t>
      </w:r>
      <w:r w:rsidRPr="008D3AA3">
        <w:rPr>
          <w:sz w:val="22"/>
          <w:szCs w:val="22"/>
        </w:rPr>
        <w:t>schválených trasách multimodálnych koridorov</w:t>
      </w:r>
      <w:r>
        <w:rPr>
          <w:sz w:val="22"/>
          <w:szCs w:val="22"/>
        </w:rPr>
        <w:t xml:space="preserve"> základnej </w:t>
      </w:r>
      <w:r w:rsidR="00F64E55">
        <w:rPr>
          <w:sz w:val="22"/>
          <w:szCs w:val="22"/>
        </w:rPr>
        <w:t xml:space="preserve">transeurópskej dopravnej </w:t>
      </w:r>
      <w:r>
        <w:rPr>
          <w:sz w:val="22"/>
          <w:szCs w:val="22"/>
        </w:rPr>
        <w:t xml:space="preserve">siete </w:t>
      </w:r>
      <w:r w:rsidR="00F64E55">
        <w:rPr>
          <w:sz w:val="22"/>
          <w:szCs w:val="22"/>
        </w:rPr>
        <w:t>(ďalej len „</w:t>
      </w:r>
      <w:r>
        <w:rPr>
          <w:sz w:val="22"/>
          <w:szCs w:val="22"/>
        </w:rPr>
        <w:t>TEN-T</w:t>
      </w:r>
      <w:r w:rsidR="00F64E55">
        <w:rPr>
          <w:sz w:val="22"/>
          <w:szCs w:val="22"/>
        </w:rPr>
        <w:t>“)</w:t>
      </w:r>
      <w:r w:rsidRPr="008D3AA3">
        <w:rPr>
          <w:sz w:val="22"/>
          <w:szCs w:val="22"/>
        </w:rPr>
        <w:t xml:space="preserve"> a</w:t>
      </w:r>
      <w:r>
        <w:rPr>
          <w:sz w:val="22"/>
          <w:szCs w:val="22"/>
        </w:rPr>
        <w:t> </w:t>
      </w:r>
      <w:r w:rsidRPr="008D3AA3">
        <w:rPr>
          <w:sz w:val="22"/>
          <w:szCs w:val="22"/>
        </w:rPr>
        <w:t>podporu dobudovania nadradenej dopravnej infraštruktúry medzinárodného významu</w:t>
      </w:r>
      <w:r>
        <w:rPr>
          <w:sz w:val="22"/>
          <w:szCs w:val="22"/>
        </w:rPr>
        <w:t xml:space="preserve"> s cieľom </w:t>
      </w:r>
      <w:r w:rsidRPr="008D3AA3">
        <w:rPr>
          <w:sz w:val="22"/>
          <w:szCs w:val="22"/>
        </w:rPr>
        <w:t xml:space="preserve">napojenia infraštruktúry SR na európsku dopravnú sieť, ako aj </w:t>
      </w:r>
      <w:r w:rsidR="00F64E55">
        <w:rPr>
          <w:sz w:val="22"/>
          <w:szCs w:val="22"/>
        </w:rPr>
        <w:t>s </w:t>
      </w:r>
      <w:r>
        <w:rPr>
          <w:sz w:val="22"/>
          <w:szCs w:val="22"/>
        </w:rPr>
        <w:t>cieľom</w:t>
      </w:r>
      <w:r w:rsidRPr="008D3AA3">
        <w:rPr>
          <w:sz w:val="22"/>
          <w:szCs w:val="22"/>
        </w:rPr>
        <w:t xml:space="preserve"> </w:t>
      </w:r>
      <w:r>
        <w:rPr>
          <w:sz w:val="22"/>
          <w:szCs w:val="22"/>
        </w:rPr>
        <w:t>zlepšovania</w:t>
      </w:r>
      <w:r w:rsidRPr="008D3AA3">
        <w:rPr>
          <w:sz w:val="22"/>
          <w:szCs w:val="22"/>
        </w:rPr>
        <w:t xml:space="preserve"> dostupnosti regiónov SR.</w:t>
      </w:r>
    </w:p>
    <w:p w14:paraId="6F544466" w14:textId="0FD906EA" w:rsidR="001F0994" w:rsidRDefault="00DB79F5" w:rsidP="001F0994">
      <w:pPr>
        <w:autoSpaceDE w:val="0"/>
        <w:autoSpaceDN w:val="0"/>
        <w:adjustRightInd w:val="0"/>
        <w:spacing w:before="180"/>
        <w:jc w:val="both"/>
        <w:rPr>
          <w:sz w:val="22"/>
          <w:szCs w:val="22"/>
        </w:rPr>
      </w:pPr>
      <w:r w:rsidRPr="00771652">
        <w:rPr>
          <w:sz w:val="22"/>
          <w:szCs w:val="22"/>
        </w:rPr>
        <w:t>Cieľom OPII-D je súčasne aj zabezpečenie podpory trvalo udržateľnej mestskej a regionálnej mobility posilňovaním väzieb v rámci jednotlivých aglomerácií vzájomne spolupracujúcimi módmi ekologickej verejnej osobnej dopravy. Prioritou je zabezpečenie vyhovujúcich tr</w:t>
      </w:r>
      <w:r>
        <w:rPr>
          <w:sz w:val="22"/>
          <w:szCs w:val="22"/>
        </w:rPr>
        <w:t>atí mestskej dráhovej dopravy a </w:t>
      </w:r>
      <w:r w:rsidRPr="00771652">
        <w:rPr>
          <w:sz w:val="22"/>
          <w:szCs w:val="22"/>
        </w:rPr>
        <w:t>prestupných terminálov v regionálnej železničnej doprave so zabezpečením zodpovedajúceho vozového parku týchto dopravných módov.</w:t>
      </w:r>
      <w:r w:rsidR="006E2667">
        <w:rPr>
          <w:sz w:val="22"/>
          <w:szCs w:val="22"/>
        </w:rPr>
        <w:t xml:space="preserve"> </w:t>
      </w:r>
      <w:r w:rsidR="00F0116F">
        <w:rPr>
          <w:sz w:val="22"/>
          <w:szCs w:val="22"/>
        </w:rPr>
        <w:t xml:space="preserve">Zvyšovanie atraktivity miest a regiónov, zlepšovanie mobility, bezpečnosti, hospodárnosti a rentability prepravy osôb a tovaru, ako aj znižovanie </w:t>
      </w:r>
      <w:r w:rsidR="00F0116F" w:rsidRPr="001F0994">
        <w:rPr>
          <w:sz w:val="22"/>
          <w:szCs w:val="22"/>
        </w:rPr>
        <w:t>znečisteni</w:t>
      </w:r>
      <w:r w:rsidR="00F0116F">
        <w:rPr>
          <w:sz w:val="22"/>
          <w:szCs w:val="22"/>
        </w:rPr>
        <w:t>a</w:t>
      </w:r>
      <w:r w:rsidR="00F0116F" w:rsidRPr="001F0994">
        <w:rPr>
          <w:sz w:val="22"/>
          <w:szCs w:val="22"/>
        </w:rPr>
        <w:t xml:space="preserve"> ovzdušia a zamoreni</w:t>
      </w:r>
      <w:r w:rsidR="00F0116F">
        <w:rPr>
          <w:sz w:val="22"/>
          <w:szCs w:val="22"/>
        </w:rPr>
        <w:t>a</w:t>
      </w:r>
      <w:r w:rsidR="00F0116F" w:rsidRPr="001F0994">
        <w:rPr>
          <w:sz w:val="22"/>
          <w:szCs w:val="22"/>
        </w:rPr>
        <w:t xml:space="preserve"> prostredia hlukom</w:t>
      </w:r>
      <w:r w:rsidR="00F0116F">
        <w:rPr>
          <w:sz w:val="22"/>
          <w:szCs w:val="22"/>
        </w:rPr>
        <w:t xml:space="preserve"> a emisiami musí byť založené predovšetkým na princípe subsidiarity, t. j. v prvom rade vychádzať z úrovne samotných miest a regiónov. EK </w:t>
      </w:r>
      <w:r w:rsidR="00F0116F" w:rsidRPr="00731656">
        <w:rPr>
          <w:sz w:val="22"/>
          <w:szCs w:val="22"/>
        </w:rPr>
        <w:t xml:space="preserve">vyzýva členské štáty, aby mestám vytvorili vhodné podmienky na vypracovanie a realizáciu ich plánov udržateľnej mobility. </w:t>
      </w:r>
      <w:r w:rsidR="00F31A54">
        <w:rPr>
          <w:sz w:val="22"/>
          <w:szCs w:val="22"/>
        </w:rPr>
        <w:t>B</w:t>
      </w:r>
      <w:r w:rsidR="00F0116F">
        <w:rPr>
          <w:sz w:val="22"/>
          <w:szCs w:val="22"/>
        </w:rPr>
        <w:t>ude preto kladený silný akcent na analýzu prostredia mestských aglomerácií a tvorbu Plánov udržateľnej mestskej mobility (PUMM) so zabezpečením ich prepojenia na národné stratégie.</w:t>
      </w:r>
    </w:p>
    <w:p w14:paraId="0ED0ED27" w14:textId="77777777" w:rsidR="00B62322" w:rsidRDefault="004400AC" w:rsidP="001F0994">
      <w:pPr>
        <w:autoSpaceDE w:val="0"/>
        <w:autoSpaceDN w:val="0"/>
        <w:adjustRightInd w:val="0"/>
        <w:spacing w:before="180"/>
        <w:jc w:val="both"/>
        <w:rPr>
          <w:sz w:val="22"/>
          <w:szCs w:val="22"/>
        </w:rPr>
      </w:pPr>
      <w:r>
        <w:rPr>
          <w:sz w:val="22"/>
          <w:szCs w:val="22"/>
        </w:rPr>
        <w:lastRenderedPageBreak/>
        <w:t>Ambíciou OPII je taktiež prispieť k zmierneniu negatívnych dôsledkov klimatických zmien</w:t>
      </w:r>
      <w:r w:rsidR="009A005F">
        <w:rPr>
          <w:sz w:val="22"/>
          <w:szCs w:val="22"/>
        </w:rPr>
        <w:t xml:space="preserve"> a ochran</w:t>
      </w:r>
      <w:r w:rsidR="00881AF5">
        <w:rPr>
          <w:sz w:val="22"/>
          <w:szCs w:val="22"/>
        </w:rPr>
        <w:t>e</w:t>
      </w:r>
      <w:r w:rsidR="009A005F">
        <w:rPr>
          <w:sz w:val="22"/>
          <w:szCs w:val="22"/>
        </w:rPr>
        <w:t xml:space="preserve"> biodiverzity</w:t>
      </w:r>
      <w:r w:rsidR="009A005F">
        <w:rPr>
          <w:rStyle w:val="Odkaznapoznmkupodiarou"/>
          <w:sz w:val="22"/>
          <w:szCs w:val="22"/>
        </w:rPr>
        <w:footnoteReference w:id="22"/>
      </w:r>
      <w:r>
        <w:rPr>
          <w:sz w:val="22"/>
          <w:szCs w:val="22"/>
        </w:rPr>
        <w:t xml:space="preserve">. </w:t>
      </w:r>
      <w:r w:rsidR="00725114">
        <w:rPr>
          <w:sz w:val="22"/>
          <w:szCs w:val="22"/>
        </w:rPr>
        <w:t>Opatrenia vybraných prioritných osí OPII budú</w:t>
      </w:r>
      <w:r w:rsidR="00025B5E">
        <w:rPr>
          <w:sz w:val="22"/>
          <w:szCs w:val="22"/>
        </w:rPr>
        <w:t xml:space="preserve"> v</w:t>
      </w:r>
      <w:r w:rsidR="00C83F01">
        <w:rPr>
          <w:sz w:val="22"/>
          <w:szCs w:val="22"/>
        </w:rPr>
        <w:t>ýznamne prispievať</w:t>
      </w:r>
      <w:r w:rsidR="00725114">
        <w:rPr>
          <w:sz w:val="22"/>
          <w:szCs w:val="22"/>
        </w:rPr>
        <w:t xml:space="preserve"> k plneniu cieľov v oblasti znižovania produkcie emisií skleníkových plynov. N</w:t>
      </w:r>
      <w:r>
        <w:rPr>
          <w:sz w:val="22"/>
          <w:szCs w:val="22"/>
        </w:rPr>
        <w:t>egatívne následky zmeny klímy spôsobujú značné národohospodárske škody v jednot</w:t>
      </w:r>
      <w:r w:rsidR="00725114">
        <w:rPr>
          <w:sz w:val="22"/>
          <w:szCs w:val="22"/>
        </w:rPr>
        <w:t>livých hospodárskych odvetviach</w:t>
      </w:r>
      <w:r w:rsidR="00780F8A">
        <w:rPr>
          <w:sz w:val="22"/>
          <w:szCs w:val="22"/>
        </w:rPr>
        <w:t>,</w:t>
      </w:r>
      <w:r w:rsidR="00725114">
        <w:rPr>
          <w:sz w:val="22"/>
          <w:szCs w:val="22"/>
        </w:rPr>
        <w:t xml:space="preserve"> sektor dopravy nevynímajúc.</w:t>
      </w:r>
      <w:r>
        <w:rPr>
          <w:sz w:val="22"/>
          <w:szCs w:val="22"/>
        </w:rPr>
        <w:t xml:space="preserve"> </w:t>
      </w:r>
      <w:r w:rsidR="00B62322">
        <w:rPr>
          <w:sz w:val="22"/>
          <w:szCs w:val="22"/>
        </w:rPr>
        <w:t>Preto je nevyhnutné, aby adaptačné opatrenia na klimatické zmeny boli náležite zvažované v procese plánovania výstavby, či modernizácie dopravnej infraštruktúry, aby sa zabezpečilo, že investície v sektore dopravy budú odolné voči klimatickým zmenám a prírodným katastr</w:t>
      </w:r>
      <w:r w:rsidR="00E621B4">
        <w:rPr>
          <w:sz w:val="22"/>
          <w:szCs w:val="22"/>
        </w:rPr>
        <w:t>ofám, ktoré so sebou prinášajú.</w:t>
      </w:r>
    </w:p>
    <w:p w14:paraId="00269A75" w14:textId="50BEB9E8" w:rsidR="00DB79F5" w:rsidRPr="008D3AA3" w:rsidRDefault="00780F8A" w:rsidP="00DB79F5">
      <w:pPr>
        <w:spacing w:before="180" w:after="120"/>
        <w:jc w:val="both"/>
        <w:rPr>
          <w:sz w:val="22"/>
          <w:szCs w:val="22"/>
        </w:rPr>
      </w:pPr>
      <w:r>
        <w:rPr>
          <w:sz w:val="22"/>
          <w:szCs w:val="22"/>
        </w:rPr>
        <w:t>Kľúčovým cieľom pri posudzovaní</w:t>
      </w:r>
      <w:r w:rsidR="00173BB0">
        <w:rPr>
          <w:sz w:val="22"/>
          <w:szCs w:val="22"/>
        </w:rPr>
        <w:t xml:space="preserve"> projektu vo vzťahu ku klimatickým zmenám je stanoviť citlivosť variantov projektu na riziká súvisiace s</w:t>
      </w:r>
      <w:r w:rsidR="00C83F01">
        <w:rPr>
          <w:sz w:val="22"/>
          <w:szCs w:val="22"/>
        </w:rPr>
        <w:t>o zmenou</w:t>
      </w:r>
      <w:r w:rsidR="00173BB0">
        <w:rPr>
          <w:sz w:val="22"/>
          <w:szCs w:val="22"/>
        </w:rPr>
        <w:t> klím</w:t>
      </w:r>
      <w:r w:rsidR="00C83F01">
        <w:rPr>
          <w:sz w:val="22"/>
          <w:szCs w:val="22"/>
        </w:rPr>
        <w:t>y</w:t>
      </w:r>
      <w:r w:rsidR="00173BB0">
        <w:rPr>
          <w:sz w:val="22"/>
          <w:szCs w:val="22"/>
        </w:rPr>
        <w:t xml:space="preserve">, </w:t>
      </w:r>
      <w:r w:rsidR="002A54E3">
        <w:rPr>
          <w:sz w:val="22"/>
          <w:szCs w:val="22"/>
        </w:rPr>
        <w:t>určiť rozsah</w:t>
      </w:r>
      <w:r w:rsidR="00923EC6">
        <w:rPr>
          <w:sz w:val="22"/>
          <w:szCs w:val="22"/>
        </w:rPr>
        <w:t xml:space="preserve"> možného</w:t>
      </w:r>
      <w:r w:rsidR="002A54E3">
        <w:rPr>
          <w:sz w:val="22"/>
          <w:szCs w:val="22"/>
        </w:rPr>
        <w:t xml:space="preserve"> vystavenia</w:t>
      </w:r>
      <w:r w:rsidR="00923EC6">
        <w:rPr>
          <w:sz w:val="22"/>
          <w:szCs w:val="22"/>
        </w:rPr>
        <w:t xml:space="preserve"> jednotlivých variantov súčasným</w:t>
      </w:r>
      <w:r w:rsidR="002A54E3">
        <w:rPr>
          <w:sz w:val="22"/>
          <w:szCs w:val="22"/>
        </w:rPr>
        <w:t xml:space="preserve"> a </w:t>
      </w:r>
      <w:r w:rsidR="00923EC6">
        <w:rPr>
          <w:sz w:val="22"/>
          <w:szCs w:val="22"/>
        </w:rPr>
        <w:t>budúcim</w:t>
      </w:r>
      <w:r w:rsidR="002A54E3">
        <w:rPr>
          <w:sz w:val="22"/>
          <w:szCs w:val="22"/>
        </w:rPr>
        <w:t xml:space="preserve"> riziká</w:t>
      </w:r>
      <w:r w:rsidR="00923EC6">
        <w:rPr>
          <w:sz w:val="22"/>
          <w:szCs w:val="22"/>
        </w:rPr>
        <w:t>m</w:t>
      </w:r>
      <w:r w:rsidR="002A54E3">
        <w:rPr>
          <w:sz w:val="22"/>
          <w:szCs w:val="22"/>
        </w:rPr>
        <w:t xml:space="preserve"> a identifikovať a prioritizovať </w:t>
      </w:r>
      <w:r w:rsidR="00323089">
        <w:rPr>
          <w:sz w:val="22"/>
          <w:szCs w:val="22"/>
        </w:rPr>
        <w:t>ich</w:t>
      </w:r>
      <w:r w:rsidR="002A54E3">
        <w:rPr>
          <w:sz w:val="22"/>
          <w:szCs w:val="22"/>
        </w:rPr>
        <w:t>. Z tohto dôvodu sa bude vykonávať</w:t>
      </w:r>
      <w:r w:rsidR="00923EC6">
        <w:rPr>
          <w:sz w:val="22"/>
          <w:szCs w:val="22"/>
        </w:rPr>
        <w:t xml:space="preserve"> posudzovanie projektov</w:t>
      </w:r>
      <w:r w:rsidR="002A54E3">
        <w:rPr>
          <w:sz w:val="22"/>
          <w:szCs w:val="22"/>
        </w:rPr>
        <w:t xml:space="preserve"> </w:t>
      </w:r>
      <w:r w:rsidR="00923EC6">
        <w:rPr>
          <w:sz w:val="22"/>
          <w:szCs w:val="22"/>
        </w:rPr>
        <w:t>(</w:t>
      </w:r>
      <w:r w:rsidR="002A54E3">
        <w:rPr>
          <w:sz w:val="22"/>
          <w:szCs w:val="22"/>
        </w:rPr>
        <w:t>tzv. screening</w:t>
      </w:r>
      <w:r w:rsidR="00923EC6">
        <w:rPr>
          <w:sz w:val="22"/>
          <w:szCs w:val="22"/>
        </w:rPr>
        <w:t xml:space="preserve">) s cieľom zhodnotiť odolnosť </w:t>
      </w:r>
      <w:r>
        <w:rPr>
          <w:sz w:val="22"/>
          <w:szCs w:val="22"/>
        </w:rPr>
        <w:t>projektov voči rizikám</w:t>
      </w:r>
      <w:r w:rsidR="006A761C">
        <w:rPr>
          <w:sz w:val="22"/>
          <w:szCs w:val="22"/>
        </w:rPr>
        <w:t xml:space="preserve"> súvisiacich</w:t>
      </w:r>
      <w:r w:rsidR="00C71B00">
        <w:rPr>
          <w:sz w:val="22"/>
          <w:szCs w:val="22"/>
        </w:rPr>
        <w:t xml:space="preserve"> so zmena</w:t>
      </w:r>
      <w:r w:rsidR="00C7225F">
        <w:rPr>
          <w:sz w:val="22"/>
          <w:szCs w:val="22"/>
        </w:rPr>
        <w:t>mi</w:t>
      </w:r>
      <w:r w:rsidR="00C71B00">
        <w:rPr>
          <w:sz w:val="22"/>
          <w:szCs w:val="22"/>
        </w:rPr>
        <w:t xml:space="preserve"> klímy</w:t>
      </w:r>
      <w:r>
        <w:rPr>
          <w:sz w:val="22"/>
          <w:szCs w:val="22"/>
        </w:rPr>
        <w:t>.</w:t>
      </w:r>
      <w:r w:rsidR="00923EC6">
        <w:rPr>
          <w:sz w:val="22"/>
          <w:szCs w:val="22"/>
        </w:rPr>
        <w:t xml:space="preserve"> </w:t>
      </w:r>
      <w:r w:rsidR="00C71B00">
        <w:rPr>
          <w:sz w:val="22"/>
          <w:szCs w:val="22"/>
        </w:rPr>
        <w:t>Screening bude realizovaný</w:t>
      </w:r>
      <w:r w:rsidR="00923EC6">
        <w:rPr>
          <w:sz w:val="22"/>
          <w:szCs w:val="22"/>
        </w:rPr>
        <w:t xml:space="preserve"> na základe príručky „Guidelines for Project Managers: Making vulnerable investments climate resilient</w:t>
      </w:r>
      <w:r w:rsidR="00C71B00">
        <w:rPr>
          <w:sz w:val="22"/>
          <w:szCs w:val="22"/>
        </w:rPr>
        <w:t>“</w:t>
      </w:r>
      <w:r w:rsidR="00923EC6">
        <w:rPr>
          <w:sz w:val="22"/>
          <w:szCs w:val="22"/>
        </w:rPr>
        <w:t xml:space="preserve"> a na základe nových príručiek pre CBA analýzy.</w:t>
      </w:r>
      <w:r w:rsidR="009A005F">
        <w:rPr>
          <w:sz w:val="22"/>
          <w:szCs w:val="22"/>
        </w:rPr>
        <w:t xml:space="preserve"> </w:t>
      </w:r>
      <w:r w:rsidR="00DB79F5" w:rsidRPr="008D3AA3">
        <w:rPr>
          <w:sz w:val="22"/>
          <w:szCs w:val="22"/>
        </w:rPr>
        <w:t xml:space="preserve">Návrh </w:t>
      </w:r>
      <w:r w:rsidR="00DB79F5">
        <w:rPr>
          <w:sz w:val="22"/>
          <w:szCs w:val="22"/>
        </w:rPr>
        <w:t>OPII</w:t>
      </w:r>
      <w:r w:rsidR="00DB79F5" w:rsidRPr="008D3AA3">
        <w:rPr>
          <w:sz w:val="22"/>
          <w:szCs w:val="22"/>
        </w:rPr>
        <w:t xml:space="preserve"> plne zohľadňuje základné ciele stanovené v</w:t>
      </w:r>
      <w:r w:rsidR="00DB79F5">
        <w:rPr>
          <w:sz w:val="22"/>
          <w:szCs w:val="22"/>
        </w:rPr>
        <w:t> NPR</w:t>
      </w:r>
      <w:r w:rsidR="00DB79F5">
        <w:rPr>
          <w:rStyle w:val="Odkaznapoznmkupodiarou"/>
          <w:sz w:val="22"/>
          <w:szCs w:val="22"/>
        </w:rPr>
        <w:footnoteReference w:id="23"/>
      </w:r>
      <w:r w:rsidR="00DB79F5" w:rsidRPr="008D3AA3">
        <w:rPr>
          <w:sz w:val="22"/>
          <w:szCs w:val="22"/>
        </w:rPr>
        <w:t>. NPR b</w:t>
      </w:r>
      <w:r w:rsidR="00DB79F5">
        <w:rPr>
          <w:sz w:val="22"/>
          <w:szCs w:val="22"/>
        </w:rPr>
        <w:t xml:space="preserve">ol vypracovaný v súlade s požiadavkou </w:t>
      </w:r>
      <w:r w:rsidR="00DB79F5" w:rsidRPr="008D3AA3">
        <w:rPr>
          <w:sz w:val="22"/>
          <w:szCs w:val="22"/>
        </w:rPr>
        <w:t>Európskej rady, aby členské štáty identifikov</w:t>
      </w:r>
      <w:r w:rsidR="00DB79F5">
        <w:rPr>
          <w:sz w:val="22"/>
          <w:szCs w:val="22"/>
        </w:rPr>
        <w:t xml:space="preserve">ali svoje najdôležitejšie </w:t>
      </w:r>
      <w:r w:rsidR="00E343E0">
        <w:rPr>
          <w:sz w:val="22"/>
          <w:szCs w:val="22"/>
        </w:rPr>
        <w:t>makro</w:t>
      </w:r>
      <w:r w:rsidR="00E343E0" w:rsidRPr="008D3AA3">
        <w:rPr>
          <w:sz w:val="22"/>
          <w:szCs w:val="22"/>
        </w:rPr>
        <w:t>-štrukturálne</w:t>
      </w:r>
      <w:r w:rsidR="00DB79F5" w:rsidRPr="008D3AA3">
        <w:rPr>
          <w:sz w:val="22"/>
          <w:szCs w:val="22"/>
        </w:rPr>
        <w:t xml:space="preserve"> prekážky rastu a</w:t>
      </w:r>
      <w:r w:rsidR="00DB79F5">
        <w:rPr>
          <w:sz w:val="22"/>
          <w:szCs w:val="22"/>
        </w:rPr>
        <w:t> </w:t>
      </w:r>
      <w:r w:rsidR="00DB79F5" w:rsidRPr="008D3AA3">
        <w:rPr>
          <w:sz w:val="22"/>
          <w:szCs w:val="22"/>
        </w:rPr>
        <w:t>navrhli politiky na ich odstraňovanie s</w:t>
      </w:r>
      <w:r w:rsidR="00DB79F5">
        <w:rPr>
          <w:sz w:val="22"/>
          <w:szCs w:val="22"/>
        </w:rPr>
        <w:t> </w:t>
      </w:r>
      <w:r w:rsidR="00DB79F5" w:rsidRPr="008D3AA3">
        <w:rPr>
          <w:sz w:val="22"/>
          <w:szCs w:val="22"/>
        </w:rPr>
        <w:t>cieľom zabezpečiť vhodné podmienky pre udržateľný a</w:t>
      </w:r>
      <w:r w:rsidR="00DB79F5">
        <w:rPr>
          <w:sz w:val="22"/>
          <w:szCs w:val="22"/>
        </w:rPr>
        <w:t> </w:t>
      </w:r>
      <w:r w:rsidR="00DB79F5" w:rsidRPr="008D3AA3">
        <w:rPr>
          <w:sz w:val="22"/>
          <w:szCs w:val="22"/>
        </w:rPr>
        <w:t>vyvážený rozvoj a</w:t>
      </w:r>
      <w:r w:rsidR="00DB79F5">
        <w:rPr>
          <w:sz w:val="22"/>
          <w:szCs w:val="22"/>
        </w:rPr>
        <w:t> </w:t>
      </w:r>
      <w:r w:rsidR="00DB79F5" w:rsidRPr="008D3AA3">
        <w:rPr>
          <w:sz w:val="22"/>
          <w:szCs w:val="22"/>
        </w:rPr>
        <w:t>rast zamestnanosti. V</w:t>
      </w:r>
      <w:r w:rsidR="00DB79F5">
        <w:rPr>
          <w:sz w:val="22"/>
          <w:szCs w:val="22"/>
        </w:rPr>
        <w:t xml:space="preserve"> NPR </w:t>
      </w:r>
      <w:r w:rsidR="00DB79F5" w:rsidRPr="008D3AA3">
        <w:rPr>
          <w:sz w:val="22"/>
          <w:szCs w:val="22"/>
        </w:rPr>
        <w:t xml:space="preserve">sú </w:t>
      </w:r>
      <w:r w:rsidR="00DB79F5">
        <w:rPr>
          <w:sz w:val="22"/>
          <w:szCs w:val="22"/>
        </w:rPr>
        <w:t xml:space="preserve">pre politiku súdržnosti </w:t>
      </w:r>
      <w:r w:rsidR="00DB79F5" w:rsidRPr="008D3AA3">
        <w:rPr>
          <w:sz w:val="22"/>
          <w:szCs w:val="22"/>
        </w:rPr>
        <w:t>stanovené tri základné ciele s</w:t>
      </w:r>
      <w:r w:rsidR="00DB79F5">
        <w:rPr>
          <w:sz w:val="22"/>
          <w:szCs w:val="22"/>
        </w:rPr>
        <w:t xml:space="preserve"> mimoriadnym </w:t>
      </w:r>
      <w:r w:rsidR="00DB79F5" w:rsidRPr="008D3AA3">
        <w:rPr>
          <w:sz w:val="22"/>
          <w:szCs w:val="22"/>
        </w:rPr>
        <w:t xml:space="preserve">významom pre rozvoj slovenskej ekonomiky, </w:t>
      </w:r>
      <w:r w:rsidR="00DB79F5">
        <w:rPr>
          <w:sz w:val="22"/>
          <w:szCs w:val="22"/>
        </w:rPr>
        <w:t>konkrétne</w:t>
      </w:r>
      <w:r w:rsidR="00DB79F5" w:rsidRPr="008D3AA3">
        <w:rPr>
          <w:sz w:val="22"/>
          <w:szCs w:val="22"/>
        </w:rPr>
        <w:t>:</w:t>
      </w:r>
    </w:p>
    <w:p w14:paraId="64003133" w14:textId="77777777" w:rsidR="009E0158" w:rsidRDefault="00DB79F5" w:rsidP="003309FB">
      <w:pPr>
        <w:pStyle w:val="Odsekzoznamu"/>
        <w:numPr>
          <w:ilvl w:val="1"/>
          <w:numId w:val="40"/>
        </w:numPr>
        <w:ind w:left="568" w:hanging="284"/>
        <w:jc w:val="both"/>
        <w:rPr>
          <w:sz w:val="22"/>
          <w:szCs w:val="22"/>
        </w:rPr>
      </w:pPr>
      <w:r>
        <w:rPr>
          <w:b/>
          <w:sz w:val="22"/>
          <w:szCs w:val="22"/>
        </w:rPr>
        <w:t>Z</w:t>
      </w:r>
      <w:r w:rsidRPr="008930EF">
        <w:rPr>
          <w:b/>
          <w:sz w:val="22"/>
          <w:szCs w:val="22"/>
        </w:rPr>
        <w:t>ákladná infraštruktúra</w:t>
      </w:r>
      <w:r w:rsidRPr="008D3AA3">
        <w:rPr>
          <w:sz w:val="22"/>
          <w:szCs w:val="22"/>
        </w:rPr>
        <w:t>,</w:t>
      </w:r>
    </w:p>
    <w:p w14:paraId="766C624B" w14:textId="77777777" w:rsidR="009E0158" w:rsidRDefault="00DB79F5" w:rsidP="003309FB">
      <w:pPr>
        <w:pStyle w:val="Odsekzoznamu"/>
        <w:numPr>
          <w:ilvl w:val="1"/>
          <w:numId w:val="40"/>
        </w:numPr>
        <w:ind w:left="568" w:hanging="284"/>
        <w:jc w:val="both"/>
        <w:rPr>
          <w:sz w:val="22"/>
          <w:szCs w:val="22"/>
        </w:rPr>
      </w:pPr>
      <w:r>
        <w:rPr>
          <w:sz w:val="22"/>
          <w:szCs w:val="22"/>
        </w:rPr>
        <w:t>Ľ</w:t>
      </w:r>
      <w:r w:rsidRPr="008D3AA3">
        <w:rPr>
          <w:sz w:val="22"/>
          <w:szCs w:val="22"/>
        </w:rPr>
        <w:t>udské zdroje, zamestnanosť a</w:t>
      </w:r>
      <w:r>
        <w:rPr>
          <w:sz w:val="22"/>
          <w:szCs w:val="22"/>
        </w:rPr>
        <w:t> </w:t>
      </w:r>
      <w:r w:rsidRPr="008D3AA3">
        <w:rPr>
          <w:sz w:val="22"/>
          <w:szCs w:val="22"/>
        </w:rPr>
        <w:t>sociálna inklúzia,</w:t>
      </w:r>
    </w:p>
    <w:p w14:paraId="3703CDA2" w14:textId="77777777" w:rsidR="009E0158" w:rsidRDefault="00DB79F5" w:rsidP="003309FB">
      <w:pPr>
        <w:pStyle w:val="Odsekzoznamu"/>
        <w:numPr>
          <w:ilvl w:val="1"/>
          <w:numId w:val="40"/>
        </w:numPr>
        <w:ind w:left="568" w:hanging="284"/>
        <w:jc w:val="both"/>
        <w:rPr>
          <w:sz w:val="22"/>
          <w:szCs w:val="22"/>
        </w:rPr>
      </w:pPr>
      <w:r>
        <w:rPr>
          <w:sz w:val="22"/>
          <w:szCs w:val="22"/>
        </w:rPr>
        <w:t>V</w:t>
      </w:r>
      <w:r w:rsidRPr="008D3AA3">
        <w:rPr>
          <w:sz w:val="22"/>
          <w:szCs w:val="22"/>
        </w:rPr>
        <w:t>eda, výskum a</w:t>
      </w:r>
      <w:r>
        <w:rPr>
          <w:sz w:val="22"/>
          <w:szCs w:val="22"/>
        </w:rPr>
        <w:t> </w:t>
      </w:r>
      <w:r w:rsidRPr="008D3AA3">
        <w:rPr>
          <w:sz w:val="22"/>
          <w:szCs w:val="22"/>
        </w:rPr>
        <w:t>inovácie s</w:t>
      </w:r>
      <w:r>
        <w:rPr>
          <w:sz w:val="22"/>
          <w:szCs w:val="22"/>
        </w:rPr>
        <w:t> dôrazom na podporu hospodárskeho rastu pri zabezpečení efektívneho využitia zdrojov</w:t>
      </w:r>
      <w:r w:rsidRPr="008D3AA3">
        <w:rPr>
          <w:sz w:val="22"/>
          <w:szCs w:val="22"/>
        </w:rPr>
        <w:t>.</w:t>
      </w:r>
    </w:p>
    <w:p w14:paraId="27F49965" w14:textId="77777777" w:rsidR="00DB79F5" w:rsidRPr="008D3AA3" w:rsidRDefault="00BF59C6" w:rsidP="00DB79F5">
      <w:pPr>
        <w:spacing w:before="180" w:after="120"/>
        <w:jc w:val="both"/>
        <w:rPr>
          <w:b/>
          <w:sz w:val="22"/>
          <w:szCs w:val="22"/>
        </w:rPr>
      </w:pPr>
      <w:r w:rsidRPr="008D3AA3">
        <w:rPr>
          <w:sz w:val="22"/>
          <w:szCs w:val="22"/>
        </w:rPr>
        <w:t xml:space="preserve">Celkové zameranie </w:t>
      </w:r>
      <w:r>
        <w:rPr>
          <w:sz w:val="22"/>
          <w:szCs w:val="22"/>
        </w:rPr>
        <w:t>OPII</w:t>
      </w:r>
      <w:r w:rsidRPr="008D3AA3">
        <w:rPr>
          <w:sz w:val="22"/>
          <w:szCs w:val="22"/>
        </w:rPr>
        <w:t>, jeho špecifické ciele a</w:t>
      </w:r>
      <w:r>
        <w:rPr>
          <w:sz w:val="22"/>
          <w:szCs w:val="22"/>
        </w:rPr>
        <w:t> </w:t>
      </w:r>
      <w:r w:rsidRPr="008D3AA3">
        <w:rPr>
          <w:sz w:val="22"/>
          <w:szCs w:val="22"/>
        </w:rPr>
        <w:t xml:space="preserve">typy aktivít boli stanovené tak, aby podporovali napĺňanie priorít stratégie Európa 2020. </w:t>
      </w:r>
      <w:r w:rsidR="009322BF">
        <w:rPr>
          <w:sz w:val="22"/>
          <w:szCs w:val="22"/>
        </w:rPr>
        <w:t>Vyššie u</w:t>
      </w:r>
      <w:r w:rsidR="00DB79F5" w:rsidRPr="008D3AA3">
        <w:rPr>
          <w:sz w:val="22"/>
          <w:szCs w:val="22"/>
        </w:rPr>
        <w:t>vedený globálny cieľ má priamu súvislosť s</w:t>
      </w:r>
      <w:r w:rsidR="00DB79F5">
        <w:rPr>
          <w:sz w:val="22"/>
          <w:szCs w:val="22"/>
        </w:rPr>
        <w:t> </w:t>
      </w:r>
      <w:r w:rsidR="00DB79F5" w:rsidRPr="008D3AA3">
        <w:rPr>
          <w:sz w:val="22"/>
          <w:szCs w:val="22"/>
        </w:rPr>
        <w:t>jednou z</w:t>
      </w:r>
      <w:r w:rsidR="00DB79F5">
        <w:rPr>
          <w:sz w:val="22"/>
          <w:szCs w:val="22"/>
        </w:rPr>
        <w:t> </w:t>
      </w:r>
      <w:r w:rsidR="00DB79F5" w:rsidRPr="008D3AA3">
        <w:rPr>
          <w:sz w:val="22"/>
          <w:szCs w:val="22"/>
        </w:rPr>
        <w:t xml:space="preserve">troch základných priorít stratégie Európa 2020, ktorou je </w:t>
      </w:r>
      <w:r w:rsidR="00DB79F5" w:rsidRPr="008D3AA3">
        <w:rPr>
          <w:b/>
          <w:i/>
          <w:sz w:val="22"/>
          <w:szCs w:val="22"/>
        </w:rPr>
        <w:t>„Udržateľný rast: podpora ekologickejšieho a</w:t>
      </w:r>
      <w:r w:rsidR="00DB79F5">
        <w:rPr>
          <w:b/>
          <w:i/>
          <w:sz w:val="22"/>
          <w:szCs w:val="22"/>
        </w:rPr>
        <w:t> </w:t>
      </w:r>
      <w:r w:rsidR="00DB79F5" w:rsidRPr="008D3AA3">
        <w:rPr>
          <w:b/>
          <w:i/>
          <w:sz w:val="22"/>
          <w:szCs w:val="22"/>
        </w:rPr>
        <w:t>konkurencieschopnejšieho hospodárstva, ktoré efektívnejšie využíva zdroje“.</w:t>
      </w:r>
      <w:r w:rsidR="00DB79F5">
        <w:rPr>
          <w:b/>
          <w:i/>
          <w:sz w:val="22"/>
          <w:szCs w:val="22"/>
        </w:rPr>
        <w:t xml:space="preserve"> </w:t>
      </w:r>
      <w:r w:rsidR="00DB79F5" w:rsidRPr="008D3AA3">
        <w:rPr>
          <w:sz w:val="22"/>
          <w:szCs w:val="22"/>
        </w:rPr>
        <w:t>Cieľom tejto iniciatívy EK je, aby Európa efektívne využívala zdroje na podporu oddelenia hospodárskeho rastu od využívania zdrojov, podporu prechodu smerom k</w:t>
      </w:r>
      <w:r w:rsidR="00DB79F5">
        <w:rPr>
          <w:sz w:val="22"/>
          <w:szCs w:val="22"/>
        </w:rPr>
        <w:t> </w:t>
      </w:r>
      <w:r w:rsidR="00DB79F5" w:rsidRPr="008D3AA3">
        <w:rPr>
          <w:sz w:val="22"/>
          <w:szCs w:val="22"/>
        </w:rPr>
        <w:t>nízkouhlíkovému hospodárstvu, zvýšenie využívania energie z</w:t>
      </w:r>
      <w:r w:rsidR="00DB79F5">
        <w:rPr>
          <w:sz w:val="22"/>
          <w:szCs w:val="22"/>
        </w:rPr>
        <w:t> </w:t>
      </w:r>
      <w:r w:rsidR="00DB79F5" w:rsidRPr="008D3AA3">
        <w:rPr>
          <w:sz w:val="22"/>
          <w:szCs w:val="22"/>
        </w:rPr>
        <w:t>obnoviteľných zdrojov, modernizáciu celého odvetvia dopravy a</w:t>
      </w:r>
      <w:r w:rsidR="00DB79F5">
        <w:rPr>
          <w:sz w:val="22"/>
          <w:szCs w:val="22"/>
        </w:rPr>
        <w:t> </w:t>
      </w:r>
      <w:r w:rsidR="00DB79F5" w:rsidRPr="008D3AA3">
        <w:rPr>
          <w:sz w:val="22"/>
          <w:szCs w:val="22"/>
        </w:rPr>
        <w:t>podporu energetickej účinnosti.</w:t>
      </w:r>
      <w:r w:rsidR="00F41311">
        <w:rPr>
          <w:sz w:val="22"/>
          <w:szCs w:val="22"/>
        </w:rPr>
        <w:t xml:space="preserve"> </w:t>
      </w:r>
      <w:r w:rsidR="00F20BEA">
        <w:rPr>
          <w:sz w:val="22"/>
          <w:szCs w:val="22"/>
        </w:rPr>
        <w:t xml:space="preserve">Spôsob napĺňania </w:t>
      </w:r>
      <w:r w:rsidR="00F41311">
        <w:rPr>
          <w:sz w:val="22"/>
          <w:szCs w:val="22"/>
        </w:rPr>
        <w:t>týchto</w:t>
      </w:r>
      <w:r w:rsidR="00F20BEA">
        <w:rPr>
          <w:sz w:val="22"/>
          <w:szCs w:val="22"/>
        </w:rPr>
        <w:t xml:space="preserve"> rámcovo definovaných cieľov je </w:t>
      </w:r>
      <w:r w:rsidR="00F41311">
        <w:rPr>
          <w:sz w:val="22"/>
          <w:szCs w:val="22"/>
        </w:rPr>
        <w:t>detailnejšie popísan</w:t>
      </w:r>
      <w:r w:rsidR="00F20BEA">
        <w:rPr>
          <w:sz w:val="22"/>
          <w:szCs w:val="22"/>
        </w:rPr>
        <w:t>ý</w:t>
      </w:r>
      <w:r w:rsidR="00F41311">
        <w:rPr>
          <w:sz w:val="22"/>
          <w:szCs w:val="22"/>
        </w:rPr>
        <w:t xml:space="preserve"> v ďalších dokumentoch</w:t>
      </w:r>
      <w:r w:rsidR="007E1C72">
        <w:rPr>
          <w:sz w:val="22"/>
          <w:szCs w:val="22"/>
        </w:rPr>
        <w:t xml:space="preserve"> EÚ, resp. dokumento</w:t>
      </w:r>
      <w:r w:rsidR="00C875B0">
        <w:rPr>
          <w:sz w:val="22"/>
          <w:szCs w:val="22"/>
        </w:rPr>
        <w:t>ch</w:t>
      </w:r>
      <w:r w:rsidR="007E1C72">
        <w:rPr>
          <w:sz w:val="22"/>
          <w:szCs w:val="22"/>
        </w:rPr>
        <w:t xml:space="preserve"> transponovaných na národnej úrovni</w:t>
      </w:r>
      <w:r w:rsidR="00F41311">
        <w:rPr>
          <w:rStyle w:val="Odkaznapoznmkupodiarou"/>
          <w:sz w:val="22"/>
          <w:szCs w:val="22"/>
        </w:rPr>
        <w:footnoteReference w:id="24"/>
      </w:r>
      <w:r w:rsidR="00F41311">
        <w:rPr>
          <w:sz w:val="22"/>
          <w:szCs w:val="22"/>
        </w:rPr>
        <w:t>.</w:t>
      </w:r>
    </w:p>
    <w:p w14:paraId="6DAD6D7D" w14:textId="77777777" w:rsidR="00DB79F5" w:rsidRPr="008D3AA3" w:rsidRDefault="00DB79F5" w:rsidP="00DB79F5">
      <w:pPr>
        <w:spacing w:before="180"/>
        <w:jc w:val="both"/>
        <w:rPr>
          <w:sz w:val="22"/>
          <w:szCs w:val="22"/>
        </w:rPr>
      </w:pPr>
      <w:r>
        <w:rPr>
          <w:sz w:val="22"/>
          <w:szCs w:val="22"/>
        </w:rPr>
        <w:t>Č</w:t>
      </w:r>
      <w:r w:rsidRPr="008D3AA3">
        <w:rPr>
          <w:sz w:val="22"/>
          <w:szCs w:val="22"/>
        </w:rPr>
        <w:t xml:space="preserve">lenské štáty </w:t>
      </w:r>
      <w:r>
        <w:rPr>
          <w:sz w:val="22"/>
          <w:szCs w:val="22"/>
        </w:rPr>
        <w:t>sú priamo</w:t>
      </w:r>
      <w:r w:rsidRPr="008D3AA3">
        <w:rPr>
          <w:sz w:val="22"/>
          <w:szCs w:val="22"/>
        </w:rPr>
        <w:t xml:space="preserve"> vyzývané, aby </w:t>
      </w:r>
      <w:r>
        <w:rPr>
          <w:sz w:val="22"/>
          <w:szCs w:val="22"/>
        </w:rPr>
        <w:t>n</w:t>
      </w:r>
      <w:r w:rsidRPr="008D3AA3">
        <w:rPr>
          <w:sz w:val="22"/>
          <w:szCs w:val="22"/>
        </w:rPr>
        <w:t>a vnútroštátnej úrovni zabezpečili mobilizáciu finančných nástrojov tvoriacich súčasť jednotnej stratégie financovania na koordinované vykonávanie projektov</w:t>
      </w:r>
      <w:r>
        <w:rPr>
          <w:sz w:val="22"/>
          <w:szCs w:val="22"/>
        </w:rPr>
        <w:t xml:space="preserve">. Investície by mali </w:t>
      </w:r>
      <w:r w:rsidR="00863F85">
        <w:rPr>
          <w:sz w:val="22"/>
          <w:szCs w:val="22"/>
        </w:rPr>
        <w:t xml:space="preserve">primárne </w:t>
      </w:r>
      <w:r>
        <w:rPr>
          <w:sz w:val="22"/>
          <w:szCs w:val="22"/>
        </w:rPr>
        <w:t>smerovať</w:t>
      </w:r>
      <w:r w:rsidRPr="008D3AA3">
        <w:rPr>
          <w:sz w:val="22"/>
          <w:szCs w:val="22"/>
        </w:rPr>
        <w:t xml:space="preserve"> </w:t>
      </w:r>
      <w:r>
        <w:rPr>
          <w:sz w:val="22"/>
          <w:szCs w:val="22"/>
        </w:rPr>
        <w:t xml:space="preserve">na budovanie </w:t>
      </w:r>
      <w:r w:rsidRPr="008D3AA3">
        <w:rPr>
          <w:sz w:val="22"/>
          <w:szCs w:val="22"/>
        </w:rPr>
        <w:t>infraštruktúry v</w:t>
      </w:r>
      <w:r>
        <w:rPr>
          <w:sz w:val="22"/>
          <w:szCs w:val="22"/>
        </w:rPr>
        <w:t> rámci základnej siete EÚ</w:t>
      </w:r>
      <w:r w:rsidRPr="008D3AA3">
        <w:rPr>
          <w:sz w:val="22"/>
          <w:szCs w:val="22"/>
        </w:rPr>
        <w:t>, ktor</w:t>
      </w:r>
      <w:r>
        <w:rPr>
          <w:sz w:val="22"/>
          <w:szCs w:val="22"/>
        </w:rPr>
        <w:t>á významne prispieva</w:t>
      </w:r>
      <w:r w:rsidRPr="008D3AA3">
        <w:rPr>
          <w:sz w:val="22"/>
          <w:szCs w:val="22"/>
        </w:rPr>
        <w:t xml:space="preserve"> k</w:t>
      </w:r>
      <w:r>
        <w:rPr>
          <w:sz w:val="22"/>
          <w:szCs w:val="22"/>
        </w:rPr>
        <w:t> </w:t>
      </w:r>
      <w:r w:rsidRPr="008D3AA3">
        <w:rPr>
          <w:sz w:val="22"/>
          <w:szCs w:val="22"/>
        </w:rPr>
        <w:t>efektivite celého systému dopravy</w:t>
      </w:r>
      <w:r>
        <w:rPr>
          <w:sz w:val="22"/>
          <w:szCs w:val="22"/>
        </w:rPr>
        <w:t xml:space="preserve">. Zároveň je potrebné sa </w:t>
      </w:r>
      <w:r w:rsidRPr="008D3AA3">
        <w:rPr>
          <w:sz w:val="22"/>
          <w:szCs w:val="22"/>
        </w:rPr>
        <w:t>zamer</w:t>
      </w:r>
      <w:r>
        <w:rPr>
          <w:sz w:val="22"/>
          <w:szCs w:val="22"/>
        </w:rPr>
        <w:t>ať</w:t>
      </w:r>
      <w:r w:rsidRPr="008D3AA3">
        <w:rPr>
          <w:sz w:val="22"/>
          <w:szCs w:val="22"/>
        </w:rPr>
        <w:t xml:space="preserve"> na </w:t>
      </w:r>
      <w:r w:rsidR="001726F5">
        <w:rPr>
          <w:sz w:val="22"/>
          <w:szCs w:val="22"/>
        </w:rPr>
        <w:t>riešenia dopravy v </w:t>
      </w:r>
      <w:r w:rsidR="000C7996">
        <w:rPr>
          <w:sz w:val="22"/>
          <w:szCs w:val="22"/>
        </w:rPr>
        <w:t>mestách</w:t>
      </w:r>
      <w:r w:rsidRPr="008D3AA3">
        <w:rPr>
          <w:sz w:val="22"/>
          <w:szCs w:val="22"/>
        </w:rPr>
        <w:t>, ktor</w:t>
      </w:r>
      <w:r>
        <w:rPr>
          <w:sz w:val="22"/>
          <w:szCs w:val="22"/>
        </w:rPr>
        <w:t>á</w:t>
      </w:r>
      <w:r w:rsidRPr="008D3AA3">
        <w:rPr>
          <w:sz w:val="22"/>
          <w:szCs w:val="22"/>
        </w:rPr>
        <w:t xml:space="preserve"> výrazne prispieva k</w:t>
      </w:r>
      <w:r>
        <w:rPr>
          <w:sz w:val="22"/>
          <w:szCs w:val="22"/>
        </w:rPr>
        <w:t> </w:t>
      </w:r>
      <w:r w:rsidRPr="008D3AA3">
        <w:rPr>
          <w:sz w:val="22"/>
          <w:szCs w:val="22"/>
        </w:rPr>
        <w:t>dopravnému preťaženiu a</w:t>
      </w:r>
      <w:r>
        <w:rPr>
          <w:sz w:val="22"/>
          <w:szCs w:val="22"/>
        </w:rPr>
        <w:t> </w:t>
      </w:r>
      <w:r w:rsidRPr="008D3AA3">
        <w:rPr>
          <w:sz w:val="22"/>
          <w:szCs w:val="22"/>
        </w:rPr>
        <w:t>produkcii emisií.</w:t>
      </w:r>
    </w:p>
    <w:p w14:paraId="314E3E49" w14:textId="77777777" w:rsidR="00DB79F5" w:rsidRPr="008D3AA3" w:rsidRDefault="00DB79F5" w:rsidP="00DB79F5">
      <w:pPr>
        <w:spacing w:before="180" w:after="120"/>
        <w:jc w:val="both"/>
        <w:rPr>
          <w:sz w:val="22"/>
          <w:szCs w:val="22"/>
        </w:rPr>
      </w:pPr>
      <w:r w:rsidRPr="008D3AA3">
        <w:rPr>
          <w:sz w:val="22"/>
          <w:szCs w:val="22"/>
        </w:rPr>
        <w:t xml:space="preserve">Globálny cieľ </w:t>
      </w:r>
      <w:r>
        <w:rPr>
          <w:sz w:val="22"/>
          <w:szCs w:val="22"/>
        </w:rPr>
        <w:t>OPII</w:t>
      </w:r>
      <w:r w:rsidRPr="008D3AA3">
        <w:rPr>
          <w:sz w:val="22"/>
          <w:szCs w:val="22"/>
        </w:rPr>
        <w:t xml:space="preserve"> je vyjadrený v</w:t>
      </w:r>
      <w:r>
        <w:rPr>
          <w:sz w:val="22"/>
          <w:szCs w:val="22"/>
        </w:rPr>
        <w:t> </w:t>
      </w:r>
      <w:r w:rsidRPr="008D3AA3">
        <w:rPr>
          <w:sz w:val="22"/>
          <w:szCs w:val="22"/>
        </w:rPr>
        <w:t>podobe jednotlivých špecifických ci</w:t>
      </w:r>
      <w:r>
        <w:rPr>
          <w:sz w:val="22"/>
          <w:szCs w:val="22"/>
        </w:rPr>
        <w:t>eľov, na dosiahnutie ktorých sú </w:t>
      </w:r>
      <w:r w:rsidRPr="008D3AA3">
        <w:rPr>
          <w:sz w:val="22"/>
          <w:szCs w:val="22"/>
        </w:rPr>
        <w:t>zamerané jednotlivé typy aktivít. Ich prostredníctvom bude možné podporiť udržateľný rast, a</w:t>
      </w:r>
      <w:r>
        <w:rPr>
          <w:sz w:val="22"/>
          <w:szCs w:val="22"/>
        </w:rPr>
        <w:t> </w:t>
      </w:r>
      <w:r w:rsidRPr="008D3AA3">
        <w:rPr>
          <w:sz w:val="22"/>
          <w:szCs w:val="22"/>
        </w:rPr>
        <w:t xml:space="preserve">to </w:t>
      </w:r>
      <w:r>
        <w:rPr>
          <w:sz w:val="22"/>
          <w:szCs w:val="22"/>
        </w:rPr>
        <w:t>nasledovne</w:t>
      </w:r>
      <w:r w:rsidRPr="008D3AA3">
        <w:rPr>
          <w:sz w:val="22"/>
          <w:szCs w:val="22"/>
        </w:rPr>
        <w:t>:</w:t>
      </w:r>
    </w:p>
    <w:p w14:paraId="21B84353" w14:textId="77777777" w:rsidR="009E0158" w:rsidRDefault="00DB79F5" w:rsidP="003309FB">
      <w:pPr>
        <w:pStyle w:val="Odsekzoznamu"/>
        <w:numPr>
          <w:ilvl w:val="0"/>
          <w:numId w:val="41"/>
        </w:numPr>
        <w:ind w:left="568" w:hanging="284"/>
        <w:jc w:val="both"/>
        <w:rPr>
          <w:sz w:val="22"/>
          <w:szCs w:val="22"/>
        </w:rPr>
      </w:pPr>
      <w:r w:rsidRPr="008D3AA3">
        <w:rPr>
          <w:sz w:val="22"/>
          <w:szCs w:val="22"/>
        </w:rPr>
        <w:t>realizáciou cestných projektov európskeho významu, tzn. výstavbou chýbajúcich úsekov diaľnic a</w:t>
      </w:r>
      <w:r>
        <w:rPr>
          <w:sz w:val="22"/>
          <w:szCs w:val="22"/>
        </w:rPr>
        <w:t> </w:t>
      </w:r>
      <w:r w:rsidRPr="008D3AA3">
        <w:rPr>
          <w:sz w:val="22"/>
          <w:szCs w:val="22"/>
        </w:rPr>
        <w:t>rýchlostných ciest sa zvýši kvalita napojenia SR na cestnú sieť susedných štátov a</w:t>
      </w:r>
      <w:r>
        <w:rPr>
          <w:sz w:val="22"/>
          <w:szCs w:val="22"/>
        </w:rPr>
        <w:t> </w:t>
      </w:r>
      <w:r w:rsidRPr="008D3AA3">
        <w:rPr>
          <w:sz w:val="22"/>
          <w:szCs w:val="22"/>
        </w:rPr>
        <w:t xml:space="preserve">podporí </w:t>
      </w:r>
      <w:r>
        <w:rPr>
          <w:sz w:val="22"/>
          <w:szCs w:val="22"/>
        </w:rPr>
        <w:t xml:space="preserve">vnútroštátna </w:t>
      </w:r>
      <w:r w:rsidRPr="008D3AA3">
        <w:rPr>
          <w:sz w:val="22"/>
          <w:szCs w:val="22"/>
        </w:rPr>
        <w:t>dostupnosť regiónov. Tým sa</w:t>
      </w:r>
      <w:r>
        <w:rPr>
          <w:sz w:val="22"/>
          <w:szCs w:val="22"/>
        </w:rPr>
        <w:t xml:space="preserve"> </w:t>
      </w:r>
      <w:r w:rsidRPr="008D3AA3">
        <w:rPr>
          <w:sz w:val="22"/>
          <w:szCs w:val="22"/>
        </w:rPr>
        <w:t>vytvoria predpoklady a</w:t>
      </w:r>
      <w:r>
        <w:rPr>
          <w:sz w:val="22"/>
          <w:szCs w:val="22"/>
        </w:rPr>
        <w:t> </w:t>
      </w:r>
      <w:r w:rsidRPr="008D3AA3">
        <w:rPr>
          <w:sz w:val="22"/>
          <w:szCs w:val="22"/>
        </w:rPr>
        <w:t>záujem v</w:t>
      </w:r>
      <w:r>
        <w:rPr>
          <w:sz w:val="22"/>
          <w:szCs w:val="22"/>
        </w:rPr>
        <w:t> </w:t>
      </w:r>
      <w:r w:rsidRPr="008D3AA3">
        <w:rPr>
          <w:sz w:val="22"/>
          <w:szCs w:val="22"/>
        </w:rPr>
        <w:t>oblasti cestovného ruchu a</w:t>
      </w:r>
      <w:r>
        <w:rPr>
          <w:sz w:val="22"/>
          <w:szCs w:val="22"/>
        </w:rPr>
        <w:t> </w:t>
      </w:r>
      <w:r w:rsidRPr="008D3AA3">
        <w:rPr>
          <w:sz w:val="22"/>
          <w:szCs w:val="22"/>
        </w:rPr>
        <w:t>globálne posilní konkurencieschopnosť SR,</w:t>
      </w:r>
    </w:p>
    <w:p w14:paraId="34FB8199" w14:textId="77777777" w:rsidR="009E0158" w:rsidRDefault="00DB79F5" w:rsidP="003309FB">
      <w:pPr>
        <w:pStyle w:val="Odsekzoznamu"/>
        <w:numPr>
          <w:ilvl w:val="0"/>
          <w:numId w:val="41"/>
        </w:numPr>
        <w:spacing w:before="120"/>
        <w:ind w:left="568" w:hanging="284"/>
        <w:contextualSpacing w:val="0"/>
        <w:jc w:val="both"/>
        <w:rPr>
          <w:sz w:val="22"/>
          <w:szCs w:val="22"/>
        </w:rPr>
      </w:pPr>
      <w:r w:rsidRPr="008D3AA3">
        <w:rPr>
          <w:sz w:val="22"/>
          <w:szCs w:val="22"/>
        </w:rPr>
        <w:lastRenderedPageBreak/>
        <w:t>prínos budovania nových úsekov diaľnic a</w:t>
      </w:r>
      <w:r>
        <w:rPr>
          <w:sz w:val="22"/>
          <w:szCs w:val="22"/>
        </w:rPr>
        <w:t> </w:t>
      </w:r>
      <w:r w:rsidRPr="008D3AA3">
        <w:rPr>
          <w:sz w:val="22"/>
          <w:szCs w:val="22"/>
        </w:rPr>
        <w:t>rýchlostných ciest a</w:t>
      </w:r>
      <w:r>
        <w:rPr>
          <w:sz w:val="22"/>
          <w:szCs w:val="22"/>
        </w:rPr>
        <w:t> </w:t>
      </w:r>
      <w:r w:rsidRPr="008D3AA3">
        <w:rPr>
          <w:sz w:val="22"/>
          <w:szCs w:val="22"/>
        </w:rPr>
        <w:t>s</w:t>
      </w:r>
      <w:r>
        <w:rPr>
          <w:sz w:val="22"/>
          <w:szCs w:val="22"/>
        </w:rPr>
        <w:t> </w:t>
      </w:r>
      <w:r w:rsidRPr="008D3AA3">
        <w:rPr>
          <w:sz w:val="22"/>
          <w:szCs w:val="22"/>
        </w:rPr>
        <w:t>tým súvisiaci presun dopravného prúdu z</w:t>
      </w:r>
      <w:r>
        <w:rPr>
          <w:sz w:val="22"/>
          <w:szCs w:val="22"/>
        </w:rPr>
        <w:t> </w:t>
      </w:r>
      <w:r w:rsidRPr="008D3AA3">
        <w:rPr>
          <w:sz w:val="22"/>
          <w:szCs w:val="22"/>
        </w:rPr>
        <w:t>ciest nižšej triedy na kvalitnú a</w:t>
      </w:r>
      <w:r>
        <w:rPr>
          <w:sz w:val="22"/>
          <w:szCs w:val="22"/>
        </w:rPr>
        <w:t> </w:t>
      </w:r>
      <w:r w:rsidRPr="008D3AA3">
        <w:rPr>
          <w:sz w:val="22"/>
          <w:szCs w:val="22"/>
        </w:rPr>
        <w:t>modernú infraštruktúru, najmä v</w:t>
      </w:r>
      <w:r>
        <w:rPr>
          <w:sz w:val="22"/>
          <w:szCs w:val="22"/>
        </w:rPr>
        <w:t> </w:t>
      </w:r>
      <w:r w:rsidRPr="008D3AA3">
        <w:rPr>
          <w:sz w:val="22"/>
          <w:szCs w:val="22"/>
        </w:rPr>
        <w:t>úsekoch s</w:t>
      </w:r>
      <w:r>
        <w:rPr>
          <w:sz w:val="22"/>
          <w:szCs w:val="22"/>
        </w:rPr>
        <w:t> </w:t>
      </w:r>
      <w:r w:rsidRPr="008D3AA3">
        <w:rPr>
          <w:sz w:val="22"/>
          <w:szCs w:val="22"/>
        </w:rPr>
        <w:t>najväčšími kongesciami, je nesporný aj z</w:t>
      </w:r>
      <w:r>
        <w:rPr>
          <w:sz w:val="22"/>
          <w:szCs w:val="22"/>
        </w:rPr>
        <w:t> </w:t>
      </w:r>
      <w:r w:rsidRPr="008D3AA3">
        <w:rPr>
          <w:sz w:val="22"/>
          <w:szCs w:val="22"/>
        </w:rPr>
        <w:t xml:space="preserve">pohľadu </w:t>
      </w:r>
      <w:r w:rsidRPr="00400C92">
        <w:rPr>
          <w:sz w:val="22"/>
          <w:szCs w:val="22"/>
        </w:rPr>
        <w:t>zvyšovania bezpečnosti</w:t>
      </w:r>
      <w:r w:rsidRPr="008D3AA3">
        <w:rPr>
          <w:sz w:val="22"/>
          <w:szCs w:val="22"/>
        </w:rPr>
        <w:t xml:space="preserve"> </w:t>
      </w:r>
      <w:r>
        <w:rPr>
          <w:sz w:val="22"/>
          <w:szCs w:val="22"/>
        </w:rPr>
        <w:t xml:space="preserve">a </w:t>
      </w:r>
      <w:r w:rsidRPr="008D3AA3">
        <w:rPr>
          <w:sz w:val="22"/>
          <w:szCs w:val="22"/>
        </w:rPr>
        <w:t>znižovania časových a</w:t>
      </w:r>
      <w:r>
        <w:rPr>
          <w:sz w:val="22"/>
          <w:szCs w:val="22"/>
        </w:rPr>
        <w:t> </w:t>
      </w:r>
      <w:r w:rsidRPr="008D3AA3">
        <w:rPr>
          <w:sz w:val="22"/>
          <w:szCs w:val="22"/>
        </w:rPr>
        <w:t>energetických strát</w:t>
      </w:r>
      <w:r w:rsidR="000C7996">
        <w:rPr>
          <w:sz w:val="22"/>
          <w:szCs w:val="22"/>
        </w:rPr>
        <w:t xml:space="preserve"> a zvyšovania kvality ovzdušia</w:t>
      </w:r>
      <w:r w:rsidRPr="008D3AA3">
        <w:rPr>
          <w:sz w:val="22"/>
          <w:szCs w:val="22"/>
        </w:rPr>
        <w:t xml:space="preserve">, čo sa pozitívne premieta </w:t>
      </w:r>
      <w:r>
        <w:rPr>
          <w:sz w:val="22"/>
          <w:szCs w:val="22"/>
        </w:rPr>
        <w:t>v</w:t>
      </w:r>
      <w:r w:rsidRPr="008D3AA3">
        <w:rPr>
          <w:sz w:val="22"/>
          <w:szCs w:val="22"/>
        </w:rPr>
        <w:t xml:space="preserve"> oblas</w:t>
      </w:r>
      <w:r>
        <w:rPr>
          <w:sz w:val="22"/>
          <w:szCs w:val="22"/>
        </w:rPr>
        <w:t>ti</w:t>
      </w:r>
      <w:r w:rsidRPr="008D3AA3">
        <w:rPr>
          <w:sz w:val="22"/>
          <w:szCs w:val="22"/>
        </w:rPr>
        <w:t xml:space="preserve"> hospodárstva a</w:t>
      </w:r>
      <w:r>
        <w:rPr>
          <w:sz w:val="22"/>
          <w:szCs w:val="22"/>
        </w:rPr>
        <w:t> </w:t>
      </w:r>
      <w:r w:rsidRPr="008D3AA3">
        <w:rPr>
          <w:sz w:val="22"/>
          <w:szCs w:val="22"/>
        </w:rPr>
        <w:t>životného prostredia,</w:t>
      </w:r>
    </w:p>
    <w:p w14:paraId="2FA79822" w14:textId="77777777" w:rsidR="009E0158" w:rsidRDefault="00DB79F5" w:rsidP="003309FB">
      <w:pPr>
        <w:pStyle w:val="Odsekzoznamu"/>
        <w:numPr>
          <w:ilvl w:val="0"/>
          <w:numId w:val="41"/>
        </w:numPr>
        <w:spacing w:before="120"/>
        <w:ind w:left="568" w:hanging="284"/>
        <w:contextualSpacing w:val="0"/>
        <w:jc w:val="both"/>
        <w:rPr>
          <w:sz w:val="22"/>
          <w:szCs w:val="22"/>
        </w:rPr>
      </w:pPr>
      <w:r w:rsidRPr="008D3AA3">
        <w:rPr>
          <w:sz w:val="22"/>
          <w:szCs w:val="22"/>
        </w:rPr>
        <w:t>pozitívnym faktorom infraštruktúry železničnej dopravy SR je rel</w:t>
      </w:r>
      <w:r>
        <w:rPr>
          <w:sz w:val="22"/>
          <w:szCs w:val="22"/>
        </w:rPr>
        <w:t>atívne vysoká hustota siete, čo </w:t>
      </w:r>
      <w:r w:rsidRPr="008D3AA3">
        <w:rPr>
          <w:sz w:val="22"/>
          <w:szCs w:val="22"/>
        </w:rPr>
        <w:t>spoločne s</w:t>
      </w:r>
      <w:r>
        <w:rPr>
          <w:sz w:val="22"/>
          <w:szCs w:val="22"/>
        </w:rPr>
        <w:t> </w:t>
      </w:r>
      <w:r w:rsidRPr="008D3AA3">
        <w:rPr>
          <w:sz w:val="22"/>
          <w:szCs w:val="22"/>
        </w:rPr>
        <w:t>vysokou hustotou železničných staníc a</w:t>
      </w:r>
      <w:r>
        <w:rPr>
          <w:sz w:val="22"/>
          <w:szCs w:val="22"/>
        </w:rPr>
        <w:t> </w:t>
      </w:r>
      <w:r w:rsidRPr="008D3AA3">
        <w:rPr>
          <w:sz w:val="22"/>
          <w:szCs w:val="22"/>
        </w:rPr>
        <w:t>zastávok ponúka vhodné podmienk</w:t>
      </w:r>
      <w:r>
        <w:rPr>
          <w:sz w:val="22"/>
          <w:szCs w:val="22"/>
        </w:rPr>
        <w:t>y pre </w:t>
      </w:r>
      <w:r w:rsidRPr="008D3AA3">
        <w:rPr>
          <w:sz w:val="22"/>
          <w:szCs w:val="22"/>
        </w:rPr>
        <w:t xml:space="preserve">realizáciu </w:t>
      </w:r>
      <w:r>
        <w:rPr>
          <w:sz w:val="22"/>
          <w:szCs w:val="22"/>
        </w:rPr>
        <w:t xml:space="preserve">predovšetkým </w:t>
      </w:r>
      <w:r w:rsidRPr="008D3AA3">
        <w:rPr>
          <w:sz w:val="22"/>
          <w:szCs w:val="22"/>
        </w:rPr>
        <w:t>osobnej</w:t>
      </w:r>
      <w:r>
        <w:rPr>
          <w:sz w:val="22"/>
          <w:szCs w:val="22"/>
        </w:rPr>
        <w:t xml:space="preserve"> </w:t>
      </w:r>
      <w:r w:rsidRPr="008D3AA3">
        <w:rPr>
          <w:sz w:val="22"/>
          <w:szCs w:val="22"/>
        </w:rPr>
        <w:t>dopravy. Rozvoj infraš</w:t>
      </w:r>
      <w:r>
        <w:rPr>
          <w:sz w:val="22"/>
          <w:szCs w:val="22"/>
        </w:rPr>
        <w:t>truktúry železničnej dopravy je </w:t>
      </w:r>
      <w:r w:rsidRPr="008D3AA3">
        <w:rPr>
          <w:sz w:val="22"/>
          <w:szCs w:val="22"/>
        </w:rPr>
        <w:t>preto uskutočniteľný hlavne cestou jej modernizácie, a</w:t>
      </w:r>
      <w:r>
        <w:rPr>
          <w:sz w:val="22"/>
          <w:szCs w:val="22"/>
        </w:rPr>
        <w:t> </w:t>
      </w:r>
      <w:r w:rsidRPr="008D3AA3">
        <w:rPr>
          <w:sz w:val="22"/>
          <w:szCs w:val="22"/>
        </w:rPr>
        <w:t>to najmä na hlavných medzinárodných koridoroch a</w:t>
      </w:r>
      <w:r>
        <w:rPr>
          <w:sz w:val="22"/>
          <w:szCs w:val="22"/>
        </w:rPr>
        <w:t> </w:t>
      </w:r>
      <w:r w:rsidRPr="008D3AA3">
        <w:rPr>
          <w:sz w:val="22"/>
          <w:szCs w:val="22"/>
        </w:rPr>
        <w:t>vo veľkých aglomeráciách,</w:t>
      </w:r>
    </w:p>
    <w:p w14:paraId="4B842A1E" w14:textId="77777777" w:rsidR="009E0158" w:rsidRDefault="00DB79F5" w:rsidP="003309FB">
      <w:pPr>
        <w:pStyle w:val="Odsekzoznamu"/>
        <w:numPr>
          <w:ilvl w:val="0"/>
          <w:numId w:val="41"/>
        </w:numPr>
        <w:spacing w:before="120"/>
        <w:ind w:left="568" w:hanging="284"/>
        <w:contextualSpacing w:val="0"/>
        <w:jc w:val="both"/>
        <w:rPr>
          <w:sz w:val="22"/>
          <w:szCs w:val="22"/>
        </w:rPr>
      </w:pPr>
      <w:r w:rsidRPr="0044578F">
        <w:rPr>
          <w:sz w:val="22"/>
          <w:szCs w:val="22"/>
        </w:rPr>
        <w:t>prostredníctvom aktivít zameraných na podporu udržateľnej mestskej mobility je možné prispieť k efektívnejšiemu využívaniu energetických zdrojov a k znižovaniu negatívnych vplyvov (emisie, hluk) na životné prostredie,</w:t>
      </w:r>
    </w:p>
    <w:p w14:paraId="28508B9B" w14:textId="77777777" w:rsidR="009E0158" w:rsidRDefault="00DB79F5" w:rsidP="003309FB">
      <w:pPr>
        <w:pStyle w:val="Odsekzoznamu"/>
        <w:numPr>
          <w:ilvl w:val="0"/>
          <w:numId w:val="41"/>
        </w:numPr>
        <w:spacing w:before="120"/>
        <w:ind w:left="568" w:hanging="284"/>
        <w:contextualSpacing w:val="0"/>
        <w:jc w:val="both"/>
        <w:rPr>
          <w:sz w:val="22"/>
          <w:szCs w:val="22"/>
        </w:rPr>
      </w:pPr>
      <w:r w:rsidRPr="008D3AA3">
        <w:rPr>
          <w:sz w:val="22"/>
          <w:szCs w:val="22"/>
        </w:rPr>
        <w:t>efektívnejšie využívanie zdrojov, znižovanie prepravnej náročnosti a</w:t>
      </w:r>
      <w:r>
        <w:rPr>
          <w:sz w:val="22"/>
          <w:szCs w:val="22"/>
        </w:rPr>
        <w:t> odstraňovanie prekážok na </w:t>
      </w:r>
      <w:r w:rsidRPr="008D3AA3">
        <w:rPr>
          <w:sz w:val="22"/>
          <w:szCs w:val="22"/>
        </w:rPr>
        <w:t>sieťach negatívne vplývajúcich na odvetvie hospodárstva a</w:t>
      </w:r>
      <w:r>
        <w:rPr>
          <w:sz w:val="22"/>
          <w:szCs w:val="22"/>
        </w:rPr>
        <w:t> životné podmienky obyvateľov je </w:t>
      </w:r>
      <w:r w:rsidRPr="008D3AA3">
        <w:rPr>
          <w:sz w:val="22"/>
          <w:szCs w:val="22"/>
        </w:rPr>
        <w:t>možné podporiť taktiež intervenčnými zásahmi do ciest I. triedy, t. j. výstavbou obchvatov miest a</w:t>
      </w:r>
      <w:r>
        <w:rPr>
          <w:sz w:val="22"/>
          <w:szCs w:val="22"/>
        </w:rPr>
        <w:t> </w:t>
      </w:r>
      <w:r w:rsidRPr="008D3AA3">
        <w:rPr>
          <w:sz w:val="22"/>
          <w:szCs w:val="22"/>
        </w:rPr>
        <w:t>obcí, stavebno-technickými úpravami, zvýšením kapacity úsekov, odstraňovaním kritických nehodových lokalít a</w:t>
      </w:r>
      <w:r>
        <w:rPr>
          <w:sz w:val="22"/>
          <w:szCs w:val="22"/>
        </w:rPr>
        <w:t> </w:t>
      </w:r>
      <w:r w:rsidRPr="008D3AA3">
        <w:rPr>
          <w:sz w:val="22"/>
          <w:szCs w:val="22"/>
        </w:rPr>
        <w:t>kolíznych bodov, uplat</w:t>
      </w:r>
      <w:r>
        <w:rPr>
          <w:sz w:val="22"/>
          <w:szCs w:val="22"/>
        </w:rPr>
        <w:t>ňovaním dopravnej telematiky na </w:t>
      </w:r>
      <w:r w:rsidRPr="008D3AA3">
        <w:rPr>
          <w:sz w:val="22"/>
          <w:szCs w:val="22"/>
        </w:rPr>
        <w:t>manažment prevádzky a</w:t>
      </w:r>
      <w:r>
        <w:rPr>
          <w:sz w:val="22"/>
          <w:szCs w:val="22"/>
        </w:rPr>
        <w:t> </w:t>
      </w:r>
      <w:r w:rsidRPr="008D3AA3">
        <w:rPr>
          <w:sz w:val="22"/>
          <w:szCs w:val="22"/>
        </w:rPr>
        <w:t>pod.,</w:t>
      </w:r>
    </w:p>
    <w:p w14:paraId="35087075" w14:textId="77777777" w:rsidR="009E0158" w:rsidRDefault="00DB79F5" w:rsidP="003309FB">
      <w:pPr>
        <w:pStyle w:val="Odsekzoznamu"/>
        <w:numPr>
          <w:ilvl w:val="0"/>
          <w:numId w:val="41"/>
        </w:numPr>
        <w:spacing w:before="120"/>
        <w:ind w:left="568" w:hanging="284"/>
        <w:contextualSpacing w:val="0"/>
        <w:jc w:val="both"/>
        <w:rPr>
          <w:sz w:val="22"/>
          <w:szCs w:val="22"/>
        </w:rPr>
      </w:pPr>
      <w:r w:rsidRPr="00F4783D">
        <w:rPr>
          <w:sz w:val="22"/>
          <w:szCs w:val="22"/>
        </w:rPr>
        <w:t>aktívnym prístupom orgánov verejnej správy k</w:t>
      </w:r>
      <w:r>
        <w:rPr>
          <w:sz w:val="22"/>
          <w:szCs w:val="22"/>
        </w:rPr>
        <w:t> </w:t>
      </w:r>
      <w:r w:rsidRPr="00F4783D">
        <w:rPr>
          <w:sz w:val="22"/>
          <w:szCs w:val="22"/>
        </w:rPr>
        <w:t>efe</w:t>
      </w:r>
      <w:r>
        <w:rPr>
          <w:sz w:val="22"/>
          <w:szCs w:val="22"/>
        </w:rPr>
        <w:t>ktívnemu odstráneniu negatívnych vplyvov</w:t>
      </w:r>
      <w:r w:rsidRPr="00F4783D">
        <w:rPr>
          <w:sz w:val="22"/>
          <w:szCs w:val="22"/>
        </w:rPr>
        <w:t xml:space="preserve"> rozvoja cestnej dopravy na široký okruh cestujúcej verejnosti pôsobiť na zvyšovanie bezpečnosti cestnej premávky,</w:t>
      </w:r>
    </w:p>
    <w:p w14:paraId="1FCF065B" w14:textId="77777777" w:rsidR="009E0158" w:rsidRDefault="00DB79F5" w:rsidP="003309FB">
      <w:pPr>
        <w:pStyle w:val="Odsekzoznamu"/>
        <w:numPr>
          <w:ilvl w:val="0"/>
          <w:numId w:val="41"/>
        </w:numPr>
        <w:spacing w:before="120"/>
        <w:ind w:left="568" w:hanging="284"/>
        <w:contextualSpacing w:val="0"/>
        <w:jc w:val="both"/>
        <w:rPr>
          <w:sz w:val="22"/>
          <w:szCs w:val="22"/>
        </w:rPr>
      </w:pPr>
      <w:r w:rsidRPr="00771652">
        <w:rPr>
          <w:sz w:val="22"/>
          <w:szCs w:val="22"/>
        </w:rPr>
        <w:t>dlhodobo zanedbávaná modernizácia mobilných prostriedkov železničnej osobnej príme</w:t>
      </w:r>
      <w:r>
        <w:rPr>
          <w:sz w:val="22"/>
          <w:szCs w:val="22"/>
        </w:rPr>
        <w:t>stskej a </w:t>
      </w:r>
      <w:r w:rsidRPr="00771652">
        <w:rPr>
          <w:sz w:val="22"/>
          <w:szCs w:val="22"/>
        </w:rPr>
        <w:t>regionálnej dopravy, ako aj mestskej hromadnej dopravy umožní v synergii s realizáciou organizačných a prevádzkových opatrení a výstavbou a modernizáciou súvisiacej dopravnej infraštruktúry ponúknuť cestujúcej verejnosti dopravný systém spĺňajúci základné kvalitatívne parametre podporujúce efektívne zabezpečenie základnej dopravnej obsluhy v najväčších aglomeráciách. Tento prístup vytvorí podmienky pre efektívne využívanie verejných prostriedkov alokovaných v štátnom rozpočte a rozpočte samosprávn</w:t>
      </w:r>
      <w:r>
        <w:rPr>
          <w:sz w:val="22"/>
          <w:szCs w:val="22"/>
        </w:rPr>
        <w:t>ych krajov a miest na </w:t>
      </w:r>
      <w:r w:rsidRPr="00771652">
        <w:rPr>
          <w:sz w:val="22"/>
          <w:szCs w:val="22"/>
        </w:rPr>
        <w:t>zabezpečenie výkonov verejnej osobnej dopravy,</w:t>
      </w:r>
    </w:p>
    <w:p w14:paraId="6433A055" w14:textId="77777777" w:rsidR="009E0158" w:rsidRDefault="00DB79F5" w:rsidP="003309FB">
      <w:pPr>
        <w:pStyle w:val="Odsekzoznamu"/>
        <w:numPr>
          <w:ilvl w:val="0"/>
          <w:numId w:val="41"/>
        </w:numPr>
        <w:spacing w:before="120"/>
        <w:ind w:left="568" w:hanging="284"/>
        <w:contextualSpacing w:val="0"/>
        <w:jc w:val="both"/>
        <w:rPr>
          <w:sz w:val="22"/>
          <w:szCs w:val="22"/>
        </w:rPr>
      </w:pPr>
      <w:r>
        <w:rPr>
          <w:sz w:val="22"/>
          <w:szCs w:val="22"/>
        </w:rPr>
        <w:t>s</w:t>
      </w:r>
      <w:r w:rsidRPr="008A68DB">
        <w:rPr>
          <w:sz w:val="22"/>
          <w:szCs w:val="22"/>
        </w:rPr>
        <w:t>ystematicky zvyšovať prístupnosť dopravných prostriedkov a dopravnej infraštruktúry prostredníctvom zvýšenia počtu bezbariérových vozidiel verejnej dopravy, v nových vozidlách zabezpečiť informačné systémy pre osoby so zrakovým postihnutím (hlasové oznamovanie zastávok) a informačné systémy pre osoby so sluchovým postihnutím (vizuálne zobrazovače). Dôležitým aspektom oblasti prístupnosti je aj systematické zvyšovanie prístupnosti autobusových staníc, železničných staníc, prístavov a</w:t>
      </w:r>
      <w:r>
        <w:rPr>
          <w:sz w:val="22"/>
          <w:szCs w:val="22"/>
        </w:rPr>
        <w:t> pod.,</w:t>
      </w:r>
    </w:p>
    <w:p w14:paraId="2B9ABD77" w14:textId="77777777" w:rsidR="009E0158" w:rsidRDefault="00DB79F5" w:rsidP="003309FB">
      <w:pPr>
        <w:pStyle w:val="Odsekzoznamu"/>
        <w:numPr>
          <w:ilvl w:val="0"/>
          <w:numId w:val="41"/>
        </w:numPr>
        <w:spacing w:before="120"/>
        <w:ind w:left="568" w:hanging="284"/>
        <w:contextualSpacing w:val="0"/>
        <w:jc w:val="both"/>
        <w:rPr>
          <w:sz w:val="22"/>
          <w:szCs w:val="22"/>
        </w:rPr>
      </w:pPr>
      <w:r w:rsidRPr="00E57693">
        <w:rPr>
          <w:sz w:val="22"/>
          <w:szCs w:val="22"/>
        </w:rPr>
        <w:t>dobudovaním a</w:t>
      </w:r>
      <w:r>
        <w:rPr>
          <w:sz w:val="22"/>
          <w:szCs w:val="22"/>
        </w:rPr>
        <w:t> </w:t>
      </w:r>
      <w:r w:rsidRPr="00E57693">
        <w:rPr>
          <w:sz w:val="22"/>
          <w:szCs w:val="22"/>
        </w:rPr>
        <w:t>zmodernizovaním infraštruktúry verejných prístavov na Dunaji sa podnieti oživenie a</w:t>
      </w:r>
      <w:r>
        <w:rPr>
          <w:sz w:val="22"/>
          <w:szCs w:val="22"/>
        </w:rPr>
        <w:t> </w:t>
      </w:r>
      <w:r w:rsidRPr="00E57693">
        <w:rPr>
          <w:sz w:val="22"/>
          <w:szCs w:val="22"/>
        </w:rPr>
        <w:t>ďalší rozvoj vodnej dopravy, vytvoria</w:t>
      </w:r>
      <w:r w:rsidR="00534B62">
        <w:rPr>
          <w:sz w:val="22"/>
          <w:szCs w:val="22"/>
        </w:rPr>
        <w:t xml:space="preserve"> sa</w:t>
      </w:r>
      <w:r w:rsidRPr="00E57693">
        <w:rPr>
          <w:sz w:val="22"/>
          <w:szCs w:val="22"/>
        </w:rPr>
        <w:t xml:space="preserve"> podmienky pre rast prepravných výkonov, prispeje sa k</w:t>
      </w:r>
      <w:r>
        <w:rPr>
          <w:sz w:val="22"/>
          <w:szCs w:val="22"/>
        </w:rPr>
        <w:t> </w:t>
      </w:r>
      <w:r w:rsidRPr="00E57693">
        <w:rPr>
          <w:sz w:val="22"/>
          <w:szCs w:val="22"/>
        </w:rPr>
        <w:t>rozvoju hospodárstva a</w:t>
      </w:r>
      <w:r>
        <w:rPr>
          <w:sz w:val="22"/>
          <w:szCs w:val="22"/>
        </w:rPr>
        <w:t> </w:t>
      </w:r>
      <w:r w:rsidRPr="00E57693">
        <w:rPr>
          <w:sz w:val="22"/>
          <w:szCs w:val="22"/>
        </w:rPr>
        <w:t>zamestnanosti, pričom plánované aktivity budú mať priaznivý vplyv predovšetkým na celý priľahlý podunajský región. Zároveň podporou vodnej dopravy dôjde k</w:t>
      </w:r>
      <w:r>
        <w:rPr>
          <w:sz w:val="22"/>
          <w:szCs w:val="22"/>
        </w:rPr>
        <w:t> </w:t>
      </w:r>
      <w:r w:rsidRPr="00E57693">
        <w:rPr>
          <w:sz w:val="22"/>
          <w:szCs w:val="22"/>
        </w:rPr>
        <w:t>rozvoju bezpečného a</w:t>
      </w:r>
      <w:r>
        <w:rPr>
          <w:sz w:val="22"/>
          <w:szCs w:val="22"/>
        </w:rPr>
        <w:t> </w:t>
      </w:r>
      <w:r w:rsidRPr="00E57693">
        <w:rPr>
          <w:sz w:val="22"/>
          <w:szCs w:val="22"/>
        </w:rPr>
        <w:t>environmentálne priaznivého dopravného módu.</w:t>
      </w:r>
    </w:p>
    <w:p w14:paraId="6A6336E0" w14:textId="77777777" w:rsidR="00DB79F5" w:rsidRDefault="00DB79F5" w:rsidP="00A11F69">
      <w:pPr>
        <w:pStyle w:val="tl2"/>
        <w:tabs>
          <w:tab w:val="clear" w:pos="709"/>
          <w:tab w:val="clear" w:pos="864"/>
        </w:tabs>
        <w:ind w:left="851" w:hanging="851"/>
        <w:jc w:val="both"/>
      </w:pPr>
      <w:r>
        <w:t>Prepojenie stratégie OPII</w:t>
      </w:r>
      <w:r w:rsidR="00534B62">
        <w:t>-D</w:t>
      </w:r>
      <w:r>
        <w:t xml:space="preserve"> s plnením stratégie Európa 2020 a medzinárodných strategických dokumentov definujúcich vývoj sektora doprava</w:t>
      </w:r>
    </w:p>
    <w:p w14:paraId="7B3D1580" w14:textId="77777777" w:rsidR="00DB79F5" w:rsidRPr="00CE0038" w:rsidRDefault="00DB79F5" w:rsidP="00DB79F5">
      <w:pPr>
        <w:spacing w:before="180" w:after="120"/>
        <w:jc w:val="both"/>
        <w:rPr>
          <w:sz w:val="22"/>
          <w:szCs w:val="22"/>
          <w:u w:val="single"/>
        </w:rPr>
      </w:pPr>
      <w:r>
        <w:rPr>
          <w:sz w:val="22"/>
          <w:szCs w:val="22"/>
          <w:u w:val="single"/>
        </w:rPr>
        <w:t>Stratégia Európa 2020</w:t>
      </w:r>
    </w:p>
    <w:p w14:paraId="716EBF71" w14:textId="77777777" w:rsidR="00B67201" w:rsidRDefault="00B67201" w:rsidP="00B67201">
      <w:pPr>
        <w:spacing w:before="120" w:after="120"/>
        <w:jc w:val="both"/>
        <w:rPr>
          <w:sz w:val="22"/>
          <w:szCs w:val="22"/>
        </w:rPr>
      </w:pPr>
      <w:r>
        <w:rPr>
          <w:sz w:val="22"/>
          <w:szCs w:val="22"/>
        </w:rPr>
        <w:t xml:space="preserve">Stratégia Európa 2020 je tematicky postavená na 3 prioritách, 5 cieľoch a 7 hlavných iniciatívach. Stratégia OPII má oporu v jednej z priorít Stratégie Európa 2020 - </w:t>
      </w:r>
      <w:r w:rsidRPr="008D3AA3">
        <w:rPr>
          <w:b/>
          <w:i/>
          <w:sz w:val="22"/>
          <w:szCs w:val="22"/>
        </w:rPr>
        <w:t>Udržateľný rast: podpora ekologickejšieho a</w:t>
      </w:r>
      <w:r>
        <w:rPr>
          <w:b/>
          <w:i/>
          <w:sz w:val="22"/>
          <w:szCs w:val="22"/>
        </w:rPr>
        <w:t> </w:t>
      </w:r>
      <w:r w:rsidRPr="008D3AA3">
        <w:rPr>
          <w:b/>
          <w:i/>
          <w:sz w:val="22"/>
          <w:szCs w:val="22"/>
        </w:rPr>
        <w:t>konkurencieschopnejšieho hospodárstva, ktoré efektívnejšie využíva zdroje</w:t>
      </w:r>
      <w:r>
        <w:rPr>
          <w:sz w:val="22"/>
          <w:szCs w:val="22"/>
        </w:rPr>
        <w:t>. S touto prioritou súvisí iniciatíva „</w:t>
      </w:r>
      <w:r w:rsidRPr="00C0629B">
        <w:rPr>
          <w:i/>
          <w:sz w:val="22"/>
          <w:szCs w:val="22"/>
        </w:rPr>
        <w:t>Európa efektívne využívajúca zdroje</w:t>
      </w:r>
      <w:r>
        <w:rPr>
          <w:sz w:val="22"/>
          <w:szCs w:val="22"/>
        </w:rPr>
        <w:t>“ zameraná o.</w:t>
      </w:r>
      <w:r w:rsidR="008B2833">
        <w:rPr>
          <w:sz w:val="22"/>
          <w:szCs w:val="22"/>
        </w:rPr>
        <w:t> </w:t>
      </w:r>
      <w:r>
        <w:rPr>
          <w:sz w:val="22"/>
          <w:szCs w:val="22"/>
        </w:rPr>
        <w:t>i. na modernizáciu odvetvia dopravy, na podporu prechodu smerom k nízkouhlíkovému hospodárstvu a podporu energetickej účinnosti. Úsilie je zamerané predovšetkým na:</w:t>
      </w:r>
    </w:p>
    <w:p w14:paraId="40B33A47" w14:textId="77777777" w:rsidR="009E0158" w:rsidRDefault="00B67201" w:rsidP="003309FB">
      <w:pPr>
        <w:pStyle w:val="Odsekzoznamu"/>
        <w:numPr>
          <w:ilvl w:val="0"/>
          <w:numId w:val="42"/>
        </w:numPr>
        <w:ind w:left="567" w:hanging="283"/>
        <w:contextualSpacing w:val="0"/>
        <w:jc w:val="both"/>
        <w:rPr>
          <w:sz w:val="22"/>
          <w:szCs w:val="22"/>
        </w:rPr>
      </w:pPr>
      <w:r w:rsidRPr="00C0629B">
        <w:rPr>
          <w:sz w:val="22"/>
          <w:szCs w:val="22"/>
        </w:rPr>
        <w:lastRenderedPageBreak/>
        <w:t>zníženie emisií uhlíka v odvetví dopravy s cieľom prispieť k zvýšenej konkurencieschopnosti</w:t>
      </w:r>
      <w:r>
        <w:rPr>
          <w:sz w:val="22"/>
          <w:szCs w:val="22"/>
        </w:rPr>
        <w:t>;</w:t>
      </w:r>
    </w:p>
    <w:p w14:paraId="36CF82BF" w14:textId="77777777" w:rsidR="009E0158" w:rsidRDefault="00B67201" w:rsidP="003309FB">
      <w:pPr>
        <w:pStyle w:val="Odsekzoznamu"/>
        <w:numPr>
          <w:ilvl w:val="0"/>
          <w:numId w:val="42"/>
        </w:numPr>
        <w:ind w:left="567" w:hanging="283"/>
        <w:contextualSpacing w:val="0"/>
        <w:jc w:val="both"/>
        <w:rPr>
          <w:sz w:val="22"/>
          <w:szCs w:val="22"/>
        </w:rPr>
      </w:pPr>
      <w:r w:rsidRPr="00C46F49">
        <w:rPr>
          <w:sz w:val="22"/>
          <w:szCs w:val="22"/>
        </w:rPr>
        <w:t>realizáci</w:t>
      </w:r>
      <w:r>
        <w:rPr>
          <w:sz w:val="22"/>
          <w:szCs w:val="22"/>
        </w:rPr>
        <w:t>u</w:t>
      </w:r>
      <w:r w:rsidRPr="00C0629B">
        <w:rPr>
          <w:sz w:val="22"/>
          <w:szCs w:val="22"/>
        </w:rPr>
        <w:t xml:space="preserve"> strategických projektov s vysokou európskou pridanou hodnotou na riešenie kritických prekážok, najmä pokiaľ ide o cezhraničné úseky a intermodálne uzly (mestá, prístavy, logistické platformy)</w:t>
      </w:r>
      <w:r>
        <w:rPr>
          <w:sz w:val="22"/>
          <w:szCs w:val="22"/>
        </w:rPr>
        <w:t>;</w:t>
      </w:r>
    </w:p>
    <w:p w14:paraId="51D7A1C4" w14:textId="77777777" w:rsidR="009E0158" w:rsidRDefault="00B67201" w:rsidP="003309FB">
      <w:pPr>
        <w:pStyle w:val="Odsekzoznamu"/>
        <w:numPr>
          <w:ilvl w:val="0"/>
          <w:numId w:val="42"/>
        </w:numPr>
        <w:ind w:left="567" w:hanging="283"/>
        <w:contextualSpacing w:val="0"/>
        <w:jc w:val="both"/>
        <w:rPr>
          <w:sz w:val="22"/>
          <w:szCs w:val="22"/>
        </w:rPr>
      </w:pPr>
      <w:r w:rsidRPr="00C0629B">
        <w:rPr>
          <w:sz w:val="22"/>
          <w:szCs w:val="22"/>
        </w:rPr>
        <w:t>iniciatívy zamerané na modernizáciu európskych sietí.</w:t>
      </w:r>
    </w:p>
    <w:p w14:paraId="5865C7E0" w14:textId="77777777" w:rsidR="00DB79F5" w:rsidRPr="00CE0038" w:rsidRDefault="00DB79F5" w:rsidP="00DB79F5">
      <w:pPr>
        <w:spacing w:before="120" w:after="120"/>
        <w:jc w:val="both"/>
        <w:rPr>
          <w:sz w:val="22"/>
          <w:szCs w:val="22"/>
        </w:rPr>
      </w:pPr>
      <w:r w:rsidRPr="00CE0038">
        <w:rPr>
          <w:sz w:val="22"/>
          <w:szCs w:val="22"/>
        </w:rPr>
        <w:t>Rešpektujúc cieľ maximalizácie efektívnosti vynaložených zdrojov budú v</w:t>
      </w:r>
      <w:r>
        <w:rPr>
          <w:sz w:val="22"/>
          <w:szCs w:val="22"/>
        </w:rPr>
        <w:t> </w:t>
      </w:r>
      <w:r w:rsidRPr="00CE0038">
        <w:rPr>
          <w:sz w:val="22"/>
          <w:szCs w:val="22"/>
        </w:rPr>
        <w:t>rámci OP</w:t>
      </w:r>
      <w:r w:rsidR="00B67201">
        <w:rPr>
          <w:sz w:val="22"/>
          <w:szCs w:val="22"/>
        </w:rPr>
        <w:t>II realizované len </w:t>
      </w:r>
      <w:r w:rsidRPr="00CE0038">
        <w:rPr>
          <w:sz w:val="22"/>
          <w:szCs w:val="22"/>
        </w:rPr>
        <w:t>priority najväčšieho významu, ktoré prispejú k</w:t>
      </w:r>
      <w:r>
        <w:rPr>
          <w:sz w:val="22"/>
          <w:szCs w:val="22"/>
        </w:rPr>
        <w:t> </w:t>
      </w:r>
      <w:r w:rsidRPr="00CE0038">
        <w:rPr>
          <w:sz w:val="22"/>
          <w:szCs w:val="22"/>
        </w:rPr>
        <w:t>plneniu stratégie Európa 2020, konkrétne k</w:t>
      </w:r>
      <w:r>
        <w:rPr>
          <w:sz w:val="22"/>
          <w:szCs w:val="22"/>
        </w:rPr>
        <w:t> </w:t>
      </w:r>
      <w:r w:rsidRPr="00CE0038">
        <w:rPr>
          <w:sz w:val="22"/>
          <w:szCs w:val="22"/>
        </w:rPr>
        <w:t>týmto jej zámerom:</w:t>
      </w:r>
    </w:p>
    <w:p w14:paraId="53B1B6E3" w14:textId="77777777" w:rsidR="009E0158" w:rsidRDefault="00DB79F5" w:rsidP="003309FB">
      <w:pPr>
        <w:pStyle w:val="Odsekzoznamu"/>
        <w:numPr>
          <w:ilvl w:val="0"/>
          <w:numId w:val="42"/>
        </w:numPr>
        <w:ind w:left="567" w:hanging="283"/>
        <w:contextualSpacing w:val="0"/>
        <w:jc w:val="both"/>
        <w:rPr>
          <w:sz w:val="22"/>
          <w:szCs w:val="22"/>
        </w:rPr>
      </w:pPr>
      <w:r w:rsidRPr="00CE0038">
        <w:rPr>
          <w:sz w:val="22"/>
          <w:szCs w:val="22"/>
        </w:rPr>
        <w:t>do roku 2020 znížiť emisie skleníkových plynov najmenej o</w:t>
      </w:r>
      <w:r>
        <w:rPr>
          <w:sz w:val="22"/>
          <w:szCs w:val="22"/>
        </w:rPr>
        <w:t> </w:t>
      </w:r>
      <w:r w:rsidR="00D5177B">
        <w:rPr>
          <w:sz w:val="22"/>
          <w:szCs w:val="22"/>
        </w:rPr>
        <w:t>20 %, zvýšiť podiel</w:t>
      </w:r>
      <w:r w:rsidRPr="00CE0038">
        <w:rPr>
          <w:sz w:val="22"/>
          <w:szCs w:val="22"/>
        </w:rPr>
        <w:t xml:space="preserve"> obnoviteľných zdrojov na skladbe zdrojov v</w:t>
      </w:r>
      <w:r>
        <w:rPr>
          <w:sz w:val="22"/>
          <w:szCs w:val="22"/>
        </w:rPr>
        <w:t> </w:t>
      </w:r>
      <w:r w:rsidRPr="00CE0038">
        <w:rPr>
          <w:sz w:val="22"/>
          <w:szCs w:val="22"/>
        </w:rPr>
        <w:t>konečnej spotrebe energie EÚ na 20 % a</w:t>
      </w:r>
      <w:r>
        <w:rPr>
          <w:sz w:val="22"/>
          <w:szCs w:val="22"/>
        </w:rPr>
        <w:t> </w:t>
      </w:r>
      <w:r w:rsidR="00D5177B">
        <w:rPr>
          <w:sz w:val="22"/>
          <w:szCs w:val="22"/>
        </w:rPr>
        <w:t>zvýšiť energetickú účinnosť</w:t>
      </w:r>
      <w:r w:rsidRPr="00CE0038">
        <w:rPr>
          <w:sz w:val="22"/>
          <w:szCs w:val="22"/>
        </w:rPr>
        <w:t xml:space="preserve"> o</w:t>
      </w:r>
      <w:r>
        <w:rPr>
          <w:sz w:val="22"/>
          <w:szCs w:val="22"/>
        </w:rPr>
        <w:t> </w:t>
      </w:r>
      <w:r w:rsidRPr="00CE0038">
        <w:rPr>
          <w:sz w:val="22"/>
          <w:szCs w:val="22"/>
        </w:rPr>
        <w:t>20 %.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w:t>
      </w:r>
      <w:r>
        <w:rPr>
          <w:sz w:val="22"/>
          <w:szCs w:val="22"/>
        </w:rPr>
        <w:t>ov prioritných osí 1, 3, 4, a 5,</w:t>
      </w:r>
    </w:p>
    <w:p w14:paraId="63C20C7D" w14:textId="77777777" w:rsidR="009E0158" w:rsidRDefault="00D5177B" w:rsidP="003309FB">
      <w:pPr>
        <w:pStyle w:val="Odsekzoznamu"/>
        <w:numPr>
          <w:ilvl w:val="0"/>
          <w:numId w:val="42"/>
        </w:numPr>
        <w:spacing w:before="120"/>
        <w:ind w:left="568" w:hanging="284"/>
        <w:contextualSpacing w:val="0"/>
        <w:jc w:val="both"/>
        <w:rPr>
          <w:sz w:val="22"/>
          <w:szCs w:val="22"/>
        </w:rPr>
      </w:pPr>
      <w:r>
        <w:rPr>
          <w:sz w:val="22"/>
          <w:szCs w:val="22"/>
        </w:rPr>
        <w:t>zaviesť inteligentné dopravné systémy, zefektívniť dopravné a logistické služby, znížiť emisie</w:t>
      </w:r>
      <w:r w:rsidR="00DB79F5" w:rsidRPr="00CE0038">
        <w:rPr>
          <w:sz w:val="22"/>
          <w:szCs w:val="22"/>
        </w:rPr>
        <w:t xml:space="preserve"> CO</w:t>
      </w:r>
      <w:r w:rsidR="00DB79F5" w:rsidRPr="00CE0038">
        <w:rPr>
          <w:sz w:val="22"/>
          <w:szCs w:val="22"/>
          <w:vertAlign w:val="subscript"/>
        </w:rPr>
        <w:t>2</w:t>
      </w:r>
      <w:r w:rsidR="00DB79F5" w:rsidRPr="00CE0038">
        <w:rPr>
          <w:sz w:val="22"/>
          <w:szCs w:val="22"/>
        </w:rPr>
        <w:t xml:space="preserve"> osobných vozidiel. K</w:t>
      </w:r>
      <w:r w:rsidR="00DB79F5">
        <w:rPr>
          <w:sz w:val="22"/>
          <w:szCs w:val="22"/>
        </w:rPr>
        <w:t> </w:t>
      </w:r>
      <w:r w:rsidR="00DB79F5" w:rsidRPr="00CE0038">
        <w:rPr>
          <w:sz w:val="22"/>
          <w:szCs w:val="22"/>
        </w:rPr>
        <w:t xml:space="preserve">tomuto zámeru bude </w:t>
      </w:r>
      <w:r w:rsidR="00DB79F5">
        <w:rPr>
          <w:sz w:val="22"/>
          <w:szCs w:val="22"/>
        </w:rPr>
        <w:t>OPII</w:t>
      </w:r>
      <w:r w:rsidR="00DB79F5" w:rsidRPr="00CE0038">
        <w:rPr>
          <w:sz w:val="22"/>
          <w:szCs w:val="22"/>
        </w:rPr>
        <w:t xml:space="preserve"> prispievať najmä plnením definovaných špecifických cieľov </w:t>
      </w:r>
      <w:r w:rsidR="00DB79F5">
        <w:rPr>
          <w:sz w:val="22"/>
          <w:szCs w:val="22"/>
        </w:rPr>
        <w:t>prioritných osí 1, 2, 3, 4, a 5,</w:t>
      </w:r>
    </w:p>
    <w:p w14:paraId="2665F213" w14:textId="77777777" w:rsidR="009E0158" w:rsidRDefault="00DB79F5" w:rsidP="003309FB">
      <w:pPr>
        <w:pStyle w:val="Odsekzoznamu"/>
        <w:numPr>
          <w:ilvl w:val="0"/>
          <w:numId w:val="42"/>
        </w:numPr>
        <w:spacing w:before="120"/>
        <w:ind w:left="568" w:hanging="284"/>
        <w:contextualSpacing w:val="0"/>
        <w:jc w:val="both"/>
        <w:rPr>
          <w:sz w:val="22"/>
          <w:szCs w:val="22"/>
        </w:rPr>
      </w:pPr>
      <w:r w:rsidRPr="00CE0038">
        <w:rPr>
          <w:sz w:val="22"/>
          <w:szCs w:val="22"/>
        </w:rPr>
        <w:t>urýchliť realizáciu strategických infraštruktúrnych projektov s</w:t>
      </w:r>
      <w:r>
        <w:rPr>
          <w:sz w:val="22"/>
          <w:szCs w:val="22"/>
        </w:rPr>
        <w:t> </w:t>
      </w:r>
      <w:r w:rsidRPr="00CE0038">
        <w:rPr>
          <w:sz w:val="22"/>
          <w:szCs w:val="22"/>
        </w:rPr>
        <w:t>cieľom odstraňovať zásadné prekážky, najmä v</w:t>
      </w:r>
      <w:r>
        <w:rPr>
          <w:sz w:val="22"/>
          <w:szCs w:val="22"/>
        </w:rPr>
        <w:t> </w:t>
      </w:r>
      <w:r w:rsidRPr="00CE0038">
        <w:rPr>
          <w:sz w:val="22"/>
          <w:szCs w:val="22"/>
        </w:rPr>
        <w:t>cezhraničnom styku a</w:t>
      </w:r>
      <w:r w:rsidR="00D5177B">
        <w:rPr>
          <w:sz w:val="22"/>
          <w:szCs w:val="22"/>
        </w:rPr>
        <w:t xml:space="preserve"> budovať</w:t>
      </w:r>
      <w:r>
        <w:rPr>
          <w:sz w:val="22"/>
          <w:szCs w:val="22"/>
        </w:rPr>
        <w:t> </w:t>
      </w:r>
      <w:r w:rsidRPr="00CE0038">
        <w:rPr>
          <w:sz w:val="22"/>
          <w:szCs w:val="22"/>
        </w:rPr>
        <w:t>intermodálne uzly.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 prioritných osí 1,</w:t>
      </w:r>
      <w:r>
        <w:rPr>
          <w:sz w:val="22"/>
          <w:szCs w:val="22"/>
        </w:rPr>
        <w:t> 2 a 4,</w:t>
      </w:r>
    </w:p>
    <w:p w14:paraId="30049480" w14:textId="77777777" w:rsidR="009E0158" w:rsidRDefault="00DB79F5" w:rsidP="003309FB">
      <w:pPr>
        <w:pStyle w:val="Odsekzoznamu"/>
        <w:numPr>
          <w:ilvl w:val="0"/>
          <w:numId w:val="42"/>
        </w:numPr>
        <w:spacing w:before="120"/>
        <w:ind w:left="568" w:hanging="284"/>
        <w:contextualSpacing w:val="0"/>
        <w:jc w:val="both"/>
        <w:rPr>
          <w:sz w:val="22"/>
          <w:szCs w:val="22"/>
        </w:rPr>
      </w:pPr>
      <w:r w:rsidRPr="00CE0038">
        <w:rPr>
          <w:sz w:val="22"/>
          <w:szCs w:val="22"/>
        </w:rPr>
        <w:t>na vnútroštátnej úrovni vyvinúť inteligentnú, zmodernizovanú a</w:t>
      </w:r>
      <w:r>
        <w:rPr>
          <w:sz w:val="22"/>
          <w:szCs w:val="22"/>
        </w:rPr>
        <w:t> </w:t>
      </w:r>
      <w:r w:rsidRPr="00CE0038">
        <w:rPr>
          <w:sz w:val="22"/>
          <w:szCs w:val="22"/>
        </w:rPr>
        <w:t>plne prepojenú dopravnú infraštruktúru.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w:t>
      </w:r>
      <w:r>
        <w:rPr>
          <w:sz w:val="22"/>
          <w:szCs w:val="22"/>
        </w:rPr>
        <w:t xml:space="preserve"> prioritných osí 1, 2, 4, 5 a 6,</w:t>
      </w:r>
    </w:p>
    <w:p w14:paraId="3AC1C4EC" w14:textId="77777777" w:rsidR="009E0158" w:rsidRDefault="00DB79F5" w:rsidP="003309FB">
      <w:pPr>
        <w:pStyle w:val="Odsekzoznamu"/>
        <w:numPr>
          <w:ilvl w:val="0"/>
          <w:numId w:val="42"/>
        </w:numPr>
        <w:spacing w:before="120"/>
        <w:ind w:left="567" w:hanging="283"/>
        <w:contextualSpacing w:val="0"/>
        <w:jc w:val="both"/>
        <w:rPr>
          <w:sz w:val="22"/>
          <w:szCs w:val="22"/>
        </w:rPr>
      </w:pPr>
      <w:r w:rsidRPr="00CE0038">
        <w:rPr>
          <w:sz w:val="22"/>
          <w:szCs w:val="22"/>
        </w:rPr>
        <w:t>zamerať sa na mestský rozmer dopravy, kde vzniká značná časť dopravného preťaženia a</w:t>
      </w:r>
      <w:r>
        <w:rPr>
          <w:sz w:val="22"/>
          <w:szCs w:val="22"/>
        </w:rPr>
        <w:t> </w:t>
      </w:r>
      <w:r w:rsidRPr="00CE0038">
        <w:rPr>
          <w:sz w:val="22"/>
          <w:szCs w:val="22"/>
        </w:rPr>
        <w:t>emisií.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 prioritných </w:t>
      </w:r>
      <w:r w:rsidRPr="00541EFD">
        <w:rPr>
          <w:sz w:val="22"/>
          <w:szCs w:val="22"/>
        </w:rPr>
        <w:t>osí 3 a</w:t>
      </w:r>
      <w:r>
        <w:rPr>
          <w:sz w:val="22"/>
          <w:szCs w:val="22"/>
        </w:rPr>
        <w:t> </w:t>
      </w:r>
      <w:r w:rsidRPr="00541EFD">
        <w:rPr>
          <w:sz w:val="22"/>
          <w:szCs w:val="22"/>
        </w:rPr>
        <w:t>6.</w:t>
      </w:r>
    </w:p>
    <w:p w14:paraId="36AC6415" w14:textId="77777777" w:rsidR="00DB79F5" w:rsidRDefault="00DB79F5" w:rsidP="00DB79F5">
      <w:pPr>
        <w:spacing w:before="240" w:after="120"/>
        <w:jc w:val="both"/>
        <w:rPr>
          <w:sz w:val="22"/>
          <w:szCs w:val="22"/>
        </w:rPr>
      </w:pPr>
      <w:r w:rsidRPr="00E73D2B">
        <w:rPr>
          <w:sz w:val="22"/>
          <w:szCs w:val="22"/>
        </w:rPr>
        <w:t xml:space="preserve">Rámec pre implementáciu stratégie Európa 2020 na úrovni členských štátov stanovuje dokument </w:t>
      </w:r>
      <w:r>
        <w:rPr>
          <w:sz w:val="22"/>
          <w:szCs w:val="22"/>
        </w:rPr>
        <w:t>„</w:t>
      </w:r>
      <w:r w:rsidRPr="00E73D2B">
        <w:rPr>
          <w:sz w:val="22"/>
          <w:szCs w:val="22"/>
        </w:rPr>
        <w:t>Integrované usmernenia stratégie Európa 2020</w:t>
      </w:r>
      <w:r>
        <w:rPr>
          <w:sz w:val="22"/>
          <w:szCs w:val="22"/>
        </w:rPr>
        <w:t>“</w:t>
      </w:r>
      <w:r w:rsidRPr="00E73D2B">
        <w:rPr>
          <w:sz w:val="22"/>
          <w:szCs w:val="22"/>
        </w:rPr>
        <w:t>. Ciele stanovené v</w:t>
      </w:r>
      <w:r>
        <w:rPr>
          <w:sz w:val="22"/>
          <w:szCs w:val="22"/>
        </w:rPr>
        <w:t> </w:t>
      </w:r>
      <w:r w:rsidRPr="00E73D2B">
        <w:rPr>
          <w:sz w:val="22"/>
          <w:szCs w:val="22"/>
        </w:rPr>
        <w:t>OPII sú v</w:t>
      </w:r>
      <w:r>
        <w:rPr>
          <w:sz w:val="22"/>
          <w:szCs w:val="22"/>
        </w:rPr>
        <w:t> </w:t>
      </w:r>
      <w:r w:rsidRPr="00E73D2B">
        <w:rPr>
          <w:sz w:val="22"/>
          <w:szCs w:val="22"/>
        </w:rPr>
        <w:t>súlade so stratégiou tohto dokumentu a</w:t>
      </w:r>
      <w:r>
        <w:rPr>
          <w:sz w:val="22"/>
          <w:szCs w:val="22"/>
        </w:rPr>
        <w:t> </w:t>
      </w:r>
      <w:r w:rsidRPr="00E73D2B">
        <w:rPr>
          <w:sz w:val="22"/>
          <w:szCs w:val="22"/>
        </w:rPr>
        <w:t>prispievajú k</w:t>
      </w:r>
      <w:r>
        <w:rPr>
          <w:sz w:val="22"/>
          <w:szCs w:val="22"/>
        </w:rPr>
        <w:t> napĺňaniu</w:t>
      </w:r>
      <w:r w:rsidRPr="00E73D2B">
        <w:rPr>
          <w:sz w:val="22"/>
          <w:szCs w:val="22"/>
        </w:rPr>
        <w:t xml:space="preserve"> cieľov: „Zlepšiť efektívnosť využívania zdrojov a</w:t>
      </w:r>
      <w:r>
        <w:rPr>
          <w:sz w:val="22"/>
          <w:szCs w:val="22"/>
        </w:rPr>
        <w:t> </w:t>
      </w:r>
      <w:r w:rsidRPr="00E73D2B">
        <w:rPr>
          <w:sz w:val="22"/>
          <w:szCs w:val="22"/>
        </w:rPr>
        <w:t>znížiť emisie skleníkových plynov“, „Zlepšiť podnikateľské a</w:t>
      </w:r>
      <w:r>
        <w:rPr>
          <w:sz w:val="22"/>
          <w:szCs w:val="22"/>
        </w:rPr>
        <w:t> </w:t>
      </w:r>
      <w:r w:rsidRPr="00E73D2B">
        <w:rPr>
          <w:sz w:val="22"/>
          <w:szCs w:val="22"/>
        </w:rPr>
        <w:t>spotrebiteľské prostredie a</w:t>
      </w:r>
      <w:r>
        <w:rPr>
          <w:sz w:val="22"/>
          <w:szCs w:val="22"/>
        </w:rPr>
        <w:t> </w:t>
      </w:r>
      <w:r w:rsidRPr="00E73D2B">
        <w:rPr>
          <w:sz w:val="22"/>
          <w:szCs w:val="22"/>
        </w:rPr>
        <w:t>modernizácia priemyselnej základne v</w:t>
      </w:r>
      <w:r>
        <w:rPr>
          <w:sz w:val="22"/>
          <w:szCs w:val="22"/>
        </w:rPr>
        <w:t> </w:t>
      </w:r>
      <w:r w:rsidRPr="00E73D2B">
        <w:rPr>
          <w:sz w:val="22"/>
          <w:szCs w:val="22"/>
        </w:rPr>
        <w:t>záujme zabezpečenia plného fungovania vnútorného trhu“ a</w:t>
      </w:r>
      <w:r>
        <w:rPr>
          <w:sz w:val="22"/>
          <w:szCs w:val="22"/>
        </w:rPr>
        <w:t> </w:t>
      </w:r>
      <w:r w:rsidRPr="00E73D2B">
        <w:rPr>
          <w:sz w:val="22"/>
          <w:szCs w:val="22"/>
        </w:rPr>
        <w:t>tiež cieľov zameriavajúcich sa na vzdelávanie a</w:t>
      </w:r>
      <w:r>
        <w:rPr>
          <w:sz w:val="22"/>
          <w:szCs w:val="22"/>
        </w:rPr>
        <w:t> </w:t>
      </w:r>
      <w:r w:rsidRPr="00E73D2B">
        <w:rPr>
          <w:sz w:val="22"/>
          <w:szCs w:val="22"/>
        </w:rPr>
        <w:t>trh práce. K</w:t>
      </w:r>
      <w:r>
        <w:rPr>
          <w:sz w:val="22"/>
          <w:szCs w:val="22"/>
        </w:rPr>
        <w:t> </w:t>
      </w:r>
      <w:r w:rsidRPr="00E73D2B">
        <w:rPr>
          <w:sz w:val="22"/>
          <w:szCs w:val="22"/>
        </w:rPr>
        <w:t xml:space="preserve">týmto zámerom bude </w:t>
      </w:r>
      <w:r w:rsidRPr="00D7324B">
        <w:rPr>
          <w:sz w:val="22"/>
          <w:szCs w:val="22"/>
        </w:rPr>
        <w:t>OPII</w:t>
      </w:r>
      <w:r w:rsidRPr="00E73D2B">
        <w:rPr>
          <w:sz w:val="22"/>
          <w:szCs w:val="22"/>
        </w:rPr>
        <w:t xml:space="preserve"> prispievať najmä plnením definovaných špecifických cieľov prioritných osí 1, 2, 3, 4, 5 a</w:t>
      </w:r>
      <w:r>
        <w:rPr>
          <w:sz w:val="22"/>
          <w:szCs w:val="22"/>
        </w:rPr>
        <w:t> </w:t>
      </w:r>
      <w:r w:rsidRPr="00E73D2B">
        <w:rPr>
          <w:sz w:val="22"/>
          <w:szCs w:val="22"/>
        </w:rPr>
        <w:t>6.</w:t>
      </w:r>
    </w:p>
    <w:p w14:paraId="0E884503" w14:textId="77777777" w:rsidR="00DB79F5" w:rsidRPr="0044578F" w:rsidRDefault="00DB79F5" w:rsidP="00DB79F5">
      <w:pPr>
        <w:spacing w:before="180" w:after="120"/>
        <w:jc w:val="both"/>
        <w:rPr>
          <w:sz w:val="22"/>
          <w:szCs w:val="22"/>
          <w:u w:val="single"/>
        </w:rPr>
      </w:pPr>
      <w:r w:rsidRPr="0044578F">
        <w:rPr>
          <w:sz w:val="22"/>
          <w:szCs w:val="22"/>
          <w:u w:val="single"/>
        </w:rPr>
        <w:t xml:space="preserve">Biela kniha – Plán jednotného európskeho dopravného priestoru – Vytvorenie konkurencieschopného </w:t>
      </w:r>
      <w:r w:rsidR="002B0BB0">
        <w:rPr>
          <w:sz w:val="22"/>
          <w:szCs w:val="22"/>
          <w:u w:val="single"/>
        </w:rPr>
        <w:t>dopravného</w:t>
      </w:r>
      <w:r w:rsidRPr="0044578F">
        <w:rPr>
          <w:sz w:val="22"/>
          <w:szCs w:val="22"/>
          <w:u w:val="single"/>
        </w:rPr>
        <w:t xml:space="preserve"> systému efektívne využívajúceho zdroje</w:t>
      </w:r>
    </w:p>
    <w:p w14:paraId="1CCC2D3A" w14:textId="77777777" w:rsidR="00DB79F5" w:rsidRPr="0044578F" w:rsidRDefault="00DB79F5" w:rsidP="00DB79F5">
      <w:pPr>
        <w:spacing w:before="180"/>
        <w:jc w:val="both"/>
        <w:rPr>
          <w:sz w:val="22"/>
          <w:szCs w:val="22"/>
        </w:rPr>
      </w:pPr>
      <w:r w:rsidRPr="0044578F">
        <w:rPr>
          <w:sz w:val="22"/>
          <w:szCs w:val="22"/>
        </w:rPr>
        <w:t>Biela kniha zahŕňa 40 konkrétnych iniciatív pre vybudovanie konkurencieschopného dopravného systém</w:t>
      </w:r>
      <w:r w:rsidR="00D5177B">
        <w:rPr>
          <w:sz w:val="22"/>
          <w:szCs w:val="22"/>
        </w:rPr>
        <w:t>u v budúcom desaťročí. Hlavným</w:t>
      </w:r>
      <w:r w:rsidRPr="0044578F">
        <w:rPr>
          <w:sz w:val="22"/>
          <w:szCs w:val="22"/>
        </w:rPr>
        <w:t> novým cieľom je zásadne znížiť závislosť Európy na dovážanej rope a znížiť uhlíkové emisie o</w:t>
      </w:r>
      <w:r>
        <w:rPr>
          <w:sz w:val="22"/>
          <w:szCs w:val="22"/>
        </w:rPr>
        <w:t> </w:t>
      </w:r>
      <w:r w:rsidRPr="0044578F">
        <w:rPr>
          <w:sz w:val="22"/>
          <w:szCs w:val="22"/>
        </w:rPr>
        <w:t>60</w:t>
      </w:r>
      <w:r>
        <w:rPr>
          <w:sz w:val="22"/>
          <w:szCs w:val="22"/>
        </w:rPr>
        <w:t xml:space="preserve"> </w:t>
      </w:r>
      <w:r w:rsidRPr="0044578F">
        <w:rPr>
          <w:sz w:val="22"/>
          <w:szCs w:val="22"/>
        </w:rPr>
        <w:t>% do roku 2050, prestať používať konvenčné pohony v mestách, využívať 40% nízkouhlíkových palív v leteckej doprave, o</w:t>
      </w:r>
      <w:r>
        <w:rPr>
          <w:sz w:val="22"/>
          <w:szCs w:val="22"/>
        </w:rPr>
        <w:t> </w:t>
      </w:r>
      <w:r w:rsidRPr="0044578F">
        <w:rPr>
          <w:sz w:val="22"/>
          <w:szCs w:val="22"/>
        </w:rPr>
        <w:t>40</w:t>
      </w:r>
      <w:r>
        <w:rPr>
          <w:sz w:val="22"/>
          <w:szCs w:val="22"/>
        </w:rPr>
        <w:t xml:space="preserve"> </w:t>
      </w:r>
      <w:r w:rsidRPr="0044578F">
        <w:rPr>
          <w:sz w:val="22"/>
          <w:szCs w:val="22"/>
        </w:rPr>
        <w:t>% znížiť emisie vo vodnej doprave. OPII reflektuje vo svojich špecifických cieľoch najmä tieto hlavné ciele Bielej knihy:</w:t>
      </w:r>
    </w:p>
    <w:p w14:paraId="5FEFD931" w14:textId="77777777" w:rsidR="009E0158" w:rsidRDefault="00DB79F5" w:rsidP="003309FB">
      <w:pPr>
        <w:pStyle w:val="Odsekzoznamu"/>
        <w:numPr>
          <w:ilvl w:val="0"/>
          <w:numId w:val="27"/>
        </w:numPr>
        <w:spacing w:before="180" w:after="120"/>
        <w:ind w:left="426" w:hanging="284"/>
        <w:contextualSpacing w:val="0"/>
        <w:jc w:val="both"/>
        <w:rPr>
          <w:sz w:val="22"/>
          <w:szCs w:val="22"/>
        </w:rPr>
      </w:pPr>
      <w:r w:rsidRPr="00BA60B0">
        <w:rPr>
          <w:sz w:val="22"/>
          <w:szCs w:val="22"/>
        </w:rPr>
        <w:t>sprevádzkovať do roku 2030 v celej EÚ plne funkčnú multi</w:t>
      </w:r>
      <w:r w:rsidR="009322BF">
        <w:rPr>
          <w:sz w:val="22"/>
          <w:szCs w:val="22"/>
        </w:rPr>
        <w:t>modálnu „základnú sieť“ TEN-T s </w:t>
      </w:r>
      <w:r w:rsidRPr="00BA60B0">
        <w:rPr>
          <w:sz w:val="22"/>
          <w:szCs w:val="22"/>
        </w:rPr>
        <w:t>vysokokvalitnou a vysokokapacitnou sieťou do roku 2050 a so zodpovedajúcim súborom informačných služieb. K tomuto zámeru bude prispievať OPII najmä plnením definovaných špecifických cieľov prioritných osí 1, 2, 4, 5 a 6,</w:t>
      </w:r>
    </w:p>
    <w:p w14:paraId="0F6C25D0" w14:textId="77777777" w:rsidR="009E0158" w:rsidRDefault="00DB79F5" w:rsidP="003309FB">
      <w:pPr>
        <w:pStyle w:val="Odsekzoznamu"/>
        <w:numPr>
          <w:ilvl w:val="0"/>
          <w:numId w:val="27"/>
        </w:numPr>
        <w:spacing w:before="180" w:after="120"/>
        <w:ind w:left="426" w:hanging="284"/>
        <w:contextualSpacing w:val="0"/>
        <w:jc w:val="both"/>
        <w:rPr>
          <w:sz w:val="22"/>
          <w:szCs w:val="22"/>
        </w:rPr>
      </w:pPr>
      <w:r w:rsidRPr="00BA60B0">
        <w:rPr>
          <w:sz w:val="22"/>
          <w:szCs w:val="22"/>
        </w:rPr>
        <w:t>do roku 2030 previesť 30 % cestnej nákladnej dopravy nad 300 km na iné druhy dopravy, napr. na železničnú alebo vnútrozemskú vodnú dopravu, a do roku 2050 viac ako 50%. Zároveň dosiahnuť, aby sa do roku 2050 väčšina cestujúcich na strednú vzdialenosť prepravovala po železnici. K tomuto zámeru bude OPII prispievať najmä plnením definovaných špecifických cieľov prioritných osí 1 a 4. V rozhodujúcej miere prispejú taktiež zdroje z nástroja NPE,</w:t>
      </w:r>
    </w:p>
    <w:p w14:paraId="42F35D73" w14:textId="77777777" w:rsidR="009E0158" w:rsidRDefault="00DB79F5" w:rsidP="003309FB">
      <w:pPr>
        <w:pStyle w:val="Odsekzoznamu"/>
        <w:numPr>
          <w:ilvl w:val="0"/>
          <w:numId w:val="27"/>
        </w:numPr>
        <w:spacing w:before="120" w:after="120"/>
        <w:ind w:left="426" w:hanging="284"/>
        <w:contextualSpacing w:val="0"/>
        <w:jc w:val="both"/>
        <w:rPr>
          <w:sz w:val="22"/>
          <w:szCs w:val="22"/>
        </w:rPr>
      </w:pPr>
      <w:r w:rsidRPr="00BA60B0">
        <w:rPr>
          <w:sz w:val="22"/>
          <w:szCs w:val="22"/>
        </w:rPr>
        <w:lastRenderedPageBreak/>
        <w:t>do roku 2050 dosiahnuť prepojenie všetkých letísk na hlavnej sieti na železničnú sieť. K tomuto zámeru bude OPII nepriamo prispievať najmä plnením definovaných špecifických cieľov prioritných osí 1 a 5,</w:t>
      </w:r>
    </w:p>
    <w:p w14:paraId="0D54EA29" w14:textId="77777777" w:rsidR="009E0158" w:rsidRDefault="00DB79F5" w:rsidP="003309FB">
      <w:pPr>
        <w:pStyle w:val="Odsekzoznamu"/>
        <w:numPr>
          <w:ilvl w:val="0"/>
          <w:numId w:val="27"/>
        </w:numPr>
        <w:spacing w:before="180" w:after="120"/>
        <w:ind w:left="426" w:hanging="284"/>
        <w:contextualSpacing w:val="0"/>
        <w:jc w:val="both"/>
        <w:rPr>
          <w:sz w:val="22"/>
          <w:szCs w:val="22"/>
        </w:rPr>
      </w:pPr>
      <w:r w:rsidRPr="00BA60B0">
        <w:rPr>
          <w:sz w:val="22"/>
          <w:szCs w:val="22"/>
        </w:rPr>
        <w:t>usilovať sa o zníženie počtu úmrtí v cestnej doprave do roku 2020 o</w:t>
      </w:r>
      <w:r w:rsidR="00D5177B">
        <w:rPr>
          <w:sz w:val="22"/>
          <w:szCs w:val="22"/>
        </w:rPr>
        <w:t> </w:t>
      </w:r>
      <w:r w:rsidRPr="00BA60B0">
        <w:rPr>
          <w:sz w:val="22"/>
          <w:szCs w:val="22"/>
        </w:rPr>
        <w:t>polovicu</w:t>
      </w:r>
      <w:r w:rsidR="00D5177B">
        <w:rPr>
          <w:sz w:val="22"/>
          <w:szCs w:val="22"/>
        </w:rPr>
        <w:t xml:space="preserve"> v porovnaní s rokom 2010 a v horizonte roka</w:t>
      </w:r>
      <w:r w:rsidRPr="00BA60B0">
        <w:rPr>
          <w:sz w:val="22"/>
          <w:szCs w:val="22"/>
        </w:rPr>
        <w:t xml:space="preserve"> 2050</w:t>
      </w:r>
      <w:r w:rsidR="00D5177B">
        <w:rPr>
          <w:sz w:val="22"/>
          <w:szCs w:val="22"/>
        </w:rPr>
        <w:t xml:space="preserve"> znížiť počet usmrtení</w:t>
      </w:r>
      <w:r w:rsidRPr="00BA60B0">
        <w:rPr>
          <w:sz w:val="22"/>
          <w:szCs w:val="22"/>
        </w:rPr>
        <w:t xml:space="preserve"> takmer na nulu. K tomuto zámeru bude OPII prispievať najmä plnením špecifických cieľov prioritných osí 2 a 6.</w:t>
      </w:r>
    </w:p>
    <w:p w14:paraId="0DA7D128" w14:textId="77777777" w:rsidR="00DB79F5" w:rsidRDefault="0074006D" w:rsidP="0074006D">
      <w:pPr>
        <w:spacing w:before="180" w:after="120"/>
        <w:jc w:val="both"/>
        <w:rPr>
          <w:sz w:val="22"/>
          <w:szCs w:val="22"/>
          <w:u w:val="single"/>
        </w:rPr>
      </w:pPr>
      <w:r w:rsidRPr="0074006D">
        <w:rPr>
          <w:sz w:val="22"/>
          <w:szCs w:val="22"/>
          <w:u w:val="single"/>
        </w:rPr>
        <w:t>Nariadenie Európskeho parlamentu a Rady EÚ č. 1315/2013 z 11. decembra 2013 o usmerneniach Únie pre rozvoj transeurópskej dopravnej siete a o zrušení rozhodnutia č. 661/2010/EÚ</w:t>
      </w:r>
    </w:p>
    <w:p w14:paraId="7A0FB016" w14:textId="77777777" w:rsidR="009F007F" w:rsidRPr="003E67A7" w:rsidRDefault="009F007F" w:rsidP="009F007F">
      <w:pPr>
        <w:widowControl w:val="0"/>
        <w:tabs>
          <w:tab w:val="left" w:pos="0"/>
          <w:tab w:val="left" w:pos="851"/>
        </w:tabs>
        <w:adjustRightInd w:val="0"/>
        <w:spacing w:before="120"/>
        <w:jc w:val="both"/>
        <w:textAlignment w:val="baseline"/>
        <w:rPr>
          <w:snapToGrid w:val="0"/>
          <w:sz w:val="22"/>
          <w:szCs w:val="22"/>
          <w:lang w:eastAsia="cs-CZ"/>
        </w:rPr>
      </w:pPr>
      <w:r w:rsidRPr="003E67A7">
        <w:rPr>
          <w:snapToGrid w:val="0"/>
          <w:sz w:val="22"/>
          <w:szCs w:val="22"/>
          <w:lang w:eastAsia="cs-CZ"/>
        </w:rPr>
        <w:t xml:space="preserve">V nariadení sa stanovujú usmernenia pre rozvoj TEN-T siete s dvojúrovňovou štruktúrou, ktorá pozostáva zo </w:t>
      </w:r>
      <w:r w:rsidRPr="003E67A7">
        <w:rPr>
          <w:b/>
          <w:snapToGrid w:val="0"/>
          <w:sz w:val="22"/>
          <w:szCs w:val="22"/>
          <w:lang w:eastAsia="cs-CZ"/>
        </w:rPr>
        <w:t>súhrnnej siete</w:t>
      </w:r>
      <w:r w:rsidRPr="003E67A7">
        <w:rPr>
          <w:snapToGrid w:val="0"/>
          <w:sz w:val="22"/>
          <w:szCs w:val="22"/>
          <w:lang w:eastAsia="cs-CZ"/>
        </w:rPr>
        <w:t xml:space="preserve"> (</w:t>
      </w:r>
      <w:r w:rsidRPr="003E67A7">
        <w:rPr>
          <w:b/>
          <w:snapToGrid w:val="0"/>
          <w:sz w:val="22"/>
          <w:szCs w:val="22"/>
          <w:lang w:eastAsia="cs-CZ"/>
        </w:rPr>
        <w:t>comprehensive</w:t>
      </w:r>
      <w:r w:rsidRPr="003E67A7">
        <w:rPr>
          <w:snapToGrid w:val="0"/>
          <w:sz w:val="22"/>
          <w:szCs w:val="22"/>
          <w:lang w:eastAsia="cs-CZ"/>
        </w:rPr>
        <w:t>) a </w:t>
      </w:r>
      <w:r w:rsidRPr="003E67A7">
        <w:rPr>
          <w:b/>
          <w:snapToGrid w:val="0"/>
          <w:sz w:val="22"/>
          <w:szCs w:val="22"/>
          <w:lang w:eastAsia="cs-CZ"/>
        </w:rPr>
        <w:t>základnej siete (core)</w:t>
      </w:r>
      <w:r w:rsidRPr="003E67A7">
        <w:rPr>
          <w:snapToGrid w:val="0"/>
          <w:sz w:val="22"/>
          <w:szCs w:val="22"/>
          <w:lang w:eastAsia="cs-CZ"/>
        </w:rPr>
        <w:t xml:space="preserve">. Základná sieť je podskupinou súhrnnej siete, ktorá ju prekrýva. Predstavuje strategicky najvýznamnejšie uzly a prepojenia TEN-T siete v závislosti od dopravných potrieb. Zahŕňa všetky druhy dopravy a ich prepojenia, ako aj príslušné dopravné a informačné riadiace systémy. </w:t>
      </w:r>
      <w:r w:rsidRPr="003E67A7">
        <w:rPr>
          <w:b/>
          <w:sz w:val="22"/>
          <w:szCs w:val="22"/>
          <w:lang w:eastAsia="cs-CZ"/>
        </w:rPr>
        <w:t>Nariadenie predpokladá ukončenie budovania základnej siete do roku 2030</w:t>
      </w:r>
      <w:r w:rsidRPr="003E67A7">
        <w:rPr>
          <w:sz w:val="22"/>
          <w:szCs w:val="22"/>
          <w:lang w:eastAsia="cs-CZ"/>
        </w:rPr>
        <w:t xml:space="preserve"> prostredníctvom vytvorenia novej,</w:t>
      </w:r>
      <w:r w:rsidRPr="003E67A7">
        <w:rPr>
          <w:snapToGrid w:val="0"/>
          <w:sz w:val="22"/>
          <w:szCs w:val="22"/>
          <w:lang w:eastAsia="cs-CZ"/>
        </w:rPr>
        <w:t xml:space="preserve"> ako aj zásadnej modernizácie a</w:t>
      </w:r>
      <w:r w:rsidR="00D5177B">
        <w:rPr>
          <w:snapToGrid w:val="0"/>
          <w:sz w:val="22"/>
          <w:szCs w:val="22"/>
          <w:lang w:eastAsia="cs-CZ"/>
        </w:rPr>
        <w:t> </w:t>
      </w:r>
      <w:r w:rsidRPr="003E67A7">
        <w:rPr>
          <w:sz w:val="22"/>
          <w:szCs w:val="22"/>
          <w:lang w:eastAsia="cs-CZ"/>
        </w:rPr>
        <w:t>obnovy</w:t>
      </w:r>
      <w:r w:rsidR="00D5177B">
        <w:rPr>
          <w:sz w:val="22"/>
          <w:szCs w:val="22"/>
          <w:lang w:eastAsia="cs-CZ"/>
        </w:rPr>
        <w:t xml:space="preserve"> už</w:t>
      </w:r>
      <w:r w:rsidRPr="003E67A7">
        <w:rPr>
          <w:sz w:val="22"/>
          <w:szCs w:val="22"/>
          <w:lang w:eastAsia="cs-CZ"/>
        </w:rPr>
        <w:t xml:space="preserve"> existujúcej</w:t>
      </w:r>
      <w:r w:rsidRPr="003E67A7">
        <w:rPr>
          <w:snapToGrid w:val="0"/>
          <w:sz w:val="22"/>
          <w:szCs w:val="22"/>
          <w:lang w:eastAsia="cs-CZ"/>
        </w:rPr>
        <w:t xml:space="preserve"> infraštruktúry.</w:t>
      </w:r>
    </w:p>
    <w:p w14:paraId="46E343E9" w14:textId="77777777" w:rsidR="0074006D" w:rsidRPr="0074006D" w:rsidRDefault="0074006D" w:rsidP="009F007F">
      <w:pPr>
        <w:spacing w:before="120" w:after="120"/>
        <w:jc w:val="both"/>
        <w:rPr>
          <w:sz w:val="22"/>
          <w:szCs w:val="22"/>
          <w:u w:val="single"/>
        </w:rPr>
      </w:pPr>
      <w:r w:rsidRPr="0074006D">
        <w:rPr>
          <w:sz w:val="22"/>
          <w:szCs w:val="22"/>
          <w:u w:val="single"/>
        </w:rPr>
        <w:t>Základná sieť</w:t>
      </w:r>
      <w:r w:rsidR="00DD66FE">
        <w:rPr>
          <w:sz w:val="22"/>
          <w:szCs w:val="22"/>
          <w:u w:val="single"/>
        </w:rPr>
        <w:t xml:space="preserve"> TEN-T</w:t>
      </w:r>
    </w:p>
    <w:p w14:paraId="17B12EAB" w14:textId="77777777" w:rsidR="009E0158" w:rsidRDefault="0074006D" w:rsidP="003309FB">
      <w:pPr>
        <w:pStyle w:val="Odsekzoznamu"/>
        <w:numPr>
          <w:ilvl w:val="0"/>
          <w:numId w:val="57"/>
        </w:numPr>
        <w:ind w:left="567" w:hanging="283"/>
        <w:jc w:val="both"/>
        <w:rPr>
          <w:sz w:val="22"/>
          <w:szCs w:val="22"/>
        </w:rPr>
      </w:pPr>
      <w:r w:rsidRPr="0074006D">
        <w:rPr>
          <w:sz w:val="22"/>
          <w:szCs w:val="22"/>
        </w:rPr>
        <w:t>D1 Bratislava – Trnava – Trenčín – Žilina – Poprad – Prešov – Košice – št. hr. SR/Ukrajina</w:t>
      </w:r>
      <w:r>
        <w:rPr>
          <w:sz w:val="22"/>
          <w:szCs w:val="22"/>
        </w:rPr>
        <w:t>,</w:t>
      </w:r>
    </w:p>
    <w:p w14:paraId="0358149E" w14:textId="77777777" w:rsidR="009E0158" w:rsidRDefault="0074006D" w:rsidP="003309FB">
      <w:pPr>
        <w:pStyle w:val="Odsekzoznamu"/>
        <w:numPr>
          <w:ilvl w:val="0"/>
          <w:numId w:val="57"/>
        </w:numPr>
        <w:ind w:left="567" w:hanging="283"/>
        <w:jc w:val="both"/>
        <w:rPr>
          <w:sz w:val="22"/>
          <w:szCs w:val="22"/>
        </w:rPr>
      </w:pPr>
      <w:r w:rsidRPr="0074006D">
        <w:rPr>
          <w:sz w:val="22"/>
          <w:szCs w:val="22"/>
        </w:rPr>
        <w:t>D2 št. hr. SR/ČR – Kúty – Bratislava – št. hr. SR/Maďarsko</w:t>
      </w:r>
      <w:r>
        <w:rPr>
          <w:sz w:val="22"/>
          <w:szCs w:val="22"/>
        </w:rPr>
        <w:t>,</w:t>
      </w:r>
    </w:p>
    <w:p w14:paraId="651B913E" w14:textId="77777777" w:rsidR="009E0158" w:rsidRDefault="0074006D" w:rsidP="003309FB">
      <w:pPr>
        <w:pStyle w:val="Odsekzoznamu"/>
        <w:numPr>
          <w:ilvl w:val="0"/>
          <w:numId w:val="57"/>
        </w:numPr>
        <w:ind w:left="567" w:hanging="283"/>
        <w:jc w:val="both"/>
        <w:rPr>
          <w:sz w:val="22"/>
          <w:szCs w:val="22"/>
        </w:rPr>
      </w:pPr>
      <w:r w:rsidRPr="0074006D">
        <w:rPr>
          <w:sz w:val="22"/>
          <w:szCs w:val="22"/>
        </w:rPr>
        <w:t>D3 Hričovské Podhradie – Čadca – Skalité – št. hr. SR/Poľsko</w:t>
      </w:r>
      <w:r>
        <w:rPr>
          <w:sz w:val="22"/>
          <w:szCs w:val="22"/>
        </w:rPr>
        <w:t>,</w:t>
      </w:r>
    </w:p>
    <w:p w14:paraId="6D9FD8EE" w14:textId="77777777" w:rsidR="009E0158" w:rsidRDefault="0074006D" w:rsidP="003309FB">
      <w:pPr>
        <w:pStyle w:val="Odsekzoznamu"/>
        <w:numPr>
          <w:ilvl w:val="0"/>
          <w:numId w:val="57"/>
        </w:numPr>
        <w:ind w:left="567" w:hanging="283"/>
        <w:jc w:val="both"/>
        <w:rPr>
          <w:sz w:val="22"/>
          <w:szCs w:val="22"/>
        </w:rPr>
      </w:pPr>
      <w:r w:rsidRPr="0074006D">
        <w:rPr>
          <w:sz w:val="22"/>
          <w:szCs w:val="22"/>
        </w:rPr>
        <w:t>D4 št. hr. SR/Rakúsko – Jarovce</w:t>
      </w:r>
      <w:r>
        <w:rPr>
          <w:sz w:val="22"/>
          <w:szCs w:val="22"/>
        </w:rPr>
        <w:t>,</w:t>
      </w:r>
    </w:p>
    <w:p w14:paraId="28520166" w14:textId="77777777" w:rsidR="009E0158" w:rsidRDefault="0074006D" w:rsidP="003309FB">
      <w:pPr>
        <w:pStyle w:val="Odsekzoznamu"/>
        <w:numPr>
          <w:ilvl w:val="0"/>
          <w:numId w:val="57"/>
        </w:numPr>
        <w:ind w:left="567" w:hanging="283"/>
        <w:jc w:val="both"/>
        <w:rPr>
          <w:sz w:val="22"/>
          <w:szCs w:val="22"/>
        </w:rPr>
      </w:pPr>
      <w:r w:rsidRPr="0074006D">
        <w:rPr>
          <w:sz w:val="22"/>
          <w:szCs w:val="22"/>
        </w:rPr>
        <w:t>R3 Martin – Žiar nad Hronom – Zvolen – Krupina – Šahy – št. hr. SR/Maďarsko</w:t>
      </w:r>
      <w:r>
        <w:rPr>
          <w:sz w:val="22"/>
          <w:szCs w:val="22"/>
        </w:rPr>
        <w:t>,</w:t>
      </w:r>
    </w:p>
    <w:p w14:paraId="6D0C5EEC" w14:textId="77777777" w:rsidR="009E0158" w:rsidRDefault="0074006D" w:rsidP="003309FB">
      <w:pPr>
        <w:pStyle w:val="Odsekzoznamu"/>
        <w:numPr>
          <w:ilvl w:val="0"/>
          <w:numId w:val="57"/>
        </w:numPr>
        <w:ind w:left="567" w:hanging="283"/>
        <w:jc w:val="both"/>
        <w:rPr>
          <w:sz w:val="22"/>
          <w:szCs w:val="22"/>
        </w:rPr>
      </w:pPr>
      <w:r w:rsidRPr="0074006D">
        <w:rPr>
          <w:sz w:val="22"/>
          <w:szCs w:val="22"/>
        </w:rPr>
        <w:t>R6 Beluša – Púchov – Lysá pod Makytou – št. hr SR/ČR</w:t>
      </w:r>
      <w:r>
        <w:rPr>
          <w:sz w:val="22"/>
          <w:szCs w:val="22"/>
        </w:rPr>
        <w:t>.</w:t>
      </w:r>
    </w:p>
    <w:p w14:paraId="0EA27EC5" w14:textId="77777777" w:rsidR="0074006D" w:rsidRPr="0074006D" w:rsidRDefault="009F007F" w:rsidP="009F007F">
      <w:pPr>
        <w:spacing w:before="120" w:after="120"/>
        <w:jc w:val="both"/>
        <w:rPr>
          <w:sz w:val="22"/>
          <w:szCs w:val="22"/>
          <w:u w:val="single"/>
        </w:rPr>
      </w:pPr>
      <w:r>
        <w:rPr>
          <w:sz w:val="22"/>
          <w:szCs w:val="22"/>
          <w:u w:val="single"/>
        </w:rPr>
        <w:t>Súhrnná</w:t>
      </w:r>
      <w:r w:rsidR="0074006D" w:rsidRPr="0074006D">
        <w:rPr>
          <w:sz w:val="22"/>
          <w:szCs w:val="22"/>
          <w:u w:val="single"/>
        </w:rPr>
        <w:t xml:space="preserve"> sieť</w:t>
      </w:r>
      <w:r w:rsidR="00DD66FE">
        <w:rPr>
          <w:sz w:val="22"/>
          <w:szCs w:val="22"/>
          <w:u w:val="single"/>
        </w:rPr>
        <w:t xml:space="preserve"> TEN-T</w:t>
      </w:r>
    </w:p>
    <w:p w14:paraId="0AE608F0" w14:textId="77777777" w:rsidR="009E0158" w:rsidRDefault="0074006D" w:rsidP="003309FB">
      <w:pPr>
        <w:pStyle w:val="Odsekzoznamu"/>
        <w:numPr>
          <w:ilvl w:val="0"/>
          <w:numId w:val="57"/>
        </w:numPr>
        <w:ind w:left="567" w:hanging="283"/>
        <w:jc w:val="both"/>
        <w:rPr>
          <w:sz w:val="22"/>
          <w:szCs w:val="22"/>
        </w:rPr>
      </w:pPr>
      <w:r w:rsidRPr="0074006D">
        <w:rPr>
          <w:sz w:val="22"/>
          <w:szCs w:val="22"/>
        </w:rPr>
        <w:t>R1 Trnava – Nitra – Žiar nad Hronom – Zvolen – Banská Bystrica – Ružomberok</w:t>
      </w:r>
      <w:r>
        <w:rPr>
          <w:sz w:val="22"/>
          <w:szCs w:val="22"/>
        </w:rPr>
        <w:t>,</w:t>
      </w:r>
    </w:p>
    <w:p w14:paraId="35F18999" w14:textId="77777777" w:rsidR="009E0158" w:rsidRDefault="0074006D" w:rsidP="003309FB">
      <w:pPr>
        <w:pStyle w:val="Odsekzoznamu"/>
        <w:numPr>
          <w:ilvl w:val="0"/>
          <w:numId w:val="57"/>
        </w:numPr>
        <w:ind w:left="567" w:hanging="283"/>
        <w:jc w:val="both"/>
        <w:rPr>
          <w:sz w:val="22"/>
          <w:szCs w:val="22"/>
        </w:rPr>
      </w:pPr>
      <w:r w:rsidRPr="0074006D">
        <w:rPr>
          <w:sz w:val="22"/>
          <w:szCs w:val="22"/>
        </w:rPr>
        <w:t xml:space="preserve">R2 Trenčín – Prievidza – Žiar nad Hronom – Zvolen – Lučenec – Rožňava </w:t>
      </w:r>
      <w:r>
        <w:rPr>
          <w:sz w:val="22"/>
          <w:szCs w:val="22"/>
        </w:rPr>
        <w:t>–</w:t>
      </w:r>
      <w:r w:rsidRPr="0074006D">
        <w:rPr>
          <w:sz w:val="22"/>
          <w:szCs w:val="22"/>
        </w:rPr>
        <w:t xml:space="preserve"> Košice</w:t>
      </w:r>
      <w:r>
        <w:rPr>
          <w:sz w:val="22"/>
          <w:szCs w:val="22"/>
        </w:rPr>
        <w:t>,</w:t>
      </w:r>
    </w:p>
    <w:p w14:paraId="0E388515" w14:textId="77777777" w:rsidR="009E0158" w:rsidRDefault="0074006D" w:rsidP="003309FB">
      <w:pPr>
        <w:pStyle w:val="Odsekzoznamu"/>
        <w:numPr>
          <w:ilvl w:val="0"/>
          <w:numId w:val="57"/>
        </w:numPr>
        <w:ind w:left="567" w:hanging="283"/>
        <w:jc w:val="both"/>
        <w:rPr>
          <w:sz w:val="22"/>
          <w:szCs w:val="22"/>
        </w:rPr>
      </w:pPr>
      <w:r w:rsidRPr="0074006D">
        <w:rPr>
          <w:sz w:val="22"/>
          <w:szCs w:val="22"/>
        </w:rPr>
        <w:t>R3 križovatka s D1 – Dolný Kubín – Trstená – št. hr. SR/Poľsko</w:t>
      </w:r>
      <w:r>
        <w:rPr>
          <w:sz w:val="22"/>
          <w:szCs w:val="22"/>
        </w:rPr>
        <w:t>,</w:t>
      </w:r>
    </w:p>
    <w:p w14:paraId="29562995" w14:textId="77777777" w:rsidR="009E0158" w:rsidRDefault="0074006D" w:rsidP="003309FB">
      <w:pPr>
        <w:pStyle w:val="Odsekzoznamu"/>
        <w:numPr>
          <w:ilvl w:val="0"/>
          <w:numId w:val="57"/>
        </w:numPr>
        <w:ind w:left="567" w:hanging="283"/>
        <w:jc w:val="both"/>
        <w:rPr>
          <w:sz w:val="22"/>
          <w:szCs w:val="22"/>
        </w:rPr>
      </w:pPr>
      <w:r w:rsidRPr="0074006D">
        <w:rPr>
          <w:sz w:val="22"/>
          <w:szCs w:val="22"/>
        </w:rPr>
        <w:t>R4 št. hr. SR/Poľsko – Svidník – Prešov – Košice – Milhosť – št. hr. SR/Maďarsko</w:t>
      </w:r>
      <w:r>
        <w:rPr>
          <w:sz w:val="22"/>
          <w:szCs w:val="22"/>
        </w:rPr>
        <w:t>,</w:t>
      </w:r>
    </w:p>
    <w:p w14:paraId="69860062" w14:textId="77777777" w:rsidR="009E0158" w:rsidRDefault="0074006D" w:rsidP="003309FB">
      <w:pPr>
        <w:pStyle w:val="Odsekzoznamu"/>
        <w:numPr>
          <w:ilvl w:val="0"/>
          <w:numId w:val="57"/>
        </w:numPr>
        <w:ind w:left="567" w:hanging="283"/>
        <w:jc w:val="both"/>
        <w:rPr>
          <w:sz w:val="22"/>
          <w:szCs w:val="22"/>
        </w:rPr>
      </w:pPr>
      <w:r>
        <w:rPr>
          <w:sz w:val="22"/>
          <w:szCs w:val="22"/>
        </w:rPr>
        <w:t>R5 Svrčinovec – št. hr. SR/ČR,</w:t>
      </w:r>
    </w:p>
    <w:p w14:paraId="54C9A5D6" w14:textId="77777777" w:rsidR="009E0158" w:rsidRDefault="0074006D" w:rsidP="003309FB">
      <w:pPr>
        <w:pStyle w:val="Odsekzoznamu"/>
        <w:numPr>
          <w:ilvl w:val="0"/>
          <w:numId w:val="57"/>
        </w:numPr>
        <w:ind w:left="567" w:hanging="283"/>
        <w:jc w:val="both"/>
        <w:rPr>
          <w:sz w:val="22"/>
          <w:szCs w:val="22"/>
        </w:rPr>
      </w:pPr>
      <w:r w:rsidRPr="0074006D">
        <w:rPr>
          <w:sz w:val="22"/>
          <w:szCs w:val="22"/>
        </w:rPr>
        <w:t>D4 Jarovce – Ivanka pri Dunaji – Záhorská Bystrica – križovatka s D2</w:t>
      </w:r>
      <w:r w:rsidR="00E54E7A">
        <w:rPr>
          <w:sz w:val="22"/>
          <w:szCs w:val="22"/>
        </w:rPr>
        <w:t xml:space="preserve"> – št. hr. SR/Rakúsko</w:t>
      </w:r>
      <w:r>
        <w:rPr>
          <w:sz w:val="22"/>
          <w:szCs w:val="22"/>
        </w:rPr>
        <w:t>.</w:t>
      </w:r>
    </w:p>
    <w:p w14:paraId="56EBF4B5" w14:textId="77777777" w:rsidR="00DB79F5" w:rsidRDefault="00DB79F5" w:rsidP="004C77FC">
      <w:pPr>
        <w:pStyle w:val="Nadpis4"/>
        <w:tabs>
          <w:tab w:val="clear" w:pos="709"/>
        </w:tabs>
        <w:jc w:val="both"/>
      </w:pPr>
      <w:r>
        <w:t>Prepojenie stratégie OPII-D s plnením cieľov významných národných strategických dokumentov definujúcich vývoj sektora dopravy</w:t>
      </w:r>
    </w:p>
    <w:p w14:paraId="3517A829" w14:textId="77777777" w:rsidR="00333C60" w:rsidRPr="00C82510" w:rsidRDefault="00333C60" w:rsidP="00333C60">
      <w:pPr>
        <w:pStyle w:val="Odsekzoznamu"/>
        <w:spacing w:before="180" w:after="120"/>
        <w:ind w:left="0"/>
        <w:jc w:val="both"/>
        <w:rPr>
          <w:sz w:val="22"/>
          <w:szCs w:val="22"/>
          <w:u w:val="single"/>
        </w:rPr>
      </w:pPr>
      <w:r>
        <w:rPr>
          <w:sz w:val="22"/>
          <w:szCs w:val="22"/>
          <w:u w:val="single"/>
        </w:rPr>
        <w:t>Partnerská dohoda Slovenskej republiky</w:t>
      </w:r>
    </w:p>
    <w:p w14:paraId="679AEFA7" w14:textId="77777777" w:rsidR="00333C60" w:rsidRDefault="00A6184A" w:rsidP="00A6184A">
      <w:pPr>
        <w:spacing w:before="120" w:after="120"/>
        <w:jc w:val="both"/>
        <w:rPr>
          <w:sz w:val="22"/>
          <w:szCs w:val="22"/>
        </w:rPr>
      </w:pPr>
      <w:r>
        <w:rPr>
          <w:sz w:val="22"/>
          <w:szCs w:val="22"/>
        </w:rPr>
        <w:t xml:space="preserve">Partnerská dohoda Slovenskej republiky (ďalej len „PD SR“) sa vzťahuje na všetku podporu z Európskych štrukturálnych a investičných fondov EÚ </w:t>
      </w:r>
      <w:r w:rsidR="009322BF">
        <w:rPr>
          <w:sz w:val="22"/>
          <w:szCs w:val="22"/>
        </w:rPr>
        <w:t xml:space="preserve">(ďalej len „EŠIF“) </w:t>
      </w:r>
      <w:r>
        <w:rPr>
          <w:sz w:val="22"/>
          <w:szCs w:val="22"/>
        </w:rPr>
        <w:t>v príslušnom členskom štáte. Ide o dokument , ktorý určuje stratégiu, priority a podmienky SR na využívanie týchto fondov efektívnym a účinným spôsobom, s cieľom dosiahnuť priority stratégie Európa 2020.</w:t>
      </w:r>
    </w:p>
    <w:p w14:paraId="3DE8D3CD" w14:textId="77777777" w:rsidR="0079404A" w:rsidRPr="00A32FFD" w:rsidRDefault="0079404A" w:rsidP="00A32FFD">
      <w:pPr>
        <w:pStyle w:val="Odsekzoznamu"/>
        <w:spacing w:before="180" w:after="120"/>
        <w:ind w:left="0"/>
        <w:jc w:val="both"/>
        <w:rPr>
          <w:sz w:val="22"/>
          <w:szCs w:val="22"/>
          <w:u w:val="single"/>
        </w:rPr>
      </w:pPr>
      <w:r w:rsidRPr="00A32FFD">
        <w:rPr>
          <w:sz w:val="22"/>
          <w:szCs w:val="22"/>
          <w:u w:val="single"/>
        </w:rPr>
        <w:t xml:space="preserve">Strategické dokumenty vypracované pre potreby </w:t>
      </w:r>
      <w:r w:rsidR="00A32FFD" w:rsidRPr="00A32FFD">
        <w:rPr>
          <w:sz w:val="22"/>
          <w:szCs w:val="22"/>
          <w:u w:val="single"/>
        </w:rPr>
        <w:t>programového obdobia 2014 - 2020</w:t>
      </w:r>
    </w:p>
    <w:p w14:paraId="28123C29" w14:textId="77777777" w:rsidR="00A6184A" w:rsidRDefault="002E0C1C" w:rsidP="00A32FFD">
      <w:pPr>
        <w:spacing w:before="120" w:after="120"/>
        <w:jc w:val="both"/>
        <w:rPr>
          <w:sz w:val="22"/>
          <w:szCs w:val="22"/>
        </w:rPr>
      </w:pPr>
      <w:r w:rsidRPr="00A6184A">
        <w:rPr>
          <w:sz w:val="22"/>
          <w:szCs w:val="22"/>
        </w:rPr>
        <w:t xml:space="preserve">Nižšie uvedené strategické dokumenty boli spracované pre potreby programového obdobia 2014 – 2020. </w:t>
      </w:r>
      <w:r w:rsidR="00A6184A" w:rsidRPr="00A6184A">
        <w:rPr>
          <w:sz w:val="22"/>
          <w:szCs w:val="22"/>
        </w:rPr>
        <w:t>Týmito dokumentmi sú identifikované kľúčové potreby a výzvy v príslušnej oblasti. Zároveň navrhujú systémové, organizačné, prevádzkové a infraštruktúrne opatrenia, ktoré je potrebné prijať.</w:t>
      </w:r>
      <w:r w:rsidR="00A6184A">
        <w:rPr>
          <w:sz w:val="22"/>
          <w:szCs w:val="22"/>
        </w:rPr>
        <w:t xml:space="preserve"> </w:t>
      </w:r>
      <w:r w:rsidR="00A6184A" w:rsidRPr="00A6184A">
        <w:rPr>
          <w:sz w:val="22"/>
          <w:szCs w:val="22"/>
        </w:rPr>
        <w:t xml:space="preserve">MDV SR v spolupráci s relevantnými partnermi, s cieľom splnenia ex </w:t>
      </w:r>
      <w:r w:rsidR="00A6184A">
        <w:rPr>
          <w:sz w:val="22"/>
          <w:szCs w:val="22"/>
        </w:rPr>
        <w:t>ante kondicionalít, vypracovalo tieto dokumenty:</w:t>
      </w:r>
    </w:p>
    <w:p w14:paraId="5E9ABED2" w14:textId="77777777" w:rsidR="009E0158" w:rsidRDefault="00A6184A" w:rsidP="003309FB">
      <w:pPr>
        <w:pStyle w:val="Odsekzoznamu"/>
        <w:numPr>
          <w:ilvl w:val="0"/>
          <w:numId w:val="61"/>
        </w:numPr>
        <w:spacing w:before="120" w:after="120"/>
        <w:ind w:left="284" w:hanging="284"/>
        <w:jc w:val="both"/>
        <w:rPr>
          <w:b/>
          <w:sz w:val="22"/>
          <w:szCs w:val="22"/>
        </w:rPr>
      </w:pPr>
      <w:r w:rsidRPr="00A6184A">
        <w:rPr>
          <w:b/>
          <w:sz w:val="22"/>
          <w:szCs w:val="22"/>
        </w:rPr>
        <w:t>Strategický plán rozvoja dopravnej infraštruktúry SR do roku 2020 (ďalej aj „</w:t>
      </w:r>
      <w:r w:rsidR="00A11F69">
        <w:rPr>
          <w:b/>
          <w:sz w:val="22"/>
          <w:szCs w:val="22"/>
        </w:rPr>
        <w:t>S</w:t>
      </w:r>
      <w:r w:rsidRPr="00A6184A">
        <w:rPr>
          <w:b/>
          <w:sz w:val="22"/>
          <w:szCs w:val="22"/>
        </w:rPr>
        <w:t>trategický plán“),</w:t>
      </w:r>
    </w:p>
    <w:p w14:paraId="71975487" w14:textId="77777777" w:rsidR="009E0158" w:rsidRDefault="00A6184A" w:rsidP="003309FB">
      <w:pPr>
        <w:pStyle w:val="Odsekzoznamu"/>
        <w:numPr>
          <w:ilvl w:val="0"/>
          <w:numId w:val="61"/>
        </w:numPr>
        <w:spacing w:before="180" w:after="120"/>
        <w:ind w:left="284" w:hanging="284"/>
        <w:jc w:val="both"/>
        <w:rPr>
          <w:b/>
          <w:sz w:val="22"/>
          <w:szCs w:val="22"/>
        </w:rPr>
      </w:pPr>
      <w:r w:rsidRPr="00A6184A">
        <w:rPr>
          <w:b/>
          <w:sz w:val="22"/>
          <w:szCs w:val="22"/>
        </w:rPr>
        <w:t>Stratégia rozvoja verejnej osobnej a nemot</w:t>
      </w:r>
      <w:r>
        <w:rPr>
          <w:b/>
          <w:sz w:val="22"/>
          <w:szCs w:val="22"/>
        </w:rPr>
        <w:t>orovej dopravy</w:t>
      </w:r>
      <w:r w:rsidR="00200DD3">
        <w:rPr>
          <w:b/>
          <w:sz w:val="22"/>
          <w:szCs w:val="22"/>
        </w:rPr>
        <w:t xml:space="preserve"> SR</w:t>
      </w:r>
      <w:r>
        <w:rPr>
          <w:b/>
          <w:sz w:val="22"/>
          <w:szCs w:val="22"/>
        </w:rPr>
        <w:t xml:space="preserve"> </w:t>
      </w:r>
      <w:r w:rsidRPr="00A6184A">
        <w:rPr>
          <w:b/>
          <w:sz w:val="22"/>
          <w:szCs w:val="22"/>
        </w:rPr>
        <w:t>do roku 2020 (ďalej aj „</w:t>
      </w:r>
      <w:r w:rsidR="00A11F69">
        <w:rPr>
          <w:b/>
          <w:sz w:val="22"/>
          <w:szCs w:val="22"/>
        </w:rPr>
        <w:t>S</w:t>
      </w:r>
      <w:r w:rsidRPr="00A6184A">
        <w:rPr>
          <w:b/>
          <w:sz w:val="22"/>
          <w:szCs w:val="22"/>
        </w:rPr>
        <w:t>t</w:t>
      </w:r>
      <w:r w:rsidR="00D5177B">
        <w:rPr>
          <w:b/>
          <w:sz w:val="22"/>
          <w:szCs w:val="22"/>
        </w:rPr>
        <w:t>ratégia VOD“),</w:t>
      </w:r>
    </w:p>
    <w:p w14:paraId="5592C1DE" w14:textId="77777777" w:rsidR="009E0158" w:rsidRDefault="00D5177B" w:rsidP="003309FB">
      <w:pPr>
        <w:pStyle w:val="Odsekzoznamu"/>
        <w:numPr>
          <w:ilvl w:val="0"/>
          <w:numId w:val="61"/>
        </w:numPr>
        <w:spacing w:before="180" w:after="120"/>
        <w:ind w:left="284" w:hanging="284"/>
        <w:jc w:val="both"/>
        <w:rPr>
          <w:b/>
          <w:sz w:val="22"/>
          <w:szCs w:val="22"/>
        </w:rPr>
      </w:pPr>
      <w:r>
        <w:rPr>
          <w:b/>
          <w:sz w:val="22"/>
          <w:szCs w:val="22"/>
        </w:rPr>
        <w:t>Strategický plán rozvoja a údržby ciest II. a III. triedy</w:t>
      </w:r>
      <w:r w:rsidR="00863F85">
        <w:rPr>
          <w:b/>
          <w:sz w:val="22"/>
          <w:szCs w:val="22"/>
        </w:rPr>
        <w:t>,</w:t>
      </w:r>
    </w:p>
    <w:p w14:paraId="7A24412E" w14:textId="21474603" w:rsidR="009E0158" w:rsidRDefault="00863F85" w:rsidP="003309FB">
      <w:pPr>
        <w:pStyle w:val="Odsekzoznamu"/>
        <w:numPr>
          <w:ilvl w:val="0"/>
          <w:numId w:val="61"/>
        </w:numPr>
        <w:spacing w:before="180" w:after="120"/>
        <w:ind w:left="284" w:hanging="284"/>
        <w:jc w:val="both"/>
        <w:rPr>
          <w:b/>
          <w:sz w:val="22"/>
          <w:szCs w:val="22"/>
        </w:rPr>
      </w:pPr>
      <w:r>
        <w:rPr>
          <w:b/>
          <w:sz w:val="22"/>
          <w:szCs w:val="22"/>
        </w:rPr>
        <w:t>Strategický plán rozvoja dopravy SR do roku 2030 (ďalej „Strategický plán 2030“).</w:t>
      </w:r>
    </w:p>
    <w:p w14:paraId="5BE57240" w14:textId="77777777" w:rsidR="00DB79F5" w:rsidRPr="0064169C" w:rsidRDefault="00DB79F5" w:rsidP="00DB79F5">
      <w:pPr>
        <w:spacing w:before="180" w:after="120"/>
        <w:jc w:val="both"/>
        <w:rPr>
          <w:sz w:val="22"/>
          <w:szCs w:val="22"/>
          <w:u w:val="single"/>
        </w:rPr>
      </w:pPr>
      <w:r w:rsidRPr="0064169C">
        <w:rPr>
          <w:sz w:val="22"/>
          <w:szCs w:val="22"/>
          <w:u w:val="single"/>
        </w:rPr>
        <w:lastRenderedPageBreak/>
        <w:t>Strategický plán rozvoja dopravnej infrašt</w:t>
      </w:r>
      <w:r w:rsidR="00A6184A">
        <w:rPr>
          <w:sz w:val="22"/>
          <w:szCs w:val="22"/>
          <w:u w:val="single"/>
        </w:rPr>
        <w:t>ruktúry SR do roku 2020</w:t>
      </w:r>
    </w:p>
    <w:p w14:paraId="0C5CFADD" w14:textId="77777777" w:rsidR="00DB79F5" w:rsidRPr="0064169C" w:rsidRDefault="00DB79F5" w:rsidP="00DB79F5">
      <w:pPr>
        <w:spacing w:before="120" w:after="120"/>
        <w:jc w:val="both"/>
        <w:rPr>
          <w:sz w:val="22"/>
          <w:szCs w:val="22"/>
        </w:rPr>
      </w:pPr>
      <w:r w:rsidRPr="0064169C">
        <w:rPr>
          <w:sz w:val="22"/>
          <w:szCs w:val="22"/>
        </w:rPr>
        <w:t xml:space="preserve">Strategický plán predstavuje strategický dokument, ktorým sa vymedzujú základné strednodobé </w:t>
      </w:r>
      <w:r>
        <w:rPr>
          <w:sz w:val="22"/>
          <w:szCs w:val="22"/>
        </w:rPr>
        <w:t>c</w:t>
      </w:r>
      <w:r w:rsidRPr="0064169C">
        <w:rPr>
          <w:sz w:val="22"/>
          <w:szCs w:val="22"/>
        </w:rPr>
        <w:t>iele v</w:t>
      </w:r>
      <w:r>
        <w:rPr>
          <w:sz w:val="22"/>
          <w:szCs w:val="22"/>
        </w:rPr>
        <w:t> </w:t>
      </w:r>
      <w:r w:rsidRPr="0064169C">
        <w:rPr>
          <w:sz w:val="22"/>
          <w:szCs w:val="22"/>
        </w:rPr>
        <w:t>oblasti rozvoja dopravnej infraštruktúry, stanovujú priority rozvoja a</w:t>
      </w:r>
      <w:r>
        <w:rPr>
          <w:sz w:val="22"/>
          <w:szCs w:val="22"/>
        </w:rPr>
        <w:t> </w:t>
      </w:r>
      <w:r w:rsidRPr="0064169C">
        <w:rPr>
          <w:sz w:val="22"/>
          <w:szCs w:val="22"/>
        </w:rPr>
        <w:t>identifikujú opatrenia a</w:t>
      </w:r>
      <w:r>
        <w:rPr>
          <w:sz w:val="22"/>
          <w:szCs w:val="22"/>
        </w:rPr>
        <w:t> </w:t>
      </w:r>
      <w:r w:rsidRPr="0064169C">
        <w:rPr>
          <w:sz w:val="22"/>
          <w:szCs w:val="22"/>
        </w:rPr>
        <w:t xml:space="preserve">zdroje na ich dosiahnutie. Stratégia </w:t>
      </w:r>
      <w:r>
        <w:rPr>
          <w:sz w:val="22"/>
          <w:szCs w:val="22"/>
        </w:rPr>
        <w:t>OPII</w:t>
      </w:r>
      <w:r w:rsidRPr="0064169C">
        <w:rPr>
          <w:sz w:val="22"/>
          <w:szCs w:val="22"/>
        </w:rPr>
        <w:t>, ciele a</w:t>
      </w:r>
      <w:r>
        <w:rPr>
          <w:sz w:val="22"/>
          <w:szCs w:val="22"/>
        </w:rPr>
        <w:t> </w:t>
      </w:r>
      <w:r w:rsidRPr="0064169C">
        <w:rPr>
          <w:sz w:val="22"/>
          <w:szCs w:val="22"/>
        </w:rPr>
        <w:t>definované opatrenia potrebné na dosiahnutie cieľov sú priamo spojené s</w:t>
      </w:r>
      <w:r>
        <w:rPr>
          <w:sz w:val="22"/>
          <w:szCs w:val="22"/>
        </w:rPr>
        <w:t> </w:t>
      </w:r>
      <w:r w:rsidRPr="0064169C">
        <w:rPr>
          <w:sz w:val="22"/>
          <w:szCs w:val="22"/>
        </w:rPr>
        <w:t>týmto dokumentom. Definovaním cieľov a</w:t>
      </w:r>
      <w:r>
        <w:rPr>
          <w:sz w:val="22"/>
          <w:szCs w:val="22"/>
        </w:rPr>
        <w:t> </w:t>
      </w:r>
      <w:r w:rsidRPr="0064169C">
        <w:rPr>
          <w:sz w:val="22"/>
          <w:szCs w:val="22"/>
        </w:rPr>
        <w:t xml:space="preserve">návrhom prioritných osí predstavuje </w:t>
      </w:r>
      <w:r>
        <w:rPr>
          <w:sz w:val="22"/>
          <w:szCs w:val="22"/>
        </w:rPr>
        <w:t>OPII</w:t>
      </w:r>
      <w:r w:rsidRPr="0064169C">
        <w:rPr>
          <w:sz w:val="22"/>
          <w:szCs w:val="22"/>
        </w:rPr>
        <w:t xml:space="preserve"> </w:t>
      </w:r>
      <w:r>
        <w:rPr>
          <w:sz w:val="22"/>
          <w:szCs w:val="22"/>
        </w:rPr>
        <w:t>jeden z </w:t>
      </w:r>
      <w:r w:rsidRPr="0064169C">
        <w:rPr>
          <w:sz w:val="22"/>
          <w:szCs w:val="22"/>
        </w:rPr>
        <w:t>implementačný</w:t>
      </w:r>
      <w:r>
        <w:rPr>
          <w:sz w:val="22"/>
          <w:szCs w:val="22"/>
        </w:rPr>
        <w:t xml:space="preserve">ch nástrojov </w:t>
      </w:r>
      <w:r w:rsidRPr="0064169C">
        <w:rPr>
          <w:sz w:val="22"/>
          <w:szCs w:val="22"/>
        </w:rPr>
        <w:t>týchto vízií strategického plánu:</w:t>
      </w:r>
    </w:p>
    <w:p w14:paraId="66109C31" w14:textId="77777777" w:rsidR="009E0158" w:rsidRDefault="00DB79F5" w:rsidP="003309FB">
      <w:pPr>
        <w:pStyle w:val="Odsekzoznamu"/>
        <w:numPr>
          <w:ilvl w:val="0"/>
          <w:numId w:val="27"/>
        </w:numPr>
        <w:spacing w:before="120" w:after="120"/>
        <w:ind w:left="426" w:hanging="284"/>
        <w:contextualSpacing w:val="0"/>
        <w:jc w:val="both"/>
        <w:rPr>
          <w:sz w:val="22"/>
          <w:szCs w:val="22"/>
        </w:rPr>
      </w:pPr>
      <w:r w:rsidRPr="0064169C">
        <w:rPr>
          <w:sz w:val="22"/>
          <w:szCs w:val="22"/>
        </w:rPr>
        <w:t>v</w:t>
      </w:r>
      <w:r>
        <w:rPr>
          <w:sz w:val="22"/>
          <w:szCs w:val="22"/>
        </w:rPr>
        <w:t> </w:t>
      </w:r>
      <w:r w:rsidRPr="0064169C">
        <w:rPr>
          <w:sz w:val="22"/>
          <w:szCs w:val="22"/>
        </w:rPr>
        <w:t xml:space="preserve">oblasti železničnej dopravy napĺňa </w:t>
      </w:r>
      <w:r>
        <w:rPr>
          <w:sz w:val="22"/>
          <w:szCs w:val="22"/>
        </w:rPr>
        <w:t>OPII</w:t>
      </w:r>
      <w:r w:rsidRPr="0064169C">
        <w:rPr>
          <w:sz w:val="22"/>
          <w:szCs w:val="22"/>
        </w:rPr>
        <w:t xml:space="preserve"> vízie budovania rovnováhy medzi dopravnou ponukou a</w:t>
      </w:r>
      <w:r>
        <w:rPr>
          <w:sz w:val="22"/>
          <w:szCs w:val="22"/>
        </w:rPr>
        <w:t> </w:t>
      </w:r>
      <w:r w:rsidRPr="0064169C">
        <w:rPr>
          <w:sz w:val="22"/>
          <w:szCs w:val="22"/>
        </w:rPr>
        <w:t>prepravným dopytom, resp. infraštruktúrnou ponukou a</w:t>
      </w:r>
      <w:r>
        <w:rPr>
          <w:sz w:val="22"/>
          <w:szCs w:val="22"/>
        </w:rPr>
        <w:t> </w:t>
      </w:r>
      <w:r w:rsidRPr="0064169C">
        <w:rPr>
          <w:sz w:val="22"/>
          <w:szCs w:val="22"/>
        </w:rPr>
        <w:t>dopravným dopytom a</w:t>
      </w:r>
      <w:r>
        <w:rPr>
          <w:sz w:val="22"/>
          <w:szCs w:val="22"/>
        </w:rPr>
        <w:t> </w:t>
      </w:r>
      <w:r w:rsidRPr="0064169C">
        <w:rPr>
          <w:sz w:val="22"/>
          <w:szCs w:val="22"/>
        </w:rPr>
        <w:t>víziu zaistenia podmienok pre rozvoj intermodálnej prepravy pomocou strategických cieľov definovaných v</w:t>
      </w:r>
      <w:r>
        <w:rPr>
          <w:sz w:val="22"/>
          <w:szCs w:val="22"/>
        </w:rPr>
        <w:t> </w:t>
      </w:r>
      <w:r w:rsidRPr="0064169C">
        <w:rPr>
          <w:sz w:val="22"/>
          <w:szCs w:val="22"/>
        </w:rPr>
        <w:t>prioritných osiach 1 a</w:t>
      </w:r>
      <w:r>
        <w:rPr>
          <w:sz w:val="22"/>
          <w:szCs w:val="22"/>
        </w:rPr>
        <w:t> </w:t>
      </w:r>
      <w:r w:rsidRPr="0064169C">
        <w:rPr>
          <w:sz w:val="22"/>
          <w:szCs w:val="22"/>
        </w:rPr>
        <w:t>5,</w:t>
      </w:r>
    </w:p>
    <w:p w14:paraId="2644EE93" w14:textId="77777777" w:rsidR="009E0158" w:rsidRDefault="00DB79F5" w:rsidP="003309FB">
      <w:pPr>
        <w:pStyle w:val="Odsekzoznamu"/>
        <w:numPr>
          <w:ilvl w:val="0"/>
          <w:numId w:val="27"/>
        </w:numPr>
        <w:spacing w:before="120" w:after="120"/>
        <w:ind w:left="426" w:hanging="284"/>
        <w:contextualSpacing w:val="0"/>
        <w:jc w:val="both"/>
        <w:rPr>
          <w:sz w:val="22"/>
          <w:szCs w:val="22"/>
        </w:rPr>
      </w:pPr>
      <w:r w:rsidRPr="0064169C">
        <w:rPr>
          <w:sz w:val="22"/>
          <w:szCs w:val="22"/>
        </w:rPr>
        <w:t>v</w:t>
      </w:r>
      <w:r>
        <w:rPr>
          <w:sz w:val="22"/>
          <w:szCs w:val="22"/>
        </w:rPr>
        <w:t> </w:t>
      </w:r>
      <w:r w:rsidRPr="0064169C">
        <w:rPr>
          <w:sz w:val="22"/>
          <w:szCs w:val="22"/>
        </w:rPr>
        <w:t xml:space="preserve">oblasti cestnej dopravy napĺňa </w:t>
      </w:r>
      <w:r>
        <w:rPr>
          <w:sz w:val="22"/>
          <w:szCs w:val="22"/>
        </w:rPr>
        <w:t>OPII</w:t>
      </w:r>
      <w:r w:rsidRPr="0064169C">
        <w:rPr>
          <w:sz w:val="22"/>
          <w:szCs w:val="22"/>
        </w:rPr>
        <w:t xml:space="preserve"> víziu budovania modernej, kvalitnej, bezpečnej a</w:t>
      </w:r>
      <w:r>
        <w:rPr>
          <w:sz w:val="22"/>
          <w:szCs w:val="22"/>
        </w:rPr>
        <w:t> </w:t>
      </w:r>
      <w:r w:rsidRPr="0064169C">
        <w:rPr>
          <w:sz w:val="22"/>
          <w:szCs w:val="22"/>
        </w:rPr>
        <w:t>efektívne fungujúcej siete diaľnic, rýchlostných ciest a</w:t>
      </w:r>
      <w:r>
        <w:rPr>
          <w:sz w:val="22"/>
          <w:szCs w:val="22"/>
        </w:rPr>
        <w:t> </w:t>
      </w:r>
      <w:r w:rsidRPr="0064169C">
        <w:rPr>
          <w:sz w:val="22"/>
          <w:szCs w:val="22"/>
        </w:rPr>
        <w:t>ciest I. triedy pomocou strategických cieľov definovaných v</w:t>
      </w:r>
      <w:r>
        <w:rPr>
          <w:sz w:val="22"/>
          <w:szCs w:val="22"/>
        </w:rPr>
        <w:t> </w:t>
      </w:r>
      <w:r w:rsidRPr="0064169C">
        <w:rPr>
          <w:sz w:val="22"/>
          <w:szCs w:val="22"/>
        </w:rPr>
        <w:t>prioritných osiach 2 a</w:t>
      </w:r>
      <w:r>
        <w:rPr>
          <w:sz w:val="22"/>
          <w:szCs w:val="22"/>
        </w:rPr>
        <w:t> </w:t>
      </w:r>
      <w:r w:rsidRPr="0064169C">
        <w:rPr>
          <w:sz w:val="22"/>
          <w:szCs w:val="22"/>
        </w:rPr>
        <w:t>6,</w:t>
      </w:r>
    </w:p>
    <w:p w14:paraId="3D815106" w14:textId="77777777" w:rsidR="009E0158" w:rsidRDefault="00DB79F5" w:rsidP="003309FB">
      <w:pPr>
        <w:pStyle w:val="Odsekzoznamu"/>
        <w:numPr>
          <w:ilvl w:val="0"/>
          <w:numId w:val="27"/>
        </w:numPr>
        <w:spacing w:before="180" w:after="120"/>
        <w:ind w:left="426" w:hanging="284"/>
        <w:jc w:val="both"/>
        <w:rPr>
          <w:sz w:val="22"/>
          <w:szCs w:val="22"/>
        </w:rPr>
      </w:pPr>
      <w:r w:rsidRPr="0064169C">
        <w:rPr>
          <w:sz w:val="22"/>
          <w:szCs w:val="22"/>
        </w:rPr>
        <w:t>v</w:t>
      </w:r>
      <w:r>
        <w:rPr>
          <w:sz w:val="22"/>
          <w:szCs w:val="22"/>
        </w:rPr>
        <w:t> </w:t>
      </w:r>
      <w:r w:rsidRPr="0064169C">
        <w:rPr>
          <w:sz w:val="22"/>
          <w:szCs w:val="22"/>
        </w:rPr>
        <w:t xml:space="preserve">oblasti vodnej dopravy napĺňa </w:t>
      </w:r>
      <w:r>
        <w:rPr>
          <w:sz w:val="22"/>
          <w:szCs w:val="22"/>
        </w:rPr>
        <w:t>OPII</w:t>
      </w:r>
      <w:r w:rsidRPr="0064169C">
        <w:rPr>
          <w:sz w:val="22"/>
          <w:szCs w:val="22"/>
        </w:rPr>
        <w:t xml:space="preserve"> vízie budovania modernej, bezpečnej a</w:t>
      </w:r>
      <w:r>
        <w:rPr>
          <w:sz w:val="22"/>
          <w:szCs w:val="22"/>
        </w:rPr>
        <w:t> </w:t>
      </w:r>
      <w:r w:rsidRPr="0064169C">
        <w:rPr>
          <w:sz w:val="22"/>
          <w:szCs w:val="22"/>
        </w:rPr>
        <w:t xml:space="preserve">integrovanej infraštruktúry </w:t>
      </w:r>
      <w:r w:rsidRPr="0044578F">
        <w:rPr>
          <w:sz w:val="22"/>
          <w:szCs w:val="22"/>
        </w:rPr>
        <w:t>(vodná dopravná cesta, verejné prístavy) a prevádzky</w:t>
      </w:r>
      <w:r w:rsidRPr="0064169C">
        <w:rPr>
          <w:sz w:val="22"/>
          <w:szCs w:val="22"/>
        </w:rPr>
        <w:t xml:space="preserve"> vodnej dopravy pomocou strategických cieľov definovaných v</w:t>
      </w:r>
      <w:r>
        <w:rPr>
          <w:sz w:val="22"/>
          <w:szCs w:val="22"/>
        </w:rPr>
        <w:t> </w:t>
      </w:r>
      <w:r w:rsidRPr="0064169C">
        <w:rPr>
          <w:sz w:val="22"/>
          <w:szCs w:val="22"/>
        </w:rPr>
        <w:t>prioritnej osi 4.</w:t>
      </w:r>
    </w:p>
    <w:p w14:paraId="250E21EE" w14:textId="77777777" w:rsidR="00DB79F5" w:rsidRPr="0064169C" w:rsidRDefault="00DB79F5" w:rsidP="00DB79F5">
      <w:pPr>
        <w:spacing w:before="180" w:after="120"/>
        <w:jc w:val="both"/>
        <w:rPr>
          <w:sz w:val="22"/>
          <w:szCs w:val="22"/>
          <w:u w:val="single"/>
        </w:rPr>
      </w:pPr>
      <w:r>
        <w:rPr>
          <w:sz w:val="22"/>
          <w:szCs w:val="22"/>
          <w:u w:val="single"/>
        </w:rPr>
        <w:t>Stratégia</w:t>
      </w:r>
      <w:r w:rsidRPr="0064169C">
        <w:rPr>
          <w:sz w:val="22"/>
          <w:szCs w:val="22"/>
          <w:u w:val="single"/>
        </w:rPr>
        <w:t xml:space="preserve"> rozvoja verejnej osobnej </w:t>
      </w:r>
      <w:r>
        <w:rPr>
          <w:sz w:val="22"/>
          <w:szCs w:val="22"/>
          <w:u w:val="single"/>
        </w:rPr>
        <w:t>a </w:t>
      </w:r>
      <w:r w:rsidRPr="0044578F">
        <w:rPr>
          <w:sz w:val="22"/>
          <w:szCs w:val="22"/>
          <w:u w:val="single"/>
        </w:rPr>
        <w:t>nemotorovej</w:t>
      </w:r>
      <w:r>
        <w:rPr>
          <w:sz w:val="22"/>
          <w:szCs w:val="22"/>
          <w:u w:val="single"/>
        </w:rPr>
        <w:t xml:space="preserve"> </w:t>
      </w:r>
      <w:r w:rsidRPr="0064169C">
        <w:rPr>
          <w:sz w:val="22"/>
          <w:szCs w:val="22"/>
          <w:u w:val="single"/>
        </w:rPr>
        <w:t>dopravy SR do roku 2020</w:t>
      </w:r>
    </w:p>
    <w:p w14:paraId="2A387DA1" w14:textId="77777777" w:rsidR="00DB79F5" w:rsidRPr="0064169C" w:rsidRDefault="00DB79F5" w:rsidP="00FD1F7C">
      <w:pPr>
        <w:spacing w:before="120"/>
        <w:jc w:val="both"/>
        <w:rPr>
          <w:sz w:val="22"/>
          <w:szCs w:val="22"/>
        </w:rPr>
      </w:pPr>
      <w:r>
        <w:rPr>
          <w:sz w:val="22"/>
          <w:szCs w:val="22"/>
        </w:rPr>
        <w:t>Stratégia</w:t>
      </w:r>
      <w:r w:rsidRPr="0064169C">
        <w:rPr>
          <w:sz w:val="22"/>
          <w:szCs w:val="22"/>
        </w:rPr>
        <w:t xml:space="preserve"> rozvoja verejnej osobnej </w:t>
      </w:r>
      <w:r>
        <w:rPr>
          <w:sz w:val="22"/>
          <w:szCs w:val="22"/>
        </w:rPr>
        <w:t>a </w:t>
      </w:r>
      <w:r w:rsidRPr="0044578F">
        <w:rPr>
          <w:sz w:val="22"/>
          <w:szCs w:val="22"/>
        </w:rPr>
        <w:t>nemotorovej</w:t>
      </w:r>
      <w:r>
        <w:rPr>
          <w:sz w:val="22"/>
          <w:szCs w:val="22"/>
        </w:rPr>
        <w:t xml:space="preserve"> </w:t>
      </w:r>
      <w:r w:rsidRPr="0064169C">
        <w:rPr>
          <w:sz w:val="22"/>
          <w:szCs w:val="22"/>
        </w:rPr>
        <w:t>dopravy SR do roku 2020 predstavuje strategický dokument, ktorým sa vymedzujú základné strednodobé a</w:t>
      </w:r>
      <w:r>
        <w:rPr>
          <w:sz w:val="22"/>
          <w:szCs w:val="22"/>
        </w:rPr>
        <w:t> </w:t>
      </w:r>
      <w:r w:rsidRPr="0064169C">
        <w:rPr>
          <w:sz w:val="22"/>
          <w:szCs w:val="22"/>
        </w:rPr>
        <w:t>dlhodobé ciele v</w:t>
      </w:r>
      <w:r>
        <w:rPr>
          <w:sz w:val="22"/>
          <w:szCs w:val="22"/>
        </w:rPr>
        <w:t> </w:t>
      </w:r>
      <w:r w:rsidRPr="0064169C">
        <w:rPr>
          <w:sz w:val="22"/>
          <w:szCs w:val="22"/>
        </w:rPr>
        <w:t>oblasti rozvoja verejnej osobnej dopravy na Slovensku, stanovujú priority rozvoja a</w:t>
      </w:r>
      <w:r>
        <w:rPr>
          <w:sz w:val="22"/>
          <w:szCs w:val="22"/>
        </w:rPr>
        <w:t> </w:t>
      </w:r>
      <w:r w:rsidRPr="0064169C">
        <w:rPr>
          <w:sz w:val="22"/>
          <w:szCs w:val="22"/>
        </w:rPr>
        <w:t>identifikujú opatrenia a</w:t>
      </w:r>
      <w:r>
        <w:rPr>
          <w:sz w:val="22"/>
          <w:szCs w:val="22"/>
        </w:rPr>
        <w:t> zdroje na </w:t>
      </w:r>
      <w:r w:rsidRPr="0064169C">
        <w:rPr>
          <w:sz w:val="22"/>
          <w:szCs w:val="22"/>
        </w:rPr>
        <w:t xml:space="preserve">ich dosiahnutie. Stratégia </w:t>
      </w:r>
      <w:r>
        <w:rPr>
          <w:sz w:val="22"/>
          <w:szCs w:val="22"/>
        </w:rPr>
        <w:t>OPII</w:t>
      </w:r>
      <w:r w:rsidRPr="0064169C">
        <w:rPr>
          <w:sz w:val="22"/>
          <w:szCs w:val="22"/>
        </w:rPr>
        <w:t>, ciele a</w:t>
      </w:r>
      <w:r>
        <w:rPr>
          <w:sz w:val="22"/>
          <w:szCs w:val="22"/>
        </w:rPr>
        <w:t> </w:t>
      </w:r>
      <w:r w:rsidRPr="0064169C">
        <w:rPr>
          <w:sz w:val="22"/>
          <w:szCs w:val="22"/>
        </w:rPr>
        <w:t>definované opatrenia potrebné na dosiahnutie cieľov sú priamo spojené s</w:t>
      </w:r>
      <w:r>
        <w:rPr>
          <w:sz w:val="22"/>
          <w:szCs w:val="22"/>
        </w:rPr>
        <w:t> </w:t>
      </w:r>
      <w:r w:rsidRPr="0064169C">
        <w:rPr>
          <w:sz w:val="22"/>
          <w:szCs w:val="22"/>
        </w:rPr>
        <w:t>týmto strategickým dokumentom. Definovaním cieľov a</w:t>
      </w:r>
      <w:r>
        <w:rPr>
          <w:sz w:val="22"/>
          <w:szCs w:val="22"/>
        </w:rPr>
        <w:t> </w:t>
      </w:r>
      <w:r w:rsidRPr="0064169C">
        <w:rPr>
          <w:sz w:val="22"/>
          <w:szCs w:val="22"/>
        </w:rPr>
        <w:t xml:space="preserve">návrhom prioritných osí predstavuje </w:t>
      </w:r>
      <w:r>
        <w:rPr>
          <w:sz w:val="22"/>
          <w:szCs w:val="22"/>
        </w:rPr>
        <w:t>OPII</w:t>
      </w:r>
      <w:r w:rsidRPr="0064169C">
        <w:rPr>
          <w:sz w:val="22"/>
          <w:szCs w:val="22"/>
        </w:rPr>
        <w:t xml:space="preserve"> </w:t>
      </w:r>
      <w:r>
        <w:rPr>
          <w:sz w:val="22"/>
          <w:szCs w:val="22"/>
        </w:rPr>
        <w:t xml:space="preserve">jeden z </w:t>
      </w:r>
      <w:r w:rsidRPr="0064169C">
        <w:rPr>
          <w:sz w:val="22"/>
          <w:szCs w:val="22"/>
        </w:rPr>
        <w:t>implementačný</w:t>
      </w:r>
      <w:r>
        <w:rPr>
          <w:sz w:val="22"/>
          <w:szCs w:val="22"/>
        </w:rPr>
        <w:t>ch</w:t>
      </w:r>
      <w:r w:rsidRPr="0064169C">
        <w:rPr>
          <w:sz w:val="22"/>
          <w:szCs w:val="22"/>
        </w:rPr>
        <w:t xml:space="preserve"> nástroj</w:t>
      </w:r>
      <w:r>
        <w:rPr>
          <w:sz w:val="22"/>
          <w:szCs w:val="22"/>
        </w:rPr>
        <w:t>ov</w:t>
      </w:r>
      <w:r w:rsidRPr="0064169C">
        <w:rPr>
          <w:sz w:val="22"/>
          <w:szCs w:val="22"/>
        </w:rPr>
        <w:t xml:space="preserve"> týchto vízií strategického plánu:</w:t>
      </w:r>
    </w:p>
    <w:p w14:paraId="54385EFB" w14:textId="77777777" w:rsidR="009E0158" w:rsidRDefault="00DB79F5" w:rsidP="003309FB">
      <w:pPr>
        <w:pStyle w:val="Odsekzoznamu"/>
        <w:numPr>
          <w:ilvl w:val="0"/>
          <w:numId w:val="27"/>
        </w:numPr>
        <w:spacing w:before="180" w:after="120"/>
        <w:ind w:left="426" w:hanging="284"/>
        <w:jc w:val="both"/>
        <w:rPr>
          <w:sz w:val="22"/>
          <w:szCs w:val="22"/>
        </w:rPr>
      </w:pPr>
      <w:r w:rsidRPr="00E57693">
        <w:rPr>
          <w:sz w:val="22"/>
          <w:szCs w:val="22"/>
        </w:rPr>
        <w:t>vízia udržateľnej regionálnej a</w:t>
      </w:r>
      <w:r>
        <w:rPr>
          <w:sz w:val="22"/>
          <w:szCs w:val="22"/>
        </w:rPr>
        <w:t> </w:t>
      </w:r>
      <w:r w:rsidRPr="00E57693">
        <w:rPr>
          <w:sz w:val="22"/>
          <w:szCs w:val="22"/>
        </w:rPr>
        <w:t>mestskej mobility s</w:t>
      </w:r>
      <w:r>
        <w:rPr>
          <w:sz w:val="22"/>
          <w:szCs w:val="22"/>
        </w:rPr>
        <w:t> </w:t>
      </w:r>
      <w:r w:rsidRPr="00E57693">
        <w:rPr>
          <w:sz w:val="22"/>
          <w:szCs w:val="22"/>
        </w:rPr>
        <w:t>vyšším podielom verejnej osobnej dopravy na deľbe prepravnej práce,</w:t>
      </w:r>
    </w:p>
    <w:p w14:paraId="11A0A6B1" w14:textId="77777777" w:rsidR="009E0158" w:rsidRDefault="00DB79F5" w:rsidP="003309FB">
      <w:pPr>
        <w:pStyle w:val="Odsekzoznamu"/>
        <w:numPr>
          <w:ilvl w:val="0"/>
          <w:numId w:val="27"/>
        </w:numPr>
        <w:spacing w:before="180" w:after="120"/>
        <w:ind w:left="426" w:hanging="284"/>
        <w:jc w:val="both"/>
        <w:rPr>
          <w:sz w:val="22"/>
          <w:szCs w:val="22"/>
        </w:rPr>
      </w:pPr>
      <w:r w:rsidRPr="00E57693">
        <w:rPr>
          <w:sz w:val="22"/>
          <w:szCs w:val="22"/>
        </w:rPr>
        <w:t>vízia dostupnej, spoľahlivej a</w:t>
      </w:r>
      <w:r>
        <w:rPr>
          <w:sz w:val="22"/>
          <w:szCs w:val="22"/>
        </w:rPr>
        <w:t> </w:t>
      </w:r>
      <w:r w:rsidRPr="00E57693">
        <w:rPr>
          <w:sz w:val="22"/>
          <w:szCs w:val="22"/>
        </w:rPr>
        <w:t>používateľsky jednoduchej verejnej osobnej dopravy,</w:t>
      </w:r>
    </w:p>
    <w:p w14:paraId="5B27902B" w14:textId="77777777" w:rsidR="009E0158" w:rsidRDefault="00DB79F5" w:rsidP="003309FB">
      <w:pPr>
        <w:pStyle w:val="Odsekzoznamu"/>
        <w:numPr>
          <w:ilvl w:val="0"/>
          <w:numId w:val="27"/>
        </w:numPr>
        <w:spacing w:before="180" w:after="120"/>
        <w:ind w:left="426" w:hanging="284"/>
        <w:jc w:val="both"/>
        <w:rPr>
          <w:sz w:val="22"/>
          <w:szCs w:val="22"/>
        </w:rPr>
      </w:pPr>
      <w:r w:rsidRPr="00E57693">
        <w:rPr>
          <w:sz w:val="22"/>
          <w:szCs w:val="22"/>
        </w:rPr>
        <w:t>vízia</w:t>
      </w:r>
      <w:r w:rsidRPr="0064169C">
        <w:rPr>
          <w:sz w:val="22"/>
          <w:szCs w:val="22"/>
        </w:rPr>
        <w:t xml:space="preserve"> infraštruktúry umožňujúcej prevádzku kvalitnej integrovanej verejnej osobnej dopravy.</w:t>
      </w:r>
    </w:p>
    <w:p w14:paraId="17D2A07C" w14:textId="77777777" w:rsidR="00FD1F7C" w:rsidRDefault="00FD1F7C" w:rsidP="00FD1F7C">
      <w:pPr>
        <w:spacing w:before="180" w:after="120"/>
        <w:jc w:val="both"/>
        <w:rPr>
          <w:sz w:val="22"/>
          <w:szCs w:val="22"/>
          <w:u w:val="single"/>
        </w:rPr>
      </w:pPr>
      <w:r>
        <w:rPr>
          <w:sz w:val="22"/>
          <w:szCs w:val="22"/>
          <w:u w:val="single"/>
        </w:rPr>
        <w:t>Strategický plán rozvoja a údržby ciest II. a III. triedy</w:t>
      </w:r>
    </w:p>
    <w:p w14:paraId="066366E1" w14:textId="77777777" w:rsidR="00631CDB" w:rsidRPr="00AB582D" w:rsidRDefault="00C82510" w:rsidP="00BB5240">
      <w:pPr>
        <w:spacing w:after="120"/>
        <w:jc w:val="both"/>
        <w:rPr>
          <w:sz w:val="22"/>
          <w:szCs w:val="22"/>
        </w:rPr>
      </w:pPr>
      <w:r w:rsidRPr="00C82510">
        <w:rPr>
          <w:sz w:val="22"/>
          <w:szCs w:val="22"/>
        </w:rPr>
        <w:t xml:space="preserve">Strategický plán rozvoja a údržby ciest II. a III. triedy predstavuje </w:t>
      </w:r>
      <w:r w:rsidR="00A32FFD">
        <w:rPr>
          <w:sz w:val="22"/>
          <w:szCs w:val="22"/>
        </w:rPr>
        <w:t>strategický dokument, ktorým sa </w:t>
      </w:r>
      <w:r w:rsidRPr="00C82510">
        <w:rPr>
          <w:sz w:val="22"/>
          <w:szCs w:val="22"/>
        </w:rPr>
        <w:t xml:space="preserve">vymedzujú základné strednodobé a dlhodobé ciele v oblasti rozvoja dopravnej infraštruktúry v jednotlivých </w:t>
      </w:r>
      <w:r>
        <w:rPr>
          <w:sz w:val="22"/>
          <w:szCs w:val="22"/>
        </w:rPr>
        <w:t>regiónoch, a to ciest II. a III. triedy, stanovujú sa priority ich rozvoja a identifikujú opatrenia a zdroje na ich dosiahnutie</w:t>
      </w:r>
      <w:r w:rsidRPr="000C7996">
        <w:rPr>
          <w:sz w:val="22"/>
          <w:szCs w:val="22"/>
        </w:rPr>
        <w:t>.</w:t>
      </w:r>
      <w:r w:rsidR="000C7996" w:rsidRPr="000C7996">
        <w:rPr>
          <w:sz w:val="22"/>
          <w:szCs w:val="22"/>
        </w:rPr>
        <w:t xml:space="preserve"> Financovanie definovaných investičných zámerov sa predpokladá z Integrovaného regionálneho operačného programu.</w:t>
      </w:r>
    </w:p>
    <w:p w14:paraId="2E6E7133" w14:textId="77777777" w:rsidR="00BB5240" w:rsidRPr="00FB494C" w:rsidRDefault="00BB5240" w:rsidP="00BB5240">
      <w:pPr>
        <w:spacing w:after="120"/>
        <w:jc w:val="both"/>
        <w:rPr>
          <w:sz w:val="22"/>
          <w:szCs w:val="22"/>
          <w:u w:val="single"/>
        </w:rPr>
      </w:pPr>
      <w:r w:rsidRPr="00FB494C">
        <w:rPr>
          <w:sz w:val="22"/>
          <w:szCs w:val="22"/>
          <w:u w:val="single"/>
        </w:rPr>
        <w:t>Plány udržateľnej mestskej mobility (PUMM)</w:t>
      </w:r>
    </w:p>
    <w:p w14:paraId="5DF9727D" w14:textId="77777777" w:rsidR="00BB5240" w:rsidRDefault="00BB5240" w:rsidP="00BB5240">
      <w:pPr>
        <w:spacing w:after="120"/>
        <w:jc w:val="both"/>
        <w:rPr>
          <w:sz w:val="22"/>
          <w:szCs w:val="22"/>
        </w:rPr>
      </w:pPr>
      <w:r>
        <w:rPr>
          <w:sz w:val="22"/>
          <w:szCs w:val="22"/>
        </w:rPr>
        <w:t>Predstavujú strategické plány navrhnuté na uspokojenie potrieb mobility osôb a podnikov s cieľom zlepšiť kvalitu života. Sú výsledkom integrovaného prístupu plánovania a venujú sa všetkým druhom a spôsobom dopravy v celej mestskej aglomerácii a priľahlom regióne vrátane verejnej a súkromnej, osobnej a nákladnej, motorizovanej, nemotorizovanej a statickej dopravy.</w:t>
      </w:r>
      <w:r w:rsidR="00423CC9">
        <w:rPr>
          <w:sz w:val="22"/>
          <w:szCs w:val="22"/>
        </w:rPr>
        <w:t xml:space="preserve"> </w:t>
      </w:r>
      <w:r>
        <w:rPr>
          <w:sz w:val="22"/>
          <w:szCs w:val="22"/>
        </w:rPr>
        <w:t xml:space="preserve">Keďže ide o pomerne novú iniciatívu EK súvisiacu s potrebou zlepšovania a štandardizácie strategického plánovania investícií, plány, ktoré by plne vyhovovali týmto požiadavkám na Slovensku zatiaľ vo väčšine miest (regiónov) chýbajú. Vypracovanie PUMM pre všetky dôležité aglomerácie SR bude v ďalšom období </w:t>
      </w:r>
      <w:r w:rsidR="00556F21">
        <w:rPr>
          <w:sz w:val="22"/>
          <w:szCs w:val="22"/>
        </w:rPr>
        <w:t>financovať</w:t>
      </w:r>
      <w:r>
        <w:rPr>
          <w:sz w:val="22"/>
          <w:szCs w:val="22"/>
        </w:rPr>
        <w:t xml:space="preserve"> RO IROP. Vo vzťahu k plánovaným aktivitám MDV SR bude dôležité, aby PUMM boli vypracované a slúžili ako dátová a rozhodovacia báza pri tvorbe 2. fázy Strategického plánu.</w:t>
      </w:r>
    </w:p>
    <w:p w14:paraId="45AA11C2" w14:textId="77777777" w:rsidR="00534B62" w:rsidRPr="000762C9" w:rsidRDefault="00534B62" w:rsidP="00BB5240">
      <w:pPr>
        <w:spacing w:after="120"/>
        <w:jc w:val="both"/>
        <w:rPr>
          <w:sz w:val="22"/>
          <w:szCs w:val="22"/>
          <w:u w:val="single"/>
          <w:vertAlign w:val="subscript"/>
        </w:rPr>
      </w:pPr>
      <w:r w:rsidRPr="000762C9">
        <w:rPr>
          <w:sz w:val="22"/>
          <w:szCs w:val="22"/>
          <w:u w:val="single"/>
        </w:rPr>
        <w:t>Stratégia pre redukciu PM</w:t>
      </w:r>
      <w:r w:rsidRPr="000762C9">
        <w:rPr>
          <w:sz w:val="22"/>
          <w:szCs w:val="22"/>
          <w:u w:val="single"/>
          <w:vertAlign w:val="subscript"/>
        </w:rPr>
        <w:t>10</w:t>
      </w:r>
    </w:p>
    <w:p w14:paraId="28780BFB" w14:textId="39C586E8" w:rsidR="00FB4CD3" w:rsidRDefault="00534B62" w:rsidP="00BB5240">
      <w:pPr>
        <w:spacing w:after="120"/>
        <w:jc w:val="both"/>
        <w:rPr>
          <w:sz w:val="22"/>
          <w:szCs w:val="22"/>
        </w:rPr>
      </w:pPr>
      <w:r>
        <w:rPr>
          <w:sz w:val="22"/>
          <w:szCs w:val="22"/>
        </w:rPr>
        <w:t>Cieľom stratégie je prijať účinné opatrenia pre redukciu častíc tuhých znečisťujúcich látok PM</w:t>
      </w:r>
      <w:r>
        <w:rPr>
          <w:sz w:val="22"/>
          <w:szCs w:val="22"/>
          <w:vertAlign w:val="subscript"/>
        </w:rPr>
        <w:t xml:space="preserve">10 </w:t>
      </w:r>
      <w:r>
        <w:rPr>
          <w:sz w:val="22"/>
          <w:szCs w:val="22"/>
        </w:rPr>
        <w:t xml:space="preserve">v ovzduší. Hlavným dôvodom vypracovania stratégie je prekračovanie legislatívne stanovených </w:t>
      </w:r>
      <w:r>
        <w:rPr>
          <w:sz w:val="22"/>
          <w:szCs w:val="22"/>
        </w:rPr>
        <w:lastRenderedPageBreak/>
        <w:t>limitných hodnôt imisií častíc PM</w:t>
      </w:r>
      <w:r>
        <w:rPr>
          <w:sz w:val="22"/>
          <w:szCs w:val="22"/>
          <w:vertAlign w:val="subscript"/>
        </w:rPr>
        <w:t>10</w:t>
      </w:r>
      <w:r w:rsidR="009D73D9">
        <w:rPr>
          <w:rStyle w:val="Odkaznapoznmkupodiarou"/>
          <w:sz w:val="22"/>
          <w:szCs w:val="22"/>
        </w:rPr>
        <w:footnoteReference w:id="25"/>
      </w:r>
      <w:r>
        <w:rPr>
          <w:sz w:val="22"/>
          <w:szCs w:val="22"/>
        </w:rPr>
        <w:t xml:space="preserve"> najmä v oblastiach s vysokou hustotou obyvateľstva, t.</w:t>
      </w:r>
      <w:r w:rsidR="004B5C76">
        <w:rPr>
          <w:sz w:val="22"/>
          <w:szCs w:val="22"/>
        </w:rPr>
        <w:t> </w:t>
      </w:r>
      <w:r>
        <w:rPr>
          <w:sz w:val="22"/>
          <w:szCs w:val="22"/>
        </w:rPr>
        <w:t>j. v mestách a obciach prevažne v zimnom období. Podľa vykonaných analýz sú v súčasnosti jedným z rozhodujúcich zdrojov znečistenia ovzdušia častice emisií z dopravy – zo spaľovania pohonných hmôt, z oderu pneumatík, brzdových obložení, z povrchu komunikácií znečistených aj zimným posypom a pod. Na základe uvedených informácií boli v stratégii stanovené pre sektor dopravy priority a opatrenia pre redukciu PM</w:t>
      </w:r>
      <w:r>
        <w:rPr>
          <w:sz w:val="22"/>
          <w:szCs w:val="22"/>
          <w:vertAlign w:val="subscript"/>
        </w:rPr>
        <w:t>10</w:t>
      </w:r>
      <w:r>
        <w:rPr>
          <w:sz w:val="22"/>
          <w:szCs w:val="22"/>
        </w:rPr>
        <w:t xml:space="preserve"> v ovzduší.</w:t>
      </w:r>
    </w:p>
    <w:p w14:paraId="2070611F" w14:textId="77777777" w:rsidR="00FB4CD3" w:rsidRPr="00FB4CD3" w:rsidRDefault="00FB4CD3" w:rsidP="00BB5240">
      <w:pPr>
        <w:spacing w:after="120"/>
        <w:jc w:val="both"/>
        <w:rPr>
          <w:sz w:val="22"/>
          <w:szCs w:val="22"/>
          <w:u w:val="single"/>
        </w:rPr>
      </w:pPr>
      <w:r w:rsidRPr="00FB4CD3">
        <w:rPr>
          <w:sz w:val="22"/>
          <w:szCs w:val="22"/>
          <w:u w:val="single"/>
        </w:rPr>
        <w:t>7. Environmentálny akčný program do roku 2020 „Dobrý život v rámci možností našej planéty“</w:t>
      </w:r>
    </w:p>
    <w:p w14:paraId="124A99F0" w14:textId="77777777" w:rsidR="00534B62" w:rsidRPr="00534B62" w:rsidRDefault="00FB4CD3" w:rsidP="00BB5240">
      <w:pPr>
        <w:spacing w:after="120"/>
        <w:jc w:val="both"/>
        <w:rPr>
          <w:sz w:val="22"/>
          <w:szCs w:val="22"/>
        </w:rPr>
      </w:pPr>
      <w:r>
        <w:rPr>
          <w:sz w:val="22"/>
          <w:szCs w:val="22"/>
        </w:rPr>
        <w:t>Ide o základný koncepčný dokument EK. Dokument je zameraný na zlepšenie kvality ovzdušia, neprekročenie limitných hodnôt znečisťovania, ochranu pred povodňami a inými environmentálnymi katastrofami, zefektívnenie odpadového hospodárstva a ďalšie.</w:t>
      </w:r>
    </w:p>
    <w:p w14:paraId="53003E17" w14:textId="77777777" w:rsidR="00AC06BB" w:rsidRDefault="00307AAF" w:rsidP="00E549BB">
      <w:pPr>
        <w:jc w:val="both"/>
        <w:rPr>
          <w:sz w:val="22"/>
          <w:szCs w:val="22"/>
        </w:rPr>
      </w:pPr>
      <w:r w:rsidRPr="00A21DD4">
        <w:rPr>
          <w:sz w:val="22"/>
          <w:szCs w:val="22"/>
        </w:rPr>
        <w:t xml:space="preserve">Jedným z hlavných opatrení v rámci OPII vo vzťahu k zlepšovaniu kvality ovzdušia je možné zaradiť najmä výstavbu nových úsekov diaľnic, rýchlostných ciest a ciest I. triedy. Prostredníctvom novej infraštruktúry dôjde k presmerovaniu </w:t>
      </w:r>
      <w:r w:rsidR="004D2CC5" w:rsidRPr="00A21DD4">
        <w:rPr>
          <w:sz w:val="22"/>
          <w:szCs w:val="22"/>
        </w:rPr>
        <w:t xml:space="preserve">podstatnej časti dopravy, </w:t>
      </w:r>
      <w:r w:rsidR="00356CD7" w:rsidRPr="00A21DD4">
        <w:rPr>
          <w:sz w:val="22"/>
          <w:szCs w:val="22"/>
        </w:rPr>
        <w:t>predovšetkým tranzitnej, mimo intravilány miest a obcí. Predpokladá sa, že výstavba nových ciest významne prispeje k snahe SR o</w:t>
      </w:r>
      <w:r w:rsidR="00631CDB" w:rsidRPr="00A21DD4">
        <w:rPr>
          <w:sz w:val="22"/>
          <w:szCs w:val="22"/>
        </w:rPr>
        <w:t> </w:t>
      </w:r>
      <w:r w:rsidRPr="00A21DD4">
        <w:rPr>
          <w:sz w:val="22"/>
          <w:szCs w:val="22"/>
        </w:rPr>
        <w:t>pokles emisií PM</w:t>
      </w:r>
      <w:r w:rsidRPr="00A21DD4">
        <w:rPr>
          <w:sz w:val="22"/>
          <w:szCs w:val="22"/>
          <w:vertAlign w:val="subscript"/>
        </w:rPr>
        <w:t>10</w:t>
      </w:r>
      <w:r w:rsidRPr="00A21DD4">
        <w:rPr>
          <w:sz w:val="22"/>
          <w:szCs w:val="22"/>
        </w:rPr>
        <w:t xml:space="preserve"> a NO</w:t>
      </w:r>
      <w:r w:rsidRPr="00A21DD4">
        <w:rPr>
          <w:sz w:val="22"/>
          <w:szCs w:val="22"/>
          <w:vertAlign w:val="subscript"/>
        </w:rPr>
        <w:t>2</w:t>
      </w:r>
      <w:r w:rsidRPr="00A21DD4">
        <w:rPr>
          <w:sz w:val="22"/>
          <w:szCs w:val="22"/>
        </w:rPr>
        <w:t>. Medzi ďalšie opatrenia súvisiace s dopravou patrí modernizácia železničných tratí, ekologizácia MHD, parkovacia politika, modernizácia statickej dopravy a iné. Tieto opatrenia budú realizované podľa zamerania z OPII, resp. IROP. RO OPII bude prostredníctvom relevantných environmentálnych ukazovateľov v každej prioritnej osi priebežne monitorovať príspevok OPII k znižovaniu emisií PM</w:t>
      </w:r>
      <w:r w:rsidRPr="00A21DD4">
        <w:rPr>
          <w:sz w:val="22"/>
          <w:szCs w:val="22"/>
          <w:vertAlign w:val="subscript"/>
        </w:rPr>
        <w:t>10</w:t>
      </w:r>
      <w:r w:rsidRPr="00A21DD4">
        <w:rPr>
          <w:sz w:val="22"/>
          <w:szCs w:val="22"/>
        </w:rPr>
        <w:t xml:space="preserve"> a NO</w:t>
      </w:r>
      <w:r w:rsidRPr="00A21DD4">
        <w:rPr>
          <w:sz w:val="22"/>
          <w:szCs w:val="22"/>
          <w:vertAlign w:val="subscript"/>
        </w:rPr>
        <w:t>2</w:t>
      </w:r>
      <w:r w:rsidRPr="00A21DD4">
        <w:rPr>
          <w:sz w:val="22"/>
          <w:szCs w:val="22"/>
        </w:rPr>
        <w:t xml:space="preserve"> a napĺňaniu cieľov definovaných </w:t>
      </w:r>
      <w:r w:rsidR="005162F6">
        <w:rPr>
          <w:sz w:val="22"/>
          <w:szCs w:val="22"/>
        </w:rPr>
        <w:t>smernicou Európskeho parlamentu a rady 2008/50/ES o kvalite okolitého ovzdušia a čistejšom ovzduší v Eu</w:t>
      </w:r>
      <w:r w:rsidR="00827FE5">
        <w:rPr>
          <w:sz w:val="22"/>
          <w:szCs w:val="22"/>
        </w:rPr>
        <w:t>r</w:t>
      </w:r>
      <w:r w:rsidR="005162F6">
        <w:rPr>
          <w:sz w:val="22"/>
          <w:szCs w:val="22"/>
        </w:rPr>
        <w:t>ópe</w:t>
      </w:r>
      <w:r w:rsidRPr="00A21DD4">
        <w:rPr>
          <w:sz w:val="22"/>
          <w:szCs w:val="22"/>
        </w:rPr>
        <w:t>.</w:t>
      </w:r>
    </w:p>
    <w:p w14:paraId="4B5AD125" w14:textId="77777777" w:rsidR="00B07A34" w:rsidRPr="0064169C" w:rsidRDefault="00B07A34" w:rsidP="00B07A34">
      <w:pPr>
        <w:spacing w:before="180" w:after="120"/>
        <w:jc w:val="both"/>
        <w:rPr>
          <w:sz w:val="22"/>
          <w:szCs w:val="22"/>
          <w:u w:val="single"/>
        </w:rPr>
      </w:pPr>
      <w:r w:rsidRPr="0064169C">
        <w:rPr>
          <w:sz w:val="22"/>
          <w:szCs w:val="22"/>
          <w:u w:val="single"/>
        </w:rPr>
        <w:t xml:space="preserve">Strategický plán rozvoja </w:t>
      </w:r>
      <w:r>
        <w:rPr>
          <w:sz w:val="22"/>
          <w:szCs w:val="22"/>
          <w:u w:val="single"/>
        </w:rPr>
        <w:t>dopravy</w:t>
      </w:r>
      <w:r w:rsidRPr="0064169C">
        <w:rPr>
          <w:sz w:val="22"/>
          <w:szCs w:val="22"/>
          <w:u w:val="single"/>
        </w:rPr>
        <w:t xml:space="preserve"> </w:t>
      </w:r>
      <w:r>
        <w:rPr>
          <w:sz w:val="22"/>
          <w:szCs w:val="22"/>
          <w:u w:val="single"/>
        </w:rPr>
        <w:t>SR do roku 2030</w:t>
      </w:r>
    </w:p>
    <w:p w14:paraId="76165BA5" w14:textId="77777777" w:rsidR="00B07A34" w:rsidRDefault="00B07A34" w:rsidP="00B07A34">
      <w:pPr>
        <w:spacing w:before="120" w:after="120"/>
        <w:jc w:val="both"/>
        <w:rPr>
          <w:sz w:val="22"/>
          <w:szCs w:val="22"/>
        </w:rPr>
      </w:pPr>
      <w:r w:rsidRPr="00E2608F">
        <w:rPr>
          <w:sz w:val="22"/>
          <w:szCs w:val="22"/>
        </w:rPr>
        <w:t>Ide o strategický dokument dlhodobého charakteru, ktorý si kladie za cieľ nastaviť efektívny smer rozvoja dopravného sektora a určuje spôsob realizácie jeho rozvojovej vízie. Dokument predstavuje výstup II. fázy prípravy stratégie rozvoja dopravy SR do roku 2030 a predstavuje faktické naplnenie ex ante kondicionalít</w:t>
      </w:r>
      <w:r>
        <w:rPr>
          <w:sz w:val="22"/>
          <w:szCs w:val="22"/>
        </w:rPr>
        <w:t xml:space="preserve"> stanovených Európskou komisiou pre rezort dopravy v programovom období 2014 - 2020</w:t>
      </w:r>
      <w:r w:rsidRPr="00E2608F">
        <w:rPr>
          <w:sz w:val="22"/>
          <w:szCs w:val="22"/>
        </w:rPr>
        <w:t>.</w:t>
      </w:r>
    </w:p>
    <w:p w14:paraId="52C6B5A9" w14:textId="77777777" w:rsidR="00DB79F5" w:rsidRDefault="00DB79F5" w:rsidP="009322BF">
      <w:pPr>
        <w:pStyle w:val="Nadpis4"/>
        <w:spacing w:before="240"/>
      </w:pPr>
      <w:r>
        <w:t>Informačná spoločnosť</w:t>
      </w:r>
    </w:p>
    <w:p w14:paraId="2C3403D0" w14:textId="77777777" w:rsidR="00DB79F5" w:rsidRDefault="00DB79F5" w:rsidP="00DB79F5">
      <w:pPr>
        <w:pStyle w:val="06Normal"/>
        <w:spacing w:before="0" w:after="120"/>
        <w:rPr>
          <w:szCs w:val="22"/>
          <w:u w:val="single"/>
        </w:rPr>
      </w:pPr>
      <w:r>
        <w:t xml:space="preserve">Stratégia </w:t>
      </w:r>
      <w:r w:rsidR="00841ABF">
        <w:t>P</w:t>
      </w:r>
      <w:r>
        <w:t>rioritnej osi</w:t>
      </w:r>
      <w:r w:rsidR="00841ABF">
        <w:t xml:space="preserve"> 7</w:t>
      </w:r>
      <w:r>
        <w:t xml:space="preserve"> Informačná spoločnosť vychádza z výsledkov analýzy a prognózy vývoja sektoru digitálnej ekonomiky</w:t>
      </w:r>
      <w:r w:rsidR="002E05C6">
        <w:rPr>
          <w:rStyle w:val="Odkaznapoznmkupodiarou"/>
        </w:rPr>
        <w:footnoteReference w:id="26"/>
      </w:r>
      <w:r>
        <w:t>, identifikovaných kľúčových disparít a potenciálnych faktorov rozvoja. Prioritná os</w:t>
      </w:r>
      <w:r w:rsidR="00841ABF">
        <w:t xml:space="preserve"> 7</w:t>
      </w:r>
      <w:r>
        <w:t xml:space="preserve"> zodpovedá potrebám identifikovaným v analýze a tematickému zameraniu uvedenému v pozičnom dokumente</w:t>
      </w:r>
      <w:r w:rsidR="00716686">
        <w:t>,</w:t>
      </w:r>
      <w:r>
        <w:t xml:space="preserve"> </w:t>
      </w:r>
      <w:r w:rsidR="00716686">
        <w:t>ktoré</w:t>
      </w:r>
      <w:r>
        <w:t> sú orientované na podporu faktorov rozvoja. Zámerom je tiež zosúladenie sa s politickými prioritami stratégie Európa 2020 a ex ante kondicionalitami, ako aj výkonnostnými stimulmi, aby bolo možné dosiahnuť efektívnejšie vynakladanie prostriedkov.</w:t>
      </w:r>
      <w:r w:rsidR="0059698C">
        <w:t xml:space="preserve"> </w:t>
      </w:r>
      <w:r w:rsidR="00716686">
        <w:t>Prioritná os 7</w:t>
      </w:r>
      <w:r w:rsidR="0059698C">
        <w:t xml:space="preserve"> svojimi cieľmi a aktivitami nadväzuje a realizuje priority definované v dokumente Európskej komisie eGovernment Action Plan.</w:t>
      </w:r>
    </w:p>
    <w:p w14:paraId="62832039" w14:textId="77777777" w:rsidR="00E92F9B" w:rsidRDefault="001218A8">
      <w:pPr>
        <w:pStyle w:val="Nadpis4"/>
        <w:tabs>
          <w:tab w:val="clear" w:pos="864"/>
        </w:tabs>
        <w:spacing w:before="240"/>
        <w:ind w:left="709" w:hanging="709"/>
      </w:pPr>
      <w:r w:rsidRPr="001218A8">
        <w:t xml:space="preserve">Prepojenie stratégie OPII - IS s plnením stratégie Európa </w:t>
      </w:r>
      <w:r w:rsidR="00A172C4">
        <w:t>2020</w:t>
      </w:r>
    </w:p>
    <w:p w14:paraId="5B78067E" w14:textId="77777777" w:rsidR="00841ABF" w:rsidRDefault="00841ABF" w:rsidP="00841ABF">
      <w:pPr>
        <w:jc w:val="both"/>
        <w:rPr>
          <w:sz w:val="22"/>
          <w:szCs w:val="22"/>
        </w:rPr>
      </w:pPr>
      <w:r w:rsidRPr="00560E77">
        <w:rPr>
          <w:sz w:val="22"/>
          <w:szCs w:val="22"/>
        </w:rPr>
        <w:t>Európska únia v roku 2010 prijala stratégiu Európa 2020 - Stratégiu na zabezpečenie inteligentného, udržateľného a inkluzívneho rastu, v ktorej je premietnutá vízia európskeho</w:t>
      </w:r>
      <w:r>
        <w:rPr>
          <w:sz w:val="22"/>
          <w:szCs w:val="22"/>
        </w:rPr>
        <w:t>,</w:t>
      </w:r>
      <w:r w:rsidRPr="00560E77">
        <w:rPr>
          <w:sz w:val="22"/>
          <w:szCs w:val="22"/>
        </w:rPr>
        <w:t xml:space="preserve"> sociálneho</w:t>
      </w:r>
      <w:r>
        <w:rPr>
          <w:sz w:val="22"/>
          <w:szCs w:val="22"/>
        </w:rPr>
        <w:t>,</w:t>
      </w:r>
      <w:r w:rsidRPr="00560E77">
        <w:rPr>
          <w:sz w:val="22"/>
          <w:szCs w:val="22"/>
        </w:rPr>
        <w:t xml:space="preserve"> trhového hospodárstva zameraná na rast a zamestnanosť.</w:t>
      </w:r>
      <w:r>
        <w:rPr>
          <w:sz w:val="22"/>
          <w:szCs w:val="22"/>
        </w:rPr>
        <w:t xml:space="preserve"> </w:t>
      </w:r>
      <w:r w:rsidRPr="00560E77">
        <w:rPr>
          <w:sz w:val="22"/>
          <w:szCs w:val="22"/>
        </w:rPr>
        <w:t>Prioritná os</w:t>
      </w:r>
      <w:r>
        <w:rPr>
          <w:sz w:val="22"/>
          <w:szCs w:val="22"/>
        </w:rPr>
        <w:t xml:space="preserve"> 7</w:t>
      </w:r>
      <w:r w:rsidRPr="00560E77">
        <w:rPr>
          <w:sz w:val="22"/>
          <w:szCs w:val="22"/>
        </w:rPr>
        <w:t xml:space="preserve"> Informačná spoločnosť prispieva p</w:t>
      </w:r>
      <w:r w:rsidR="00D21821">
        <w:rPr>
          <w:sz w:val="22"/>
          <w:szCs w:val="22"/>
        </w:rPr>
        <w:t>rioritne k inteligentnému rastu</w:t>
      </w:r>
      <w:r w:rsidRPr="00560E77">
        <w:rPr>
          <w:sz w:val="22"/>
          <w:szCs w:val="22"/>
        </w:rPr>
        <w:t xml:space="preserve"> s následným dopadom aj na priority udržateľného a inkluzívneho rastu. </w:t>
      </w:r>
    </w:p>
    <w:p w14:paraId="269DFD2C" w14:textId="77777777" w:rsidR="00841ABF" w:rsidRPr="00560E77" w:rsidRDefault="00841ABF" w:rsidP="00841ABF">
      <w:pPr>
        <w:spacing w:before="120" w:after="120"/>
        <w:jc w:val="both"/>
        <w:rPr>
          <w:sz w:val="22"/>
          <w:szCs w:val="22"/>
        </w:rPr>
      </w:pPr>
      <w:r w:rsidRPr="00560E77">
        <w:rPr>
          <w:sz w:val="22"/>
          <w:szCs w:val="22"/>
        </w:rPr>
        <w:t xml:space="preserve">Rozvoj informačnej spoločnosti má ambíciu prispieť k nasledujúcim národným cieľom stratégie: </w:t>
      </w:r>
    </w:p>
    <w:p w14:paraId="16063BF5" w14:textId="77777777" w:rsidR="009E0158" w:rsidRDefault="00841ABF" w:rsidP="003309FB">
      <w:pPr>
        <w:pStyle w:val="Odsekzoznamu"/>
        <w:numPr>
          <w:ilvl w:val="0"/>
          <w:numId w:val="27"/>
        </w:numPr>
        <w:spacing w:before="120" w:after="120"/>
        <w:ind w:left="568" w:hanging="284"/>
        <w:jc w:val="both"/>
        <w:rPr>
          <w:sz w:val="22"/>
          <w:szCs w:val="22"/>
        </w:rPr>
      </w:pPr>
      <w:r w:rsidRPr="00560E77">
        <w:rPr>
          <w:sz w:val="22"/>
          <w:szCs w:val="22"/>
        </w:rPr>
        <w:lastRenderedPageBreak/>
        <w:t>zvýšiť mieru zamestnanosti obyvateľstva vo veku 20-64 rokov na minimálne 72 %, a to vytváraním nových pozícií v dynamickom sektore digitálnej ek</w:t>
      </w:r>
      <w:r w:rsidR="0095191D">
        <w:rPr>
          <w:sz w:val="22"/>
          <w:szCs w:val="22"/>
        </w:rPr>
        <w:t>onomiky a investíciami štátu do </w:t>
      </w:r>
      <w:r w:rsidRPr="00560E77">
        <w:rPr>
          <w:sz w:val="22"/>
          <w:szCs w:val="22"/>
        </w:rPr>
        <w:t xml:space="preserve">informačných a komunikačných technológií a ďalších odvetví digitálnej ekonomiky; </w:t>
      </w:r>
    </w:p>
    <w:p w14:paraId="0836D79C" w14:textId="77777777" w:rsidR="009E0158" w:rsidRDefault="00841ABF" w:rsidP="003309FB">
      <w:pPr>
        <w:pStyle w:val="Odsekzoznamu"/>
        <w:numPr>
          <w:ilvl w:val="0"/>
          <w:numId w:val="27"/>
        </w:numPr>
        <w:spacing w:before="120" w:after="120"/>
        <w:ind w:left="568" w:hanging="284"/>
        <w:jc w:val="both"/>
        <w:rPr>
          <w:sz w:val="22"/>
          <w:szCs w:val="22"/>
        </w:rPr>
      </w:pPr>
      <w:r w:rsidRPr="00560E77">
        <w:rPr>
          <w:sz w:val="22"/>
          <w:szCs w:val="22"/>
        </w:rPr>
        <w:t>znížiť počet osôb ohrozených chudobou alebo vylúčením v SR o 170 tisíc obyvateľov, a to p</w:t>
      </w:r>
      <w:r w:rsidRPr="00D90E59">
        <w:rPr>
          <w:sz w:val="22"/>
          <w:szCs w:val="22"/>
        </w:rPr>
        <w:t>odp</w:t>
      </w:r>
      <w:r w:rsidRPr="00560E77">
        <w:rPr>
          <w:sz w:val="22"/>
          <w:szCs w:val="22"/>
        </w:rPr>
        <w:t>orou nástrojov pre eInklúziu, zlepšovaním IKT zručností populácie, reformou verejnej správy, ktorá zjednodušuje prístup k službám a motivuje všetky sociálne vrstvy k participácii;</w:t>
      </w:r>
    </w:p>
    <w:p w14:paraId="3AFA3897" w14:textId="77777777" w:rsidR="009E0158" w:rsidRDefault="00841ABF" w:rsidP="003309FB">
      <w:pPr>
        <w:pStyle w:val="Odsekzoznamu"/>
        <w:numPr>
          <w:ilvl w:val="0"/>
          <w:numId w:val="27"/>
        </w:numPr>
        <w:ind w:left="568" w:hanging="284"/>
        <w:jc w:val="both"/>
        <w:rPr>
          <w:sz w:val="22"/>
          <w:szCs w:val="22"/>
        </w:rPr>
      </w:pPr>
      <w:r w:rsidRPr="00560E77">
        <w:rPr>
          <w:sz w:val="22"/>
          <w:szCs w:val="22"/>
        </w:rPr>
        <w:t xml:space="preserve">zvýšiť energetickú efektívnosť SR znížením konečnej energetickej spotreby o 11 % voči priemeru rokov 2001 – 2005, a to konsolidovaním informačných systémov a hardvérovej infraštruktúry do cloudových dátových centier; </w:t>
      </w:r>
    </w:p>
    <w:p w14:paraId="2C59C62F" w14:textId="77777777" w:rsidR="009E0158" w:rsidRDefault="00841ABF" w:rsidP="003309FB">
      <w:pPr>
        <w:pStyle w:val="Odsekzoznamu"/>
        <w:numPr>
          <w:ilvl w:val="0"/>
          <w:numId w:val="27"/>
        </w:numPr>
        <w:ind w:left="567" w:hanging="283"/>
        <w:contextualSpacing w:val="0"/>
        <w:jc w:val="both"/>
        <w:rPr>
          <w:sz w:val="22"/>
          <w:szCs w:val="22"/>
        </w:rPr>
      </w:pPr>
      <w:r w:rsidRPr="00560E77">
        <w:rPr>
          <w:sz w:val="22"/>
          <w:szCs w:val="22"/>
        </w:rPr>
        <w:t>dosiahnuť e-Government index na úrovni 90 %</w:t>
      </w:r>
      <w:r>
        <w:rPr>
          <w:rStyle w:val="Odkaznapoznmkupodiarou"/>
          <w:sz w:val="22"/>
          <w:szCs w:val="22"/>
        </w:rPr>
        <w:footnoteReference w:id="27"/>
      </w:r>
      <w:r w:rsidRPr="00560E77">
        <w:rPr>
          <w:sz w:val="22"/>
          <w:szCs w:val="22"/>
        </w:rPr>
        <w:t>.</w:t>
      </w:r>
    </w:p>
    <w:p w14:paraId="0B14BDF0" w14:textId="77777777" w:rsidR="00DB79F5" w:rsidRDefault="00DB79F5" w:rsidP="00DB79F5">
      <w:pPr>
        <w:pStyle w:val="Odsekzoznamu"/>
        <w:spacing w:before="240"/>
        <w:ind w:left="0"/>
        <w:contextualSpacing w:val="0"/>
        <w:jc w:val="both"/>
        <w:rPr>
          <w:sz w:val="22"/>
          <w:szCs w:val="22"/>
        </w:rPr>
      </w:pPr>
      <w:r w:rsidRPr="00C95E85">
        <w:rPr>
          <w:sz w:val="22"/>
          <w:szCs w:val="22"/>
        </w:rPr>
        <w:t xml:space="preserve">Pre prioritu inteligentného rastu stratégie Európa 2020 bola navrhnutá </w:t>
      </w:r>
      <w:r>
        <w:rPr>
          <w:sz w:val="22"/>
          <w:szCs w:val="22"/>
        </w:rPr>
        <w:t>iniciatíva Digitálna agenda pre </w:t>
      </w:r>
      <w:r w:rsidRPr="00C95E85">
        <w:rPr>
          <w:sz w:val="22"/>
          <w:szCs w:val="22"/>
        </w:rPr>
        <w:t xml:space="preserve">Európu, ktorá predstavuje sektorovú stratégiu. Zámerom </w:t>
      </w:r>
      <w:r w:rsidR="00A172C4">
        <w:rPr>
          <w:sz w:val="22"/>
          <w:szCs w:val="22"/>
        </w:rPr>
        <w:t>P</w:t>
      </w:r>
      <w:r w:rsidR="00841ABF">
        <w:rPr>
          <w:sz w:val="22"/>
          <w:szCs w:val="22"/>
        </w:rPr>
        <w:t xml:space="preserve">rioritnej osi 7 </w:t>
      </w:r>
      <w:r w:rsidRPr="00C95E85">
        <w:rPr>
          <w:sz w:val="22"/>
          <w:szCs w:val="22"/>
        </w:rPr>
        <w:t xml:space="preserve">je koncipovať nové programové obdobie tak, aby bolo možné účinne implementovať </w:t>
      </w:r>
      <w:r>
        <w:rPr>
          <w:sz w:val="22"/>
          <w:szCs w:val="22"/>
        </w:rPr>
        <w:t>opatrenia Digitálnej agendy pre </w:t>
      </w:r>
      <w:r w:rsidRPr="00C95E85">
        <w:rPr>
          <w:sz w:val="22"/>
          <w:szCs w:val="22"/>
        </w:rPr>
        <w:t>Európu, ku ktorým sa Slovensko zaväzuje. Navrhované aktivity</w:t>
      </w:r>
      <w:r>
        <w:rPr>
          <w:sz w:val="22"/>
          <w:szCs w:val="22"/>
        </w:rPr>
        <w:t xml:space="preserve"> špecifických cieľov</w:t>
      </w:r>
      <w:r w:rsidR="008B2833">
        <w:rPr>
          <w:sz w:val="22"/>
          <w:szCs w:val="22"/>
        </w:rPr>
        <w:t xml:space="preserve"> Prioritnej osi </w:t>
      </w:r>
      <w:r w:rsidR="00841ABF">
        <w:rPr>
          <w:sz w:val="22"/>
          <w:szCs w:val="22"/>
        </w:rPr>
        <w:t>7</w:t>
      </w:r>
      <w:r>
        <w:rPr>
          <w:sz w:val="22"/>
          <w:szCs w:val="22"/>
        </w:rPr>
        <w:t xml:space="preserve"> čerpajú zo </w:t>
      </w:r>
      <w:r w:rsidRPr="00C95E85">
        <w:rPr>
          <w:sz w:val="22"/>
          <w:szCs w:val="22"/>
        </w:rPr>
        <w:t>všetkých siedmich piliero</w:t>
      </w:r>
      <w:r>
        <w:rPr>
          <w:sz w:val="22"/>
          <w:szCs w:val="22"/>
        </w:rPr>
        <w:t>v</w:t>
      </w:r>
      <w:r w:rsidRPr="00C95E85">
        <w:rPr>
          <w:sz w:val="22"/>
          <w:szCs w:val="22"/>
        </w:rPr>
        <w:t xml:space="preserve"> Digitálnej agendy pre Európu:</w:t>
      </w:r>
    </w:p>
    <w:p w14:paraId="35C750E4" w14:textId="6F0A7E58" w:rsidR="008B2833" w:rsidRDefault="006B419A" w:rsidP="00E363D9">
      <w:pPr>
        <w:pStyle w:val="Tab"/>
        <w:tabs>
          <w:tab w:val="left" w:pos="709"/>
        </w:tabs>
        <w:ind w:left="360"/>
      </w:pPr>
      <w:r w:rsidRPr="00C95E85">
        <w:t>Plnenie Digitálnej agendy pre Európu z pohľadu prioritných tém</w:t>
      </w:r>
      <w:r w:rsidR="00A9521B">
        <w:t xml:space="preserve"> – pozri Prílohu 21</w:t>
      </w:r>
    </w:p>
    <w:p w14:paraId="1EB5D57C" w14:textId="77777777" w:rsidR="00EE499B" w:rsidRPr="00EE499B" w:rsidRDefault="00EE499B" w:rsidP="00EE499B">
      <w:pPr>
        <w:rPr>
          <w:lang w:eastAsia="cs-CZ"/>
        </w:rPr>
      </w:pPr>
    </w:p>
    <w:p w14:paraId="3A771737" w14:textId="77777777" w:rsidR="00E92F9B" w:rsidRDefault="001218A8">
      <w:pPr>
        <w:pStyle w:val="Nadpis4"/>
        <w:tabs>
          <w:tab w:val="clear" w:pos="864"/>
        </w:tabs>
        <w:spacing w:before="240"/>
        <w:ind w:left="709" w:hanging="709"/>
      </w:pPr>
      <w:r w:rsidRPr="001218A8">
        <w:t>Prepojenie stratégie OPII-IS s plnením cieľov významných národných strategických dokumentov definujúcich vývoj sektora IKT</w:t>
      </w:r>
    </w:p>
    <w:p w14:paraId="05C27166" w14:textId="77777777" w:rsidR="00E462E1" w:rsidRPr="00C82510" w:rsidRDefault="00E462E1" w:rsidP="00E462E1">
      <w:pPr>
        <w:pStyle w:val="Odsekzoznamu"/>
        <w:spacing w:before="180" w:after="120"/>
        <w:ind w:left="0"/>
        <w:jc w:val="both"/>
        <w:rPr>
          <w:sz w:val="22"/>
          <w:szCs w:val="22"/>
          <w:u w:val="single"/>
        </w:rPr>
      </w:pPr>
      <w:r>
        <w:rPr>
          <w:sz w:val="22"/>
          <w:szCs w:val="22"/>
          <w:u w:val="single"/>
        </w:rPr>
        <w:t>Partnerská dohoda Slovenskej republiky</w:t>
      </w:r>
    </w:p>
    <w:p w14:paraId="0F85166C" w14:textId="77777777" w:rsidR="00E462E1" w:rsidRPr="00C82510" w:rsidRDefault="00E462E1" w:rsidP="00E462E1">
      <w:pPr>
        <w:spacing w:before="120" w:after="120"/>
        <w:jc w:val="both"/>
        <w:rPr>
          <w:sz w:val="22"/>
          <w:szCs w:val="22"/>
        </w:rPr>
      </w:pPr>
      <w:r>
        <w:rPr>
          <w:sz w:val="22"/>
          <w:szCs w:val="22"/>
        </w:rPr>
        <w:t>Partnerská dohoda Slovenskej republiky (ďalej len „PD SR“) sa vzťahuje na všetku podporu z Európskych štrukturálnych a investičných fondov EÚ (ďalej len „EŠIF“) v príslušnom členskom štáte. Ide o dokument , ktorý určuje stratégiu, priority a podmienky SR na využívanie týchto fondov efektívnym a účinným spôsobom, s cieľom dosiahnuť priority stratégie Európa 2020.</w:t>
      </w:r>
    </w:p>
    <w:p w14:paraId="7FB9E1D5" w14:textId="77777777" w:rsidR="005413FA" w:rsidRPr="005413FA" w:rsidRDefault="001218A8" w:rsidP="00DB79F5">
      <w:pPr>
        <w:spacing w:before="120" w:after="120"/>
        <w:jc w:val="both"/>
        <w:rPr>
          <w:sz w:val="22"/>
          <w:szCs w:val="22"/>
          <w:u w:val="single"/>
        </w:rPr>
      </w:pPr>
      <w:r w:rsidRPr="001218A8">
        <w:rPr>
          <w:sz w:val="22"/>
          <w:szCs w:val="22"/>
          <w:u w:val="single"/>
        </w:rPr>
        <w:t>Strategický dokument pre oblasť rastu digitálnych služieb a oblasť infraštruktúry prístupovej siete novej generácie (2014 – 2020)</w:t>
      </w:r>
    </w:p>
    <w:p w14:paraId="191995DA" w14:textId="77777777" w:rsidR="00DB79F5" w:rsidRDefault="00DB79F5" w:rsidP="00DB79F5">
      <w:pPr>
        <w:spacing w:before="120" w:after="120"/>
        <w:jc w:val="both"/>
        <w:rPr>
          <w:sz w:val="22"/>
          <w:szCs w:val="22"/>
        </w:rPr>
      </w:pPr>
      <w:r w:rsidRPr="00C95E85">
        <w:rPr>
          <w:sz w:val="22"/>
          <w:szCs w:val="22"/>
        </w:rPr>
        <w:t>Na dosiahnutie dlhotrvajúcich ekonomických a sociálnych účinkov financovania pokroku je potrebné adresovať národné a regionálne potreby Slovenska. Identifikovanými oblasťami, ktoré berú do úvahy aj odporúčania Európskej komisie, sú:</w:t>
      </w:r>
    </w:p>
    <w:p w14:paraId="05968E36"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 xml:space="preserve">Zvýšenie konkurencieschopnosti regiónov: V prvom rade ide o potrebu zvýšenia konkurencieschopnosti regiónov Slovenska brzdených slabým podnikateľským prostredím, ktoré čelí neefektívnej verejnej správe. Dôsledkom sú zaostávajúce výsledky v ukazovateľoch trhu s výrobkami a službami, ktoré možno zlepšiť znížením administratívnej záťaže </w:t>
      </w:r>
      <w:r w:rsidR="00D670E1">
        <w:rPr>
          <w:sz w:val="22"/>
          <w:szCs w:val="22"/>
        </w:rPr>
        <w:t>kladenej na </w:t>
      </w:r>
      <w:r w:rsidR="00A3669F">
        <w:rPr>
          <w:sz w:val="22"/>
          <w:szCs w:val="22"/>
        </w:rPr>
        <w:t>začínajúce podniky.</w:t>
      </w:r>
    </w:p>
    <w:p w14:paraId="7BDA6210"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Zvýšenie úrovne inovácií a kapacít pre moderné technologické riešenia: Slovensko má urgentnú potrebu zvýšiť úroveň inovácií a kapacít pre moderné technolog</w:t>
      </w:r>
      <w:r w:rsidR="00D670E1">
        <w:rPr>
          <w:sz w:val="22"/>
          <w:szCs w:val="22"/>
        </w:rPr>
        <w:t>ické riešenia, najmä v malých a </w:t>
      </w:r>
      <w:r w:rsidRPr="00C95E85">
        <w:rPr>
          <w:sz w:val="22"/>
          <w:szCs w:val="22"/>
        </w:rPr>
        <w:t>stredných podnikoch, a to vo všetkých regiónoch tak, aby boli o</w:t>
      </w:r>
      <w:r>
        <w:rPr>
          <w:sz w:val="22"/>
          <w:szCs w:val="22"/>
        </w:rPr>
        <w:t>dstránené regionálne disparity.</w:t>
      </w:r>
    </w:p>
    <w:p w14:paraId="03F105B7"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Zvýšenie zamestnanosti: Dlhodobú nezamestnanosť nielen mladých ľudí na Slovensku možno riešiť prepojením vzdelávania s potrebami pracovného trhu, ako aj podporou nových kreatívnych pracovných miest pre mladých ľudí v malých a st</w:t>
      </w:r>
      <w:r w:rsidR="00D670E1">
        <w:rPr>
          <w:sz w:val="22"/>
          <w:szCs w:val="22"/>
        </w:rPr>
        <w:t>redných podnikoch pracujúcich s </w:t>
      </w:r>
      <w:r w:rsidRPr="00C95E85">
        <w:rPr>
          <w:sz w:val="22"/>
          <w:szCs w:val="22"/>
        </w:rPr>
        <w:t>najmodernejšími technológiami v oblasti IKT.</w:t>
      </w:r>
    </w:p>
    <w:p w14:paraId="5074E15F"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 xml:space="preserve">Zefektívnenie využívania zdrojov: Slovensko tiež potrebuje oveľa efektívnejšie využívať svoje zdroje, ku ktorým sa podľa aktuálnych trendov zaraďujú aj dáta produkované vo verejnej </w:t>
      </w:r>
      <w:r w:rsidRPr="00C95E85">
        <w:rPr>
          <w:sz w:val="22"/>
          <w:szCs w:val="22"/>
        </w:rPr>
        <w:lastRenderedPageBreak/>
        <w:t>správe. Vo verejnej správe je nutné zlepšiť riadenie ľudských zdrojov a zvýšiť analytické kapacity, aby bolo možné vypracovať efektívne politiky pre re</w:t>
      </w:r>
      <w:r w:rsidR="00D670E1">
        <w:rPr>
          <w:sz w:val="22"/>
          <w:szCs w:val="22"/>
        </w:rPr>
        <w:t>formu efektívnej, spoľahlivej a </w:t>
      </w:r>
      <w:r w:rsidRPr="00C95E85">
        <w:rPr>
          <w:sz w:val="22"/>
          <w:szCs w:val="22"/>
        </w:rPr>
        <w:t xml:space="preserve">otvorenej verejnej správy a pre konsolidáciu infraštruktúry. Snahou bude tiež optimalizovať proces </w:t>
      </w:r>
      <w:r>
        <w:rPr>
          <w:sz w:val="22"/>
          <w:szCs w:val="22"/>
        </w:rPr>
        <w:t>obstarávania a vymáhania práva.</w:t>
      </w:r>
    </w:p>
    <w:p w14:paraId="2EF6D394" w14:textId="3B19EFC0" w:rsidR="00DB79F5" w:rsidRDefault="00DB79F5" w:rsidP="00DB79F5">
      <w:pPr>
        <w:spacing w:before="120" w:after="120"/>
        <w:jc w:val="both"/>
        <w:rPr>
          <w:sz w:val="22"/>
          <w:szCs w:val="22"/>
        </w:rPr>
      </w:pPr>
      <w:r w:rsidRPr="00C95E85">
        <w:rPr>
          <w:sz w:val="22"/>
          <w:szCs w:val="22"/>
        </w:rPr>
        <w:t>Na základe špecifických potrieb Slovenska</w:t>
      </w:r>
      <w:r w:rsidR="00716686">
        <w:rPr>
          <w:sz w:val="22"/>
          <w:szCs w:val="22"/>
        </w:rPr>
        <w:t xml:space="preserve"> sa Prioritná os 7 venuje dosiahnutiu tematického cieľa 2: „Zl</w:t>
      </w:r>
      <w:r w:rsidR="00DC18DF">
        <w:rPr>
          <w:sz w:val="22"/>
          <w:szCs w:val="22"/>
        </w:rPr>
        <w:t>epšenie prístupu k</w:t>
      </w:r>
      <w:r w:rsidR="00716686">
        <w:rPr>
          <w:sz w:val="22"/>
          <w:szCs w:val="22"/>
        </w:rPr>
        <w:t> IKT a zlepšenie ich využívania a kvality“</w:t>
      </w:r>
      <w:r w:rsidRPr="00C95E85">
        <w:rPr>
          <w:sz w:val="22"/>
          <w:szCs w:val="22"/>
        </w:rPr>
        <w:t xml:space="preserve"> definovaný </w:t>
      </w:r>
      <w:r w:rsidR="005413FA">
        <w:rPr>
          <w:sz w:val="22"/>
          <w:szCs w:val="22"/>
        </w:rPr>
        <w:t>čl. 9</w:t>
      </w:r>
      <w:r>
        <w:rPr>
          <w:sz w:val="22"/>
          <w:szCs w:val="22"/>
        </w:rPr>
        <w:t xml:space="preserve"> </w:t>
      </w:r>
      <w:r w:rsidR="005413FA" w:rsidRPr="002B0858">
        <w:rPr>
          <w:sz w:val="22"/>
          <w:szCs w:val="22"/>
        </w:rPr>
        <w:t>nariadenia Európskeho parlamentu a Rady (EÚ</w:t>
      </w:r>
      <w:r w:rsidR="005413FA">
        <w:rPr>
          <w:sz w:val="22"/>
          <w:szCs w:val="22"/>
        </w:rPr>
        <w:t>)</w:t>
      </w:r>
      <w:r w:rsidR="00E420C5">
        <w:rPr>
          <w:sz w:val="22"/>
          <w:szCs w:val="22"/>
        </w:rPr>
        <w:t xml:space="preserve"> 1303/2013</w:t>
      </w:r>
      <w:r w:rsidR="000004BF">
        <w:rPr>
          <w:sz w:val="22"/>
          <w:szCs w:val="22"/>
        </w:rPr>
        <w:t xml:space="preserve"> </w:t>
      </w:r>
      <w:r w:rsidR="000004BF" w:rsidRPr="000004BF">
        <w:rPr>
          <w:sz w:val="22"/>
          <w:szCs w:val="22"/>
        </w:rPr>
        <w:t>ktorým sa s</w:t>
      </w:r>
      <w:r w:rsidR="000004BF">
        <w:rPr>
          <w:sz w:val="22"/>
          <w:szCs w:val="22"/>
        </w:rPr>
        <w:t>tanovujú spoločné ustanovenia o </w:t>
      </w:r>
      <w:r w:rsidR="000004BF" w:rsidRPr="000004BF">
        <w:rPr>
          <w:sz w:val="22"/>
          <w:szCs w:val="22"/>
        </w:rPr>
        <w:t>Európskom fonde regionálneho rozvoja, Európskom sociálnom fonde, Kohéznom fonde, Európskom poľnohospodárskom fonde pre rozvoj vidieka a Európskom námorno</w:t>
      </w:r>
      <w:r w:rsidR="00F22A31">
        <w:rPr>
          <w:sz w:val="22"/>
          <w:szCs w:val="22"/>
        </w:rPr>
        <w:t>m a rybárskom fonde a ktorým sa </w:t>
      </w:r>
      <w:r w:rsidR="000004BF" w:rsidRPr="000004BF">
        <w:rPr>
          <w:sz w:val="22"/>
          <w:szCs w:val="22"/>
        </w:rPr>
        <w:t>stanovujú všeobecné ustanovenia o Európskom fonde regionálneho rozvoja, Európskom sociálnom fonde, Kohéznom fonde a Európskom námornom a rybárskom fonde, a ktorým sa zrušuje nariadenie Rady (ES) č. 1083/2006</w:t>
      </w:r>
      <w:r w:rsidR="000004BF">
        <w:rPr>
          <w:sz w:val="22"/>
          <w:szCs w:val="22"/>
        </w:rPr>
        <w:t xml:space="preserve"> (ďalej len „všeobecné nariadenie“)</w:t>
      </w:r>
      <w:r w:rsidR="005413FA">
        <w:rPr>
          <w:sz w:val="22"/>
          <w:szCs w:val="22"/>
        </w:rPr>
        <w:t xml:space="preserve">. </w:t>
      </w:r>
      <w:r w:rsidRPr="00C95E85">
        <w:rPr>
          <w:sz w:val="22"/>
          <w:szCs w:val="22"/>
        </w:rPr>
        <w:t>Tento tematický cieľ súvisí predovšetkým s dvoma prioritami financovania:</w:t>
      </w:r>
    </w:p>
    <w:p w14:paraId="4E1F94FB" w14:textId="77777777" w:rsidR="009E0158" w:rsidRDefault="00DB79F5" w:rsidP="003309FB">
      <w:pPr>
        <w:pStyle w:val="Odsekzoznamu"/>
        <w:numPr>
          <w:ilvl w:val="0"/>
          <w:numId w:val="27"/>
        </w:numPr>
        <w:spacing w:before="120" w:after="120"/>
        <w:jc w:val="both"/>
        <w:rPr>
          <w:sz w:val="22"/>
          <w:szCs w:val="22"/>
        </w:rPr>
      </w:pPr>
      <w:r w:rsidRPr="00C95E85">
        <w:rPr>
          <w:sz w:val="22"/>
          <w:szCs w:val="22"/>
        </w:rPr>
        <w:t>Podnikateľské prostredie podporujúce inovácie;</w:t>
      </w:r>
    </w:p>
    <w:p w14:paraId="2CA32E36" w14:textId="77777777" w:rsidR="009E0158" w:rsidRDefault="00DB79F5" w:rsidP="003309FB">
      <w:pPr>
        <w:pStyle w:val="Odsekzoznamu"/>
        <w:numPr>
          <w:ilvl w:val="0"/>
          <w:numId w:val="27"/>
        </w:numPr>
        <w:spacing w:before="120" w:after="120"/>
        <w:jc w:val="both"/>
        <w:rPr>
          <w:sz w:val="22"/>
          <w:szCs w:val="22"/>
        </w:rPr>
      </w:pPr>
      <w:r w:rsidRPr="00C95E85">
        <w:rPr>
          <w:sz w:val="22"/>
          <w:szCs w:val="22"/>
        </w:rPr>
        <w:t>Moderná a odborná verejná správa.</w:t>
      </w:r>
    </w:p>
    <w:p w14:paraId="0B309CF8" w14:textId="77777777" w:rsidR="00DB79F5" w:rsidRDefault="00DB79F5" w:rsidP="00DB79F5">
      <w:pPr>
        <w:spacing w:before="120" w:after="120"/>
        <w:jc w:val="both"/>
        <w:rPr>
          <w:sz w:val="22"/>
          <w:szCs w:val="22"/>
        </w:rPr>
      </w:pPr>
      <w:r w:rsidRPr="00C95E85">
        <w:rPr>
          <w:sz w:val="22"/>
          <w:szCs w:val="22"/>
        </w:rPr>
        <w:t>Práve budovaním širokopásmovej infraštruktúry, ktorej dostupnosť je o</w:t>
      </w:r>
      <w:r>
        <w:rPr>
          <w:sz w:val="22"/>
          <w:szCs w:val="22"/>
        </w:rPr>
        <w:t>bmedzená hlavne vo </w:t>
      </w:r>
      <w:r w:rsidRPr="00C95E85">
        <w:rPr>
          <w:sz w:val="22"/>
          <w:szCs w:val="22"/>
        </w:rPr>
        <w:t>vidieckych oblastiach, a podporou jednotného digitálneho trh</w:t>
      </w:r>
      <w:r>
        <w:rPr>
          <w:sz w:val="22"/>
          <w:szCs w:val="22"/>
        </w:rPr>
        <w:t>u je možné zapojiť populáciu do </w:t>
      </w:r>
      <w:r w:rsidRPr="00C95E85">
        <w:rPr>
          <w:sz w:val="22"/>
          <w:szCs w:val="22"/>
        </w:rPr>
        <w:t>ekonomických a spoločenských aktivít z ľubovoľného</w:t>
      </w:r>
      <w:r>
        <w:rPr>
          <w:sz w:val="22"/>
          <w:szCs w:val="22"/>
        </w:rPr>
        <w:t xml:space="preserve"> kúta krajiny. Technologickým a </w:t>
      </w:r>
      <w:r w:rsidRPr="00C95E85">
        <w:rPr>
          <w:sz w:val="22"/>
          <w:szCs w:val="22"/>
        </w:rPr>
        <w:t>organizačným zapojením väčšieho počtu občanov a podnikateľov do digitálnej ekonomiky, ktorej rozvoj je priamo podporovaný štátom, možno dosiahnuť splnenie prvej priority.</w:t>
      </w:r>
    </w:p>
    <w:p w14:paraId="63029748" w14:textId="77777777" w:rsidR="00DB79F5" w:rsidRDefault="00DB79F5" w:rsidP="00DB79F5">
      <w:pPr>
        <w:spacing w:before="120" w:after="120"/>
        <w:jc w:val="both"/>
        <w:rPr>
          <w:sz w:val="22"/>
          <w:szCs w:val="22"/>
        </w:rPr>
      </w:pPr>
      <w:r w:rsidRPr="00C95E85">
        <w:rPr>
          <w:sz w:val="22"/>
          <w:szCs w:val="22"/>
        </w:rPr>
        <w:t>Na naplnenie druhej spomínanej priority má v oblasti informačnej spoločnosti zmysel riešiť samostatne interakciu s verejnosťou (vo forme služieb) a informatizáciu verejnej správy smerom dovnútra. Vynikajúcu príležitosť k tomu predstavuje prebiehajúca reforma Efektívna, spoľahlivá, otvorená, verejná správa.</w:t>
      </w:r>
    </w:p>
    <w:p w14:paraId="7572800B" w14:textId="77777777" w:rsidR="00DB79F5" w:rsidRDefault="00DB79F5" w:rsidP="00DB79F5">
      <w:pPr>
        <w:pStyle w:val="Odsekzoznamu"/>
        <w:spacing w:before="120" w:after="120"/>
        <w:ind w:left="0"/>
        <w:jc w:val="both"/>
        <w:rPr>
          <w:sz w:val="22"/>
          <w:szCs w:val="22"/>
        </w:rPr>
      </w:pPr>
      <w:r w:rsidRPr="00411EDA">
        <w:rPr>
          <w:sz w:val="22"/>
          <w:szCs w:val="22"/>
        </w:rPr>
        <w:t>Na základe týchto konceptov vytvorilo Slovensko stratégiu pre tematický cieľ 2 v Strategickom dokumente pre oblasť rastu digitálnych služieb a oblasť infraštruktúry prístupovej siete novej generácie (2014 – 2020).</w:t>
      </w:r>
      <w:r w:rsidR="009A790B">
        <w:rPr>
          <w:rStyle w:val="Odkaznapoznmkupodiarou"/>
          <w:sz w:val="22"/>
          <w:szCs w:val="22"/>
        </w:rPr>
        <w:footnoteReference w:id="28"/>
      </w:r>
      <w:r w:rsidRPr="00411EDA">
        <w:rPr>
          <w:sz w:val="22"/>
          <w:szCs w:val="22"/>
        </w:rPr>
        <w:t xml:space="preserve"> V tomto dokumente MF SR</w:t>
      </w:r>
      <w:r w:rsidR="001742DB">
        <w:rPr>
          <w:rStyle w:val="Odkaznapoznmkupodiarou"/>
          <w:sz w:val="22"/>
          <w:szCs w:val="22"/>
        </w:rPr>
        <w:footnoteReference w:id="29"/>
      </w:r>
      <w:r w:rsidRPr="00411EDA">
        <w:rPr>
          <w:sz w:val="22"/>
          <w:szCs w:val="22"/>
        </w:rPr>
        <w:t xml:space="preserve"> definuje investičné priority, ktoré je vhodné podporiť v rámci</w:t>
      </w:r>
      <w:r w:rsidR="005413FA">
        <w:rPr>
          <w:sz w:val="22"/>
          <w:szCs w:val="22"/>
        </w:rPr>
        <w:t xml:space="preserve"> OPII.</w:t>
      </w:r>
    </w:p>
    <w:p w14:paraId="44A70C7F" w14:textId="77777777" w:rsidR="005413FA" w:rsidRDefault="005413FA" w:rsidP="00DB79F5">
      <w:pPr>
        <w:pStyle w:val="Odsekzoznamu"/>
        <w:spacing w:before="120" w:after="120"/>
        <w:ind w:left="0"/>
        <w:jc w:val="both"/>
        <w:rPr>
          <w:sz w:val="22"/>
          <w:szCs w:val="22"/>
        </w:rPr>
      </w:pPr>
    </w:p>
    <w:p w14:paraId="5797508F" w14:textId="77777777" w:rsidR="005413FA" w:rsidRDefault="005413FA" w:rsidP="005413FA">
      <w:pPr>
        <w:pStyle w:val="Odsekzoznamu"/>
        <w:spacing w:before="120" w:after="120"/>
        <w:ind w:left="0"/>
        <w:jc w:val="both"/>
        <w:rPr>
          <w:sz w:val="22"/>
          <w:szCs w:val="22"/>
          <w:u w:val="single"/>
        </w:rPr>
      </w:pPr>
      <w:r w:rsidRPr="00560E77">
        <w:rPr>
          <w:sz w:val="22"/>
          <w:szCs w:val="22"/>
          <w:u w:val="single"/>
        </w:rPr>
        <w:t>Poznatkami k prosperite - Stratégia výskumu a inovácií pre inteligentnú špecializáciu Slovenskej republiky</w:t>
      </w:r>
    </w:p>
    <w:p w14:paraId="62FA516B" w14:textId="77777777" w:rsidR="005413FA" w:rsidRDefault="005413FA" w:rsidP="005413FA">
      <w:pPr>
        <w:spacing w:before="120" w:after="120"/>
        <w:jc w:val="both"/>
        <w:rPr>
          <w:sz w:val="22"/>
          <w:szCs w:val="22"/>
        </w:rPr>
      </w:pPr>
      <w:r w:rsidRPr="00560E77">
        <w:rPr>
          <w:sz w:val="22"/>
          <w:szCs w:val="22"/>
        </w:rPr>
        <w:t>Stratégia výskumu a inovácií pre inteligentnú špecializáciu Slovenskej republiky, na základe analýzy vývoja ekonomiky Slovenskej republiky identifikuje oblasti špecializácie vychádzajúce z ukotvených tradičných hospodárskych odvetví a perspektívne oblasti špecializáci</w:t>
      </w:r>
      <w:r w:rsidR="0095191D">
        <w:rPr>
          <w:sz w:val="22"/>
          <w:szCs w:val="22"/>
        </w:rPr>
        <w:t>e z rýchlo rastúcich odvetví na </w:t>
      </w:r>
      <w:r w:rsidRPr="00560E77">
        <w:rPr>
          <w:sz w:val="22"/>
          <w:szCs w:val="22"/>
        </w:rPr>
        <w:t xml:space="preserve">Slovensku, ktoré ukazujú vysoký potenciál rozvoja pre slovenskú ekonomiku. </w:t>
      </w:r>
    </w:p>
    <w:p w14:paraId="38125D0C" w14:textId="77777777" w:rsidR="005413FA" w:rsidRPr="00560E77" w:rsidRDefault="005413FA" w:rsidP="005413FA">
      <w:pPr>
        <w:pStyle w:val="06Normal"/>
        <w:spacing w:after="120"/>
        <w:rPr>
          <w:szCs w:val="22"/>
          <w:lang w:eastAsia="sk-SK"/>
        </w:rPr>
      </w:pPr>
      <w:r w:rsidRPr="00560E77">
        <w:rPr>
          <w:szCs w:val="22"/>
          <w:lang w:eastAsia="sk-SK"/>
        </w:rPr>
        <w:t>OPII vývoju, výskumu a inováciám pomáha nepriamo</w:t>
      </w:r>
      <w:r>
        <w:rPr>
          <w:szCs w:val="22"/>
          <w:lang w:eastAsia="sk-SK"/>
        </w:rPr>
        <w:t>,</w:t>
      </w:r>
      <w:r w:rsidRPr="00560E77" w:rsidDel="00C75724">
        <w:rPr>
          <w:szCs w:val="22"/>
          <w:lang w:eastAsia="sk-SK"/>
        </w:rPr>
        <w:t xml:space="preserve"> </w:t>
      </w:r>
      <w:r w:rsidRPr="00560E77">
        <w:rPr>
          <w:szCs w:val="22"/>
          <w:lang w:eastAsia="sk-SK"/>
        </w:rPr>
        <w:t>prost</w:t>
      </w:r>
      <w:r w:rsidR="0095191D">
        <w:rPr>
          <w:szCs w:val="22"/>
          <w:lang w:eastAsia="sk-SK"/>
        </w:rPr>
        <w:t>redníctvom vytvárania dopytu po </w:t>
      </w:r>
      <w:r w:rsidRPr="00560E77">
        <w:rPr>
          <w:szCs w:val="22"/>
          <w:lang w:eastAsia="sk-SK"/>
        </w:rPr>
        <w:t>inovatívnych riešeniach a produktoch s vysokou pridanou hodnotou, ktoré budú využívané najmä vo verejnej správe. Rozširovanie príležitostí je tak možné očakávať v nasledujúcich oblastiach:</w:t>
      </w:r>
    </w:p>
    <w:p w14:paraId="338873C5" w14:textId="77777777" w:rsidR="009E0158" w:rsidRDefault="005413FA" w:rsidP="003309FB">
      <w:pPr>
        <w:pStyle w:val="Odsekzoznamu"/>
        <w:numPr>
          <w:ilvl w:val="0"/>
          <w:numId w:val="27"/>
        </w:numPr>
        <w:spacing w:before="120" w:after="120"/>
        <w:jc w:val="both"/>
        <w:rPr>
          <w:szCs w:val="22"/>
        </w:rPr>
      </w:pPr>
      <w:r w:rsidRPr="005413FA">
        <w:rPr>
          <w:sz w:val="22"/>
          <w:szCs w:val="22"/>
        </w:rPr>
        <w:t>vývoj a výskum aplikácií a algoritmov, schopných spracovávať veľké objemy dát na účely prediktívnych analýz a rizikových analýz;</w:t>
      </w:r>
    </w:p>
    <w:p w14:paraId="14CE2150" w14:textId="77777777" w:rsidR="009E0158" w:rsidRDefault="005413FA" w:rsidP="003309FB">
      <w:pPr>
        <w:pStyle w:val="Odsekzoznamu"/>
        <w:numPr>
          <w:ilvl w:val="0"/>
          <w:numId w:val="27"/>
        </w:numPr>
        <w:spacing w:before="120" w:after="120"/>
        <w:jc w:val="both"/>
        <w:rPr>
          <w:szCs w:val="22"/>
        </w:rPr>
      </w:pPr>
      <w:r w:rsidRPr="005413FA">
        <w:rPr>
          <w:sz w:val="22"/>
          <w:szCs w:val="22"/>
        </w:rPr>
        <w:t>vývoj systémov schopných optimalizovať rozhodovanie na základe dôkazov;</w:t>
      </w:r>
    </w:p>
    <w:p w14:paraId="42E0BE3F" w14:textId="77777777" w:rsidR="009E0158" w:rsidRDefault="005413FA" w:rsidP="003309FB">
      <w:pPr>
        <w:pStyle w:val="Odsekzoznamu"/>
        <w:numPr>
          <w:ilvl w:val="0"/>
          <w:numId w:val="27"/>
        </w:numPr>
        <w:spacing w:before="120" w:after="120"/>
        <w:jc w:val="both"/>
        <w:rPr>
          <w:szCs w:val="22"/>
        </w:rPr>
      </w:pPr>
      <w:r w:rsidRPr="005413FA">
        <w:rPr>
          <w:sz w:val="22"/>
          <w:szCs w:val="22"/>
        </w:rPr>
        <w:t>vývoj inteligentných a automatizovaných systémov;</w:t>
      </w:r>
    </w:p>
    <w:p w14:paraId="42EF5BF7" w14:textId="77777777" w:rsidR="009E0158" w:rsidRDefault="005413FA" w:rsidP="003309FB">
      <w:pPr>
        <w:pStyle w:val="Odsekzoznamu"/>
        <w:numPr>
          <w:ilvl w:val="0"/>
          <w:numId w:val="27"/>
        </w:numPr>
        <w:spacing w:before="120" w:after="120"/>
        <w:jc w:val="both"/>
        <w:rPr>
          <w:szCs w:val="22"/>
        </w:rPr>
      </w:pPr>
      <w:r w:rsidRPr="005413FA">
        <w:rPr>
          <w:sz w:val="22"/>
          <w:szCs w:val="22"/>
        </w:rPr>
        <w:t>vývoj inovatívnych mobilných riešení;</w:t>
      </w:r>
    </w:p>
    <w:p w14:paraId="73A7EDD7" w14:textId="77777777" w:rsidR="009E0158" w:rsidRDefault="005413FA" w:rsidP="003309FB">
      <w:pPr>
        <w:pStyle w:val="Odsekzoznamu"/>
        <w:numPr>
          <w:ilvl w:val="0"/>
          <w:numId w:val="27"/>
        </w:numPr>
        <w:spacing w:before="120" w:after="120"/>
        <w:jc w:val="both"/>
        <w:rPr>
          <w:szCs w:val="22"/>
        </w:rPr>
      </w:pPr>
      <w:r w:rsidRPr="005413FA">
        <w:rPr>
          <w:sz w:val="22"/>
          <w:szCs w:val="22"/>
        </w:rPr>
        <w:lastRenderedPageBreak/>
        <w:t>vývoj pokročilých bezpečnostných riešení;</w:t>
      </w:r>
    </w:p>
    <w:p w14:paraId="0C5C4C84" w14:textId="77777777" w:rsidR="009E0158" w:rsidRDefault="005413FA" w:rsidP="003309FB">
      <w:pPr>
        <w:pStyle w:val="Odsekzoznamu"/>
        <w:numPr>
          <w:ilvl w:val="0"/>
          <w:numId w:val="27"/>
        </w:numPr>
        <w:spacing w:before="120" w:after="120"/>
        <w:jc w:val="both"/>
        <w:rPr>
          <w:szCs w:val="22"/>
        </w:rPr>
      </w:pPr>
      <w:r w:rsidRPr="005413FA">
        <w:rPr>
          <w:sz w:val="22"/>
          <w:szCs w:val="22"/>
        </w:rPr>
        <w:t>nasadzovanie pokročilých cloudových technológií;</w:t>
      </w:r>
    </w:p>
    <w:p w14:paraId="4BF01DB9" w14:textId="77777777" w:rsidR="009E0158" w:rsidRDefault="005413FA" w:rsidP="003309FB">
      <w:pPr>
        <w:pStyle w:val="Odsekzoznamu"/>
        <w:numPr>
          <w:ilvl w:val="0"/>
          <w:numId w:val="27"/>
        </w:numPr>
        <w:spacing w:before="120" w:after="120"/>
        <w:jc w:val="both"/>
        <w:rPr>
          <w:szCs w:val="22"/>
        </w:rPr>
      </w:pPr>
      <w:r w:rsidRPr="005413FA">
        <w:rPr>
          <w:sz w:val="22"/>
          <w:szCs w:val="22"/>
        </w:rPr>
        <w:t>vývoj riešení pracujúcich s priestorovými informáciami;</w:t>
      </w:r>
    </w:p>
    <w:p w14:paraId="55B11DC5" w14:textId="77777777" w:rsidR="009E0158" w:rsidRDefault="005413FA" w:rsidP="003309FB">
      <w:pPr>
        <w:pStyle w:val="Odsekzoznamu"/>
        <w:numPr>
          <w:ilvl w:val="0"/>
          <w:numId w:val="27"/>
        </w:numPr>
        <w:spacing w:before="120" w:after="120"/>
        <w:jc w:val="both"/>
        <w:rPr>
          <w:szCs w:val="22"/>
        </w:rPr>
      </w:pPr>
      <w:r w:rsidRPr="005413FA">
        <w:rPr>
          <w:sz w:val="22"/>
          <w:szCs w:val="22"/>
        </w:rPr>
        <w:t>vývoj systémov pre kolaboráciu a zdieľanie informácií.</w:t>
      </w:r>
    </w:p>
    <w:p w14:paraId="06CFE70F" w14:textId="77777777" w:rsidR="00E92F9B" w:rsidRDefault="00E92F9B">
      <w:pPr>
        <w:pStyle w:val="Odsekzoznamu"/>
        <w:spacing w:before="120" w:after="120"/>
        <w:jc w:val="both"/>
        <w:rPr>
          <w:szCs w:val="22"/>
        </w:rPr>
      </w:pPr>
    </w:p>
    <w:p w14:paraId="70DFF1C7" w14:textId="41033095" w:rsidR="005413FA" w:rsidRDefault="001218A8" w:rsidP="005413FA">
      <w:pPr>
        <w:pStyle w:val="Odsekzoznamu"/>
        <w:spacing w:before="120" w:after="120"/>
        <w:ind w:left="0"/>
        <w:jc w:val="both"/>
        <w:rPr>
          <w:sz w:val="22"/>
          <w:szCs w:val="22"/>
        </w:rPr>
      </w:pPr>
      <w:r w:rsidRPr="001218A8">
        <w:rPr>
          <w:sz w:val="22"/>
          <w:szCs w:val="22"/>
        </w:rPr>
        <w:t>Ide tak o významné rozšírenie dopytu po inovatívnych riešeniach pos</w:t>
      </w:r>
      <w:r w:rsidR="0095191D">
        <w:rPr>
          <w:sz w:val="22"/>
          <w:szCs w:val="22"/>
        </w:rPr>
        <w:t>tavených na báze informačných a </w:t>
      </w:r>
      <w:r w:rsidRPr="001218A8">
        <w:rPr>
          <w:sz w:val="22"/>
          <w:szCs w:val="22"/>
        </w:rPr>
        <w:t>komunikačných technológií.</w:t>
      </w:r>
    </w:p>
    <w:p w14:paraId="5AE18BF4" w14:textId="7AF62086" w:rsidR="00D913A6" w:rsidRPr="00D913A6" w:rsidRDefault="00D913A6" w:rsidP="00D913A6">
      <w:pPr>
        <w:pStyle w:val="Nadpis4"/>
        <w:tabs>
          <w:tab w:val="clear" w:pos="864"/>
        </w:tabs>
        <w:spacing w:before="240"/>
        <w:ind w:left="709" w:hanging="709"/>
      </w:pPr>
      <w:r w:rsidRPr="00D913A6">
        <w:t>Hlavné okruhy identifikovaných potrieb pre zabezpečenie investičnej stratégie OP</w:t>
      </w:r>
      <w:r w:rsidR="008334C0">
        <w:t>II (časť</w:t>
      </w:r>
      <w:r w:rsidRPr="00D913A6">
        <w:t xml:space="preserve"> VaI</w:t>
      </w:r>
      <w:r w:rsidR="008334C0">
        <w:t>)</w:t>
      </w:r>
    </w:p>
    <w:p w14:paraId="3EA0823C" w14:textId="1E45EC93" w:rsidR="00D913A6" w:rsidRPr="00D913A6" w:rsidRDefault="00D913A6" w:rsidP="00D913A6">
      <w:pPr>
        <w:pStyle w:val="Zkladntext"/>
        <w:spacing w:after="0"/>
        <w:jc w:val="both"/>
        <w:rPr>
          <w:sz w:val="22"/>
          <w:szCs w:val="22"/>
        </w:rPr>
      </w:pPr>
      <w:r w:rsidRPr="00D913A6">
        <w:rPr>
          <w:sz w:val="22"/>
          <w:szCs w:val="22"/>
        </w:rPr>
        <w:t>Identifikácia potrieb pre investičnú stratégiu OP</w:t>
      </w:r>
      <w:r w:rsidR="008334C0">
        <w:rPr>
          <w:sz w:val="22"/>
          <w:szCs w:val="22"/>
        </w:rPr>
        <w:t xml:space="preserve">II (časť </w:t>
      </w:r>
      <w:r w:rsidRPr="00D913A6">
        <w:rPr>
          <w:sz w:val="22"/>
          <w:szCs w:val="22"/>
        </w:rPr>
        <w:t>VaI</w:t>
      </w:r>
      <w:r w:rsidR="008334C0">
        <w:rPr>
          <w:sz w:val="22"/>
          <w:szCs w:val="22"/>
        </w:rPr>
        <w:t xml:space="preserve">) </w:t>
      </w:r>
      <w:r w:rsidRPr="00D913A6">
        <w:rPr>
          <w:sz w:val="22"/>
          <w:szCs w:val="22"/>
        </w:rPr>
        <w:t>vychádza zo syntézy relevantných dokumentov</w:t>
      </w:r>
      <w:r w:rsidR="009832E1">
        <w:rPr>
          <w:rStyle w:val="Odkaznapoznmkupodiarou"/>
          <w:sz w:val="22"/>
          <w:szCs w:val="22"/>
        </w:rPr>
        <w:footnoteReference w:id="30"/>
      </w:r>
      <w:r w:rsidRPr="00D913A6">
        <w:rPr>
          <w:sz w:val="22"/>
          <w:szCs w:val="22"/>
        </w:rPr>
        <w:t xml:space="preserve"> a medzinárodne porovnateľných štatistík</w:t>
      </w:r>
      <w:r w:rsidR="009832E1">
        <w:rPr>
          <w:rStyle w:val="Odkaznapoznmkupodiarou"/>
          <w:sz w:val="22"/>
          <w:szCs w:val="22"/>
        </w:rPr>
        <w:footnoteReference w:id="31"/>
      </w:r>
      <w:r w:rsidRPr="00D913A6">
        <w:rPr>
          <w:sz w:val="22"/>
          <w:szCs w:val="22"/>
        </w:rPr>
        <w:t xml:space="preserve"> a v nich identifikovaných hlavných nedostatkoch systému VVaI v SR. Základom pre identifikovanie hlavných okruhov potrieb sú relevantné časti RIS3 SK</w:t>
      </w:r>
      <w:r w:rsidR="009832E1">
        <w:rPr>
          <w:rStyle w:val="Odkaznapoznmkupodiarou"/>
          <w:sz w:val="22"/>
          <w:szCs w:val="22"/>
        </w:rPr>
        <w:footnoteReference w:id="32"/>
      </w:r>
      <w:r w:rsidRPr="00D913A6">
        <w:rPr>
          <w:sz w:val="22"/>
          <w:szCs w:val="22"/>
        </w:rPr>
        <w:t xml:space="preserve"> a PD SR.</w:t>
      </w:r>
    </w:p>
    <w:p w14:paraId="4277FC1D" w14:textId="18A15E52" w:rsidR="00D913A6" w:rsidRPr="00D913A6" w:rsidRDefault="00D913A6" w:rsidP="00924638">
      <w:pPr>
        <w:spacing w:before="240" w:after="120"/>
        <w:rPr>
          <w:b/>
          <w:sz w:val="22"/>
          <w:szCs w:val="22"/>
        </w:rPr>
      </w:pPr>
      <w:r w:rsidRPr="00D913A6">
        <w:rPr>
          <w:b/>
          <w:sz w:val="22"/>
          <w:szCs w:val="22"/>
        </w:rPr>
        <w:t>Financovanie VVaI</w:t>
      </w:r>
    </w:p>
    <w:p w14:paraId="2AE2A5AD" w14:textId="456BF2E0" w:rsidR="00D913A6" w:rsidRDefault="00924638" w:rsidP="00924638">
      <w:pPr>
        <w:pStyle w:val="Odsekzoznamu"/>
        <w:spacing w:before="120"/>
        <w:ind w:left="0"/>
        <w:contextualSpacing w:val="0"/>
        <w:jc w:val="both"/>
        <w:rPr>
          <w:sz w:val="22"/>
          <w:szCs w:val="22"/>
        </w:rPr>
      </w:pPr>
      <w:r w:rsidRPr="00924638">
        <w:rPr>
          <w:sz w:val="22"/>
          <w:szCs w:val="22"/>
        </w:rPr>
        <w:t>Charakteristickým znakom financovania VaI v SR je okrem celkových nízkych</w:t>
      </w:r>
      <w:r w:rsidR="009832E1">
        <w:rPr>
          <w:rStyle w:val="Odkaznapoznmkupodiarou"/>
          <w:sz w:val="22"/>
          <w:szCs w:val="22"/>
        </w:rPr>
        <w:footnoteReference w:id="33"/>
      </w:r>
      <w:r w:rsidRPr="00924638">
        <w:rPr>
          <w:sz w:val="22"/>
          <w:szCs w:val="22"/>
        </w:rPr>
        <w:t xml:space="preserve"> výdavkov aj nízka miera súkromných investícií. V roku 2012 tvoril podiel výdavkov na VaI 0,82 % HDP. Pre porovnanie priemer v EÚ bol 2,06 % a v krajinách V4 1,27. Celkovo, od roku 2005 podiel priemyslu na finančnej stimulácii VaI poklesol z celkových 54 % na 37,7 %, čo nekorešponduje s trendom v Európskej únii dosiahnuť 2/3 podiel súkromných zdrojov na celkovom financovaní VaI konkrétneho členského štátu. Celková hodnota firemných investícií do VaI v roku 2012 predstavoval</w:t>
      </w:r>
      <w:r w:rsidR="000F7A41">
        <w:rPr>
          <w:sz w:val="22"/>
          <w:szCs w:val="22"/>
        </w:rPr>
        <w:t>a</w:t>
      </w:r>
      <w:r w:rsidRPr="00924638">
        <w:rPr>
          <w:sz w:val="22"/>
          <w:szCs w:val="22"/>
        </w:rPr>
        <w:t xml:space="preserve"> len 0,34 % HDP</w:t>
      </w:r>
      <w:r w:rsidR="009832E1">
        <w:rPr>
          <w:rStyle w:val="Odkaznapoznmkupodiarou"/>
          <w:sz w:val="22"/>
          <w:szCs w:val="22"/>
        </w:rPr>
        <w:footnoteReference w:id="34"/>
      </w:r>
      <w:r w:rsidRPr="00924638">
        <w:rPr>
          <w:sz w:val="22"/>
          <w:szCs w:val="22"/>
        </w:rPr>
        <w:t>. Investície zo strany štátu tvoria 41,6 % a zo zahraničných zdrojov 18,7 %. Z hľadiska sektorov realizácie najviac výdavkov smeruje do podnikateľského sektora (0,34 % HDP), vo v</w:t>
      </w:r>
      <w:r w:rsidR="00DF74FD">
        <w:rPr>
          <w:sz w:val="22"/>
          <w:szCs w:val="22"/>
        </w:rPr>
        <w:t>ládnom sektore sú investície na </w:t>
      </w:r>
      <w:r w:rsidRPr="00924638">
        <w:rPr>
          <w:sz w:val="22"/>
          <w:szCs w:val="22"/>
        </w:rPr>
        <w:t>úrovni 0,2 % HDP a vo vysokoškolskom 0,28 % HDP. Podiel štátneho rozpočtu alokovaný na VaV dosiahol v roku 2012 1,1 % z celkových výdavkov (oproti roku 2005 je to vzostup 0,36 p.b.). V rámci krajín V4 sme na druhom mieste za Českou republikou. Z geografického hľadiska sa do VaV najviac investuje v Bratislavskom kraji (1,28 % HDP) a najmenej v Západoslovenskom kraji (0,36% HDP). Oproti roku 2005 prišlo aj k podstatnému zvýšeniu investícií do VaV na jedného obyvateľa. Tieto sa zvýšili z 81 USD na 212 USD v roku 2012. Napriek tomu SR značne zaostáva za inovačne intenzívnymi krajinami, ale aj za okolitými štátmi</w:t>
      </w:r>
      <w:r>
        <w:rPr>
          <w:sz w:val="22"/>
          <w:szCs w:val="22"/>
        </w:rPr>
        <w:t>.</w:t>
      </w:r>
    </w:p>
    <w:p w14:paraId="7A152DF7" w14:textId="3C6F4B92" w:rsidR="00924638" w:rsidRPr="00924638" w:rsidRDefault="00924638" w:rsidP="00924638">
      <w:pPr>
        <w:pStyle w:val="Zkladntext"/>
        <w:spacing w:before="120" w:after="0"/>
        <w:jc w:val="both"/>
        <w:rPr>
          <w:sz w:val="22"/>
          <w:szCs w:val="22"/>
        </w:rPr>
      </w:pPr>
      <w:r w:rsidRPr="00924638">
        <w:rPr>
          <w:sz w:val="22"/>
          <w:szCs w:val="22"/>
        </w:rPr>
        <w:t>Z hľadiska investícií do základného výskumu tieto predstavujú 0,3 % HDP, čo je 36 % všetkých investícií. Pritom veľa štátov OECD takýto ukazovateľ ani nesleduje. V rámci sledovaných krajín sa SR umiestnilo v polovici, problém teda nie je ani tak vo vysokých výdavkoch na základný výskum, ale v nízkych celkových výdavkoch. Oproti roku 2005 poklesol o takmer 20 % podiel výdavkov súkromného sektora, ktorý financuje štát. V súčasnosti je na úrovni 6,76 %, čo je približne na</w:t>
      </w:r>
      <w:r w:rsidR="00510782">
        <w:rPr>
          <w:sz w:val="22"/>
          <w:szCs w:val="22"/>
        </w:rPr>
        <w:t> </w:t>
      </w:r>
      <w:r w:rsidRPr="00924638">
        <w:rPr>
          <w:sz w:val="22"/>
          <w:szCs w:val="22"/>
        </w:rPr>
        <w:t>priemernej úrovni EÚ28.</w:t>
      </w:r>
    </w:p>
    <w:p w14:paraId="47B36168" w14:textId="77777777" w:rsidR="00924638" w:rsidRPr="00924638" w:rsidRDefault="00924638" w:rsidP="00924638">
      <w:pPr>
        <w:pStyle w:val="Zkladntext"/>
        <w:spacing w:before="120" w:after="0"/>
        <w:jc w:val="both"/>
        <w:rPr>
          <w:sz w:val="22"/>
          <w:szCs w:val="22"/>
        </w:rPr>
      </w:pPr>
      <w:r w:rsidRPr="00924638">
        <w:rPr>
          <w:sz w:val="22"/>
          <w:szCs w:val="22"/>
        </w:rPr>
        <w:t>V oblasti financovania inovácií sa SR dlhodobo vyznačuje nedostatočným využívaním rizikového kapitálu, a to z dôvodu nedostatočnej konkurencieschopnosti tohto nástroja, ako aj jeho problémovým zavedením do praxe. V roku 2010 výška investovaného rizikového kapitálu predstavovala 0,03 % HDP, pričom v rámci EÚ majú investície rizikového kapitálu cca 6-násobne vyššiu úroveň (0,2 %).</w:t>
      </w:r>
    </w:p>
    <w:p w14:paraId="42410CF1" w14:textId="34E6CA65" w:rsidR="00924638" w:rsidRDefault="00924638" w:rsidP="00924638">
      <w:pPr>
        <w:pStyle w:val="Zkladntext"/>
        <w:spacing w:before="120" w:after="0"/>
        <w:jc w:val="both"/>
        <w:rPr>
          <w:sz w:val="22"/>
          <w:szCs w:val="22"/>
        </w:rPr>
      </w:pPr>
      <w:r w:rsidRPr="00924638">
        <w:rPr>
          <w:sz w:val="22"/>
          <w:szCs w:val="22"/>
        </w:rPr>
        <w:lastRenderedPageBreak/>
        <w:t>Do roku 2020, aj v zmysle stratégie Európa 2020, chce SR zvýšiť podiel výdavkov na VaI minimálne na 1,2 % z HDP</w:t>
      </w:r>
      <w:r w:rsidR="009832E1">
        <w:rPr>
          <w:rStyle w:val="Odkaznapoznmkupodiarou"/>
          <w:sz w:val="22"/>
          <w:szCs w:val="22"/>
        </w:rPr>
        <w:footnoteReference w:id="35"/>
      </w:r>
      <w:r w:rsidRPr="00924638">
        <w:rPr>
          <w:sz w:val="22"/>
          <w:szCs w:val="22"/>
        </w:rPr>
        <w:t xml:space="preserve"> tak, aby podiel verejných a súkromných zdrojov bol v pomere 1:2. Na splnenie tohto cieľa bude potrebn</w:t>
      </w:r>
      <w:r w:rsidR="005667F7">
        <w:rPr>
          <w:sz w:val="22"/>
          <w:szCs w:val="22"/>
        </w:rPr>
        <w:t>é prostredníctvom aktivít OPII (časť VaI)</w:t>
      </w:r>
      <w:r w:rsidRPr="00924638">
        <w:rPr>
          <w:sz w:val="22"/>
          <w:szCs w:val="22"/>
        </w:rPr>
        <w:t xml:space="preserve"> podporiť štrukturálne zmeny v</w:t>
      </w:r>
      <w:r w:rsidR="00510782">
        <w:rPr>
          <w:sz w:val="22"/>
          <w:szCs w:val="22"/>
        </w:rPr>
        <w:t> </w:t>
      </w:r>
      <w:r w:rsidRPr="00924638">
        <w:rPr>
          <w:sz w:val="22"/>
          <w:szCs w:val="22"/>
        </w:rPr>
        <w:t>oblasti VaI prostredníctvom posilňovania spolupráce výskumných centier s podnikateľskými subjektmi, ako aj konsolidovať a rozširovať VaI infraštruktúru prostredníctvom inteligentnej špecializácie, využívať motivačné nepriame nástroje podpory pre podnikateľskú sféru a podporiť výraznejšie ocenenie práce v oblasti VaI v SR.</w:t>
      </w:r>
    </w:p>
    <w:p w14:paraId="6DE11EFF" w14:textId="77777777" w:rsidR="00924638" w:rsidRPr="00924638" w:rsidRDefault="00924638" w:rsidP="00924638">
      <w:pPr>
        <w:spacing w:before="240" w:after="120"/>
        <w:jc w:val="both"/>
        <w:rPr>
          <w:b/>
          <w:sz w:val="22"/>
          <w:szCs w:val="22"/>
        </w:rPr>
      </w:pPr>
      <w:r w:rsidRPr="00924638">
        <w:rPr>
          <w:b/>
          <w:sz w:val="22"/>
          <w:szCs w:val="22"/>
        </w:rPr>
        <w:t>Infraštruktúra VaI a spolupráca výskumných inštitúcií s podnikmi</w:t>
      </w:r>
    </w:p>
    <w:p w14:paraId="3E97E2C3" w14:textId="332B8743" w:rsidR="00924638" w:rsidRPr="00924638" w:rsidRDefault="00924638" w:rsidP="00924638">
      <w:pPr>
        <w:pStyle w:val="Zkladntext"/>
        <w:spacing w:before="120" w:after="0" w:line="247" w:lineRule="auto"/>
        <w:jc w:val="both"/>
        <w:rPr>
          <w:sz w:val="22"/>
          <w:szCs w:val="22"/>
        </w:rPr>
      </w:pPr>
      <w:r w:rsidRPr="00924638">
        <w:rPr>
          <w:sz w:val="22"/>
          <w:szCs w:val="22"/>
        </w:rPr>
        <w:t>V podmienkach SR neexistoval pred rokom 2007 prakticky žiadny systém podpory VaI infraštruktúry porovnateľný s ostatnými štátmi EÚ. K významnej pozitívnej zmene došlo až v programovom období rokov 2007 – 2013, kedy boli budované VVaI kapacity predovšetkým investíciami zo štrukturálnych fondov EÚ – OP Výskum a vývoj (ďalej len “OP VaV“)</w:t>
      </w:r>
      <w:bookmarkStart w:id="7" w:name="_Ref22414001"/>
      <w:r w:rsidR="009832E1">
        <w:rPr>
          <w:rStyle w:val="Odkaznapoznmkupodiarou"/>
          <w:sz w:val="22"/>
          <w:szCs w:val="22"/>
        </w:rPr>
        <w:footnoteReference w:id="36"/>
      </w:r>
      <w:bookmarkEnd w:id="7"/>
      <w:r w:rsidRPr="00924638">
        <w:rPr>
          <w:sz w:val="22"/>
          <w:szCs w:val="22"/>
        </w:rPr>
        <w:t xml:space="preserve"> v oblasti výskumno-vývojových centier s</w:t>
      </w:r>
      <w:r w:rsidR="00510782">
        <w:rPr>
          <w:sz w:val="22"/>
          <w:szCs w:val="22"/>
        </w:rPr>
        <w:t> </w:t>
      </w:r>
      <w:r w:rsidRPr="00924638">
        <w:rPr>
          <w:sz w:val="22"/>
          <w:szCs w:val="22"/>
        </w:rPr>
        <w:t>účasťou všetkých typov organizácií (štátnych, verejných, podnikateľských a neziskových) a OP Konkurencieschopnosť a hospodársky rast (ďalej len „OP KaHR“) v oblasti podpory inovačnej infraštruktúry v priemysle</w:t>
      </w:r>
      <w:r w:rsidR="00EC5FFA">
        <w:rPr>
          <w:rStyle w:val="Odkaznapoznmkupodiarou"/>
          <w:sz w:val="22"/>
          <w:szCs w:val="22"/>
        </w:rPr>
        <w:footnoteReference w:id="37"/>
      </w:r>
      <w:r w:rsidRPr="00924638">
        <w:rPr>
          <w:sz w:val="22"/>
          <w:szCs w:val="22"/>
        </w:rPr>
        <w:t>.</w:t>
      </w:r>
    </w:p>
    <w:p w14:paraId="0714F965" w14:textId="34352851" w:rsidR="00924638" w:rsidRPr="00924638" w:rsidRDefault="00924638" w:rsidP="00924638">
      <w:pPr>
        <w:pStyle w:val="Zkladntext"/>
        <w:spacing w:before="120" w:after="0" w:line="247" w:lineRule="auto"/>
        <w:jc w:val="both"/>
        <w:rPr>
          <w:sz w:val="22"/>
          <w:szCs w:val="22"/>
        </w:rPr>
      </w:pPr>
      <w:r w:rsidRPr="00924638">
        <w:rPr>
          <w:sz w:val="22"/>
          <w:szCs w:val="22"/>
        </w:rPr>
        <w:t>V programovom období 2007 – 2013 bola cielenými aktivitami zmiernená technologická medzera, ale aj napriek tomu je to potrebné vnímať len ako prvú etapu jej odstraňovania. Na tieto aktivity je nevyhnutné nadviazať aj aktivity v programovom období 2014 – 2020. Dôležitým aspektom podpory VaI aktivít je ich pokračujúca podpora aj v rámci Bratislavského samosprávneho kraja (ďalej aj „BSK“)</w:t>
      </w:r>
      <w:r w:rsidR="00B05FFC">
        <w:rPr>
          <w:rStyle w:val="Odkaznapoznmkupodiarou"/>
          <w:sz w:val="22"/>
          <w:szCs w:val="22"/>
        </w:rPr>
        <w:footnoteReference w:id="38"/>
      </w:r>
      <w:r w:rsidRPr="00924638">
        <w:rPr>
          <w:sz w:val="22"/>
          <w:szCs w:val="22"/>
        </w:rPr>
        <w:t>.</w:t>
      </w:r>
    </w:p>
    <w:p w14:paraId="7543721F" w14:textId="5FB2F94A" w:rsidR="00924638" w:rsidRPr="00924638" w:rsidRDefault="00924638" w:rsidP="00924638">
      <w:pPr>
        <w:pStyle w:val="Zkladntext"/>
        <w:spacing w:before="120" w:after="0" w:line="248" w:lineRule="auto"/>
        <w:jc w:val="both"/>
        <w:rPr>
          <w:sz w:val="22"/>
          <w:szCs w:val="22"/>
        </w:rPr>
      </w:pPr>
      <w:r w:rsidRPr="00924638">
        <w:rPr>
          <w:sz w:val="22"/>
          <w:szCs w:val="22"/>
        </w:rPr>
        <w:t>V oblasti verejnej VaV infraštruktúry bude potrebné zvýšiť výkonnosť štátneho a verejného sektora prostredníctvom konsolidácie a integrácie bázy, ktorá vznikla na základe podpory z OP VaV v rokoch 2007 – 2013. Dôležité bude vyhnúť sa fragmentácii v oblasti počtu projektov ako aj fragmentácii ich vecného zamerania a duplicitám. Bude potrebné zabezpečiť, aby sa výskumné centrá, ktoré vznikli v</w:t>
      </w:r>
      <w:r w:rsidR="00510782">
        <w:rPr>
          <w:sz w:val="22"/>
          <w:szCs w:val="22"/>
        </w:rPr>
        <w:t> </w:t>
      </w:r>
      <w:r w:rsidRPr="00924638">
        <w:rPr>
          <w:sz w:val="22"/>
          <w:szCs w:val="22"/>
        </w:rPr>
        <w:t>rámci podpory v období 2007 – 2013, aktívne zapojili do výskumných aktivít 2014 – 2020 tak v SR, ako aj v rámci Európskeho výskumného priestoru (ďalej len „ERA“). V neposlednom rade bude potrebné podporiť dlhodobý strategický výskum v prioritných oblastiach RIS3 SK.</w:t>
      </w:r>
    </w:p>
    <w:p w14:paraId="00EBF1AC" w14:textId="0914655B" w:rsidR="00924638" w:rsidRPr="00924638" w:rsidRDefault="00924638" w:rsidP="00924638">
      <w:pPr>
        <w:pStyle w:val="Zkladntext"/>
        <w:spacing w:before="120" w:after="0" w:line="248" w:lineRule="auto"/>
        <w:jc w:val="both"/>
        <w:rPr>
          <w:sz w:val="22"/>
          <w:szCs w:val="22"/>
        </w:rPr>
      </w:pPr>
      <w:r w:rsidRPr="00924638">
        <w:rPr>
          <w:sz w:val="22"/>
          <w:szCs w:val="22"/>
        </w:rPr>
        <w:t>Špecifickými problematickými oblasťami, ktoré bránia dosiahnutiu vyššej účinnosti pomoci, sú najmä nastavenie súčasných pravidiel, ktoré znemožňujú používanie výsledkov projektov na komerčné účely, ako aj využívanie verejnej VaV infraštruktúry pre potreby praxe, čo bude riešené zodpovedajúcou úpravou týchto pravidiel. V oblasti podpory inovácií výraznejšie absentoval komplexnejší systémový prístup k firemným inováciám</w:t>
      </w:r>
      <w:r w:rsidR="00B05FFC">
        <w:rPr>
          <w:rStyle w:val="Odkaznapoznmkupodiarou"/>
          <w:sz w:val="22"/>
          <w:szCs w:val="22"/>
        </w:rPr>
        <w:footnoteReference w:id="39"/>
      </w:r>
      <w:r w:rsidRPr="00924638">
        <w:rPr>
          <w:sz w:val="22"/>
          <w:szCs w:val="22"/>
        </w:rPr>
        <w:t>, ktorý bude po</w:t>
      </w:r>
      <w:r w:rsidR="00D31B23">
        <w:rPr>
          <w:sz w:val="22"/>
          <w:szCs w:val="22"/>
        </w:rPr>
        <w:t>trebné aj prostredníctvom OPII (časť VaI)</w:t>
      </w:r>
      <w:r w:rsidRPr="00924638">
        <w:rPr>
          <w:sz w:val="22"/>
          <w:szCs w:val="22"/>
        </w:rPr>
        <w:t xml:space="preserve"> akcelerovať.</w:t>
      </w:r>
    </w:p>
    <w:p w14:paraId="02172866" w14:textId="77777777" w:rsidR="00924638" w:rsidRPr="00924638" w:rsidRDefault="00924638" w:rsidP="00924638">
      <w:pPr>
        <w:pStyle w:val="Zkladntext"/>
        <w:spacing w:before="120" w:after="0" w:line="248" w:lineRule="auto"/>
        <w:jc w:val="both"/>
        <w:rPr>
          <w:sz w:val="22"/>
          <w:szCs w:val="22"/>
        </w:rPr>
      </w:pPr>
      <w:r w:rsidRPr="00924638">
        <w:rPr>
          <w:sz w:val="22"/>
          <w:szCs w:val="22"/>
        </w:rPr>
        <w:t xml:space="preserve">Ďalšou kľúčovou infraštruktúrnou potrebou je podpora rôznych foriem medzisektorových partnerstiev/ klastrovania/technologických platforiem. Úloha klastrov je v ekonomickom rozvoji SR dlhodobo nedoceňovaná. V minulosti vzniklo aj bez systémovej podpory viacero klastrových organizácií aktivitou „bottom-up“, v mnohých prípadoch aj vďaka snahám regionálnych samospráv. Avšak pre dosahovanie synergií v inovačných a ekonomických aktivitách za využitia potenciálu výskumných inštitúcií s pozitívnymi dôsledkami na hospodársky rast a zvyšovanie zamestnanosti bude potrebné </w:t>
      </w:r>
      <w:r w:rsidRPr="00924638">
        <w:rPr>
          <w:sz w:val="22"/>
          <w:szCs w:val="22"/>
        </w:rPr>
        <w:lastRenderedPageBreak/>
        <w:t>systémovo podporiť samotné klastre a klastrové organizácie, ako aj ich aktivity vedúce k inováciám, vrátane hlbšieho zapojenia sa VaI organizácií do ich činnosti.</w:t>
      </w:r>
    </w:p>
    <w:p w14:paraId="498AF63B" w14:textId="164D8095" w:rsidR="00924638" w:rsidRPr="00924638" w:rsidRDefault="00924638" w:rsidP="00924638">
      <w:pPr>
        <w:pStyle w:val="Zkladntext"/>
        <w:spacing w:before="120" w:after="0" w:line="248" w:lineRule="auto"/>
        <w:jc w:val="both"/>
        <w:rPr>
          <w:sz w:val="22"/>
          <w:szCs w:val="22"/>
        </w:rPr>
      </w:pPr>
      <w:r w:rsidRPr="00924638">
        <w:rPr>
          <w:sz w:val="22"/>
          <w:szCs w:val="22"/>
        </w:rPr>
        <w:t>Podpriemerné výsledky merané prostredníctvom bibliometrickej analýzy SR dosahuje aj v oblasti publikačných výstupov. O tom svedčia nízke hodnoty relatívneho počtu vedeckých odborných publikácií a citácií, ako aj podpriemerný citačný index. Výkonnosť výskumných inštitúcií zo SR podľa publikačnej výkonnosti inštitucionálneho hodnotenia výskumných organizácií – SCIMAGO Institutions Ranking World Report 2012 možno považovať za neuspokojivú. Hodnotenie porovnáva inštitúcie, ktoré publikovali aspoň 100 vedeckých dokumentov akéhokoľvek typu v celosvetovej databáze Scopus od Elsevier</w:t>
      </w:r>
      <w:r w:rsidR="004B29A2">
        <w:rPr>
          <w:rStyle w:val="Odkaznapoznmkupodiarou"/>
          <w:sz w:val="22"/>
          <w:szCs w:val="22"/>
        </w:rPr>
        <w:footnoteReference w:id="40"/>
      </w:r>
      <w:r w:rsidRPr="00924638">
        <w:rPr>
          <w:sz w:val="22"/>
          <w:szCs w:val="22"/>
        </w:rPr>
        <w:t>. V celom hodnotení je uvedených len 6 inštitúcií zo SR, z toho jedna je SAV (444. miesto) ako celok a 5 univerzít: Univerzita Komenského v Bratislave (789. miesto), Slovenská technická univerzita v Bratislave (1 026. miesto), Technická univerzita v Košiciach (1 693. miesto), Univerzita P. J. Šafárika v Košiciach (1 695. miesto) a Žilinská univerzita v Žiline (2 256. miesto).</w:t>
      </w:r>
    </w:p>
    <w:p w14:paraId="227C6715" w14:textId="230AB074" w:rsidR="00924638" w:rsidRPr="00924638" w:rsidRDefault="00924638" w:rsidP="00924638">
      <w:pPr>
        <w:pStyle w:val="Zkladntext"/>
        <w:spacing w:before="120" w:after="0" w:line="248" w:lineRule="auto"/>
        <w:jc w:val="both"/>
        <w:rPr>
          <w:sz w:val="22"/>
          <w:szCs w:val="22"/>
        </w:rPr>
      </w:pPr>
      <w:r w:rsidRPr="00924638">
        <w:rPr>
          <w:sz w:val="22"/>
          <w:szCs w:val="22"/>
        </w:rPr>
        <w:t>V SR sa málo patentuje (aj) preto, lebo</w:t>
      </w:r>
      <w:r>
        <w:rPr>
          <w:sz w:val="22"/>
          <w:szCs w:val="22"/>
        </w:rPr>
        <w:t xml:space="preserve"> </w:t>
      </w:r>
      <w:r w:rsidRPr="00924638">
        <w:rPr>
          <w:sz w:val="22"/>
          <w:szCs w:val="22"/>
        </w:rPr>
        <w:t>podniky</w:t>
      </w:r>
      <w:r>
        <w:rPr>
          <w:sz w:val="22"/>
          <w:szCs w:val="22"/>
        </w:rPr>
        <w:t xml:space="preserve"> </w:t>
      </w:r>
      <w:r w:rsidRPr="00924638">
        <w:rPr>
          <w:sz w:val="22"/>
          <w:szCs w:val="22"/>
        </w:rPr>
        <w:t>málo</w:t>
      </w:r>
      <w:r>
        <w:rPr>
          <w:sz w:val="22"/>
          <w:szCs w:val="22"/>
        </w:rPr>
        <w:t xml:space="preserve"> </w:t>
      </w:r>
      <w:r w:rsidRPr="00924638">
        <w:rPr>
          <w:sz w:val="22"/>
          <w:szCs w:val="22"/>
        </w:rPr>
        <w:t>investujú do VaV a radšej kúpia hotové technológie a poznatky. Ukazovateľ príjmy z predaja licencií do zahraničia má v SR minimálne hodnoty. Príjmy z predaja licencií za patenty priamo súvisia s nízkou patentovou „produkciou“ domáceho VaV. V roku 2011 bolo v SR podaných 4,35 patentových žiadostí na 1 milión obyvateľov, priemer EÚ 28 bol až 106. V Slovinsku bolo podaných takmer 15 krát viac patentových prih</w:t>
      </w:r>
      <w:r w:rsidR="00DF74FD">
        <w:rPr>
          <w:sz w:val="22"/>
          <w:szCs w:val="22"/>
        </w:rPr>
        <w:t>lášok na </w:t>
      </w:r>
      <w:r w:rsidRPr="00924638">
        <w:rPr>
          <w:sz w:val="22"/>
          <w:szCs w:val="22"/>
        </w:rPr>
        <w:t>mil. obyvateľov (64,44) ako v SR</w:t>
      </w:r>
      <w:r w:rsidR="004B29A2">
        <w:rPr>
          <w:rStyle w:val="Odkaznapoznmkupodiarou"/>
          <w:sz w:val="22"/>
          <w:szCs w:val="22"/>
        </w:rPr>
        <w:footnoteReference w:id="41"/>
      </w:r>
      <w:r w:rsidRPr="00924638">
        <w:rPr>
          <w:sz w:val="22"/>
          <w:szCs w:val="22"/>
        </w:rPr>
        <w:t>. Pri patentovaní v rámci tzv. triadických patentových rodín</w:t>
      </w:r>
      <w:r w:rsidR="0047463B">
        <w:rPr>
          <w:rStyle w:val="Odkaznapoznmkupodiarou"/>
          <w:sz w:val="22"/>
          <w:szCs w:val="22"/>
        </w:rPr>
        <w:footnoteReference w:id="42"/>
      </w:r>
      <w:r w:rsidRPr="00924638">
        <w:rPr>
          <w:sz w:val="22"/>
          <w:szCs w:val="22"/>
        </w:rPr>
        <w:t xml:space="preserve"> značne zaostávame za priemerom EÚ ako aj okolitými krajinami, keď v priemere máme len 3 takéto patenty ročne. Podobne je to v počte patentových prihlášok podaných v rámci PCT. V roku 2011 išlo len o takmer 50 takýchto prihlášok zo SR. Do EPO sme podali v roku 2011 len 37 patentových prihlášok. Z nich až 30 bolo výsledkom spolupráce so subjektom mimo SR.</w:t>
      </w:r>
    </w:p>
    <w:p w14:paraId="3E49C526" w14:textId="5FAB7193" w:rsidR="00924638" w:rsidRPr="00924638" w:rsidRDefault="00924638" w:rsidP="00351D17">
      <w:pPr>
        <w:pStyle w:val="Zkladntext"/>
        <w:spacing w:before="120" w:after="0"/>
        <w:jc w:val="both"/>
        <w:rPr>
          <w:sz w:val="22"/>
          <w:szCs w:val="22"/>
        </w:rPr>
      </w:pPr>
      <w:r w:rsidRPr="00924638">
        <w:rPr>
          <w:sz w:val="22"/>
          <w:szCs w:val="22"/>
        </w:rPr>
        <w:t>Je potrebné zvýšiť nízku mieru využívania inštitútov ochrany duševného vlastníctva, ako aj procesov transferu technológií v rámci špecifických aktivít zameraných tak na štátny a verejný sektor VaV, ako aj podnikateľský sektor.</w:t>
      </w:r>
    </w:p>
    <w:p w14:paraId="2F155A42" w14:textId="24E5E02A" w:rsidR="00924638" w:rsidRPr="00924638" w:rsidRDefault="00F134FD" w:rsidP="00924638">
      <w:pPr>
        <w:pStyle w:val="Zkladntext"/>
        <w:spacing w:before="120" w:after="0" w:line="248" w:lineRule="auto"/>
        <w:jc w:val="both"/>
        <w:rPr>
          <w:sz w:val="22"/>
          <w:szCs w:val="22"/>
        </w:rPr>
      </w:pPr>
      <w:r>
        <w:rPr>
          <w:sz w:val="22"/>
          <w:szCs w:val="22"/>
        </w:rPr>
        <w:t>V rámci OPII (časť VaI)</w:t>
      </w:r>
      <w:r w:rsidR="00924638" w:rsidRPr="00924638">
        <w:rPr>
          <w:sz w:val="22"/>
          <w:szCs w:val="22"/>
        </w:rPr>
        <w:t xml:space="preserve"> sa budú podporovať aktivity podporujúce vytvorenie funkčného systémového reťazca – od excelentného výskumu (vrátane podpory samotného excelentného výskumu, ako nevyhnutnej podmienky pre budúce high</w:t>
      </w:r>
      <w:r w:rsidR="00DF74FD">
        <w:rPr>
          <w:sz w:val="22"/>
          <w:szCs w:val="22"/>
        </w:rPr>
        <w:t>-</w:t>
      </w:r>
      <w:r w:rsidR="00924638" w:rsidRPr="00924638">
        <w:rPr>
          <w:sz w:val="22"/>
          <w:szCs w:val="22"/>
        </w:rPr>
        <w:t>tech inovácie v dlhšom časovom horizonte) až k inováciám – v súlade s RIS3 SK. Kvalitný VaV je nevyhnutnou podmienkou technicky pokročilých inovácií. Je tiež nevyhnutné pokračovať v dobudovaní kvalitnej VVaI infraštruktúry, príprave kvalitných ľudských zdrojov, vytvoriť atraktívne a motivačné prostredie, vrátane zodpovedajúceho technického vybavenia, pre tretí stupeň vzdelávania a následné uplatnenie mladých vedeckých pracovníkov vo VVaI subjektoch.</w:t>
      </w:r>
    </w:p>
    <w:p w14:paraId="6FE4B8BC" w14:textId="529A45AF" w:rsidR="001B30ED" w:rsidRPr="001B30ED" w:rsidRDefault="001B30ED" w:rsidP="001B30ED">
      <w:pPr>
        <w:spacing w:before="240" w:after="120"/>
        <w:jc w:val="both"/>
        <w:rPr>
          <w:b/>
          <w:sz w:val="22"/>
          <w:szCs w:val="22"/>
        </w:rPr>
      </w:pPr>
      <w:r w:rsidRPr="001B30ED">
        <w:rPr>
          <w:b/>
          <w:sz w:val="22"/>
          <w:szCs w:val="22"/>
        </w:rPr>
        <w:t>Kapacity VaI</w:t>
      </w:r>
    </w:p>
    <w:p w14:paraId="71A75A55" w14:textId="0FACA958" w:rsidR="001B30ED" w:rsidRPr="001B30ED" w:rsidRDefault="001B30ED" w:rsidP="001B30ED">
      <w:pPr>
        <w:pStyle w:val="Zkladntext"/>
        <w:spacing w:before="120" w:after="0" w:line="247" w:lineRule="auto"/>
        <w:jc w:val="both"/>
        <w:rPr>
          <w:sz w:val="22"/>
          <w:szCs w:val="22"/>
        </w:rPr>
      </w:pPr>
      <w:r w:rsidRPr="001B30ED">
        <w:rPr>
          <w:sz w:val="22"/>
          <w:szCs w:val="22"/>
        </w:rPr>
        <w:t>V oblasti VaI v SR pracuje len 0,78 %</w:t>
      </w:r>
      <w:r w:rsidR="007A5798">
        <w:rPr>
          <w:rStyle w:val="Odkaznapoznmkupodiarou"/>
          <w:sz w:val="22"/>
          <w:szCs w:val="22"/>
        </w:rPr>
        <w:footnoteReference w:id="43"/>
      </w:r>
      <w:r w:rsidRPr="001B30ED">
        <w:rPr>
          <w:sz w:val="22"/>
          <w:szCs w:val="22"/>
        </w:rPr>
        <w:t xml:space="preserve"> z celkového počtu pracujúcich osôb (vo FTE), avšak podľa správy OECD je stav ľudského potenciálu v oblasti výskumu a technologického rozvoja považovaný za nadpriemerný vzhľadom na priemer krajín OECD29. Napriek tomu SR výrazne zaostáva v podiele mladých vedcov a výskumníkov v kategóriách do 35 rokov a 35-44 rokov</w:t>
      </w:r>
      <w:r w:rsidR="007A5798">
        <w:rPr>
          <w:rStyle w:val="Odkaznapoznmkupodiarou"/>
          <w:sz w:val="22"/>
          <w:szCs w:val="22"/>
        </w:rPr>
        <w:footnoteReference w:id="44"/>
      </w:r>
      <w:r w:rsidRPr="001B30ED">
        <w:rPr>
          <w:sz w:val="22"/>
          <w:szCs w:val="22"/>
        </w:rPr>
        <w:t>. Počet samotných výskumníkov z celkového počtu pracujúcich osôb (vo FTE) tvorí 0,66 %.</w:t>
      </w:r>
    </w:p>
    <w:p w14:paraId="17630086" w14:textId="7B91857C" w:rsidR="001B30ED" w:rsidRPr="001B30ED" w:rsidRDefault="001B30ED" w:rsidP="001B30ED">
      <w:pPr>
        <w:pStyle w:val="Zkladntext"/>
        <w:spacing w:before="120" w:after="0" w:line="248" w:lineRule="auto"/>
        <w:jc w:val="both"/>
        <w:rPr>
          <w:sz w:val="22"/>
          <w:szCs w:val="22"/>
        </w:rPr>
      </w:pPr>
      <w:r w:rsidRPr="001B30ED">
        <w:rPr>
          <w:sz w:val="22"/>
          <w:szCs w:val="22"/>
        </w:rPr>
        <w:t xml:space="preserve">Z hľadiska kapacít pre VaV je nepriaznivý stav v štruktúre študentov vysokých škôl (ďalej len „VŠ“), keď viac ako 50 % všetkých študentov tvoria študenti spoločenských a humanitných odborov. Študenti </w:t>
      </w:r>
      <w:r w:rsidRPr="001B30ED">
        <w:rPr>
          <w:sz w:val="22"/>
          <w:szCs w:val="22"/>
        </w:rPr>
        <w:lastRenderedPageBreak/>
        <w:t>prírodných a technických odborov tvoria len okolo 30 % všetkých študentov. Pritom až 1,79 % z</w:t>
      </w:r>
      <w:r w:rsidR="000C60B1">
        <w:rPr>
          <w:sz w:val="22"/>
          <w:szCs w:val="22"/>
        </w:rPr>
        <w:t> </w:t>
      </w:r>
      <w:r w:rsidRPr="001B30ED">
        <w:rPr>
          <w:sz w:val="22"/>
          <w:szCs w:val="22"/>
        </w:rPr>
        <w:t>populácie 20-29 ročných absolvuje vysokoškolské vzdelávanie vo vede a technike. Lepšia situácia je už v podiele doktorandských študentov vo vede a technike na celkovej populácií vo veku 20-29 rokov – 0,55 %. Celkový podiel populácie s ukončeným vysokoškolským vzdelaním stúpol na 26,3 % z</w:t>
      </w:r>
      <w:r w:rsidR="000C60B1">
        <w:rPr>
          <w:sz w:val="22"/>
          <w:szCs w:val="22"/>
        </w:rPr>
        <w:t> </w:t>
      </w:r>
      <w:r w:rsidRPr="001B30ED">
        <w:rPr>
          <w:sz w:val="22"/>
          <w:szCs w:val="22"/>
        </w:rPr>
        <w:t>celkovej populácie 30-34 ročných. SR má v rámci krajín V4 druhý najvyšší podiel (hneď za</w:t>
      </w:r>
      <w:r w:rsidR="000C60B1">
        <w:rPr>
          <w:sz w:val="22"/>
          <w:szCs w:val="22"/>
        </w:rPr>
        <w:t> </w:t>
      </w:r>
      <w:r w:rsidRPr="001B30ED">
        <w:rPr>
          <w:sz w:val="22"/>
          <w:szCs w:val="22"/>
        </w:rPr>
        <w:t>Poľskom).</w:t>
      </w:r>
    </w:p>
    <w:p w14:paraId="3A2D1EF2" w14:textId="16183080" w:rsidR="001B30ED" w:rsidRPr="001B30ED" w:rsidRDefault="001B30ED" w:rsidP="001B30ED">
      <w:pPr>
        <w:pStyle w:val="Zkladntext"/>
        <w:spacing w:before="120" w:after="0" w:line="248" w:lineRule="auto"/>
        <w:jc w:val="both"/>
        <w:rPr>
          <w:sz w:val="22"/>
          <w:szCs w:val="22"/>
        </w:rPr>
      </w:pPr>
      <w:r w:rsidRPr="001B30ED">
        <w:rPr>
          <w:sz w:val="22"/>
          <w:szCs w:val="22"/>
        </w:rPr>
        <w:t>Z hľadiska odborov vedy a techniky pôsobí najviac výskumníkov (vo FTE) v technických vedách (6</w:t>
      </w:r>
      <w:r w:rsidR="000C60B1">
        <w:rPr>
          <w:sz w:val="22"/>
          <w:szCs w:val="22"/>
        </w:rPr>
        <w:t> </w:t>
      </w:r>
      <w:r w:rsidRPr="001B30ED">
        <w:rPr>
          <w:sz w:val="22"/>
          <w:szCs w:val="22"/>
        </w:rPr>
        <w:t xml:space="preserve">563) a najmenej v pôdohospodárskych (1 273). Najviac vedcov (vo </w:t>
      </w:r>
      <w:r w:rsidR="00DF74FD">
        <w:rPr>
          <w:sz w:val="22"/>
          <w:szCs w:val="22"/>
        </w:rPr>
        <w:t>FTE) pôsobí v sektore VŠ (10 </w:t>
      </w:r>
      <w:r w:rsidRPr="001B30ED">
        <w:rPr>
          <w:sz w:val="22"/>
          <w:szCs w:val="22"/>
        </w:rPr>
        <w:t>124), vo vládnom sektore (4 168) a 3 790 v podnikateľskom. Najviac študentov na jedného vedca pripadá v oblasti spoločenských a humanitných vied (17,31 %), najmenej naopak v prírodných vedách (2,11). Najviac výskumníkov pôsobí v BSK, kde podiel na celkovej zamestnanosti tvorí 2,53 %.</w:t>
      </w:r>
    </w:p>
    <w:p w14:paraId="71F12E3A" w14:textId="77777777" w:rsidR="001B30ED" w:rsidRPr="001B30ED" w:rsidRDefault="001B30ED" w:rsidP="001B30ED">
      <w:pPr>
        <w:pStyle w:val="Zkladntext"/>
        <w:spacing w:before="120" w:after="0" w:line="248" w:lineRule="auto"/>
        <w:jc w:val="both"/>
        <w:rPr>
          <w:sz w:val="22"/>
          <w:szCs w:val="22"/>
        </w:rPr>
      </w:pPr>
      <w:r w:rsidRPr="001B30ED">
        <w:rPr>
          <w:sz w:val="22"/>
          <w:szCs w:val="22"/>
        </w:rPr>
        <w:t>SR patrí medzi krajiny EÚ s najvyšším zastúpením žien vo VaV, keďže ich podiel už dlhodobo presahuje 40 % (v roku 2011 – 42,3 %).</w:t>
      </w:r>
    </w:p>
    <w:p w14:paraId="5C302AEB" w14:textId="4CCC084A" w:rsidR="001B30ED" w:rsidRPr="001B30ED" w:rsidRDefault="001B30ED" w:rsidP="001B30ED">
      <w:pPr>
        <w:pStyle w:val="Zkladntext"/>
        <w:spacing w:before="120" w:after="0" w:line="248" w:lineRule="auto"/>
        <w:jc w:val="both"/>
        <w:rPr>
          <w:sz w:val="22"/>
          <w:szCs w:val="22"/>
        </w:rPr>
      </w:pPr>
      <w:r w:rsidRPr="001B30ED">
        <w:rPr>
          <w:sz w:val="22"/>
          <w:szCs w:val="22"/>
        </w:rPr>
        <w:t>Kariéra výskumníka nie je v SR vnímaná ako atraktívne zamestnanie. Okrem vytvárania adekvátnych technických pracovných podmienok prostredníctvom nevyhnutných investícií do technickej infraštruktúry a konsolidácie kapacít, ktoré budú smerovať do optimalizácie využívania existujúcej infraštruktúry, ktoré boli podporené v programovom období 2007 – 2013, je nutné prezentovať zamestnanie výskumníka ako atraktívne mladej generácii prostredníctvom cielených opatrení v oblasti popularizácie a propagácie VaI. V prípade podp</w:t>
      </w:r>
      <w:r w:rsidR="007A69DA">
        <w:rPr>
          <w:sz w:val="22"/>
          <w:szCs w:val="22"/>
        </w:rPr>
        <w:t>ory kvalitných projektov z OPI</w:t>
      </w:r>
      <w:r w:rsidRPr="001B30ED">
        <w:rPr>
          <w:sz w:val="22"/>
          <w:szCs w:val="22"/>
        </w:rPr>
        <w:t>I</w:t>
      </w:r>
      <w:r w:rsidR="007A69DA">
        <w:rPr>
          <w:sz w:val="22"/>
          <w:szCs w:val="22"/>
        </w:rPr>
        <w:t xml:space="preserve"> (časť VaI)</w:t>
      </w:r>
      <w:r w:rsidRPr="001B30ED">
        <w:rPr>
          <w:sz w:val="22"/>
          <w:szCs w:val="22"/>
        </w:rPr>
        <w:t xml:space="preserve"> bude kladený dôraz aj na adekvátne mzdové ohodnotenie najmä špičkových a mladých výskumných pracovníkov, ktorí sa budú zúčastňovať na implementácii projektov. To sa týka tak existujúceho ľudského potenciálu v oblasti VVaI, ako aj pritiahnutia výskumných pracovníkov zo zahraničia. Súčasný priemerný hodinový zárobok pre vedecké a technické činnosti v SR (6,42 EUR)</w:t>
      </w:r>
      <w:r w:rsidR="000C60B1">
        <w:rPr>
          <w:rStyle w:val="Odkaznapoznmkupodiarou"/>
          <w:sz w:val="22"/>
          <w:szCs w:val="22"/>
        </w:rPr>
        <w:footnoteReference w:id="45"/>
      </w:r>
      <w:r w:rsidRPr="001B30ED">
        <w:rPr>
          <w:sz w:val="22"/>
          <w:szCs w:val="22"/>
        </w:rPr>
        <w:t xml:space="preserve"> nevytvára primerané motivačné podmienky voči niektorým konkurenčným oblastiam (IKT služby, finančníctvo), ani voči podmienkam, ktoré poskytujú konkurenčné zahraničné spoločnosti pre špičkových odborníkov.</w:t>
      </w:r>
    </w:p>
    <w:p w14:paraId="380146FF" w14:textId="28F63D28" w:rsidR="00E739ED" w:rsidRPr="00E739ED" w:rsidRDefault="00E739ED" w:rsidP="00E739ED">
      <w:pPr>
        <w:spacing w:before="240" w:after="120"/>
        <w:jc w:val="both"/>
        <w:rPr>
          <w:b/>
          <w:sz w:val="22"/>
          <w:szCs w:val="22"/>
        </w:rPr>
      </w:pPr>
      <w:r w:rsidRPr="00E739ED">
        <w:rPr>
          <w:b/>
          <w:sz w:val="22"/>
          <w:szCs w:val="22"/>
        </w:rPr>
        <w:t>Účasť SR v Európskom výskumnom priestore</w:t>
      </w:r>
    </w:p>
    <w:p w14:paraId="6A81D50D" w14:textId="250BCE3A" w:rsidR="00E739ED" w:rsidRPr="00E739ED" w:rsidRDefault="00E739ED" w:rsidP="00E739ED">
      <w:pPr>
        <w:pStyle w:val="Zkladntext"/>
        <w:spacing w:before="120" w:after="0" w:line="247" w:lineRule="auto"/>
        <w:jc w:val="both"/>
        <w:rPr>
          <w:sz w:val="22"/>
          <w:szCs w:val="22"/>
        </w:rPr>
      </w:pPr>
      <w:r w:rsidRPr="00E739ED">
        <w:rPr>
          <w:sz w:val="22"/>
          <w:szCs w:val="22"/>
        </w:rPr>
        <w:t>Pri hodnotení výkonnostných parametrov VVaI v SR nemožno nespomenúť aj nízku mieru internacionalizácie. Problémom je nízka účasť v kľúčových programoch a iniciatívach ERA. Disponujeme nízkym počtom projektových účastí v projektoch, ktoré predstavujú kvalitatívnu medzinárodnú špičku. V 7. Rámcovom programe EÚ pre VaV</w:t>
      </w:r>
      <w:r w:rsidR="000C60B1">
        <w:rPr>
          <w:rStyle w:val="Odkaznapoznmkupodiarou"/>
          <w:sz w:val="22"/>
          <w:szCs w:val="22"/>
        </w:rPr>
        <w:footnoteReference w:id="46"/>
      </w:r>
      <w:r w:rsidRPr="00E739ED">
        <w:rPr>
          <w:sz w:val="22"/>
          <w:szCs w:val="22"/>
        </w:rPr>
        <w:t xml:space="preserve"> bolo celkovo zaznamenaných 2 590 účastí v projektových žiadostiach, z čoho vzniklo celkovo 470 slovenských účastí v 376 projektoch. Celkovo kontrahovaný príspevok EK je vo výške 73,52 mil. Eur. V prepočítaní na jedného obyvateľa nás to radí až na 25. miesto medzi krajinami EÚ. Ešte horšie sme na tom vo vzťahu k HDP, kde sme až na 27. mieste. Výška príspevku EK na jednu účasť je v SR pomerne malá (156 429 Eur), za čo môže nielen úloha slovenských organizácií v projektoch (koordinovali </w:t>
      </w:r>
      <w:r w:rsidR="00DF74FD">
        <w:rPr>
          <w:sz w:val="22"/>
          <w:szCs w:val="22"/>
        </w:rPr>
        <w:t>sme len 36 projektov a z toho 6 </w:t>
      </w:r>
      <w:r w:rsidRPr="00E739ED">
        <w:rPr>
          <w:sz w:val="22"/>
          <w:szCs w:val="22"/>
        </w:rPr>
        <w:t>výskumných), ale aj platy vedcov, ktoré predstavujú značnú časť rozpočtov projektov. Negatívna bilancia účasti SR v 7. RP EÚ sa týka všetkých typov výskumných inštitúcií zo štátneho, verejného, ako aj súkromného sektora. Pomerne malé je tiež zapojenie do spoločných iniciatív v rámci ERA. SR sa zapojila celkovo do 13 z 86 ERA-NETov, pritom až v 8 z nich je ako účastník de facto výskumná organizácia a nie grantová agentúra alebo ministerstvo. SR má zastúpenie len v polovici z 36 Európskych technologických platforiem. V rámci Spoločného pr</w:t>
      </w:r>
      <w:r w:rsidR="00DF74FD">
        <w:rPr>
          <w:sz w:val="22"/>
          <w:szCs w:val="22"/>
        </w:rPr>
        <w:t>ogramovania je SR zapojená do 3 </w:t>
      </w:r>
      <w:r w:rsidRPr="00E739ED">
        <w:rPr>
          <w:sz w:val="22"/>
          <w:szCs w:val="22"/>
        </w:rPr>
        <w:t>z</w:t>
      </w:r>
      <w:r w:rsidR="00510782">
        <w:rPr>
          <w:sz w:val="22"/>
          <w:szCs w:val="22"/>
        </w:rPr>
        <w:t> </w:t>
      </w:r>
      <w:r w:rsidRPr="00E739ED">
        <w:rPr>
          <w:sz w:val="22"/>
          <w:szCs w:val="22"/>
        </w:rPr>
        <w:t>10 takýchto iniciatív</w:t>
      </w:r>
      <w:r w:rsidR="001B798D">
        <w:rPr>
          <w:rStyle w:val="Odkaznapoznmkupodiarou"/>
          <w:sz w:val="22"/>
          <w:szCs w:val="22"/>
        </w:rPr>
        <w:footnoteReference w:id="47"/>
      </w:r>
      <w:r w:rsidRPr="00E739ED">
        <w:rPr>
          <w:sz w:val="22"/>
          <w:szCs w:val="22"/>
        </w:rPr>
        <w:t>.</w:t>
      </w:r>
    </w:p>
    <w:p w14:paraId="37B234F9" w14:textId="77777777" w:rsidR="00E739ED" w:rsidRPr="00E739ED" w:rsidRDefault="00E739ED" w:rsidP="00E739ED">
      <w:pPr>
        <w:pStyle w:val="Zkladntext"/>
        <w:spacing w:before="120" w:after="0" w:line="248" w:lineRule="auto"/>
        <w:jc w:val="both"/>
        <w:rPr>
          <w:sz w:val="22"/>
          <w:szCs w:val="22"/>
        </w:rPr>
      </w:pPr>
      <w:r w:rsidRPr="00E739ED">
        <w:rPr>
          <w:sz w:val="22"/>
          <w:szCs w:val="22"/>
        </w:rPr>
        <w:t>Medzi najúspešnejšie inštitúcie patrí Slovenská akadémia vied, Technická univerzita v Košiciach, Univerzita Komenského v Bratislave a Ardaco, s.r.o.</w:t>
      </w:r>
    </w:p>
    <w:p w14:paraId="3A4D0AA4" w14:textId="615C6E97" w:rsidR="00E739ED" w:rsidRPr="00E739ED" w:rsidRDefault="00E739ED" w:rsidP="00E739ED">
      <w:pPr>
        <w:pStyle w:val="Zkladntext"/>
        <w:spacing w:before="120" w:after="0" w:line="248" w:lineRule="auto"/>
        <w:jc w:val="both"/>
        <w:rPr>
          <w:sz w:val="22"/>
          <w:szCs w:val="22"/>
        </w:rPr>
      </w:pPr>
      <w:r w:rsidRPr="00E739ED">
        <w:rPr>
          <w:sz w:val="22"/>
          <w:szCs w:val="22"/>
        </w:rPr>
        <w:t xml:space="preserve">Horizontálnou prioritou RIS3 SK je podpora excelentnosti vo výskume, ktorá je nevyhnutnou podmienkou pre budúce high-tech inovácie v dlhšom časovom horizonte. Projekty v rámci ERA </w:t>
      </w:r>
      <w:r w:rsidRPr="00E739ED">
        <w:rPr>
          <w:sz w:val="22"/>
          <w:szCs w:val="22"/>
        </w:rPr>
        <w:lastRenderedPageBreak/>
        <w:t>predstavujú to najkvalitnejšie z európskej, ale aj svetovej vedy. Potrebou SR je zvýšiť počet účastí v</w:t>
      </w:r>
      <w:r w:rsidR="00510782">
        <w:rPr>
          <w:sz w:val="22"/>
          <w:szCs w:val="22"/>
        </w:rPr>
        <w:t> </w:t>
      </w:r>
      <w:r w:rsidRPr="00E739ED">
        <w:rPr>
          <w:sz w:val="22"/>
          <w:szCs w:val="22"/>
        </w:rPr>
        <w:t>uvedených typoch projektov pre všetky typy inštitúcií prostredníctvom uplatnenia princípov synergie a komplementarity medzi OP</w:t>
      </w:r>
      <w:r w:rsidR="00AC05DB">
        <w:rPr>
          <w:sz w:val="22"/>
          <w:szCs w:val="22"/>
        </w:rPr>
        <w:t>II (časť</w:t>
      </w:r>
      <w:r w:rsidRPr="00E739ED">
        <w:rPr>
          <w:sz w:val="22"/>
          <w:szCs w:val="22"/>
        </w:rPr>
        <w:t xml:space="preserve"> VaI</w:t>
      </w:r>
      <w:r w:rsidR="00AC05DB">
        <w:rPr>
          <w:sz w:val="22"/>
          <w:szCs w:val="22"/>
        </w:rPr>
        <w:t>)</w:t>
      </w:r>
      <w:r w:rsidRPr="00E739ED">
        <w:rPr>
          <w:sz w:val="22"/>
          <w:szCs w:val="22"/>
        </w:rPr>
        <w:t xml:space="preserve"> a ERA a ostatných relevantných medzinárodných programov, stratégií a iniciatív</w:t>
      </w:r>
      <w:bookmarkStart w:id="8" w:name="_Ref22414173"/>
      <w:r w:rsidR="00520E11">
        <w:rPr>
          <w:rStyle w:val="Odkaznapoznmkupodiarou"/>
          <w:sz w:val="22"/>
          <w:szCs w:val="22"/>
        </w:rPr>
        <w:footnoteReference w:id="48"/>
      </w:r>
      <w:bookmarkEnd w:id="8"/>
      <w:r w:rsidRPr="00E739ED">
        <w:rPr>
          <w:sz w:val="22"/>
          <w:szCs w:val="22"/>
        </w:rPr>
        <w:t>.</w:t>
      </w:r>
    </w:p>
    <w:p w14:paraId="51AF23E0" w14:textId="03611670" w:rsidR="00A776A8" w:rsidRPr="00A776A8" w:rsidRDefault="00A776A8" w:rsidP="00A776A8">
      <w:pPr>
        <w:spacing w:before="240" w:after="120"/>
        <w:jc w:val="both"/>
        <w:rPr>
          <w:b/>
          <w:sz w:val="22"/>
          <w:szCs w:val="22"/>
        </w:rPr>
      </w:pPr>
      <w:r w:rsidRPr="00A776A8">
        <w:rPr>
          <w:b/>
          <w:sz w:val="22"/>
          <w:szCs w:val="22"/>
        </w:rPr>
        <w:t>Malé a stredné podnikanie</w:t>
      </w:r>
    </w:p>
    <w:p w14:paraId="64595607" w14:textId="68619019" w:rsidR="000455E2" w:rsidRDefault="00A776A8" w:rsidP="000455E2">
      <w:pPr>
        <w:pStyle w:val="Zkladntext"/>
        <w:spacing w:before="120" w:after="0" w:line="247" w:lineRule="auto"/>
        <w:jc w:val="both"/>
        <w:rPr>
          <w:sz w:val="22"/>
          <w:szCs w:val="22"/>
        </w:rPr>
      </w:pPr>
      <w:r w:rsidRPr="00391FD8">
        <w:rPr>
          <w:sz w:val="22"/>
          <w:szCs w:val="22"/>
        </w:rPr>
        <w:t xml:space="preserve">Významným parametrom inovačnej výkonnosti krajiny je </w:t>
      </w:r>
      <w:r w:rsidR="000455E2">
        <w:rPr>
          <w:sz w:val="22"/>
          <w:szCs w:val="22"/>
        </w:rPr>
        <w:t>... pozri Prílohu 21.</w:t>
      </w:r>
    </w:p>
    <w:p w14:paraId="5A4B5C7F" w14:textId="52462761" w:rsidR="00A24828" w:rsidRDefault="00A24828" w:rsidP="000455E2">
      <w:pPr>
        <w:pStyle w:val="Nadpis3"/>
      </w:pPr>
      <w:bookmarkStart w:id="9" w:name="_Toc28951580"/>
      <w:r>
        <w:t>Zdôvodnenie výberu tematických cieľov a príslušných investičných priorít</w:t>
      </w:r>
      <w:bookmarkEnd w:id="9"/>
    </w:p>
    <w:p w14:paraId="1828620F" w14:textId="77777777" w:rsidR="00A24828" w:rsidRDefault="00A24828" w:rsidP="005847CE">
      <w:pPr>
        <w:pStyle w:val="Tab"/>
      </w:pPr>
      <w:r>
        <w:t xml:space="preserve">Súhrnný prehľad zdôvodnenia výberu tematických cieľov a investičných priorít </w:t>
      </w:r>
      <w:r w:rsidR="008B2833">
        <w:t>–</w:t>
      </w:r>
      <w:r>
        <w:t xml:space="preserve"> Doprava</w:t>
      </w:r>
    </w:p>
    <w:tbl>
      <w:tblPr>
        <w:tblStyle w:val="Mriekatabuky"/>
        <w:tblW w:w="9072" w:type="dxa"/>
        <w:jc w:val="center"/>
        <w:tblLook w:val="04A0" w:firstRow="1" w:lastRow="0" w:firstColumn="1" w:lastColumn="0" w:noHBand="0" w:noVBand="1"/>
      </w:tblPr>
      <w:tblGrid>
        <w:gridCol w:w="2128"/>
        <w:gridCol w:w="3079"/>
        <w:gridCol w:w="3865"/>
      </w:tblGrid>
      <w:tr w:rsidR="004B05D6" w14:paraId="2D3D04B1" w14:textId="77777777" w:rsidTr="008776E4">
        <w:trPr>
          <w:trHeight w:val="340"/>
          <w:jc w:val="center"/>
        </w:trPr>
        <w:tc>
          <w:tcPr>
            <w:tcW w:w="2128" w:type="dxa"/>
            <w:shd w:val="clear" w:color="auto" w:fill="C6D9F1" w:themeFill="text2" w:themeFillTint="33"/>
            <w:vAlign w:val="center"/>
          </w:tcPr>
          <w:p w14:paraId="60469ED5" w14:textId="77777777" w:rsidR="004B05D6" w:rsidRPr="0027323A" w:rsidRDefault="004B05D6" w:rsidP="008776E4">
            <w:pPr>
              <w:ind w:left="0"/>
              <w:jc w:val="center"/>
              <w:rPr>
                <w:b/>
                <w:sz w:val="18"/>
                <w:szCs w:val="18"/>
              </w:rPr>
            </w:pPr>
            <w:r w:rsidRPr="0027323A">
              <w:rPr>
                <w:b/>
                <w:sz w:val="18"/>
                <w:szCs w:val="18"/>
              </w:rPr>
              <w:t>Vybraný tematický cieľ</w:t>
            </w:r>
          </w:p>
        </w:tc>
        <w:tc>
          <w:tcPr>
            <w:tcW w:w="3079" w:type="dxa"/>
            <w:shd w:val="clear" w:color="auto" w:fill="C6D9F1" w:themeFill="text2" w:themeFillTint="33"/>
            <w:vAlign w:val="center"/>
          </w:tcPr>
          <w:p w14:paraId="104832DD" w14:textId="77777777" w:rsidR="004B05D6" w:rsidRPr="0027323A" w:rsidRDefault="004B05D6" w:rsidP="008776E4">
            <w:pPr>
              <w:ind w:left="0"/>
              <w:jc w:val="center"/>
              <w:rPr>
                <w:b/>
                <w:sz w:val="18"/>
                <w:szCs w:val="18"/>
              </w:rPr>
            </w:pPr>
            <w:r w:rsidRPr="0027323A">
              <w:rPr>
                <w:b/>
                <w:sz w:val="18"/>
                <w:szCs w:val="18"/>
              </w:rPr>
              <w:t>Vybrané investičné priority</w:t>
            </w:r>
          </w:p>
        </w:tc>
        <w:tc>
          <w:tcPr>
            <w:tcW w:w="3865" w:type="dxa"/>
            <w:shd w:val="clear" w:color="auto" w:fill="C6D9F1" w:themeFill="text2" w:themeFillTint="33"/>
            <w:vAlign w:val="center"/>
          </w:tcPr>
          <w:p w14:paraId="3CD407D3" w14:textId="77777777" w:rsidR="004B05D6" w:rsidRPr="0027323A" w:rsidRDefault="004B05D6" w:rsidP="008776E4">
            <w:pPr>
              <w:ind w:left="0"/>
              <w:jc w:val="center"/>
              <w:rPr>
                <w:b/>
                <w:sz w:val="18"/>
                <w:szCs w:val="18"/>
              </w:rPr>
            </w:pPr>
            <w:r w:rsidRPr="0027323A">
              <w:rPr>
                <w:b/>
                <w:sz w:val="18"/>
                <w:szCs w:val="18"/>
              </w:rPr>
              <w:t>Zdôvodnenie výberu</w:t>
            </w:r>
          </w:p>
        </w:tc>
      </w:tr>
      <w:tr w:rsidR="004B05D6" w14:paraId="1360C206" w14:textId="77777777" w:rsidTr="008776E4">
        <w:trPr>
          <w:trHeight w:val="340"/>
          <w:jc w:val="center"/>
        </w:trPr>
        <w:tc>
          <w:tcPr>
            <w:tcW w:w="2128" w:type="dxa"/>
            <w:vMerge w:val="restart"/>
            <w:vAlign w:val="center"/>
          </w:tcPr>
          <w:p w14:paraId="18E9C861" w14:textId="77777777" w:rsidR="004B05D6" w:rsidRPr="0027323A" w:rsidRDefault="004B05D6" w:rsidP="008776E4">
            <w:pPr>
              <w:ind w:left="0"/>
              <w:rPr>
                <w:sz w:val="18"/>
                <w:szCs w:val="18"/>
              </w:rPr>
            </w:pPr>
            <w:r w:rsidRPr="0027323A">
              <w:rPr>
                <w:color w:val="000000"/>
                <w:sz w:val="18"/>
                <w:szCs w:val="18"/>
              </w:rPr>
              <w:t xml:space="preserve">7 </w:t>
            </w:r>
            <w:r>
              <w:rPr>
                <w:color w:val="000000"/>
                <w:sz w:val="18"/>
                <w:szCs w:val="18"/>
              </w:rPr>
              <w:t>–</w:t>
            </w:r>
            <w:r w:rsidRPr="0027323A">
              <w:rPr>
                <w:color w:val="000000"/>
                <w:sz w:val="18"/>
                <w:szCs w:val="18"/>
              </w:rPr>
              <w:t xml:space="preserve"> podpora udržateľnej dopravy a</w:t>
            </w:r>
            <w:r>
              <w:rPr>
                <w:color w:val="000000"/>
                <w:sz w:val="18"/>
                <w:szCs w:val="18"/>
              </w:rPr>
              <w:t> </w:t>
            </w:r>
            <w:r w:rsidRPr="0027323A">
              <w:rPr>
                <w:color w:val="000000"/>
                <w:sz w:val="18"/>
                <w:szCs w:val="18"/>
              </w:rPr>
              <w:t>odstraňovanie prekážok v</w:t>
            </w:r>
            <w:r>
              <w:rPr>
                <w:color w:val="000000"/>
                <w:sz w:val="18"/>
                <w:szCs w:val="18"/>
              </w:rPr>
              <w:t> </w:t>
            </w:r>
            <w:r w:rsidRPr="0027323A">
              <w:rPr>
                <w:color w:val="000000"/>
                <w:sz w:val="18"/>
                <w:szCs w:val="18"/>
              </w:rPr>
              <w:t>kľúčových sieťových infraštruktúrach</w:t>
            </w:r>
          </w:p>
        </w:tc>
        <w:tc>
          <w:tcPr>
            <w:tcW w:w="3079" w:type="dxa"/>
            <w:vAlign w:val="center"/>
          </w:tcPr>
          <w:p w14:paraId="5BB8EF0E" w14:textId="77777777" w:rsidR="004B05D6" w:rsidRPr="0027323A" w:rsidRDefault="004B05D6" w:rsidP="008776E4">
            <w:pPr>
              <w:ind w:left="0"/>
              <w:jc w:val="center"/>
              <w:rPr>
                <w:sz w:val="18"/>
                <w:szCs w:val="18"/>
              </w:rPr>
            </w:pPr>
            <w:r>
              <w:rPr>
                <w:sz w:val="18"/>
                <w:szCs w:val="18"/>
              </w:rPr>
              <w:t>7i</w:t>
            </w:r>
            <w:r w:rsidRPr="0027323A">
              <w:rPr>
                <w:sz w:val="18"/>
                <w:szCs w:val="18"/>
              </w:rPr>
              <w:t xml:space="preserve">) podpora multimodálneho jednotného európskeho dopravného </w:t>
            </w:r>
            <w:r>
              <w:rPr>
                <w:sz w:val="18"/>
                <w:szCs w:val="18"/>
              </w:rPr>
              <w:t>priestoru pomocou investícií do TEN-T</w:t>
            </w:r>
          </w:p>
        </w:tc>
        <w:tc>
          <w:tcPr>
            <w:tcW w:w="3865" w:type="dxa"/>
            <w:vAlign w:val="center"/>
          </w:tcPr>
          <w:p w14:paraId="60B7C04E" w14:textId="77777777" w:rsidR="004B05D6" w:rsidRDefault="004B05D6" w:rsidP="008776E4">
            <w:pPr>
              <w:ind w:left="0"/>
              <w:rPr>
                <w:sz w:val="18"/>
                <w:szCs w:val="18"/>
              </w:rPr>
            </w:pPr>
            <w:r>
              <w:rPr>
                <w:sz w:val="18"/>
                <w:szCs w:val="18"/>
              </w:rPr>
              <w:t xml:space="preserve">SR disponuje nedobudovanou a technicky a kvalitatívne zastaranou infraštruktúrou, ktorá sa negatívne premieta </w:t>
            </w:r>
            <w:r w:rsidRPr="004F7DFD">
              <w:rPr>
                <w:sz w:val="18"/>
                <w:szCs w:val="18"/>
              </w:rPr>
              <w:t>v</w:t>
            </w:r>
            <w:r>
              <w:rPr>
                <w:sz w:val="18"/>
                <w:szCs w:val="18"/>
              </w:rPr>
              <w:t> </w:t>
            </w:r>
            <w:r w:rsidRPr="004F7DFD">
              <w:rPr>
                <w:sz w:val="18"/>
                <w:szCs w:val="18"/>
              </w:rPr>
              <w:t>oblastiach hospodárstva, životného prostredia</w:t>
            </w:r>
            <w:r>
              <w:rPr>
                <w:sz w:val="18"/>
                <w:szCs w:val="18"/>
              </w:rPr>
              <w:t>,</w:t>
            </w:r>
            <w:r w:rsidRPr="004F7DFD">
              <w:rPr>
                <w:sz w:val="18"/>
                <w:szCs w:val="18"/>
              </w:rPr>
              <w:t xml:space="preserve"> </w:t>
            </w:r>
            <w:r>
              <w:rPr>
                <w:sz w:val="18"/>
                <w:szCs w:val="18"/>
              </w:rPr>
              <w:t>t</w:t>
            </w:r>
            <w:r w:rsidRPr="004F7DFD">
              <w:rPr>
                <w:sz w:val="18"/>
                <w:szCs w:val="18"/>
              </w:rPr>
              <w:t>vor</w:t>
            </w:r>
            <w:r>
              <w:rPr>
                <w:sz w:val="18"/>
                <w:szCs w:val="18"/>
              </w:rPr>
              <w:t>í</w:t>
            </w:r>
            <w:r w:rsidRPr="004F7DFD">
              <w:rPr>
                <w:sz w:val="18"/>
                <w:szCs w:val="18"/>
              </w:rPr>
              <w:t xml:space="preserve"> pr</w:t>
            </w:r>
            <w:r>
              <w:rPr>
                <w:sz w:val="18"/>
                <w:szCs w:val="18"/>
              </w:rPr>
              <w:t>ekážku v mobilite obyvateľstva a </w:t>
            </w:r>
            <w:r w:rsidRPr="004F7DFD">
              <w:rPr>
                <w:sz w:val="18"/>
                <w:szCs w:val="18"/>
              </w:rPr>
              <w:t>znižuj</w:t>
            </w:r>
            <w:r>
              <w:rPr>
                <w:sz w:val="18"/>
                <w:szCs w:val="18"/>
              </w:rPr>
              <w:t>e</w:t>
            </w:r>
            <w:r w:rsidRPr="004F7DFD">
              <w:rPr>
                <w:sz w:val="18"/>
                <w:szCs w:val="18"/>
              </w:rPr>
              <w:t xml:space="preserve"> atraktivitu územia z</w:t>
            </w:r>
            <w:r>
              <w:rPr>
                <w:sz w:val="18"/>
                <w:szCs w:val="18"/>
              </w:rPr>
              <w:t> </w:t>
            </w:r>
            <w:r w:rsidRPr="004F7DFD">
              <w:rPr>
                <w:sz w:val="18"/>
                <w:szCs w:val="18"/>
              </w:rPr>
              <w:t xml:space="preserve">pohľadu </w:t>
            </w:r>
            <w:r>
              <w:rPr>
                <w:sz w:val="18"/>
                <w:szCs w:val="18"/>
              </w:rPr>
              <w:t xml:space="preserve">cestovného ruchu </w:t>
            </w:r>
            <w:r w:rsidRPr="004F7DFD">
              <w:rPr>
                <w:sz w:val="18"/>
                <w:szCs w:val="18"/>
              </w:rPr>
              <w:t>a</w:t>
            </w:r>
            <w:r>
              <w:rPr>
                <w:sz w:val="18"/>
                <w:szCs w:val="18"/>
              </w:rPr>
              <w:t> </w:t>
            </w:r>
            <w:r w:rsidRPr="004F7DFD">
              <w:rPr>
                <w:sz w:val="18"/>
                <w:szCs w:val="18"/>
              </w:rPr>
              <w:t>prílevu investícií.</w:t>
            </w:r>
            <w:r>
              <w:rPr>
                <w:sz w:val="18"/>
                <w:szCs w:val="18"/>
              </w:rPr>
              <w:t xml:space="preserve"> Cieľom SR je prispieť k homogenizácii siete TEN-T, zabezpečeniu </w:t>
            </w:r>
            <w:r w:rsidRPr="004F7DFD">
              <w:rPr>
                <w:sz w:val="18"/>
                <w:szCs w:val="18"/>
              </w:rPr>
              <w:t>plynulého fungova</w:t>
            </w:r>
            <w:r>
              <w:rPr>
                <w:sz w:val="18"/>
                <w:szCs w:val="18"/>
              </w:rPr>
              <w:t>nia vnútorného trhu a posilneniu</w:t>
            </w:r>
            <w:r w:rsidRPr="004F7DFD">
              <w:rPr>
                <w:sz w:val="18"/>
                <w:szCs w:val="18"/>
              </w:rPr>
              <w:t xml:space="preserve"> hospodárskej, sociálnej a</w:t>
            </w:r>
            <w:r>
              <w:rPr>
                <w:sz w:val="18"/>
                <w:szCs w:val="18"/>
              </w:rPr>
              <w:t> </w:t>
            </w:r>
            <w:r w:rsidRPr="004F7DFD">
              <w:rPr>
                <w:sz w:val="18"/>
                <w:szCs w:val="18"/>
              </w:rPr>
              <w:t>územnej súdržnosti.</w:t>
            </w:r>
          </w:p>
          <w:p w14:paraId="7170E727" w14:textId="0EFE9436" w:rsidR="004B05D6" w:rsidRPr="003D2A7D" w:rsidRDefault="003D2A7D" w:rsidP="003D2A7D">
            <w:pPr>
              <w:spacing w:before="40" w:after="120"/>
              <w:ind w:left="0"/>
              <w:rPr>
                <w:sz w:val="18"/>
                <w:szCs w:val="18"/>
              </w:rPr>
            </w:pPr>
            <w:r>
              <w:rPr>
                <w:sz w:val="18"/>
                <w:szCs w:val="18"/>
              </w:rPr>
              <w:t>Pozri Prílohu 21.</w:t>
            </w:r>
          </w:p>
        </w:tc>
      </w:tr>
      <w:tr w:rsidR="004B05D6" w14:paraId="39DF3361" w14:textId="77777777" w:rsidTr="008776E4">
        <w:trPr>
          <w:trHeight w:val="340"/>
          <w:jc w:val="center"/>
        </w:trPr>
        <w:tc>
          <w:tcPr>
            <w:tcW w:w="2128" w:type="dxa"/>
            <w:vMerge/>
            <w:vAlign w:val="center"/>
          </w:tcPr>
          <w:p w14:paraId="02002797" w14:textId="77777777" w:rsidR="004B05D6" w:rsidRPr="0027323A" w:rsidRDefault="004B05D6" w:rsidP="008776E4">
            <w:pPr>
              <w:rPr>
                <w:color w:val="000000"/>
                <w:sz w:val="18"/>
                <w:szCs w:val="18"/>
              </w:rPr>
            </w:pPr>
          </w:p>
        </w:tc>
        <w:tc>
          <w:tcPr>
            <w:tcW w:w="3079" w:type="dxa"/>
            <w:vAlign w:val="center"/>
          </w:tcPr>
          <w:p w14:paraId="5AFB834D" w14:textId="77777777" w:rsidR="004B05D6" w:rsidRPr="0027323A" w:rsidRDefault="004B05D6" w:rsidP="008776E4">
            <w:pPr>
              <w:ind w:left="0"/>
              <w:jc w:val="center"/>
              <w:rPr>
                <w:sz w:val="18"/>
                <w:szCs w:val="18"/>
              </w:rPr>
            </w:pPr>
            <w:r w:rsidRPr="0027323A">
              <w:rPr>
                <w:sz w:val="18"/>
                <w:szCs w:val="18"/>
              </w:rPr>
              <w:t xml:space="preserve">7b) posilnenie regionálnej mobility </w:t>
            </w:r>
            <w:r>
              <w:rPr>
                <w:sz w:val="18"/>
                <w:szCs w:val="18"/>
              </w:rPr>
              <w:t>prepojením sekundárnych a terciálnych uzlov s infraštruktúrou TEN-T vrátane multimodálnych uzlov</w:t>
            </w:r>
          </w:p>
        </w:tc>
        <w:tc>
          <w:tcPr>
            <w:tcW w:w="3865" w:type="dxa"/>
            <w:vAlign w:val="center"/>
          </w:tcPr>
          <w:p w14:paraId="7DE90AB2" w14:textId="77777777" w:rsidR="004B05D6" w:rsidRDefault="004B05D6" w:rsidP="008776E4">
            <w:pPr>
              <w:ind w:left="0"/>
              <w:rPr>
                <w:sz w:val="18"/>
                <w:szCs w:val="18"/>
              </w:rPr>
            </w:pPr>
            <w:r>
              <w:rPr>
                <w:sz w:val="18"/>
                <w:szCs w:val="18"/>
              </w:rPr>
              <w:t>Cieľom výberu investičnej priority je dosiahnuť komplementaritu s intervenciami do nadnárodnej a národnej dopravnej infraštruktúry, umožniť prístup na sieť TEN-T a zabezpečiť kvalitné spojenia medzi regiónmi, medzi regionálnymi centrami, regionálnymi centrami a hlavným mestom, resp. krajskými sídlami.</w:t>
            </w:r>
          </w:p>
          <w:p w14:paraId="704C4AD1" w14:textId="17B80D8F" w:rsidR="004B05D6" w:rsidRPr="003D2A7D" w:rsidRDefault="003D2A7D" w:rsidP="003D2A7D">
            <w:pPr>
              <w:spacing w:before="40" w:after="120"/>
              <w:ind w:left="0"/>
              <w:rPr>
                <w:sz w:val="18"/>
                <w:szCs w:val="18"/>
              </w:rPr>
            </w:pPr>
            <w:r w:rsidRPr="003D2A7D">
              <w:rPr>
                <w:sz w:val="18"/>
                <w:szCs w:val="18"/>
              </w:rPr>
              <w:t>Pozri Prílohu 21.</w:t>
            </w:r>
          </w:p>
        </w:tc>
      </w:tr>
      <w:tr w:rsidR="004B05D6" w14:paraId="5D57ADDC" w14:textId="77777777" w:rsidTr="008776E4">
        <w:trPr>
          <w:trHeight w:val="340"/>
          <w:jc w:val="center"/>
        </w:trPr>
        <w:tc>
          <w:tcPr>
            <w:tcW w:w="2128" w:type="dxa"/>
            <w:vMerge/>
            <w:vAlign w:val="center"/>
          </w:tcPr>
          <w:p w14:paraId="42C2E907" w14:textId="77777777" w:rsidR="004B05D6" w:rsidRPr="0027323A" w:rsidRDefault="004B05D6" w:rsidP="008776E4">
            <w:pPr>
              <w:rPr>
                <w:color w:val="000000"/>
                <w:sz w:val="18"/>
                <w:szCs w:val="18"/>
              </w:rPr>
            </w:pPr>
          </w:p>
        </w:tc>
        <w:tc>
          <w:tcPr>
            <w:tcW w:w="3079" w:type="dxa"/>
            <w:vAlign w:val="center"/>
          </w:tcPr>
          <w:p w14:paraId="4A7294BF" w14:textId="77777777" w:rsidR="004B05D6" w:rsidRPr="0027323A" w:rsidRDefault="004B05D6" w:rsidP="008776E4">
            <w:pPr>
              <w:ind w:left="0"/>
              <w:jc w:val="center"/>
              <w:rPr>
                <w:sz w:val="18"/>
                <w:szCs w:val="18"/>
              </w:rPr>
            </w:pPr>
            <w:r>
              <w:rPr>
                <w:sz w:val="18"/>
                <w:szCs w:val="18"/>
              </w:rPr>
              <w:t>7ii) vývoj a zlepšovanie</w:t>
            </w:r>
            <w:r w:rsidRPr="0027323A">
              <w:rPr>
                <w:sz w:val="18"/>
                <w:szCs w:val="18"/>
              </w:rPr>
              <w:t xml:space="preserve"> ekologicky priaznivých</w:t>
            </w:r>
            <w:r>
              <w:rPr>
                <w:sz w:val="18"/>
                <w:szCs w:val="18"/>
              </w:rPr>
              <w:t xml:space="preserve"> (a to aj nehlučných)</w:t>
            </w:r>
            <w:r w:rsidRPr="0027323A">
              <w:rPr>
                <w:sz w:val="18"/>
                <w:szCs w:val="18"/>
              </w:rPr>
              <w:t xml:space="preserve"> a</w:t>
            </w:r>
            <w:r>
              <w:rPr>
                <w:sz w:val="18"/>
                <w:szCs w:val="18"/>
              </w:rPr>
              <w:t> </w:t>
            </w:r>
            <w:r w:rsidRPr="0027323A">
              <w:rPr>
                <w:sz w:val="18"/>
                <w:szCs w:val="18"/>
              </w:rPr>
              <w:t>nízko</w:t>
            </w:r>
            <w:r>
              <w:rPr>
                <w:sz w:val="18"/>
                <w:szCs w:val="18"/>
              </w:rPr>
              <w:t>uhlíkových dopravných systémov vrátane vnútrozemských vodných ciest a námornej pre</w:t>
            </w:r>
            <w:r w:rsidRPr="0027323A">
              <w:rPr>
                <w:sz w:val="18"/>
                <w:szCs w:val="18"/>
              </w:rPr>
              <w:t>pravy, pr</w:t>
            </w:r>
            <w:r>
              <w:rPr>
                <w:sz w:val="18"/>
                <w:szCs w:val="18"/>
              </w:rPr>
              <w:t>ístavov, multimodálnych spojení a letiskovej infraštruktúry na podporu udržateľnej regionálnej a miestnej mobility</w:t>
            </w:r>
          </w:p>
        </w:tc>
        <w:tc>
          <w:tcPr>
            <w:tcW w:w="3865" w:type="dxa"/>
            <w:vAlign w:val="center"/>
          </w:tcPr>
          <w:p w14:paraId="28C1501C" w14:textId="77777777" w:rsidR="004B05D6" w:rsidRDefault="004B05D6" w:rsidP="008776E4">
            <w:pPr>
              <w:ind w:left="0"/>
              <w:rPr>
                <w:sz w:val="18"/>
                <w:szCs w:val="18"/>
              </w:rPr>
            </w:pPr>
            <w:r>
              <w:rPr>
                <w:sz w:val="18"/>
                <w:szCs w:val="18"/>
              </w:rPr>
              <w:t xml:space="preserve">V rámci tejto investičnej priority sa bude SR zameriavať najmä na realizáciu projektov smerujúcich k podpore udržateľnej mestskej mobility, ktorá si predovšetkým vo veľkých sídelno-urbanistických zónach, s enormne rastúcim podielom individuálneho automobilizmu, resp. zastaraných neefektívnych systémov, vyžaduje intervenčný zásah. Obnovou a modernizáciou mobilného parku verejnej osobnej dopravy a podporou budovania infraštruktúry pre integrované systémy je možné prispieť k cieľom Stratégie EÚ 2020 v oblasti znižovania emisií skleníkových plynov, zvyšovania energetickej efektívnosti/podielu </w:t>
            </w:r>
            <w:r w:rsidRPr="00A21DD4">
              <w:rPr>
                <w:sz w:val="18"/>
                <w:szCs w:val="18"/>
              </w:rPr>
              <w:t>obnoviteľných zdrojov a kvality ovzdušia.</w:t>
            </w:r>
          </w:p>
          <w:p w14:paraId="5088F3E6" w14:textId="77777777" w:rsidR="00862336" w:rsidRDefault="00862336" w:rsidP="00862336">
            <w:pPr>
              <w:ind w:left="0"/>
              <w:rPr>
                <w:b/>
                <w:sz w:val="18"/>
                <w:szCs w:val="18"/>
              </w:rPr>
            </w:pPr>
          </w:p>
          <w:p w14:paraId="1B2B0B28" w14:textId="501A0483" w:rsidR="004B05D6" w:rsidRPr="003D2A7D" w:rsidRDefault="003D2A7D" w:rsidP="003D2A7D">
            <w:pPr>
              <w:spacing w:before="40" w:after="120"/>
              <w:ind w:left="0"/>
              <w:rPr>
                <w:sz w:val="18"/>
                <w:szCs w:val="18"/>
              </w:rPr>
            </w:pPr>
            <w:r>
              <w:rPr>
                <w:sz w:val="18"/>
                <w:szCs w:val="20"/>
                <w:lang w:eastAsia="cs-CZ"/>
              </w:rPr>
              <w:t>Pozri Prílohu 21</w:t>
            </w:r>
            <w:r w:rsidR="00862336" w:rsidRPr="003D2A7D">
              <w:rPr>
                <w:sz w:val="18"/>
                <w:szCs w:val="20"/>
                <w:lang w:eastAsia="cs-CZ"/>
              </w:rPr>
              <w:t>.</w:t>
            </w:r>
          </w:p>
        </w:tc>
      </w:tr>
      <w:tr w:rsidR="004B05D6" w14:paraId="65D76AF4" w14:textId="77777777" w:rsidTr="008776E4">
        <w:trPr>
          <w:trHeight w:val="340"/>
          <w:jc w:val="center"/>
        </w:trPr>
        <w:tc>
          <w:tcPr>
            <w:tcW w:w="2128" w:type="dxa"/>
            <w:vMerge/>
            <w:vAlign w:val="center"/>
          </w:tcPr>
          <w:p w14:paraId="07B5B0D5" w14:textId="77777777" w:rsidR="004B05D6" w:rsidRPr="0027323A" w:rsidRDefault="004B05D6" w:rsidP="008776E4">
            <w:pPr>
              <w:rPr>
                <w:color w:val="000000"/>
                <w:sz w:val="18"/>
                <w:szCs w:val="18"/>
              </w:rPr>
            </w:pPr>
          </w:p>
        </w:tc>
        <w:tc>
          <w:tcPr>
            <w:tcW w:w="3079" w:type="dxa"/>
            <w:vAlign w:val="center"/>
          </w:tcPr>
          <w:p w14:paraId="604DA209" w14:textId="77777777" w:rsidR="004B05D6" w:rsidRPr="0027323A" w:rsidRDefault="004B05D6" w:rsidP="008776E4">
            <w:pPr>
              <w:ind w:left="0"/>
              <w:jc w:val="center"/>
              <w:rPr>
                <w:sz w:val="18"/>
                <w:szCs w:val="18"/>
              </w:rPr>
            </w:pPr>
            <w:r>
              <w:rPr>
                <w:sz w:val="18"/>
                <w:szCs w:val="18"/>
              </w:rPr>
              <w:t>7iii</w:t>
            </w:r>
            <w:r w:rsidRPr="0027323A">
              <w:rPr>
                <w:sz w:val="18"/>
                <w:szCs w:val="18"/>
              </w:rPr>
              <w:t xml:space="preserve">) </w:t>
            </w:r>
            <w:r>
              <w:rPr>
                <w:sz w:val="18"/>
                <w:szCs w:val="18"/>
              </w:rPr>
              <w:t>vývoj a modernizácia komplexných, interoperabilných železničných systémov</w:t>
            </w:r>
            <w:r w:rsidRPr="0027323A">
              <w:rPr>
                <w:sz w:val="18"/>
                <w:szCs w:val="18"/>
              </w:rPr>
              <w:t xml:space="preserve"> vysokej kvality</w:t>
            </w:r>
            <w:r>
              <w:rPr>
                <w:sz w:val="18"/>
                <w:szCs w:val="18"/>
              </w:rPr>
              <w:t xml:space="preserve"> a podpora opatrení na znižovanie hluku</w:t>
            </w:r>
          </w:p>
        </w:tc>
        <w:tc>
          <w:tcPr>
            <w:tcW w:w="3865" w:type="dxa"/>
            <w:vAlign w:val="center"/>
          </w:tcPr>
          <w:p w14:paraId="1D4E1820" w14:textId="77777777" w:rsidR="004B05D6" w:rsidRDefault="004B05D6" w:rsidP="008776E4">
            <w:pPr>
              <w:ind w:left="0"/>
              <w:rPr>
                <w:sz w:val="18"/>
                <w:szCs w:val="18"/>
              </w:rPr>
            </w:pPr>
            <w:r>
              <w:rPr>
                <w:sz w:val="18"/>
                <w:szCs w:val="18"/>
              </w:rPr>
              <w:t>Cieľom SR je zvýšiť konkurencieschopnosť železničnej dopravy – vytvoriť kvalitný, komplexný a interoperabilný systém – prostredníctvom investícií do infraštruktúry, mobilného parku, integráciou rôznych typov dopravy (intermodálna doprava).</w:t>
            </w:r>
          </w:p>
          <w:p w14:paraId="1E1D51CA" w14:textId="1C2EF682" w:rsidR="00862336" w:rsidRPr="003D2A7D" w:rsidRDefault="003D2A7D" w:rsidP="003D2A7D">
            <w:pPr>
              <w:spacing w:before="40" w:after="120"/>
              <w:ind w:left="0"/>
              <w:rPr>
                <w:sz w:val="18"/>
                <w:szCs w:val="18"/>
              </w:rPr>
            </w:pPr>
            <w:r>
              <w:rPr>
                <w:sz w:val="18"/>
                <w:szCs w:val="20"/>
                <w:lang w:eastAsia="cs-CZ"/>
              </w:rPr>
              <w:t>Pozri Prílohu 21</w:t>
            </w:r>
            <w:r w:rsidRPr="003D2A7D">
              <w:rPr>
                <w:sz w:val="18"/>
                <w:szCs w:val="20"/>
                <w:lang w:eastAsia="cs-CZ"/>
              </w:rPr>
              <w:t>.</w:t>
            </w:r>
          </w:p>
        </w:tc>
      </w:tr>
    </w:tbl>
    <w:p w14:paraId="142EF1CD" w14:textId="31D173BE" w:rsidR="00DB79F5" w:rsidRDefault="00DB79F5" w:rsidP="0095191D">
      <w:pPr>
        <w:pStyle w:val="Tab"/>
        <w:ind w:left="709" w:hanging="709"/>
      </w:pPr>
      <w:r w:rsidRPr="00C95E85">
        <w:t>Súhrnný prehľad zdôvodnenia výberu tematických cieľov a investičných priorít</w:t>
      </w:r>
      <w:r w:rsidR="00A24828">
        <w:t xml:space="preserve"> – Informačná spoločnosť</w:t>
      </w:r>
    </w:p>
    <w:tbl>
      <w:tblPr>
        <w:tblStyle w:val="Mriekatabuky"/>
        <w:tblW w:w="9072" w:type="dxa"/>
        <w:jc w:val="center"/>
        <w:tblLook w:val="04A0" w:firstRow="1" w:lastRow="0" w:firstColumn="1" w:lastColumn="0" w:noHBand="0" w:noVBand="1"/>
      </w:tblPr>
      <w:tblGrid>
        <w:gridCol w:w="2128"/>
        <w:gridCol w:w="3079"/>
        <w:gridCol w:w="3865"/>
      </w:tblGrid>
      <w:tr w:rsidR="00A24828" w:rsidRPr="00411EDA" w14:paraId="27449751" w14:textId="77777777" w:rsidTr="007F1C63">
        <w:trPr>
          <w:trHeight w:val="340"/>
          <w:jc w:val="center"/>
        </w:trPr>
        <w:tc>
          <w:tcPr>
            <w:tcW w:w="2128" w:type="dxa"/>
            <w:shd w:val="clear" w:color="auto" w:fill="C6D9F1" w:themeFill="text2" w:themeFillTint="33"/>
            <w:vAlign w:val="center"/>
          </w:tcPr>
          <w:p w14:paraId="67FF132C" w14:textId="77777777" w:rsidR="00A24828" w:rsidRPr="00411EDA" w:rsidRDefault="00A24828" w:rsidP="007F1C63">
            <w:pPr>
              <w:ind w:left="0"/>
              <w:jc w:val="both"/>
              <w:rPr>
                <w:rFonts w:ascii="Arial" w:eastAsia="Calibri" w:hAnsi="Arial" w:cs="Arial"/>
                <w:b/>
                <w:sz w:val="18"/>
                <w:szCs w:val="18"/>
                <w:lang w:eastAsia="en-US"/>
              </w:rPr>
            </w:pPr>
            <w:r w:rsidRPr="00C95E85">
              <w:rPr>
                <w:rFonts w:eastAsia="Calibri"/>
                <w:b/>
                <w:sz w:val="18"/>
                <w:szCs w:val="18"/>
                <w:lang w:eastAsia="en-US"/>
              </w:rPr>
              <w:lastRenderedPageBreak/>
              <w:t>Vybraný tematický cieľ</w:t>
            </w:r>
          </w:p>
        </w:tc>
        <w:tc>
          <w:tcPr>
            <w:tcW w:w="3079" w:type="dxa"/>
            <w:shd w:val="clear" w:color="auto" w:fill="C6D9F1" w:themeFill="text2" w:themeFillTint="33"/>
            <w:vAlign w:val="center"/>
          </w:tcPr>
          <w:p w14:paraId="3F8F66AF" w14:textId="77777777" w:rsidR="00A24828" w:rsidRPr="00411EDA" w:rsidRDefault="00A24828" w:rsidP="007F1C63">
            <w:pPr>
              <w:ind w:left="0"/>
              <w:jc w:val="both"/>
              <w:rPr>
                <w:rFonts w:ascii="Arial" w:eastAsia="Calibri" w:hAnsi="Arial" w:cs="Arial"/>
                <w:b/>
                <w:sz w:val="18"/>
                <w:szCs w:val="18"/>
                <w:lang w:eastAsia="en-US"/>
              </w:rPr>
            </w:pPr>
            <w:r w:rsidRPr="00C95E85">
              <w:rPr>
                <w:rFonts w:eastAsia="Calibri"/>
                <w:b/>
                <w:sz w:val="18"/>
                <w:szCs w:val="18"/>
                <w:lang w:eastAsia="en-US"/>
              </w:rPr>
              <w:t>Vybrané investičné priority</w:t>
            </w:r>
          </w:p>
        </w:tc>
        <w:tc>
          <w:tcPr>
            <w:tcW w:w="3865" w:type="dxa"/>
            <w:shd w:val="clear" w:color="auto" w:fill="C6D9F1" w:themeFill="text2" w:themeFillTint="33"/>
            <w:vAlign w:val="center"/>
          </w:tcPr>
          <w:p w14:paraId="7B633065" w14:textId="77777777" w:rsidR="00A24828" w:rsidRPr="00411EDA" w:rsidRDefault="00A24828" w:rsidP="007F1C63">
            <w:pPr>
              <w:ind w:left="0"/>
              <w:rPr>
                <w:b/>
                <w:sz w:val="18"/>
                <w:szCs w:val="18"/>
              </w:rPr>
            </w:pPr>
            <w:r w:rsidRPr="00C95E85">
              <w:rPr>
                <w:b/>
                <w:sz w:val="18"/>
                <w:szCs w:val="18"/>
              </w:rPr>
              <w:t>Zdôvodnenie výberu</w:t>
            </w:r>
          </w:p>
        </w:tc>
      </w:tr>
      <w:tr w:rsidR="00A24828" w:rsidRPr="00411EDA" w14:paraId="6F371813" w14:textId="77777777" w:rsidTr="007F1C63">
        <w:trPr>
          <w:trHeight w:val="340"/>
          <w:jc w:val="center"/>
        </w:trPr>
        <w:tc>
          <w:tcPr>
            <w:tcW w:w="2128" w:type="dxa"/>
            <w:vMerge w:val="restart"/>
            <w:vAlign w:val="center"/>
          </w:tcPr>
          <w:p w14:paraId="0D6DC563" w14:textId="77777777" w:rsidR="00A24828" w:rsidRPr="00411EDA" w:rsidRDefault="00DC18DF" w:rsidP="007F1C63">
            <w:pPr>
              <w:ind w:left="0"/>
              <w:rPr>
                <w:color w:val="000000"/>
                <w:sz w:val="18"/>
                <w:szCs w:val="18"/>
              </w:rPr>
            </w:pPr>
            <w:r>
              <w:rPr>
                <w:color w:val="000000"/>
                <w:sz w:val="18"/>
                <w:szCs w:val="18"/>
              </w:rPr>
              <w:t>2. Zlepšenie prístupu k</w:t>
            </w:r>
            <w:r w:rsidR="00A24828">
              <w:rPr>
                <w:color w:val="000000"/>
                <w:sz w:val="18"/>
                <w:szCs w:val="18"/>
              </w:rPr>
              <w:t xml:space="preserve"> IKT a zlepšenie ich </w:t>
            </w:r>
            <w:r w:rsidR="00A24828" w:rsidRPr="00411EDA">
              <w:rPr>
                <w:color w:val="000000"/>
                <w:sz w:val="18"/>
                <w:szCs w:val="18"/>
              </w:rPr>
              <w:t>využívania a kvality</w:t>
            </w:r>
          </w:p>
        </w:tc>
        <w:tc>
          <w:tcPr>
            <w:tcW w:w="3079" w:type="dxa"/>
            <w:vAlign w:val="center"/>
          </w:tcPr>
          <w:p w14:paraId="473A1AF7" w14:textId="77777777" w:rsidR="00A24828" w:rsidRPr="00411EDA" w:rsidRDefault="00A24828" w:rsidP="007F1C63">
            <w:pPr>
              <w:ind w:left="0"/>
              <w:jc w:val="center"/>
              <w:rPr>
                <w:sz w:val="18"/>
                <w:szCs w:val="18"/>
              </w:rPr>
            </w:pPr>
            <w:r w:rsidRPr="00411EDA">
              <w:rPr>
                <w:sz w:val="18"/>
                <w:szCs w:val="18"/>
              </w:rPr>
              <w:t>2</w:t>
            </w:r>
            <w:r>
              <w:rPr>
                <w:sz w:val="18"/>
                <w:szCs w:val="18"/>
              </w:rPr>
              <w:t>(a</w:t>
            </w:r>
            <w:r w:rsidRPr="00411EDA">
              <w:rPr>
                <w:sz w:val="18"/>
                <w:szCs w:val="18"/>
              </w:rPr>
              <w:t xml:space="preserve">) </w:t>
            </w:r>
            <w:r w:rsidRPr="000A6050">
              <w:rPr>
                <w:sz w:val="18"/>
                <w:szCs w:val="18"/>
              </w:rPr>
              <w:t>Rozšírenie širokopásmového pripojenia a zavádzanie vysokorýchlostných sietí a podpora zavádzania nastupujúcich technológií a sietí pre digitálne hospodárstvo</w:t>
            </w:r>
            <w:r>
              <w:rPr>
                <w:sz w:val="18"/>
                <w:szCs w:val="18"/>
              </w:rPr>
              <w:t xml:space="preserve"> </w:t>
            </w:r>
          </w:p>
        </w:tc>
        <w:tc>
          <w:tcPr>
            <w:tcW w:w="3865" w:type="dxa"/>
            <w:vAlign w:val="center"/>
          </w:tcPr>
          <w:p w14:paraId="1B2951D2" w14:textId="77777777" w:rsidR="00A24828" w:rsidRDefault="00A24828" w:rsidP="007F1C63">
            <w:pPr>
              <w:ind w:left="0"/>
              <w:jc w:val="both"/>
              <w:rPr>
                <w:b/>
                <w:sz w:val="18"/>
                <w:szCs w:val="18"/>
              </w:rPr>
            </w:pPr>
            <w:r w:rsidRPr="00080D48">
              <w:rPr>
                <w:b/>
                <w:sz w:val="18"/>
                <w:szCs w:val="18"/>
              </w:rPr>
              <w:t>Pozičný dokument Komisie k vypracovaniu</w:t>
            </w:r>
          </w:p>
          <w:p w14:paraId="1B34A1D5" w14:textId="77777777" w:rsidR="00A24828" w:rsidRDefault="00A24828" w:rsidP="007F1C63">
            <w:pPr>
              <w:ind w:left="0"/>
              <w:rPr>
                <w:sz w:val="18"/>
                <w:szCs w:val="18"/>
              </w:rPr>
            </w:pPr>
            <w:r w:rsidRPr="00080D48">
              <w:rPr>
                <w:b/>
                <w:sz w:val="18"/>
                <w:szCs w:val="18"/>
              </w:rPr>
              <w:t>Partnerskej dohody a programov na Slovensku na roky 2014 - 2020</w:t>
            </w:r>
          </w:p>
          <w:p w14:paraId="4D31393A"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Budovanie elektronického hospodárstva</w:t>
            </w:r>
            <w:r w:rsidR="00500DC2">
              <w:rPr>
                <w:sz w:val="18"/>
                <w:szCs w:val="20"/>
                <w:lang w:eastAsia="cs-CZ"/>
              </w:rPr>
              <w:t>.</w:t>
            </w:r>
          </w:p>
          <w:p w14:paraId="746D3F88"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Zavádzanie IKT</w:t>
            </w:r>
            <w:r w:rsidR="00500DC2">
              <w:rPr>
                <w:sz w:val="18"/>
                <w:szCs w:val="20"/>
                <w:lang w:eastAsia="cs-CZ"/>
              </w:rPr>
              <w:t>.</w:t>
            </w:r>
          </w:p>
          <w:p w14:paraId="1E2B3FF7"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Podpora prístupu k širokopásmovému internetu v oblastiach zlyhania trhu</w:t>
            </w:r>
            <w:r w:rsidR="00500DC2">
              <w:rPr>
                <w:sz w:val="18"/>
                <w:szCs w:val="20"/>
                <w:lang w:eastAsia="cs-CZ"/>
              </w:rPr>
              <w:t>.</w:t>
            </w:r>
          </w:p>
          <w:p w14:paraId="7C41AE6F" w14:textId="77777777" w:rsidR="009E0158" w:rsidRDefault="00A24828" w:rsidP="00615080">
            <w:pPr>
              <w:pStyle w:val="Odsekzoznamu"/>
              <w:numPr>
                <w:ilvl w:val="0"/>
                <w:numId w:val="27"/>
              </w:numPr>
              <w:spacing w:before="40" w:after="120"/>
              <w:ind w:left="356" w:hanging="210"/>
              <w:rPr>
                <w:sz w:val="18"/>
                <w:szCs w:val="20"/>
                <w:lang w:eastAsia="cs-CZ"/>
              </w:rPr>
            </w:pPr>
            <w:r w:rsidRPr="0084030E">
              <w:rPr>
                <w:sz w:val="18"/>
                <w:szCs w:val="20"/>
                <w:lang w:eastAsia="cs-CZ"/>
              </w:rPr>
              <w:t>Zlepšenie ekonomického prostredia vo vidieckych oblastiach vrátane súvisiacej infraštruktúry</w:t>
            </w:r>
            <w:r>
              <w:rPr>
                <w:sz w:val="18"/>
                <w:szCs w:val="20"/>
                <w:lang w:eastAsia="cs-CZ"/>
              </w:rPr>
              <w:t>.</w:t>
            </w:r>
          </w:p>
          <w:p w14:paraId="7ECDD201" w14:textId="77777777" w:rsidR="00A24828" w:rsidRPr="00411EDA" w:rsidRDefault="00A24828" w:rsidP="007F1C63">
            <w:pPr>
              <w:ind w:left="0"/>
              <w:rPr>
                <w:sz w:val="18"/>
                <w:szCs w:val="18"/>
              </w:rPr>
            </w:pPr>
            <w:r w:rsidRPr="00411EDA">
              <w:rPr>
                <w:b/>
                <w:sz w:val="18"/>
                <w:szCs w:val="18"/>
              </w:rPr>
              <w:t>Národný program reforiem</w:t>
            </w:r>
          </w:p>
          <w:p w14:paraId="38FE6FF8"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 xml:space="preserve">Rozvoj širokopásmového </w:t>
            </w:r>
            <w:r>
              <w:rPr>
                <w:sz w:val="18"/>
                <w:szCs w:val="20"/>
                <w:lang w:eastAsia="cs-CZ"/>
              </w:rPr>
              <w:t>pripojenia</w:t>
            </w:r>
            <w:r w:rsidRPr="00C95E85">
              <w:rPr>
                <w:sz w:val="18"/>
                <w:szCs w:val="20"/>
                <w:lang w:eastAsia="cs-CZ"/>
              </w:rPr>
              <w:t xml:space="preserve"> k</w:t>
            </w:r>
            <w:r>
              <w:rPr>
                <w:sz w:val="18"/>
                <w:szCs w:val="20"/>
                <w:lang w:eastAsia="cs-CZ"/>
              </w:rPr>
              <w:t> </w:t>
            </w:r>
            <w:r w:rsidRPr="00C95E85">
              <w:rPr>
                <w:sz w:val="18"/>
                <w:szCs w:val="20"/>
                <w:lang w:eastAsia="cs-CZ"/>
              </w:rPr>
              <w:t>internetu</w:t>
            </w:r>
            <w:r>
              <w:rPr>
                <w:sz w:val="18"/>
                <w:szCs w:val="20"/>
                <w:lang w:eastAsia="cs-CZ"/>
              </w:rPr>
              <w:t>.</w:t>
            </w:r>
          </w:p>
          <w:p w14:paraId="141A3D76" w14:textId="77777777" w:rsidR="00A24828" w:rsidRPr="00411EDA" w:rsidRDefault="00A24828" w:rsidP="007F1C63">
            <w:pPr>
              <w:spacing w:before="40"/>
              <w:ind w:left="-4"/>
              <w:jc w:val="both"/>
              <w:rPr>
                <w:sz w:val="18"/>
                <w:szCs w:val="18"/>
                <w:lang w:eastAsia="cs-CZ"/>
              </w:rPr>
            </w:pPr>
            <w:r w:rsidRPr="00411EDA">
              <w:rPr>
                <w:b/>
                <w:sz w:val="18"/>
                <w:szCs w:val="18"/>
                <w:lang w:eastAsia="cs-CZ"/>
              </w:rPr>
              <w:t>Analýza súčasného stavu</w:t>
            </w:r>
          </w:p>
          <w:p w14:paraId="4DB48C77"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 xml:space="preserve">Potreba investícií do územia, v ktorom nie je možné využiť </w:t>
            </w:r>
            <w:r>
              <w:rPr>
                <w:sz w:val="18"/>
                <w:szCs w:val="20"/>
                <w:lang w:eastAsia="cs-CZ"/>
              </w:rPr>
              <w:t>pripojenia</w:t>
            </w:r>
            <w:r w:rsidRPr="00C95E85">
              <w:rPr>
                <w:sz w:val="18"/>
                <w:szCs w:val="20"/>
                <w:lang w:eastAsia="cs-CZ"/>
              </w:rPr>
              <w:t xml:space="preserve"> s rýchlosťou aspoň 30 Mbit/s</w:t>
            </w:r>
            <w:r w:rsidRPr="0084030E">
              <w:rPr>
                <w:sz w:val="18"/>
                <w:szCs w:val="20"/>
                <w:lang w:eastAsia="cs-CZ"/>
              </w:rPr>
              <w:t xml:space="preserve"> (cieľ pokryť všetky domácnosti vyplýva z Digitálnej agendy pre Európu.)</w:t>
            </w:r>
            <w:r w:rsidR="00500DC2">
              <w:rPr>
                <w:sz w:val="18"/>
                <w:szCs w:val="20"/>
                <w:lang w:eastAsia="cs-CZ"/>
              </w:rPr>
              <w:t>.</w:t>
            </w:r>
          </w:p>
          <w:p w14:paraId="227D9EB4" w14:textId="77777777" w:rsidR="009E0158" w:rsidRDefault="00A24828" w:rsidP="00615080">
            <w:pPr>
              <w:pStyle w:val="Odsekzoznamu"/>
              <w:numPr>
                <w:ilvl w:val="0"/>
                <w:numId w:val="27"/>
              </w:numPr>
              <w:spacing w:before="40" w:after="120"/>
              <w:ind w:left="356" w:hanging="210"/>
              <w:jc w:val="both"/>
              <w:rPr>
                <w:sz w:val="18"/>
                <w:szCs w:val="20"/>
                <w:lang w:eastAsia="cs-CZ"/>
              </w:rPr>
            </w:pPr>
            <w:r>
              <w:rPr>
                <w:sz w:val="18"/>
                <w:szCs w:val="20"/>
                <w:lang w:eastAsia="cs-CZ"/>
              </w:rPr>
              <w:t>Odhliadnuc od satelitného pripojenia, n</w:t>
            </w:r>
            <w:r w:rsidRPr="00C95E85">
              <w:rPr>
                <w:sz w:val="18"/>
                <w:szCs w:val="20"/>
                <w:lang w:eastAsia="cs-CZ"/>
              </w:rPr>
              <w:t>a Slovensku ešte stále nie je zabezpečené pokrytie celej populácie ani základným širokopásmovým pripojením</w:t>
            </w:r>
            <w:r>
              <w:rPr>
                <w:sz w:val="18"/>
                <w:szCs w:val="20"/>
                <w:lang w:eastAsia="cs-CZ"/>
              </w:rPr>
              <w:t>.</w:t>
            </w:r>
          </w:p>
          <w:p w14:paraId="483E2154" w14:textId="77777777" w:rsidR="00A24828" w:rsidRPr="00411EDA" w:rsidRDefault="00A24828" w:rsidP="007F1C63">
            <w:pPr>
              <w:spacing w:before="40"/>
              <w:ind w:left="-4"/>
              <w:jc w:val="both"/>
              <w:rPr>
                <w:b/>
                <w:sz w:val="18"/>
                <w:szCs w:val="20"/>
                <w:lang w:eastAsia="cs-CZ"/>
              </w:rPr>
            </w:pPr>
            <w:r w:rsidRPr="00411EDA">
              <w:rPr>
                <w:b/>
                <w:sz w:val="18"/>
                <w:szCs w:val="20"/>
                <w:lang w:eastAsia="cs-CZ"/>
              </w:rPr>
              <w:t>Príležitosti</w:t>
            </w:r>
          </w:p>
          <w:p w14:paraId="1291675D"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Spoľahlivé a rýchle širokopásmové pripojenie je predpokladom pre rýchly rozvoj informačnej spoločnosti.</w:t>
            </w:r>
          </w:p>
        </w:tc>
      </w:tr>
      <w:tr w:rsidR="00A24828" w:rsidRPr="00411EDA" w14:paraId="3D455A1F" w14:textId="77777777" w:rsidTr="007F1C63">
        <w:trPr>
          <w:trHeight w:val="340"/>
          <w:jc w:val="center"/>
        </w:trPr>
        <w:tc>
          <w:tcPr>
            <w:tcW w:w="2128" w:type="dxa"/>
            <w:vMerge/>
            <w:vAlign w:val="center"/>
          </w:tcPr>
          <w:p w14:paraId="2FA38112" w14:textId="77777777" w:rsidR="00A24828" w:rsidRPr="00411EDA" w:rsidRDefault="00A24828" w:rsidP="007F1C63">
            <w:pPr>
              <w:ind w:left="0"/>
              <w:rPr>
                <w:color w:val="000000"/>
                <w:sz w:val="18"/>
                <w:szCs w:val="18"/>
              </w:rPr>
            </w:pPr>
          </w:p>
        </w:tc>
        <w:tc>
          <w:tcPr>
            <w:tcW w:w="3079" w:type="dxa"/>
            <w:vAlign w:val="center"/>
          </w:tcPr>
          <w:p w14:paraId="2E9B663C" w14:textId="77777777" w:rsidR="00A24828" w:rsidRPr="00411EDA" w:rsidRDefault="00A24828" w:rsidP="007F1C63">
            <w:pPr>
              <w:ind w:left="0"/>
              <w:jc w:val="center"/>
              <w:rPr>
                <w:sz w:val="18"/>
                <w:szCs w:val="18"/>
              </w:rPr>
            </w:pPr>
            <w:r w:rsidRPr="00560E77">
              <w:rPr>
                <w:sz w:val="18"/>
                <w:szCs w:val="18"/>
              </w:rPr>
              <w:t>2(b): Vývoj produktov a služieb IKT, elektronického obchodu a posilnenia dopytu po IKT</w:t>
            </w:r>
          </w:p>
        </w:tc>
        <w:tc>
          <w:tcPr>
            <w:tcW w:w="3865" w:type="dxa"/>
            <w:vAlign w:val="center"/>
          </w:tcPr>
          <w:p w14:paraId="1AADC558" w14:textId="77777777" w:rsidR="00A24828" w:rsidRPr="00411EDA" w:rsidRDefault="00A24828" w:rsidP="007F1C63">
            <w:pPr>
              <w:ind w:left="0"/>
              <w:rPr>
                <w:sz w:val="18"/>
                <w:szCs w:val="18"/>
              </w:rPr>
            </w:pPr>
            <w:r w:rsidRPr="00411EDA">
              <w:rPr>
                <w:b/>
                <w:sz w:val="18"/>
                <w:szCs w:val="18"/>
              </w:rPr>
              <w:t>Špecifické odporúčanie Rady pre SR</w:t>
            </w:r>
            <w:r w:rsidRPr="00411EDA">
              <w:rPr>
                <w:sz w:val="18"/>
                <w:szCs w:val="18"/>
              </w:rPr>
              <w:t xml:space="preserve"> </w:t>
            </w:r>
          </w:p>
          <w:p w14:paraId="177887A1" w14:textId="77777777" w:rsidR="009E0158" w:rsidRDefault="00A24828" w:rsidP="00615080">
            <w:pPr>
              <w:pStyle w:val="Odsekzoznamu"/>
              <w:numPr>
                <w:ilvl w:val="0"/>
                <w:numId w:val="27"/>
              </w:numPr>
              <w:spacing w:before="120" w:after="120"/>
              <w:ind w:left="356" w:hanging="210"/>
              <w:rPr>
                <w:b/>
                <w:sz w:val="18"/>
                <w:szCs w:val="18"/>
                <w:lang w:eastAsia="cs-CZ"/>
              </w:rPr>
            </w:pPr>
            <w:r w:rsidRPr="00C95E85">
              <w:rPr>
                <w:sz w:val="18"/>
                <w:szCs w:val="20"/>
                <w:lang w:eastAsia="cs-CZ"/>
              </w:rPr>
              <w:t>Podpora priaznivého podnikateľského prostredia</w:t>
            </w:r>
            <w:r w:rsidR="00500DC2">
              <w:rPr>
                <w:sz w:val="18"/>
                <w:szCs w:val="20"/>
                <w:lang w:eastAsia="cs-CZ"/>
              </w:rPr>
              <w:t>.</w:t>
            </w:r>
          </w:p>
          <w:p w14:paraId="05F7E9FB" w14:textId="77777777" w:rsidR="00A24828" w:rsidRDefault="00A24828" w:rsidP="007F1C63">
            <w:pPr>
              <w:spacing w:before="120" w:after="120"/>
              <w:ind w:left="0"/>
              <w:jc w:val="both"/>
              <w:rPr>
                <w:b/>
                <w:sz w:val="18"/>
                <w:szCs w:val="18"/>
                <w:lang w:eastAsia="cs-CZ"/>
              </w:rPr>
            </w:pPr>
            <w:r w:rsidRPr="00D8346D">
              <w:rPr>
                <w:b/>
                <w:sz w:val="18"/>
                <w:szCs w:val="18"/>
                <w:lang w:eastAsia="cs-CZ"/>
              </w:rPr>
              <w:t>Národný program reforiem</w:t>
            </w:r>
          </w:p>
          <w:p w14:paraId="12D80865" w14:textId="77777777" w:rsidR="009E0158" w:rsidRDefault="00A24828" w:rsidP="00615080">
            <w:pPr>
              <w:pStyle w:val="Odsekzoznamu"/>
              <w:numPr>
                <w:ilvl w:val="0"/>
                <w:numId w:val="27"/>
              </w:numPr>
              <w:spacing w:before="120" w:after="120"/>
              <w:ind w:left="356" w:hanging="283"/>
              <w:jc w:val="both"/>
              <w:rPr>
                <w:b/>
                <w:sz w:val="18"/>
                <w:szCs w:val="18"/>
                <w:lang w:eastAsia="cs-CZ"/>
              </w:rPr>
            </w:pPr>
            <w:r>
              <w:rPr>
                <w:sz w:val="18"/>
                <w:szCs w:val="18"/>
                <w:lang w:eastAsia="cs-CZ"/>
              </w:rPr>
              <w:t xml:space="preserve">Zvýšenie inovačnej schopnosti </w:t>
            </w:r>
            <w:r w:rsidRPr="00560E77">
              <w:rPr>
                <w:sz w:val="18"/>
                <w:szCs w:val="18"/>
                <w:lang w:eastAsia="cs-CZ"/>
              </w:rPr>
              <w:t>MSP</w:t>
            </w:r>
            <w:r w:rsidR="00500DC2">
              <w:rPr>
                <w:sz w:val="18"/>
                <w:szCs w:val="18"/>
                <w:lang w:eastAsia="cs-CZ"/>
              </w:rPr>
              <w:t>.</w:t>
            </w:r>
          </w:p>
          <w:p w14:paraId="04C6C5BD" w14:textId="77777777" w:rsidR="00A24828" w:rsidRPr="00560E77" w:rsidRDefault="00A24828" w:rsidP="007F1C63">
            <w:pPr>
              <w:ind w:left="0"/>
              <w:rPr>
                <w:b/>
                <w:sz w:val="18"/>
                <w:szCs w:val="18"/>
              </w:rPr>
            </w:pPr>
            <w:r w:rsidRPr="00560E77">
              <w:rPr>
                <w:b/>
                <w:sz w:val="18"/>
                <w:szCs w:val="18"/>
              </w:rPr>
              <w:t>Analýza súčasného stavu</w:t>
            </w:r>
          </w:p>
          <w:p w14:paraId="589C9C3B"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60E77">
              <w:rPr>
                <w:sz w:val="18"/>
                <w:szCs w:val="20"/>
                <w:lang w:eastAsia="cs-CZ"/>
              </w:rPr>
              <w:t>Nedostatočná inovačná kapacit</w:t>
            </w:r>
            <w:r w:rsidR="00A77C61">
              <w:rPr>
                <w:sz w:val="18"/>
                <w:szCs w:val="20"/>
                <w:lang w:eastAsia="cs-CZ"/>
              </w:rPr>
              <w:t>a</w:t>
            </w:r>
            <w:r w:rsidRPr="00560E77">
              <w:rPr>
                <w:sz w:val="18"/>
                <w:szCs w:val="20"/>
                <w:lang w:eastAsia="cs-CZ"/>
              </w:rPr>
              <w:t xml:space="preserve"> slovenskej ekonomiky ovplyvnená slabým podnikateľským pros</w:t>
            </w:r>
            <w:r>
              <w:rPr>
                <w:sz w:val="18"/>
                <w:szCs w:val="20"/>
                <w:lang w:eastAsia="cs-CZ"/>
              </w:rPr>
              <w:t>t</w:t>
            </w:r>
            <w:r w:rsidRPr="00560E77">
              <w:rPr>
                <w:sz w:val="18"/>
                <w:szCs w:val="20"/>
                <w:lang w:eastAsia="cs-CZ"/>
              </w:rPr>
              <w:t xml:space="preserve">redím a nedostatočne rozvinutým systémom výskumu a inovácií. </w:t>
            </w:r>
          </w:p>
          <w:p w14:paraId="0B226299"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60E77">
              <w:rPr>
                <w:sz w:val="18"/>
                <w:szCs w:val="20"/>
                <w:lang w:eastAsia="cs-CZ"/>
              </w:rPr>
              <w:t>Chýbajúce možnosti zdieľania existujúcich riešení a technologických platforiem verejnej správy s MSP.</w:t>
            </w:r>
          </w:p>
          <w:p w14:paraId="412D2EEB" w14:textId="77777777" w:rsidR="00A24828" w:rsidRPr="00411EDA" w:rsidRDefault="00A24828" w:rsidP="007F1C63">
            <w:pPr>
              <w:ind w:left="0"/>
              <w:rPr>
                <w:sz w:val="18"/>
                <w:szCs w:val="18"/>
              </w:rPr>
            </w:pPr>
            <w:r w:rsidRPr="007A5A21">
              <w:rPr>
                <w:b/>
                <w:sz w:val="18"/>
                <w:szCs w:val="18"/>
              </w:rPr>
              <w:t>Príležitosti</w:t>
            </w:r>
          </w:p>
          <w:p w14:paraId="7D6DD512" w14:textId="77777777" w:rsidR="009E0158" w:rsidRDefault="00A24828" w:rsidP="00615080">
            <w:pPr>
              <w:pStyle w:val="Odsekzoznamu"/>
              <w:numPr>
                <w:ilvl w:val="0"/>
                <w:numId w:val="27"/>
              </w:numPr>
              <w:spacing w:before="40" w:after="120"/>
              <w:ind w:left="356" w:hanging="210"/>
              <w:jc w:val="both"/>
              <w:rPr>
                <w:sz w:val="18"/>
                <w:szCs w:val="18"/>
                <w:lang w:eastAsia="cs-CZ"/>
              </w:rPr>
            </w:pPr>
            <w:r w:rsidRPr="00560E77">
              <w:rPr>
                <w:sz w:val="18"/>
                <w:szCs w:val="20"/>
                <w:lang w:eastAsia="cs-CZ"/>
              </w:rPr>
              <w:t xml:space="preserve">Vytvorenie dopytu po inovatívnych riešeniach v oblastiach ako mobilný government, dátové analýzy a pod., ktoré sú vhodné pre riešenie prostredníctvom služieb MSP. </w:t>
            </w:r>
          </w:p>
          <w:p w14:paraId="7993FC5C" w14:textId="77777777" w:rsidR="009E0158" w:rsidRDefault="00A24828" w:rsidP="00615080">
            <w:pPr>
              <w:pStyle w:val="Odsekzoznamu"/>
              <w:numPr>
                <w:ilvl w:val="0"/>
                <w:numId w:val="27"/>
              </w:numPr>
              <w:spacing w:before="40" w:after="120"/>
              <w:ind w:left="356" w:hanging="210"/>
              <w:jc w:val="both"/>
              <w:rPr>
                <w:sz w:val="18"/>
                <w:szCs w:val="18"/>
                <w:lang w:eastAsia="cs-CZ"/>
              </w:rPr>
            </w:pPr>
            <w:r w:rsidRPr="00560E77">
              <w:rPr>
                <w:sz w:val="18"/>
                <w:szCs w:val="20"/>
                <w:lang w:eastAsia="cs-CZ"/>
              </w:rPr>
              <w:t>Poskytnutie IKT infraštruktúry na škálovanie podnikania a inovácií v poskytovaní služieb prostredníctvom zdieľaných služieb verejnej správy.</w:t>
            </w:r>
          </w:p>
        </w:tc>
      </w:tr>
      <w:tr w:rsidR="00A24828" w:rsidRPr="00411EDA" w14:paraId="1F0DC2F8" w14:textId="77777777" w:rsidTr="007F1C63">
        <w:trPr>
          <w:trHeight w:val="340"/>
          <w:jc w:val="center"/>
        </w:trPr>
        <w:tc>
          <w:tcPr>
            <w:tcW w:w="2128" w:type="dxa"/>
            <w:vMerge/>
            <w:vAlign w:val="center"/>
          </w:tcPr>
          <w:p w14:paraId="289F251D" w14:textId="77777777" w:rsidR="00A24828" w:rsidRPr="00411EDA" w:rsidRDefault="00A24828" w:rsidP="007F1C63">
            <w:pPr>
              <w:ind w:left="0"/>
              <w:rPr>
                <w:color w:val="000000"/>
                <w:sz w:val="18"/>
                <w:szCs w:val="18"/>
              </w:rPr>
            </w:pPr>
          </w:p>
        </w:tc>
        <w:tc>
          <w:tcPr>
            <w:tcW w:w="3079" w:type="dxa"/>
            <w:vAlign w:val="center"/>
          </w:tcPr>
          <w:p w14:paraId="7C5F98CE" w14:textId="77777777" w:rsidR="00A24828" w:rsidRPr="00411EDA" w:rsidRDefault="00A24828" w:rsidP="007F1C63">
            <w:pPr>
              <w:ind w:left="0"/>
              <w:jc w:val="center"/>
              <w:rPr>
                <w:sz w:val="18"/>
                <w:szCs w:val="18"/>
              </w:rPr>
            </w:pPr>
            <w:r w:rsidRPr="00411EDA">
              <w:rPr>
                <w:sz w:val="18"/>
                <w:szCs w:val="18"/>
              </w:rPr>
              <w:t>2(</w:t>
            </w:r>
            <w:r>
              <w:rPr>
                <w:sz w:val="18"/>
                <w:szCs w:val="18"/>
              </w:rPr>
              <w:t>c</w:t>
            </w:r>
            <w:r w:rsidRPr="00411EDA">
              <w:rPr>
                <w:sz w:val="18"/>
                <w:szCs w:val="18"/>
              </w:rPr>
              <w:t xml:space="preserve">): </w:t>
            </w:r>
            <w:r w:rsidRPr="000A6050">
              <w:rPr>
                <w:sz w:val="18"/>
                <w:szCs w:val="18"/>
              </w:rPr>
              <w:t>Posilnenie aplikácií IKT v rámci elektronickej štátnej správy, elektronického vzdelávania, elektronickej inklúzie, elektronickej kultúry a elektronického zdravotníctva</w:t>
            </w:r>
          </w:p>
        </w:tc>
        <w:tc>
          <w:tcPr>
            <w:tcW w:w="3865" w:type="dxa"/>
            <w:vAlign w:val="center"/>
          </w:tcPr>
          <w:p w14:paraId="7A761DC7" w14:textId="77777777" w:rsidR="00A24828" w:rsidRPr="00411EDA" w:rsidRDefault="00A24828" w:rsidP="007F1C63">
            <w:pPr>
              <w:ind w:left="0"/>
              <w:rPr>
                <w:sz w:val="18"/>
                <w:szCs w:val="18"/>
              </w:rPr>
            </w:pPr>
            <w:r w:rsidRPr="00411EDA">
              <w:rPr>
                <w:b/>
                <w:sz w:val="18"/>
                <w:szCs w:val="18"/>
              </w:rPr>
              <w:t>Špecifické odporúčanie Rady pre SR</w:t>
            </w:r>
            <w:r w:rsidRPr="00411EDA">
              <w:rPr>
                <w:sz w:val="18"/>
                <w:szCs w:val="18"/>
              </w:rPr>
              <w:t xml:space="preserve"> </w:t>
            </w:r>
          </w:p>
          <w:p w14:paraId="206160BE"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 xml:space="preserve">Uskutočnenie reformy </w:t>
            </w:r>
            <w:r w:rsidR="00500DC2">
              <w:rPr>
                <w:sz w:val="18"/>
                <w:szCs w:val="20"/>
                <w:lang w:eastAsia="cs-CZ"/>
              </w:rPr>
              <w:t>VS.</w:t>
            </w:r>
          </w:p>
          <w:p w14:paraId="52C91FD4"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Zlepšenie kvality verejných služieb</w:t>
            </w:r>
            <w:r w:rsidR="00500DC2">
              <w:rPr>
                <w:sz w:val="18"/>
                <w:szCs w:val="20"/>
                <w:lang w:eastAsia="cs-CZ"/>
              </w:rPr>
              <w:t>.</w:t>
            </w:r>
          </w:p>
          <w:p w14:paraId="08D6FACF" w14:textId="77777777" w:rsidR="00A24828" w:rsidRPr="00411EDA" w:rsidRDefault="00A24828" w:rsidP="007F1C63">
            <w:pPr>
              <w:ind w:left="0"/>
              <w:rPr>
                <w:b/>
                <w:sz w:val="18"/>
                <w:szCs w:val="18"/>
              </w:rPr>
            </w:pPr>
            <w:r w:rsidRPr="00411EDA">
              <w:rPr>
                <w:b/>
                <w:sz w:val="18"/>
                <w:szCs w:val="18"/>
              </w:rPr>
              <w:t>Národný program reforiem</w:t>
            </w:r>
          </w:p>
          <w:p w14:paraId="3A60952A"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Znižovanie administratívneho zaťaženia firiem a</w:t>
            </w:r>
            <w:r w:rsidR="00500DC2">
              <w:rPr>
                <w:sz w:val="18"/>
                <w:szCs w:val="20"/>
                <w:lang w:eastAsia="cs-CZ"/>
              </w:rPr>
              <w:t> </w:t>
            </w:r>
            <w:r w:rsidRPr="00C95E85">
              <w:rPr>
                <w:sz w:val="18"/>
                <w:szCs w:val="20"/>
                <w:lang w:eastAsia="cs-CZ"/>
              </w:rPr>
              <w:t>občanov</w:t>
            </w:r>
            <w:r w:rsidR="00500DC2">
              <w:rPr>
                <w:sz w:val="18"/>
                <w:szCs w:val="20"/>
                <w:lang w:eastAsia="cs-CZ"/>
              </w:rPr>
              <w:t>.</w:t>
            </w:r>
          </w:p>
          <w:p w14:paraId="26474E6A"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00DC2">
              <w:rPr>
                <w:sz w:val="18"/>
                <w:szCs w:val="20"/>
                <w:lang w:eastAsia="cs-CZ"/>
              </w:rPr>
              <w:t>Prehlbovanie vzdelania</w:t>
            </w:r>
            <w:r w:rsidR="00500DC2">
              <w:rPr>
                <w:sz w:val="18"/>
                <w:szCs w:val="20"/>
                <w:lang w:eastAsia="cs-CZ"/>
              </w:rPr>
              <w:t xml:space="preserve">, </w:t>
            </w:r>
            <w:r w:rsidRPr="00500DC2">
              <w:rPr>
                <w:sz w:val="18"/>
                <w:szCs w:val="20"/>
                <w:lang w:eastAsia="cs-CZ"/>
              </w:rPr>
              <w:t>zručností</w:t>
            </w:r>
            <w:r w:rsidR="00500DC2" w:rsidRPr="00500DC2">
              <w:rPr>
                <w:sz w:val="18"/>
                <w:szCs w:val="20"/>
                <w:lang w:eastAsia="cs-CZ"/>
              </w:rPr>
              <w:t xml:space="preserve"> a </w:t>
            </w:r>
            <w:r w:rsidR="00500DC2">
              <w:rPr>
                <w:sz w:val="18"/>
                <w:szCs w:val="20"/>
                <w:lang w:eastAsia="cs-CZ"/>
              </w:rPr>
              <w:t>r</w:t>
            </w:r>
            <w:r w:rsidRPr="00500DC2">
              <w:rPr>
                <w:sz w:val="18"/>
                <w:szCs w:val="20"/>
                <w:lang w:eastAsia="cs-CZ"/>
              </w:rPr>
              <w:t>ozvoj životných podmienok osôb so zdravotným postihnutím</w:t>
            </w:r>
            <w:r w:rsidR="00500DC2">
              <w:rPr>
                <w:sz w:val="18"/>
                <w:szCs w:val="20"/>
                <w:lang w:eastAsia="cs-CZ"/>
              </w:rPr>
              <w:t>.</w:t>
            </w:r>
          </w:p>
          <w:p w14:paraId="18981067"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00DC2">
              <w:rPr>
                <w:sz w:val="18"/>
                <w:szCs w:val="20"/>
                <w:lang w:eastAsia="cs-CZ"/>
              </w:rPr>
              <w:lastRenderedPageBreak/>
              <w:t>Modernizácia kontaktu s občanom a</w:t>
            </w:r>
            <w:r w:rsidR="00500DC2" w:rsidRPr="00500DC2">
              <w:rPr>
                <w:sz w:val="18"/>
                <w:szCs w:val="20"/>
                <w:lang w:eastAsia="cs-CZ"/>
              </w:rPr>
              <w:t> </w:t>
            </w:r>
            <w:r w:rsidRPr="00500DC2">
              <w:rPr>
                <w:sz w:val="18"/>
                <w:szCs w:val="20"/>
                <w:lang w:eastAsia="cs-CZ"/>
              </w:rPr>
              <w:t>podnikateľom</w:t>
            </w:r>
            <w:r w:rsidR="00500DC2" w:rsidRPr="00500DC2">
              <w:rPr>
                <w:sz w:val="18"/>
                <w:szCs w:val="20"/>
                <w:lang w:eastAsia="cs-CZ"/>
              </w:rPr>
              <w:t xml:space="preserve"> a </w:t>
            </w:r>
            <w:r w:rsidR="00500DC2">
              <w:rPr>
                <w:sz w:val="18"/>
                <w:szCs w:val="20"/>
                <w:lang w:eastAsia="cs-CZ"/>
              </w:rPr>
              <w:t>z</w:t>
            </w:r>
            <w:r w:rsidR="00500DC2" w:rsidRPr="00500DC2">
              <w:rPr>
                <w:sz w:val="18"/>
                <w:szCs w:val="20"/>
                <w:lang w:eastAsia="cs-CZ"/>
              </w:rPr>
              <w:t>efektívnenie výkonu a z</w:t>
            </w:r>
            <w:r w:rsidRPr="00500DC2">
              <w:rPr>
                <w:sz w:val="18"/>
                <w:szCs w:val="20"/>
                <w:lang w:eastAsia="cs-CZ"/>
              </w:rPr>
              <w:t xml:space="preserve">vyšovanie transparentnosti </w:t>
            </w:r>
            <w:r w:rsidR="00500DC2" w:rsidRPr="00500DC2">
              <w:rPr>
                <w:sz w:val="18"/>
                <w:szCs w:val="20"/>
                <w:lang w:eastAsia="cs-CZ"/>
              </w:rPr>
              <w:t>VS</w:t>
            </w:r>
            <w:r w:rsidR="00500DC2">
              <w:rPr>
                <w:sz w:val="18"/>
                <w:szCs w:val="20"/>
                <w:lang w:eastAsia="cs-CZ"/>
              </w:rPr>
              <w:t>.</w:t>
            </w:r>
          </w:p>
          <w:p w14:paraId="1CB9F55E"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Vybudovanie výkonnej a bezpečnej IKT infraštruktúry</w:t>
            </w:r>
            <w:r w:rsidR="00500DC2">
              <w:rPr>
                <w:sz w:val="18"/>
                <w:szCs w:val="20"/>
                <w:lang w:eastAsia="cs-CZ"/>
              </w:rPr>
              <w:t>.</w:t>
            </w:r>
          </w:p>
          <w:p w14:paraId="2506E899"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Zabezpečenie informačnej bezpečnosti</w:t>
            </w:r>
            <w:r>
              <w:rPr>
                <w:sz w:val="18"/>
                <w:szCs w:val="20"/>
                <w:lang w:eastAsia="cs-CZ"/>
              </w:rPr>
              <w:t>.</w:t>
            </w:r>
          </w:p>
          <w:p w14:paraId="1515FA12" w14:textId="77777777" w:rsidR="00A24828" w:rsidRPr="00411EDA" w:rsidRDefault="00A24828" w:rsidP="007F1C63">
            <w:pPr>
              <w:spacing w:before="40"/>
              <w:ind w:left="0"/>
              <w:jc w:val="both"/>
              <w:rPr>
                <w:sz w:val="18"/>
                <w:szCs w:val="20"/>
                <w:lang w:eastAsia="cs-CZ"/>
              </w:rPr>
            </w:pPr>
            <w:r w:rsidRPr="00411EDA">
              <w:rPr>
                <w:b/>
                <w:sz w:val="18"/>
                <w:szCs w:val="18"/>
                <w:lang w:eastAsia="cs-CZ"/>
              </w:rPr>
              <w:t>Analýza súčasného stavu</w:t>
            </w:r>
          </w:p>
          <w:p w14:paraId="072738C5"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Súčasný stav elektronických služieb neposkytuje občanom a podnikateľom dostatočne komfortné riešenie</w:t>
            </w:r>
            <w:r w:rsidR="00500DC2">
              <w:rPr>
                <w:sz w:val="18"/>
                <w:szCs w:val="20"/>
                <w:lang w:eastAsia="cs-CZ"/>
              </w:rPr>
              <w:t>.</w:t>
            </w:r>
          </w:p>
          <w:p w14:paraId="06B981D6"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Nevyužíva sa plný potenciál šetrenia zdrojov</w:t>
            </w:r>
            <w:r w:rsidR="00500DC2">
              <w:rPr>
                <w:sz w:val="18"/>
                <w:szCs w:val="20"/>
                <w:lang w:eastAsia="cs-CZ"/>
              </w:rPr>
              <w:t>.</w:t>
            </w:r>
          </w:p>
          <w:p w14:paraId="15B69EED"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 xml:space="preserve">Potreba znižovania rozpočtu inštitúcií </w:t>
            </w:r>
            <w:r w:rsidR="00500DC2">
              <w:rPr>
                <w:sz w:val="18"/>
                <w:szCs w:val="20"/>
                <w:lang w:eastAsia="cs-CZ"/>
              </w:rPr>
              <w:t>VS.</w:t>
            </w:r>
          </w:p>
          <w:p w14:paraId="19FB95B5"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 xml:space="preserve">Potreba poskytovať služby </w:t>
            </w:r>
            <w:r w:rsidR="00500DC2">
              <w:rPr>
                <w:sz w:val="18"/>
                <w:szCs w:val="20"/>
                <w:lang w:eastAsia="cs-CZ"/>
              </w:rPr>
              <w:t>VS</w:t>
            </w:r>
            <w:r w:rsidRPr="00C95E85">
              <w:rPr>
                <w:sz w:val="18"/>
                <w:szCs w:val="20"/>
                <w:lang w:eastAsia="cs-CZ"/>
              </w:rPr>
              <w:t xml:space="preserve"> v oveľa vyššom štandarde</w:t>
            </w:r>
            <w:r w:rsidR="00500DC2">
              <w:rPr>
                <w:sz w:val="18"/>
                <w:szCs w:val="20"/>
                <w:lang w:eastAsia="cs-CZ"/>
              </w:rPr>
              <w:t>.</w:t>
            </w:r>
          </w:p>
          <w:p w14:paraId="63AB0FA7" w14:textId="77777777" w:rsidR="00A24828" w:rsidRDefault="00A24828" w:rsidP="007F1C63">
            <w:pPr>
              <w:ind w:left="0"/>
              <w:rPr>
                <w:b/>
                <w:sz w:val="18"/>
                <w:szCs w:val="18"/>
              </w:rPr>
            </w:pPr>
            <w:r w:rsidRPr="00411EDA">
              <w:rPr>
                <w:b/>
                <w:sz w:val="18"/>
                <w:szCs w:val="18"/>
              </w:rPr>
              <w:t>Príležitosti</w:t>
            </w:r>
          </w:p>
          <w:p w14:paraId="34845DC6"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Existuje priestor na zefektívnenie prevádzky informačných systémov vrátane znižovania energetickej náročnosti</w:t>
            </w:r>
            <w:r>
              <w:rPr>
                <w:sz w:val="18"/>
                <w:szCs w:val="20"/>
                <w:lang w:eastAsia="cs-CZ"/>
              </w:rPr>
              <w:t>.</w:t>
            </w:r>
          </w:p>
          <w:p w14:paraId="550E422E"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Pri</w:t>
            </w:r>
            <w:r w:rsidR="00500DC2">
              <w:rPr>
                <w:sz w:val="18"/>
                <w:szCs w:val="20"/>
                <w:lang w:eastAsia="cs-CZ"/>
              </w:rPr>
              <w:t xml:space="preserve">chádzajú nové technológie </w:t>
            </w:r>
            <w:r w:rsidRPr="00C95E85">
              <w:rPr>
                <w:sz w:val="18"/>
                <w:szCs w:val="20"/>
                <w:lang w:eastAsia="cs-CZ"/>
              </w:rPr>
              <w:t>(inteligentné</w:t>
            </w:r>
            <w:r>
              <w:rPr>
                <w:sz w:val="18"/>
                <w:szCs w:val="20"/>
                <w:lang w:eastAsia="cs-CZ"/>
              </w:rPr>
              <w:t xml:space="preserve"> zariadenia</w:t>
            </w:r>
            <w:r w:rsidR="00500DC2">
              <w:rPr>
                <w:sz w:val="18"/>
                <w:szCs w:val="20"/>
                <w:lang w:eastAsia="cs-CZ"/>
              </w:rPr>
              <w:t xml:space="preserve">, </w:t>
            </w:r>
            <w:r w:rsidRPr="00C95E85">
              <w:rPr>
                <w:sz w:val="18"/>
                <w:szCs w:val="20"/>
                <w:lang w:eastAsia="cs-CZ"/>
              </w:rPr>
              <w:t>a pod</w:t>
            </w:r>
            <w:r w:rsidR="00500DC2">
              <w:rPr>
                <w:sz w:val="18"/>
                <w:szCs w:val="20"/>
                <w:lang w:eastAsia="cs-CZ"/>
              </w:rPr>
              <w:t>.</w:t>
            </w:r>
            <w:r w:rsidRPr="00C95E85">
              <w:rPr>
                <w:sz w:val="18"/>
                <w:szCs w:val="20"/>
                <w:lang w:eastAsia="cs-CZ"/>
              </w:rPr>
              <w:t>), stávajúce sa každodennou súčasťou života občanov a</w:t>
            </w:r>
            <w:r>
              <w:rPr>
                <w:sz w:val="18"/>
                <w:szCs w:val="20"/>
                <w:lang w:eastAsia="cs-CZ"/>
              </w:rPr>
              <w:t> </w:t>
            </w:r>
            <w:r w:rsidRPr="00C95E85">
              <w:rPr>
                <w:sz w:val="18"/>
                <w:szCs w:val="20"/>
                <w:lang w:eastAsia="cs-CZ"/>
              </w:rPr>
              <w:t>podnikateľov</w:t>
            </w:r>
            <w:r>
              <w:rPr>
                <w:sz w:val="18"/>
                <w:szCs w:val="20"/>
                <w:lang w:eastAsia="cs-CZ"/>
              </w:rPr>
              <w:t>.</w:t>
            </w:r>
          </w:p>
        </w:tc>
      </w:tr>
    </w:tbl>
    <w:p w14:paraId="5F0B578F" w14:textId="77777777" w:rsidR="00F14571" w:rsidRDefault="00F14571" w:rsidP="00F14571">
      <w:pPr>
        <w:pStyle w:val="Nadpis2"/>
        <w:numPr>
          <w:ilvl w:val="0"/>
          <w:numId w:val="0"/>
        </w:numPr>
        <w:spacing w:before="240" w:after="120"/>
        <w:ind w:left="851" w:hanging="851"/>
        <w:sectPr w:rsidR="00F14571" w:rsidSect="00E641FB">
          <w:headerReference w:type="default" r:id="rId20"/>
          <w:pgSz w:w="11906" w:h="16838"/>
          <w:pgMar w:top="1418" w:right="1361" w:bottom="1304" w:left="1474" w:header="709" w:footer="709" w:gutter="0"/>
          <w:cols w:space="708"/>
          <w:docGrid w:linePitch="360"/>
        </w:sectPr>
      </w:pPr>
      <w:bookmarkStart w:id="10" w:name="_Toc383612625"/>
      <w:bookmarkStart w:id="11" w:name="_Toc383612647"/>
      <w:bookmarkStart w:id="12" w:name="_Toc383612663"/>
      <w:bookmarkStart w:id="13" w:name="_Toc383209122"/>
      <w:bookmarkStart w:id="14" w:name="_Toc383236534"/>
      <w:bookmarkEnd w:id="10"/>
      <w:bookmarkEnd w:id="11"/>
      <w:bookmarkEnd w:id="12"/>
    </w:p>
    <w:p w14:paraId="3B9C2A05" w14:textId="713D0186" w:rsidR="00F14571" w:rsidRDefault="00F14571" w:rsidP="00351D17">
      <w:pPr>
        <w:pStyle w:val="Tab"/>
        <w:ind w:left="709" w:hanging="709"/>
      </w:pPr>
      <w:r w:rsidRPr="00C95E85">
        <w:lastRenderedPageBreak/>
        <w:t>Súhrnný prehľad zdôvodnenia výberu tematických cieľov a investičných priorít</w:t>
      </w:r>
      <w:r>
        <w:t xml:space="preserve"> – Výskum a inovácie</w:t>
      </w:r>
    </w:p>
    <w:tbl>
      <w:tblPr>
        <w:tblStyle w:val="Mriekatabuky"/>
        <w:tblW w:w="14175" w:type="dxa"/>
        <w:jc w:val="center"/>
        <w:tblLook w:val="04A0" w:firstRow="1" w:lastRow="0" w:firstColumn="1" w:lastColumn="0" w:noHBand="0" w:noVBand="1"/>
      </w:tblPr>
      <w:tblGrid>
        <w:gridCol w:w="3325"/>
        <w:gridCol w:w="4811"/>
        <w:gridCol w:w="6039"/>
      </w:tblGrid>
      <w:tr w:rsidR="00F14571" w14:paraId="1F659AA5" w14:textId="77777777" w:rsidTr="000F7A41">
        <w:trPr>
          <w:trHeight w:val="340"/>
          <w:jc w:val="center"/>
        </w:trPr>
        <w:tc>
          <w:tcPr>
            <w:tcW w:w="3325" w:type="dxa"/>
            <w:shd w:val="clear" w:color="auto" w:fill="C6D9F1" w:themeFill="text2" w:themeFillTint="33"/>
            <w:vAlign w:val="center"/>
          </w:tcPr>
          <w:p w14:paraId="0DCF0315" w14:textId="77777777" w:rsidR="00F14571" w:rsidRPr="0027323A" w:rsidRDefault="00F14571" w:rsidP="000F7A41">
            <w:pPr>
              <w:ind w:left="0"/>
              <w:jc w:val="center"/>
              <w:rPr>
                <w:b/>
                <w:sz w:val="18"/>
                <w:szCs w:val="18"/>
              </w:rPr>
            </w:pPr>
            <w:r w:rsidRPr="0027323A">
              <w:rPr>
                <w:b/>
                <w:sz w:val="18"/>
                <w:szCs w:val="18"/>
              </w:rPr>
              <w:t>Vybraný tematický cieľ</w:t>
            </w:r>
          </w:p>
        </w:tc>
        <w:tc>
          <w:tcPr>
            <w:tcW w:w="4811" w:type="dxa"/>
            <w:shd w:val="clear" w:color="auto" w:fill="C6D9F1" w:themeFill="text2" w:themeFillTint="33"/>
            <w:vAlign w:val="center"/>
          </w:tcPr>
          <w:p w14:paraId="59B5F9FE" w14:textId="77777777" w:rsidR="00F14571" w:rsidRPr="0027323A" w:rsidRDefault="00F14571" w:rsidP="000F7A41">
            <w:pPr>
              <w:ind w:left="0"/>
              <w:jc w:val="center"/>
              <w:rPr>
                <w:b/>
                <w:sz w:val="18"/>
                <w:szCs w:val="18"/>
              </w:rPr>
            </w:pPr>
            <w:r w:rsidRPr="0027323A">
              <w:rPr>
                <w:b/>
                <w:sz w:val="18"/>
                <w:szCs w:val="18"/>
              </w:rPr>
              <w:t>Vybrané investičné priority</w:t>
            </w:r>
          </w:p>
        </w:tc>
        <w:tc>
          <w:tcPr>
            <w:tcW w:w="6039" w:type="dxa"/>
            <w:shd w:val="clear" w:color="auto" w:fill="C6D9F1" w:themeFill="text2" w:themeFillTint="33"/>
            <w:vAlign w:val="center"/>
          </w:tcPr>
          <w:p w14:paraId="35447C69" w14:textId="77777777" w:rsidR="00F14571" w:rsidRPr="0027323A" w:rsidRDefault="00F14571" w:rsidP="000F7A41">
            <w:pPr>
              <w:ind w:left="0"/>
              <w:jc w:val="center"/>
              <w:rPr>
                <w:b/>
                <w:sz w:val="18"/>
                <w:szCs w:val="18"/>
              </w:rPr>
            </w:pPr>
            <w:r w:rsidRPr="0027323A">
              <w:rPr>
                <w:b/>
                <w:sz w:val="18"/>
                <w:szCs w:val="18"/>
              </w:rPr>
              <w:t>Zdôvodnenie výberu</w:t>
            </w:r>
          </w:p>
        </w:tc>
      </w:tr>
      <w:tr w:rsidR="00F14571" w14:paraId="4ABE6489" w14:textId="77777777" w:rsidTr="000F7A41">
        <w:trPr>
          <w:trHeight w:val="340"/>
          <w:jc w:val="center"/>
        </w:trPr>
        <w:tc>
          <w:tcPr>
            <w:tcW w:w="3325" w:type="dxa"/>
            <w:vMerge w:val="restart"/>
            <w:vAlign w:val="center"/>
          </w:tcPr>
          <w:p w14:paraId="17EA5EE5" w14:textId="77777777" w:rsidR="00F14571" w:rsidRPr="0027323A" w:rsidRDefault="00F14571" w:rsidP="000F7A41">
            <w:pPr>
              <w:ind w:left="0"/>
              <w:rPr>
                <w:sz w:val="18"/>
                <w:szCs w:val="18"/>
              </w:rPr>
            </w:pPr>
            <w:r w:rsidRPr="002B6B49">
              <w:rPr>
                <w:sz w:val="18"/>
                <w:szCs w:val="18"/>
              </w:rPr>
              <w:t>1</w:t>
            </w:r>
            <w:r>
              <w:rPr>
                <w:sz w:val="18"/>
                <w:szCs w:val="18"/>
              </w:rPr>
              <w:t xml:space="preserve"> -</w:t>
            </w:r>
            <w:r w:rsidRPr="002B6B49">
              <w:rPr>
                <w:sz w:val="18"/>
                <w:szCs w:val="18"/>
              </w:rPr>
              <w:t xml:space="preserve"> Posilnenie výskumu, technologického rozvoja a inovácií</w:t>
            </w:r>
          </w:p>
        </w:tc>
        <w:tc>
          <w:tcPr>
            <w:tcW w:w="4811" w:type="dxa"/>
            <w:vAlign w:val="center"/>
          </w:tcPr>
          <w:p w14:paraId="15473E73" w14:textId="492CC93A" w:rsidR="00F14571" w:rsidRPr="0027323A" w:rsidRDefault="004A70A2" w:rsidP="000F7A41">
            <w:pPr>
              <w:ind w:left="0"/>
              <w:jc w:val="center"/>
              <w:rPr>
                <w:sz w:val="18"/>
                <w:szCs w:val="18"/>
              </w:rPr>
            </w:pPr>
            <w:r>
              <w:rPr>
                <w:sz w:val="18"/>
                <w:szCs w:val="18"/>
              </w:rPr>
              <w:t>1</w:t>
            </w:r>
            <w:r w:rsidR="00F14571" w:rsidRPr="002B6B49">
              <w:rPr>
                <w:sz w:val="18"/>
                <w:szCs w:val="18"/>
              </w:rPr>
              <w:t>a) Rozšírenie výskumnej a inovačnej infraštruktúry a kapacít na rozvoj excelentnosti v oblasti výskumu a inovácie a podpory kompetenčných centier, najmä takýchto centier európskeho záujmu</w:t>
            </w:r>
          </w:p>
        </w:tc>
        <w:tc>
          <w:tcPr>
            <w:tcW w:w="6039" w:type="dxa"/>
            <w:vAlign w:val="center"/>
          </w:tcPr>
          <w:p w14:paraId="693391A6" w14:textId="77777777" w:rsidR="00F14571" w:rsidRPr="002B6B49" w:rsidRDefault="00F14571" w:rsidP="000F7A41">
            <w:pPr>
              <w:pStyle w:val="TableParagraph"/>
              <w:ind w:left="70"/>
              <w:rPr>
                <w:rFonts w:ascii="Times New Roman" w:eastAsia="Gill Sans MT" w:hAnsi="Times New Roman" w:cs="Times New Roman"/>
                <w:sz w:val="18"/>
                <w:szCs w:val="18"/>
                <w:lang w:val="sk-SK"/>
              </w:rPr>
            </w:pPr>
            <w:r w:rsidRPr="002B6B49">
              <w:rPr>
                <w:rFonts w:ascii="Times New Roman" w:hAnsi="Times New Roman" w:cs="Times New Roman"/>
                <w:b/>
                <w:sz w:val="18"/>
                <w:szCs w:val="18"/>
                <w:lang w:val="sk-SK"/>
              </w:rPr>
              <w:t>Špecifické odporúčania Rady 2014 (ŠOR)</w:t>
            </w:r>
          </w:p>
          <w:p w14:paraId="7A677F44" w14:textId="77777777" w:rsidR="00F14571" w:rsidRPr="002B6B49" w:rsidRDefault="00F14571" w:rsidP="00F14571">
            <w:pPr>
              <w:pStyle w:val="Odsekzoznamu"/>
              <w:widowControl w:val="0"/>
              <w:numPr>
                <w:ilvl w:val="0"/>
                <w:numId w:val="204"/>
              </w:numPr>
              <w:tabs>
                <w:tab w:val="left" w:pos="165"/>
              </w:tabs>
              <w:spacing w:line="248" w:lineRule="auto"/>
              <w:ind w:right="67" w:firstLine="0"/>
              <w:contextualSpacing w:val="0"/>
              <w:rPr>
                <w:rFonts w:eastAsia="Gill Sans MT"/>
                <w:sz w:val="18"/>
                <w:szCs w:val="18"/>
              </w:rPr>
            </w:pPr>
            <w:r w:rsidRPr="002B6B49">
              <w:rPr>
                <w:sz w:val="18"/>
                <w:szCs w:val="18"/>
              </w:rPr>
              <w:t>zlepšiť kvalitu a relevantnosť vedeckej základne a vypracovať plány na posilnenie účinného odovzdávania poznatkov a spolupráce medzi akademickou obcou, výskumom a podnikateľskou sférou</w:t>
            </w:r>
          </w:p>
          <w:p w14:paraId="6F8A5E78" w14:textId="77777777" w:rsidR="00F14571" w:rsidRPr="002B6B49" w:rsidRDefault="00F14571" w:rsidP="000F7A41">
            <w:pPr>
              <w:pStyle w:val="TableParagraph"/>
              <w:spacing w:before="60"/>
              <w:ind w:left="70"/>
              <w:rPr>
                <w:rFonts w:ascii="Times New Roman" w:eastAsia="Gill Sans MT" w:hAnsi="Times New Roman" w:cs="Times New Roman"/>
                <w:sz w:val="18"/>
                <w:szCs w:val="18"/>
                <w:lang w:val="sk-SK"/>
              </w:rPr>
            </w:pPr>
            <w:r w:rsidRPr="002B6B49">
              <w:rPr>
                <w:rFonts w:ascii="Times New Roman" w:hAnsi="Times New Roman" w:cs="Times New Roman"/>
                <w:b/>
                <w:sz w:val="18"/>
                <w:szCs w:val="18"/>
                <w:lang w:val="sk-SK"/>
              </w:rPr>
              <w:t>Národný program reforiem 2014 (NPR)</w:t>
            </w:r>
          </w:p>
          <w:p w14:paraId="2A570AB8"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rFonts w:eastAsia="Gill Sans MT"/>
                <w:sz w:val="18"/>
                <w:szCs w:val="18"/>
              </w:rPr>
              <w:t>reforma systému VVaI – opatrenia vychádzajúce z RIS3 SK</w:t>
            </w:r>
          </w:p>
          <w:p w14:paraId="684308B0"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zintenzívnenie podpory zapojenia slovenských organizácií do európskych sietí a programov</w:t>
            </w:r>
          </w:p>
          <w:p w14:paraId="6EB12B97"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vytvorenie pracovísk, ktoré administratívne zabezpečia kontakt s firmami a výmenu informácií</w:t>
            </w:r>
          </w:p>
          <w:p w14:paraId="1DE23007" w14:textId="77777777" w:rsidR="00F14571" w:rsidRPr="002B6B49" w:rsidRDefault="00F14571" w:rsidP="000F7A41">
            <w:pPr>
              <w:pStyle w:val="TableParagraph"/>
              <w:spacing w:before="66"/>
              <w:ind w:left="70"/>
              <w:rPr>
                <w:rFonts w:ascii="Times New Roman" w:eastAsia="Gill Sans MT" w:hAnsi="Times New Roman" w:cs="Times New Roman"/>
                <w:sz w:val="18"/>
                <w:szCs w:val="18"/>
                <w:lang w:val="sk-SK"/>
              </w:rPr>
            </w:pPr>
            <w:r w:rsidRPr="002B6B49">
              <w:rPr>
                <w:rFonts w:ascii="Times New Roman" w:hAnsi="Times New Roman" w:cs="Times New Roman"/>
                <w:b/>
                <w:sz w:val="18"/>
                <w:szCs w:val="18"/>
                <w:lang w:val="sk-SK"/>
              </w:rPr>
              <w:t>Stratégia Európa 2020</w:t>
            </w:r>
          </w:p>
          <w:p w14:paraId="09592CE0"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kvalitná infraštruktúra a efektívny systém rozvoja inovácií</w:t>
            </w:r>
          </w:p>
          <w:p w14:paraId="3D1B46EC"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kvalitné ľudské zdroje</w:t>
            </w:r>
          </w:p>
          <w:p w14:paraId="5A7C9264"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účinné nástroje pre inovácie</w:t>
            </w:r>
          </w:p>
          <w:p w14:paraId="7808EB2E" w14:textId="77777777" w:rsidR="00F14571" w:rsidRPr="00351D17" w:rsidRDefault="00F14571" w:rsidP="00351D17">
            <w:pPr>
              <w:pStyle w:val="Odsekzoznamu"/>
              <w:widowControl w:val="0"/>
              <w:numPr>
                <w:ilvl w:val="0"/>
                <w:numId w:val="204"/>
              </w:numPr>
              <w:tabs>
                <w:tab w:val="left" w:pos="154"/>
              </w:tabs>
              <w:spacing w:before="6"/>
              <w:ind w:left="153" w:hanging="83"/>
              <w:contextualSpacing w:val="0"/>
              <w:rPr>
                <w:sz w:val="18"/>
                <w:szCs w:val="18"/>
              </w:rPr>
            </w:pPr>
            <w:r w:rsidRPr="002B6B49">
              <w:rPr>
                <w:sz w:val="18"/>
                <w:szCs w:val="18"/>
              </w:rPr>
              <w:t>zabezpečenie podpory riešení inovačných projektov v súlade so stratégiou pre</w:t>
            </w:r>
            <w:r>
              <w:rPr>
                <w:sz w:val="18"/>
                <w:szCs w:val="18"/>
              </w:rPr>
              <w:t> </w:t>
            </w:r>
            <w:r w:rsidRPr="002B6B49">
              <w:rPr>
                <w:sz w:val="18"/>
                <w:szCs w:val="18"/>
              </w:rPr>
              <w:t>inteligentnú špecializáciu, ktorých výsledky budú uplatniteľné na trhu</w:t>
            </w:r>
          </w:p>
          <w:p w14:paraId="09333049" w14:textId="77777777" w:rsidR="00F14571" w:rsidRPr="002B6B49" w:rsidRDefault="00F14571" w:rsidP="000F7A41">
            <w:pPr>
              <w:pStyle w:val="TableParagraph"/>
              <w:spacing w:before="60"/>
              <w:ind w:left="70"/>
              <w:rPr>
                <w:rFonts w:ascii="Times New Roman" w:eastAsia="Gill Sans MT" w:hAnsi="Times New Roman" w:cs="Times New Roman"/>
                <w:sz w:val="18"/>
                <w:szCs w:val="18"/>
                <w:lang w:val="sk-SK"/>
              </w:rPr>
            </w:pPr>
            <w:r w:rsidRPr="002B6B49">
              <w:rPr>
                <w:rFonts w:ascii="Times New Roman" w:hAnsi="Times New Roman" w:cs="Times New Roman"/>
                <w:b/>
                <w:sz w:val="18"/>
                <w:szCs w:val="18"/>
                <w:lang w:val="sk-SK"/>
              </w:rPr>
              <w:t>Stratégia EÚ pre dunajský región</w:t>
            </w:r>
          </w:p>
          <w:p w14:paraId="0BD01BA4"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zvýšenie počtu patentov v dunajskom regióne o 50 %</w:t>
            </w:r>
          </w:p>
          <w:p w14:paraId="49C1221E" w14:textId="77777777" w:rsidR="00F14571" w:rsidRPr="002B6B49" w:rsidRDefault="00F14571" w:rsidP="00F14571">
            <w:pPr>
              <w:pStyle w:val="Odsekzoznamu"/>
              <w:widowControl w:val="0"/>
              <w:numPr>
                <w:ilvl w:val="0"/>
                <w:numId w:val="204"/>
              </w:numPr>
              <w:tabs>
                <w:tab w:val="left" w:pos="154"/>
              </w:tabs>
              <w:spacing w:before="6"/>
              <w:ind w:left="153" w:hanging="83"/>
              <w:contextualSpacing w:val="0"/>
              <w:rPr>
                <w:rFonts w:eastAsia="Gill Sans MT"/>
                <w:sz w:val="18"/>
                <w:szCs w:val="18"/>
              </w:rPr>
            </w:pPr>
            <w:r w:rsidRPr="002B6B49">
              <w:rPr>
                <w:sz w:val="18"/>
                <w:szCs w:val="18"/>
              </w:rPr>
              <w:t xml:space="preserve">zvýšenie akademickej mobility na </w:t>
            </w:r>
            <w:r>
              <w:rPr>
                <w:sz w:val="18"/>
                <w:szCs w:val="18"/>
              </w:rPr>
              <w:t xml:space="preserve">20% </w:t>
            </w:r>
            <w:r w:rsidRPr="002B6B49">
              <w:rPr>
                <w:sz w:val="18"/>
                <w:szCs w:val="18"/>
              </w:rPr>
              <w:t>v roku 2020</w:t>
            </w:r>
          </w:p>
          <w:p w14:paraId="1146B3F1" w14:textId="77777777" w:rsidR="00F14571" w:rsidRPr="002B6B49" w:rsidRDefault="00F14571" w:rsidP="000F7A41">
            <w:pPr>
              <w:pStyle w:val="TableParagraph"/>
              <w:spacing w:before="66"/>
              <w:ind w:left="70"/>
              <w:rPr>
                <w:rFonts w:ascii="Times New Roman" w:eastAsia="Gill Sans MT" w:hAnsi="Times New Roman" w:cs="Times New Roman"/>
                <w:sz w:val="18"/>
                <w:szCs w:val="18"/>
                <w:lang w:val="sk-SK"/>
              </w:rPr>
            </w:pPr>
            <w:r w:rsidRPr="002B6B49">
              <w:rPr>
                <w:rFonts w:ascii="Times New Roman" w:hAnsi="Times New Roman" w:cs="Times New Roman"/>
                <w:b/>
                <w:sz w:val="18"/>
                <w:szCs w:val="18"/>
                <w:lang w:val="sk-SK"/>
              </w:rPr>
              <w:t>Pozičný dokument EK</w:t>
            </w:r>
          </w:p>
          <w:p w14:paraId="08C48CDB" w14:textId="77777777" w:rsidR="009B133F" w:rsidRDefault="009B133F" w:rsidP="009B133F">
            <w:pPr>
              <w:widowControl w:val="0"/>
              <w:tabs>
                <w:tab w:val="left" w:pos="154"/>
              </w:tabs>
              <w:spacing w:before="6"/>
              <w:ind w:left="0"/>
              <w:rPr>
                <w:sz w:val="18"/>
                <w:szCs w:val="20"/>
                <w:lang w:eastAsia="cs-CZ"/>
              </w:rPr>
            </w:pPr>
            <w:r>
              <w:rPr>
                <w:sz w:val="18"/>
                <w:szCs w:val="20"/>
                <w:lang w:eastAsia="cs-CZ"/>
              </w:rPr>
              <w:t xml:space="preserve">  </w:t>
            </w:r>
          </w:p>
          <w:p w14:paraId="08B60A86" w14:textId="2EE67DBA" w:rsidR="00F14571" w:rsidRPr="009B133F" w:rsidRDefault="009B133F" w:rsidP="009B133F">
            <w:pPr>
              <w:widowControl w:val="0"/>
              <w:tabs>
                <w:tab w:val="left" w:pos="154"/>
              </w:tabs>
              <w:spacing w:before="6"/>
              <w:ind w:left="0"/>
              <w:rPr>
                <w:sz w:val="18"/>
                <w:szCs w:val="18"/>
              </w:rPr>
            </w:pPr>
            <w:r>
              <w:rPr>
                <w:sz w:val="18"/>
                <w:szCs w:val="20"/>
                <w:lang w:eastAsia="cs-CZ"/>
              </w:rPr>
              <w:t xml:space="preserve">  Pozri Prílohu 21</w:t>
            </w:r>
            <w:r w:rsidRPr="003D2A7D">
              <w:rPr>
                <w:sz w:val="18"/>
                <w:szCs w:val="20"/>
                <w:lang w:eastAsia="cs-CZ"/>
              </w:rPr>
              <w:t>.</w:t>
            </w:r>
          </w:p>
        </w:tc>
      </w:tr>
      <w:tr w:rsidR="00F14571" w14:paraId="18E1659B" w14:textId="77777777" w:rsidTr="000F7A41">
        <w:trPr>
          <w:trHeight w:val="340"/>
          <w:jc w:val="center"/>
        </w:trPr>
        <w:tc>
          <w:tcPr>
            <w:tcW w:w="3325" w:type="dxa"/>
            <w:vMerge/>
            <w:vAlign w:val="center"/>
          </w:tcPr>
          <w:p w14:paraId="0523BBE8" w14:textId="775C66F3" w:rsidR="00F14571" w:rsidRPr="0027323A" w:rsidRDefault="00F14571" w:rsidP="000F7A41">
            <w:pPr>
              <w:rPr>
                <w:color w:val="000000"/>
                <w:sz w:val="18"/>
                <w:szCs w:val="18"/>
              </w:rPr>
            </w:pPr>
          </w:p>
        </w:tc>
        <w:tc>
          <w:tcPr>
            <w:tcW w:w="4811" w:type="dxa"/>
            <w:vAlign w:val="center"/>
          </w:tcPr>
          <w:p w14:paraId="46EC687B" w14:textId="2C11ED40" w:rsidR="00F14571" w:rsidRPr="0027323A" w:rsidRDefault="004A70A2" w:rsidP="000F7A41">
            <w:pPr>
              <w:ind w:left="0"/>
              <w:jc w:val="center"/>
              <w:rPr>
                <w:sz w:val="18"/>
                <w:szCs w:val="18"/>
              </w:rPr>
            </w:pPr>
            <w:r>
              <w:rPr>
                <w:sz w:val="18"/>
                <w:szCs w:val="18"/>
              </w:rPr>
              <w:t>1</w:t>
            </w:r>
            <w:r w:rsidR="00F14571" w:rsidRPr="002B6B49">
              <w:rPr>
                <w:sz w:val="18"/>
                <w:szCs w:val="18"/>
              </w:rPr>
              <w:t>b) Podpora investovania podnikov do výskumu a inovácie a vytvárania prepojení a synergií medzi podnikmi, centrami výskumu a vývoja a vysokoškolským vzdelávacím prostredím, najmä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opatrení skorého overovania výrobkov, rozšírených výrobných kapacít, prvej výroby, najmä v základných podporných technológiách, a šírenia technológií na všeobecný účel</w:t>
            </w:r>
          </w:p>
        </w:tc>
        <w:tc>
          <w:tcPr>
            <w:tcW w:w="6039" w:type="dxa"/>
            <w:vAlign w:val="center"/>
          </w:tcPr>
          <w:p w14:paraId="76710F2C" w14:textId="77777777" w:rsidR="00F14571" w:rsidRPr="000438F7" w:rsidRDefault="00F14571" w:rsidP="000F7A41">
            <w:pPr>
              <w:pStyle w:val="TableParagraph"/>
              <w:spacing w:before="83"/>
              <w:ind w:left="70"/>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ŠOR</w:t>
            </w:r>
          </w:p>
          <w:p w14:paraId="6A5FF8AD" w14:textId="77777777" w:rsidR="00F14571" w:rsidRPr="000438F7" w:rsidRDefault="00F14571" w:rsidP="00351D17">
            <w:pPr>
              <w:pStyle w:val="Odsekzoznamu"/>
              <w:widowControl w:val="0"/>
              <w:numPr>
                <w:ilvl w:val="0"/>
                <w:numId w:val="204"/>
              </w:numPr>
              <w:tabs>
                <w:tab w:val="left" w:pos="150"/>
              </w:tabs>
              <w:spacing w:before="6"/>
              <w:ind w:left="153" w:hanging="83"/>
              <w:contextualSpacing w:val="0"/>
              <w:rPr>
                <w:rFonts w:eastAsia="Gill Sans MT"/>
                <w:sz w:val="18"/>
                <w:szCs w:val="18"/>
              </w:rPr>
            </w:pPr>
            <w:r w:rsidRPr="000438F7">
              <w:rPr>
                <w:sz w:val="18"/>
                <w:szCs w:val="18"/>
              </w:rPr>
              <w:t>zlepšiť kvalitu vedeckej základne a vypracovať plány na posilnenie účinného odovzdávania poznatkov a spolupráce</w:t>
            </w:r>
          </w:p>
          <w:p w14:paraId="7ED4020D" w14:textId="77777777" w:rsidR="00F14571" w:rsidRPr="000438F7" w:rsidRDefault="00F14571" w:rsidP="000F7A41">
            <w:pPr>
              <w:pStyle w:val="TableParagraph"/>
              <w:spacing w:before="60"/>
              <w:ind w:left="70"/>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NPR</w:t>
            </w:r>
          </w:p>
          <w:p w14:paraId="265F9A92"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reforma systému VVaI, opatrenia vychádzajúce z RIS3 SK</w:t>
            </w:r>
          </w:p>
          <w:p w14:paraId="3CB9919B"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budovanie pracovísk transferu poznatkov</w:t>
            </w:r>
          </w:p>
          <w:p w14:paraId="3613B47C" w14:textId="77777777" w:rsidR="00F14571" w:rsidRPr="000438F7" w:rsidRDefault="00F14571" w:rsidP="00351D17">
            <w:pPr>
              <w:pStyle w:val="Odsekzoznamu"/>
              <w:widowControl w:val="0"/>
              <w:numPr>
                <w:ilvl w:val="0"/>
                <w:numId w:val="205"/>
              </w:numPr>
              <w:tabs>
                <w:tab w:val="left" w:pos="143"/>
              </w:tabs>
              <w:spacing w:before="6"/>
              <w:ind w:left="153" w:hanging="83"/>
              <w:contextualSpacing w:val="0"/>
              <w:rPr>
                <w:rFonts w:eastAsia="Lucida Sans"/>
                <w:sz w:val="18"/>
                <w:szCs w:val="18"/>
              </w:rPr>
            </w:pPr>
            <w:r w:rsidRPr="000438F7">
              <w:rPr>
                <w:sz w:val="18"/>
                <w:szCs w:val="18"/>
              </w:rPr>
              <w:t>zakladanie technologických a prototypových centier, skúšobní a poloprevádzok výroby inovatívnych produktov</w:t>
            </w:r>
          </w:p>
          <w:p w14:paraId="2CFFD656" w14:textId="77777777" w:rsidR="00F14571" w:rsidRPr="000438F7" w:rsidRDefault="00F14571" w:rsidP="00F14571">
            <w:pPr>
              <w:pStyle w:val="Odsekzoznamu"/>
              <w:widowControl w:val="0"/>
              <w:numPr>
                <w:ilvl w:val="0"/>
                <w:numId w:val="205"/>
              </w:numPr>
              <w:tabs>
                <w:tab w:val="left" w:pos="154"/>
              </w:tabs>
              <w:spacing w:before="9"/>
              <w:ind w:left="153" w:hanging="83"/>
              <w:contextualSpacing w:val="0"/>
              <w:rPr>
                <w:rFonts w:eastAsia="Gill Sans MT"/>
                <w:sz w:val="18"/>
                <w:szCs w:val="18"/>
              </w:rPr>
            </w:pPr>
            <w:r w:rsidRPr="000438F7">
              <w:rPr>
                <w:sz w:val="18"/>
                <w:szCs w:val="18"/>
              </w:rPr>
              <w:t>podpora budovanie priemyselných VVaI kapacít v podnikoch</w:t>
            </w:r>
          </w:p>
          <w:p w14:paraId="6DCE5A2F" w14:textId="77777777" w:rsidR="00F14571" w:rsidRPr="000438F7" w:rsidRDefault="00F14571" w:rsidP="000F7A41">
            <w:pPr>
              <w:pStyle w:val="TableParagraph"/>
              <w:spacing w:before="66"/>
              <w:ind w:left="70"/>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Stratégia Európa 2020</w:t>
            </w:r>
          </w:p>
          <w:p w14:paraId="2066BF14"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zvýšenie podpory všetkých foriem inovácií</w:t>
            </w:r>
          </w:p>
          <w:p w14:paraId="20BD1B70"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zavedenie finančných nástrojov na stimuláciu súkromných financií do VaI</w:t>
            </w:r>
          </w:p>
          <w:p w14:paraId="11D261DF"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podpora nízko-uhlíkových technológií</w:t>
            </w:r>
          </w:p>
          <w:p w14:paraId="4F0154BE"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viac investícií na výskum IKT s cieľom zatraktívniť ich pre MSP a mladých výskumníkov</w:t>
            </w:r>
          </w:p>
          <w:p w14:paraId="011CE7BA"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lastRenderedPageBreak/>
              <w:t>podpora verejných a súkromných partnerstiev</w:t>
            </w:r>
          </w:p>
          <w:p w14:paraId="4CF270DC" w14:textId="77777777" w:rsidR="00F14571" w:rsidRPr="000438F7" w:rsidRDefault="00F14571" w:rsidP="000F7A41">
            <w:pPr>
              <w:pStyle w:val="TableParagraph"/>
              <w:spacing w:before="66"/>
              <w:ind w:left="70"/>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Stratégia EÚ pre dunajský región</w:t>
            </w:r>
          </w:p>
          <w:p w14:paraId="0BE07ACC" w14:textId="77777777" w:rsidR="00F14571" w:rsidRPr="000438F7" w:rsidRDefault="00F14571" w:rsidP="00F14571">
            <w:pPr>
              <w:pStyle w:val="Odsekzoznamu"/>
              <w:widowControl w:val="0"/>
              <w:numPr>
                <w:ilvl w:val="0"/>
                <w:numId w:val="205"/>
              </w:numPr>
              <w:tabs>
                <w:tab w:val="left" w:pos="154"/>
              </w:tabs>
              <w:spacing w:before="6"/>
              <w:ind w:left="153" w:hanging="83"/>
              <w:contextualSpacing w:val="0"/>
              <w:rPr>
                <w:rFonts w:eastAsia="Gill Sans MT"/>
                <w:sz w:val="18"/>
                <w:szCs w:val="18"/>
              </w:rPr>
            </w:pPr>
            <w:r w:rsidRPr="000438F7">
              <w:rPr>
                <w:sz w:val="18"/>
                <w:szCs w:val="18"/>
              </w:rPr>
              <w:t>zvýšenie počtu patentov v dunajskom regióne o 50 %</w:t>
            </w:r>
          </w:p>
          <w:p w14:paraId="3DD39F01" w14:textId="77777777" w:rsidR="00F14571" w:rsidRPr="000438F7" w:rsidRDefault="00F14571" w:rsidP="000F7A41">
            <w:pPr>
              <w:pStyle w:val="TableParagraph"/>
              <w:spacing w:before="66"/>
              <w:ind w:left="70"/>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Pozičný dokument EK</w:t>
            </w:r>
          </w:p>
          <w:p w14:paraId="7A87BA5C" w14:textId="77777777" w:rsidR="00F14571" w:rsidRPr="000438F7" w:rsidRDefault="00F14571" w:rsidP="00351D17">
            <w:pPr>
              <w:pStyle w:val="Odsekzoznamu"/>
              <w:widowControl w:val="0"/>
              <w:numPr>
                <w:ilvl w:val="0"/>
                <w:numId w:val="204"/>
              </w:numPr>
              <w:tabs>
                <w:tab w:val="left" w:pos="150"/>
              </w:tabs>
              <w:spacing w:before="6"/>
              <w:ind w:left="153" w:hanging="83"/>
              <w:contextualSpacing w:val="0"/>
              <w:rPr>
                <w:sz w:val="18"/>
                <w:szCs w:val="18"/>
              </w:rPr>
            </w:pPr>
            <w:r w:rsidRPr="000438F7">
              <w:rPr>
                <w:sz w:val="18"/>
                <w:szCs w:val="18"/>
              </w:rPr>
              <w:t>zlepšiť kvalitu výskumu, posilniť interakcie s podnikateľským sektorom, podporovať efektívny prenos poznatkov a šírenie výsledkov výskumu a mobilizovať inovačné prepojenia</w:t>
            </w:r>
          </w:p>
          <w:p w14:paraId="440542D3" w14:textId="77777777" w:rsidR="00F14571" w:rsidRPr="00351D17" w:rsidRDefault="00F14571" w:rsidP="00351D17">
            <w:pPr>
              <w:pStyle w:val="Odsekzoznamu"/>
              <w:widowControl w:val="0"/>
              <w:numPr>
                <w:ilvl w:val="0"/>
                <w:numId w:val="204"/>
              </w:numPr>
              <w:tabs>
                <w:tab w:val="left" w:pos="150"/>
              </w:tabs>
              <w:spacing w:before="6"/>
              <w:ind w:left="153" w:hanging="83"/>
              <w:contextualSpacing w:val="0"/>
              <w:rPr>
                <w:b/>
                <w:sz w:val="18"/>
                <w:szCs w:val="18"/>
              </w:rPr>
            </w:pPr>
            <w:r w:rsidRPr="000438F7">
              <w:rPr>
                <w:sz w:val="18"/>
                <w:szCs w:val="18"/>
              </w:rPr>
              <w:t>zlepšiť výkonnosť v oblasti VaI</w:t>
            </w:r>
          </w:p>
        </w:tc>
      </w:tr>
      <w:tr w:rsidR="00F14571" w14:paraId="46EEA58E" w14:textId="77777777" w:rsidTr="000F7A41">
        <w:trPr>
          <w:trHeight w:val="340"/>
          <w:jc w:val="center"/>
        </w:trPr>
        <w:tc>
          <w:tcPr>
            <w:tcW w:w="3325" w:type="dxa"/>
            <w:vMerge w:val="restart"/>
            <w:vAlign w:val="center"/>
          </w:tcPr>
          <w:p w14:paraId="1A03B3B1" w14:textId="77777777" w:rsidR="00F14571" w:rsidRPr="0027323A" w:rsidRDefault="00F14571" w:rsidP="00351D17">
            <w:pPr>
              <w:ind w:left="0"/>
              <w:rPr>
                <w:color w:val="000000"/>
                <w:sz w:val="18"/>
                <w:szCs w:val="18"/>
              </w:rPr>
            </w:pPr>
            <w:r w:rsidRPr="00351D17">
              <w:rPr>
                <w:sz w:val="18"/>
                <w:szCs w:val="18"/>
              </w:rPr>
              <w:lastRenderedPageBreak/>
              <w:t>(3) Zvýšenie konkurencieschopnosti MSP</w:t>
            </w:r>
          </w:p>
        </w:tc>
        <w:tc>
          <w:tcPr>
            <w:tcW w:w="4811" w:type="dxa"/>
            <w:vAlign w:val="center"/>
          </w:tcPr>
          <w:p w14:paraId="1B11529D" w14:textId="2240F583" w:rsidR="00F14571" w:rsidRPr="0027323A" w:rsidRDefault="004A70A2" w:rsidP="00351D17">
            <w:pPr>
              <w:ind w:left="0"/>
              <w:jc w:val="center"/>
              <w:rPr>
                <w:sz w:val="18"/>
                <w:szCs w:val="18"/>
              </w:rPr>
            </w:pPr>
            <w:r>
              <w:rPr>
                <w:sz w:val="18"/>
                <w:szCs w:val="18"/>
              </w:rPr>
              <w:t>3</w:t>
            </w:r>
            <w:r w:rsidR="00F14571" w:rsidRPr="00351D17">
              <w:rPr>
                <w:sz w:val="18"/>
                <w:szCs w:val="18"/>
              </w:rPr>
              <w:t>a) Podpora podnikania, najmä prostredníctvom uľahčenia využívania nových nápadov v hospodárstve a podpory zakladania nových firiem, a to aj prostredníctvom podnikateľských inkubátorov</w:t>
            </w:r>
          </w:p>
        </w:tc>
        <w:tc>
          <w:tcPr>
            <w:tcW w:w="6039" w:type="dxa"/>
            <w:vAlign w:val="center"/>
          </w:tcPr>
          <w:p w14:paraId="029B0530"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ŠOR</w:t>
            </w:r>
          </w:p>
          <w:p w14:paraId="1022C61A"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sz w:val="18"/>
                <w:szCs w:val="18"/>
                <w:lang w:val="sk-SK"/>
              </w:rPr>
              <w:t>- zaviesť opatrenia na zlepšenie podnikateľského prostredia, a to aj pre MSP</w:t>
            </w:r>
          </w:p>
          <w:p w14:paraId="211687C0"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NPR - Zlepšenie podnikateľského prostredia</w:t>
            </w:r>
          </w:p>
          <w:p w14:paraId="786292FC" w14:textId="77777777" w:rsidR="00F14571" w:rsidRPr="000438F7" w:rsidRDefault="00F14571" w:rsidP="00F14571">
            <w:pPr>
              <w:pStyle w:val="Odsekzoznamu"/>
              <w:widowControl w:val="0"/>
              <w:numPr>
                <w:ilvl w:val="0"/>
                <w:numId w:val="207"/>
              </w:numPr>
              <w:tabs>
                <w:tab w:val="left" w:pos="253"/>
              </w:tabs>
              <w:spacing w:before="6"/>
              <w:ind w:firstLine="0"/>
              <w:contextualSpacing w:val="0"/>
              <w:jc w:val="both"/>
              <w:rPr>
                <w:rFonts w:eastAsia="Gill Sans MT"/>
                <w:sz w:val="18"/>
                <w:szCs w:val="18"/>
              </w:rPr>
            </w:pPr>
            <w:r w:rsidRPr="000438F7">
              <w:rPr>
                <w:sz w:val="18"/>
                <w:szCs w:val="18"/>
              </w:rPr>
              <w:t>zlepšiť pozíciu SR v rebríčku Doing bussiness minimálne o 15 miest do roku 2015</w:t>
            </w:r>
          </w:p>
          <w:p w14:paraId="78ADBD43" w14:textId="77777777" w:rsidR="00F14571" w:rsidRPr="000438F7" w:rsidRDefault="00F14571" w:rsidP="00F14571">
            <w:pPr>
              <w:pStyle w:val="Odsekzoznamu"/>
              <w:widowControl w:val="0"/>
              <w:numPr>
                <w:ilvl w:val="0"/>
                <w:numId w:val="207"/>
              </w:numPr>
              <w:tabs>
                <w:tab w:val="left" w:pos="260"/>
              </w:tabs>
              <w:spacing w:before="6" w:line="248" w:lineRule="auto"/>
              <w:ind w:right="67" w:firstLine="0"/>
              <w:contextualSpacing w:val="0"/>
              <w:jc w:val="both"/>
              <w:rPr>
                <w:rFonts w:eastAsia="Gill Sans MT"/>
                <w:sz w:val="18"/>
                <w:szCs w:val="18"/>
              </w:rPr>
            </w:pPr>
            <w:r w:rsidRPr="000438F7">
              <w:rPr>
                <w:rFonts w:eastAsia="Gill Sans MT"/>
                <w:sz w:val="18"/>
                <w:szCs w:val="18"/>
              </w:rPr>
              <w:t>pokračovať v znižovaní AZ podnikania tak, aby SR do roku 2015 v tzv. integrovanom ukazovateli regulácie trhov OECD (PMR – Product Market Regulation indicator) dosiahlo hodnotu priemeru krajín OECD (1,45)</w:t>
            </w:r>
          </w:p>
          <w:p w14:paraId="3C42ACF3" w14:textId="77777777" w:rsidR="00F14571" w:rsidRPr="000438F7" w:rsidRDefault="00F14571" w:rsidP="00F14571">
            <w:pPr>
              <w:pStyle w:val="Odsekzoznamu"/>
              <w:widowControl w:val="0"/>
              <w:numPr>
                <w:ilvl w:val="0"/>
                <w:numId w:val="207"/>
              </w:numPr>
              <w:tabs>
                <w:tab w:val="left" w:pos="270"/>
              </w:tabs>
              <w:spacing w:line="248" w:lineRule="auto"/>
              <w:ind w:right="68" w:firstLine="0"/>
              <w:contextualSpacing w:val="0"/>
              <w:rPr>
                <w:rFonts w:eastAsia="Gill Sans MT"/>
                <w:sz w:val="18"/>
                <w:szCs w:val="18"/>
              </w:rPr>
            </w:pPr>
            <w:r w:rsidRPr="000438F7">
              <w:rPr>
                <w:rFonts w:eastAsia="Gill Sans MT"/>
                <w:sz w:val="18"/>
                <w:szCs w:val="18"/>
              </w:rPr>
              <w:t>vytvoriť motivujúce prostredie, ktoré bude stimulovať vznik a rozvoj začínajúcich inovatívnych firiem – tzv. startupov</w:t>
            </w:r>
          </w:p>
          <w:p w14:paraId="64F1B89F"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Small Business Act</w:t>
            </w:r>
          </w:p>
          <w:p w14:paraId="28449D81" w14:textId="77777777" w:rsidR="00F14571" w:rsidRPr="000438F7" w:rsidRDefault="00F14571" w:rsidP="00F14571">
            <w:pPr>
              <w:pStyle w:val="Odsekzoznamu"/>
              <w:widowControl w:val="0"/>
              <w:numPr>
                <w:ilvl w:val="0"/>
                <w:numId w:val="206"/>
              </w:numPr>
              <w:tabs>
                <w:tab w:val="left" w:pos="154"/>
              </w:tabs>
              <w:spacing w:before="6"/>
              <w:ind w:firstLine="0"/>
              <w:contextualSpacing w:val="0"/>
              <w:jc w:val="both"/>
              <w:rPr>
                <w:rFonts w:eastAsia="Gill Sans MT"/>
                <w:sz w:val="18"/>
                <w:szCs w:val="18"/>
              </w:rPr>
            </w:pPr>
            <w:r w:rsidRPr="000438F7">
              <w:rPr>
                <w:rFonts w:eastAsia="Gill Sans MT"/>
                <w:sz w:val="18"/>
                <w:szCs w:val="18"/>
              </w:rPr>
              <w:t>napĺňanie princípov „Small Business Act“ v podmienkach SR</w:t>
            </w:r>
          </w:p>
          <w:p w14:paraId="6B5B2D5C"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Akčný plán pre podnikanie 2020</w:t>
            </w:r>
          </w:p>
          <w:p w14:paraId="23E817E9" w14:textId="77777777" w:rsidR="00F14571" w:rsidRPr="000438F7" w:rsidRDefault="00F14571" w:rsidP="00F14571">
            <w:pPr>
              <w:pStyle w:val="Odsekzoznamu"/>
              <w:widowControl w:val="0"/>
              <w:numPr>
                <w:ilvl w:val="0"/>
                <w:numId w:val="206"/>
              </w:numPr>
              <w:tabs>
                <w:tab w:val="left" w:pos="154"/>
              </w:tabs>
              <w:spacing w:before="6"/>
              <w:ind w:left="153" w:hanging="83"/>
              <w:contextualSpacing w:val="0"/>
              <w:jc w:val="both"/>
              <w:rPr>
                <w:rFonts w:eastAsia="Gill Sans MT"/>
                <w:sz w:val="18"/>
                <w:szCs w:val="18"/>
              </w:rPr>
            </w:pPr>
            <w:r w:rsidRPr="000438F7">
              <w:rPr>
                <w:sz w:val="18"/>
                <w:szCs w:val="18"/>
              </w:rPr>
              <w:t>napĺňanie AP v podmienkach SR</w:t>
            </w:r>
          </w:p>
          <w:p w14:paraId="19EA184B"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Pozičný dokument EK</w:t>
            </w:r>
          </w:p>
          <w:p w14:paraId="44B2B622" w14:textId="77777777" w:rsidR="00F14571" w:rsidRPr="000438F7" w:rsidRDefault="00F14571" w:rsidP="00351D17">
            <w:pPr>
              <w:pStyle w:val="Odsekzoznamu"/>
              <w:widowControl w:val="0"/>
              <w:numPr>
                <w:ilvl w:val="0"/>
                <w:numId w:val="204"/>
              </w:numPr>
              <w:tabs>
                <w:tab w:val="left" w:pos="158"/>
              </w:tabs>
              <w:spacing w:before="6"/>
              <w:ind w:left="153" w:hanging="83"/>
              <w:contextualSpacing w:val="0"/>
              <w:rPr>
                <w:sz w:val="18"/>
                <w:szCs w:val="18"/>
              </w:rPr>
            </w:pPr>
            <w:r w:rsidRPr="000438F7">
              <w:rPr>
                <w:sz w:val="18"/>
                <w:szCs w:val="18"/>
              </w:rPr>
              <w:t>zlepšiť inovačnú schopnosť a konkurencieschopnosť podnikov s cieľom zvýšiť pridanú hodnotu a stimulovať rast a tvorbu pracovných miest</w:t>
            </w:r>
          </w:p>
          <w:p w14:paraId="17021BBB" w14:textId="77777777" w:rsidR="00F14571" w:rsidRPr="00351D17" w:rsidRDefault="00F14571" w:rsidP="00351D17">
            <w:pPr>
              <w:pStyle w:val="Odsekzoznamu"/>
              <w:widowControl w:val="0"/>
              <w:numPr>
                <w:ilvl w:val="0"/>
                <w:numId w:val="204"/>
              </w:numPr>
              <w:tabs>
                <w:tab w:val="left" w:pos="158"/>
              </w:tabs>
              <w:spacing w:before="6"/>
              <w:ind w:left="153" w:hanging="83"/>
              <w:contextualSpacing w:val="0"/>
              <w:rPr>
                <w:sz w:val="18"/>
                <w:szCs w:val="18"/>
              </w:rPr>
            </w:pPr>
            <w:r w:rsidRPr="000438F7">
              <w:rPr>
                <w:sz w:val="18"/>
                <w:szCs w:val="18"/>
              </w:rPr>
              <w:t>podpora podnikania, najmä uľahčovaním ekonomického využívania nových myšlienok a podporovania vzniku nových firiem</w:t>
            </w:r>
          </w:p>
        </w:tc>
      </w:tr>
      <w:tr w:rsidR="00F14571" w14:paraId="5C6555A4" w14:textId="77777777" w:rsidTr="000F7A41">
        <w:trPr>
          <w:trHeight w:val="340"/>
          <w:jc w:val="center"/>
        </w:trPr>
        <w:tc>
          <w:tcPr>
            <w:tcW w:w="3325" w:type="dxa"/>
            <w:vMerge/>
            <w:vAlign w:val="center"/>
          </w:tcPr>
          <w:p w14:paraId="4C522382" w14:textId="77777777" w:rsidR="00F14571" w:rsidRPr="00DA2801" w:rsidRDefault="00F14571" w:rsidP="000F7A41">
            <w:pPr>
              <w:rPr>
                <w:sz w:val="18"/>
                <w:szCs w:val="18"/>
              </w:rPr>
            </w:pPr>
          </w:p>
        </w:tc>
        <w:tc>
          <w:tcPr>
            <w:tcW w:w="4811" w:type="dxa"/>
            <w:vAlign w:val="center"/>
          </w:tcPr>
          <w:p w14:paraId="062913C9" w14:textId="22EE2071" w:rsidR="00F14571" w:rsidRPr="00DA2801" w:rsidRDefault="004A70A2" w:rsidP="00351D17">
            <w:pPr>
              <w:ind w:left="0"/>
              <w:jc w:val="center"/>
              <w:rPr>
                <w:sz w:val="18"/>
                <w:szCs w:val="18"/>
              </w:rPr>
            </w:pPr>
            <w:r>
              <w:rPr>
                <w:sz w:val="18"/>
                <w:szCs w:val="18"/>
              </w:rPr>
              <w:t>3</w:t>
            </w:r>
            <w:r w:rsidR="00F14571" w:rsidRPr="00351D17">
              <w:rPr>
                <w:sz w:val="18"/>
                <w:szCs w:val="18"/>
              </w:rPr>
              <w:t>b) Vývoj a uplatňovanie nových obchodných modelov MSP, najmä v rámci internacionalizácie</w:t>
            </w:r>
          </w:p>
        </w:tc>
        <w:tc>
          <w:tcPr>
            <w:tcW w:w="6039" w:type="dxa"/>
            <w:vAlign w:val="center"/>
          </w:tcPr>
          <w:p w14:paraId="70E8CC86"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ŠOR</w:t>
            </w:r>
          </w:p>
          <w:p w14:paraId="2DFB2DF6"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sz w:val="18"/>
                <w:szCs w:val="18"/>
                <w:lang w:val="sk-SK"/>
              </w:rPr>
              <w:t>- zaviesť opatrenia na zlepšenie podnikateľského prostredia, a to aj pre malé a stredné podniky</w:t>
            </w:r>
          </w:p>
          <w:p w14:paraId="181F04D2"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NPR- Zlepšenie podnikateľského prostredia</w:t>
            </w:r>
          </w:p>
          <w:p w14:paraId="7908A695" w14:textId="77777777" w:rsidR="00F14571" w:rsidRPr="000438F7" w:rsidRDefault="00F14571" w:rsidP="00F14571">
            <w:pPr>
              <w:pStyle w:val="Odsekzoznamu"/>
              <w:widowControl w:val="0"/>
              <w:numPr>
                <w:ilvl w:val="0"/>
                <w:numId w:val="211"/>
              </w:numPr>
              <w:tabs>
                <w:tab w:val="left" w:pos="253"/>
              </w:tabs>
              <w:spacing w:before="6" w:line="248" w:lineRule="auto"/>
              <w:ind w:right="67" w:firstLine="0"/>
              <w:contextualSpacing w:val="0"/>
              <w:rPr>
                <w:rFonts w:eastAsia="Gill Sans MT"/>
                <w:sz w:val="18"/>
                <w:szCs w:val="18"/>
              </w:rPr>
            </w:pPr>
            <w:r w:rsidRPr="000438F7">
              <w:rPr>
                <w:sz w:val="18"/>
                <w:szCs w:val="18"/>
              </w:rPr>
              <w:t>zlepšiť pozíciu SR v rebríčku Doing bussiness, ktorý vypracováva Svetová banka, minimálne o 15 miest do roku 2015</w:t>
            </w:r>
          </w:p>
          <w:p w14:paraId="5BEB881B" w14:textId="77777777" w:rsidR="00F14571" w:rsidRPr="000438F7" w:rsidRDefault="00F14571" w:rsidP="00F14571">
            <w:pPr>
              <w:pStyle w:val="Odsekzoznamu"/>
              <w:widowControl w:val="0"/>
              <w:numPr>
                <w:ilvl w:val="0"/>
                <w:numId w:val="211"/>
              </w:numPr>
              <w:tabs>
                <w:tab w:val="left" w:pos="260"/>
              </w:tabs>
              <w:spacing w:line="248" w:lineRule="auto"/>
              <w:ind w:right="67" w:firstLine="0"/>
              <w:contextualSpacing w:val="0"/>
              <w:jc w:val="both"/>
              <w:rPr>
                <w:rFonts w:eastAsia="Gill Sans MT"/>
                <w:sz w:val="18"/>
                <w:szCs w:val="18"/>
              </w:rPr>
            </w:pPr>
            <w:r w:rsidRPr="000438F7">
              <w:rPr>
                <w:rFonts w:eastAsia="Gill Sans MT"/>
                <w:sz w:val="18"/>
                <w:szCs w:val="18"/>
              </w:rPr>
              <w:t>pokračovať v znižovaní AZ podnikania tak, aby SR do roku 2015 v tzv. integrovanom ukazovateli regulácie trhov OECD (PMR – Product Market Regulation indicator) dosiahlo hodnotu priemeru krajín OECD (1,45)</w:t>
            </w:r>
          </w:p>
          <w:p w14:paraId="75D155E3"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Stratégia EÚ pre dunajský región</w:t>
            </w:r>
          </w:p>
          <w:p w14:paraId="7AD8DCBF" w14:textId="77777777" w:rsidR="00F14571" w:rsidRPr="000438F7" w:rsidRDefault="00F14571" w:rsidP="00351D17">
            <w:pPr>
              <w:pStyle w:val="Odsekzoznamu"/>
              <w:widowControl w:val="0"/>
              <w:numPr>
                <w:ilvl w:val="0"/>
                <w:numId w:val="204"/>
              </w:numPr>
              <w:tabs>
                <w:tab w:val="left" w:pos="158"/>
              </w:tabs>
              <w:spacing w:before="6"/>
              <w:ind w:left="153" w:hanging="83"/>
              <w:contextualSpacing w:val="0"/>
              <w:rPr>
                <w:sz w:val="18"/>
                <w:szCs w:val="18"/>
              </w:rPr>
            </w:pPr>
            <w:r w:rsidRPr="000438F7">
              <w:rPr>
                <w:sz w:val="18"/>
                <w:szCs w:val="18"/>
              </w:rPr>
              <w:t>podpora prepojení medzi inštitúciami, ktoré sa zaoberajú inováciami, a tými, ktoré podporujú podnikanie</w:t>
            </w:r>
          </w:p>
          <w:p w14:paraId="6C99922E" w14:textId="77777777" w:rsidR="00F14571" w:rsidRPr="000438F7" w:rsidRDefault="00F14571" w:rsidP="000F7A41">
            <w:pPr>
              <w:pStyle w:val="TableParagraph"/>
              <w:spacing w:before="9"/>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Small Business Act</w:t>
            </w:r>
          </w:p>
          <w:p w14:paraId="5A89E638" w14:textId="77777777" w:rsidR="00F14571" w:rsidRPr="000438F7" w:rsidRDefault="00F14571" w:rsidP="00F14571">
            <w:pPr>
              <w:pStyle w:val="Odsekzoznamu"/>
              <w:widowControl w:val="0"/>
              <w:numPr>
                <w:ilvl w:val="0"/>
                <w:numId w:val="210"/>
              </w:numPr>
              <w:tabs>
                <w:tab w:val="left" w:pos="154"/>
              </w:tabs>
              <w:spacing w:before="6"/>
              <w:ind w:left="153" w:hanging="83"/>
              <w:contextualSpacing w:val="0"/>
              <w:jc w:val="both"/>
              <w:rPr>
                <w:rFonts w:eastAsia="Gill Sans MT"/>
                <w:sz w:val="18"/>
                <w:szCs w:val="18"/>
              </w:rPr>
            </w:pPr>
            <w:r w:rsidRPr="000438F7">
              <w:rPr>
                <w:rFonts w:eastAsia="Gill Sans MT"/>
                <w:sz w:val="18"/>
                <w:szCs w:val="18"/>
              </w:rPr>
              <w:t>napĺňanie princípov „Small Business Act“ v podmienkach SR</w:t>
            </w:r>
          </w:p>
          <w:p w14:paraId="7751E7C1"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lastRenderedPageBreak/>
              <w:t>Akčný plán pre podnikanie 2020</w:t>
            </w:r>
          </w:p>
          <w:p w14:paraId="1C34C928" w14:textId="77777777" w:rsidR="00F14571" w:rsidRPr="000438F7" w:rsidRDefault="00F14571" w:rsidP="00F14571">
            <w:pPr>
              <w:pStyle w:val="Odsekzoznamu"/>
              <w:widowControl w:val="0"/>
              <w:numPr>
                <w:ilvl w:val="0"/>
                <w:numId w:val="210"/>
              </w:numPr>
              <w:tabs>
                <w:tab w:val="left" w:pos="154"/>
              </w:tabs>
              <w:spacing w:before="6"/>
              <w:ind w:left="153" w:hanging="83"/>
              <w:contextualSpacing w:val="0"/>
              <w:jc w:val="both"/>
              <w:rPr>
                <w:rFonts w:eastAsia="Gill Sans MT"/>
                <w:sz w:val="18"/>
                <w:szCs w:val="18"/>
              </w:rPr>
            </w:pPr>
            <w:r w:rsidRPr="000438F7">
              <w:rPr>
                <w:sz w:val="18"/>
                <w:szCs w:val="18"/>
              </w:rPr>
              <w:t>napĺňanie AP v podmienkach SR</w:t>
            </w:r>
          </w:p>
          <w:p w14:paraId="3015C8B1"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Pozičný dokument EK</w:t>
            </w:r>
          </w:p>
          <w:p w14:paraId="4EC0FAE0" w14:textId="77777777" w:rsidR="00F14571" w:rsidRPr="000438F7" w:rsidRDefault="00F14571" w:rsidP="00351D17">
            <w:pPr>
              <w:pStyle w:val="Odsekzoznamu"/>
              <w:widowControl w:val="0"/>
              <w:numPr>
                <w:ilvl w:val="0"/>
                <w:numId w:val="210"/>
              </w:numPr>
              <w:tabs>
                <w:tab w:val="left" w:pos="154"/>
              </w:tabs>
              <w:spacing w:before="6"/>
              <w:ind w:left="153" w:hanging="83"/>
              <w:contextualSpacing w:val="0"/>
              <w:jc w:val="both"/>
              <w:rPr>
                <w:b/>
                <w:sz w:val="18"/>
                <w:szCs w:val="18"/>
              </w:rPr>
            </w:pPr>
            <w:r w:rsidRPr="000438F7">
              <w:rPr>
                <w:sz w:val="18"/>
                <w:szCs w:val="18"/>
              </w:rPr>
              <w:t>vyvíjať nové podnikateľské modely pre MSP, najmä pre internacionalizáciu</w:t>
            </w:r>
          </w:p>
        </w:tc>
      </w:tr>
      <w:tr w:rsidR="00F14571" w14:paraId="5B4A11F2" w14:textId="77777777" w:rsidTr="000F7A41">
        <w:trPr>
          <w:trHeight w:val="340"/>
          <w:jc w:val="center"/>
        </w:trPr>
        <w:tc>
          <w:tcPr>
            <w:tcW w:w="3325" w:type="dxa"/>
            <w:vMerge/>
            <w:vAlign w:val="center"/>
          </w:tcPr>
          <w:p w14:paraId="36934E7E" w14:textId="77777777" w:rsidR="00F14571" w:rsidRPr="00DA2801" w:rsidRDefault="00F14571" w:rsidP="000F7A41">
            <w:pPr>
              <w:rPr>
                <w:sz w:val="18"/>
                <w:szCs w:val="18"/>
              </w:rPr>
            </w:pPr>
          </w:p>
        </w:tc>
        <w:tc>
          <w:tcPr>
            <w:tcW w:w="4811" w:type="dxa"/>
            <w:vAlign w:val="center"/>
          </w:tcPr>
          <w:p w14:paraId="4C37106A" w14:textId="5FBF25EA" w:rsidR="00F14571" w:rsidRPr="00DA2801" w:rsidRDefault="004A70A2" w:rsidP="00351D17">
            <w:pPr>
              <w:ind w:left="0"/>
              <w:jc w:val="center"/>
              <w:rPr>
                <w:sz w:val="18"/>
                <w:szCs w:val="18"/>
              </w:rPr>
            </w:pPr>
            <w:r>
              <w:rPr>
                <w:sz w:val="18"/>
                <w:szCs w:val="18"/>
              </w:rPr>
              <w:t>3</w:t>
            </w:r>
            <w:r w:rsidR="00F14571" w:rsidRPr="00DA2801">
              <w:rPr>
                <w:sz w:val="18"/>
                <w:szCs w:val="18"/>
              </w:rPr>
              <w:t>c) Podpora vytvárania a rozširovania vyspelých kapacít pre vývoj produktov a služieb</w:t>
            </w:r>
          </w:p>
        </w:tc>
        <w:tc>
          <w:tcPr>
            <w:tcW w:w="6039" w:type="dxa"/>
            <w:vAlign w:val="center"/>
          </w:tcPr>
          <w:p w14:paraId="777D87C6" w14:textId="77777777" w:rsidR="00F14571" w:rsidRPr="000438F7" w:rsidRDefault="00F14571" w:rsidP="00351D17">
            <w:pPr>
              <w:pStyle w:val="TableParagraph"/>
              <w:ind w:left="68"/>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ŠOR</w:t>
            </w:r>
          </w:p>
          <w:p w14:paraId="25CEABE5" w14:textId="77777777" w:rsidR="00F14571" w:rsidRPr="000438F7" w:rsidRDefault="00F14571" w:rsidP="00351D17">
            <w:pPr>
              <w:pStyle w:val="Odsekzoznamu"/>
              <w:widowControl w:val="0"/>
              <w:numPr>
                <w:ilvl w:val="0"/>
                <w:numId w:val="204"/>
              </w:numPr>
              <w:tabs>
                <w:tab w:val="left" w:pos="158"/>
              </w:tabs>
              <w:spacing w:before="6"/>
              <w:ind w:left="153" w:hanging="83"/>
              <w:contextualSpacing w:val="0"/>
              <w:rPr>
                <w:rFonts w:eastAsia="Gill Sans MT"/>
                <w:sz w:val="18"/>
                <w:szCs w:val="18"/>
              </w:rPr>
            </w:pPr>
            <w:r w:rsidRPr="000438F7">
              <w:rPr>
                <w:sz w:val="18"/>
                <w:szCs w:val="18"/>
              </w:rPr>
              <w:t>Zaviesť opatrenia na zlepšenie podnikateľského prostredia, a to aj pre malé a stredné podniky</w:t>
            </w:r>
          </w:p>
          <w:p w14:paraId="04A53880" w14:textId="77777777" w:rsidR="00F14571" w:rsidRPr="000438F7" w:rsidRDefault="00F14571" w:rsidP="000F7A41">
            <w:pPr>
              <w:pStyle w:val="TableParagraph"/>
              <w:spacing w:before="6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NPR 2014 - Zlepšenie podnikateľského prostredia</w:t>
            </w:r>
          </w:p>
          <w:p w14:paraId="517544D7" w14:textId="77777777" w:rsidR="00F14571" w:rsidRPr="000438F7" w:rsidRDefault="00F14571" w:rsidP="00F14571">
            <w:pPr>
              <w:pStyle w:val="Odsekzoznamu"/>
              <w:widowControl w:val="0"/>
              <w:numPr>
                <w:ilvl w:val="0"/>
                <w:numId w:val="209"/>
              </w:numPr>
              <w:tabs>
                <w:tab w:val="left" w:pos="253"/>
              </w:tabs>
              <w:spacing w:before="6" w:line="248" w:lineRule="auto"/>
              <w:ind w:right="67" w:firstLine="0"/>
              <w:contextualSpacing w:val="0"/>
              <w:rPr>
                <w:rFonts w:eastAsia="Gill Sans MT"/>
                <w:sz w:val="18"/>
                <w:szCs w:val="18"/>
              </w:rPr>
            </w:pPr>
            <w:r w:rsidRPr="000438F7">
              <w:rPr>
                <w:sz w:val="18"/>
                <w:szCs w:val="18"/>
              </w:rPr>
              <w:t>zlepšiť pozíciu SR v rebríčku Doing bussiness, ktorý vypracováva Svetová banka, minimálne o 15 miest do roku 2015</w:t>
            </w:r>
          </w:p>
          <w:p w14:paraId="1ADECABE" w14:textId="77777777" w:rsidR="00F14571" w:rsidRPr="000438F7" w:rsidRDefault="00F14571" w:rsidP="00F14571">
            <w:pPr>
              <w:pStyle w:val="Odsekzoznamu"/>
              <w:widowControl w:val="0"/>
              <w:numPr>
                <w:ilvl w:val="0"/>
                <w:numId w:val="209"/>
              </w:numPr>
              <w:tabs>
                <w:tab w:val="left" w:pos="260"/>
              </w:tabs>
              <w:spacing w:line="248" w:lineRule="auto"/>
              <w:ind w:right="67" w:firstLine="0"/>
              <w:contextualSpacing w:val="0"/>
              <w:jc w:val="both"/>
              <w:rPr>
                <w:rFonts w:eastAsia="Gill Sans MT"/>
                <w:sz w:val="18"/>
                <w:szCs w:val="18"/>
              </w:rPr>
            </w:pPr>
            <w:r w:rsidRPr="000438F7">
              <w:rPr>
                <w:rFonts w:eastAsia="Gill Sans MT"/>
                <w:sz w:val="18"/>
                <w:szCs w:val="18"/>
              </w:rPr>
              <w:t>pokračovať v znižovaní AZ podnikania tak, aby SR do roku 2015 v tzv. integrovanom ukazovateli regulácie trhov OECD (PMR – Product Market Regulation indicator) dosiahlo hodnotu priemeru krajín OECD (1,45)</w:t>
            </w:r>
          </w:p>
          <w:p w14:paraId="70149E4E" w14:textId="77777777" w:rsidR="00F14571" w:rsidRPr="000438F7" w:rsidRDefault="00F14571" w:rsidP="000F7A41">
            <w:pPr>
              <w:pStyle w:val="TableParagraph"/>
              <w:spacing w:before="60"/>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Small Business Act</w:t>
            </w:r>
          </w:p>
          <w:p w14:paraId="620A1AE2" w14:textId="77777777" w:rsidR="00F14571" w:rsidRPr="000438F7" w:rsidRDefault="00F14571" w:rsidP="00F14571">
            <w:pPr>
              <w:pStyle w:val="Odsekzoznamu"/>
              <w:widowControl w:val="0"/>
              <w:numPr>
                <w:ilvl w:val="0"/>
                <w:numId w:val="208"/>
              </w:numPr>
              <w:tabs>
                <w:tab w:val="left" w:pos="154"/>
              </w:tabs>
              <w:spacing w:before="6"/>
              <w:ind w:hanging="83"/>
              <w:contextualSpacing w:val="0"/>
              <w:jc w:val="both"/>
              <w:rPr>
                <w:rFonts w:eastAsia="Gill Sans MT"/>
                <w:sz w:val="18"/>
                <w:szCs w:val="18"/>
              </w:rPr>
            </w:pPr>
            <w:r w:rsidRPr="000438F7">
              <w:rPr>
                <w:rFonts w:eastAsia="Gill Sans MT"/>
                <w:sz w:val="18"/>
                <w:szCs w:val="18"/>
              </w:rPr>
              <w:t>napĺňanie princípov „Small Business Act“ v podmienkach SR</w:t>
            </w:r>
          </w:p>
          <w:p w14:paraId="38B63661" w14:textId="77777777" w:rsidR="00F14571" w:rsidRPr="000438F7" w:rsidRDefault="00F14571" w:rsidP="000F7A41">
            <w:pPr>
              <w:pStyle w:val="TableParagraph"/>
              <w:spacing w:before="6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Akčný plán pre podnikanie 2020</w:t>
            </w:r>
          </w:p>
          <w:p w14:paraId="4150FEC1" w14:textId="77777777" w:rsidR="00F14571" w:rsidRPr="000438F7" w:rsidRDefault="00F14571" w:rsidP="00351D17">
            <w:pPr>
              <w:pStyle w:val="Odsekzoznamu"/>
              <w:widowControl w:val="0"/>
              <w:numPr>
                <w:ilvl w:val="0"/>
                <w:numId w:val="208"/>
              </w:numPr>
              <w:tabs>
                <w:tab w:val="left" w:pos="154"/>
              </w:tabs>
              <w:spacing w:before="6"/>
              <w:ind w:hanging="83"/>
              <w:contextualSpacing w:val="0"/>
              <w:jc w:val="both"/>
              <w:rPr>
                <w:b/>
                <w:sz w:val="18"/>
                <w:szCs w:val="18"/>
              </w:rPr>
            </w:pPr>
            <w:r w:rsidRPr="000438F7">
              <w:rPr>
                <w:sz w:val="18"/>
                <w:szCs w:val="18"/>
              </w:rPr>
              <w:t>napĺňanie AP v podmienkach SR</w:t>
            </w:r>
          </w:p>
        </w:tc>
      </w:tr>
      <w:tr w:rsidR="00F14571" w14:paraId="5FD6559B" w14:textId="77777777" w:rsidTr="000F7A41">
        <w:trPr>
          <w:trHeight w:val="340"/>
          <w:jc w:val="center"/>
        </w:trPr>
        <w:tc>
          <w:tcPr>
            <w:tcW w:w="3325" w:type="dxa"/>
            <w:vMerge/>
            <w:vAlign w:val="center"/>
          </w:tcPr>
          <w:p w14:paraId="439F56F7" w14:textId="77777777" w:rsidR="00F14571" w:rsidRPr="00DA2801" w:rsidRDefault="00F14571" w:rsidP="000F7A41">
            <w:pPr>
              <w:rPr>
                <w:sz w:val="18"/>
                <w:szCs w:val="18"/>
              </w:rPr>
            </w:pPr>
          </w:p>
        </w:tc>
        <w:tc>
          <w:tcPr>
            <w:tcW w:w="4811" w:type="dxa"/>
            <w:vAlign w:val="center"/>
          </w:tcPr>
          <w:p w14:paraId="52D82AB4" w14:textId="6E5431A0" w:rsidR="00F14571" w:rsidRPr="00DA2801" w:rsidRDefault="004A70A2" w:rsidP="00351D17">
            <w:pPr>
              <w:ind w:left="0"/>
              <w:jc w:val="center"/>
              <w:rPr>
                <w:sz w:val="18"/>
                <w:szCs w:val="18"/>
              </w:rPr>
            </w:pPr>
            <w:r>
              <w:rPr>
                <w:sz w:val="18"/>
                <w:szCs w:val="18"/>
              </w:rPr>
              <w:t>3</w:t>
            </w:r>
            <w:r w:rsidR="00F14571" w:rsidRPr="00351D17">
              <w:rPr>
                <w:sz w:val="18"/>
                <w:szCs w:val="18"/>
              </w:rPr>
              <w:t>d) Podpora kapacity MSP s cieľom ich zapojenia do rastu a inovácií</w:t>
            </w:r>
          </w:p>
        </w:tc>
        <w:tc>
          <w:tcPr>
            <w:tcW w:w="6039" w:type="dxa"/>
            <w:vAlign w:val="center"/>
          </w:tcPr>
          <w:p w14:paraId="49EB2796"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ŠOR</w:t>
            </w:r>
          </w:p>
          <w:p w14:paraId="5D5A8A6B"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sz w:val="18"/>
                <w:szCs w:val="18"/>
                <w:lang w:val="sk-SK"/>
              </w:rPr>
              <w:t>- Zaviesť opatrenia na zlepšenie podnikateľského prostredia, a to aj pre MSP</w:t>
            </w:r>
          </w:p>
          <w:p w14:paraId="757D1E68"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NPR - Zlepšenie podnikateľského prostredia</w:t>
            </w:r>
          </w:p>
          <w:p w14:paraId="5C047F6E" w14:textId="77777777" w:rsidR="00F14571" w:rsidRPr="000438F7" w:rsidRDefault="00F14571" w:rsidP="00F14571">
            <w:pPr>
              <w:pStyle w:val="Odsekzoznamu"/>
              <w:widowControl w:val="0"/>
              <w:numPr>
                <w:ilvl w:val="0"/>
                <w:numId w:val="213"/>
              </w:numPr>
              <w:tabs>
                <w:tab w:val="left" w:pos="250"/>
              </w:tabs>
              <w:spacing w:before="6" w:line="248" w:lineRule="auto"/>
              <w:ind w:right="67" w:firstLine="0"/>
              <w:contextualSpacing w:val="0"/>
              <w:rPr>
                <w:rFonts w:eastAsia="Gill Sans MT"/>
                <w:sz w:val="18"/>
                <w:szCs w:val="18"/>
              </w:rPr>
            </w:pPr>
            <w:r w:rsidRPr="000438F7">
              <w:rPr>
                <w:sz w:val="18"/>
                <w:szCs w:val="18"/>
              </w:rPr>
              <w:t>zlepšiť pozíciu SR v rebríčku Doing bussiness, ktorý vypracováva Svetová banka, minimálne o 15 miest do roku 2015</w:t>
            </w:r>
          </w:p>
          <w:p w14:paraId="33997E59" w14:textId="77777777" w:rsidR="00F14571" w:rsidRPr="000438F7" w:rsidRDefault="00F14571" w:rsidP="00F14571">
            <w:pPr>
              <w:pStyle w:val="Odsekzoznamu"/>
              <w:widowControl w:val="0"/>
              <w:numPr>
                <w:ilvl w:val="0"/>
                <w:numId w:val="213"/>
              </w:numPr>
              <w:tabs>
                <w:tab w:val="left" w:pos="260"/>
              </w:tabs>
              <w:spacing w:line="248" w:lineRule="auto"/>
              <w:ind w:right="67" w:firstLine="0"/>
              <w:contextualSpacing w:val="0"/>
              <w:jc w:val="both"/>
              <w:rPr>
                <w:rFonts w:eastAsia="Gill Sans MT"/>
                <w:sz w:val="18"/>
                <w:szCs w:val="18"/>
              </w:rPr>
            </w:pPr>
            <w:r w:rsidRPr="000438F7">
              <w:rPr>
                <w:rFonts w:eastAsia="Gill Sans MT"/>
                <w:sz w:val="18"/>
                <w:szCs w:val="18"/>
              </w:rPr>
              <w:t>pokračovať v znižovaní AZ podnikania tak, aby SR do roku 2015 v tzv. integrovanom ukazovateli regulácie trhov OECD (PMR – Product Market Regulation indicator) dosiahlo hodnotu priemeru krajín OECD (1,45)</w:t>
            </w:r>
          </w:p>
          <w:p w14:paraId="2290D894" w14:textId="77777777" w:rsidR="00F14571" w:rsidRPr="000438F7" w:rsidRDefault="00F14571" w:rsidP="000F7A41">
            <w:pPr>
              <w:pStyle w:val="TableParagraph"/>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Small Business Act</w:t>
            </w:r>
          </w:p>
          <w:p w14:paraId="29D15ABE" w14:textId="77777777" w:rsidR="00F14571" w:rsidRPr="000438F7" w:rsidRDefault="00F14571" w:rsidP="00F14571">
            <w:pPr>
              <w:pStyle w:val="Odsekzoznamu"/>
              <w:widowControl w:val="0"/>
              <w:numPr>
                <w:ilvl w:val="0"/>
                <w:numId w:val="212"/>
              </w:numPr>
              <w:tabs>
                <w:tab w:val="left" w:pos="154"/>
              </w:tabs>
              <w:spacing w:before="6"/>
              <w:ind w:firstLine="0"/>
              <w:contextualSpacing w:val="0"/>
              <w:jc w:val="both"/>
              <w:rPr>
                <w:rFonts w:eastAsia="Gill Sans MT"/>
                <w:sz w:val="18"/>
                <w:szCs w:val="18"/>
              </w:rPr>
            </w:pPr>
            <w:r w:rsidRPr="000438F7">
              <w:rPr>
                <w:rFonts w:eastAsia="Gill Sans MT"/>
                <w:sz w:val="18"/>
                <w:szCs w:val="18"/>
              </w:rPr>
              <w:t>napĺňanie princípov „Small Business Act“ v podmienkach SR</w:t>
            </w:r>
          </w:p>
          <w:p w14:paraId="5F92EE9B"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Akčný plán pre podnikanie 2020</w:t>
            </w:r>
          </w:p>
          <w:p w14:paraId="22D8AA5E" w14:textId="77777777" w:rsidR="00F14571" w:rsidRPr="000438F7" w:rsidRDefault="00F14571" w:rsidP="00F14571">
            <w:pPr>
              <w:pStyle w:val="Odsekzoznamu"/>
              <w:widowControl w:val="0"/>
              <w:numPr>
                <w:ilvl w:val="0"/>
                <w:numId w:val="212"/>
              </w:numPr>
              <w:tabs>
                <w:tab w:val="left" w:pos="154"/>
              </w:tabs>
              <w:spacing w:before="6"/>
              <w:ind w:left="153" w:hanging="83"/>
              <w:contextualSpacing w:val="0"/>
              <w:jc w:val="both"/>
              <w:rPr>
                <w:rFonts w:eastAsia="Gill Sans MT"/>
                <w:sz w:val="18"/>
                <w:szCs w:val="18"/>
              </w:rPr>
            </w:pPr>
            <w:r w:rsidRPr="000438F7">
              <w:rPr>
                <w:sz w:val="18"/>
                <w:szCs w:val="18"/>
              </w:rPr>
              <w:t>napĺňanie AP v podmienkach SR.</w:t>
            </w:r>
          </w:p>
          <w:p w14:paraId="6D0CADDD" w14:textId="77777777" w:rsidR="00F14571" w:rsidRPr="000438F7" w:rsidRDefault="00F14571" w:rsidP="000F7A41">
            <w:pPr>
              <w:pStyle w:val="TableParagraph"/>
              <w:spacing w:before="6"/>
              <w:ind w:left="70"/>
              <w:jc w:val="both"/>
              <w:rPr>
                <w:rFonts w:ascii="Times New Roman" w:eastAsia="Gill Sans MT" w:hAnsi="Times New Roman" w:cs="Times New Roman"/>
                <w:sz w:val="18"/>
                <w:szCs w:val="18"/>
                <w:lang w:val="sk-SK"/>
              </w:rPr>
            </w:pPr>
            <w:r w:rsidRPr="000438F7">
              <w:rPr>
                <w:rFonts w:ascii="Times New Roman" w:hAnsi="Times New Roman" w:cs="Times New Roman"/>
                <w:b/>
                <w:sz w:val="18"/>
                <w:szCs w:val="18"/>
                <w:lang w:val="sk-SK"/>
              </w:rPr>
              <w:t>Pozičný dokument EK</w:t>
            </w:r>
          </w:p>
          <w:p w14:paraId="1A76EFB3" w14:textId="77777777" w:rsidR="00F14571" w:rsidRPr="000438F7" w:rsidRDefault="00F14571" w:rsidP="00351D17">
            <w:pPr>
              <w:pStyle w:val="Odsekzoznamu"/>
              <w:widowControl w:val="0"/>
              <w:numPr>
                <w:ilvl w:val="0"/>
                <w:numId w:val="212"/>
              </w:numPr>
              <w:tabs>
                <w:tab w:val="left" w:pos="154"/>
              </w:tabs>
              <w:spacing w:before="6"/>
              <w:ind w:left="153" w:hanging="83"/>
              <w:contextualSpacing w:val="0"/>
              <w:jc w:val="both"/>
              <w:rPr>
                <w:b/>
                <w:sz w:val="18"/>
                <w:szCs w:val="18"/>
              </w:rPr>
            </w:pPr>
            <w:r w:rsidRPr="000438F7">
              <w:rPr>
                <w:sz w:val="18"/>
                <w:szCs w:val="18"/>
              </w:rPr>
              <w:t>zlepšiť kvalitu výskumu, posilniť interakcie s podnikateľským sektorom, podporovať efektívny prenos poznatkov a šírenie výsledkov výskumu a mobilizovať inovačné prepojenia.</w:t>
            </w:r>
          </w:p>
        </w:tc>
      </w:tr>
    </w:tbl>
    <w:p w14:paraId="2BFBFD2B" w14:textId="77777777" w:rsidR="00F14571" w:rsidRPr="00F14571" w:rsidRDefault="00F14571" w:rsidP="00F14571">
      <w:pPr>
        <w:rPr>
          <w:lang w:eastAsia="cs-CZ"/>
        </w:rPr>
      </w:pPr>
    </w:p>
    <w:p w14:paraId="1B57AE48" w14:textId="0B5ABFDD" w:rsidR="00F14571" w:rsidRDefault="00F14571" w:rsidP="00F14571">
      <w:pPr>
        <w:pStyle w:val="Nadpis2"/>
        <w:numPr>
          <w:ilvl w:val="0"/>
          <w:numId w:val="0"/>
        </w:numPr>
        <w:spacing w:before="240" w:after="120"/>
        <w:ind w:left="851" w:hanging="851"/>
        <w:sectPr w:rsidR="00F14571" w:rsidSect="00F14571">
          <w:pgSz w:w="16838" w:h="11906" w:orient="landscape"/>
          <w:pgMar w:top="1361" w:right="1304" w:bottom="1474" w:left="1418" w:header="709" w:footer="709" w:gutter="0"/>
          <w:cols w:space="708"/>
          <w:docGrid w:linePitch="360"/>
        </w:sectPr>
      </w:pPr>
    </w:p>
    <w:p w14:paraId="6DFD58EA" w14:textId="1744143D" w:rsidR="00A46625" w:rsidRDefault="00A46625" w:rsidP="001A218B">
      <w:pPr>
        <w:pStyle w:val="Nadpis2"/>
        <w:spacing w:before="240" w:after="120"/>
      </w:pPr>
      <w:bookmarkStart w:id="15" w:name="_Toc28951581"/>
      <w:r>
        <w:lastRenderedPageBreak/>
        <w:t>Zdôvodnenie finančnej alokácie OP</w:t>
      </w:r>
      <w:bookmarkEnd w:id="13"/>
      <w:bookmarkEnd w:id="14"/>
      <w:bookmarkEnd w:id="15"/>
    </w:p>
    <w:p w14:paraId="2B490B62" w14:textId="77777777" w:rsidR="001A218B" w:rsidRDefault="001A218B" w:rsidP="002552FF">
      <w:pPr>
        <w:pStyle w:val="Nadpis3"/>
      </w:pPr>
      <w:bookmarkStart w:id="16" w:name="_Toc28951582"/>
      <w:r>
        <w:t>Doprava</w:t>
      </w:r>
      <w:bookmarkEnd w:id="16"/>
    </w:p>
    <w:p w14:paraId="2C468A8A" w14:textId="77777777" w:rsidR="001A218B" w:rsidRDefault="001A218B" w:rsidP="001A218B">
      <w:pPr>
        <w:jc w:val="both"/>
        <w:rPr>
          <w:rStyle w:val="FontStyle51"/>
        </w:rPr>
      </w:pPr>
      <w:r>
        <w:rPr>
          <w:rStyle w:val="FontStyle51"/>
        </w:rPr>
        <w:t>Na</w:t>
      </w:r>
      <w:r w:rsidRPr="00D53A3E">
        <w:rPr>
          <w:rStyle w:val="FontStyle51"/>
        </w:rPr>
        <w:t xml:space="preserve"> realizáciu projektov v</w:t>
      </w:r>
      <w:r>
        <w:rPr>
          <w:rStyle w:val="FontStyle51"/>
        </w:rPr>
        <w:t> </w:t>
      </w:r>
      <w:r w:rsidRPr="00D53A3E">
        <w:rPr>
          <w:rStyle w:val="FontStyle51"/>
        </w:rPr>
        <w:t>rámci O</w:t>
      </w:r>
      <w:r>
        <w:rPr>
          <w:rStyle w:val="FontStyle51"/>
        </w:rPr>
        <w:t xml:space="preserve">peračného programu Doprava 2007 – 2013 bolo </w:t>
      </w:r>
      <w:r w:rsidRPr="00D53A3E">
        <w:rPr>
          <w:rStyle w:val="FontStyle51"/>
        </w:rPr>
        <w:t xml:space="preserve">vyčlenených </w:t>
      </w:r>
      <w:r>
        <w:rPr>
          <w:rStyle w:val="FontStyle51"/>
        </w:rPr>
        <w:t>3,16 </w:t>
      </w:r>
      <w:r w:rsidRPr="00D53A3E">
        <w:rPr>
          <w:rStyle w:val="FontStyle51"/>
        </w:rPr>
        <w:t xml:space="preserve">mld. </w:t>
      </w:r>
      <w:r>
        <w:rPr>
          <w:rStyle w:val="FontStyle51"/>
        </w:rPr>
        <w:t>EUR</w:t>
      </w:r>
      <w:r w:rsidRPr="00D53A3E">
        <w:rPr>
          <w:rStyle w:val="FontStyle51"/>
        </w:rPr>
        <w:t>, čo</w:t>
      </w:r>
      <w:r>
        <w:rPr>
          <w:rStyle w:val="FontStyle51"/>
        </w:rPr>
        <w:t xml:space="preserve"> bolo najviac zo všetkých programov</w:t>
      </w:r>
      <w:r w:rsidRPr="00D53A3E">
        <w:rPr>
          <w:rStyle w:val="FontStyle51"/>
        </w:rPr>
        <w:t xml:space="preserve"> </w:t>
      </w:r>
      <w:r>
        <w:rPr>
          <w:rStyle w:val="FontStyle51"/>
        </w:rPr>
        <w:t xml:space="preserve">Národného strategického referenčného rámca SR </w:t>
      </w:r>
      <w:r w:rsidRPr="00D53A3E">
        <w:rPr>
          <w:rStyle w:val="FontStyle51"/>
        </w:rPr>
        <w:t>2007 – 2013.</w:t>
      </w:r>
      <w:r>
        <w:rPr>
          <w:rStyle w:val="FontStyle51"/>
        </w:rPr>
        <w:t xml:space="preserve"> Obdobnú ambíciu – získať rozhodujúcu časť zdrojov na implementáciu rozvojových zámerov v oblasti</w:t>
      </w:r>
      <w:r w:rsidRPr="00D53A3E">
        <w:rPr>
          <w:rStyle w:val="FontStyle51"/>
        </w:rPr>
        <w:t> dopravnej infraštruktúry a</w:t>
      </w:r>
      <w:r>
        <w:rPr>
          <w:rStyle w:val="FontStyle51"/>
        </w:rPr>
        <w:t> na </w:t>
      </w:r>
      <w:r w:rsidRPr="00D53A3E">
        <w:rPr>
          <w:rStyle w:val="FontStyle51"/>
        </w:rPr>
        <w:t>podporu verejnej osobnej dopravy</w:t>
      </w:r>
      <w:r>
        <w:rPr>
          <w:rStyle w:val="FontStyle51"/>
        </w:rPr>
        <w:t xml:space="preserve"> malo MDVRR SR aj pri negociáciách o rozdelení národnej alokácie </w:t>
      </w:r>
      <w:r w:rsidRPr="00E57693">
        <w:rPr>
          <w:rStyle w:val="FontStyle51"/>
        </w:rPr>
        <w:t>na obdobie rokov</w:t>
      </w:r>
      <w:r>
        <w:rPr>
          <w:rStyle w:val="FontStyle51"/>
        </w:rPr>
        <w:t xml:space="preserve"> 2014 – 2020</w:t>
      </w:r>
      <w:r w:rsidRPr="00D53A3E">
        <w:rPr>
          <w:rStyle w:val="FontStyle51"/>
        </w:rPr>
        <w:t>.</w:t>
      </w:r>
      <w:r>
        <w:rPr>
          <w:rStyle w:val="FontStyle51"/>
        </w:rPr>
        <w:t xml:space="preserve"> </w:t>
      </w:r>
      <w:r w:rsidRPr="00D53A3E">
        <w:rPr>
          <w:rStyle w:val="FontStyle51"/>
        </w:rPr>
        <w:t xml:space="preserve">Základná argumentačná báza </w:t>
      </w:r>
      <w:r>
        <w:rPr>
          <w:rStyle w:val="FontStyle51"/>
        </w:rPr>
        <w:t>vo </w:t>
      </w:r>
      <w:r w:rsidRPr="00D53A3E">
        <w:rPr>
          <w:rStyle w:val="FontStyle51"/>
        </w:rPr>
        <w:t>vzťahu k</w:t>
      </w:r>
      <w:r>
        <w:rPr>
          <w:rStyle w:val="FontStyle51"/>
        </w:rPr>
        <w:t> </w:t>
      </w:r>
      <w:r w:rsidRPr="00D53A3E">
        <w:rPr>
          <w:rStyle w:val="FontStyle51"/>
        </w:rPr>
        <w:t xml:space="preserve">partnerom, či už na národnej úrovni alebo </w:t>
      </w:r>
      <w:r>
        <w:rPr>
          <w:rStyle w:val="FontStyle51"/>
        </w:rPr>
        <w:t>vo vzťahu ku</w:t>
      </w:r>
      <w:r w:rsidRPr="00D53A3E">
        <w:rPr>
          <w:rStyle w:val="FontStyle51"/>
        </w:rPr>
        <w:t xml:space="preserve"> K</w:t>
      </w:r>
      <w:r>
        <w:rPr>
          <w:rStyle w:val="FontStyle51"/>
        </w:rPr>
        <w:t>omisii</w:t>
      </w:r>
      <w:r w:rsidRPr="00D53A3E">
        <w:rPr>
          <w:rStyle w:val="FontStyle51"/>
        </w:rPr>
        <w:t xml:space="preserve">, </w:t>
      </w:r>
      <w:r>
        <w:rPr>
          <w:rStyle w:val="FontStyle51"/>
        </w:rPr>
        <w:t>vychádzala najmä zo </w:t>
      </w:r>
      <w:r w:rsidRPr="00D53A3E">
        <w:rPr>
          <w:rStyle w:val="FontStyle51"/>
        </w:rPr>
        <w:t>skutkov</w:t>
      </w:r>
      <w:r>
        <w:rPr>
          <w:rStyle w:val="FontStyle51"/>
        </w:rPr>
        <w:t>ého stavu</w:t>
      </w:r>
      <w:r w:rsidRPr="00D53A3E">
        <w:rPr>
          <w:rStyle w:val="FontStyle51"/>
        </w:rPr>
        <w:t xml:space="preserve"> v</w:t>
      </w:r>
      <w:r>
        <w:rPr>
          <w:rStyle w:val="FontStyle51"/>
        </w:rPr>
        <w:t> </w:t>
      </w:r>
      <w:r w:rsidRPr="00D53A3E">
        <w:rPr>
          <w:rStyle w:val="FontStyle51"/>
        </w:rPr>
        <w:t xml:space="preserve">oblasti dopravnej infraštruktúry </w:t>
      </w:r>
      <w:r>
        <w:rPr>
          <w:rStyle w:val="FontStyle51"/>
        </w:rPr>
        <w:t>SR</w:t>
      </w:r>
      <w:r w:rsidRPr="00D53A3E">
        <w:rPr>
          <w:rStyle w:val="FontStyle51"/>
        </w:rPr>
        <w:t xml:space="preserve"> (nedobudovaná a</w:t>
      </w:r>
      <w:r>
        <w:rPr>
          <w:rStyle w:val="FontStyle51"/>
        </w:rPr>
        <w:t> </w:t>
      </w:r>
      <w:r w:rsidRPr="00D53A3E">
        <w:rPr>
          <w:rStyle w:val="FontStyle51"/>
        </w:rPr>
        <w:t xml:space="preserve">zastaraná </w:t>
      </w:r>
      <w:r>
        <w:rPr>
          <w:rStyle w:val="FontStyle51"/>
        </w:rPr>
        <w:t xml:space="preserve">sieť). Z ďalších argumentov je možné spomenúť </w:t>
      </w:r>
      <w:r w:rsidRPr="00D53A3E">
        <w:rPr>
          <w:rStyle w:val="FontStyle51"/>
        </w:rPr>
        <w:t>existujúc</w:t>
      </w:r>
      <w:r>
        <w:rPr>
          <w:rStyle w:val="FontStyle51"/>
        </w:rPr>
        <w:t>e</w:t>
      </w:r>
      <w:r w:rsidRPr="00D53A3E">
        <w:rPr>
          <w:rStyle w:val="FontStyle51"/>
        </w:rPr>
        <w:t xml:space="preserve"> medzinárodn</w:t>
      </w:r>
      <w:r>
        <w:rPr>
          <w:rStyle w:val="FontStyle51"/>
        </w:rPr>
        <w:t>é</w:t>
      </w:r>
      <w:r w:rsidRPr="00D53A3E">
        <w:rPr>
          <w:rStyle w:val="FontStyle51"/>
        </w:rPr>
        <w:t xml:space="preserve"> záväzk</w:t>
      </w:r>
      <w:r>
        <w:rPr>
          <w:rStyle w:val="FontStyle51"/>
        </w:rPr>
        <w:t xml:space="preserve">y, ktoré vyplývajú </w:t>
      </w:r>
      <w:r w:rsidRPr="00D53A3E">
        <w:rPr>
          <w:rStyle w:val="FontStyle51"/>
        </w:rPr>
        <w:t xml:space="preserve">SR vo vzťahu </w:t>
      </w:r>
      <w:r>
        <w:rPr>
          <w:rStyle w:val="FontStyle51"/>
        </w:rPr>
        <w:t>k </w:t>
      </w:r>
      <w:r w:rsidRPr="00D53A3E">
        <w:rPr>
          <w:rStyle w:val="FontStyle51"/>
        </w:rPr>
        <w:t xml:space="preserve">budovaniu TEN-T, ako aj </w:t>
      </w:r>
      <w:r>
        <w:rPr>
          <w:rStyle w:val="FontStyle51"/>
        </w:rPr>
        <w:t>všeobecný potenciál</w:t>
      </w:r>
      <w:r w:rsidRPr="00D53A3E">
        <w:rPr>
          <w:rStyle w:val="FontStyle51"/>
        </w:rPr>
        <w:t>, ktorý sa</w:t>
      </w:r>
      <w:r>
        <w:rPr>
          <w:rStyle w:val="FontStyle51"/>
        </w:rPr>
        <w:t xml:space="preserve"> investíciami do d</w:t>
      </w:r>
      <w:r w:rsidRPr="00D53A3E">
        <w:rPr>
          <w:rStyle w:val="FontStyle51"/>
        </w:rPr>
        <w:t xml:space="preserve">opravnej infraštruktúry </w:t>
      </w:r>
      <w:r>
        <w:rPr>
          <w:rStyle w:val="FontStyle51"/>
        </w:rPr>
        <w:t xml:space="preserve">a súvisiacich </w:t>
      </w:r>
      <w:r w:rsidRPr="00D53A3E">
        <w:rPr>
          <w:rStyle w:val="FontStyle51"/>
        </w:rPr>
        <w:t xml:space="preserve">služieb môže prejaviť na hospodárskom raste </w:t>
      </w:r>
      <w:r>
        <w:rPr>
          <w:rStyle w:val="FontStyle51"/>
        </w:rPr>
        <w:t>a raste zamestnanosti</w:t>
      </w:r>
      <w:r w:rsidRPr="00D53A3E">
        <w:rPr>
          <w:rStyle w:val="FontStyle51"/>
        </w:rPr>
        <w:t>.</w:t>
      </w:r>
      <w:r>
        <w:rPr>
          <w:rStyle w:val="FontStyle51"/>
        </w:rPr>
        <w:t xml:space="preserve"> Súčasne boli brané do úvahy odporúčania EK formulované v pozičnom dokumente, ktorý tvorí rámec pre prípravu Partnerskej dohody SR a ktorý odkazuje na potrebu plnenia cieľov stanovených v Stratégii Európa 2020 a Národnom programe reforiem.</w:t>
      </w:r>
    </w:p>
    <w:p w14:paraId="293DA51A" w14:textId="39F93ABC" w:rsidR="001A218B" w:rsidRDefault="001A218B" w:rsidP="001A218B">
      <w:pPr>
        <w:spacing w:before="180"/>
        <w:jc w:val="both"/>
        <w:rPr>
          <w:rStyle w:val="FontStyle51"/>
        </w:rPr>
      </w:pPr>
      <w:r>
        <w:rPr>
          <w:rStyle w:val="FontStyle51"/>
        </w:rPr>
        <w:t>Na realizáciu projektov v oblasti dopra</w:t>
      </w:r>
      <w:r w:rsidR="00A3669F">
        <w:rPr>
          <w:rStyle w:val="FontStyle51"/>
        </w:rPr>
        <w:t xml:space="preserve">vy je v rámci OPII vyčlenených </w:t>
      </w:r>
      <w:r>
        <w:rPr>
          <w:rStyle w:val="FontStyle51"/>
        </w:rPr>
        <w:t>z fondov EÚ</w:t>
      </w:r>
      <w:r>
        <w:rPr>
          <w:rStyle w:val="FontStyle51"/>
          <w:b/>
        </w:rPr>
        <w:t xml:space="preserve"> </w:t>
      </w:r>
      <w:r w:rsidR="00184B40">
        <w:rPr>
          <w:rStyle w:val="FontStyle51"/>
          <w:b/>
        </w:rPr>
        <w:t>3,445</w:t>
      </w:r>
      <w:r w:rsidR="00EA4A05" w:rsidRPr="002501BD">
        <w:rPr>
          <w:rStyle w:val="FontStyle51"/>
          <w:b/>
        </w:rPr>
        <w:t xml:space="preserve"> </w:t>
      </w:r>
      <w:r w:rsidRPr="002501BD">
        <w:rPr>
          <w:rStyle w:val="FontStyle51"/>
          <w:b/>
        </w:rPr>
        <w:t>mld.</w:t>
      </w:r>
      <w:r w:rsidRPr="000564F2">
        <w:rPr>
          <w:rStyle w:val="FontStyle51"/>
          <w:b/>
        </w:rPr>
        <w:t xml:space="preserve"> EUR</w:t>
      </w:r>
      <w:r>
        <w:rPr>
          <w:rStyle w:val="FontStyle51"/>
        </w:rPr>
        <w:t>. Pre s</w:t>
      </w:r>
      <w:r w:rsidR="00A3669F">
        <w:rPr>
          <w:rStyle w:val="FontStyle51"/>
        </w:rPr>
        <w:t>ektor dopravy boli</w:t>
      </w:r>
      <w:r>
        <w:rPr>
          <w:rStyle w:val="FontStyle51"/>
        </w:rPr>
        <w:t xml:space="preserve"> v rámci p</w:t>
      </w:r>
      <w:r w:rsidR="00A3669F">
        <w:rPr>
          <w:rStyle w:val="FontStyle51"/>
        </w:rPr>
        <w:t>rogramového obdobia 2014 - 2020</w:t>
      </w:r>
      <w:r>
        <w:rPr>
          <w:rStyle w:val="FontStyle51"/>
        </w:rPr>
        <w:t xml:space="preserve"> zároveň vyčlenené zdroje z finančného nástroja NPE, a to v sume 743 mil. EUR (zdroje EÚ). Zdroje nástroja NPE by mali byť použité prioritne na výstavbu a modernizáciu železničn</w:t>
      </w:r>
      <w:r w:rsidR="00D07336">
        <w:rPr>
          <w:rStyle w:val="FontStyle51"/>
        </w:rPr>
        <w:t>ých koridorov (pozri tiež kap. 8</w:t>
      </w:r>
      <w:r>
        <w:rPr>
          <w:rStyle w:val="FontStyle51"/>
        </w:rPr>
        <w:t xml:space="preserve">.2). Na základe analýzy potrieb spracovanej pri tvorbe OPII-D </w:t>
      </w:r>
      <w:r w:rsidR="00986FA0">
        <w:rPr>
          <w:rStyle w:val="FontStyle51"/>
        </w:rPr>
        <w:t>(Strategický plán</w:t>
      </w:r>
      <w:r w:rsidR="005A1A06">
        <w:rPr>
          <w:rStyle w:val="FontStyle51"/>
        </w:rPr>
        <w:t xml:space="preserve">) </w:t>
      </w:r>
      <w:r>
        <w:rPr>
          <w:rStyle w:val="FontStyle51"/>
        </w:rPr>
        <w:t>predstavujú náklady na výstavbu a modernizáciu dopravnej infraštruktúry (železničná, cestná a vodná doprava) v rámci siete TEN-T do roku 2020 cca 6,82 mld. EUR, čo značne prekračuje možnosti verejných financií.</w:t>
      </w:r>
    </w:p>
    <w:p w14:paraId="3CF3AF89" w14:textId="5AE7C22D" w:rsidR="004E4DC3" w:rsidRPr="00E15D0E" w:rsidRDefault="004E4DC3" w:rsidP="004E4DC3">
      <w:pPr>
        <w:spacing w:before="180"/>
        <w:jc w:val="both"/>
        <w:rPr>
          <w:rStyle w:val="FontStyle51"/>
        </w:rPr>
      </w:pPr>
      <w:r w:rsidRPr="00E15D0E">
        <w:rPr>
          <w:rStyle w:val="FontStyle51"/>
        </w:rPr>
        <w:t xml:space="preserve">Z pohľadu ďalšieho rozvoja ekonomiky SR predstavuje prioritu predovšetkým výstavba novej nadradenej cestnej infraštruktúry, absencia </w:t>
      </w:r>
      <w:r w:rsidR="00C23EEE" w:rsidRPr="00E15D0E">
        <w:rPr>
          <w:rStyle w:val="FontStyle51"/>
        </w:rPr>
        <w:t xml:space="preserve">ktorej </w:t>
      </w:r>
      <w:r w:rsidRPr="00E15D0E">
        <w:rPr>
          <w:rStyle w:val="FontStyle51"/>
        </w:rPr>
        <w:t>sa dlhodobo negatívne premieta v oblastiach hospodárstva, životného prostredia, zdravia obyvateľov a ktorá tvorí prekážku v mobilite obyvateľstva, znižuje atraktivitu územia predovšetkým z pohľadu prílevu investícií. Aktuálne využívané paralelné úseky ciest I. triedy nespĺňajú kapacitné, bezpečnostné a kvalitatívne parametre. Ako priorita pre programové obdobie 2014</w:t>
      </w:r>
      <w:r w:rsidR="00C23EEE">
        <w:rPr>
          <w:rStyle w:val="FontStyle51"/>
        </w:rPr>
        <w:t xml:space="preserve"> </w:t>
      </w:r>
      <w:r w:rsidRPr="00E15D0E">
        <w:rPr>
          <w:rStyle w:val="FontStyle51"/>
        </w:rPr>
        <w:t>-</w:t>
      </w:r>
      <w:r w:rsidR="00C23EEE">
        <w:rPr>
          <w:rStyle w:val="FontStyle51"/>
        </w:rPr>
        <w:t xml:space="preserve"> </w:t>
      </w:r>
      <w:r w:rsidRPr="00E15D0E">
        <w:rPr>
          <w:rStyle w:val="FontStyle51"/>
        </w:rPr>
        <w:t xml:space="preserve">2020 je tak označená potreba dokončiť a skvalitniť sieť diaľnic a rýchlostných ciest TEN-T, ako aj zlepšiť dostupnosť menej rozvinutých regiónov prostredníctvom ich napojenia na sieť TEN-T. Na tieto ciele je alokovaných </w:t>
      </w:r>
      <w:r w:rsidR="00184B40">
        <w:rPr>
          <w:rStyle w:val="FontStyle51"/>
        </w:rPr>
        <w:t>48,3</w:t>
      </w:r>
      <w:r w:rsidR="008B2833">
        <w:rPr>
          <w:rStyle w:val="FontStyle51"/>
        </w:rPr>
        <w:t xml:space="preserve"> % zdrojov OPII-D a </w:t>
      </w:r>
      <w:r w:rsidRPr="00E15D0E">
        <w:rPr>
          <w:rStyle w:val="FontStyle51"/>
        </w:rPr>
        <w:t>NPE.</w:t>
      </w:r>
    </w:p>
    <w:p w14:paraId="6BA1F37B" w14:textId="77777777" w:rsidR="00534B62" w:rsidRDefault="004E4DC3" w:rsidP="004E4DC3">
      <w:pPr>
        <w:spacing w:before="180"/>
        <w:jc w:val="both"/>
        <w:rPr>
          <w:rStyle w:val="FontStyle51"/>
        </w:rPr>
      </w:pPr>
      <w:r w:rsidRPr="00E15D0E">
        <w:rPr>
          <w:rStyle w:val="FontStyle51"/>
        </w:rPr>
        <w:t>Aj napriek strategickému významu investícií do budovania nových diaľnic a rýchlostných ciest, keď hustota ich siete výrazne zaostáva za európskym priemerom, neopomína S</w:t>
      </w:r>
      <w:r>
        <w:rPr>
          <w:rStyle w:val="FontStyle51"/>
        </w:rPr>
        <w:t>R</w:t>
      </w:r>
      <w:r w:rsidRPr="00E15D0E">
        <w:rPr>
          <w:rStyle w:val="FontStyle51"/>
        </w:rPr>
        <w:t xml:space="preserve"> ani rozvoj tzv. environmentálne prijateľnejších módov dopravy, akými sú železničná, vodná a verejná osobná doprava. V súlade s požiadavkou EK, aby minimálne 50 % výd</w:t>
      </w:r>
      <w:r w:rsidR="00C23EEE">
        <w:rPr>
          <w:rStyle w:val="FontStyle51"/>
        </w:rPr>
        <w:t>avkov z EŠIF a NPE smerovalo na </w:t>
      </w:r>
      <w:r w:rsidRPr="00E15D0E">
        <w:rPr>
          <w:rStyle w:val="FontStyle51"/>
        </w:rPr>
        <w:t xml:space="preserve">podporu železníc a mestskej dopravy (mimo trolejbusov a autobusov), bola alokácia OPII-D rozdelená medzi jednotlivé dopravné sektory. Na ciele v oblasti železníc vrátane mestskej dopravy bolo alokovaných </w:t>
      </w:r>
      <w:r w:rsidR="000557E8">
        <w:rPr>
          <w:rStyle w:val="FontStyle51"/>
        </w:rPr>
        <w:t>51,49</w:t>
      </w:r>
      <w:r w:rsidR="008B2833">
        <w:rPr>
          <w:rStyle w:val="FontStyle51"/>
        </w:rPr>
        <w:t xml:space="preserve"> % zdrojov OPII-D a NPE.</w:t>
      </w:r>
    </w:p>
    <w:p w14:paraId="3F06B849" w14:textId="77777777" w:rsidR="004E4DC3" w:rsidRDefault="00534B62" w:rsidP="004E4DC3">
      <w:pPr>
        <w:spacing w:before="180"/>
        <w:jc w:val="both"/>
        <w:rPr>
          <w:rStyle w:val="FontStyle51"/>
        </w:rPr>
      </w:pPr>
      <w:r>
        <w:rPr>
          <w:rStyle w:val="FontStyle51"/>
        </w:rPr>
        <w:t>S cieľom zabezpečiť vyvážený rozvoj všetkých dopravných módov MDV SR vykoná potrebné opatrenia, aby zdroje vyčlenené na podporu železničnej a mestskej dopravy boli absorbované prostredníctvom implementácie nákladovo efektívnych projektov a</w:t>
      </w:r>
      <w:r w:rsidR="008B2833">
        <w:rPr>
          <w:rStyle w:val="FontStyle51"/>
        </w:rPr>
        <w:t xml:space="preserve"> aby podiel zdrojov určených na </w:t>
      </w:r>
      <w:r>
        <w:rPr>
          <w:rStyle w:val="FontStyle51"/>
        </w:rPr>
        <w:t>podporu týchto dopravných módov bol zachovaný nad úrovňou 50 % alokácie Kohézneho fondu a NPE.</w:t>
      </w:r>
    </w:p>
    <w:p w14:paraId="7FD89312" w14:textId="25EBD52C" w:rsidR="00C37F9D" w:rsidRDefault="00C37F9D" w:rsidP="00C37F9D">
      <w:pPr>
        <w:spacing w:before="180" w:after="120"/>
        <w:jc w:val="both"/>
        <w:rPr>
          <w:sz w:val="22"/>
          <w:szCs w:val="22"/>
        </w:rPr>
      </w:pPr>
      <w:r w:rsidRPr="007E0B10">
        <w:rPr>
          <w:sz w:val="22"/>
          <w:szCs w:val="22"/>
        </w:rPr>
        <w:t xml:space="preserve">V rámci programového obdobia 2014 – 2020 </w:t>
      </w:r>
      <w:r>
        <w:rPr>
          <w:sz w:val="22"/>
          <w:szCs w:val="22"/>
        </w:rPr>
        <w:t xml:space="preserve">bude časť </w:t>
      </w:r>
      <w:r w:rsidRPr="007E0B10">
        <w:rPr>
          <w:sz w:val="22"/>
          <w:szCs w:val="22"/>
        </w:rPr>
        <w:t>alokácie</w:t>
      </w:r>
      <w:r w:rsidR="00D37C89">
        <w:rPr>
          <w:sz w:val="22"/>
          <w:szCs w:val="22"/>
        </w:rPr>
        <w:t xml:space="preserve"> PO</w:t>
      </w:r>
      <w:r w:rsidR="0039225C">
        <w:rPr>
          <w:sz w:val="22"/>
          <w:szCs w:val="22"/>
        </w:rPr>
        <w:t xml:space="preserve"> 5</w:t>
      </w:r>
      <w:r w:rsidRPr="007E0B10">
        <w:rPr>
          <w:sz w:val="22"/>
          <w:szCs w:val="22"/>
        </w:rPr>
        <w:t xml:space="preserve"> určená na financovanie</w:t>
      </w:r>
      <w:r>
        <w:rPr>
          <w:sz w:val="22"/>
          <w:szCs w:val="22"/>
        </w:rPr>
        <w:t xml:space="preserve"> </w:t>
      </w:r>
      <w:r w:rsidRPr="007E0B10">
        <w:rPr>
          <w:sz w:val="22"/>
          <w:szCs w:val="22"/>
        </w:rPr>
        <w:t xml:space="preserve">projektov </w:t>
      </w:r>
      <w:r>
        <w:rPr>
          <w:sz w:val="22"/>
          <w:szCs w:val="22"/>
        </w:rPr>
        <w:t xml:space="preserve">zasahujúcich do </w:t>
      </w:r>
      <w:r w:rsidRPr="007E0B10">
        <w:rPr>
          <w:sz w:val="22"/>
          <w:szCs w:val="22"/>
        </w:rPr>
        <w:t>Bratislavsk</w:t>
      </w:r>
      <w:r>
        <w:rPr>
          <w:sz w:val="22"/>
          <w:szCs w:val="22"/>
        </w:rPr>
        <w:t xml:space="preserve">ého </w:t>
      </w:r>
      <w:r w:rsidRPr="007E0B10">
        <w:rPr>
          <w:sz w:val="22"/>
          <w:szCs w:val="22"/>
        </w:rPr>
        <w:t>samosprávn</w:t>
      </w:r>
      <w:r>
        <w:rPr>
          <w:sz w:val="22"/>
          <w:szCs w:val="22"/>
        </w:rPr>
        <w:t>eho</w:t>
      </w:r>
      <w:r w:rsidRPr="007E0B10">
        <w:rPr>
          <w:sz w:val="22"/>
          <w:szCs w:val="22"/>
        </w:rPr>
        <w:t xml:space="preserve"> kraj</w:t>
      </w:r>
      <w:r>
        <w:rPr>
          <w:sz w:val="22"/>
          <w:szCs w:val="22"/>
        </w:rPr>
        <w:t>a</w:t>
      </w:r>
      <w:r w:rsidRPr="007E0B10">
        <w:rPr>
          <w:sz w:val="22"/>
          <w:szCs w:val="22"/>
        </w:rPr>
        <w:t xml:space="preserve">, teda na území neoprávnenom </w:t>
      </w:r>
      <w:r w:rsidR="00D37C89">
        <w:rPr>
          <w:sz w:val="22"/>
          <w:szCs w:val="22"/>
        </w:rPr>
        <w:br/>
      </w:r>
      <w:r w:rsidRPr="007E0B10">
        <w:rPr>
          <w:sz w:val="22"/>
          <w:szCs w:val="22"/>
        </w:rPr>
        <w:t xml:space="preserve">pre čerpanie prostriedkov </w:t>
      </w:r>
      <w:r w:rsidR="0039225C">
        <w:rPr>
          <w:sz w:val="22"/>
          <w:szCs w:val="22"/>
        </w:rPr>
        <w:t>EFRR</w:t>
      </w:r>
      <w:r w:rsidRPr="007E0B10">
        <w:rPr>
          <w:sz w:val="22"/>
          <w:szCs w:val="22"/>
        </w:rPr>
        <w:t xml:space="preserve">. Z tohto dôvodu budú v zmysle článku 70 </w:t>
      </w:r>
      <w:r>
        <w:rPr>
          <w:sz w:val="22"/>
          <w:szCs w:val="22"/>
        </w:rPr>
        <w:t xml:space="preserve">všeobecného </w:t>
      </w:r>
      <w:r w:rsidRPr="007E0B10">
        <w:rPr>
          <w:sz w:val="22"/>
          <w:szCs w:val="22"/>
        </w:rPr>
        <w:t xml:space="preserve">nariadenia </w:t>
      </w:r>
      <w:r>
        <w:rPr>
          <w:sz w:val="22"/>
          <w:szCs w:val="22"/>
        </w:rPr>
        <w:lastRenderedPageBreak/>
        <w:t>ti</w:t>
      </w:r>
      <w:r w:rsidRPr="007E0B10">
        <w:rPr>
          <w:sz w:val="22"/>
          <w:szCs w:val="22"/>
        </w:rPr>
        <w:t>eto projekty financované princípom pro rata</w:t>
      </w:r>
      <w:r>
        <w:rPr>
          <w:rStyle w:val="Odkaznapoznmkupodiarou"/>
          <w:sz w:val="22"/>
          <w:szCs w:val="22"/>
        </w:rPr>
        <w:footnoteReference w:id="49"/>
      </w:r>
      <w:r w:rsidRPr="007E0B10">
        <w:rPr>
          <w:sz w:val="22"/>
          <w:szCs w:val="22"/>
        </w:rPr>
        <w:t xml:space="preserve"> ako neoprávnený náklad</w:t>
      </w:r>
      <w:r w:rsidR="00B1581F">
        <w:rPr>
          <w:sz w:val="22"/>
          <w:szCs w:val="22"/>
        </w:rPr>
        <w:t xml:space="preserve"> </w:t>
      </w:r>
      <w:r w:rsidR="00386588">
        <w:rPr>
          <w:sz w:val="22"/>
          <w:szCs w:val="22"/>
        </w:rPr>
        <w:t>z národných verejných zdrojov.</w:t>
      </w:r>
    </w:p>
    <w:p w14:paraId="328F0F7A" w14:textId="77777777" w:rsidR="00C37F9D" w:rsidRPr="007E0B10" w:rsidRDefault="00C37F9D" w:rsidP="00C37F9D">
      <w:pPr>
        <w:spacing w:before="240" w:after="120"/>
        <w:jc w:val="both"/>
        <w:rPr>
          <w:sz w:val="22"/>
          <w:szCs w:val="22"/>
        </w:rPr>
      </w:pPr>
      <w:r w:rsidRPr="007E0B10">
        <w:rPr>
          <w:sz w:val="22"/>
          <w:szCs w:val="22"/>
        </w:rPr>
        <w:t>V rámci PO</w:t>
      </w:r>
      <w:r>
        <w:rPr>
          <w:sz w:val="22"/>
          <w:szCs w:val="22"/>
        </w:rPr>
        <w:t xml:space="preserve"> 5</w:t>
      </w:r>
      <w:r w:rsidRPr="007E0B10">
        <w:rPr>
          <w:sz w:val="22"/>
          <w:szCs w:val="22"/>
        </w:rPr>
        <w:t xml:space="preserve"> sa bud</w:t>
      </w:r>
      <w:r w:rsidR="004E0EBB">
        <w:rPr>
          <w:sz w:val="22"/>
          <w:szCs w:val="22"/>
        </w:rPr>
        <w:t>e</w:t>
      </w:r>
      <w:r w:rsidRPr="007E0B10">
        <w:rPr>
          <w:sz w:val="22"/>
          <w:szCs w:val="22"/>
        </w:rPr>
        <w:t xml:space="preserve"> uplatňovať</w:t>
      </w:r>
      <w:r w:rsidR="004E0EBB">
        <w:rPr>
          <w:sz w:val="22"/>
          <w:szCs w:val="22"/>
        </w:rPr>
        <w:t xml:space="preserve"> jedna</w:t>
      </w:r>
      <w:r w:rsidRPr="007E0B10">
        <w:rPr>
          <w:sz w:val="22"/>
          <w:szCs w:val="22"/>
        </w:rPr>
        <w:t xml:space="preserve"> premenn</w:t>
      </w:r>
      <w:r w:rsidR="004E0EBB">
        <w:rPr>
          <w:sz w:val="22"/>
          <w:szCs w:val="22"/>
        </w:rPr>
        <w:t>á</w:t>
      </w:r>
      <w:r w:rsidRPr="007E0B10">
        <w:rPr>
          <w:sz w:val="22"/>
          <w:szCs w:val="22"/>
        </w:rPr>
        <w:t xml:space="preserve"> pre výpočet </w:t>
      </w:r>
      <w:r>
        <w:rPr>
          <w:sz w:val="22"/>
          <w:szCs w:val="22"/>
        </w:rPr>
        <w:t>„</w:t>
      </w:r>
      <w:r w:rsidRPr="007E0B10">
        <w:rPr>
          <w:sz w:val="22"/>
          <w:szCs w:val="22"/>
        </w:rPr>
        <w:t>pro rata</w:t>
      </w:r>
      <w:r>
        <w:rPr>
          <w:sz w:val="22"/>
          <w:szCs w:val="22"/>
        </w:rPr>
        <w:t>“,</w:t>
      </w:r>
      <w:r w:rsidRPr="007E0B10">
        <w:rPr>
          <w:sz w:val="22"/>
          <w:szCs w:val="22"/>
        </w:rPr>
        <w:t xml:space="preserve"> a to v závislosti od </w:t>
      </w:r>
      <w:r>
        <w:rPr>
          <w:sz w:val="22"/>
          <w:szCs w:val="22"/>
        </w:rPr>
        <w:t xml:space="preserve">typu územia, kde sa realizuje </w:t>
      </w:r>
      <w:r w:rsidRPr="007E0B10">
        <w:rPr>
          <w:sz w:val="22"/>
          <w:szCs w:val="22"/>
        </w:rPr>
        <w:t>projekt</w:t>
      </w:r>
      <w:r>
        <w:rPr>
          <w:sz w:val="22"/>
          <w:szCs w:val="22"/>
        </w:rPr>
        <w:t xml:space="preserve"> alebo jeho časť</w:t>
      </w:r>
      <w:r w:rsidRPr="007E0B10">
        <w:rPr>
          <w:sz w:val="22"/>
          <w:szCs w:val="22"/>
        </w:rPr>
        <w:t>:</w:t>
      </w:r>
    </w:p>
    <w:p w14:paraId="35519190" w14:textId="2E2D2CFF" w:rsidR="00C37F9D" w:rsidRDefault="00C37F9D" w:rsidP="00C37F9D">
      <w:pPr>
        <w:pStyle w:val="08Bullet1"/>
        <w:numPr>
          <w:ilvl w:val="0"/>
          <w:numId w:val="16"/>
        </w:numPr>
        <w:spacing w:before="120"/>
        <w:ind w:left="567"/>
        <w:rPr>
          <w:szCs w:val="22"/>
        </w:rPr>
      </w:pPr>
      <w:r w:rsidRPr="007B417F">
        <w:rPr>
          <w:szCs w:val="22"/>
        </w:rPr>
        <w:t>premennou je podiel</w:t>
      </w:r>
      <w:r w:rsidR="00746FBE">
        <w:rPr>
          <w:szCs w:val="22"/>
        </w:rPr>
        <w:t xml:space="preserve"> </w:t>
      </w:r>
      <w:r w:rsidRPr="007B417F">
        <w:rPr>
          <w:szCs w:val="22"/>
        </w:rPr>
        <w:t>dĺžky</w:t>
      </w:r>
      <w:r w:rsidR="00746FBE">
        <w:rPr>
          <w:szCs w:val="22"/>
        </w:rPr>
        <w:t xml:space="preserve"> prevádzkovaných železničných tratí</w:t>
      </w:r>
      <w:r w:rsidRPr="007B417F">
        <w:rPr>
          <w:szCs w:val="22"/>
        </w:rPr>
        <w:t xml:space="preserve"> </w:t>
      </w:r>
      <w:r w:rsidR="003B77E6">
        <w:rPr>
          <w:szCs w:val="22"/>
        </w:rPr>
        <w:t xml:space="preserve">normálneho rozchodu </w:t>
      </w:r>
      <w:r w:rsidRPr="007B417F">
        <w:rPr>
          <w:szCs w:val="22"/>
        </w:rPr>
        <w:t>v rámci Bratislavského samosprávneho kraja</w:t>
      </w:r>
      <w:r>
        <w:rPr>
          <w:szCs w:val="22"/>
        </w:rPr>
        <w:t xml:space="preserve"> </w:t>
      </w:r>
      <w:r w:rsidRPr="007B417F">
        <w:rPr>
          <w:szCs w:val="22"/>
        </w:rPr>
        <w:t>na celkov</w:t>
      </w:r>
      <w:r w:rsidR="00746FBE">
        <w:rPr>
          <w:szCs w:val="22"/>
        </w:rPr>
        <w:t xml:space="preserve">ej </w:t>
      </w:r>
      <w:r w:rsidRPr="007B417F">
        <w:rPr>
          <w:szCs w:val="22"/>
        </w:rPr>
        <w:t>dĺžk</w:t>
      </w:r>
      <w:r w:rsidR="00746FBE">
        <w:rPr>
          <w:szCs w:val="22"/>
        </w:rPr>
        <w:t>e prevádzkovaných železničných tratí</w:t>
      </w:r>
      <w:r w:rsidRPr="007B417F">
        <w:rPr>
          <w:szCs w:val="22"/>
        </w:rPr>
        <w:t xml:space="preserve"> </w:t>
      </w:r>
      <w:r w:rsidR="003B77E6">
        <w:rPr>
          <w:szCs w:val="22"/>
        </w:rPr>
        <w:t xml:space="preserve">normálneho rozchodu </w:t>
      </w:r>
      <w:r w:rsidRPr="007B417F">
        <w:rPr>
          <w:szCs w:val="22"/>
        </w:rPr>
        <w:t>v</w:t>
      </w:r>
      <w:r w:rsidR="00746FBE">
        <w:rPr>
          <w:szCs w:val="22"/>
        </w:rPr>
        <w:t xml:space="preserve"> </w:t>
      </w:r>
      <w:r w:rsidRPr="007B417F">
        <w:rPr>
          <w:szCs w:val="22"/>
        </w:rPr>
        <w:t>SR</w:t>
      </w:r>
      <w:r w:rsidR="00746FBE">
        <w:rPr>
          <w:szCs w:val="22"/>
        </w:rPr>
        <w:t xml:space="preserve"> (</w:t>
      </w:r>
      <w:r w:rsidR="007343C4">
        <w:rPr>
          <w:szCs w:val="22"/>
        </w:rPr>
        <w:t>7</w:t>
      </w:r>
      <w:r w:rsidR="00746FBE">
        <w:rPr>
          <w:szCs w:val="22"/>
        </w:rPr>
        <w:t>,</w:t>
      </w:r>
      <w:r w:rsidR="007343C4">
        <w:rPr>
          <w:szCs w:val="22"/>
        </w:rPr>
        <w:t>05</w:t>
      </w:r>
      <w:r w:rsidR="00746FBE">
        <w:rPr>
          <w:szCs w:val="22"/>
        </w:rPr>
        <w:t xml:space="preserve"> %).</w:t>
      </w:r>
    </w:p>
    <w:p w14:paraId="154A1DC7" w14:textId="77777777" w:rsidR="00A46625" w:rsidRDefault="001A218B" w:rsidP="002552FF">
      <w:pPr>
        <w:pStyle w:val="Nadpis3"/>
      </w:pPr>
      <w:bookmarkStart w:id="17" w:name="_Toc28951583"/>
      <w:r>
        <w:t>Informačná spoločnosť</w:t>
      </w:r>
      <w:bookmarkEnd w:id="17"/>
    </w:p>
    <w:p w14:paraId="57651450" w14:textId="16BC1605" w:rsidR="001A218B" w:rsidRPr="004D48BD" w:rsidRDefault="001A218B" w:rsidP="001A218B">
      <w:pPr>
        <w:pStyle w:val="06Normal"/>
        <w:rPr>
          <w:szCs w:val="22"/>
        </w:rPr>
      </w:pPr>
      <w:r w:rsidRPr="004D48BD">
        <w:rPr>
          <w:szCs w:val="22"/>
        </w:rPr>
        <w:t xml:space="preserve">Navrhovaná finančná alokácia pre </w:t>
      </w:r>
      <w:r>
        <w:rPr>
          <w:szCs w:val="22"/>
        </w:rPr>
        <w:t>P</w:t>
      </w:r>
      <w:r w:rsidR="00A24828">
        <w:rPr>
          <w:szCs w:val="22"/>
        </w:rPr>
        <w:t>rioritnú os</w:t>
      </w:r>
      <w:r w:rsidRPr="004D48BD">
        <w:rPr>
          <w:szCs w:val="22"/>
        </w:rPr>
        <w:t xml:space="preserve"> </w:t>
      </w:r>
      <w:r>
        <w:rPr>
          <w:szCs w:val="22"/>
        </w:rPr>
        <w:t>7, ktorá sa zaoberá plnením tematického cieľa 2 je</w:t>
      </w:r>
      <w:r w:rsidR="00A77C61">
        <w:rPr>
          <w:szCs w:val="22"/>
        </w:rPr>
        <w:t> na </w:t>
      </w:r>
      <w:r w:rsidRPr="00E57693">
        <w:rPr>
          <w:szCs w:val="22"/>
        </w:rPr>
        <w:t xml:space="preserve">úrovni </w:t>
      </w:r>
      <w:r w:rsidR="00AA5FC1">
        <w:rPr>
          <w:szCs w:val="22"/>
        </w:rPr>
        <w:t> 736,9</w:t>
      </w:r>
      <w:r w:rsidR="00AA5FC1" w:rsidRPr="00C143D5">
        <w:rPr>
          <w:szCs w:val="22"/>
        </w:rPr>
        <w:t xml:space="preserve"> </w:t>
      </w:r>
      <w:r w:rsidRPr="00C143D5">
        <w:rPr>
          <w:szCs w:val="22"/>
        </w:rPr>
        <w:t>mil.</w:t>
      </w:r>
      <w:r>
        <w:rPr>
          <w:szCs w:val="22"/>
        </w:rPr>
        <w:t xml:space="preserve"> EUR za zdroje EFRR a</w:t>
      </w:r>
      <w:r w:rsidRPr="00E57693">
        <w:rPr>
          <w:szCs w:val="22"/>
        </w:rPr>
        <w:t xml:space="preserve"> bola stanovená</w:t>
      </w:r>
      <w:r w:rsidRPr="004D48BD">
        <w:rPr>
          <w:szCs w:val="22"/>
        </w:rPr>
        <w:t xml:space="preserve"> na základe:</w:t>
      </w:r>
    </w:p>
    <w:p w14:paraId="5BC923AB" w14:textId="77777777" w:rsidR="009E0158" w:rsidRDefault="001A218B" w:rsidP="00615080">
      <w:pPr>
        <w:pStyle w:val="08Bullet1"/>
        <w:numPr>
          <w:ilvl w:val="0"/>
          <w:numId w:val="16"/>
        </w:numPr>
        <w:spacing w:before="120"/>
        <w:ind w:left="567"/>
        <w:rPr>
          <w:szCs w:val="22"/>
        </w:rPr>
      </w:pPr>
      <w:r>
        <w:rPr>
          <w:szCs w:val="22"/>
        </w:rPr>
        <w:t>E</w:t>
      </w:r>
      <w:r w:rsidRPr="004D48BD">
        <w:rPr>
          <w:szCs w:val="22"/>
        </w:rPr>
        <w:t>xpertného odhadu náročností jednotlivých aktivít v</w:t>
      </w:r>
      <w:r>
        <w:rPr>
          <w:szCs w:val="22"/>
        </w:rPr>
        <w:t> </w:t>
      </w:r>
      <w:r w:rsidRPr="004D48BD">
        <w:rPr>
          <w:szCs w:val="22"/>
        </w:rPr>
        <w:t>rámci špecifických cieľov z</w:t>
      </w:r>
      <w:r>
        <w:rPr>
          <w:szCs w:val="22"/>
        </w:rPr>
        <w:t> </w:t>
      </w:r>
      <w:r w:rsidRPr="004D48BD">
        <w:rPr>
          <w:szCs w:val="22"/>
        </w:rPr>
        <w:t>pohľadu technologickej infraštruktúry a</w:t>
      </w:r>
      <w:r>
        <w:rPr>
          <w:szCs w:val="22"/>
        </w:rPr>
        <w:t> </w:t>
      </w:r>
      <w:r w:rsidRPr="004D48BD">
        <w:rPr>
          <w:szCs w:val="22"/>
        </w:rPr>
        <w:t>odbornej práce,</w:t>
      </w:r>
    </w:p>
    <w:p w14:paraId="4E6A3275" w14:textId="77777777" w:rsidR="009E0158" w:rsidRDefault="001A218B" w:rsidP="00615080">
      <w:pPr>
        <w:pStyle w:val="08Bullet1"/>
        <w:numPr>
          <w:ilvl w:val="0"/>
          <w:numId w:val="16"/>
        </w:numPr>
        <w:spacing w:before="120"/>
        <w:ind w:left="567"/>
        <w:rPr>
          <w:szCs w:val="22"/>
        </w:rPr>
      </w:pPr>
      <w:r>
        <w:rPr>
          <w:szCs w:val="22"/>
        </w:rPr>
        <w:t>P</w:t>
      </w:r>
      <w:r w:rsidRPr="004D48BD">
        <w:rPr>
          <w:szCs w:val="22"/>
        </w:rPr>
        <w:t>redpokladaného vývoja cien informačných technológií v</w:t>
      </w:r>
      <w:r>
        <w:rPr>
          <w:szCs w:val="22"/>
        </w:rPr>
        <w:t> </w:t>
      </w:r>
      <w:r w:rsidRPr="004D48BD">
        <w:rPr>
          <w:szCs w:val="22"/>
        </w:rPr>
        <w:t>období 2014 až 2020,</w:t>
      </w:r>
    </w:p>
    <w:p w14:paraId="5B1E9C74" w14:textId="77777777" w:rsidR="009E0158" w:rsidRDefault="001A218B" w:rsidP="00615080">
      <w:pPr>
        <w:pStyle w:val="08Bullet1"/>
        <w:numPr>
          <w:ilvl w:val="0"/>
          <w:numId w:val="16"/>
        </w:numPr>
        <w:spacing w:before="120"/>
        <w:ind w:left="567"/>
        <w:rPr>
          <w:szCs w:val="22"/>
        </w:rPr>
      </w:pPr>
      <w:r w:rsidRPr="00A77C61">
        <w:rPr>
          <w:szCs w:val="22"/>
        </w:rPr>
        <w:t>Predpokladaného vývoja cien odbornej práce v období 2014 až 2020,</w:t>
      </w:r>
    </w:p>
    <w:p w14:paraId="4064E1D6" w14:textId="77777777" w:rsidR="009E0158" w:rsidRDefault="001A218B" w:rsidP="00615080">
      <w:pPr>
        <w:pStyle w:val="08Bullet1"/>
        <w:numPr>
          <w:ilvl w:val="0"/>
          <w:numId w:val="16"/>
        </w:numPr>
        <w:spacing w:before="120"/>
        <w:ind w:left="567"/>
        <w:rPr>
          <w:szCs w:val="22"/>
        </w:rPr>
      </w:pPr>
      <w:r w:rsidRPr="00A77C61">
        <w:t>Absorpčnej kapacity potenciálnych žiadateľov, ktorá je určená na základe skúseností z predchádzajúceho programového obdobia 2007 až 2013,</w:t>
      </w:r>
    </w:p>
    <w:p w14:paraId="7938A475" w14:textId="77777777" w:rsidR="009E0158" w:rsidRDefault="001A218B" w:rsidP="00615080">
      <w:pPr>
        <w:pStyle w:val="08Bullet1"/>
        <w:numPr>
          <w:ilvl w:val="0"/>
          <w:numId w:val="16"/>
        </w:numPr>
        <w:spacing w:before="120"/>
        <w:ind w:left="567"/>
        <w:rPr>
          <w:szCs w:val="22"/>
        </w:rPr>
      </w:pPr>
      <w:r w:rsidRPr="00A77C61">
        <w:rPr>
          <w:szCs w:val="22"/>
        </w:rPr>
        <w:t>Analýzy nákladov zavádzania širokopásmového pripojenia.</w:t>
      </w:r>
    </w:p>
    <w:p w14:paraId="0D0A14EB" w14:textId="157F5FEA" w:rsidR="00033D28" w:rsidRDefault="00627E8B" w:rsidP="00627E8B">
      <w:pPr>
        <w:spacing w:before="240" w:after="120"/>
        <w:jc w:val="both"/>
        <w:rPr>
          <w:sz w:val="22"/>
          <w:szCs w:val="22"/>
        </w:rPr>
      </w:pPr>
      <w:r w:rsidRPr="007E0B10">
        <w:rPr>
          <w:sz w:val="22"/>
          <w:szCs w:val="22"/>
        </w:rPr>
        <w:t xml:space="preserve">V rámci programového obdobia 2014 – 2020 bude časť alokácie určená na financovanie národných projektov rozvoja eGovernmentu použitá v Bratislavskom samosprávnom kraji, teda na území neoprávnenom pre čerpanie prostriedkov OPII. Z tohto dôvodu budú v zmysle článku 70 </w:t>
      </w:r>
      <w:r w:rsidR="000004BF">
        <w:rPr>
          <w:sz w:val="22"/>
          <w:szCs w:val="22"/>
        </w:rPr>
        <w:t xml:space="preserve">všeobecného </w:t>
      </w:r>
      <w:r w:rsidRPr="007E0B10">
        <w:rPr>
          <w:sz w:val="22"/>
          <w:szCs w:val="22"/>
        </w:rPr>
        <w:t xml:space="preserve">nariadenia </w:t>
      </w:r>
      <w:r w:rsidR="000004BF">
        <w:rPr>
          <w:sz w:val="22"/>
          <w:szCs w:val="22"/>
        </w:rPr>
        <w:t>ti</w:t>
      </w:r>
      <w:r w:rsidRPr="007E0B10">
        <w:rPr>
          <w:sz w:val="22"/>
          <w:szCs w:val="22"/>
        </w:rPr>
        <w:t xml:space="preserve">eto projekty financované princípom pro rata ako neoprávnený náklad z národných verejných zdrojov. </w:t>
      </w:r>
    </w:p>
    <w:p w14:paraId="56D12AF3" w14:textId="77777777" w:rsidR="00627E8B" w:rsidRPr="007E0B10" w:rsidRDefault="00627E8B" w:rsidP="00627E8B">
      <w:pPr>
        <w:spacing w:before="240" w:after="120"/>
        <w:jc w:val="both"/>
        <w:rPr>
          <w:sz w:val="22"/>
          <w:szCs w:val="22"/>
        </w:rPr>
      </w:pPr>
      <w:r w:rsidRPr="007E0B10">
        <w:rPr>
          <w:sz w:val="22"/>
          <w:szCs w:val="22"/>
        </w:rPr>
        <w:t>V rámci PO</w:t>
      </w:r>
      <w:r>
        <w:rPr>
          <w:sz w:val="22"/>
          <w:szCs w:val="22"/>
        </w:rPr>
        <w:t xml:space="preserve"> </w:t>
      </w:r>
      <w:r w:rsidRPr="007E0B10">
        <w:rPr>
          <w:sz w:val="22"/>
          <w:szCs w:val="22"/>
        </w:rPr>
        <w:t>7 sa budú uplatňovať dve premenné pre výpočet pro rata</w:t>
      </w:r>
      <w:r w:rsidR="000004BF">
        <w:rPr>
          <w:sz w:val="22"/>
          <w:szCs w:val="22"/>
        </w:rPr>
        <w:t>,</w:t>
      </w:r>
      <w:r w:rsidRPr="007E0B10">
        <w:rPr>
          <w:sz w:val="22"/>
          <w:szCs w:val="22"/>
        </w:rPr>
        <w:t xml:space="preserve"> a to v závislosti od charakteru projektu:</w:t>
      </w:r>
    </w:p>
    <w:p w14:paraId="3169933B" w14:textId="7424AC42" w:rsidR="009E0158" w:rsidRDefault="00627E8B" w:rsidP="00615080">
      <w:pPr>
        <w:pStyle w:val="08Bullet1"/>
        <w:numPr>
          <w:ilvl w:val="0"/>
          <w:numId w:val="16"/>
        </w:numPr>
        <w:spacing w:before="120"/>
        <w:ind w:left="567"/>
        <w:rPr>
          <w:szCs w:val="22"/>
        </w:rPr>
      </w:pPr>
      <w:r w:rsidRPr="007E0B10">
        <w:rPr>
          <w:szCs w:val="22"/>
        </w:rPr>
        <w:t>prvou premennou je podiel obyvateľov Bratislavského samosprávneho kraja na celkovom počte obyvateľov SR a týka sa projektov PO</w:t>
      </w:r>
      <w:r w:rsidR="00DE4918">
        <w:rPr>
          <w:szCs w:val="22"/>
        </w:rPr>
        <w:t> </w:t>
      </w:r>
      <w:r w:rsidRPr="007E0B10">
        <w:rPr>
          <w:szCs w:val="22"/>
        </w:rPr>
        <w:t>7, ktorých výsledky budú využívať občania a podnikatelia (11,42</w:t>
      </w:r>
      <w:r w:rsidR="00300439">
        <w:rPr>
          <w:szCs w:val="22"/>
        </w:rPr>
        <w:t> </w:t>
      </w:r>
      <w:r w:rsidRPr="007E0B10">
        <w:rPr>
          <w:szCs w:val="22"/>
        </w:rPr>
        <w:t>%);</w:t>
      </w:r>
    </w:p>
    <w:p w14:paraId="3A4207F0" w14:textId="3DF14F65" w:rsidR="009E0158" w:rsidRDefault="00627E8B" w:rsidP="00615080">
      <w:pPr>
        <w:pStyle w:val="08Bullet1"/>
        <w:numPr>
          <w:ilvl w:val="0"/>
          <w:numId w:val="16"/>
        </w:numPr>
        <w:spacing w:before="120"/>
        <w:ind w:left="567"/>
        <w:rPr>
          <w:szCs w:val="22"/>
        </w:rPr>
      </w:pPr>
      <w:r w:rsidRPr="007E0B10">
        <w:rPr>
          <w:szCs w:val="22"/>
        </w:rPr>
        <w:t>druhou premennou je podiel zamestnancov verejnej správy vykonávajúcich prácu v rámci BSK na celkovom počte zamestnancov verejnej správy a týka sa projektov PO</w:t>
      </w:r>
      <w:r>
        <w:rPr>
          <w:szCs w:val="22"/>
        </w:rPr>
        <w:t xml:space="preserve"> </w:t>
      </w:r>
      <w:r w:rsidRPr="007E0B10">
        <w:rPr>
          <w:szCs w:val="22"/>
        </w:rPr>
        <w:t>7, ktorých výsledky bude využívať verejná správa (21,52</w:t>
      </w:r>
      <w:r w:rsidR="00300439">
        <w:rPr>
          <w:szCs w:val="22"/>
        </w:rPr>
        <w:t> </w:t>
      </w:r>
      <w:r w:rsidRPr="007E0B10">
        <w:rPr>
          <w:szCs w:val="22"/>
        </w:rPr>
        <w:t>%).</w:t>
      </w:r>
    </w:p>
    <w:p w14:paraId="1237634C" w14:textId="4D1D5C26" w:rsidR="002D0D3B" w:rsidRDefault="00627E8B" w:rsidP="002B5D27">
      <w:pPr>
        <w:pStyle w:val="Tab"/>
      </w:pPr>
      <w:r w:rsidRPr="007E0B10">
        <w:t>Typy pro-rata v rámci projektov PO</w:t>
      </w:r>
      <w:r>
        <w:t xml:space="preserve"> </w:t>
      </w:r>
      <w:r w:rsidR="002D0D3B">
        <w:t>7</w:t>
      </w:r>
      <w:r w:rsidR="009B133F">
        <w:t xml:space="preserve"> – pozri Prílohu 21.</w:t>
      </w:r>
    </w:p>
    <w:p w14:paraId="71E91DAB" w14:textId="77777777" w:rsidR="001A218B" w:rsidRDefault="001A218B" w:rsidP="00627E8B">
      <w:pPr>
        <w:pStyle w:val="08Bullet1"/>
        <w:numPr>
          <w:ilvl w:val="0"/>
          <w:numId w:val="0"/>
        </w:numPr>
        <w:spacing w:before="360"/>
        <w:rPr>
          <w:szCs w:val="22"/>
        </w:rPr>
      </w:pPr>
      <w:r w:rsidRPr="00D8346D">
        <w:rPr>
          <w:szCs w:val="22"/>
        </w:rPr>
        <w:t xml:space="preserve">Pre konkretizáciu finančnej alokácie </w:t>
      </w:r>
      <w:r w:rsidR="00ED2E1C">
        <w:rPr>
          <w:szCs w:val="22"/>
        </w:rPr>
        <w:t xml:space="preserve">Prioritnej osi 7 </w:t>
      </w:r>
      <w:r w:rsidRPr="00D8346D">
        <w:rPr>
          <w:szCs w:val="22"/>
        </w:rPr>
        <w:t>bola navrhnutá roadmapa eGovernmentu, ktorá definuje základný rámec pre</w:t>
      </w:r>
      <w:r>
        <w:rPr>
          <w:szCs w:val="22"/>
        </w:rPr>
        <w:t xml:space="preserve"> zásobník projektov obsahujúci:</w:t>
      </w:r>
    </w:p>
    <w:p w14:paraId="172418C4" w14:textId="77777777" w:rsidR="009E0158" w:rsidRDefault="001A218B" w:rsidP="00615080">
      <w:pPr>
        <w:pStyle w:val="08Bullet1"/>
        <w:numPr>
          <w:ilvl w:val="0"/>
          <w:numId w:val="16"/>
        </w:numPr>
        <w:ind w:left="567" w:hanging="283"/>
        <w:rPr>
          <w:szCs w:val="22"/>
        </w:rPr>
      </w:pPr>
      <w:r w:rsidRPr="00D8346D">
        <w:rPr>
          <w:szCs w:val="22"/>
        </w:rPr>
        <w:t>Zoznam projektov, ich prioritu a indikované náklady</w:t>
      </w:r>
      <w:r w:rsidR="00ED2E1C">
        <w:rPr>
          <w:szCs w:val="22"/>
        </w:rPr>
        <w:t>,</w:t>
      </w:r>
    </w:p>
    <w:p w14:paraId="5ED6E38E" w14:textId="77777777" w:rsidR="009E0158" w:rsidRDefault="001A218B" w:rsidP="00615080">
      <w:pPr>
        <w:pStyle w:val="08Bullet1"/>
        <w:numPr>
          <w:ilvl w:val="0"/>
          <w:numId w:val="16"/>
        </w:numPr>
        <w:ind w:left="567" w:hanging="283"/>
        <w:rPr>
          <w:szCs w:val="22"/>
        </w:rPr>
      </w:pPr>
      <w:r w:rsidRPr="00D8346D">
        <w:rPr>
          <w:szCs w:val="22"/>
        </w:rPr>
        <w:t xml:space="preserve">Základné etapy implementácie v budúcom období – v prvej etape by sa </w:t>
      </w:r>
      <w:r>
        <w:rPr>
          <w:szCs w:val="22"/>
        </w:rPr>
        <w:t>po nevyhnutných zmenách súvisiacich s technologickým pokrokom a cieľmi OPII r</w:t>
      </w:r>
      <w:r w:rsidRPr="00D8346D">
        <w:rPr>
          <w:szCs w:val="22"/>
        </w:rPr>
        <w:t>ealizovali relevantné projekty, ktoré neboli uskutočnené v programovom období 2007 až 201</w:t>
      </w:r>
      <w:r>
        <w:rPr>
          <w:szCs w:val="22"/>
        </w:rPr>
        <w:t>3</w:t>
      </w:r>
      <w:r w:rsidRPr="00D8346D">
        <w:rPr>
          <w:szCs w:val="22"/>
        </w:rPr>
        <w:t>,</w:t>
      </w:r>
    </w:p>
    <w:p w14:paraId="74E49BF2" w14:textId="77777777" w:rsidR="009E0158" w:rsidRDefault="001A218B" w:rsidP="00615080">
      <w:pPr>
        <w:pStyle w:val="08Bullet1"/>
        <w:numPr>
          <w:ilvl w:val="0"/>
          <w:numId w:val="16"/>
        </w:numPr>
        <w:ind w:left="567" w:hanging="283"/>
        <w:rPr>
          <w:szCs w:val="22"/>
        </w:rPr>
      </w:pPr>
      <w:r w:rsidRPr="00D8346D">
        <w:rPr>
          <w:szCs w:val="22"/>
        </w:rPr>
        <w:t>Prepojenie projektov s intervenčnou logikou projektu: aktivity pre pr</w:t>
      </w:r>
      <w:r>
        <w:rPr>
          <w:szCs w:val="22"/>
        </w:rPr>
        <w:t>íslušné špecifické ciele a </w:t>
      </w:r>
      <w:r w:rsidRPr="00D8346D">
        <w:rPr>
          <w:szCs w:val="22"/>
        </w:rPr>
        <w:t xml:space="preserve">prínos k výsledkovým a výstupovým </w:t>
      </w:r>
      <w:r w:rsidR="00850014">
        <w:rPr>
          <w:szCs w:val="22"/>
        </w:rPr>
        <w:t>ukazovateľom</w:t>
      </w:r>
      <w:r w:rsidRPr="00D8346D">
        <w:rPr>
          <w:szCs w:val="22"/>
        </w:rPr>
        <w:t>,</w:t>
      </w:r>
    </w:p>
    <w:p w14:paraId="013F7932" w14:textId="77777777" w:rsidR="009E0158" w:rsidRDefault="001A218B" w:rsidP="00615080">
      <w:pPr>
        <w:pStyle w:val="08Bullet1"/>
        <w:numPr>
          <w:ilvl w:val="0"/>
          <w:numId w:val="16"/>
        </w:numPr>
        <w:spacing w:after="0"/>
        <w:ind w:left="567" w:hanging="283"/>
        <w:rPr>
          <w:szCs w:val="22"/>
        </w:rPr>
      </w:pPr>
      <w:r w:rsidRPr="00D8346D">
        <w:rPr>
          <w:szCs w:val="22"/>
        </w:rPr>
        <w:t>Prehľad potrebných legislatívnych zmien</w:t>
      </w:r>
      <w:r>
        <w:rPr>
          <w:szCs w:val="22"/>
        </w:rPr>
        <w:t>.</w:t>
      </w:r>
    </w:p>
    <w:p w14:paraId="7B192464" w14:textId="25D6ACAD" w:rsidR="009B133F" w:rsidRPr="00F37511" w:rsidRDefault="001A218B" w:rsidP="009B133F">
      <w:pPr>
        <w:spacing w:before="240" w:after="120"/>
        <w:jc w:val="both"/>
        <w:rPr>
          <w:sz w:val="22"/>
          <w:szCs w:val="22"/>
        </w:rPr>
      </w:pPr>
      <w:r w:rsidRPr="004D48BD">
        <w:rPr>
          <w:sz w:val="22"/>
          <w:szCs w:val="22"/>
        </w:rPr>
        <w:lastRenderedPageBreak/>
        <w:t>Dá sa očakávať, že</w:t>
      </w:r>
      <w:r w:rsidR="009B133F">
        <w:rPr>
          <w:sz w:val="22"/>
          <w:szCs w:val="22"/>
        </w:rPr>
        <w:t xml:space="preserve"> ... pozri Prílohu 21</w:t>
      </w:r>
    </w:p>
    <w:p w14:paraId="1F3F03E4" w14:textId="3BA22941" w:rsidR="00B624EB" w:rsidRDefault="00B624EB" w:rsidP="00351D17">
      <w:pPr>
        <w:spacing w:before="120"/>
        <w:jc w:val="both"/>
        <w:rPr>
          <w:sz w:val="22"/>
          <w:szCs w:val="22"/>
        </w:rPr>
      </w:pPr>
      <w:r w:rsidRPr="00F37511">
        <w:rPr>
          <w:sz w:val="22"/>
          <w:szCs w:val="22"/>
        </w:rPr>
        <w:t>.</w:t>
      </w:r>
    </w:p>
    <w:p w14:paraId="2A369A76" w14:textId="64A96A48" w:rsidR="001A218B" w:rsidRDefault="001A218B" w:rsidP="00EE499B">
      <w:pPr>
        <w:pStyle w:val="Tab"/>
        <w:numPr>
          <w:ilvl w:val="0"/>
          <w:numId w:val="0"/>
        </w:numPr>
        <w:ind w:left="851" w:hanging="851"/>
        <w:sectPr w:rsidR="001A218B" w:rsidSect="00E641FB">
          <w:pgSz w:w="11906" w:h="16838"/>
          <w:pgMar w:top="1418" w:right="1361" w:bottom="1304" w:left="1474" w:header="709" w:footer="709" w:gutter="0"/>
          <w:cols w:space="708"/>
          <w:docGrid w:linePitch="360"/>
        </w:sectPr>
      </w:pPr>
    </w:p>
    <w:p w14:paraId="0BD062CF" w14:textId="77777777" w:rsidR="001A218B" w:rsidRDefault="001A218B" w:rsidP="005847CE">
      <w:pPr>
        <w:pStyle w:val="Tab"/>
        <w:spacing w:before="0"/>
      </w:pPr>
      <w:r w:rsidRPr="00430B9D">
        <w:lastRenderedPageBreak/>
        <w:t>Prehľad investičnej stratégie</w:t>
      </w:r>
      <w:r w:rsidR="00A647DA">
        <w:t xml:space="preserve"> operačného</w:t>
      </w:r>
      <w:r w:rsidRPr="00430B9D">
        <w:t xml:space="preserve"> programu</w:t>
      </w:r>
    </w:p>
    <w:tbl>
      <w:tblPr>
        <w:tblW w:w="14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6"/>
        <w:gridCol w:w="606"/>
        <w:gridCol w:w="1245"/>
        <w:gridCol w:w="1417"/>
        <w:gridCol w:w="2410"/>
        <w:gridCol w:w="2693"/>
        <w:gridCol w:w="2609"/>
        <w:gridCol w:w="2484"/>
      </w:tblGrid>
      <w:tr w:rsidR="00AC7B75" w:rsidRPr="00430B9D" w14:paraId="5DD17A2C" w14:textId="77777777" w:rsidTr="00543AEB">
        <w:trPr>
          <w:trHeight w:val="1179"/>
          <w:jc w:val="center"/>
        </w:trPr>
        <w:tc>
          <w:tcPr>
            <w:tcW w:w="806" w:type="dxa"/>
            <w:shd w:val="clear" w:color="auto" w:fill="C6D9F1" w:themeFill="text2" w:themeFillTint="33"/>
            <w:vAlign w:val="center"/>
          </w:tcPr>
          <w:p w14:paraId="546B4CAE" w14:textId="77777777"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Prioritná os</w:t>
            </w:r>
          </w:p>
        </w:tc>
        <w:tc>
          <w:tcPr>
            <w:tcW w:w="606" w:type="dxa"/>
            <w:shd w:val="clear" w:color="auto" w:fill="C6D9F1" w:themeFill="text2" w:themeFillTint="33"/>
            <w:vAlign w:val="center"/>
          </w:tcPr>
          <w:p w14:paraId="336992DE"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Fond</w:t>
            </w:r>
          </w:p>
        </w:tc>
        <w:tc>
          <w:tcPr>
            <w:tcW w:w="1245" w:type="dxa"/>
            <w:shd w:val="clear" w:color="auto" w:fill="C6D9F1" w:themeFill="text2" w:themeFillTint="33"/>
            <w:vAlign w:val="center"/>
          </w:tcPr>
          <w:p w14:paraId="74341873"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Podpora EÚ</w:t>
            </w:r>
            <w:r w:rsidRPr="00430B9D">
              <w:rPr>
                <w:rStyle w:val="FontStyle83"/>
                <w:sz w:val="18"/>
                <w:szCs w:val="18"/>
                <w:lang w:eastAsia="en-US"/>
              </w:rPr>
              <w:br/>
              <w:t>(v EUR)</w:t>
            </w:r>
          </w:p>
        </w:tc>
        <w:tc>
          <w:tcPr>
            <w:tcW w:w="1417" w:type="dxa"/>
            <w:shd w:val="clear" w:color="auto" w:fill="C6D9F1" w:themeFill="text2" w:themeFillTint="33"/>
            <w:vAlign w:val="center"/>
          </w:tcPr>
          <w:p w14:paraId="0D9AF0C3"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Podiel celkovej podpory EÚ</w:t>
            </w:r>
          </w:p>
          <w:p w14:paraId="0C131B6C" w14:textId="77777777"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pre operačný program</w:t>
            </w:r>
          </w:p>
          <w:p w14:paraId="540FA2A6" w14:textId="77777777"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(podľa fondov)</w:t>
            </w:r>
          </w:p>
        </w:tc>
        <w:tc>
          <w:tcPr>
            <w:tcW w:w="2410" w:type="dxa"/>
            <w:shd w:val="clear" w:color="auto" w:fill="C6D9F1" w:themeFill="text2" w:themeFillTint="33"/>
            <w:vAlign w:val="center"/>
          </w:tcPr>
          <w:p w14:paraId="76DF9EC8" w14:textId="77777777" w:rsidR="00AC7B75" w:rsidRPr="00430B9D" w:rsidRDefault="00AC7B75" w:rsidP="00EF2741">
            <w:pPr>
              <w:pStyle w:val="Style42"/>
              <w:widowControl/>
              <w:ind w:firstLine="5"/>
              <w:jc w:val="center"/>
              <w:rPr>
                <w:rStyle w:val="FontStyle83"/>
                <w:b w:val="0"/>
                <w:sz w:val="18"/>
                <w:szCs w:val="18"/>
                <w:lang w:eastAsia="en-US"/>
              </w:rPr>
            </w:pPr>
            <w:r w:rsidRPr="00430B9D">
              <w:rPr>
                <w:rStyle w:val="FontStyle83"/>
                <w:sz w:val="18"/>
                <w:szCs w:val="18"/>
                <w:lang w:eastAsia="en-US"/>
              </w:rPr>
              <w:t>Tematický cieľ</w:t>
            </w:r>
          </w:p>
        </w:tc>
        <w:tc>
          <w:tcPr>
            <w:tcW w:w="2693" w:type="dxa"/>
            <w:shd w:val="clear" w:color="auto" w:fill="C6D9F1" w:themeFill="text2" w:themeFillTint="33"/>
            <w:vAlign w:val="center"/>
          </w:tcPr>
          <w:p w14:paraId="7BDB4EBF"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Investičné priority</w:t>
            </w:r>
          </w:p>
        </w:tc>
        <w:tc>
          <w:tcPr>
            <w:tcW w:w="2609" w:type="dxa"/>
            <w:shd w:val="clear" w:color="auto" w:fill="C6D9F1" w:themeFill="text2" w:themeFillTint="33"/>
            <w:vAlign w:val="center"/>
          </w:tcPr>
          <w:p w14:paraId="2768EB67"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Špecifické ciele zodpovedajúce investičným prioritám</w:t>
            </w:r>
          </w:p>
        </w:tc>
        <w:tc>
          <w:tcPr>
            <w:tcW w:w="2484" w:type="dxa"/>
            <w:shd w:val="clear" w:color="auto" w:fill="C6D9F1" w:themeFill="text2" w:themeFillTint="33"/>
            <w:vAlign w:val="center"/>
          </w:tcPr>
          <w:p w14:paraId="7F1B8530" w14:textId="77777777" w:rsidR="00AC7B75" w:rsidRPr="00430B9D" w:rsidRDefault="00AC7B75" w:rsidP="00EF2741">
            <w:pPr>
              <w:widowControl w:val="0"/>
              <w:autoSpaceDE w:val="0"/>
              <w:autoSpaceDN w:val="0"/>
              <w:adjustRightInd w:val="0"/>
              <w:spacing w:before="37" w:line="244" w:lineRule="auto"/>
              <w:ind w:right="-51"/>
              <w:jc w:val="center"/>
              <w:rPr>
                <w:rStyle w:val="FontStyle83"/>
                <w:b w:val="0"/>
                <w:sz w:val="18"/>
                <w:szCs w:val="18"/>
                <w:lang w:eastAsia="en-US"/>
              </w:rPr>
            </w:pPr>
            <w:r w:rsidRPr="00430B9D">
              <w:rPr>
                <w:rStyle w:val="FontStyle83"/>
                <w:sz w:val="18"/>
                <w:szCs w:val="18"/>
                <w:lang w:eastAsia="en-US"/>
              </w:rPr>
              <w:t>Špecifické ukazovatele výsledku programu zodpovedajúce špecifickému cieľu</w:t>
            </w:r>
          </w:p>
        </w:tc>
      </w:tr>
      <w:tr w:rsidR="00E54E7A" w:rsidRPr="00430B9D" w14:paraId="5BBD08A0" w14:textId="77777777" w:rsidTr="00E54E7A">
        <w:trPr>
          <w:trHeight w:val="689"/>
          <w:jc w:val="center"/>
        </w:trPr>
        <w:tc>
          <w:tcPr>
            <w:tcW w:w="806" w:type="dxa"/>
            <w:vMerge w:val="restart"/>
            <w:vAlign w:val="center"/>
          </w:tcPr>
          <w:p w14:paraId="4848CE03" w14:textId="77777777" w:rsidR="00E54E7A" w:rsidRPr="00BF0551" w:rsidRDefault="00E54E7A" w:rsidP="00EF2741">
            <w:pPr>
              <w:pStyle w:val="Style40"/>
              <w:widowControl/>
              <w:rPr>
                <w:rStyle w:val="FontStyle93"/>
                <w:sz w:val="18"/>
                <w:szCs w:val="18"/>
                <w:lang w:eastAsia="en-US"/>
              </w:rPr>
            </w:pPr>
            <w:r w:rsidRPr="00BF0551">
              <w:rPr>
                <w:rStyle w:val="FontStyle93"/>
                <w:sz w:val="18"/>
                <w:szCs w:val="18"/>
                <w:lang w:eastAsia="en-US"/>
              </w:rPr>
              <w:t>PO 1</w:t>
            </w:r>
          </w:p>
        </w:tc>
        <w:tc>
          <w:tcPr>
            <w:tcW w:w="606" w:type="dxa"/>
            <w:vMerge w:val="restart"/>
            <w:vAlign w:val="center"/>
          </w:tcPr>
          <w:p w14:paraId="2C1435BD" w14:textId="77777777" w:rsidR="00E54E7A" w:rsidRPr="00BF0551" w:rsidRDefault="00E54E7A" w:rsidP="00EF2741">
            <w:pPr>
              <w:pStyle w:val="Style30"/>
              <w:widowControl/>
              <w:jc w:val="center"/>
              <w:rPr>
                <w:sz w:val="18"/>
                <w:szCs w:val="18"/>
              </w:rPr>
            </w:pPr>
            <w:r w:rsidRPr="00BF0551">
              <w:rPr>
                <w:sz w:val="18"/>
                <w:szCs w:val="18"/>
              </w:rPr>
              <w:t>KF</w:t>
            </w:r>
          </w:p>
        </w:tc>
        <w:tc>
          <w:tcPr>
            <w:tcW w:w="1245" w:type="dxa"/>
            <w:vMerge w:val="restart"/>
            <w:vAlign w:val="center"/>
          </w:tcPr>
          <w:p w14:paraId="1E5E55AD" w14:textId="77777777" w:rsidR="00E54E7A" w:rsidRPr="00BF0551" w:rsidRDefault="00E54E7A" w:rsidP="00EF2741">
            <w:pPr>
              <w:pStyle w:val="Style40"/>
              <w:widowControl/>
              <w:jc w:val="right"/>
              <w:rPr>
                <w:rStyle w:val="FontStyle93"/>
                <w:sz w:val="18"/>
                <w:szCs w:val="18"/>
                <w:lang w:eastAsia="de-DE"/>
              </w:rPr>
            </w:pPr>
            <w:r w:rsidRPr="00BF0551">
              <w:rPr>
                <w:rStyle w:val="FontStyle93"/>
                <w:sz w:val="18"/>
                <w:szCs w:val="18"/>
                <w:lang w:eastAsia="de-DE"/>
              </w:rPr>
              <w:t>725 839 166</w:t>
            </w:r>
          </w:p>
        </w:tc>
        <w:tc>
          <w:tcPr>
            <w:tcW w:w="1417" w:type="dxa"/>
            <w:vMerge w:val="restart"/>
            <w:vAlign w:val="center"/>
          </w:tcPr>
          <w:p w14:paraId="2409824D" w14:textId="48A579FC" w:rsidR="00E54E7A" w:rsidRPr="00E07B76" w:rsidRDefault="00FB2E8F" w:rsidP="00FB2E8F">
            <w:pPr>
              <w:pStyle w:val="Style40"/>
              <w:widowControl/>
              <w:jc w:val="center"/>
              <w:rPr>
                <w:rStyle w:val="FontStyle93"/>
                <w:sz w:val="18"/>
                <w:szCs w:val="18"/>
                <w:lang w:val="en-US" w:eastAsia="de-DE"/>
              </w:rPr>
            </w:pPr>
            <w:r>
              <w:rPr>
                <w:rStyle w:val="FontStyle93"/>
                <w:sz w:val="18"/>
                <w:szCs w:val="18"/>
                <w:lang w:eastAsia="de-DE"/>
              </w:rPr>
              <w:t>11,80</w:t>
            </w:r>
            <w:r w:rsidR="00E54E7A" w:rsidRPr="00C97E44">
              <w:rPr>
                <w:rStyle w:val="FontStyle93"/>
                <w:sz w:val="18"/>
                <w:szCs w:val="18"/>
                <w:lang w:val="en-US" w:eastAsia="de-DE"/>
              </w:rPr>
              <w:t xml:space="preserve"> %</w:t>
            </w:r>
          </w:p>
        </w:tc>
        <w:tc>
          <w:tcPr>
            <w:tcW w:w="2410" w:type="dxa"/>
            <w:vMerge w:val="restart"/>
            <w:vAlign w:val="center"/>
          </w:tcPr>
          <w:p w14:paraId="1BD87D25" w14:textId="77777777"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5B45BE9E" w14:textId="77777777"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14:paraId="1DAEACDC" w14:textId="77777777" w:rsidR="00E54E7A" w:rsidRPr="00BF0551" w:rsidRDefault="00E54E7A" w:rsidP="00EF2741">
            <w:pPr>
              <w:pStyle w:val="Style30"/>
              <w:widowControl/>
              <w:rPr>
                <w:color w:val="000000" w:themeColor="text1"/>
                <w:sz w:val="18"/>
                <w:szCs w:val="18"/>
              </w:rPr>
            </w:pPr>
            <w:r w:rsidRPr="00BF0551">
              <w:rPr>
                <w:color w:val="000000" w:themeColor="text1"/>
                <w:sz w:val="18"/>
                <w:szCs w:val="18"/>
              </w:rPr>
              <w:t>1.1 Odstránenie kľúčových úzkych miest na železničnej infraštruktúre prostredníctvom modernizácie a rozvoja hlavných železničných tratí a uzlov dopravne významných z hľadiska medzinárodnej a vnútroštátnej dopravy</w:t>
            </w:r>
          </w:p>
        </w:tc>
        <w:tc>
          <w:tcPr>
            <w:tcW w:w="2484" w:type="dxa"/>
            <w:vAlign w:val="center"/>
          </w:tcPr>
          <w:p w14:paraId="512A3841" w14:textId="45C4A263" w:rsidR="00E54E7A" w:rsidRPr="00BF0551" w:rsidRDefault="00E54E7A" w:rsidP="00EF2741">
            <w:pPr>
              <w:pStyle w:val="Style30"/>
              <w:widowControl/>
              <w:rPr>
                <w:color w:val="000000" w:themeColor="text1"/>
                <w:sz w:val="18"/>
                <w:szCs w:val="18"/>
              </w:rPr>
            </w:pPr>
            <w:r w:rsidRPr="00BF0551">
              <w:rPr>
                <w:color w:val="000000" w:themeColor="text1"/>
                <w:sz w:val="18"/>
                <w:szCs w:val="18"/>
              </w:rPr>
              <w:t>Úspora času v železničnej doprave</w:t>
            </w:r>
            <w:r w:rsidR="00043D5B">
              <w:rPr>
                <w:color w:val="000000" w:themeColor="text1"/>
                <w:sz w:val="18"/>
                <w:szCs w:val="18"/>
              </w:rPr>
              <w:t xml:space="preserve"> na základnej sieti TEN-T</w:t>
            </w:r>
          </w:p>
        </w:tc>
      </w:tr>
      <w:tr w:rsidR="00E54E7A" w:rsidRPr="00430B9D" w14:paraId="5AFB867D" w14:textId="77777777" w:rsidTr="00E54E7A">
        <w:trPr>
          <w:trHeight w:val="401"/>
          <w:jc w:val="center"/>
        </w:trPr>
        <w:tc>
          <w:tcPr>
            <w:tcW w:w="806" w:type="dxa"/>
            <w:vMerge/>
            <w:vAlign w:val="center"/>
          </w:tcPr>
          <w:p w14:paraId="7E00DB5B"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01EC2E38" w14:textId="77777777" w:rsidR="00E54E7A" w:rsidRPr="00BF0551" w:rsidRDefault="00E54E7A" w:rsidP="00EF2741">
            <w:pPr>
              <w:pStyle w:val="Style30"/>
              <w:widowControl/>
              <w:jc w:val="center"/>
              <w:rPr>
                <w:sz w:val="18"/>
                <w:szCs w:val="18"/>
              </w:rPr>
            </w:pPr>
          </w:p>
        </w:tc>
        <w:tc>
          <w:tcPr>
            <w:tcW w:w="1245" w:type="dxa"/>
            <w:vMerge/>
            <w:vAlign w:val="center"/>
          </w:tcPr>
          <w:p w14:paraId="5CB5CD12" w14:textId="77777777" w:rsidR="00E54E7A" w:rsidRPr="00BF0551" w:rsidRDefault="00E54E7A" w:rsidP="00EF2741">
            <w:pPr>
              <w:pStyle w:val="Style40"/>
              <w:widowControl/>
              <w:jc w:val="right"/>
              <w:rPr>
                <w:rStyle w:val="FontStyle93"/>
                <w:sz w:val="18"/>
                <w:szCs w:val="18"/>
                <w:lang w:eastAsia="de-DE"/>
              </w:rPr>
            </w:pPr>
          </w:p>
        </w:tc>
        <w:tc>
          <w:tcPr>
            <w:tcW w:w="1417" w:type="dxa"/>
            <w:vMerge/>
            <w:vAlign w:val="center"/>
          </w:tcPr>
          <w:p w14:paraId="45890442" w14:textId="77777777" w:rsidR="00E54E7A" w:rsidRPr="00E07B76" w:rsidRDefault="00E54E7A" w:rsidP="00EF2741">
            <w:pPr>
              <w:pStyle w:val="Style40"/>
              <w:widowControl/>
              <w:jc w:val="center"/>
              <w:rPr>
                <w:rStyle w:val="FontStyle93"/>
                <w:sz w:val="18"/>
                <w:szCs w:val="18"/>
                <w:lang w:eastAsia="de-DE"/>
              </w:rPr>
            </w:pPr>
          </w:p>
        </w:tc>
        <w:tc>
          <w:tcPr>
            <w:tcW w:w="2410" w:type="dxa"/>
            <w:vMerge/>
            <w:vAlign w:val="center"/>
          </w:tcPr>
          <w:p w14:paraId="347524DB" w14:textId="77777777" w:rsidR="00E54E7A" w:rsidRPr="00BF0551" w:rsidRDefault="00E54E7A" w:rsidP="00EF2741">
            <w:pPr>
              <w:pStyle w:val="Style40"/>
              <w:widowControl/>
              <w:rPr>
                <w:rStyle w:val="FontStyle93"/>
                <w:sz w:val="18"/>
                <w:szCs w:val="18"/>
                <w:lang w:eastAsia="de-DE"/>
              </w:rPr>
            </w:pPr>
          </w:p>
        </w:tc>
        <w:tc>
          <w:tcPr>
            <w:tcW w:w="2693" w:type="dxa"/>
            <w:vMerge/>
            <w:vAlign w:val="center"/>
          </w:tcPr>
          <w:p w14:paraId="0D13A6F9" w14:textId="77777777" w:rsidR="00E54E7A" w:rsidRPr="00BF0551" w:rsidRDefault="00E54E7A" w:rsidP="00EF2741">
            <w:pPr>
              <w:pStyle w:val="Style40"/>
              <w:widowControl/>
              <w:rPr>
                <w:rStyle w:val="FontStyle93"/>
                <w:sz w:val="18"/>
                <w:szCs w:val="18"/>
                <w:lang w:eastAsia="de-DE"/>
              </w:rPr>
            </w:pPr>
          </w:p>
        </w:tc>
        <w:tc>
          <w:tcPr>
            <w:tcW w:w="2609" w:type="dxa"/>
            <w:vMerge/>
            <w:vAlign w:val="center"/>
          </w:tcPr>
          <w:p w14:paraId="45F967E3" w14:textId="77777777" w:rsidR="00E54E7A" w:rsidRPr="00BF0551" w:rsidRDefault="00E54E7A" w:rsidP="00EF2741">
            <w:pPr>
              <w:pStyle w:val="Style30"/>
              <w:widowControl/>
              <w:rPr>
                <w:color w:val="000000" w:themeColor="text1"/>
                <w:sz w:val="18"/>
                <w:szCs w:val="18"/>
              </w:rPr>
            </w:pPr>
          </w:p>
        </w:tc>
        <w:tc>
          <w:tcPr>
            <w:tcW w:w="2484" w:type="dxa"/>
            <w:vAlign w:val="center"/>
          </w:tcPr>
          <w:p w14:paraId="0C13499B" w14:textId="77777777" w:rsidR="00E54E7A" w:rsidRPr="00BF0551" w:rsidRDefault="00E54E7A" w:rsidP="00EF2741">
            <w:pPr>
              <w:pStyle w:val="Style30"/>
              <w:widowControl/>
              <w:rPr>
                <w:color w:val="000000" w:themeColor="text1"/>
                <w:sz w:val="18"/>
                <w:szCs w:val="18"/>
              </w:rPr>
            </w:pPr>
            <w:r>
              <w:rPr>
                <w:color w:val="000000" w:themeColor="text1"/>
                <w:sz w:val="18"/>
                <w:szCs w:val="18"/>
              </w:rPr>
              <w:t>Úspora produkcie emisií PM</w:t>
            </w:r>
            <w:r w:rsidRPr="00E54E7A">
              <w:rPr>
                <w:color w:val="000000" w:themeColor="text1"/>
                <w:sz w:val="18"/>
                <w:szCs w:val="18"/>
                <w:vertAlign w:val="subscript"/>
              </w:rPr>
              <w:t>10</w:t>
            </w:r>
            <w:r>
              <w:rPr>
                <w:color w:val="000000" w:themeColor="text1"/>
                <w:sz w:val="18"/>
                <w:szCs w:val="18"/>
              </w:rPr>
              <w:t xml:space="preserve"> (vplyvom modernizácie tratí)</w:t>
            </w:r>
          </w:p>
        </w:tc>
      </w:tr>
      <w:tr w:rsidR="00E54E7A" w:rsidRPr="00430B9D" w14:paraId="14CCC8DF" w14:textId="77777777" w:rsidTr="00543AEB">
        <w:trPr>
          <w:trHeight w:val="400"/>
          <w:jc w:val="center"/>
        </w:trPr>
        <w:tc>
          <w:tcPr>
            <w:tcW w:w="806" w:type="dxa"/>
            <w:vMerge/>
            <w:vAlign w:val="center"/>
          </w:tcPr>
          <w:p w14:paraId="7E6358AD"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444DDAEF" w14:textId="77777777" w:rsidR="00E54E7A" w:rsidRPr="00BF0551" w:rsidRDefault="00E54E7A" w:rsidP="00EF2741">
            <w:pPr>
              <w:pStyle w:val="Style30"/>
              <w:widowControl/>
              <w:jc w:val="center"/>
              <w:rPr>
                <w:sz w:val="18"/>
                <w:szCs w:val="18"/>
              </w:rPr>
            </w:pPr>
          </w:p>
        </w:tc>
        <w:tc>
          <w:tcPr>
            <w:tcW w:w="1245" w:type="dxa"/>
            <w:vMerge/>
            <w:vAlign w:val="center"/>
          </w:tcPr>
          <w:p w14:paraId="79D4E6DA" w14:textId="77777777" w:rsidR="00E54E7A" w:rsidRPr="00BF0551" w:rsidRDefault="00E54E7A" w:rsidP="00EF2741">
            <w:pPr>
              <w:pStyle w:val="Style40"/>
              <w:widowControl/>
              <w:jc w:val="right"/>
              <w:rPr>
                <w:rStyle w:val="FontStyle93"/>
                <w:sz w:val="18"/>
                <w:szCs w:val="18"/>
                <w:lang w:eastAsia="de-DE"/>
              </w:rPr>
            </w:pPr>
          </w:p>
        </w:tc>
        <w:tc>
          <w:tcPr>
            <w:tcW w:w="1417" w:type="dxa"/>
            <w:vMerge/>
            <w:vAlign w:val="center"/>
          </w:tcPr>
          <w:p w14:paraId="77A925D7" w14:textId="77777777" w:rsidR="00E54E7A" w:rsidRPr="00E07B76" w:rsidRDefault="00E54E7A" w:rsidP="00EF2741">
            <w:pPr>
              <w:pStyle w:val="Style40"/>
              <w:widowControl/>
              <w:jc w:val="center"/>
              <w:rPr>
                <w:rStyle w:val="FontStyle93"/>
                <w:sz w:val="18"/>
                <w:szCs w:val="18"/>
                <w:lang w:eastAsia="de-DE"/>
              </w:rPr>
            </w:pPr>
          </w:p>
        </w:tc>
        <w:tc>
          <w:tcPr>
            <w:tcW w:w="2410" w:type="dxa"/>
            <w:vMerge/>
            <w:vAlign w:val="center"/>
          </w:tcPr>
          <w:p w14:paraId="2F1D91A2" w14:textId="77777777" w:rsidR="00E54E7A" w:rsidRPr="00BF0551" w:rsidRDefault="00E54E7A" w:rsidP="00EF2741">
            <w:pPr>
              <w:pStyle w:val="Style40"/>
              <w:widowControl/>
              <w:rPr>
                <w:rStyle w:val="FontStyle93"/>
                <w:sz w:val="18"/>
                <w:szCs w:val="18"/>
                <w:lang w:eastAsia="de-DE"/>
              </w:rPr>
            </w:pPr>
          </w:p>
        </w:tc>
        <w:tc>
          <w:tcPr>
            <w:tcW w:w="2693" w:type="dxa"/>
            <w:vMerge/>
            <w:vAlign w:val="center"/>
          </w:tcPr>
          <w:p w14:paraId="1C68B651" w14:textId="77777777" w:rsidR="00E54E7A" w:rsidRPr="00BF0551" w:rsidRDefault="00E54E7A" w:rsidP="00EF2741">
            <w:pPr>
              <w:pStyle w:val="Style40"/>
              <w:widowControl/>
              <w:rPr>
                <w:rStyle w:val="FontStyle93"/>
                <w:sz w:val="18"/>
                <w:szCs w:val="18"/>
                <w:lang w:eastAsia="de-DE"/>
              </w:rPr>
            </w:pPr>
          </w:p>
        </w:tc>
        <w:tc>
          <w:tcPr>
            <w:tcW w:w="2609" w:type="dxa"/>
            <w:vMerge/>
            <w:vAlign w:val="center"/>
          </w:tcPr>
          <w:p w14:paraId="7826F952" w14:textId="77777777" w:rsidR="00E54E7A" w:rsidRPr="00BF0551" w:rsidRDefault="00E54E7A" w:rsidP="00EF2741">
            <w:pPr>
              <w:pStyle w:val="Style30"/>
              <w:widowControl/>
              <w:rPr>
                <w:color w:val="000000" w:themeColor="text1"/>
                <w:sz w:val="18"/>
                <w:szCs w:val="18"/>
              </w:rPr>
            </w:pPr>
          </w:p>
        </w:tc>
        <w:tc>
          <w:tcPr>
            <w:tcW w:w="2484" w:type="dxa"/>
            <w:vAlign w:val="center"/>
          </w:tcPr>
          <w:p w14:paraId="0A37ABF7" w14:textId="77777777" w:rsidR="00E54E7A" w:rsidRPr="00BF0551" w:rsidRDefault="00E54E7A" w:rsidP="00E54E7A">
            <w:pPr>
              <w:pStyle w:val="Style30"/>
              <w:widowControl/>
              <w:rPr>
                <w:color w:val="000000" w:themeColor="text1"/>
                <w:sz w:val="18"/>
                <w:szCs w:val="18"/>
              </w:rPr>
            </w:pPr>
            <w:r>
              <w:rPr>
                <w:color w:val="000000" w:themeColor="text1"/>
                <w:sz w:val="18"/>
                <w:szCs w:val="18"/>
              </w:rPr>
              <w:t>Úspora produkcie emisií NO</w:t>
            </w:r>
            <w:r w:rsidRPr="00E54E7A">
              <w:rPr>
                <w:color w:val="000000" w:themeColor="text1"/>
                <w:sz w:val="18"/>
                <w:szCs w:val="18"/>
                <w:vertAlign w:val="subscript"/>
              </w:rPr>
              <w:t>2</w:t>
            </w:r>
            <w:r>
              <w:rPr>
                <w:color w:val="000000" w:themeColor="text1"/>
                <w:sz w:val="18"/>
                <w:szCs w:val="18"/>
              </w:rPr>
              <w:t xml:space="preserve"> (vplyvom modernizácie tratí)</w:t>
            </w:r>
          </w:p>
        </w:tc>
      </w:tr>
      <w:tr w:rsidR="00E54E7A" w:rsidRPr="00430B9D" w14:paraId="2F8537EF" w14:textId="77777777" w:rsidTr="00543AEB">
        <w:trPr>
          <w:trHeight w:val="198"/>
          <w:jc w:val="center"/>
        </w:trPr>
        <w:tc>
          <w:tcPr>
            <w:tcW w:w="806" w:type="dxa"/>
            <w:vMerge/>
          </w:tcPr>
          <w:p w14:paraId="0F42D7F3"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12633CF4" w14:textId="77777777" w:rsidR="00E54E7A" w:rsidRPr="00BF0551" w:rsidRDefault="00E54E7A" w:rsidP="00EF2741">
            <w:pPr>
              <w:pStyle w:val="Style30"/>
              <w:widowControl/>
              <w:jc w:val="center"/>
              <w:rPr>
                <w:sz w:val="18"/>
                <w:szCs w:val="18"/>
              </w:rPr>
            </w:pPr>
          </w:p>
        </w:tc>
        <w:tc>
          <w:tcPr>
            <w:tcW w:w="1245" w:type="dxa"/>
            <w:vMerge/>
            <w:vAlign w:val="center"/>
          </w:tcPr>
          <w:p w14:paraId="04260E8C" w14:textId="77777777" w:rsidR="00E54E7A" w:rsidRPr="00BF0551" w:rsidRDefault="00E54E7A" w:rsidP="00EF2741">
            <w:pPr>
              <w:pStyle w:val="Style40"/>
              <w:widowControl/>
              <w:jc w:val="right"/>
              <w:rPr>
                <w:rStyle w:val="FontStyle93"/>
                <w:sz w:val="18"/>
                <w:szCs w:val="18"/>
                <w:lang w:eastAsia="de-DE"/>
              </w:rPr>
            </w:pPr>
          </w:p>
        </w:tc>
        <w:tc>
          <w:tcPr>
            <w:tcW w:w="1417" w:type="dxa"/>
            <w:vMerge/>
          </w:tcPr>
          <w:p w14:paraId="4308C349" w14:textId="77777777" w:rsidR="00E54E7A" w:rsidRPr="00E07B76" w:rsidRDefault="00E54E7A" w:rsidP="00EF2741">
            <w:pPr>
              <w:pStyle w:val="Style40"/>
              <w:widowControl/>
              <w:rPr>
                <w:rStyle w:val="FontStyle93"/>
                <w:sz w:val="18"/>
                <w:szCs w:val="18"/>
                <w:lang w:eastAsia="de-DE"/>
              </w:rPr>
            </w:pPr>
          </w:p>
        </w:tc>
        <w:tc>
          <w:tcPr>
            <w:tcW w:w="2410" w:type="dxa"/>
            <w:vMerge/>
          </w:tcPr>
          <w:p w14:paraId="4238AABA" w14:textId="77777777" w:rsidR="00E54E7A" w:rsidRPr="00BF0551" w:rsidRDefault="00E54E7A" w:rsidP="00EF2741">
            <w:pPr>
              <w:pStyle w:val="Style40"/>
              <w:widowControl/>
              <w:rPr>
                <w:rStyle w:val="FontStyle93"/>
                <w:sz w:val="18"/>
                <w:szCs w:val="18"/>
                <w:lang w:eastAsia="de-DE"/>
              </w:rPr>
            </w:pPr>
          </w:p>
        </w:tc>
        <w:tc>
          <w:tcPr>
            <w:tcW w:w="2693" w:type="dxa"/>
            <w:vMerge w:val="restart"/>
            <w:vAlign w:val="center"/>
          </w:tcPr>
          <w:p w14:paraId="12FA67EE" w14:textId="77777777"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Vývoj a modernizácia komplexných, interoperabilných železničných systémov vysokej kvality a podpora opatrení na znižovanie hluku</w:t>
            </w:r>
          </w:p>
        </w:tc>
        <w:tc>
          <w:tcPr>
            <w:tcW w:w="2609" w:type="dxa"/>
            <w:vAlign w:val="center"/>
          </w:tcPr>
          <w:p w14:paraId="2B71DE71" w14:textId="77777777" w:rsidR="00E54E7A" w:rsidRPr="00BF0551" w:rsidRDefault="00E54E7A" w:rsidP="004E0840">
            <w:pPr>
              <w:pStyle w:val="Style30"/>
              <w:widowControl/>
              <w:rPr>
                <w:color w:val="000000" w:themeColor="text1"/>
                <w:sz w:val="18"/>
                <w:szCs w:val="18"/>
              </w:rPr>
            </w:pPr>
            <w:r w:rsidRPr="00BF0551">
              <w:rPr>
                <w:color w:val="000000" w:themeColor="text1"/>
                <w:sz w:val="18"/>
                <w:szCs w:val="18"/>
              </w:rPr>
              <w:t>1.2 Zlepšenie technických podmienok pre prevádzku medzinárodnej železničnej dopravy prostredníctvom implementácie vybraných prvkov TSI na najdôležitejších tratiach pre medzinárodnú dopravu (TEN-T CORE)</w:t>
            </w:r>
          </w:p>
        </w:tc>
        <w:tc>
          <w:tcPr>
            <w:tcW w:w="2484" w:type="dxa"/>
            <w:vAlign w:val="center"/>
          </w:tcPr>
          <w:p w14:paraId="4A6F6BBE" w14:textId="77777777" w:rsidR="00E54E7A" w:rsidRPr="00BF0551" w:rsidRDefault="00E54E7A" w:rsidP="00EF2741">
            <w:pPr>
              <w:pStyle w:val="Style30"/>
              <w:widowControl/>
              <w:rPr>
                <w:color w:val="000000" w:themeColor="text1"/>
                <w:sz w:val="18"/>
                <w:szCs w:val="18"/>
              </w:rPr>
            </w:pPr>
            <w:r w:rsidRPr="00BF0551">
              <w:rPr>
                <w:color w:val="000000" w:themeColor="text1"/>
                <w:sz w:val="18"/>
                <w:szCs w:val="18"/>
              </w:rPr>
              <w:t>Celkový objem medzinárodnej prepravy na koridore TEN-T Orient/východné Stredomorie (úsek št. hr. ČR/SR - Kúty – Bratislava)</w:t>
            </w:r>
          </w:p>
        </w:tc>
      </w:tr>
      <w:tr w:rsidR="00E54E7A" w:rsidRPr="00430B9D" w14:paraId="12DFA81E" w14:textId="77777777" w:rsidTr="00543AEB">
        <w:trPr>
          <w:trHeight w:val="198"/>
          <w:jc w:val="center"/>
        </w:trPr>
        <w:tc>
          <w:tcPr>
            <w:tcW w:w="806" w:type="dxa"/>
            <w:vMerge/>
          </w:tcPr>
          <w:p w14:paraId="24BF927C"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64635D89" w14:textId="77777777" w:rsidR="00E54E7A" w:rsidRPr="00BF0551" w:rsidRDefault="00E54E7A" w:rsidP="00EF2741">
            <w:pPr>
              <w:pStyle w:val="Style30"/>
              <w:widowControl/>
              <w:jc w:val="center"/>
              <w:rPr>
                <w:sz w:val="18"/>
                <w:szCs w:val="18"/>
              </w:rPr>
            </w:pPr>
          </w:p>
        </w:tc>
        <w:tc>
          <w:tcPr>
            <w:tcW w:w="1245" w:type="dxa"/>
            <w:vMerge/>
            <w:vAlign w:val="center"/>
          </w:tcPr>
          <w:p w14:paraId="53083D57" w14:textId="77777777" w:rsidR="00E54E7A" w:rsidRPr="00BF0551" w:rsidRDefault="00E54E7A" w:rsidP="00EF2741">
            <w:pPr>
              <w:pStyle w:val="Style40"/>
              <w:widowControl/>
              <w:jc w:val="right"/>
              <w:rPr>
                <w:rStyle w:val="FontStyle93"/>
                <w:sz w:val="18"/>
                <w:szCs w:val="18"/>
                <w:lang w:eastAsia="de-DE"/>
              </w:rPr>
            </w:pPr>
          </w:p>
        </w:tc>
        <w:tc>
          <w:tcPr>
            <w:tcW w:w="1417" w:type="dxa"/>
            <w:vMerge/>
          </w:tcPr>
          <w:p w14:paraId="7E261402" w14:textId="77777777" w:rsidR="00E54E7A" w:rsidRPr="00E07B76" w:rsidRDefault="00E54E7A" w:rsidP="00EF2741">
            <w:pPr>
              <w:pStyle w:val="Style40"/>
              <w:widowControl/>
              <w:rPr>
                <w:rStyle w:val="FontStyle93"/>
                <w:sz w:val="18"/>
                <w:szCs w:val="18"/>
                <w:lang w:eastAsia="de-DE"/>
              </w:rPr>
            </w:pPr>
          </w:p>
        </w:tc>
        <w:tc>
          <w:tcPr>
            <w:tcW w:w="2410" w:type="dxa"/>
            <w:vMerge/>
          </w:tcPr>
          <w:p w14:paraId="15DA9607" w14:textId="77777777" w:rsidR="00E54E7A" w:rsidRPr="00BF0551" w:rsidRDefault="00E54E7A" w:rsidP="00EF2741">
            <w:pPr>
              <w:pStyle w:val="Style40"/>
              <w:widowControl/>
              <w:rPr>
                <w:rStyle w:val="FontStyle93"/>
                <w:sz w:val="18"/>
                <w:szCs w:val="18"/>
                <w:lang w:eastAsia="de-DE"/>
              </w:rPr>
            </w:pPr>
          </w:p>
        </w:tc>
        <w:tc>
          <w:tcPr>
            <w:tcW w:w="2693" w:type="dxa"/>
            <w:vMerge/>
            <w:vAlign w:val="center"/>
          </w:tcPr>
          <w:p w14:paraId="7DBA4369" w14:textId="77777777" w:rsidR="00E54E7A" w:rsidRPr="00BF0551" w:rsidRDefault="00E54E7A" w:rsidP="00EF2741">
            <w:pPr>
              <w:pStyle w:val="Style40"/>
              <w:widowControl/>
              <w:rPr>
                <w:rStyle w:val="FontStyle93"/>
                <w:sz w:val="18"/>
                <w:szCs w:val="18"/>
                <w:lang w:eastAsia="de-DE"/>
              </w:rPr>
            </w:pPr>
          </w:p>
        </w:tc>
        <w:tc>
          <w:tcPr>
            <w:tcW w:w="2609" w:type="dxa"/>
            <w:vAlign w:val="center"/>
          </w:tcPr>
          <w:p w14:paraId="6DB90E2D" w14:textId="77777777" w:rsidR="00E54E7A" w:rsidRPr="00BF0551" w:rsidRDefault="00E54E7A" w:rsidP="00EF2741">
            <w:pPr>
              <w:pStyle w:val="Style30"/>
              <w:widowControl/>
              <w:rPr>
                <w:color w:val="000000" w:themeColor="text1"/>
                <w:sz w:val="18"/>
                <w:szCs w:val="18"/>
              </w:rPr>
            </w:pPr>
            <w:r w:rsidRPr="00BF0551">
              <w:rPr>
                <w:color w:val="000000" w:themeColor="text1"/>
                <w:sz w:val="18"/>
                <w:szCs w:val="18"/>
              </w:rPr>
              <w:t>1.3 Zvýšenie atraktivity a kvality služieb železničnej verejnej osobnej dopravy prostredníctvom obnovy mobilných prostriedkov</w:t>
            </w:r>
          </w:p>
        </w:tc>
        <w:tc>
          <w:tcPr>
            <w:tcW w:w="2484" w:type="dxa"/>
            <w:vAlign w:val="center"/>
          </w:tcPr>
          <w:p w14:paraId="6F61B813" w14:textId="77777777" w:rsidR="00E54E7A" w:rsidRPr="00BF0551" w:rsidRDefault="00E54E7A" w:rsidP="00EF2741">
            <w:pPr>
              <w:pStyle w:val="Style30"/>
              <w:widowControl/>
              <w:rPr>
                <w:bCs/>
                <w:color w:val="000000" w:themeColor="text1"/>
                <w:sz w:val="18"/>
                <w:szCs w:val="18"/>
              </w:rPr>
            </w:pPr>
            <w:r w:rsidRPr="00BF0551">
              <w:rPr>
                <w:bCs/>
                <w:color w:val="000000" w:themeColor="text1"/>
                <w:sz w:val="18"/>
                <w:szCs w:val="18"/>
              </w:rPr>
              <w:t>Počet prepravených cestujúcich vo verejnej železničnej osobnej doprave</w:t>
            </w:r>
          </w:p>
        </w:tc>
      </w:tr>
      <w:tr w:rsidR="00A14443" w:rsidRPr="00430B9D" w14:paraId="4FCAB763" w14:textId="77777777" w:rsidTr="00543AEB">
        <w:trPr>
          <w:trHeight w:val="1035"/>
          <w:jc w:val="center"/>
        </w:trPr>
        <w:tc>
          <w:tcPr>
            <w:tcW w:w="806" w:type="dxa"/>
            <w:vMerge w:val="restart"/>
            <w:vAlign w:val="center"/>
          </w:tcPr>
          <w:p w14:paraId="29413A14" w14:textId="77777777" w:rsidR="00A14443" w:rsidRPr="00BF0551" w:rsidRDefault="00A14443" w:rsidP="00EF2741">
            <w:pPr>
              <w:pStyle w:val="Style40"/>
              <w:widowControl/>
              <w:rPr>
                <w:rStyle w:val="FontStyle93"/>
                <w:sz w:val="18"/>
                <w:szCs w:val="18"/>
                <w:lang w:eastAsia="en-US"/>
              </w:rPr>
            </w:pPr>
            <w:r w:rsidRPr="00BF0551">
              <w:rPr>
                <w:rStyle w:val="FontStyle93"/>
                <w:sz w:val="18"/>
                <w:szCs w:val="18"/>
                <w:lang w:eastAsia="en-US"/>
              </w:rPr>
              <w:t>PO 2</w:t>
            </w:r>
          </w:p>
        </w:tc>
        <w:tc>
          <w:tcPr>
            <w:tcW w:w="606" w:type="dxa"/>
            <w:vMerge w:val="restart"/>
            <w:vAlign w:val="center"/>
          </w:tcPr>
          <w:p w14:paraId="465DC710" w14:textId="77777777" w:rsidR="00A14443" w:rsidRPr="00BF0551" w:rsidRDefault="00A14443" w:rsidP="00EF2741">
            <w:pPr>
              <w:pStyle w:val="Style30"/>
              <w:widowControl/>
              <w:jc w:val="center"/>
              <w:rPr>
                <w:sz w:val="18"/>
                <w:szCs w:val="18"/>
              </w:rPr>
            </w:pPr>
            <w:r w:rsidRPr="00BF0551">
              <w:rPr>
                <w:sz w:val="18"/>
                <w:szCs w:val="18"/>
              </w:rPr>
              <w:t>KF</w:t>
            </w:r>
          </w:p>
        </w:tc>
        <w:tc>
          <w:tcPr>
            <w:tcW w:w="1245" w:type="dxa"/>
            <w:vMerge w:val="restart"/>
            <w:vAlign w:val="center"/>
          </w:tcPr>
          <w:p w14:paraId="16AA9AB0" w14:textId="77777777" w:rsidR="00A14443" w:rsidRPr="00BF0551" w:rsidRDefault="00A14443" w:rsidP="00EF2741">
            <w:pPr>
              <w:pStyle w:val="Style30"/>
              <w:jc w:val="right"/>
              <w:rPr>
                <w:rStyle w:val="FontStyle93"/>
                <w:sz w:val="18"/>
                <w:szCs w:val="18"/>
                <w:lang w:eastAsia="de-DE"/>
              </w:rPr>
            </w:pPr>
            <w:r w:rsidRPr="00BF0551">
              <w:rPr>
                <w:rStyle w:val="FontStyle93"/>
                <w:sz w:val="18"/>
                <w:szCs w:val="18"/>
                <w:lang w:eastAsia="de-DE"/>
              </w:rPr>
              <w:t>1 142 500 000</w:t>
            </w:r>
          </w:p>
        </w:tc>
        <w:tc>
          <w:tcPr>
            <w:tcW w:w="1417" w:type="dxa"/>
            <w:vMerge w:val="restart"/>
            <w:vAlign w:val="center"/>
          </w:tcPr>
          <w:p w14:paraId="29FD1EAA" w14:textId="0F458CEB" w:rsidR="00A14443" w:rsidRPr="00E07B76" w:rsidRDefault="00FB2E8F" w:rsidP="00FB2E8F">
            <w:pPr>
              <w:pStyle w:val="Style40"/>
              <w:widowControl/>
              <w:jc w:val="center"/>
              <w:rPr>
                <w:rStyle w:val="FontStyle93"/>
                <w:sz w:val="18"/>
                <w:szCs w:val="18"/>
                <w:lang w:eastAsia="de-DE"/>
              </w:rPr>
            </w:pPr>
            <w:r>
              <w:rPr>
                <w:rStyle w:val="FontStyle93"/>
                <w:sz w:val="18"/>
                <w:szCs w:val="18"/>
                <w:lang w:eastAsia="de-DE"/>
              </w:rPr>
              <w:t>18,58</w:t>
            </w:r>
            <w:r w:rsidR="00A14443" w:rsidRPr="00E07B76">
              <w:rPr>
                <w:rStyle w:val="FontStyle93"/>
                <w:sz w:val="18"/>
                <w:szCs w:val="18"/>
                <w:lang w:val="en-US" w:eastAsia="de-DE"/>
              </w:rPr>
              <w:t xml:space="preserve"> %</w:t>
            </w:r>
          </w:p>
        </w:tc>
        <w:tc>
          <w:tcPr>
            <w:tcW w:w="2410" w:type="dxa"/>
            <w:vMerge w:val="restart"/>
            <w:vAlign w:val="center"/>
          </w:tcPr>
          <w:p w14:paraId="6E8E3998" w14:textId="77777777" w:rsidR="00A14443" w:rsidRPr="00BF0551" w:rsidRDefault="00A14443" w:rsidP="00EF2741">
            <w:pPr>
              <w:pStyle w:val="Style40"/>
              <w:widowControl/>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61447441" w14:textId="77777777" w:rsidR="00A14443" w:rsidRPr="00BF0551" w:rsidRDefault="00A14443"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14:paraId="1A2CBB28" w14:textId="77777777" w:rsidR="00A14443" w:rsidRPr="00BF0551" w:rsidRDefault="00A14443" w:rsidP="00EF2741">
            <w:pPr>
              <w:pStyle w:val="Style30"/>
              <w:widowControl/>
              <w:rPr>
                <w:color w:val="000000" w:themeColor="text1"/>
                <w:sz w:val="18"/>
                <w:szCs w:val="18"/>
              </w:rPr>
            </w:pPr>
            <w:r w:rsidRPr="00BF0551">
              <w:rPr>
                <w:color w:val="000000" w:themeColor="text1"/>
                <w:sz w:val="18"/>
                <w:szCs w:val="18"/>
              </w:rPr>
              <w:t>2.1 Odstránenie kľúčových úzkych miest na cestnej infraštruktúre TEN-T prostredníctvom výstavby nových úsekov diaľnic a rýchlostných ciest</w:t>
            </w:r>
          </w:p>
        </w:tc>
        <w:tc>
          <w:tcPr>
            <w:tcW w:w="2484" w:type="dxa"/>
            <w:vAlign w:val="center"/>
          </w:tcPr>
          <w:p w14:paraId="4114A354" w14:textId="77777777" w:rsidR="00A14443" w:rsidRPr="00BF0551" w:rsidRDefault="00A14443" w:rsidP="00EF2741">
            <w:pPr>
              <w:pStyle w:val="Style30"/>
              <w:widowControl/>
              <w:rPr>
                <w:color w:val="000000" w:themeColor="text1"/>
                <w:sz w:val="18"/>
                <w:szCs w:val="18"/>
              </w:rPr>
            </w:pPr>
            <w:r w:rsidRPr="00BF0551">
              <w:rPr>
                <w:color w:val="000000" w:themeColor="text1"/>
                <w:sz w:val="18"/>
                <w:szCs w:val="18"/>
              </w:rPr>
              <w:t>Úspora času v cestnej doprave na diaľniciach a rýchlostných cestách</w:t>
            </w:r>
          </w:p>
        </w:tc>
      </w:tr>
      <w:tr w:rsidR="00A14443" w:rsidRPr="00430B9D" w14:paraId="6F01921B" w14:textId="77777777" w:rsidTr="00A14443">
        <w:trPr>
          <w:trHeight w:val="694"/>
          <w:jc w:val="center"/>
        </w:trPr>
        <w:tc>
          <w:tcPr>
            <w:tcW w:w="806" w:type="dxa"/>
            <w:vMerge/>
            <w:vAlign w:val="center"/>
          </w:tcPr>
          <w:p w14:paraId="2EEA440E" w14:textId="77777777" w:rsidR="00A14443" w:rsidRPr="00BF0551" w:rsidRDefault="00A14443" w:rsidP="00EF2741">
            <w:pPr>
              <w:pStyle w:val="Style40"/>
              <w:widowControl/>
              <w:rPr>
                <w:rStyle w:val="FontStyle93"/>
                <w:sz w:val="18"/>
                <w:szCs w:val="18"/>
                <w:lang w:eastAsia="en-US"/>
              </w:rPr>
            </w:pPr>
          </w:p>
        </w:tc>
        <w:tc>
          <w:tcPr>
            <w:tcW w:w="606" w:type="dxa"/>
            <w:vMerge/>
            <w:vAlign w:val="center"/>
          </w:tcPr>
          <w:p w14:paraId="6C41A6EC" w14:textId="77777777" w:rsidR="00A14443" w:rsidRPr="00BF0551" w:rsidRDefault="00A14443" w:rsidP="00EF2741">
            <w:pPr>
              <w:pStyle w:val="Style30"/>
              <w:widowControl/>
              <w:jc w:val="center"/>
              <w:rPr>
                <w:sz w:val="18"/>
                <w:szCs w:val="18"/>
              </w:rPr>
            </w:pPr>
          </w:p>
        </w:tc>
        <w:tc>
          <w:tcPr>
            <w:tcW w:w="1245" w:type="dxa"/>
            <w:vMerge/>
            <w:vAlign w:val="center"/>
          </w:tcPr>
          <w:p w14:paraId="2DADA3C5" w14:textId="77777777" w:rsidR="00A14443" w:rsidRPr="00BF0551" w:rsidRDefault="00A14443" w:rsidP="00EF2741">
            <w:pPr>
              <w:pStyle w:val="Style30"/>
              <w:jc w:val="right"/>
              <w:rPr>
                <w:rStyle w:val="FontStyle93"/>
                <w:sz w:val="18"/>
                <w:szCs w:val="18"/>
                <w:lang w:eastAsia="de-DE"/>
              </w:rPr>
            </w:pPr>
          </w:p>
        </w:tc>
        <w:tc>
          <w:tcPr>
            <w:tcW w:w="1417" w:type="dxa"/>
            <w:vMerge/>
            <w:vAlign w:val="center"/>
          </w:tcPr>
          <w:p w14:paraId="7970961A" w14:textId="77777777" w:rsidR="00A14443" w:rsidRPr="00B754C0" w:rsidRDefault="00A14443" w:rsidP="00EF2741">
            <w:pPr>
              <w:pStyle w:val="Style40"/>
              <w:widowControl/>
              <w:jc w:val="center"/>
              <w:rPr>
                <w:rStyle w:val="FontStyle93"/>
                <w:sz w:val="18"/>
                <w:szCs w:val="18"/>
                <w:highlight w:val="yellow"/>
                <w:lang w:eastAsia="de-DE"/>
              </w:rPr>
            </w:pPr>
          </w:p>
        </w:tc>
        <w:tc>
          <w:tcPr>
            <w:tcW w:w="2410" w:type="dxa"/>
            <w:vMerge/>
            <w:vAlign w:val="center"/>
          </w:tcPr>
          <w:p w14:paraId="6F3B65F8" w14:textId="77777777" w:rsidR="00A14443" w:rsidRPr="00BF0551" w:rsidRDefault="00A14443" w:rsidP="00EF2741">
            <w:pPr>
              <w:pStyle w:val="Style40"/>
              <w:widowControl/>
              <w:rPr>
                <w:rStyle w:val="FontStyle93"/>
                <w:sz w:val="18"/>
                <w:szCs w:val="18"/>
                <w:lang w:eastAsia="de-DE"/>
              </w:rPr>
            </w:pPr>
          </w:p>
        </w:tc>
        <w:tc>
          <w:tcPr>
            <w:tcW w:w="2693" w:type="dxa"/>
            <w:vMerge/>
            <w:vAlign w:val="center"/>
          </w:tcPr>
          <w:p w14:paraId="54C3C51E" w14:textId="77777777" w:rsidR="00A14443" w:rsidRPr="00BF0551" w:rsidRDefault="00A14443" w:rsidP="00EF2741">
            <w:pPr>
              <w:pStyle w:val="Style40"/>
              <w:widowControl/>
              <w:rPr>
                <w:rStyle w:val="FontStyle93"/>
                <w:sz w:val="18"/>
                <w:szCs w:val="18"/>
                <w:lang w:eastAsia="de-DE"/>
              </w:rPr>
            </w:pPr>
          </w:p>
        </w:tc>
        <w:tc>
          <w:tcPr>
            <w:tcW w:w="2609" w:type="dxa"/>
            <w:vMerge/>
            <w:vAlign w:val="center"/>
          </w:tcPr>
          <w:p w14:paraId="756DEAA2" w14:textId="77777777" w:rsidR="00A14443" w:rsidRPr="00BF0551" w:rsidRDefault="00A14443" w:rsidP="00EF2741">
            <w:pPr>
              <w:pStyle w:val="Style30"/>
              <w:widowControl/>
              <w:rPr>
                <w:color w:val="000000" w:themeColor="text1"/>
                <w:sz w:val="18"/>
                <w:szCs w:val="18"/>
              </w:rPr>
            </w:pPr>
          </w:p>
        </w:tc>
        <w:tc>
          <w:tcPr>
            <w:tcW w:w="2484" w:type="dxa"/>
            <w:vAlign w:val="center"/>
          </w:tcPr>
          <w:p w14:paraId="14CF47C8" w14:textId="77777777" w:rsidR="00A14443" w:rsidRPr="00BF0551" w:rsidRDefault="00A14443" w:rsidP="00A14443">
            <w:pPr>
              <w:pStyle w:val="Style30"/>
              <w:widowControl/>
              <w:rPr>
                <w:color w:val="000000" w:themeColor="text1"/>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 diaľnic)</w:t>
            </w:r>
          </w:p>
        </w:tc>
      </w:tr>
      <w:tr w:rsidR="00A14443" w:rsidRPr="00430B9D" w14:paraId="4DBE9545" w14:textId="77777777" w:rsidTr="00A14443">
        <w:trPr>
          <w:trHeight w:val="704"/>
          <w:jc w:val="center"/>
        </w:trPr>
        <w:tc>
          <w:tcPr>
            <w:tcW w:w="806" w:type="dxa"/>
            <w:vMerge/>
            <w:vAlign w:val="center"/>
          </w:tcPr>
          <w:p w14:paraId="2A4EF678" w14:textId="77777777" w:rsidR="00A14443" w:rsidRPr="00BF0551" w:rsidRDefault="00A14443" w:rsidP="00EF2741">
            <w:pPr>
              <w:pStyle w:val="Style40"/>
              <w:widowControl/>
              <w:rPr>
                <w:rStyle w:val="FontStyle93"/>
                <w:sz w:val="18"/>
                <w:szCs w:val="18"/>
                <w:lang w:eastAsia="en-US"/>
              </w:rPr>
            </w:pPr>
          </w:p>
        </w:tc>
        <w:tc>
          <w:tcPr>
            <w:tcW w:w="606" w:type="dxa"/>
            <w:vMerge/>
            <w:vAlign w:val="center"/>
          </w:tcPr>
          <w:p w14:paraId="3252195C" w14:textId="77777777" w:rsidR="00A14443" w:rsidRPr="00BF0551" w:rsidRDefault="00A14443" w:rsidP="00EF2741">
            <w:pPr>
              <w:pStyle w:val="Style30"/>
              <w:widowControl/>
              <w:jc w:val="center"/>
              <w:rPr>
                <w:sz w:val="18"/>
                <w:szCs w:val="18"/>
              </w:rPr>
            </w:pPr>
          </w:p>
        </w:tc>
        <w:tc>
          <w:tcPr>
            <w:tcW w:w="1245" w:type="dxa"/>
            <w:vMerge/>
            <w:vAlign w:val="center"/>
          </w:tcPr>
          <w:p w14:paraId="12A3A801" w14:textId="77777777" w:rsidR="00A14443" w:rsidRPr="00BF0551" w:rsidRDefault="00A14443" w:rsidP="00EF2741">
            <w:pPr>
              <w:pStyle w:val="Style30"/>
              <w:jc w:val="right"/>
              <w:rPr>
                <w:rStyle w:val="FontStyle93"/>
                <w:sz w:val="18"/>
                <w:szCs w:val="18"/>
                <w:lang w:eastAsia="de-DE"/>
              </w:rPr>
            </w:pPr>
          </w:p>
        </w:tc>
        <w:tc>
          <w:tcPr>
            <w:tcW w:w="1417" w:type="dxa"/>
            <w:vMerge/>
            <w:vAlign w:val="center"/>
          </w:tcPr>
          <w:p w14:paraId="2B70F014" w14:textId="77777777" w:rsidR="00A14443" w:rsidRPr="00B754C0" w:rsidRDefault="00A14443" w:rsidP="00EF2741">
            <w:pPr>
              <w:pStyle w:val="Style40"/>
              <w:widowControl/>
              <w:jc w:val="center"/>
              <w:rPr>
                <w:rStyle w:val="FontStyle93"/>
                <w:sz w:val="18"/>
                <w:szCs w:val="18"/>
                <w:highlight w:val="yellow"/>
                <w:lang w:eastAsia="de-DE"/>
              </w:rPr>
            </w:pPr>
          </w:p>
        </w:tc>
        <w:tc>
          <w:tcPr>
            <w:tcW w:w="2410" w:type="dxa"/>
            <w:vMerge/>
            <w:vAlign w:val="center"/>
          </w:tcPr>
          <w:p w14:paraId="26B6EE35" w14:textId="77777777" w:rsidR="00A14443" w:rsidRPr="00BF0551" w:rsidRDefault="00A14443" w:rsidP="00EF2741">
            <w:pPr>
              <w:pStyle w:val="Style40"/>
              <w:widowControl/>
              <w:rPr>
                <w:rStyle w:val="FontStyle93"/>
                <w:sz w:val="18"/>
                <w:szCs w:val="18"/>
                <w:lang w:eastAsia="de-DE"/>
              </w:rPr>
            </w:pPr>
          </w:p>
        </w:tc>
        <w:tc>
          <w:tcPr>
            <w:tcW w:w="2693" w:type="dxa"/>
            <w:vMerge/>
            <w:vAlign w:val="center"/>
          </w:tcPr>
          <w:p w14:paraId="52DD30E8" w14:textId="77777777" w:rsidR="00A14443" w:rsidRPr="00BF0551" w:rsidRDefault="00A14443" w:rsidP="00EF2741">
            <w:pPr>
              <w:pStyle w:val="Style40"/>
              <w:widowControl/>
              <w:rPr>
                <w:rStyle w:val="FontStyle93"/>
                <w:sz w:val="18"/>
                <w:szCs w:val="18"/>
                <w:lang w:eastAsia="de-DE"/>
              </w:rPr>
            </w:pPr>
          </w:p>
        </w:tc>
        <w:tc>
          <w:tcPr>
            <w:tcW w:w="2609" w:type="dxa"/>
            <w:vMerge/>
            <w:vAlign w:val="center"/>
          </w:tcPr>
          <w:p w14:paraId="0AAA2354" w14:textId="77777777" w:rsidR="00A14443" w:rsidRPr="00BF0551" w:rsidRDefault="00A14443" w:rsidP="00EF2741">
            <w:pPr>
              <w:pStyle w:val="Style30"/>
              <w:widowControl/>
              <w:rPr>
                <w:color w:val="000000" w:themeColor="text1"/>
                <w:sz w:val="18"/>
                <w:szCs w:val="18"/>
              </w:rPr>
            </w:pPr>
          </w:p>
        </w:tc>
        <w:tc>
          <w:tcPr>
            <w:tcW w:w="2484" w:type="dxa"/>
            <w:vAlign w:val="center"/>
          </w:tcPr>
          <w:p w14:paraId="3C1A0856" w14:textId="77777777" w:rsidR="00A14443" w:rsidRPr="00BF0551" w:rsidRDefault="00A14443" w:rsidP="00EF2741">
            <w:pPr>
              <w:pStyle w:val="Style30"/>
              <w:widowControl/>
              <w:rPr>
                <w:color w:val="000000" w:themeColor="text1"/>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výstavby diaľnic)</w:t>
            </w:r>
          </w:p>
        </w:tc>
      </w:tr>
      <w:tr w:rsidR="00AC7B75" w:rsidRPr="00430B9D" w14:paraId="60032FD2" w14:textId="77777777" w:rsidTr="00543AEB">
        <w:trPr>
          <w:trHeight w:val="836"/>
          <w:jc w:val="center"/>
        </w:trPr>
        <w:tc>
          <w:tcPr>
            <w:tcW w:w="806" w:type="dxa"/>
            <w:vMerge w:val="restart"/>
            <w:vAlign w:val="center"/>
          </w:tcPr>
          <w:p w14:paraId="23716397" w14:textId="77777777" w:rsidR="00AC7B75" w:rsidRPr="00BF0551" w:rsidRDefault="00AC7B75" w:rsidP="00EF2741">
            <w:pPr>
              <w:rPr>
                <w:sz w:val="18"/>
                <w:szCs w:val="18"/>
              </w:rPr>
            </w:pPr>
            <w:r w:rsidRPr="00BF0551">
              <w:rPr>
                <w:sz w:val="18"/>
                <w:szCs w:val="18"/>
              </w:rPr>
              <w:lastRenderedPageBreak/>
              <w:t>PO 3</w:t>
            </w:r>
          </w:p>
        </w:tc>
        <w:tc>
          <w:tcPr>
            <w:tcW w:w="606" w:type="dxa"/>
            <w:vMerge w:val="restart"/>
            <w:vAlign w:val="center"/>
          </w:tcPr>
          <w:p w14:paraId="5006646E" w14:textId="77777777" w:rsidR="00AC7B75" w:rsidRPr="00BF0551" w:rsidRDefault="00AC7B75" w:rsidP="00EF2741">
            <w:pPr>
              <w:pStyle w:val="Style30"/>
              <w:jc w:val="center"/>
              <w:rPr>
                <w:sz w:val="18"/>
                <w:szCs w:val="18"/>
              </w:rPr>
            </w:pPr>
            <w:r w:rsidRPr="00BF0551">
              <w:rPr>
                <w:sz w:val="18"/>
                <w:szCs w:val="18"/>
              </w:rPr>
              <w:t>KF</w:t>
            </w:r>
          </w:p>
        </w:tc>
        <w:tc>
          <w:tcPr>
            <w:tcW w:w="1245" w:type="dxa"/>
            <w:vMerge w:val="restart"/>
            <w:vAlign w:val="center"/>
          </w:tcPr>
          <w:p w14:paraId="2047C23B" w14:textId="7A3BDB13" w:rsidR="00AC7B75" w:rsidRPr="00BF0551" w:rsidRDefault="00FB2E8F" w:rsidP="00FB2E8F">
            <w:pPr>
              <w:pStyle w:val="Style30"/>
              <w:widowControl/>
              <w:jc w:val="right"/>
              <w:rPr>
                <w:sz w:val="18"/>
                <w:szCs w:val="18"/>
              </w:rPr>
            </w:pPr>
            <w:r w:rsidRPr="00FB2E8F">
              <w:rPr>
                <w:sz w:val="18"/>
                <w:szCs w:val="18"/>
              </w:rPr>
              <w:t>329 337 000</w:t>
            </w:r>
          </w:p>
        </w:tc>
        <w:tc>
          <w:tcPr>
            <w:tcW w:w="1417" w:type="dxa"/>
            <w:vMerge w:val="restart"/>
            <w:vAlign w:val="center"/>
          </w:tcPr>
          <w:p w14:paraId="7BF304FB" w14:textId="57BC90BB" w:rsidR="00AC7B75" w:rsidRPr="00E07B76" w:rsidRDefault="00FB2E8F" w:rsidP="00FB2E8F">
            <w:pPr>
              <w:jc w:val="center"/>
              <w:rPr>
                <w:rStyle w:val="FontStyle93"/>
                <w:sz w:val="18"/>
                <w:szCs w:val="18"/>
                <w:lang w:eastAsia="de-DE"/>
              </w:rPr>
            </w:pPr>
            <w:r>
              <w:rPr>
                <w:rStyle w:val="FontStyle93"/>
                <w:sz w:val="18"/>
                <w:szCs w:val="18"/>
                <w:lang w:eastAsia="de-DE"/>
              </w:rPr>
              <w:t>5,36</w:t>
            </w:r>
            <w:r w:rsidR="00AC7B75" w:rsidRPr="00E07B76">
              <w:rPr>
                <w:rStyle w:val="FontStyle93"/>
                <w:sz w:val="18"/>
                <w:szCs w:val="18"/>
                <w:lang w:val="en-US" w:eastAsia="de-DE"/>
              </w:rPr>
              <w:t xml:space="preserve"> %</w:t>
            </w:r>
          </w:p>
        </w:tc>
        <w:tc>
          <w:tcPr>
            <w:tcW w:w="2410" w:type="dxa"/>
            <w:vMerge w:val="restart"/>
            <w:vAlign w:val="center"/>
          </w:tcPr>
          <w:p w14:paraId="35131030" w14:textId="77777777" w:rsidR="00AC7B75" w:rsidRPr="00BF0551" w:rsidRDefault="00AC7B75" w:rsidP="00EF2741">
            <w:pPr>
              <w:rPr>
                <w:sz w:val="18"/>
                <w:szCs w:val="18"/>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3760D6C8" w14:textId="77777777" w:rsidR="00AC7B75" w:rsidRPr="00BF0551" w:rsidRDefault="00AC7B75" w:rsidP="00EF2741">
            <w:pPr>
              <w:pStyle w:val="Style40"/>
              <w:rPr>
                <w:rStyle w:val="FontStyle93"/>
                <w:sz w:val="18"/>
                <w:szCs w:val="18"/>
                <w:lang w:eastAsia="de-DE"/>
              </w:rPr>
            </w:pPr>
            <w:r w:rsidRPr="00BF0551">
              <w:rPr>
                <w:rStyle w:val="FontStyle93"/>
                <w:sz w:val="18"/>
                <w:szCs w:val="18"/>
                <w:lang w:eastAsia="de-DE"/>
              </w:rPr>
              <w:t>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c>
          <w:tcPr>
            <w:tcW w:w="2609" w:type="dxa"/>
            <w:vAlign w:val="center"/>
          </w:tcPr>
          <w:p w14:paraId="191C8C3A" w14:textId="77777777" w:rsidR="00AC7B75" w:rsidRPr="00BF0551" w:rsidRDefault="00AC7B75" w:rsidP="0096667C">
            <w:pPr>
              <w:pStyle w:val="Style30"/>
              <w:rPr>
                <w:color w:val="000000" w:themeColor="text1"/>
                <w:sz w:val="18"/>
                <w:szCs w:val="18"/>
              </w:rPr>
            </w:pPr>
            <w:r w:rsidRPr="00BF0551">
              <w:rPr>
                <w:color w:val="000000" w:themeColor="text1"/>
                <w:sz w:val="18"/>
                <w:szCs w:val="18"/>
              </w:rPr>
              <w:t>3.1 Zvýšenie atraktivity verejnej osobnej dopravy prostredníctvom</w:t>
            </w:r>
            <w:r w:rsidR="00A44C8D" w:rsidRPr="00BF0551">
              <w:rPr>
                <w:color w:val="000000" w:themeColor="text1"/>
                <w:sz w:val="18"/>
                <w:szCs w:val="18"/>
              </w:rPr>
              <w:t xml:space="preserve"> modernizácie a rekonštrukcie</w:t>
            </w:r>
            <w:r w:rsidRPr="00BF0551">
              <w:rPr>
                <w:color w:val="000000" w:themeColor="text1"/>
                <w:sz w:val="18"/>
                <w:szCs w:val="18"/>
              </w:rPr>
              <w:t xml:space="preserve"> infraštruktúry pre IDS a mestskú dráhovú dopravu</w:t>
            </w:r>
          </w:p>
        </w:tc>
        <w:tc>
          <w:tcPr>
            <w:tcW w:w="2484" w:type="dxa"/>
            <w:vAlign w:val="center"/>
          </w:tcPr>
          <w:p w14:paraId="773C512D" w14:textId="77777777" w:rsidR="00AC7B75" w:rsidRPr="00BF0551" w:rsidRDefault="00AC7B75" w:rsidP="00EF2741">
            <w:pPr>
              <w:pStyle w:val="Style30"/>
              <w:rPr>
                <w:color w:val="000000" w:themeColor="text1"/>
                <w:sz w:val="18"/>
                <w:szCs w:val="18"/>
              </w:rPr>
            </w:pPr>
            <w:r w:rsidRPr="00BF0551">
              <w:rPr>
                <w:color w:val="000000" w:themeColor="text1"/>
                <w:sz w:val="18"/>
                <w:szCs w:val="18"/>
              </w:rPr>
              <w:t>Úspora času v</w:t>
            </w:r>
            <w:r w:rsidR="009126A9" w:rsidRPr="00BF0551">
              <w:rPr>
                <w:color w:val="000000" w:themeColor="text1"/>
                <w:sz w:val="18"/>
                <w:szCs w:val="18"/>
              </w:rPr>
              <w:t>o verejnej osobnej</w:t>
            </w:r>
            <w:r w:rsidRPr="00BF0551">
              <w:rPr>
                <w:color w:val="000000" w:themeColor="text1"/>
                <w:sz w:val="18"/>
                <w:szCs w:val="18"/>
              </w:rPr>
              <w:t xml:space="preserve"> doprave</w:t>
            </w:r>
          </w:p>
        </w:tc>
      </w:tr>
      <w:tr w:rsidR="001944E1" w:rsidRPr="00430B9D" w14:paraId="3B3DDA73" w14:textId="77777777" w:rsidTr="001944E1">
        <w:trPr>
          <w:trHeight w:val="1251"/>
          <w:jc w:val="center"/>
        </w:trPr>
        <w:tc>
          <w:tcPr>
            <w:tcW w:w="806" w:type="dxa"/>
            <w:vMerge/>
            <w:vAlign w:val="center"/>
          </w:tcPr>
          <w:p w14:paraId="754E6A85" w14:textId="77777777" w:rsidR="001944E1" w:rsidRPr="00BF0551" w:rsidRDefault="001944E1" w:rsidP="00EF2741">
            <w:pPr>
              <w:rPr>
                <w:sz w:val="18"/>
                <w:szCs w:val="18"/>
              </w:rPr>
            </w:pPr>
          </w:p>
        </w:tc>
        <w:tc>
          <w:tcPr>
            <w:tcW w:w="606" w:type="dxa"/>
            <w:vMerge/>
            <w:vAlign w:val="center"/>
          </w:tcPr>
          <w:p w14:paraId="5C596B59" w14:textId="77777777" w:rsidR="001944E1" w:rsidRPr="00BF0551" w:rsidRDefault="001944E1" w:rsidP="00EF2741">
            <w:pPr>
              <w:pStyle w:val="Style30"/>
              <w:widowControl/>
              <w:jc w:val="center"/>
              <w:rPr>
                <w:sz w:val="18"/>
                <w:szCs w:val="18"/>
              </w:rPr>
            </w:pPr>
          </w:p>
        </w:tc>
        <w:tc>
          <w:tcPr>
            <w:tcW w:w="1245" w:type="dxa"/>
            <w:vMerge/>
            <w:vAlign w:val="center"/>
          </w:tcPr>
          <w:p w14:paraId="6D78190F" w14:textId="77777777" w:rsidR="001944E1" w:rsidRPr="00BF0551" w:rsidRDefault="001944E1" w:rsidP="00EF2741">
            <w:pPr>
              <w:pStyle w:val="Style30"/>
              <w:widowControl/>
              <w:jc w:val="center"/>
              <w:rPr>
                <w:sz w:val="18"/>
                <w:szCs w:val="18"/>
              </w:rPr>
            </w:pPr>
          </w:p>
        </w:tc>
        <w:tc>
          <w:tcPr>
            <w:tcW w:w="1417" w:type="dxa"/>
            <w:vMerge/>
          </w:tcPr>
          <w:p w14:paraId="33664B96" w14:textId="77777777" w:rsidR="001944E1" w:rsidRPr="00E07B76" w:rsidRDefault="001944E1" w:rsidP="00EF2741">
            <w:pPr>
              <w:rPr>
                <w:rStyle w:val="FontStyle93"/>
                <w:sz w:val="18"/>
                <w:szCs w:val="18"/>
                <w:lang w:eastAsia="de-DE"/>
              </w:rPr>
            </w:pPr>
          </w:p>
        </w:tc>
        <w:tc>
          <w:tcPr>
            <w:tcW w:w="2410" w:type="dxa"/>
            <w:vMerge/>
          </w:tcPr>
          <w:p w14:paraId="766E8C23" w14:textId="77777777" w:rsidR="001944E1" w:rsidRPr="00BF0551" w:rsidRDefault="001944E1" w:rsidP="00EF2741">
            <w:pPr>
              <w:rPr>
                <w:rStyle w:val="FontStyle93"/>
                <w:sz w:val="18"/>
                <w:szCs w:val="18"/>
                <w:lang w:eastAsia="de-DE"/>
              </w:rPr>
            </w:pPr>
          </w:p>
        </w:tc>
        <w:tc>
          <w:tcPr>
            <w:tcW w:w="2693" w:type="dxa"/>
            <w:vMerge/>
            <w:vAlign w:val="center"/>
          </w:tcPr>
          <w:p w14:paraId="0A0301F8" w14:textId="77777777" w:rsidR="001944E1" w:rsidRPr="00BF0551" w:rsidRDefault="001944E1" w:rsidP="00EF2741">
            <w:pPr>
              <w:pStyle w:val="Style40"/>
              <w:widowControl/>
              <w:rPr>
                <w:rStyle w:val="FontStyle93"/>
                <w:sz w:val="18"/>
                <w:szCs w:val="18"/>
                <w:lang w:eastAsia="de-DE"/>
              </w:rPr>
            </w:pPr>
          </w:p>
        </w:tc>
        <w:tc>
          <w:tcPr>
            <w:tcW w:w="2609" w:type="dxa"/>
            <w:vAlign w:val="center"/>
          </w:tcPr>
          <w:p w14:paraId="306F4642" w14:textId="77777777" w:rsidR="001944E1" w:rsidRPr="00BF0551" w:rsidRDefault="001944E1" w:rsidP="00EF2741">
            <w:pPr>
              <w:pStyle w:val="Style30"/>
              <w:widowControl/>
              <w:rPr>
                <w:color w:val="000000" w:themeColor="text1"/>
                <w:sz w:val="18"/>
                <w:szCs w:val="18"/>
              </w:rPr>
            </w:pPr>
            <w:r w:rsidRPr="00BF0551">
              <w:rPr>
                <w:color w:val="000000" w:themeColor="text1"/>
                <w:sz w:val="18"/>
                <w:szCs w:val="18"/>
              </w:rPr>
              <w:t>3.2 Zvýšenie atraktivity a prístupnosti verejnej osobnej dopravy prostredníctvom obnovy mobilných prostriedkov dráhovej MHD</w:t>
            </w:r>
          </w:p>
        </w:tc>
        <w:tc>
          <w:tcPr>
            <w:tcW w:w="2484" w:type="dxa"/>
            <w:vAlign w:val="center"/>
          </w:tcPr>
          <w:p w14:paraId="37E73089" w14:textId="77777777" w:rsidR="001944E1" w:rsidRPr="00BF0551" w:rsidRDefault="001944E1" w:rsidP="009126A9">
            <w:pPr>
              <w:pStyle w:val="Style30"/>
              <w:rPr>
                <w:color w:val="000000" w:themeColor="text1"/>
                <w:sz w:val="18"/>
                <w:szCs w:val="18"/>
              </w:rPr>
            </w:pPr>
            <w:r w:rsidRPr="00BF0551">
              <w:rPr>
                <w:color w:val="000000" w:themeColor="text1"/>
                <w:sz w:val="18"/>
                <w:szCs w:val="18"/>
              </w:rPr>
              <w:t>Počet cestujúcich prepravených dráhovou MHD v mestách Bratislava, Košice, Žilina, Prešov a Banská Bystrica</w:t>
            </w:r>
          </w:p>
        </w:tc>
      </w:tr>
      <w:tr w:rsidR="004E4DC3" w:rsidRPr="00430B9D" w14:paraId="49C68DF2" w14:textId="77777777" w:rsidTr="00543AEB">
        <w:trPr>
          <w:trHeight w:val="1690"/>
          <w:jc w:val="center"/>
        </w:trPr>
        <w:tc>
          <w:tcPr>
            <w:tcW w:w="806" w:type="dxa"/>
            <w:vAlign w:val="center"/>
          </w:tcPr>
          <w:p w14:paraId="4EF25015" w14:textId="77777777" w:rsidR="004E4DC3" w:rsidRPr="00BF0551" w:rsidRDefault="004E4DC3" w:rsidP="00EF2741">
            <w:pPr>
              <w:rPr>
                <w:sz w:val="18"/>
                <w:szCs w:val="18"/>
              </w:rPr>
            </w:pPr>
            <w:r w:rsidRPr="00BF0551">
              <w:rPr>
                <w:sz w:val="18"/>
                <w:szCs w:val="18"/>
              </w:rPr>
              <w:t>PO 4</w:t>
            </w:r>
          </w:p>
        </w:tc>
        <w:tc>
          <w:tcPr>
            <w:tcW w:w="606" w:type="dxa"/>
            <w:vAlign w:val="center"/>
          </w:tcPr>
          <w:p w14:paraId="40F71B75" w14:textId="77777777" w:rsidR="004E4DC3" w:rsidRPr="00BF0551" w:rsidRDefault="004E4DC3" w:rsidP="00EF2741">
            <w:pPr>
              <w:pStyle w:val="Style30"/>
              <w:widowControl/>
              <w:jc w:val="center"/>
              <w:rPr>
                <w:sz w:val="18"/>
                <w:szCs w:val="18"/>
              </w:rPr>
            </w:pPr>
            <w:r w:rsidRPr="00BF0551">
              <w:rPr>
                <w:sz w:val="18"/>
                <w:szCs w:val="18"/>
              </w:rPr>
              <w:t>KF</w:t>
            </w:r>
          </w:p>
        </w:tc>
        <w:tc>
          <w:tcPr>
            <w:tcW w:w="1245" w:type="dxa"/>
            <w:vAlign w:val="center"/>
          </w:tcPr>
          <w:p w14:paraId="62E52B92" w14:textId="78093C95" w:rsidR="004E4DC3" w:rsidRPr="00BF0551" w:rsidRDefault="00FB2E8F" w:rsidP="00FB2E8F">
            <w:pPr>
              <w:pStyle w:val="Style30"/>
              <w:widowControl/>
              <w:jc w:val="right"/>
              <w:rPr>
                <w:sz w:val="18"/>
                <w:szCs w:val="18"/>
              </w:rPr>
            </w:pPr>
            <w:r w:rsidRPr="00FB2E8F">
              <w:rPr>
                <w:sz w:val="18"/>
                <w:szCs w:val="18"/>
              </w:rPr>
              <w:t>109 463 000</w:t>
            </w:r>
          </w:p>
        </w:tc>
        <w:tc>
          <w:tcPr>
            <w:tcW w:w="1417" w:type="dxa"/>
            <w:vAlign w:val="center"/>
          </w:tcPr>
          <w:p w14:paraId="0CC5789A" w14:textId="15661A7D" w:rsidR="004E4DC3" w:rsidRPr="00E07B76" w:rsidRDefault="00FB2E8F" w:rsidP="00FB2E8F">
            <w:pPr>
              <w:jc w:val="center"/>
              <w:rPr>
                <w:rStyle w:val="FontStyle93"/>
                <w:sz w:val="18"/>
                <w:szCs w:val="18"/>
                <w:lang w:eastAsia="de-DE"/>
              </w:rPr>
            </w:pPr>
            <w:r>
              <w:rPr>
                <w:rStyle w:val="FontStyle93"/>
                <w:sz w:val="18"/>
                <w:szCs w:val="18"/>
                <w:lang w:eastAsia="de-DE"/>
              </w:rPr>
              <w:t>1,78</w:t>
            </w:r>
            <w:r w:rsidR="004E4DC3" w:rsidRPr="00E07B76">
              <w:rPr>
                <w:rStyle w:val="FontStyle93"/>
                <w:sz w:val="18"/>
                <w:szCs w:val="18"/>
                <w:lang w:val="en-US" w:eastAsia="de-DE"/>
              </w:rPr>
              <w:t xml:space="preserve"> %</w:t>
            </w:r>
          </w:p>
        </w:tc>
        <w:tc>
          <w:tcPr>
            <w:tcW w:w="2410" w:type="dxa"/>
            <w:vAlign w:val="center"/>
          </w:tcPr>
          <w:p w14:paraId="0EB06964" w14:textId="77777777" w:rsidR="004E4DC3" w:rsidRPr="00BF0551" w:rsidRDefault="004E4DC3" w:rsidP="00EF2741">
            <w:pPr>
              <w:rPr>
                <w:sz w:val="18"/>
                <w:szCs w:val="18"/>
              </w:rPr>
            </w:pPr>
            <w:r w:rsidRPr="00BF0551">
              <w:rPr>
                <w:rStyle w:val="FontStyle93"/>
                <w:sz w:val="18"/>
                <w:szCs w:val="18"/>
                <w:lang w:eastAsia="de-DE"/>
              </w:rPr>
              <w:t>TC 7 – Podpora udržateľnej dopravy a odstraňovanie prekážok v kľúčových sieťových infraštruktúrach</w:t>
            </w:r>
          </w:p>
        </w:tc>
        <w:tc>
          <w:tcPr>
            <w:tcW w:w="2693" w:type="dxa"/>
            <w:vAlign w:val="center"/>
          </w:tcPr>
          <w:p w14:paraId="20C7D2B5" w14:textId="77777777" w:rsidR="004E4DC3" w:rsidRPr="00BF0551" w:rsidRDefault="004E4DC3"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Align w:val="center"/>
          </w:tcPr>
          <w:p w14:paraId="2CEB3821" w14:textId="4B4426C9" w:rsidR="004E4DC3" w:rsidRPr="00BF0551" w:rsidRDefault="004E4DC3" w:rsidP="00F027AC">
            <w:pPr>
              <w:pStyle w:val="Style30"/>
              <w:widowControl/>
              <w:rPr>
                <w:sz w:val="18"/>
                <w:szCs w:val="18"/>
              </w:rPr>
            </w:pPr>
            <w:r w:rsidRPr="00BF0551">
              <w:rPr>
                <w:sz w:val="18"/>
                <w:szCs w:val="18"/>
              </w:rPr>
              <w:t>4.1 Zlepšenie kvality služieb poskytovaných</w:t>
            </w:r>
            <w:r w:rsidR="00F027AC">
              <w:rPr>
                <w:sz w:val="18"/>
                <w:szCs w:val="18"/>
              </w:rPr>
              <w:t xml:space="preserve"> na dunajskej vodnej ceste</w:t>
            </w:r>
          </w:p>
        </w:tc>
        <w:tc>
          <w:tcPr>
            <w:tcW w:w="2484" w:type="dxa"/>
            <w:vAlign w:val="center"/>
          </w:tcPr>
          <w:p w14:paraId="56D523AD" w14:textId="77777777" w:rsidR="004E4DC3" w:rsidRPr="00BF0551" w:rsidRDefault="004E4DC3" w:rsidP="00ED4FB3">
            <w:pPr>
              <w:pStyle w:val="Style30"/>
              <w:widowControl/>
              <w:rPr>
                <w:sz w:val="18"/>
                <w:szCs w:val="18"/>
              </w:rPr>
            </w:pPr>
            <w:r w:rsidRPr="00BF0551">
              <w:rPr>
                <w:sz w:val="18"/>
                <w:szCs w:val="18"/>
              </w:rPr>
              <w:t>Objem zrealizovaný</w:t>
            </w:r>
            <w:r w:rsidR="0097314E" w:rsidRPr="00BF0551">
              <w:rPr>
                <w:sz w:val="18"/>
                <w:szCs w:val="18"/>
              </w:rPr>
              <w:t>ch výkonov nákladnej dopravy vo </w:t>
            </w:r>
            <w:r w:rsidRPr="00BF0551">
              <w:rPr>
                <w:sz w:val="18"/>
                <w:szCs w:val="18"/>
              </w:rPr>
              <w:t>verejnom prístave Bratislava</w:t>
            </w:r>
          </w:p>
        </w:tc>
      </w:tr>
      <w:tr w:rsidR="001223C5" w:rsidRPr="00430B9D" w14:paraId="1D9480ED" w14:textId="77777777" w:rsidTr="00543AEB">
        <w:trPr>
          <w:trHeight w:val="480"/>
          <w:jc w:val="center"/>
        </w:trPr>
        <w:tc>
          <w:tcPr>
            <w:tcW w:w="806" w:type="dxa"/>
            <w:vMerge w:val="restart"/>
            <w:vAlign w:val="center"/>
          </w:tcPr>
          <w:p w14:paraId="61405E8B" w14:textId="77777777" w:rsidR="001223C5" w:rsidRPr="00BF0551" w:rsidRDefault="001223C5" w:rsidP="00EF2741">
            <w:pPr>
              <w:rPr>
                <w:sz w:val="18"/>
                <w:szCs w:val="18"/>
              </w:rPr>
            </w:pPr>
            <w:r w:rsidRPr="00BF0551">
              <w:rPr>
                <w:sz w:val="18"/>
                <w:szCs w:val="18"/>
              </w:rPr>
              <w:t>PO 5</w:t>
            </w:r>
          </w:p>
        </w:tc>
        <w:tc>
          <w:tcPr>
            <w:tcW w:w="606" w:type="dxa"/>
            <w:vMerge w:val="restart"/>
            <w:vAlign w:val="center"/>
          </w:tcPr>
          <w:p w14:paraId="7D77EE55" w14:textId="77777777" w:rsidR="001223C5" w:rsidRPr="00BF0551" w:rsidRDefault="001223C5" w:rsidP="00EF2741">
            <w:pPr>
              <w:pStyle w:val="Style30"/>
              <w:widowControl/>
              <w:jc w:val="center"/>
              <w:rPr>
                <w:sz w:val="18"/>
                <w:szCs w:val="18"/>
              </w:rPr>
            </w:pPr>
            <w:r w:rsidRPr="00BF0551">
              <w:rPr>
                <w:sz w:val="18"/>
                <w:szCs w:val="18"/>
              </w:rPr>
              <w:t>EFRR</w:t>
            </w:r>
          </w:p>
        </w:tc>
        <w:tc>
          <w:tcPr>
            <w:tcW w:w="1245" w:type="dxa"/>
            <w:vMerge w:val="restart"/>
            <w:vAlign w:val="center"/>
          </w:tcPr>
          <w:p w14:paraId="7CFF2C09" w14:textId="0912F8B7" w:rsidR="001223C5" w:rsidRPr="00BF0551" w:rsidRDefault="00FB2E8F" w:rsidP="00FB2E8F">
            <w:pPr>
              <w:pStyle w:val="Style30"/>
              <w:widowControl/>
              <w:jc w:val="right"/>
              <w:rPr>
                <w:sz w:val="18"/>
                <w:szCs w:val="18"/>
              </w:rPr>
            </w:pPr>
            <w:r w:rsidRPr="00FB2E8F">
              <w:rPr>
                <w:sz w:val="18"/>
                <w:szCs w:val="18"/>
              </w:rPr>
              <w:t>263 951 749</w:t>
            </w:r>
          </w:p>
        </w:tc>
        <w:tc>
          <w:tcPr>
            <w:tcW w:w="1417" w:type="dxa"/>
            <w:vMerge w:val="restart"/>
            <w:vAlign w:val="center"/>
          </w:tcPr>
          <w:p w14:paraId="64494A88" w14:textId="37DC4D03" w:rsidR="001223C5" w:rsidRPr="00E07B76" w:rsidRDefault="00FB2E8F" w:rsidP="00FB2E8F">
            <w:pPr>
              <w:jc w:val="center"/>
              <w:rPr>
                <w:rStyle w:val="FontStyle93"/>
                <w:sz w:val="18"/>
                <w:szCs w:val="18"/>
                <w:lang w:eastAsia="de-DE"/>
              </w:rPr>
            </w:pPr>
            <w:r>
              <w:rPr>
                <w:rStyle w:val="FontStyle93"/>
                <w:sz w:val="18"/>
                <w:szCs w:val="18"/>
                <w:lang w:eastAsia="de-DE"/>
              </w:rPr>
              <w:t>4,29</w:t>
            </w:r>
            <w:r w:rsidR="001223C5" w:rsidRPr="00E07B76">
              <w:rPr>
                <w:rStyle w:val="FontStyle93"/>
                <w:sz w:val="18"/>
                <w:szCs w:val="18"/>
                <w:lang w:val="en-US" w:eastAsia="de-DE"/>
              </w:rPr>
              <w:t xml:space="preserve"> %</w:t>
            </w:r>
          </w:p>
        </w:tc>
        <w:tc>
          <w:tcPr>
            <w:tcW w:w="2410" w:type="dxa"/>
            <w:vMerge w:val="restart"/>
            <w:vAlign w:val="center"/>
          </w:tcPr>
          <w:p w14:paraId="6ABD2795" w14:textId="77777777" w:rsidR="001223C5" w:rsidRPr="00BF0551" w:rsidRDefault="001223C5" w:rsidP="00EF2741">
            <w:pPr>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75A479B5" w14:textId="77777777" w:rsidR="001223C5" w:rsidRPr="00BF0551" w:rsidRDefault="001223C5" w:rsidP="00EF2741">
            <w:pPr>
              <w:pStyle w:val="Style40"/>
              <w:widowControl/>
              <w:rPr>
                <w:rStyle w:val="FontStyle93"/>
                <w:sz w:val="18"/>
                <w:szCs w:val="18"/>
                <w:lang w:eastAsia="de-DE"/>
              </w:rPr>
            </w:pPr>
            <w:r w:rsidRPr="00BF0551">
              <w:rPr>
                <w:rStyle w:val="FontStyle93"/>
                <w:sz w:val="18"/>
                <w:szCs w:val="18"/>
                <w:lang w:eastAsia="de-DE"/>
              </w:rPr>
              <w:t>Vývoj a modernizácia komplexných, interoperabilných železničných systémov vysokej kvality a podpora opatrení na znižovanie hluku</w:t>
            </w:r>
          </w:p>
        </w:tc>
        <w:tc>
          <w:tcPr>
            <w:tcW w:w="2609" w:type="dxa"/>
            <w:vMerge w:val="restart"/>
            <w:vAlign w:val="center"/>
          </w:tcPr>
          <w:p w14:paraId="41DE1B40" w14:textId="609BD05A" w:rsidR="001223C5" w:rsidRPr="00BF0551" w:rsidRDefault="001223C5" w:rsidP="00EF2741">
            <w:pPr>
              <w:pStyle w:val="Style30"/>
              <w:widowControl/>
              <w:rPr>
                <w:color w:val="000000" w:themeColor="text1"/>
                <w:sz w:val="18"/>
                <w:szCs w:val="18"/>
              </w:rPr>
            </w:pPr>
            <w:r w:rsidRPr="00BF0551">
              <w:rPr>
                <w:color w:val="000000" w:themeColor="text1"/>
                <w:sz w:val="18"/>
                <w:szCs w:val="18"/>
              </w:rPr>
              <w:t>5.1 Odstránenie kľúčových úzkych miest na železničnej infraštruktúre prostredníctvom modernizácie a rozvoja železničných tratí a súvisiacich objektov dopravne významných z hľadiska medzinárodnej a vnútroštátnej dopravy</w:t>
            </w:r>
          </w:p>
        </w:tc>
        <w:tc>
          <w:tcPr>
            <w:tcW w:w="2484" w:type="dxa"/>
            <w:vAlign w:val="center"/>
          </w:tcPr>
          <w:p w14:paraId="00C841E4" w14:textId="77777777" w:rsidR="001223C5" w:rsidRPr="00BF0551" w:rsidRDefault="001223C5" w:rsidP="00EF2741">
            <w:pPr>
              <w:pStyle w:val="Style30"/>
              <w:widowControl/>
              <w:rPr>
                <w:color w:val="000000" w:themeColor="text1"/>
                <w:sz w:val="18"/>
                <w:szCs w:val="18"/>
              </w:rPr>
            </w:pPr>
            <w:r w:rsidRPr="006B1A61">
              <w:rPr>
                <w:color w:val="000000" w:themeColor="text1"/>
                <w:sz w:val="18"/>
                <w:szCs w:val="18"/>
              </w:rPr>
              <w:t>Úspora času v železničnej doprave</w:t>
            </w:r>
          </w:p>
        </w:tc>
      </w:tr>
      <w:tr w:rsidR="001223C5" w:rsidRPr="00430B9D" w14:paraId="699E2785" w14:textId="77777777" w:rsidTr="00543AEB">
        <w:trPr>
          <w:trHeight w:val="495"/>
          <w:jc w:val="center"/>
        </w:trPr>
        <w:tc>
          <w:tcPr>
            <w:tcW w:w="806" w:type="dxa"/>
            <w:vMerge/>
            <w:vAlign w:val="center"/>
          </w:tcPr>
          <w:p w14:paraId="6522C74F" w14:textId="77777777" w:rsidR="001223C5" w:rsidRPr="00BF0551" w:rsidRDefault="001223C5" w:rsidP="00EF2741">
            <w:pPr>
              <w:rPr>
                <w:sz w:val="18"/>
                <w:szCs w:val="18"/>
              </w:rPr>
            </w:pPr>
          </w:p>
        </w:tc>
        <w:tc>
          <w:tcPr>
            <w:tcW w:w="606" w:type="dxa"/>
            <w:vMerge/>
            <w:vAlign w:val="center"/>
          </w:tcPr>
          <w:p w14:paraId="0245046C" w14:textId="77777777" w:rsidR="001223C5" w:rsidRPr="00BF0551" w:rsidRDefault="001223C5" w:rsidP="00EF2741">
            <w:pPr>
              <w:pStyle w:val="Style30"/>
              <w:widowControl/>
              <w:jc w:val="center"/>
              <w:rPr>
                <w:sz w:val="18"/>
                <w:szCs w:val="18"/>
              </w:rPr>
            </w:pPr>
          </w:p>
        </w:tc>
        <w:tc>
          <w:tcPr>
            <w:tcW w:w="1245" w:type="dxa"/>
            <w:vMerge/>
            <w:vAlign w:val="center"/>
          </w:tcPr>
          <w:p w14:paraId="2CC74F72" w14:textId="77777777" w:rsidR="001223C5" w:rsidRPr="00BF0551" w:rsidRDefault="001223C5" w:rsidP="00EF2741">
            <w:pPr>
              <w:pStyle w:val="Style30"/>
              <w:widowControl/>
              <w:jc w:val="right"/>
              <w:rPr>
                <w:sz w:val="18"/>
                <w:szCs w:val="18"/>
              </w:rPr>
            </w:pPr>
          </w:p>
        </w:tc>
        <w:tc>
          <w:tcPr>
            <w:tcW w:w="1417" w:type="dxa"/>
            <w:vMerge/>
            <w:vAlign w:val="center"/>
          </w:tcPr>
          <w:p w14:paraId="753F8255" w14:textId="77777777" w:rsidR="001223C5" w:rsidRPr="00E07B76" w:rsidRDefault="001223C5" w:rsidP="00EF2741">
            <w:pPr>
              <w:jc w:val="center"/>
              <w:rPr>
                <w:rStyle w:val="FontStyle93"/>
                <w:sz w:val="18"/>
                <w:szCs w:val="18"/>
                <w:lang w:eastAsia="de-DE"/>
              </w:rPr>
            </w:pPr>
          </w:p>
        </w:tc>
        <w:tc>
          <w:tcPr>
            <w:tcW w:w="2410" w:type="dxa"/>
            <w:vMerge/>
            <w:vAlign w:val="center"/>
          </w:tcPr>
          <w:p w14:paraId="2077F762" w14:textId="77777777" w:rsidR="001223C5" w:rsidRPr="00BF0551" w:rsidRDefault="001223C5" w:rsidP="00EF2741">
            <w:pPr>
              <w:rPr>
                <w:rStyle w:val="FontStyle93"/>
                <w:sz w:val="18"/>
                <w:szCs w:val="18"/>
                <w:lang w:eastAsia="de-DE"/>
              </w:rPr>
            </w:pPr>
          </w:p>
        </w:tc>
        <w:tc>
          <w:tcPr>
            <w:tcW w:w="2693" w:type="dxa"/>
            <w:vMerge/>
            <w:vAlign w:val="center"/>
          </w:tcPr>
          <w:p w14:paraId="355A31DC" w14:textId="77777777" w:rsidR="001223C5" w:rsidRPr="00BF0551" w:rsidRDefault="001223C5" w:rsidP="00EF2741">
            <w:pPr>
              <w:pStyle w:val="Style40"/>
              <w:widowControl/>
              <w:rPr>
                <w:rStyle w:val="FontStyle93"/>
                <w:sz w:val="18"/>
                <w:szCs w:val="18"/>
                <w:lang w:eastAsia="de-DE"/>
              </w:rPr>
            </w:pPr>
          </w:p>
        </w:tc>
        <w:tc>
          <w:tcPr>
            <w:tcW w:w="2609" w:type="dxa"/>
            <w:vMerge/>
            <w:vAlign w:val="center"/>
          </w:tcPr>
          <w:p w14:paraId="603794CB" w14:textId="77777777" w:rsidR="001223C5" w:rsidRPr="00BF0551" w:rsidRDefault="001223C5" w:rsidP="00EF2741">
            <w:pPr>
              <w:pStyle w:val="Style30"/>
              <w:widowControl/>
              <w:rPr>
                <w:color w:val="000000" w:themeColor="text1"/>
                <w:sz w:val="18"/>
                <w:szCs w:val="18"/>
              </w:rPr>
            </w:pPr>
          </w:p>
        </w:tc>
        <w:tc>
          <w:tcPr>
            <w:tcW w:w="2484" w:type="dxa"/>
            <w:vAlign w:val="center"/>
          </w:tcPr>
          <w:p w14:paraId="4F5421B6" w14:textId="77777777" w:rsidR="001223C5" w:rsidRPr="00BF0551" w:rsidRDefault="001223C5" w:rsidP="00EF2741">
            <w:pPr>
              <w:pStyle w:val="Style30"/>
              <w:widowControl/>
              <w:rPr>
                <w:color w:val="000000" w:themeColor="text1"/>
                <w:sz w:val="18"/>
                <w:szCs w:val="18"/>
              </w:rPr>
            </w:pPr>
            <w:r w:rsidRPr="00BF0551">
              <w:rPr>
                <w:color w:val="000000" w:themeColor="text1"/>
                <w:sz w:val="18"/>
                <w:szCs w:val="18"/>
              </w:rPr>
              <w:t>Miera elektrifikácie železničných tratí</w:t>
            </w:r>
          </w:p>
        </w:tc>
      </w:tr>
      <w:tr w:rsidR="001223C5" w:rsidRPr="00430B9D" w14:paraId="5B040FCC" w14:textId="77777777" w:rsidTr="00543AEB">
        <w:trPr>
          <w:trHeight w:val="495"/>
          <w:jc w:val="center"/>
        </w:trPr>
        <w:tc>
          <w:tcPr>
            <w:tcW w:w="806" w:type="dxa"/>
            <w:vMerge/>
            <w:vAlign w:val="center"/>
          </w:tcPr>
          <w:p w14:paraId="735F0270" w14:textId="77777777" w:rsidR="001223C5" w:rsidRPr="00BF0551" w:rsidRDefault="001223C5" w:rsidP="00EF2741">
            <w:pPr>
              <w:rPr>
                <w:sz w:val="18"/>
                <w:szCs w:val="18"/>
              </w:rPr>
            </w:pPr>
          </w:p>
        </w:tc>
        <w:tc>
          <w:tcPr>
            <w:tcW w:w="606" w:type="dxa"/>
            <w:vMerge/>
            <w:vAlign w:val="center"/>
          </w:tcPr>
          <w:p w14:paraId="1EED7CD3" w14:textId="77777777" w:rsidR="001223C5" w:rsidRPr="00BF0551" w:rsidRDefault="001223C5" w:rsidP="00EF2741">
            <w:pPr>
              <w:pStyle w:val="Style30"/>
              <w:widowControl/>
              <w:jc w:val="center"/>
              <w:rPr>
                <w:sz w:val="18"/>
                <w:szCs w:val="18"/>
              </w:rPr>
            </w:pPr>
          </w:p>
        </w:tc>
        <w:tc>
          <w:tcPr>
            <w:tcW w:w="1245" w:type="dxa"/>
            <w:vMerge/>
            <w:vAlign w:val="center"/>
          </w:tcPr>
          <w:p w14:paraId="17DA6121" w14:textId="77777777" w:rsidR="001223C5" w:rsidRPr="00BF0551" w:rsidRDefault="001223C5" w:rsidP="00EF2741">
            <w:pPr>
              <w:pStyle w:val="Style30"/>
              <w:widowControl/>
              <w:jc w:val="right"/>
              <w:rPr>
                <w:sz w:val="18"/>
                <w:szCs w:val="18"/>
              </w:rPr>
            </w:pPr>
          </w:p>
        </w:tc>
        <w:tc>
          <w:tcPr>
            <w:tcW w:w="1417" w:type="dxa"/>
            <w:vMerge/>
            <w:vAlign w:val="center"/>
          </w:tcPr>
          <w:p w14:paraId="2FCCE47D" w14:textId="77777777" w:rsidR="001223C5" w:rsidRPr="00E07B76" w:rsidRDefault="001223C5" w:rsidP="00EF2741">
            <w:pPr>
              <w:jc w:val="center"/>
              <w:rPr>
                <w:rStyle w:val="FontStyle93"/>
                <w:sz w:val="18"/>
                <w:szCs w:val="18"/>
                <w:lang w:eastAsia="de-DE"/>
              </w:rPr>
            </w:pPr>
          </w:p>
        </w:tc>
        <w:tc>
          <w:tcPr>
            <w:tcW w:w="2410" w:type="dxa"/>
            <w:vMerge/>
            <w:vAlign w:val="center"/>
          </w:tcPr>
          <w:p w14:paraId="62665D69" w14:textId="77777777" w:rsidR="001223C5" w:rsidRPr="00BF0551" w:rsidRDefault="001223C5" w:rsidP="00EF2741">
            <w:pPr>
              <w:rPr>
                <w:rStyle w:val="FontStyle93"/>
                <w:sz w:val="18"/>
                <w:szCs w:val="18"/>
                <w:lang w:eastAsia="de-DE"/>
              </w:rPr>
            </w:pPr>
          </w:p>
        </w:tc>
        <w:tc>
          <w:tcPr>
            <w:tcW w:w="2693" w:type="dxa"/>
            <w:vMerge/>
            <w:vAlign w:val="center"/>
          </w:tcPr>
          <w:p w14:paraId="0C1A625C" w14:textId="77777777" w:rsidR="001223C5" w:rsidRPr="00BF0551" w:rsidRDefault="001223C5" w:rsidP="00EF2741">
            <w:pPr>
              <w:pStyle w:val="Style40"/>
              <w:widowControl/>
              <w:rPr>
                <w:rStyle w:val="FontStyle93"/>
                <w:sz w:val="18"/>
                <w:szCs w:val="18"/>
                <w:lang w:eastAsia="de-DE"/>
              </w:rPr>
            </w:pPr>
          </w:p>
        </w:tc>
        <w:tc>
          <w:tcPr>
            <w:tcW w:w="2609" w:type="dxa"/>
            <w:vMerge/>
            <w:vAlign w:val="center"/>
          </w:tcPr>
          <w:p w14:paraId="6B3C1566" w14:textId="77777777" w:rsidR="001223C5" w:rsidRPr="00BF0551" w:rsidRDefault="001223C5" w:rsidP="00EF2741">
            <w:pPr>
              <w:pStyle w:val="Style30"/>
              <w:widowControl/>
              <w:rPr>
                <w:color w:val="000000" w:themeColor="text1"/>
                <w:sz w:val="18"/>
                <w:szCs w:val="18"/>
              </w:rPr>
            </w:pPr>
          </w:p>
        </w:tc>
        <w:tc>
          <w:tcPr>
            <w:tcW w:w="2484" w:type="dxa"/>
            <w:vAlign w:val="center"/>
          </w:tcPr>
          <w:p w14:paraId="7B0DC9CF" w14:textId="77777777" w:rsidR="001223C5" w:rsidRPr="00BF0551" w:rsidRDefault="001223C5" w:rsidP="00124620">
            <w:pPr>
              <w:rPr>
                <w:sz w:val="18"/>
                <w:szCs w:val="18"/>
              </w:rPr>
            </w:pPr>
            <w:r w:rsidRPr="00BF0551">
              <w:rPr>
                <w:sz w:val="18"/>
                <w:szCs w:val="18"/>
              </w:rPr>
              <w:t>Úspora produkcie emisií PM</w:t>
            </w:r>
            <w:r w:rsidRPr="00BF0551">
              <w:rPr>
                <w:sz w:val="18"/>
                <w:szCs w:val="18"/>
                <w:vertAlign w:val="subscript"/>
              </w:rPr>
              <w:t>10</w:t>
            </w:r>
            <w:r w:rsidRPr="00BF0551">
              <w:rPr>
                <w:sz w:val="18"/>
                <w:szCs w:val="18"/>
              </w:rPr>
              <w:t xml:space="preserve"> (vplyvom elektrifikácie tratí)</w:t>
            </w:r>
          </w:p>
        </w:tc>
      </w:tr>
      <w:tr w:rsidR="001223C5" w:rsidRPr="00430B9D" w14:paraId="621FF8FF" w14:textId="77777777" w:rsidTr="00543AEB">
        <w:trPr>
          <w:trHeight w:val="495"/>
          <w:jc w:val="center"/>
        </w:trPr>
        <w:tc>
          <w:tcPr>
            <w:tcW w:w="806" w:type="dxa"/>
            <w:vMerge/>
            <w:vAlign w:val="center"/>
          </w:tcPr>
          <w:p w14:paraId="45DED9DA" w14:textId="77777777" w:rsidR="001223C5" w:rsidRPr="00BF0551" w:rsidRDefault="001223C5" w:rsidP="00EF2741">
            <w:pPr>
              <w:rPr>
                <w:sz w:val="18"/>
                <w:szCs w:val="18"/>
              </w:rPr>
            </w:pPr>
          </w:p>
        </w:tc>
        <w:tc>
          <w:tcPr>
            <w:tcW w:w="606" w:type="dxa"/>
            <w:vMerge/>
            <w:vAlign w:val="center"/>
          </w:tcPr>
          <w:p w14:paraId="11586ABF" w14:textId="77777777" w:rsidR="001223C5" w:rsidRPr="00BF0551" w:rsidRDefault="001223C5" w:rsidP="00EF2741">
            <w:pPr>
              <w:pStyle w:val="Style30"/>
              <w:widowControl/>
              <w:jc w:val="center"/>
              <w:rPr>
                <w:sz w:val="18"/>
                <w:szCs w:val="18"/>
              </w:rPr>
            </w:pPr>
          </w:p>
        </w:tc>
        <w:tc>
          <w:tcPr>
            <w:tcW w:w="1245" w:type="dxa"/>
            <w:vMerge/>
            <w:vAlign w:val="center"/>
          </w:tcPr>
          <w:p w14:paraId="0803E01B" w14:textId="77777777" w:rsidR="001223C5" w:rsidRPr="00BF0551" w:rsidRDefault="001223C5" w:rsidP="00EF2741">
            <w:pPr>
              <w:pStyle w:val="Style30"/>
              <w:widowControl/>
              <w:jc w:val="right"/>
              <w:rPr>
                <w:sz w:val="18"/>
                <w:szCs w:val="18"/>
              </w:rPr>
            </w:pPr>
          </w:p>
        </w:tc>
        <w:tc>
          <w:tcPr>
            <w:tcW w:w="1417" w:type="dxa"/>
            <w:vMerge/>
            <w:vAlign w:val="center"/>
          </w:tcPr>
          <w:p w14:paraId="17B92090" w14:textId="77777777" w:rsidR="001223C5" w:rsidRPr="00E07B76" w:rsidRDefault="001223C5" w:rsidP="00EF2741">
            <w:pPr>
              <w:jc w:val="center"/>
              <w:rPr>
                <w:rStyle w:val="FontStyle93"/>
                <w:sz w:val="18"/>
                <w:szCs w:val="18"/>
                <w:lang w:eastAsia="de-DE"/>
              </w:rPr>
            </w:pPr>
          </w:p>
        </w:tc>
        <w:tc>
          <w:tcPr>
            <w:tcW w:w="2410" w:type="dxa"/>
            <w:vMerge/>
            <w:vAlign w:val="center"/>
          </w:tcPr>
          <w:p w14:paraId="3422E2FE" w14:textId="77777777" w:rsidR="001223C5" w:rsidRPr="00BF0551" w:rsidRDefault="001223C5" w:rsidP="00EF2741">
            <w:pPr>
              <w:rPr>
                <w:rStyle w:val="FontStyle93"/>
                <w:sz w:val="18"/>
                <w:szCs w:val="18"/>
                <w:lang w:eastAsia="de-DE"/>
              </w:rPr>
            </w:pPr>
          </w:p>
        </w:tc>
        <w:tc>
          <w:tcPr>
            <w:tcW w:w="2693" w:type="dxa"/>
            <w:vMerge/>
            <w:vAlign w:val="center"/>
          </w:tcPr>
          <w:p w14:paraId="396B0A55" w14:textId="77777777" w:rsidR="001223C5" w:rsidRPr="00BF0551" w:rsidRDefault="001223C5" w:rsidP="00EF2741">
            <w:pPr>
              <w:pStyle w:val="Style40"/>
              <w:widowControl/>
              <w:rPr>
                <w:rStyle w:val="FontStyle93"/>
                <w:sz w:val="18"/>
                <w:szCs w:val="18"/>
                <w:lang w:eastAsia="de-DE"/>
              </w:rPr>
            </w:pPr>
          </w:p>
        </w:tc>
        <w:tc>
          <w:tcPr>
            <w:tcW w:w="2609" w:type="dxa"/>
            <w:vMerge/>
            <w:vAlign w:val="center"/>
          </w:tcPr>
          <w:p w14:paraId="5A783379" w14:textId="77777777" w:rsidR="001223C5" w:rsidRPr="00BF0551" w:rsidRDefault="001223C5" w:rsidP="00EF2741">
            <w:pPr>
              <w:pStyle w:val="Style30"/>
              <w:widowControl/>
              <w:rPr>
                <w:color w:val="000000" w:themeColor="text1"/>
                <w:sz w:val="18"/>
                <w:szCs w:val="18"/>
              </w:rPr>
            </w:pPr>
          </w:p>
        </w:tc>
        <w:tc>
          <w:tcPr>
            <w:tcW w:w="2484" w:type="dxa"/>
            <w:vAlign w:val="center"/>
          </w:tcPr>
          <w:p w14:paraId="505B8591" w14:textId="77777777" w:rsidR="001223C5" w:rsidRPr="00BF0551" w:rsidRDefault="001223C5" w:rsidP="00124620">
            <w:pPr>
              <w:rPr>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elektrifikácie tratí)</w:t>
            </w:r>
          </w:p>
        </w:tc>
      </w:tr>
      <w:tr w:rsidR="001223C5" w:rsidRPr="00430B9D" w14:paraId="51F431E4" w14:textId="77777777" w:rsidTr="00543AEB">
        <w:trPr>
          <w:trHeight w:val="413"/>
          <w:jc w:val="center"/>
        </w:trPr>
        <w:tc>
          <w:tcPr>
            <w:tcW w:w="806" w:type="dxa"/>
            <w:vMerge/>
            <w:vAlign w:val="center"/>
          </w:tcPr>
          <w:p w14:paraId="7FA028FF" w14:textId="77777777" w:rsidR="001223C5" w:rsidRPr="00BF0551" w:rsidRDefault="001223C5" w:rsidP="00EF2741">
            <w:pPr>
              <w:rPr>
                <w:sz w:val="18"/>
                <w:szCs w:val="18"/>
              </w:rPr>
            </w:pPr>
          </w:p>
        </w:tc>
        <w:tc>
          <w:tcPr>
            <w:tcW w:w="606" w:type="dxa"/>
            <w:vMerge/>
            <w:vAlign w:val="center"/>
          </w:tcPr>
          <w:p w14:paraId="3E51C116" w14:textId="77777777" w:rsidR="001223C5" w:rsidRPr="00BF0551" w:rsidRDefault="001223C5" w:rsidP="00EF2741">
            <w:pPr>
              <w:pStyle w:val="Style30"/>
              <w:widowControl/>
              <w:jc w:val="center"/>
              <w:rPr>
                <w:sz w:val="18"/>
                <w:szCs w:val="18"/>
              </w:rPr>
            </w:pPr>
          </w:p>
        </w:tc>
        <w:tc>
          <w:tcPr>
            <w:tcW w:w="1245" w:type="dxa"/>
            <w:vMerge/>
            <w:vAlign w:val="center"/>
          </w:tcPr>
          <w:p w14:paraId="61694BF9" w14:textId="77777777" w:rsidR="001223C5" w:rsidRPr="00BF0551" w:rsidRDefault="001223C5" w:rsidP="00EF2741">
            <w:pPr>
              <w:pStyle w:val="Style30"/>
              <w:widowControl/>
              <w:jc w:val="right"/>
              <w:rPr>
                <w:sz w:val="18"/>
                <w:szCs w:val="18"/>
              </w:rPr>
            </w:pPr>
          </w:p>
        </w:tc>
        <w:tc>
          <w:tcPr>
            <w:tcW w:w="1417" w:type="dxa"/>
            <w:vMerge/>
          </w:tcPr>
          <w:p w14:paraId="1F946746" w14:textId="77777777" w:rsidR="001223C5" w:rsidRPr="00E07B76" w:rsidRDefault="001223C5" w:rsidP="00EF2741">
            <w:pPr>
              <w:rPr>
                <w:rStyle w:val="FontStyle93"/>
                <w:sz w:val="18"/>
                <w:szCs w:val="18"/>
                <w:lang w:eastAsia="de-DE"/>
              </w:rPr>
            </w:pPr>
          </w:p>
        </w:tc>
        <w:tc>
          <w:tcPr>
            <w:tcW w:w="2410" w:type="dxa"/>
            <w:vMerge/>
          </w:tcPr>
          <w:p w14:paraId="1B4ABDC7" w14:textId="77777777" w:rsidR="001223C5" w:rsidRPr="00BF0551" w:rsidRDefault="001223C5" w:rsidP="00EF2741">
            <w:pPr>
              <w:rPr>
                <w:rStyle w:val="FontStyle93"/>
                <w:sz w:val="18"/>
                <w:szCs w:val="18"/>
                <w:lang w:eastAsia="de-DE"/>
              </w:rPr>
            </w:pPr>
          </w:p>
        </w:tc>
        <w:tc>
          <w:tcPr>
            <w:tcW w:w="2693" w:type="dxa"/>
            <w:vMerge/>
            <w:vAlign w:val="center"/>
          </w:tcPr>
          <w:p w14:paraId="1D5F2A80" w14:textId="77777777" w:rsidR="001223C5" w:rsidRPr="00BF0551" w:rsidRDefault="001223C5" w:rsidP="00EF2741">
            <w:pPr>
              <w:pStyle w:val="Style40"/>
              <w:widowControl/>
              <w:rPr>
                <w:rStyle w:val="FontStyle93"/>
                <w:sz w:val="18"/>
                <w:szCs w:val="18"/>
                <w:lang w:eastAsia="de-DE"/>
              </w:rPr>
            </w:pPr>
          </w:p>
        </w:tc>
        <w:tc>
          <w:tcPr>
            <w:tcW w:w="2609" w:type="dxa"/>
            <w:vAlign w:val="center"/>
          </w:tcPr>
          <w:p w14:paraId="66EE349C" w14:textId="70EF5555" w:rsidR="001223C5" w:rsidRPr="00BF0551" w:rsidRDefault="001223C5" w:rsidP="00EF2741">
            <w:pPr>
              <w:pStyle w:val="Style30"/>
              <w:widowControl/>
              <w:rPr>
                <w:color w:val="000000" w:themeColor="text1"/>
                <w:sz w:val="18"/>
                <w:szCs w:val="18"/>
              </w:rPr>
            </w:pPr>
            <w:r w:rsidRPr="00BF0551">
              <w:rPr>
                <w:color w:val="000000" w:themeColor="text1"/>
                <w:sz w:val="18"/>
                <w:szCs w:val="18"/>
              </w:rPr>
              <w:t>5.2 Zlepšenie technických podmienok pre prevádzku medzinárodnej železničnej dopravy prostredníctvom implementácie vybraných prvkov TSI na najdôležitejších tratiach pre medzinárodnú dopravu</w:t>
            </w:r>
          </w:p>
        </w:tc>
        <w:tc>
          <w:tcPr>
            <w:tcW w:w="2484" w:type="dxa"/>
            <w:vAlign w:val="center"/>
          </w:tcPr>
          <w:p w14:paraId="5B6522C8" w14:textId="77777777" w:rsidR="001223C5" w:rsidRPr="00BF0551" w:rsidRDefault="001223C5" w:rsidP="00627E8B">
            <w:pPr>
              <w:pStyle w:val="Style30"/>
              <w:widowControl/>
              <w:rPr>
                <w:color w:val="000000" w:themeColor="text1"/>
                <w:sz w:val="18"/>
                <w:szCs w:val="18"/>
              </w:rPr>
            </w:pPr>
            <w:r w:rsidRPr="00BF0551">
              <w:rPr>
                <w:sz w:val="18"/>
                <w:szCs w:val="18"/>
              </w:rPr>
              <w:t>Celkový objem medzinárodnej prepravy na koridore TEN-T (úsek Bratislava – Nové Zámky – Štúrovo / Komárno – št. hr. SR/MR)</w:t>
            </w:r>
          </w:p>
        </w:tc>
      </w:tr>
      <w:tr w:rsidR="0030130D" w:rsidRPr="00430B9D" w14:paraId="4B764A6B" w14:textId="77777777" w:rsidTr="00543AEB">
        <w:trPr>
          <w:trHeight w:val="413"/>
          <w:jc w:val="center"/>
        </w:trPr>
        <w:tc>
          <w:tcPr>
            <w:tcW w:w="806" w:type="dxa"/>
            <w:vMerge/>
            <w:vAlign w:val="center"/>
          </w:tcPr>
          <w:p w14:paraId="54FBA18D" w14:textId="77777777" w:rsidR="0030130D" w:rsidRPr="00BF0551" w:rsidRDefault="0030130D" w:rsidP="00EF2741">
            <w:pPr>
              <w:rPr>
                <w:sz w:val="18"/>
                <w:szCs w:val="18"/>
              </w:rPr>
            </w:pPr>
          </w:p>
        </w:tc>
        <w:tc>
          <w:tcPr>
            <w:tcW w:w="606" w:type="dxa"/>
            <w:vMerge/>
            <w:vAlign w:val="center"/>
          </w:tcPr>
          <w:p w14:paraId="54718BD8" w14:textId="77777777" w:rsidR="0030130D" w:rsidRPr="00BF0551" w:rsidRDefault="0030130D" w:rsidP="00EF2741">
            <w:pPr>
              <w:pStyle w:val="Style30"/>
              <w:widowControl/>
              <w:jc w:val="center"/>
              <w:rPr>
                <w:sz w:val="18"/>
                <w:szCs w:val="18"/>
              </w:rPr>
            </w:pPr>
          </w:p>
        </w:tc>
        <w:tc>
          <w:tcPr>
            <w:tcW w:w="1245" w:type="dxa"/>
            <w:vMerge/>
            <w:vAlign w:val="center"/>
          </w:tcPr>
          <w:p w14:paraId="230EAD58" w14:textId="77777777" w:rsidR="0030130D" w:rsidRPr="00BF0551" w:rsidRDefault="0030130D" w:rsidP="00EF2741">
            <w:pPr>
              <w:pStyle w:val="Style30"/>
              <w:widowControl/>
              <w:jc w:val="right"/>
              <w:rPr>
                <w:sz w:val="18"/>
                <w:szCs w:val="18"/>
              </w:rPr>
            </w:pPr>
          </w:p>
        </w:tc>
        <w:tc>
          <w:tcPr>
            <w:tcW w:w="1417" w:type="dxa"/>
            <w:vMerge/>
          </w:tcPr>
          <w:p w14:paraId="051CD493" w14:textId="77777777" w:rsidR="0030130D" w:rsidRPr="00E07B76" w:rsidRDefault="0030130D" w:rsidP="00EF2741">
            <w:pPr>
              <w:rPr>
                <w:rStyle w:val="FontStyle93"/>
                <w:sz w:val="18"/>
                <w:szCs w:val="18"/>
                <w:lang w:eastAsia="de-DE"/>
              </w:rPr>
            </w:pPr>
          </w:p>
        </w:tc>
        <w:tc>
          <w:tcPr>
            <w:tcW w:w="2410" w:type="dxa"/>
            <w:vMerge/>
          </w:tcPr>
          <w:p w14:paraId="3E13C972" w14:textId="77777777" w:rsidR="0030130D" w:rsidRPr="00BF0551" w:rsidRDefault="0030130D" w:rsidP="00EF2741">
            <w:pPr>
              <w:rPr>
                <w:rStyle w:val="FontStyle93"/>
                <w:sz w:val="18"/>
                <w:szCs w:val="18"/>
                <w:lang w:eastAsia="de-DE"/>
              </w:rPr>
            </w:pPr>
          </w:p>
        </w:tc>
        <w:tc>
          <w:tcPr>
            <w:tcW w:w="2693" w:type="dxa"/>
            <w:vMerge/>
            <w:vAlign w:val="center"/>
          </w:tcPr>
          <w:p w14:paraId="1823DD2E" w14:textId="77777777" w:rsidR="0030130D" w:rsidRPr="00BF0551" w:rsidRDefault="0030130D" w:rsidP="00EF2741">
            <w:pPr>
              <w:pStyle w:val="Style40"/>
              <w:widowControl/>
              <w:rPr>
                <w:rStyle w:val="FontStyle93"/>
                <w:sz w:val="18"/>
                <w:szCs w:val="18"/>
                <w:lang w:eastAsia="de-DE"/>
              </w:rPr>
            </w:pPr>
          </w:p>
        </w:tc>
        <w:tc>
          <w:tcPr>
            <w:tcW w:w="2609" w:type="dxa"/>
            <w:vAlign w:val="center"/>
          </w:tcPr>
          <w:p w14:paraId="32E8DB1E" w14:textId="3B0EF667" w:rsidR="0030130D" w:rsidRPr="00BF0551" w:rsidRDefault="0030130D" w:rsidP="00EF2741">
            <w:pPr>
              <w:pStyle w:val="Style30"/>
              <w:widowControl/>
              <w:rPr>
                <w:color w:val="000000" w:themeColor="text1"/>
                <w:sz w:val="18"/>
                <w:szCs w:val="18"/>
              </w:rPr>
            </w:pPr>
            <w:r>
              <w:rPr>
                <w:color w:val="000000" w:themeColor="text1"/>
                <w:sz w:val="18"/>
                <w:szCs w:val="18"/>
              </w:rPr>
              <w:t>5.3 Zvýšenie atraktivity a kvality služieb železničnej verejnej osobnej dopravy prostredníctvom obnovy mobilných prostriedkov</w:t>
            </w:r>
          </w:p>
        </w:tc>
        <w:tc>
          <w:tcPr>
            <w:tcW w:w="2484" w:type="dxa"/>
            <w:vAlign w:val="center"/>
          </w:tcPr>
          <w:p w14:paraId="2A2AEA96" w14:textId="3E4BFE80" w:rsidR="0030130D" w:rsidRPr="00BF0551" w:rsidRDefault="0030130D" w:rsidP="00627E8B">
            <w:pPr>
              <w:pStyle w:val="Style30"/>
              <w:widowControl/>
              <w:rPr>
                <w:sz w:val="18"/>
                <w:szCs w:val="18"/>
              </w:rPr>
            </w:pPr>
            <w:r>
              <w:rPr>
                <w:sz w:val="18"/>
                <w:szCs w:val="18"/>
              </w:rPr>
              <w:t>Počet prepravených cestujúcich vo verejnej železničnej osobnej doprave</w:t>
            </w:r>
          </w:p>
        </w:tc>
      </w:tr>
      <w:tr w:rsidR="00124620" w:rsidRPr="00430B9D" w14:paraId="524A046B" w14:textId="77777777" w:rsidTr="00124620">
        <w:trPr>
          <w:trHeight w:val="413"/>
          <w:jc w:val="center"/>
        </w:trPr>
        <w:tc>
          <w:tcPr>
            <w:tcW w:w="806" w:type="dxa"/>
            <w:vMerge w:val="restart"/>
            <w:vAlign w:val="center"/>
          </w:tcPr>
          <w:p w14:paraId="202ACC80" w14:textId="77777777" w:rsidR="00124620" w:rsidRPr="00BF0551" w:rsidRDefault="00124620" w:rsidP="00EF2741">
            <w:pPr>
              <w:rPr>
                <w:sz w:val="18"/>
                <w:szCs w:val="18"/>
              </w:rPr>
            </w:pPr>
            <w:r w:rsidRPr="00BF0551">
              <w:rPr>
                <w:sz w:val="18"/>
                <w:szCs w:val="18"/>
              </w:rPr>
              <w:lastRenderedPageBreak/>
              <w:t>PO 6</w:t>
            </w:r>
          </w:p>
        </w:tc>
        <w:tc>
          <w:tcPr>
            <w:tcW w:w="606" w:type="dxa"/>
            <w:vMerge w:val="restart"/>
            <w:vAlign w:val="center"/>
          </w:tcPr>
          <w:p w14:paraId="24F407B8" w14:textId="77777777" w:rsidR="00124620" w:rsidRPr="00BF0551" w:rsidRDefault="00124620" w:rsidP="00EF2741">
            <w:pPr>
              <w:pStyle w:val="Style30"/>
              <w:widowControl/>
              <w:jc w:val="center"/>
              <w:rPr>
                <w:sz w:val="18"/>
                <w:szCs w:val="18"/>
              </w:rPr>
            </w:pPr>
            <w:r w:rsidRPr="00BF0551">
              <w:rPr>
                <w:sz w:val="18"/>
                <w:szCs w:val="18"/>
              </w:rPr>
              <w:t>EFRR</w:t>
            </w:r>
          </w:p>
        </w:tc>
        <w:tc>
          <w:tcPr>
            <w:tcW w:w="1245" w:type="dxa"/>
            <w:vMerge w:val="restart"/>
            <w:vAlign w:val="center"/>
          </w:tcPr>
          <w:p w14:paraId="40D8E0AE" w14:textId="19833F56" w:rsidR="00124620" w:rsidRPr="00BF0551" w:rsidRDefault="00FB2E8F" w:rsidP="00FB2E8F">
            <w:pPr>
              <w:pStyle w:val="Style30"/>
              <w:widowControl/>
              <w:jc w:val="right"/>
              <w:rPr>
                <w:sz w:val="18"/>
                <w:szCs w:val="18"/>
              </w:rPr>
            </w:pPr>
            <w:r w:rsidRPr="00FB2E8F">
              <w:rPr>
                <w:sz w:val="18"/>
                <w:szCs w:val="18"/>
              </w:rPr>
              <w:t>804 886 032</w:t>
            </w:r>
          </w:p>
        </w:tc>
        <w:tc>
          <w:tcPr>
            <w:tcW w:w="1417" w:type="dxa"/>
            <w:vMerge w:val="restart"/>
            <w:vAlign w:val="center"/>
          </w:tcPr>
          <w:p w14:paraId="5B304DF3" w14:textId="5B219883" w:rsidR="00124620" w:rsidRPr="00E07B76" w:rsidRDefault="00FB2E8F" w:rsidP="00FB2E8F">
            <w:pPr>
              <w:jc w:val="center"/>
              <w:rPr>
                <w:rStyle w:val="FontStyle93"/>
                <w:sz w:val="18"/>
                <w:szCs w:val="18"/>
                <w:lang w:eastAsia="de-DE"/>
              </w:rPr>
            </w:pPr>
            <w:r>
              <w:rPr>
                <w:rStyle w:val="FontStyle93"/>
                <w:sz w:val="18"/>
                <w:szCs w:val="18"/>
                <w:lang w:eastAsia="de-DE"/>
              </w:rPr>
              <w:t>13,09</w:t>
            </w:r>
            <w:r w:rsidR="00124620" w:rsidRPr="00E07B76">
              <w:rPr>
                <w:rStyle w:val="FontStyle93"/>
                <w:sz w:val="18"/>
                <w:szCs w:val="18"/>
                <w:lang w:val="en-US" w:eastAsia="de-DE"/>
              </w:rPr>
              <w:t xml:space="preserve"> %</w:t>
            </w:r>
          </w:p>
        </w:tc>
        <w:tc>
          <w:tcPr>
            <w:tcW w:w="2410" w:type="dxa"/>
            <w:vMerge w:val="restart"/>
            <w:vAlign w:val="center"/>
          </w:tcPr>
          <w:p w14:paraId="672B3BD7" w14:textId="77777777" w:rsidR="00124620" w:rsidRPr="00BF0551" w:rsidRDefault="00124620" w:rsidP="00EF2741">
            <w:pPr>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00A39BC6" w14:textId="77777777" w:rsidR="00124620" w:rsidRPr="00BF0551" w:rsidRDefault="00124620"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14:paraId="1F9BA74A" w14:textId="77777777" w:rsidR="00124620" w:rsidRPr="00BF0551" w:rsidRDefault="00124620" w:rsidP="00EF2741">
            <w:pPr>
              <w:pStyle w:val="Style30"/>
              <w:widowControl/>
              <w:rPr>
                <w:color w:val="000000" w:themeColor="text1"/>
                <w:sz w:val="18"/>
                <w:szCs w:val="18"/>
              </w:rPr>
            </w:pPr>
            <w:r w:rsidRPr="00BF0551">
              <w:rPr>
                <w:color w:val="000000" w:themeColor="text1"/>
                <w:sz w:val="18"/>
                <w:szCs w:val="18"/>
              </w:rPr>
              <w:t>6.1 Odstránenie kľúčových úzkych miest na cestnej infraštruktúre TEN-T prostredníctvom výstavby nových úsekov rýchlostných ciest</w:t>
            </w:r>
          </w:p>
        </w:tc>
        <w:tc>
          <w:tcPr>
            <w:tcW w:w="2484" w:type="dxa"/>
            <w:tcBorders>
              <w:bottom w:val="single" w:sz="4" w:space="0" w:color="auto"/>
            </w:tcBorders>
            <w:vAlign w:val="center"/>
          </w:tcPr>
          <w:p w14:paraId="316D89BE" w14:textId="77777777" w:rsidR="00124620" w:rsidRPr="00BF0551" w:rsidRDefault="00124620" w:rsidP="00EF2741">
            <w:pPr>
              <w:pStyle w:val="Style30"/>
              <w:widowControl/>
              <w:rPr>
                <w:color w:val="000000" w:themeColor="text1"/>
                <w:sz w:val="18"/>
                <w:szCs w:val="18"/>
              </w:rPr>
            </w:pPr>
            <w:r w:rsidRPr="00BF0551">
              <w:rPr>
                <w:color w:val="000000" w:themeColor="text1"/>
                <w:sz w:val="18"/>
                <w:szCs w:val="18"/>
              </w:rPr>
              <w:t>Úspora času v cestnej doprave na rýchlostných cestách</w:t>
            </w:r>
          </w:p>
        </w:tc>
      </w:tr>
      <w:tr w:rsidR="00124620" w:rsidRPr="00430B9D" w14:paraId="068007E6" w14:textId="77777777" w:rsidTr="00124620">
        <w:trPr>
          <w:trHeight w:val="413"/>
          <w:jc w:val="center"/>
        </w:trPr>
        <w:tc>
          <w:tcPr>
            <w:tcW w:w="806" w:type="dxa"/>
            <w:vMerge/>
            <w:vAlign w:val="center"/>
          </w:tcPr>
          <w:p w14:paraId="7C985C84" w14:textId="77777777" w:rsidR="00124620" w:rsidRPr="00BF0551" w:rsidRDefault="00124620" w:rsidP="00EF2741">
            <w:pPr>
              <w:rPr>
                <w:sz w:val="18"/>
                <w:szCs w:val="18"/>
              </w:rPr>
            </w:pPr>
          </w:p>
        </w:tc>
        <w:tc>
          <w:tcPr>
            <w:tcW w:w="606" w:type="dxa"/>
            <w:vMerge/>
            <w:vAlign w:val="center"/>
          </w:tcPr>
          <w:p w14:paraId="7C221BCD" w14:textId="77777777" w:rsidR="00124620" w:rsidRPr="00BF0551" w:rsidRDefault="00124620" w:rsidP="00EF2741">
            <w:pPr>
              <w:pStyle w:val="Style30"/>
              <w:widowControl/>
              <w:jc w:val="center"/>
              <w:rPr>
                <w:sz w:val="18"/>
                <w:szCs w:val="18"/>
              </w:rPr>
            </w:pPr>
          </w:p>
        </w:tc>
        <w:tc>
          <w:tcPr>
            <w:tcW w:w="1245" w:type="dxa"/>
            <w:vMerge/>
            <w:vAlign w:val="center"/>
          </w:tcPr>
          <w:p w14:paraId="43917E62" w14:textId="77777777" w:rsidR="00124620" w:rsidRPr="00BF0551" w:rsidDel="00674753" w:rsidRDefault="00124620" w:rsidP="00EF2741">
            <w:pPr>
              <w:pStyle w:val="Style30"/>
              <w:widowControl/>
              <w:jc w:val="right"/>
              <w:rPr>
                <w:sz w:val="18"/>
                <w:szCs w:val="18"/>
              </w:rPr>
            </w:pPr>
          </w:p>
        </w:tc>
        <w:tc>
          <w:tcPr>
            <w:tcW w:w="1417" w:type="dxa"/>
            <w:vMerge/>
            <w:vAlign w:val="center"/>
          </w:tcPr>
          <w:p w14:paraId="3FAA59A2" w14:textId="77777777" w:rsidR="00124620" w:rsidRPr="00BF0551" w:rsidRDefault="00124620">
            <w:pPr>
              <w:jc w:val="center"/>
              <w:rPr>
                <w:rStyle w:val="FontStyle93"/>
                <w:sz w:val="18"/>
                <w:szCs w:val="18"/>
                <w:lang w:eastAsia="de-DE"/>
              </w:rPr>
            </w:pPr>
          </w:p>
        </w:tc>
        <w:tc>
          <w:tcPr>
            <w:tcW w:w="2410" w:type="dxa"/>
            <w:vMerge/>
            <w:vAlign w:val="center"/>
          </w:tcPr>
          <w:p w14:paraId="053D6223" w14:textId="77777777" w:rsidR="00124620" w:rsidRPr="00BF0551" w:rsidRDefault="00124620" w:rsidP="00EF2741">
            <w:pPr>
              <w:rPr>
                <w:rStyle w:val="FontStyle93"/>
                <w:sz w:val="18"/>
                <w:szCs w:val="18"/>
                <w:lang w:eastAsia="de-DE"/>
              </w:rPr>
            </w:pPr>
          </w:p>
        </w:tc>
        <w:tc>
          <w:tcPr>
            <w:tcW w:w="2693" w:type="dxa"/>
            <w:vMerge/>
            <w:vAlign w:val="center"/>
          </w:tcPr>
          <w:p w14:paraId="1EEA9ABB" w14:textId="77777777" w:rsidR="00124620" w:rsidRPr="00BF0551" w:rsidRDefault="00124620" w:rsidP="00EF2741">
            <w:pPr>
              <w:pStyle w:val="Style40"/>
              <w:widowControl/>
              <w:rPr>
                <w:rStyle w:val="FontStyle93"/>
                <w:sz w:val="18"/>
                <w:szCs w:val="18"/>
                <w:lang w:eastAsia="de-DE"/>
              </w:rPr>
            </w:pPr>
          </w:p>
        </w:tc>
        <w:tc>
          <w:tcPr>
            <w:tcW w:w="2609" w:type="dxa"/>
            <w:vMerge/>
            <w:vAlign w:val="center"/>
          </w:tcPr>
          <w:p w14:paraId="293EAC63" w14:textId="77777777" w:rsidR="00124620" w:rsidRPr="00BF0551" w:rsidRDefault="00124620" w:rsidP="00EF2741">
            <w:pPr>
              <w:pStyle w:val="Style30"/>
              <w:widowControl/>
              <w:rPr>
                <w:color w:val="000000" w:themeColor="text1"/>
                <w:sz w:val="18"/>
                <w:szCs w:val="18"/>
              </w:rPr>
            </w:pPr>
          </w:p>
        </w:tc>
        <w:tc>
          <w:tcPr>
            <w:tcW w:w="2484" w:type="dxa"/>
            <w:tcBorders>
              <w:bottom w:val="single" w:sz="4" w:space="0" w:color="auto"/>
            </w:tcBorders>
            <w:vAlign w:val="center"/>
          </w:tcPr>
          <w:p w14:paraId="64680B22" w14:textId="77777777" w:rsidR="00124620" w:rsidRPr="00BF0551" w:rsidRDefault="00124620"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 rýchlostných ciest)</w:t>
            </w:r>
          </w:p>
        </w:tc>
      </w:tr>
      <w:tr w:rsidR="00124620" w:rsidRPr="00430B9D" w14:paraId="6DCE35A6" w14:textId="77777777" w:rsidTr="00543AEB">
        <w:trPr>
          <w:trHeight w:val="413"/>
          <w:jc w:val="center"/>
        </w:trPr>
        <w:tc>
          <w:tcPr>
            <w:tcW w:w="806" w:type="dxa"/>
            <w:vMerge/>
            <w:vAlign w:val="center"/>
          </w:tcPr>
          <w:p w14:paraId="78BBAF49" w14:textId="77777777" w:rsidR="00124620" w:rsidRPr="00BF0551" w:rsidRDefault="00124620" w:rsidP="00EF2741">
            <w:pPr>
              <w:rPr>
                <w:sz w:val="18"/>
                <w:szCs w:val="18"/>
              </w:rPr>
            </w:pPr>
          </w:p>
        </w:tc>
        <w:tc>
          <w:tcPr>
            <w:tcW w:w="606" w:type="dxa"/>
            <w:vMerge/>
            <w:vAlign w:val="center"/>
          </w:tcPr>
          <w:p w14:paraId="53406E37" w14:textId="77777777" w:rsidR="00124620" w:rsidRPr="00BF0551" w:rsidRDefault="00124620" w:rsidP="00EF2741">
            <w:pPr>
              <w:pStyle w:val="Style30"/>
              <w:widowControl/>
              <w:jc w:val="center"/>
              <w:rPr>
                <w:sz w:val="18"/>
                <w:szCs w:val="18"/>
              </w:rPr>
            </w:pPr>
          </w:p>
        </w:tc>
        <w:tc>
          <w:tcPr>
            <w:tcW w:w="1245" w:type="dxa"/>
            <w:vMerge/>
            <w:vAlign w:val="center"/>
          </w:tcPr>
          <w:p w14:paraId="69D126FE" w14:textId="77777777" w:rsidR="00124620" w:rsidRPr="00BF0551" w:rsidDel="00674753" w:rsidRDefault="00124620" w:rsidP="00EF2741">
            <w:pPr>
              <w:pStyle w:val="Style30"/>
              <w:widowControl/>
              <w:jc w:val="right"/>
              <w:rPr>
                <w:sz w:val="18"/>
                <w:szCs w:val="18"/>
              </w:rPr>
            </w:pPr>
          </w:p>
        </w:tc>
        <w:tc>
          <w:tcPr>
            <w:tcW w:w="1417" w:type="dxa"/>
            <w:vMerge/>
            <w:vAlign w:val="center"/>
          </w:tcPr>
          <w:p w14:paraId="17D1D783" w14:textId="77777777" w:rsidR="00124620" w:rsidRPr="00BF0551" w:rsidRDefault="00124620">
            <w:pPr>
              <w:jc w:val="center"/>
              <w:rPr>
                <w:rStyle w:val="FontStyle93"/>
                <w:sz w:val="18"/>
                <w:szCs w:val="18"/>
                <w:lang w:eastAsia="de-DE"/>
              </w:rPr>
            </w:pPr>
          </w:p>
        </w:tc>
        <w:tc>
          <w:tcPr>
            <w:tcW w:w="2410" w:type="dxa"/>
            <w:vMerge/>
            <w:vAlign w:val="center"/>
          </w:tcPr>
          <w:p w14:paraId="68456C04" w14:textId="77777777" w:rsidR="00124620" w:rsidRPr="00BF0551" w:rsidRDefault="00124620" w:rsidP="00EF2741">
            <w:pPr>
              <w:rPr>
                <w:rStyle w:val="FontStyle93"/>
                <w:sz w:val="18"/>
                <w:szCs w:val="18"/>
                <w:lang w:eastAsia="de-DE"/>
              </w:rPr>
            </w:pPr>
          </w:p>
        </w:tc>
        <w:tc>
          <w:tcPr>
            <w:tcW w:w="2693" w:type="dxa"/>
            <w:vMerge/>
            <w:tcBorders>
              <w:bottom w:val="single" w:sz="4" w:space="0" w:color="auto"/>
            </w:tcBorders>
            <w:vAlign w:val="center"/>
          </w:tcPr>
          <w:p w14:paraId="4A4DD4D5" w14:textId="77777777" w:rsidR="00124620" w:rsidRPr="00BF0551" w:rsidRDefault="00124620" w:rsidP="00EF2741">
            <w:pPr>
              <w:pStyle w:val="Style40"/>
              <w:widowControl/>
              <w:rPr>
                <w:rStyle w:val="FontStyle93"/>
                <w:sz w:val="18"/>
                <w:szCs w:val="18"/>
                <w:lang w:eastAsia="de-DE"/>
              </w:rPr>
            </w:pPr>
          </w:p>
        </w:tc>
        <w:tc>
          <w:tcPr>
            <w:tcW w:w="2609" w:type="dxa"/>
            <w:vMerge/>
            <w:tcBorders>
              <w:bottom w:val="single" w:sz="4" w:space="0" w:color="auto"/>
            </w:tcBorders>
            <w:vAlign w:val="center"/>
          </w:tcPr>
          <w:p w14:paraId="26EAC121" w14:textId="77777777" w:rsidR="00124620" w:rsidRPr="00BF0551" w:rsidRDefault="00124620" w:rsidP="00EF2741">
            <w:pPr>
              <w:pStyle w:val="Style30"/>
              <w:widowControl/>
              <w:rPr>
                <w:color w:val="000000" w:themeColor="text1"/>
                <w:sz w:val="18"/>
                <w:szCs w:val="18"/>
              </w:rPr>
            </w:pPr>
          </w:p>
        </w:tc>
        <w:tc>
          <w:tcPr>
            <w:tcW w:w="2484" w:type="dxa"/>
            <w:tcBorders>
              <w:bottom w:val="single" w:sz="4" w:space="0" w:color="auto"/>
            </w:tcBorders>
            <w:vAlign w:val="center"/>
          </w:tcPr>
          <w:p w14:paraId="16FFC8FC" w14:textId="77777777" w:rsidR="00124620" w:rsidRPr="00BF0551" w:rsidRDefault="00124620" w:rsidP="00124620">
            <w:pPr>
              <w:rPr>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výstavby rýchlostných ciest)</w:t>
            </w:r>
          </w:p>
        </w:tc>
      </w:tr>
      <w:tr w:rsidR="00124620" w:rsidRPr="00430B9D" w14:paraId="6B4201FE" w14:textId="77777777" w:rsidTr="00A14443">
        <w:trPr>
          <w:trHeight w:val="705"/>
          <w:jc w:val="center"/>
        </w:trPr>
        <w:tc>
          <w:tcPr>
            <w:tcW w:w="806" w:type="dxa"/>
            <w:vMerge/>
            <w:vAlign w:val="center"/>
          </w:tcPr>
          <w:p w14:paraId="1AED13CC" w14:textId="77777777" w:rsidR="00124620" w:rsidRPr="00BF0551" w:rsidRDefault="00124620" w:rsidP="00EF2741">
            <w:pPr>
              <w:rPr>
                <w:sz w:val="18"/>
                <w:szCs w:val="18"/>
              </w:rPr>
            </w:pPr>
          </w:p>
        </w:tc>
        <w:tc>
          <w:tcPr>
            <w:tcW w:w="606" w:type="dxa"/>
            <w:vMerge/>
            <w:vAlign w:val="center"/>
          </w:tcPr>
          <w:p w14:paraId="141D4191" w14:textId="77777777" w:rsidR="00124620" w:rsidRPr="00BF0551" w:rsidRDefault="00124620" w:rsidP="00EF2741">
            <w:pPr>
              <w:pStyle w:val="Style30"/>
              <w:widowControl/>
              <w:jc w:val="center"/>
              <w:rPr>
                <w:sz w:val="18"/>
                <w:szCs w:val="18"/>
              </w:rPr>
            </w:pPr>
          </w:p>
        </w:tc>
        <w:tc>
          <w:tcPr>
            <w:tcW w:w="1245" w:type="dxa"/>
            <w:vMerge/>
            <w:vAlign w:val="center"/>
          </w:tcPr>
          <w:p w14:paraId="416923F4" w14:textId="77777777" w:rsidR="00124620" w:rsidRPr="00BF0551" w:rsidRDefault="00124620" w:rsidP="00EF2741">
            <w:pPr>
              <w:pStyle w:val="Style30"/>
              <w:widowControl/>
              <w:jc w:val="right"/>
              <w:rPr>
                <w:sz w:val="18"/>
                <w:szCs w:val="18"/>
              </w:rPr>
            </w:pPr>
          </w:p>
        </w:tc>
        <w:tc>
          <w:tcPr>
            <w:tcW w:w="1417" w:type="dxa"/>
            <w:vMerge/>
          </w:tcPr>
          <w:p w14:paraId="79951E08" w14:textId="77777777" w:rsidR="00124620" w:rsidRPr="00BF0551" w:rsidRDefault="00124620" w:rsidP="00EF2741">
            <w:pPr>
              <w:rPr>
                <w:rStyle w:val="FontStyle93"/>
                <w:sz w:val="18"/>
                <w:szCs w:val="18"/>
                <w:lang w:eastAsia="de-DE"/>
              </w:rPr>
            </w:pPr>
          </w:p>
        </w:tc>
        <w:tc>
          <w:tcPr>
            <w:tcW w:w="2410" w:type="dxa"/>
            <w:vMerge/>
          </w:tcPr>
          <w:p w14:paraId="68AE034D" w14:textId="77777777" w:rsidR="00124620" w:rsidRPr="00BF0551" w:rsidRDefault="00124620" w:rsidP="00EF2741">
            <w:pPr>
              <w:rPr>
                <w:rStyle w:val="FontStyle93"/>
                <w:sz w:val="18"/>
                <w:szCs w:val="18"/>
                <w:lang w:eastAsia="de-DE"/>
              </w:rPr>
            </w:pPr>
          </w:p>
        </w:tc>
        <w:tc>
          <w:tcPr>
            <w:tcW w:w="2693" w:type="dxa"/>
            <w:vMerge w:val="restart"/>
            <w:shd w:val="clear" w:color="auto" w:fill="auto"/>
            <w:vAlign w:val="center"/>
          </w:tcPr>
          <w:p w14:paraId="76C19E79" w14:textId="77777777" w:rsidR="00124620" w:rsidRPr="00BF0551" w:rsidDel="00B214BB" w:rsidRDefault="00124620" w:rsidP="00EF2741">
            <w:pPr>
              <w:pStyle w:val="Style40"/>
              <w:rPr>
                <w:rStyle w:val="FontStyle93"/>
                <w:sz w:val="18"/>
                <w:szCs w:val="18"/>
                <w:lang w:eastAsia="de-DE"/>
              </w:rPr>
            </w:pPr>
            <w:r w:rsidRPr="00BF0551">
              <w:rPr>
                <w:rStyle w:val="FontStyle93"/>
                <w:sz w:val="18"/>
                <w:szCs w:val="18"/>
                <w:lang w:eastAsia="de-DE"/>
              </w:rPr>
              <w:t>Posilnenie regionálnej mobility prepojením sekundárnych a terciálnych uzlov s infraštruktúrou TEN-T vrátane multimodálnych uzlov</w:t>
            </w:r>
          </w:p>
        </w:tc>
        <w:tc>
          <w:tcPr>
            <w:tcW w:w="2609" w:type="dxa"/>
            <w:vMerge w:val="restart"/>
            <w:shd w:val="clear" w:color="auto" w:fill="auto"/>
            <w:vAlign w:val="center"/>
          </w:tcPr>
          <w:p w14:paraId="7CE991AC" w14:textId="77777777" w:rsidR="00124620" w:rsidRPr="00BF0551" w:rsidDel="00B214BB" w:rsidRDefault="00124620" w:rsidP="00EF2741">
            <w:pPr>
              <w:pStyle w:val="Style30"/>
              <w:widowControl/>
              <w:rPr>
                <w:rStyle w:val="FontStyle93"/>
                <w:color w:val="000000" w:themeColor="text1"/>
                <w:sz w:val="18"/>
                <w:szCs w:val="18"/>
                <w:lang w:eastAsia="de-DE"/>
              </w:rPr>
            </w:pPr>
            <w:r w:rsidRPr="00BF0551">
              <w:rPr>
                <w:rStyle w:val="FontStyle93"/>
                <w:color w:val="000000" w:themeColor="text1"/>
                <w:sz w:val="18"/>
                <w:szCs w:val="18"/>
                <w:lang w:eastAsia="de-DE"/>
              </w:rPr>
              <w:t>6.2 Zlepšenie bezpečnosti a dostupnosti cestnej infraštruktúry TEN-T a regionálnej mobility prostredníctvom výstavby a modernizácie ciest I. triedy</w:t>
            </w:r>
          </w:p>
        </w:tc>
        <w:tc>
          <w:tcPr>
            <w:tcW w:w="2484" w:type="dxa"/>
            <w:shd w:val="clear" w:color="auto" w:fill="auto"/>
            <w:vAlign w:val="center"/>
          </w:tcPr>
          <w:p w14:paraId="27866E4B" w14:textId="77777777" w:rsidR="00124620" w:rsidRPr="00BF0551" w:rsidRDefault="00124620" w:rsidP="00EF2741">
            <w:pPr>
              <w:pStyle w:val="Style30"/>
              <w:widowControl/>
              <w:rPr>
                <w:rStyle w:val="FontStyle93"/>
                <w:i/>
                <w:color w:val="000000" w:themeColor="text1"/>
                <w:sz w:val="18"/>
                <w:szCs w:val="18"/>
                <w:lang w:eastAsia="de-DE"/>
              </w:rPr>
            </w:pPr>
            <w:r w:rsidRPr="00BF0551">
              <w:rPr>
                <w:color w:val="000000" w:themeColor="text1"/>
                <w:sz w:val="18"/>
                <w:szCs w:val="18"/>
              </w:rPr>
              <w:t>Úspora času v cestnej doprave na cestách I. triedy</w:t>
            </w:r>
          </w:p>
        </w:tc>
      </w:tr>
      <w:tr w:rsidR="00124620" w:rsidRPr="00430B9D" w14:paraId="6D43C345" w14:textId="77777777" w:rsidTr="00543AEB">
        <w:trPr>
          <w:trHeight w:val="684"/>
          <w:jc w:val="center"/>
        </w:trPr>
        <w:tc>
          <w:tcPr>
            <w:tcW w:w="806" w:type="dxa"/>
            <w:vMerge/>
            <w:vAlign w:val="center"/>
          </w:tcPr>
          <w:p w14:paraId="5E5369CE" w14:textId="77777777" w:rsidR="00124620" w:rsidRPr="00BF0551" w:rsidRDefault="00124620" w:rsidP="00EF2741">
            <w:pPr>
              <w:rPr>
                <w:sz w:val="18"/>
                <w:szCs w:val="18"/>
              </w:rPr>
            </w:pPr>
          </w:p>
        </w:tc>
        <w:tc>
          <w:tcPr>
            <w:tcW w:w="606" w:type="dxa"/>
            <w:vMerge/>
            <w:vAlign w:val="center"/>
          </w:tcPr>
          <w:p w14:paraId="410ED97B" w14:textId="77777777" w:rsidR="00124620" w:rsidRPr="00BF0551" w:rsidRDefault="00124620" w:rsidP="00EF2741">
            <w:pPr>
              <w:pStyle w:val="Style30"/>
              <w:widowControl/>
              <w:jc w:val="center"/>
              <w:rPr>
                <w:sz w:val="18"/>
                <w:szCs w:val="18"/>
              </w:rPr>
            </w:pPr>
          </w:p>
        </w:tc>
        <w:tc>
          <w:tcPr>
            <w:tcW w:w="1245" w:type="dxa"/>
            <w:vMerge/>
            <w:vAlign w:val="center"/>
          </w:tcPr>
          <w:p w14:paraId="71BA0EC2" w14:textId="77777777" w:rsidR="00124620" w:rsidRPr="00BF0551" w:rsidRDefault="00124620" w:rsidP="00EF2741">
            <w:pPr>
              <w:pStyle w:val="Style30"/>
              <w:widowControl/>
              <w:jc w:val="right"/>
              <w:rPr>
                <w:sz w:val="18"/>
                <w:szCs w:val="18"/>
              </w:rPr>
            </w:pPr>
          </w:p>
        </w:tc>
        <w:tc>
          <w:tcPr>
            <w:tcW w:w="1417" w:type="dxa"/>
            <w:vMerge/>
          </w:tcPr>
          <w:p w14:paraId="09D528D5" w14:textId="77777777" w:rsidR="00124620" w:rsidRPr="00BF0551" w:rsidRDefault="00124620" w:rsidP="00EF2741">
            <w:pPr>
              <w:rPr>
                <w:rStyle w:val="FontStyle93"/>
                <w:sz w:val="18"/>
                <w:szCs w:val="18"/>
                <w:lang w:eastAsia="de-DE"/>
              </w:rPr>
            </w:pPr>
          </w:p>
        </w:tc>
        <w:tc>
          <w:tcPr>
            <w:tcW w:w="2410" w:type="dxa"/>
            <w:vMerge/>
          </w:tcPr>
          <w:p w14:paraId="518C2CB3" w14:textId="77777777" w:rsidR="00124620" w:rsidRPr="00BF0551" w:rsidRDefault="00124620" w:rsidP="00EF2741">
            <w:pPr>
              <w:rPr>
                <w:rStyle w:val="FontStyle93"/>
                <w:sz w:val="18"/>
                <w:szCs w:val="18"/>
                <w:lang w:eastAsia="de-DE"/>
              </w:rPr>
            </w:pPr>
          </w:p>
        </w:tc>
        <w:tc>
          <w:tcPr>
            <w:tcW w:w="2693" w:type="dxa"/>
            <w:vMerge/>
            <w:shd w:val="clear" w:color="auto" w:fill="auto"/>
            <w:vAlign w:val="center"/>
          </w:tcPr>
          <w:p w14:paraId="099BA726" w14:textId="77777777"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14:paraId="3368014C" w14:textId="77777777"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14:paraId="380685B2" w14:textId="77777777" w:rsidR="00124620" w:rsidRPr="00BF0551" w:rsidRDefault="00124620" w:rsidP="00EF2741">
            <w:pPr>
              <w:pStyle w:val="Style30"/>
              <w:widowControl/>
              <w:rPr>
                <w:color w:val="000000" w:themeColor="text1"/>
                <w:sz w:val="18"/>
                <w:szCs w:val="18"/>
              </w:rPr>
            </w:pPr>
            <w:r w:rsidRPr="00BF0551">
              <w:rPr>
                <w:color w:val="000000" w:themeColor="text1"/>
                <w:sz w:val="18"/>
                <w:szCs w:val="18"/>
              </w:rPr>
              <w:t>Počet usmrtených osôb na cestách I. triedy</w:t>
            </w:r>
          </w:p>
        </w:tc>
      </w:tr>
      <w:tr w:rsidR="00124620" w:rsidRPr="00430B9D" w14:paraId="1AAC7E61" w14:textId="77777777" w:rsidTr="00543AEB">
        <w:trPr>
          <w:trHeight w:val="684"/>
          <w:jc w:val="center"/>
        </w:trPr>
        <w:tc>
          <w:tcPr>
            <w:tcW w:w="806" w:type="dxa"/>
            <w:vMerge/>
            <w:vAlign w:val="center"/>
          </w:tcPr>
          <w:p w14:paraId="5BA72474" w14:textId="77777777" w:rsidR="00124620" w:rsidRPr="00BF0551" w:rsidRDefault="00124620" w:rsidP="00EF2741">
            <w:pPr>
              <w:rPr>
                <w:sz w:val="18"/>
                <w:szCs w:val="18"/>
              </w:rPr>
            </w:pPr>
          </w:p>
        </w:tc>
        <w:tc>
          <w:tcPr>
            <w:tcW w:w="606" w:type="dxa"/>
            <w:vMerge/>
            <w:vAlign w:val="center"/>
          </w:tcPr>
          <w:p w14:paraId="362E4FAE" w14:textId="77777777" w:rsidR="00124620" w:rsidRPr="00BF0551" w:rsidRDefault="00124620" w:rsidP="00EF2741">
            <w:pPr>
              <w:pStyle w:val="Style30"/>
              <w:widowControl/>
              <w:jc w:val="center"/>
              <w:rPr>
                <w:sz w:val="18"/>
                <w:szCs w:val="18"/>
              </w:rPr>
            </w:pPr>
          </w:p>
        </w:tc>
        <w:tc>
          <w:tcPr>
            <w:tcW w:w="1245" w:type="dxa"/>
            <w:vMerge/>
            <w:vAlign w:val="center"/>
          </w:tcPr>
          <w:p w14:paraId="29B3A260" w14:textId="77777777" w:rsidR="00124620" w:rsidRPr="00BF0551" w:rsidRDefault="00124620" w:rsidP="00EF2741">
            <w:pPr>
              <w:pStyle w:val="Style30"/>
              <w:widowControl/>
              <w:jc w:val="right"/>
              <w:rPr>
                <w:sz w:val="18"/>
                <w:szCs w:val="18"/>
              </w:rPr>
            </w:pPr>
          </w:p>
        </w:tc>
        <w:tc>
          <w:tcPr>
            <w:tcW w:w="1417" w:type="dxa"/>
            <w:vMerge/>
          </w:tcPr>
          <w:p w14:paraId="6B690062" w14:textId="77777777" w:rsidR="00124620" w:rsidRPr="00BF0551" w:rsidRDefault="00124620" w:rsidP="00EF2741">
            <w:pPr>
              <w:rPr>
                <w:rStyle w:val="FontStyle93"/>
                <w:sz w:val="18"/>
                <w:szCs w:val="18"/>
                <w:lang w:eastAsia="de-DE"/>
              </w:rPr>
            </w:pPr>
          </w:p>
        </w:tc>
        <w:tc>
          <w:tcPr>
            <w:tcW w:w="2410" w:type="dxa"/>
            <w:vMerge/>
          </w:tcPr>
          <w:p w14:paraId="3640A2B1" w14:textId="77777777" w:rsidR="00124620" w:rsidRPr="00BF0551" w:rsidRDefault="00124620" w:rsidP="00EF2741">
            <w:pPr>
              <w:rPr>
                <w:rStyle w:val="FontStyle93"/>
                <w:sz w:val="18"/>
                <w:szCs w:val="18"/>
                <w:lang w:eastAsia="de-DE"/>
              </w:rPr>
            </w:pPr>
          </w:p>
        </w:tc>
        <w:tc>
          <w:tcPr>
            <w:tcW w:w="2693" w:type="dxa"/>
            <w:vMerge/>
            <w:shd w:val="clear" w:color="auto" w:fill="auto"/>
            <w:vAlign w:val="center"/>
          </w:tcPr>
          <w:p w14:paraId="68AE3A23" w14:textId="77777777"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14:paraId="7EF948BF" w14:textId="77777777"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14:paraId="3C68C724" w14:textId="77777777" w:rsidR="00124620" w:rsidRPr="00BF0551" w:rsidDel="00257F81" w:rsidRDefault="00124620"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w:t>
            </w:r>
            <w:r w:rsidR="00307AAF" w:rsidRPr="00BF0551">
              <w:rPr>
                <w:sz w:val="18"/>
                <w:szCs w:val="18"/>
              </w:rPr>
              <w:t xml:space="preserve"> ciest I. triedy)</w:t>
            </w:r>
          </w:p>
        </w:tc>
      </w:tr>
      <w:tr w:rsidR="00124620" w:rsidRPr="00430B9D" w14:paraId="44613335" w14:textId="77777777" w:rsidTr="00543AEB">
        <w:trPr>
          <w:trHeight w:val="684"/>
          <w:jc w:val="center"/>
        </w:trPr>
        <w:tc>
          <w:tcPr>
            <w:tcW w:w="806" w:type="dxa"/>
            <w:vMerge/>
            <w:vAlign w:val="center"/>
          </w:tcPr>
          <w:p w14:paraId="667921F5" w14:textId="77777777" w:rsidR="00124620" w:rsidRPr="00BF0551" w:rsidRDefault="00124620" w:rsidP="00EF2741">
            <w:pPr>
              <w:rPr>
                <w:sz w:val="18"/>
                <w:szCs w:val="18"/>
              </w:rPr>
            </w:pPr>
          </w:p>
        </w:tc>
        <w:tc>
          <w:tcPr>
            <w:tcW w:w="606" w:type="dxa"/>
            <w:vMerge/>
            <w:vAlign w:val="center"/>
          </w:tcPr>
          <w:p w14:paraId="5018A239" w14:textId="77777777" w:rsidR="00124620" w:rsidRPr="00BF0551" w:rsidRDefault="00124620" w:rsidP="00EF2741">
            <w:pPr>
              <w:pStyle w:val="Style30"/>
              <w:widowControl/>
              <w:jc w:val="center"/>
              <w:rPr>
                <w:sz w:val="18"/>
                <w:szCs w:val="18"/>
              </w:rPr>
            </w:pPr>
          </w:p>
        </w:tc>
        <w:tc>
          <w:tcPr>
            <w:tcW w:w="1245" w:type="dxa"/>
            <w:vMerge/>
            <w:vAlign w:val="center"/>
          </w:tcPr>
          <w:p w14:paraId="5C1445F6" w14:textId="77777777" w:rsidR="00124620" w:rsidRPr="00BF0551" w:rsidRDefault="00124620" w:rsidP="00EF2741">
            <w:pPr>
              <w:pStyle w:val="Style30"/>
              <w:widowControl/>
              <w:jc w:val="right"/>
              <w:rPr>
                <w:sz w:val="18"/>
                <w:szCs w:val="18"/>
              </w:rPr>
            </w:pPr>
          </w:p>
        </w:tc>
        <w:tc>
          <w:tcPr>
            <w:tcW w:w="1417" w:type="dxa"/>
            <w:vMerge/>
          </w:tcPr>
          <w:p w14:paraId="10CCE5BB" w14:textId="77777777" w:rsidR="00124620" w:rsidRPr="00BF0551" w:rsidRDefault="00124620" w:rsidP="00EF2741">
            <w:pPr>
              <w:rPr>
                <w:rStyle w:val="FontStyle93"/>
                <w:sz w:val="18"/>
                <w:szCs w:val="18"/>
                <w:lang w:eastAsia="de-DE"/>
              </w:rPr>
            </w:pPr>
          </w:p>
        </w:tc>
        <w:tc>
          <w:tcPr>
            <w:tcW w:w="2410" w:type="dxa"/>
            <w:vMerge/>
          </w:tcPr>
          <w:p w14:paraId="1F95F7F9" w14:textId="77777777" w:rsidR="00124620" w:rsidRPr="00BF0551" w:rsidRDefault="00124620" w:rsidP="00EF2741">
            <w:pPr>
              <w:rPr>
                <w:rStyle w:val="FontStyle93"/>
                <w:sz w:val="18"/>
                <w:szCs w:val="18"/>
                <w:lang w:eastAsia="de-DE"/>
              </w:rPr>
            </w:pPr>
          </w:p>
        </w:tc>
        <w:tc>
          <w:tcPr>
            <w:tcW w:w="2693" w:type="dxa"/>
            <w:vMerge/>
            <w:shd w:val="clear" w:color="auto" w:fill="auto"/>
            <w:vAlign w:val="center"/>
          </w:tcPr>
          <w:p w14:paraId="5756D868" w14:textId="77777777"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14:paraId="39B8FC87" w14:textId="77777777"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14:paraId="08BC8C5B" w14:textId="77777777" w:rsidR="00307AAF" w:rsidRPr="00BF0551" w:rsidRDefault="00124620" w:rsidP="00307AAF">
            <w:pPr>
              <w:rPr>
                <w:b/>
                <w:bCs/>
                <w:iCs/>
                <w:color w:val="4F81BD" w:themeColor="accent1"/>
                <w:sz w:val="18"/>
                <w:szCs w:val="18"/>
              </w:rPr>
            </w:pPr>
            <w:r w:rsidRPr="00BF0551">
              <w:rPr>
                <w:sz w:val="18"/>
                <w:szCs w:val="18"/>
              </w:rPr>
              <w:t xml:space="preserve">Úspora produkcie emisií </w:t>
            </w:r>
            <w:r w:rsidR="00A656AE" w:rsidRPr="00BF0551">
              <w:rPr>
                <w:sz w:val="18"/>
                <w:szCs w:val="18"/>
              </w:rPr>
              <w:t>NO</w:t>
            </w:r>
            <w:r w:rsidR="00307AAF" w:rsidRPr="00BF0551">
              <w:rPr>
                <w:sz w:val="18"/>
                <w:szCs w:val="18"/>
                <w:vertAlign w:val="subscript"/>
              </w:rPr>
              <w:t>2</w:t>
            </w:r>
            <w:r w:rsidRPr="00BF0551">
              <w:rPr>
                <w:sz w:val="18"/>
                <w:szCs w:val="18"/>
              </w:rPr>
              <w:t xml:space="preserve"> (vplyvom výstavby</w:t>
            </w:r>
            <w:r w:rsidR="00A21DD4" w:rsidRPr="00BF0551">
              <w:rPr>
                <w:sz w:val="18"/>
                <w:szCs w:val="18"/>
              </w:rPr>
              <w:t xml:space="preserve"> </w:t>
            </w:r>
            <w:r w:rsidR="00307AAF" w:rsidRPr="00BF0551">
              <w:rPr>
                <w:sz w:val="18"/>
                <w:szCs w:val="18"/>
              </w:rPr>
              <w:t>ciest I. triedy)</w:t>
            </w:r>
          </w:p>
        </w:tc>
      </w:tr>
      <w:tr w:rsidR="00AC7B75" w:rsidRPr="00430B9D" w14:paraId="022DB7E2" w14:textId="77777777" w:rsidTr="00543AEB">
        <w:trPr>
          <w:trHeight w:val="413"/>
          <w:jc w:val="center"/>
        </w:trPr>
        <w:tc>
          <w:tcPr>
            <w:tcW w:w="806" w:type="dxa"/>
            <w:vMerge w:val="restart"/>
            <w:vAlign w:val="center"/>
          </w:tcPr>
          <w:p w14:paraId="5FF66247" w14:textId="77777777" w:rsidR="00AC7B75" w:rsidRPr="00BF0551" w:rsidRDefault="00AC7B75" w:rsidP="00EF2741">
            <w:pPr>
              <w:rPr>
                <w:sz w:val="18"/>
                <w:szCs w:val="18"/>
              </w:rPr>
            </w:pPr>
            <w:r w:rsidRPr="00BF0551">
              <w:rPr>
                <w:sz w:val="18"/>
                <w:szCs w:val="18"/>
              </w:rPr>
              <w:t>PO 7</w:t>
            </w:r>
          </w:p>
        </w:tc>
        <w:tc>
          <w:tcPr>
            <w:tcW w:w="606" w:type="dxa"/>
            <w:vMerge w:val="restart"/>
            <w:vAlign w:val="center"/>
          </w:tcPr>
          <w:p w14:paraId="0A251876" w14:textId="77777777" w:rsidR="00AC7B75" w:rsidRPr="00BF0551" w:rsidRDefault="00AC7B75" w:rsidP="00EF2741">
            <w:pPr>
              <w:pStyle w:val="Style30"/>
              <w:widowControl/>
              <w:jc w:val="center"/>
              <w:rPr>
                <w:color w:val="000000"/>
                <w:sz w:val="18"/>
                <w:szCs w:val="18"/>
              </w:rPr>
            </w:pPr>
            <w:r w:rsidRPr="00BF0551">
              <w:rPr>
                <w:sz w:val="18"/>
                <w:szCs w:val="18"/>
              </w:rPr>
              <w:t>EFRR</w:t>
            </w:r>
          </w:p>
        </w:tc>
        <w:tc>
          <w:tcPr>
            <w:tcW w:w="1245" w:type="dxa"/>
            <w:vMerge w:val="restart"/>
            <w:vAlign w:val="center"/>
          </w:tcPr>
          <w:p w14:paraId="4C28121A" w14:textId="77777777" w:rsidR="00AC7B75" w:rsidRDefault="009503E5" w:rsidP="00EF2741">
            <w:pPr>
              <w:jc w:val="right"/>
              <w:rPr>
                <w:sz w:val="18"/>
                <w:szCs w:val="18"/>
              </w:rPr>
            </w:pPr>
            <w:r>
              <w:rPr>
                <w:sz w:val="18"/>
                <w:szCs w:val="18"/>
              </w:rPr>
              <w:t> </w:t>
            </w:r>
          </w:p>
          <w:p w14:paraId="384B41DE" w14:textId="32E4C45D" w:rsidR="00EB29A4" w:rsidRDefault="00FB2E8F" w:rsidP="00EF2741">
            <w:pPr>
              <w:jc w:val="right"/>
              <w:rPr>
                <w:sz w:val="18"/>
                <w:szCs w:val="18"/>
              </w:rPr>
            </w:pPr>
            <w:r w:rsidRPr="00FB2E8F">
              <w:rPr>
                <w:sz w:val="18"/>
                <w:szCs w:val="18"/>
              </w:rPr>
              <w:t>736 940 302</w:t>
            </w:r>
          </w:p>
          <w:p w14:paraId="3A2AB3FF" w14:textId="77777777" w:rsidR="009503E5" w:rsidRPr="00BF0551" w:rsidRDefault="009503E5" w:rsidP="00EF2741">
            <w:pPr>
              <w:jc w:val="right"/>
              <w:rPr>
                <w:sz w:val="18"/>
                <w:szCs w:val="18"/>
              </w:rPr>
            </w:pPr>
          </w:p>
        </w:tc>
        <w:tc>
          <w:tcPr>
            <w:tcW w:w="1417" w:type="dxa"/>
            <w:vMerge w:val="restart"/>
            <w:vAlign w:val="center"/>
          </w:tcPr>
          <w:p w14:paraId="13480905" w14:textId="0D4DF769" w:rsidR="00AF57EB" w:rsidRPr="00BF0551" w:rsidRDefault="00FB2E8F" w:rsidP="00FB2E8F">
            <w:pPr>
              <w:jc w:val="center"/>
              <w:rPr>
                <w:rStyle w:val="FontStyle93"/>
                <w:sz w:val="18"/>
                <w:szCs w:val="18"/>
                <w:lang w:eastAsia="de-DE"/>
              </w:rPr>
            </w:pPr>
            <w:r>
              <w:rPr>
                <w:rStyle w:val="FontStyle93"/>
                <w:sz w:val="18"/>
                <w:szCs w:val="18"/>
                <w:lang w:eastAsia="de-DE"/>
              </w:rPr>
              <w:t>11,98</w:t>
            </w:r>
            <w:r w:rsidR="00674753" w:rsidRPr="00E07B76">
              <w:rPr>
                <w:rStyle w:val="FontStyle93"/>
                <w:sz w:val="18"/>
                <w:szCs w:val="18"/>
                <w:lang w:val="en-US" w:eastAsia="de-DE"/>
              </w:rPr>
              <w:t xml:space="preserve"> </w:t>
            </w:r>
            <w:r w:rsidR="00AC7B75" w:rsidRPr="00E07B76">
              <w:rPr>
                <w:rStyle w:val="FontStyle93"/>
                <w:sz w:val="18"/>
                <w:szCs w:val="18"/>
                <w:lang w:val="en-US" w:eastAsia="de-DE"/>
              </w:rPr>
              <w:t>%</w:t>
            </w:r>
          </w:p>
        </w:tc>
        <w:tc>
          <w:tcPr>
            <w:tcW w:w="2410" w:type="dxa"/>
            <w:vMerge w:val="restart"/>
            <w:vAlign w:val="center"/>
          </w:tcPr>
          <w:p w14:paraId="4D8EADF4" w14:textId="77777777" w:rsidR="00AC7B75" w:rsidRPr="00BF0551" w:rsidRDefault="00AC7B75" w:rsidP="00EF2741">
            <w:pPr>
              <w:rPr>
                <w:sz w:val="18"/>
                <w:szCs w:val="18"/>
              </w:rPr>
            </w:pPr>
            <w:r w:rsidRPr="00BF0551">
              <w:rPr>
                <w:rStyle w:val="FontStyle93"/>
                <w:sz w:val="18"/>
                <w:szCs w:val="18"/>
                <w:lang w:eastAsia="de-DE"/>
              </w:rPr>
              <w:t>TC 2 – Zle</w:t>
            </w:r>
            <w:r w:rsidR="00DC18DF">
              <w:rPr>
                <w:rStyle w:val="FontStyle93"/>
                <w:sz w:val="18"/>
                <w:szCs w:val="18"/>
                <w:lang w:eastAsia="de-DE"/>
              </w:rPr>
              <w:t>pšenie prístupu k </w:t>
            </w:r>
            <w:r w:rsidRPr="00BF0551">
              <w:rPr>
                <w:rStyle w:val="FontStyle93"/>
                <w:sz w:val="18"/>
                <w:szCs w:val="18"/>
                <w:lang w:eastAsia="de-DE"/>
              </w:rPr>
              <w:t>IKT a zlepšenie ich využívania a kvality</w:t>
            </w:r>
          </w:p>
        </w:tc>
        <w:tc>
          <w:tcPr>
            <w:tcW w:w="2693" w:type="dxa"/>
            <w:vMerge w:val="restart"/>
            <w:vAlign w:val="center"/>
          </w:tcPr>
          <w:p w14:paraId="75B438C3" w14:textId="77777777" w:rsidR="00AC7B75" w:rsidRPr="00BF0551" w:rsidRDefault="00AC7B75" w:rsidP="00EF2741">
            <w:pPr>
              <w:pStyle w:val="Style30"/>
              <w:widowControl/>
              <w:rPr>
                <w:color w:val="000000"/>
                <w:sz w:val="18"/>
                <w:szCs w:val="18"/>
              </w:rPr>
            </w:pPr>
            <w:r w:rsidRPr="00BF0551">
              <w:rPr>
                <w:sz w:val="18"/>
                <w:szCs w:val="18"/>
              </w:rPr>
              <w:t>Rozšírenie širokopásmového pripojenia a zavádzanie vysokorýchlostných sietí a podpora zavádzania nastupujúcich technológií a sietí pre digitálne hospodárstvo</w:t>
            </w:r>
            <w:r w:rsidRPr="00BF0551" w:rsidDel="00ED2E1C">
              <w:rPr>
                <w:sz w:val="18"/>
                <w:szCs w:val="18"/>
              </w:rPr>
              <w:t xml:space="preserve"> </w:t>
            </w:r>
          </w:p>
        </w:tc>
        <w:tc>
          <w:tcPr>
            <w:tcW w:w="2609" w:type="dxa"/>
            <w:vMerge w:val="restart"/>
            <w:vAlign w:val="center"/>
          </w:tcPr>
          <w:p w14:paraId="1DF289DA" w14:textId="77777777" w:rsidR="00AC7B75" w:rsidRPr="00BF0551" w:rsidRDefault="00AC7B75" w:rsidP="00EF2741">
            <w:pPr>
              <w:pStyle w:val="Style30"/>
              <w:widowControl/>
              <w:rPr>
                <w:sz w:val="18"/>
                <w:szCs w:val="18"/>
              </w:rPr>
            </w:pPr>
            <w:r w:rsidRPr="00BF0551">
              <w:rPr>
                <w:sz w:val="18"/>
                <w:szCs w:val="18"/>
              </w:rPr>
              <w:t>7.1 Zvýšenie pokrytia širokopásmovým internetom / NGN</w:t>
            </w:r>
            <w:r w:rsidRPr="00BF0551" w:rsidDel="00876182">
              <w:rPr>
                <w:sz w:val="18"/>
                <w:szCs w:val="18"/>
              </w:rPr>
              <w:t xml:space="preserve"> </w:t>
            </w:r>
          </w:p>
        </w:tc>
        <w:tc>
          <w:tcPr>
            <w:tcW w:w="2484" w:type="dxa"/>
            <w:vAlign w:val="center"/>
          </w:tcPr>
          <w:p w14:paraId="7C9F3128" w14:textId="77777777" w:rsidR="00AC7B75" w:rsidRPr="00BF0551" w:rsidRDefault="00AC7B75" w:rsidP="00EF2741">
            <w:pPr>
              <w:rPr>
                <w:sz w:val="18"/>
                <w:szCs w:val="18"/>
              </w:rPr>
            </w:pPr>
            <w:r w:rsidRPr="00BF0551">
              <w:rPr>
                <w:sz w:val="18"/>
                <w:szCs w:val="18"/>
              </w:rPr>
              <w:t>Percento populácie využívajúce mobilný širokopásmový prístup na internet</w:t>
            </w:r>
            <w:r w:rsidRPr="00BF0551" w:rsidDel="00876182">
              <w:rPr>
                <w:sz w:val="18"/>
                <w:szCs w:val="18"/>
              </w:rPr>
              <w:t xml:space="preserve"> </w:t>
            </w:r>
          </w:p>
        </w:tc>
      </w:tr>
      <w:tr w:rsidR="00AC7B75" w:rsidRPr="00430B9D" w14:paraId="0C34A0E9" w14:textId="77777777" w:rsidTr="00543AEB">
        <w:trPr>
          <w:trHeight w:val="413"/>
          <w:jc w:val="center"/>
        </w:trPr>
        <w:tc>
          <w:tcPr>
            <w:tcW w:w="806" w:type="dxa"/>
            <w:vMerge/>
          </w:tcPr>
          <w:p w14:paraId="2EF3FF64" w14:textId="77777777" w:rsidR="00AC7B75" w:rsidRPr="00BF0551" w:rsidRDefault="00AC7B75" w:rsidP="00EF2741">
            <w:pPr>
              <w:rPr>
                <w:sz w:val="18"/>
                <w:szCs w:val="18"/>
              </w:rPr>
            </w:pPr>
          </w:p>
        </w:tc>
        <w:tc>
          <w:tcPr>
            <w:tcW w:w="606" w:type="dxa"/>
            <w:vMerge/>
          </w:tcPr>
          <w:p w14:paraId="61997233" w14:textId="77777777" w:rsidR="00AC7B75" w:rsidRPr="00BF0551" w:rsidRDefault="00AC7B75" w:rsidP="00EF2741">
            <w:pPr>
              <w:rPr>
                <w:color w:val="000000"/>
                <w:sz w:val="18"/>
                <w:szCs w:val="18"/>
              </w:rPr>
            </w:pPr>
          </w:p>
        </w:tc>
        <w:tc>
          <w:tcPr>
            <w:tcW w:w="1245" w:type="dxa"/>
            <w:vMerge/>
          </w:tcPr>
          <w:p w14:paraId="56BEFB52" w14:textId="77777777" w:rsidR="00AC7B75" w:rsidRPr="00BF0551" w:rsidRDefault="00AC7B75" w:rsidP="00EF2741">
            <w:pPr>
              <w:jc w:val="center"/>
              <w:rPr>
                <w:color w:val="000000"/>
                <w:sz w:val="18"/>
                <w:szCs w:val="18"/>
              </w:rPr>
            </w:pPr>
          </w:p>
        </w:tc>
        <w:tc>
          <w:tcPr>
            <w:tcW w:w="1417" w:type="dxa"/>
            <w:vMerge/>
          </w:tcPr>
          <w:p w14:paraId="77BC6F19" w14:textId="77777777" w:rsidR="00AC7B75" w:rsidRPr="00BF0551" w:rsidRDefault="00AC7B75" w:rsidP="00EF2741">
            <w:pPr>
              <w:rPr>
                <w:color w:val="000000"/>
                <w:sz w:val="18"/>
                <w:szCs w:val="18"/>
              </w:rPr>
            </w:pPr>
          </w:p>
        </w:tc>
        <w:tc>
          <w:tcPr>
            <w:tcW w:w="2410" w:type="dxa"/>
            <w:vMerge/>
          </w:tcPr>
          <w:p w14:paraId="12FF0B05" w14:textId="77777777" w:rsidR="00AC7B75" w:rsidRPr="00BF0551" w:rsidRDefault="00AC7B75" w:rsidP="00EF2741">
            <w:pPr>
              <w:rPr>
                <w:color w:val="000000"/>
                <w:sz w:val="18"/>
                <w:szCs w:val="18"/>
              </w:rPr>
            </w:pPr>
          </w:p>
        </w:tc>
        <w:tc>
          <w:tcPr>
            <w:tcW w:w="2693" w:type="dxa"/>
            <w:vMerge/>
            <w:vAlign w:val="center"/>
          </w:tcPr>
          <w:p w14:paraId="5D5678E2" w14:textId="77777777" w:rsidR="00AC7B75" w:rsidRPr="00BF0551" w:rsidRDefault="00AC7B75" w:rsidP="00EF2741">
            <w:pPr>
              <w:rPr>
                <w:color w:val="000000"/>
                <w:sz w:val="18"/>
                <w:szCs w:val="18"/>
              </w:rPr>
            </w:pPr>
          </w:p>
        </w:tc>
        <w:tc>
          <w:tcPr>
            <w:tcW w:w="2609" w:type="dxa"/>
            <w:vMerge/>
            <w:vAlign w:val="center"/>
          </w:tcPr>
          <w:p w14:paraId="59686D89" w14:textId="77777777" w:rsidR="00AC7B75" w:rsidRPr="00BF0551" w:rsidRDefault="00AC7B75" w:rsidP="00EF2741">
            <w:pPr>
              <w:pStyle w:val="Style30"/>
              <w:widowControl/>
              <w:rPr>
                <w:sz w:val="18"/>
                <w:szCs w:val="18"/>
              </w:rPr>
            </w:pPr>
          </w:p>
        </w:tc>
        <w:tc>
          <w:tcPr>
            <w:tcW w:w="2484" w:type="dxa"/>
            <w:vAlign w:val="center"/>
          </w:tcPr>
          <w:p w14:paraId="163F0F24" w14:textId="77777777" w:rsidR="00AC7B75" w:rsidRPr="00BF0551" w:rsidRDefault="00AC7B75" w:rsidP="00EF2741">
            <w:pPr>
              <w:rPr>
                <w:sz w:val="18"/>
                <w:szCs w:val="18"/>
              </w:rPr>
            </w:pPr>
            <w:r w:rsidRPr="00BF0551">
              <w:rPr>
                <w:sz w:val="18"/>
                <w:szCs w:val="18"/>
              </w:rPr>
              <w:t>Percento populácie využívajúce širokopásmový internet pravidelne</w:t>
            </w:r>
            <w:r w:rsidRPr="00BF0551" w:rsidDel="00557F3E">
              <w:rPr>
                <w:sz w:val="18"/>
                <w:szCs w:val="18"/>
              </w:rPr>
              <w:t xml:space="preserve"> </w:t>
            </w:r>
          </w:p>
        </w:tc>
      </w:tr>
      <w:tr w:rsidR="00AC7B75" w:rsidRPr="00430B9D" w14:paraId="09EF6C82" w14:textId="77777777" w:rsidTr="00543AEB">
        <w:trPr>
          <w:trHeight w:val="351"/>
          <w:jc w:val="center"/>
        </w:trPr>
        <w:tc>
          <w:tcPr>
            <w:tcW w:w="806" w:type="dxa"/>
            <w:vMerge/>
          </w:tcPr>
          <w:p w14:paraId="5A0DD366" w14:textId="77777777" w:rsidR="00AC7B75" w:rsidRPr="00BF0551" w:rsidRDefault="00AC7B75" w:rsidP="00EF2741">
            <w:pPr>
              <w:rPr>
                <w:sz w:val="18"/>
                <w:szCs w:val="18"/>
              </w:rPr>
            </w:pPr>
          </w:p>
        </w:tc>
        <w:tc>
          <w:tcPr>
            <w:tcW w:w="606" w:type="dxa"/>
            <w:vMerge/>
            <w:vAlign w:val="center"/>
          </w:tcPr>
          <w:p w14:paraId="5F73D834" w14:textId="77777777" w:rsidR="00AC7B75" w:rsidRPr="00BF0551" w:rsidRDefault="00AC7B75" w:rsidP="00EF2741">
            <w:pPr>
              <w:jc w:val="center"/>
              <w:rPr>
                <w:sz w:val="18"/>
                <w:szCs w:val="18"/>
              </w:rPr>
            </w:pPr>
          </w:p>
        </w:tc>
        <w:tc>
          <w:tcPr>
            <w:tcW w:w="1245" w:type="dxa"/>
            <w:vMerge/>
            <w:vAlign w:val="center"/>
          </w:tcPr>
          <w:p w14:paraId="7A3A2F29" w14:textId="77777777" w:rsidR="00AC7B75" w:rsidRPr="00BF0551" w:rsidRDefault="00AC7B75" w:rsidP="00EF2741">
            <w:pPr>
              <w:jc w:val="center"/>
              <w:rPr>
                <w:color w:val="000000"/>
                <w:sz w:val="18"/>
                <w:szCs w:val="18"/>
              </w:rPr>
            </w:pPr>
          </w:p>
        </w:tc>
        <w:tc>
          <w:tcPr>
            <w:tcW w:w="1417" w:type="dxa"/>
            <w:vMerge/>
            <w:vAlign w:val="center"/>
          </w:tcPr>
          <w:p w14:paraId="253023CB" w14:textId="77777777" w:rsidR="00AC7B75" w:rsidRPr="00BF0551" w:rsidRDefault="00AC7B75" w:rsidP="00EF2741">
            <w:pPr>
              <w:jc w:val="center"/>
              <w:rPr>
                <w:color w:val="000000"/>
                <w:sz w:val="18"/>
                <w:szCs w:val="18"/>
              </w:rPr>
            </w:pPr>
          </w:p>
        </w:tc>
        <w:tc>
          <w:tcPr>
            <w:tcW w:w="2410" w:type="dxa"/>
            <w:vMerge/>
          </w:tcPr>
          <w:p w14:paraId="42D9EBCD" w14:textId="77777777" w:rsidR="00AC7B75" w:rsidRPr="00BF0551" w:rsidRDefault="00AC7B75" w:rsidP="00EF2741">
            <w:pPr>
              <w:rPr>
                <w:color w:val="000000"/>
                <w:sz w:val="18"/>
                <w:szCs w:val="18"/>
              </w:rPr>
            </w:pPr>
          </w:p>
        </w:tc>
        <w:tc>
          <w:tcPr>
            <w:tcW w:w="2693" w:type="dxa"/>
            <w:vMerge w:val="restart"/>
            <w:vAlign w:val="center"/>
          </w:tcPr>
          <w:p w14:paraId="3D37F522" w14:textId="77777777" w:rsidR="00AC7B75" w:rsidRPr="00BF0551" w:rsidRDefault="00AC7B75" w:rsidP="00EF2741">
            <w:pPr>
              <w:pStyle w:val="Style30"/>
              <w:widowControl/>
              <w:rPr>
                <w:color w:val="000000"/>
                <w:sz w:val="18"/>
                <w:szCs w:val="18"/>
              </w:rPr>
            </w:pPr>
            <w:r w:rsidRPr="00BF0551">
              <w:rPr>
                <w:sz w:val="18"/>
                <w:szCs w:val="18"/>
              </w:rPr>
              <w:t xml:space="preserve">Vývoj produktov a služieb IKT, elektronického obchodu a posilnenia dopytu po IKT </w:t>
            </w:r>
          </w:p>
        </w:tc>
        <w:tc>
          <w:tcPr>
            <w:tcW w:w="2609" w:type="dxa"/>
            <w:vMerge w:val="restart"/>
            <w:vAlign w:val="center"/>
          </w:tcPr>
          <w:p w14:paraId="26C3F524" w14:textId="77777777" w:rsidR="00AC7B75" w:rsidRPr="00BF0551" w:rsidRDefault="00AC7B75" w:rsidP="00EF2741">
            <w:pPr>
              <w:rPr>
                <w:sz w:val="18"/>
                <w:szCs w:val="18"/>
              </w:rPr>
            </w:pPr>
            <w:r w:rsidRPr="00BF0551">
              <w:rPr>
                <w:sz w:val="18"/>
                <w:szCs w:val="18"/>
              </w:rPr>
              <w:t>7.2 Zvýšenie inovačnej kapacity najmä malých a stredných podnikateľov v digitálnej ekonomike</w:t>
            </w:r>
            <w:r w:rsidRPr="00BF0551" w:rsidDel="0001138F">
              <w:rPr>
                <w:sz w:val="18"/>
                <w:szCs w:val="18"/>
              </w:rPr>
              <w:t xml:space="preserve"> </w:t>
            </w:r>
          </w:p>
        </w:tc>
        <w:tc>
          <w:tcPr>
            <w:tcW w:w="2484" w:type="dxa"/>
            <w:tcBorders>
              <w:bottom w:val="single" w:sz="4" w:space="0" w:color="auto"/>
            </w:tcBorders>
            <w:vAlign w:val="center"/>
          </w:tcPr>
          <w:p w14:paraId="46A02D1C" w14:textId="786479F3" w:rsidR="00AC7B75" w:rsidRPr="00BF0551" w:rsidRDefault="00AC7B75" w:rsidP="00EF2741">
            <w:pPr>
              <w:rPr>
                <w:sz w:val="18"/>
                <w:szCs w:val="18"/>
              </w:rPr>
            </w:pPr>
            <w:r w:rsidRPr="00BF0551">
              <w:rPr>
                <w:sz w:val="18"/>
                <w:szCs w:val="18"/>
              </w:rPr>
              <w:t>Percento MSP predávajúce tovar a služby online</w:t>
            </w:r>
          </w:p>
        </w:tc>
      </w:tr>
      <w:tr w:rsidR="00AC7B75" w:rsidRPr="00430B9D" w14:paraId="72394EAE" w14:textId="77777777" w:rsidTr="00543AEB">
        <w:trPr>
          <w:trHeight w:val="350"/>
          <w:jc w:val="center"/>
        </w:trPr>
        <w:tc>
          <w:tcPr>
            <w:tcW w:w="806" w:type="dxa"/>
            <w:vMerge/>
          </w:tcPr>
          <w:p w14:paraId="412268D4" w14:textId="77777777" w:rsidR="00AC7B75" w:rsidRPr="00BF0551" w:rsidRDefault="00AC7B75" w:rsidP="00EF2741">
            <w:pPr>
              <w:rPr>
                <w:sz w:val="18"/>
                <w:szCs w:val="18"/>
              </w:rPr>
            </w:pPr>
          </w:p>
        </w:tc>
        <w:tc>
          <w:tcPr>
            <w:tcW w:w="606" w:type="dxa"/>
            <w:vMerge/>
            <w:vAlign w:val="center"/>
          </w:tcPr>
          <w:p w14:paraId="601C704B" w14:textId="77777777" w:rsidR="00AC7B75" w:rsidRPr="00BF0551" w:rsidRDefault="00AC7B75" w:rsidP="00EF2741">
            <w:pPr>
              <w:jc w:val="center"/>
              <w:rPr>
                <w:sz w:val="18"/>
                <w:szCs w:val="18"/>
              </w:rPr>
            </w:pPr>
          </w:p>
        </w:tc>
        <w:tc>
          <w:tcPr>
            <w:tcW w:w="1245" w:type="dxa"/>
            <w:vMerge/>
            <w:vAlign w:val="center"/>
          </w:tcPr>
          <w:p w14:paraId="3E0CE0F0" w14:textId="77777777" w:rsidR="00AC7B75" w:rsidRPr="00BF0551" w:rsidRDefault="00AC7B75" w:rsidP="00EF2741">
            <w:pPr>
              <w:jc w:val="center"/>
              <w:rPr>
                <w:color w:val="000000"/>
                <w:sz w:val="18"/>
                <w:szCs w:val="18"/>
              </w:rPr>
            </w:pPr>
          </w:p>
        </w:tc>
        <w:tc>
          <w:tcPr>
            <w:tcW w:w="1417" w:type="dxa"/>
            <w:vMerge/>
            <w:vAlign w:val="center"/>
          </w:tcPr>
          <w:p w14:paraId="0F1E1C0D" w14:textId="77777777" w:rsidR="00AC7B75" w:rsidRPr="00BF0551" w:rsidRDefault="00AC7B75" w:rsidP="00EF2741">
            <w:pPr>
              <w:jc w:val="center"/>
              <w:rPr>
                <w:color w:val="000000"/>
                <w:sz w:val="18"/>
                <w:szCs w:val="18"/>
              </w:rPr>
            </w:pPr>
          </w:p>
        </w:tc>
        <w:tc>
          <w:tcPr>
            <w:tcW w:w="2410" w:type="dxa"/>
            <w:vMerge/>
          </w:tcPr>
          <w:p w14:paraId="1126CF6E" w14:textId="77777777" w:rsidR="00AC7B75" w:rsidRPr="00BF0551" w:rsidRDefault="00AC7B75" w:rsidP="00EF2741">
            <w:pPr>
              <w:rPr>
                <w:color w:val="000000"/>
                <w:sz w:val="18"/>
                <w:szCs w:val="18"/>
              </w:rPr>
            </w:pPr>
          </w:p>
        </w:tc>
        <w:tc>
          <w:tcPr>
            <w:tcW w:w="2693" w:type="dxa"/>
            <w:vMerge/>
            <w:vAlign w:val="center"/>
          </w:tcPr>
          <w:p w14:paraId="18F064FD" w14:textId="77777777" w:rsidR="00AC7B75" w:rsidRPr="00BF0551" w:rsidRDefault="00AC7B75" w:rsidP="00EF2741">
            <w:pPr>
              <w:pStyle w:val="Style30"/>
              <w:widowControl/>
              <w:rPr>
                <w:sz w:val="18"/>
                <w:szCs w:val="18"/>
              </w:rPr>
            </w:pPr>
          </w:p>
        </w:tc>
        <w:tc>
          <w:tcPr>
            <w:tcW w:w="2609" w:type="dxa"/>
            <w:vMerge/>
            <w:tcBorders>
              <w:bottom w:val="single" w:sz="4" w:space="0" w:color="auto"/>
            </w:tcBorders>
            <w:vAlign w:val="center"/>
          </w:tcPr>
          <w:p w14:paraId="595EEFF6" w14:textId="77777777" w:rsidR="00AC7B75" w:rsidRPr="00BF0551" w:rsidDel="00876182" w:rsidRDefault="00AC7B75" w:rsidP="00EF2741">
            <w:pPr>
              <w:rPr>
                <w:sz w:val="18"/>
                <w:szCs w:val="18"/>
              </w:rPr>
            </w:pPr>
          </w:p>
        </w:tc>
        <w:tc>
          <w:tcPr>
            <w:tcW w:w="2484" w:type="dxa"/>
            <w:tcBorders>
              <w:bottom w:val="single" w:sz="4" w:space="0" w:color="auto"/>
            </w:tcBorders>
            <w:vAlign w:val="center"/>
          </w:tcPr>
          <w:p w14:paraId="2A289718" w14:textId="77777777" w:rsidR="00AC7B75" w:rsidRPr="00BF0551" w:rsidDel="00876182" w:rsidRDefault="00AC7B75" w:rsidP="00EF2741">
            <w:pPr>
              <w:rPr>
                <w:sz w:val="18"/>
                <w:szCs w:val="18"/>
              </w:rPr>
            </w:pPr>
            <w:r w:rsidRPr="00BF0551">
              <w:rPr>
                <w:sz w:val="18"/>
                <w:szCs w:val="18"/>
              </w:rPr>
              <w:t>Percento občanov objednávajúcich tovar a služby online</w:t>
            </w:r>
          </w:p>
        </w:tc>
      </w:tr>
      <w:tr w:rsidR="00E77179" w:rsidRPr="00430B9D" w14:paraId="48564495" w14:textId="77777777" w:rsidTr="00746F3A">
        <w:trPr>
          <w:trHeight w:val="1150"/>
          <w:jc w:val="center"/>
        </w:trPr>
        <w:tc>
          <w:tcPr>
            <w:tcW w:w="806" w:type="dxa"/>
            <w:vMerge/>
          </w:tcPr>
          <w:p w14:paraId="1B8C56AF" w14:textId="77777777" w:rsidR="00E77179" w:rsidRPr="00BF0551" w:rsidRDefault="00E77179" w:rsidP="00EF2741">
            <w:pPr>
              <w:rPr>
                <w:sz w:val="18"/>
                <w:szCs w:val="18"/>
              </w:rPr>
            </w:pPr>
          </w:p>
        </w:tc>
        <w:tc>
          <w:tcPr>
            <w:tcW w:w="606" w:type="dxa"/>
            <w:vMerge/>
            <w:vAlign w:val="center"/>
          </w:tcPr>
          <w:p w14:paraId="71E63995" w14:textId="77777777" w:rsidR="00E77179" w:rsidRPr="00BF0551" w:rsidRDefault="00E77179" w:rsidP="00EF2741">
            <w:pPr>
              <w:jc w:val="center"/>
              <w:rPr>
                <w:color w:val="000000"/>
                <w:sz w:val="18"/>
                <w:szCs w:val="18"/>
              </w:rPr>
            </w:pPr>
          </w:p>
        </w:tc>
        <w:tc>
          <w:tcPr>
            <w:tcW w:w="1245" w:type="dxa"/>
            <w:vMerge/>
            <w:vAlign w:val="center"/>
          </w:tcPr>
          <w:p w14:paraId="283C0A4F" w14:textId="77777777" w:rsidR="00E77179" w:rsidRPr="00BF0551" w:rsidRDefault="00E77179" w:rsidP="00EF2741">
            <w:pPr>
              <w:jc w:val="center"/>
              <w:rPr>
                <w:color w:val="000000"/>
                <w:sz w:val="18"/>
                <w:szCs w:val="18"/>
              </w:rPr>
            </w:pPr>
          </w:p>
        </w:tc>
        <w:tc>
          <w:tcPr>
            <w:tcW w:w="1417" w:type="dxa"/>
            <w:vMerge/>
            <w:vAlign w:val="center"/>
          </w:tcPr>
          <w:p w14:paraId="226431DF" w14:textId="77777777" w:rsidR="00E77179" w:rsidRPr="00BF0551" w:rsidRDefault="00E77179" w:rsidP="00EF2741">
            <w:pPr>
              <w:jc w:val="center"/>
              <w:rPr>
                <w:sz w:val="18"/>
                <w:szCs w:val="18"/>
              </w:rPr>
            </w:pPr>
          </w:p>
        </w:tc>
        <w:tc>
          <w:tcPr>
            <w:tcW w:w="2410" w:type="dxa"/>
            <w:vMerge/>
          </w:tcPr>
          <w:p w14:paraId="78DA0230" w14:textId="77777777" w:rsidR="00E77179" w:rsidRPr="00BF0551" w:rsidRDefault="00E77179" w:rsidP="00EF2741">
            <w:pPr>
              <w:rPr>
                <w:sz w:val="18"/>
                <w:szCs w:val="18"/>
              </w:rPr>
            </w:pPr>
          </w:p>
        </w:tc>
        <w:tc>
          <w:tcPr>
            <w:tcW w:w="2693" w:type="dxa"/>
            <w:vMerge w:val="restart"/>
            <w:vAlign w:val="center"/>
          </w:tcPr>
          <w:p w14:paraId="5E92E4E5" w14:textId="77777777" w:rsidR="00E77179" w:rsidRPr="00BF0551" w:rsidRDefault="00E77179" w:rsidP="00EF2741">
            <w:pPr>
              <w:pStyle w:val="Style30"/>
              <w:widowControl/>
              <w:rPr>
                <w:sz w:val="18"/>
                <w:szCs w:val="18"/>
              </w:rPr>
            </w:pPr>
            <w:r w:rsidRPr="00BF0551">
              <w:rPr>
                <w:sz w:val="18"/>
                <w:szCs w:val="18"/>
              </w:rPr>
              <w:t>Posilnenie aplikácií IKT v rámci elektronickej štátnej správy, elektronického vzdelávania, elektronickej inklúzie, elektronickej kultúry a elektronického zdravotníctva</w:t>
            </w:r>
          </w:p>
          <w:p w14:paraId="44640FF7" w14:textId="77777777" w:rsidR="00E77179" w:rsidRPr="00BF0551" w:rsidRDefault="00E77179" w:rsidP="00EF2741">
            <w:pPr>
              <w:pStyle w:val="Style30"/>
              <w:rPr>
                <w:sz w:val="18"/>
                <w:szCs w:val="18"/>
              </w:rPr>
            </w:pPr>
          </w:p>
        </w:tc>
        <w:tc>
          <w:tcPr>
            <w:tcW w:w="2609" w:type="dxa"/>
            <w:vAlign w:val="center"/>
          </w:tcPr>
          <w:p w14:paraId="4DC54A5A" w14:textId="77777777" w:rsidR="00E77179" w:rsidRPr="00BF0551" w:rsidDel="00876182" w:rsidRDefault="00E77179" w:rsidP="00EF2741">
            <w:pPr>
              <w:pStyle w:val="Style30"/>
              <w:widowControl/>
              <w:rPr>
                <w:sz w:val="18"/>
                <w:szCs w:val="18"/>
              </w:rPr>
            </w:pPr>
            <w:r w:rsidRPr="00BF0551">
              <w:rPr>
                <w:sz w:val="18"/>
                <w:szCs w:val="18"/>
              </w:rPr>
              <w:t>7.3 Zvýšenie kvality, štandardu a dostupnosti eGovernment služieb pre podnikateľov</w:t>
            </w:r>
          </w:p>
        </w:tc>
        <w:tc>
          <w:tcPr>
            <w:tcW w:w="2484" w:type="dxa"/>
          </w:tcPr>
          <w:p w14:paraId="24C22D72" w14:textId="77777777" w:rsidR="00E77179" w:rsidRPr="00BF0551" w:rsidRDefault="00E77179" w:rsidP="00EF2741">
            <w:pPr>
              <w:rPr>
                <w:sz w:val="18"/>
                <w:szCs w:val="18"/>
              </w:rPr>
            </w:pPr>
            <w:r w:rsidRPr="00BF0551">
              <w:rPr>
                <w:sz w:val="18"/>
                <w:szCs w:val="18"/>
              </w:rPr>
              <w:t>Celková spokojnosť podnikateľov so službami eGovernmentu</w:t>
            </w:r>
          </w:p>
        </w:tc>
      </w:tr>
      <w:tr w:rsidR="00AC7B75" w:rsidRPr="00430B9D" w14:paraId="54D87F2E" w14:textId="77777777" w:rsidTr="00543AEB">
        <w:trPr>
          <w:trHeight w:val="257"/>
          <w:jc w:val="center"/>
        </w:trPr>
        <w:tc>
          <w:tcPr>
            <w:tcW w:w="806" w:type="dxa"/>
            <w:vMerge/>
          </w:tcPr>
          <w:p w14:paraId="4B609732" w14:textId="77777777" w:rsidR="00AC7B75" w:rsidRPr="00BF0551" w:rsidRDefault="00AC7B75" w:rsidP="00EF2741">
            <w:pPr>
              <w:rPr>
                <w:sz w:val="18"/>
                <w:szCs w:val="18"/>
              </w:rPr>
            </w:pPr>
          </w:p>
        </w:tc>
        <w:tc>
          <w:tcPr>
            <w:tcW w:w="606" w:type="dxa"/>
            <w:vMerge/>
            <w:vAlign w:val="center"/>
          </w:tcPr>
          <w:p w14:paraId="53953733" w14:textId="77777777" w:rsidR="00AC7B75" w:rsidRPr="00BF0551" w:rsidRDefault="00AC7B75" w:rsidP="00EF2741">
            <w:pPr>
              <w:jc w:val="center"/>
              <w:rPr>
                <w:color w:val="000000"/>
                <w:sz w:val="18"/>
                <w:szCs w:val="18"/>
              </w:rPr>
            </w:pPr>
          </w:p>
        </w:tc>
        <w:tc>
          <w:tcPr>
            <w:tcW w:w="1245" w:type="dxa"/>
            <w:vMerge/>
            <w:vAlign w:val="center"/>
          </w:tcPr>
          <w:p w14:paraId="1E7377CC" w14:textId="77777777" w:rsidR="00AC7B75" w:rsidRPr="00BF0551" w:rsidRDefault="00AC7B75" w:rsidP="00EF2741">
            <w:pPr>
              <w:jc w:val="center"/>
              <w:rPr>
                <w:color w:val="000000"/>
                <w:sz w:val="18"/>
                <w:szCs w:val="18"/>
              </w:rPr>
            </w:pPr>
          </w:p>
        </w:tc>
        <w:tc>
          <w:tcPr>
            <w:tcW w:w="1417" w:type="dxa"/>
            <w:vMerge/>
            <w:vAlign w:val="center"/>
          </w:tcPr>
          <w:p w14:paraId="4EC77F89" w14:textId="77777777" w:rsidR="00AC7B75" w:rsidRPr="00BF0551" w:rsidRDefault="00AC7B75" w:rsidP="00EF2741">
            <w:pPr>
              <w:jc w:val="center"/>
              <w:rPr>
                <w:sz w:val="18"/>
                <w:szCs w:val="18"/>
              </w:rPr>
            </w:pPr>
          </w:p>
        </w:tc>
        <w:tc>
          <w:tcPr>
            <w:tcW w:w="2410" w:type="dxa"/>
            <w:vMerge/>
          </w:tcPr>
          <w:p w14:paraId="56748DF9" w14:textId="77777777" w:rsidR="00AC7B75" w:rsidRPr="00BF0551" w:rsidRDefault="00AC7B75" w:rsidP="00EF2741">
            <w:pPr>
              <w:rPr>
                <w:sz w:val="18"/>
                <w:szCs w:val="18"/>
              </w:rPr>
            </w:pPr>
          </w:p>
        </w:tc>
        <w:tc>
          <w:tcPr>
            <w:tcW w:w="2693" w:type="dxa"/>
            <w:vMerge/>
            <w:vAlign w:val="center"/>
          </w:tcPr>
          <w:p w14:paraId="5077762D" w14:textId="77777777" w:rsidR="00AC7B75" w:rsidRPr="00BF0551" w:rsidDel="00876182" w:rsidRDefault="00AC7B75" w:rsidP="00EF2741">
            <w:pPr>
              <w:pStyle w:val="Style30"/>
              <w:rPr>
                <w:sz w:val="18"/>
                <w:szCs w:val="18"/>
              </w:rPr>
            </w:pPr>
          </w:p>
        </w:tc>
        <w:tc>
          <w:tcPr>
            <w:tcW w:w="2609" w:type="dxa"/>
            <w:vMerge w:val="restart"/>
            <w:vAlign w:val="center"/>
          </w:tcPr>
          <w:p w14:paraId="11FD8BB2" w14:textId="77777777" w:rsidR="00AC7B75" w:rsidRPr="00BF0551" w:rsidDel="00876182" w:rsidRDefault="00AC7B75" w:rsidP="00EF2741">
            <w:pPr>
              <w:pStyle w:val="Style30"/>
              <w:widowControl/>
              <w:rPr>
                <w:sz w:val="18"/>
                <w:szCs w:val="18"/>
              </w:rPr>
            </w:pPr>
            <w:r w:rsidRPr="00BF0551">
              <w:rPr>
                <w:sz w:val="18"/>
                <w:szCs w:val="18"/>
              </w:rPr>
              <w:t xml:space="preserve">7.4 Zvýšenie kvality, štandardu a dostupnosti eGovernment služieb </w:t>
            </w:r>
            <w:r w:rsidRPr="00BF0551">
              <w:rPr>
                <w:sz w:val="18"/>
                <w:szCs w:val="18"/>
              </w:rPr>
              <w:lastRenderedPageBreak/>
              <w:t>pre občanov</w:t>
            </w:r>
          </w:p>
        </w:tc>
        <w:tc>
          <w:tcPr>
            <w:tcW w:w="2484" w:type="dxa"/>
          </w:tcPr>
          <w:p w14:paraId="46E4DBFE" w14:textId="157B13B6" w:rsidR="00AC7B75" w:rsidRPr="00BF0551" w:rsidDel="00876182" w:rsidRDefault="000B1F2D" w:rsidP="00EF2741">
            <w:pPr>
              <w:rPr>
                <w:sz w:val="18"/>
                <w:szCs w:val="18"/>
              </w:rPr>
            </w:pPr>
            <w:r>
              <w:rPr>
                <w:sz w:val="18"/>
                <w:szCs w:val="18"/>
              </w:rPr>
              <w:lastRenderedPageBreak/>
              <w:t>Celková spokojnosť občanov so </w:t>
            </w:r>
            <w:r w:rsidR="00AC7B75" w:rsidRPr="00BF0551">
              <w:rPr>
                <w:sz w:val="18"/>
                <w:szCs w:val="18"/>
              </w:rPr>
              <w:t>službami eGovernmentu</w:t>
            </w:r>
          </w:p>
        </w:tc>
      </w:tr>
      <w:tr w:rsidR="00AC7B75" w:rsidRPr="00430B9D" w14:paraId="51A11581" w14:textId="77777777" w:rsidTr="00543AEB">
        <w:trPr>
          <w:trHeight w:val="256"/>
          <w:jc w:val="center"/>
        </w:trPr>
        <w:tc>
          <w:tcPr>
            <w:tcW w:w="806" w:type="dxa"/>
            <w:vMerge/>
          </w:tcPr>
          <w:p w14:paraId="1093F4BC" w14:textId="77777777" w:rsidR="00AC7B75" w:rsidRPr="00BF0551" w:rsidRDefault="00AC7B75" w:rsidP="00EF2741">
            <w:pPr>
              <w:rPr>
                <w:sz w:val="18"/>
                <w:szCs w:val="18"/>
              </w:rPr>
            </w:pPr>
          </w:p>
        </w:tc>
        <w:tc>
          <w:tcPr>
            <w:tcW w:w="606" w:type="dxa"/>
            <w:vMerge/>
            <w:vAlign w:val="center"/>
          </w:tcPr>
          <w:p w14:paraId="17208ECA" w14:textId="77777777" w:rsidR="00AC7B75" w:rsidRPr="00BF0551" w:rsidRDefault="00AC7B75" w:rsidP="00EF2741">
            <w:pPr>
              <w:jc w:val="center"/>
              <w:rPr>
                <w:color w:val="000000"/>
                <w:sz w:val="18"/>
                <w:szCs w:val="18"/>
              </w:rPr>
            </w:pPr>
          </w:p>
        </w:tc>
        <w:tc>
          <w:tcPr>
            <w:tcW w:w="1245" w:type="dxa"/>
            <w:vMerge/>
            <w:vAlign w:val="center"/>
          </w:tcPr>
          <w:p w14:paraId="5712A197" w14:textId="77777777" w:rsidR="00AC7B75" w:rsidRPr="00BF0551" w:rsidRDefault="00AC7B75" w:rsidP="00EF2741">
            <w:pPr>
              <w:jc w:val="center"/>
              <w:rPr>
                <w:color w:val="000000"/>
                <w:sz w:val="18"/>
                <w:szCs w:val="18"/>
              </w:rPr>
            </w:pPr>
          </w:p>
        </w:tc>
        <w:tc>
          <w:tcPr>
            <w:tcW w:w="1417" w:type="dxa"/>
            <w:vMerge/>
            <w:vAlign w:val="center"/>
          </w:tcPr>
          <w:p w14:paraId="00CDFF44" w14:textId="77777777" w:rsidR="00AC7B75" w:rsidRPr="00BF0551" w:rsidRDefault="00AC7B75" w:rsidP="00EF2741">
            <w:pPr>
              <w:jc w:val="center"/>
              <w:rPr>
                <w:sz w:val="18"/>
                <w:szCs w:val="18"/>
              </w:rPr>
            </w:pPr>
          </w:p>
        </w:tc>
        <w:tc>
          <w:tcPr>
            <w:tcW w:w="2410" w:type="dxa"/>
            <w:vMerge/>
          </w:tcPr>
          <w:p w14:paraId="79C68C45" w14:textId="77777777" w:rsidR="00AC7B75" w:rsidRPr="00BF0551" w:rsidRDefault="00AC7B75" w:rsidP="00EF2741">
            <w:pPr>
              <w:rPr>
                <w:sz w:val="18"/>
                <w:szCs w:val="18"/>
              </w:rPr>
            </w:pPr>
          </w:p>
        </w:tc>
        <w:tc>
          <w:tcPr>
            <w:tcW w:w="2693" w:type="dxa"/>
            <w:vMerge/>
            <w:vAlign w:val="center"/>
          </w:tcPr>
          <w:p w14:paraId="51003897" w14:textId="77777777" w:rsidR="00AC7B75" w:rsidRPr="00BF0551" w:rsidDel="00876182" w:rsidRDefault="00AC7B75" w:rsidP="00EF2741">
            <w:pPr>
              <w:pStyle w:val="Style30"/>
              <w:rPr>
                <w:sz w:val="18"/>
                <w:szCs w:val="18"/>
              </w:rPr>
            </w:pPr>
          </w:p>
        </w:tc>
        <w:tc>
          <w:tcPr>
            <w:tcW w:w="2609" w:type="dxa"/>
            <w:vMerge/>
            <w:vAlign w:val="center"/>
          </w:tcPr>
          <w:p w14:paraId="1087D219" w14:textId="77777777" w:rsidR="00AC7B75" w:rsidRPr="00BF0551" w:rsidRDefault="00AC7B75" w:rsidP="00EF2741">
            <w:pPr>
              <w:pStyle w:val="Style30"/>
              <w:widowControl/>
              <w:rPr>
                <w:sz w:val="18"/>
                <w:szCs w:val="18"/>
              </w:rPr>
            </w:pPr>
          </w:p>
        </w:tc>
        <w:tc>
          <w:tcPr>
            <w:tcW w:w="2484" w:type="dxa"/>
          </w:tcPr>
          <w:p w14:paraId="4593C95F" w14:textId="77777777" w:rsidR="00AC7B75" w:rsidRPr="00BF0551" w:rsidDel="00876182" w:rsidRDefault="00AC7B75" w:rsidP="00EF2741">
            <w:pPr>
              <w:rPr>
                <w:sz w:val="18"/>
                <w:szCs w:val="18"/>
              </w:rPr>
            </w:pPr>
            <w:r w:rsidRPr="00BF0551">
              <w:rPr>
                <w:sz w:val="18"/>
                <w:szCs w:val="18"/>
              </w:rPr>
              <w:t>Celkové používanie služieb eGovernmentu občanmi</w:t>
            </w:r>
          </w:p>
        </w:tc>
      </w:tr>
      <w:tr w:rsidR="00AC7B75" w:rsidRPr="00430B9D" w14:paraId="1038585C" w14:textId="77777777" w:rsidTr="00543AEB">
        <w:trPr>
          <w:trHeight w:val="621"/>
          <w:jc w:val="center"/>
        </w:trPr>
        <w:tc>
          <w:tcPr>
            <w:tcW w:w="806" w:type="dxa"/>
            <w:vMerge/>
          </w:tcPr>
          <w:p w14:paraId="2BC2E775" w14:textId="77777777" w:rsidR="00AC7B75" w:rsidRPr="00BF0551" w:rsidRDefault="00AC7B75" w:rsidP="00EF2741">
            <w:pPr>
              <w:rPr>
                <w:sz w:val="18"/>
                <w:szCs w:val="18"/>
              </w:rPr>
            </w:pPr>
          </w:p>
        </w:tc>
        <w:tc>
          <w:tcPr>
            <w:tcW w:w="606" w:type="dxa"/>
            <w:vMerge/>
            <w:vAlign w:val="center"/>
          </w:tcPr>
          <w:p w14:paraId="6F363510" w14:textId="77777777" w:rsidR="00AC7B75" w:rsidRPr="00BF0551" w:rsidRDefault="00AC7B75" w:rsidP="00EF2741">
            <w:pPr>
              <w:jc w:val="center"/>
              <w:rPr>
                <w:color w:val="000000"/>
                <w:sz w:val="18"/>
                <w:szCs w:val="18"/>
              </w:rPr>
            </w:pPr>
          </w:p>
        </w:tc>
        <w:tc>
          <w:tcPr>
            <w:tcW w:w="1245" w:type="dxa"/>
            <w:vMerge/>
            <w:vAlign w:val="center"/>
          </w:tcPr>
          <w:p w14:paraId="0D9EA48C" w14:textId="77777777" w:rsidR="00AC7B75" w:rsidRPr="00BF0551" w:rsidRDefault="00AC7B75" w:rsidP="00EF2741">
            <w:pPr>
              <w:jc w:val="center"/>
              <w:rPr>
                <w:color w:val="000000"/>
                <w:sz w:val="18"/>
                <w:szCs w:val="18"/>
              </w:rPr>
            </w:pPr>
          </w:p>
        </w:tc>
        <w:tc>
          <w:tcPr>
            <w:tcW w:w="1417" w:type="dxa"/>
            <w:vMerge/>
            <w:vAlign w:val="center"/>
          </w:tcPr>
          <w:p w14:paraId="1A1B3A8C" w14:textId="77777777" w:rsidR="00AC7B75" w:rsidRPr="00BF0551" w:rsidRDefault="00AC7B75" w:rsidP="00EF2741">
            <w:pPr>
              <w:jc w:val="center"/>
              <w:rPr>
                <w:sz w:val="18"/>
                <w:szCs w:val="18"/>
              </w:rPr>
            </w:pPr>
          </w:p>
        </w:tc>
        <w:tc>
          <w:tcPr>
            <w:tcW w:w="2410" w:type="dxa"/>
            <w:vMerge/>
          </w:tcPr>
          <w:p w14:paraId="21A1BC5E" w14:textId="77777777" w:rsidR="00AC7B75" w:rsidRPr="00BF0551" w:rsidRDefault="00AC7B75" w:rsidP="00EF2741">
            <w:pPr>
              <w:rPr>
                <w:sz w:val="18"/>
                <w:szCs w:val="18"/>
              </w:rPr>
            </w:pPr>
          </w:p>
        </w:tc>
        <w:tc>
          <w:tcPr>
            <w:tcW w:w="2693" w:type="dxa"/>
            <w:vMerge/>
            <w:vAlign w:val="center"/>
          </w:tcPr>
          <w:p w14:paraId="54C41BC4" w14:textId="77777777" w:rsidR="00AC7B75" w:rsidRPr="00BF0551" w:rsidDel="00876182" w:rsidRDefault="00AC7B75" w:rsidP="00EF2741">
            <w:pPr>
              <w:pStyle w:val="Style30"/>
              <w:rPr>
                <w:sz w:val="18"/>
                <w:szCs w:val="18"/>
              </w:rPr>
            </w:pPr>
          </w:p>
        </w:tc>
        <w:tc>
          <w:tcPr>
            <w:tcW w:w="2609" w:type="dxa"/>
            <w:vAlign w:val="center"/>
          </w:tcPr>
          <w:p w14:paraId="026A2232" w14:textId="2D7F4174" w:rsidR="00AC7B75" w:rsidRPr="00BF0551" w:rsidDel="00876182" w:rsidRDefault="00AC7B75" w:rsidP="00EF2741">
            <w:pPr>
              <w:pStyle w:val="Style30"/>
              <w:widowControl/>
              <w:rPr>
                <w:sz w:val="18"/>
                <w:szCs w:val="18"/>
              </w:rPr>
            </w:pPr>
            <w:r w:rsidRPr="00BF0551">
              <w:rPr>
                <w:sz w:val="18"/>
                <w:szCs w:val="18"/>
              </w:rPr>
              <w:t>7.5 Zlepšovanie celkovej dostupnosti dát</w:t>
            </w:r>
            <w:r w:rsidR="007351C8">
              <w:rPr>
                <w:sz w:val="18"/>
                <w:szCs w:val="18"/>
              </w:rPr>
              <w:t xml:space="preserve"> vo</w:t>
            </w:r>
            <w:r w:rsidRPr="00BF0551">
              <w:rPr>
                <w:sz w:val="18"/>
                <w:szCs w:val="18"/>
              </w:rPr>
              <w:t xml:space="preserve"> verejnej správ</w:t>
            </w:r>
            <w:r w:rsidR="007351C8">
              <w:rPr>
                <w:sz w:val="18"/>
                <w:szCs w:val="18"/>
              </w:rPr>
              <w:t>e</w:t>
            </w:r>
            <w:r w:rsidRPr="00BF0551">
              <w:rPr>
                <w:sz w:val="18"/>
                <w:szCs w:val="18"/>
              </w:rPr>
              <w:t xml:space="preserve"> </w:t>
            </w:r>
            <w:r w:rsidR="007351C8">
              <w:rPr>
                <w:sz w:val="18"/>
                <w:szCs w:val="18"/>
              </w:rPr>
              <w:t>s dôrazom na</w:t>
            </w:r>
            <w:r w:rsidRPr="00BF0551">
              <w:rPr>
                <w:sz w:val="18"/>
                <w:szCs w:val="18"/>
              </w:rPr>
              <w:t xml:space="preserve"> otvoren</w:t>
            </w:r>
            <w:r w:rsidR="007351C8">
              <w:rPr>
                <w:sz w:val="18"/>
                <w:szCs w:val="18"/>
              </w:rPr>
              <w:t>é</w:t>
            </w:r>
            <w:r w:rsidRPr="00BF0551">
              <w:rPr>
                <w:sz w:val="18"/>
                <w:szCs w:val="18"/>
              </w:rPr>
              <w:t xml:space="preserve"> </w:t>
            </w:r>
            <w:r w:rsidR="007351C8">
              <w:rPr>
                <w:sz w:val="18"/>
                <w:szCs w:val="18"/>
              </w:rPr>
              <w:t>údaje</w:t>
            </w:r>
          </w:p>
        </w:tc>
        <w:tc>
          <w:tcPr>
            <w:tcW w:w="2484" w:type="dxa"/>
          </w:tcPr>
          <w:p w14:paraId="3CAE9289" w14:textId="77777777" w:rsidR="00AC7B75" w:rsidRPr="00BF0551" w:rsidDel="00876182" w:rsidRDefault="00AC7B75" w:rsidP="00EF2741">
            <w:pPr>
              <w:rPr>
                <w:sz w:val="18"/>
                <w:szCs w:val="18"/>
              </w:rPr>
            </w:pPr>
            <w:r w:rsidRPr="00BF0551">
              <w:rPr>
                <w:sz w:val="18"/>
                <w:szCs w:val="18"/>
              </w:rPr>
              <w:t>Počet stiahnutí otvorených dát</w:t>
            </w:r>
          </w:p>
        </w:tc>
      </w:tr>
      <w:tr w:rsidR="00E77179" w:rsidRPr="00430B9D" w14:paraId="6202CD99" w14:textId="77777777" w:rsidTr="00746F3A">
        <w:trPr>
          <w:trHeight w:val="887"/>
          <w:jc w:val="center"/>
        </w:trPr>
        <w:tc>
          <w:tcPr>
            <w:tcW w:w="806" w:type="dxa"/>
            <w:vMerge/>
          </w:tcPr>
          <w:p w14:paraId="5CA26995" w14:textId="77777777" w:rsidR="00E77179" w:rsidRPr="00BF0551" w:rsidRDefault="00E77179" w:rsidP="00EF2741">
            <w:pPr>
              <w:rPr>
                <w:sz w:val="18"/>
                <w:szCs w:val="18"/>
              </w:rPr>
            </w:pPr>
          </w:p>
        </w:tc>
        <w:tc>
          <w:tcPr>
            <w:tcW w:w="606" w:type="dxa"/>
            <w:vMerge/>
            <w:vAlign w:val="center"/>
          </w:tcPr>
          <w:p w14:paraId="5DB960C1" w14:textId="77777777" w:rsidR="00E77179" w:rsidRPr="00BF0551" w:rsidRDefault="00E77179" w:rsidP="00EF2741">
            <w:pPr>
              <w:jc w:val="center"/>
              <w:rPr>
                <w:color w:val="000000"/>
                <w:sz w:val="18"/>
                <w:szCs w:val="18"/>
              </w:rPr>
            </w:pPr>
          </w:p>
        </w:tc>
        <w:tc>
          <w:tcPr>
            <w:tcW w:w="1245" w:type="dxa"/>
            <w:vMerge/>
            <w:vAlign w:val="center"/>
          </w:tcPr>
          <w:p w14:paraId="2BC1ADF9" w14:textId="77777777" w:rsidR="00E77179" w:rsidRPr="00BF0551" w:rsidRDefault="00E77179" w:rsidP="00EF2741">
            <w:pPr>
              <w:jc w:val="center"/>
              <w:rPr>
                <w:color w:val="000000"/>
                <w:sz w:val="18"/>
                <w:szCs w:val="18"/>
              </w:rPr>
            </w:pPr>
          </w:p>
        </w:tc>
        <w:tc>
          <w:tcPr>
            <w:tcW w:w="1417" w:type="dxa"/>
            <w:vMerge/>
            <w:vAlign w:val="center"/>
          </w:tcPr>
          <w:p w14:paraId="403BE57A" w14:textId="77777777" w:rsidR="00E77179" w:rsidRPr="00BF0551" w:rsidRDefault="00E77179" w:rsidP="00EF2741">
            <w:pPr>
              <w:jc w:val="center"/>
              <w:rPr>
                <w:sz w:val="18"/>
                <w:szCs w:val="18"/>
              </w:rPr>
            </w:pPr>
          </w:p>
        </w:tc>
        <w:tc>
          <w:tcPr>
            <w:tcW w:w="2410" w:type="dxa"/>
            <w:vMerge/>
          </w:tcPr>
          <w:p w14:paraId="54DF3FC1" w14:textId="77777777" w:rsidR="00E77179" w:rsidRPr="00BF0551" w:rsidRDefault="00E77179" w:rsidP="00EF2741">
            <w:pPr>
              <w:rPr>
                <w:sz w:val="18"/>
                <w:szCs w:val="18"/>
              </w:rPr>
            </w:pPr>
          </w:p>
        </w:tc>
        <w:tc>
          <w:tcPr>
            <w:tcW w:w="2693" w:type="dxa"/>
            <w:vMerge/>
            <w:vAlign w:val="center"/>
          </w:tcPr>
          <w:p w14:paraId="139D9F11" w14:textId="77777777" w:rsidR="00E77179" w:rsidRPr="00BF0551" w:rsidDel="00876182" w:rsidRDefault="00E77179" w:rsidP="00EF2741">
            <w:pPr>
              <w:pStyle w:val="Style30"/>
              <w:rPr>
                <w:sz w:val="18"/>
                <w:szCs w:val="18"/>
              </w:rPr>
            </w:pPr>
          </w:p>
        </w:tc>
        <w:tc>
          <w:tcPr>
            <w:tcW w:w="2609" w:type="dxa"/>
            <w:vAlign w:val="center"/>
          </w:tcPr>
          <w:p w14:paraId="20EBFB63" w14:textId="77777777" w:rsidR="00E77179" w:rsidRPr="00BF0551" w:rsidDel="00876182" w:rsidRDefault="00E77179" w:rsidP="00EF2741">
            <w:pPr>
              <w:pStyle w:val="Style30"/>
              <w:widowControl/>
              <w:rPr>
                <w:sz w:val="18"/>
                <w:szCs w:val="18"/>
              </w:rPr>
            </w:pPr>
            <w:r w:rsidRPr="00BF0551">
              <w:rPr>
                <w:sz w:val="18"/>
                <w:szCs w:val="18"/>
              </w:rPr>
              <w:t>7.6 Zlepšenie digitálnych zručností a inklúzie znevýhodnených jednotlivcov do digitálneho trhu</w:t>
            </w:r>
          </w:p>
        </w:tc>
        <w:tc>
          <w:tcPr>
            <w:tcW w:w="2484" w:type="dxa"/>
          </w:tcPr>
          <w:p w14:paraId="1817BEE3" w14:textId="77777777" w:rsidR="00E77179" w:rsidRPr="00BF0551" w:rsidDel="00876182" w:rsidRDefault="00E77179" w:rsidP="00EF2741">
            <w:pPr>
              <w:rPr>
                <w:sz w:val="18"/>
                <w:szCs w:val="18"/>
              </w:rPr>
            </w:pPr>
            <w:r w:rsidRPr="00BF0551">
              <w:rPr>
                <w:sz w:val="18"/>
                <w:szCs w:val="18"/>
              </w:rPr>
              <w:t>Percento znevýhodnených jednotlivcov používajúcich internet</w:t>
            </w:r>
          </w:p>
        </w:tc>
      </w:tr>
      <w:tr w:rsidR="00AC7B75" w:rsidRPr="00430B9D" w14:paraId="56444CDF" w14:textId="77777777" w:rsidTr="00543AEB">
        <w:trPr>
          <w:trHeight w:val="413"/>
          <w:jc w:val="center"/>
        </w:trPr>
        <w:tc>
          <w:tcPr>
            <w:tcW w:w="806" w:type="dxa"/>
            <w:vMerge/>
          </w:tcPr>
          <w:p w14:paraId="3FB37756" w14:textId="77777777" w:rsidR="00AC7B75" w:rsidRPr="00BF0551" w:rsidRDefault="00AC7B75" w:rsidP="00EF2741">
            <w:pPr>
              <w:rPr>
                <w:sz w:val="18"/>
                <w:szCs w:val="18"/>
              </w:rPr>
            </w:pPr>
          </w:p>
        </w:tc>
        <w:tc>
          <w:tcPr>
            <w:tcW w:w="606" w:type="dxa"/>
            <w:vMerge/>
            <w:vAlign w:val="center"/>
          </w:tcPr>
          <w:p w14:paraId="62F60065" w14:textId="77777777" w:rsidR="00AC7B75" w:rsidRPr="00BF0551" w:rsidRDefault="00AC7B75" w:rsidP="00EF2741">
            <w:pPr>
              <w:jc w:val="center"/>
              <w:rPr>
                <w:color w:val="000000"/>
                <w:sz w:val="18"/>
                <w:szCs w:val="18"/>
              </w:rPr>
            </w:pPr>
          </w:p>
        </w:tc>
        <w:tc>
          <w:tcPr>
            <w:tcW w:w="1245" w:type="dxa"/>
            <w:vMerge/>
            <w:vAlign w:val="center"/>
          </w:tcPr>
          <w:p w14:paraId="127A20F3" w14:textId="77777777" w:rsidR="00AC7B75" w:rsidRPr="00BF0551" w:rsidRDefault="00AC7B75" w:rsidP="00EF2741">
            <w:pPr>
              <w:jc w:val="center"/>
              <w:rPr>
                <w:color w:val="000000"/>
                <w:sz w:val="18"/>
                <w:szCs w:val="18"/>
              </w:rPr>
            </w:pPr>
          </w:p>
        </w:tc>
        <w:tc>
          <w:tcPr>
            <w:tcW w:w="1417" w:type="dxa"/>
            <w:vMerge/>
            <w:vAlign w:val="center"/>
          </w:tcPr>
          <w:p w14:paraId="724EC039" w14:textId="77777777" w:rsidR="00AC7B75" w:rsidRPr="00BF0551" w:rsidRDefault="00AC7B75" w:rsidP="00EF2741">
            <w:pPr>
              <w:jc w:val="center"/>
              <w:rPr>
                <w:sz w:val="18"/>
                <w:szCs w:val="18"/>
              </w:rPr>
            </w:pPr>
          </w:p>
        </w:tc>
        <w:tc>
          <w:tcPr>
            <w:tcW w:w="2410" w:type="dxa"/>
            <w:vMerge/>
          </w:tcPr>
          <w:p w14:paraId="52314284" w14:textId="77777777" w:rsidR="00AC7B75" w:rsidRPr="00BF0551" w:rsidRDefault="00AC7B75" w:rsidP="00EF2741">
            <w:pPr>
              <w:rPr>
                <w:sz w:val="18"/>
                <w:szCs w:val="18"/>
              </w:rPr>
            </w:pPr>
          </w:p>
        </w:tc>
        <w:tc>
          <w:tcPr>
            <w:tcW w:w="2693" w:type="dxa"/>
            <w:vMerge/>
            <w:vAlign w:val="center"/>
          </w:tcPr>
          <w:p w14:paraId="46D1ACE0" w14:textId="77777777" w:rsidR="00AC7B75" w:rsidRPr="00BF0551" w:rsidDel="00876182" w:rsidRDefault="00AC7B75" w:rsidP="00EF2741">
            <w:pPr>
              <w:pStyle w:val="Style30"/>
              <w:rPr>
                <w:sz w:val="18"/>
                <w:szCs w:val="18"/>
              </w:rPr>
            </w:pPr>
          </w:p>
        </w:tc>
        <w:tc>
          <w:tcPr>
            <w:tcW w:w="2609" w:type="dxa"/>
            <w:vAlign w:val="center"/>
          </w:tcPr>
          <w:p w14:paraId="74E1EEEE" w14:textId="77777777" w:rsidR="00AC7B75" w:rsidRPr="00BF0551" w:rsidRDefault="00AC7B75" w:rsidP="00EF2741">
            <w:pPr>
              <w:pStyle w:val="Style30"/>
              <w:widowControl/>
              <w:rPr>
                <w:sz w:val="18"/>
                <w:szCs w:val="18"/>
              </w:rPr>
            </w:pPr>
            <w:r w:rsidRPr="00BF0551">
              <w:rPr>
                <w:sz w:val="18"/>
                <w:szCs w:val="18"/>
              </w:rPr>
              <w:t>7.7 Umožnenie modernizácie a racionalizácie verejnej správy IKT prostriedkami</w:t>
            </w:r>
          </w:p>
        </w:tc>
        <w:tc>
          <w:tcPr>
            <w:tcW w:w="2484" w:type="dxa"/>
          </w:tcPr>
          <w:p w14:paraId="1A980D56" w14:textId="77777777" w:rsidR="00AC7B75" w:rsidRPr="00BF0551" w:rsidDel="00876182" w:rsidRDefault="0011749C" w:rsidP="00A21DD4">
            <w:pPr>
              <w:rPr>
                <w:sz w:val="18"/>
                <w:szCs w:val="18"/>
              </w:rPr>
            </w:pPr>
            <w:r w:rsidRPr="00BF0551">
              <w:rPr>
                <w:sz w:val="18"/>
                <w:szCs w:val="18"/>
              </w:rPr>
              <w:t>Priemerná doba vybavenia podania v rozhodovacej činnosti</w:t>
            </w:r>
          </w:p>
        </w:tc>
      </w:tr>
      <w:tr w:rsidR="00AC7B75" w:rsidRPr="00430B9D" w14:paraId="39162774" w14:textId="77777777" w:rsidTr="00543AEB">
        <w:trPr>
          <w:trHeight w:val="413"/>
          <w:jc w:val="center"/>
        </w:trPr>
        <w:tc>
          <w:tcPr>
            <w:tcW w:w="806" w:type="dxa"/>
            <w:vMerge/>
          </w:tcPr>
          <w:p w14:paraId="1545DC6F" w14:textId="77777777" w:rsidR="00AC7B75" w:rsidRPr="00BF0551" w:rsidRDefault="00AC7B75" w:rsidP="00EF2741">
            <w:pPr>
              <w:rPr>
                <w:sz w:val="18"/>
                <w:szCs w:val="18"/>
              </w:rPr>
            </w:pPr>
          </w:p>
        </w:tc>
        <w:tc>
          <w:tcPr>
            <w:tcW w:w="606" w:type="dxa"/>
            <w:vMerge/>
            <w:vAlign w:val="center"/>
          </w:tcPr>
          <w:p w14:paraId="34264480" w14:textId="77777777" w:rsidR="00AC7B75" w:rsidRPr="00BF0551" w:rsidRDefault="00AC7B75" w:rsidP="00EF2741">
            <w:pPr>
              <w:jc w:val="center"/>
              <w:rPr>
                <w:color w:val="000000"/>
                <w:sz w:val="18"/>
                <w:szCs w:val="18"/>
              </w:rPr>
            </w:pPr>
          </w:p>
        </w:tc>
        <w:tc>
          <w:tcPr>
            <w:tcW w:w="1245" w:type="dxa"/>
            <w:vMerge/>
            <w:vAlign w:val="center"/>
          </w:tcPr>
          <w:p w14:paraId="3B1EA27D" w14:textId="77777777" w:rsidR="00AC7B75" w:rsidRPr="00BF0551" w:rsidRDefault="00AC7B75" w:rsidP="00EF2741">
            <w:pPr>
              <w:jc w:val="center"/>
              <w:rPr>
                <w:color w:val="000000"/>
                <w:sz w:val="18"/>
                <w:szCs w:val="18"/>
              </w:rPr>
            </w:pPr>
          </w:p>
        </w:tc>
        <w:tc>
          <w:tcPr>
            <w:tcW w:w="1417" w:type="dxa"/>
            <w:vMerge/>
            <w:vAlign w:val="center"/>
          </w:tcPr>
          <w:p w14:paraId="214C73E6" w14:textId="77777777" w:rsidR="00AC7B75" w:rsidRPr="00BF0551" w:rsidRDefault="00AC7B75" w:rsidP="00EF2741">
            <w:pPr>
              <w:jc w:val="center"/>
              <w:rPr>
                <w:sz w:val="18"/>
                <w:szCs w:val="18"/>
              </w:rPr>
            </w:pPr>
          </w:p>
        </w:tc>
        <w:tc>
          <w:tcPr>
            <w:tcW w:w="2410" w:type="dxa"/>
            <w:vMerge/>
          </w:tcPr>
          <w:p w14:paraId="0D06F3E8" w14:textId="77777777" w:rsidR="00AC7B75" w:rsidRPr="00BF0551" w:rsidRDefault="00AC7B75" w:rsidP="00EF2741">
            <w:pPr>
              <w:rPr>
                <w:sz w:val="18"/>
                <w:szCs w:val="18"/>
              </w:rPr>
            </w:pPr>
          </w:p>
        </w:tc>
        <w:tc>
          <w:tcPr>
            <w:tcW w:w="2693" w:type="dxa"/>
            <w:vMerge/>
            <w:vAlign w:val="center"/>
          </w:tcPr>
          <w:p w14:paraId="5EC7CB58" w14:textId="77777777" w:rsidR="00AC7B75" w:rsidRPr="00BF0551" w:rsidDel="00876182" w:rsidRDefault="00AC7B75" w:rsidP="00EF2741">
            <w:pPr>
              <w:pStyle w:val="Style30"/>
              <w:rPr>
                <w:sz w:val="18"/>
                <w:szCs w:val="18"/>
              </w:rPr>
            </w:pPr>
          </w:p>
        </w:tc>
        <w:tc>
          <w:tcPr>
            <w:tcW w:w="2609" w:type="dxa"/>
            <w:vAlign w:val="center"/>
          </w:tcPr>
          <w:p w14:paraId="31D0D46C" w14:textId="77777777" w:rsidR="00AC7B75" w:rsidRPr="00BF0551" w:rsidRDefault="00AC7B75" w:rsidP="00EF2741">
            <w:pPr>
              <w:pStyle w:val="Style30"/>
              <w:widowControl/>
              <w:rPr>
                <w:sz w:val="18"/>
                <w:szCs w:val="18"/>
              </w:rPr>
            </w:pPr>
            <w:r w:rsidRPr="00BF0551">
              <w:rPr>
                <w:sz w:val="18"/>
                <w:szCs w:val="18"/>
              </w:rPr>
              <w:t>7.8 Racionalizácia prevádzky informačných systémov pomocou eGovernment cloudu</w:t>
            </w:r>
          </w:p>
        </w:tc>
        <w:tc>
          <w:tcPr>
            <w:tcW w:w="2484" w:type="dxa"/>
          </w:tcPr>
          <w:p w14:paraId="33720AD4" w14:textId="77777777" w:rsidR="00AC7B75" w:rsidRPr="00BF0551" w:rsidDel="00876182" w:rsidRDefault="0011749C" w:rsidP="00A21DD4">
            <w:pPr>
              <w:rPr>
                <w:sz w:val="18"/>
                <w:szCs w:val="18"/>
              </w:rPr>
            </w:pPr>
            <w:r w:rsidRPr="00BF0551">
              <w:rPr>
                <w:sz w:val="18"/>
                <w:szCs w:val="18"/>
              </w:rPr>
              <w:t>Celkové náklady na vlastníctvo ISV</w:t>
            </w:r>
            <w:r w:rsidR="004F21B8" w:rsidRPr="00BF0551">
              <w:rPr>
                <w:sz w:val="18"/>
                <w:szCs w:val="18"/>
              </w:rPr>
              <w:t>S</w:t>
            </w:r>
          </w:p>
        </w:tc>
      </w:tr>
      <w:tr w:rsidR="00AC7B75" w:rsidRPr="00430B9D" w14:paraId="7C6392A5" w14:textId="77777777" w:rsidTr="00543AEB">
        <w:trPr>
          <w:trHeight w:val="836"/>
          <w:jc w:val="center"/>
        </w:trPr>
        <w:tc>
          <w:tcPr>
            <w:tcW w:w="806" w:type="dxa"/>
            <w:vMerge/>
          </w:tcPr>
          <w:p w14:paraId="21F46F13" w14:textId="77777777" w:rsidR="00AC7B75" w:rsidRPr="00BF0551" w:rsidRDefault="00AC7B75" w:rsidP="00EF2741">
            <w:pPr>
              <w:rPr>
                <w:sz w:val="18"/>
                <w:szCs w:val="18"/>
              </w:rPr>
            </w:pPr>
          </w:p>
        </w:tc>
        <w:tc>
          <w:tcPr>
            <w:tcW w:w="606" w:type="dxa"/>
            <w:vMerge/>
            <w:vAlign w:val="center"/>
          </w:tcPr>
          <w:p w14:paraId="3955EEE4" w14:textId="77777777" w:rsidR="00AC7B75" w:rsidRPr="00BF0551" w:rsidRDefault="00AC7B75" w:rsidP="00EF2741">
            <w:pPr>
              <w:jc w:val="center"/>
              <w:rPr>
                <w:color w:val="000000"/>
                <w:sz w:val="18"/>
                <w:szCs w:val="18"/>
              </w:rPr>
            </w:pPr>
          </w:p>
        </w:tc>
        <w:tc>
          <w:tcPr>
            <w:tcW w:w="1245" w:type="dxa"/>
            <w:vMerge/>
            <w:vAlign w:val="center"/>
          </w:tcPr>
          <w:p w14:paraId="30BA6324" w14:textId="77777777" w:rsidR="00AC7B75" w:rsidRPr="00BF0551" w:rsidRDefault="00AC7B75" w:rsidP="00EF2741">
            <w:pPr>
              <w:jc w:val="center"/>
              <w:rPr>
                <w:color w:val="000000"/>
                <w:sz w:val="18"/>
                <w:szCs w:val="18"/>
              </w:rPr>
            </w:pPr>
          </w:p>
        </w:tc>
        <w:tc>
          <w:tcPr>
            <w:tcW w:w="1417" w:type="dxa"/>
            <w:vMerge/>
            <w:vAlign w:val="center"/>
          </w:tcPr>
          <w:p w14:paraId="797A2C66" w14:textId="77777777" w:rsidR="00AC7B75" w:rsidRPr="00BF0551" w:rsidRDefault="00AC7B75" w:rsidP="00EF2741">
            <w:pPr>
              <w:jc w:val="center"/>
              <w:rPr>
                <w:sz w:val="18"/>
                <w:szCs w:val="18"/>
              </w:rPr>
            </w:pPr>
          </w:p>
        </w:tc>
        <w:tc>
          <w:tcPr>
            <w:tcW w:w="2410" w:type="dxa"/>
            <w:vMerge/>
          </w:tcPr>
          <w:p w14:paraId="5F063A77" w14:textId="77777777" w:rsidR="00AC7B75" w:rsidRPr="00BF0551" w:rsidRDefault="00AC7B75" w:rsidP="00EF2741">
            <w:pPr>
              <w:rPr>
                <w:sz w:val="18"/>
                <w:szCs w:val="18"/>
              </w:rPr>
            </w:pPr>
          </w:p>
        </w:tc>
        <w:tc>
          <w:tcPr>
            <w:tcW w:w="2693" w:type="dxa"/>
            <w:vMerge/>
            <w:vAlign w:val="center"/>
          </w:tcPr>
          <w:p w14:paraId="0CFDD95A" w14:textId="77777777" w:rsidR="00AC7B75" w:rsidRPr="00BF0551" w:rsidRDefault="00AC7B75" w:rsidP="00EF2741">
            <w:pPr>
              <w:pStyle w:val="Style30"/>
              <w:widowControl/>
              <w:rPr>
                <w:color w:val="000000"/>
                <w:sz w:val="18"/>
                <w:szCs w:val="18"/>
              </w:rPr>
            </w:pPr>
          </w:p>
        </w:tc>
        <w:tc>
          <w:tcPr>
            <w:tcW w:w="2609" w:type="dxa"/>
            <w:vAlign w:val="center"/>
          </w:tcPr>
          <w:p w14:paraId="0187F750" w14:textId="77777777" w:rsidR="00AC7B75" w:rsidRPr="00BF0551" w:rsidRDefault="00AC7B75" w:rsidP="00EF2741">
            <w:pPr>
              <w:pStyle w:val="Style30"/>
              <w:widowControl/>
              <w:rPr>
                <w:sz w:val="18"/>
                <w:szCs w:val="18"/>
              </w:rPr>
            </w:pPr>
            <w:r w:rsidRPr="00BF0551">
              <w:rPr>
                <w:sz w:val="18"/>
                <w:szCs w:val="18"/>
              </w:rPr>
              <w:t>7.9 Zvýšenie kybernetickej bezpečnosti v spoločnosti</w:t>
            </w:r>
            <w:r w:rsidRPr="00BF0551" w:rsidDel="00876182">
              <w:rPr>
                <w:sz w:val="18"/>
                <w:szCs w:val="18"/>
              </w:rPr>
              <w:t xml:space="preserve"> </w:t>
            </w:r>
          </w:p>
        </w:tc>
        <w:tc>
          <w:tcPr>
            <w:tcW w:w="2484" w:type="dxa"/>
          </w:tcPr>
          <w:p w14:paraId="58277295" w14:textId="1A084731" w:rsidR="00AC7B75" w:rsidRPr="00BF0551" w:rsidRDefault="00FB4B09" w:rsidP="00EF2741">
            <w:pPr>
              <w:rPr>
                <w:sz w:val="18"/>
                <w:szCs w:val="18"/>
              </w:rPr>
            </w:pPr>
            <w:r>
              <w:rPr>
                <w:sz w:val="18"/>
                <w:szCs w:val="18"/>
              </w:rPr>
              <w:t>Pomer webových aplikácií verejnej správy bez kritických bezpečnostných nedostatkov na celkovej vzorke webových aplikácií verejnej správy</w:t>
            </w:r>
          </w:p>
        </w:tc>
      </w:tr>
      <w:tr w:rsidR="00AC7B75" w:rsidRPr="00430B9D" w14:paraId="6AD62152" w14:textId="77777777" w:rsidTr="00543AEB">
        <w:trPr>
          <w:trHeight w:val="340"/>
          <w:jc w:val="center"/>
        </w:trPr>
        <w:tc>
          <w:tcPr>
            <w:tcW w:w="806" w:type="dxa"/>
            <w:vAlign w:val="center"/>
          </w:tcPr>
          <w:p w14:paraId="12FDCB6A" w14:textId="37DF4223" w:rsidR="00AC7B75" w:rsidRPr="00BF0551" w:rsidRDefault="00EA0958" w:rsidP="00EF2741">
            <w:pPr>
              <w:pStyle w:val="Style40"/>
              <w:widowControl/>
              <w:rPr>
                <w:rStyle w:val="FontStyle93"/>
                <w:sz w:val="18"/>
                <w:szCs w:val="18"/>
                <w:lang w:eastAsia="fr-FR"/>
              </w:rPr>
            </w:pPr>
            <w:r>
              <w:rPr>
                <w:rStyle w:val="FontStyle93"/>
                <w:sz w:val="18"/>
                <w:szCs w:val="18"/>
                <w:lang w:eastAsia="fr-FR"/>
              </w:rPr>
              <w:t>PO 8</w:t>
            </w:r>
          </w:p>
        </w:tc>
        <w:tc>
          <w:tcPr>
            <w:tcW w:w="606" w:type="dxa"/>
            <w:vAlign w:val="center"/>
          </w:tcPr>
          <w:p w14:paraId="2D716492" w14:textId="77777777" w:rsidR="00AC7B75" w:rsidRPr="00BF0551" w:rsidRDefault="00AC7B75" w:rsidP="00EF2741">
            <w:pPr>
              <w:pStyle w:val="Style30"/>
              <w:widowControl/>
              <w:jc w:val="center"/>
              <w:rPr>
                <w:sz w:val="18"/>
                <w:szCs w:val="18"/>
              </w:rPr>
            </w:pPr>
            <w:r w:rsidRPr="00BF0551">
              <w:rPr>
                <w:sz w:val="18"/>
                <w:szCs w:val="18"/>
              </w:rPr>
              <w:t>EFRR</w:t>
            </w:r>
          </w:p>
        </w:tc>
        <w:tc>
          <w:tcPr>
            <w:tcW w:w="1245" w:type="dxa"/>
            <w:vAlign w:val="center"/>
          </w:tcPr>
          <w:p w14:paraId="722BFE51" w14:textId="77777777" w:rsidR="00AF57EB" w:rsidRPr="00BF0551" w:rsidRDefault="00674753">
            <w:pPr>
              <w:pStyle w:val="Style40"/>
              <w:widowControl/>
              <w:jc w:val="right"/>
              <w:rPr>
                <w:rStyle w:val="FontStyle93"/>
                <w:sz w:val="18"/>
                <w:szCs w:val="18"/>
                <w:lang w:eastAsia="de-DE"/>
              </w:rPr>
            </w:pPr>
            <w:r w:rsidRPr="00BF0551">
              <w:rPr>
                <w:rStyle w:val="FontStyle93"/>
                <w:sz w:val="18"/>
                <w:szCs w:val="18"/>
                <w:lang w:eastAsia="de-DE"/>
              </w:rPr>
              <w:t>87</w:t>
            </w:r>
            <w:r w:rsidR="00AC7B75" w:rsidRPr="00BF0551">
              <w:rPr>
                <w:rStyle w:val="FontStyle93"/>
                <w:sz w:val="18"/>
                <w:szCs w:val="18"/>
                <w:lang w:eastAsia="de-DE"/>
              </w:rPr>
              <w:t> 000 000</w:t>
            </w:r>
          </w:p>
        </w:tc>
        <w:tc>
          <w:tcPr>
            <w:tcW w:w="1417" w:type="dxa"/>
            <w:vAlign w:val="center"/>
          </w:tcPr>
          <w:p w14:paraId="1CC85BFE" w14:textId="03191F89" w:rsidR="00AC7B75" w:rsidRPr="00BF0551" w:rsidRDefault="00FB2E8F" w:rsidP="00FB2E8F">
            <w:pPr>
              <w:jc w:val="center"/>
              <w:rPr>
                <w:rStyle w:val="FontStyle93"/>
                <w:sz w:val="18"/>
                <w:szCs w:val="18"/>
                <w:lang w:eastAsia="en-US"/>
              </w:rPr>
            </w:pPr>
            <w:r>
              <w:rPr>
                <w:rStyle w:val="FontStyle93"/>
                <w:sz w:val="18"/>
                <w:szCs w:val="18"/>
                <w:lang w:eastAsia="de-DE"/>
              </w:rPr>
              <w:t>1,41</w:t>
            </w:r>
            <w:r w:rsidR="00AC7B75" w:rsidRPr="00E07B76">
              <w:rPr>
                <w:rStyle w:val="FontStyle93"/>
                <w:sz w:val="18"/>
                <w:szCs w:val="18"/>
                <w:lang w:eastAsia="de-DE"/>
              </w:rPr>
              <w:t xml:space="preserve"> %</w:t>
            </w:r>
          </w:p>
        </w:tc>
        <w:tc>
          <w:tcPr>
            <w:tcW w:w="2410" w:type="dxa"/>
            <w:vAlign w:val="center"/>
          </w:tcPr>
          <w:p w14:paraId="4D7DEEC6" w14:textId="77777777" w:rsidR="00AC7B75" w:rsidRPr="00BF0551" w:rsidRDefault="00AC7B75" w:rsidP="00EF2741">
            <w:pPr>
              <w:pStyle w:val="Style40"/>
              <w:widowControl/>
              <w:rPr>
                <w:rStyle w:val="FontStyle93"/>
                <w:sz w:val="18"/>
                <w:szCs w:val="18"/>
                <w:lang w:eastAsia="en-US"/>
              </w:rPr>
            </w:pPr>
            <w:r w:rsidRPr="00BF0551">
              <w:rPr>
                <w:rStyle w:val="FontStyle93"/>
                <w:sz w:val="18"/>
                <w:szCs w:val="18"/>
                <w:lang w:eastAsia="en-US"/>
              </w:rPr>
              <w:t>nerelevantné</w:t>
            </w:r>
          </w:p>
        </w:tc>
        <w:tc>
          <w:tcPr>
            <w:tcW w:w="2693" w:type="dxa"/>
            <w:vAlign w:val="center"/>
          </w:tcPr>
          <w:p w14:paraId="733DF10D" w14:textId="77777777" w:rsidR="00AC7B75" w:rsidRPr="00BF0551" w:rsidRDefault="00AC7B75" w:rsidP="00EF2741">
            <w:pPr>
              <w:pStyle w:val="Style42"/>
              <w:widowControl/>
              <w:spacing w:line="240" w:lineRule="auto"/>
              <w:rPr>
                <w:rStyle w:val="FontStyle83"/>
                <w:spacing w:val="-20"/>
                <w:sz w:val="18"/>
                <w:szCs w:val="18"/>
                <w:lang w:eastAsia="en-US"/>
              </w:rPr>
            </w:pPr>
            <w:r w:rsidRPr="00BF0551">
              <w:rPr>
                <w:rStyle w:val="FontStyle93"/>
                <w:sz w:val="18"/>
                <w:szCs w:val="18"/>
                <w:lang w:eastAsia="en-US"/>
              </w:rPr>
              <w:t>nerelevantné</w:t>
            </w:r>
          </w:p>
        </w:tc>
        <w:tc>
          <w:tcPr>
            <w:tcW w:w="2609" w:type="dxa"/>
            <w:vAlign w:val="center"/>
          </w:tcPr>
          <w:p w14:paraId="2A5578BC" w14:textId="77777777" w:rsidR="00AC7B75" w:rsidRPr="00BF0551" w:rsidRDefault="00AC7B75" w:rsidP="00EF2741">
            <w:pPr>
              <w:pStyle w:val="Style30"/>
              <w:widowControl/>
              <w:rPr>
                <w:sz w:val="18"/>
                <w:szCs w:val="18"/>
              </w:rPr>
            </w:pPr>
            <w:r w:rsidRPr="00BF0551">
              <w:rPr>
                <w:rStyle w:val="FontStyle93"/>
                <w:sz w:val="18"/>
                <w:szCs w:val="18"/>
                <w:lang w:eastAsia="en-US"/>
              </w:rPr>
              <w:t>nerelevantné</w:t>
            </w:r>
          </w:p>
        </w:tc>
        <w:tc>
          <w:tcPr>
            <w:tcW w:w="2484" w:type="dxa"/>
            <w:vAlign w:val="center"/>
          </w:tcPr>
          <w:p w14:paraId="2C058543" w14:textId="77777777" w:rsidR="00AC7B75" w:rsidRPr="00BF0551" w:rsidRDefault="00AC7B75" w:rsidP="00EF2741">
            <w:pPr>
              <w:pStyle w:val="Style30"/>
              <w:widowControl/>
              <w:rPr>
                <w:sz w:val="18"/>
                <w:szCs w:val="18"/>
              </w:rPr>
            </w:pPr>
            <w:r w:rsidRPr="00BF0551">
              <w:rPr>
                <w:rStyle w:val="FontStyle93"/>
                <w:sz w:val="18"/>
                <w:szCs w:val="18"/>
                <w:lang w:eastAsia="en-US"/>
              </w:rPr>
              <w:t>nerelevantné</w:t>
            </w:r>
          </w:p>
        </w:tc>
      </w:tr>
      <w:tr w:rsidR="001174FD" w:rsidRPr="00430B9D" w14:paraId="7ACC5C2F" w14:textId="77777777" w:rsidTr="00543AEB">
        <w:trPr>
          <w:trHeight w:val="340"/>
          <w:jc w:val="center"/>
        </w:trPr>
        <w:tc>
          <w:tcPr>
            <w:tcW w:w="806" w:type="dxa"/>
            <w:vMerge w:val="restart"/>
            <w:vAlign w:val="center"/>
          </w:tcPr>
          <w:p w14:paraId="2F0E948E" w14:textId="710AFE40" w:rsidR="001174FD" w:rsidRPr="00BF0551" w:rsidRDefault="001174FD" w:rsidP="001174FD">
            <w:pPr>
              <w:pStyle w:val="Style40"/>
              <w:widowControl/>
              <w:rPr>
                <w:rStyle w:val="FontStyle93"/>
                <w:sz w:val="18"/>
                <w:szCs w:val="18"/>
                <w:lang w:eastAsia="fr-FR"/>
              </w:rPr>
            </w:pPr>
            <w:r>
              <w:rPr>
                <w:rStyle w:val="FontStyle93"/>
                <w:sz w:val="18"/>
                <w:szCs w:val="18"/>
                <w:lang w:eastAsia="fr-FR"/>
              </w:rPr>
              <w:t>PO 9</w:t>
            </w:r>
          </w:p>
        </w:tc>
        <w:tc>
          <w:tcPr>
            <w:tcW w:w="606" w:type="dxa"/>
            <w:vMerge w:val="restart"/>
            <w:vAlign w:val="center"/>
          </w:tcPr>
          <w:p w14:paraId="5D65D218" w14:textId="4DC8DEA7" w:rsidR="001174FD" w:rsidRPr="00BF0551" w:rsidRDefault="001174FD" w:rsidP="001174FD">
            <w:pPr>
              <w:pStyle w:val="Style30"/>
              <w:widowControl/>
              <w:jc w:val="center"/>
              <w:rPr>
                <w:sz w:val="18"/>
                <w:szCs w:val="18"/>
              </w:rPr>
            </w:pPr>
            <w:r>
              <w:rPr>
                <w:sz w:val="18"/>
                <w:szCs w:val="18"/>
              </w:rPr>
              <w:t>EFRR</w:t>
            </w:r>
          </w:p>
        </w:tc>
        <w:tc>
          <w:tcPr>
            <w:tcW w:w="1245" w:type="dxa"/>
            <w:vMerge w:val="restart"/>
            <w:vAlign w:val="center"/>
          </w:tcPr>
          <w:p w14:paraId="2639B9A3" w14:textId="75DB7A92" w:rsidR="001174FD" w:rsidRPr="00BF0551" w:rsidRDefault="00FB2E8F" w:rsidP="00FB2E8F">
            <w:pPr>
              <w:pStyle w:val="Style40"/>
              <w:widowControl/>
              <w:jc w:val="right"/>
              <w:rPr>
                <w:rStyle w:val="FontStyle93"/>
                <w:sz w:val="18"/>
                <w:szCs w:val="18"/>
                <w:lang w:eastAsia="de-DE"/>
              </w:rPr>
            </w:pPr>
            <w:r w:rsidRPr="00FB2E8F">
              <w:rPr>
                <w:rStyle w:val="FontStyle93"/>
                <w:sz w:val="18"/>
                <w:szCs w:val="18"/>
                <w:lang w:eastAsia="de-DE"/>
              </w:rPr>
              <w:t>1 307 683 946</w:t>
            </w:r>
          </w:p>
        </w:tc>
        <w:tc>
          <w:tcPr>
            <w:tcW w:w="1417" w:type="dxa"/>
            <w:vMerge w:val="restart"/>
            <w:vAlign w:val="center"/>
          </w:tcPr>
          <w:p w14:paraId="0F9370AB" w14:textId="7FFA2EE5" w:rsidR="001174FD" w:rsidRPr="00E07B76" w:rsidRDefault="00FB2E8F" w:rsidP="00FB2E8F">
            <w:pPr>
              <w:jc w:val="center"/>
              <w:rPr>
                <w:rStyle w:val="FontStyle93"/>
                <w:sz w:val="18"/>
                <w:szCs w:val="18"/>
                <w:lang w:eastAsia="de-DE"/>
              </w:rPr>
            </w:pPr>
            <w:r>
              <w:rPr>
                <w:rStyle w:val="FontStyle93"/>
                <w:sz w:val="18"/>
                <w:szCs w:val="18"/>
                <w:lang w:eastAsia="de-DE"/>
              </w:rPr>
              <w:t>21,26</w:t>
            </w:r>
            <w:r w:rsidR="004309FF">
              <w:rPr>
                <w:rStyle w:val="FontStyle93"/>
                <w:sz w:val="18"/>
                <w:szCs w:val="18"/>
                <w:lang w:eastAsia="de-DE"/>
              </w:rPr>
              <w:t xml:space="preserve"> %</w:t>
            </w:r>
          </w:p>
        </w:tc>
        <w:tc>
          <w:tcPr>
            <w:tcW w:w="2410" w:type="dxa"/>
            <w:vMerge w:val="restart"/>
            <w:vAlign w:val="center"/>
          </w:tcPr>
          <w:p w14:paraId="26560A6B" w14:textId="74CE9253" w:rsidR="001174FD" w:rsidRPr="00BF0551" w:rsidRDefault="001174FD" w:rsidP="001174FD">
            <w:pPr>
              <w:pStyle w:val="Style40"/>
              <w:widowControl/>
              <w:rPr>
                <w:rStyle w:val="FontStyle93"/>
                <w:sz w:val="18"/>
                <w:szCs w:val="18"/>
                <w:lang w:eastAsia="en-US"/>
              </w:rPr>
            </w:pPr>
            <w:r>
              <w:rPr>
                <w:rStyle w:val="FontStyle93"/>
                <w:sz w:val="18"/>
                <w:szCs w:val="18"/>
                <w:lang w:eastAsia="en-US"/>
              </w:rPr>
              <w:t xml:space="preserve">TC 1 - </w:t>
            </w:r>
            <w:r w:rsidR="00BC3FC0">
              <w:rPr>
                <w:rStyle w:val="FontStyle93"/>
                <w:sz w:val="18"/>
                <w:szCs w:val="18"/>
                <w:lang w:eastAsia="en-US"/>
              </w:rPr>
              <w:t>Posilnenie</w:t>
            </w:r>
            <w:r w:rsidR="00BC3FC0" w:rsidRPr="00774D86">
              <w:rPr>
                <w:rStyle w:val="FontStyle93"/>
                <w:sz w:val="18"/>
                <w:szCs w:val="18"/>
                <w:lang w:eastAsia="en-US"/>
              </w:rPr>
              <w:t xml:space="preserve"> výskumu,</w:t>
            </w:r>
            <w:r w:rsidR="00BC3FC0">
              <w:rPr>
                <w:rStyle w:val="FontStyle93"/>
                <w:sz w:val="18"/>
                <w:szCs w:val="18"/>
                <w:lang w:eastAsia="en-US"/>
              </w:rPr>
              <w:t xml:space="preserve"> technologického rozvoja</w:t>
            </w:r>
            <w:r w:rsidR="00BC3FC0" w:rsidRPr="00774D86">
              <w:rPr>
                <w:rStyle w:val="FontStyle93"/>
                <w:sz w:val="18"/>
                <w:szCs w:val="18"/>
                <w:lang w:eastAsia="en-US"/>
              </w:rPr>
              <w:t xml:space="preserve"> a inovácií</w:t>
            </w:r>
          </w:p>
        </w:tc>
        <w:tc>
          <w:tcPr>
            <w:tcW w:w="2693" w:type="dxa"/>
            <w:vMerge w:val="restart"/>
            <w:vAlign w:val="center"/>
          </w:tcPr>
          <w:p w14:paraId="4DDA6A7C" w14:textId="1C98A129" w:rsidR="001174FD" w:rsidRPr="00BF0551" w:rsidRDefault="002501BD" w:rsidP="00E91449">
            <w:pPr>
              <w:pStyle w:val="Style42"/>
              <w:widowControl/>
              <w:spacing w:line="240" w:lineRule="auto"/>
              <w:rPr>
                <w:rStyle w:val="FontStyle93"/>
                <w:sz w:val="18"/>
                <w:szCs w:val="18"/>
                <w:lang w:eastAsia="en-US"/>
              </w:rPr>
            </w:pPr>
            <w:r>
              <w:rPr>
                <w:rStyle w:val="FontStyle93"/>
                <w:sz w:val="18"/>
                <w:szCs w:val="18"/>
                <w:lang w:eastAsia="en-US"/>
              </w:rPr>
              <w:t>1</w:t>
            </w:r>
            <w:r w:rsidR="00E91449">
              <w:rPr>
                <w:rStyle w:val="FontStyle93"/>
                <w:sz w:val="18"/>
                <w:szCs w:val="18"/>
                <w:lang w:eastAsia="en-US"/>
              </w:rPr>
              <w:t>a)</w:t>
            </w:r>
            <w:r>
              <w:rPr>
                <w:rStyle w:val="FontStyle93"/>
                <w:sz w:val="18"/>
                <w:szCs w:val="18"/>
                <w:lang w:eastAsia="en-US"/>
              </w:rPr>
              <w:t xml:space="preserve"> </w:t>
            </w:r>
            <w:r w:rsidR="001174FD" w:rsidRPr="00774D86">
              <w:rPr>
                <w:rStyle w:val="FontStyle93"/>
                <w:sz w:val="18"/>
                <w:szCs w:val="18"/>
                <w:lang w:eastAsia="en-US"/>
              </w:rPr>
              <w:t>Rozšírenie výskumnej a inovačnej infraštruktúry a kapacít na rozvoj excelentnosti v oblasti výskumu a inovácií a podpora kompetenčných centier, najmä takýchto centier európskeho záujmu</w:t>
            </w:r>
          </w:p>
        </w:tc>
        <w:tc>
          <w:tcPr>
            <w:tcW w:w="2609" w:type="dxa"/>
            <w:vAlign w:val="center"/>
          </w:tcPr>
          <w:p w14:paraId="4F33F90D" w14:textId="5D872160" w:rsidR="001174FD" w:rsidRPr="00BF0551" w:rsidRDefault="00FC7441" w:rsidP="001174FD">
            <w:pPr>
              <w:pStyle w:val="Style30"/>
              <w:widowControl/>
              <w:rPr>
                <w:rStyle w:val="FontStyle93"/>
                <w:sz w:val="18"/>
                <w:szCs w:val="18"/>
                <w:lang w:eastAsia="en-US"/>
              </w:rPr>
            </w:pPr>
            <w:r>
              <w:rPr>
                <w:rStyle w:val="FontStyle93"/>
                <w:sz w:val="18"/>
                <w:szCs w:val="18"/>
                <w:lang w:eastAsia="en-US"/>
              </w:rPr>
              <w:t>9.1</w:t>
            </w:r>
            <w:r w:rsidR="002501BD">
              <w:rPr>
                <w:rStyle w:val="FontStyle93"/>
                <w:sz w:val="18"/>
                <w:szCs w:val="18"/>
                <w:lang w:eastAsia="en-US"/>
              </w:rPr>
              <w:t xml:space="preserve"> </w:t>
            </w:r>
            <w:r w:rsidR="001174FD" w:rsidRPr="00774D86">
              <w:rPr>
                <w:rStyle w:val="FontStyle93"/>
                <w:sz w:val="18"/>
                <w:szCs w:val="18"/>
                <w:lang w:eastAsia="en-US"/>
              </w:rPr>
              <w:t>Zvýšenie výkonnosti systému VaV prostredníctvom horizontálnej podpory technologického transferu a IKT</w:t>
            </w:r>
          </w:p>
        </w:tc>
        <w:tc>
          <w:tcPr>
            <w:tcW w:w="2484" w:type="dxa"/>
            <w:vAlign w:val="center"/>
          </w:tcPr>
          <w:p w14:paraId="17E6580B" w14:textId="1527D7CD" w:rsidR="001174FD" w:rsidRPr="00BF0551" w:rsidRDefault="001174FD" w:rsidP="001174FD">
            <w:pPr>
              <w:pStyle w:val="Style30"/>
              <w:widowControl/>
              <w:rPr>
                <w:rStyle w:val="FontStyle93"/>
                <w:sz w:val="18"/>
                <w:szCs w:val="18"/>
                <w:lang w:eastAsia="en-US"/>
              </w:rPr>
            </w:pPr>
            <w:r w:rsidRPr="00774D86">
              <w:rPr>
                <w:rStyle w:val="FontStyle93"/>
                <w:sz w:val="18"/>
                <w:szCs w:val="18"/>
                <w:lang w:eastAsia="en-US"/>
              </w:rPr>
              <w:t>Počet podaných patentových prihlášok v SR okrem Bratislavského kraja</w:t>
            </w:r>
          </w:p>
        </w:tc>
      </w:tr>
      <w:tr w:rsidR="001174FD" w:rsidRPr="00430B9D" w14:paraId="27B9BF0C" w14:textId="77777777" w:rsidTr="00543AEB">
        <w:trPr>
          <w:trHeight w:val="340"/>
          <w:jc w:val="center"/>
        </w:trPr>
        <w:tc>
          <w:tcPr>
            <w:tcW w:w="806" w:type="dxa"/>
            <w:vMerge/>
            <w:vAlign w:val="center"/>
          </w:tcPr>
          <w:p w14:paraId="314B63F5" w14:textId="77777777" w:rsidR="001174FD" w:rsidRPr="00BF0551" w:rsidRDefault="001174FD" w:rsidP="001174FD">
            <w:pPr>
              <w:pStyle w:val="Style40"/>
              <w:widowControl/>
              <w:rPr>
                <w:rStyle w:val="FontStyle93"/>
                <w:sz w:val="18"/>
                <w:szCs w:val="18"/>
                <w:lang w:eastAsia="fr-FR"/>
              </w:rPr>
            </w:pPr>
          </w:p>
        </w:tc>
        <w:tc>
          <w:tcPr>
            <w:tcW w:w="606" w:type="dxa"/>
            <w:vMerge/>
            <w:vAlign w:val="center"/>
          </w:tcPr>
          <w:p w14:paraId="3446830C" w14:textId="77777777" w:rsidR="001174FD" w:rsidRPr="00BF0551" w:rsidRDefault="001174FD" w:rsidP="001174FD">
            <w:pPr>
              <w:pStyle w:val="Style30"/>
              <w:widowControl/>
              <w:jc w:val="center"/>
              <w:rPr>
                <w:sz w:val="18"/>
                <w:szCs w:val="18"/>
              </w:rPr>
            </w:pPr>
          </w:p>
        </w:tc>
        <w:tc>
          <w:tcPr>
            <w:tcW w:w="1245" w:type="dxa"/>
            <w:vMerge/>
            <w:vAlign w:val="center"/>
          </w:tcPr>
          <w:p w14:paraId="101E436C" w14:textId="77777777" w:rsidR="001174FD" w:rsidRPr="00BF0551" w:rsidRDefault="001174FD" w:rsidP="001174FD">
            <w:pPr>
              <w:pStyle w:val="Style40"/>
              <w:widowControl/>
              <w:jc w:val="right"/>
              <w:rPr>
                <w:rStyle w:val="FontStyle93"/>
                <w:sz w:val="18"/>
                <w:szCs w:val="18"/>
                <w:lang w:eastAsia="de-DE"/>
              </w:rPr>
            </w:pPr>
          </w:p>
        </w:tc>
        <w:tc>
          <w:tcPr>
            <w:tcW w:w="1417" w:type="dxa"/>
            <w:vMerge/>
            <w:vAlign w:val="center"/>
          </w:tcPr>
          <w:p w14:paraId="740D3476" w14:textId="77777777" w:rsidR="001174FD" w:rsidRPr="00E07B76" w:rsidRDefault="001174FD" w:rsidP="001174FD">
            <w:pPr>
              <w:jc w:val="center"/>
              <w:rPr>
                <w:rStyle w:val="FontStyle93"/>
                <w:sz w:val="18"/>
                <w:szCs w:val="18"/>
                <w:lang w:eastAsia="de-DE"/>
              </w:rPr>
            </w:pPr>
          </w:p>
        </w:tc>
        <w:tc>
          <w:tcPr>
            <w:tcW w:w="2410" w:type="dxa"/>
            <w:vMerge/>
            <w:vAlign w:val="center"/>
          </w:tcPr>
          <w:p w14:paraId="39A295D8" w14:textId="77777777" w:rsidR="001174FD" w:rsidRPr="00BF0551" w:rsidRDefault="001174FD" w:rsidP="001174FD">
            <w:pPr>
              <w:pStyle w:val="Style40"/>
              <w:widowControl/>
              <w:rPr>
                <w:rStyle w:val="FontStyle93"/>
                <w:sz w:val="18"/>
                <w:szCs w:val="18"/>
                <w:lang w:eastAsia="en-US"/>
              </w:rPr>
            </w:pPr>
          </w:p>
        </w:tc>
        <w:tc>
          <w:tcPr>
            <w:tcW w:w="2693" w:type="dxa"/>
            <w:vMerge/>
            <w:vAlign w:val="center"/>
          </w:tcPr>
          <w:p w14:paraId="2D5B466D" w14:textId="77777777" w:rsidR="001174FD" w:rsidRPr="00BF0551" w:rsidRDefault="001174FD" w:rsidP="001174FD">
            <w:pPr>
              <w:pStyle w:val="Style42"/>
              <w:widowControl/>
              <w:spacing w:line="240" w:lineRule="auto"/>
              <w:rPr>
                <w:rStyle w:val="FontStyle93"/>
                <w:sz w:val="18"/>
                <w:szCs w:val="18"/>
                <w:lang w:eastAsia="en-US"/>
              </w:rPr>
            </w:pPr>
          </w:p>
        </w:tc>
        <w:tc>
          <w:tcPr>
            <w:tcW w:w="2609" w:type="dxa"/>
            <w:vAlign w:val="center"/>
          </w:tcPr>
          <w:p w14:paraId="21A99DF7" w14:textId="5F4B63EC" w:rsidR="001174FD" w:rsidRPr="00BF0551" w:rsidRDefault="002501BD" w:rsidP="001174FD">
            <w:pPr>
              <w:pStyle w:val="Style30"/>
              <w:widowControl/>
              <w:rPr>
                <w:rStyle w:val="FontStyle93"/>
                <w:sz w:val="18"/>
                <w:szCs w:val="18"/>
                <w:lang w:eastAsia="en-US"/>
              </w:rPr>
            </w:pPr>
            <w:r>
              <w:rPr>
                <w:rStyle w:val="FontStyle93"/>
                <w:sz w:val="18"/>
                <w:szCs w:val="18"/>
                <w:lang w:eastAsia="en-US"/>
              </w:rPr>
              <w:t>9.</w:t>
            </w:r>
            <w:r w:rsidR="008B4E0B">
              <w:rPr>
                <w:rStyle w:val="FontStyle93"/>
                <w:sz w:val="18"/>
                <w:szCs w:val="18"/>
                <w:lang w:eastAsia="en-US"/>
              </w:rPr>
              <w:t>2</w:t>
            </w:r>
            <w:r>
              <w:rPr>
                <w:rStyle w:val="FontStyle93"/>
                <w:sz w:val="18"/>
                <w:szCs w:val="18"/>
                <w:lang w:eastAsia="en-US"/>
              </w:rPr>
              <w:t xml:space="preserve"> </w:t>
            </w:r>
            <w:r w:rsidR="001174FD" w:rsidRPr="00774D86">
              <w:rPr>
                <w:rStyle w:val="FontStyle93"/>
                <w:sz w:val="18"/>
                <w:szCs w:val="18"/>
                <w:lang w:eastAsia="en-US"/>
              </w:rPr>
              <w:t>Zvýšenie účasti SR v projektoch medzinárodnej spolupráce</w:t>
            </w:r>
          </w:p>
        </w:tc>
        <w:tc>
          <w:tcPr>
            <w:tcW w:w="2484" w:type="dxa"/>
            <w:vAlign w:val="center"/>
          </w:tcPr>
          <w:p w14:paraId="031DC275" w14:textId="5ADBE9F3" w:rsidR="001174FD" w:rsidRPr="00BF0551" w:rsidRDefault="001174FD" w:rsidP="001174FD">
            <w:pPr>
              <w:pStyle w:val="Style30"/>
              <w:widowControl/>
              <w:rPr>
                <w:rStyle w:val="FontStyle93"/>
                <w:sz w:val="18"/>
                <w:szCs w:val="18"/>
                <w:lang w:eastAsia="en-US"/>
              </w:rPr>
            </w:pPr>
            <w:r w:rsidRPr="00774D86">
              <w:rPr>
                <w:rStyle w:val="FontStyle93"/>
                <w:sz w:val="18"/>
                <w:szCs w:val="18"/>
                <w:lang w:eastAsia="en-US"/>
              </w:rPr>
              <w:t>Počet účastí na projektoch s medzinárodnou spoluprácou</w:t>
            </w:r>
          </w:p>
        </w:tc>
      </w:tr>
      <w:tr w:rsidR="001174FD" w:rsidRPr="00430B9D" w14:paraId="57FFD31C" w14:textId="77777777" w:rsidTr="00543AEB">
        <w:trPr>
          <w:trHeight w:val="340"/>
          <w:jc w:val="center"/>
        </w:trPr>
        <w:tc>
          <w:tcPr>
            <w:tcW w:w="806" w:type="dxa"/>
            <w:vMerge/>
            <w:vAlign w:val="center"/>
          </w:tcPr>
          <w:p w14:paraId="4012F577" w14:textId="77777777" w:rsidR="001174FD" w:rsidRPr="00BF0551" w:rsidRDefault="001174FD" w:rsidP="001174FD">
            <w:pPr>
              <w:pStyle w:val="Style40"/>
              <w:widowControl/>
              <w:rPr>
                <w:rStyle w:val="FontStyle93"/>
                <w:sz w:val="18"/>
                <w:szCs w:val="18"/>
                <w:lang w:eastAsia="fr-FR"/>
              </w:rPr>
            </w:pPr>
          </w:p>
        </w:tc>
        <w:tc>
          <w:tcPr>
            <w:tcW w:w="606" w:type="dxa"/>
            <w:vMerge/>
            <w:vAlign w:val="center"/>
          </w:tcPr>
          <w:p w14:paraId="325FAFEC" w14:textId="77777777" w:rsidR="001174FD" w:rsidRPr="00BF0551" w:rsidRDefault="001174FD" w:rsidP="001174FD">
            <w:pPr>
              <w:pStyle w:val="Style30"/>
              <w:widowControl/>
              <w:jc w:val="center"/>
              <w:rPr>
                <w:sz w:val="18"/>
                <w:szCs w:val="18"/>
              </w:rPr>
            </w:pPr>
          </w:p>
        </w:tc>
        <w:tc>
          <w:tcPr>
            <w:tcW w:w="1245" w:type="dxa"/>
            <w:vMerge/>
            <w:vAlign w:val="center"/>
          </w:tcPr>
          <w:p w14:paraId="1BECB479" w14:textId="77777777" w:rsidR="001174FD" w:rsidRPr="00BF0551" w:rsidRDefault="001174FD" w:rsidP="001174FD">
            <w:pPr>
              <w:pStyle w:val="Style40"/>
              <w:widowControl/>
              <w:jc w:val="right"/>
              <w:rPr>
                <w:rStyle w:val="FontStyle93"/>
                <w:sz w:val="18"/>
                <w:szCs w:val="18"/>
                <w:lang w:eastAsia="de-DE"/>
              </w:rPr>
            </w:pPr>
          </w:p>
        </w:tc>
        <w:tc>
          <w:tcPr>
            <w:tcW w:w="1417" w:type="dxa"/>
            <w:vMerge/>
            <w:vAlign w:val="center"/>
          </w:tcPr>
          <w:p w14:paraId="62D44139" w14:textId="77777777" w:rsidR="001174FD" w:rsidRPr="00E07B76" w:rsidRDefault="001174FD" w:rsidP="001174FD">
            <w:pPr>
              <w:jc w:val="center"/>
              <w:rPr>
                <w:rStyle w:val="FontStyle93"/>
                <w:sz w:val="18"/>
                <w:szCs w:val="18"/>
                <w:lang w:eastAsia="de-DE"/>
              </w:rPr>
            </w:pPr>
          </w:p>
        </w:tc>
        <w:tc>
          <w:tcPr>
            <w:tcW w:w="2410" w:type="dxa"/>
            <w:vMerge/>
            <w:vAlign w:val="center"/>
          </w:tcPr>
          <w:p w14:paraId="03D71B8D" w14:textId="77777777" w:rsidR="001174FD" w:rsidRPr="00BF0551" w:rsidRDefault="001174FD" w:rsidP="001174FD">
            <w:pPr>
              <w:pStyle w:val="Style40"/>
              <w:widowControl/>
              <w:rPr>
                <w:rStyle w:val="FontStyle93"/>
                <w:sz w:val="18"/>
                <w:szCs w:val="18"/>
                <w:lang w:eastAsia="en-US"/>
              </w:rPr>
            </w:pPr>
          </w:p>
        </w:tc>
        <w:tc>
          <w:tcPr>
            <w:tcW w:w="2693" w:type="dxa"/>
            <w:vMerge/>
            <w:vAlign w:val="center"/>
          </w:tcPr>
          <w:p w14:paraId="6E489CA7" w14:textId="77777777" w:rsidR="001174FD" w:rsidRPr="00BF0551" w:rsidRDefault="001174FD" w:rsidP="001174FD">
            <w:pPr>
              <w:pStyle w:val="Style42"/>
              <w:widowControl/>
              <w:spacing w:line="240" w:lineRule="auto"/>
              <w:rPr>
                <w:rStyle w:val="FontStyle93"/>
                <w:sz w:val="18"/>
                <w:szCs w:val="18"/>
                <w:lang w:eastAsia="en-US"/>
              </w:rPr>
            </w:pPr>
          </w:p>
        </w:tc>
        <w:tc>
          <w:tcPr>
            <w:tcW w:w="2609" w:type="dxa"/>
            <w:vAlign w:val="center"/>
          </w:tcPr>
          <w:p w14:paraId="41AAE8AB" w14:textId="0ABF8748" w:rsidR="001174FD" w:rsidRPr="00774D86" w:rsidRDefault="002501BD" w:rsidP="001174FD">
            <w:pPr>
              <w:pStyle w:val="Style30"/>
              <w:rPr>
                <w:rStyle w:val="FontStyle93"/>
                <w:sz w:val="18"/>
                <w:szCs w:val="18"/>
                <w:lang w:eastAsia="en-US"/>
              </w:rPr>
            </w:pPr>
            <w:r>
              <w:rPr>
                <w:rStyle w:val="FontStyle93"/>
                <w:sz w:val="18"/>
                <w:szCs w:val="18"/>
                <w:lang w:eastAsia="en-US"/>
              </w:rPr>
              <w:t xml:space="preserve">9.3 </w:t>
            </w:r>
            <w:r w:rsidR="001174FD" w:rsidRPr="00774D86">
              <w:rPr>
                <w:rStyle w:val="FontStyle93"/>
                <w:sz w:val="18"/>
                <w:szCs w:val="18"/>
                <w:lang w:eastAsia="en-US"/>
              </w:rPr>
              <w:t>Zvýšenie výskumnej aktivity prostredníctvom zlepšenia koordinácie a konsolidácie</w:t>
            </w:r>
          </w:p>
          <w:p w14:paraId="72AEA7DA" w14:textId="54ACB658" w:rsidR="001174FD" w:rsidRPr="00BF0551" w:rsidRDefault="001174FD" w:rsidP="001174FD">
            <w:pPr>
              <w:pStyle w:val="Style30"/>
              <w:widowControl/>
              <w:rPr>
                <w:rStyle w:val="FontStyle93"/>
                <w:sz w:val="18"/>
                <w:szCs w:val="18"/>
                <w:lang w:eastAsia="en-US"/>
              </w:rPr>
            </w:pPr>
            <w:r w:rsidRPr="00774D86">
              <w:rPr>
                <w:rStyle w:val="FontStyle93"/>
                <w:sz w:val="18"/>
                <w:szCs w:val="18"/>
                <w:lang w:eastAsia="en-US"/>
              </w:rPr>
              <w:t>VaV potenciálu výskumných inštitúcií</w:t>
            </w:r>
          </w:p>
        </w:tc>
        <w:tc>
          <w:tcPr>
            <w:tcW w:w="2484" w:type="dxa"/>
            <w:vAlign w:val="center"/>
          </w:tcPr>
          <w:p w14:paraId="316A59B2" w14:textId="00DC4017" w:rsidR="001174FD" w:rsidRPr="00BF0551" w:rsidRDefault="001174FD" w:rsidP="001174FD">
            <w:pPr>
              <w:pStyle w:val="Style30"/>
              <w:widowControl/>
              <w:rPr>
                <w:rStyle w:val="FontStyle93"/>
                <w:sz w:val="18"/>
                <w:szCs w:val="18"/>
                <w:lang w:eastAsia="en-US"/>
              </w:rPr>
            </w:pPr>
            <w:r w:rsidRPr="00774D86">
              <w:rPr>
                <w:rStyle w:val="FontStyle93"/>
                <w:sz w:val="18"/>
                <w:szCs w:val="18"/>
                <w:lang w:eastAsia="en-US"/>
              </w:rPr>
              <w:t>Počet publikácií subjektov zo SR v databázach Web of Science Core Collection a SCOPUS</w:t>
            </w:r>
          </w:p>
        </w:tc>
      </w:tr>
      <w:tr w:rsidR="001174FD" w:rsidRPr="00430B9D" w14:paraId="03AA6AEE" w14:textId="77777777" w:rsidTr="00543AEB">
        <w:trPr>
          <w:trHeight w:val="340"/>
          <w:jc w:val="center"/>
        </w:trPr>
        <w:tc>
          <w:tcPr>
            <w:tcW w:w="806" w:type="dxa"/>
            <w:vMerge/>
            <w:vAlign w:val="center"/>
          </w:tcPr>
          <w:p w14:paraId="1A278B5A" w14:textId="77777777" w:rsidR="001174FD" w:rsidRPr="00BF0551" w:rsidRDefault="001174FD" w:rsidP="001174FD">
            <w:pPr>
              <w:pStyle w:val="Style40"/>
              <w:widowControl/>
              <w:rPr>
                <w:rStyle w:val="FontStyle93"/>
                <w:sz w:val="18"/>
                <w:szCs w:val="18"/>
                <w:lang w:eastAsia="fr-FR"/>
              </w:rPr>
            </w:pPr>
          </w:p>
        </w:tc>
        <w:tc>
          <w:tcPr>
            <w:tcW w:w="606" w:type="dxa"/>
            <w:vMerge/>
            <w:vAlign w:val="center"/>
          </w:tcPr>
          <w:p w14:paraId="7A19B7EF" w14:textId="77777777" w:rsidR="001174FD" w:rsidRPr="00BF0551" w:rsidRDefault="001174FD" w:rsidP="001174FD">
            <w:pPr>
              <w:pStyle w:val="Style30"/>
              <w:widowControl/>
              <w:jc w:val="center"/>
              <w:rPr>
                <w:sz w:val="18"/>
                <w:szCs w:val="18"/>
              </w:rPr>
            </w:pPr>
          </w:p>
        </w:tc>
        <w:tc>
          <w:tcPr>
            <w:tcW w:w="1245" w:type="dxa"/>
            <w:vMerge/>
            <w:vAlign w:val="center"/>
          </w:tcPr>
          <w:p w14:paraId="47B24D86" w14:textId="77777777" w:rsidR="001174FD" w:rsidRPr="00BF0551" w:rsidRDefault="001174FD" w:rsidP="001174FD">
            <w:pPr>
              <w:pStyle w:val="Style40"/>
              <w:widowControl/>
              <w:jc w:val="right"/>
              <w:rPr>
                <w:rStyle w:val="FontStyle93"/>
                <w:sz w:val="18"/>
                <w:szCs w:val="18"/>
                <w:lang w:eastAsia="de-DE"/>
              </w:rPr>
            </w:pPr>
          </w:p>
        </w:tc>
        <w:tc>
          <w:tcPr>
            <w:tcW w:w="1417" w:type="dxa"/>
            <w:vMerge/>
            <w:vAlign w:val="center"/>
          </w:tcPr>
          <w:p w14:paraId="1E54F7B5" w14:textId="77777777" w:rsidR="001174FD" w:rsidRPr="00E07B76" w:rsidRDefault="001174FD" w:rsidP="001174FD">
            <w:pPr>
              <w:jc w:val="center"/>
              <w:rPr>
                <w:rStyle w:val="FontStyle93"/>
                <w:sz w:val="18"/>
                <w:szCs w:val="18"/>
                <w:lang w:eastAsia="de-DE"/>
              </w:rPr>
            </w:pPr>
          </w:p>
        </w:tc>
        <w:tc>
          <w:tcPr>
            <w:tcW w:w="2410" w:type="dxa"/>
            <w:vMerge/>
            <w:vAlign w:val="center"/>
          </w:tcPr>
          <w:p w14:paraId="3CAF8F0E" w14:textId="77777777" w:rsidR="001174FD" w:rsidRPr="00BF0551" w:rsidRDefault="001174FD" w:rsidP="001174FD">
            <w:pPr>
              <w:pStyle w:val="Style40"/>
              <w:widowControl/>
              <w:rPr>
                <w:rStyle w:val="FontStyle93"/>
                <w:sz w:val="18"/>
                <w:szCs w:val="18"/>
                <w:lang w:eastAsia="en-US"/>
              </w:rPr>
            </w:pPr>
          </w:p>
        </w:tc>
        <w:tc>
          <w:tcPr>
            <w:tcW w:w="2693" w:type="dxa"/>
            <w:vMerge w:val="restart"/>
            <w:vAlign w:val="center"/>
          </w:tcPr>
          <w:p w14:paraId="360FDDAF" w14:textId="08C82288" w:rsidR="001174FD" w:rsidRPr="00BF0551" w:rsidRDefault="001174FD" w:rsidP="001174FD">
            <w:pPr>
              <w:pStyle w:val="Style42"/>
              <w:widowControl/>
              <w:spacing w:line="240" w:lineRule="auto"/>
              <w:rPr>
                <w:rStyle w:val="FontStyle93"/>
                <w:sz w:val="18"/>
                <w:szCs w:val="18"/>
                <w:lang w:eastAsia="en-US"/>
              </w:rPr>
            </w:pPr>
            <w:r w:rsidRPr="00774D86">
              <w:rPr>
                <w:rStyle w:val="FontStyle93"/>
                <w:sz w:val="18"/>
                <w:szCs w:val="18"/>
                <w:lang w:eastAsia="en-US"/>
              </w:rPr>
              <w:t>1</w:t>
            </w:r>
            <w:r w:rsidR="00E91449">
              <w:rPr>
                <w:rStyle w:val="FontStyle93"/>
                <w:sz w:val="18"/>
                <w:szCs w:val="18"/>
                <w:lang w:eastAsia="en-US"/>
              </w:rPr>
              <w:t xml:space="preserve">b) </w:t>
            </w:r>
            <w:r w:rsidRPr="00774D86">
              <w:rPr>
                <w:rStyle w:val="FontStyle93"/>
                <w:sz w:val="18"/>
                <w:szCs w:val="18"/>
                <w:lang w:eastAsia="en-US"/>
              </w:rPr>
              <w:t xml:space="preserve">Podpora investovania podnikov do výskumu a inovácie a vytvárania prepojení a synergií medzi podnikmi, centrami výskumu a vývoja a vysokoškolským vzdelávacím prostredím, najmä </w:t>
            </w:r>
            <w:r w:rsidRPr="00774D86">
              <w:rPr>
                <w:rStyle w:val="FontStyle93"/>
                <w:sz w:val="18"/>
                <w:szCs w:val="18"/>
                <w:lang w:eastAsia="en-US"/>
              </w:rPr>
              <w:lastRenderedPageBreak/>
              <w:t>podpory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opatrení skorého overovania výrobkov, rozšírených výrobných kapacít, prvej výroby, najmä v základných podporných technológiách, a šírenia technológií na všeobecný účel</w:t>
            </w:r>
          </w:p>
        </w:tc>
        <w:tc>
          <w:tcPr>
            <w:tcW w:w="2609" w:type="dxa"/>
            <w:vAlign w:val="center"/>
          </w:tcPr>
          <w:p w14:paraId="19B854FF" w14:textId="5D6608C6" w:rsidR="001174FD" w:rsidRPr="00BF0551" w:rsidRDefault="00A1452D" w:rsidP="001174FD">
            <w:pPr>
              <w:pStyle w:val="Style30"/>
              <w:widowControl/>
              <w:rPr>
                <w:rStyle w:val="FontStyle93"/>
                <w:sz w:val="18"/>
                <w:szCs w:val="18"/>
                <w:lang w:eastAsia="en-US"/>
              </w:rPr>
            </w:pPr>
            <w:r>
              <w:rPr>
                <w:rStyle w:val="FontStyle93"/>
                <w:sz w:val="18"/>
                <w:szCs w:val="18"/>
                <w:lang w:eastAsia="en-US"/>
              </w:rPr>
              <w:lastRenderedPageBreak/>
              <w:t>9.4</w:t>
            </w:r>
            <w:r w:rsidR="002501BD">
              <w:rPr>
                <w:rStyle w:val="FontStyle93"/>
                <w:sz w:val="18"/>
                <w:szCs w:val="18"/>
                <w:lang w:eastAsia="en-US"/>
              </w:rPr>
              <w:t xml:space="preserve"> </w:t>
            </w:r>
            <w:r w:rsidR="001174FD" w:rsidRPr="00774D86">
              <w:rPr>
                <w:rStyle w:val="FontStyle93"/>
                <w:sz w:val="18"/>
                <w:szCs w:val="18"/>
                <w:lang w:eastAsia="en-US"/>
              </w:rPr>
              <w:t>Zvýšenie súkromných investícií prostredníctvom spolupráce výskumných inštitúcií a podnikateľskej sféry</w:t>
            </w:r>
          </w:p>
        </w:tc>
        <w:tc>
          <w:tcPr>
            <w:tcW w:w="2484" w:type="dxa"/>
            <w:vAlign w:val="center"/>
          </w:tcPr>
          <w:p w14:paraId="4FA18CFB" w14:textId="74D9A801" w:rsidR="001174FD" w:rsidRPr="00BF0551" w:rsidRDefault="001174FD">
            <w:pPr>
              <w:pStyle w:val="Style30"/>
              <w:widowControl/>
              <w:rPr>
                <w:rStyle w:val="FontStyle93"/>
                <w:sz w:val="18"/>
                <w:szCs w:val="18"/>
                <w:lang w:eastAsia="en-US"/>
              </w:rPr>
            </w:pPr>
            <w:r w:rsidRPr="00774D86">
              <w:rPr>
                <w:rStyle w:val="FontStyle93"/>
                <w:sz w:val="18"/>
                <w:szCs w:val="18"/>
                <w:lang w:eastAsia="en-US"/>
              </w:rPr>
              <w:t>Výška súkromných investícií na výskum a vývoj v SR okrem Bratislavského kraja</w:t>
            </w:r>
          </w:p>
        </w:tc>
      </w:tr>
      <w:tr w:rsidR="001174FD" w:rsidRPr="00430B9D" w14:paraId="6F19B746" w14:textId="77777777" w:rsidTr="00543AEB">
        <w:trPr>
          <w:trHeight w:val="340"/>
          <w:jc w:val="center"/>
        </w:trPr>
        <w:tc>
          <w:tcPr>
            <w:tcW w:w="806" w:type="dxa"/>
            <w:vMerge/>
            <w:vAlign w:val="center"/>
          </w:tcPr>
          <w:p w14:paraId="3F7BB183" w14:textId="77777777" w:rsidR="001174FD" w:rsidRPr="00BF0551" w:rsidRDefault="001174FD" w:rsidP="001174FD">
            <w:pPr>
              <w:pStyle w:val="Style40"/>
              <w:widowControl/>
              <w:rPr>
                <w:rStyle w:val="FontStyle93"/>
                <w:sz w:val="18"/>
                <w:szCs w:val="18"/>
                <w:lang w:eastAsia="fr-FR"/>
              </w:rPr>
            </w:pPr>
          </w:p>
        </w:tc>
        <w:tc>
          <w:tcPr>
            <w:tcW w:w="606" w:type="dxa"/>
            <w:vMerge/>
            <w:vAlign w:val="center"/>
          </w:tcPr>
          <w:p w14:paraId="0755D7CC" w14:textId="77777777" w:rsidR="001174FD" w:rsidRPr="00BF0551" w:rsidRDefault="001174FD" w:rsidP="001174FD">
            <w:pPr>
              <w:pStyle w:val="Style30"/>
              <w:widowControl/>
              <w:jc w:val="center"/>
              <w:rPr>
                <w:sz w:val="18"/>
                <w:szCs w:val="18"/>
              </w:rPr>
            </w:pPr>
          </w:p>
        </w:tc>
        <w:tc>
          <w:tcPr>
            <w:tcW w:w="1245" w:type="dxa"/>
            <w:vMerge/>
            <w:vAlign w:val="center"/>
          </w:tcPr>
          <w:p w14:paraId="03445221" w14:textId="77777777" w:rsidR="001174FD" w:rsidRPr="00BF0551" w:rsidRDefault="001174FD" w:rsidP="001174FD">
            <w:pPr>
              <w:pStyle w:val="Style40"/>
              <w:widowControl/>
              <w:jc w:val="right"/>
              <w:rPr>
                <w:rStyle w:val="FontStyle93"/>
                <w:sz w:val="18"/>
                <w:szCs w:val="18"/>
                <w:lang w:eastAsia="de-DE"/>
              </w:rPr>
            </w:pPr>
          </w:p>
        </w:tc>
        <w:tc>
          <w:tcPr>
            <w:tcW w:w="1417" w:type="dxa"/>
            <w:vMerge/>
            <w:vAlign w:val="center"/>
          </w:tcPr>
          <w:p w14:paraId="6F0F651F" w14:textId="77777777" w:rsidR="001174FD" w:rsidRPr="00E07B76" w:rsidRDefault="001174FD" w:rsidP="001174FD">
            <w:pPr>
              <w:jc w:val="center"/>
              <w:rPr>
                <w:rStyle w:val="FontStyle93"/>
                <w:sz w:val="18"/>
                <w:szCs w:val="18"/>
                <w:lang w:eastAsia="de-DE"/>
              </w:rPr>
            </w:pPr>
          </w:p>
        </w:tc>
        <w:tc>
          <w:tcPr>
            <w:tcW w:w="2410" w:type="dxa"/>
            <w:vMerge/>
            <w:vAlign w:val="center"/>
          </w:tcPr>
          <w:p w14:paraId="3CA74BC1" w14:textId="77777777" w:rsidR="001174FD" w:rsidRPr="00BF0551" w:rsidRDefault="001174FD" w:rsidP="001174FD">
            <w:pPr>
              <w:pStyle w:val="Style40"/>
              <w:widowControl/>
              <w:rPr>
                <w:rStyle w:val="FontStyle93"/>
                <w:sz w:val="18"/>
                <w:szCs w:val="18"/>
                <w:lang w:eastAsia="en-US"/>
              </w:rPr>
            </w:pPr>
          </w:p>
        </w:tc>
        <w:tc>
          <w:tcPr>
            <w:tcW w:w="2693" w:type="dxa"/>
            <w:vMerge/>
            <w:vAlign w:val="center"/>
          </w:tcPr>
          <w:p w14:paraId="7911EE78" w14:textId="77777777" w:rsidR="001174FD" w:rsidRPr="00BF0551" w:rsidRDefault="001174FD" w:rsidP="001174FD">
            <w:pPr>
              <w:pStyle w:val="Style42"/>
              <w:widowControl/>
              <w:spacing w:line="240" w:lineRule="auto"/>
              <w:rPr>
                <w:rStyle w:val="FontStyle93"/>
                <w:sz w:val="18"/>
                <w:szCs w:val="18"/>
                <w:lang w:eastAsia="en-US"/>
              </w:rPr>
            </w:pPr>
          </w:p>
        </w:tc>
        <w:tc>
          <w:tcPr>
            <w:tcW w:w="2609" w:type="dxa"/>
            <w:vAlign w:val="center"/>
          </w:tcPr>
          <w:p w14:paraId="3FF67D1C" w14:textId="1A124602" w:rsidR="001174FD" w:rsidRPr="00BF0551" w:rsidRDefault="00A1452D" w:rsidP="001174FD">
            <w:pPr>
              <w:pStyle w:val="Style30"/>
              <w:widowControl/>
              <w:rPr>
                <w:rStyle w:val="FontStyle93"/>
                <w:sz w:val="18"/>
                <w:szCs w:val="18"/>
                <w:lang w:eastAsia="en-US"/>
              </w:rPr>
            </w:pPr>
            <w:r>
              <w:rPr>
                <w:rStyle w:val="FontStyle93"/>
                <w:sz w:val="18"/>
                <w:szCs w:val="18"/>
                <w:lang w:eastAsia="en-US"/>
              </w:rPr>
              <w:t>9.5</w:t>
            </w:r>
            <w:r w:rsidR="002501BD">
              <w:rPr>
                <w:rStyle w:val="FontStyle93"/>
                <w:sz w:val="18"/>
                <w:szCs w:val="18"/>
                <w:lang w:eastAsia="en-US"/>
              </w:rPr>
              <w:t xml:space="preserve"> </w:t>
            </w:r>
            <w:r w:rsidR="001174FD" w:rsidRPr="00774D86">
              <w:rPr>
                <w:rStyle w:val="FontStyle93"/>
                <w:sz w:val="18"/>
                <w:szCs w:val="18"/>
                <w:lang w:eastAsia="en-US"/>
              </w:rPr>
              <w:t xml:space="preserve">Rast výskumno-vývojových a inovačných kapacít v priemysle a </w:t>
            </w:r>
            <w:r w:rsidR="001174FD" w:rsidRPr="00774D86">
              <w:rPr>
                <w:rStyle w:val="FontStyle93"/>
                <w:sz w:val="18"/>
                <w:szCs w:val="18"/>
                <w:lang w:eastAsia="en-US"/>
              </w:rPr>
              <w:lastRenderedPageBreak/>
              <w:t>službách</w:t>
            </w:r>
          </w:p>
        </w:tc>
        <w:tc>
          <w:tcPr>
            <w:tcW w:w="2484" w:type="dxa"/>
            <w:vAlign w:val="center"/>
          </w:tcPr>
          <w:p w14:paraId="6E2A7D66" w14:textId="5D0F29EB" w:rsidR="001174FD" w:rsidRPr="00BF0551" w:rsidRDefault="001174FD">
            <w:pPr>
              <w:pStyle w:val="Style30"/>
              <w:widowControl/>
              <w:rPr>
                <w:rStyle w:val="FontStyle93"/>
                <w:sz w:val="18"/>
                <w:szCs w:val="18"/>
                <w:lang w:eastAsia="en-US"/>
              </w:rPr>
            </w:pPr>
            <w:r w:rsidRPr="00774D86">
              <w:rPr>
                <w:rStyle w:val="FontStyle93"/>
                <w:sz w:val="18"/>
                <w:szCs w:val="18"/>
                <w:lang w:eastAsia="en-US"/>
              </w:rPr>
              <w:lastRenderedPageBreak/>
              <w:t>Podiel podnikov uplatňujúcich výskum, vývoj a inovácie</w:t>
            </w:r>
          </w:p>
        </w:tc>
      </w:tr>
      <w:tr w:rsidR="00D04D0A" w:rsidRPr="00430B9D" w14:paraId="2B7CE31B" w14:textId="77777777" w:rsidTr="00543AEB">
        <w:trPr>
          <w:trHeight w:val="340"/>
          <w:jc w:val="center"/>
        </w:trPr>
        <w:tc>
          <w:tcPr>
            <w:tcW w:w="806" w:type="dxa"/>
            <w:vMerge w:val="restart"/>
            <w:vAlign w:val="center"/>
          </w:tcPr>
          <w:p w14:paraId="162069CE" w14:textId="4B65EC65" w:rsidR="00D04D0A" w:rsidRPr="00BF0551" w:rsidRDefault="00D04D0A" w:rsidP="00D04D0A">
            <w:pPr>
              <w:pStyle w:val="Style40"/>
              <w:widowControl/>
              <w:rPr>
                <w:rStyle w:val="FontStyle93"/>
                <w:sz w:val="18"/>
                <w:szCs w:val="18"/>
                <w:lang w:eastAsia="fr-FR"/>
              </w:rPr>
            </w:pPr>
            <w:r>
              <w:rPr>
                <w:rStyle w:val="FontStyle93"/>
                <w:sz w:val="18"/>
                <w:szCs w:val="18"/>
                <w:lang w:eastAsia="fr-FR"/>
              </w:rPr>
              <w:t>PO 10</w:t>
            </w:r>
          </w:p>
        </w:tc>
        <w:tc>
          <w:tcPr>
            <w:tcW w:w="606" w:type="dxa"/>
            <w:vMerge w:val="restart"/>
            <w:vAlign w:val="center"/>
          </w:tcPr>
          <w:p w14:paraId="7487AF4B" w14:textId="202AC0A0" w:rsidR="00D04D0A" w:rsidRPr="00BF0551" w:rsidRDefault="00D04D0A" w:rsidP="00D04D0A">
            <w:pPr>
              <w:pStyle w:val="Style30"/>
              <w:widowControl/>
              <w:jc w:val="center"/>
              <w:rPr>
                <w:sz w:val="18"/>
                <w:szCs w:val="18"/>
              </w:rPr>
            </w:pPr>
            <w:r>
              <w:rPr>
                <w:sz w:val="18"/>
                <w:szCs w:val="18"/>
              </w:rPr>
              <w:t>EFRR</w:t>
            </w:r>
          </w:p>
        </w:tc>
        <w:tc>
          <w:tcPr>
            <w:tcW w:w="1245" w:type="dxa"/>
            <w:vMerge w:val="restart"/>
            <w:vAlign w:val="center"/>
          </w:tcPr>
          <w:p w14:paraId="145CB793" w14:textId="01DC0945" w:rsidR="00D04D0A" w:rsidRPr="00BF0551" w:rsidRDefault="00FB2E8F" w:rsidP="00FB2E8F">
            <w:pPr>
              <w:pStyle w:val="Style40"/>
              <w:widowControl/>
              <w:jc w:val="right"/>
              <w:rPr>
                <w:rStyle w:val="FontStyle93"/>
                <w:sz w:val="18"/>
                <w:szCs w:val="18"/>
                <w:lang w:eastAsia="de-DE"/>
              </w:rPr>
            </w:pPr>
            <w:r w:rsidRPr="00FB2E8F">
              <w:rPr>
                <w:rStyle w:val="FontStyle93"/>
                <w:sz w:val="18"/>
                <w:szCs w:val="18"/>
                <w:lang w:eastAsia="de-DE"/>
              </w:rPr>
              <w:t>122 425 015</w:t>
            </w:r>
          </w:p>
        </w:tc>
        <w:tc>
          <w:tcPr>
            <w:tcW w:w="1417" w:type="dxa"/>
            <w:vMerge w:val="restart"/>
            <w:vAlign w:val="center"/>
          </w:tcPr>
          <w:p w14:paraId="43FB4876" w14:textId="715C5C5A" w:rsidR="00D04D0A" w:rsidRPr="00351D17" w:rsidRDefault="00FB2E8F" w:rsidP="00FB2E8F">
            <w:pPr>
              <w:jc w:val="center"/>
              <w:rPr>
                <w:rStyle w:val="FontStyle93"/>
                <w:sz w:val="18"/>
                <w:szCs w:val="18"/>
                <w:lang w:val="en-GB" w:eastAsia="de-DE"/>
              </w:rPr>
            </w:pPr>
            <w:r>
              <w:rPr>
                <w:rStyle w:val="FontStyle93"/>
                <w:sz w:val="18"/>
                <w:szCs w:val="18"/>
                <w:lang w:val="en-GB" w:eastAsia="de-DE"/>
              </w:rPr>
              <w:t>1,99</w:t>
            </w:r>
            <w:r w:rsidR="004309FF">
              <w:rPr>
                <w:rStyle w:val="FontStyle93"/>
                <w:sz w:val="18"/>
                <w:szCs w:val="18"/>
                <w:lang w:val="en-GB" w:eastAsia="de-DE"/>
              </w:rPr>
              <w:t xml:space="preserve"> %</w:t>
            </w:r>
          </w:p>
        </w:tc>
        <w:tc>
          <w:tcPr>
            <w:tcW w:w="2410" w:type="dxa"/>
            <w:vMerge w:val="restart"/>
            <w:vAlign w:val="center"/>
          </w:tcPr>
          <w:p w14:paraId="1A17AA57" w14:textId="159CB4B4" w:rsidR="00D04D0A" w:rsidRPr="00BF0551" w:rsidRDefault="00D04D0A" w:rsidP="00D04D0A">
            <w:pPr>
              <w:pStyle w:val="Style40"/>
              <w:widowControl/>
              <w:rPr>
                <w:rStyle w:val="FontStyle93"/>
                <w:sz w:val="18"/>
                <w:szCs w:val="18"/>
                <w:lang w:eastAsia="en-US"/>
              </w:rPr>
            </w:pPr>
            <w:r>
              <w:rPr>
                <w:rStyle w:val="FontStyle93"/>
                <w:sz w:val="18"/>
                <w:szCs w:val="18"/>
                <w:lang w:eastAsia="en-US"/>
              </w:rPr>
              <w:t xml:space="preserve">TC 1 - </w:t>
            </w:r>
            <w:r w:rsidR="00BC3FC0">
              <w:rPr>
                <w:rStyle w:val="FontStyle93"/>
                <w:sz w:val="18"/>
                <w:szCs w:val="18"/>
                <w:lang w:eastAsia="en-US"/>
              </w:rPr>
              <w:t>Posilnenie</w:t>
            </w:r>
            <w:r w:rsidR="00BC3FC0" w:rsidRPr="00774D86">
              <w:rPr>
                <w:rStyle w:val="FontStyle93"/>
                <w:sz w:val="18"/>
                <w:szCs w:val="18"/>
                <w:lang w:eastAsia="en-US"/>
              </w:rPr>
              <w:t xml:space="preserve"> výskumu,</w:t>
            </w:r>
            <w:r w:rsidR="00BC3FC0">
              <w:rPr>
                <w:rStyle w:val="FontStyle93"/>
                <w:sz w:val="18"/>
                <w:szCs w:val="18"/>
                <w:lang w:eastAsia="en-US"/>
              </w:rPr>
              <w:t xml:space="preserve"> technologického rozvoja</w:t>
            </w:r>
            <w:r w:rsidR="00BC3FC0" w:rsidRPr="00774D86">
              <w:rPr>
                <w:rStyle w:val="FontStyle93"/>
                <w:sz w:val="18"/>
                <w:szCs w:val="18"/>
                <w:lang w:eastAsia="en-US"/>
              </w:rPr>
              <w:t xml:space="preserve"> a inovácií</w:t>
            </w:r>
          </w:p>
        </w:tc>
        <w:tc>
          <w:tcPr>
            <w:tcW w:w="2693" w:type="dxa"/>
            <w:vAlign w:val="center"/>
          </w:tcPr>
          <w:p w14:paraId="18EE8C6C" w14:textId="4AE01EBD" w:rsidR="00D04D0A" w:rsidRPr="00BF0551" w:rsidRDefault="00E91449" w:rsidP="00D04D0A">
            <w:pPr>
              <w:pStyle w:val="Style42"/>
              <w:widowControl/>
              <w:spacing w:line="240" w:lineRule="auto"/>
              <w:rPr>
                <w:rStyle w:val="FontStyle93"/>
                <w:sz w:val="18"/>
                <w:szCs w:val="18"/>
                <w:lang w:eastAsia="en-US"/>
              </w:rPr>
            </w:pPr>
            <w:r>
              <w:rPr>
                <w:rStyle w:val="FontStyle93"/>
                <w:sz w:val="18"/>
                <w:szCs w:val="18"/>
                <w:lang w:eastAsia="en-US"/>
              </w:rPr>
              <w:t xml:space="preserve">1a) </w:t>
            </w:r>
            <w:r w:rsidR="00D04D0A" w:rsidRPr="00774D86">
              <w:rPr>
                <w:rStyle w:val="FontStyle93"/>
                <w:sz w:val="18"/>
                <w:szCs w:val="18"/>
                <w:lang w:eastAsia="en-US"/>
              </w:rPr>
              <w:t>Rozšírenie výskumnej a inovačnej infraštruktúry a kapacít na rozvoj excelentnosti v oblasti výskumu a inovácií a podpora kompetenčných centier, najmä takýchto centier európskeho záujmu</w:t>
            </w:r>
          </w:p>
        </w:tc>
        <w:tc>
          <w:tcPr>
            <w:tcW w:w="2609" w:type="dxa"/>
            <w:vAlign w:val="center"/>
          </w:tcPr>
          <w:p w14:paraId="78EFA553" w14:textId="157736F2" w:rsidR="00D04D0A" w:rsidRPr="00774D86" w:rsidRDefault="002501BD" w:rsidP="00D04D0A">
            <w:pPr>
              <w:pStyle w:val="Style30"/>
              <w:rPr>
                <w:rStyle w:val="FontStyle93"/>
                <w:sz w:val="18"/>
                <w:szCs w:val="18"/>
                <w:lang w:eastAsia="en-US"/>
              </w:rPr>
            </w:pPr>
            <w:r>
              <w:rPr>
                <w:rStyle w:val="FontStyle93"/>
                <w:sz w:val="18"/>
                <w:szCs w:val="18"/>
                <w:lang w:eastAsia="en-US"/>
              </w:rPr>
              <w:t xml:space="preserve">10.1 </w:t>
            </w:r>
            <w:r w:rsidR="00D04D0A" w:rsidRPr="00774D86">
              <w:rPr>
                <w:rStyle w:val="FontStyle93"/>
                <w:sz w:val="18"/>
                <w:szCs w:val="18"/>
                <w:lang w:eastAsia="en-US"/>
              </w:rPr>
              <w:t>Zvýšenie výskumnej aktivity BSK prostredníctvom</w:t>
            </w:r>
          </w:p>
          <w:p w14:paraId="128DC349" w14:textId="1CA65E49" w:rsidR="00D04D0A" w:rsidRPr="00774D86" w:rsidRDefault="00D04D0A" w:rsidP="00D04D0A">
            <w:pPr>
              <w:pStyle w:val="Style30"/>
              <w:widowControl/>
              <w:rPr>
                <w:rStyle w:val="FontStyle93"/>
                <w:sz w:val="18"/>
                <w:szCs w:val="18"/>
                <w:lang w:eastAsia="en-US"/>
              </w:rPr>
            </w:pPr>
            <w:r w:rsidRPr="00774D86">
              <w:rPr>
                <w:rStyle w:val="FontStyle93"/>
                <w:sz w:val="18"/>
                <w:szCs w:val="18"/>
                <w:lang w:eastAsia="en-US"/>
              </w:rPr>
              <w:t>revitalizácie a posilnenia výskumno-vzdelávacích, inovačných a podnikateľských kapacít výskumných inštitúcií v Bratislave</w:t>
            </w:r>
          </w:p>
        </w:tc>
        <w:tc>
          <w:tcPr>
            <w:tcW w:w="2484" w:type="dxa"/>
            <w:vAlign w:val="center"/>
          </w:tcPr>
          <w:p w14:paraId="638975E6" w14:textId="7A45645E" w:rsidR="00D04D0A" w:rsidRPr="00774D86" w:rsidRDefault="00D04D0A">
            <w:pPr>
              <w:pStyle w:val="Style30"/>
              <w:widowControl/>
              <w:rPr>
                <w:rStyle w:val="FontStyle93"/>
                <w:sz w:val="18"/>
                <w:szCs w:val="18"/>
                <w:lang w:eastAsia="en-US"/>
              </w:rPr>
            </w:pPr>
            <w:r w:rsidRPr="00774D86">
              <w:rPr>
                <w:rStyle w:val="FontStyle93"/>
                <w:sz w:val="18"/>
                <w:szCs w:val="18"/>
                <w:lang w:eastAsia="en-US"/>
              </w:rPr>
              <w:t>Počet podaných patentových prihlášok v Bratislavskom kraji</w:t>
            </w:r>
          </w:p>
        </w:tc>
      </w:tr>
      <w:tr w:rsidR="00D04D0A" w:rsidRPr="00430B9D" w14:paraId="197BECB3" w14:textId="77777777" w:rsidTr="00543AEB">
        <w:trPr>
          <w:trHeight w:val="340"/>
          <w:jc w:val="center"/>
        </w:trPr>
        <w:tc>
          <w:tcPr>
            <w:tcW w:w="806" w:type="dxa"/>
            <w:vMerge/>
            <w:vAlign w:val="center"/>
          </w:tcPr>
          <w:p w14:paraId="7204CF80" w14:textId="77777777" w:rsidR="00D04D0A" w:rsidRPr="00BF0551" w:rsidRDefault="00D04D0A" w:rsidP="00D04D0A">
            <w:pPr>
              <w:pStyle w:val="Style40"/>
              <w:widowControl/>
              <w:rPr>
                <w:rStyle w:val="FontStyle93"/>
                <w:sz w:val="18"/>
                <w:szCs w:val="18"/>
                <w:lang w:eastAsia="fr-FR"/>
              </w:rPr>
            </w:pPr>
          </w:p>
        </w:tc>
        <w:tc>
          <w:tcPr>
            <w:tcW w:w="606" w:type="dxa"/>
            <w:vMerge/>
            <w:vAlign w:val="center"/>
          </w:tcPr>
          <w:p w14:paraId="3D99441B" w14:textId="77777777" w:rsidR="00D04D0A" w:rsidRPr="00BF0551" w:rsidRDefault="00D04D0A" w:rsidP="00D04D0A">
            <w:pPr>
              <w:pStyle w:val="Style30"/>
              <w:widowControl/>
              <w:jc w:val="center"/>
              <w:rPr>
                <w:sz w:val="18"/>
                <w:szCs w:val="18"/>
              </w:rPr>
            </w:pPr>
          </w:p>
        </w:tc>
        <w:tc>
          <w:tcPr>
            <w:tcW w:w="1245" w:type="dxa"/>
            <w:vMerge/>
            <w:vAlign w:val="center"/>
          </w:tcPr>
          <w:p w14:paraId="3BD69B26" w14:textId="77777777" w:rsidR="00D04D0A" w:rsidRPr="00BF0551" w:rsidRDefault="00D04D0A" w:rsidP="00D04D0A">
            <w:pPr>
              <w:pStyle w:val="Style40"/>
              <w:widowControl/>
              <w:jc w:val="right"/>
              <w:rPr>
                <w:rStyle w:val="FontStyle93"/>
                <w:sz w:val="18"/>
                <w:szCs w:val="18"/>
                <w:lang w:eastAsia="de-DE"/>
              </w:rPr>
            </w:pPr>
          </w:p>
        </w:tc>
        <w:tc>
          <w:tcPr>
            <w:tcW w:w="1417" w:type="dxa"/>
            <w:vMerge/>
            <w:vAlign w:val="center"/>
          </w:tcPr>
          <w:p w14:paraId="330AC464" w14:textId="77777777" w:rsidR="00D04D0A" w:rsidRPr="00E07B76" w:rsidRDefault="00D04D0A" w:rsidP="00D04D0A">
            <w:pPr>
              <w:jc w:val="center"/>
              <w:rPr>
                <w:rStyle w:val="FontStyle93"/>
                <w:sz w:val="18"/>
                <w:szCs w:val="18"/>
                <w:lang w:eastAsia="de-DE"/>
              </w:rPr>
            </w:pPr>
          </w:p>
        </w:tc>
        <w:tc>
          <w:tcPr>
            <w:tcW w:w="2410" w:type="dxa"/>
            <w:vMerge/>
            <w:vAlign w:val="center"/>
          </w:tcPr>
          <w:p w14:paraId="3F1D0406" w14:textId="77777777" w:rsidR="00D04D0A" w:rsidRPr="00BF0551" w:rsidRDefault="00D04D0A" w:rsidP="00D04D0A">
            <w:pPr>
              <w:pStyle w:val="Style40"/>
              <w:widowControl/>
              <w:rPr>
                <w:rStyle w:val="FontStyle93"/>
                <w:sz w:val="18"/>
                <w:szCs w:val="18"/>
                <w:lang w:eastAsia="en-US"/>
              </w:rPr>
            </w:pPr>
          </w:p>
        </w:tc>
        <w:tc>
          <w:tcPr>
            <w:tcW w:w="2693" w:type="dxa"/>
            <w:vMerge w:val="restart"/>
            <w:vAlign w:val="center"/>
          </w:tcPr>
          <w:p w14:paraId="57302FE6" w14:textId="7D0C25C5" w:rsidR="00D04D0A" w:rsidRPr="00BF0551" w:rsidRDefault="00E91449" w:rsidP="00D04D0A">
            <w:pPr>
              <w:pStyle w:val="Style42"/>
              <w:widowControl/>
              <w:spacing w:line="240" w:lineRule="auto"/>
              <w:rPr>
                <w:rStyle w:val="FontStyle93"/>
                <w:sz w:val="18"/>
                <w:szCs w:val="18"/>
                <w:lang w:eastAsia="en-US"/>
              </w:rPr>
            </w:pPr>
            <w:r>
              <w:rPr>
                <w:rStyle w:val="FontStyle93"/>
                <w:sz w:val="18"/>
                <w:szCs w:val="18"/>
                <w:lang w:eastAsia="en-US"/>
              </w:rPr>
              <w:t xml:space="preserve">1b) </w:t>
            </w:r>
            <w:r w:rsidR="00D04D0A" w:rsidRPr="00FC428D">
              <w:rPr>
                <w:rStyle w:val="FontStyle93"/>
                <w:sz w:val="18"/>
                <w:szCs w:val="18"/>
                <w:lang w:eastAsia="en-US"/>
              </w:rPr>
              <w:t xml:space="preserve">Podpora investovania podnikov do výskumu a inovácie a vytvárania prepojení a synergií medzi podnikmi, centrami výskumu a vývoja a vysokoškolským vzdelávacím prostredím, najmä podpory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w:t>
            </w:r>
            <w:r w:rsidR="00D04D0A" w:rsidRPr="00FC428D">
              <w:rPr>
                <w:rStyle w:val="FontStyle93"/>
                <w:sz w:val="18"/>
                <w:szCs w:val="18"/>
                <w:lang w:eastAsia="en-US"/>
              </w:rPr>
              <w:lastRenderedPageBreak/>
              <w:t>opatrení skorého overovania výrobkov, rozšírených výrobných kapacít, prvej výroby, najmä v základných podporných technológiách, a šírenia technológií na všeobecný účel</w:t>
            </w:r>
          </w:p>
        </w:tc>
        <w:tc>
          <w:tcPr>
            <w:tcW w:w="2609" w:type="dxa"/>
            <w:vAlign w:val="center"/>
          </w:tcPr>
          <w:p w14:paraId="6EAA5C99" w14:textId="75D19278" w:rsidR="00D04D0A" w:rsidRPr="00774D86" w:rsidRDefault="002501BD">
            <w:pPr>
              <w:pStyle w:val="Style30"/>
              <w:widowControl/>
              <w:rPr>
                <w:rStyle w:val="FontStyle93"/>
                <w:sz w:val="18"/>
                <w:szCs w:val="18"/>
                <w:lang w:eastAsia="en-US"/>
              </w:rPr>
            </w:pPr>
            <w:r>
              <w:rPr>
                <w:rStyle w:val="FontStyle93"/>
                <w:sz w:val="18"/>
                <w:szCs w:val="18"/>
                <w:lang w:eastAsia="en-US"/>
              </w:rPr>
              <w:lastRenderedPageBreak/>
              <w:t xml:space="preserve">10.2 </w:t>
            </w:r>
            <w:r w:rsidR="00D04D0A" w:rsidRPr="00FC428D">
              <w:rPr>
                <w:rStyle w:val="FontStyle93"/>
                <w:sz w:val="18"/>
                <w:szCs w:val="18"/>
                <w:lang w:eastAsia="en-US"/>
              </w:rPr>
              <w:t>Zvýšenie súkromných investícií prostredníctvom budovania VaV centier v Bratislave</w:t>
            </w:r>
          </w:p>
        </w:tc>
        <w:tc>
          <w:tcPr>
            <w:tcW w:w="2484" w:type="dxa"/>
            <w:vAlign w:val="center"/>
          </w:tcPr>
          <w:p w14:paraId="18AF55D1" w14:textId="506DD17A" w:rsidR="00D04D0A" w:rsidRPr="00774D86" w:rsidRDefault="00D04D0A">
            <w:pPr>
              <w:pStyle w:val="Style30"/>
              <w:widowControl/>
              <w:rPr>
                <w:rStyle w:val="FontStyle93"/>
                <w:sz w:val="18"/>
                <w:szCs w:val="18"/>
                <w:lang w:eastAsia="en-US"/>
              </w:rPr>
            </w:pPr>
            <w:r w:rsidRPr="00FC428D">
              <w:rPr>
                <w:rStyle w:val="FontStyle93"/>
                <w:sz w:val="18"/>
                <w:szCs w:val="18"/>
                <w:lang w:eastAsia="en-US"/>
              </w:rPr>
              <w:t>Výška súkromných investícií na výskum a vývoj v Bratislavskom kraji</w:t>
            </w:r>
          </w:p>
        </w:tc>
      </w:tr>
      <w:tr w:rsidR="00D04D0A" w:rsidRPr="00430B9D" w14:paraId="5D5C8D23" w14:textId="77777777" w:rsidTr="00543AEB">
        <w:trPr>
          <w:trHeight w:val="340"/>
          <w:jc w:val="center"/>
        </w:trPr>
        <w:tc>
          <w:tcPr>
            <w:tcW w:w="806" w:type="dxa"/>
            <w:vMerge/>
            <w:vAlign w:val="center"/>
          </w:tcPr>
          <w:p w14:paraId="1842F23A" w14:textId="77777777" w:rsidR="00D04D0A" w:rsidRPr="00BF0551" w:rsidRDefault="00D04D0A" w:rsidP="004179DE">
            <w:pPr>
              <w:pStyle w:val="Style40"/>
              <w:widowControl/>
              <w:rPr>
                <w:rStyle w:val="FontStyle93"/>
                <w:sz w:val="18"/>
                <w:szCs w:val="18"/>
                <w:lang w:eastAsia="fr-FR"/>
              </w:rPr>
            </w:pPr>
          </w:p>
        </w:tc>
        <w:tc>
          <w:tcPr>
            <w:tcW w:w="606" w:type="dxa"/>
            <w:vMerge/>
            <w:vAlign w:val="center"/>
          </w:tcPr>
          <w:p w14:paraId="5B5346E7" w14:textId="77777777" w:rsidR="00D04D0A" w:rsidRPr="00BF0551" w:rsidRDefault="00D04D0A" w:rsidP="004179DE">
            <w:pPr>
              <w:pStyle w:val="Style30"/>
              <w:widowControl/>
              <w:jc w:val="center"/>
              <w:rPr>
                <w:sz w:val="18"/>
                <w:szCs w:val="18"/>
              </w:rPr>
            </w:pPr>
          </w:p>
        </w:tc>
        <w:tc>
          <w:tcPr>
            <w:tcW w:w="1245" w:type="dxa"/>
            <w:vMerge/>
            <w:vAlign w:val="center"/>
          </w:tcPr>
          <w:p w14:paraId="24D3EFB9" w14:textId="77777777" w:rsidR="00D04D0A" w:rsidRPr="00BF0551" w:rsidRDefault="00D04D0A" w:rsidP="004179DE">
            <w:pPr>
              <w:pStyle w:val="Style40"/>
              <w:widowControl/>
              <w:jc w:val="right"/>
              <w:rPr>
                <w:rStyle w:val="FontStyle93"/>
                <w:sz w:val="18"/>
                <w:szCs w:val="18"/>
                <w:lang w:eastAsia="de-DE"/>
              </w:rPr>
            </w:pPr>
          </w:p>
        </w:tc>
        <w:tc>
          <w:tcPr>
            <w:tcW w:w="1417" w:type="dxa"/>
            <w:vMerge/>
            <w:vAlign w:val="center"/>
          </w:tcPr>
          <w:p w14:paraId="71A063F2" w14:textId="77777777" w:rsidR="00D04D0A" w:rsidRPr="00E07B76" w:rsidRDefault="00D04D0A" w:rsidP="004179DE">
            <w:pPr>
              <w:jc w:val="center"/>
              <w:rPr>
                <w:rStyle w:val="FontStyle93"/>
                <w:sz w:val="18"/>
                <w:szCs w:val="18"/>
                <w:lang w:eastAsia="de-DE"/>
              </w:rPr>
            </w:pPr>
          </w:p>
        </w:tc>
        <w:tc>
          <w:tcPr>
            <w:tcW w:w="2410" w:type="dxa"/>
            <w:vMerge/>
            <w:vAlign w:val="center"/>
          </w:tcPr>
          <w:p w14:paraId="31272FA7" w14:textId="77777777" w:rsidR="00D04D0A" w:rsidRPr="00BF0551" w:rsidRDefault="00D04D0A" w:rsidP="004179DE">
            <w:pPr>
              <w:pStyle w:val="Style40"/>
              <w:widowControl/>
              <w:rPr>
                <w:rStyle w:val="FontStyle93"/>
                <w:sz w:val="18"/>
                <w:szCs w:val="18"/>
                <w:lang w:eastAsia="en-US"/>
              </w:rPr>
            </w:pPr>
          </w:p>
        </w:tc>
        <w:tc>
          <w:tcPr>
            <w:tcW w:w="2693" w:type="dxa"/>
            <w:vMerge/>
            <w:vAlign w:val="center"/>
          </w:tcPr>
          <w:p w14:paraId="475BF382" w14:textId="77777777" w:rsidR="00D04D0A" w:rsidRPr="00BF0551" w:rsidRDefault="00D04D0A" w:rsidP="004179DE">
            <w:pPr>
              <w:pStyle w:val="Style42"/>
              <w:widowControl/>
              <w:spacing w:line="240" w:lineRule="auto"/>
              <w:rPr>
                <w:rStyle w:val="FontStyle93"/>
                <w:sz w:val="18"/>
                <w:szCs w:val="18"/>
                <w:lang w:eastAsia="en-US"/>
              </w:rPr>
            </w:pPr>
          </w:p>
        </w:tc>
        <w:tc>
          <w:tcPr>
            <w:tcW w:w="2609" w:type="dxa"/>
            <w:vAlign w:val="center"/>
          </w:tcPr>
          <w:p w14:paraId="2D9993E6" w14:textId="41604CE2" w:rsidR="00D04D0A" w:rsidRPr="00774D86" w:rsidRDefault="00CD255D" w:rsidP="004179DE">
            <w:pPr>
              <w:pStyle w:val="Style30"/>
              <w:widowControl/>
              <w:rPr>
                <w:rStyle w:val="FontStyle93"/>
                <w:sz w:val="18"/>
                <w:szCs w:val="18"/>
                <w:lang w:eastAsia="en-US"/>
              </w:rPr>
            </w:pPr>
            <w:r>
              <w:rPr>
                <w:rStyle w:val="FontStyle93"/>
                <w:sz w:val="18"/>
                <w:szCs w:val="18"/>
                <w:lang w:eastAsia="en-US"/>
              </w:rPr>
              <w:t>10.3</w:t>
            </w:r>
            <w:r w:rsidR="002501BD">
              <w:rPr>
                <w:rStyle w:val="FontStyle93"/>
                <w:sz w:val="18"/>
                <w:szCs w:val="18"/>
                <w:lang w:eastAsia="en-US"/>
              </w:rPr>
              <w:t xml:space="preserve"> </w:t>
            </w:r>
            <w:r w:rsidR="00D04D0A" w:rsidRPr="00FC428D">
              <w:rPr>
                <w:rStyle w:val="FontStyle93"/>
                <w:sz w:val="18"/>
                <w:szCs w:val="18"/>
                <w:lang w:eastAsia="en-US"/>
              </w:rPr>
              <w:t>Rast VVaI kapacít v priemysle a službách v Bratislavskom kraji</w:t>
            </w:r>
          </w:p>
        </w:tc>
        <w:tc>
          <w:tcPr>
            <w:tcW w:w="2484" w:type="dxa"/>
            <w:vAlign w:val="center"/>
          </w:tcPr>
          <w:p w14:paraId="77CBB7F1" w14:textId="3D1F87A1" w:rsidR="00D04D0A" w:rsidRPr="00774D86" w:rsidRDefault="00D04D0A">
            <w:pPr>
              <w:pStyle w:val="Style30"/>
              <w:widowControl/>
              <w:rPr>
                <w:rStyle w:val="FontStyle93"/>
                <w:sz w:val="18"/>
                <w:szCs w:val="18"/>
                <w:lang w:eastAsia="en-US"/>
              </w:rPr>
            </w:pPr>
            <w:r w:rsidRPr="00FC428D">
              <w:rPr>
                <w:rStyle w:val="FontStyle93"/>
                <w:sz w:val="18"/>
                <w:szCs w:val="18"/>
                <w:lang w:eastAsia="en-US"/>
              </w:rPr>
              <w:t>Podiel podnikov s inovačnou činnosťou v Bratislavskom kraji</w:t>
            </w:r>
          </w:p>
        </w:tc>
      </w:tr>
      <w:tr w:rsidR="00D04D0A" w:rsidRPr="00430B9D" w14:paraId="44A1D542" w14:textId="77777777" w:rsidTr="00543AEB">
        <w:trPr>
          <w:trHeight w:val="340"/>
          <w:jc w:val="center"/>
        </w:trPr>
        <w:tc>
          <w:tcPr>
            <w:tcW w:w="806" w:type="dxa"/>
            <w:vMerge w:val="restart"/>
            <w:vAlign w:val="center"/>
          </w:tcPr>
          <w:p w14:paraId="62A6EB15" w14:textId="78159B00" w:rsidR="00D04D0A" w:rsidRPr="00BF0551" w:rsidRDefault="00D04D0A" w:rsidP="00D04D0A">
            <w:pPr>
              <w:pStyle w:val="Style40"/>
              <w:widowControl/>
              <w:rPr>
                <w:rStyle w:val="FontStyle93"/>
                <w:sz w:val="18"/>
                <w:szCs w:val="18"/>
                <w:lang w:eastAsia="fr-FR"/>
              </w:rPr>
            </w:pPr>
            <w:r>
              <w:rPr>
                <w:rStyle w:val="FontStyle93"/>
                <w:sz w:val="18"/>
                <w:szCs w:val="18"/>
                <w:lang w:eastAsia="fr-FR"/>
              </w:rPr>
              <w:t>PO 11</w:t>
            </w:r>
          </w:p>
        </w:tc>
        <w:tc>
          <w:tcPr>
            <w:tcW w:w="606" w:type="dxa"/>
            <w:vMerge w:val="restart"/>
            <w:vAlign w:val="center"/>
          </w:tcPr>
          <w:p w14:paraId="389579BE" w14:textId="6FE85199" w:rsidR="00D04D0A" w:rsidRPr="00BF0551" w:rsidRDefault="00D04D0A" w:rsidP="00D04D0A">
            <w:pPr>
              <w:pStyle w:val="Style30"/>
              <w:widowControl/>
              <w:jc w:val="center"/>
              <w:rPr>
                <w:sz w:val="18"/>
                <w:szCs w:val="18"/>
              </w:rPr>
            </w:pPr>
            <w:r>
              <w:rPr>
                <w:sz w:val="18"/>
                <w:szCs w:val="18"/>
              </w:rPr>
              <w:t>EFRR</w:t>
            </w:r>
          </w:p>
        </w:tc>
        <w:tc>
          <w:tcPr>
            <w:tcW w:w="1245" w:type="dxa"/>
            <w:vMerge w:val="restart"/>
            <w:vAlign w:val="center"/>
          </w:tcPr>
          <w:p w14:paraId="596C4431" w14:textId="7F4FE30D" w:rsidR="00D04D0A" w:rsidRPr="00BF0551" w:rsidRDefault="00FB2E8F" w:rsidP="00FB2E8F">
            <w:pPr>
              <w:pStyle w:val="Style40"/>
              <w:widowControl/>
              <w:jc w:val="right"/>
              <w:rPr>
                <w:rStyle w:val="FontStyle93"/>
                <w:sz w:val="18"/>
                <w:szCs w:val="18"/>
                <w:lang w:eastAsia="de-DE"/>
              </w:rPr>
            </w:pPr>
            <w:r w:rsidRPr="00FB2E8F">
              <w:rPr>
                <w:rStyle w:val="FontStyle93"/>
                <w:sz w:val="18"/>
                <w:szCs w:val="18"/>
                <w:lang w:eastAsia="de-DE"/>
              </w:rPr>
              <w:t>416 415 000</w:t>
            </w:r>
          </w:p>
        </w:tc>
        <w:tc>
          <w:tcPr>
            <w:tcW w:w="1417" w:type="dxa"/>
            <w:vMerge w:val="restart"/>
            <w:vAlign w:val="center"/>
          </w:tcPr>
          <w:p w14:paraId="2980E14C" w14:textId="36C67251" w:rsidR="00D04D0A" w:rsidRPr="00E07B76" w:rsidRDefault="00FB2E8F" w:rsidP="00FB2E8F">
            <w:pPr>
              <w:jc w:val="center"/>
              <w:rPr>
                <w:rStyle w:val="FontStyle93"/>
                <w:sz w:val="18"/>
                <w:szCs w:val="18"/>
                <w:lang w:eastAsia="de-DE"/>
              </w:rPr>
            </w:pPr>
            <w:r>
              <w:rPr>
                <w:rStyle w:val="FontStyle93"/>
                <w:sz w:val="18"/>
                <w:szCs w:val="18"/>
                <w:lang w:eastAsia="de-DE"/>
              </w:rPr>
              <w:t>6,77</w:t>
            </w:r>
            <w:r w:rsidR="004309FF">
              <w:rPr>
                <w:rStyle w:val="FontStyle93"/>
                <w:sz w:val="18"/>
                <w:szCs w:val="18"/>
                <w:lang w:eastAsia="de-DE"/>
              </w:rPr>
              <w:t xml:space="preserve"> %</w:t>
            </w:r>
          </w:p>
        </w:tc>
        <w:tc>
          <w:tcPr>
            <w:tcW w:w="2410" w:type="dxa"/>
            <w:vMerge w:val="restart"/>
            <w:vAlign w:val="center"/>
          </w:tcPr>
          <w:p w14:paraId="1A503D27" w14:textId="77777777" w:rsidR="00D04D0A" w:rsidRPr="00B4437B" w:rsidRDefault="00D04D0A" w:rsidP="00D04D0A">
            <w:pPr>
              <w:pStyle w:val="Style40"/>
              <w:rPr>
                <w:rStyle w:val="FontStyle93"/>
                <w:sz w:val="18"/>
                <w:szCs w:val="18"/>
                <w:lang w:eastAsia="en-US"/>
              </w:rPr>
            </w:pPr>
            <w:r>
              <w:rPr>
                <w:rStyle w:val="FontStyle93"/>
                <w:sz w:val="18"/>
                <w:szCs w:val="18"/>
                <w:lang w:eastAsia="en-US"/>
              </w:rPr>
              <w:t xml:space="preserve">TC 3 - </w:t>
            </w:r>
            <w:r w:rsidRPr="00B4437B">
              <w:rPr>
                <w:rStyle w:val="FontStyle93"/>
                <w:sz w:val="18"/>
                <w:szCs w:val="18"/>
                <w:lang w:eastAsia="en-US"/>
              </w:rPr>
              <w:t>Zvýšenie</w:t>
            </w:r>
          </w:p>
          <w:p w14:paraId="504FDDC0" w14:textId="1346B7DE" w:rsidR="00D04D0A" w:rsidRPr="00BF0551" w:rsidRDefault="00D04D0A" w:rsidP="00D04D0A">
            <w:pPr>
              <w:pStyle w:val="Style40"/>
              <w:widowControl/>
              <w:rPr>
                <w:rStyle w:val="FontStyle93"/>
                <w:sz w:val="18"/>
                <w:szCs w:val="18"/>
                <w:lang w:eastAsia="en-US"/>
              </w:rPr>
            </w:pPr>
            <w:r w:rsidRPr="00B4437B">
              <w:rPr>
                <w:rStyle w:val="FontStyle93"/>
                <w:sz w:val="18"/>
                <w:szCs w:val="18"/>
                <w:lang w:eastAsia="en-US"/>
              </w:rPr>
              <w:t>konkurencieschopnosti MSP</w:t>
            </w:r>
          </w:p>
        </w:tc>
        <w:tc>
          <w:tcPr>
            <w:tcW w:w="2693" w:type="dxa"/>
            <w:vAlign w:val="center"/>
          </w:tcPr>
          <w:p w14:paraId="22FAF0FC" w14:textId="2D738657" w:rsidR="00D04D0A" w:rsidRPr="00BF0551" w:rsidRDefault="002501BD">
            <w:pPr>
              <w:pStyle w:val="Style42"/>
              <w:widowControl/>
              <w:spacing w:line="240" w:lineRule="auto"/>
              <w:rPr>
                <w:rStyle w:val="FontStyle93"/>
                <w:sz w:val="18"/>
                <w:szCs w:val="18"/>
                <w:lang w:eastAsia="en-US"/>
              </w:rPr>
            </w:pPr>
            <w:r>
              <w:rPr>
                <w:rStyle w:val="FontStyle93"/>
                <w:sz w:val="18"/>
                <w:szCs w:val="18"/>
                <w:lang w:eastAsia="en-US"/>
              </w:rPr>
              <w:t>3</w:t>
            </w:r>
            <w:r w:rsidR="00E91449">
              <w:rPr>
                <w:rStyle w:val="FontStyle93"/>
                <w:sz w:val="18"/>
                <w:szCs w:val="18"/>
                <w:lang w:eastAsia="en-US"/>
              </w:rPr>
              <w:t xml:space="preserve">a) </w:t>
            </w:r>
            <w:r w:rsidR="00D04D0A" w:rsidRPr="00B4437B">
              <w:rPr>
                <w:rStyle w:val="FontStyle93"/>
                <w:sz w:val="18"/>
                <w:szCs w:val="18"/>
                <w:lang w:eastAsia="en-US"/>
              </w:rPr>
              <w:t xml:space="preserve">Podpora podnikania, </w:t>
            </w:r>
            <w:r w:rsidR="006B00CB">
              <w:rPr>
                <w:rStyle w:val="FontStyle93"/>
                <w:sz w:val="18"/>
                <w:szCs w:val="18"/>
                <w:lang w:eastAsia="en-US"/>
              </w:rPr>
              <w:t>najmä prostredníctvom uľahčenia</w:t>
            </w:r>
            <w:r w:rsidR="00D04D0A" w:rsidRPr="00B4437B">
              <w:rPr>
                <w:rStyle w:val="FontStyle93"/>
                <w:sz w:val="18"/>
                <w:szCs w:val="18"/>
                <w:lang w:eastAsia="en-US"/>
              </w:rPr>
              <w:t xml:space="preserve"> využívania nových nápadov v hospodárstve a podpory zakladania nových firiem, a to aj prostredníctvom podnikateľských inkubátorov</w:t>
            </w:r>
          </w:p>
        </w:tc>
        <w:tc>
          <w:tcPr>
            <w:tcW w:w="2609" w:type="dxa"/>
            <w:vAlign w:val="center"/>
          </w:tcPr>
          <w:p w14:paraId="0FFBAC0C" w14:textId="6A7027E5" w:rsidR="00D04D0A" w:rsidRPr="00FC428D" w:rsidRDefault="002501BD" w:rsidP="00D04D0A">
            <w:pPr>
              <w:pStyle w:val="Style30"/>
              <w:widowControl/>
              <w:rPr>
                <w:rStyle w:val="FontStyle93"/>
                <w:sz w:val="18"/>
                <w:szCs w:val="18"/>
                <w:lang w:eastAsia="en-US"/>
              </w:rPr>
            </w:pPr>
            <w:r>
              <w:rPr>
                <w:rStyle w:val="FontStyle93"/>
                <w:sz w:val="18"/>
                <w:szCs w:val="18"/>
                <w:lang w:eastAsia="en-US"/>
              </w:rPr>
              <w:t xml:space="preserve">11.1 </w:t>
            </w:r>
            <w:r w:rsidR="00D04D0A" w:rsidRPr="00B4437B">
              <w:rPr>
                <w:rStyle w:val="FontStyle93"/>
                <w:sz w:val="18"/>
                <w:szCs w:val="18"/>
                <w:lang w:eastAsia="en-US"/>
              </w:rPr>
              <w:t>Nárast vzniku nových, konkurencieschopných MSP</w:t>
            </w:r>
          </w:p>
        </w:tc>
        <w:tc>
          <w:tcPr>
            <w:tcW w:w="2484" w:type="dxa"/>
            <w:vAlign w:val="center"/>
          </w:tcPr>
          <w:p w14:paraId="4503FA30" w14:textId="2180238B" w:rsidR="00D04D0A" w:rsidRPr="00FC428D" w:rsidRDefault="00D04D0A" w:rsidP="00D04D0A">
            <w:pPr>
              <w:pStyle w:val="Style30"/>
              <w:widowControl/>
              <w:rPr>
                <w:rStyle w:val="FontStyle93"/>
                <w:sz w:val="18"/>
                <w:szCs w:val="18"/>
                <w:lang w:eastAsia="en-US"/>
              </w:rPr>
            </w:pPr>
            <w:r w:rsidRPr="00B4437B">
              <w:rPr>
                <w:rStyle w:val="FontStyle93"/>
                <w:sz w:val="18"/>
                <w:szCs w:val="18"/>
                <w:lang w:eastAsia="en-US"/>
              </w:rPr>
              <w:t>Miera prežitia nových podnikov na trhu po troch rokoch</w:t>
            </w:r>
          </w:p>
        </w:tc>
      </w:tr>
      <w:tr w:rsidR="00D04D0A" w:rsidRPr="00430B9D" w14:paraId="43CA1E86" w14:textId="77777777" w:rsidTr="00543AEB">
        <w:trPr>
          <w:trHeight w:val="340"/>
          <w:jc w:val="center"/>
        </w:trPr>
        <w:tc>
          <w:tcPr>
            <w:tcW w:w="806" w:type="dxa"/>
            <w:vMerge/>
            <w:vAlign w:val="center"/>
          </w:tcPr>
          <w:p w14:paraId="4ACA2E55" w14:textId="77777777" w:rsidR="00D04D0A" w:rsidRPr="00BF0551" w:rsidRDefault="00D04D0A" w:rsidP="00D04D0A">
            <w:pPr>
              <w:pStyle w:val="Style40"/>
              <w:widowControl/>
              <w:rPr>
                <w:rStyle w:val="FontStyle93"/>
                <w:sz w:val="18"/>
                <w:szCs w:val="18"/>
                <w:lang w:eastAsia="fr-FR"/>
              </w:rPr>
            </w:pPr>
          </w:p>
        </w:tc>
        <w:tc>
          <w:tcPr>
            <w:tcW w:w="606" w:type="dxa"/>
            <w:vMerge/>
            <w:vAlign w:val="center"/>
          </w:tcPr>
          <w:p w14:paraId="49604F7D" w14:textId="77777777" w:rsidR="00D04D0A" w:rsidRPr="00BF0551" w:rsidRDefault="00D04D0A" w:rsidP="00D04D0A">
            <w:pPr>
              <w:pStyle w:val="Style30"/>
              <w:widowControl/>
              <w:jc w:val="center"/>
              <w:rPr>
                <w:sz w:val="18"/>
                <w:szCs w:val="18"/>
              </w:rPr>
            </w:pPr>
          </w:p>
        </w:tc>
        <w:tc>
          <w:tcPr>
            <w:tcW w:w="1245" w:type="dxa"/>
            <w:vMerge/>
            <w:vAlign w:val="center"/>
          </w:tcPr>
          <w:p w14:paraId="0ED65BBC" w14:textId="77777777" w:rsidR="00D04D0A" w:rsidRPr="00BF0551" w:rsidRDefault="00D04D0A" w:rsidP="00D04D0A">
            <w:pPr>
              <w:pStyle w:val="Style40"/>
              <w:widowControl/>
              <w:jc w:val="right"/>
              <w:rPr>
                <w:rStyle w:val="FontStyle93"/>
                <w:sz w:val="18"/>
                <w:szCs w:val="18"/>
                <w:lang w:eastAsia="de-DE"/>
              </w:rPr>
            </w:pPr>
          </w:p>
        </w:tc>
        <w:tc>
          <w:tcPr>
            <w:tcW w:w="1417" w:type="dxa"/>
            <w:vMerge/>
            <w:vAlign w:val="center"/>
          </w:tcPr>
          <w:p w14:paraId="5089EF4C" w14:textId="77777777" w:rsidR="00D04D0A" w:rsidRPr="00E07B76" w:rsidRDefault="00D04D0A" w:rsidP="00D04D0A">
            <w:pPr>
              <w:jc w:val="center"/>
              <w:rPr>
                <w:rStyle w:val="FontStyle93"/>
                <w:sz w:val="18"/>
                <w:szCs w:val="18"/>
                <w:lang w:eastAsia="de-DE"/>
              </w:rPr>
            </w:pPr>
          </w:p>
        </w:tc>
        <w:tc>
          <w:tcPr>
            <w:tcW w:w="2410" w:type="dxa"/>
            <w:vMerge/>
            <w:vAlign w:val="center"/>
          </w:tcPr>
          <w:p w14:paraId="56AE12B2" w14:textId="77777777" w:rsidR="00D04D0A" w:rsidRPr="00BF0551" w:rsidRDefault="00D04D0A" w:rsidP="00D04D0A">
            <w:pPr>
              <w:pStyle w:val="Style40"/>
              <w:widowControl/>
              <w:rPr>
                <w:rStyle w:val="FontStyle93"/>
                <w:sz w:val="18"/>
                <w:szCs w:val="18"/>
                <w:lang w:eastAsia="en-US"/>
              </w:rPr>
            </w:pPr>
          </w:p>
        </w:tc>
        <w:tc>
          <w:tcPr>
            <w:tcW w:w="2693" w:type="dxa"/>
            <w:vAlign w:val="center"/>
          </w:tcPr>
          <w:p w14:paraId="6F101991" w14:textId="759D9339" w:rsidR="00D04D0A" w:rsidRPr="00BF0551" w:rsidRDefault="002501BD" w:rsidP="00D04D0A">
            <w:pPr>
              <w:pStyle w:val="Style42"/>
              <w:widowControl/>
              <w:spacing w:line="240" w:lineRule="auto"/>
              <w:rPr>
                <w:rStyle w:val="FontStyle93"/>
                <w:sz w:val="18"/>
                <w:szCs w:val="18"/>
                <w:lang w:eastAsia="en-US"/>
              </w:rPr>
            </w:pPr>
            <w:r>
              <w:rPr>
                <w:rStyle w:val="FontStyle93"/>
                <w:sz w:val="18"/>
                <w:szCs w:val="18"/>
                <w:lang w:eastAsia="en-US"/>
              </w:rPr>
              <w:t>3</w:t>
            </w:r>
            <w:r w:rsidR="00E91449">
              <w:rPr>
                <w:rStyle w:val="FontStyle93"/>
                <w:sz w:val="18"/>
                <w:szCs w:val="18"/>
                <w:lang w:eastAsia="en-US"/>
              </w:rPr>
              <w:t xml:space="preserve">b) </w:t>
            </w:r>
            <w:r w:rsidR="00D04D0A" w:rsidRPr="00B4437B">
              <w:rPr>
                <w:rStyle w:val="FontStyle93"/>
                <w:sz w:val="18"/>
                <w:szCs w:val="18"/>
                <w:lang w:eastAsia="en-US"/>
              </w:rPr>
              <w:t>Vývoj a uplatňovanie nových obchodných modelov MSP, najmä v rámci internacionalizácie</w:t>
            </w:r>
          </w:p>
        </w:tc>
        <w:tc>
          <w:tcPr>
            <w:tcW w:w="2609" w:type="dxa"/>
            <w:vAlign w:val="center"/>
          </w:tcPr>
          <w:p w14:paraId="57B1C6E3" w14:textId="45FAB2E6" w:rsidR="00D04D0A" w:rsidRPr="00FC428D" w:rsidRDefault="002501BD" w:rsidP="00D04D0A">
            <w:pPr>
              <w:pStyle w:val="Style30"/>
              <w:widowControl/>
              <w:rPr>
                <w:rStyle w:val="FontStyle93"/>
                <w:sz w:val="18"/>
                <w:szCs w:val="18"/>
                <w:lang w:eastAsia="en-US"/>
              </w:rPr>
            </w:pPr>
            <w:r>
              <w:rPr>
                <w:rStyle w:val="FontStyle93"/>
                <w:sz w:val="18"/>
                <w:szCs w:val="18"/>
                <w:lang w:eastAsia="en-US"/>
              </w:rPr>
              <w:t xml:space="preserve">11.2 </w:t>
            </w:r>
            <w:r w:rsidR="00D04D0A" w:rsidRPr="00B4437B">
              <w:rPr>
                <w:rStyle w:val="FontStyle93"/>
                <w:sz w:val="18"/>
                <w:szCs w:val="18"/>
                <w:lang w:eastAsia="en-US"/>
              </w:rPr>
              <w:t>Nárast internacionalizácie MSP a využívania možností jednotného trhu EÚ</w:t>
            </w:r>
          </w:p>
        </w:tc>
        <w:tc>
          <w:tcPr>
            <w:tcW w:w="2484" w:type="dxa"/>
            <w:vAlign w:val="center"/>
          </w:tcPr>
          <w:p w14:paraId="5A27CC01" w14:textId="02B60301" w:rsidR="00D04D0A" w:rsidRPr="00FC428D" w:rsidRDefault="00D04D0A" w:rsidP="00D04D0A">
            <w:pPr>
              <w:pStyle w:val="Style30"/>
              <w:widowControl/>
              <w:rPr>
                <w:rStyle w:val="FontStyle93"/>
                <w:sz w:val="18"/>
                <w:szCs w:val="18"/>
                <w:lang w:eastAsia="en-US"/>
              </w:rPr>
            </w:pPr>
            <w:r w:rsidRPr="00B4437B">
              <w:rPr>
                <w:rStyle w:val="FontStyle93"/>
                <w:sz w:val="18"/>
                <w:szCs w:val="18"/>
                <w:lang w:eastAsia="en-US"/>
              </w:rPr>
              <w:t>Podiel MSP na exporte</w:t>
            </w:r>
          </w:p>
        </w:tc>
      </w:tr>
      <w:tr w:rsidR="00D04D0A" w:rsidRPr="00430B9D" w14:paraId="6282BDC6" w14:textId="77777777" w:rsidTr="00543AEB">
        <w:trPr>
          <w:trHeight w:val="340"/>
          <w:jc w:val="center"/>
        </w:trPr>
        <w:tc>
          <w:tcPr>
            <w:tcW w:w="806" w:type="dxa"/>
            <w:vMerge/>
            <w:vAlign w:val="center"/>
          </w:tcPr>
          <w:p w14:paraId="11316332" w14:textId="77777777" w:rsidR="00D04D0A" w:rsidRPr="00BF0551" w:rsidRDefault="00D04D0A" w:rsidP="00D04D0A">
            <w:pPr>
              <w:pStyle w:val="Style40"/>
              <w:widowControl/>
              <w:rPr>
                <w:rStyle w:val="FontStyle93"/>
                <w:sz w:val="18"/>
                <w:szCs w:val="18"/>
                <w:lang w:eastAsia="fr-FR"/>
              </w:rPr>
            </w:pPr>
          </w:p>
        </w:tc>
        <w:tc>
          <w:tcPr>
            <w:tcW w:w="606" w:type="dxa"/>
            <w:vMerge/>
            <w:vAlign w:val="center"/>
          </w:tcPr>
          <w:p w14:paraId="2EB727E4" w14:textId="77777777" w:rsidR="00D04D0A" w:rsidRPr="00BF0551" w:rsidRDefault="00D04D0A" w:rsidP="00D04D0A">
            <w:pPr>
              <w:pStyle w:val="Style30"/>
              <w:widowControl/>
              <w:jc w:val="center"/>
              <w:rPr>
                <w:sz w:val="18"/>
                <w:szCs w:val="18"/>
              </w:rPr>
            </w:pPr>
          </w:p>
        </w:tc>
        <w:tc>
          <w:tcPr>
            <w:tcW w:w="1245" w:type="dxa"/>
            <w:vMerge/>
            <w:vAlign w:val="center"/>
          </w:tcPr>
          <w:p w14:paraId="43822E8B" w14:textId="77777777" w:rsidR="00D04D0A" w:rsidRPr="00BF0551" w:rsidRDefault="00D04D0A" w:rsidP="00D04D0A">
            <w:pPr>
              <w:pStyle w:val="Style40"/>
              <w:widowControl/>
              <w:jc w:val="right"/>
              <w:rPr>
                <w:rStyle w:val="FontStyle93"/>
                <w:sz w:val="18"/>
                <w:szCs w:val="18"/>
                <w:lang w:eastAsia="de-DE"/>
              </w:rPr>
            </w:pPr>
          </w:p>
        </w:tc>
        <w:tc>
          <w:tcPr>
            <w:tcW w:w="1417" w:type="dxa"/>
            <w:vMerge/>
            <w:vAlign w:val="center"/>
          </w:tcPr>
          <w:p w14:paraId="744066BB" w14:textId="77777777" w:rsidR="00D04D0A" w:rsidRPr="00E07B76" w:rsidRDefault="00D04D0A" w:rsidP="00D04D0A">
            <w:pPr>
              <w:jc w:val="center"/>
              <w:rPr>
                <w:rStyle w:val="FontStyle93"/>
                <w:sz w:val="18"/>
                <w:szCs w:val="18"/>
                <w:lang w:eastAsia="de-DE"/>
              </w:rPr>
            </w:pPr>
          </w:p>
        </w:tc>
        <w:tc>
          <w:tcPr>
            <w:tcW w:w="2410" w:type="dxa"/>
            <w:vMerge/>
            <w:vAlign w:val="center"/>
          </w:tcPr>
          <w:p w14:paraId="65B204C6" w14:textId="77777777" w:rsidR="00D04D0A" w:rsidRPr="00BF0551" w:rsidRDefault="00D04D0A" w:rsidP="00D04D0A">
            <w:pPr>
              <w:pStyle w:val="Style40"/>
              <w:widowControl/>
              <w:rPr>
                <w:rStyle w:val="FontStyle93"/>
                <w:sz w:val="18"/>
                <w:szCs w:val="18"/>
                <w:lang w:eastAsia="en-US"/>
              </w:rPr>
            </w:pPr>
          </w:p>
        </w:tc>
        <w:tc>
          <w:tcPr>
            <w:tcW w:w="2693" w:type="dxa"/>
            <w:vAlign w:val="center"/>
          </w:tcPr>
          <w:p w14:paraId="796E0F0C" w14:textId="68C3D897" w:rsidR="00D04D0A" w:rsidRPr="00BF0551" w:rsidRDefault="002501BD" w:rsidP="00D04D0A">
            <w:pPr>
              <w:pStyle w:val="Style42"/>
              <w:widowControl/>
              <w:spacing w:line="240" w:lineRule="auto"/>
              <w:rPr>
                <w:rStyle w:val="FontStyle93"/>
                <w:sz w:val="18"/>
                <w:szCs w:val="18"/>
                <w:lang w:eastAsia="en-US"/>
              </w:rPr>
            </w:pPr>
            <w:r>
              <w:rPr>
                <w:rStyle w:val="FontStyle93"/>
                <w:sz w:val="18"/>
                <w:szCs w:val="18"/>
                <w:lang w:eastAsia="en-US"/>
              </w:rPr>
              <w:t>3</w:t>
            </w:r>
            <w:r w:rsidR="00E91449">
              <w:rPr>
                <w:rStyle w:val="FontStyle93"/>
                <w:sz w:val="18"/>
                <w:szCs w:val="18"/>
                <w:lang w:eastAsia="en-US"/>
              </w:rPr>
              <w:t xml:space="preserve">c) </w:t>
            </w:r>
            <w:r w:rsidR="00D04D0A" w:rsidRPr="00B4437B">
              <w:rPr>
                <w:rStyle w:val="FontStyle93"/>
                <w:sz w:val="18"/>
                <w:szCs w:val="18"/>
                <w:lang w:eastAsia="en-US"/>
              </w:rPr>
              <w:t>Podpora vytvárania a rozširovania vyspelých kapacít pre vývoj produktov a služieb</w:t>
            </w:r>
          </w:p>
        </w:tc>
        <w:tc>
          <w:tcPr>
            <w:tcW w:w="2609" w:type="dxa"/>
            <w:vAlign w:val="center"/>
          </w:tcPr>
          <w:p w14:paraId="0E442783" w14:textId="7C3C2A3E" w:rsidR="00D04D0A" w:rsidRPr="00FC428D" w:rsidRDefault="002501BD" w:rsidP="00D04D0A">
            <w:pPr>
              <w:pStyle w:val="Style30"/>
              <w:widowControl/>
              <w:rPr>
                <w:rStyle w:val="FontStyle93"/>
                <w:sz w:val="18"/>
                <w:szCs w:val="18"/>
                <w:lang w:eastAsia="en-US"/>
              </w:rPr>
            </w:pPr>
            <w:r>
              <w:rPr>
                <w:rStyle w:val="FontStyle93"/>
                <w:sz w:val="18"/>
                <w:szCs w:val="18"/>
                <w:lang w:eastAsia="en-US"/>
              </w:rPr>
              <w:t xml:space="preserve">11.3 </w:t>
            </w:r>
            <w:r w:rsidR="00D04D0A" w:rsidRPr="00B4437B">
              <w:rPr>
                <w:rStyle w:val="FontStyle93"/>
                <w:sz w:val="18"/>
                <w:szCs w:val="18"/>
                <w:lang w:eastAsia="en-US"/>
              </w:rPr>
              <w:t>Zvýšenie konkurencieschopnosti MSP vo fáze rozvoja</w:t>
            </w:r>
          </w:p>
        </w:tc>
        <w:tc>
          <w:tcPr>
            <w:tcW w:w="2484" w:type="dxa"/>
            <w:vAlign w:val="center"/>
          </w:tcPr>
          <w:p w14:paraId="67AC92A5" w14:textId="14A8F0B1" w:rsidR="00D04D0A" w:rsidRPr="00FC428D" w:rsidRDefault="00D04D0A" w:rsidP="00D04D0A">
            <w:pPr>
              <w:pStyle w:val="Style30"/>
              <w:widowControl/>
              <w:rPr>
                <w:rStyle w:val="FontStyle93"/>
                <w:sz w:val="18"/>
                <w:szCs w:val="18"/>
                <w:lang w:eastAsia="en-US"/>
              </w:rPr>
            </w:pPr>
            <w:r w:rsidRPr="00B4437B">
              <w:rPr>
                <w:rStyle w:val="FontStyle93"/>
                <w:sz w:val="18"/>
                <w:szCs w:val="18"/>
                <w:lang w:eastAsia="en-US"/>
              </w:rPr>
              <w:t>Nárast pridanej hodnoty MSP</w:t>
            </w:r>
          </w:p>
        </w:tc>
      </w:tr>
      <w:tr w:rsidR="00D04D0A" w:rsidRPr="00430B9D" w14:paraId="665D89BE" w14:textId="77777777" w:rsidTr="00543AEB">
        <w:trPr>
          <w:trHeight w:val="340"/>
          <w:jc w:val="center"/>
        </w:trPr>
        <w:tc>
          <w:tcPr>
            <w:tcW w:w="806" w:type="dxa"/>
            <w:vAlign w:val="center"/>
          </w:tcPr>
          <w:p w14:paraId="13290C4A" w14:textId="30266D13" w:rsidR="00D04D0A" w:rsidRPr="00BF0551" w:rsidRDefault="00D04D0A" w:rsidP="00D04D0A">
            <w:pPr>
              <w:pStyle w:val="Style40"/>
              <w:widowControl/>
              <w:rPr>
                <w:rStyle w:val="FontStyle93"/>
                <w:sz w:val="18"/>
                <w:szCs w:val="18"/>
                <w:lang w:eastAsia="fr-FR"/>
              </w:rPr>
            </w:pPr>
            <w:r>
              <w:rPr>
                <w:rStyle w:val="FontStyle93"/>
                <w:sz w:val="18"/>
                <w:szCs w:val="18"/>
                <w:lang w:eastAsia="fr-FR"/>
              </w:rPr>
              <w:t>PO 12</w:t>
            </w:r>
          </w:p>
        </w:tc>
        <w:tc>
          <w:tcPr>
            <w:tcW w:w="606" w:type="dxa"/>
            <w:vAlign w:val="center"/>
          </w:tcPr>
          <w:p w14:paraId="28C93F16" w14:textId="4D334346" w:rsidR="00D04D0A" w:rsidRPr="00BF0551" w:rsidRDefault="00D04D0A" w:rsidP="00D04D0A">
            <w:pPr>
              <w:pStyle w:val="Style30"/>
              <w:widowControl/>
              <w:jc w:val="center"/>
              <w:rPr>
                <w:sz w:val="18"/>
                <w:szCs w:val="18"/>
              </w:rPr>
            </w:pPr>
            <w:r>
              <w:rPr>
                <w:sz w:val="18"/>
                <w:szCs w:val="18"/>
              </w:rPr>
              <w:t>EFRR</w:t>
            </w:r>
          </w:p>
        </w:tc>
        <w:tc>
          <w:tcPr>
            <w:tcW w:w="1245" w:type="dxa"/>
            <w:vAlign w:val="center"/>
          </w:tcPr>
          <w:p w14:paraId="4B85FE6A" w14:textId="761C6C5B" w:rsidR="00D04D0A" w:rsidRPr="00BF0551" w:rsidRDefault="00FB2E8F" w:rsidP="00FB2E8F">
            <w:pPr>
              <w:pStyle w:val="Style40"/>
              <w:widowControl/>
              <w:jc w:val="right"/>
              <w:rPr>
                <w:rStyle w:val="FontStyle93"/>
                <w:sz w:val="18"/>
                <w:szCs w:val="18"/>
                <w:lang w:eastAsia="de-DE"/>
              </w:rPr>
            </w:pPr>
            <w:r w:rsidRPr="00FB2E8F">
              <w:rPr>
                <w:rStyle w:val="FontStyle93"/>
                <w:sz w:val="18"/>
                <w:szCs w:val="18"/>
                <w:lang w:eastAsia="de-DE"/>
              </w:rPr>
              <w:t>33 496 401</w:t>
            </w:r>
          </w:p>
        </w:tc>
        <w:tc>
          <w:tcPr>
            <w:tcW w:w="1417" w:type="dxa"/>
            <w:vAlign w:val="center"/>
          </w:tcPr>
          <w:p w14:paraId="6E7E1706" w14:textId="3B75E495" w:rsidR="00D04D0A" w:rsidRPr="00E07B76" w:rsidRDefault="00FB2E8F" w:rsidP="00FB2E8F">
            <w:pPr>
              <w:jc w:val="center"/>
              <w:rPr>
                <w:rStyle w:val="FontStyle93"/>
                <w:sz w:val="18"/>
                <w:szCs w:val="18"/>
                <w:lang w:eastAsia="de-DE"/>
              </w:rPr>
            </w:pPr>
            <w:r>
              <w:rPr>
                <w:rStyle w:val="FontStyle93"/>
                <w:sz w:val="18"/>
                <w:szCs w:val="18"/>
                <w:lang w:eastAsia="de-DE"/>
              </w:rPr>
              <w:t>0,54</w:t>
            </w:r>
            <w:r w:rsidR="004309FF">
              <w:rPr>
                <w:rStyle w:val="FontStyle93"/>
                <w:sz w:val="18"/>
                <w:szCs w:val="18"/>
                <w:lang w:eastAsia="de-DE"/>
              </w:rPr>
              <w:t xml:space="preserve"> %</w:t>
            </w:r>
          </w:p>
        </w:tc>
        <w:tc>
          <w:tcPr>
            <w:tcW w:w="2410" w:type="dxa"/>
            <w:vAlign w:val="center"/>
          </w:tcPr>
          <w:p w14:paraId="5DB38D68" w14:textId="77777777" w:rsidR="00D04D0A" w:rsidRPr="00B4437B" w:rsidRDefault="00D04D0A" w:rsidP="00D04D0A">
            <w:pPr>
              <w:pStyle w:val="Style40"/>
              <w:rPr>
                <w:rStyle w:val="FontStyle93"/>
                <w:sz w:val="18"/>
                <w:szCs w:val="18"/>
                <w:lang w:eastAsia="en-US"/>
              </w:rPr>
            </w:pPr>
            <w:r>
              <w:rPr>
                <w:rStyle w:val="FontStyle93"/>
                <w:sz w:val="18"/>
                <w:szCs w:val="18"/>
                <w:lang w:eastAsia="en-US"/>
              </w:rPr>
              <w:t xml:space="preserve">TC 3 - </w:t>
            </w:r>
            <w:r w:rsidRPr="00B4437B">
              <w:rPr>
                <w:rStyle w:val="FontStyle93"/>
                <w:sz w:val="18"/>
                <w:szCs w:val="18"/>
                <w:lang w:eastAsia="en-US"/>
              </w:rPr>
              <w:t>Zvýšenie</w:t>
            </w:r>
          </w:p>
          <w:p w14:paraId="76463E4F" w14:textId="4C44BF66" w:rsidR="00D04D0A" w:rsidRPr="00BF0551" w:rsidRDefault="00D04D0A" w:rsidP="00D04D0A">
            <w:pPr>
              <w:pStyle w:val="Style40"/>
              <w:widowControl/>
              <w:rPr>
                <w:rStyle w:val="FontStyle93"/>
                <w:sz w:val="18"/>
                <w:szCs w:val="18"/>
                <w:lang w:eastAsia="en-US"/>
              </w:rPr>
            </w:pPr>
            <w:r w:rsidRPr="00B4437B">
              <w:rPr>
                <w:rStyle w:val="FontStyle93"/>
                <w:sz w:val="18"/>
                <w:szCs w:val="18"/>
                <w:lang w:eastAsia="en-US"/>
              </w:rPr>
              <w:t>konkurencieschopnosti MSP</w:t>
            </w:r>
          </w:p>
        </w:tc>
        <w:tc>
          <w:tcPr>
            <w:tcW w:w="2693" w:type="dxa"/>
            <w:vAlign w:val="center"/>
          </w:tcPr>
          <w:p w14:paraId="7FD143B9" w14:textId="2BB8B205" w:rsidR="00D04D0A" w:rsidRPr="00BF0551" w:rsidRDefault="00E91449" w:rsidP="00704FB6">
            <w:pPr>
              <w:pStyle w:val="Style42"/>
              <w:widowControl/>
              <w:spacing w:line="240" w:lineRule="auto"/>
              <w:rPr>
                <w:rStyle w:val="FontStyle93"/>
                <w:sz w:val="18"/>
                <w:szCs w:val="18"/>
                <w:lang w:eastAsia="en-US"/>
              </w:rPr>
            </w:pPr>
            <w:r>
              <w:rPr>
                <w:rStyle w:val="FontStyle93"/>
                <w:sz w:val="18"/>
                <w:szCs w:val="18"/>
                <w:lang w:eastAsia="en-US"/>
              </w:rPr>
              <w:t>3</w:t>
            </w:r>
            <w:r w:rsidR="006430C2">
              <w:rPr>
                <w:rStyle w:val="FontStyle93"/>
                <w:sz w:val="18"/>
                <w:szCs w:val="18"/>
                <w:lang w:eastAsia="en-US"/>
              </w:rPr>
              <w:t>d</w:t>
            </w:r>
            <w:r>
              <w:rPr>
                <w:rStyle w:val="FontStyle93"/>
                <w:sz w:val="18"/>
                <w:szCs w:val="18"/>
                <w:lang w:eastAsia="en-US"/>
              </w:rPr>
              <w:t xml:space="preserve">) </w:t>
            </w:r>
            <w:r w:rsidR="00D04D0A" w:rsidRPr="00B4437B">
              <w:rPr>
                <w:rStyle w:val="FontStyle93"/>
                <w:sz w:val="18"/>
                <w:szCs w:val="18"/>
                <w:lang w:eastAsia="en-US"/>
              </w:rPr>
              <w:t>Podpora kapacity MSP pre rast na regionálnych, celoštátnych a medzinárodných trhoch a zapojenia sa do procesov inovácií</w:t>
            </w:r>
          </w:p>
        </w:tc>
        <w:tc>
          <w:tcPr>
            <w:tcW w:w="2609" w:type="dxa"/>
            <w:vAlign w:val="center"/>
          </w:tcPr>
          <w:p w14:paraId="1A20071F" w14:textId="66FFE519" w:rsidR="00D04D0A" w:rsidRPr="00FC428D" w:rsidRDefault="002501BD" w:rsidP="00D04D0A">
            <w:pPr>
              <w:pStyle w:val="Style30"/>
              <w:widowControl/>
              <w:rPr>
                <w:rStyle w:val="FontStyle93"/>
                <w:sz w:val="18"/>
                <w:szCs w:val="18"/>
                <w:lang w:eastAsia="en-US"/>
              </w:rPr>
            </w:pPr>
            <w:r>
              <w:rPr>
                <w:rStyle w:val="FontStyle93"/>
                <w:sz w:val="18"/>
                <w:szCs w:val="18"/>
                <w:lang w:eastAsia="en-US"/>
              </w:rPr>
              <w:t xml:space="preserve">12.1 </w:t>
            </w:r>
            <w:r w:rsidR="00D04D0A" w:rsidRPr="00B4437B">
              <w:rPr>
                <w:rStyle w:val="FontStyle93"/>
                <w:sz w:val="18"/>
                <w:szCs w:val="18"/>
                <w:lang w:eastAsia="en-US"/>
              </w:rPr>
              <w:t>Nárast podielu ziskových MSP v Bratislavskom kraji</w:t>
            </w:r>
          </w:p>
        </w:tc>
        <w:tc>
          <w:tcPr>
            <w:tcW w:w="2484" w:type="dxa"/>
            <w:vAlign w:val="center"/>
          </w:tcPr>
          <w:p w14:paraId="50ECFC59" w14:textId="77777777" w:rsidR="00D04D0A" w:rsidRPr="00B4437B" w:rsidRDefault="00D04D0A" w:rsidP="00D04D0A">
            <w:pPr>
              <w:pStyle w:val="Style30"/>
              <w:rPr>
                <w:rStyle w:val="FontStyle93"/>
                <w:sz w:val="18"/>
                <w:szCs w:val="18"/>
                <w:lang w:eastAsia="en-US"/>
              </w:rPr>
            </w:pPr>
            <w:r w:rsidRPr="00B4437B">
              <w:rPr>
                <w:rStyle w:val="FontStyle93"/>
                <w:sz w:val="18"/>
                <w:szCs w:val="18"/>
                <w:lang w:eastAsia="en-US"/>
              </w:rPr>
              <w:t>Podiel ziskových MSP v</w:t>
            </w:r>
          </w:p>
          <w:p w14:paraId="59BDEDED" w14:textId="2E99B1AF" w:rsidR="00D04D0A" w:rsidRPr="00FC428D" w:rsidRDefault="00D04D0A" w:rsidP="00D04D0A">
            <w:pPr>
              <w:pStyle w:val="Style30"/>
              <w:widowControl/>
              <w:rPr>
                <w:rStyle w:val="FontStyle93"/>
                <w:sz w:val="18"/>
                <w:szCs w:val="18"/>
                <w:lang w:eastAsia="en-US"/>
              </w:rPr>
            </w:pPr>
            <w:r w:rsidRPr="00B4437B">
              <w:rPr>
                <w:rStyle w:val="FontStyle93"/>
                <w:sz w:val="18"/>
                <w:szCs w:val="18"/>
                <w:lang w:eastAsia="en-US"/>
              </w:rPr>
              <w:t>Bratislavskom kraji</w:t>
            </w:r>
          </w:p>
        </w:tc>
      </w:tr>
      <w:tr w:rsidR="004C7086" w:rsidRPr="00430B9D" w14:paraId="7A08B254" w14:textId="77777777" w:rsidTr="00543AEB">
        <w:trPr>
          <w:trHeight w:val="340"/>
          <w:jc w:val="center"/>
        </w:trPr>
        <w:tc>
          <w:tcPr>
            <w:tcW w:w="806" w:type="dxa"/>
            <w:vAlign w:val="center"/>
          </w:tcPr>
          <w:p w14:paraId="6D3DE619" w14:textId="3AAE35C7" w:rsidR="004C7086" w:rsidRDefault="004C7086" w:rsidP="00D04D0A">
            <w:pPr>
              <w:pStyle w:val="Style40"/>
              <w:widowControl/>
              <w:rPr>
                <w:rStyle w:val="FontStyle93"/>
                <w:sz w:val="18"/>
                <w:szCs w:val="18"/>
                <w:lang w:eastAsia="fr-FR"/>
              </w:rPr>
            </w:pPr>
            <w:r>
              <w:rPr>
                <w:rStyle w:val="FontStyle93"/>
                <w:sz w:val="18"/>
                <w:szCs w:val="18"/>
                <w:lang w:eastAsia="fr-FR"/>
              </w:rPr>
              <w:t>PO 13</w:t>
            </w:r>
          </w:p>
        </w:tc>
        <w:tc>
          <w:tcPr>
            <w:tcW w:w="606" w:type="dxa"/>
            <w:vAlign w:val="center"/>
          </w:tcPr>
          <w:p w14:paraId="7AB1433E" w14:textId="4851F779" w:rsidR="004C7086" w:rsidRDefault="004C7086" w:rsidP="00D04D0A">
            <w:pPr>
              <w:pStyle w:val="Style30"/>
              <w:widowControl/>
              <w:jc w:val="center"/>
              <w:rPr>
                <w:sz w:val="18"/>
                <w:szCs w:val="18"/>
              </w:rPr>
            </w:pPr>
            <w:r>
              <w:rPr>
                <w:sz w:val="18"/>
                <w:szCs w:val="18"/>
              </w:rPr>
              <w:t>EFRR</w:t>
            </w:r>
          </w:p>
        </w:tc>
        <w:tc>
          <w:tcPr>
            <w:tcW w:w="1245" w:type="dxa"/>
            <w:vAlign w:val="center"/>
          </w:tcPr>
          <w:p w14:paraId="7D6D8C98" w14:textId="6282A4BB" w:rsidR="004C7086" w:rsidRPr="00B4437B" w:rsidRDefault="004C7086" w:rsidP="00D04D0A">
            <w:pPr>
              <w:pStyle w:val="Style40"/>
              <w:widowControl/>
              <w:jc w:val="right"/>
              <w:rPr>
                <w:rStyle w:val="FontStyle93"/>
                <w:sz w:val="18"/>
                <w:szCs w:val="18"/>
                <w:lang w:eastAsia="de-DE"/>
              </w:rPr>
            </w:pPr>
            <w:r>
              <w:rPr>
                <w:rStyle w:val="FontStyle93"/>
                <w:sz w:val="18"/>
                <w:szCs w:val="18"/>
                <w:lang w:eastAsia="de-DE"/>
              </w:rPr>
              <w:t>70 000 000</w:t>
            </w:r>
          </w:p>
        </w:tc>
        <w:tc>
          <w:tcPr>
            <w:tcW w:w="1417" w:type="dxa"/>
            <w:vAlign w:val="center"/>
          </w:tcPr>
          <w:p w14:paraId="6EB792C9" w14:textId="34CEF5FB" w:rsidR="004C7086" w:rsidRPr="00E07B76" w:rsidRDefault="00FB2E8F" w:rsidP="00FB2E8F">
            <w:pPr>
              <w:jc w:val="center"/>
              <w:rPr>
                <w:rStyle w:val="FontStyle93"/>
                <w:sz w:val="18"/>
                <w:szCs w:val="18"/>
                <w:lang w:eastAsia="de-DE"/>
              </w:rPr>
            </w:pPr>
            <w:r>
              <w:rPr>
                <w:rStyle w:val="FontStyle93"/>
                <w:sz w:val="18"/>
                <w:szCs w:val="18"/>
                <w:lang w:eastAsia="de-DE"/>
              </w:rPr>
              <w:t>1,14</w:t>
            </w:r>
            <w:r w:rsidR="004309FF">
              <w:rPr>
                <w:rStyle w:val="FontStyle93"/>
                <w:sz w:val="18"/>
                <w:szCs w:val="18"/>
                <w:lang w:eastAsia="de-DE"/>
              </w:rPr>
              <w:t xml:space="preserve"> %</w:t>
            </w:r>
          </w:p>
        </w:tc>
        <w:tc>
          <w:tcPr>
            <w:tcW w:w="2410" w:type="dxa"/>
            <w:vAlign w:val="center"/>
          </w:tcPr>
          <w:p w14:paraId="138714B2" w14:textId="48F67EDD" w:rsidR="004C7086" w:rsidRDefault="004C7086" w:rsidP="00D04D0A">
            <w:pPr>
              <w:pStyle w:val="Style40"/>
              <w:rPr>
                <w:rStyle w:val="FontStyle93"/>
                <w:sz w:val="18"/>
                <w:szCs w:val="18"/>
                <w:lang w:eastAsia="en-US"/>
              </w:rPr>
            </w:pPr>
            <w:r>
              <w:rPr>
                <w:rStyle w:val="FontStyle93"/>
                <w:sz w:val="18"/>
                <w:szCs w:val="18"/>
                <w:lang w:eastAsia="en-US"/>
              </w:rPr>
              <w:t>N/A</w:t>
            </w:r>
          </w:p>
        </w:tc>
        <w:tc>
          <w:tcPr>
            <w:tcW w:w="2693" w:type="dxa"/>
            <w:vAlign w:val="center"/>
          </w:tcPr>
          <w:p w14:paraId="4031A4E4" w14:textId="336DB176" w:rsidR="004C7086" w:rsidRPr="00B4437B" w:rsidRDefault="004C7086">
            <w:pPr>
              <w:pStyle w:val="Style42"/>
              <w:widowControl/>
              <w:spacing w:line="240" w:lineRule="auto"/>
              <w:rPr>
                <w:rStyle w:val="FontStyle93"/>
                <w:sz w:val="18"/>
                <w:szCs w:val="18"/>
                <w:lang w:eastAsia="en-US"/>
              </w:rPr>
            </w:pPr>
            <w:r>
              <w:rPr>
                <w:rStyle w:val="FontStyle93"/>
                <w:sz w:val="18"/>
                <w:szCs w:val="18"/>
                <w:lang w:eastAsia="en-US"/>
              </w:rPr>
              <w:t>N/A</w:t>
            </w:r>
          </w:p>
        </w:tc>
        <w:tc>
          <w:tcPr>
            <w:tcW w:w="2609" w:type="dxa"/>
            <w:vAlign w:val="center"/>
          </w:tcPr>
          <w:p w14:paraId="4B8F8975" w14:textId="123DD928" w:rsidR="004C7086" w:rsidRPr="00B4437B" w:rsidRDefault="004C7086" w:rsidP="00D04D0A">
            <w:pPr>
              <w:pStyle w:val="Style30"/>
              <w:widowControl/>
              <w:rPr>
                <w:rStyle w:val="FontStyle93"/>
                <w:sz w:val="18"/>
                <w:szCs w:val="18"/>
                <w:lang w:eastAsia="en-US"/>
              </w:rPr>
            </w:pPr>
            <w:r>
              <w:rPr>
                <w:rStyle w:val="FontStyle93"/>
                <w:sz w:val="18"/>
                <w:szCs w:val="18"/>
                <w:lang w:eastAsia="en-US"/>
              </w:rPr>
              <w:t>N/A</w:t>
            </w:r>
          </w:p>
        </w:tc>
        <w:tc>
          <w:tcPr>
            <w:tcW w:w="2484" w:type="dxa"/>
            <w:vAlign w:val="center"/>
          </w:tcPr>
          <w:p w14:paraId="5C99240B" w14:textId="69C08C79" w:rsidR="004C7086" w:rsidRPr="00B4437B" w:rsidRDefault="004C7086" w:rsidP="00D04D0A">
            <w:pPr>
              <w:pStyle w:val="Style30"/>
              <w:rPr>
                <w:rStyle w:val="FontStyle93"/>
                <w:sz w:val="18"/>
                <w:szCs w:val="18"/>
                <w:lang w:eastAsia="en-US"/>
              </w:rPr>
            </w:pPr>
            <w:r>
              <w:rPr>
                <w:rStyle w:val="FontStyle93"/>
                <w:sz w:val="18"/>
                <w:szCs w:val="18"/>
                <w:lang w:eastAsia="en-US"/>
              </w:rPr>
              <w:t>N/A</w:t>
            </w:r>
          </w:p>
        </w:tc>
      </w:tr>
    </w:tbl>
    <w:p w14:paraId="33C939A8" w14:textId="77777777" w:rsidR="00A46625" w:rsidRPr="00B42F79" w:rsidRDefault="00A46625" w:rsidP="00B42F79">
      <w:pPr>
        <w:spacing w:before="60"/>
        <w:rPr>
          <w:sz w:val="20"/>
          <w:szCs w:val="20"/>
        </w:rPr>
        <w:sectPr w:rsidR="00A46625" w:rsidRPr="00B42F79" w:rsidSect="00ED5953">
          <w:headerReference w:type="default" r:id="rId21"/>
          <w:footerReference w:type="default" r:id="rId22"/>
          <w:pgSz w:w="16838" w:h="11906" w:orient="landscape" w:code="9"/>
          <w:pgMar w:top="2041" w:right="1304" w:bottom="1304" w:left="1304" w:header="1474" w:footer="709" w:gutter="0"/>
          <w:cols w:space="708"/>
          <w:docGrid w:linePitch="360"/>
        </w:sectPr>
      </w:pPr>
    </w:p>
    <w:p w14:paraId="49B5A70A" w14:textId="77777777" w:rsidR="0079492E" w:rsidRDefault="009411B0" w:rsidP="00615080">
      <w:pPr>
        <w:pStyle w:val="Nadpis1"/>
      </w:pPr>
      <w:bookmarkStart w:id="18" w:name="_Toc28951584"/>
      <w:r>
        <w:lastRenderedPageBreak/>
        <w:t>Prioritné osi</w:t>
      </w:r>
      <w:bookmarkEnd w:id="18"/>
    </w:p>
    <w:p w14:paraId="58D60FA3" w14:textId="77777777" w:rsidR="00A46625" w:rsidRPr="008E22E0" w:rsidRDefault="009411B0" w:rsidP="0049252B">
      <w:pPr>
        <w:pStyle w:val="PRIORITNA"/>
        <w:numPr>
          <w:ilvl w:val="0"/>
          <w:numId w:val="0"/>
        </w:numPr>
        <w:rPr>
          <w:iCs w:val="0"/>
          <w:color w:val="1F497D" w:themeColor="text2"/>
          <w:sz w:val="22"/>
          <w:szCs w:val="26"/>
        </w:rPr>
      </w:pPr>
      <w:bookmarkStart w:id="19" w:name="_Toc28951585"/>
      <w:r w:rsidRPr="008E22E0">
        <w:rPr>
          <w:iCs w:val="0"/>
          <w:color w:val="1F497D" w:themeColor="text2"/>
          <w:sz w:val="22"/>
          <w:szCs w:val="26"/>
        </w:rPr>
        <w:t>Popis prioritných osí okrem technickej pomoci</w:t>
      </w:r>
      <w:bookmarkEnd w:id="19"/>
    </w:p>
    <w:p w14:paraId="2722B45C" w14:textId="77777777" w:rsidR="008E22E0" w:rsidRPr="008E22E0" w:rsidRDefault="00E823D3" w:rsidP="003F1E0D">
      <w:pPr>
        <w:pStyle w:val="Nadpis2"/>
        <w:tabs>
          <w:tab w:val="clear" w:pos="709"/>
          <w:tab w:val="clear" w:pos="851"/>
        </w:tabs>
      </w:pPr>
      <w:bookmarkStart w:id="20" w:name="_Toc28951586"/>
      <w:r>
        <w:t>PRIORITNÁ OS 1:</w:t>
      </w:r>
      <w:r w:rsidR="00301C7E">
        <w:t xml:space="preserve"> </w:t>
      </w:r>
      <w:r>
        <w:t xml:space="preserve">ŽELEZNIČNÁ INFRAŠTRUKTÚRA </w:t>
      </w:r>
      <w:r w:rsidR="00631CDB">
        <w:t>(</w:t>
      </w:r>
      <w:r>
        <w:t>TEN-T CORE</w:t>
      </w:r>
      <w:r w:rsidR="00631CDB">
        <w:t>)</w:t>
      </w:r>
      <w:r>
        <w:t xml:space="preserve"> A OBNOVA MOBILNÝCH PROSTRIEDKOV</w:t>
      </w:r>
      <w:bookmarkEnd w:id="20"/>
    </w:p>
    <w:tbl>
      <w:tblPr>
        <w:tblStyle w:val="Mriekatabuky"/>
        <w:tblW w:w="7938" w:type="dxa"/>
        <w:jc w:val="center"/>
        <w:tblLook w:val="04A0" w:firstRow="1" w:lastRow="0" w:firstColumn="1" w:lastColumn="0" w:noHBand="0" w:noVBand="1"/>
      </w:tblPr>
      <w:tblGrid>
        <w:gridCol w:w="4376"/>
        <w:gridCol w:w="3562"/>
      </w:tblGrid>
      <w:tr w:rsidR="00863337" w14:paraId="4217FE8A" w14:textId="77777777" w:rsidTr="00631CDB">
        <w:trPr>
          <w:trHeight w:val="284"/>
          <w:jc w:val="center"/>
        </w:trPr>
        <w:tc>
          <w:tcPr>
            <w:tcW w:w="4376" w:type="dxa"/>
            <w:shd w:val="clear" w:color="auto" w:fill="DBE5F1" w:themeFill="accent1" w:themeFillTint="33"/>
            <w:vAlign w:val="center"/>
          </w:tcPr>
          <w:p w14:paraId="796E0695" w14:textId="77777777" w:rsidR="00863337" w:rsidRDefault="00863337" w:rsidP="00750A42">
            <w:pPr>
              <w:ind w:left="0"/>
            </w:pPr>
            <w:r w:rsidRPr="00863337">
              <w:rPr>
                <w:b/>
                <w:i/>
                <w:sz w:val="20"/>
                <w:szCs w:val="20"/>
              </w:rPr>
              <w:t>ID prioritnej osi</w:t>
            </w:r>
          </w:p>
        </w:tc>
        <w:tc>
          <w:tcPr>
            <w:tcW w:w="3562" w:type="dxa"/>
            <w:vAlign w:val="center"/>
          </w:tcPr>
          <w:p w14:paraId="0CFF882E" w14:textId="77777777" w:rsidR="00863337" w:rsidRDefault="000A60F9" w:rsidP="00D83282">
            <w:pPr>
              <w:pStyle w:val="PRIORITNA"/>
              <w:numPr>
                <w:ilvl w:val="0"/>
                <w:numId w:val="0"/>
              </w:numPr>
              <w:spacing w:after="0"/>
              <w:jc w:val="left"/>
            </w:pPr>
            <w:r>
              <w:t>1</w:t>
            </w:r>
          </w:p>
        </w:tc>
      </w:tr>
      <w:tr w:rsidR="00863337" w14:paraId="7FCBD813" w14:textId="77777777" w:rsidTr="00631CDB">
        <w:trPr>
          <w:trHeight w:val="284"/>
          <w:jc w:val="center"/>
        </w:trPr>
        <w:tc>
          <w:tcPr>
            <w:tcW w:w="4376" w:type="dxa"/>
            <w:shd w:val="clear" w:color="auto" w:fill="DBE5F1" w:themeFill="accent1" w:themeFillTint="33"/>
            <w:vAlign w:val="center"/>
          </w:tcPr>
          <w:p w14:paraId="2D8CC5F5" w14:textId="77777777" w:rsidR="00750A42" w:rsidRPr="003D6170" w:rsidRDefault="00863337" w:rsidP="003D6170">
            <w:pPr>
              <w:ind w:left="0"/>
              <w:rPr>
                <w:b/>
                <w:i/>
                <w:sz w:val="20"/>
                <w:szCs w:val="20"/>
              </w:rPr>
            </w:pPr>
            <w:r w:rsidRPr="003D6170">
              <w:rPr>
                <w:b/>
                <w:i/>
                <w:sz w:val="20"/>
                <w:szCs w:val="20"/>
              </w:rPr>
              <w:t>Názov prioritnej osi</w:t>
            </w:r>
          </w:p>
        </w:tc>
        <w:tc>
          <w:tcPr>
            <w:tcW w:w="3562" w:type="dxa"/>
            <w:vAlign w:val="center"/>
          </w:tcPr>
          <w:p w14:paraId="0C9308F8" w14:textId="77777777" w:rsidR="00307AAF" w:rsidRDefault="00750A42" w:rsidP="00307AAF">
            <w:pPr>
              <w:ind w:left="0"/>
              <w:rPr>
                <w:sz w:val="20"/>
                <w:szCs w:val="20"/>
              </w:rPr>
            </w:pPr>
            <w:r w:rsidRPr="00750A42">
              <w:rPr>
                <w:sz w:val="20"/>
                <w:szCs w:val="20"/>
              </w:rPr>
              <w:t>Železničná infraštruktúra</w:t>
            </w:r>
            <w:r>
              <w:rPr>
                <w:sz w:val="20"/>
                <w:szCs w:val="20"/>
              </w:rPr>
              <w:t xml:space="preserve"> </w:t>
            </w:r>
            <w:r w:rsidR="00631CDB">
              <w:rPr>
                <w:sz w:val="20"/>
                <w:szCs w:val="20"/>
              </w:rPr>
              <w:t>(</w:t>
            </w:r>
            <w:r>
              <w:rPr>
                <w:sz w:val="20"/>
                <w:szCs w:val="20"/>
              </w:rPr>
              <w:t>TEN-T CORE</w:t>
            </w:r>
            <w:r w:rsidR="00631CDB">
              <w:rPr>
                <w:sz w:val="20"/>
                <w:szCs w:val="20"/>
              </w:rPr>
              <w:t>)</w:t>
            </w:r>
            <w:r>
              <w:rPr>
                <w:sz w:val="20"/>
                <w:szCs w:val="20"/>
              </w:rPr>
              <w:t xml:space="preserve"> a obnova mobilných prostriedkov</w:t>
            </w:r>
            <w:r>
              <w:t xml:space="preserve"> </w:t>
            </w:r>
          </w:p>
        </w:tc>
      </w:tr>
    </w:tbl>
    <w:p w14:paraId="4A2D43C4" w14:textId="77777777" w:rsidR="00863337" w:rsidRDefault="00863337" w:rsidP="00D83282">
      <w:pPr>
        <w:pStyle w:val="PRIORITNA"/>
        <w:numPr>
          <w:ilvl w:val="0"/>
          <w:numId w:val="0"/>
        </w:numPr>
        <w:spacing w:after="0"/>
      </w:pPr>
    </w:p>
    <w:tbl>
      <w:tblPr>
        <w:tblStyle w:val="Mriekatabuky"/>
        <w:tblW w:w="7938" w:type="dxa"/>
        <w:jc w:val="center"/>
        <w:tblLook w:val="04A0" w:firstRow="1" w:lastRow="0" w:firstColumn="1" w:lastColumn="0" w:noHBand="0" w:noVBand="1"/>
      </w:tblPr>
      <w:tblGrid>
        <w:gridCol w:w="4396"/>
        <w:gridCol w:w="3542"/>
      </w:tblGrid>
      <w:tr w:rsidR="00750A42" w:rsidRPr="00765DFA" w14:paraId="70E48EEC" w14:textId="77777777" w:rsidTr="00D83282">
        <w:trPr>
          <w:trHeight w:val="255"/>
          <w:jc w:val="center"/>
        </w:trPr>
        <w:tc>
          <w:tcPr>
            <w:tcW w:w="4396" w:type="dxa"/>
            <w:shd w:val="clear" w:color="auto" w:fill="DBE5F1" w:themeFill="accent1" w:themeFillTint="33"/>
            <w:vAlign w:val="center"/>
          </w:tcPr>
          <w:p w14:paraId="458DA193" w14:textId="77777777" w:rsidR="00750A42" w:rsidRPr="00765DFA" w:rsidRDefault="00750A42" w:rsidP="006A2D5B">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657C6967" w14:textId="77777777" w:rsidR="00750A42" w:rsidRPr="00765DFA" w:rsidRDefault="00750A42" w:rsidP="006A2D5B">
            <w:pPr>
              <w:ind w:left="0"/>
              <w:rPr>
                <w:sz w:val="20"/>
                <w:szCs w:val="20"/>
              </w:rPr>
            </w:pPr>
            <w:r>
              <w:rPr>
                <w:sz w:val="20"/>
                <w:szCs w:val="20"/>
              </w:rPr>
              <w:t>Nie</w:t>
            </w:r>
          </w:p>
        </w:tc>
      </w:tr>
      <w:tr w:rsidR="00750A42" w:rsidRPr="00765DFA" w14:paraId="172B4B0A" w14:textId="77777777" w:rsidTr="00D83282">
        <w:trPr>
          <w:trHeight w:val="255"/>
          <w:jc w:val="center"/>
        </w:trPr>
        <w:tc>
          <w:tcPr>
            <w:tcW w:w="4396" w:type="dxa"/>
            <w:shd w:val="clear" w:color="auto" w:fill="DBE5F1" w:themeFill="accent1" w:themeFillTint="33"/>
            <w:vAlign w:val="center"/>
          </w:tcPr>
          <w:p w14:paraId="0B4BF344" w14:textId="77777777" w:rsidR="00750A42" w:rsidRPr="00765DFA" w:rsidRDefault="00750A42" w:rsidP="006A2D5B">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7BC0312B" w14:textId="77777777" w:rsidR="00750A42" w:rsidRPr="00765DFA" w:rsidRDefault="00750A42" w:rsidP="006A2D5B">
            <w:pPr>
              <w:ind w:left="0"/>
              <w:rPr>
                <w:sz w:val="20"/>
                <w:szCs w:val="20"/>
              </w:rPr>
            </w:pPr>
            <w:r>
              <w:rPr>
                <w:sz w:val="20"/>
                <w:szCs w:val="20"/>
              </w:rPr>
              <w:t>Nie</w:t>
            </w:r>
          </w:p>
        </w:tc>
      </w:tr>
      <w:tr w:rsidR="00750A42" w:rsidRPr="00750A42" w14:paraId="352732B4" w14:textId="77777777" w:rsidTr="00D83282">
        <w:trPr>
          <w:trHeight w:val="70"/>
          <w:jc w:val="center"/>
        </w:trPr>
        <w:tc>
          <w:tcPr>
            <w:tcW w:w="4396" w:type="dxa"/>
            <w:shd w:val="clear" w:color="auto" w:fill="DBE5F1" w:themeFill="accent1" w:themeFillTint="33"/>
            <w:vAlign w:val="center"/>
          </w:tcPr>
          <w:p w14:paraId="72EA8164" w14:textId="77777777" w:rsidR="00750A42" w:rsidRPr="00765DFA" w:rsidRDefault="00750A42" w:rsidP="00750A42">
            <w:pPr>
              <w:ind w:left="0"/>
              <w:rPr>
                <w:b/>
                <w:i/>
                <w:sz w:val="20"/>
                <w:szCs w:val="20"/>
              </w:rPr>
            </w:pPr>
            <w:r>
              <w:rPr>
                <w:b/>
                <w:i/>
                <w:sz w:val="20"/>
                <w:szCs w:val="20"/>
              </w:rPr>
              <w:t xml:space="preserve">Celá prioritná os bude realizovaná prostredníctvom </w:t>
            </w:r>
            <w:r w:rsidR="00504EAB">
              <w:rPr>
                <w:b/>
                <w:i/>
                <w:sz w:val="20"/>
                <w:szCs w:val="20"/>
              </w:rPr>
              <w:t xml:space="preserve">komunitne vedeného </w:t>
            </w:r>
            <w:r>
              <w:rPr>
                <w:b/>
                <w:i/>
                <w:sz w:val="20"/>
                <w:szCs w:val="20"/>
              </w:rPr>
              <w:t>miestneho rozvoja</w:t>
            </w:r>
          </w:p>
        </w:tc>
        <w:tc>
          <w:tcPr>
            <w:tcW w:w="3542" w:type="dxa"/>
            <w:vAlign w:val="center"/>
          </w:tcPr>
          <w:p w14:paraId="2972D377" w14:textId="77777777" w:rsidR="00750A42" w:rsidRPr="00750A42" w:rsidRDefault="00750A42" w:rsidP="006A2D5B">
            <w:pPr>
              <w:ind w:left="0"/>
              <w:rPr>
                <w:sz w:val="20"/>
                <w:szCs w:val="20"/>
              </w:rPr>
            </w:pPr>
            <w:r>
              <w:rPr>
                <w:sz w:val="20"/>
                <w:szCs w:val="20"/>
              </w:rPr>
              <w:t>Nie</w:t>
            </w:r>
          </w:p>
        </w:tc>
      </w:tr>
      <w:tr w:rsidR="00750A42" w:rsidRPr="00765DFA" w14:paraId="4F521A3F" w14:textId="77777777" w:rsidTr="00D83282">
        <w:trPr>
          <w:jc w:val="center"/>
        </w:trPr>
        <w:tc>
          <w:tcPr>
            <w:tcW w:w="4396" w:type="dxa"/>
            <w:shd w:val="clear" w:color="auto" w:fill="DBE5F1" w:themeFill="accent1" w:themeFillTint="33"/>
          </w:tcPr>
          <w:p w14:paraId="3BD0FF41" w14:textId="77777777" w:rsidR="00750A42" w:rsidRPr="00765DFA" w:rsidRDefault="00504EAB" w:rsidP="00504EAB">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5BDD2E9D" w14:textId="77777777" w:rsidR="00750A42" w:rsidRPr="00765DFA" w:rsidRDefault="00504EAB" w:rsidP="00504EAB">
            <w:pPr>
              <w:ind w:left="0"/>
              <w:rPr>
                <w:sz w:val="20"/>
                <w:szCs w:val="20"/>
              </w:rPr>
            </w:pPr>
            <w:r>
              <w:rPr>
                <w:sz w:val="20"/>
                <w:szCs w:val="20"/>
              </w:rPr>
              <w:t>N/A</w:t>
            </w:r>
          </w:p>
        </w:tc>
      </w:tr>
    </w:tbl>
    <w:p w14:paraId="1BC5BB3B" w14:textId="77777777" w:rsidR="001A218B" w:rsidRDefault="001A218B" w:rsidP="001A218B">
      <w:pPr>
        <w:pStyle w:val="Nadpis3"/>
      </w:pPr>
      <w:bookmarkStart w:id="21" w:name="_Toc383236540"/>
      <w:bookmarkStart w:id="22" w:name="_Toc28951587"/>
      <w:r>
        <w:t>Fond, kategória regiónu a základ pre výpočet podpory Únie</w:t>
      </w:r>
      <w:bookmarkEnd w:id="21"/>
      <w:bookmarkEnd w:id="22"/>
    </w:p>
    <w:tbl>
      <w:tblPr>
        <w:tblStyle w:val="Mriekatabuky"/>
        <w:tblW w:w="7938" w:type="dxa"/>
        <w:jc w:val="center"/>
        <w:tblLook w:val="04A0" w:firstRow="1" w:lastRow="0" w:firstColumn="1" w:lastColumn="0" w:noHBand="0" w:noVBand="1"/>
      </w:tblPr>
      <w:tblGrid>
        <w:gridCol w:w="4396"/>
        <w:gridCol w:w="3542"/>
      </w:tblGrid>
      <w:tr w:rsidR="00DC14D0" w14:paraId="5FD2F72D" w14:textId="77777777" w:rsidTr="00D83282">
        <w:trPr>
          <w:trHeight w:val="255"/>
          <w:jc w:val="center"/>
        </w:trPr>
        <w:tc>
          <w:tcPr>
            <w:tcW w:w="4396" w:type="dxa"/>
            <w:shd w:val="clear" w:color="auto" w:fill="DBE5F1" w:themeFill="accent1" w:themeFillTint="33"/>
            <w:vAlign w:val="center"/>
          </w:tcPr>
          <w:p w14:paraId="0BAC7FD5" w14:textId="77777777" w:rsidR="00DC14D0" w:rsidRPr="00765DFA" w:rsidRDefault="00DC14D0" w:rsidP="001124FB">
            <w:pPr>
              <w:ind w:left="0"/>
              <w:rPr>
                <w:b/>
                <w:i/>
                <w:sz w:val="20"/>
                <w:szCs w:val="20"/>
              </w:rPr>
            </w:pPr>
            <w:r w:rsidRPr="00765DFA">
              <w:rPr>
                <w:b/>
                <w:i/>
                <w:sz w:val="20"/>
                <w:szCs w:val="20"/>
              </w:rPr>
              <w:t>Fond</w:t>
            </w:r>
          </w:p>
        </w:tc>
        <w:tc>
          <w:tcPr>
            <w:tcW w:w="3542" w:type="dxa"/>
            <w:vAlign w:val="center"/>
          </w:tcPr>
          <w:p w14:paraId="73B0C719" w14:textId="77777777" w:rsidR="00DC14D0" w:rsidRPr="00765DFA" w:rsidRDefault="00DC14D0" w:rsidP="008E22E0">
            <w:pPr>
              <w:ind w:left="0"/>
              <w:rPr>
                <w:sz w:val="20"/>
                <w:szCs w:val="20"/>
              </w:rPr>
            </w:pPr>
            <w:r w:rsidRPr="00765DFA">
              <w:rPr>
                <w:sz w:val="20"/>
                <w:szCs w:val="20"/>
              </w:rPr>
              <w:t>Kohézny fond</w:t>
            </w:r>
          </w:p>
        </w:tc>
      </w:tr>
      <w:tr w:rsidR="00DC14D0" w14:paraId="327C9352" w14:textId="77777777" w:rsidTr="00D83282">
        <w:trPr>
          <w:trHeight w:val="255"/>
          <w:jc w:val="center"/>
        </w:trPr>
        <w:tc>
          <w:tcPr>
            <w:tcW w:w="4396" w:type="dxa"/>
            <w:shd w:val="clear" w:color="auto" w:fill="DBE5F1" w:themeFill="accent1" w:themeFillTint="33"/>
            <w:vAlign w:val="center"/>
          </w:tcPr>
          <w:p w14:paraId="3B61652C" w14:textId="77777777" w:rsidR="00DC14D0" w:rsidRPr="00765DFA" w:rsidRDefault="00DC14D0" w:rsidP="001124FB">
            <w:pPr>
              <w:ind w:left="0"/>
              <w:rPr>
                <w:b/>
                <w:i/>
                <w:sz w:val="20"/>
                <w:szCs w:val="20"/>
              </w:rPr>
            </w:pPr>
            <w:r w:rsidRPr="00765DFA">
              <w:rPr>
                <w:b/>
                <w:i/>
                <w:sz w:val="20"/>
                <w:szCs w:val="20"/>
              </w:rPr>
              <w:t>Kategória regiónu</w:t>
            </w:r>
          </w:p>
        </w:tc>
        <w:tc>
          <w:tcPr>
            <w:tcW w:w="3542" w:type="dxa"/>
            <w:vAlign w:val="center"/>
          </w:tcPr>
          <w:p w14:paraId="22730B13" w14:textId="77777777" w:rsidR="00DC14D0" w:rsidRPr="00765DFA" w:rsidRDefault="00DC14D0" w:rsidP="008E22E0">
            <w:pPr>
              <w:ind w:left="0"/>
              <w:rPr>
                <w:sz w:val="20"/>
                <w:szCs w:val="20"/>
              </w:rPr>
            </w:pPr>
            <w:r w:rsidRPr="00765DFA">
              <w:rPr>
                <w:sz w:val="20"/>
                <w:szCs w:val="20"/>
              </w:rPr>
              <w:t>N/A</w:t>
            </w:r>
          </w:p>
        </w:tc>
      </w:tr>
      <w:tr w:rsidR="00DC14D0" w14:paraId="6A0BF210" w14:textId="77777777" w:rsidTr="00D83282">
        <w:trPr>
          <w:trHeight w:val="255"/>
          <w:jc w:val="center"/>
        </w:trPr>
        <w:tc>
          <w:tcPr>
            <w:tcW w:w="4396" w:type="dxa"/>
            <w:shd w:val="clear" w:color="auto" w:fill="DBE5F1" w:themeFill="accent1" w:themeFillTint="33"/>
            <w:vAlign w:val="center"/>
          </w:tcPr>
          <w:p w14:paraId="702C8C33" w14:textId="77777777" w:rsidR="00DC14D0" w:rsidRPr="00765DFA" w:rsidRDefault="00DC14D0" w:rsidP="001124FB">
            <w:pPr>
              <w:ind w:left="0"/>
              <w:rPr>
                <w:b/>
                <w:i/>
                <w:sz w:val="20"/>
                <w:szCs w:val="20"/>
              </w:rPr>
            </w:pPr>
            <w:r w:rsidRPr="00765DFA">
              <w:rPr>
                <w:b/>
                <w:i/>
                <w:sz w:val="20"/>
                <w:szCs w:val="20"/>
              </w:rPr>
              <w:t>Základ pre výpočet (celkový</w:t>
            </w:r>
            <w:r w:rsidR="008E22E0">
              <w:rPr>
                <w:b/>
                <w:i/>
                <w:sz w:val="20"/>
                <w:szCs w:val="20"/>
              </w:rPr>
              <w:t xml:space="preserve"> oprávnený</w:t>
            </w:r>
            <w:r w:rsidRPr="00765DFA">
              <w:rPr>
                <w:b/>
                <w:i/>
                <w:sz w:val="20"/>
                <w:szCs w:val="20"/>
              </w:rPr>
              <w:t xml:space="preserve"> príspevok)</w:t>
            </w:r>
          </w:p>
        </w:tc>
        <w:tc>
          <w:tcPr>
            <w:tcW w:w="3542" w:type="dxa"/>
            <w:vAlign w:val="center"/>
          </w:tcPr>
          <w:p w14:paraId="780B7171" w14:textId="77777777" w:rsidR="00DC14D0" w:rsidRPr="00765DFA" w:rsidRDefault="00DC14D0" w:rsidP="008E22E0">
            <w:pPr>
              <w:ind w:left="0"/>
              <w:rPr>
                <w:sz w:val="20"/>
                <w:szCs w:val="20"/>
                <w:lang w:val="en-US"/>
              </w:rPr>
            </w:pPr>
            <w:r>
              <w:rPr>
                <w:sz w:val="20"/>
                <w:szCs w:val="20"/>
                <w:lang w:val="en-US"/>
              </w:rPr>
              <w:t>853 928</w:t>
            </w:r>
            <w:r w:rsidR="00AE12DF">
              <w:rPr>
                <w:sz w:val="20"/>
                <w:szCs w:val="20"/>
                <w:lang w:val="en-US"/>
              </w:rPr>
              <w:t> </w:t>
            </w:r>
            <w:r>
              <w:rPr>
                <w:sz w:val="20"/>
                <w:szCs w:val="20"/>
                <w:lang w:val="en-US"/>
              </w:rPr>
              <w:t>431</w:t>
            </w:r>
            <w:r w:rsidR="00AE12DF">
              <w:rPr>
                <w:sz w:val="20"/>
                <w:szCs w:val="20"/>
                <w:lang w:val="en-US"/>
              </w:rPr>
              <w:t xml:space="preserve"> EUR</w:t>
            </w:r>
          </w:p>
        </w:tc>
      </w:tr>
      <w:tr w:rsidR="00DC14D0" w14:paraId="68CABF2F" w14:textId="77777777" w:rsidTr="00D83282">
        <w:trPr>
          <w:jc w:val="center"/>
        </w:trPr>
        <w:tc>
          <w:tcPr>
            <w:tcW w:w="4396" w:type="dxa"/>
            <w:shd w:val="clear" w:color="auto" w:fill="DBE5F1" w:themeFill="accent1" w:themeFillTint="33"/>
          </w:tcPr>
          <w:p w14:paraId="67522CF2" w14:textId="77777777" w:rsidR="00DC14D0" w:rsidRPr="00765DFA" w:rsidRDefault="00DC14D0" w:rsidP="001124FB">
            <w:pPr>
              <w:ind w:left="0"/>
              <w:rPr>
                <w:b/>
                <w:i/>
                <w:sz w:val="20"/>
                <w:szCs w:val="20"/>
              </w:rPr>
            </w:pPr>
            <w:r w:rsidRPr="00765DFA">
              <w:rPr>
                <w:b/>
                <w:i/>
                <w:sz w:val="20"/>
                <w:szCs w:val="20"/>
              </w:rPr>
              <w:t>Kategória regiónu p</w:t>
            </w:r>
            <w:r w:rsidR="008E22E0">
              <w:rPr>
                <w:b/>
                <w:i/>
                <w:sz w:val="20"/>
                <w:szCs w:val="20"/>
              </w:rPr>
              <w:t xml:space="preserve">re najvzdialenejšie regióny </w:t>
            </w:r>
            <w:r w:rsidRPr="00765DFA">
              <w:rPr>
                <w:b/>
                <w:i/>
                <w:sz w:val="20"/>
                <w:szCs w:val="20"/>
              </w:rPr>
              <w:t>a severné riedko osídlené regióny (ak je to vhodné)</w:t>
            </w:r>
          </w:p>
        </w:tc>
        <w:tc>
          <w:tcPr>
            <w:tcW w:w="3542" w:type="dxa"/>
            <w:vAlign w:val="center"/>
          </w:tcPr>
          <w:p w14:paraId="569337A6" w14:textId="77777777" w:rsidR="00DC14D0" w:rsidRPr="00765DFA" w:rsidRDefault="00DC14D0" w:rsidP="008E22E0">
            <w:pPr>
              <w:ind w:left="0"/>
              <w:rPr>
                <w:sz w:val="20"/>
                <w:szCs w:val="20"/>
              </w:rPr>
            </w:pPr>
            <w:r w:rsidRPr="00765DFA">
              <w:rPr>
                <w:sz w:val="20"/>
                <w:szCs w:val="20"/>
              </w:rPr>
              <w:t>N/A</w:t>
            </w:r>
          </w:p>
        </w:tc>
      </w:tr>
    </w:tbl>
    <w:p w14:paraId="45154CC9" w14:textId="77777777" w:rsidR="001A218B" w:rsidRDefault="001A218B" w:rsidP="00615080">
      <w:pPr>
        <w:pStyle w:val="Nadpis3"/>
        <w:tabs>
          <w:tab w:val="clear" w:pos="709"/>
        </w:tabs>
        <w:jc w:val="both"/>
      </w:pPr>
      <w:bookmarkStart w:id="23" w:name="_Toc383236541"/>
      <w:bookmarkStart w:id="24" w:name="_Toc28951588"/>
      <w:r>
        <w:t>INVEST</w:t>
      </w:r>
      <w:r w:rsidR="008E22E0">
        <w:t>I</w:t>
      </w:r>
      <w:r w:rsidR="00301C7E">
        <w:t>ČNÁ PRIORITA</w:t>
      </w:r>
      <w:r w:rsidR="00860925">
        <w:t xml:space="preserve"> </w:t>
      </w:r>
      <w:r w:rsidR="002B58BC" w:rsidRPr="00F246CF">
        <w:t>7i</w:t>
      </w:r>
      <w:r w:rsidR="00860925" w:rsidRPr="00F246CF">
        <w:t>)</w:t>
      </w:r>
      <w:r w:rsidRPr="00F246CF">
        <w:t>:</w:t>
      </w:r>
      <w:r>
        <w:t xml:space="preserve"> </w:t>
      </w:r>
      <w:r w:rsidRPr="00D25728">
        <w:t>Podpora multimodálneho jednotného európskeho dopravného priestoru pomocou investícií do TEN-T</w:t>
      </w:r>
      <w:bookmarkEnd w:id="23"/>
      <w:bookmarkEnd w:id="24"/>
    </w:p>
    <w:p w14:paraId="5D2F8546" w14:textId="29EEC715" w:rsidR="001A218B" w:rsidRDefault="001A218B" w:rsidP="008F3CB1">
      <w:pPr>
        <w:pStyle w:val="tl3"/>
        <w:tabs>
          <w:tab w:val="clear" w:pos="709"/>
          <w:tab w:val="clear" w:pos="864"/>
          <w:tab w:val="left" w:pos="851"/>
        </w:tabs>
      </w:pPr>
      <w:bookmarkStart w:id="25" w:name="_GoBack"/>
      <w:bookmarkEnd w:id="25"/>
      <w:r>
        <w:t>Špecifické ciele investičnej priority a očakávané výsledky</w:t>
      </w:r>
    </w:p>
    <w:p w14:paraId="0318A87F" w14:textId="77777777" w:rsidR="004F0234" w:rsidRPr="004F0234" w:rsidRDefault="004F0234" w:rsidP="002E1021">
      <w:pPr>
        <w:shd w:val="clear" w:color="auto" w:fill="FFFFCC"/>
        <w:jc w:val="both"/>
        <w:rPr>
          <w:b/>
          <w:i/>
        </w:rPr>
      </w:pPr>
      <w:r w:rsidRPr="004F0234">
        <w:rPr>
          <w:i/>
        </w:rPr>
        <w:t xml:space="preserve">ŠPECIFICKÝ CIEĽ </w:t>
      </w:r>
      <w:r>
        <w:rPr>
          <w:i/>
        </w:rPr>
        <w:t>1</w:t>
      </w:r>
      <w:r w:rsidR="00A80038">
        <w:rPr>
          <w:i/>
        </w:rPr>
        <w:t>.1</w:t>
      </w:r>
      <w:r w:rsidRPr="004F0234">
        <w:rPr>
          <w:i/>
        </w:rPr>
        <w:t xml:space="preserve">: </w:t>
      </w:r>
      <w:r w:rsidR="008B5E9B" w:rsidRPr="00A22EFA">
        <w:rPr>
          <w:b/>
          <w:i/>
        </w:rPr>
        <w:t>Odstránenie kľúčových úzkych miest na železničnej infraštruktúre prostredníctvom</w:t>
      </w:r>
      <w:r w:rsidR="008B5E9B">
        <w:rPr>
          <w:i/>
        </w:rPr>
        <w:t xml:space="preserve"> </w:t>
      </w:r>
      <w:r w:rsidR="008B5E9B">
        <w:rPr>
          <w:b/>
          <w:i/>
        </w:rPr>
        <w:t>m</w:t>
      </w:r>
      <w:r w:rsidRPr="004F0234">
        <w:rPr>
          <w:b/>
          <w:i/>
        </w:rPr>
        <w:t>odernizáci</w:t>
      </w:r>
      <w:r w:rsidR="008B5E9B">
        <w:rPr>
          <w:b/>
          <w:i/>
        </w:rPr>
        <w:t>e</w:t>
      </w:r>
      <w:r w:rsidRPr="004F0234">
        <w:rPr>
          <w:b/>
          <w:i/>
        </w:rPr>
        <w:t xml:space="preserve"> a rozvoj</w:t>
      </w:r>
      <w:r w:rsidR="008B5E9B">
        <w:rPr>
          <w:b/>
          <w:i/>
        </w:rPr>
        <w:t>a</w:t>
      </w:r>
      <w:r w:rsidRPr="004F0234">
        <w:rPr>
          <w:b/>
          <w:i/>
        </w:rPr>
        <w:t xml:space="preserve"> hlavných železničných tratí a uzlov dopravne významných z hľadiska medzinárodnej a vnútroštátnej dopravy</w:t>
      </w:r>
    </w:p>
    <w:p w14:paraId="6404D059" w14:textId="77777777" w:rsidR="00A5256F" w:rsidRDefault="00032E50" w:rsidP="00032E50">
      <w:pPr>
        <w:spacing w:before="180"/>
        <w:jc w:val="both"/>
        <w:rPr>
          <w:sz w:val="22"/>
          <w:szCs w:val="22"/>
        </w:rPr>
      </w:pPr>
      <w:r>
        <w:rPr>
          <w:sz w:val="22"/>
          <w:szCs w:val="22"/>
        </w:rPr>
        <w:t>Výkonnosť a efektívnosť železníc závisí od stavu železničnej infraštruktúry, ktorá</w:t>
      </w:r>
      <w:r w:rsidR="00AE12DF">
        <w:rPr>
          <w:sz w:val="22"/>
          <w:szCs w:val="22"/>
        </w:rPr>
        <w:t xml:space="preserve"> na Slovensku</w:t>
      </w:r>
      <w:r>
        <w:rPr>
          <w:sz w:val="22"/>
          <w:szCs w:val="22"/>
        </w:rPr>
        <w:t xml:space="preserve"> síce vykazuje vysokú hustotu siete, ale so zastaranou technológiou a nízkou využiteľnosťou jej kapacity</w:t>
      </w:r>
      <w:r>
        <w:rPr>
          <w:sz w:val="22"/>
          <w:szCs w:val="23"/>
        </w:rPr>
        <w:t xml:space="preserve">. </w:t>
      </w:r>
      <w:r w:rsidR="005F76B2">
        <w:rPr>
          <w:sz w:val="22"/>
          <w:szCs w:val="22"/>
        </w:rPr>
        <w:t xml:space="preserve">Strategický plán </w:t>
      </w:r>
      <w:r w:rsidR="005F76B2" w:rsidRPr="00AA3954">
        <w:rPr>
          <w:sz w:val="22"/>
          <w:szCs w:val="22"/>
        </w:rPr>
        <w:t>a</w:t>
      </w:r>
      <w:r w:rsidR="005F76B2">
        <w:rPr>
          <w:sz w:val="22"/>
          <w:szCs w:val="22"/>
        </w:rPr>
        <w:t> </w:t>
      </w:r>
      <w:r w:rsidR="005F76B2" w:rsidRPr="00AA3954">
        <w:rPr>
          <w:sz w:val="22"/>
          <w:szCs w:val="22"/>
        </w:rPr>
        <w:t xml:space="preserve">Stratégia </w:t>
      </w:r>
      <w:r w:rsidR="00A32FFD">
        <w:rPr>
          <w:sz w:val="22"/>
          <w:szCs w:val="22"/>
        </w:rPr>
        <w:t>VOD</w:t>
      </w:r>
      <w:r w:rsidR="00A32FFD">
        <w:rPr>
          <w:rStyle w:val="Odkaznapoznmkupodiarou"/>
          <w:sz w:val="22"/>
          <w:szCs w:val="22"/>
        </w:rPr>
        <w:footnoteReference w:id="50"/>
      </w:r>
      <w:r w:rsidR="005F76B2" w:rsidRPr="00AA3954">
        <w:rPr>
          <w:sz w:val="22"/>
          <w:szCs w:val="22"/>
        </w:rPr>
        <w:t xml:space="preserve"> identifikovali ako hlavné obmedz</w:t>
      </w:r>
      <w:r w:rsidR="00A32FFD">
        <w:rPr>
          <w:sz w:val="22"/>
          <w:szCs w:val="22"/>
        </w:rPr>
        <w:t>ujúce faktory tejto situácie na </w:t>
      </w:r>
      <w:r w:rsidR="005F76B2" w:rsidRPr="00AA3954">
        <w:rPr>
          <w:sz w:val="22"/>
          <w:szCs w:val="22"/>
        </w:rPr>
        <w:t>Slovensku najmä kapacitné a</w:t>
      </w:r>
      <w:r w:rsidR="005F76B2">
        <w:rPr>
          <w:sz w:val="22"/>
          <w:szCs w:val="22"/>
        </w:rPr>
        <w:t> </w:t>
      </w:r>
      <w:r w:rsidR="005F76B2" w:rsidRPr="00AA3954">
        <w:rPr>
          <w:sz w:val="22"/>
          <w:szCs w:val="22"/>
        </w:rPr>
        <w:t>bezpečnostné obmedzenia železničnej infraštruktúry</w:t>
      </w:r>
      <w:r w:rsidR="005F76B2">
        <w:rPr>
          <w:sz w:val="22"/>
          <w:szCs w:val="22"/>
        </w:rPr>
        <w:t xml:space="preserve">. </w:t>
      </w:r>
      <w:r w:rsidR="00A5256F">
        <w:rPr>
          <w:sz w:val="22"/>
          <w:szCs w:val="22"/>
        </w:rPr>
        <w:t>T</w:t>
      </w:r>
      <w:r w:rsidR="005F76B2">
        <w:rPr>
          <w:sz w:val="22"/>
          <w:szCs w:val="22"/>
        </w:rPr>
        <w:t>echnická základňa infraštruktúry železničnej dopravy</w:t>
      </w:r>
      <w:r w:rsidR="00A5256F">
        <w:rPr>
          <w:sz w:val="22"/>
          <w:szCs w:val="22"/>
        </w:rPr>
        <w:t xml:space="preserve"> nie je</w:t>
      </w:r>
      <w:r w:rsidR="005F76B2">
        <w:rPr>
          <w:sz w:val="22"/>
          <w:szCs w:val="22"/>
        </w:rPr>
        <w:t xml:space="preserve"> dostatočne pripravená na meniace sa podmienky a štruktúru dopravného trhu. Technický stav väčšiny infraštruktúrnyc</w:t>
      </w:r>
      <w:r w:rsidR="001B7903">
        <w:rPr>
          <w:sz w:val="22"/>
          <w:szCs w:val="22"/>
        </w:rPr>
        <w:t>h zariadení je neuspokojivý. To </w:t>
      </w:r>
      <w:r w:rsidR="005F76B2">
        <w:rPr>
          <w:sz w:val="22"/>
          <w:szCs w:val="22"/>
        </w:rPr>
        <w:t>sa</w:t>
      </w:r>
      <w:r w:rsidR="001B7903">
        <w:rPr>
          <w:sz w:val="22"/>
          <w:szCs w:val="22"/>
        </w:rPr>
        <w:t> </w:t>
      </w:r>
      <w:r w:rsidR="005F76B2">
        <w:rPr>
          <w:sz w:val="22"/>
          <w:szCs w:val="22"/>
        </w:rPr>
        <w:t xml:space="preserve">prejavuje predovšetkým významným počtom odchýlok od konštrukčných parametrov prevádzkovaných </w:t>
      </w:r>
      <w:r w:rsidR="00A32FFD">
        <w:rPr>
          <w:sz w:val="22"/>
          <w:szCs w:val="22"/>
        </w:rPr>
        <w:t>železničných tratí, najmä čo do </w:t>
      </w:r>
      <w:r w:rsidR="005F76B2">
        <w:rPr>
          <w:sz w:val="22"/>
          <w:szCs w:val="22"/>
        </w:rPr>
        <w:t xml:space="preserve">rýchlosti a únosnosti. </w:t>
      </w:r>
    </w:p>
    <w:p w14:paraId="27B9D9BA" w14:textId="77777777" w:rsidR="00032E50" w:rsidRDefault="00032E50" w:rsidP="00032E50">
      <w:pPr>
        <w:spacing w:before="180"/>
        <w:jc w:val="both"/>
        <w:rPr>
          <w:sz w:val="22"/>
          <w:szCs w:val="22"/>
        </w:rPr>
      </w:pPr>
      <w:r w:rsidRPr="007877CC">
        <w:rPr>
          <w:sz w:val="22"/>
          <w:szCs w:val="23"/>
        </w:rPr>
        <w:t>Ďalší rozvoj infraštrukt</w:t>
      </w:r>
      <w:r w:rsidR="00A5256F">
        <w:rPr>
          <w:sz w:val="22"/>
          <w:szCs w:val="23"/>
        </w:rPr>
        <w:t>úry železničnej dopravy je</w:t>
      </w:r>
      <w:r w:rsidRPr="007877CC">
        <w:rPr>
          <w:sz w:val="22"/>
          <w:szCs w:val="23"/>
        </w:rPr>
        <w:t xml:space="preserve"> uskutočniteľný hlavne cestou jej modernizácie</w:t>
      </w:r>
      <w:r>
        <w:rPr>
          <w:sz w:val="22"/>
          <w:szCs w:val="23"/>
        </w:rPr>
        <w:t>, a to </w:t>
      </w:r>
      <w:r w:rsidRPr="00470DAD">
        <w:rPr>
          <w:sz w:val="22"/>
          <w:szCs w:val="23"/>
        </w:rPr>
        <w:t>najmä na hlavných medzinárodných koridoroch</w:t>
      </w:r>
      <w:r w:rsidR="007877CC">
        <w:rPr>
          <w:sz w:val="22"/>
          <w:szCs w:val="23"/>
        </w:rPr>
        <w:t xml:space="preserve"> (</w:t>
      </w:r>
      <w:r>
        <w:rPr>
          <w:sz w:val="22"/>
          <w:szCs w:val="22"/>
        </w:rPr>
        <w:t>siete TEN-T</w:t>
      </w:r>
      <w:r w:rsidR="007877CC">
        <w:rPr>
          <w:sz w:val="22"/>
          <w:szCs w:val="22"/>
        </w:rPr>
        <w:t>)</w:t>
      </w:r>
      <w:r>
        <w:rPr>
          <w:sz w:val="22"/>
          <w:szCs w:val="22"/>
        </w:rPr>
        <w:t>.</w:t>
      </w:r>
      <w:r w:rsidR="007877CC">
        <w:rPr>
          <w:sz w:val="22"/>
          <w:szCs w:val="22"/>
        </w:rPr>
        <w:t xml:space="preserve"> Táto modernizácia vychádza z </w:t>
      </w:r>
      <w:r>
        <w:rPr>
          <w:sz w:val="22"/>
          <w:szCs w:val="22"/>
        </w:rPr>
        <w:t>potrieb ponuky kvalitnej železničnej infraštruk</w:t>
      </w:r>
      <w:r w:rsidR="0095191D">
        <w:rPr>
          <w:sz w:val="22"/>
          <w:szCs w:val="22"/>
        </w:rPr>
        <w:t>túry pre služby medzinárodnej a </w:t>
      </w:r>
      <w:r>
        <w:rPr>
          <w:sz w:val="22"/>
          <w:szCs w:val="22"/>
        </w:rPr>
        <w:t>vnútroštát</w:t>
      </w:r>
      <w:r w:rsidR="00A5256F">
        <w:rPr>
          <w:sz w:val="22"/>
          <w:szCs w:val="22"/>
        </w:rPr>
        <w:t>nej osobnej a nákladnej dopravy</w:t>
      </w:r>
      <w:r>
        <w:rPr>
          <w:sz w:val="22"/>
          <w:szCs w:val="22"/>
        </w:rPr>
        <w:t>.</w:t>
      </w:r>
    </w:p>
    <w:p w14:paraId="1FE27490" w14:textId="77777777" w:rsidR="007877CC" w:rsidRPr="009B2843" w:rsidRDefault="007877CC" w:rsidP="007877CC">
      <w:pPr>
        <w:spacing w:before="180"/>
        <w:jc w:val="both"/>
        <w:rPr>
          <w:b/>
          <w:sz w:val="22"/>
          <w:szCs w:val="22"/>
        </w:rPr>
      </w:pPr>
      <w:r>
        <w:rPr>
          <w:b/>
          <w:sz w:val="22"/>
          <w:szCs w:val="22"/>
        </w:rPr>
        <w:t>Modernizáciou železničnej dopravnej infraštruktúry dôjde k</w:t>
      </w:r>
      <w:r w:rsidR="00AE12DF">
        <w:rPr>
          <w:b/>
          <w:sz w:val="22"/>
          <w:szCs w:val="22"/>
        </w:rPr>
        <w:t> odstráneniu technických prekážok a</w:t>
      </w:r>
      <w:r>
        <w:rPr>
          <w:b/>
          <w:sz w:val="22"/>
          <w:szCs w:val="22"/>
        </w:rPr>
        <w:t xml:space="preserve"> úzkych miest v tejto kľúčovej sieťovej infraštruktúre. Rozvoj a podpora železničnej dopravy prispieva k dekar</w:t>
      </w:r>
      <w:r w:rsidR="0095191D">
        <w:rPr>
          <w:b/>
          <w:sz w:val="22"/>
          <w:szCs w:val="22"/>
        </w:rPr>
        <w:t>bonizácii a znižovaniu emisií v </w:t>
      </w:r>
      <w:r>
        <w:rPr>
          <w:b/>
          <w:sz w:val="22"/>
          <w:szCs w:val="22"/>
        </w:rPr>
        <w:t xml:space="preserve">doprave, čím sa </w:t>
      </w:r>
      <w:r w:rsidRPr="001718E1">
        <w:rPr>
          <w:b/>
          <w:sz w:val="22"/>
          <w:szCs w:val="22"/>
        </w:rPr>
        <w:t xml:space="preserve">podporí </w:t>
      </w:r>
      <w:r>
        <w:rPr>
          <w:b/>
          <w:sz w:val="22"/>
          <w:szCs w:val="22"/>
        </w:rPr>
        <w:t>udržateľná doprava.</w:t>
      </w:r>
    </w:p>
    <w:p w14:paraId="4D9E706F" w14:textId="77777777" w:rsidR="0095191D" w:rsidRDefault="00032E50" w:rsidP="00032E50">
      <w:pPr>
        <w:spacing w:before="180"/>
        <w:jc w:val="both"/>
        <w:rPr>
          <w:sz w:val="22"/>
          <w:szCs w:val="22"/>
        </w:rPr>
      </w:pPr>
      <w:r>
        <w:rPr>
          <w:sz w:val="22"/>
          <w:szCs w:val="22"/>
        </w:rPr>
        <w:lastRenderedPageBreak/>
        <w:t xml:space="preserve">Špecifický cieľ 1.1 bol navrhnutý s cieľom kontinuálne nadviazať </w:t>
      </w:r>
      <w:r w:rsidRPr="00294A76">
        <w:rPr>
          <w:sz w:val="22"/>
          <w:szCs w:val="22"/>
        </w:rPr>
        <w:t>na aktivity implementované v predchádzajúcich obdobiach</w:t>
      </w:r>
      <w:r>
        <w:rPr>
          <w:sz w:val="22"/>
          <w:szCs w:val="22"/>
        </w:rPr>
        <w:t>. Vychádza z priority rozvoja železničnej dopravy „</w:t>
      </w:r>
      <w:r w:rsidRPr="007877CC">
        <w:rPr>
          <w:i/>
          <w:sz w:val="22"/>
          <w:szCs w:val="22"/>
        </w:rPr>
        <w:t>Modernizácia a rozvoj železničnej dopravnej cesty tam, kde je to účelné</w:t>
      </w:r>
      <w:r>
        <w:rPr>
          <w:sz w:val="22"/>
          <w:szCs w:val="22"/>
        </w:rPr>
        <w:t xml:space="preserve">“ definovanej v Strategickom pláne a kladie dôraz na potrebu modernizácie v osiach s vysokým dopytom po železničnej osobnej alebo nákladnej doprave. </w:t>
      </w:r>
      <w:r w:rsidR="00E823D3">
        <w:rPr>
          <w:sz w:val="22"/>
          <w:szCs w:val="22"/>
        </w:rPr>
        <w:t>I</w:t>
      </w:r>
      <w:r w:rsidR="007877CC">
        <w:rPr>
          <w:sz w:val="22"/>
          <w:szCs w:val="22"/>
        </w:rPr>
        <w:t>de</w:t>
      </w:r>
      <w:r w:rsidR="00E823D3">
        <w:rPr>
          <w:sz w:val="22"/>
          <w:szCs w:val="22"/>
        </w:rPr>
        <w:t xml:space="preserve"> najmä o hlavné železničné trate zaradené do základnej siete</w:t>
      </w:r>
      <w:r>
        <w:rPr>
          <w:sz w:val="22"/>
          <w:szCs w:val="22"/>
        </w:rPr>
        <w:t xml:space="preserve"> TEN-T, ktorých modernizácia (</w:t>
      </w:r>
      <w:r w:rsidRPr="009B2843">
        <w:rPr>
          <w:sz w:val="22"/>
          <w:szCs w:val="22"/>
        </w:rPr>
        <w:t xml:space="preserve">na parametre definované </w:t>
      </w:r>
      <w:r>
        <w:rPr>
          <w:sz w:val="22"/>
          <w:szCs w:val="22"/>
        </w:rPr>
        <w:t>v legislatíve EÚ) bude hlavnou prio</w:t>
      </w:r>
      <w:r w:rsidR="0097314E">
        <w:rPr>
          <w:sz w:val="22"/>
          <w:szCs w:val="22"/>
        </w:rPr>
        <w:t>ritou pri napĺňaní tohto cieľa.</w:t>
      </w:r>
    </w:p>
    <w:p w14:paraId="524C2E09" w14:textId="77777777" w:rsidR="007877CC" w:rsidRDefault="007877CC" w:rsidP="00032E50">
      <w:pPr>
        <w:spacing w:before="180"/>
        <w:jc w:val="both"/>
        <w:rPr>
          <w:sz w:val="22"/>
          <w:szCs w:val="22"/>
        </w:rPr>
      </w:pPr>
      <w:r w:rsidRPr="009B2843">
        <w:rPr>
          <w:b/>
          <w:sz w:val="22"/>
          <w:szCs w:val="22"/>
        </w:rPr>
        <w:t>Projekty</w:t>
      </w:r>
      <w:r>
        <w:rPr>
          <w:b/>
          <w:sz w:val="22"/>
          <w:szCs w:val="22"/>
        </w:rPr>
        <w:t xml:space="preserve"> v oblasti</w:t>
      </w:r>
      <w:r w:rsidRPr="009B2843">
        <w:rPr>
          <w:b/>
          <w:sz w:val="22"/>
          <w:szCs w:val="22"/>
        </w:rPr>
        <w:t xml:space="preserve"> modernizácie </w:t>
      </w:r>
      <w:r>
        <w:rPr>
          <w:b/>
          <w:sz w:val="22"/>
          <w:szCs w:val="22"/>
        </w:rPr>
        <w:t xml:space="preserve">a rozvoja </w:t>
      </w:r>
      <w:r w:rsidRPr="009B2843">
        <w:rPr>
          <w:b/>
          <w:sz w:val="22"/>
          <w:szCs w:val="22"/>
        </w:rPr>
        <w:t xml:space="preserve">železničnej dopravnej infraštruktúry budú realizované na tých tratiach, ktoré majú rozhodujúci význam </w:t>
      </w:r>
      <w:r>
        <w:rPr>
          <w:b/>
          <w:sz w:val="22"/>
          <w:szCs w:val="22"/>
        </w:rPr>
        <w:t>pre rast hospodárstva a zlepšenie mobility obyvateľstva SR a EÚ</w:t>
      </w:r>
      <w:r w:rsidR="00F849D1">
        <w:rPr>
          <w:b/>
          <w:sz w:val="22"/>
          <w:szCs w:val="22"/>
        </w:rPr>
        <w:t xml:space="preserve">- koridory </w:t>
      </w:r>
      <w:r w:rsidR="002E021A">
        <w:rPr>
          <w:b/>
          <w:sz w:val="22"/>
          <w:szCs w:val="22"/>
        </w:rPr>
        <w:t xml:space="preserve">základnej siete </w:t>
      </w:r>
      <w:r w:rsidR="00F849D1">
        <w:rPr>
          <w:b/>
          <w:sz w:val="22"/>
          <w:szCs w:val="22"/>
        </w:rPr>
        <w:t>TEN-T, najmä úseky v smere Žilina – Košice a Žilina – št. hr. SR/ČR.</w:t>
      </w:r>
    </w:p>
    <w:p w14:paraId="4F8EF5B2" w14:textId="77777777" w:rsidR="00032E50" w:rsidRPr="009B2843" w:rsidRDefault="00032E50" w:rsidP="00032E50">
      <w:pPr>
        <w:spacing w:before="180"/>
        <w:jc w:val="both"/>
        <w:rPr>
          <w:b/>
          <w:sz w:val="22"/>
          <w:szCs w:val="22"/>
        </w:rPr>
      </w:pPr>
      <w:r w:rsidRPr="004A300A">
        <w:rPr>
          <w:sz w:val="22"/>
          <w:szCs w:val="23"/>
        </w:rPr>
        <w:t>Pokračovanie v modernizácii železničných koridorov je podmienené spracovaní</w:t>
      </w:r>
      <w:r w:rsidR="00966BCE">
        <w:rPr>
          <w:sz w:val="22"/>
          <w:szCs w:val="23"/>
        </w:rPr>
        <w:t>m aktualizácie, resp. vypracovaným nových štúdií realizovateľnosti jednotlivých železničných koridorov.</w:t>
      </w:r>
      <w:r>
        <w:rPr>
          <w:sz w:val="22"/>
          <w:szCs w:val="23"/>
        </w:rPr>
        <w:t xml:space="preserve"> </w:t>
      </w:r>
      <w:r>
        <w:rPr>
          <w:sz w:val="22"/>
          <w:szCs w:val="22"/>
        </w:rPr>
        <w:t>Zvyšov</w:t>
      </w:r>
      <w:r w:rsidR="007877CC">
        <w:rPr>
          <w:sz w:val="22"/>
          <w:szCs w:val="22"/>
        </w:rPr>
        <w:t>anie traťových rýchlostí na 160 </w:t>
      </w:r>
      <w:r>
        <w:rPr>
          <w:sz w:val="22"/>
          <w:szCs w:val="22"/>
        </w:rPr>
        <w:t>km/h bude realizované len v tých úsekoch</w:t>
      </w:r>
      <w:r w:rsidRPr="009B2843">
        <w:rPr>
          <w:sz w:val="22"/>
          <w:szCs w:val="22"/>
        </w:rPr>
        <w:t>, kde je to vzhľadom na</w:t>
      </w:r>
      <w:r w:rsidR="0095191D">
        <w:rPr>
          <w:sz w:val="22"/>
          <w:szCs w:val="22"/>
        </w:rPr>
        <w:t> </w:t>
      </w:r>
      <w:r w:rsidR="00D21821">
        <w:rPr>
          <w:sz w:val="22"/>
          <w:szCs w:val="22"/>
        </w:rPr>
        <w:t>geomorfologické a</w:t>
      </w:r>
      <w:r w:rsidRPr="009B2843">
        <w:rPr>
          <w:sz w:val="22"/>
          <w:szCs w:val="22"/>
        </w:rPr>
        <w:t xml:space="preserve"> geografické podmienky</w:t>
      </w:r>
      <w:r>
        <w:rPr>
          <w:sz w:val="22"/>
          <w:szCs w:val="22"/>
        </w:rPr>
        <w:t xml:space="preserve"> a investičnú efektívnosť</w:t>
      </w:r>
      <w:r w:rsidRPr="009B2843">
        <w:rPr>
          <w:sz w:val="22"/>
          <w:szCs w:val="22"/>
        </w:rPr>
        <w:t xml:space="preserve"> možné</w:t>
      </w:r>
      <w:r>
        <w:rPr>
          <w:sz w:val="22"/>
          <w:szCs w:val="22"/>
        </w:rPr>
        <w:t>.</w:t>
      </w:r>
    </w:p>
    <w:p w14:paraId="3A74931E" w14:textId="77777777" w:rsidR="00DC14D0" w:rsidRPr="001B2070" w:rsidRDefault="00DC14D0"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53CBD7E" w14:textId="77777777" w:rsidR="009E0158" w:rsidRDefault="005665D4" w:rsidP="008F3CB1">
      <w:pPr>
        <w:pStyle w:val="Odsekzoznamu"/>
        <w:numPr>
          <w:ilvl w:val="0"/>
          <w:numId w:val="44"/>
        </w:numPr>
        <w:autoSpaceDE w:val="0"/>
        <w:autoSpaceDN w:val="0"/>
        <w:adjustRightInd w:val="0"/>
        <w:ind w:left="709" w:hanging="425"/>
        <w:jc w:val="both"/>
        <w:rPr>
          <w:sz w:val="22"/>
          <w:szCs w:val="22"/>
        </w:rPr>
      </w:pPr>
      <w:r w:rsidRPr="00186DB7">
        <w:rPr>
          <w:sz w:val="22"/>
          <w:szCs w:val="22"/>
        </w:rPr>
        <w:t>odstránenie kľúčových úzkych miest na základnej sieti TEN-T</w:t>
      </w:r>
      <w:r w:rsidR="007877CC">
        <w:rPr>
          <w:sz w:val="22"/>
          <w:szCs w:val="22"/>
        </w:rPr>
        <w:t xml:space="preserve"> (najmä </w:t>
      </w:r>
      <w:r w:rsidRPr="00186DB7">
        <w:rPr>
          <w:sz w:val="22"/>
          <w:szCs w:val="22"/>
        </w:rPr>
        <w:t xml:space="preserve">v úseku </w:t>
      </w:r>
      <w:r>
        <w:rPr>
          <w:sz w:val="22"/>
          <w:szCs w:val="22"/>
        </w:rPr>
        <w:t>Žilina</w:t>
      </w:r>
      <w:r w:rsidR="00B12931">
        <w:rPr>
          <w:sz w:val="22"/>
          <w:szCs w:val="22"/>
        </w:rPr>
        <w:t xml:space="preserve"> – Košice a </w:t>
      </w:r>
      <w:r w:rsidR="002E021A">
        <w:rPr>
          <w:sz w:val="22"/>
          <w:szCs w:val="22"/>
        </w:rPr>
        <w:t>Žilina</w:t>
      </w:r>
      <w:r w:rsidR="00B12931">
        <w:rPr>
          <w:sz w:val="22"/>
          <w:szCs w:val="22"/>
        </w:rPr>
        <w:t xml:space="preserve"> – št. hr. SR/ČR</w:t>
      </w:r>
      <w:r w:rsidR="007877CC">
        <w:rPr>
          <w:sz w:val="22"/>
          <w:szCs w:val="22"/>
        </w:rPr>
        <w:t>)</w:t>
      </w:r>
      <w:r>
        <w:rPr>
          <w:sz w:val="22"/>
          <w:szCs w:val="22"/>
        </w:rPr>
        <w:t>,</w:t>
      </w:r>
    </w:p>
    <w:p w14:paraId="263E4B37" w14:textId="77777777" w:rsidR="009E0158" w:rsidRDefault="00FA32B6" w:rsidP="008F3CB1">
      <w:pPr>
        <w:pStyle w:val="Odsekzoznamu"/>
        <w:numPr>
          <w:ilvl w:val="0"/>
          <w:numId w:val="44"/>
        </w:numPr>
        <w:autoSpaceDE w:val="0"/>
        <w:autoSpaceDN w:val="0"/>
        <w:adjustRightInd w:val="0"/>
        <w:ind w:left="709" w:hanging="425"/>
        <w:jc w:val="both"/>
        <w:rPr>
          <w:sz w:val="22"/>
          <w:szCs w:val="22"/>
        </w:rPr>
      </w:pPr>
      <w:r>
        <w:rPr>
          <w:sz w:val="22"/>
          <w:szCs w:val="22"/>
        </w:rPr>
        <w:t>zníženie časových strát a prevádzkových nákladov,</w:t>
      </w:r>
    </w:p>
    <w:p w14:paraId="3ED8388D" w14:textId="77777777" w:rsidR="009E0158" w:rsidRDefault="00750184" w:rsidP="008F3CB1">
      <w:pPr>
        <w:pStyle w:val="Odsekzoznamu"/>
        <w:numPr>
          <w:ilvl w:val="0"/>
          <w:numId w:val="44"/>
        </w:numPr>
        <w:autoSpaceDE w:val="0"/>
        <w:autoSpaceDN w:val="0"/>
        <w:adjustRightInd w:val="0"/>
        <w:ind w:left="709" w:hanging="425"/>
        <w:jc w:val="both"/>
        <w:rPr>
          <w:sz w:val="22"/>
          <w:szCs w:val="22"/>
        </w:rPr>
      </w:pPr>
      <w:r>
        <w:rPr>
          <w:sz w:val="22"/>
          <w:szCs w:val="22"/>
        </w:rPr>
        <w:t>zníženie negatívnych vplyvov na životné prostredie (zníženie hluk</w:t>
      </w:r>
      <w:r w:rsidR="005068E6">
        <w:rPr>
          <w:sz w:val="22"/>
          <w:szCs w:val="22"/>
        </w:rPr>
        <w:t>ovej</w:t>
      </w:r>
      <w:r>
        <w:rPr>
          <w:sz w:val="22"/>
          <w:szCs w:val="22"/>
        </w:rPr>
        <w:t xml:space="preserve"> záťaže</w:t>
      </w:r>
      <w:r w:rsidR="005068E6">
        <w:rPr>
          <w:sz w:val="22"/>
          <w:szCs w:val="22"/>
        </w:rPr>
        <w:t xml:space="preserve"> a emisií CO</w:t>
      </w:r>
      <w:r w:rsidR="005068E6" w:rsidRPr="005068E6">
        <w:rPr>
          <w:sz w:val="22"/>
          <w:szCs w:val="22"/>
          <w:vertAlign w:val="subscript"/>
        </w:rPr>
        <w:t>2</w:t>
      </w:r>
      <w:r w:rsidR="005068E6">
        <w:rPr>
          <w:sz w:val="22"/>
          <w:szCs w:val="22"/>
        </w:rPr>
        <w:t>, NO</w:t>
      </w:r>
      <w:r w:rsidR="005068E6" w:rsidRPr="005068E6">
        <w:rPr>
          <w:sz w:val="22"/>
          <w:szCs w:val="22"/>
          <w:vertAlign w:val="subscript"/>
        </w:rPr>
        <w:t>2</w:t>
      </w:r>
      <w:r w:rsidR="005068E6">
        <w:rPr>
          <w:sz w:val="22"/>
          <w:szCs w:val="22"/>
        </w:rPr>
        <w:t xml:space="preserve"> a</w:t>
      </w:r>
      <w:r w:rsidR="001814E9">
        <w:rPr>
          <w:sz w:val="22"/>
          <w:szCs w:val="22"/>
        </w:rPr>
        <w:t> </w:t>
      </w:r>
      <w:r w:rsidR="005068E6">
        <w:rPr>
          <w:sz w:val="22"/>
          <w:szCs w:val="22"/>
        </w:rPr>
        <w:t>PM</w:t>
      </w:r>
      <w:r w:rsidR="00307AAF" w:rsidRPr="00307AAF">
        <w:rPr>
          <w:sz w:val="22"/>
          <w:szCs w:val="22"/>
          <w:vertAlign w:val="subscript"/>
        </w:rPr>
        <w:t>10</w:t>
      </w:r>
      <w:r w:rsidR="001814E9">
        <w:rPr>
          <w:rStyle w:val="Odkaznapoznmkupodiarou"/>
          <w:sz w:val="22"/>
          <w:szCs w:val="22"/>
          <w:vertAlign w:val="baseline"/>
        </w:rPr>
        <w:t>)</w:t>
      </w:r>
      <w:r>
        <w:rPr>
          <w:sz w:val="22"/>
          <w:szCs w:val="22"/>
        </w:rPr>
        <w:t>,</w:t>
      </w:r>
    </w:p>
    <w:p w14:paraId="07FE3C36" w14:textId="77777777" w:rsidR="009E0158" w:rsidRDefault="006012B4" w:rsidP="008F3CB1">
      <w:pPr>
        <w:pStyle w:val="Odsekzoznamu"/>
        <w:numPr>
          <w:ilvl w:val="0"/>
          <w:numId w:val="44"/>
        </w:numPr>
        <w:autoSpaceDE w:val="0"/>
        <w:autoSpaceDN w:val="0"/>
        <w:adjustRightInd w:val="0"/>
        <w:ind w:left="709" w:hanging="425"/>
        <w:jc w:val="both"/>
        <w:rPr>
          <w:sz w:val="22"/>
          <w:szCs w:val="22"/>
        </w:rPr>
      </w:pPr>
      <w:r w:rsidRPr="00750184">
        <w:rPr>
          <w:color w:val="000000" w:themeColor="text1"/>
          <w:sz w:val="22"/>
          <w:szCs w:val="22"/>
        </w:rPr>
        <w:t>vytváranie predpokladov na zvýšenie podielu železničnej osobnej a nákladnej dopravy na deľbe prepravnej práce,</w:t>
      </w:r>
    </w:p>
    <w:p w14:paraId="3F58A5EE" w14:textId="77777777" w:rsidR="009E0158" w:rsidRDefault="00FA32B6" w:rsidP="008F3CB1">
      <w:pPr>
        <w:pStyle w:val="Odsekzoznamu"/>
        <w:numPr>
          <w:ilvl w:val="0"/>
          <w:numId w:val="44"/>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sidR="00D21821">
        <w:rPr>
          <w:sz w:val="22"/>
          <w:szCs w:val="22"/>
        </w:rPr>
        <w:t>, zlepšenie</w:t>
      </w:r>
      <w:r>
        <w:rPr>
          <w:sz w:val="22"/>
          <w:szCs w:val="22"/>
        </w:rPr>
        <w:t xml:space="preserve"> mobility obyvateľov</w:t>
      </w:r>
      <w:r w:rsidRPr="00B715C0">
        <w:rPr>
          <w:sz w:val="22"/>
          <w:szCs w:val="22"/>
        </w:rPr>
        <w:t xml:space="preserve"> a potenciálu </w:t>
      </w:r>
      <w:r w:rsidR="00615FA5">
        <w:rPr>
          <w:sz w:val="22"/>
          <w:szCs w:val="22"/>
        </w:rPr>
        <w:t>rastu zamestnanosti</w:t>
      </w:r>
      <w:r>
        <w:rPr>
          <w:sz w:val="22"/>
          <w:szCs w:val="22"/>
        </w:rPr>
        <w:t>.</w:t>
      </w:r>
    </w:p>
    <w:p w14:paraId="46E26BC9" w14:textId="77777777" w:rsidR="001A218B" w:rsidRDefault="00AB18C1" w:rsidP="006B00CB">
      <w:pPr>
        <w:pStyle w:val="Tab"/>
        <w:tabs>
          <w:tab w:val="clear" w:pos="0"/>
        </w:tabs>
      </w:pPr>
      <w:r>
        <w:t>Špecifické v</w:t>
      </w:r>
      <w:r w:rsidR="004F0234" w:rsidRPr="004F0234">
        <w:t>ýsledkové ukazovatele zodpovedajúce špecifickému cieľu</w:t>
      </w:r>
      <w:r w:rsidR="00350B96">
        <w:t xml:space="preserve"> 1.1</w:t>
      </w:r>
    </w:p>
    <w:tbl>
      <w:tblPr>
        <w:tblStyle w:val="Mriekatabuky"/>
        <w:tblW w:w="94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56"/>
        <w:gridCol w:w="1484"/>
        <w:gridCol w:w="903"/>
        <w:gridCol w:w="993"/>
        <w:gridCol w:w="1417"/>
        <w:gridCol w:w="1024"/>
        <w:gridCol w:w="911"/>
        <w:gridCol w:w="900"/>
        <w:gridCol w:w="1276"/>
      </w:tblGrid>
      <w:tr w:rsidR="00AB18C1" w14:paraId="345070A4" w14:textId="77777777" w:rsidTr="00DF003C">
        <w:trPr>
          <w:trHeight w:val="487"/>
          <w:jc w:val="center"/>
        </w:trPr>
        <w:tc>
          <w:tcPr>
            <w:tcW w:w="556" w:type="dxa"/>
            <w:shd w:val="clear" w:color="auto" w:fill="C6D9F1" w:themeFill="text2" w:themeFillTint="33"/>
            <w:vAlign w:val="center"/>
          </w:tcPr>
          <w:p w14:paraId="774DCD11" w14:textId="77777777" w:rsidR="00AB18C1" w:rsidRPr="008C1732" w:rsidRDefault="00854EA5" w:rsidP="00AB18C1">
            <w:pPr>
              <w:ind w:left="0"/>
              <w:jc w:val="center"/>
              <w:rPr>
                <w:b/>
                <w:sz w:val="18"/>
                <w:szCs w:val="18"/>
              </w:rPr>
            </w:pPr>
            <w:r>
              <w:rPr>
                <w:b/>
                <w:sz w:val="18"/>
                <w:szCs w:val="18"/>
              </w:rPr>
              <w:t>P. č.</w:t>
            </w:r>
          </w:p>
        </w:tc>
        <w:tc>
          <w:tcPr>
            <w:tcW w:w="1484" w:type="dxa"/>
            <w:shd w:val="clear" w:color="auto" w:fill="C6D9F1" w:themeFill="text2" w:themeFillTint="33"/>
            <w:vAlign w:val="center"/>
          </w:tcPr>
          <w:p w14:paraId="7EC0F737" w14:textId="77777777" w:rsidR="00AB18C1" w:rsidRPr="008C1732" w:rsidRDefault="00AB18C1" w:rsidP="00AB18C1">
            <w:pPr>
              <w:ind w:left="0"/>
              <w:jc w:val="center"/>
              <w:rPr>
                <w:b/>
                <w:sz w:val="18"/>
                <w:szCs w:val="18"/>
              </w:rPr>
            </w:pPr>
            <w:r w:rsidRPr="008C1732">
              <w:rPr>
                <w:b/>
                <w:sz w:val="18"/>
                <w:szCs w:val="18"/>
              </w:rPr>
              <w:t>Ukazovateľ</w:t>
            </w:r>
          </w:p>
        </w:tc>
        <w:tc>
          <w:tcPr>
            <w:tcW w:w="903" w:type="dxa"/>
            <w:shd w:val="clear" w:color="auto" w:fill="C6D9F1" w:themeFill="text2" w:themeFillTint="33"/>
            <w:vAlign w:val="center"/>
          </w:tcPr>
          <w:p w14:paraId="4BD8E481" w14:textId="77777777" w:rsidR="00AB18C1" w:rsidRPr="008C1732" w:rsidRDefault="00AB18C1" w:rsidP="00AB18C1">
            <w:pPr>
              <w:ind w:left="0"/>
              <w:jc w:val="center"/>
              <w:rPr>
                <w:b/>
                <w:sz w:val="18"/>
                <w:szCs w:val="18"/>
              </w:rPr>
            </w:pPr>
            <w:r w:rsidRPr="008C1732">
              <w:rPr>
                <w:b/>
                <w:sz w:val="18"/>
                <w:szCs w:val="18"/>
              </w:rPr>
              <w:t>Merná jednotka</w:t>
            </w:r>
          </w:p>
        </w:tc>
        <w:tc>
          <w:tcPr>
            <w:tcW w:w="993" w:type="dxa"/>
            <w:shd w:val="clear" w:color="auto" w:fill="C6D9F1" w:themeFill="text2" w:themeFillTint="33"/>
            <w:vAlign w:val="center"/>
          </w:tcPr>
          <w:p w14:paraId="5AC2F583" w14:textId="77777777" w:rsidR="00AB18C1" w:rsidRPr="008C1732" w:rsidRDefault="00AB18C1" w:rsidP="00AB18C1">
            <w:pPr>
              <w:ind w:left="0"/>
              <w:jc w:val="center"/>
              <w:rPr>
                <w:b/>
                <w:sz w:val="18"/>
                <w:szCs w:val="18"/>
              </w:rPr>
            </w:pPr>
            <w:r w:rsidRPr="008C1732">
              <w:rPr>
                <w:b/>
                <w:sz w:val="18"/>
                <w:szCs w:val="18"/>
              </w:rPr>
              <w:t>Kategória regiónu</w:t>
            </w:r>
          </w:p>
        </w:tc>
        <w:tc>
          <w:tcPr>
            <w:tcW w:w="1417" w:type="dxa"/>
            <w:shd w:val="clear" w:color="auto" w:fill="C6D9F1" w:themeFill="text2" w:themeFillTint="33"/>
            <w:vAlign w:val="center"/>
          </w:tcPr>
          <w:p w14:paraId="04519BD4" w14:textId="77777777" w:rsidR="00AB18C1" w:rsidRPr="008C1732" w:rsidRDefault="00AB18C1" w:rsidP="00AB18C1">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49D3C372" w14:textId="77777777" w:rsidR="00AB18C1" w:rsidRPr="008C1732" w:rsidRDefault="00AB18C1" w:rsidP="00AB18C1">
            <w:pPr>
              <w:ind w:left="0"/>
              <w:jc w:val="center"/>
              <w:rPr>
                <w:b/>
                <w:sz w:val="18"/>
                <w:szCs w:val="18"/>
              </w:rPr>
            </w:pPr>
            <w:r>
              <w:rPr>
                <w:b/>
                <w:sz w:val="18"/>
                <w:szCs w:val="18"/>
              </w:rPr>
              <w:t>Východiskový rok</w:t>
            </w:r>
          </w:p>
        </w:tc>
        <w:tc>
          <w:tcPr>
            <w:tcW w:w="911" w:type="dxa"/>
            <w:shd w:val="clear" w:color="auto" w:fill="C6D9F1" w:themeFill="text2" w:themeFillTint="33"/>
            <w:vAlign w:val="center"/>
          </w:tcPr>
          <w:p w14:paraId="5BFDC56D" w14:textId="77777777" w:rsidR="00AB18C1" w:rsidRPr="008C1732" w:rsidRDefault="00AB18C1" w:rsidP="00AB18C1">
            <w:pPr>
              <w:ind w:left="0"/>
              <w:jc w:val="center"/>
              <w:rPr>
                <w:b/>
                <w:sz w:val="18"/>
                <w:szCs w:val="18"/>
              </w:rPr>
            </w:pPr>
            <w:r w:rsidRPr="008C1732">
              <w:rPr>
                <w:b/>
                <w:sz w:val="18"/>
                <w:szCs w:val="18"/>
              </w:rPr>
              <w:t>Cieľová hodnota (2023)</w:t>
            </w:r>
          </w:p>
        </w:tc>
        <w:tc>
          <w:tcPr>
            <w:tcW w:w="900" w:type="dxa"/>
            <w:shd w:val="clear" w:color="auto" w:fill="C6D9F1" w:themeFill="text2" w:themeFillTint="33"/>
            <w:vAlign w:val="center"/>
          </w:tcPr>
          <w:p w14:paraId="318BDEB5" w14:textId="77777777" w:rsidR="00AB18C1" w:rsidRPr="008C1732" w:rsidRDefault="00AB18C1" w:rsidP="00AB18C1">
            <w:pPr>
              <w:ind w:left="0"/>
              <w:jc w:val="center"/>
              <w:rPr>
                <w:b/>
                <w:sz w:val="18"/>
                <w:szCs w:val="18"/>
              </w:rPr>
            </w:pPr>
            <w:r w:rsidRPr="008C1732">
              <w:rPr>
                <w:b/>
                <w:sz w:val="18"/>
                <w:szCs w:val="18"/>
              </w:rPr>
              <w:t>Zdroj údajov</w:t>
            </w:r>
          </w:p>
        </w:tc>
        <w:tc>
          <w:tcPr>
            <w:tcW w:w="1276" w:type="dxa"/>
            <w:shd w:val="clear" w:color="auto" w:fill="C6D9F1" w:themeFill="text2" w:themeFillTint="33"/>
            <w:vAlign w:val="center"/>
          </w:tcPr>
          <w:p w14:paraId="5DEBA61C" w14:textId="77777777" w:rsidR="00AB18C1" w:rsidRPr="008C1732" w:rsidRDefault="00AB18C1" w:rsidP="00AB18C1">
            <w:pPr>
              <w:ind w:left="0"/>
              <w:jc w:val="center"/>
              <w:rPr>
                <w:b/>
                <w:sz w:val="18"/>
                <w:szCs w:val="18"/>
              </w:rPr>
            </w:pPr>
            <w:r w:rsidRPr="008C1732">
              <w:rPr>
                <w:b/>
                <w:sz w:val="18"/>
                <w:szCs w:val="18"/>
              </w:rPr>
              <w:t>Frekvencia vykazovania</w:t>
            </w:r>
          </w:p>
        </w:tc>
      </w:tr>
      <w:tr w:rsidR="00AB18C1" w14:paraId="48F3C293" w14:textId="77777777" w:rsidTr="00DF003C">
        <w:trPr>
          <w:trHeight w:val="680"/>
          <w:jc w:val="center"/>
        </w:trPr>
        <w:tc>
          <w:tcPr>
            <w:tcW w:w="556" w:type="dxa"/>
            <w:shd w:val="clear" w:color="auto" w:fill="auto"/>
            <w:vAlign w:val="center"/>
          </w:tcPr>
          <w:p w14:paraId="0CFE0FB5" w14:textId="77777777" w:rsidR="00AB18C1" w:rsidRPr="007C22BF" w:rsidRDefault="00854EA5" w:rsidP="005917D8">
            <w:pPr>
              <w:ind w:left="0"/>
              <w:jc w:val="center"/>
              <w:rPr>
                <w:sz w:val="18"/>
                <w:szCs w:val="18"/>
              </w:rPr>
            </w:pPr>
            <w:r w:rsidRPr="007C22BF">
              <w:rPr>
                <w:sz w:val="18"/>
                <w:szCs w:val="18"/>
              </w:rPr>
              <w:t>1.</w:t>
            </w:r>
          </w:p>
        </w:tc>
        <w:tc>
          <w:tcPr>
            <w:tcW w:w="1484" w:type="dxa"/>
            <w:shd w:val="clear" w:color="auto" w:fill="auto"/>
            <w:vAlign w:val="center"/>
          </w:tcPr>
          <w:p w14:paraId="09AD5B37" w14:textId="0790ACF2" w:rsidR="00AB18C1" w:rsidRPr="007C22BF" w:rsidRDefault="00AB18C1" w:rsidP="00336C1F">
            <w:pPr>
              <w:ind w:left="0"/>
              <w:rPr>
                <w:sz w:val="18"/>
                <w:szCs w:val="18"/>
              </w:rPr>
            </w:pPr>
            <w:r w:rsidRPr="007C22BF">
              <w:rPr>
                <w:sz w:val="18"/>
                <w:szCs w:val="18"/>
              </w:rPr>
              <w:t>Úspora času v železničnej doprave</w:t>
            </w:r>
            <w:r w:rsidR="00043D5B">
              <w:rPr>
                <w:sz w:val="18"/>
                <w:szCs w:val="18"/>
              </w:rPr>
              <w:t xml:space="preserve"> na základnej sieti TEN-T</w:t>
            </w:r>
          </w:p>
        </w:tc>
        <w:tc>
          <w:tcPr>
            <w:tcW w:w="903" w:type="dxa"/>
            <w:shd w:val="clear" w:color="auto" w:fill="auto"/>
            <w:vAlign w:val="center"/>
          </w:tcPr>
          <w:p w14:paraId="5A90F2E5" w14:textId="77777777" w:rsidR="00AB18C1" w:rsidRPr="007C22BF" w:rsidRDefault="00AB18C1" w:rsidP="00AB18C1">
            <w:pPr>
              <w:ind w:left="0"/>
              <w:jc w:val="center"/>
              <w:rPr>
                <w:sz w:val="18"/>
                <w:szCs w:val="18"/>
              </w:rPr>
            </w:pPr>
            <w:r w:rsidRPr="007C22BF">
              <w:rPr>
                <w:sz w:val="18"/>
                <w:szCs w:val="18"/>
              </w:rPr>
              <w:t>EUR</w:t>
            </w:r>
          </w:p>
        </w:tc>
        <w:tc>
          <w:tcPr>
            <w:tcW w:w="993" w:type="dxa"/>
            <w:shd w:val="clear" w:color="auto" w:fill="auto"/>
            <w:vAlign w:val="center"/>
          </w:tcPr>
          <w:p w14:paraId="05C31196" w14:textId="77777777" w:rsidR="00AB18C1" w:rsidRPr="007C22BF" w:rsidRDefault="00AB18C1" w:rsidP="00AB18C1">
            <w:pPr>
              <w:ind w:left="0"/>
              <w:jc w:val="center"/>
              <w:rPr>
                <w:sz w:val="18"/>
                <w:szCs w:val="18"/>
              </w:rPr>
            </w:pPr>
            <w:r w:rsidRPr="007C22BF">
              <w:rPr>
                <w:sz w:val="18"/>
                <w:szCs w:val="18"/>
              </w:rPr>
              <w:t>N/A</w:t>
            </w:r>
          </w:p>
        </w:tc>
        <w:tc>
          <w:tcPr>
            <w:tcW w:w="1417" w:type="dxa"/>
            <w:vAlign w:val="center"/>
          </w:tcPr>
          <w:p w14:paraId="27866B87" w14:textId="77777777" w:rsidR="00AB18C1" w:rsidRPr="007C22BF" w:rsidRDefault="00D735A3" w:rsidP="00D735A3">
            <w:pPr>
              <w:ind w:left="0"/>
              <w:rPr>
                <w:sz w:val="18"/>
                <w:szCs w:val="18"/>
              </w:rPr>
            </w:pPr>
            <w:r w:rsidRPr="007C22BF">
              <w:rPr>
                <w:sz w:val="18"/>
                <w:szCs w:val="18"/>
              </w:rPr>
              <w:t> </w:t>
            </w:r>
            <w:r w:rsidR="00B35B00" w:rsidRPr="007C22BF">
              <w:rPr>
                <w:sz w:val="18"/>
                <w:szCs w:val="18"/>
              </w:rPr>
              <w:t>23 697 461</w:t>
            </w:r>
          </w:p>
        </w:tc>
        <w:tc>
          <w:tcPr>
            <w:tcW w:w="1024" w:type="dxa"/>
            <w:vAlign w:val="center"/>
          </w:tcPr>
          <w:p w14:paraId="6AD7F12F" w14:textId="77777777" w:rsidR="00AB18C1" w:rsidRPr="007C22BF" w:rsidRDefault="00AB18C1" w:rsidP="00AB18C1">
            <w:pPr>
              <w:ind w:left="0"/>
              <w:jc w:val="center"/>
              <w:rPr>
                <w:sz w:val="18"/>
                <w:szCs w:val="18"/>
              </w:rPr>
            </w:pPr>
            <w:r w:rsidRPr="007C22BF">
              <w:rPr>
                <w:sz w:val="18"/>
                <w:szCs w:val="18"/>
              </w:rPr>
              <w:t>2013</w:t>
            </w:r>
          </w:p>
        </w:tc>
        <w:tc>
          <w:tcPr>
            <w:tcW w:w="911" w:type="dxa"/>
            <w:shd w:val="clear" w:color="auto" w:fill="auto"/>
            <w:vAlign w:val="center"/>
          </w:tcPr>
          <w:p w14:paraId="794C7B6D" w14:textId="77777777" w:rsidR="00AB18C1" w:rsidRPr="007C22BF" w:rsidRDefault="00B35B00" w:rsidP="00AB18C1">
            <w:pPr>
              <w:ind w:left="0"/>
              <w:jc w:val="center"/>
              <w:rPr>
                <w:sz w:val="18"/>
                <w:szCs w:val="18"/>
              </w:rPr>
            </w:pPr>
            <w:r w:rsidRPr="007C22BF">
              <w:rPr>
                <w:sz w:val="18"/>
                <w:szCs w:val="18"/>
              </w:rPr>
              <w:t>18 910 877</w:t>
            </w:r>
          </w:p>
        </w:tc>
        <w:tc>
          <w:tcPr>
            <w:tcW w:w="900" w:type="dxa"/>
            <w:vAlign w:val="center"/>
          </w:tcPr>
          <w:p w14:paraId="0627FF69" w14:textId="77777777" w:rsidR="00AB18C1" w:rsidRPr="007C22BF" w:rsidRDefault="00AB18C1" w:rsidP="00AB18C1">
            <w:pPr>
              <w:ind w:left="0"/>
              <w:jc w:val="center"/>
              <w:rPr>
                <w:sz w:val="18"/>
                <w:szCs w:val="18"/>
              </w:rPr>
            </w:pPr>
            <w:r w:rsidRPr="007C22BF">
              <w:rPr>
                <w:sz w:val="18"/>
                <w:szCs w:val="18"/>
              </w:rPr>
              <w:t>RO OPII</w:t>
            </w:r>
          </w:p>
        </w:tc>
        <w:tc>
          <w:tcPr>
            <w:tcW w:w="1276" w:type="dxa"/>
            <w:vAlign w:val="center"/>
          </w:tcPr>
          <w:p w14:paraId="477E0788" w14:textId="77777777" w:rsidR="00AB18C1" w:rsidRPr="007C22BF" w:rsidRDefault="00AB18C1" w:rsidP="00AB18C1">
            <w:pPr>
              <w:ind w:left="0"/>
              <w:jc w:val="center"/>
              <w:rPr>
                <w:sz w:val="18"/>
                <w:szCs w:val="18"/>
              </w:rPr>
            </w:pPr>
            <w:r w:rsidRPr="007C22BF">
              <w:rPr>
                <w:sz w:val="18"/>
                <w:szCs w:val="18"/>
              </w:rPr>
              <w:t>Ročne</w:t>
            </w:r>
          </w:p>
        </w:tc>
      </w:tr>
      <w:tr w:rsidR="007C22BF" w14:paraId="7DE5B066" w14:textId="77777777" w:rsidTr="00DF003C">
        <w:trPr>
          <w:trHeight w:val="680"/>
          <w:jc w:val="center"/>
        </w:trPr>
        <w:tc>
          <w:tcPr>
            <w:tcW w:w="556" w:type="dxa"/>
            <w:shd w:val="clear" w:color="auto" w:fill="auto"/>
            <w:vAlign w:val="center"/>
          </w:tcPr>
          <w:p w14:paraId="4A7C56E5" w14:textId="77777777" w:rsidR="007C22BF" w:rsidRPr="007C22BF" w:rsidRDefault="007C22BF" w:rsidP="007C22BF">
            <w:pPr>
              <w:ind w:left="0"/>
              <w:jc w:val="center"/>
              <w:rPr>
                <w:sz w:val="18"/>
                <w:szCs w:val="18"/>
              </w:rPr>
            </w:pPr>
            <w:r w:rsidRPr="007C22BF">
              <w:rPr>
                <w:sz w:val="18"/>
                <w:szCs w:val="18"/>
              </w:rPr>
              <w:t>2.</w:t>
            </w:r>
          </w:p>
        </w:tc>
        <w:tc>
          <w:tcPr>
            <w:tcW w:w="1484" w:type="dxa"/>
            <w:shd w:val="clear" w:color="auto" w:fill="auto"/>
            <w:vAlign w:val="center"/>
          </w:tcPr>
          <w:p w14:paraId="1F1E72B3" w14:textId="77777777" w:rsidR="007C22BF" w:rsidRPr="007C22BF" w:rsidRDefault="007C22BF" w:rsidP="007C22BF">
            <w:pPr>
              <w:ind w:left="0"/>
              <w:rPr>
                <w:sz w:val="18"/>
                <w:szCs w:val="18"/>
              </w:rPr>
            </w:pPr>
            <w:r w:rsidRPr="007C22BF">
              <w:rPr>
                <w:sz w:val="18"/>
                <w:szCs w:val="18"/>
              </w:rPr>
              <w:t>Úspora produkcie emisií PM</w:t>
            </w:r>
            <w:r w:rsidRPr="008776E4">
              <w:rPr>
                <w:sz w:val="18"/>
                <w:szCs w:val="18"/>
                <w:vertAlign w:val="subscript"/>
              </w:rPr>
              <w:t>10</w:t>
            </w:r>
            <w:r w:rsidRPr="007C22BF">
              <w:rPr>
                <w:sz w:val="18"/>
                <w:szCs w:val="18"/>
              </w:rPr>
              <w:t xml:space="preserve"> (vplyvom modernizácie tratí)</w:t>
            </w:r>
          </w:p>
        </w:tc>
        <w:tc>
          <w:tcPr>
            <w:tcW w:w="903" w:type="dxa"/>
            <w:shd w:val="clear" w:color="auto" w:fill="auto"/>
            <w:vAlign w:val="center"/>
          </w:tcPr>
          <w:p w14:paraId="6E22F8E4" w14:textId="77777777" w:rsidR="007C22BF" w:rsidRPr="007C22BF" w:rsidRDefault="007C22BF" w:rsidP="007C22BF">
            <w:pPr>
              <w:ind w:left="0"/>
              <w:jc w:val="center"/>
              <w:rPr>
                <w:sz w:val="18"/>
                <w:szCs w:val="18"/>
              </w:rPr>
            </w:pPr>
            <w:r>
              <w:rPr>
                <w:sz w:val="18"/>
                <w:szCs w:val="18"/>
              </w:rPr>
              <w:t>t</w:t>
            </w:r>
            <w:r w:rsidRPr="007C22BF">
              <w:rPr>
                <w:sz w:val="18"/>
                <w:szCs w:val="18"/>
              </w:rPr>
              <w:t>ona</w:t>
            </w:r>
          </w:p>
        </w:tc>
        <w:tc>
          <w:tcPr>
            <w:tcW w:w="993" w:type="dxa"/>
            <w:shd w:val="clear" w:color="auto" w:fill="auto"/>
            <w:vAlign w:val="center"/>
          </w:tcPr>
          <w:p w14:paraId="4EB3480D" w14:textId="77777777" w:rsidR="007C22BF" w:rsidRPr="007C22BF" w:rsidRDefault="007C22BF" w:rsidP="007C22BF">
            <w:pPr>
              <w:ind w:left="0"/>
              <w:jc w:val="center"/>
              <w:rPr>
                <w:sz w:val="18"/>
                <w:szCs w:val="18"/>
              </w:rPr>
            </w:pPr>
            <w:r w:rsidRPr="007C22BF">
              <w:rPr>
                <w:sz w:val="18"/>
                <w:szCs w:val="18"/>
              </w:rPr>
              <w:t>N/A</w:t>
            </w:r>
          </w:p>
        </w:tc>
        <w:tc>
          <w:tcPr>
            <w:tcW w:w="1417" w:type="dxa"/>
            <w:vAlign w:val="center"/>
          </w:tcPr>
          <w:p w14:paraId="4EDFF310" w14:textId="77777777" w:rsidR="007C22BF" w:rsidRPr="007C22BF" w:rsidRDefault="007C22BF" w:rsidP="008776E4">
            <w:pPr>
              <w:ind w:left="0"/>
              <w:jc w:val="center"/>
              <w:rPr>
                <w:sz w:val="18"/>
                <w:szCs w:val="18"/>
              </w:rPr>
            </w:pPr>
            <w:r w:rsidRPr="007C22BF">
              <w:rPr>
                <w:sz w:val="18"/>
                <w:szCs w:val="18"/>
              </w:rPr>
              <w:t>10,58</w:t>
            </w:r>
          </w:p>
        </w:tc>
        <w:tc>
          <w:tcPr>
            <w:tcW w:w="1024" w:type="dxa"/>
            <w:vAlign w:val="center"/>
          </w:tcPr>
          <w:p w14:paraId="007C8C93" w14:textId="77777777" w:rsidR="007C22BF" w:rsidRPr="007C22BF" w:rsidRDefault="007C22BF" w:rsidP="007C22BF">
            <w:pPr>
              <w:ind w:left="0"/>
              <w:jc w:val="center"/>
              <w:rPr>
                <w:sz w:val="18"/>
                <w:szCs w:val="18"/>
              </w:rPr>
            </w:pPr>
            <w:r w:rsidRPr="007C22BF">
              <w:rPr>
                <w:sz w:val="18"/>
                <w:szCs w:val="18"/>
              </w:rPr>
              <w:t>2013</w:t>
            </w:r>
          </w:p>
        </w:tc>
        <w:tc>
          <w:tcPr>
            <w:tcW w:w="911" w:type="dxa"/>
            <w:shd w:val="clear" w:color="auto" w:fill="auto"/>
            <w:vAlign w:val="center"/>
          </w:tcPr>
          <w:p w14:paraId="45299C20" w14:textId="77777777" w:rsidR="007C22BF" w:rsidRPr="007C22BF" w:rsidRDefault="007C22BF" w:rsidP="007C22BF">
            <w:pPr>
              <w:ind w:left="0"/>
              <w:jc w:val="center"/>
              <w:rPr>
                <w:sz w:val="18"/>
                <w:szCs w:val="18"/>
              </w:rPr>
            </w:pPr>
            <w:r w:rsidRPr="007C22BF">
              <w:rPr>
                <w:sz w:val="18"/>
                <w:szCs w:val="18"/>
              </w:rPr>
              <w:t>10,15</w:t>
            </w:r>
          </w:p>
        </w:tc>
        <w:tc>
          <w:tcPr>
            <w:tcW w:w="900" w:type="dxa"/>
            <w:vAlign w:val="center"/>
          </w:tcPr>
          <w:p w14:paraId="68573E5B" w14:textId="77777777" w:rsidR="007C22BF" w:rsidRPr="007C22BF" w:rsidRDefault="007C22BF" w:rsidP="007C22BF">
            <w:pPr>
              <w:ind w:left="0"/>
              <w:jc w:val="center"/>
              <w:rPr>
                <w:sz w:val="18"/>
                <w:szCs w:val="18"/>
              </w:rPr>
            </w:pPr>
            <w:r w:rsidRPr="007C22BF">
              <w:rPr>
                <w:sz w:val="18"/>
                <w:szCs w:val="18"/>
              </w:rPr>
              <w:t>RO OPII</w:t>
            </w:r>
          </w:p>
        </w:tc>
        <w:tc>
          <w:tcPr>
            <w:tcW w:w="1276" w:type="dxa"/>
            <w:vAlign w:val="center"/>
          </w:tcPr>
          <w:p w14:paraId="76002057" w14:textId="77777777" w:rsidR="007C22BF" w:rsidRPr="007C22BF" w:rsidRDefault="007C22BF" w:rsidP="007C22BF">
            <w:pPr>
              <w:ind w:left="0"/>
              <w:jc w:val="center"/>
              <w:rPr>
                <w:sz w:val="18"/>
                <w:szCs w:val="18"/>
              </w:rPr>
            </w:pPr>
            <w:r w:rsidRPr="007C22BF">
              <w:rPr>
                <w:sz w:val="18"/>
                <w:szCs w:val="18"/>
              </w:rPr>
              <w:t>Ročne</w:t>
            </w:r>
          </w:p>
        </w:tc>
      </w:tr>
      <w:tr w:rsidR="007C22BF" w14:paraId="5DA8EB5D" w14:textId="77777777" w:rsidTr="00DF003C">
        <w:trPr>
          <w:trHeight w:val="680"/>
          <w:jc w:val="center"/>
        </w:trPr>
        <w:tc>
          <w:tcPr>
            <w:tcW w:w="556" w:type="dxa"/>
            <w:shd w:val="clear" w:color="auto" w:fill="auto"/>
            <w:vAlign w:val="center"/>
          </w:tcPr>
          <w:p w14:paraId="6FAD3090" w14:textId="77777777" w:rsidR="007C22BF" w:rsidRPr="007C22BF" w:rsidRDefault="007C22BF" w:rsidP="007C22BF">
            <w:pPr>
              <w:ind w:left="0"/>
              <w:jc w:val="center"/>
              <w:rPr>
                <w:sz w:val="18"/>
                <w:szCs w:val="18"/>
              </w:rPr>
            </w:pPr>
            <w:r w:rsidRPr="007C22BF">
              <w:rPr>
                <w:sz w:val="18"/>
                <w:szCs w:val="18"/>
              </w:rPr>
              <w:t>3.</w:t>
            </w:r>
          </w:p>
        </w:tc>
        <w:tc>
          <w:tcPr>
            <w:tcW w:w="1484" w:type="dxa"/>
            <w:shd w:val="clear" w:color="auto" w:fill="auto"/>
            <w:vAlign w:val="center"/>
          </w:tcPr>
          <w:p w14:paraId="622CF9B9" w14:textId="77777777" w:rsidR="007C22BF" w:rsidRPr="007C22BF" w:rsidRDefault="007C22BF" w:rsidP="008776E4">
            <w:pPr>
              <w:ind w:left="0"/>
              <w:rPr>
                <w:sz w:val="18"/>
                <w:szCs w:val="18"/>
              </w:rPr>
            </w:pPr>
            <w:r w:rsidRPr="007C22BF">
              <w:rPr>
                <w:sz w:val="18"/>
                <w:szCs w:val="18"/>
              </w:rPr>
              <w:t xml:space="preserve">Úspora produkcie emisií </w:t>
            </w:r>
            <w:r w:rsidR="008776E4">
              <w:rPr>
                <w:sz w:val="18"/>
                <w:szCs w:val="18"/>
              </w:rPr>
              <w:t>NO</w:t>
            </w:r>
            <w:r w:rsidR="008776E4" w:rsidRPr="008776E4">
              <w:rPr>
                <w:sz w:val="18"/>
                <w:szCs w:val="18"/>
                <w:vertAlign w:val="subscript"/>
              </w:rPr>
              <w:t>2</w:t>
            </w:r>
            <w:r w:rsidRPr="007C22BF">
              <w:rPr>
                <w:sz w:val="18"/>
                <w:szCs w:val="18"/>
              </w:rPr>
              <w:t xml:space="preserve"> (vplyvom modernizácie tratí)</w:t>
            </w:r>
          </w:p>
        </w:tc>
        <w:tc>
          <w:tcPr>
            <w:tcW w:w="903" w:type="dxa"/>
            <w:shd w:val="clear" w:color="auto" w:fill="auto"/>
            <w:vAlign w:val="center"/>
          </w:tcPr>
          <w:p w14:paraId="72752052" w14:textId="77777777" w:rsidR="007C22BF" w:rsidRPr="007C22BF" w:rsidRDefault="008776E4" w:rsidP="007C22BF">
            <w:pPr>
              <w:ind w:left="0"/>
              <w:jc w:val="center"/>
              <w:rPr>
                <w:sz w:val="18"/>
                <w:szCs w:val="18"/>
              </w:rPr>
            </w:pPr>
            <w:r>
              <w:rPr>
                <w:sz w:val="18"/>
                <w:szCs w:val="18"/>
              </w:rPr>
              <w:t>t</w:t>
            </w:r>
            <w:r w:rsidR="007C22BF">
              <w:rPr>
                <w:sz w:val="18"/>
                <w:szCs w:val="18"/>
              </w:rPr>
              <w:t>ona</w:t>
            </w:r>
          </w:p>
        </w:tc>
        <w:tc>
          <w:tcPr>
            <w:tcW w:w="993" w:type="dxa"/>
            <w:shd w:val="clear" w:color="auto" w:fill="auto"/>
            <w:vAlign w:val="center"/>
          </w:tcPr>
          <w:p w14:paraId="1265DC22" w14:textId="77777777" w:rsidR="007C22BF" w:rsidRPr="007C22BF" w:rsidRDefault="007C22BF" w:rsidP="007C22BF">
            <w:pPr>
              <w:ind w:left="0"/>
              <w:jc w:val="center"/>
              <w:rPr>
                <w:sz w:val="18"/>
                <w:szCs w:val="18"/>
              </w:rPr>
            </w:pPr>
            <w:r w:rsidRPr="007C22BF">
              <w:rPr>
                <w:sz w:val="18"/>
                <w:szCs w:val="18"/>
              </w:rPr>
              <w:t>N/A</w:t>
            </w:r>
          </w:p>
        </w:tc>
        <w:tc>
          <w:tcPr>
            <w:tcW w:w="1417" w:type="dxa"/>
            <w:vAlign w:val="center"/>
          </w:tcPr>
          <w:p w14:paraId="68BABF05" w14:textId="77777777" w:rsidR="007C22BF" w:rsidRPr="007C22BF" w:rsidRDefault="008776E4" w:rsidP="008776E4">
            <w:pPr>
              <w:ind w:left="0"/>
              <w:jc w:val="center"/>
              <w:rPr>
                <w:sz w:val="18"/>
                <w:szCs w:val="18"/>
              </w:rPr>
            </w:pPr>
            <w:r>
              <w:rPr>
                <w:sz w:val="18"/>
                <w:szCs w:val="18"/>
              </w:rPr>
              <w:t>57,09</w:t>
            </w:r>
          </w:p>
        </w:tc>
        <w:tc>
          <w:tcPr>
            <w:tcW w:w="1024" w:type="dxa"/>
            <w:vAlign w:val="center"/>
          </w:tcPr>
          <w:p w14:paraId="5F3F0545" w14:textId="77777777" w:rsidR="007C22BF" w:rsidRPr="007C22BF" w:rsidRDefault="007C22BF" w:rsidP="007C22BF">
            <w:pPr>
              <w:ind w:left="0"/>
              <w:jc w:val="center"/>
              <w:rPr>
                <w:sz w:val="18"/>
                <w:szCs w:val="18"/>
              </w:rPr>
            </w:pPr>
            <w:r w:rsidRPr="007C22BF">
              <w:rPr>
                <w:sz w:val="18"/>
                <w:szCs w:val="18"/>
              </w:rPr>
              <w:t>2013</w:t>
            </w:r>
          </w:p>
        </w:tc>
        <w:tc>
          <w:tcPr>
            <w:tcW w:w="911" w:type="dxa"/>
            <w:shd w:val="clear" w:color="auto" w:fill="auto"/>
            <w:vAlign w:val="center"/>
          </w:tcPr>
          <w:p w14:paraId="0FBA1BD5" w14:textId="77777777" w:rsidR="007C22BF" w:rsidRPr="007C22BF" w:rsidRDefault="008776E4" w:rsidP="007C22BF">
            <w:pPr>
              <w:ind w:left="0"/>
              <w:jc w:val="center"/>
              <w:rPr>
                <w:sz w:val="18"/>
                <w:szCs w:val="18"/>
              </w:rPr>
            </w:pPr>
            <w:r>
              <w:rPr>
                <w:sz w:val="18"/>
                <w:szCs w:val="18"/>
              </w:rPr>
              <w:t>51,28</w:t>
            </w:r>
          </w:p>
        </w:tc>
        <w:tc>
          <w:tcPr>
            <w:tcW w:w="900" w:type="dxa"/>
            <w:vAlign w:val="center"/>
          </w:tcPr>
          <w:p w14:paraId="71CA8634" w14:textId="77777777" w:rsidR="007C22BF" w:rsidRPr="007C22BF" w:rsidRDefault="007C22BF" w:rsidP="007C22BF">
            <w:pPr>
              <w:ind w:left="0"/>
              <w:jc w:val="center"/>
              <w:rPr>
                <w:sz w:val="18"/>
                <w:szCs w:val="18"/>
              </w:rPr>
            </w:pPr>
            <w:r w:rsidRPr="007C22BF">
              <w:rPr>
                <w:sz w:val="18"/>
                <w:szCs w:val="18"/>
              </w:rPr>
              <w:t>RO OPII</w:t>
            </w:r>
          </w:p>
        </w:tc>
        <w:tc>
          <w:tcPr>
            <w:tcW w:w="1276" w:type="dxa"/>
            <w:vAlign w:val="center"/>
          </w:tcPr>
          <w:p w14:paraId="018B7234" w14:textId="77777777" w:rsidR="007C22BF" w:rsidRPr="007C22BF" w:rsidRDefault="007C22BF" w:rsidP="007C22BF">
            <w:pPr>
              <w:ind w:left="0"/>
              <w:jc w:val="center"/>
              <w:rPr>
                <w:sz w:val="18"/>
                <w:szCs w:val="18"/>
              </w:rPr>
            </w:pPr>
            <w:r w:rsidRPr="007C22BF">
              <w:rPr>
                <w:sz w:val="18"/>
                <w:szCs w:val="18"/>
              </w:rPr>
              <w:t>Ročne</w:t>
            </w:r>
          </w:p>
        </w:tc>
      </w:tr>
    </w:tbl>
    <w:p w14:paraId="345A2AA6" w14:textId="77777777" w:rsidR="00E71E4A" w:rsidRPr="00D844EF" w:rsidRDefault="00E71E4A" w:rsidP="00E71E4A">
      <w:pPr>
        <w:pStyle w:val="Nadpis4"/>
      </w:pPr>
      <w:bookmarkStart w:id="26" w:name="_Toc383236542"/>
      <w:r>
        <w:t>Opis typu a príklady aktivít</w:t>
      </w:r>
    </w:p>
    <w:p w14:paraId="0222FBC6" w14:textId="77777777" w:rsidR="00E71E4A" w:rsidRPr="00860925" w:rsidRDefault="00E71E4A" w:rsidP="00E71E4A">
      <w:pPr>
        <w:spacing w:before="180" w:after="120"/>
        <w:rPr>
          <w:sz w:val="22"/>
          <w:szCs w:val="22"/>
          <w:u w:val="single"/>
        </w:rPr>
      </w:pPr>
      <w:r w:rsidRPr="00860925">
        <w:rPr>
          <w:sz w:val="22"/>
          <w:szCs w:val="22"/>
          <w:u w:val="single"/>
        </w:rPr>
        <w:t xml:space="preserve">Investičná priorita </w:t>
      </w:r>
      <w:r>
        <w:rPr>
          <w:sz w:val="22"/>
          <w:szCs w:val="22"/>
          <w:u w:val="single"/>
        </w:rPr>
        <w:t xml:space="preserve">7i) </w:t>
      </w:r>
      <w:r w:rsidRPr="00860925">
        <w:rPr>
          <w:sz w:val="22"/>
          <w:szCs w:val="22"/>
          <w:u w:val="single"/>
        </w:rPr>
        <w:t>bude napĺňaná prostredníctvom nasledujúcich aktivít:</w:t>
      </w:r>
    </w:p>
    <w:p w14:paraId="132189C3" w14:textId="77777777" w:rsidR="009E0158" w:rsidRDefault="00E71E4A" w:rsidP="008F3CB1">
      <w:pPr>
        <w:numPr>
          <w:ilvl w:val="2"/>
          <w:numId w:val="20"/>
        </w:numPr>
        <w:shd w:val="clear" w:color="auto" w:fill="E5DFEC" w:themeFill="accent4" w:themeFillTint="33"/>
        <w:ind w:left="425" w:hanging="425"/>
        <w:jc w:val="both"/>
        <w:rPr>
          <w:sz w:val="22"/>
          <w:szCs w:val="22"/>
        </w:rPr>
      </w:pPr>
      <w:r>
        <w:rPr>
          <w:sz w:val="22"/>
          <w:szCs w:val="22"/>
        </w:rPr>
        <w:t>M</w:t>
      </w:r>
      <w:r w:rsidRPr="00F4783D">
        <w:rPr>
          <w:sz w:val="22"/>
          <w:szCs w:val="22"/>
        </w:rPr>
        <w:t>odernizácia železničných tratí (zlepšovanie vybraných technických parametrov železničnej dopravnej cesty),</w:t>
      </w:r>
    </w:p>
    <w:p w14:paraId="08AEC57A" w14:textId="77777777" w:rsidR="009E0158" w:rsidRDefault="00E71E4A" w:rsidP="008F3CB1">
      <w:pPr>
        <w:numPr>
          <w:ilvl w:val="2"/>
          <w:numId w:val="20"/>
        </w:numPr>
        <w:shd w:val="clear" w:color="auto" w:fill="E5DFEC" w:themeFill="accent4" w:themeFillTint="33"/>
        <w:ind w:left="426" w:hanging="426"/>
        <w:jc w:val="both"/>
        <w:rPr>
          <w:sz w:val="22"/>
          <w:szCs w:val="22"/>
        </w:rPr>
      </w:pPr>
      <w:r>
        <w:rPr>
          <w:sz w:val="22"/>
          <w:szCs w:val="22"/>
        </w:rPr>
        <w:t>Elektrifikácia železničných tratí,</w:t>
      </w:r>
    </w:p>
    <w:p w14:paraId="33DA9650" w14:textId="77777777" w:rsidR="009E0158" w:rsidRDefault="00E71E4A" w:rsidP="008F3CB1">
      <w:pPr>
        <w:numPr>
          <w:ilvl w:val="2"/>
          <w:numId w:val="20"/>
        </w:numPr>
        <w:shd w:val="clear" w:color="auto" w:fill="E5DFEC" w:themeFill="accent4" w:themeFillTint="33"/>
        <w:ind w:left="426" w:hanging="426"/>
        <w:jc w:val="both"/>
        <w:rPr>
          <w:sz w:val="22"/>
          <w:szCs w:val="22"/>
        </w:rPr>
      </w:pPr>
      <w:r w:rsidRPr="004C6D40">
        <w:rPr>
          <w:sz w:val="22"/>
          <w:szCs w:val="22"/>
        </w:rPr>
        <w:t>Výstavba nových úsekov železničných tratí (v prípade, ak opodstatnenosť výstavby potvrdí relevantná štúdia realizovateľnosti),</w:t>
      </w:r>
    </w:p>
    <w:p w14:paraId="63C54F5B" w14:textId="77777777" w:rsidR="009E0158" w:rsidRDefault="00E71E4A" w:rsidP="008F3CB1">
      <w:pPr>
        <w:numPr>
          <w:ilvl w:val="2"/>
          <w:numId w:val="20"/>
        </w:numPr>
        <w:shd w:val="clear" w:color="auto" w:fill="E5DFEC" w:themeFill="accent4" w:themeFillTint="33"/>
        <w:ind w:left="426" w:hanging="426"/>
        <w:jc w:val="both"/>
        <w:rPr>
          <w:sz w:val="22"/>
          <w:szCs w:val="22"/>
        </w:rPr>
      </w:pPr>
      <w:r w:rsidRPr="004C6D40">
        <w:rPr>
          <w:sz w:val="22"/>
          <w:szCs w:val="22"/>
        </w:rPr>
        <w:t>Výstavba terminálov intermodálnej prepravy (v prípade, ak budú vytvorené vhodné trhové podmienky),</w:t>
      </w:r>
    </w:p>
    <w:p w14:paraId="23823D29" w14:textId="77777777" w:rsidR="009E0158" w:rsidRDefault="00E71E4A" w:rsidP="008F3CB1">
      <w:pPr>
        <w:numPr>
          <w:ilvl w:val="2"/>
          <w:numId w:val="20"/>
        </w:numPr>
        <w:shd w:val="clear" w:color="auto" w:fill="E5DFEC" w:themeFill="accent4" w:themeFillTint="33"/>
        <w:ind w:left="426" w:hanging="426"/>
        <w:jc w:val="both"/>
        <w:rPr>
          <w:sz w:val="22"/>
          <w:szCs w:val="22"/>
        </w:rPr>
      </w:pPr>
      <w:r w:rsidRPr="004C6D40">
        <w:rPr>
          <w:sz w:val="22"/>
          <w:szCs w:val="22"/>
        </w:rPr>
        <w:lastRenderedPageBreak/>
        <w:t>Projektová príprava.</w:t>
      </w:r>
    </w:p>
    <w:p w14:paraId="56712556" w14:textId="77777777" w:rsidR="00E71E4A" w:rsidRDefault="00E71E4A" w:rsidP="00E71E4A">
      <w:pPr>
        <w:ind w:left="426"/>
        <w:jc w:val="both"/>
        <w:rPr>
          <w:sz w:val="22"/>
          <w:szCs w:val="22"/>
        </w:rPr>
      </w:pPr>
    </w:p>
    <w:p w14:paraId="4DB22D1B" w14:textId="77777777" w:rsidR="009E0158" w:rsidRDefault="00E71E4A" w:rsidP="008F3CB1">
      <w:pPr>
        <w:numPr>
          <w:ilvl w:val="2"/>
          <w:numId w:val="93"/>
        </w:numPr>
        <w:spacing w:before="180"/>
        <w:ind w:left="850" w:hanging="425"/>
        <w:jc w:val="both"/>
        <w:rPr>
          <w:b/>
          <w:i/>
          <w:color w:val="548DD4" w:themeColor="text2" w:themeTint="99"/>
          <w:sz w:val="22"/>
          <w:szCs w:val="22"/>
        </w:rPr>
      </w:pPr>
      <w:r w:rsidRPr="00DA54A1">
        <w:rPr>
          <w:b/>
          <w:i/>
          <w:color w:val="548DD4" w:themeColor="text2" w:themeTint="99"/>
          <w:sz w:val="22"/>
          <w:szCs w:val="22"/>
        </w:rPr>
        <w:t>Modernizácia železničných tratí (zlepšovanie vybraných technických parametrov železničnej dopravnej cesty)</w:t>
      </w:r>
    </w:p>
    <w:p w14:paraId="47794EFB" w14:textId="77777777" w:rsidR="00E71E4A" w:rsidRPr="000061C5" w:rsidRDefault="00E71E4A" w:rsidP="00E71E4A">
      <w:pPr>
        <w:autoSpaceDE w:val="0"/>
        <w:autoSpaceDN w:val="0"/>
        <w:adjustRightInd w:val="0"/>
        <w:spacing w:before="180"/>
        <w:jc w:val="both"/>
        <w:rPr>
          <w:sz w:val="22"/>
          <w:szCs w:val="22"/>
        </w:rPr>
      </w:pPr>
      <w:r>
        <w:rPr>
          <w:sz w:val="22"/>
          <w:szCs w:val="22"/>
        </w:rPr>
        <w:t>Rozvoj a prevádzkyschopnosť</w:t>
      </w:r>
      <w:r w:rsidRPr="00890045">
        <w:rPr>
          <w:sz w:val="22"/>
          <w:szCs w:val="22"/>
        </w:rPr>
        <w:t xml:space="preserve"> železničn</w:t>
      </w:r>
      <w:r>
        <w:rPr>
          <w:sz w:val="22"/>
          <w:szCs w:val="22"/>
        </w:rPr>
        <w:t>ej dopravnej cesty</w:t>
      </w:r>
      <w:r w:rsidRPr="00890045">
        <w:rPr>
          <w:sz w:val="22"/>
          <w:szCs w:val="22"/>
        </w:rPr>
        <w:t xml:space="preserve"> </w:t>
      </w:r>
      <w:r>
        <w:rPr>
          <w:sz w:val="22"/>
          <w:szCs w:val="22"/>
        </w:rPr>
        <w:t>zabezpečuje</w:t>
      </w:r>
      <w:r w:rsidRPr="00890045">
        <w:rPr>
          <w:sz w:val="22"/>
          <w:szCs w:val="22"/>
        </w:rPr>
        <w:t xml:space="preserve"> štát prostredníctvom Železníc Slovenskej republiky (ďalej len „ŽSR“), subjektu zriadeného osobitným zá</w:t>
      </w:r>
      <w:r>
        <w:rPr>
          <w:sz w:val="22"/>
          <w:szCs w:val="22"/>
        </w:rPr>
        <w:t>konom NR SR č. 258/1993 Z. z. o </w:t>
      </w:r>
      <w:r w:rsidRPr="00890045">
        <w:rPr>
          <w:sz w:val="22"/>
          <w:szCs w:val="22"/>
        </w:rPr>
        <w:t>Železniciach Slovenskej republiky v</w:t>
      </w:r>
      <w:r>
        <w:rPr>
          <w:sz w:val="22"/>
          <w:szCs w:val="22"/>
        </w:rPr>
        <w:t> </w:t>
      </w:r>
      <w:r w:rsidRPr="00890045">
        <w:rPr>
          <w:sz w:val="22"/>
          <w:szCs w:val="22"/>
        </w:rPr>
        <w:t>znení neskorších predpisov</w:t>
      </w:r>
      <w:r>
        <w:rPr>
          <w:sz w:val="22"/>
          <w:szCs w:val="22"/>
        </w:rPr>
        <w:t xml:space="preserve">. </w:t>
      </w:r>
      <w:r w:rsidRPr="000061C5">
        <w:rPr>
          <w:sz w:val="22"/>
          <w:szCs w:val="22"/>
        </w:rPr>
        <w:t>Vstupom do EÚ a</w:t>
      </w:r>
      <w:r>
        <w:rPr>
          <w:sz w:val="22"/>
          <w:szCs w:val="22"/>
        </w:rPr>
        <w:t> </w:t>
      </w:r>
      <w:r w:rsidRPr="000061C5">
        <w:rPr>
          <w:sz w:val="22"/>
          <w:szCs w:val="22"/>
        </w:rPr>
        <w:t xml:space="preserve">začlenením siete ŽSR do európskej dopravnej sústavy prevzala SR na seba </w:t>
      </w:r>
      <w:r>
        <w:rPr>
          <w:sz w:val="22"/>
          <w:szCs w:val="22"/>
        </w:rPr>
        <w:t>aj povinnosti týkajúce</w:t>
      </w:r>
      <w:r w:rsidRPr="000061C5">
        <w:rPr>
          <w:sz w:val="22"/>
          <w:szCs w:val="22"/>
        </w:rPr>
        <w:t xml:space="preserve"> sa rozvojových priorít </w:t>
      </w:r>
      <w:r>
        <w:rPr>
          <w:sz w:val="22"/>
          <w:szCs w:val="22"/>
        </w:rPr>
        <w:t xml:space="preserve">EÚ, ako aj potrieb implementovať technické štandardy, ktoré </w:t>
      </w:r>
      <w:r w:rsidRPr="000061C5">
        <w:rPr>
          <w:sz w:val="22"/>
          <w:szCs w:val="22"/>
        </w:rPr>
        <w:t>majú zaručiť udržateľné možnosti rozvoja železníc.</w:t>
      </w:r>
    </w:p>
    <w:p w14:paraId="13D7DBC9" w14:textId="77777777" w:rsidR="00E71E4A" w:rsidRPr="00743F53" w:rsidRDefault="00E71E4A" w:rsidP="00E71E4A">
      <w:pPr>
        <w:autoSpaceDE w:val="0"/>
        <w:autoSpaceDN w:val="0"/>
        <w:adjustRightInd w:val="0"/>
        <w:spacing w:before="180"/>
        <w:jc w:val="both"/>
        <w:rPr>
          <w:sz w:val="22"/>
          <w:szCs w:val="22"/>
        </w:rPr>
      </w:pPr>
      <w:r w:rsidRPr="00344629">
        <w:rPr>
          <w:b/>
          <w:color w:val="000000"/>
          <w:sz w:val="22"/>
          <w:szCs w:val="22"/>
        </w:rPr>
        <w:t>Celková dĺžka železničn</w:t>
      </w:r>
      <w:r>
        <w:rPr>
          <w:b/>
          <w:color w:val="000000"/>
          <w:sz w:val="22"/>
          <w:szCs w:val="22"/>
        </w:rPr>
        <w:t xml:space="preserve">ej infraštruktúry </w:t>
      </w:r>
      <w:r w:rsidRPr="00344629">
        <w:rPr>
          <w:b/>
          <w:color w:val="000000"/>
          <w:sz w:val="22"/>
          <w:szCs w:val="22"/>
        </w:rPr>
        <w:t>na území SR</w:t>
      </w:r>
      <w:r>
        <w:rPr>
          <w:b/>
          <w:color w:val="000000"/>
          <w:sz w:val="22"/>
          <w:szCs w:val="22"/>
        </w:rPr>
        <w:t xml:space="preserve">, ktorá je </w:t>
      </w:r>
      <w:r w:rsidRPr="00344629">
        <w:rPr>
          <w:b/>
          <w:color w:val="000000"/>
          <w:sz w:val="22"/>
          <w:szCs w:val="22"/>
        </w:rPr>
        <w:t>zaraden</w:t>
      </w:r>
      <w:r>
        <w:rPr>
          <w:b/>
          <w:color w:val="000000"/>
          <w:sz w:val="22"/>
          <w:szCs w:val="22"/>
        </w:rPr>
        <w:t>á</w:t>
      </w:r>
      <w:r w:rsidRPr="00344629">
        <w:rPr>
          <w:b/>
          <w:color w:val="000000"/>
          <w:sz w:val="22"/>
          <w:szCs w:val="22"/>
        </w:rPr>
        <w:t xml:space="preserve"> do siete TEN-T predstavuje cca</w:t>
      </w:r>
      <w:r w:rsidRPr="00743F53">
        <w:rPr>
          <w:color w:val="000000"/>
          <w:sz w:val="22"/>
          <w:szCs w:val="22"/>
        </w:rPr>
        <w:t xml:space="preserve"> </w:t>
      </w:r>
      <w:r w:rsidRPr="003E6EA5">
        <w:rPr>
          <w:b/>
          <w:color w:val="000000"/>
          <w:sz w:val="22"/>
          <w:szCs w:val="22"/>
        </w:rPr>
        <w:t>1 408 km</w:t>
      </w:r>
      <w:r w:rsidRPr="00743F53">
        <w:rPr>
          <w:color w:val="000000"/>
          <w:sz w:val="22"/>
          <w:szCs w:val="22"/>
        </w:rPr>
        <w:t xml:space="preserve">, </w:t>
      </w:r>
      <w:r w:rsidRPr="000061C5">
        <w:rPr>
          <w:sz w:val="22"/>
          <w:szCs w:val="22"/>
        </w:rPr>
        <w:t>z</w:t>
      </w:r>
      <w:r>
        <w:rPr>
          <w:sz w:val="22"/>
          <w:szCs w:val="22"/>
        </w:rPr>
        <w:t> </w:t>
      </w:r>
      <w:r w:rsidRPr="000061C5">
        <w:rPr>
          <w:sz w:val="22"/>
          <w:szCs w:val="22"/>
        </w:rPr>
        <w:t>toho 701 km tvorí základná a</w:t>
      </w:r>
      <w:r>
        <w:rPr>
          <w:sz w:val="22"/>
          <w:szCs w:val="22"/>
        </w:rPr>
        <w:t> </w:t>
      </w:r>
      <w:r w:rsidRPr="000061C5">
        <w:rPr>
          <w:sz w:val="22"/>
          <w:szCs w:val="22"/>
        </w:rPr>
        <w:t>707 km súhrnná sieť</w:t>
      </w:r>
      <w:r>
        <w:rPr>
          <w:sz w:val="22"/>
          <w:szCs w:val="22"/>
        </w:rPr>
        <w:t xml:space="preserve"> TEN-T</w:t>
      </w:r>
      <w:r w:rsidRPr="000061C5">
        <w:rPr>
          <w:sz w:val="22"/>
          <w:szCs w:val="22"/>
        </w:rPr>
        <w:t>. Základná sieť je určená na základe jednotnej európskej metodiky Európskou komisiou. Tvorí chrbticu rozvoja siete multimodálnej dopravy a</w:t>
      </w:r>
      <w:r>
        <w:rPr>
          <w:sz w:val="22"/>
          <w:szCs w:val="22"/>
        </w:rPr>
        <w:t> </w:t>
      </w:r>
      <w:r w:rsidRPr="000061C5">
        <w:rPr>
          <w:sz w:val="22"/>
          <w:szCs w:val="22"/>
        </w:rPr>
        <w:t>stimuluje rozvoj celej súhrnnej siete. Dokončená by mala byť do roku 2030.</w:t>
      </w:r>
    </w:p>
    <w:p w14:paraId="5B17775F" w14:textId="77777777" w:rsidR="00E71E4A" w:rsidRDefault="00E71E4A" w:rsidP="00E71E4A">
      <w:pPr>
        <w:autoSpaceDE w:val="0"/>
        <w:autoSpaceDN w:val="0"/>
        <w:adjustRightInd w:val="0"/>
        <w:spacing w:before="180"/>
        <w:jc w:val="both"/>
        <w:rPr>
          <w:sz w:val="22"/>
          <w:szCs w:val="22"/>
        </w:rPr>
      </w:pPr>
      <w:r w:rsidRPr="00743F53">
        <w:rPr>
          <w:color w:val="000000"/>
          <w:sz w:val="22"/>
          <w:szCs w:val="22"/>
        </w:rPr>
        <w:t>Z</w:t>
      </w:r>
      <w:r>
        <w:rPr>
          <w:color w:val="000000"/>
          <w:sz w:val="22"/>
          <w:szCs w:val="22"/>
        </w:rPr>
        <w:t> </w:t>
      </w:r>
      <w:r w:rsidRPr="00743F53">
        <w:rPr>
          <w:color w:val="000000"/>
          <w:sz w:val="22"/>
          <w:szCs w:val="22"/>
        </w:rPr>
        <w:t xml:space="preserve">pohľadu </w:t>
      </w:r>
      <w:r>
        <w:rPr>
          <w:color w:val="000000"/>
          <w:sz w:val="22"/>
          <w:szCs w:val="22"/>
        </w:rPr>
        <w:t xml:space="preserve">možností ďalšieho rozvoja </w:t>
      </w:r>
      <w:r w:rsidRPr="00743F53">
        <w:rPr>
          <w:color w:val="000000"/>
          <w:sz w:val="22"/>
          <w:szCs w:val="22"/>
        </w:rPr>
        <w:t xml:space="preserve">železničnej siete TEN-T možno konštatovať, že </w:t>
      </w:r>
      <w:r>
        <w:rPr>
          <w:color w:val="000000"/>
          <w:sz w:val="22"/>
          <w:szCs w:val="22"/>
        </w:rPr>
        <w:t>na území SR sa </w:t>
      </w:r>
      <w:r w:rsidRPr="00743F53">
        <w:rPr>
          <w:color w:val="000000"/>
          <w:sz w:val="22"/>
          <w:szCs w:val="22"/>
        </w:rPr>
        <w:t xml:space="preserve">nepredpokladá výstavba nových tratí, </w:t>
      </w:r>
      <w:r>
        <w:rPr>
          <w:color w:val="000000"/>
          <w:sz w:val="22"/>
          <w:szCs w:val="22"/>
        </w:rPr>
        <w:t>len</w:t>
      </w:r>
      <w:r w:rsidRPr="00743F53">
        <w:rPr>
          <w:color w:val="000000"/>
          <w:sz w:val="22"/>
          <w:szCs w:val="22"/>
        </w:rPr>
        <w:t xml:space="preserve"> modernizácia už existujúcich. MDV SR predpokladá, že dĺžka zmodernizovaných tratí zaradených </w:t>
      </w:r>
      <w:r>
        <w:rPr>
          <w:color w:val="000000"/>
          <w:sz w:val="22"/>
          <w:szCs w:val="22"/>
        </w:rPr>
        <w:t xml:space="preserve">do siete TEN-T bude </w:t>
      </w:r>
      <w:r w:rsidRPr="00743F53">
        <w:rPr>
          <w:color w:val="000000"/>
          <w:sz w:val="22"/>
          <w:szCs w:val="22"/>
        </w:rPr>
        <w:t xml:space="preserve">do konca roku 2015 </w:t>
      </w:r>
      <w:r>
        <w:rPr>
          <w:color w:val="000000"/>
          <w:sz w:val="22"/>
          <w:szCs w:val="22"/>
        </w:rPr>
        <w:t>predstavovať cca </w:t>
      </w:r>
      <w:r w:rsidRPr="00743F53">
        <w:rPr>
          <w:color w:val="000000"/>
          <w:sz w:val="22"/>
          <w:szCs w:val="22"/>
        </w:rPr>
        <w:t xml:space="preserve">12 %, resp. necelých 25 % zaradených do </w:t>
      </w:r>
      <w:r w:rsidRPr="000061C5">
        <w:rPr>
          <w:sz w:val="22"/>
          <w:szCs w:val="22"/>
        </w:rPr>
        <w:t>základnej</w:t>
      </w:r>
      <w:r>
        <w:rPr>
          <w:color w:val="000000"/>
          <w:sz w:val="22"/>
          <w:szCs w:val="22"/>
        </w:rPr>
        <w:t xml:space="preserve"> </w:t>
      </w:r>
      <w:r w:rsidRPr="00743F53">
        <w:rPr>
          <w:color w:val="000000"/>
          <w:sz w:val="22"/>
          <w:szCs w:val="22"/>
        </w:rPr>
        <w:t xml:space="preserve">siete TEN-T. </w:t>
      </w:r>
      <w:r>
        <w:rPr>
          <w:sz w:val="22"/>
          <w:szCs w:val="22"/>
        </w:rPr>
        <w:t>Možnosť smerovať investície do </w:t>
      </w:r>
      <w:r w:rsidRPr="00743F53">
        <w:rPr>
          <w:sz w:val="22"/>
          <w:szCs w:val="22"/>
        </w:rPr>
        <w:t>dopravnej infraštruktúry TEN-T aj po roku 2013 preto predstavuje pre SR výnimočnú príležitosť kontinuálne nadviazať na aktivity realizované v</w:t>
      </w:r>
      <w:r>
        <w:rPr>
          <w:sz w:val="22"/>
          <w:szCs w:val="22"/>
        </w:rPr>
        <w:t> </w:t>
      </w:r>
      <w:r w:rsidRPr="00743F53">
        <w:rPr>
          <w:sz w:val="22"/>
          <w:szCs w:val="22"/>
        </w:rPr>
        <w:t>predchádzajúcich ob</w:t>
      </w:r>
      <w:r>
        <w:rPr>
          <w:sz w:val="22"/>
          <w:szCs w:val="22"/>
        </w:rPr>
        <w:t>dobiach (ISPA, KF 2004 – 2006, KF 2007 – 2013</w:t>
      </w:r>
      <w:r w:rsidRPr="000061C5">
        <w:rPr>
          <w:sz w:val="22"/>
          <w:szCs w:val="22"/>
        </w:rPr>
        <w:t>)</w:t>
      </w:r>
      <w:r>
        <w:rPr>
          <w:sz w:val="22"/>
          <w:szCs w:val="22"/>
        </w:rPr>
        <w:t xml:space="preserve">. Finančné prostriedky smerované na rozvoj železničnej infraštruktúry </w:t>
      </w:r>
      <w:r w:rsidRPr="00743F53">
        <w:rPr>
          <w:sz w:val="22"/>
          <w:szCs w:val="22"/>
        </w:rPr>
        <w:t xml:space="preserve">môžu </w:t>
      </w:r>
      <w:r>
        <w:rPr>
          <w:sz w:val="22"/>
          <w:szCs w:val="22"/>
        </w:rPr>
        <w:t xml:space="preserve">zároveň </w:t>
      </w:r>
      <w:r w:rsidRPr="00743F53">
        <w:rPr>
          <w:sz w:val="22"/>
          <w:szCs w:val="22"/>
        </w:rPr>
        <w:t>významným spôsobom podporiť hospodársky rast a</w:t>
      </w:r>
      <w:r>
        <w:rPr>
          <w:sz w:val="22"/>
          <w:szCs w:val="22"/>
        </w:rPr>
        <w:t> </w:t>
      </w:r>
      <w:r w:rsidRPr="00743F53">
        <w:rPr>
          <w:sz w:val="22"/>
          <w:szCs w:val="22"/>
        </w:rPr>
        <w:t>tvorbu pracovných miest.</w:t>
      </w:r>
    </w:p>
    <w:p w14:paraId="2E4B710C" w14:textId="77777777" w:rsidR="00E71E4A" w:rsidRDefault="00E71E4A" w:rsidP="00E71E4A">
      <w:pPr>
        <w:autoSpaceDE w:val="0"/>
        <w:autoSpaceDN w:val="0"/>
        <w:adjustRightInd w:val="0"/>
        <w:spacing w:before="180"/>
        <w:jc w:val="both"/>
        <w:rPr>
          <w:color w:val="000000"/>
          <w:sz w:val="22"/>
          <w:szCs w:val="22"/>
        </w:rPr>
      </w:pPr>
      <w:r w:rsidRPr="00743F53">
        <w:rPr>
          <w:sz w:val="22"/>
          <w:szCs w:val="22"/>
        </w:rPr>
        <w:t>Zaostávanie v</w:t>
      </w:r>
      <w:r>
        <w:rPr>
          <w:sz w:val="22"/>
          <w:szCs w:val="22"/>
        </w:rPr>
        <w:t> </w:t>
      </w:r>
      <w:r w:rsidRPr="00743F53">
        <w:rPr>
          <w:sz w:val="22"/>
          <w:szCs w:val="22"/>
        </w:rPr>
        <w:t xml:space="preserve">rozvoji železničnej infraštruktúry môže predstavovať </w:t>
      </w:r>
      <w:r>
        <w:rPr>
          <w:sz w:val="22"/>
          <w:szCs w:val="22"/>
        </w:rPr>
        <w:t xml:space="preserve">významné </w:t>
      </w:r>
      <w:r w:rsidRPr="00743F53">
        <w:rPr>
          <w:sz w:val="22"/>
          <w:szCs w:val="22"/>
        </w:rPr>
        <w:t>riziká</w:t>
      </w:r>
      <w:r w:rsidRPr="00743F53">
        <w:rPr>
          <w:color w:val="000000"/>
          <w:sz w:val="22"/>
          <w:szCs w:val="22"/>
        </w:rPr>
        <w:t xml:space="preserve"> </w:t>
      </w:r>
      <w:r>
        <w:rPr>
          <w:color w:val="000000"/>
          <w:sz w:val="22"/>
          <w:szCs w:val="22"/>
        </w:rPr>
        <w:t xml:space="preserve">vo forme </w:t>
      </w:r>
      <w:r w:rsidRPr="00743F53">
        <w:rPr>
          <w:color w:val="000000"/>
          <w:sz w:val="22"/>
          <w:szCs w:val="22"/>
        </w:rPr>
        <w:t>poklesu prepráv cestujúcich a</w:t>
      </w:r>
      <w:r>
        <w:rPr>
          <w:color w:val="000000"/>
          <w:sz w:val="22"/>
          <w:szCs w:val="22"/>
        </w:rPr>
        <w:t> </w:t>
      </w:r>
      <w:r w:rsidRPr="00743F53">
        <w:rPr>
          <w:color w:val="000000"/>
          <w:sz w:val="22"/>
          <w:szCs w:val="22"/>
        </w:rPr>
        <w:t>tovaru</w:t>
      </w:r>
      <w:r>
        <w:rPr>
          <w:color w:val="000000"/>
          <w:sz w:val="22"/>
          <w:szCs w:val="22"/>
        </w:rPr>
        <w:t xml:space="preserve"> vo vnútroštátnej aj medzinárodnej doprave. To môže mať za následok</w:t>
      </w:r>
      <w:r w:rsidRPr="00743F53">
        <w:rPr>
          <w:color w:val="000000"/>
          <w:sz w:val="22"/>
          <w:szCs w:val="22"/>
        </w:rPr>
        <w:t xml:space="preserve"> nárast objemu nákladnej cestnej dopravy</w:t>
      </w:r>
      <w:r>
        <w:rPr>
          <w:color w:val="000000"/>
          <w:sz w:val="22"/>
          <w:szCs w:val="22"/>
        </w:rPr>
        <w:t xml:space="preserve"> a </w:t>
      </w:r>
      <w:r w:rsidRPr="00743F53">
        <w:rPr>
          <w:color w:val="000000"/>
          <w:sz w:val="22"/>
          <w:szCs w:val="22"/>
        </w:rPr>
        <w:t>IAD a</w:t>
      </w:r>
      <w:r>
        <w:rPr>
          <w:color w:val="000000"/>
          <w:sz w:val="22"/>
          <w:szCs w:val="22"/>
        </w:rPr>
        <w:t> </w:t>
      </w:r>
      <w:r w:rsidRPr="00743F53">
        <w:rPr>
          <w:color w:val="000000"/>
          <w:sz w:val="22"/>
          <w:szCs w:val="22"/>
        </w:rPr>
        <w:t>z</w:t>
      </w:r>
      <w:r>
        <w:rPr>
          <w:color w:val="000000"/>
          <w:sz w:val="22"/>
          <w:szCs w:val="22"/>
        </w:rPr>
        <w:t> </w:t>
      </w:r>
      <w:r w:rsidRPr="00743F53">
        <w:rPr>
          <w:color w:val="000000"/>
          <w:sz w:val="22"/>
          <w:szCs w:val="22"/>
        </w:rPr>
        <w:t>toho plynúc</w:t>
      </w:r>
      <w:r>
        <w:rPr>
          <w:color w:val="000000"/>
          <w:sz w:val="22"/>
          <w:szCs w:val="22"/>
        </w:rPr>
        <w:t>u</w:t>
      </w:r>
      <w:r w:rsidRPr="00743F53">
        <w:rPr>
          <w:color w:val="000000"/>
          <w:sz w:val="22"/>
          <w:szCs w:val="22"/>
        </w:rPr>
        <w:t xml:space="preserve"> environmentáln</w:t>
      </w:r>
      <w:r>
        <w:rPr>
          <w:color w:val="000000"/>
          <w:sz w:val="22"/>
          <w:szCs w:val="22"/>
        </w:rPr>
        <w:t>u</w:t>
      </w:r>
      <w:r w:rsidRPr="00743F53">
        <w:rPr>
          <w:color w:val="000000"/>
          <w:sz w:val="22"/>
          <w:szCs w:val="22"/>
        </w:rPr>
        <w:t xml:space="preserve"> </w:t>
      </w:r>
      <w:r>
        <w:rPr>
          <w:color w:val="000000"/>
          <w:sz w:val="22"/>
          <w:szCs w:val="22"/>
        </w:rPr>
        <w:t>záťaž</w:t>
      </w:r>
      <w:r w:rsidRPr="00743F53">
        <w:rPr>
          <w:color w:val="000000"/>
          <w:sz w:val="22"/>
          <w:szCs w:val="22"/>
        </w:rPr>
        <w:t xml:space="preserve">. </w:t>
      </w:r>
      <w:r>
        <w:rPr>
          <w:color w:val="000000"/>
          <w:sz w:val="22"/>
          <w:szCs w:val="22"/>
        </w:rPr>
        <w:t>P</w:t>
      </w:r>
      <w:r w:rsidRPr="00743F53">
        <w:rPr>
          <w:color w:val="000000"/>
          <w:sz w:val="22"/>
          <w:szCs w:val="22"/>
        </w:rPr>
        <w:t xml:space="preserve">rednosťou súčasného stavu na sieti </w:t>
      </w:r>
      <w:r w:rsidRPr="000061C5">
        <w:rPr>
          <w:sz w:val="22"/>
          <w:szCs w:val="22"/>
        </w:rPr>
        <w:t>ŽSR</w:t>
      </w:r>
      <w:r w:rsidRPr="00743F53">
        <w:rPr>
          <w:color w:val="000000"/>
          <w:sz w:val="22"/>
          <w:szCs w:val="22"/>
        </w:rPr>
        <w:t xml:space="preserve"> je </w:t>
      </w:r>
      <w:r>
        <w:rPr>
          <w:color w:val="000000"/>
          <w:sz w:val="22"/>
          <w:szCs w:val="22"/>
        </w:rPr>
        <w:t xml:space="preserve">pritom </w:t>
      </w:r>
      <w:r w:rsidRPr="00743F53">
        <w:rPr>
          <w:color w:val="000000"/>
          <w:sz w:val="22"/>
          <w:szCs w:val="22"/>
        </w:rPr>
        <w:t>dostatočná hustota tratí, staníc a</w:t>
      </w:r>
      <w:r>
        <w:rPr>
          <w:color w:val="000000"/>
          <w:sz w:val="22"/>
          <w:szCs w:val="22"/>
        </w:rPr>
        <w:t> </w:t>
      </w:r>
      <w:r w:rsidRPr="00743F53">
        <w:rPr>
          <w:color w:val="000000"/>
          <w:sz w:val="22"/>
          <w:szCs w:val="22"/>
        </w:rPr>
        <w:t>zastávok</w:t>
      </w:r>
      <w:r>
        <w:rPr>
          <w:color w:val="000000"/>
          <w:sz w:val="22"/>
          <w:szCs w:val="22"/>
        </w:rPr>
        <w:t>, tzn.</w:t>
      </w:r>
      <w:r w:rsidRPr="00743F53">
        <w:rPr>
          <w:color w:val="000000"/>
          <w:sz w:val="22"/>
          <w:szCs w:val="22"/>
        </w:rPr>
        <w:t xml:space="preserve"> </w:t>
      </w:r>
      <w:r>
        <w:rPr>
          <w:color w:val="000000"/>
          <w:sz w:val="22"/>
          <w:szCs w:val="22"/>
        </w:rPr>
        <w:t xml:space="preserve">potenciálne </w:t>
      </w:r>
      <w:r w:rsidRPr="00743F53">
        <w:rPr>
          <w:color w:val="000000"/>
          <w:sz w:val="22"/>
          <w:szCs w:val="22"/>
        </w:rPr>
        <w:t xml:space="preserve">vysoká obslužnosť územia, ponuka vysokých </w:t>
      </w:r>
      <w:r>
        <w:rPr>
          <w:color w:val="000000"/>
          <w:sz w:val="22"/>
          <w:szCs w:val="22"/>
        </w:rPr>
        <w:t xml:space="preserve">traťových </w:t>
      </w:r>
      <w:r w:rsidRPr="00743F53">
        <w:rPr>
          <w:color w:val="000000"/>
          <w:sz w:val="22"/>
          <w:szCs w:val="22"/>
        </w:rPr>
        <w:t>kapacít a</w:t>
      </w:r>
      <w:r>
        <w:rPr>
          <w:color w:val="000000"/>
          <w:sz w:val="22"/>
          <w:szCs w:val="22"/>
        </w:rPr>
        <w:t> </w:t>
      </w:r>
      <w:r w:rsidRPr="00743F53">
        <w:rPr>
          <w:color w:val="000000"/>
          <w:sz w:val="22"/>
          <w:szCs w:val="22"/>
        </w:rPr>
        <w:t>dobrá nadv</w:t>
      </w:r>
      <w:r>
        <w:rPr>
          <w:color w:val="000000"/>
          <w:sz w:val="22"/>
          <w:szCs w:val="22"/>
        </w:rPr>
        <w:t>äznosť železničnej siete ŽSR na </w:t>
      </w:r>
      <w:r w:rsidRPr="00743F53">
        <w:rPr>
          <w:color w:val="000000"/>
          <w:sz w:val="22"/>
          <w:szCs w:val="22"/>
        </w:rPr>
        <w:t>sieť susedných štátov.</w:t>
      </w:r>
    </w:p>
    <w:p w14:paraId="1F3CA4AA" w14:textId="77777777" w:rsidR="00E71E4A" w:rsidRPr="00FE75AD" w:rsidRDefault="00E71E4A" w:rsidP="00E71E4A">
      <w:pPr>
        <w:spacing w:before="180"/>
        <w:jc w:val="both"/>
        <w:rPr>
          <w:sz w:val="22"/>
          <w:szCs w:val="22"/>
        </w:rPr>
      </w:pPr>
      <w:r w:rsidRPr="00FA56DA">
        <w:rPr>
          <w:b/>
          <w:sz w:val="22"/>
          <w:szCs w:val="22"/>
        </w:rPr>
        <w:t>Základnou víziou v</w:t>
      </w:r>
      <w:r>
        <w:rPr>
          <w:b/>
          <w:sz w:val="22"/>
          <w:szCs w:val="22"/>
        </w:rPr>
        <w:t> </w:t>
      </w:r>
      <w:r w:rsidRPr="00FA56DA">
        <w:rPr>
          <w:b/>
          <w:sz w:val="22"/>
          <w:szCs w:val="22"/>
        </w:rPr>
        <w:t xml:space="preserve">oblasti prevádzkového využitia železničnej siete je celkové zvyšovanie objemu prepráv na železnici vrátane presunu </w:t>
      </w:r>
      <w:r w:rsidRPr="004457FD">
        <w:rPr>
          <w:b/>
          <w:sz w:val="22"/>
          <w:szCs w:val="22"/>
        </w:rPr>
        <w:t>výkonov</w:t>
      </w:r>
      <w:r w:rsidRPr="00FA56DA">
        <w:rPr>
          <w:b/>
          <w:sz w:val="22"/>
          <w:szCs w:val="22"/>
        </w:rPr>
        <w:t xml:space="preserve"> z</w:t>
      </w:r>
      <w:r>
        <w:rPr>
          <w:b/>
          <w:sz w:val="22"/>
          <w:szCs w:val="22"/>
        </w:rPr>
        <w:t> </w:t>
      </w:r>
      <w:r w:rsidRPr="00FA56DA">
        <w:rPr>
          <w:b/>
          <w:sz w:val="22"/>
          <w:szCs w:val="22"/>
        </w:rPr>
        <w:t>cestnej dopravy.</w:t>
      </w:r>
      <w:r w:rsidRPr="00FE75AD">
        <w:rPr>
          <w:sz w:val="22"/>
          <w:szCs w:val="22"/>
        </w:rPr>
        <w:t xml:space="preserve"> Železničná sieť musí byť na tento proces pripravená a</w:t>
      </w:r>
      <w:r>
        <w:rPr>
          <w:sz w:val="22"/>
          <w:szCs w:val="22"/>
        </w:rPr>
        <w:t> </w:t>
      </w:r>
      <w:r w:rsidRPr="00FE75AD">
        <w:rPr>
          <w:sz w:val="22"/>
          <w:szCs w:val="22"/>
        </w:rPr>
        <w:t>musí umožňovať uspokojenie zvýšeného dopytu po osobnej aj nákladnej doprave z</w:t>
      </w:r>
      <w:r>
        <w:rPr>
          <w:sz w:val="22"/>
          <w:szCs w:val="22"/>
        </w:rPr>
        <w:t> </w:t>
      </w:r>
      <w:r w:rsidRPr="00FE75AD">
        <w:rPr>
          <w:sz w:val="22"/>
          <w:szCs w:val="22"/>
        </w:rPr>
        <w:t>hľadiska parametrov, kapacity,</w:t>
      </w:r>
      <w:r>
        <w:rPr>
          <w:sz w:val="22"/>
          <w:szCs w:val="22"/>
        </w:rPr>
        <w:t xml:space="preserve"> ako aj</w:t>
      </w:r>
      <w:r w:rsidRPr="00FE75AD">
        <w:rPr>
          <w:sz w:val="22"/>
          <w:szCs w:val="22"/>
        </w:rPr>
        <w:t xml:space="preserve"> </w:t>
      </w:r>
      <w:r w:rsidRPr="00F4783D">
        <w:rPr>
          <w:sz w:val="22"/>
          <w:szCs w:val="22"/>
        </w:rPr>
        <w:t>atraktivity pre jednotlivých zákazníkov (cestujúcich, prepravcov)</w:t>
      </w:r>
      <w:r>
        <w:rPr>
          <w:sz w:val="22"/>
          <w:szCs w:val="22"/>
        </w:rPr>
        <w:t>.</w:t>
      </w:r>
    </w:p>
    <w:p w14:paraId="4723C8F9" w14:textId="49F3668F" w:rsidR="00071368" w:rsidRDefault="00E71E4A" w:rsidP="00E71E4A">
      <w:pPr>
        <w:spacing w:before="180"/>
        <w:jc w:val="both"/>
        <w:rPr>
          <w:b/>
          <w:sz w:val="22"/>
          <w:szCs w:val="22"/>
        </w:rPr>
      </w:pPr>
      <w:r w:rsidRPr="00FE75AD">
        <w:rPr>
          <w:b/>
          <w:sz w:val="22"/>
          <w:szCs w:val="22"/>
        </w:rPr>
        <w:t>V</w:t>
      </w:r>
      <w:r>
        <w:rPr>
          <w:b/>
          <w:sz w:val="22"/>
          <w:szCs w:val="22"/>
        </w:rPr>
        <w:t> </w:t>
      </w:r>
      <w:r w:rsidRPr="00FE75AD">
        <w:rPr>
          <w:b/>
          <w:sz w:val="22"/>
          <w:szCs w:val="22"/>
        </w:rPr>
        <w:t>nadväznosti na aktivity implementované v</w:t>
      </w:r>
      <w:r>
        <w:rPr>
          <w:b/>
          <w:sz w:val="22"/>
          <w:szCs w:val="22"/>
        </w:rPr>
        <w:t> </w:t>
      </w:r>
      <w:r w:rsidRPr="00FE75AD">
        <w:rPr>
          <w:b/>
          <w:sz w:val="22"/>
          <w:szCs w:val="22"/>
        </w:rPr>
        <w:t>predchádzajúcich obdobiach, investičnou prioritou ostáva aj naďalej modernizácia železničných tratí zaradených do</w:t>
      </w:r>
      <w:r>
        <w:rPr>
          <w:b/>
          <w:sz w:val="22"/>
          <w:szCs w:val="22"/>
        </w:rPr>
        <w:t xml:space="preserve"> základnej</w:t>
      </w:r>
      <w:r w:rsidRPr="00FE75AD">
        <w:rPr>
          <w:b/>
          <w:sz w:val="22"/>
          <w:szCs w:val="22"/>
        </w:rPr>
        <w:t> transeurópskej dopravnej siete TEN-T</w:t>
      </w:r>
      <w:r>
        <w:rPr>
          <w:sz w:val="22"/>
          <w:szCs w:val="22"/>
        </w:rPr>
        <w:t xml:space="preserve">. </w:t>
      </w:r>
      <w:r w:rsidRPr="00FE75AD">
        <w:rPr>
          <w:b/>
          <w:sz w:val="22"/>
          <w:szCs w:val="22"/>
        </w:rPr>
        <w:t>Projekty modernizácie železničnej dopravnej infraštruktúry budú realizované na tých tratiach, ktoré majú rozhodujúci význam pre rast hospodárstva a</w:t>
      </w:r>
      <w:r>
        <w:rPr>
          <w:b/>
          <w:sz w:val="22"/>
          <w:szCs w:val="22"/>
        </w:rPr>
        <w:t> </w:t>
      </w:r>
      <w:r w:rsidRPr="00FE75AD">
        <w:rPr>
          <w:b/>
          <w:sz w:val="22"/>
          <w:szCs w:val="22"/>
        </w:rPr>
        <w:t>zlepšenie mobility</w:t>
      </w:r>
      <w:r>
        <w:rPr>
          <w:b/>
          <w:sz w:val="22"/>
          <w:szCs w:val="22"/>
        </w:rPr>
        <w:t xml:space="preserve"> v</w:t>
      </w:r>
      <w:r w:rsidRPr="00FE75AD">
        <w:rPr>
          <w:b/>
          <w:sz w:val="22"/>
          <w:szCs w:val="22"/>
        </w:rPr>
        <w:t xml:space="preserve"> </w:t>
      </w:r>
      <w:r>
        <w:rPr>
          <w:b/>
          <w:sz w:val="22"/>
          <w:szCs w:val="22"/>
        </w:rPr>
        <w:t>SR a jednotnom Európskom dopravnom priestore</w:t>
      </w:r>
      <w:r w:rsidRPr="00FE75AD">
        <w:rPr>
          <w:b/>
          <w:sz w:val="22"/>
          <w:szCs w:val="22"/>
        </w:rPr>
        <w:t>.</w:t>
      </w:r>
      <w:r w:rsidR="00071368" w:rsidRPr="009D7476">
        <w:rPr>
          <w:sz w:val="22"/>
          <w:szCs w:val="22"/>
        </w:rPr>
        <w:t xml:space="preserve"> V súvislosti s potrebou vykonávania komplexnej diagnos</w:t>
      </w:r>
      <w:r w:rsidR="009D7476" w:rsidRPr="009D7476">
        <w:rPr>
          <w:sz w:val="22"/>
          <w:szCs w:val="22"/>
        </w:rPr>
        <w:t>tiky a defektoskopie</w:t>
      </w:r>
      <w:r w:rsidR="00071368" w:rsidRPr="009D7476">
        <w:rPr>
          <w:sz w:val="22"/>
          <w:szCs w:val="22"/>
        </w:rPr>
        <w:t xml:space="preserve"> ko</w:t>
      </w:r>
      <w:r w:rsidR="009D7476" w:rsidRPr="009D7476">
        <w:rPr>
          <w:sz w:val="22"/>
          <w:szCs w:val="22"/>
        </w:rPr>
        <w:t>ľajníc, ktoré majú zásadný vplyv na zaistenie bezpečnosti železničnej prevádzky, prevádzkyschopnosti tratí a nepretržitej prístupnosti k TEN-T sieti, budú obstarané diagnostické vozidlá.</w:t>
      </w:r>
      <w:r w:rsidR="0052455F">
        <w:rPr>
          <w:sz w:val="22"/>
          <w:szCs w:val="22"/>
        </w:rPr>
        <w:t xml:space="preserve"> Finančné prostriedky </w:t>
      </w:r>
      <w:r w:rsidR="00604BD2">
        <w:rPr>
          <w:sz w:val="22"/>
          <w:szCs w:val="22"/>
        </w:rPr>
        <w:t xml:space="preserve">z </w:t>
      </w:r>
      <w:r w:rsidR="0052455F">
        <w:rPr>
          <w:sz w:val="22"/>
          <w:szCs w:val="22"/>
        </w:rPr>
        <w:t xml:space="preserve">PO 1 sú na </w:t>
      </w:r>
      <w:r w:rsidR="00604BD2">
        <w:rPr>
          <w:sz w:val="22"/>
          <w:szCs w:val="22"/>
        </w:rPr>
        <w:t>obstarani</w:t>
      </w:r>
      <w:r w:rsidR="0040245C">
        <w:rPr>
          <w:sz w:val="22"/>
          <w:szCs w:val="22"/>
        </w:rPr>
        <w:t>e</w:t>
      </w:r>
      <w:r w:rsidR="0052455F">
        <w:rPr>
          <w:sz w:val="22"/>
          <w:szCs w:val="22"/>
        </w:rPr>
        <w:t xml:space="preserve"> diagnostických vozidiel vyčlenené návratnou formou pomoci cez finančné nástroje.</w:t>
      </w:r>
    </w:p>
    <w:p w14:paraId="7485D649" w14:textId="36A0D4F5" w:rsidR="00E71E4A" w:rsidRDefault="00E71E4A" w:rsidP="00E71E4A">
      <w:pPr>
        <w:spacing w:before="180"/>
        <w:jc w:val="both"/>
        <w:rPr>
          <w:sz w:val="22"/>
          <w:szCs w:val="22"/>
        </w:rPr>
      </w:pPr>
      <w:r w:rsidRPr="00361192">
        <w:rPr>
          <w:sz w:val="22"/>
          <w:szCs w:val="22"/>
        </w:rPr>
        <w:t xml:space="preserve">Modernizácia železničnej dopravnej siete TEN-T prispeje k napĺňaniu stratégie </w:t>
      </w:r>
      <w:r>
        <w:rPr>
          <w:sz w:val="22"/>
          <w:szCs w:val="22"/>
        </w:rPr>
        <w:t xml:space="preserve">Európa </w:t>
      </w:r>
      <w:r w:rsidRPr="00361192">
        <w:rPr>
          <w:sz w:val="22"/>
          <w:szCs w:val="22"/>
        </w:rPr>
        <w:t>2020, konkrétne iniciatívy zlepšovania efektívnosti využívania zdrojov a znižovanie emisií. Modernizáciou vybraných železničných tratí dôjde k zvýšeniu efektivity železničnej dopravy vybudovaním modernej a plne prepojenej infraštruktúry, ktorá bude schopná prijať zvyšujúci sa objem dopravy vrátane presunu výkonov z cestnej dopravy. Týmto spôsobom aktivita pris</w:t>
      </w:r>
      <w:r w:rsidR="00F22A31">
        <w:rPr>
          <w:sz w:val="22"/>
          <w:szCs w:val="22"/>
        </w:rPr>
        <w:t>peje k znižovaniu závislosti na </w:t>
      </w:r>
      <w:r w:rsidRPr="00361192">
        <w:rPr>
          <w:sz w:val="22"/>
          <w:szCs w:val="22"/>
        </w:rPr>
        <w:t>ropných produktoch, k znižovaniu emisií</w:t>
      </w:r>
      <w:r>
        <w:rPr>
          <w:sz w:val="22"/>
          <w:szCs w:val="22"/>
        </w:rPr>
        <w:t xml:space="preserve">, </w:t>
      </w:r>
      <w:r w:rsidRPr="00A21DD4">
        <w:rPr>
          <w:sz w:val="22"/>
          <w:szCs w:val="22"/>
        </w:rPr>
        <w:t xml:space="preserve">zlepšeniu kvality ovzdušia a k podpore udržateľnej dopravy a hospodárstva. Investície by mali byť prepojené na pripravované PUMM a plány kvality </w:t>
      </w:r>
      <w:r w:rsidRPr="00A21DD4">
        <w:rPr>
          <w:sz w:val="22"/>
          <w:szCs w:val="22"/>
        </w:rPr>
        <w:lastRenderedPageBreak/>
        <w:t>ovzdušia</w:t>
      </w:r>
      <w:r w:rsidR="005E42EE">
        <w:rPr>
          <w:sz w:val="22"/>
          <w:szCs w:val="22"/>
        </w:rPr>
        <w:t xml:space="preserve"> </w:t>
      </w:r>
      <w:r w:rsidR="005E42EE" w:rsidRPr="005E42EE">
        <w:rPr>
          <w:sz w:val="22"/>
          <w:szCs w:val="22"/>
        </w:rPr>
        <w:t>za</w:t>
      </w:r>
      <w:r w:rsidR="00F22A31">
        <w:rPr>
          <w:sz w:val="22"/>
          <w:szCs w:val="22"/>
        </w:rPr>
        <w:t> </w:t>
      </w:r>
      <w:r w:rsidR="005E42EE" w:rsidRPr="005E42EE">
        <w:rPr>
          <w:sz w:val="22"/>
          <w:szCs w:val="22"/>
        </w:rPr>
        <w:t xml:space="preserve">účelom prispieť k cieľom definovaným </w:t>
      </w:r>
      <w:r w:rsidR="005162F6">
        <w:rPr>
          <w:sz w:val="22"/>
          <w:szCs w:val="22"/>
        </w:rPr>
        <w:t xml:space="preserve">smernicou Európskeho parlamentu a rady 2008/50/ES o kvalite okolitého ovzdušia a čistejšom ovzduší v Európe; v rámci SR transponovanou zákonom č. 137/2010 Z. z. </w:t>
      </w:r>
      <w:r w:rsidR="00634202">
        <w:rPr>
          <w:sz w:val="22"/>
          <w:szCs w:val="22"/>
        </w:rPr>
        <w:t xml:space="preserve">o ovzduší </w:t>
      </w:r>
      <w:r w:rsidR="005162F6">
        <w:rPr>
          <w:sz w:val="22"/>
          <w:szCs w:val="22"/>
        </w:rPr>
        <w:t>v</w:t>
      </w:r>
      <w:r w:rsidR="00634202">
        <w:rPr>
          <w:sz w:val="22"/>
          <w:szCs w:val="22"/>
        </w:rPr>
        <w:t xml:space="preserve"> </w:t>
      </w:r>
      <w:r w:rsidR="005162F6">
        <w:rPr>
          <w:sz w:val="22"/>
          <w:szCs w:val="22"/>
        </w:rPr>
        <w:t>znení neskorších predpisov a vyhláškou č. 360/2010 Z. z. Ministerstva pôdohospodárstva, životného prostredia a regionálneho rozvoja Slovenskej republiky o kvali</w:t>
      </w:r>
      <w:r w:rsidR="00634202">
        <w:rPr>
          <w:sz w:val="22"/>
          <w:szCs w:val="22"/>
        </w:rPr>
        <w:t>te ovzdušia v znení vyhlášky č. </w:t>
      </w:r>
      <w:r w:rsidR="005162F6">
        <w:rPr>
          <w:sz w:val="22"/>
          <w:szCs w:val="22"/>
        </w:rPr>
        <w:t>442/2013 Z. z</w:t>
      </w:r>
      <w:r w:rsidR="005E42EE" w:rsidRPr="005E42EE">
        <w:rPr>
          <w:sz w:val="22"/>
          <w:szCs w:val="22"/>
        </w:rPr>
        <w:t>.</w:t>
      </w:r>
    </w:p>
    <w:p w14:paraId="7590CC55" w14:textId="77777777" w:rsidR="009E0158" w:rsidRDefault="00E71E4A" w:rsidP="008F3CB1">
      <w:pPr>
        <w:numPr>
          <w:ilvl w:val="2"/>
          <w:numId w:val="93"/>
        </w:numPr>
        <w:spacing w:before="180" w:after="120"/>
        <w:ind w:left="851" w:hanging="425"/>
        <w:jc w:val="both"/>
        <w:rPr>
          <w:b/>
          <w:i/>
          <w:color w:val="548DD4" w:themeColor="text2" w:themeTint="99"/>
          <w:sz w:val="22"/>
          <w:szCs w:val="22"/>
        </w:rPr>
      </w:pPr>
      <w:r w:rsidRPr="00A21DD4">
        <w:rPr>
          <w:b/>
          <w:i/>
          <w:color w:val="548DD4" w:themeColor="text2" w:themeTint="99"/>
          <w:sz w:val="22"/>
          <w:szCs w:val="22"/>
        </w:rPr>
        <w:t>Elektrifikácia železničných tratí</w:t>
      </w:r>
    </w:p>
    <w:p w14:paraId="4EFBCA9F" w14:textId="77777777" w:rsidR="00E71E4A" w:rsidRPr="00A21DD4" w:rsidRDefault="00E71E4A" w:rsidP="00E71E4A">
      <w:pPr>
        <w:pStyle w:val="Odsekzoznamu"/>
        <w:autoSpaceDE w:val="0"/>
        <w:autoSpaceDN w:val="0"/>
        <w:adjustRightInd w:val="0"/>
        <w:spacing w:after="120"/>
        <w:ind w:left="0"/>
        <w:contextualSpacing w:val="0"/>
        <w:jc w:val="both"/>
        <w:rPr>
          <w:sz w:val="22"/>
          <w:szCs w:val="22"/>
        </w:rPr>
      </w:pPr>
      <w:r w:rsidRPr="00A21DD4">
        <w:rPr>
          <w:sz w:val="22"/>
          <w:szCs w:val="22"/>
        </w:rPr>
        <w:t>Aktivity, ktoré navrhuje MDV SR realizovať v rámci tejto časti OP priamo prispievajú k naplneniu vízie a cieľov dopravného sektora identifikovaných v Strategickom pláne (kap. 4.6). Ide o opatrenia súvisiace so znižovaním emisnej záťaže a zvyšovania kvality ovzdušia.</w:t>
      </w:r>
    </w:p>
    <w:p w14:paraId="2C990569" w14:textId="77777777" w:rsidR="00E71E4A" w:rsidRDefault="00E71E4A" w:rsidP="00E71E4A">
      <w:pPr>
        <w:pStyle w:val="Odsekzoznamu"/>
        <w:autoSpaceDE w:val="0"/>
        <w:autoSpaceDN w:val="0"/>
        <w:adjustRightInd w:val="0"/>
        <w:spacing w:before="180" w:after="120"/>
        <w:ind w:left="0"/>
        <w:contextualSpacing w:val="0"/>
        <w:jc w:val="both"/>
        <w:rPr>
          <w:sz w:val="22"/>
          <w:szCs w:val="22"/>
        </w:rPr>
      </w:pPr>
      <w:r w:rsidRPr="00A21DD4">
        <w:rPr>
          <w:sz w:val="22"/>
          <w:szCs w:val="22"/>
        </w:rPr>
        <w:t>Z pohľadu vplyvov na životné prostredie možno železničnú dopravu zaradiť medzi environmentálne prijateľné módy dopravy. Aj napriek uvedenej skutočnosti, existuje priestor pre ďalšie znižovanie dopadov železničnej dopravy na životné prostredie, a to predovšetkým prostredníctvom opatrení súvisiacich s elektrifikáciou vyťažených železničných tratí. Elektrifikáciou tratí dochádza k znižovaniu závislosti dopravného sektora na ropných produktoch, respektíve zvyšovaní energetickej diverzity</w:t>
      </w:r>
      <w:r w:rsidRPr="00DA54CE">
        <w:rPr>
          <w:sz w:val="22"/>
          <w:szCs w:val="22"/>
        </w:rPr>
        <w:t xml:space="preserve"> využitím viacerých zdrojov energie. V priebehu roku 2012 došlo na základe intenzívnej komunikácie MDVRR SR a jednotlivých železničných dopravcov operujúcich na sieti ŽSR k súhrnu potrieb a požiadaviek v nákladnej a osobnej doprave. Zo strany dopravcov bola chýbajúca elektrifikácia niektorých tratí označená ako jeden z najzávažnejších problémov.</w:t>
      </w:r>
      <w:r w:rsidRPr="00B82142">
        <w:rPr>
          <w:sz w:val="22"/>
          <w:szCs w:val="22"/>
        </w:rPr>
        <w:t xml:space="preserve"> </w:t>
      </w:r>
      <w:r w:rsidRPr="00DA54CE">
        <w:rPr>
          <w:sz w:val="22"/>
          <w:szCs w:val="22"/>
        </w:rPr>
        <w:t>Ku koncu roka 201</w:t>
      </w:r>
      <w:r>
        <w:rPr>
          <w:sz w:val="22"/>
          <w:szCs w:val="22"/>
        </w:rPr>
        <w:t>3</w:t>
      </w:r>
      <w:r w:rsidRPr="00DA54CE">
        <w:rPr>
          <w:sz w:val="22"/>
          <w:szCs w:val="22"/>
        </w:rPr>
        <w:t xml:space="preserve"> predstavovala dĺžka prevádzkova</w:t>
      </w:r>
      <w:r>
        <w:rPr>
          <w:sz w:val="22"/>
          <w:szCs w:val="22"/>
        </w:rPr>
        <w:t>ných železničných tratí SR 3 600</w:t>
      </w:r>
      <w:r w:rsidRPr="00DA54CE">
        <w:rPr>
          <w:sz w:val="22"/>
          <w:szCs w:val="22"/>
        </w:rPr>
        <w:t xml:space="preserve"> km, z toho elektrifikovaných bolo 1 5</w:t>
      </w:r>
      <w:r>
        <w:rPr>
          <w:sz w:val="22"/>
          <w:szCs w:val="22"/>
        </w:rPr>
        <w:t>86</w:t>
      </w:r>
      <w:r w:rsidRPr="00DA54CE">
        <w:rPr>
          <w:sz w:val="22"/>
          <w:szCs w:val="22"/>
        </w:rPr>
        <w:t xml:space="preserve"> km tratí, čo tvorí cca 44</w:t>
      </w:r>
      <w:r>
        <w:rPr>
          <w:sz w:val="22"/>
          <w:szCs w:val="22"/>
        </w:rPr>
        <w:t>,06</w:t>
      </w:r>
      <w:r w:rsidRPr="00DA54CE">
        <w:rPr>
          <w:sz w:val="22"/>
          <w:szCs w:val="22"/>
        </w:rPr>
        <w:t xml:space="preserve"> %.</w:t>
      </w:r>
    </w:p>
    <w:p w14:paraId="05716A36" w14:textId="77777777" w:rsidR="00E71E4A" w:rsidRDefault="00E71E4A" w:rsidP="00E71E4A">
      <w:pPr>
        <w:spacing w:before="180" w:after="120"/>
        <w:jc w:val="both"/>
        <w:rPr>
          <w:sz w:val="22"/>
          <w:szCs w:val="22"/>
        </w:rPr>
      </w:pPr>
      <w:r w:rsidRPr="00520326">
        <w:rPr>
          <w:sz w:val="22"/>
          <w:szCs w:val="22"/>
        </w:rPr>
        <w:t xml:space="preserve">Z pohľadu elektrifikácie </w:t>
      </w:r>
      <w:r>
        <w:rPr>
          <w:sz w:val="22"/>
          <w:szCs w:val="22"/>
        </w:rPr>
        <w:t xml:space="preserve">železničných tratí zaradených v základnej sieti TEN-T je plánované využiť zdroje OPII na spolufinancovanie projektu elektrifikácie trate v úseku </w:t>
      </w:r>
      <w:r w:rsidRPr="00404A68">
        <w:rPr>
          <w:b/>
          <w:sz w:val="22"/>
          <w:szCs w:val="22"/>
        </w:rPr>
        <w:t>Devínska Nová Ves – Marchegg</w:t>
      </w:r>
      <w:r>
        <w:rPr>
          <w:sz w:val="22"/>
          <w:szCs w:val="22"/>
        </w:rPr>
        <w:t>.</w:t>
      </w:r>
    </w:p>
    <w:p w14:paraId="6B043DA8" w14:textId="53D3A2A0" w:rsidR="009E0158" w:rsidRPr="008F3CB1" w:rsidRDefault="00E71E4A" w:rsidP="008F3CB1">
      <w:pPr>
        <w:pStyle w:val="Odsekzoznamu"/>
        <w:numPr>
          <w:ilvl w:val="2"/>
          <w:numId w:val="93"/>
        </w:numPr>
        <w:spacing w:before="180" w:after="120"/>
        <w:ind w:left="850" w:hanging="425"/>
        <w:jc w:val="both"/>
        <w:rPr>
          <w:b/>
          <w:i/>
          <w:color w:val="548DD4" w:themeColor="text2" w:themeTint="99"/>
          <w:sz w:val="22"/>
          <w:szCs w:val="22"/>
        </w:rPr>
      </w:pPr>
      <w:r w:rsidRPr="008F3CB1">
        <w:rPr>
          <w:b/>
          <w:i/>
          <w:color w:val="548DD4" w:themeColor="text2" w:themeTint="99"/>
          <w:sz w:val="22"/>
          <w:szCs w:val="22"/>
        </w:rPr>
        <w:t>Výstavba nových úsekov železničných tratí (v prípade, ak opodstatnenosť výstavby potvrdí relevantná štúdia realizovateľnosti)</w:t>
      </w:r>
    </w:p>
    <w:p w14:paraId="1CBE3E09" w14:textId="77777777" w:rsidR="00E71E4A" w:rsidRDefault="00E71E4A" w:rsidP="00E71E4A">
      <w:pPr>
        <w:spacing w:after="120"/>
        <w:jc w:val="both"/>
        <w:rPr>
          <w:sz w:val="22"/>
          <w:szCs w:val="22"/>
        </w:rPr>
      </w:pPr>
      <w:r w:rsidRPr="00BB5FDC">
        <w:rPr>
          <w:sz w:val="22"/>
          <w:szCs w:val="22"/>
        </w:rPr>
        <w:t xml:space="preserve">V rámci </w:t>
      </w:r>
      <w:r>
        <w:rPr>
          <w:sz w:val="22"/>
          <w:szCs w:val="22"/>
        </w:rPr>
        <w:t>zvyšovania konkurencieschopnosti a využitia nových príležitostí vo verejnej železničnej osobnej doprave je vhodné preveriť nové osi. Ide o nové železničné prepojenia v oblastiach, kde je potenciál na prevzatie vyšších prepravných záťaží predovšetkým v prímestskej a medziregionálnej osobnej doprave. Na základe analýzy prepravných vzťahov bolo v Strategickom pláne odporúčané preveriť formou štúdie realizovateľnosti priame železničné spojenie v smere Bratislava – Nitra. Predpokladá sa, že z veľkej časti by boli využité existujúce traťové úseky. Ako ďalší projekt je možné spomenúť zámer vybudovať vysokorýchlostné prepojenie Bratislavy s hlavnými mestami Francúzska, Rakúska a Maďarska. Preskúmanie trasy aj prípadná výstavba je plánovaná zo zdrojov NPE.</w:t>
      </w:r>
    </w:p>
    <w:p w14:paraId="495E973E" w14:textId="4AFBC6AE" w:rsidR="009E0158" w:rsidRPr="008F3CB1" w:rsidRDefault="00E71E4A" w:rsidP="008F3CB1">
      <w:pPr>
        <w:pStyle w:val="Odsekzoznamu"/>
        <w:numPr>
          <w:ilvl w:val="2"/>
          <w:numId w:val="93"/>
        </w:numPr>
        <w:spacing w:before="180" w:after="120"/>
        <w:ind w:left="850" w:hanging="425"/>
        <w:jc w:val="both"/>
        <w:rPr>
          <w:b/>
          <w:i/>
          <w:color w:val="548DD4" w:themeColor="text2" w:themeTint="99"/>
          <w:sz w:val="22"/>
          <w:szCs w:val="22"/>
        </w:rPr>
      </w:pPr>
      <w:r w:rsidRPr="008F3CB1">
        <w:rPr>
          <w:b/>
          <w:i/>
          <w:color w:val="548DD4" w:themeColor="text2" w:themeTint="99"/>
          <w:sz w:val="22"/>
          <w:szCs w:val="22"/>
        </w:rPr>
        <w:t>Výstavba terminálov intermodálnej prepravy (v prípade, ak budú vytvorené vhodné trhové podmienky)</w:t>
      </w:r>
    </w:p>
    <w:p w14:paraId="4CDCF34C" w14:textId="77777777" w:rsidR="00E71E4A" w:rsidRDefault="00E71E4A" w:rsidP="00E71E4A">
      <w:pPr>
        <w:jc w:val="both"/>
        <w:rPr>
          <w:sz w:val="22"/>
          <w:szCs w:val="22"/>
        </w:rPr>
      </w:pPr>
      <w:r w:rsidRPr="00FE75AD">
        <w:rPr>
          <w:sz w:val="22"/>
          <w:szCs w:val="22"/>
        </w:rPr>
        <w:t>Popri modernizácii železničných tratí je ďalšou príležitosťou pre rozvoj železničnej infraštruktúry a</w:t>
      </w:r>
      <w:r>
        <w:rPr>
          <w:sz w:val="22"/>
          <w:szCs w:val="22"/>
        </w:rPr>
        <w:t> </w:t>
      </w:r>
      <w:r w:rsidRPr="00FE75AD">
        <w:rPr>
          <w:sz w:val="22"/>
          <w:szCs w:val="22"/>
        </w:rPr>
        <w:t>zvýšenie využitia jej kapacity</w:t>
      </w:r>
      <w:r>
        <w:rPr>
          <w:sz w:val="22"/>
          <w:szCs w:val="22"/>
        </w:rPr>
        <w:t xml:space="preserve"> aj</w:t>
      </w:r>
      <w:r w:rsidRPr="00FE75AD">
        <w:rPr>
          <w:sz w:val="22"/>
          <w:szCs w:val="22"/>
        </w:rPr>
        <w:t xml:space="preserve"> rozvoj kombinovanej dopravy. To </w:t>
      </w:r>
      <w:r>
        <w:rPr>
          <w:sz w:val="22"/>
          <w:szCs w:val="22"/>
        </w:rPr>
        <w:t>si</w:t>
      </w:r>
      <w:r w:rsidRPr="00FE75AD">
        <w:rPr>
          <w:sz w:val="22"/>
          <w:szCs w:val="22"/>
        </w:rPr>
        <w:t xml:space="preserve"> vyžaduje vybudovanie kontajnerových terminálov pre pokrytie rastúcich objemov v</w:t>
      </w:r>
      <w:r>
        <w:rPr>
          <w:sz w:val="22"/>
          <w:szCs w:val="22"/>
        </w:rPr>
        <w:t> </w:t>
      </w:r>
      <w:r w:rsidRPr="00FE75AD">
        <w:rPr>
          <w:sz w:val="22"/>
          <w:szCs w:val="22"/>
        </w:rPr>
        <w:t>tejto doprave a</w:t>
      </w:r>
      <w:r>
        <w:rPr>
          <w:sz w:val="22"/>
          <w:szCs w:val="22"/>
        </w:rPr>
        <w:t> zabezpečenie pripravenosti</w:t>
      </w:r>
      <w:r w:rsidRPr="00FE75AD">
        <w:rPr>
          <w:sz w:val="22"/>
          <w:szCs w:val="22"/>
        </w:rPr>
        <w:t xml:space="preserve"> pre prípadný rast kontinentálnej dopravy s</w:t>
      </w:r>
      <w:r>
        <w:rPr>
          <w:sz w:val="22"/>
          <w:szCs w:val="22"/>
        </w:rPr>
        <w:t> </w:t>
      </w:r>
      <w:r w:rsidRPr="00FE75AD">
        <w:rPr>
          <w:sz w:val="22"/>
          <w:szCs w:val="22"/>
        </w:rPr>
        <w:t>vyhliadkou možnosti rastu priamej kontinentálnej dopravy Ázia – EÚ.</w:t>
      </w:r>
    </w:p>
    <w:p w14:paraId="536E9947" w14:textId="77777777" w:rsidR="00E71E4A" w:rsidRPr="00B12931" w:rsidRDefault="00E71E4A" w:rsidP="00E71E4A">
      <w:pPr>
        <w:spacing w:before="180"/>
        <w:jc w:val="both"/>
        <w:rPr>
          <w:sz w:val="22"/>
          <w:szCs w:val="22"/>
        </w:rPr>
      </w:pPr>
      <w:r w:rsidRPr="00FE75AD">
        <w:rPr>
          <w:sz w:val="22"/>
          <w:szCs w:val="22"/>
        </w:rPr>
        <w:t>Dlhodobým c</w:t>
      </w:r>
      <w:r w:rsidRPr="00FE75AD">
        <w:rPr>
          <w:sz w:val="22"/>
          <w:szCs w:val="22"/>
          <w:lang w:eastAsia="cs-CZ"/>
        </w:rPr>
        <w:t xml:space="preserve">ieľom </w:t>
      </w:r>
      <w:r>
        <w:rPr>
          <w:sz w:val="22"/>
          <w:szCs w:val="22"/>
          <w:lang w:eastAsia="cs-CZ"/>
        </w:rPr>
        <w:t xml:space="preserve">MDV SR je výstavba </w:t>
      </w:r>
      <w:r w:rsidRPr="00FE75AD">
        <w:rPr>
          <w:sz w:val="22"/>
          <w:szCs w:val="22"/>
          <w:lang w:eastAsia="cs-CZ"/>
        </w:rPr>
        <w:t xml:space="preserve">základnej siete </w:t>
      </w:r>
      <w:r>
        <w:rPr>
          <w:sz w:val="22"/>
          <w:szCs w:val="22"/>
          <w:lang w:eastAsia="cs-CZ"/>
        </w:rPr>
        <w:t xml:space="preserve">verejných </w:t>
      </w:r>
      <w:r w:rsidRPr="00FE75AD">
        <w:rPr>
          <w:sz w:val="22"/>
          <w:szCs w:val="22"/>
          <w:lang w:eastAsia="cs-CZ"/>
        </w:rPr>
        <w:t>terminálov</w:t>
      </w:r>
      <w:r>
        <w:rPr>
          <w:sz w:val="22"/>
          <w:szCs w:val="22"/>
          <w:lang w:eastAsia="cs-CZ"/>
        </w:rPr>
        <w:t xml:space="preserve"> intermodálnej prepravy s cieľom</w:t>
      </w:r>
      <w:r w:rsidRPr="00FE75AD">
        <w:rPr>
          <w:sz w:val="22"/>
          <w:szCs w:val="22"/>
          <w:lang w:eastAsia="cs-CZ"/>
        </w:rPr>
        <w:t xml:space="preserve"> zlepšiť prístup ku kvalitným terminálovým a</w:t>
      </w:r>
      <w:r>
        <w:rPr>
          <w:sz w:val="22"/>
          <w:szCs w:val="22"/>
          <w:lang w:eastAsia="cs-CZ"/>
        </w:rPr>
        <w:t> </w:t>
      </w:r>
      <w:r w:rsidRPr="00FE75AD">
        <w:rPr>
          <w:sz w:val="22"/>
          <w:szCs w:val="22"/>
          <w:lang w:eastAsia="cs-CZ"/>
        </w:rPr>
        <w:t xml:space="preserve">logistickým službám. </w:t>
      </w:r>
      <w:r>
        <w:rPr>
          <w:sz w:val="22"/>
          <w:szCs w:val="22"/>
        </w:rPr>
        <w:t>Na základe rozhodnutia EK</w:t>
      </w:r>
      <w:r>
        <w:rPr>
          <w:rStyle w:val="Odkaznapoznmkupodiarou"/>
          <w:sz w:val="22"/>
          <w:szCs w:val="22"/>
        </w:rPr>
        <w:footnoteReference w:id="51"/>
      </w:r>
      <w:r>
        <w:rPr>
          <w:sz w:val="22"/>
          <w:szCs w:val="22"/>
        </w:rPr>
        <w:t xml:space="preserve"> vyplýva, že </w:t>
      </w:r>
      <w:r w:rsidRPr="00B12931">
        <w:rPr>
          <w:b/>
          <w:sz w:val="22"/>
          <w:szCs w:val="22"/>
        </w:rPr>
        <w:t>otázku budovania verejných terminálov na území SR bude možné opätovne otvoriť až po roku 2018, kedy MDV SR pripraví novú analýzu možností výstavby verejných terminálov intermodálnej prepravy. Poskytnutie verejnej finančnej pomoci pri výstavbe</w:t>
      </w:r>
      <w:r>
        <w:rPr>
          <w:b/>
          <w:sz w:val="22"/>
          <w:szCs w:val="22"/>
        </w:rPr>
        <w:t xml:space="preserve"> ďalších</w:t>
      </w:r>
      <w:r w:rsidRPr="005F4E48">
        <w:rPr>
          <w:sz w:val="22"/>
          <w:szCs w:val="22"/>
        </w:rPr>
        <w:t xml:space="preserve"> </w:t>
      </w:r>
      <w:r w:rsidRPr="00B12931">
        <w:rPr>
          <w:b/>
          <w:sz w:val="22"/>
          <w:szCs w:val="22"/>
        </w:rPr>
        <w:t>terminálov v budúcnosti bude podmienené novým rozhodnutím Komisie o štátnej pomoci.</w:t>
      </w:r>
    </w:p>
    <w:p w14:paraId="54FB1D7F" w14:textId="78684C2A" w:rsidR="009E0158" w:rsidRPr="008F3CB1" w:rsidRDefault="00E71E4A" w:rsidP="008F3CB1">
      <w:pPr>
        <w:pStyle w:val="Odsekzoznamu"/>
        <w:numPr>
          <w:ilvl w:val="2"/>
          <w:numId w:val="93"/>
        </w:numPr>
        <w:spacing w:before="180" w:after="120"/>
        <w:ind w:left="850" w:hanging="425"/>
        <w:jc w:val="both"/>
        <w:rPr>
          <w:b/>
          <w:i/>
          <w:color w:val="548DD4" w:themeColor="text2" w:themeTint="99"/>
          <w:sz w:val="22"/>
          <w:szCs w:val="22"/>
        </w:rPr>
      </w:pPr>
      <w:r w:rsidRPr="008F3CB1">
        <w:rPr>
          <w:b/>
          <w:i/>
          <w:color w:val="548DD4" w:themeColor="text2" w:themeTint="99"/>
          <w:sz w:val="22"/>
          <w:szCs w:val="22"/>
        </w:rPr>
        <w:lastRenderedPageBreak/>
        <w:t>Projektová príprava</w:t>
      </w:r>
    </w:p>
    <w:p w14:paraId="40A76FC5" w14:textId="77777777" w:rsidR="00E71E4A" w:rsidRDefault="00E71E4A" w:rsidP="00E71E4A">
      <w:pPr>
        <w:spacing w:after="120"/>
        <w:jc w:val="both"/>
        <w:rPr>
          <w:b/>
          <w:sz w:val="22"/>
          <w:szCs w:val="22"/>
        </w:rPr>
      </w:pPr>
      <w:r>
        <w:rPr>
          <w:sz w:val="22"/>
          <w:szCs w:val="22"/>
        </w:rPr>
        <w:t>V súvislosti s prípravou rezortu na čerpanie fondov EÚ v programovom období 2014 – 2020 v oblasti železníc je potrebné uviesť, že projektová príprava kvalitatívne zaostáva za stavom, ktorý bol dosiahnutý pri cestnej doprave. Podstatná časť prípravy železničných stavieb začatá v programovom období 2007 – 2013 bola v priebehu obdobia pozastavená. Dôvodom je skutočnosť, že na základe požiadavky EK sledujúc zabezpečenie nákladovo-efektívneho vynakladania zdrojov, bolo potrebné opätovne posúdiť dopravno-prepravný potenciál koridoru č. Va formou spracovania aktualizácie štúdie realizovateľnosti</w:t>
      </w:r>
      <w:r w:rsidRPr="006C3A0D">
        <w:rPr>
          <w:sz w:val="22"/>
          <w:szCs w:val="22"/>
        </w:rPr>
        <w:t xml:space="preserve"> </w:t>
      </w:r>
      <w:r>
        <w:rPr>
          <w:sz w:val="22"/>
          <w:szCs w:val="22"/>
        </w:rPr>
        <w:t xml:space="preserve">v smere Žilina – Košice – št. hr. SR/Ukrajina. Z tohto dôvodu pri väčšine koridorových stavieb bude nutné v ďalšom období obstarať „vyššie“ stupne dokumentácie a zároveň, pri už dosiahnutých stupňoch, pravdepodobne zabezpečiť ich aktualizáciu. Skrytý dlh v oblasti projektovej prípravy železničných projektov a horšia pozícia v absorpčnej kapacite boli taktiež jedným z dôvodov rozdelenia alokácie medzi prioritné osi. </w:t>
      </w:r>
      <w:r w:rsidRPr="006C3A0D">
        <w:rPr>
          <w:b/>
          <w:sz w:val="22"/>
          <w:szCs w:val="22"/>
        </w:rPr>
        <w:t xml:space="preserve">Na základe uvedeného bude náležitá pozornosť i zdroje venované predprojektovej a projektovej príprave </w:t>
      </w:r>
      <w:r>
        <w:rPr>
          <w:b/>
          <w:sz w:val="22"/>
          <w:szCs w:val="22"/>
        </w:rPr>
        <w:t>železničných</w:t>
      </w:r>
      <w:r w:rsidRPr="006C3A0D">
        <w:rPr>
          <w:b/>
          <w:sz w:val="22"/>
          <w:szCs w:val="22"/>
        </w:rPr>
        <w:t xml:space="preserve"> stavieb</w:t>
      </w:r>
      <w:r>
        <w:rPr>
          <w:b/>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71E4A" w14:paraId="1C27AF8A" w14:textId="77777777" w:rsidTr="00E71E4A">
        <w:trPr>
          <w:trHeight w:val="340"/>
          <w:jc w:val="center"/>
        </w:trPr>
        <w:tc>
          <w:tcPr>
            <w:tcW w:w="3289" w:type="dxa"/>
            <w:shd w:val="clear" w:color="auto" w:fill="DBE5F1" w:themeFill="accent1" w:themeFillTint="33"/>
            <w:vAlign w:val="center"/>
          </w:tcPr>
          <w:p w14:paraId="7277C236" w14:textId="77777777" w:rsidR="00E71E4A" w:rsidRPr="009553A0" w:rsidRDefault="00E71E4A" w:rsidP="00E71E4A">
            <w:pPr>
              <w:autoSpaceDE w:val="0"/>
              <w:autoSpaceDN w:val="0"/>
              <w:adjustRightInd w:val="0"/>
              <w:ind w:left="0"/>
              <w:rPr>
                <w:i/>
                <w:sz w:val="22"/>
                <w:szCs w:val="22"/>
              </w:rPr>
            </w:pPr>
            <w:r w:rsidRPr="009553A0">
              <w:rPr>
                <w:i/>
                <w:sz w:val="22"/>
                <w:szCs w:val="22"/>
              </w:rPr>
              <w:t>Cieľové skupiny:</w:t>
            </w:r>
          </w:p>
        </w:tc>
        <w:tc>
          <w:tcPr>
            <w:tcW w:w="5783" w:type="dxa"/>
            <w:vAlign w:val="center"/>
          </w:tcPr>
          <w:p w14:paraId="7762962A"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E71E4A" w14:paraId="05BC5EA4" w14:textId="77777777" w:rsidTr="00E71E4A">
        <w:trPr>
          <w:trHeight w:val="340"/>
          <w:jc w:val="center"/>
        </w:trPr>
        <w:tc>
          <w:tcPr>
            <w:tcW w:w="3289" w:type="dxa"/>
            <w:shd w:val="clear" w:color="auto" w:fill="DBE5F1" w:themeFill="accent1" w:themeFillTint="33"/>
            <w:vAlign w:val="center"/>
          </w:tcPr>
          <w:p w14:paraId="3985F25D" w14:textId="77777777" w:rsidR="00E71E4A" w:rsidRPr="009553A0" w:rsidRDefault="00E71E4A" w:rsidP="00E71E4A">
            <w:pPr>
              <w:autoSpaceDE w:val="0"/>
              <w:autoSpaceDN w:val="0"/>
              <w:adjustRightInd w:val="0"/>
              <w:ind w:left="0"/>
              <w:rPr>
                <w:i/>
                <w:sz w:val="22"/>
                <w:szCs w:val="22"/>
              </w:rPr>
            </w:pPr>
            <w:r w:rsidRPr="009553A0">
              <w:rPr>
                <w:i/>
                <w:sz w:val="22"/>
                <w:szCs w:val="22"/>
              </w:rPr>
              <w:t>Cieľové územia:</w:t>
            </w:r>
          </w:p>
        </w:tc>
        <w:tc>
          <w:tcPr>
            <w:tcW w:w="5783" w:type="dxa"/>
            <w:vAlign w:val="center"/>
          </w:tcPr>
          <w:p w14:paraId="62AF9A39"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E71E4A" w14:paraId="66931E82" w14:textId="77777777" w:rsidTr="00E71E4A">
        <w:trPr>
          <w:trHeight w:val="340"/>
          <w:jc w:val="center"/>
        </w:trPr>
        <w:tc>
          <w:tcPr>
            <w:tcW w:w="3289" w:type="dxa"/>
            <w:shd w:val="clear" w:color="auto" w:fill="DBE5F1" w:themeFill="accent1" w:themeFillTint="33"/>
            <w:vAlign w:val="center"/>
          </w:tcPr>
          <w:p w14:paraId="26877C91" w14:textId="77777777" w:rsidR="00E71E4A" w:rsidRPr="009553A0" w:rsidRDefault="00E71E4A" w:rsidP="00E71E4A">
            <w:pPr>
              <w:autoSpaceDE w:val="0"/>
              <w:autoSpaceDN w:val="0"/>
              <w:adjustRightInd w:val="0"/>
              <w:ind w:left="0"/>
              <w:rPr>
                <w:i/>
                <w:sz w:val="22"/>
                <w:szCs w:val="22"/>
              </w:rPr>
            </w:pPr>
            <w:r w:rsidRPr="009553A0">
              <w:rPr>
                <w:i/>
                <w:sz w:val="22"/>
                <w:szCs w:val="22"/>
              </w:rPr>
              <w:t>Prijímatelia:</w:t>
            </w:r>
          </w:p>
        </w:tc>
        <w:tc>
          <w:tcPr>
            <w:tcW w:w="5783" w:type="dxa"/>
            <w:vAlign w:val="center"/>
          </w:tcPr>
          <w:p w14:paraId="36C288FD"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Železnice Slovenskej republiky</w:t>
            </w:r>
          </w:p>
          <w:p w14:paraId="600E223B"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MDV SR</w:t>
            </w:r>
          </w:p>
          <w:p w14:paraId="194426D9" w14:textId="77777777" w:rsidR="009E0158" w:rsidRDefault="00E71E4A" w:rsidP="008F3CB1">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35064C9A" w14:textId="77777777" w:rsidR="00E71E4A" w:rsidRDefault="00E71E4A" w:rsidP="00E71E4A">
      <w:pPr>
        <w:pStyle w:val="Nadpis4"/>
        <w:spacing w:before="240"/>
      </w:pPr>
      <w:r>
        <w:t>Hlavné princípy výberu projektov</w:t>
      </w:r>
    </w:p>
    <w:p w14:paraId="4DB56E96" w14:textId="77777777" w:rsidR="00E71E4A" w:rsidRDefault="00E71E4A" w:rsidP="00E71E4A">
      <w:pPr>
        <w:tabs>
          <w:tab w:val="left" w:pos="540"/>
        </w:tabs>
        <w:jc w:val="both"/>
        <w:rPr>
          <w:sz w:val="22"/>
          <w:szCs w:val="22"/>
        </w:rPr>
      </w:pPr>
      <w:r w:rsidRPr="00931B98">
        <w:rPr>
          <w:sz w:val="22"/>
          <w:szCs w:val="22"/>
        </w:rPr>
        <w:t>Vzhľadom na špecifické postavenie MDV SR vo vzťahu k podporovaným aktivitám budú jednotliví prijímatelia stanovení vopred RO a žiadaní o predkladanie projektových žiadostí.</w:t>
      </w:r>
      <w:r>
        <w:rPr>
          <w:color w:val="FF0000"/>
          <w:sz w:val="22"/>
          <w:szCs w:val="22"/>
        </w:rPr>
        <w:t xml:space="preserve">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w:t>
      </w:r>
      <w:r w:rsidR="00A05CA8">
        <w:rPr>
          <w:sz w:val="22"/>
          <w:szCs w:val="22"/>
        </w:rPr>
        <w:t>ých dokumentov spracovaných pre </w:t>
      </w:r>
      <w:r>
        <w:rPr>
          <w:sz w:val="22"/>
          <w:szCs w:val="22"/>
        </w:rPr>
        <w:t>potreby programového obdobia 2014 - 2020, ako aj ich prípadné aktualizácie, ktoré zohľadňujú rezortné potreby v širšom kontexte. Ide predovšetkým o Strategický plán a Stratégiu VOD.</w:t>
      </w:r>
    </w:p>
    <w:p w14:paraId="446044A3" w14:textId="77777777" w:rsidR="00E71E4A" w:rsidRPr="00A21DD4" w:rsidRDefault="00E71E4A" w:rsidP="00370BC2">
      <w:pPr>
        <w:tabs>
          <w:tab w:val="left" w:pos="540"/>
        </w:tabs>
        <w:spacing w:before="180"/>
        <w:jc w:val="both"/>
        <w:rPr>
          <w:sz w:val="22"/>
        </w:rPr>
      </w:pPr>
      <w:r w:rsidRPr="00A21DD4">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3C35FA61" w14:textId="77777777" w:rsidR="00370BC2" w:rsidRDefault="00E71E4A" w:rsidP="00037493">
      <w:pPr>
        <w:spacing w:before="180"/>
        <w:jc w:val="both"/>
        <w:rPr>
          <w:sz w:val="22"/>
        </w:rPr>
      </w:pPr>
      <w:r w:rsidRPr="00A21DD4">
        <w:rPr>
          <w:sz w:val="22"/>
        </w:rPr>
        <w:t>Všetky plánované železničné projekty a projektové zámery PO 1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w:t>
      </w:r>
      <w:r w:rsidR="00370BC2">
        <w:rPr>
          <w:sz w:val="22"/>
        </w:rPr>
        <w:t xml:space="preserve"> </w:t>
      </w:r>
      <w:r w:rsidR="00370BC2" w:rsidRPr="00370BC2">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w:t>
      </w:r>
      <w:r w:rsidR="00370BC2">
        <w:rPr>
          <w:sz w:val="22"/>
        </w:rPr>
        <w:t xml:space="preserve"> a budú predmetom revízie OPII.</w:t>
      </w:r>
    </w:p>
    <w:p w14:paraId="7DD33AEB" w14:textId="77777777" w:rsidR="00E71E4A" w:rsidRPr="00A21DD4" w:rsidRDefault="00E71E4A" w:rsidP="00E71E4A">
      <w:pPr>
        <w:pStyle w:val="Nadpis4"/>
      </w:pPr>
      <w:r w:rsidRPr="00A21DD4">
        <w:t>Plánované využitie finančných nástrojov</w:t>
      </w:r>
    </w:p>
    <w:p w14:paraId="2B8847DA" w14:textId="4C83F224" w:rsidR="00E71E4A" w:rsidRPr="002F4803" w:rsidRDefault="00E71E4A" w:rsidP="00E71E4A">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D85B34">
        <w:rPr>
          <w:sz w:val="22"/>
          <w:szCs w:val="22"/>
        </w:rPr>
        <w:t>ajú adekvátne financovanie, pri </w:t>
      </w:r>
      <w:r w:rsidRPr="002F4803">
        <w:rPr>
          <w:sz w:val="22"/>
          <w:szCs w:val="22"/>
        </w:rPr>
        <w:t>ktorom by ich realizácia bola efektívnou.</w:t>
      </w:r>
    </w:p>
    <w:p w14:paraId="2639410D" w14:textId="77777777" w:rsidR="00E71E4A" w:rsidRDefault="00E71E4A" w:rsidP="00E71E4A">
      <w:pPr>
        <w:spacing w:before="180"/>
        <w:jc w:val="both"/>
        <w:rPr>
          <w:sz w:val="22"/>
          <w:szCs w:val="22"/>
        </w:rPr>
      </w:pPr>
      <w:r w:rsidRPr="002F4803">
        <w:rPr>
          <w:sz w:val="22"/>
          <w:szCs w:val="22"/>
        </w:rPr>
        <w:t xml:space="preserve">Možnosť opätovného využitia prostriedkov za súčasného prispievania k dosiahnutiu cieľov prioritných osí patrí medzi výhody využitia finančných nástrojov. Ďalšou výhodou využitia finančných nástrojov </w:t>
      </w:r>
      <w:r w:rsidRPr="002F4803">
        <w:rPr>
          <w:sz w:val="22"/>
          <w:szCs w:val="22"/>
        </w:rPr>
        <w:lastRenderedPageBreak/>
        <w:t>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Pr>
          <w:sz w:val="22"/>
          <w:szCs w:val="22"/>
        </w:rPr>
        <w:t> </w:t>
      </w:r>
      <w:r w:rsidRPr="002F4803">
        <w:rPr>
          <w:sz w:val="22"/>
          <w:szCs w:val="22"/>
        </w:rPr>
        <w:t>pod</w:t>
      </w:r>
      <w:r>
        <w:rPr>
          <w:sz w:val="22"/>
          <w:szCs w:val="22"/>
        </w:rPr>
        <w:t>.</w:t>
      </w:r>
      <w:r w:rsidRPr="002F4803">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7D8154CE" w14:textId="77777777" w:rsidR="00E71E4A" w:rsidRDefault="00E71E4A" w:rsidP="00674630">
      <w:pPr>
        <w:pStyle w:val="tl2"/>
      </w:pPr>
      <w:r>
        <w:t>Plánované využitie veľkých projektov</w:t>
      </w:r>
    </w:p>
    <w:p w14:paraId="659F4ECE" w14:textId="3A7E1E5E" w:rsidR="00E71E4A" w:rsidRDefault="00E71E4A" w:rsidP="00E71E4A">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12.1</w:t>
      </w:r>
      <w:r w:rsidRPr="00FE75AD">
        <w:rPr>
          <w:sz w:val="22"/>
          <w:szCs w:val="22"/>
        </w:rPr>
        <w:t>.</w:t>
      </w:r>
      <w:r>
        <w:rPr>
          <w:sz w:val="22"/>
          <w:szCs w:val="22"/>
        </w:rPr>
        <w:t xml:space="preserve"> </w:t>
      </w:r>
      <w:r w:rsidRPr="00A21DD4">
        <w:rPr>
          <w:sz w:val="22"/>
          <w:szCs w:val="22"/>
        </w:rPr>
        <w:t>Zoznam veľkých projektov PO</w:t>
      </w:r>
      <w:r w:rsidR="001E460B">
        <w:rPr>
          <w:sz w:val="22"/>
          <w:szCs w:val="22"/>
        </w:rPr>
        <w:t xml:space="preserve"> 1 môže byť modifikovaný</w:t>
      </w:r>
      <w:r w:rsidRPr="00A21DD4">
        <w:rPr>
          <w:sz w:val="22"/>
          <w:szCs w:val="22"/>
        </w:rPr>
        <w:t xml:space="preserve"> s cieľom zohľadniť finančné, administratívne a technické možnosti implementácie NPE a finančných nástrojov</w:t>
      </w:r>
      <w:r w:rsidR="002B5D27">
        <w:rPr>
          <w:sz w:val="22"/>
          <w:szCs w:val="22"/>
        </w:rPr>
        <w:t>.</w:t>
      </w:r>
      <w:r w:rsidRPr="00A21DD4">
        <w:rPr>
          <w:sz w:val="22"/>
          <w:szCs w:val="22"/>
        </w:rPr>
        <w:t xml:space="preserve"> Grafické zobrazenie rozvoja železničnej infraštruktúry na Slovensku zabezpečené realizáciou zadefinovaných veľkých projektov je uvedené v </w:t>
      </w:r>
      <w:r w:rsidRPr="00EF5636">
        <w:rPr>
          <w:sz w:val="22"/>
          <w:szCs w:val="22"/>
        </w:rPr>
        <w:t>Prílohe 7.</w:t>
      </w:r>
    </w:p>
    <w:p w14:paraId="2B9F2B4D" w14:textId="77777777" w:rsidR="006C41C9" w:rsidRPr="006C41C9" w:rsidRDefault="006C41C9" w:rsidP="006C41C9">
      <w:pPr>
        <w:pStyle w:val="Nadpis4"/>
      </w:pPr>
      <w:r w:rsidRPr="00A21DD4">
        <w:t>Ukazovatele výstupu na úrovni investičnej priority a kategórie regiónu</w:t>
      </w:r>
    </w:p>
    <w:p w14:paraId="144CE31F" w14:textId="77777777" w:rsidR="00E71E4A" w:rsidRPr="008C1732" w:rsidRDefault="00E71E4A" w:rsidP="00D548B3">
      <w:pPr>
        <w:pStyle w:val="Tab"/>
        <w:tabs>
          <w:tab w:val="clear" w:pos="0"/>
          <w:tab w:val="clear" w:pos="851"/>
        </w:tabs>
      </w:pPr>
      <w:r>
        <w:t>Spoločné a špecifické ukazovatele výstupu investičnej priority 7i)</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E71E4A" w14:paraId="1F71A76B" w14:textId="77777777" w:rsidTr="00E71E4A">
        <w:trPr>
          <w:trHeight w:val="487"/>
          <w:jc w:val="center"/>
        </w:trPr>
        <w:tc>
          <w:tcPr>
            <w:tcW w:w="578" w:type="dxa"/>
            <w:shd w:val="clear" w:color="auto" w:fill="C6D9F1" w:themeFill="text2" w:themeFillTint="33"/>
            <w:vAlign w:val="center"/>
          </w:tcPr>
          <w:p w14:paraId="64B1CDF0" w14:textId="77777777" w:rsidR="00E71E4A" w:rsidRPr="008C1732" w:rsidRDefault="00E71E4A" w:rsidP="00E71E4A">
            <w:pPr>
              <w:ind w:left="0"/>
              <w:jc w:val="center"/>
              <w:rPr>
                <w:b/>
                <w:sz w:val="18"/>
                <w:szCs w:val="18"/>
              </w:rPr>
            </w:pPr>
            <w:r>
              <w:rPr>
                <w:b/>
                <w:sz w:val="18"/>
                <w:szCs w:val="18"/>
              </w:rPr>
              <w:t>P. č.</w:t>
            </w:r>
          </w:p>
        </w:tc>
        <w:tc>
          <w:tcPr>
            <w:tcW w:w="2425" w:type="dxa"/>
            <w:shd w:val="clear" w:color="auto" w:fill="C6D9F1" w:themeFill="text2" w:themeFillTint="33"/>
            <w:vAlign w:val="center"/>
          </w:tcPr>
          <w:p w14:paraId="14365A70" w14:textId="77777777" w:rsidR="00E71E4A" w:rsidRPr="008C1732" w:rsidRDefault="00E71E4A" w:rsidP="00E71E4A">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043843E5" w14:textId="77777777" w:rsidR="00E71E4A" w:rsidRPr="008C1732" w:rsidRDefault="00E71E4A" w:rsidP="00E71E4A">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7D916D6C" w14:textId="77777777" w:rsidR="00E71E4A" w:rsidRPr="008C1732" w:rsidRDefault="00E71E4A" w:rsidP="00E71E4A">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4F1FC224" w14:textId="77777777" w:rsidR="00E71E4A" w:rsidRPr="008C1732" w:rsidRDefault="00E71E4A" w:rsidP="00E71E4A">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1067CD4D" w14:textId="77777777" w:rsidR="00E71E4A" w:rsidRPr="008C1732" w:rsidRDefault="00E71E4A" w:rsidP="00E71E4A">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793BBDDD" w14:textId="77777777" w:rsidR="00E71E4A" w:rsidRPr="008C1732" w:rsidRDefault="00E71E4A" w:rsidP="00E71E4A">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03EFBEA6" w14:textId="77777777" w:rsidR="00E71E4A" w:rsidRPr="008C1732" w:rsidRDefault="00E71E4A" w:rsidP="00E71E4A">
            <w:pPr>
              <w:ind w:left="0"/>
              <w:jc w:val="center"/>
              <w:rPr>
                <w:b/>
                <w:sz w:val="18"/>
                <w:szCs w:val="18"/>
              </w:rPr>
            </w:pPr>
            <w:r w:rsidRPr="008C1732">
              <w:rPr>
                <w:b/>
                <w:sz w:val="18"/>
                <w:szCs w:val="18"/>
              </w:rPr>
              <w:t>Frekvencia vykazovania</w:t>
            </w:r>
          </w:p>
        </w:tc>
      </w:tr>
      <w:tr w:rsidR="00E71E4A" w:rsidRPr="00D43FF2" w14:paraId="048D0FAC" w14:textId="77777777" w:rsidTr="00E71E4A">
        <w:trPr>
          <w:trHeight w:val="680"/>
          <w:jc w:val="center"/>
        </w:trPr>
        <w:tc>
          <w:tcPr>
            <w:tcW w:w="578" w:type="dxa"/>
            <w:shd w:val="clear" w:color="auto" w:fill="auto"/>
            <w:vAlign w:val="center"/>
          </w:tcPr>
          <w:p w14:paraId="663087CA" w14:textId="77777777" w:rsidR="00E71E4A" w:rsidRPr="00D43FF2" w:rsidRDefault="00E71E4A" w:rsidP="00E71E4A">
            <w:pPr>
              <w:ind w:left="0"/>
              <w:jc w:val="center"/>
              <w:rPr>
                <w:sz w:val="18"/>
                <w:szCs w:val="18"/>
              </w:rPr>
            </w:pPr>
            <w:r>
              <w:rPr>
                <w:sz w:val="18"/>
                <w:szCs w:val="18"/>
              </w:rPr>
              <w:t>1.</w:t>
            </w:r>
          </w:p>
        </w:tc>
        <w:tc>
          <w:tcPr>
            <w:tcW w:w="2425" w:type="dxa"/>
            <w:shd w:val="clear" w:color="auto" w:fill="auto"/>
            <w:vAlign w:val="center"/>
          </w:tcPr>
          <w:p w14:paraId="6ED63B01" w14:textId="77777777" w:rsidR="00E71E4A" w:rsidRDefault="00E71E4A" w:rsidP="00E71E4A">
            <w:pPr>
              <w:ind w:left="0"/>
              <w:rPr>
                <w:sz w:val="18"/>
                <w:szCs w:val="18"/>
              </w:rPr>
            </w:pPr>
            <w:r w:rsidRPr="00D43FF2">
              <w:rPr>
                <w:sz w:val="18"/>
                <w:szCs w:val="18"/>
              </w:rPr>
              <w:t>Celková dĺžka rekonštruovaných alebo zrenovovaných</w:t>
            </w:r>
            <w:r>
              <w:rPr>
                <w:sz w:val="18"/>
                <w:szCs w:val="18"/>
              </w:rPr>
              <w:t xml:space="preserve"> železničných</w:t>
            </w:r>
            <w:r w:rsidRPr="00D43FF2">
              <w:rPr>
                <w:sz w:val="18"/>
                <w:szCs w:val="18"/>
              </w:rPr>
              <w:t xml:space="preserve"> tratí </w:t>
            </w:r>
            <w:r>
              <w:rPr>
                <w:sz w:val="18"/>
                <w:szCs w:val="18"/>
              </w:rPr>
              <w:t>v sieti TEN-T</w:t>
            </w:r>
          </w:p>
        </w:tc>
        <w:tc>
          <w:tcPr>
            <w:tcW w:w="903" w:type="dxa"/>
            <w:shd w:val="clear" w:color="auto" w:fill="auto"/>
            <w:vAlign w:val="center"/>
          </w:tcPr>
          <w:p w14:paraId="2BA28169" w14:textId="77777777" w:rsidR="00E71E4A" w:rsidRPr="00D43FF2" w:rsidRDefault="00E71E4A" w:rsidP="00E71E4A">
            <w:pPr>
              <w:ind w:left="0"/>
              <w:jc w:val="center"/>
              <w:rPr>
                <w:i/>
                <w:sz w:val="18"/>
                <w:szCs w:val="18"/>
              </w:rPr>
            </w:pPr>
            <w:r w:rsidRPr="00D43FF2">
              <w:rPr>
                <w:i/>
                <w:sz w:val="18"/>
                <w:szCs w:val="18"/>
              </w:rPr>
              <w:t>km</w:t>
            </w:r>
          </w:p>
        </w:tc>
        <w:tc>
          <w:tcPr>
            <w:tcW w:w="621" w:type="dxa"/>
            <w:shd w:val="clear" w:color="auto" w:fill="auto"/>
            <w:vAlign w:val="center"/>
          </w:tcPr>
          <w:p w14:paraId="144B704A" w14:textId="77777777" w:rsidR="00E71E4A" w:rsidRPr="00D43FF2" w:rsidRDefault="00E71E4A" w:rsidP="00E71E4A">
            <w:pPr>
              <w:ind w:left="0"/>
              <w:jc w:val="center"/>
              <w:rPr>
                <w:i/>
                <w:sz w:val="18"/>
                <w:szCs w:val="18"/>
              </w:rPr>
            </w:pPr>
            <w:r w:rsidRPr="00D43FF2">
              <w:rPr>
                <w:i/>
                <w:sz w:val="18"/>
                <w:szCs w:val="18"/>
              </w:rPr>
              <w:t>KF</w:t>
            </w:r>
          </w:p>
        </w:tc>
        <w:tc>
          <w:tcPr>
            <w:tcW w:w="1229" w:type="dxa"/>
            <w:shd w:val="clear" w:color="auto" w:fill="auto"/>
            <w:vAlign w:val="center"/>
          </w:tcPr>
          <w:p w14:paraId="2D1F83E0" w14:textId="77777777" w:rsidR="00E71E4A" w:rsidRPr="00D43FF2" w:rsidRDefault="00E71E4A" w:rsidP="00E71E4A">
            <w:pPr>
              <w:ind w:left="0"/>
              <w:jc w:val="center"/>
              <w:rPr>
                <w:i/>
                <w:sz w:val="18"/>
                <w:szCs w:val="18"/>
              </w:rPr>
            </w:pPr>
            <w:r w:rsidRPr="00D43FF2">
              <w:rPr>
                <w:i/>
                <w:sz w:val="18"/>
                <w:szCs w:val="18"/>
              </w:rPr>
              <w:t>N/A</w:t>
            </w:r>
          </w:p>
        </w:tc>
        <w:tc>
          <w:tcPr>
            <w:tcW w:w="1253" w:type="dxa"/>
            <w:shd w:val="clear" w:color="auto" w:fill="auto"/>
            <w:vAlign w:val="center"/>
          </w:tcPr>
          <w:p w14:paraId="2D12FCAC" w14:textId="135FD2D8" w:rsidR="00E71E4A" w:rsidRPr="00D43FF2" w:rsidRDefault="005904BB" w:rsidP="000F7F70">
            <w:pPr>
              <w:ind w:left="0"/>
              <w:jc w:val="center"/>
              <w:rPr>
                <w:i/>
                <w:sz w:val="18"/>
                <w:szCs w:val="18"/>
              </w:rPr>
            </w:pPr>
            <w:r>
              <w:rPr>
                <w:i/>
                <w:sz w:val="18"/>
                <w:szCs w:val="18"/>
              </w:rPr>
              <w:t>34,</w:t>
            </w:r>
            <w:r w:rsidR="000F7F70">
              <w:rPr>
                <w:i/>
                <w:sz w:val="18"/>
                <w:szCs w:val="18"/>
              </w:rPr>
              <w:t>8</w:t>
            </w:r>
          </w:p>
        </w:tc>
        <w:tc>
          <w:tcPr>
            <w:tcW w:w="1015" w:type="dxa"/>
            <w:vAlign w:val="center"/>
          </w:tcPr>
          <w:p w14:paraId="4C741339" w14:textId="77777777" w:rsidR="00E71E4A" w:rsidRPr="00D43FF2" w:rsidRDefault="00E71E4A" w:rsidP="00E71E4A">
            <w:pPr>
              <w:ind w:left="0"/>
              <w:jc w:val="center"/>
              <w:rPr>
                <w:i/>
                <w:sz w:val="18"/>
                <w:szCs w:val="18"/>
              </w:rPr>
            </w:pPr>
            <w:r w:rsidRPr="00D43FF2">
              <w:rPr>
                <w:i/>
                <w:sz w:val="18"/>
                <w:szCs w:val="18"/>
              </w:rPr>
              <w:t>RO OPII</w:t>
            </w:r>
          </w:p>
        </w:tc>
        <w:tc>
          <w:tcPr>
            <w:tcW w:w="1388" w:type="dxa"/>
            <w:vAlign w:val="center"/>
          </w:tcPr>
          <w:p w14:paraId="1C124927" w14:textId="77777777" w:rsidR="00E71E4A" w:rsidRPr="00D43FF2" w:rsidRDefault="00E71E4A" w:rsidP="00E71E4A">
            <w:pPr>
              <w:ind w:left="0"/>
              <w:jc w:val="center"/>
              <w:rPr>
                <w:i/>
                <w:sz w:val="18"/>
                <w:szCs w:val="18"/>
              </w:rPr>
            </w:pPr>
            <w:r w:rsidRPr="00D43FF2">
              <w:rPr>
                <w:i/>
                <w:sz w:val="18"/>
                <w:szCs w:val="18"/>
              </w:rPr>
              <w:t>Ročne</w:t>
            </w:r>
          </w:p>
        </w:tc>
      </w:tr>
    </w:tbl>
    <w:p w14:paraId="329EFD4C" w14:textId="77777777" w:rsidR="001A218B" w:rsidRDefault="001A218B" w:rsidP="004402B6">
      <w:pPr>
        <w:pStyle w:val="Nadpis3"/>
        <w:tabs>
          <w:tab w:val="clear" w:pos="709"/>
          <w:tab w:val="clear" w:pos="851"/>
        </w:tabs>
        <w:spacing w:before="240"/>
        <w:jc w:val="both"/>
      </w:pPr>
      <w:bookmarkStart w:id="27" w:name="_Toc28951589"/>
      <w:r>
        <w:t>INVEST</w:t>
      </w:r>
      <w:r w:rsidR="00AB18C1">
        <w:t>IČN</w:t>
      </w:r>
      <w:r w:rsidR="00301C7E">
        <w:t>Á PRIORITA</w:t>
      </w:r>
      <w:r w:rsidR="00860925">
        <w:t xml:space="preserve"> </w:t>
      </w:r>
      <w:r w:rsidR="00860925" w:rsidRPr="00F246CF">
        <w:t>7</w:t>
      </w:r>
      <w:r w:rsidR="002B58BC" w:rsidRPr="00F246CF">
        <w:t>iii</w:t>
      </w:r>
      <w:r w:rsidR="00860925" w:rsidRPr="00F246CF">
        <w:t>)</w:t>
      </w:r>
      <w:r w:rsidRPr="00F246CF">
        <w:t>:</w:t>
      </w:r>
      <w:r>
        <w:t xml:space="preserve"> </w:t>
      </w:r>
      <w:r w:rsidRPr="00566C61">
        <w:t>Vývoj a modernizácia komplexných, interoperabilných železničných systémov vysoke</w:t>
      </w:r>
      <w:r>
        <w:t>j kvality a podpora opatrení na </w:t>
      </w:r>
      <w:r w:rsidRPr="00566C61">
        <w:t>znižovanie hluku</w:t>
      </w:r>
      <w:bookmarkEnd w:id="26"/>
      <w:bookmarkEnd w:id="27"/>
    </w:p>
    <w:p w14:paraId="18680ED9" w14:textId="77777777" w:rsidR="001A218B" w:rsidRDefault="001A218B" w:rsidP="00740654">
      <w:pPr>
        <w:pStyle w:val="Nadpis4"/>
      </w:pPr>
      <w:r>
        <w:t>Špecifické ciele investičnej priority a očakávané výsledky</w:t>
      </w:r>
    </w:p>
    <w:p w14:paraId="6B0E642F" w14:textId="77777777" w:rsidR="00750184" w:rsidRPr="004F0234" w:rsidRDefault="00750184" w:rsidP="002E1021">
      <w:pPr>
        <w:shd w:val="clear" w:color="auto" w:fill="FFFFCC"/>
        <w:jc w:val="both"/>
        <w:rPr>
          <w:b/>
          <w:i/>
        </w:rPr>
      </w:pPr>
      <w:r w:rsidRPr="004F0234">
        <w:rPr>
          <w:i/>
        </w:rPr>
        <w:t xml:space="preserve">ŠPECIFICKÝ CIEĽ </w:t>
      </w:r>
      <w:r>
        <w:rPr>
          <w:i/>
        </w:rPr>
        <w:t>1</w:t>
      </w:r>
      <w:r w:rsidR="00A80038">
        <w:rPr>
          <w:i/>
        </w:rPr>
        <w:t>.2</w:t>
      </w:r>
      <w:r w:rsidRPr="004F0234">
        <w:rPr>
          <w:i/>
        </w:rPr>
        <w:t xml:space="preserve">: </w:t>
      </w:r>
      <w:r w:rsidR="00CB59EA" w:rsidRPr="00A21DD4">
        <w:rPr>
          <w:b/>
          <w:i/>
        </w:rPr>
        <w:t xml:space="preserve">Zlepšenie </w:t>
      </w:r>
      <w:r w:rsidR="000E626F" w:rsidRPr="00A21DD4">
        <w:rPr>
          <w:b/>
          <w:i/>
        </w:rPr>
        <w:t xml:space="preserve">technických podmienok pre prevádzku medzinárodnej železničnej dopravy prostredníctvom implementácie </w:t>
      </w:r>
      <w:r w:rsidRPr="00A21DD4">
        <w:rPr>
          <w:b/>
          <w:i/>
        </w:rPr>
        <w:t>vybraných prvkov TSI na najdôležitejších tratiach pre medzinárodnú dopravu</w:t>
      </w:r>
      <w:r w:rsidR="00307AAF" w:rsidRPr="00A21DD4">
        <w:rPr>
          <w:b/>
          <w:i/>
        </w:rPr>
        <w:t xml:space="preserve"> (TEN-T CORE)</w:t>
      </w:r>
    </w:p>
    <w:p w14:paraId="2226589C" w14:textId="77777777" w:rsidR="00C3408A" w:rsidRDefault="00AF71BD" w:rsidP="00C3408A">
      <w:pPr>
        <w:spacing w:before="180"/>
        <w:jc w:val="both"/>
        <w:rPr>
          <w:sz w:val="22"/>
          <w:szCs w:val="22"/>
        </w:rPr>
      </w:pPr>
      <w:r w:rsidRPr="00AF71BD">
        <w:rPr>
          <w:sz w:val="22"/>
          <w:szCs w:val="22"/>
        </w:rPr>
        <w:t>Existencia vzájomne nekompatibilných železničných systémov využívaných v krajinách EÚ obmedzuje výkonnosť, plynulosť</w:t>
      </w:r>
      <w:r w:rsidR="00C3408A">
        <w:rPr>
          <w:sz w:val="22"/>
          <w:szCs w:val="22"/>
        </w:rPr>
        <w:t xml:space="preserve"> a kvalitu železničnej dopravy (predovšetkým pri cezhraničných prepravách</w:t>
      </w:r>
      <w:r w:rsidR="00D21821">
        <w:rPr>
          <w:sz w:val="22"/>
          <w:szCs w:val="22"/>
        </w:rPr>
        <w:t xml:space="preserve"> na tratiach AGC a AGTC</w:t>
      </w:r>
      <w:r w:rsidR="00C3408A">
        <w:rPr>
          <w:sz w:val="22"/>
          <w:szCs w:val="22"/>
        </w:rPr>
        <w:t>)</w:t>
      </w:r>
      <w:r w:rsidRPr="00AF71BD">
        <w:rPr>
          <w:sz w:val="22"/>
          <w:szCs w:val="22"/>
        </w:rPr>
        <w:t xml:space="preserve">, znižuje konkurenčnú pozíciu </w:t>
      </w:r>
      <w:r>
        <w:rPr>
          <w:sz w:val="22"/>
          <w:szCs w:val="22"/>
        </w:rPr>
        <w:t>železníc na </w:t>
      </w:r>
      <w:r w:rsidR="00C3408A">
        <w:rPr>
          <w:sz w:val="22"/>
          <w:szCs w:val="22"/>
        </w:rPr>
        <w:t>dopravnom trhu a je jednou z hlavných prekážok pri budovaní jednotného trhu EÚ.</w:t>
      </w:r>
      <w:r w:rsidR="00C3408A" w:rsidRPr="00C3408A">
        <w:rPr>
          <w:sz w:val="22"/>
          <w:szCs w:val="22"/>
        </w:rPr>
        <w:t xml:space="preserve"> </w:t>
      </w:r>
    </w:p>
    <w:p w14:paraId="34222420" w14:textId="77777777" w:rsidR="00C3408A" w:rsidRPr="00C3408A" w:rsidRDefault="00C3408A" w:rsidP="00C3408A">
      <w:pPr>
        <w:spacing w:before="180"/>
        <w:jc w:val="both"/>
        <w:rPr>
          <w:sz w:val="22"/>
          <w:szCs w:val="22"/>
        </w:rPr>
      </w:pPr>
      <w:r w:rsidRPr="00C3408A">
        <w:rPr>
          <w:sz w:val="22"/>
          <w:szCs w:val="22"/>
        </w:rPr>
        <w:t>Súčasná železničn</w:t>
      </w:r>
      <w:r>
        <w:rPr>
          <w:sz w:val="22"/>
          <w:szCs w:val="22"/>
        </w:rPr>
        <w:t>á infraštruktúra</w:t>
      </w:r>
      <w:r w:rsidR="00D21821">
        <w:rPr>
          <w:sz w:val="22"/>
          <w:szCs w:val="22"/>
        </w:rPr>
        <w:t xml:space="preserve"> SR</w:t>
      </w:r>
      <w:r>
        <w:rPr>
          <w:sz w:val="22"/>
          <w:szCs w:val="22"/>
        </w:rPr>
        <w:t xml:space="preserve"> je technicky a </w:t>
      </w:r>
      <w:r w:rsidRPr="00C3408A">
        <w:rPr>
          <w:sz w:val="22"/>
          <w:szCs w:val="22"/>
        </w:rPr>
        <w:t xml:space="preserve">technologicky značne </w:t>
      </w:r>
      <w:r>
        <w:rPr>
          <w:sz w:val="22"/>
          <w:szCs w:val="22"/>
        </w:rPr>
        <w:t>zastaraná</w:t>
      </w:r>
      <w:r w:rsidRPr="00C3408A">
        <w:rPr>
          <w:sz w:val="22"/>
          <w:szCs w:val="22"/>
        </w:rPr>
        <w:t>, nespĺňa ra</w:t>
      </w:r>
      <w:r>
        <w:rPr>
          <w:sz w:val="22"/>
          <w:szCs w:val="22"/>
        </w:rPr>
        <w:t>stúce kvalitatívne požiadavky kladené na železničnú dopravu</w:t>
      </w:r>
      <w:r w:rsidRPr="00C3408A">
        <w:rPr>
          <w:sz w:val="22"/>
          <w:szCs w:val="22"/>
        </w:rPr>
        <w:t xml:space="preserve">, technické </w:t>
      </w:r>
      <w:r>
        <w:rPr>
          <w:sz w:val="22"/>
          <w:szCs w:val="22"/>
        </w:rPr>
        <w:t>špecifikácie interoperability a </w:t>
      </w:r>
      <w:r w:rsidRPr="00C3408A">
        <w:rPr>
          <w:sz w:val="22"/>
          <w:szCs w:val="22"/>
        </w:rPr>
        <w:t>príslušné vyhlášky UIC, čo obmedzuje začlenenie do európskeho železničného systému a pr</w:t>
      </w:r>
      <w:r>
        <w:rPr>
          <w:sz w:val="22"/>
          <w:szCs w:val="22"/>
        </w:rPr>
        <w:t>ispieva k </w:t>
      </w:r>
      <w:r w:rsidRPr="00C3408A">
        <w:rPr>
          <w:sz w:val="22"/>
          <w:szCs w:val="22"/>
        </w:rPr>
        <w:t xml:space="preserve">pokračujúcemu poklesu podielu </w:t>
      </w:r>
      <w:r>
        <w:rPr>
          <w:sz w:val="22"/>
          <w:szCs w:val="22"/>
        </w:rPr>
        <w:t>železníc</w:t>
      </w:r>
      <w:r w:rsidRPr="00C3408A">
        <w:rPr>
          <w:sz w:val="22"/>
          <w:szCs w:val="22"/>
        </w:rPr>
        <w:t xml:space="preserve"> na dopravnom trhu v prospech rastu cestnej dopravy.</w:t>
      </w:r>
    </w:p>
    <w:p w14:paraId="1CD0B618" w14:textId="77777777" w:rsidR="003676B4" w:rsidRDefault="003676B4" w:rsidP="00750184">
      <w:pPr>
        <w:spacing w:before="180"/>
        <w:jc w:val="both"/>
        <w:rPr>
          <w:sz w:val="22"/>
          <w:szCs w:val="22"/>
        </w:rPr>
      </w:pPr>
      <w:r>
        <w:rPr>
          <w:sz w:val="22"/>
          <w:szCs w:val="22"/>
        </w:rPr>
        <w:t xml:space="preserve">Jednou z priorít Strategického plánu je v rámci propagácie modernej a bezpečnej železničnej infraštruktúry zaistenie prevádzkyschopnosti a zvýšenie bezpečnosti a spoľahlivosti železničnej dopravy. Pri rozvoji a modernizácii komplexnej, interoperabilnej železničnej siete je limitujúcim faktorom predovšetkým nízka úroveň zabezpečovacieho zariadenia a nevyhovujúce koľajové obvody. </w:t>
      </w:r>
      <w:r w:rsidR="00935D56" w:rsidRPr="00935D56">
        <w:rPr>
          <w:sz w:val="22"/>
          <w:szCs w:val="22"/>
        </w:rPr>
        <w:t xml:space="preserve">Pri </w:t>
      </w:r>
      <w:r w:rsidR="00935D56">
        <w:rPr>
          <w:sz w:val="22"/>
          <w:szCs w:val="22"/>
        </w:rPr>
        <w:t>hlavných železničných koridoroch, resp. ucelených traťových úsekoch, na ktorých už prebehla modernizácia alebo sa súvislá modernizácia zo strednodobého hľadiska nepredpokladá, je vhodné</w:t>
      </w:r>
      <w:r w:rsidR="00404A68">
        <w:rPr>
          <w:sz w:val="22"/>
          <w:szCs w:val="22"/>
        </w:rPr>
        <w:t>, aby</w:t>
      </w:r>
      <w:r w:rsidR="00935D56">
        <w:rPr>
          <w:sz w:val="22"/>
          <w:szCs w:val="22"/>
        </w:rPr>
        <w:t xml:space="preserve"> okrem </w:t>
      </w:r>
      <w:r w:rsidR="00404A68">
        <w:rPr>
          <w:sz w:val="22"/>
          <w:szCs w:val="22"/>
        </w:rPr>
        <w:t>odstraňovania</w:t>
      </w:r>
      <w:r w:rsidR="00935D56">
        <w:rPr>
          <w:sz w:val="22"/>
          <w:szCs w:val="22"/>
        </w:rPr>
        <w:t xml:space="preserve"> úzkych a obmedzujúcich miest </w:t>
      </w:r>
      <w:r w:rsidR="00404A68">
        <w:rPr>
          <w:sz w:val="22"/>
          <w:szCs w:val="22"/>
        </w:rPr>
        <w:t>došlo k zabezpečeniu prvkov</w:t>
      </w:r>
      <w:r w:rsidR="00935D56">
        <w:rPr>
          <w:sz w:val="22"/>
          <w:szCs w:val="22"/>
        </w:rPr>
        <w:t xml:space="preserve"> interoperability z hľadiska možnosti prevádzky medzinárodných osobných a nákladných vlakov. </w:t>
      </w:r>
      <w:r>
        <w:rPr>
          <w:sz w:val="22"/>
          <w:szCs w:val="22"/>
        </w:rPr>
        <w:t xml:space="preserve">Ide o podporu </w:t>
      </w:r>
      <w:r>
        <w:rPr>
          <w:sz w:val="22"/>
          <w:szCs w:val="22"/>
        </w:rPr>
        <w:lastRenderedPageBreak/>
        <w:t xml:space="preserve">zavádzania dopravných riadiacich systémov </w:t>
      </w:r>
      <w:r w:rsidR="00AD3F5B">
        <w:rPr>
          <w:sz w:val="22"/>
          <w:szCs w:val="22"/>
        </w:rPr>
        <w:t>a tel</w:t>
      </w:r>
      <w:r w:rsidR="00DB53FE">
        <w:rPr>
          <w:sz w:val="22"/>
          <w:szCs w:val="22"/>
        </w:rPr>
        <w:t>e</w:t>
      </w:r>
      <w:r w:rsidR="00AD3F5B">
        <w:rPr>
          <w:sz w:val="22"/>
          <w:szCs w:val="22"/>
        </w:rPr>
        <w:t xml:space="preserve">matických aplikácií </w:t>
      </w:r>
      <w:r>
        <w:rPr>
          <w:sz w:val="22"/>
          <w:szCs w:val="22"/>
        </w:rPr>
        <w:t>v súlade s príslušnými rozhodnutiami EÚ a národnými plánmi s cieľom zle</w:t>
      </w:r>
      <w:r w:rsidR="00966BCE">
        <w:rPr>
          <w:sz w:val="22"/>
          <w:szCs w:val="22"/>
        </w:rPr>
        <w:t>pšiť interoperabilitu železničných</w:t>
      </w:r>
      <w:r>
        <w:rPr>
          <w:sz w:val="22"/>
          <w:szCs w:val="22"/>
        </w:rPr>
        <w:t xml:space="preserve"> systémov.</w:t>
      </w:r>
    </w:p>
    <w:p w14:paraId="0DE681BA" w14:textId="77777777" w:rsidR="00ED6F6E" w:rsidRPr="00DA54A1" w:rsidRDefault="00ED6F6E" w:rsidP="00750184">
      <w:pPr>
        <w:spacing w:before="180"/>
        <w:jc w:val="both"/>
        <w:rPr>
          <w:sz w:val="22"/>
          <w:szCs w:val="22"/>
        </w:rPr>
      </w:pPr>
      <w:r w:rsidRPr="00DA54A1">
        <w:rPr>
          <w:sz w:val="22"/>
          <w:szCs w:val="22"/>
        </w:rPr>
        <w:t xml:space="preserve">K 31.12.2013 bolo </w:t>
      </w:r>
      <w:r w:rsidR="00DA54A1" w:rsidRPr="00DA54A1">
        <w:rPr>
          <w:sz w:val="22"/>
          <w:szCs w:val="22"/>
        </w:rPr>
        <w:t xml:space="preserve">na železničnej sieti SR </w:t>
      </w:r>
      <w:r w:rsidRPr="00DA54A1">
        <w:rPr>
          <w:sz w:val="22"/>
          <w:szCs w:val="22"/>
        </w:rPr>
        <w:t>systémom ERTMS vybavených cca 92 km</w:t>
      </w:r>
      <w:r w:rsidR="00966BCE">
        <w:rPr>
          <w:sz w:val="22"/>
          <w:szCs w:val="22"/>
        </w:rPr>
        <w:t xml:space="preserve"> tratí</w:t>
      </w:r>
      <w:r w:rsidR="008F7124">
        <w:rPr>
          <w:rStyle w:val="Odkaznapoznmkupodiarou"/>
          <w:sz w:val="22"/>
          <w:szCs w:val="22"/>
        </w:rPr>
        <w:footnoteReference w:id="52"/>
      </w:r>
      <w:r w:rsidR="00DA54A1" w:rsidRPr="00DA54A1">
        <w:rPr>
          <w:sz w:val="22"/>
          <w:szCs w:val="22"/>
        </w:rPr>
        <w:t xml:space="preserve">. To predstavuje 13,1 % celkovej dĺžky </w:t>
      </w:r>
      <w:r w:rsidR="00DA54A1">
        <w:rPr>
          <w:sz w:val="22"/>
          <w:szCs w:val="22"/>
        </w:rPr>
        <w:t xml:space="preserve">tratí zaradených do </w:t>
      </w:r>
      <w:r w:rsidR="00DA54A1" w:rsidRPr="00DA54A1">
        <w:rPr>
          <w:sz w:val="22"/>
          <w:szCs w:val="22"/>
        </w:rPr>
        <w:t xml:space="preserve">základnej siete TEN-T, resp. 6,5 % </w:t>
      </w:r>
      <w:r w:rsidR="00DA54A1">
        <w:rPr>
          <w:sz w:val="22"/>
          <w:szCs w:val="22"/>
        </w:rPr>
        <w:t xml:space="preserve">z celkovej </w:t>
      </w:r>
      <w:r w:rsidR="00DA54A1" w:rsidRPr="00DA54A1">
        <w:rPr>
          <w:sz w:val="22"/>
          <w:szCs w:val="22"/>
        </w:rPr>
        <w:t>dĺžky súhrnnej siete TEN-T.</w:t>
      </w:r>
      <w:r w:rsidR="00DA54A1" w:rsidRPr="00DA54A1">
        <w:rPr>
          <w:b/>
          <w:sz w:val="22"/>
          <w:szCs w:val="22"/>
        </w:rPr>
        <w:t xml:space="preserve"> </w:t>
      </w:r>
      <w:r w:rsidR="00DC54F5">
        <w:rPr>
          <w:b/>
          <w:sz w:val="22"/>
          <w:szCs w:val="22"/>
        </w:rPr>
        <w:t>Z </w:t>
      </w:r>
      <w:r w:rsidR="00DA54A1" w:rsidRPr="00ED6F6E">
        <w:rPr>
          <w:b/>
          <w:sz w:val="22"/>
          <w:szCs w:val="22"/>
        </w:rPr>
        <w:t>dôvodu</w:t>
      </w:r>
      <w:r w:rsidR="00DC54F5">
        <w:rPr>
          <w:b/>
          <w:sz w:val="22"/>
          <w:szCs w:val="22"/>
        </w:rPr>
        <w:t xml:space="preserve"> potreby zvýšenia interoperability tratí významných pre medzinárodnú dopravu</w:t>
      </w:r>
      <w:r w:rsidR="00DA54A1" w:rsidRPr="00ED6F6E">
        <w:rPr>
          <w:b/>
          <w:sz w:val="22"/>
          <w:szCs w:val="22"/>
        </w:rPr>
        <w:t xml:space="preserve"> budú aktivity špecifické</w:t>
      </w:r>
      <w:r w:rsidR="00966BCE">
        <w:rPr>
          <w:b/>
          <w:sz w:val="22"/>
          <w:szCs w:val="22"/>
        </w:rPr>
        <w:t>ho</w:t>
      </w:r>
      <w:r w:rsidR="00DA54A1" w:rsidRPr="00ED6F6E">
        <w:rPr>
          <w:b/>
          <w:sz w:val="22"/>
          <w:szCs w:val="22"/>
        </w:rPr>
        <w:t xml:space="preserve"> cieľa</w:t>
      </w:r>
      <w:r w:rsidR="00986FA0">
        <w:rPr>
          <w:b/>
          <w:sz w:val="22"/>
          <w:szCs w:val="22"/>
        </w:rPr>
        <w:t xml:space="preserve"> primárne</w:t>
      </w:r>
      <w:r w:rsidR="00DA54A1" w:rsidRPr="00ED6F6E">
        <w:rPr>
          <w:b/>
          <w:sz w:val="22"/>
          <w:szCs w:val="22"/>
        </w:rPr>
        <w:t xml:space="preserve"> </w:t>
      </w:r>
      <w:r w:rsidR="00DA54A1">
        <w:rPr>
          <w:b/>
          <w:sz w:val="22"/>
          <w:szCs w:val="22"/>
        </w:rPr>
        <w:t>zamerané na </w:t>
      </w:r>
      <w:r w:rsidR="00DA54A1" w:rsidRPr="00ED6F6E">
        <w:rPr>
          <w:b/>
          <w:sz w:val="22"/>
          <w:szCs w:val="22"/>
        </w:rPr>
        <w:t>zavedenie systému ERTMS, tzn. predovšetkým inštaláciu traťového zabezpečovacieho systému ETCS a oznamovacieho zariadenia GSM-R</w:t>
      </w:r>
      <w:r w:rsidR="00DA54A1">
        <w:rPr>
          <w:sz w:val="22"/>
          <w:szCs w:val="22"/>
        </w:rPr>
        <w:t>.</w:t>
      </w:r>
    </w:p>
    <w:p w14:paraId="5F0B693A" w14:textId="77777777" w:rsidR="00750184" w:rsidRPr="001B2070" w:rsidRDefault="00750184"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53D0B9CD" w14:textId="77777777" w:rsidR="009E0158" w:rsidRDefault="00750184" w:rsidP="008F3CB1">
      <w:pPr>
        <w:pStyle w:val="Odsekzoznamu"/>
        <w:numPr>
          <w:ilvl w:val="0"/>
          <w:numId w:val="50"/>
        </w:numPr>
        <w:autoSpaceDE w:val="0"/>
        <w:autoSpaceDN w:val="0"/>
        <w:adjustRightInd w:val="0"/>
        <w:ind w:left="567" w:hanging="283"/>
        <w:jc w:val="both"/>
        <w:rPr>
          <w:sz w:val="22"/>
          <w:szCs w:val="22"/>
        </w:rPr>
      </w:pPr>
      <w:r>
        <w:rPr>
          <w:sz w:val="22"/>
          <w:szCs w:val="22"/>
        </w:rPr>
        <w:t>splnenie záväzkov vyplývajúcich z </w:t>
      </w:r>
      <w:r w:rsidR="005F1EB5" w:rsidRPr="005F1EB5">
        <w:rPr>
          <w:sz w:val="22"/>
          <w:szCs w:val="22"/>
        </w:rPr>
        <w:t xml:space="preserve">Rozhodnutia Komisie č. </w:t>
      </w:r>
      <w:r w:rsidR="005F1EB5">
        <w:rPr>
          <w:sz w:val="22"/>
          <w:szCs w:val="22"/>
        </w:rPr>
        <w:t>2012/88/EÚ z 25. januára 2012 o </w:t>
      </w:r>
      <w:r w:rsidR="005F1EB5" w:rsidRPr="005F1EB5">
        <w:rPr>
          <w:sz w:val="22"/>
          <w:szCs w:val="22"/>
        </w:rPr>
        <w:t>technickej špecifikácii interoperability týkajúcej sa subsys</w:t>
      </w:r>
      <w:r w:rsidR="005F1EB5">
        <w:rPr>
          <w:sz w:val="22"/>
          <w:szCs w:val="22"/>
        </w:rPr>
        <w:t>témov riadenia - zabezpečenia a </w:t>
      </w:r>
      <w:r w:rsidR="005F1EB5" w:rsidRPr="005F1EB5">
        <w:rPr>
          <w:sz w:val="22"/>
          <w:szCs w:val="22"/>
        </w:rPr>
        <w:t>návestenia transeurópskeho železničného systému</w:t>
      </w:r>
      <w:r w:rsidR="008F7124">
        <w:rPr>
          <w:sz w:val="22"/>
          <w:szCs w:val="22"/>
        </w:rPr>
        <w:t>, n</w:t>
      </w:r>
      <w:r w:rsidR="00986FA0">
        <w:rPr>
          <w:sz w:val="22"/>
          <w:szCs w:val="22"/>
        </w:rPr>
        <w:t>ariadeni</w:t>
      </w:r>
      <w:r w:rsidR="008F7124">
        <w:rPr>
          <w:sz w:val="22"/>
          <w:szCs w:val="22"/>
        </w:rPr>
        <w:t xml:space="preserve">a Komisie č. 454/2011/EÚ z 5. mája </w:t>
      </w:r>
      <w:r w:rsidR="00986FA0">
        <w:rPr>
          <w:sz w:val="22"/>
          <w:szCs w:val="22"/>
        </w:rPr>
        <w:t xml:space="preserve">2011 </w:t>
      </w:r>
      <w:r w:rsidR="008F7124" w:rsidRPr="008F7124">
        <w:rPr>
          <w:sz w:val="22"/>
          <w:szCs w:val="22"/>
        </w:rPr>
        <w:t>o technickej špecifikácii interoperability týkaj</w:t>
      </w:r>
      <w:r w:rsidR="00D6491D">
        <w:rPr>
          <w:sz w:val="22"/>
          <w:szCs w:val="22"/>
        </w:rPr>
        <w:t>úcej sa subsystému „telematické </w:t>
      </w:r>
      <w:r w:rsidR="008F7124" w:rsidRPr="008F7124">
        <w:rPr>
          <w:sz w:val="22"/>
          <w:szCs w:val="22"/>
        </w:rPr>
        <w:t>aplikácie v osobnej doprave“ transeurópskeho železničného systému</w:t>
      </w:r>
      <w:r w:rsidR="008F7124">
        <w:rPr>
          <w:sz w:val="22"/>
          <w:szCs w:val="22"/>
        </w:rPr>
        <w:t xml:space="preserve"> </w:t>
      </w:r>
      <w:r w:rsidR="00986FA0">
        <w:rPr>
          <w:sz w:val="22"/>
          <w:szCs w:val="22"/>
        </w:rPr>
        <w:t>a</w:t>
      </w:r>
      <w:r w:rsidR="008F7124">
        <w:rPr>
          <w:sz w:val="22"/>
          <w:szCs w:val="22"/>
        </w:rPr>
        <w:t> nariadenia č. </w:t>
      </w:r>
      <w:r w:rsidR="00986FA0">
        <w:rPr>
          <w:sz w:val="22"/>
          <w:szCs w:val="22"/>
        </w:rPr>
        <w:t>62/2006/ES z 23.</w:t>
      </w:r>
      <w:r w:rsidR="008F7124">
        <w:rPr>
          <w:sz w:val="22"/>
          <w:szCs w:val="22"/>
        </w:rPr>
        <w:t xml:space="preserve"> decembra </w:t>
      </w:r>
      <w:r w:rsidR="00986FA0">
        <w:rPr>
          <w:sz w:val="22"/>
          <w:szCs w:val="22"/>
        </w:rPr>
        <w:t>2005 o technickej špecifikácii interoperability týkajúcej sa telematických aplikácií,</w:t>
      </w:r>
    </w:p>
    <w:p w14:paraId="0974BE40" w14:textId="77777777" w:rsidR="009E0158" w:rsidRDefault="00404A68" w:rsidP="008F3CB1">
      <w:pPr>
        <w:pStyle w:val="Odsekzoznamu"/>
        <w:numPr>
          <w:ilvl w:val="0"/>
          <w:numId w:val="50"/>
        </w:numPr>
        <w:autoSpaceDE w:val="0"/>
        <w:autoSpaceDN w:val="0"/>
        <w:adjustRightInd w:val="0"/>
        <w:ind w:left="567" w:hanging="283"/>
        <w:jc w:val="both"/>
        <w:rPr>
          <w:sz w:val="22"/>
          <w:szCs w:val="22"/>
        </w:rPr>
      </w:pPr>
      <w:r>
        <w:rPr>
          <w:sz w:val="22"/>
          <w:szCs w:val="22"/>
        </w:rPr>
        <w:t>zvýšenie bezpečnosti železničnej dopravy.</w:t>
      </w:r>
    </w:p>
    <w:p w14:paraId="5EB34962" w14:textId="77777777" w:rsidR="00750184" w:rsidRDefault="00F631EB" w:rsidP="005847CE">
      <w:pPr>
        <w:pStyle w:val="Tab"/>
        <w:tabs>
          <w:tab w:val="clear" w:pos="0"/>
          <w:tab w:val="clear" w:pos="851"/>
        </w:tabs>
      </w:pPr>
      <w:r>
        <w:t>Špecifické v</w:t>
      </w:r>
      <w:r w:rsidR="00750184" w:rsidRPr="004F0234">
        <w:t>ýsledkové ukazovatele zodpovedajúce špecifickému cieľu</w:t>
      </w:r>
      <w:r w:rsidR="00350B96">
        <w:t xml:space="preserve"> 1.2</w:t>
      </w:r>
    </w:p>
    <w:tbl>
      <w:tblPr>
        <w:tblStyle w:val="Mriekatabuky"/>
        <w:tblW w:w="93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8"/>
        <w:gridCol w:w="1461"/>
        <w:gridCol w:w="905"/>
        <w:gridCol w:w="994"/>
        <w:gridCol w:w="1330"/>
        <w:gridCol w:w="1315"/>
        <w:gridCol w:w="882"/>
        <w:gridCol w:w="784"/>
        <w:gridCol w:w="1190"/>
      </w:tblGrid>
      <w:tr w:rsidR="00D6491D" w:rsidRPr="008C1732" w14:paraId="4C97E286" w14:textId="77777777" w:rsidTr="00D6491D">
        <w:trPr>
          <w:trHeight w:val="487"/>
          <w:jc w:val="center"/>
        </w:trPr>
        <w:tc>
          <w:tcPr>
            <w:tcW w:w="528" w:type="dxa"/>
            <w:shd w:val="clear" w:color="auto" w:fill="C6D9F1" w:themeFill="text2" w:themeFillTint="33"/>
            <w:vAlign w:val="center"/>
          </w:tcPr>
          <w:p w14:paraId="1F130DEB" w14:textId="77777777" w:rsidR="00F631EB" w:rsidRPr="008C1732" w:rsidRDefault="00854EA5" w:rsidP="006A2D5B">
            <w:pPr>
              <w:ind w:left="0"/>
              <w:jc w:val="center"/>
              <w:rPr>
                <w:b/>
                <w:sz w:val="18"/>
                <w:szCs w:val="18"/>
              </w:rPr>
            </w:pPr>
            <w:r>
              <w:rPr>
                <w:b/>
                <w:sz w:val="18"/>
                <w:szCs w:val="18"/>
              </w:rPr>
              <w:t>P. č.</w:t>
            </w:r>
          </w:p>
        </w:tc>
        <w:tc>
          <w:tcPr>
            <w:tcW w:w="1461" w:type="dxa"/>
            <w:shd w:val="clear" w:color="auto" w:fill="C6D9F1" w:themeFill="text2" w:themeFillTint="33"/>
            <w:vAlign w:val="center"/>
          </w:tcPr>
          <w:p w14:paraId="3909B7A1" w14:textId="77777777" w:rsidR="00F631EB" w:rsidRPr="008C1732" w:rsidRDefault="00F631EB" w:rsidP="006A2D5B">
            <w:pPr>
              <w:ind w:left="0"/>
              <w:jc w:val="center"/>
              <w:rPr>
                <w:b/>
                <w:sz w:val="18"/>
                <w:szCs w:val="18"/>
              </w:rPr>
            </w:pPr>
            <w:r w:rsidRPr="008C1732">
              <w:rPr>
                <w:b/>
                <w:sz w:val="18"/>
                <w:szCs w:val="18"/>
              </w:rPr>
              <w:t>Ukazovateľ</w:t>
            </w:r>
          </w:p>
        </w:tc>
        <w:tc>
          <w:tcPr>
            <w:tcW w:w="905" w:type="dxa"/>
            <w:shd w:val="clear" w:color="auto" w:fill="C6D9F1" w:themeFill="text2" w:themeFillTint="33"/>
            <w:vAlign w:val="center"/>
          </w:tcPr>
          <w:p w14:paraId="44D66B5D" w14:textId="77777777" w:rsidR="00F631EB" w:rsidRPr="008C1732" w:rsidRDefault="00F631EB" w:rsidP="006A2D5B">
            <w:pPr>
              <w:ind w:left="0"/>
              <w:jc w:val="center"/>
              <w:rPr>
                <w:b/>
                <w:sz w:val="18"/>
                <w:szCs w:val="18"/>
              </w:rPr>
            </w:pPr>
            <w:r w:rsidRPr="008C1732">
              <w:rPr>
                <w:b/>
                <w:sz w:val="18"/>
                <w:szCs w:val="18"/>
              </w:rPr>
              <w:t>Merná jednotka</w:t>
            </w:r>
          </w:p>
        </w:tc>
        <w:tc>
          <w:tcPr>
            <w:tcW w:w="994" w:type="dxa"/>
            <w:shd w:val="clear" w:color="auto" w:fill="C6D9F1" w:themeFill="text2" w:themeFillTint="33"/>
            <w:vAlign w:val="center"/>
          </w:tcPr>
          <w:p w14:paraId="70E19A63" w14:textId="77777777" w:rsidR="00F631EB" w:rsidRPr="008C1732" w:rsidRDefault="00F631EB" w:rsidP="006A2D5B">
            <w:pPr>
              <w:ind w:left="0"/>
              <w:jc w:val="center"/>
              <w:rPr>
                <w:b/>
                <w:sz w:val="18"/>
                <w:szCs w:val="18"/>
              </w:rPr>
            </w:pPr>
            <w:r w:rsidRPr="008C1732">
              <w:rPr>
                <w:b/>
                <w:sz w:val="18"/>
                <w:szCs w:val="18"/>
              </w:rPr>
              <w:t>Kategória regiónu</w:t>
            </w:r>
          </w:p>
        </w:tc>
        <w:tc>
          <w:tcPr>
            <w:tcW w:w="1330" w:type="dxa"/>
            <w:shd w:val="clear" w:color="auto" w:fill="C6D9F1" w:themeFill="text2" w:themeFillTint="33"/>
            <w:vAlign w:val="center"/>
          </w:tcPr>
          <w:p w14:paraId="19ECAC5F" w14:textId="77777777" w:rsidR="00F631EB" w:rsidRPr="008C1732" w:rsidRDefault="00F631EB" w:rsidP="006A2D5B">
            <w:pPr>
              <w:ind w:left="0"/>
              <w:jc w:val="center"/>
              <w:rPr>
                <w:b/>
                <w:sz w:val="18"/>
                <w:szCs w:val="18"/>
              </w:rPr>
            </w:pPr>
            <w:r>
              <w:rPr>
                <w:b/>
                <w:sz w:val="18"/>
                <w:szCs w:val="18"/>
              </w:rPr>
              <w:t>Východisková hodnota</w:t>
            </w:r>
          </w:p>
        </w:tc>
        <w:tc>
          <w:tcPr>
            <w:tcW w:w="1315" w:type="dxa"/>
            <w:shd w:val="clear" w:color="auto" w:fill="C6D9F1" w:themeFill="text2" w:themeFillTint="33"/>
            <w:vAlign w:val="center"/>
          </w:tcPr>
          <w:p w14:paraId="279D7B46" w14:textId="77777777" w:rsidR="00F631EB" w:rsidRPr="008C1732" w:rsidRDefault="00F631EB" w:rsidP="006A2D5B">
            <w:pPr>
              <w:ind w:left="0"/>
              <w:jc w:val="center"/>
              <w:rPr>
                <w:b/>
                <w:sz w:val="18"/>
                <w:szCs w:val="18"/>
              </w:rPr>
            </w:pPr>
            <w:r>
              <w:rPr>
                <w:b/>
                <w:sz w:val="18"/>
                <w:szCs w:val="18"/>
              </w:rPr>
              <w:t>Východiskový rok</w:t>
            </w:r>
          </w:p>
        </w:tc>
        <w:tc>
          <w:tcPr>
            <w:tcW w:w="882" w:type="dxa"/>
            <w:shd w:val="clear" w:color="auto" w:fill="C6D9F1" w:themeFill="text2" w:themeFillTint="33"/>
            <w:vAlign w:val="center"/>
          </w:tcPr>
          <w:p w14:paraId="5F8F0033" w14:textId="77777777" w:rsidR="00F631EB" w:rsidRPr="008C1732" w:rsidRDefault="00F631EB" w:rsidP="006A2D5B">
            <w:pPr>
              <w:ind w:left="0"/>
              <w:jc w:val="center"/>
              <w:rPr>
                <w:b/>
                <w:sz w:val="18"/>
                <w:szCs w:val="18"/>
              </w:rPr>
            </w:pPr>
            <w:r w:rsidRPr="008C1732">
              <w:rPr>
                <w:b/>
                <w:sz w:val="18"/>
                <w:szCs w:val="18"/>
              </w:rPr>
              <w:t>Cieľová hodnota (2023)</w:t>
            </w:r>
          </w:p>
        </w:tc>
        <w:tc>
          <w:tcPr>
            <w:tcW w:w="784" w:type="dxa"/>
            <w:shd w:val="clear" w:color="auto" w:fill="C6D9F1" w:themeFill="text2" w:themeFillTint="33"/>
            <w:vAlign w:val="center"/>
          </w:tcPr>
          <w:p w14:paraId="0C078138" w14:textId="77777777" w:rsidR="00F631EB" w:rsidRPr="008C1732" w:rsidRDefault="00F631EB" w:rsidP="006A2D5B">
            <w:pPr>
              <w:ind w:left="0"/>
              <w:jc w:val="center"/>
              <w:rPr>
                <w:b/>
                <w:sz w:val="18"/>
                <w:szCs w:val="18"/>
              </w:rPr>
            </w:pPr>
            <w:r w:rsidRPr="008C1732">
              <w:rPr>
                <w:b/>
                <w:sz w:val="18"/>
                <w:szCs w:val="18"/>
              </w:rPr>
              <w:t>Zdroj údajov</w:t>
            </w:r>
          </w:p>
        </w:tc>
        <w:tc>
          <w:tcPr>
            <w:tcW w:w="1190" w:type="dxa"/>
            <w:shd w:val="clear" w:color="auto" w:fill="C6D9F1" w:themeFill="text2" w:themeFillTint="33"/>
            <w:vAlign w:val="center"/>
          </w:tcPr>
          <w:p w14:paraId="16F4E8E9" w14:textId="77777777" w:rsidR="00F631EB" w:rsidRPr="008C1732" w:rsidRDefault="00F631EB" w:rsidP="006A2D5B">
            <w:pPr>
              <w:ind w:left="0"/>
              <w:jc w:val="center"/>
              <w:rPr>
                <w:b/>
                <w:sz w:val="18"/>
                <w:szCs w:val="18"/>
              </w:rPr>
            </w:pPr>
            <w:r w:rsidRPr="008C1732">
              <w:rPr>
                <w:b/>
                <w:sz w:val="18"/>
                <w:szCs w:val="18"/>
              </w:rPr>
              <w:t>Frekvencia vykazovania</w:t>
            </w:r>
          </w:p>
        </w:tc>
      </w:tr>
      <w:tr w:rsidR="00F631EB" w:rsidRPr="00AB18C1" w14:paraId="2965BB61" w14:textId="77777777" w:rsidTr="00D6491D">
        <w:trPr>
          <w:trHeight w:val="680"/>
          <w:jc w:val="center"/>
        </w:trPr>
        <w:tc>
          <w:tcPr>
            <w:tcW w:w="528" w:type="dxa"/>
            <w:shd w:val="clear" w:color="auto" w:fill="auto"/>
            <w:vAlign w:val="center"/>
          </w:tcPr>
          <w:p w14:paraId="79DA0B23" w14:textId="77777777" w:rsidR="00F631EB" w:rsidRPr="00DF686B" w:rsidRDefault="00307AAF" w:rsidP="006A2D5B">
            <w:pPr>
              <w:ind w:left="0"/>
              <w:jc w:val="center"/>
              <w:rPr>
                <w:sz w:val="18"/>
                <w:szCs w:val="18"/>
              </w:rPr>
            </w:pPr>
            <w:r w:rsidRPr="00307AAF">
              <w:rPr>
                <w:sz w:val="18"/>
                <w:szCs w:val="18"/>
              </w:rPr>
              <w:t>1.</w:t>
            </w:r>
          </w:p>
        </w:tc>
        <w:tc>
          <w:tcPr>
            <w:tcW w:w="1461" w:type="dxa"/>
            <w:shd w:val="clear" w:color="auto" w:fill="auto"/>
            <w:vAlign w:val="center"/>
          </w:tcPr>
          <w:p w14:paraId="3CEA4376" w14:textId="77777777" w:rsidR="00DB2B03" w:rsidRPr="00A21DD4" w:rsidRDefault="00307AAF">
            <w:pPr>
              <w:ind w:left="0"/>
              <w:rPr>
                <w:sz w:val="18"/>
                <w:szCs w:val="18"/>
              </w:rPr>
            </w:pPr>
            <w:r w:rsidRPr="00A21DD4">
              <w:rPr>
                <w:sz w:val="18"/>
                <w:szCs w:val="18"/>
              </w:rPr>
              <w:t>Celkový objem</w:t>
            </w:r>
            <w:r w:rsidR="00BC1974" w:rsidRPr="00A21DD4">
              <w:rPr>
                <w:sz w:val="18"/>
                <w:szCs w:val="18"/>
              </w:rPr>
              <w:t xml:space="preserve"> medzinárodnej</w:t>
            </w:r>
            <w:r w:rsidRPr="00A21DD4">
              <w:rPr>
                <w:sz w:val="18"/>
                <w:szCs w:val="18"/>
              </w:rPr>
              <w:t xml:space="preserve"> prepravy na koridore TEN-T Orient/</w:t>
            </w:r>
            <w:r w:rsidR="002F2CAA" w:rsidRPr="00A21DD4">
              <w:rPr>
                <w:sz w:val="18"/>
                <w:szCs w:val="18"/>
              </w:rPr>
              <w:t>v</w:t>
            </w:r>
            <w:r w:rsidRPr="00A21DD4">
              <w:rPr>
                <w:sz w:val="18"/>
                <w:szCs w:val="18"/>
              </w:rPr>
              <w:t>ýchodné Stredomorie (úsek</w:t>
            </w:r>
            <w:r w:rsidR="00BC1974" w:rsidRPr="00A21DD4">
              <w:rPr>
                <w:sz w:val="18"/>
                <w:szCs w:val="18"/>
              </w:rPr>
              <w:t xml:space="preserve"> št. hr. ČR/SR -</w:t>
            </w:r>
            <w:r w:rsidRPr="00A21DD4">
              <w:rPr>
                <w:sz w:val="18"/>
                <w:szCs w:val="18"/>
              </w:rPr>
              <w:t xml:space="preserve"> Kúty – Bratislava)</w:t>
            </w:r>
          </w:p>
        </w:tc>
        <w:tc>
          <w:tcPr>
            <w:tcW w:w="905" w:type="dxa"/>
            <w:shd w:val="clear" w:color="auto" w:fill="auto"/>
            <w:vAlign w:val="center"/>
          </w:tcPr>
          <w:p w14:paraId="022AE88D" w14:textId="77777777" w:rsidR="00F631EB" w:rsidRPr="00A21DD4" w:rsidRDefault="00307AAF" w:rsidP="006A2D5B">
            <w:pPr>
              <w:ind w:left="0"/>
              <w:jc w:val="center"/>
              <w:rPr>
                <w:i/>
                <w:sz w:val="18"/>
                <w:szCs w:val="18"/>
              </w:rPr>
            </w:pPr>
            <w:r w:rsidRPr="00A21DD4">
              <w:rPr>
                <w:i/>
                <w:sz w:val="18"/>
                <w:szCs w:val="18"/>
              </w:rPr>
              <w:t>vlkm</w:t>
            </w:r>
          </w:p>
        </w:tc>
        <w:tc>
          <w:tcPr>
            <w:tcW w:w="994" w:type="dxa"/>
            <w:shd w:val="clear" w:color="auto" w:fill="auto"/>
            <w:vAlign w:val="center"/>
          </w:tcPr>
          <w:p w14:paraId="4328252A" w14:textId="77777777" w:rsidR="00F631EB" w:rsidRPr="00A21DD4" w:rsidRDefault="00307AAF" w:rsidP="006A2D5B">
            <w:pPr>
              <w:ind w:left="0"/>
              <w:jc w:val="center"/>
              <w:rPr>
                <w:i/>
                <w:sz w:val="18"/>
                <w:szCs w:val="18"/>
              </w:rPr>
            </w:pPr>
            <w:r w:rsidRPr="00A21DD4">
              <w:rPr>
                <w:i/>
                <w:sz w:val="18"/>
                <w:szCs w:val="18"/>
              </w:rPr>
              <w:t>N/A</w:t>
            </w:r>
          </w:p>
        </w:tc>
        <w:tc>
          <w:tcPr>
            <w:tcW w:w="1330" w:type="dxa"/>
            <w:vAlign w:val="center"/>
          </w:tcPr>
          <w:p w14:paraId="7626A216" w14:textId="77777777" w:rsidR="00F631EB" w:rsidRPr="00A21DD4" w:rsidRDefault="00307AAF" w:rsidP="00DA54A1">
            <w:pPr>
              <w:ind w:left="0"/>
              <w:jc w:val="center"/>
              <w:rPr>
                <w:i/>
                <w:sz w:val="18"/>
                <w:szCs w:val="18"/>
              </w:rPr>
            </w:pPr>
            <w:r w:rsidRPr="00A21DD4">
              <w:rPr>
                <w:i/>
                <w:sz w:val="18"/>
                <w:szCs w:val="18"/>
              </w:rPr>
              <w:t>1 205 396</w:t>
            </w:r>
          </w:p>
        </w:tc>
        <w:tc>
          <w:tcPr>
            <w:tcW w:w="1315" w:type="dxa"/>
            <w:vAlign w:val="center"/>
          </w:tcPr>
          <w:p w14:paraId="43251111" w14:textId="77777777" w:rsidR="00F631EB" w:rsidRPr="00A21DD4" w:rsidRDefault="00307AAF" w:rsidP="00DA54A1">
            <w:pPr>
              <w:ind w:left="0"/>
              <w:jc w:val="center"/>
              <w:rPr>
                <w:i/>
                <w:sz w:val="18"/>
                <w:szCs w:val="18"/>
              </w:rPr>
            </w:pPr>
            <w:r w:rsidRPr="00A21DD4">
              <w:rPr>
                <w:i/>
                <w:sz w:val="18"/>
                <w:szCs w:val="18"/>
              </w:rPr>
              <w:t>2013</w:t>
            </w:r>
          </w:p>
        </w:tc>
        <w:tc>
          <w:tcPr>
            <w:tcW w:w="882" w:type="dxa"/>
            <w:shd w:val="clear" w:color="auto" w:fill="auto"/>
            <w:vAlign w:val="center"/>
          </w:tcPr>
          <w:p w14:paraId="000C8263" w14:textId="77777777" w:rsidR="00F631EB" w:rsidRPr="00A21DD4" w:rsidRDefault="00307AAF" w:rsidP="00DA54A1">
            <w:pPr>
              <w:ind w:left="0"/>
              <w:jc w:val="center"/>
              <w:rPr>
                <w:i/>
                <w:sz w:val="18"/>
                <w:szCs w:val="18"/>
              </w:rPr>
            </w:pPr>
            <w:r w:rsidRPr="00A21DD4">
              <w:rPr>
                <w:i/>
                <w:sz w:val="18"/>
                <w:szCs w:val="18"/>
              </w:rPr>
              <w:t>1 307 279</w:t>
            </w:r>
          </w:p>
        </w:tc>
        <w:tc>
          <w:tcPr>
            <w:tcW w:w="784" w:type="dxa"/>
            <w:vAlign w:val="center"/>
          </w:tcPr>
          <w:p w14:paraId="7AF2AED5" w14:textId="77777777" w:rsidR="00F631EB" w:rsidRPr="00A21DD4" w:rsidRDefault="00307AAF" w:rsidP="006A2D5B">
            <w:pPr>
              <w:ind w:left="0"/>
              <w:jc w:val="center"/>
              <w:rPr>
                <w:i/>
                <w:sz w:val="18"/>
                <w:szCs w:val="18"/>
              </w:rPr>
            </w:pPr>
            <w:r w:rsidRPr="00A21DD4">
              <w:rPr>
                <w:i/>
                <w:sz w:val="18"/>
                <w:szCs w:val="18"/>
              </w:rPr>
              <w:t>RO OPII</w:t>
            </w:r>
          </w:p>
        </w:tc>
        <w:tc>
          <w:tcPr>
            <w:tcW w:w="1190" w:type="dxa"/>
            <w:vAlign w:val="center"/>
          </w:tcPr>
          <w:p w14:paraId="4B2A1B4A" w14:textId="77777777" w:rsidR="00F631EB" w:rsidRPr="00A21DD4" w:rsidRDefault="00307AAF" w:rsidP="006A2D5B">
            <w:pPr>
              <w:ind w:left="0"/>
              <w:jc w:val="center"/>
              <w:rPr>
                <w:i/>
                <w:sz w:val="18"/>
                <w:szCs w:val="18"/>
              </w:rPr>
            </w:pPr>
            <w:r w:rsidRPr="00A21DD4">
              <w:rPr>
                <w:i/>
                <w:sz w:val="18"/>
                <w:szCs w:val="18"/>
              </w:rPr>
              <w:t>Ročne</w:t>
            </w:r>
          </w:p>
        </w:tc>
      </w:tr>
    </w:tbl>
    <w:p w14:paraId="3ED23561" w14:textId="77777777" w:rsidR="00816B1A" w:rsidRPr="00816B1A" w:rsidRDefault="00816B1A" w:rsidP="008F243C">
      <w:pPr>
        <w:shd w:val="clear" w:color="auto" w:fill="FFFFCC"/>
        <w:spacing w:before="240"/>
        <w:jc w:val="both"/>
        <w:rPr>
          <w:b/>
          <w:i/>
        </w:rPr>
      </w:pPr>
      <w:r>
        <w:rPr>
          <w:i/>
        </w:rPr>
        <w:t>ŠPECIFICKÝ CIEĽ 1.3</w:t>
      </w:r>
      <w:r w:rsidRPr="004F0234">
        <w:rPr>
          <w:i/>
        </w:rPr>
        <w:t xml:space="preserve">: </w:t>
      </w:r>
      <w:r w:rsidR="00171E2F">
        <w:rPr>
          <w:b/>
          <w:i/>
        </w:rPr>
        <w:t>Zvýšenie atraktivity a</w:t>
      </w:r>
      <w:r w:rsidR="00CB59EA" w:rsidRPr="00CB59EA">
        <w:rPr>
          <w:b/>
          <w:i/>
        </w:rPr>
        <w:t xml:space="preserve"> kvality služieb železničnej verejnej osobnej dopravy prostredníctvom </w:t>
      </w:r>
      <w:r w:rsidR="00CB59EA">
        <w:rPr>
          <w:b/>
          <w:i/>
        </w:rPr>
        <w:t>obnovy</w:t>
      </w:r>
      <w:r w:rsidRPr="004F0234">
        <w:rPr>
          <w:b/>
          <w:i/>
        </w:rPr>
        <w:t xml:space="preserve"> mobilných prostriedkov </w:t>
      </w:r>
    </w:p>
    <w:p w14:paraId="2156AC79" w14:textId="77777777" w:rsidR="00B95FD1" w:rsidRPr="00B95FD1" w:rsidRDefault="00DF686B" w:rsidP="00B95FD1">
      <w:pPr>
        <w:spacing w:before="180"/>
        <w:jc w:val="both"/>
        <w:rPr>
          <w:sz w:val="22"/>
          <w:szCs w:val="22"/>
        </w:rPr>
      </w:pPr>
      <w:r>
        <w:rPr>
          <w:sz w:val="22"/>
          <w:szCs w:val="22"/>
        </w:rPr>
        <w:t>ŠC 1.3</w:t>
      </w:r>
      <w:r w:rsidRPr="00B95FD1">
        <w:rPr>
          <w:sz w:val="22"/>
          <w:szCs w:val="22"/>
        </w:rPr>
        <w:t xml:space="preserve"> </w:t>
      </w:r>
      <w:r w:rsidR="00B95FD1" w:rsidRPr="00B95FD1">
        <w:rPr>
          <w:sz w:val="22"/>
          <w:szCs w:val="22"/>
        </w:rPr>
        <w:t>synergicky dopĺňa ciele stanovené pre oblasť infraštruktúry. Synergickým pôsobením výsledkov infraštruktúrnych a prevádzkových opatrení je možná multiplikácia pozitívnych efektov a zvýšenie atraktívnosti železničnej dopravy. Na základe údajov o deľbe prepravnej práce z roku 2012, predstavuje podi</w:t>
      </w:r>
      <w:r w:rsidR="00966BCE">
        <w:rPr>
          <w:sz w:val="22"/>
          <w:szCs w:val="22"/>
        </w:rPr>
        <w:t>el železničnej nákladnej dopravy</w:t>
      </w:r>
      <w:r w:rsidR="00B95FD1" w:rsidRPr="00B95FD1">
        <w:rPr>
          <w:sz w:val="22"/>
          <w:szCs w:val="22"/>
        </w:rPr>
        <w:t xml:space="preserve"> na celkových prepravných výkonoch 19,9 % prepravných výkonov pozemnej dopravy. V prípade osobnej dopravy je tento podiel iba 7 %</w:t>
      </w:r>
      <w:r w:rsidR="008F7124">
        <w:rPr>
          <w:rStyle w:val="Odkaznapoznmkupodiarou"/>
          <w:sz w:val="22"/>
          <w:szCs w:val="22"/>
        </w:rPr>
        <w:footnoteReference w:id="53"/>
      </w:r>
      <w:r w:rsidR="00B95FD1" w:rsidRPr="00B95FD1">
        <w:rPr>
          <w:sz w:val="22"/>
          <w:szCs w:val="22"/>
        </w:rPr>
        <w:t>.</w:t>
      </w:r>
    </w:p>
    <w:p w14:paraId="15235675" w14:textId="0D224D26" w:rsidR="00240293" w:rsidRDefault="003676B4" w:rsidP="003676B4">
      <w:pPr>
        <w:spacing w:before="180"/>
        <w:jc w:val="both"/>
        <w:rPr>
          <w:sz w:val="22"/>
          <w:szCs w:val="22"/>
        </w:rPr>
      </w:pPr>
      <w:r w:rsidRPr="00B907D0">
        <w:rPr>
          <w:sz w:val="22"/>
          <w:szCs w:val="22"/>
        </w:rPr>
        <w:t xml:space="preserve">Dôležitou súčasťou pri vytváraní komplexného, kvalitného a interoperabilného železničného systému je aj obnova vozového parku železničnej verejnej osobnej dopravy. Obnovou </w:t>
      </w:r>
      <w:r>
        <w:rPr>
          <w:sz w:val="22"/>
          <w:szCs w:val="22"/>
        </w:rPr>
        <w:t>(</w:t>
      </w:r>
      <w:r w:rsidR="00755E09">
        <w:rPr>
          <w:sz w:val="22"/>
          <w:szCs w:val="22"/>
        </w:rPr>
        <w:t xml:space="preserve">primárne </w:t>
      </w:r>
      <w:r>
        <w:rPr>
          <w:sz w:val="22"/>
          <w:szCs w:val="22"/>
        </w:rPr>
        <w:t xml:space="preserve">nákupom nových) </w:t>
      </w:r>
      <w:r w:rsidRPr="00B907D0">
        <w:rPr>
          <w:sz w:val="22"/>
          <w:szCs w:val="22"/>
        </w:rPr>
        <w:t>mobilných prostriedkov železničnej verejnej osobnej dopravy</w:t>
      </w:r>
      <w:r w:rsidR="00A97189">
        <w:rPr>
          <w:sz w:val="22"/>
          <w:szCs w:val="22"/>
        </w:rPr>
        <w:t xml:space="preserve"> a zabezpečením ich interoperability</w:t>
      </w:r>
      <w:r w:rsidRPr="00B907D0">
        <w:rPr>
          <w:sz w:val="22"/>
          <w:szCs w:val="22"/>
        </w:rPr>
        <w:t xml:space="preserve"> dôjde k zvýšeniu komfortu</w:t>
      </w:r>
      <w:r w:rsidR="00A97189">
        <w:rPr>
          <w:sz w:val="22"/>
          <w:szCs w:val="22"/>
        </w:rPr>
        <w:t>, bezpečnosti</w:t>
      </w:r>
      <w:r w:rsidRPr="00B907D0">
        <w:rPr>
          <w:sz w:val="22"/>
          <w:szCs w:val="22"/>
        </w:rPr>
        <w:t xml:space="preserve"> a kvality železničnej dopravy z pohľadu koncového užívateľa. </w:t>
      </w:r>
    </w:p>
    <w:p w14:paraId="07B87856" w14:textId="77777777" w:rsidR="00240293" w:rsidRDefault="003676B4" w:rsidP="003676B4">
      <w:pPr>
        <w:spacing w:before="180"/>
        <w:jc w:val="both"/>
        <w:rPr>
          <w:sz w:val="22"/>
          <w:szCs w:val="22"/>
        </w:rPr>
      </w:pPr>
      <w:r w:rsidRPr="00B907D0">
        <w:rPr>
          <w:sz w:val="22"/>
          <w:szCs w:val="22"/>
        </w:rPr>
        <w:t>Dosiahnutie kvalitn</w:t>
      </w:r>
      <w:r w:rsidR="00DC54F5">
        <w:rPr>
          <w:sz w:val="22"/>
          <w:szCs w:val="22"/>
        </w:rPr>
        <w:t>ej a konkurencieschopnej</w:t>
      </w:r>
      <w:r w:rsidRPr="00B907D0">
        <w:rPr>
          <w:sz w:val="22"/>
          <w:szCs w:val="22"/>
        </w:rPr>
        <w:t xml:space="preserve"> železničnej</w:t>
      </w:r>
      <w:r w:rsidR="00DC54F5">
        <w:rPr>
          <w:sz w:val="22"/>
          <w:szCs w:val="22"/>
        </w:rPr>
        <w:t xml:space="preserve"> osobnej</w:t>
      </w:r>
      <w:r w:rsidRPr="00B907D0">
        <w:rPr>
          <w:sz w:val="22"/>
          <w:szCs w:val="22"/>
        </w:rPr>
        <w:t xml:space="preserve"> dopravy ako strategického cieľa </w:t>
      </w:r>
      <w:r>
        <w:rPr>
          <w:sz w:val="22"/>
          <w:szCs w:val="22"/>
        </w:rPr>
        <w:t xml:space="preserve">železničnej dopravy definovaného </w:t>
      </w:r>
      <w:r w:rsidRPr="00B907D0">
        <w:rPr>
          <w:sz w:val="22"/>
          <w:szCs w:val="22"/>
        </w:rPr>
        <w:t>v</w:t>
      </w:r>
      <w:r w:rsidR="00A32FFD">
        <w:rPr>
          <w:sz w:val="22"/>
          <w:szCs w:val="22"/>
        </w:rPr>
        <w:t> </w:t>
      </w:r>
      <w:r w:rsidRPr="00B907D0">
        <w:rPr>
          <w:sz w:val="22"/>
          <w:szCs w:val="22"/>
        </w:rPr>
        <w:t>Strategick</w:t>
      </w:r>
      <w:r w:rsidR="00A32FFD">
        <w:rPr>
          <w:sz w:val="22"/>
          <w:szCs w:val="22"/>
        </w:rPr>
        <w:t>om pláne</w:t>
      </w:r>
      <w:r w:rsidRPr="00B907D0">
        <w:rPr>
          <w:sz w:val="22"/>
          <w:szCs w:val="22"/>
        </w:rPr>
        <w:t xml:space="preserve"> je podmienené vytvorením dostatočne kvalitného a atrak</w:t>
      </w:r>
      <w:r w:rsidR="00DC54F5">
        <w:rPr>
          <w:sz w:val="22"/>
          <w:szCs w:val="22"/>
        </w:rPr>
        <w:t>tívneho systému</w:t>
      </w:r>
      <w:r w:rsidRPr="00B907D0">
        <w:rPr>
          <w:sz w:val="22"/>
          <w:szCs w:val="22"/>
        </w:rPr>
        <w:t xml:space="preserve"> železničnej</w:t>
      </w:r>
      <w:r w:rsidR="00DC54F5">
        <w:rPr>
          <w:sz w:val="22"/>
          <w:szCs w:val="22"/>
        </w:rPr>
        <w:t xml:space="preserve"> osobnej</w:t>
      </w:r>
      <w:r w:rsidRPr="00B907D0">
        <w:rPr>
          <w:sz w:val="22"/>
          <w:szCs w:val="22"/>
        </w:rPr>
        <w:t xml:space="preserve"> dopravy. Jednou z priorít uvede</w:t>
      </w:r>
      <w:r w:rsidR="00A32FFD">
        <w:rPr>
          <w:sz w:val="22"/>
          <w:szCs w:val="22"/>
        </w:rPr>
        <w:t>ného cieľa je </w:t>
      </w:r>
      <w:r w:rsidRPr="00B907D0">
        <w:rPr>
          <w:sz w:val="22"/>
          <w:szCs w:val="22"/>
        </w:rPr>
        <w:t>zabezpečenie komfortnej osobnej dopravy, v rámci ktorej sa bude klásť dôraz najmä na zásadné zlepšenie parametrov os</w:t>
      </w:r>
      <w:r>
        <w:rPr>
          <w:sz w:val="22"/>
          <w:szCs w:val="22"/>
        </w:rPr>
        <w:t>obnej dopravy</w:t>
      </w:r>
      <w:r w:rsidR="00847D74">
        <w:rPr>
          <w:sz w:val="22"/>
          <w:szCs w:val="22"/>
        </w:rPr>
        <w:t xml:space="preserve"> významne zlepšujúcich</w:t>
      </w:r>
      <w:r>
        <w:rPr>
          <w:sz w:val="22"/>
          <w:szCs w:val="22"/>
        </w:rPr>
        <w:t xml:space="preserve"> vnímanie železničnej dopravy</w:t>
      </w:r>
      <w:r w:rsidR="00A32FFD">
        <w:rPr>
          <w:sz w:val="22"/>
          <w:szCs w:val="22"/>
        </w:rPr>
        <w:t xml:space="preserve"> zo </w:t>
      </w:r>
      <w:r w:rsidR="005C2D29">
        <w:rPr>
          <w:sz w:val="22"/>
          <w:szCs w:val="22"/>
        </w:rPr>
        <w:t>strany cestujúcich.</w:t>
      </w:r>
    </w:p>
    <w:p w14:paraId="4AED26B3" w14:textId="77777777" w:rsidR="00C3136F" w:rsidRDefault="00C3136F" w:rsidP="003676B4">
      <w:pPr>
        <w:spacing w:before="180"/>
        <w:jc w:val="both"/>
        <w:rPr>
          <w:sz w:val="22"/>
          <w:szCs w:val="22"/>
        </w:rPr>
      </w:pPr>
      <w:r>
        <w:rPr>
          <w:sz w:val="22"/>
          <w:szCs w:val="22"/>
        </w:rPr>
        <w:lastRenderedPageBreak/>
        <w:t>Obstaranie nových koľajových vozidiel musí byť previazané so zlepšením železničnej infraštruktúry a</w:t>
      </w:r>
      <w:r w:rsidR="005C2D29">
        <w:rPr>
          <w:sz w:val="22"/>
          <w:szCs w:val="22"/>
        </w:rPr>
        <w:t> </w:t>
      </w:r>
      <w:r>
        <w:rPr>
          <w:sz w:val="22"/>
          <w:szCs w:val="22"/>
        </w:rPr>
        <w:t>parametre železničných koľajových vozidiel musia zodpovedať</w:t>
      </w:r>
      <w:r w:rsidR="005C2D29">
        <w:rPr>
          <w:sz w:val="22"/>
          <w:szCs w:val="22"/>
        </w:rPr>
        <w:t xml:space="preserve"> </w:t>
      </w:r>
      <w:r>
        <w:rPr>
          <w:sz w:val="22"/>
          <w:szCs w:val="22"/>
        </w:rPr>
        <w:t>parametrom dopravnej infraštruktúry, aby bola zabezpečená vzájomná kompatibilita a</w:t>
      </w:r>
      <w:r w:rsidR="005C2D29">
        <w:rPr>
          <w:sz w:val="22"/>
          <w:szCs w:val="22"/>
        </w:rPr>
        <w:t xml:space="preserve"> </w:t>
      </w:r>
      <w:r>
        <w:rPr>
          <w:sz w:val="22"/>
          <w:szCs w:val="22"/>
        </w:rPr>
        <w:t>synergické účinky investícií.</w:t>
      </w:r>
    </w:p>
    <w:p w14:paraId="06F2885B" w14:textId="77777777" w:rsidR="00B95FD1" w:rsidRPr="00986FA0" w:rsidRDefault="00B95FD1" w:rsidP="00B95FD1">
      <w:pPr>
        <w:spacing w:before="180"/>
        <w:jc w:val="both"/>
        <w:rPr>
          <w:sz w:val="22"/>
          <w:szCs w:val="22"/>
        </w:rPr>
      </w:pPr>
      <w:r w:rsidRPr="00B95FD1">
        <w:rPr>
          <w:b/>
          <w:sz w:val="22"/>
          <w:szCs w:val="22"/>
        </w:rPr>
        <w:t>V prípade, ak železničná osobná doprava ponúkne prepravu v porovnateľnej kvalite ako iné druhy dopravy a vo frekvencii, ktorá zodpovedá prepravnému dopytu</w:t>
      </w:r>
      <w:r w:rsidR="00966BCE">
        <w:rPr>
          <w:b/>
          <w:sz w:val="22"/>
          <w:szCs w:val="22"/>
        </w:rPr>
        <w:t xml:space="preserve"> zo strany cestujúcej verejnosti</w:t>
      </w:r>
      <w:r w:rsidRPr="00B95FD1">
        <w:rPr>
          <w:b/>
          <w:sz w:val="22"/>
          <w:szCs w:val="22"/>
        </w:rPr>
        <w:t xml:space="preserve">, môže byť snaha o integráciu verejnej osobnej dopravy úspešná. </w:t>
      </w:r>
      <w:r w:rsidR="00986FA0" w:rsidRPr="00986FA0">
        <w:rPr>
          <w:sz w:val="22"/>
          <w:szCs w:val="22"/>
        </w:rPr>
        <w:t>Strategický plán identifikoval prínos</w:t>
      </w:r>
      <w:r w:rsidR="00774AB4">
        <w:rPr>
          <w:sz w:val="22"/>
          <w:szCs w:val="22"/>
        </w:rPr>
        <w:t>y</w:t>
      </w:r>
      <w:r w:rsidR="00986FA0" w:rsidRPr="00986FA0">
        <w:rPr>
          <w:sz w:val="22"/>
          <w:szCs w:val="22"/>
        </w:rPr>
        <w:t xml:space="preserve"> potenciálnej integrácie a postupnej harmonizácie </w:t>
      </w:r>
      <w:r w:rsidRPr="00986FA0">
        <w:rPr>
          <w:sz w:val="22"/>
          <w:szCs w:val="22"/>
        </w:rPr>
        <w:t>prepravy odstránen</w:t>
      </w:r>
      <w:r w:rsidR="00986FA0">
        <w:rPr>
          <w:sz w:val="22"/>
          <w:szCs w:val="22"/>
        </w:rPr>
        <w:t>ím</w:t>
      </w:r>
      <w:r w:rsidRPr="00986FA0">
        <w:rPr>
          <w:sz w:val="22"/>
          <w:szCs w:val="22"/>
        </w:rPr>
        <w:t xml:space="preserve"> paralelných spojov v</w:t>
      </w:r>
      <w:r w:rsidR="00774AB4">
        <w:rPr>
          <w:sz w:val="22"/>
          <w:szCs w:val="22"/>
        </w:rPr>
        <w:t> </w:t>
      </w:r>
      <w:r w:rsidRPr="00986FA0">
        <w:rPr>
          <w:sz w:val="22"/>
          <w:szCs w:val="22"/>
        </w:rPr>
        <w:t>železničnej</w:t>
      </w:r>
      <w:r w:rsidR="00774AB4">
        <w:rPr>
          <w:sz w:val="22"/>
          <w:szCs w:val="22"/>
        </w:rPr>
        <w:t xml:space="preserve"> a</w:t>
      </w:r>
      <w:r w:rsidRPr="00986FA0">
        <w:rPr>
          <w:sz w:val="22"/>
          <w:szCs w:val="22"/>
        </w:rPr>
        <w:t xml:space="preserve"> autobusovej doprave, </w:t>
      </w:r>
      <w:r w:rsidR="00966BCE" w:rsidRPr="00986FA0">
        <w:rPr>
          <w:sz w:val="22"/>
          <w:szCs w:val="22"/>
        </w:rPr>
        <w:t>ktoré spôsobujú neefektívne vynakladanie verejných zdrojov.</w:t>
      </w:r>
    </w:p>
    <w:p w14:paraId="2165D10B" w14:textId="62FBC270" w:rsidR="00B95FD1" w:rsidRPr="00B95FD1" w:rsidRDefault="00B95FD1" w:rsidP="00B95FD1">
      <w:pPr>
        <w:spacing w:before="180"/>
        <w:jc w:val="both"/>
        <w:rPr>
          <w:sz w:val="22"/>
          <w:szCs w:val="22"/>
        </w:rPr>
      </w:pPr>
      <w:r w:rsidRPr="00B95FD1">
        <w:rPr>
          <w:sz w:val="22"/>
          <w:szCs w:val="22"/>
        </w:rPr>
        <w:t>Opatrenia týkajúce sa služieb vo verejnom záujme budú implementované v súlade s požiadavkami nariadenia EP a Rady (ES) č. 1370 z 23. októbra 2007 o službách vo verejnom záujme v železničnej a cestnej osobnej doprave, ktorým sa zrušujú nariadenia Rady (EHS) č. 1191/69 a (EHS) č. 1107/70</w:t>
      </w:r>
      <w:r w:rsidR="00B814C5">
        <w:rPr>
          <w:sz w:val="22"/>
          <w:szCs w:val="22"/>
        </w:rPr>
        <w:t xml:space="preserve"> a nariadenia EP a Rady (EÚ) 2016/2338 zo 14. decembra 2016, ktorým sa mení nariadenie (ES) </w:t>
      </w:r>
      <w:r w:rsidR="00B814C5">
        <w:rPr>
          <w:sz w:val="22"/>
          <w:szCs w:val="22"/>
        </w:rPr>
        <w:br/>
        <w:t>č. 1370/2007, pokiaľ ide o otvorenie trhu so službami vnútroštátnej železničnej osobnej dopravy</w:t>
      </w:r>
      <w:r w:rsidR="001223C5" w:rsidRPr="00B95FD1">
        <w:rPr>
          <w:sz w:val="22"/>
          <w:szCs w:val="22"/>
        </w:rPr>
        <w:t>.</w:t>
      </w:r>
    </w:p>
    <w:p w14:paraId="5A115F7F" w14:textId="77777777" w:rsidR="005917D8" w:rsidRPr="001B2070" w:rsidRDefault="00AB65B2"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6789766F" w14:textId="77777777" w:rsidR="009E0158" w:rsidRDefault="00986FA0" w:rsidP="008F3CB1">
      <w:pPr>
        <w:pStyle w:val="Odsekzoznamu"/>
        <w:numPr>
          <w:ilvl w:val="0"/>
          <w:numId w:val="45"/>
        </w:numPr>
        <w:autoSpaceDE w:val="0"/>
        <w:autoSpaceDN w:val="0"/>
        <w:adjustRightInd w:val="0"/>
        <w:ind w:left="851" w:hanging="425"/>
        <w:jc w:val="both"/>
        <w:rPr>
          <w:sz w:val="22"/>
          <w:szCs w:val="22"/>
        </w:rPr>
      </w:pPr>
      <w:r>
        <w:rPr>
          <w:sz w:val="22"/>
          <w:szCs w:val="22"/>
        </w:rPr>
        <w:t xml:space="preserve">zvýšenie atraktivity verejnej osobnej dopravy prostredníctvom obstarania </w:t>
      </w:r>
      <w:r w:rsidR="00EE6E95">
        <w:rPr>
          <w:sz w:val="22"/>
          <w:szCs w:val="22"/>
        </w:rPr>
        <w:t xml:space="preserve">nových </w:t>
      </w:r>
      <w:r w:rsidR="00AB65B2" w:rsidRPr="00186DB7">
        <w:rPr>
          <w:sz w:val="22"/>
          <w:szCs w:val="22"/>
        </w:rPr>
        <w:t>prostriedkov zabezpečujúcich verejnú železničnú osobnú dopravu</w:t>
      </w:r>
      <w:r w:rsidR="00186DB7">
        <w:rPr>
          <w:sz w:val="22"/>
          <w:szCs w:val="22"/>
        </w:rPr>
        <w:t>,</w:t>
      </w:r>
    </w:p>
    <w:p w14:paraId="1F915E5D" w14:textId="77777777" w:rsidR="009E0158" w:rsidRDefault="005665D4" w:rsidP="008F3CB1">
      <w:pPr>
        <w:pStyle w:val="Odsekzoznamu"/>
        <w:numPr>
          <w:ilvl w:val="0"/>
          <w:numId w:val="45"/>
        </w:numPr>
        <w:autoSpaceDE w:val="0"/>
        <w:autoSpaceDN w:val="0"/>
        <w:adjustRightInd w:val="0"/>
        <w:ind w:left="851" w:hanging="425"/>
        <w:jc w:val="both"/>
        <w:rPr>
          <w:sz w:val="22"/>
          <w:szCs w:val="22"/>
        </w:rPr>
      </w:pPr>
      <w:r>
        <w:rPr>
          <w:sz w:val="22"/>
          <w:szCs w:val="22"/>
        </w:rPr>
        <w:t>podpora stabilizácie služieb poskytovaných vo verejnom záujme,</w:t>
      </w:r>
    </w:p>
    <w:p w14:paraId="26DDC7B0" w14:textId="77777777" w:rsidR="009E0158" w:rsidRDefault="00EE6E95" w:rsidP="008F3CB1">
      <w:pPr>
        <w:pStyle w:val="Odsekzoznamu"/>
        <w:numPr>
          <w:ilvl w:val="0"/>
          <w:numId w:val="45"/>
        </w:numPr>
        <w:autoSpaceDE w:val="0"/>
        <w:autoSpaceDN w:val="0"/>
        <w:adjustRightInd w:val="0"/>
        <w:ind w:left="851" w:hanging="425"/>
        <w:jc w:val="both"/>
        <w:rPr>
          <w:sz w:val="22"/>
          <w:szCs w:val="22"/>
        </w:rPr>
      </w:pPr>
      <w:r>
        <w:rPr>
          <w:sz w:val="22"/>
          <w:szCs w:val="22"/>
        </w:rPr>
        <w:t xml:space="preserve">zníženie hlukovej záťaže </w:t>
      </w:r>
      <w:r w:rsidR="005068E6">
        <w:rPr>
          <w:sz w:val="22"/>
          <w:szCs w:val="22"/>
        </w:rPr>
        <w:t>a emisií CO</w:t>
      </w:r>
      <w:r w:rsidR="005068E6" w:rsidRPr="005068E6">
        <w:rPr>
          <w:sz w:val="22"/>
          <w:szCs w:val="22"/>
          <w:vertAlign w:val="subscript"/>
        </w:rPr>
        <w:t>2</w:t>
      </w:r>
      <w:r w:rsidR="005068E6">
        <w:rPr>
          <w:sz w:val="22"/>
          <w:szCs w:val="22"/>
        </w:rPr>
        <w:t>, NO</w:t>
      </w:r>
      <w:r w:rsidR="005068E6" w:rsidRPr="005068E6">
        <w:rPr>
          <w:sz w:val="22"/>
          <w:szCs w:val="22"/>
          <w:vertAlign w:val="subscript"/>
        </w:rPr>
        <w:t>2</w:t>
      </w:r>
      <w:r w:rsidR="005068E6">
        <w:rPr>
          <w:sz w:val="22"/>
          <w:szCs w:val="22"/>
        </w:rPr>
        <w:t xml:space="preserve"> a</w:t>
      </w:r>
      <w:r w:rsidR="00A656AE">
        <w:rPr>
          <w:sz w:val="22"/>
          <w:szCs w:val="22"/>
        </w:rPr>
        <w:t> </w:t>
      </w:r>
      <w:r w:rsidR="005068E6">
        <w:rPr>
          <w:sz w:val="22"/>
          <w:szCs w:val="22"/>
        </w:rPr>
        <w:t>PM</w:t>
      </w:r>
      <w:r w:rsidR="00307AAF" w:rsidRPr="00307AAF">
        <w:rPr>
          <w:sz w:val="22"/>
          <w:szCs w:val="22"/>
          <w:vertAlign w:val="subscript"/>
        </w:rPr>
        <w:t>10</w:t>
      </w:r>
      <w:r w:rsidR="005068E6">
        <w:rPr>
          <w:sz w:val="22"/>
          <w:szCs w:val="22"/>
        </w:rPr>
        <w:t xml:space="preserve"> </w:t>
      </w:r>
      <w:r>
        <w:rPr>
          <w:sz w:val="22"/>
          <w:szCs w:val="22"/>
        </w:rPr>
        <w:t xml:space="preserve">vyplývajúcej z prevádzky železničnej </w:t>
      </w:r>
      <w:r w:rsidR="00404A68">
        <w:rPr>
          <w:sz w:val="22"/>
          <w:szCs w:val="22"/>
        </w:rPr>
        <w:t xml:space="preserve">verejnej osobnej </w:t>
      </w:r>
      <w:r>
        <w:rPr>
          <w:sz w:val="22"/>
          <w:szCs w:val="22"/>
        </w:rPr>
        <w:t>dopravy.</w:t>
      </w:r>
    </w:p>
    <w:p w14:paraId="254283BB" w14:textId="77777777" w:rsidR="00F631EB" w:rsidRDefault="00F631EB" w:rsidP="004402B6">
      <w:pPr>
        <w:pStyle w:val="Tab"/>
      </w:pPr>
      <w:r>
        <w:t>Špecifické v</w:t>
      </w:r>
      <w:r w:rsidRPr="004F0234">
        <w:t>ýsledkové ukazovatele zodpovedajúce špecifickému cieľu</w:t>
      </w:r>
      <w:r w:rsidR="00350B96">
        <w:t xml:space="preserve"> 1.3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74"/>
        <w:gridCol w:w="898"/>
        <w:gridCol w:w="1022"/>
        <w:gridCol w:w="1297"/>
        <w:gridCol w:w="1297"/>
        <w:gridCol w:w="907"/>
        <w:gridCol w:w="786"/>
        <w:gridCol w:w="1208"/>
      </w:tblGrid>
      <w:tr w:rsidR="00F631EB" w:rsidRPr="008C1732" w14:paraId="3B4DC75F" w14:textId="77777777" w:rsidTr="0095191D">
        <w:trPr>
          <w:trHeight w:val="487"/>
          <w:jc w:val="center"/>
        </w:trPr>
        <w:tc>
          <w:tcPr>
            <w:tcW w:w="598" w:type="dxa"/>
            <w:shd w:val="clear" w:color="auto" w:fill="C6D9F1" w:themeFill="text2" w:themeFillTint="33"/>
            <w:vAlign w:val="center"/>
          </w:tcPr>
          <w:p w14:paraId="03C459C8" w14:textId="77777777" w:rsidR="00F631EB" w:rsidRPr="008C1732" w:rsidRDefault="00854EA5" w:rsidP="006A2D5B">
            <w:pPr>
              <w:ind w:left="0"/>
              <w:jc w:val="center"/>
              <w:rPr>
                <w:b/>
                <w:sz w:val="18"/>
                <w:szCs w:val="18"/>
              </w:rPr>
            </w:pPr>
            <w:r>
              <w:rPr>
                <w:b/>
                <w:sz w:val="18"/>
                <w:szCs w:val="18"/>
              </w:rPr>
              <w:t>P. č.</w:t>
            </w:r>
          </w:p>
        </w:tc>
        <w:tc>
          <w:tcPr>
            <w:tcW w:w="1274" w:type="dxa"/>
            <w:shd w:val="clear" w:color="auto" w:fill="C6D9F1" w:themeFill="text2" w:themeFillTint="33"/>
            <w:vAlign w:val="center"/>
          </w:tcPr>
          <w:p w14:paraId="1EB4EDA7" w14:textId="77777777" w:rsidR="00F631EB" w:rsidRPr="008C1732" w:rsidRDefault="00F631EB" w:rsidP="006A2D5B">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1E0DE8A7" w14:textId="77777777" w:rsidR="00F631EB" w:rsidRPr="008C1732" w:rsidRDefault="00F631EB" w:rsidP="006A2D5B">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14:paraId="16A2FF00" w14:textId="77777777" w:rsidR="00F631EB" w:rsidRPr="008C1732" w:rsidRDefault="00F631EB" w:rsidP="006A2D5B">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061D5C8C" w14:textId="77777777" w:rsidR="00F631EB" w:rsidRPr="008C1732" w:rsidRDefault="00F631EB" w:rsidP="006A2D5B">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2F742D85" w14:textId="77777777" w:rsidR="00F631EB" w:rsidRPr="008C1732" w:rsidRDefault="00F631EB" w:rsidP="006A2D5B">
            <w:pPr>
              <w:ind w:left="0"/>
              <w:jc w:val="center"/>
              <w:rPr>
                <w:b/>
                <w:sz w:val="18"/>
                <w:szCs w:val="18"/>
              </w:rPr>
            </w:pPr>
            <w:r>
              <w:rPr>
                <w:b/>
                <w:sz w:val="18"/>
                <w:szCs w:val="18"/>
              </w:rPr>
              <w:t>Východiskový rok</w:t>
            </w:r>
          </w:p>
        </w:tc>
        <w:tc>
          <w:tcPr>
            <w:tcW w:w="907" w:type="dxa"/>
            <w:shd w:val="clear" w:color="auto" w:fill="C6D9F1" w:themeFill="text2" w:themeFillTint="33"/>
            <w:vAlign w:val="center"/>
          </w:tcPr>
          <w:p w14:paraId="170305CF" w14:textId="77777777" w:rsidR="00F631EB" w:rsidRPr="008C1732" w:rsidRDefault="00F631EB" w:rsidP="006A2D5B">
            <w:pPr>
              <w:ind w:left="0"/>
              <w:jc w:val="center"/>
              <w:rPr>
                <w:b/>
                <w:sz w:val="18"/>
                <w:szCs w:val="18"/>
              </w:rPr>
            </w:pPr>
            <w:r w:rsidRPr="008C1732">
              <w:rPr>
                <w:b/>
                <w:sz w:val="18"/>
                <w:szCs w:val="18"/>
              </w:rPr>
              <w:t>Cieľová hodnota (2023)</w:t>
            </w:r>
          </w:p>
        </w:tc>
        <w:tc>
          <w:tcPr>
            <w:tcW w:w="786" w:type="dxa"/>
            <w:shd w:val="clear" w:color="auto" w:fill="C6D9F1" w:themeFill="text2" w:themeFillTint="33"/>
            <w:vAlign w:val="center"/>
          </w:tcPr>
          <w:p w14:paraId="6A029C68" w14:textId="77777777" w:rsidR="00F631EB" w:rsidRPr="008C1732" w:rsidRDefault="00F631EB" w:rsidP="006A2D5B">
            <w:pPr>
              <w:ind w:left="0"/>
              <w:jc w:val="center"/>
              <w:rPr>
                <w:b/>
                <w:sz w:val="18"/>
                <w:szCs w:val="18"/>
              </w:rPr>
            </w:pPr>
            <w:r w:rsidRPr="008C1732">
              <w:rPr>
                <w:b/>
                <w:sz w:val="18"/>
                <w:szCs w:val="18"/>
              </w:rPr>
              <w:t>Zdroj údajov</w:t>
            </w:r>
          </w:p>
        </w:tc>
        <w:tc>
          <w:tcPr>
            <w:tcW w:w="1208" w:type="dxa"/>
            <w:shd w:val="clear" w:color="auto" w:fill="C6D9F1" w:themeFill="text2" w:themeFillTint="33"/>
            <w:vAlign w:val="center"/>
          </w:tcPr>
          <w:p w14:paraId="01372331" w14:textId="77777777" w:rsidR="00F631EB" w:rsidRPr="008C1732" w:rsidRDefault="00F631EB" w:rsidP="006A2D5B">
            <w:pPr>
              <w:ind w:left="0"/>
              <w:jc w:val="center"/>
              <w:rPr>
                <w:b/>
                <w:sz w:val="18"/>
                <w:szCs w:val="18"/>
              </w:rPr>
            </w:pPr>
            <w:r w:rsidRPr="008C1732">
              <w:rPr>
                <w:b/>
                <w:sz w:val="18"/>
                <w:szCs w:val="18"/>
              </w:rPr>
              <w:t>Frekvencia vykazovania</w:t>
            </w:r>
          </w:p>
        </w:tc>
      </w:tr>
      <w:tr w:rsidR="00F631EB" w:rsidRPr="00AB18C1" w14:paraId="0E59FA79" w14:textId="77777777" w:rsidTr="0095191D">
        <w:trPr>
          <w:trHeight w:val="680"/>
          <w:jc w:val="center"/>
        </w:trPr>
        <w:tc>
          <w:tcPr>
            <w:tcW w:w="598" w:type="dxa"/>
            <w:shd w:val="clear" w:color="auto" w:fill="auto"/>
            <w:vAlign w:val="center"/>
          </w:tcPr>
          <w:p w14:paraId="31E666AC" w14:textId="77777777" w:rsidR="00F631EB" w:rsidRPr="00DF686B" w:rsidRDefault="00307AAF" w:rsidP="006A2D5B">
            <w:pPr>
              <w:ind w:left="0"/>
              <w:jc w:val="center"/>
              <w:rPr>
                <w:sz w:val="18"/>
                <w:szCs w:val="18"/>
              </w:rPr>
            </w:pPr>
            <w:r w:rsidRPr="00307AAF">
              <w:rPr>
                <w:sz w:val="18"/>
                <w:szCs w:val="18"/>
              </w:rPr>
              <w:t>1.</w:t>
            </w:r>
          </w:p>
        </w:tc>
        <w:tc>
          <w:tcPr>
            <w:tcW w:w="1274" w:type="dxa"/>
            <w:shd w:val="clear" w:color="auto" w:fill="auto"/>
            <w:tcMar>
              <w:left w:w="57" w:type="dxa"/>
              <w:right w:w="57" w:type="dxa"/>
            </w:tcMar>
            <w:vAlign w:val="center"/>
          </w:tcPr>
          <w:p w14:paraId="6EFDADA6" w14:textId="77777777" w:rsidR="00F631EB" w:rsidRPr="00DF686B" w:rsidRDefault="006E03F4" w:rsidP="00CB59EA">
            <w:pPr>
              <w:ind w:left="0"/>
              <w:rPr>
                <w:sz w:val="18"/>
                <w:szCs w:val="18"/>
              </w:rPr>
            </w:pPr>
            <w:r>
              <w:rPr>
                <w:sz w:val="18"/>
                <w:szCs w:val="18"/>
              </w:rPr>
              <w:t>Počet prepravených cestujúcich vo verejnej železničnej osobnej doprave</w:t>
            </w:r>
          </w:p>
        </w:tc>
        <w:tc>
          <w:tcPr>
            <w:tcW w:w="898" w:type="dxa"/>
            <w:shd w:val="clear" w:color="auto" w:fill="auto"/>
            <w:vAlign w:val="center"/>
          </w:tcPr>
          <w:p w14:paraId="14FB98FE" w14:textId="77777777" w:rsidR="00F631EB" w:rsidRPr="00DF686B" w:rsidRDefault="00307AAF" w:rsidP="006A2D5B">
            <w:pPr>
              <w:ind w:left="0"/>
              <w:jc w:val="center"/>
              <w:rPr>
                <w:i/>
                <w:sz w:val="18"/>
                <w:szCs w:val="18"/>
              </w:rPr>
            </w:pPr>
            <w:r w:rsidRPr="00307AAF">
              <w:rPr>
                <w:i/>
                <w:sz w:val="18"/>
                <w:szCs w:val="18"/>
              </w:rPr>
              <w:t>počet</w:t>
            </w:r>
          </w:p>
        </w:tc>
        <w:tc>
          <w:tcPr>
            <w:tcW w:w="1022" w:type="dxa"/>
            <w:shd w:val="clear" w:color="auto" w:fill="auto"/>
            <w:vAlign w:val="center"/>
          </w:tcPr>
          <w:p w14:paraId="1328FA1B" w14:textId="77777777" w:rsidR="00F631EB" w:rsidRPr="00DF686B" w:rsidRDefault="00307AAF" w:rsidP="006A2D5B">
            <w:pPr>
              <w:ind w:left="0"/>
              <w:jc w:val="center"/>
              <w:rPr>
                <w:i/>
                <w:sz w:val="18"/>
                <w:szCs w:val="18"/>
              </w:rPr>
            </w:pPr>
            <w:r w:rsidRPr="00307AAF">
              <w:rPr>
                <w:i/>
                <w:sz w:val="18"/>
                <w:szCs w:val="18"/>
              </w:rPr>
              <w:t>N/A</w:t>
            </w:r>
          </w:p>
        </w:tc>
        <w:tc>
          <w:tcPr>
            <w:tcW w:w="1297" w:type="dxa"/>
            <w:vAlign w:val="center"/>
          </w:tcPr>
          <w:p w14:paraId="260F8945" w14:textId="77777777" w:rsidR="00F631EB" w:rsidRPr="00DF686B" w:rsidRDefault="00307AAF" w:rsidP="000A60F9">
            <w:pPr>
              <w:ind w:left="0"/>
              <w:jc w:val="center"/>
              <w:rPr>
                <w:i/>
                <w:sz w:val="18"/>
                <w:szCs w:val="18"/>
              </w:rPr>
            </w:pPr>
            <w:r w:rsidRPr="00307AAF">
              <w:rPr>
                <w:i/>
                <w:sz w:val="18"/>
                <w:szCs w:val="18"/>
              </w:rPr>
              <w:t> </w:t>
            </w:r>
            <w:r w:rsidRPr="00307AAF">
              <w:rPr>
                <w:i/>
                <w:sz w:val="18"/>
                <w:szCs w:val="18"/>
              </w:rPr>
              <w:br/>
              <w:t>44 287 000</w:t>
            </w:r>
          </w:p>
        </w:tc>
        <w:tc>
          <w:tcPr>
            <w:tcW w:w="1297" w:type="dxa"/>
            <w:vAlign w:val="center"/>
          </w:tcPr>
          <w:p w14:paraId="3D11DD08" w14:textId="77777777" w:rsidR="00F631EB" w:rsidRPr="00DF686B" w:rsidRDefault="00307AAF" w:rsidP="006A2D5B">
            <w:pPr>
              <w:ind w:left="0"/>
              <w:jc w:val="center"/>
              <w:rPr>
                <w:i/>
                <w:sz w:val="18"/>
                <w:szCs w:val="18"/>
              </w:rPr>
            </w:pPr>
            <w:r w:rsidRPr="00307AAF">
              <w:rPr>
                <w:i/>
                <w:sz w:val="18"/>
                <w:szCs w:val="18"/>
              </w:rPr>
              <w:t>2013</w:t>
            </w:r>
          </w:p>
        </w:tc>
        <w:tc>
          <w:tcPr>
            <w:tcW w:w="907" w:type="dxa"/>
            <w:shd w:val="clear" w:color="auto" w:fill="auto"/>
            <w:vAlign w:val="center"/>
          </w:tcPr>
          <w:p w14:paraId="715941E3" w14:textId="77777777" w:rsidR="00F631EB" w:rsidRPr="00DF686B" w:rsidRDefault="00307AAF" w:rsidP="006A2D5B">
            <w:pPr>
              <w:ind w:left="0"/>
              <w:jc w:val="center"/>
              <w:rPr>
                <w:i/>
                <w:sz w:val="18"/>
                <w:szCs w:val="18"/>
              </w:rPr>
            </w:pPr>
            <w:r w:rsidRPr="00307AAF">
              <w:rPr>
                <w:i/>
                <w:sz w:val="18"/>
                <w:szCs w:val="18"/>
              </w:rPr>
              <w:t>46 942 211</w:t>
            </w:r>
          </w:p>
        </w:tc>
        <w:tc>
          <w:tcPr>
            <w:tcW w:w="786" w:type="dxa"/>
            <w:vAlign w:val="center"/>
          </w:tcPr>
          <w:p w14:paraId="08419455" w14:textId="77777777" w:rsidR="00F631EB" w:rsidRPr="00DF686B" w:rsidRDefault="00307AAF" w:rsidP="006A2D5B">
            <w:pPr>
              <w:ind w:left="0"/>
              <w:jc w:val="center"/>
              <w:rPr>
                <w:i/>
                <w:sz w:val="18"/>
                <w:szCs w:val="18"/>
              </w:rPr>
            </w:pPr>
            <w:r w:rsidRPr="00307AAF">
              <w:rPr>
                <w:i/>
                <w:sz w:val="18"/>
                <w:szCs w:val="18"/>
              </w:rPr>
              <w:t>RO OPII</w:t>
            </w:r>
          </w:p>
        </w:tc>
        <w:tc>
          <w:tcPr>
            <w:tcW w:w="1208" w:type="dxa"/>
            <w:vAlign w:val="center"/>
          </w:tcPr>
          <w:p w14:paraId="56E445E3" w14:textId="77777777" w:rsidR="00F631EB" w:rsidRPr="00DF686B" w:rsidRDefault="00307AAF" w:rsidP="006A2D5B">
            <w:pPr>
              <w:ind w:left="0"/>
              <w:jc w:val="center"/>
              <w:rPr>
                <w:i/>
                <w:sz w:val="18"/>
                <w:szCs w:val="18"/>
              </w:rPr>
            </w:pPr>
            <w:r w:rsidRPr="00307AAF">
              <w:rPr>
                <w:i/>
                <w:sz w:val="18"/>
                <w:szCs w:val="18"/>
              </w:rPr>
              <w:t>Ročne</w:t>
            </w:r>
          </w:p>
        </w:tc>
      </w:tr>
    </w:tbl>
    <w:p w14:paraId="2CEAA1BD" w14:textId="77777777" w:rsidR="005914D4" w:rsidRPr="005914D4" w:rsidRDefault="005914D4" w:rsidP="001B225C">
      <w:pPr>
        <w:pStyle w:val="Nadpis4"/>
      </w:pPr>
      <w:r>
        <w:t>Opis typu a príklady aktivít</w:t>
      </w:r>
    </w:p>
    <w:p w14:paraId="404BA8D3" w14:textId="77777777" w:rsidR="00D844EF" w:rsidRDefault="00860925" w:rsidP="001B225C">
      <w:pPr>
        <w:spacing w:before="180" w:after="120"/>
        <w:rPr>
          <w:sz w:val="22"/>
          <w:szCs w:val="22"/>
          <w:u w:val="single"/>
        </w:rPr>
      </w:pPr>
      <w:r w:rsidRPr="00860925">
        <w:rPr>
          <w:sz w:val="22"/>
          <w:szCs w:val="22"/>
          <w:u w:val="single"/>
        </w:rPr>
        <w:t xml:space="preserve">Investičná priorita </w:t>
      </w:r>
      <w:r>
        <w:rPr>
          <w:sz w:val="22"/>
          <w:szCs w:val="22"/>
          <w:u w:val="single"/>
        </w:rPr>
        <w:t>7</w:t>
      </w:r>
      <w:r w:rsidR="00675758">
        <w:rPr>
          <w:sz w:val="22"/>
          <w:szCs w:val="22"/>
          <w:u w:val="single"/>
        </w:rPr>
        <w:t>iii</w:t>
      </w:r>
      <w:r>
        <w:rPr>
          <w:sz w:val="22"/>
          <w:szCs w:val="22"/>
          <w:u w:val="single"/>
        </w:rPr>
        <w:t xml:space="preserve">) </w:t>
      </w:r>
      <w:r w:rsidRPr="00860925">
        <w:rPr>
          <w:sz w:val="22"/>
          <w:szCs w:val="22"/>
          <w:u w:val="single"/>
        </w:rPr>
        <w:t>bude napĺňaná prostredníctvom nasledujúcich aktivít:</w:t>
      </w:r>
    </w:p>
    <w:p w14:paraId="31988656" w14:textId="77777777" w:rsidR="009E0158" w:rsidRDefault="00A80038" w:rsidP="00D10758">
      <w:pPr>
        <w:numPr>
          <w:ilvl w:val="2"/>
          <w:numId w:val="53"/>
        </w:numPr>
        <w:shd w:val="clear" w:color="auto" w:fill="E5DFEC" w:themeFill="accent4" w:themeFillTint="33"/>
        <w:tabs>
          <w:tab w:val="clear" w:pos="360"/>
        </w:tabs>
        <w:ind w:left="426" w:hanging="426"/>
        <w:jc w:val="both"/>
        <w:rPr>
          <w:sz w:val="22"/>
          <w:szCs w:val="22"/>
        </w:rPr>
      </w:pPr>
      <w:r w:rsidRPr="00C40F2A">
        <w:rPr>
          <w:sz w:val="22"/>
          <w:szCs w:val="22"/>
        </w:rPr>
        <w:t xml:space="preserve">Implementácia </w:t>
      </w:r>
      <w:r w:rsidR="008D02D4" w:rsidRPr="00C40F2A">
        <w:rPr>
          <w:sz w:val="22"/>
          <w:szCs w:val="22"/>
        </w:rPr>
        <w:t xml:space="preserve">systémov </w:t>
      </w:r>
      <w:r w:rsidRPr="00C40F2A">
        <w:rPr>
          <w:sz w:val="22"/>
          <w:szCs w:val="22"/>
        </w:rPr>
        <w:t>ETCS a GSM-R</w:t>
      </w:r>
      <w:r w:rsidR="00860925">
        <w:rPr>
          <w:sz w:val="22"/>
          <w:szCs w:val="22"/>
        </w:rPr>
        <w:t>,</w:t>
      </w:r>
      <w:r w:rsidR="00986FA0">
        <w:rPr>
          <w:sz w:val="22"/>
          <w:szCs w:val="22"/>
        </w:rPr>
        <w:t xml:space="preserve"> TSI TAF/TAP,</w:t>
      </w:r>
    </w:p>
    <w:p w14:paraId="4366695C" w14:textId="77777777" w:rsidR="009E0158" w:rsidRDefault="00860925" w:rsidP="00D10758">
      <w:pPr>
        <w:numPr>
          <w:ilvl w:val="2"/>
          <w:numId w:val="53"/>
        </w:numPr>
        <w:shd w:val="clear" w:color="auto" w:fill="E5DFEC" w:themeFill="accent4" w:themeFillTint="33"/>
        <w:tabs>
          <w:tab w:val="clear" w:pos="360"/>
        </w:tabs>
        <w:ind w:left="426" w:hanging="426"/>
        <w:jc w:val="both"/>
        <w:rPr>
          <w:sz w:val="22"/>
          <w:szCs w:val="22"/>
        </w:rPr>
      </w:pPr>
      <w:r w:rsidRPr="00A80038">
        <w:rPr>
          <w:sz w:val="22"/>
          <w:szCs w:val="22"/>
        </w:rPr>
        <w:t>Obnova mobilných prostriedkov železničnej verejnej osobnej dopravy</w:t>
      </w:r>
      <w:r>
        <w:rPr>
          <w:sz w:val="22"/>
          <w:szCs w:val="22"/>
        </w:rPr>
        <w:t>,</w:t>
      </w:r>
    </w:p>
    <w:p w14:paraId="4AE4B946" w14:textId="77777777" w:rsidR="009E0158" w:rsidRDefault="00860925" w:rsidP="00D10758">
      <w:pPr>
        <w:numPr>
          <w:ilvl w:val="2"/>
          <w:numId w:val="53"/>
        </w:numPr>
        <w:shd w:val="clear" w:color="auto" w:fill="E5DFEC" w:themeFill="accent4" w:themeFillTint="33"/>
        <w:tabs>
          <w:tab w:val="clear" w:pos="360"/>
        </w:tabs>
        <w:ind w:left="426" w:hanging="426"/>
        <w:jc w:val="both"/>
        <w:rPr>
          <w:sz w:val="22"/>
          <w:szCs w:val="22"/>
        </w:rPr>
      </w:pPr>
      <w:r>
        <w:rPr>
          <w:sz w:val="22"/>
          <w:szCs w:val="22"/>
        </w:rPr>
        <w:t>Projektová príprava.</w:t>
      </w:r>
    </w:p>
    <w:p w14:paraId="43A49DE1" w14:textId="77777777" w:rsidR="009E0158" w:rsidRDefault="00986FA0" w:rsidP="00D10758">
      <w:pPr>
        <w:numPr>
          <w:ilvl w:val="2"/>
          <w:numId w:val="54"/>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Implementácia systémov ETCS</w:t>
      </w:r>
      <w:r w:rsidR="00EF1ECD">
        <w:rPr>
          <w:b/>
          <w:i/>
          <w:color w:val="548DD4" w:themeColor="text2" w:themeTint="99"/>
          <w:sz w:val="22"/>
          <w:szCs w:val="22"/>
        </w:rPr>
        <w:t xml:space="preserve"> a</w:t>
      </w:r>
      <w:r>
        <w:rPr>
          <w:b/>
          <w:i/>
          <w:color w:val="548DD4" w:themeColor="text2" w:themeTint="99"/>
          <w:sz w:val="22"/>
          <w:szCs w:val="22"/>
        </w:rPr>
        <w:t xml:space="preserve"> </w:t>
      </w:r>
      <w:r w:rsidR="008D02D4" w:rsidRPr="00DA54A1">
        <w:rPr>
          <w:b/>
          <w:i/>
          <w:color w:val="548DD4" w:themeColor="text2" w:themeTint="99"/>
          <w:sz w:val="22"/>
          <w:szCs w:val="22"/>
        </w:rPr>
        <w:t>GSM-R</w:t>
      </w:r>
      <w:r>
        <w:rPr>
          <w:b/>
          <w:i/>
          <w:color w:val="548DD4" w:themeColor="text2" w:themeTint="99"/>
          <w:sz w:val="22"/>
          <w:szCs w:val="22"/>
        </w:rPr>
        <w:t>, TSI TAF/TAP</w:t>
      </w:r>
    </w:p>
    <w:p w14:paraId="1D498659" w14:textId="77777777" w:rsidR="009E0158" w:rsidRPr="00D10758" w:rsidRDefault="00C40F2A" w:rsidP="00D10758">
      <w:pPr>
        <w:spacing w:before="180"/>
        <w:jc w:val="both"/>
        <w:rPr>
          <w:sz w:val="22"/>
          <w:szCs w:val="22"/>
        </w:rPr>
      </w:pPr>
      <w:r w:rsidRPr="00A02ED4">
        <w:rPr>
          <w:sz w:val="22"/>
          <w:szCs w:val="22"/>
        </w:rPr>
        <w:t>Jedným z</w:t>
      </w:r>
      <w:r>
        <w:rPr>
          <w:sz w:val="22"/>
          <w:szCs w:val="22"/>
        </w:rPr>
        <w:t> </w:t>
      </w:r>
      <w:r w:rsidRPr="00A02ED4">
        <w:rPr>
          <w:sz w:val="22"/>
          <w:szCs w:val="22"/>
        </w:rPr>
        <w:t xml:space="preserve">hlavných nedostatkov železničnej siete </w:t>
      </w:r>
      <w:r w:rsidRPr="00E57693">
        <w:rPr>
          <w:color w:val="000000" w:themeColor="text1"/>
          <w:sz w:val="22"/>
          <w:szCs w:val="22"/>
        </w:rPr>
        <w:t>je jej zastaranosť,</w:t>
      </w:r>
      <w:r w:rsidRPr="00A02ED4">
        <w:rPr>
          <w:sz w:val="22"/>
          <w:szCs w:val="22"/>
        </w:rPr>
        <w:t xml:space="preserve"> nízka </w:t>
      </w:r>
      <w:r w:rsidRPr="00E57693">
        <w:rPr>
          <w:color w:val="000000" w:themeColor="text1"/>
          <w:sz w:val="22"/>
          <w:szCs w:val="22"/>
        </w:rPr>
        <w:t xml:space="preserve">technická úroveň </w:t>
      </w:r>
      <w:r>
        <w:rPr>
          <w:color w:val="000000" w:themeColor="text1"/>
          <w:sz w:val="22"/>
          <w:szCs w:val="22"/>
        </w:rPr>
        <w:t>a </w:t>
      </w:r>
      <w:r w:rsidRPr="00E57693">
        <w:rPr>
          <w:color w:val="000000" w:themeColor="text1"/>
          <w:sz w:val="22"/>
          <w:szCs w:val="22"/>
        </w:rPr>
        <w:t xml:space="preserve">nedostatočná interoperabilita. </w:t>
      </w:r>
      <w:r w:rsidRPr="0058787C">
        <w:rPr>
          <w:color w:val="000000" w:themeColor="text1"/>
          <w:sz w:val="22"/>
          <w:szCs w:val="22"/>
        </w:rPr>
        <w:t xml:space="preserve">Cieľom je zlepšenie technickej infraštruktúry </w:t>
      </w:r>
      <w:r>
        <w:rPr>
          <w:color w:val="000000" w:themeColor="text1"/>
          <w:sz w:val="22"/>
          <w:szCs w:val="22"/>
        </w:rPr>
        <w:t>existujúcich tratí</w:t>
      </w:r>
      <w:r w:rsidRPr="0058787C">
        <w:rPr>
          <w:color w:val="000000" w:themeColor="text1"/>
          <w:sz w:val="22"/>
          <w:szCs w:val="22"/>
        </w:rPr>
        <w:t xml:space="preserve"> na takú úroveň, aby zodpovedala Technickým</w:t>
      </w:r>
      <w:r>
        <w:rPr>
          <w:color w:val="000000" w:themeColor="text1"/>
          <w:sz w:val="22"/>
          <w:szCs w:val="22"/>
        </w:rPr>
        <w:t xml:space="preserve"> špecifikáciám interoperability (TSI). To umožní </w:t>
      </w:r>
      <w:r w:rsidRPr="00E57693">
        <w:rPr>
          <w:color w:val="000000" w:themeColor="text1"/>
          <w:sz w:val="22"/>
          <w:szCs w:val="22"/>
        </w:rPr>
        <w:t xml:space="preserve">odbúranie doterajších technických bariér, zabezpečenie </w:t>
      </w:r>
      <w:r>
        <w:rPr>
          <w:color w:val="000000" w:themeColor="text1"/>
          <w:sz w:val="22"/>
          <w:szCs w:val="22"/>
        </w:rPr>
        <w:t>efektívnejšieho</w:t>
      </w:r>
      <w:r w:rsidRPr="00E57693">
        <w:rPr>
          <w:color w:val="000000" w:themeColor="text1"/>
          <w:sz w:val="22"/>
          <w:szCs w:val="22"/>
        </w:rPr>
        <w:t xml:space="preserve"> využitia technických parametrov železničných tratí a</w:t>
      </w:r>
      <w:r>
        <w:rPr>
          <w:color w:val="000000" w:themeColor="text1"/>
          <w:sz w:val="22"/>
          <w:szCs w:val="22"/>
        </w:rPr>
        <w:t> </w:t>
      </w:r>
      <w:r w:rsidRPr="00E57693">
        <w:rPr>
          <w:color w:val="000000" w:themeColor="text1"/>
          <w:sz w:val="22"/>
          <w:szCs w:val="22"/>
        </w:rPr>
        <w:t>zvýšenie konkurencieschopnosti železničnej dopravy.</w:t>
      </w:r>
    </w:p>
    <w:p w14:paraId="28B3D45B" w14:textId="77777777" w:rsidR="00E87153" w:rsidRDefault="00C40F2A" w:rsidP="00E61C4C">
      <w:pPr>
        <w:spacing w:before="180" w:after="120"/>
        <w:jc w:val="both"/>
        <w:rPr>
          <w:color w:val="000000" w:themeColor="text1"/>
          <w:sz w:val="22"/>
          <w:szCs w:val="22"/>
        </w:rPr>
      </w:pPr>
      <w:r w:rsidRPr="00E57693">
        <w:rPr>
          <w:color w:val="000000" w:themeColor="text1"/>
          <w:sz w:val="22"/>
          <w:szCs w:val="22"/>
        </w:rPr>
        <w:t>Intervencie v</w:t>
      </w:r>
      <w:r>
        <w:rPr>
          <w:color w:val="000000" w:themeColor="text1"/>
          <w:sz w:val="22"/>
          <w:szCs w:val="22"/>
        </w:rPr>
        <w:t> </w:t>
      </w:r>
      <w:r w:rsidRPr="00E57693">
        <w:rPr>
          <w:color w:val="000000" w:themeColor="text1"/>
          <w:sz w:val="22"/>
          <w:szCs w:val="22"/>
        </w:rPr>
        <w:t>oblasti železničnej dop</w:t>
      </w:r>
      <w:r>
        <w:rPr>
          <w:color w:val="000000" w:themeColor="text1"/>
          <w:sz w:val="22"/>
          <w:szCs w:val="22"/>
        </w:rPr>
        <w:t>ravy budú preto smerovať</w:t>
      </w:r>
      <w:r w:rsidR="00495ECB">
        <w:rPr>
          <w:color w:val="000000" w:themeColor="text1"/>
          <w:sz w:val="22"/>
          <w:szCs w:val="22"/>
        </w:rPr>
        <w:t xml:space="preserve"> najmä</w:t>
      </w:r>
      <w:r>
        <w:rPr>
          <w:color w:val="000000" w:themeColor="text1"/>
          <w:sz w:val="22"/>
          <w:szCs w:val="22"/>
        </w:rPr>
        <w:t xml:space="preserve"> k </w:t>
      </w:r>
      <w:r w:rsidR="00E61C4C">
        <w:rPr>
          <w:color w:val="000000" w:themeColor="text1"/>
          <w:sz w:val="22"/>
          <w:szCs w:val="22"/>
        </w:rPr>
        <w:t>zavedeniu systému ERTMS</w:t>
      </w:r>
      <w:r w:rsidR="009C4CE4">
        <w:rPr>
          <w:color w:val="000000" w:themeColor="text1"/>
          <w:sz w:val="22"/>
          <w:szCs w:val="22"/>
        </w:rPr>
        <w:t xml:space="preserve"> a podpornej prenosovej infraštruktúry</w:t>
      </w:r>
      <w:r w:rsidR="00E61C4C">
        <w:rPr>
          <w:color w:val="000000" w:themeColor="text1"/>
          <w:sz w:val="22"/>
          <w:szCs w:val="22"/>
        </w:rPr>
        <w:t xml:space="preserve"> na </w:t>
      </w:r>
      <w:r w:rsidRPr="00E57693">
        <w:rPr>
          <w:color w:val="000000" w:themeColor="text1"/>
          <w:sz w:val="22"/>
          <w:szCs w:val="22"/>
        </w:rPr>
        <w:t>ucelených úsekoch</w:t>
      </w:r>
      <w:r w:rsidRPr="00A02ED4">
        <w:rPr>
          <w:sz w:val="22"/>
          <w:szCs w:val="22"/>
        </w:rPr>
        <w:t xml:space="preserve"> </w:t>
      </w:r>
      <w:r>
        <w:rPr>
          <w:color w:val="000000" w:themeColor="text1"/>
          <w:sz w:val="22"/>
          <w:szCs w:val="22"/>
        </w:rPr>
        <w:t>na </w:t>
      </w:r>
      <w:r w:rsidRPr="00E57693">
        <w:rPr>
          <w:color w:val="000000" w:themeColor="text1"/>
          <w:sz w:val="22"/>
          <w:szCs w:val="22"/>
        </w:rPr>
        <w:t>modernizovaných železničných</w:t>
      </w:r>
      <w:r w:rsidRPr="00A02ED4">
        <w:rPr>
          <w:sz w:val="22"/>
          <w:szCs w:val="22"/>
        </w:rPr>
        <w:t xml:space="preserve"> tratiach,</w:t>
      </w:r>
      <w:r>
        <w:rPr>
          <w:sz w:val="22"/>
          <w:szCs w:val="22"/>
        </w:rPr>
        <w:t xml:space="preserve"> prednostne na tých, kde SR vyplývajú záväzky </w:t>
      </w:r>
      <w:r w:rsidR="000B6DDF">
        <w:rPr>
          <w:sz w:val="22"/>
          <w:szCs w:val="22"/>
        </w:rPr>
        <w:t>z príslušnej legislatívy EÚ</w:t>
      </w:r>
      <w:r w:rsidR="000B6DDF">
        <w:rPr>
          <w:rStyle w:val="Odkaznapoznmkupodiarou"/>
          <w:sz w:val="22"/>
          <w:szCs w:val="22"/>
        </w:rPr>
        <w:footnoteReference w:id="54"/>
      </w:r>
      <w:r w:rsidR="000B6DDF">
        <w:rPr>
          <w:sz w:val="22"/>
          <w:szCs w:val="22"/>
        </w:rPr>
        <w:t>.</w:t>
      </w:r>
      <w:r w:rsidR="00E61C4C" w:rsidRPr="00BF0317">
        <w:rPr>
          <w:color w:val="000000" w:themeColor="text1"/>
          <w:sz w:val="22"/>
          <w:szCs w:val="22"/>
        </w:rPr>
        <w:t xml:space="preserve"> </w:t>
      </w:r>
      <w:r w:rsidRPr="00BF0317">
        <w:rPr>
          <w:color w:val="000000" w:themeColor="text1"/>
          <w:sz w:val="22"/>
          <w:szCs w:val="22"/>
        </w:rPr>
        <w:t>Konkrétne</w:t>
      </w:r>
      <w:r>
        <w:rPr>
          <w:color w:val="000000" w:themeColor="text1"/>
          <w:sz w:val="22"/>
          <w:szCs w:val="22"/>
        </w:rPr>
        <w:t xml:space="preserve"> ide o úseky</w:t>
      </w:r>
      <w:r w:rsidR="00E87153">
        <w:rPr>
          <w:color w:val="000000" w:themeColor="text1"/>
          <w:sz w:val="22"/>
          <w:szCs w:val="22"/>
        </w:rPr>
        <w:t>:</w:t>
      </w:r>
    </w:p>
    <w:p w14:paraId="15E6809A" w14:textId="77777777" w:rsidR="009E0158" w:rsidRDefault="00C40F2A" w:rsidP="00D10758">
      <w:pPr>
        <w:pStyle w:val="Odsekzoznamu"/>
        <w:numPr>
          <w:ilvl w:val="0"/>
          <w:numId w:val="55"/>
        </w:numPr>
        <w:spacing w:before="120" w:after="120"/>
        <w:jc w:val="both"/>
        <w:rPr>
          <w:color w:val="000000" w:themeColor="text1"/>
          <w:sz w:val="22"/>
          <w:szCs w:val="22"/>
        </w:rPr>
      </w:pPr>
      <w:r w:rsidRPr="00E87153">
        <w:rPr>
          <w:color w:val="000000" w:themeColor="text1"/>
          <w:sz w:val="22"/>
          <w:szCs w:val="22"/>
        </w:rPr>
        <w:lastRenderedPageBreak/>
        <w:t xml:space="preserve">v smere </w:t>
      </w:r>
      <w:r w:rsidRPr="00E87153">
        <w:rPr>
          <w:b/>
          <w:color w:val="000000" w:themeColor="text1"/>
          <w:sz w:val="22"/>
          <w:szCs w:val="22"/>
        </w:rPr>
        <w:t>št. hr. ČR/SR Kúty – Bratislava</w:t>
      </w:r>
      <w:r w:rsidR="00E87153">
        <w:rPr>
          <w:color w:val="000000" w:themeColor="text1"/>
          <w:sz w:val="22"/>
          <w:szCs w:val="22"/>
        </w:rPr>
        <w:t>,</w:t>
      </w:r>
      <w:r w:rsidR="00D43FF2">
        <w:rPr>
          <w:color w:val="000000" w:themeColor="text1"/>
          <w:sz w:val="22"/>
          <w:szCs w:val="22"/>
        </w:rPr>
        <w:t xml:space="preserve"> vrátane uzla Bratislava</w:t>
      </w:r>
      <w:r w:rsidR="00E61C4C">
        <w:rPr>
          <w:color w:val="000000" w:themeColor="text1"/>
          <w:sz w:val="22"/>
          <w:szCs w:val="22"/>
        </w:rPr>
        <w:t>,</w:t>
      </w:r>
    </w:p>
    <w:p w14:paraId="46E049BE" w14:textId="77777777" w:rsidR="009E0158" w:rsidRDefault="00E61C4C" w:rsidP="00D10758">
      <w:pPr>
        <w:pStyle w:val="Odsekzoznamu"/>
        <w:numPr>
          <w:ilvl w:val="0"/>
          <w:numId w:val="55"/>
        </w:numPr>
        <w:spacing w:before="120" w:after="120"/>
        <w:jc w:val="both"/>
        <w:rPr>
          <w:color w:val="000000" w:themeColor="text1"/>
          <w:sz w:val="22"/>
          <w:szCs w:val="22"/>
        </w:rPr>
      </w:pPr>
      <w:r>
        <w:rPr>
          <w:color w:val="000000" w:themeColor="text1"/>
          <w:sz w:val="22"/>
          <w:szCs w:val="22"/>
        </w:rPr>
        <w:t>ucelené úseky na základnej sieti TEN-T v smere Púchov – Žilina</w:t>
      </w:r>
      <w:r w:rsidR="004A5562">
        <w:rPr>
          <w:color w:val="000000" w:themeColor="text1"/>
          <w:sz w:val="22"/>
          <w:szCs w:val="22"/>
        </w:rPr>
        <w:t xml:space="preserve"> (ako súčasť modernizácie)</w:t>
      </w:r>
      <w:r w:rsidR="00A34DD1">
        <w:rPr>
          <w:color w:val="000000" w:themeColor="text1"/>
          <w:sz w:val="22"/>
          <w:szCs w:val="22"/>
        </w:rPr>
        <w:t>.</w:t>
      </w:r>
    </w:p>
    <w:p w14:paraId="50C22F48" w14:textId="77777777" w:rsidR="009E0158" w:rsidRDefault="00A80038" w:rsidP="00D10758">
      <w:pPr>
        <w:numPr>
          <w:ilvl w:val="2"/>
          <w:numId w:val="54"/>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Obnova mobilných prostriedkov železničnej verejnej osobnej dopravy</w:t>
      </w:r>
    </w:p>
    <w:p w14:paraId="449CB6FF" w14:textId="77777777" w:rsidR="00240293" w:rsidRPr="00B95FD1" w:rsidRDefault="00240293" w:rsidP="00240293">
      <w:pPr>
        <w:spacing w:before="180"/>
        <w:jc w:val="both"/>
        <w:rPr>
          <w:sz w:val="22"/>
          <w:szCs w:val="22"/>
        </w:rPr>
      </w:pPr>
      <w:r w:rsidRPr="00B95FD1">
        <w:rPr>
          <w:b/>
          <w:sz w:val="22"/>
          <w:szCs w:val="22"/>
        </w:rPr>
        <w:t>V roku 2012 približne 97 % výkonov vo verejnom záujme v oblasti železničnej osobnej dopravy vykonávala Železničná spoločnosť Slovensko</w:t>
      </w:r>
      <w:r w:rsidRPr="00774AB4">
        <w:rPr>
          <w:b/>
          <w:sz w:val="22"/>
          <w:szCs w:val="22"/>
        </w:rPr>
        <w:t>, a. s.,</w:t>
      </w:r>
      <w:r w:rsidRPr="00B95FD1">
        <w:rPr>
          <w:sz w:val="22"/>
          <w:szCs w:val="22"/>
        </w:rPr>
        <w:t xml:space="preserve"> so 100 % </w:t>
      </w:r>
      <w:r>
        <w:rPr>
          <w:sz w:val="22"/>
          <w:szCs w:val="22"/>
        </w:rPr>
        <w:t>majetkovou účasťou štátu. Zvyšné 3 </w:t>
      </w:r>
      <w:r w:rsidRPr="00B95FD1">
        <w:rPr>
          <w:sz w:val="22"/>
          <w:szCs w:val="22"/>
        </w:rPr>
        <w:t>% výkonov vykonával privátny dopravca</w:t>
      </w:r>
      <w:r>
        <w:rPr>
          <w:rStyle w:val="Odkaznapoznmkupodiarou"/>
          <w:sz w:val="22"/>
          <w:szCs w:val="22"/>
        </w:rPr>
        <w:footnoteReference w:id="55"/>
      </w:r>
      <w:r w:rsidRPr="00B95FD1">
        <w:rPr>
          <w:sz w:val="22"/>
          <w:szCs w:val="22"/>
        </w:rPr>
        <w:t>. Obidvaja dopravcovia majú uzatvorené zmluvy o </w:t>
      </w:r>
      <w:r>
        <w:rPr>
          <w:sz w:val="22"/>
          <w:szCs w:val="22"/>
        </w:rPr>
        <w:t>dopravných službách</w:t>
      </w:r>
      <w:r w:rsidRPr="00B95FD1">
        <w:rPr>
          <w:sz w:val="22"/>
          <w:szCs w:val="22"/>
        </w:rPr>
        <w:t xml:space="preserve"> vo verejnom záujme so štátom do konca roku 2019.</w:t>
      </w:r>
    </w:p>
    <w:p w14:paraId="4B25264F" w14:textId="77777777" w:rsidR="00240293" w:rsidRPr="00B95FD1" w:rsidRDefault="00240293" w:rsidP="00240293">
      <w:pPr>
        <w:spacing w:before="180"/>
        <w:jc w:val="both"/>
        <w:rPr>
          <w:sz w:val="22"/>
          <w:szCs w:val="22"/>
        </w:rPr>
      </w:pPr>
      <w:r w:rsidRPr="00B95FD1">
        <w:rPr>
          <w:sz w:val="22"/>
          <w:szCs w:val="22"/>
        </w:rPr>
        <w:t>Na základe skúseností z predchádzajúceho obdobia, v rámci ktorého boli naštartované procesy obnovy mobilných prostriedkov</w:t>
      </w:r>
      <w:r>
        <w:rPr>
          <w:sz w:val="22"/>
          <w:szCs w:val="22"/>
        </w:rPr>
        <w:t xml:space="preserve"> železničnej osobnej dopravy</w:t>
      </w:r>
      <w:r w:rsidRPr="00B95FD1">
        <w:rPr>
          <w:sz w:val="22"/>
          <w:szCs w:val="22"/>
        </w:rPr>
        <w:t>, je možné tieto projekty označiť ako príklady dobrej praxe. Z pohľadu štátu ako ob</w:t>
      </w:r>
      <w:r>
        <w:rPr>
          <w:sz w:val="22"/>
          <w:szCs w:val="22"/>
        </w:rPr>
        <w:t>jednávateľa výkonov vo verejnom záujme a</w:t>
      </w:r>
      <w:r w:rsidRPr="00B95FD1">
        <w:rPr>
          <w:sz w:val="22"/>
          <w:szCs w:val="22"/>
        </w:rPr>
        <w:t xml:space="preserve"> takisto aj dopravcu, projekty významne prispeli k zvýšeniu kvality v tomto segmente. Zároveň cestujúca verejnosť prijala obnovu prostriedkov vysoko pozitívne.</w:t>
      </w:r>
      <w:r w:rsidRPr="00B95FD1">
        <w:rPr>
          <w:rStyle w:val="Odkaznapoznmkupodiarou"/>
          <w:sz w:val="22"/>
          <w:szCs w:val="22"/>
        </w:rPr>
        <w:footnoteReference w:id="56"/>
      </w:r>
      <w:r w:rsidRPr="00B95FD1">
        <w:rPr>
          <w:sz w:val="22"/>
          <w:szCs w:val="22"/>
        </w:rPr>
        <w:t xml:space="preserve"> Vozidlá sú prevádzkované na tratiach slúžiacich každodenným potrebám, a </w:t>
      </w:r>
      <w:r>
        <w:rPr>
          <w:sz w:val="22"/>
          <w:szCs w:val="22"/>
        </w:rPr>
        <w:t>to obyvateľom, ktorí dochádzajú</w:t>
      </w:r>
      <w:r w:rsidRPr="00B95FD1">
        <w:rPr>
          <w:sz w:val="22"/>
          <w:szCs w:val="22"/>
        </w:rPr>
        <w:t xml:space="preserve"> z regionálnych alebo prímestských</w:t>
      </w:r>
      <w:r>
        <w:rPr>
          <w:sz w:val="22"/>
          <w:szCs w:val="22"/>
        </w:rPr>
        <w:t xml:space="preserve"> oblastí do centier hospodárskych a sociálnych činností</w:t>
      </w:r>
      <w:r w:rsidRPr="00B95FD1">
        <w:rPr>
          <w:sz w:val="22"/>
          <w:szCs w:val="22"/>
        </w:rPr>
        <w:t xml:space="preserve"> z dôvodu práce, vzdelávania,</w:t>
      </w:r>
      <w:r>
        <w:rPr>
          <w:sz w:val="22"/>
          <w:szCs w:val="22"/>
        </w:rPr>
        <w:t xml:space="preserve"> či</w:t>
      </w:r>
      <w:r w:rsidRPr="00B95FD1">
        <w:rPr>
          <w:sz w:val="22"/>
          <w:szCs w:val="22"/>
        </w:rPr>
        <w:t xml:space="preserve"> návštevy </w:t>
      </w:r>
      <w:r>
        <w:rPr>
          <w:sz w:val="22"/>
          <w:szCs w:val="22"/>
        </w:rPr>
        <w:t xml:space="preserve">zdravotných, </w:t>
      </w:r>
      <w:r w:rsidRPr="00B95FD1">
        <w:rPr>
          <w:sz w:val="22"/>
          <w:szCs w:val="22"/>
        </w:rPr>
        <w:t>sociálnych, kultúrnych alebo športových zariadení.</w:t>
      </w:r>
    </w:p>
    <w:p w14:paraId="6B3B7E16" w14:textId="77777777" w:rsidR="00A80038" w:rsidRPr="00DA54CE" w:rsidRDefault="00A80038" w:rsidP="00240293">
      <w:pPr>
        <w:spacing w:before="180"/>
        <w:jc w:val="both"/>
        <w:rPr>
          <w:sz w:val="22"/>
          <w:szCs w:val="22"/>
        </w:rPr>
      </w:pPr>
      <w:r w:rsidRPr="00DA54CE">
        <w:rPr>
          <w:sz w:val="22"/>
          <w:szCs w:val="22"/>
        </w:rPr>
        <w:t>Obnova parku koľajových vozidiel poskytujúcich služby železničnej verejnej osobnej dopravy bola v programovom období 2007 – 2013 orientovaná na podporu rozvoja regiónov Slovens</w:t>
      </w:r>
      <w:r w:rsidR="00225F13">
        <w:rPr>
          <w:sz w:val="22"/>
          <w:szCs w:val="22"/>
        </w:rPr>
        <w:t>ka a mobility pracovnej sily</w:t>
      </w:r>
      <w:r w:rsidRPr="00DA54CE">
        <w:rPr>
          <w:sz w:val="22"/>
          <w:szCs w:val="22"/>
        </w:rPr>
        <w:t xml:space="preserve"> hlavne v rámci budovania </w:t>
      </w:r>
      <w:r w:rsidRPr="00DA54CE">
        <w:rPr>
          <w:b/>
          <w:sz w:val="22"/>
          <w:szCs w:val="22"/>
        </w:rPr>
        <w:t xml:space="preserve">integrovaných dopravných systémov v okolí Bratislavy a Košíc. </w:t>
      </w:r>
      <w:r w:rsidRPr="00DA54CE">
        <w:rPr>
          <w:sz w:val="22"/>
          <w:szCs w:val="22"/>
        </w:rPr>
        <w:t xml:space="preserve">Výsledkom dvoch projektov je obstaranie </w:t>
      </w:r>
      <w:r w:rsidRPr="00DA54CE">
        <w:rPr>
          <w:b/>
          <w:sz w:val="22"/>
          <w:szCs w:val="22"/>
        </w:rPr>
        <w:t>61 ks regionálnych jednotiek</w:t>
      </w:r>
      <w:r w:rsidRPr="00DA54CE">
        <w:rPr>
          <w:sz w:val="22"/>
          <w:szCs w:val="22"/>
        </w:rPr>
        <w:t xml:space="preserve">, prevádzka ktorých sa </w:t>
      </w:r>
      <w:r>
        <w:rPr>
          <w:sz w:val="22"/>
          <w:szCs w:val="22"/>
        </w:rPr>
        <w:t>zamerala</w:t>
      </w:r>
      <w:r w:rsidRPr="00DA54CE">
        <w:rPr>
          <w:sz w:val="22"/>
          <w:szCs w:val="22"/>
        </w:rPr>
        <w:t xml:space="preserve"> na sedem regiónov: Bratislava, Trnava, Nitra, Trenčín, Žilina, Košice a Prešov. Približne dve tretiny služieb ponúkaných novými a modernizovanými koľajovými vozidlami je poskytovaná v rámci </w:t>
      </w:r>
      <w:r>
        <w:rPr>
          <w:sz w:val="22"/>
          <w:szCs w:val="22"/>
        </w:rPr>
        <w:t xml:space="preserve">siete </w:t>
      </w:r>
      <w:r w:rsidRPr="00DA54CE">
        <w:rPr>
          <w:sz w:val="22"/>
          <w:szCs w:val="22"/>
        </w:rPr>
        <w:t>TEN-T.</w:t>
      </w:r>
    </w:p>
    <w:p w14:paraId="64610694" w14:textId="77777777" w:rsidR="00A80038" w:rsidRPr="00DA54CE" w:rsidRDefault="00A80038" w:rsidP="00A80038">
      <w:pPr>
        <w:spacing w:before="180"/>
        <w:jc w:val="both"/>
        <w:rPr>
          <w:sz w:val="22"/>
          <w:szCs w:val="22"/>
        </w:rPr>
      </w:pPr>
      <w:r w:rsidRPr="00DA54CE">
        <w:rPr>
          <w:sz w:val="22"/>
          <w:szCs w:val="22"/>
        </w:rPr>
        <w:t>MDV SR vidí priestor pre pokračovanie projektov tohto typu aj v ďalšom období predovšetkým v oblasti podpory segmentu mestskej a prímestskej dopravy a riešenia otázky integrovaných dopravných systémov</w:t>
      </w:r>
      <w:r>
        <w:rPr>
          <w:sz w:val="22"/>
          <w:szCs w:val="22"/>
        </w:rPr>
        <w:t xml:space="preserve"> v meste</w:t>
      </w:r>
      <w:r w:rsidRPr="00DA54CE">
        <w:rPr>
          <w:sz w:val="22"/>
          <w:szCs w:val="22"/>
        </w:rPr>
        <w:t xml:space="preserve"> </w:t>
      </w:r>
      <w:r w:rsidRPr="00DA54CE">
        <w:rPr>
          <w:b/>
          <w:sz w:val="22"/>
          <w:szCs w:val="22"/>
        </w:rPr>
        <w:t>Žilina a </w:t>
      </w:r>
      <w:r w:rsidR="00724E8C">
        <w:rPr>
          <w:b/>
          <w:sz w:val="22"/>
          <w:szCs w:val="22"/>
        </w:rPr>
        <w:t>súmestí</w:t>
      </w:r>
      <w:r w:rsidRPr="00DA54CE">
        <w:rPr>
          <w:b/>
          <w:sz w:val="22"/>
          <w:szCs w:val="22"/>
        </w:rPr>
        <w:t xml:space="preserve"> Banská Bystrica – Zvolen</w:t>
      </w:r>
      <w:r w:rsidRPr="00DA54CE">
        <w:rPr>
          <w:sz w:val="22"/>
          <w:szCs w:val="22"/>
        </w:rPr>
        <w:t xml:space="preserve">. </w:t>
      </w:r>
      <w:r w:rsidR="004E7180" w:rsidRPr="008D02D4">
        <w:rPr>
          <w:b/>
          <w:sz w:val="22"/>
          <w:szCs w:val="22"/>
        </w:rPr>
        <w:t>Cieľom je obstarať nové nízkopodlažné elektrické a</w:t>
      </w:r>
      <w:r w:rsidR="008D02D4" w:rsidRPr="008D02D4">
        <w:rPr>
          <w:b/>
          <w:sz w:val="22"/>
          <w:szCs w:val="22"/>
        </w:rPr>
        <w:t> diesel-motorové</w:t>
      </w:r>
      <w:r w:rsidR="004E7180" w:rsidRPr="008D02D4">
        <w:rPr>
          <w:b/>
          <w:sz w:val="22"/>
          <w:szCs w:val="22"/>
        </w:rPr>
        <w:t xml:space="preserve"> </w:t>
      </w:r>
      <w:r w:rsidR="008D02D4">
        <w:rPr>
          <w:b/>
          <w:sz w:val="22"/>
          <w:szCs w:val="22"/>
        </w:rPr>
        <w:t xml:space="preserve">ucelené vlakové </w:t>
      </w:r>
      <w:r w:rsidR="004E7180" w:rsidRPr="008D02D4">
        <w:rPr>
          <w:b/>
          <w:sz w:val="22"/>
          <w:szCs w:val="22"/>
        </w:rPr>
        <w:t>jednotky</w:t>
      </w:r>
      <w:r w:rsidR="003F0E3E">
        <w:rPr>
          <w:b/>
          <w:sz w:val="22"/>
          <w:szCs w:val="22"/>
        </w:rPr>
        <w:t xml:space="preserve"> a zabezpečiť ich interoperabilitu</w:t>
      </w:r>
      <w:r w:rsidR="008D02D4" w:rsidRPr="008D02D4">
        <w:rPr>
          <w:b/>
          <w:sz w:val="22"/>
          <w:szCs w:val="22"/>
        </w:rPr>
        <w:t xml:space="preserve">. </w:t>
      </w:r>
      <w:r w:rsidRPr="00DA54CE">
        <w:rPr>
          <w:sz w:val="22"/>
          <w:szCs w:val="22"/>
        </w:rPr>
        <w:t>Realizáciou projektu dôjde k multiplikácii efektov už realizovaných projektov a k vytvoreniu logického celku kvalitne fungujúcej regionálnej a prímestskej dopravy v okolí najvýznamnejších dopravných centier.</w:t>
      </w:r>
    </w:p>
    <w:p w14:paraId="79464DE1" w14:textId="77777777" w:rsidR="00A80038" w:rsidRDefault="00A80038" w:rsidP="00A80038">
      <w:pPr>
        <w:spacing w:before="180"/>
        <w:jc w:val="both"/>
        <w:rPr>
          <w:sz w:val="22"/>
          <w:szCs w:val="22"/>
        </w:rPr>
      </w:pPr>
      <w:r w:rsidRPr="00DA54CE">
        <w:rPr>
          <w:b/>
          <w:sz w:val="22"/>
          <w:szCs w:val="22"/>
        </w:rPr>
        <w:t xml:space="preserve">Integrácia verejnej osobnej dopravy môže byť úspešná za predpokladu, ak železničná osobná doprava ponúkne prepravu v porovnateľnej kvalite ako iné druhy dopravy a vo frekvencii, ktorá zodpovedá prepravnému dopytu. Podpora je smerovaná najmä na regionálnu dopravu, z ktorej pochádza až 75 % cestujúcich. </w:t>
      </w:r>
      <w:r w:rsidRPr="00DA54CE">
        <w:rPr>
          <w:sz w:val="22"/>
          <w:szCs w:val="22"/>
        </w:rPr>
        <w:t>Významným dôsledkom integrácie je harmonizácia prepravy a odstránenie paralelných spojov v železničnej, resp. autobusovej doprave. Tá dosahuje v niektorých regiónoch až 61 % prepravy a spôsobuje klesajúce využitie prepravnej kapacity obidvoch dopravcov.</w:t>
      </w:r>
    </w:p>
    <w:p w14:paraId="1926A315" w14:textId="5018418B" w:rsidR="00A80038" w:rsidRPr="00DA54CE" w:rsidRDefault="00A80038" w:rsidP="00A80038">
      <w:pPr>
        <w:spacing w:before="180"/>
        <w:jc w:val="both"/>
        <w:rPr>
          <w:sz w:val="22"/>
          <w:szCs w:val="22"/>
        </w:rPr>
      </w:pPr>
      <w:r w:rsidRPr="00DA54CE">
        <w:rPr>
          <w:sz w:val="22"/>
          <w:szCs w:val="22"/>
        </w:rPr>
        <w:t xml:space="preserve">Opatrenia týkajúce sa služieb vo verejnom záujme budú implementované v súlade </w:t>
      </w:r>
      <w:r>
        <w:rPr>
          <w:sz w:val="22"/>
          <w:szCs w:val="22"/>
        </w:rPr>
        <w:t>s </w:t>
      </w:r>
      <w:r w:rsidRPr="00DA54CE">
        <w:rPr>
          <w:sz w:val="22"/>
          <w:szCs w:val="22"/>
        </w:rPr>
        <w:t>požiadavkami nariadenia EP a Rady (ES) č. 1370 z 23. októbra 2007 o službách vo verejnom záujme v železničnej a cestnej osobnej doprave, ktorým sa zrušujú nariadenia Rady (EHS) č. 1191/69 a (EHS) č. 1107/70</w:t>
      </w:r>
      <w:r w:rsidR="00B814C5">
        <w:rPr>
          <w:sz w:val="22"/>
          <w:szCs w:val="22"/>
        </w:rPr>
        <w:t xml:space="preserve"> a nariadenia EP a Rady (EÚ) 2016/2338 zo 14. decembra 2016, ktorým sa mení nariadenie (ES) </w:t>
      </w:r>
      <w:r w:rsidR="00B814C5">
        <w:rPr>
          <w:sz w:val="22"/>
          <w:szCs w:val="22"/>
        </w:rPr>
        <w:br/>
        <w:t>č. 1370/2007, pokiaľ ide o otvorenie trhu so službami vnútroštátnej železničnej osobnej dopravy</w:t>
      </w:r>
      <w:r w:rsidRPr="00DA54CE">
        <w:rPr>
          <w:sz w:val="22"/>
          <w:szCs w:val="22"/>
        </w:rPr>
        <w:t>.</w:t>
      </w:r>
    </w:p>
    <w:p w14:paraId="7A4B174B" w14:textId="77777777" w:rsidR="00A80038" w:rsidRPr="00DA54CE" w:rsidRDefault="00A80038" w:rsidP="00A80038">
      <w:pPr>
        <w:spacing w:before="180"/>
        <w:jc w:val="both"/>
        <w:rPr>
          <w:sz w:val="22"/>
          <w:szCs w:val="22"/>
        </w:rPr>
      </w:pPr>
      <w:r w:rsidRPr="00DA54CE">
        <w:rPr>
          <w:sz w:val="22"/>
          <w:szCs w:val="22"/>
        </w:rPr>
        <w:t xml:space="preserve">Samostatný pohľad predstavuje prístup poskytovateľov služieb vo verejnom záujme k železničným koľajovým vozidlám pre prevádzku verejnej železničnej osobnej dopravy zakúpených z fondov EÚ. </w:t>
      </w:r>
      <w:r w:rsidRPr="003531C5">
        <w:rPr>
          <w:b/>
          <w:sz w:val="22"/>
          <w:szCs w:val="22"/>
        </w:rPr>
        <w:t>Prístup k</w:t>
      </w:r>
      <w:r w:rsidR="00225F13">
        <w:rPr>
          <w:b/>
          <w:sz w:val="22"/>
          <w:szCs w:val="22"/>
        </w:rPr>
        <w:t xml:space="preserve"> týmto vozidlám</w:t>
      </w:r>
      <w:r w:rsidRPr="003531C5">
        <w:rPr>
          <w:b/>
          <w:sz w:val="22"/>
          <w:szCs w:val="22"/>
        </w:rPr>
        <w:t xml:space="preserve"> prostredníctvom nediskriminačných, primeraných a účinných opatrení v súlade s legislatívou EÚ pokiaľ ide o otvorenie trhu so službami vnútroštátnej osobnej železničnej dopravy</w:t>
      </w:r>
      <w:r w:rsidR="00225F13">
        <w:rPr>
          <w:b/>
          <w:sz w:val="22"/>
          <w:szCs w:val="22"/>
        </w:rPr>
        <w:t xml:space="preserve"> bude zabezpečený</w:t>
      </w:r>
      <w:r w:rsidRPr="003531C5">
        <w:rPr>
          <w:b/>
          <w:sz w:val="22"/>
          <w:szCs w:val="22"/>
        </w:rPr>
        <w:t xml:space="preserve"> v rámci platnosti legislatívy tzv. IV. železničného balíčka.</w:t>
      </w:r>
    </w:p>
    <w:p w14:paraId="2DC9A111" w14:textId="77777777" w:rsidR="00A80038" w:rsidRDefault="00A80038" w:rsidP="00A80038">
      <w:pPr>
        <w:spacing w:before="180" w:after="120"/>
        <w:jc w:val="both"/>
        <w:rPr>
          <w:sz w:val="22"/>
          <w:szCs w:val="22"/>
        </w:rPr>
      </w:pPr>
      <w:r w:rsidRPr="00B76CC8">
        <w:rPr>
          <w:sz w:val="22"/>
          <w:szCs w:val="22"/>
        </w:rPr>
        <w:lastRenderedPageBreak/>
        <w:t xml:space="preserve">V podmienkach SR môže byť riešením, ktoré garantuje vyššie spomenutý princíp, zriadenie tzv. „Dopravnej autority“. Dopravná autorita by mala vzniknúť ako nezávislý úrad s jasne ohraničeným rozsahom činností v oblasti objednávania služieb vo verejnom záujme, ako aj v iných oblastiach. Vznik inštitúcie, ako aj jej nábeh na výkon jednotlivých činností je možné plánovať v priebehu rokov 2015 – 2018. </w:t>
      </w:r>
      <w:r w:rsidR="00BE0B89">
        <w:rPr>
          <w:sz w:val="22"/>
          <w:szCs w:val="22"/>
        </w:rPr>
        <w:t>Vytvorenie predmetnej autority</w:t>
      </w:r>
      <w:r w:rsidR="00BE0B89" w:rsidRPr="00B76CC8">
        <w:rPr>
          <w:sz w:val="22"/>
          <w:szCs w:val="22"/>
        </w:rPr>
        <w:t xml:space="preserve"> je nutné </w:t>
      </w:r>
      <w:r w:rsidR="00BE0B89">
        <w:rPr>
          <w:sz w:val="22"/>
          <w:szCs w:val="22"/>
        </w:rPr>
        <w:t>vhodne koordinovať s plánovanou realizáciou</w:t>
      </w:r>
      <w:r w:rsidR="00BE0B89" w:rsidRPr="00B76CC8">
        <w:rPr>
          <w:sz w:val="22"/>
          <w:szCs w:val="22"/>
        </w:rPr>
        <w:t xml:space="preserve"> ďalšieho projektu v oblasti obnovy a modernizácie mobilných prostriedkov v rovnakom čase.</w:t>
      </w:r>
      <w:r w:rsidR="00BE0B89">
        <w:rPr>
          <w:sz w:val="22"/>
          <w:szCs w:val="22"/>
        </w:rPr>
        <w:t xml:space="preserve"> V súvislosti s úlohami Dopravnej autority ako objednávateľa služieb vo verejnom záujme, MDV SR v súčasnosti analyzuje možné varianty, vrátane nulového variantu. Obsah a výsledky analýzy je nutné konzultovať s VÚC z dôvodu ich súčasného postavenia ako objednávatelia regionálnej autobusovej dopravy.</w:t>
      </w:r>
    </w:p>
    <w:p w14:paraId="2B34D6BA" w14:textId="77777777" w:rsidR="009E0158" w:rsidRDefault="00D43FF2" w:rsidP="00D10758">
      <w:pPr>
        <w:numPr>
          <w:ilvl w:val="2"/>
          <w:numId w:val="54"/>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Projektová príprava</w:t>
      </w:r>
    </w:p>
    <w:p w14:paraId="251E7756" w14:textId="77777777" w:rsidR="00854EA5" w:rsidRDefault="003531C5" w:rsidP="003531C5">
      <w:pPr>
        <w:spacing w:after="180"/>
        <w:jc w:val="both"/>
        <w:rPr>
          <w:sz w:val="22"/>
          <w:szCs w:val="22"/>
        </w:rPr>
      </w:pPr>
      <w:r>
        <w:rPr>
          <w:sz w:val="22"/>
          <w:szCs w:val="22"/>
        </w:rPr>
        <w:t xml:space="preserve">Súčasný stav projektovej prípravy investičných stavieb je možné </w:t>
      </w:r>
      <w:r w:rsidR="00724E8C">
        <w:rPr>
          <w:sz w:val="22"/>
          <w:szCs w:val="22"/>
        </w:rPr>
        <w:t>označiť ako prierezový problém systémového charakteru</w:t>
      </w:r>
      <w:r>
        <w:rPr>
          <w:sz w:val="22"/>
          <w:szCs w:val="22"/>
        </w:rPr>
        <w:t xml:space="preserve">. </w:t>
      </w:r>
      <w:r w:rsidRPr="003531C5">
        <w:rPr>
          <w:sz w:val="22"/>
          <w:szCs w:val="22"/>
        </w:rPr>
        <w:t>Na základe uvedeného bude náležitá pozornosť i zdroje venované predprojektovej a projektovej príprave železničných stavieb.</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532DA2" w:rsidRPr="00B12931" w14:paraId="314E4873" w14:textId="77777777" w:rsidTr="00532DA2">
        <w:trPr>
          <w:trHeight w:val="340"/>
          <w:jc w:val="center"/>
        </w:trPr>
        <w:tc>
          <w:tcPr>
            <w:tcW w:w="3288" w:type="dxa"/>
            <w:shd w:val="clear" w:color="auto" w:fill="DBE5F1" w:themeFill="accent1" w:themeFillTint="33"/>
            <w:vAlign w:val="center"/>
          </w:tcPr>
          <w:p w14:paraId="1CD4E8F3" w14:textId="77777777" w:rsidR="00532DA2" w:rsidRPr="009553A0" w:rsidRDefault="00532DA2" w:rsidP="00532DA2">
            <w:pPr>
              <w:autoSpaceDE w:val="0"/>
              <w:autoSpaceDN w:val="0"/>
              <w:adjustRightInd w:val="0"/>
              <w:ind w:left="0"/>
              <w:rPr>
                <w:i/>
                <w:sz w:val="22"/>
                <w:szCs w:val="22"/>
              </w:rPr>
            </w:pPr>
            <w:r w:rsidRPr="009553A0">
              <w:rPr>
                <w:i/>
                <w:sz w:val="22"/>
                <w:szCs w:val="22"/>
              </w:rPr>
              <w:t>Cieľové skupiny:</w:t>
            </w:r>
          </w:p>
        </w:tc>
        <w:tc>
          <w:tcPr>
            <w:tcW w:w="5784" w:type="dxa"/>
            <w:vAlign w:val="center"/>
          </w:tcPr>
          <w:p w14:paraId="2EF9696D" w14:textId="77777777" w:rsidR="009E0158" w:rsidRDefault="00532DA2" w:rsidP="00D10758">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532DA2" w14:paraId="474A4158" w14:textId="77777777" w:rsidTr="00532DA2">
        <w:trPr>
          <w:trHeight w:val="340"/>
          <w:jc w:val="center"/>
        </w:trPr>
        <w:tc>
          <w:tcPr>
            <w:tcW w:w="3288" w:type="dxa"/>
            <w:shd w:val="clear" w:color="auto" w:fill="DBE5F1" w:themeFill="accent1" w:themeFillTint="33"/>
            <w:vAlign w:val="center"/>
          </w:tcPr>
          <w:p w14:paraId="233E330E" w14:textId="77777777" w:rsidR="00532DA2" w:rsidRPr="009553A0" w:rsidRDefault="00532DA2" w:rsidP="00532DA2">
            <w:pPr>
              <w:autoSpaceDE w:val="0"/>
              <w:autoSpaceDN w:val="0"/>
              <w:adjustRightInd w:val="0"/>
              <w:ind w:left="0"/>
              <w:rPr>
                <w:i/>
                <w:sz w:val="22"/>
                <w:szCs w:val="22"/>
              </w:rPr>
            </w:pPr>
            <w:r w:rsidRPr="009553A0">
              <w:rPr>
                <w:i/>
                <w:sz w:val="22"/>
                <w:szCs w:val="22"/>
              </w:rPr>
              <w:t>Cieľové územia:</w:t>
            </w:r>
          </w:p>
        </w:tc>
        <w:tc>
          <w:tcPr>
            <w:tcW w:w="5784" w:type="dxa"/>
            <w:vAlign w:val="center"/>
          </w:tcPr>
          <w:p w14:paraId="24395A4F" w14:textId="77777777" w:rsidR="009E0158" w:rsidRDefault="00532DA2" w:rsidP="00D10758">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532DA2" w:rsidRPr="00C26329" w14:paraId="3EF0434C" w14:textId="77777777" w:rsidTr="00532DA2">
        <w:trPr>
          <w:trHeight w:val="340"/>
          <w:jc w:val="center"/>
        </w:trPr>
        <w:tc>
          <w:tcPr>
            <w:tcW w:w="3288" w:type="dxa"/>
            <w:shd w:val="clear" w:color="auto" w:fill="DBE5F1" w:themeFill="accent1" w:themeFillTint="33"/>
            <w:vAlign w:val="center"/>
          </w:tcPr>
          <w:p w14:paraId="06B9B31A" w14:textId="77777777" w:rsidR="00532DA2" w:rsidRPr="00931B98" w:rsidRDefault="00532DA2" w:rsidP="00532DA2">
            <w:pPr>
              <w:autoSpaceDE w:val="0"/>
              <w:autoSpaceDN w:val="0"/>
              <w:adjustRightInd w:val="0"/>
              <w:ind w:left="0"/>
              <w:rPr>
                <w:i/>
                <w:sz w:val="22"/>
                <w:szCs w:val="22"/>
              </w:rPr>
            </w:pPr>
            <w:r w:rsidRPr="00931B98">
              <w:rPr>
                <w:i/>
                <w:sz w:val="22"/>
                <w:szCs w:val="22"/>
              </w:rPr>
              <w:t>Prijímatelia:</w:t>
            </w:r>
          </w:p>
        </w:tc>
        <w:tc>
          <w:tcPr>
            <w:tcW w:w="5784" w:type="dxa"/>
            <w:vAlign w:val="center"/>
          </w:tcPr>
          <w:p w14:paraId="1D188FAA" w14:textId="77777777" w:rsidR="009E0158" w:rsidRDefault="00532DA2" w:rsidP="00D10758">
            <w:pPr>
              <w:pStyle w:val="Odsekzoznamu"/>
              <w:numPr>
                <w:ilvl w:val="0"/>
                <w:numId w:val="27"/>
              </w:numPr>
              <w:autoSpaceDE w:val="0"/>
              <w:autoSpaceDN w:val="0"/>
              <w:adjustRightInd w:val="0"/>
              <w:ind w:left="284" w:hanging="284"/>
              <w:rPr>
                <w:sz w:val="22"/>
                <w:szCs w:val="22"/>
              </w:rPr>
            </w:pPr>
            <w:r w:rsidRPr="00931B98">
              <w:rPr>
                <w:sz w:val="22"/>
                <w:szCs w:val="22"/>
              </w:rPr>
              <w:t>Železnice Slovenskej republiky</w:t>
            </w:r>
          </w:p>
          <w:p w14:paraId="524C2E78" w14:textId="77777777" w:rsidR="009E0158" w:rsidRDefault="00532DA2" w:rsidP="00D10758">
            <w:pPr>
              <w:pStyle w:val="Odsekzoznamu"/>
              <w:numPr>
                <w:ilvl w:val="0"/>
                <w:numId w:val="27"/>
              </w:numPr>
              <w:autoSpaceDE w:val="0"/>
              <w:autoSpaceDN w:val="0"/>
              <w:adjustRightInd w:val="0"/>
              <w:ind w:left="284" w:hanging="284"/>
              <w:rPr>
                <w:sz w:val="22"/>
                <w:szCs w:val="22"/>
              </w:rPr>
            </w:pPr>
            <w:r w:rsidRPr="00931B98">
              <w:rPr>
                <w:sz w:val="22"/>
                <w:szCs w:val="22"/>
              </w:rPr>
              <w:t>Železničná spoločnosť Slovensko, a. s.</w:t>
            </w:r>
          </w:p>
          <w:p w14:paraId="4F9F96E5" w14:textId="77777777" w:rsidR="009E0158" w:rsidRDefault="00010302" w:rsidP="00D10758">
            <w:pPr>
              <w:pStyle w:val="Odsekzoznamu"/>
              <w:numPr>
                <w:ilvl w:val="0"/>
                <w:numId w:val="27"/>
              </w:numPr>
              <w:autoSpaceDE w:val="0"/>
              <w:autoSpaceDN w:val="0"/>
              <w:adjustRightInd w:val="0"/>
              <w:ind w:left="284" w:hanging="284"/>
              <w:rPr>
                <w:sz w:val="22"/>
                <w:szCs w:val="22"/>
              </w:rPr>
            </w:pPr>
            <w:r w:rsidRPr="00931B98">
              <w:rPr>
                <w:sz w:val="22"/>
                <w:szCs w:val="22"/>
              </w:rPr>
              <w:t>MDV SR</w:t>
            </w:r>
          </w:p>
          <w:p w14:paraId="386CBF36" w14:textId="77777777" w:rsidR="009E0158" w:rsidRDefault="00C719AA" w:rsidP="00D10758">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22529BCB" w14:textId="77777777" w:rsidR="001A218B" w:rsidRDefault="001A218B" w:rsidP="00DA54A1">
      <w:pPr>
        <w:pStyle w:val="Nadpis4"/>
        <w:spacing w:before="240"/>
      </w:pPr>
      <w:r>
        <w:t>Hlavné princípy výberu projektov</w:t>
      </w:r>
    </w:p>
    <w:p w14:paraId="562F84C6" w14:textId="77777777" w:rsidR="003976D8" w:rsidRDefault="003976D8" w:rsidP="003976D8">
      <w:pPr>
        <w:tabs>
          <w:tab w:val="left" w:pos="540"/>
        </w:tabs>
        <w:jc w:val="both"/>
        <w:rPr>
          <w:sz w:val="22"/>
          <w:szCs w:val="22"/>
        </w:rPr>
      </w:pPr>
      <w:r w:rsidRPr="00931B98">
        <w:rPr>
          <w:sz w:val="22"/>
          <w:szCs w:val="22"/>
        </w:rPr>
        <w:t xml:space="preserve">Vzhľadom na špecifické postavenie MDV SR vo vzťahu k podporovaným aktivitám budú jednotliví prijímatelia stanovení vopred </w:t>
      </w:r>
      <w:r w:rsidR="00010302" w:rsidRPr="00931B98">
        <w:rPr>
          <w:sz w:val="22"/>
          <w:szCs w:val="22"/>
        </w:rPr>
        <w:t xml:space="preserve">RO </w:t>
      </w:r>
      <w:r w:rsidRPr="00931B98">
        <w:rPr>
          <w:sz w:val="22"/>
          <w:szCs w:val="22"/>
        </w:rPr>
        <w:t>a žiadaní o predkladanie projektových žiadostí.</w:t>
      </w:r>
      <w:r w:rsidR="00711470">
        <w:rPr>
          <w:color w:val="FF0000"/>
          <w:sz w:val="22"/>
          <w:szCs w:val="22"/>
        </w:rPr>
        <w:t xml:space="preserve">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strategických dokumento</w:t>
      </w:r>
      <w:r w:rsidR="00A05CA8">
        <w:rPr>
          <w:sz w:val="22"/>
          <w:szCs w:val="22"/>
        </w:rPr>
        <w:t>v spracovaných pre </w:t>
      </w:r>
      <w:r>
        <w:rPr>
          <w:sz w:val="22"/>
          <w:szCs w:val="22"/>
        </w:rPr>
        <w:t>potreby programového obdobia</w:t>
      </w:r>
      <w:r w:rsidR="00797F8A">
        <w:rPr>
          <w:sz w:val="22"/>
          <w:szCs w:val="22"/>
        </w:rPr>
        <w:t xml:space="preserve"> 2014 - 2020</w:t>
      </w:r>
      <w:r>
        <w:rPr>
          <w:sz w:val="22"/>
          <w:szCs w:val="22"/>
        </w:rPr>
        <w:t>, ako aj ich prípad</w:t>
      </w:r>
      <w:r w:rsidR="00D21821">
        <w:rPr>
          <w:sz w:val="22"/>
          <w:szCs w:val="22"/>
        </w:rPr>
        <w:t>né aktualizácie, ktoré zohľadňujú</w:t>
      </w:r>
      <w:r>
        <w:rPr>
          <w:sz w:val="22"/>
          <w:szCs w:val="22"/>
        </w:rPr>
        <w:t xml:space="preserve"> rezortné potreby v širš</w:t>
      </w:r>
      <w:r w:rsidR="000E5ACF">
        <w:rPr>
          <w:sz w:val="22"/>
          <w:szCs w:val="22"/>
        </w:rPr>
        <w:t>om kontexte. Ide predovšetkým o </w:t>
      </w:r>
      <w:r>
        <w:rPr>
          <w:sz w:val="22"/>
          <w:szCs w:val="22"/>
        </w:rPr>
        <w:t xml:space="preserve">Strategický plán a Stratégiu </w:t>
      </w:r>
      <w:r w:rsidR="00AF47E4">
        <w:rPr>
          <w:sz w:val="22"/>
          <w:szCs w:val="22"/>
        </w:rPr>
        <w:t>VOD</w:t>
      </w:r>
      <w:r>
        <w:rPr>
          <w:sz w:val="22"/>
          <w:szCs w:val="22"/>
        </w:rPr>
        <w:t>.</w:t>
      </w:r>
    </w:p>
    <w:p w14:paraId="78058B73" w14:textId="77777777" w:rsidR="00797F8A" w:rsidRPr="00A21DD4" w:rsidRDefault="00307AAF" w:rsidP="00797F8A">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40650A"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07C3ADB9" w14:textId="77777777" w:rsidR="00EE5C71" w:rsidRDefault="00307AAF" w:rsidP="009E1EBE">
      <w:pPr>
        <w:spacing w:before="180"/>
        <w:jc w:val="both"/>
        <w:rPr>
          <w:sz w:val="22"/>
        </w:rPr>
      </w:pPr>
      <w:r w:rsidRPr="00A21DD4">
        <w:rPr>
          <w:sz w:val="22"/>
        </w:rPr>
        <w:t>Všetky plánované železničné projekty a projektové zámery</w:t>
      </w:r>
      <w:r w:rsidR="005564FD" w:rsidRPr="00A21DD4">
        <w:rPr>
          <w:sz w:val="22"/>
        </w:rPr>
        <w:t xml:space="preserve"> PO 1</w:t>
      </w:r>
      <w:r w:rsidRPr="00A21DD4">
        <w:rPr>
          <w:sz w:val="22"/>
        </w:rPr>
        <w:t xml:space="preserve"> budú rešpektovať požiadavky nariadení a smerníc Európskej únie týkajúce sa ochrany životného prostredia, najmä Smernice Rady 92/43/EHS z 21. mája 1992 o ochrane prirodzených biotopov a voľne </w:t>
      </w:r>
      <w:r w:rsidR="00681576" w:rsidRPr="00A21DD4">
        <w:rPr>
          <w:sz w:val="22"/>
        </w:rPr>
        <w:t>žijúcich živočíchov a rastlín a</w:t>
      </w:r>
      <w:r w:rsidR="0040650A" w:rsidRPr="00A21DD4">
        <w:rPr>
          <w:sz w:val="22"/>
        </w:rPr>
        <w:t> </w:t>
      </w:r>
      <w:r w:rsidRPr="00A21DD4">
        <w:rPr>
          <w:sz w:val="22"/>
        </w:rPr>
        <w:t xml:space="preserve">Smernice Európskeho parlamentu a Rady 2011/92/EÚ z 13. decembra 2011 o posudzovaní vplyvov určitých verejných a súkromných projektov na životné prostredie. </w:t>
      </w:r>
      <w:r w:rsidR="00EE5C71" w:rsidRPr="009E1EBE">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w:t>
      </w:r>
      <w:r w:rsidR="00200335">
        <w:rPr>
          <w:sz w:val="22"/>
        </w:rPr>
        <w:t xml:space="preserve"> a budú predmetom revízie OPII.</w:t>
      </w:r>
    </w:p>
    <w:p w14:paraId="78EC37E5" w14:textId="77777777" w:rsidR="001A218B" w:rsidRPr="00A21DD4" w:rsidRDefault="001A218B" w:rsidP="00740654">
      <w:pPr>
        <w:pStyle w:val="Nadpis4"/>
      </w:pPr>
      <w:r w:rsidRPr="00A21DD4">
        <w:t>Plánované využitie finančných nástrojov</w:t>
      </w:r>
    </w:p>
    <w:p w14:paraId="1929340B" w14:textId="77777777" w:rsidR="002F4803" w:rsidRPr="002F4803" w:rsidRDefault="002F4803" w:rsidP="002F4803">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w:t>
      </w:r>
      <w:r w:rsidR="001726F5">
        <w:rPr>
          <w:sz w:val="22"/>
          <w:szCs w:val="22"/>
        </w:rPr>
        <w:t>covanie, pri </w:t>
      </w:r>
      <w:r w:rsidRPr="002F4803">
        <w:rPr>
          <w:sz w:val="22"/>
          <w:szCs w:val="22"/>
        </w:rPr>
        <w:t>ktorom by ich realizácia bola efektívnou.</w:t>
      </w:r>
    </w:p>
    <w:p w14:paraId="5CBE5A8B" w14:textId="77777777" w:rsidR="000A1A12" w:rsidRPr="00034021" w:rsidRDefault="002F4803" w:rsidP="000A1A12">
      <w:pPr>
        <w:spacing w:before="180"/>
        <w:jc w:val="both"/>
        <w:rPr>
          <w:sz w:val="22"/>
          <w:szCs w:val="22"/>
        </w:rPr>
      </w:pPr>
      <w:r w:rsidRPr="002F4803">
        <w:rPr>
          <w:sz w:val="22"/>
          <w:szCs w:val="22"/>
        </w:rPr>
        <w:lastRenderedPageBreak/>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2F4803">
        <w:rPr>
          <w:sz w:val="22"/>
          <w:szCs w:val="22"/>
        </w:rPr>
        <w:t>pod</w:t>
      </w:r>
      <w:r w:rsidR="000617CF">
        <w:rPr>
          <w:sz w:val="22"/>
          <w:szCs w:val="22"/>
        </w:rPr>
        <w:t>.</w:t>
      </w:r>
      <w:r w:rsidRPr="002F4803">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0DA46A74" w14:textId="77777777" w:rsidR="001A218B" w:rsidRDefault="001A218B" w:rsidP="005914D4">
      <w:pPr>
        <w:pStyle w:val="tl2"/>
      </w:pPr>
      <w:r>
        <w:t>Plánované využitie veľkých projektov</w:t>
      </w:r>
    </w:p>
    <w:p w14:paraId="7794A374" w14:textId="77777777" w:rsidR="007B3B80" w:rsidRPr="00A21DD4" w:rsidRDefault="007B3B80" w:rsidP="007B3B80">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A21DD4">
        <w:rPr>
          <w:sz w:val="22"/>
          <w:szCs w:val="22"/>
        </w:rPr>
        <w:t>Grafické zobrazenie rozvoja železničnej infraštruktúry na Slovensku zabezpečené realizáciou zadefinovaných veľkých projektov je uvedené v </w:t>
      </w:r>
      <w:r w:rsidR="00EF5636" w:rsidRPr="00EF5636">
        <w:rPr>
          <w:sz w:val="22"/>
          <w:szCs w:val="22"/>
        </w:rPr>
        <w:t>Prílohe 7</w:t>
      </w:r>
      <w:r w:rsidRPr="00EF5636">
        <w:rPr>
          <w:sz w:val="22"/>
          <w:szCs w:val="22"/>
        </w:rPr>
        <w:t>.</w:t>
      </w:r>
    </w:p>
    <w:p w14:paraId="1C4F85A4" w14:textId="77777777" w:rsidR="0055381F" w:rsidRPr="00A21DD4" w:rsidRDefault="0055381F" w:rsidP="00740654">
      <w:pPr>
        <w:pStyle w:val="Nadpis4"/>
      </w:pPr>
      <w:r w:rsidRPr="00A21DD4">
        <w:t>Ukazovatele výstupu na úrovni investičnej priority a kategórie regiónu</w:t>
      </w:r>
    </w:p>
    <w:p w14:paraId="31C698A8" w14:textId="77777777" w:rsidR="00D43FF2" w:rsidRPr="00D43FF2" w:rsidRDefault="00D43FF2" w:rsidP="004402B6">
      <w:pPr>
        <w:pStyle w:val="Tab"/>
      </w:pPr>
      <w:r w:rsidRPr="00D43FF2">
        <w:t>Spoločné a špecifické ukazovatele výstupu investičnej priority 7</w:t>
      </w:r>
      <w:r w:rsidR="00D42D2B">
        <w:t>iii</w:t>
      </w:r>
      <w:r w:rsidRPr="00D43FF2">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D43FF2" w:rsidRPr="00D43FF2" w14:paraId="249DB135" w14:textId="77777777" w:rsidTr="0095191D">
        <w:trPr>
          <w:trHeight w:val="487"/>
          <w:jc w:val="center"/>
        </w:trPr>
        <w:tc>
          <w:tcPr>
            <w:tcW w:w="578" w:type="dxa"/>
            <w:shd w:val="clear" w:color="auto" w:fill="C6D9F1" w:themeFill="text2" w:themeFillTint="33"/>
            <w:vAlign w:val="center"/>
          </w:tcPr>
          <w:p w14:paraId="2ADB21BA" w14:textId="77777777" w:rsidR="00D43FF2" w:rsidRPr="00D43FF2" w:rsidRDefault="00854EA5"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14:paraId="33A994FE" w14:textId="77777777" w:rsidR="00D43FF2" w:rsidRPr="00D43FF2" w:rsidRDefault="00D43FF2" w:rsidP="00350B96">
            <w:pPr>
              <w:ind w:left="0"/>
              <w:jc w:val="center"/>
              <w:rPr>
                <w:b/>
                <w:sz w:val="18"/>
                <w:szCs w:val="18"/>
              </w:rPr>
            </w:pPr>
            <w:r w:rsidRPr="00D43FF2">
              <w:rPr>
                <w:b/>
                <w:sz w:val="18"/>
                <w:szCs w:val="18"/>
              </w:rPr>
              <w:t>Ukazovateľ výstupu</w:t>
            </w:r>
          </w:p>
        </w:tc>
        <w:tc>
          <w:tcPr>
            <w:tcW w:w="903" w:type="dxa"/>
            <w:shd w:val="clear" w:color="auto" w:fill="C6D9F1" w:themeFill="text2" w:themeFillTint="33"/>
            <w:vAlign w:val="center"/>
          </w:tcPr>
          <w:p w14:paraId="0BC5A580" w14:textId="77777777" w:rsidR="00D43FF2" w:rsidRPr="00D43FF2" w:rsidRDefault="00D43FF2" w:rsidP="00350B96">
            <w:pPr>
              <w:ind w:left="0"/>
              <w:jc w:val="center"/>
              <w:rPr>
                <w:b/>
                <w:sz w:val="18"/>
                <w:szCs w:val="18"/>
              </w:rPr>
            </w:pPr>
            <w:r w:rsidRPr="00D43FF2">
              <w:rPr>
                <w:b/>
                <w:sz w:val="18"/>
                <w:szCs w:val="18"/>
              </w:rPr>
              <w:t>Merná jednotka</w:t>
            </w:r>
          </w:p>
        </w:tc>
        <w:tc>
          <w:tcPr>
            <w:tcW w:w="621" w:type="dxa"/>
            <w:shd w:val="clear" w:color="auto" w:fill="C6D9F1" w:themeFill="text2" w:themeFillTint="33"/>
            <w:vAlign w:val="center"/>
          </w:tcPr>
          <w:p w14:paraId="386ACF15" w14:textId="77777777" w:rsidR="00D43FF2" w:rsidRPr="00D43FF2" w:rsidRDefault="00D43FF2" w:rsidP="00350B96">
            <w:pPr>
              <w:ind w:left="0"/>
              <w:jc w:val="center"/>
              <w:rPr>
                <w:b/>
                <w:sz w:val="18"/>
                <w:szCs w:val="18"/>
              </w:rPr>
            </w:pPr>
            <w:r w:rsidRPr="00D43FF2">
              <w:rPr>
                <w:b/>
                <w:sz w:val="18"/>
                <w:szCs w:val="18"/>
              </w:rPr>
              <w:t>Fond</w:t>
            </w:r>
          </w:p>
        </w:tc>
        <w:tc>
          <w:tcPr>
            <w:tcW w:w="1229" w:type="dxa"/>
            <w:shd w:val="clear" w:color="auto" w:fill="C6D9F1" w:themeFill="text2" w:themeFillTint="33"/>
            <w:vAlign w:val="center"/>
          </w:tcPr>
          <w:p w14:paraId="74971937" w14:textId="77777777" w:rsidR="00D43FF2" w:rsidRPr="00D43FF2" w:rsidRDefault="00D43FF2" w:rsidP="00350B96">
            <w:pPr>
              <w:ind w:left="0"/>
              <w:jc w:val="center"/>
              <w:rPr>
                <w:b/>
                <w:sz w:val="18"/>
                <w:szCs w:val="18"/>
              </w:rPr>
            </w:pPr>
            <w:r w:rsidRPr="00D43FF2">
              <w:rPr>
                <w:b/>
                <w:sz w:val="18"/>
                <w:szCs w:val="18"/>
              </w:rPr>
              <w:t>Kategória regiónu</w:t>
            </w:r>
          </w:p>
        </w:tc>
        <w:tc>
          <w:tcPr>
            <w:tcW w:w="1253" w:type="dxa"/>
            <w:shd w:val="clear" w:color="auto" w:fill="C6D9F1" w:themeFill="text2" w:themeFillTint="33"/>
            <w:vAlign w:val="center"/>
          </w:tcPr>
          <w:p w14:paraId="63AF42D9" w14:textId="77777777" w:rsidR="00D43FF2" w:rsidRPr="00D43FF2" w:rsidRDefault="00D43FF2" w:rsidP="00350B96">
            <w:pPr>
              <w:ind w:left="0"/>
              <w:jc w:val="center"/>
              <w:rPr>
                <w:b/>
                <w:sz w:val="18"/>
                <w:szCs w:val="18"/>
              </w:rPr>
            </w:pPr>
            <w:r w:rsidRPr="00D43FF2">
              <w:rPr>
                <w:b/>
                <w:sz w:val="18"/>
                <w:szCs w:val="18"/>
              </w:rPr>
              <w:t>Cieľová hodnota (2023)</w:t>
            </w:r>
          </w:p>
        </w:tc>
        <w:tc>
          <w:tcPr>
            <w:tcW w:w="1015" w:type="dxa"/>
            <w:shd w:val="clear" w:color="auto" w:fill="C6D9F1" w:themeFill="text2" w:themeFillTint="33"/>
            <w:vAlign w:val="center"/>
          </w:tcPr>
          <w:p w14:paraId="55A46003" w14:textId="77777777" w:rsidR="00D43FF2" w:rsidRPr="00D43FF2" w:rsidRDefault="00D43FF2" w:rsidP="00350B96">
            <w:pPr>
              <w:ind w:left="0"/>
              <w:jc w:val="center"/>
              <w:rPr>
                <w:b/>
                <w:sz w:val="18"/>
                <w:szCs w:val="18"/>
              </w:rPr>
            </w:pPr>
            <w:r w:rsidRPr="00D43FF2">
              <w:rPr>
                <w:b/>
                <w:sz w:val="18"/>
                <w:szCs w:val="18"/>
              </w:rPr>
              <w:t>Zdroj údajov</w:t>
            </w:r>
          </w:p>
        </w:tc>
        <w:tc>
          <w:tcPr>
            <w:tcW w:w="1388" w:type="dxa"/>
            <w:shd w:val="clear" w:color="auto" w:fill="C6D9F1" w:themeFill="text2" w:themeFillTint="33"/>
            <w:vAlign w:val="center"/>
          </w:tcPr>
          <w:p w14:paraId="1E04437C" w14:textId="77777777" w:rsidR="00D43FF2" w:rsidRPr="00D43FF2" w:rsidRDefault="00D43FF2" w:rsidP="00350B96">
            <w:pPr>
              <w:ind w:left="0"/>
              <w:jc w:val="center"/>
              <w:rPr>
                <w:b/>
                <w:sz w:val="18"/>
                <w:szCs w:val="18"/>
              </w:rPr>
            </w:pPr>
            <w:r w:rsidRPr="00D43FF2">
              <w:rPr>
                <w:b/>
                <w:sz w:val="18"/>
                <w:szCs w:val="18"/>
              </w:rPr>
              <w:t>Frekvencia vykazovania</w:t>
            </w:r>
          </w:p>
        </w:tc>
      </w:tr>
      <w:tr w:rsidR="00D43FF2" w:rsidRPr="00D43FF2" w14:paraId="1053008C" w14:textId="77777777" w:rsidTr="0095191D">
        <w:trPr>
          <w:trHeight w:val="680"/>
          <w:jc w:val="center"/>
        </w:trPr>
        <w:tc>
          <w:tcPr>
            <w:tcW w:w="578" w:type="dxa"/>
            <w:shd w:val="clear" w:color="auto" w:fill="auto"/>
            <w:vAlign w:val="center"/>
          </w:tcPr>
          <w:p w14:paraId="50A40AD4" w14:textId="77777777" w:rsidR="00D43FF2" w:rsidRPr="00D43FF2" w:rsidRDefault="00854EA5" w:rsidP="006A2D5B">
            <w:pPr>
              <w:ind w:left="0"/>
              <w:jc w:val="center"/>
              <w:rPr>
                <w:sz w:val="18"/>
                <w:szCs w:val="18"/>
              </w:rPr>
            </w:pPr>
            <w:r>
              <w:rPr>
                <w:sz w:val="18"/>
                <w:szCs w:val="18"/>
              </w:rPr>
              <w:t>1.</w:t>
            </w:r>
          </w:p>
        </w:tc>
        <w:tc>
          <w:tcPr>
            <w:tcW w:w="2425" w:type="dxa"/>
            <w:shd w:val="clear" w:color="auto" w:fill="auto"/>
            <w:vAlign w:val="center"/>
          </w:tcPr>
          <w:p w14:paraId="40405948" w14:textId="77777777" w:rsidR="00D43FF2" w:rsidRPr="00D43FF2" w:rsidRDefault="00D43FF2" w:rsidP="00CB59EA">
            <w:pPr>
              <w:ind w:left="0"/>
              <w:rPr>
                <w:sz w:val="18"/>
                <w:szCs w:val="18"/>
              </w:rPr>
            </w:pPr>
            <w:r w:rsidRPr="00D43FF2">
              <w:rPr>
                <w:sz w:val="18"/>
                <w:szCs w:val="18"/>
              </w:rPr>
              <w:t>Dĺžka železničných tratí</w:t>
            </w:r>
            <w:r w:rsidR="005E7C00">
              <w:rPr>
                <w:sz w:val="18"/>
                <w:szCs w:val="18"/>
              </w:rPr>
              <w:t xml:space="preserve"> TEN-T CORE</w:t>
            </w:r>
            <w:r w:rsidRPr="00D43FF2">
              <w:rPr>
                <w:sz w:val="18"/>
                <w:szCs w:val="18"/>
              </w:rPr>
              <w:t xml:space="preserve"> so zavedeným systémom ERTMS</w:t>
            </w:r>
          </w:p>
        </w:tc>
        <w:tc>
          <w:tcPr>
            <w:tcW w:w="903" w:type="dxa"/>
            <w:shd w:val="clear" w:color="auto" w:fill="auto"/>
            <w:vAlign w:val="center"/>
          </w:tcPr>
          <w:p w14:paraId="7FADF911" w14:textId="77777777" w:rsidR="00D43FF2" w:rsidRPr="00D43FF2" w:rsidRDefault="00D43FF2" w:rsidP="00D43FF2">
            <w:pPr>
              <w:ind w:left="0"/>
              <w:jc w:val="center"/>
              <w:rPr>
                <w:i/>
                <w:sz w:val="18"/>
                <w:szCs w:val="18"/>
              </w:rPr>
            </w:pPr>
            <w:r w:rsidRPr="00D43FF2">
              <w:rPr>
                <w:i/>
                <w:sz w:val="18"/>
                <w:szCs w:val="18"/>
              </w:rPr>
              <w:t>km</w:t>
            </w:r>
          </w:p>
        </w:tc>
        <w:tc>
          <w:tcPr>
            <w:tcW w:w="621" w:type="dxa"/>
            <w:shd w:val="clear" w:color="auto" w:fill="auto"/>
            <w:vAlign w:val="center"/>
          </w:tcPr>
          <w:p w14:paraId="5039002E" w14:textId="77777777" w:rsidR="00D43FF2" w:rsidRPr="00D43FF2" w:rsidRDefault="00D43FF2" w:rsidP="00D43FF2">
            <w:pPr>
              <w:ind w:left="0"/>
              <w:jc w:val="center"/>
              <w:rPr>
                <w:i/>
                <w:sz w:val="18"/>
                <w:szCs w:val="18"/>
              </w:rPr>
            </w:pPr>
            <w:r w:rsidRPr="00D43FF2">
              <w:rPr>
                <w:i/>
                <w:sz w:val="18"/>
                <w:szCs w:val="18"/>
              </w:rPr>
              <w:t>KF</w:t>
            </w:r>
          </w:p>
        </w:tc>
        <w:tc>
          <w:tcPr>
            <w:tcW w:w="1229" w:type="dxa"/>
            <w:shd w:val="clear" w:color="auto" w:fill="auto"/>
            <w:vAlign w:val="center"/>
          </w:tcPr>
          <w:p w14:paraId="35C8BA0E" w14:textId="77777777" w:rsidR="00D43FF2" w:rsidRPr="00D43FF2" w:rsidRDefault="00D43FF2" w:rsidP="00D43FF2">
            <w:pPr>
              <w:ind w:left="0"/>
              <w:jc w:val="center"/>
              <w:rPr>
                <w:i/>
                <w:sz w:val="18"/>
                <w:szCs w:val="18"/>
              </w:rPr>
            </w:pPr>
            <w:r w:rsidRPr="00D43FF2">
              <w:rPr>
                <w:i/>
                <w:sz w:val="18"/>
                <w:szCs w:val="18"/>
              </w:rPr>
              <w:t>N/A</w:t>
            </w:r>
          </w:p>
        </w:tc>
        <w:tc>
          <w:tcPr>
            <w:tcW w:w="1253" w:type="dxa"/>
            <w:shd w:val="clear" w:color="auto" w:fill="auto"/>
            <w:vAlign w:val="center"/>
          </w:tcPr>
          <w:p w14:paraId="709680A7" w14:textId="77777777" w:rsidR="00D43FF2" w:rsidRPr="00D43FF2" w:rsidRDefault="000A60F9" w:rsidP="00D43FF2">
            <w:pPr>
              <w:ind w:left="0"/>
              <w:jc w:val="center"/>
              <w:rPr>
                <w:i/>
                <w:sz w:val="18"/>
                <w:szCs w:val="18"/>
              </w:rPr>
            </w:pPr>
            <w:r>
              <w:rPr>
                <w:i/>
                <w:sz w:val="18"/>
                <w:szCs w:val="18"/>
              </w:rPr>
              <w:t>71</w:t>
            </w:r>
          </w:p>
        </w:tc>
        <w:tc>
          <w:tcPr>
            <w:tcW w:w="1015" w:type="dxa"/>
            <w:vAlign w:val="center"/>
          </w:tcPr>
          <w:p w14:paraId="58D27124" w14:textId="77777777" w:rsidR="00D43FF2" w:rsidRPr="00D43FF2" w:rsidRDefault="00D43FF2" w:rsidP="00D43FF2">
            <w:pPr>
              <w:ind w:left="0"/>
              <w:jc w:val="center"/>
              <w:rPr>
                <w:i/>
                <w:sz w:val="18"/>
                <w:szCs w:val="18"/>
              </w:rPr>
            </w:pPr>
            <w:r w:rsidRPr="00D43FF2">
              <w:rPr>
                <w:i/>
                <w:sz w:val="18"/>
                <w:szCs w:val="18"/>
              </w:rPr>
              <w:t>RO OPII</w:t>
            </w:r>
          </w:p>
        </w:tc>
        <w:tc>
          <w:tcPr>
            <w:tcW w:w="1388" w:type="dxa"/>
            <w:vAlign w:val="center"/>
          </w:tcPr>
          <w:p w14:paraId="1C4B5044" w14:textId="77777777" w:rsidR="00D43FF2" w:rsidRPr="00D43FF2" w:rsidRDefault="00D43FF2" w:rsidP="00D43FF2">
            <w:pPr>
              <w:ind w:left="0"/>
              <w:jc w:val="center"/>
              <w:rPr>
                <w:i/>
                <w:sz w:val="18"/>
                <w:szCs w:val="18"/>
              </w:rPr>
            </w:pPr>
            <w:r w:rsidRPr="00D43FF2">
              <w:rPr>
                <w:i/>
                <w:sz w:val="18"/>
                <w:szCs w:val="18"/>
              </w:rPr>
              <w:t>Ročne</w:t>
            </w:r>
          </w:p>
        </w:tc>
      </w:tr>
      <w:tr w:rsidR="00D43FF2" w:rsidRPr="00D43FF2" w14:paraId="1D01D7B6" w14:textId="77777777" w:rsidTr="0095191D">
        <w:trPr>
          <w:trHeight w:val="680"/>
          <w:jc w:val="center"/>
        </w:trPr>
        <w:tc>
          <w:tcPr>
            <w:tcW w:w="578" w:type="dxa"/>
            <w:shd w:val="clear" w:color="auto" w:fill="auto"/>
            <w:vAlign w:val="center"/>
          </w:tcPr>
          <w:p w14:paraId="5B48A50B" w14:textId="77777777" w:rsidR="00D43FF2" w:rsidRPr="00D43FF2" w:rsidRDefault="00854EA5" w:rsidP="00854EA5">
            <w:pPr>
              <w:ind w:left="0"/>
              <w:jc w:val="center"/>
              <w:rPr>
                <w:sz w:val="18"/>
                <w:szCs w:val="18"/>
              </w:rPr>
            </w:pPr>
            <w:r>
              <w:rPr>
                <w:sz w:val="18"/>
                <w:szCs w:val="18"/>
              </w:rPr>
              <w:t>2.</w:t>
            </w:r>
          </w:p>
        </w:tc>
        <w:tc>
          <w:tcPr>
            <w:tcW w:w="2425" w:type="dxa"/>
            <w:shd w:val="clear" w:color="auto" w:fill="auto"/>
            <w:vAlign w:val="center"/>
          </w:tcPr>
          <w:p w14:paraId="0CF07AF4" w14:textId="77777777" w:rsidR="00D43FF2" w:rsidRPr="00D43FF2" w:rsidRDefault="00225F13" w:rsidP="00CB59EA">
            <w:pPr>
              <w:ind w:left="0"/>
              <w:rPr>
                <w:sz w:val="18"/>
                <w:szCs w:val="18"/>
              </w:rPr>
            </w:pPr>
            <w:r>
              <w:rPr>
                <w:sz w:val="18"/>
                <w:szCs w:val="18"/>
              </w:rPr>
              <w:t>Počet obnovených</w:t>
            </w:r>
            <w:r w:rsidR="00D43FF2" w:rsidRPr="00D43FF2">
              <w:rPr>
                <w:sz w:val="18"/>
                <w:szCs w:val="18"/>
              </w:rPr>
              <w:t xml:space="preserve"> </w:t>
            </w:r>
            <w:r w:rsidR="00CB59EA">
              <w:rPr>
                <w:sz w:val="18"/>
                <w:szCs w:val="18"/>
              </w:rPr>
              <w:t xml:space="preserve">vlakových súprav v </w:t>
            </w:r>
            <w:r>
              <w:rPr>
                <w:sz w:val="18"/>
                <w:szCs w:val="18"/>
              </w:rPr>
              <w:t>železničnej verejnej osobnej</w:t>
            </w:r>
            <w:r w:rsidR="00D43FF2" w:rsidRPr="00D43FF2">
              <w:rPr>
                <w:sz w:val="18"/>
                <w:szCs w:val="18"/>
              </w:rPr>
              <w:t xml:space="preserve"> doprav</w:t>
            </w:r>
            <w:r w:rsidR="00CB59EA">
              <w:rPr>
                <w:sz w:val="18"/>
                <w:szCs w:val="18"/>
              </w:rPr>
              <w:t>e</w:t>
            </w:r>
          </w:p>
        </w:tc>
        <w:tc>
          <w:tcPr>
            <w:tcW w:w="903" w:type="dxa"/>
            <w:shd w:val="clear" w:color="auto" w:fill="auto"/>
            <w:vAlign w:val="center"/>
          </w:tcPr>
          <w:p w14:paraId="00A9A1F6" w14:textId="77777777" w:rsidR="00D43FF2" w:rsidRPr="00D43FF2" w:rsidRDefault="00D43FF2" w:rsidP="00D43FF2">
            <w:pPr>
              <w:ind w:left="0"/>
              <w:jc w:val="center"/>
              <w:rPr>
                <w:i/>
                <w:sz w:val="18"/>
                <w:szCs w:val="18"/>
              </w:rPr>
            </w:pPr>
            <w:r w:rsidRPr="00D43FF2">
              <w:rPr>
                <w:i/>
                <w:sz w:val="18"/>
                <w:szCs w:val="18"/>
              </w:rPr>
              <w:t>počet</w:t>
            </w:r>
          </w:p>
        </w:tc>
        <w:tc>
          <w:tcPr>
            <w:tcW w:w="621" w:type="dxa"/>
            <w:shd w:val="clear" w:color="auto" w:fill="auto"/>
            <w:vAlign w:val="center"/>
          </w:tcPr>
          <w:p w14:paraId="06B6FA24" w14:textId="77777777" w:rsidR="00D43FF2" w:rsidRPr="00D43FF2" w:rsidRDefault="00D43FF2" w:rsidP="00D43FF2">
            <w:pPr>
              <w:ind w:left="0"/>
              <w:jc w:val="center"/>
              <w:rPr>
                <w:i/>
                <w:sz w:val="18"/>
                <w:szCs w:val="18"/>
              </w:rPr>
            </w:pPr>
            <w:r w:rsidRPr="00D43FF2">
              <w:rPr>
                <w:i/>
                <w:sz w:val="18"/>
                <w:szCs w:val="18"/>
              </w:rPr>
              <w:t>KF</w:t>
            </w:r>
          </w:p>
        </w:tc>
        <w:tc>
          <w:tcPr>
            <w:tcW w:w="1229" w:type="dxa"/>
            <w:shd w:val="clear" w:color="auto" w:fill="auto"/>
            <w:vAlign w:val="center"/>
          </w:tcPr>
          <w:p w14:paraId="34A6EB28" w14:textId="77777777" w:rsidR="00D43FF2" w:rsidRPr="00D43FF2" w:rsidRDefault="00D43FF2" w:rsidP="00D43FF2">
            <w:pPr>
              <w:ind w:left="0"/>
              <w:jc w:val="center"/>
              <w:rPr>
                <w:i/>
                <w:sz w:val="18"/>
                <w:szCs w:val="18"/>
              </w:rPr>
            </w:pPr>
            <w:r w:rsidRPr="00D43FF2">
              <w:rPr>
                <w:i/>
                <w:sz w:val="18"/>
                <w:szCs w:val="18"/>
              </w:rPr>
              <w:t>N/A</w:t>
            </w:r>
          </w:p>
        </w:tc>
        <w:tc>
          <w:tcPr>
            <w:tcW w:w="1253" w:type="dxa"/>
            <w:shd w:val="clear" w:color="auto" w:fill="auto"/>
            <w:vAlign w:val="center"/>
          </w:tcPr>
          <w:p w14:paraId="029825BB" w14:textId="77777777" w:rsidR="00D43FF2" w:rsidRPr="00D43FF2" w:rsidRDefault="000A60F9" w:rsidP="00D43FF2">
            <w:pPr>
              <w:ind w:left="0"/>
              <w:jc w:val="center"/>
              <w:rPr>
                <w:i/>
                <w:sz w:val="18"/>
                <w:szCs w:val="18"/>
              </w:rPr>
            </w:pPr>
            <w:r>
              <w:rPr>
                <w:i/>
                <w:sz w:val="18"/>
                <w:szCs w:val="18"/>
              </w:rPr>
              <w:t>35</w:t>
            </w:r>
          </w:p>
        </w:tc>
        <w:tc>
          <w:tcPr>
            <w:tcW w:w="1015" w:type="dxa"/>
            <w:vAlign w:val="center"/>
          </w:tcPr>
          <w:p w14:paraId="21EC17A4" w14:textId="77777777" w:rsidR="00D43FF2" w:rsidRPr="00D43FF2" w:rsidRDefault="00D43FF2" w:rsidP="00D43FF2">
            <w:pPr>
              <w:ind w:left="0"/>
              <w:jc w:val="center"/>
              <w:rPr>
                <w:i/>
                <w:sz w:val="18"/>
                <w:szCs w:val="18"/>
              </w:rPr>
            </w:pPr>
            <w:r w:rsidRPr="00D43FF2">
              <w:rPr>
                <w:i/>
                <w:sz w:val="18"/>
                <w:szCs w:val="18"/>
              </w:rPr>
              <w:t>RO OPII</w:t>
            </w:r>
          </w:p>
        </w:tc>
        <w:tc>
          <w:tcPr>
            <w:tcW w:w="1388" w:type="dxa"/>
            <w:vAlign w:val="center"/>
          </w:tcPr>
          <w:p w14:paraId="7953C036" w14:textId="77777777" w:rsidR="00D43FF2" w:rsidRPr="00D43FF2" w:rsidRDefault="00D43FF2" w:rsidP="00D43FF2">
            <w:pPr>
              <w:ind w:left="0"/>
              <w:jc w:val="center"/>
              <w:rPr>
                <w:i/>
                <w:sz w:val="18"/>
                <w:szCs w:val="18"/>
              </w:rPr>
            </w:pPr>
            <w:r w:rsidRPr="00D43FF2">
              <w:rPr>
                <w:i/>
                <w:sz w:val="18"/>
                <w:szCs w:val="18"/>
              </w:rPr>
              <w:t>Ročne</w:t>
            </w:r>
          </w:p>
        </w:tc>
      </w:tr>
    </w:tbl>
    <w:p w14:paraId="6ABD1531" w14:textId="77777777" w:rsidR="001A218B" w:rsidRDefault="001A218B" w:rsidP="001A218B">
      <w:pPr>
        <w:pStyle w:val="Nadpis3"/>
      </w:pPr>
      <w:bookmarkStart w:id="28" w:name="_Toc28951590"/>
      <w:r>
        <w:t>Výkonnostný rámec prioritnej osi</w:t>
      </w:r>
      <w:bookmarkEnd w:id="28"/>
    </w:p>
    <w:p w14:paraId="72E2DBDA" w14:textId="77777777" w:rsidR="007B3B80" w:rsidRPr="007B3B80" w:rsidRDefault="00731428" w:rsidP="00D84118">
      <w:pPr>
        <w:pStyle w:val="Tab"/>
      </w:pPr>
      <w:r>
        <w:t>Výkonnostný rámec Prioritnej osi 1</w:t>
      </w:r>
    </w:p>
    <w:tbl>
      <w:tblPr>
        <w:tblStyle w:val="Mriekatabuky"/>
        <w:tblW w:w="97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76"/>
        <w:gridCol w:w="897"/>
        <w:gridCol w:w="617"/>
        <w:gridCol w:w="986"/>
        <w:gridCol w:w="987"/>
        <w:gridCol w:w="846"/>
        <w:gridCol w:w="747"/>
        <w:gridCol w:w="1217"/>
      </w:tblGrid>
      <w:tr w:rsidR="008C1732" w14:paraId="68ECE472" w14:textId="77777777" w:rsidTr="002F7BDD">
        <w:trPr>
          <w:trHeight w:val="340"/>
          <w:jc w:val="center"/>
        </w:trPr>
        <w:tc>
          <w:tcPr>
            <w:tcW w:w="1476" w:type="dxa"/>
            <w:shd w:val="clear" w:color="auto" w:fill="C6D9F1" w:themeFill="text2" w:themeFillTint="33"/>
          </w:tcPr>
          <w:p w14:paraId="04193F59" w14:textId="77777777" w:rsidR="00731428" w:rsidRPr="008C1732" w:rsidRDefault="00731428" w:rsidP="00731428">
            <w:pPr>
              <w:ind w:left="0"/>
              <w:rPr>
                <w:b/>
                <w:sz w:val="18"/>
                <w:szCs w:val="18"/>
              </w:rPr>
            </w:pPr>
            <w:r w:rsidRPr="008C1732">
              <w:rPr>
                <w:b/>
                <w:sz w:val="18"/>
                <w:szCs w:val="18"/>
              </w:rPr>
              <w:t>Typ ukazovateľa</w:t>
            </w:r>
          </w:p>
          <w:p w14:paraId="579FE444" w14:textId="77777777" w:rsidR="00731428" w:rsidRPr="008C1732" w:rsidRDefault="00731428" w:rsidP="00731428">
            <w:pPr>
              <w:ind w:left="0"/>
              <w:rPr>
                <w:b/>
                <w:sz w:val="18"/>
                <w:szCs w:val="18"/>
              </w:rPr>
            </w:pPr>
          </w:p>
          <w:p w14:paraId="2C04E19E" w14:textId="77777777" w:rsidR="00731428" w:rsidRPr="008C1732" w:rsidRDefault="00731428" w:rsidP="00731428">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525026DD" w14:textId="77777777" w:rsidR="00731428" w:rsidRPr="008C1732" w:rsidRDefault="00350B96" w:rsidP="00731428">
            <w:pPr>
              <w:ind w:left="0"/>
              <w:rPr>
                <w:b/>
                <w:sz w:val="18"/>
                <w:szCs w:val="18"/>
              </w:rPr>
            </w:pPr>
            <w:r>
              <w:rPr>
                <w:b/>
                <w:sz w:val="18"/>
                <w:szCs w:val="18"/>
              </w:rPr>
              <w:t>P. č.</w:t>
            </w:r>
          </w:p>
        </w:tc>
        <w:tc>
          <w:tcPr>
            <w:tcW w:w="1576" w:type="dxa"/>
            <w:shd w:val="clear" w:color="auto" w:fill="C6D9F1" w:themeFill="text2" w:themeFillTint="33"/>
          </w:tcPr>
          <w:p w14:paraId="67EFDC87" w14:textId="77777777" w:rsidR="00731428" w:rsidRPr="008C1732" w:rsidRDefault="00731428" w:rsidP="00731428">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77EC04A0" w14:textId="77777777" w:rsidR="00731428" w:rsidRPr="008C1732" w:rsidRDefault="00731428" w:rsidP="00731428">
            <w:pPr>
              <w:ind w:left="0"/>
              <w:rPr>
                <w:b/>
                <w:sz w:val="18"/>
                <w:szCs w:val="18"/>
              </w:rPr>
            </w:pPr>
            <w:r w:rsidRPr="008C1732">
              <w:rPr>
                <w:b/>
                <w:sz w:val="18"/>
                <w:szCs w:val="18"/>
              </w:rPr>
              <w:t>Merná jednotka</w:t>
            </w:r>
          </w:p>
        </w:tc>
        <w:tc>
          <w:tcPr>
            <w:tcW w:w="617" w:type="dxa"/>
            <w:shd w:val="clear" w:color="auto" w:fill="C6D9F1" w:themeFill="text2" w:themeFillTint="33"/>
          </w:tcPr>
          <w:p w14:paraId="347A694F" w14:textId="77777777" w:rsidR="00731428" w:rsidRPr="008C1732" w:rsidRDefault="00731428" w:rsidP="00731428">
            <w:pPr>
              <w:ind w:left="0"/>
              <w:rPr>
                <w:b/>
                <w:sz w:val="18"/>
                <w:szCs w:val="18"/>
              </w:rPr>
            </w:pPr>
            <w:r w:rsidRPr="008C1732">
              <w:rPr>
                <w:b/>
                <w:sz w:val="18"/>
                <w:szCs w:val="18"/>
              </w:rPr>
              <w:t>Fond</w:t>
            </w:r>
          </w:p>
        </w:tc>
        <w:tc>
          <w:tcPr>
            <w:tcW w:w="986" w:type="dxa"/>
            <w:shd w:val="clear" w:color="auto" w:fill="C6D9F1" w:themeFill="text2" w:themeFillTint="33"/>
          </w:tcPr>
          <w:p w14:paraId="5726C6DA" w14:textId="77777777" w:rsidR="00731428" w:rsidRPr="008C1732" w:rsidRDefault="00731428" w:rsidP="00731428">
            <w:pPr>
              <w:ind w:left="0"/>
              <w:rPr>
                <w:b/>
                <w:sz w:val="18"/>
                <w:szCs w:val="18"/>
              </w:rPr>
            </w:pPr>
            <w:r w:rsidRPr="008C1732">
              <w:rPr>
                <w:b/>
                <w:sz w:val="18"/>
                <w:szCs w:val="18"/>
              </w:rPr>
              <w:t>Kategória regiónu</w:t>
            </w:r>
          </w:p>
        </w:tc>
        <w:tc>
          <w:tcPr>
            <w:tcW w:w="987" w:type="dxa"/>
            <w:shd w:val="clear" w:color="auto" w:fill="C6D9F1" w:themeFill="text2" w:themeFillTint="33"/>
          </w:tcPr>
          <w:p w14:paraId="05A77A28" w14:textId="77777777" w:rsidR="00731428" w:rsidRPr="008C1732" w:rsidRDefault="00731428" w:rsidP="00731428">
            <w:pPr>
              <w:ind w:left="0"/>
              <w:rPr>
                <w:b/>
                <w:sz w:val="18"/>
                <w:szCs w:val="18"/>
              </w:rPr>
            </w:pPr>
            <w:r w:rsidRPr="008C1732">
              <w:rPr>
                <w:b/>
                <w:sz w:val="18"/>
                <w:szCs w:val="18"/>
              </w:rPr>
              <w:t>Čiastkový cieľ pre rok 2018</w:t>
            </w:r>
          </w:p>
        </w:tc>
        <w:tc>
          <w:tcPr>
            <w:tcW w:w="846" w:type="dxa"/>
            <w:shd w:val="clear" w:color="auto" w:fill="C6D9F1" w:themeFill="text2" w:themeFillTint="33"/>
          </w:tcPr>
          <w:p w14:paraId="050605A9" w14:textId="77777777" w:rsidR="00731428" w:rsidRPr="008C1732" w:rsidRDefault="00731428" w:rsidP="00731428">
            <w:pPr>
              <w:ind w:left="0"/>
              <w:rPr>
                <w:b/>
                <w:sz w:val="18"/>
                <w:szCs w:val="18"/>
              </w:rPr>
            </w:pPr>
            <w:r w:rsidRPr="008C1732">
              <w:rPr>
                <w:b/>
                <w:sz w:val="18"/>
                <w:szCs w:val="18"/>
              </w:rPr>
              <w:t>Zámer</w:t>
            </w:r>
          </w:p>
          <w:p w14:paraId="5313CF8D" w14:textId="77777777" w:rsidR="00731428" w:rsidRPr="008C1732" w:rsidRDefault="00731428" w:rsidP="00731428">
            <w:pPr>
              <w:ind w:left="0"/>
              <w:rPr>
                <w:b/>
                <w:sz w:val="18"/>
                <w:szCs w:val="18"/>
              </w:rPr>
            </w:pPr>
            <w:r w:rsidRPr="008C1732">
              <w:rPr>
                <w:b/>
                <w:sz w:val="18"/>
                <w:szCs w:val="18"/>
              </w:rPr>
              <w:t>(2023)</w:t>
            </w:r>
          </w:p>
        </w:tc>
        <w:tc>
          <w:tcPr>
            <w:tcW w:w="747" w:type="dxa"/>
            <w:shd w:val="clear" w:color="auto" w:fill="C6D9F1" w:themeFill="text2" w:themeFillTint="33"/>
          </w:tcPr>
          <w:p w14:paraId="3A0E460A" w14:textId="77777777" w:rsidR="00731428" w:rsidRPr="008C1732" w:rsidRDefault="00731428" w:rsidP="00731428">
            <w:pPr>
              <w:ind w:left="0"/>
              <w:rPr>
                <w:b/>
                <w:sz w:val="18"/>
                <w:szCs w:val="18"/>
              </w:rPr>
            </w:pPr>
            <w:r w:rsidRPr="008C1732">
              <w:rPr>
                <w:b/>
                <w:sz w:val="18"/>
                <w:szCs w:val="18"/>
              </w:rPr>
              <w:t>Zdroj údajov</w:t>
            </w:r>
          </w:p>
        </w:tc>
        <w:tc>
          <w:tcPr>
            <w:tcW w:w="1217" w:type="dxa"/>
            <w:shd w:val="clear" w:color="auto" w:fill="C6D9F1" w:themeFill="text2" w:themeFillTint="33"/>
          </w:tcPr>
          <w:p w14:paraId="50A1C419" w14:textId="77777777" w:rsidR="00731428" w:rsidRPr="008C1732" w:rsidRDefault="00731428" w:rsidP="00731428">
            <w:pPr>
              <w:ind w:left="0"/>
              <w:rPr>
                <w:b/>
                <w:sz w:val="18"/>
                <w:szCs w:val="18"/>
              </w:rPr>
            </w:pPr>
            <w:r w:rsidRPr="008C1732">
              <w:rPr>
                <w:b/>
                <w:sz w:val="18"/>
                <w:szCs w:val="18"/>
              </w:rPr>
              <w:t>Zdôvodnenie výberu ukazovateľa</w:t>
            </w:r>
          </w:p>
        </w:tc>
      </w:tr>
      <w:tr w:rsidR="008C1732" w14:paraId="5BF77315" w14:textId="77777777" w:rsidTr="002F7BDD">
        <w:trPr>
          <w:trHeight w:val="454"/>
          <w:jc w:val="center"/>
        </w:trPr>
        <w:tc>
          <w:tcPr>
            <w:tcW w:w="1476" w:type="dxa"/>
          </w:tcPr>
          <w:p w14:paraId="6304E2CC" w14:textId="77777777" w:rsidR="00731428" w:rsidRPr="00731428" w:rsidRDefault="00731428" w:rsidP="00731428">
            <w:pPr>
              <w:ind w:left="0"/>
              <w:rPr>
                <w:i/>
                <w:sz w:val="18"/>
                <w:szCs w:val="18"/>
              </w:rPr>
            </w:pPr>
            <w:r w:rsidRPr="00731428">
              <w:rPr>
                <w:i/>
                <w:sz w:val="18"/>
                <w:szCs w:val="18"/>
              </w:rPr>
              <w:t>finančný ukazovateľ</w:t>
            </w:r>
          </w:p>
        </w:tc>
        <w:tc>
          <w:tcPr>
            <w:tcW w:w="371" w:type="dxa"/>
          </w:tcPr>
          <w:p w14:paraId="4D7D8FD7" w14:textId="77777777" w:rsidR="00731428" w:rsidRDefault="00731428" w:rsidP="00731428">
            <w:pPr>
              <w:rPr>
                <w:sz w:val="18"/>
                <w:szCs w:val="18"/>
              </w:rPr>
            </w:pPr>
          </w:p>
        </w:tc>
        <w:tc>
          <w:tcPr>
            <w:tcW w:w="1576" w:type="dxa"/>
            <w:vAlign w:val="center"/>
          </w:tcPr>
          <w:p w14:paraId="6503FBE0" w14:textId="51FB9971" w:rsidR="00731428" w:rsidRDefault="000062A6" w:rsidP="00731428">
            <w:pPr>
              <w:ind w:left="0"/>
              <w:rPr>
                <w:sz w:val="18"/>
                <w:szCs w:val="18"/>
              </w:rPr>
            </w:pPr>
            <w:r>
              <w:rPr>
                <w:sz w:val="18"/>
                <w:szCs w:val="18"/>
              </w:rPr>
              <w:t>C</w:t>
            </w:r>
            <w:r w:rsidRPr="000062A6">
              <w:rPr>
                <w:sz w:val="18"/>
                <w:szCs w:val="18"/>
              </w:rPr>
              <w:t>elková suma oprávnených výdavkov po ich certifikácii certifikačným orgánom</w:t>
            </w:r>
            <w:r w:rsidR="00295712">
              <w:rPr>
                <w:sz w:val="18"/>
                <w:szCs w:val="18"/>
              </w:rPr>
              <w:t xml:space="preserve"> a predložení žiadostí o platby Európskej komisii</w:t>
            </w:r>
          </w:p>
        </w:tc>
        <w:tc>
          <w:tcPr>
            <w:tcW w:w="897" w:type="dxa"/>
          </w:tcPr>
          <w:p w14:paraId="64E2B93B" w14:textId="77777777" w:rsidR="00731428" w:rsidRPr="00731428" w:rsidRDefault="00A84867" w:rsidP="00731428">
            <w:pPr>
              <w:ind w:left="0"/>
              <w:rPr>
                <w:i/>
                <w:sz w:val="18"/>
                <w:szCs w:val="18"/>
                <w:lang w:val="en-US"/>
              </w:rPr>
            </w:pPr>
            <w:r>
              <w:rPr>
                <w:i/>
                <w:sz w:val="18"/>
                <w:szCs w:val="18"/>
                <w:lang w:val="en-US"/>
              </w:rPr>
              <w:t>EUR</w:t>
            </w:r>
          </w:p>
        </w:tc>
        <w:tc>
          <w:tcPr>
            <w:tcW w:w="617" w:type="dxa"/>
          </w:tcPr>
          <w:p w14:paraId="68E90C1C" w14:textId="77777777" w:rsidR="00731428" w:rsidRPr="00731428" w:rsidRDefault="00731428" w:rsidP="00731428">
            <w:pPr>
              <w:ind w:left="0"/>
              <w:rPr>
                <w:i/>
                <w:sz w:val="18"/>
                <w:szCs w:val="18"/>
              </w:rPr>
            </w:pPr>
            <w:r w:rsidRPr="00731428">
              <w:rPr>
                <w:i/>
                <w:sz w:val="18"/>
                <w:szCs w:val="18"/>
              </w:rPr>
              <w:t>KF</w:t>
            </w:r>
          </w:p>
        </w:tc>
        <w:tc>
          <w:tcPr>
            <w:tcW w:w="986" w:type="dxa"/>
          </w:tcPr>
          <w:p w14:paraId="4F827BCB" w14:textId="77777777" w:rsidR="00731428" w:rsidRPr="00731428" w:rsidRDefault="00731428" w:rsidP="00731428">
            <w:pPr>
              <w:ind w:left="0"/>
              <w:rPr>
                <w:i/>
                <w:sz w:val="18"/>
                <w:szCs w:val="18"/>
              </w:rPr>
            </w:pPr>
            <w:r w:rsidRPr="00731428">
              <w:rPr>
                <w:i/>
                <w:sz w:val="18"/>
                <w:szCs w:val="18"/>
              </w:rPr>
              <w:t>N/A</w:t>
            </w:r>
          </w:p>
        </w:tc>
        <w:tc>
          <w:tcPr>
            <w:tcW w:w="987" w:type="dxa"/>
          </w:tcPr>
          <w:p w14:paraId="5BD3EA9E" w14:textId="2477C576" w:rsidR="00731428" w:rsidRPr="00731428" w:rsidRDefault="00A84867" w:rsidP="009F00C0">
            <w:pPr>
              <w:ind w:left="0"/>
              <w:jc w:val="center"/>
              <w:rPr>
                <w:i/>
                <w:sz w:val="18"/>
                <w:szCs w:val="18"/>
              </w:rPr>
            </w:pPr>
            <w:r>
              <w:rPr>
                <w:i/>
                <w:sz w:val="18"/>
                <w:szCs w:val="18"/>
              </w:rPr>
              <w:t> </w:t>
            </w:r>
            <w:r w:rsidR="007B6CEE">
              <w:rPr>
                <w:i/>
                <w:sz w:val="18"/>
                <w:szCs w:val="18"/>
              </w:rPr>
              <w:t>166 516 044</w:t>
            </w:r>
            <w:r>
              <w:rPr>
                <w:i/>
                <w:sz w:val="18"/>
                <w:szCs w:val="18"/>
              </w:rPr>
              <w:t xml:space="preserve"> </w:t>
            </w:r>
          </w:p>
        </w:tc>
        <w:tc>
          <w:tcPr>
            <w:tcW w:w="846" w:type="dxa"/>
          </w:tcPr>
          <w:p w14:paraId="6BDCA15D" w14:textId="77777777" w:rsidR="00731428" w:rsidRPr="00731428" w:rsidRDefault="00A84867" w:rsidP="009F00C0">
            <w:pPr>
              <w:ind w:left="0"/>
              <w:jc w:val="center"/>
              <w:rPr>
                <w:i/>
                <w:sz w:val="18"/>
                <w:szCs w:val="18"/>
              </w:rPr>
            </w:pPr>
            <w:r>
              <w:rPr>
                <w:i/>
                <w:sz w:val="18"/>
                <w:szCs w:val="18"/>
              </w:rPr>
              <w:t> </w:t>
            </w:r>
            <w:r w:rsidR="009F00C0">
              <w:rPr>
                <w:i/>
                <w:sz w:val="18"/>
                <w:szCs w:val="18"/>
              </w:rPr>
              <w:t>853 928 431</w:t>
            </w:r>
            <w:r>
              <w:rPr>
                <w:i/>
                <w:sz w:val="18"/>
                <w:szCs w:val="18"/>
              </w:rPr>
              <w:t xml:space="preserve"> </w:t>
            </w:r>
          </w:p>
        </w:tc>
        <w:tc>
          <w:tcPr>
            <w:tcW w:w="747" w:type="dxa"/>
          </w:tcPr>
          <w:p w14:paraId="0A275131" w14:textId="77777777" w:rsidR="00731428" w:rsidRPr="00731428" w:rsidRDefault="00731428" w:rsidP="00731428">
            <w:pPr>
              <w:ind w:left="0"/>
              <w:rPr>
                <w:i/>
                <w:sz w:val="18"/>
                <w:szCs w:val="18"/>
              </w:rPr>
            </w:pPr>
            <w:r w:rsidRPr="00731428">
              <w:rPr>
                <w:i/>
                <w:sz w:val="18"/>
                <w:szCs w:val="18"/>
              </w:rPr>
              <w:t>RO OPII</w:t>
            </w:r>
          </w:p>
        </w:tc>
        <w:tc>
          <w:tcPr>
            <w:tcW w:w="1217" w:type="dxa"/>
          </w:tcPr>
          <w:p w14:paraId="21628790" w14:textId="77777777" w:rsidR="00731428" w:rsidRPr="00731428" w:rsidRDefault="00731428" w:rsidP="00731428">
            <w:pPr>
              <w:ind w:left="0"/>
              <w:rPr>
                <w:i/>
                <w:sz w:val="18"/>
                <w:szCs w:val="18"/>
              </w:rPr>
            </w:pPr>
            <w:r w:rsidRPr="00731428">
              <w:rPr>
                <w:i/>
                <w:sz w:val="18"/>
                <w:szCs w:val="18"/>
              </w:rPr>
              <w:t>Základný finančný ukazovateľ</w:t>
            </w:r>
          </w:p>
        </w:tc>
      </w:tr>
      <w:tr w:rsidR="003A7041" w14:paraId="2F903FB5" w14:textId="77777777" w:rsidTr="002F7BDD">
        <w:trPr>
          <w:trHeight w:val="454"/>
          <w:jc w:val="center"/>
        </w:trPr>
        <w:tc>
          <w:tcPr>
            <w:tcW w:w="1476" w:type="dxa"/>
          </w:tcPr>
          <w:p w14:paraId="3F06C951" w14:textId="77777777" w:rsidR="006B396A" w:rsidRDefault="003A7041">
            <w:pPr>
              <w:ind w:left="0"/>
              <w:rPr>
                <w:i/>
                <w:sz w:val="18"/>
                <w:szCs w:val="18"/>
              </w:rPr>
            </w:pPr>
            <w:r>
              <w:rPr>
                <w:i/>
                <w:sz w:val="18"/>
                <w:szCs w:val="18"/>
              </w:rPr>
              <w:t>Výstupový ukazovateľ</w:t>
            </w:r>
          </w:p>
        </w:tc>
        <w:tc>
          <w:tcPr>
            <w:tcW w:w="371" w:type="dxa"/>
          </w:tcPr>
          <w:p w14:paraId="0265F65B" w14:textId="77777777" w:rsidR="006B396A" w:rsidRDefault="006B396A">
            <w:pPr>
              <w:ind w:left="0"/>
              <w:rPr>
                <w:sz w:val="18"/>
                <w:szCs w:val="18"/>
              </w:rPr>
            </w:pPr>
          </w:p>
        </w:tc>
        <w:tc>
          <w:tcPr>
            <w:tcW w:w="1576" w:type="dxa"/>
            <w:vAlign w:val="center"/>
          </w:tcPr>
          <w:p w14:paraId="1CA8B0F1" w14:textId="77777777" w:rsidR="006B396A" w:rsidRDefault="005C0220">
            <w:pPr>
              <w:ind w:left="0"/>
              <w:rPr>
                <w:sz w:val="18"/>
                <w:szCs w:val="18"/>
              </w:rPr>
            </w:pPr>
            <w:r w:rsidRPr="00D43FF2">
              <w:rPr>
                <w:sz w:val="18"/>
                <w:szCs w:val="18"/>
              </w:rPr>
              <w:t>Celková dĺžka rekonštruovaných alebo zrenovovaných</w:t>
            </w:r>
            <w:r>
              <w:rPr>
                <w:sz w:val="18"/>
                <w:szCs w:val="18"/>
              </w:rPr>
              <w:t xml:space="preserve"> železničných</w:t>
            </w:r>
            <w:r w:rsidRPr="00D43FF2">
              <w:rPr>
                <w:sz w:val="18"/>
                <w:szCs w:val="18"/>
              </w:rPr>
              <w:t xml:space="preserve"> tratí </w:t>
            </w:r>
            <w:r>
              <w:rPr>
                <w:sz w:val="18"/>
                <w:szCs w:val="18"/>
              </w:rPr>
              <w:t>v sieti TEN-T</w:t>
            </w:r>
          </w:p>
        </w:tc>
        <w:tc>
          <w:tcPr>
            <w:tcW w:w="897" w:type="dxa"/>
          </w:tcPr>
          <w:p w14:paraId="0E98C3A8" w14:textId="77777777" w:rsidR="006B396A" w:rsidRDefault="003A7041">
            <w:pPr>
              <w:ind w:left="0"/>
              <w:rPr>
                <w:i/>
                <w:sz w:val="18"/>
                <w:szCs w:val="18"/>
              </w:rPr>
            </w:pPr>
            <w:r>
              <w:rPr>
                <w:i/>
                <w:sz w:val="18"/>
                <w:szCs w:val="18"/>
              </w:rPr>
              <w:t>km</w:t>
            </w:r>
          </w:p>
        </w:tc>
        <w:tc>
          <w:tcPr>
            <w:tcW w:w="617" w:type="dxa"/>
          </w:tcPr>
          <w:p w14:paraId="1596ADB2" w14:textId="77777777" w:rsidR="006B396A" w:rsidRDefault="003A7041">
            <w:pPr>
              <w:ind w:left="0"/>
              <w:rPr>
                <w:i/>
                <w:sz w:val="18"/>
                <w:szCs w:val="18"/>
              </w:rPr>
            </w:pPr>
            <w:r>
              <w:rPr>
                <w:i/>
                <w:sz w:val="18"/>
                <w:szCs w:val="18"/>
              </w:rPr>
              <w:t>KF</w:t>
            </w:r>
          </w:p>
        </w:tc>
        <w:tc>
          <w:tcPr>
            <w:tcW w:w="986" w:type="dxa"/>
          </w:tcPr>
          <w:p w14:paraId="509238D7" w14:textId="77777777" w:rsidR="006B396A" w:rsidRDefault="003A7041">
            <w:pPr>
              <w:ind w:left="0"/>
              <w:rPr>
                <w:i/>
                <w:sz w:val="18"/>
                <w:szCs w:val="18"/>
              </w:rPr>
            </w:pPr>
            <w:r>
              <w:rPr>
                <w:i/>
                <w:sz w:val="18"/>
                <w:szCs w:val="18"/>
              </w:rPr>
              <w:t>N/A</w:t>
            </w:r>
          </w:p>
        </w:tc>
        <w:tc>
          <w:tcPr>
            <w:tcW w:w="987" w:type="dxa"/>
          </w:tcPr>
          <w:p w14:paraId="149B6C45" w14:textId="21DEF538" w:rsidR="006B396A" w:rsidRDefault="00823ED1" w:rsidP="00B80579">
            <w:pPr>
              <w:ind w:left="0"/>
              <w:jc w:val="center"/>
              <w:rPr>
                <w:i/>
                <w:sz w:val="18"/>
                <w:szCs w:val="18"/>
              </w:rPr>
            </w:pPr>
            <w:r>
              <w:rPr>
                <w:i/>
                <w:sz w:val="18"/>
                <w:szCs w:val="18"/>
              </w:rPr>
              <w:t>8,8</w:t>
            </w:r>
          </w:p>
        </w:tc>
        <w:tc>
          <w:tcPr>
            <w:tcW w:w="846" w:type="dxa"/>
          </w:tcPr>
          <w:p w14:paraId="29955694" w14:textId="1311EC3D" w:rsidR="006B396A" w:rsidRDefault="004845C1" w:rsidP="00125FB5">
            <w:pPr>
              <w:ind w:left="0"/>
              <w:jc w:val="center"/>
              <w:rPr>
                <w:i/>
                <w:sz w:val="18"/>
                <w:szCs w:val="18"/>
                <w:lang w:val="en-US"/>
              </w:rPr>
            </w:pPr>
            <w:r>
              <w:rPr>
                <w:i/>
                <w:sz w:val="18"/>
                <w:szCs w:val="18"/>
                <w:lang w:val="en-US"/>
              </w:rPr>
              <w:t>34,</w:t>
            </w:r>
            <w:r w:rsidR="00125FB5">
              <w:rPr>
                <w:i/>
                <w:sz w:val="18"/>
                <w:szCs w:val="18"/>
                <w:lang w:val="en-US"/>
              </w:rPr>
              <w:t>8</w:t>
            </w:r>
          </w:p>
        </w:tc>
        <w:tc>
          <w:tcPr>
            <w:tcW w:w="747" w:type="dxa"/>
          </w:tcPr>
          <w:p w14:paraId="6127387E" w14:textId="77777777" w:rsidR="006B396A" w:rsidRDefault="003A7041">
            <w:pPr>
              <w:ind w:left="0"/>
              <w:rPr>
                <w:i/>
                <w:sz w:val="18"/>
                <w:szCs w:val="18"/>
              </w:rPr>
            </w:pPr>
            <w:r>
              <w:rPr>
                <w:i/>
                <w:sz w:val="18"/>
                <w:szCs w:val="18"/>
              </w:rPr>
              <w:t>RO OPII</w:t>
            </w:r>
          </w:p>
        </w:tc>
        <w:tc>
          <w:tcPr>
            <w:tcW w:w="1217" w:type="dxa"/>
          </w:tcPr>
          <w:p w14:paraId="38AF139D" w14:textId="77777777" w:rsidR="006B396A" w:rsidRDefault="003A7041">
            <w:pPr>
              <w:ind w:left="0"/>
              <w:rPr>
                <w:i/>
                <w:sz w:val="18"/>
                <w:szCs w:val="18"/>
              </w:rPr>
            </w:pPr>
            <w:r>
              <w:rPr>
                <w:i/>
                <w:sz w:val="18"/>
                <w:szCs w:val="18"/>
              </w:rPr>
              <w:t>Nosná investičná aktivita v rámci PO1</w:t>
            </w:r>
          </w:p>
        </w:tc>
      </w:tr>
    </w:tbl>
    <w:p w14:paraId="4BE8DC25" w14:textId="77777777" w:rsidR="001B7838" w:rsidRDefault="001B7838" w:rsidP="001B7838"/>
    <w:p w14:paraId="31438E86" w14:textId="77777777" w:rsidR="00E77179" w:rsidRPr="001B7838" w:rsidRDefault="00E77179" w:rsidP="001B7838"/>
    <w:p w14:paraId="3F5245AB" w14:textId="77777777" w:rsidR="007B3B80" w:rsidRDefault="007B3B80" w:rsidP="007B3B80">
      <w:pPr>
        <w:pStyle w:val="Nadpis3"/>
      </w:pPr>
      <w:bookmarkStart w:id="29" w:name="_Toc28951591"/>
      <w:r>
        <w:t>Kategórie intervencií</w:t>
      </w:r>
      <w:bookmarkEnd w:id="29"/>
    </w:p>
    <w:p w14:paraId="52477CDF" w14:textId="77777777" w:rsidR="006579CE" w:rsidRPr="006579CE" w:rsidRDefault="006579CE"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6579CE" w14:paraId="416C8294" w14:textId="77777777" w:rsidTr="0095191D">
        <w:trPr>
          <w:trHeight w:val="255"/>
        </w:trPr>
        <w:tc>
          <w:tcPr>
            <w:tcW w:w="9098" w:type="dxa"/>
            <w:gridSpan w:val="3"/>
            <w:shd w:val="clear" w:color="auto" w:fill="DBE5F1" w:themeFill="accent1" w:themeFillTint="33"/>
            <w:vAlign w:val="center"/>
          </w:tcPr>
          <w:p w14:paraId="1B8E695B" w14:textId="77777777" w:rsidR="006579CE" w:rsidRPr="006579CE" w:rsidRDefault="006579CE" w:rsidP="006579CE">
            <w:pPr>
              <w:pStyle w:val="Default"/>
              <w:autoSpaceDE/>
              <w:autoSpaceDN/>
              <w:adjustRightInd/>
              <w:ind w:left="0"/>
              <w:rPr>
                <w:sz w:val="20"/>
                <w:szCs w:val="20"/>
              </w:rPr>
            </w:pPr>
            <w:r>
              <w:rPr>
                <w:b/>
                <w:bCs/>
                <w:sz w:val="20"/>
                <w:szCs w:val="20"/>
              </w:rPr>
              <w:t xml:space="preserve">Rozmer 1 – Oblasť intervencie </w:t>
            </w:r>
          </w:p>
        </w:tc>
      </w:tr>
      <w:tr w:rsidR="006579CE" w14:paraId="51BF2069" w14:textId="77777777" w:rsidTr="0095191D">
        <w:trPr>
          <w:trHeight w:val="255"/>
        </w:trPr>
        <w:tc>
          <w:tcPr>
            <w:tcW w:w="4928" w:type="dxa"/>
            <w:shd w:val="clear" w:color="auto" w:fill="DBE5F1" w:themeFill="accent1" w:themeFillTint="33"/>
            <w:vAlign w:val="center"/>
          </w:tcPr>
          <w:p w14:paraId="7ADA3C48" w14:textId="77777777" w:rsidR="006579CE" w:rsidRPr="006579CE" w:rsidRDefault="006579CE" w:rsidP="006579CE">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2147922A" w14:textId="77777777" w:rsidR="006579CE" w:rsidRPr="006579CE" w:rsidRDefault="006579CE" w:rsidP="006579CE">
            <w:pPr>
              <w:pStyle w:val="Default"/>
              <w:autoSpaceDE/>
              <w:autoSpaceDN/>
              <w:adjustRightInd/>
              <w:ind w:left="0"/>
              <w:rPr>
                <w:bCs/>
                <w:sz w:val="20"/>
                <w:szCs w:val="20"/>
              </w:rPr>
            </w:pPr>
            <w:r w:rsidRPr="006579CE">
              <w:rPr>
                <w:bCs/>
                <w:sz w:val="20"/>
                <w:szCs w:val="20"/>
              </w:rPr>
              <w:t>Kohézny fond</w:t>
            </w:r>
          </w:p>
        </w:tc>
      </w:tr>
      <w:tr w:rsidR="006579CE" w14:paraId="42E24759" w14:textId="77777777" w:rsidTr="0095191D">
        <w:trPr>
          <w:trHeight w:val="255"/>
        </w:trPr>
        <w:tc>
          <w:tcPr>
            <w:tcW w:w="4928" w:type="dxa"/>
            <w:shd w:val="clear" w:color="auto" w:fill="DBE5F1" w:themeFill="accent1" w:themeFillTint="33"/>
            <w:vAlign w:val="center"/>
          </w:tcPr>
          <w:p w14:paraId="2C4B3D1A" w14:textId="77777777" w:rsidR="006579CE" w:rsidRPr="006579CE" w:rsidRDefault="006579CE" w:rsidP="006579CE">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5D73E9EE" w14:textId="77777777" w:rsidR="006579CE" w:rsidRPr="006579CE" w:rsidRDefault="006579CE" w:rsidP="006579CE">
            <w:pPr>
              <w:ind w:left="0"/>
              <w:rPr>
                <w:sz w:val="20"/>
                <w:szCs w:val="20"/>
              </w:rPr>
            </w:pPr>
            <w:r w:rsidRPr="006579CE">
              <w:rPr>
                <w:sz w:val="20"/>
                <w:szCs w:val="20"/>
              </w:rPr>
              <w:t>N/A</w:t>
            </w:r>
          </w:p>
        </w:tc>
      </w:tr>
      <w:tr w:rsidR="006579CE" w14:paraId="23AD1C46" w14:textId="77777777" w:rsidTr="0095191D">
        <w:trPr>
          <w:trHeight w:val="255"/>
        </w:trPr>
        <w:tc>
          <w:tcPr>
            <w:tcW w:w="4928" w:type="dxa"/>
            <w:vAlign w:val="center"/>
          </w:tcPr>
          <w:p w14:paraId="7DD7ECC8" w14:textId="77777777" w:rsidR="006579CE" w:rsidRPr="00D479A4" w:rsidRDefault="00D479A4" w:rsidP="00D479A4">
            <w:pPr>
              <w:ind w:left="0"/>
              <w:jc w:val="center"/>
              <w:rPr>
                <w:b/>
                <w:sz w:val="20"/>
                <w:szCs w:val="20"/>
              </w:rPr>
            </w:pPr>
            <w:r w:rsidRPr="00D479A4">
              <w:rPr>
                <w:b/>
                <w:sz w:val="20"/>
                <w:szCs w:val="20"/>
              </w:rPr>
              <w:t>Prioritná os</w:t>
            </w:r>
          </w:p>
        </w:tc>
        <w:tc>
          <w:tcPr>
            <w:tcW w:w="2126" w:type="dxa"/>
            <w:vAlign w:val="center"/>
          </w:tcPr>
          <w:p w14:paraId="5FA3B17C" w14:textId="77777777" w:rsidR="006579CE" w:rsidRPr="00D479A4" w:rsidRDefault="00D479A4" w:rsidP="00D479A4">
            <w:pPr>
              <w:ind w:left="0"/>
              <w:jc w:val="center"/>
              <w:rPr>
                <w:b/>
                <w:sz w:val="20"/>
                <w:szCs w:val="20"/>
              </w:rPr>
            </w:pPr>
            <w:r w:rsidRPr="00D479A4">
              <w:rPr>
                <w:b/>
                <w:sz w:val="20"/>
                <w:szCs w:val="20"/>
              </w:rPr>
              <w:t>Kód</w:t>
            </w:r>
          </w:p>
        </w:tc>
        <w:tc>
          <w:tcPr>
            <w:tcW w:w="2044" w:type="dxa"/>
            <w:vAlign w:val="center"/>
          </w:tcPr>
          <w:p w14:paraId="25DCD391" w14:textId="77777777" w:rsidR="006579CE" w:rsidRPr="00D479A4" w:rsidRDefault="00D479A4" w:rsidP="00D479A4">
            <w:pPr>
              <w:ind w:left="0"/>
              <w:jc w:val="center"/>
              <w:rPr>
                <w:b/>
                <w:sz w:val="20"/>
                <w:szCs w:val="20"/>
              </w:rPr>
            </w:pPr>
            <w:r w:rsidRPr="00D479A4">
              <w:rPr>
                <w:b/>
                <w:sz w:val="20"/>
                <w:szCs w:val="20"/>
              </w:rPr>
              <w:t>Suma (v EUR)</w:t>
            </w:r>
          </w:p>
        </w:tc>
      </w:tr>
      <w:tr w:rsidR="00D479A4" w14:paraId="3A353098" w14:textId="77777777" w:rsidTr="0095191D">
        <w:trPr>
          <w:trHeight w:val="255"/>
        </w:trPr>
        <w:tc>
          <w:tcPr>
            <w:tcW w:w="4928" w:type="dxa"/>
            <w:vMerge w:val="restart"/>
            <w:vAlign w:val="center"/>
          </w:tcPr>
          <w:p w14:paraId="43225E8E" w14:textId="77777777" w:rsidR="00D479A4" w:rsidRPr="00D479A4" w:rsidRDefault="00D615EB" w:rsidP="00D479A4">
            <w:pPr>
              <w:ind w:left="0"/>
              <w:rPr>
                <w:sz w:val="20"/>
                <w:szCs w:val="20"/>
              </w:rPr>
            </w:pPr>
            <w:r>
              <w:rPr>
                <w:sz w:val="20"/>
                <w:szCs w:val="20"/>
              </w:rPr>
              <w:t xml:space="preserve">Prioritná os 1 - </w:t>
            </w:r>
            <w:r w:rsidR="00D479A4" w:rsidRPr="00D479A4">
              <w:rPr>
                <w:sz w:val="20"/>
                <w:szCs w:val="20"/>
              </w:rPr>
              <w:t>Železničná infraštruktúra (TEN-T CORE) a obnova mobilných prostriedkov</w:t>
            </w:r>
          </w:p>
        </w:tc>
        <w:tc>
          <w:tcPr>
            <w:tcW w:w="2126" w:type="dxa"/>
            <w:vAlign w:val="center"/>
          </w:tcPr>
          <w:p w14:paraId="18923F1C" w14:textId="77777777" w:rsidR="00D479A4" w:rsidRPr="00D479A4" w:rsidRDefault="00D479A4" w:rsidP="00D479A4">
            <w:pPr>
              <w:ind w:left="0"/>
              <w:jc w:val="center"/>
              <w:rPr>
                <w:sz w:val="20"/>
                <w:szCs w:val="20"/>
              </w:rPr>
            </w:pPr>
            <w:r>
              <w:rPr>
                <w:sz w:val="20"/>
                <w:szCs w:val="20"/>
              </w:rPr>
              <w:t>024</w:t>
            </w:r>
          </w:p>
        </w:tc>
        <w:tc>
          <w:tcPr>
            <w:tcW w:w="2044" w:type="dxa"/>
            <w:vAlign w:val="center"/>
          </w:tcPr>
          <w:p w14:paraId="3D8BE0A0" w14:textId="77777777" w:rsidR="00D479A4" w:rsidRPr="00D479A4" w:rsidRDefault="00D479A4" w:rsidP="00D479A4">
            <w:pPr>
              <w:ind w:left="0"/>
              <w:jc w:val="center"/>
              <w:rPr>
                <w:sz w:val="20"/>
                <w:szCs w:val="20"/>
              </w:rPr>
            </w:pPr>
            <w:r w:rsidRPr="00D479A4">
              <w:rPr>
                <w:sz w:val="20"/>
                <w:szCs w:val="20"/>
              </w:rPr>
              <w:t>545 839 166</w:t>
            </w:r>
          </w:p>
        </w:tc>
      </w:tr>
      <w:tr w:rsidR="00D479A4" w14:paraId="05C640C0" w14:textId="77777777" w:rsidTr="0095191D">
        <w:trPr>
          <w:trHeight w:val="255"/>
        </w:trPr>
        <w:tc>
          <w:tcPr>
            <w:tcW w:w="4928" w:type="dxa"/>
            <w:vMerge/>
            <w:vAlign w:val="center"/>
          </w:tcPr>
          <w:p w14:paraId="25960239" w14:textId="77777777" w:rsidR="00D479A4" w:rsidRPr="00D479A4" w:rsidRDefault="00D479A4" w:rsidP="006579CE">
            <w:pPr>
              <w:ind w:left="0"/>
              <w:rPr>
                <w:sz w:val="20"/>
                <w:szCs w:val="20"/>
              </w:rPr>
            </w:pPr>
          </w:p>
        </w:tc>
        <w:tc>
          <w:tcPr>
            <w:tcW w:w="2126" w:type="dxa"/>
            <w:vAlign w:val="center"/>
          </w:tcPr>
          <w:p w14:paraId="06E017BB" w14:textId="77777777" w:rsidR="00D479A4" w:rsidRPr="00D479A4" w:rsidRDefault="00D479A4" w:rsidP="00D479A4">
            <w:pPr>
              <w:ind w:left="0"/>
              <w:jc w:val="center"/>
              <w:rPr>
                <w:sz w:val="20"/>
                <w:szCs w:val="20"/>
              </w:rPr>
            </w:pPr>
            <w:r>
              <w:rPr>
                <w:sz w:val="20"/>
                <w:szCs w:val="20"/>
              </w:rPr>
              <w:t>027</w:t>
            </w:r>
          </w:p>
        </w:tc>
        <w:tc>
          <w:tcPr>
            <w:tcW w:w="2044" w:type="dxa"/>
            <w:vAlign w:val="center"/>
          </w:tcPr>
          <w:p w14:paraId="5DFB1E4C" w14:textId="77777777" w:rsidR="00D479A4" w:rsidRPr="00D479A4" w:rsidRDefault="00D479A4" w:rsidP="00D479A4">
            <w:pPr>
              <w:ind w:left="0"/>
              <w:jc w:val="center"/>
              <w:rPr>
                <w:sz w:val="20"/>
                <w:szCs w:val="20"/>
                <w:lang w:val="en-US"/>
              </w:rPr>
            </w:pPr>
            <w:r>
              <w:rPr>
                <w:sz w:val="20"/>
                <w:szCs w:val="20"/>
              </w:rPr>
              <w:t>1</w:t>
            </w:r>
            <w:r>
              <w:rPr>
                <w:sz w:val="20"/>
                <w:szCs w:val="20"/>
                <w:lang w:val="en-US"/>
              </w:rPr>
              <w:t>80 000 000</w:t>
            </w:r>
          </w:p>
        </w:tc>
      </w:tr>
    </w:tbl>
    <w:p w14:paraId="21AEB1E3" w14:textId="77777777" w:rsidR="00371AA8" w:rsidRPr="00371AA8" w:rsidRDefault="00371AA8"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D479A4" w14:paraId="64154420" w14:textId="77777777" w:rsidTr="0095191D">
        <w:trPr>
          <w:trHeight w:val="255"/>
        </w:trPr>
        <w:tc>
          <w:tcPr>
            <w:tcW w:w="9098" w:type="dxa"/>
            <w:gridSpan w:val="3"/>
            <w:shd w:val="clear" w:color="auto" w:fill="DBE5F1" w:themeFill="accent1" w:themeFillTint="33"/>
            <w:vAlign w:val="center"/>
          </w:tcPr>
          <w:p w14:paraId="45EB046B" w14:textId="77777777" w:rsidR="00D479A4" w:rsidRPr="006579CE" w:rsidRDefault="00D479A4" w:rsidP="00D479A4">
            <w:pPr>
              <w:pStyle w:val="Default"/>
              <w:autoSpaceDE/>
              <w:autoSpaceDN/>
              <w:adjustRightInd/>
              <w:ind w:left="0"/>
              <w:rPr>
                <w:sz w:val="20"/>
                <w:szCs w:val="20"/>
              </w:rPr>
            </w:pPr>
            <w:r>
              <w:rPr>
                <w:b/>
                <w:bCs/>
                <w:sz w:val="20"/>
                <w:szCs w:val="20"/>
              </w:rPr>
              <w:t xml:space="preserve">Rozmer 2 – Forma financovania </w:t>
            </w:r>
          </w:p>
        </w:tc>
      </w:tr>
      <w:tr w:rsidR="00D479A4" w14:paraId="446A6ADE" w14:textId="77777777" w:rsidTr="0095191D">
        <w:trPr>
          <w:trHeight w:val="255"/>
        </w:trPr>
        <w:tc>
          <w:tcPr>
            <w:tcW w:w="4928" w:type="dxa"/>
            <w:shd w:val="clear" w:color="auto" w:fill="DBE5F1" w:themeFill="accent1" w:themeFillTint="33"/>
            <w:vAlign w:val="center"/>
          </w:tcPr>
          <w:p w14:paraId="1EE375DD" w14:textId="77777777" w:rsidR="00D479A4" w:rsidRPr="006579CE" w:rsidRDefault="00D479A4"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172D6AE4" w14:textId="77777777" w:rsidR="00D479A4" w:rsidRPr="006579CE" w:rsidRDefault="00D479A4" w:rsidP="005917D8">
            <w:pPr>
              <w:pStyle w:val="Default"/>
              <w:autoSpaceDE/>
              <w:autoSpaceDN/>
              <w:adjustRightInd/>
              <w:ind w:left="0"/>
              <w:rPr>
                <w:bCs/>
                <w:sz w:val="20"/>
                <w:szCs w:val="20"/>
              </w:rPr>
            </w:pPr>
            <w:r w:rsidRPr="006579CE">
              <w:rPr>
                <w:bCs/>
                <w:sz w:val="20"/>
                <w:szCs w:val="20"/>
              </w:rPr>
              <w:t>Kohézny fond</w:t>
            </w:r>
          </w:p>
        </w:tc>
      </w:tr>
      <w:tr w:rsidR="00D479A4" w14:paraId="20D039B7" w14:textId="77777777" w:rsidTr="0095191D">
        <w:trPr>
          <w:trHeight w:val="255"/>
        </w:trPr>
        <w:tc>
          <w:tcPr>
            <w:tcW w:w="4928" w:type="dxa"/>
            <w:shd w:val="clear" w:color="auto" w:fill="DBE5F1" w:themeFill="accent1" w:themeFillTint="33"/>
            <w:vAlign w:val="center"/>
          </w:tcPr>
          <w:p w14:paraId="4192AFC6" w14:textId="77777777" w:rsidR="00D479A4" w:rsidRPr="006579CE" w:rsidRDefault="00D479A4"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336E12B3" w14:textId="77777777" w:rsidR="00D479A4" w:rsidRPr="006579CE" w:rsidRDefault="00D479A4" w:rsidP="005917D8">
            <w:pPr>
              <w:ind w:left="0"/>
              <w:rPr>
                <w:sz w:val="20"/>
                <w:szCs w:val="20"/>
              </w:rPr>
            </w:pPr>
            <w:r w:rsidRPr="006579CE">
              <w:rPr>
                <w:sz w:val="20"/>
                <w:szCs w:val="20"/>
              </w:rPr>
              <w:t>N/A</w:t>
            </w:r>
          </w:p>
        </w:tc>
      </w:tr>
      <w:tr w:rsidR="00D479A4" w14:paraId="470743E8" w14:textId="77777777" w:rsidTr="0095191D">
        <w:trPr>
          <w:trHeight w:val="255"/>
        </w:trPr>
        <w:tc>
          <w:tcPr>
            <w:tcW w:w="4928" w:type="dxa"/>
            <w:vAlign w:val="center"/>
          </w:tcPr>
          <w:p w14:paraId="6F42EF67" w14:textId="77777777" w:rsidR="00D479A4" w:rsidRPr="00D479A4" w:rsidRDefault="00D479A4" w:rsidP="005917D8">
            <w:pPr>
              <w:ind w:left="0"/>
              <w:jc w:val="center"/>
              <w:rPr>
                <w:b/>
                <w:sz w:val="20"/>
                <w:szCs w:val="20"/>
              </w:rPr>
            </w:pPr>
            <w:r w:rsidRPr="00D479A4">
              <w:rPr>
                <w:b/>
                <w:sz w:val="20"/>
                <w:szCs w:val="20"/>
              </w:rPr>
              <w:t>Prioritná os</w:t>
            </w:r>
          </w:p>
        </w:tc>
        <w:tc>
          <w:tcPr>
            <w:tcW w:w="2126" w:type="dxa"/>
            <w:vAlign w:val="center"/>
          </w:tcPr>
          <w:p w14:paraId="75E73F05" w14:textId="77777777" w:rsidR="00D479A4" w:rsidRPr="00D479A4" w:rsidRDefault="00D479A4" w:rsidP="005917D8">
            <w:pPr>
              <w:ind w:left="0"/>
              <w:jc w:val="center"/>
              <w:rPr>
                <w:b/>
                <w:sz w:val="20"/>
                <w:szCs w:val="20"/>
              </w:rPr>
            </w:pPr>
            <w:r w:rsidRPr="00D479A4">
              <w:rPr>
                <w:b/>
                <w:sz w:val="20"/>
                <w:szCs w:val="20"/>
              </w:rPr>
              <w:t>Kód</w:t>
            </w:r>
          </w:p>
        </w:tc>
        <w:tc>
          <w:tcPr>
            <w:tcW w:w="2044" w:type="dxa"/>
            <w:vAlign w:val="center"/>
          </w:tcPr>
          <w:p w14:paraId="4369A5B7" w14:textId="77777777" w:rsidR="00D479A4" w:rsidRPr="00D479A4" w:rsidRDefault="00D479A4" w:rsidP="005917D8">
            <w:pPr>
              <w:ind w:left="0"/>
              <w:jc w:val="center"/>
              <w:rPr>
                <w:b/>
                <w:sz w:val="20"/>
                <w:szCs w:val="20"/>
              </w:rPr>
            </w:pPr>
            <w:r w:rsidRPr="00D479A4">
              <w:rPr>
                <w:b/>
                <w:sz w:val="20"/>
                <w:szCs w:val="20"/>
              </w:rPr>
              <w:t>Suma (v EUR)</w:t>
            </w:r>
          </w:p>
        </w:tc>
      </w:tr>
      <w:tr w:rsidR="00D479A4" w14:paraId="214AAC82" w14:textId="77777777" w:rsidTr="0095191D">
        <w:trPr>
          <w:trHeight w:val="255"/>
        </w:trPr>
        <w:tc>
          <w:tcPr>
            <w:tcW w:w="4928" w:type="dxa"/>
            <w:vMerge w:val="restart"/>
            <w:vAlign w:val="center"/>
          </w:tcPr>
          <w:p w14:paraId="7CC500BB" w14:textId="77777777" w:rsidR="00D479A4"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14:paraId="2CBA03E4" w14:textId="77777777" w:rsidR="00D479A4" w:rsidRPr="002F56BA" w:rsidRDefault="00D479A4" w:rsidP="005917D8">
            <w:pPr>
              <w:ind w:left="0"/>
              <w:jc w:val="center"/>
              <w:rPr>
                <w:sz w:val="20"/>
                <w:szCs w:val="20"/>
              </w:rPr>
            </w:pPr>
            <w:r w:rsidRPr="002F56BA">
              <w:rPr>
                <w:sz w:val="20"/>
                <w:szCs w:val="20"/>
              </w:rPr>
              <w:t>01</w:t>
            </w:r>
          </w:p>
        </w:tc>
        <w:tc>
          <w:tcPr>
            <w:tcW w:w="2044" w:type="dxa"/>
            <w:vAlign w:val="center"/>
          </w:tcPr>
          <w:p w14:paraId="77340257" w14:textId="77777777" w:rsidR="00D479A4" w:rsidRPr="002F56BA" w:rsidRDefault="00D479A4" w:rsidP="005917D8">
            <w:pPr>
              <w:ind w:left="0"/>
              <w:jc w:val="center"/>
              <w:rPr>
                <w:sz w:val="20"/>
                <w:szCs w:val="20"/>
              </w:rPr>
            </w:pPr>
            <w:r w:rsidRPr="002F56BA">
              <w:rPr>
                <w:sz w:val="20"/>
                <w:szCs w:val="20"/>
              </w:rPr>
              <w:t>704 063 991</w:t>
            </w:r>
          </w:p>
        </w:tc>
      </w:tr>
      <w:tr w:rsidR="00D479A4" w14:paraId="1F20CFF0" w14:textId="77777777" w:rsidTr="0095191D">
        <w:trPr>
          <w:trHeight w:val="255"/>
        </w:trPr>
        <w:tc>
          <w:tcPr>
            <w:tcW w:w="4928" w:type="dxa"/>
            <w:vMerge/>
            <w:vAlign w:val="center"/>
          </w:tcPr>
          <w:p w14:paraId="48C8B617" w14:textId="77777777" w:rsidR="00D479A4" w:rsidRPr="00D479A4" w:rsidRDefault="00D479A4" w:rsidP="005917D8">
            <w:pPr>
              <w:ind w:left="0"/>
              <w:rPr>
                <w:sz w:val="20"/>
                <w:szCs w:val="20"/>
              </w:rPr>
            </w:pPr>
          </w:p>
        </w:tc>
        <w:tc>
          <w:tcPr>
            <w:tcW w:w="2126" w:type="dxa"/>
            <w:vAlign w:val="center"/>
          </w:tcPr>
          <w:p w14:paraId="56FE7967" w14:textId="77777777" w:rsidR="00D479A4" w:rsidRPr="002F56BA" w:rsidRDefault="00842704" w:rsidP="005917D8">
            <w:pPr>
              <w:ind w:left="0"/>
              <w:jc w:val="center"/>
              <w:rPr>
                <w:sz w:val="20"/>
                <w:szCs w:val="20"/>
              </w:rPr>
            </w:pPr>
            <w:r>
              <w:rPr>
                <w:sz w:val="20"/>
                <w:szCs w:val="20"/>
              </w:rPr>
              <w:t>03</w:t>
            </w:r>
          </w:p>
        </w:tc>
        <w:tc>
          <w:tcPr>
            <w:tcW w:w="2044" w:type="dxa"/>
            <w:vAlign w:val="center"/>
          </w:tcPr>
          <w:p w14:paraId="7B845794" w14:textId="77777777" w:rsidR="00D479A4" w:rsidRPr="002F56BA" w:rsidRDefault="0034625D" w:rsidP="005917D8">
            <w:pPr>
              <w:ind w:left="0"/>
              <w:jc w:val="center"/>
              <w:rPr>
                <w:sz w:val="20"/>
                <w:szCs w:val="20"/>
                <w:lang w:val="en-US"/>
              </w:rPr>
            </w:pPr>
            <w:r w:rsidRPr="002F56BA">
              <w:rPr>
                <w:sz w:val="20"/>
                <w:szCs w:val="20"/>
              </w:rPr>
              <w:t>21 775 175</w:t>
            </w:r>
          </w:p>
        </w:tc>
      </w:tr>
    </w:tbl>
    <w:p w14:paraId="48D5F7BD" w14:textId="77777777" w:rsidR="00350B96" w:rsidRPr="00350B96" w:rsidRDefault="00350B96"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391E8C" w14:paraId="05F40B4E" w14:textId="77777777" w:rsidTr="0095191D">
        <w:trPr>
          <w:trHeight w:val="255"/>
        </w:trPr>
        <w:tc>
          <w:tcPr>
            <w:tcW w:w="9098" w:type="dxa"/>
            <w:gridSpan w:val="3"/>
            <w:shd w:val="clear" w:color="auto" w:fill="DBE5F1" w:themeFill="accent1" w:themeFillTint="33"/>
            <w:vAlign w:val="center"/>
          </w:tcPr>
          <w:p w14:paraId="538DE76C" w14:textId="77777777" w:rsidR="00391E8C" w:rsidRPr="006579CE" w:rsidRDefault="00391E8C" w:rsidP="00391E8C">
            <w:pPr>
              <w:pStyle w:val="Default"/>
              <w:autoSpaceDE/>
              <w:autoSpaceDN/>
              <w:adjustRightInd/>
              <w:ind w:left="0"/>
              <w:rPr>
                <w:sz w:val="20"/>
                <w:szCs w:val="20"/>
              </w:rPr>
            </w:pPr>
            <w:r>
              <w:rPr>
                <w:b/>
                <w:bCs/>
                <w:sz w:val="20"/>
                <w:szCs w:val="20"/>
              </w:rPr>
              <w:t xml:space="preserve">Rozmer 3 – Druh územia </w:t>
            </w:r>
          </w:p>
        </w:tc>
      </w:tr>
      <w:tr w:rsidR="00391E8C" w14:paraId="18B1F6E8" w14:textId="77777777" w:rsidTr="0095191D">
        <w:trPr>
          <w:trHeight w:val="255"/>
        </w:trPr>
        <w:tc>
          <w:tcPr>
            <w:tcW w:w="4928" w:type="dxa"/>
            <w:shd w:val="clear" w:color="auto" w:fill="DBE5F1" w:themeFill="accent1" w:themeFillTint="33"/>
            <w:vAlign w:val="center"/>
          </w:tcPr>
          <w:p w14:paraId="7E62667B" w14:textId="77777777" w:rsidR="00391E8C" w:rsidRPr="006579CE" w:rsidRDefault="00391E8C"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200270E6" w14:textId="77777777" w:rsidR="00391E8C" w:rsidRPr="006579CE" w:rsidRDefault="00391E8C" w:rsidP="005917D8">
            <w:pPr>
              <w:pStyle w:val="Default"/>
              <w:autoSpaceDE/>
              <w:autoSpaceDN/>
              <w:adjustRightInd/>
              <w:ind w:left="0"/>
              <w:rPr>
                <w:bCs/>
                <w:sz w:val="20"/>
                <w:szCs w:val="20"/>
              </w:rPr>
            </w:pPr>
            <w:r w:rsidRPr="006579CE">
              <w:rPr>
                <w:bCs/>
                <w:sz w:val="20"/>
                <w:szCs w:val="20"/>
              </w:rPr>
              <w:t>Kohézny fond</w:t>
            </w:r>
          </w:p>
        </w:tc>
      </w:tr>
      <w:tr w:rsidR="00391E8C" w14:paraId="77414E42" w14:textId="77777777" w:rsidTr="0095191D">
        <w:trPr>
          <w:trHeight w:val="255"/>
        </w:trPr>
        <w:tc>
          <w:tcPr>
            <w:tcW w:w="4928" w:type="dxa"/>
            <w:shd w:val="clear" w:color="auto" w:fill="DBE5F1" w:themeFill="accent1" w:themeFillTint="33"/>
            <w:vAlign w:val="center"/>
          </w:tcPr>
          <w:p w14:paraId="7E59E377" w14:textId="77777777" w:rsidR="00391E8C" w:rsidRPr="006579CE" w:rsidRDefault="00391E8C"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59784D7B" w14:textId="77777777" w:rsidR="00391E8C" w:rsidRPr="006579CE" w:rsidRDefault="00391E8C" w:rsidP="005917D8">
            <w:pPr>
              <w:ind w:left="0"/>
              <w:rPr>
                <w:sz w:val="20"/>
                <w:szCs w:val="20"/>
              </w:rPr>
            </w:pPr>
            <w:r w:rsidRPr="006579CE">
              <w:rPr>
                <w:sz w:val="20"/>
                <w:szCs w:val="20"/>
              </w:rPr>
              <w:t>N/A</w:t>
            </w:r>
          </w:p>
        </w:tc>
      </w:tr>
      <w:tr w:rsidR="00391E8C" w14:paraId="2886BBD4" w14:textId="77777777" w:rsidTr="0095191D">
        <w:trPr>
          <w:trHeight w:val="255"/>
        </w:trPr>
        <w:tc>
          <w:tcPr>
            <w:tcW w:w="4928" w:type="dxa"/>
            <w:vAlign w:val="center"/>
          </w:tcPr>
          <w:p w14:paraId="1F642D5E" w14:textId="77777777" w:rsidR="00391E8C" w:rsidRPr="00D479A4" w:rsidRDefault="00391E8C" w:rsidP="005917D8">
            <w:pPr>
              <w:ind w:left="0"/>
              <w:jc w:val="center"/>
              <w:rPr>
                <w:b/>
                <w:sz w:val="20"/>
                <w:szCs w:val="20"/>
              </w:rPr>
            </w:pPr>
            <w:r w:rsidRPr="00D479A4">
              <w:rPr>
                <w:b/>
                <w:sz w:val="20"/>
                <w:szCs w:val="20"/>
              </w:rPr>
              <w:t>Prioritná os</w:t>
            </w:r>
          </w:p>
        </w:tc>
        <w:tc>
          <w:tcPr>
            <w:tcW w:w="2126" w:type="dxa"/>
            <w:vAlign w:val="center"/>
          </w:tcPr>
          <w:p w14:paraId="612D3E7F" w14:textId="77777777" w:rsidR="00391E8C" w:rsidRPr="00D479A4" w:rsidRDefault="00391E8C" w:rsidP="005917D8">
            <w:pPr>
              <w:ind w:left="0"/>
              <w:jc w:val="center"/>
              <w:rPr>
                <w:b/>
                <w:sz w:val="20"/>
                <w:szCs w:val="20"/>
              </w:rPr>
            </w:pPr>
            <w:r w:rsidRPr="00D479A4">
              <w:rPr>
                <w:b/>
                <w:sz w:val="20"/>
                <w:szCs w:val="20"/>
              </w:rPr>
              <w:t>Kód</w:t>
            </w:r>
          </w:p>
        </w:tc>
        <w:tc>
          <w:tcPr>
            <w:tcW w:w="2044" w:type="dxa"/>
            <w:vAlign w:val="center"/>
          </w:tcPr>
          <w:p w14:paraId="1FC375B1" w14:textId="77777777" w:rsidR="00391E8C" w:rsidRPr="00D479A4" w:rsidRDefault="00391E8C" w:rsidP="005917D8">
            <w:pPr>
              <w:ind w:left="0"/>
              <w:jc w:val="center"/>
              <w:rPr>
                <w:b/>
                <w:sz w:val="20"/>
                <w:szCs w:val="20"/>
              </w:rPr>
            </w:pPr>
            <w:r w:rsidRPr="00D479A4">
              <w:rPr>
                <w:b/>
                <w:sz w:val="20"/>
                <w:szCs w:val="20"/>
              </w:rPr>
              <w:t>Suma (v EUR)</w:t>
            </w:r>
          </w:p>
        </w:tc>
      </w:tr>
      <w:tr w:rsidR="00391E8C" w14:paraId="2CA4A355" w14:textId="77777777" w:rsidTr="0095191D">
        <w:trPr>
          <w:trHeight w:val="520"/>
        </w:trPr>
        <w:tc>
          <w:tcPr>
            <w:tcW w:w="4928" w:type="dxa"/>
            <w:vAlign w:val="center"/>
          </w:tcPr>
          <w:p w14:paraId="53E07427" w14:textId="77777777" w:rsidR="00391E8C"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14:paraId="64D4E896" w14:textId="77777777" w:rsidR="00391E8C" w:rsidRPr="00D479A4" w:rsidRDefault="00391E8C" w:rsidP="002F56BA">
            <w:pPr>
              <w:ind w:left="0"/>
              <w:jc w:val="center"/>
              <w:rPr>
                <w:sz w:val="20"/>
                <w:szCs w:val="20"/>
              </w:rPr>
            </w:pPr>
            <w:r>
              <w:rPr>
                <w:sz w:val="20"/>
                <w:szCs w:val="20"/>
              </w:rPr>
              <w:t>0</w:t>
            </w:r>
            <w:r w:rsidR="002F56BA">
              <w:rPr>
                <w:sz w:val="20"/>
                <w:szCs w:val="20"/>
              </w:rPr>
              <w:t>7</w:t>
            </w:r>
          </w:p>
        </w:tc>
        <w:tc>
          <w:tcPr>
            <w:tcW w:w="2044" w:type="dxa"/>
            <w:vAlign w:val="center"/>
          </w:tcPr>
          <w:p w14:paraId="56EBBC53" w14:textId="77777777" w:rsidR="00391E8C" w:rsidRPr="00D479A4" w:rsidRDefault="008C1732" w:rsidP="002F56BA">
            <w:pPr>
              <w:ind w:left="0"/>
              <w:jc w:val="center"/>
              <w:rPr>
                <w:sz w:val="20"/>
                <w:szCs w:val="20"/>
              </w:rPr>
            </w:pPr>
            <w:r w:rsidRPr="008C1732">
              <w:rPr>
                <w:sz w:val="20"/>
                <w:szCs w:val="20"/>
              </w:rPr>
              <w:t>725 839 166</w:t>
            </w:r>
          </w:p>
        </w:tc>
      </w:tr>
    </w:tbl>
    <w:p w14:paraId="431AABED" w14:textId="77777777" w:rsidR="00BE0B89" w:rsidRPr="00BE0B89" w:rsidRDefault="00BE0B89"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8C1732" w14:paraId="1DFC5DA8" w14:textId="77777777" w:rsidTr="0095191D">
        <w:trPr>
          <w:trHeight w:val="255"/>
        </w:trPr>
        <w:tc>
          <w:tcPr>
            <w:tcW w:w="9098" w:type="dxa"/>
            <w:gridSpan w:val="3"/>
            <w:shd w:val="clear" w:color="auto" w:fill="DBE5F1" w:themeFill="accent1" w:themeFillTint="33"/>
            <w:vAlign w:val="center"/>
          </w:tcPr>
          <w:p w14:paraId="714277D7" w14:textId="77777777" w:rsidR="008C1732" w:rsidRPr="008C1732" w:rsidRDefault="008C1732" w:rsidP="008C1732">
            <w:pPr>
              <w:pStyle w:val="Default"/>
              <w:autoSpaceDE/>
              <w:autoSpaceDN/>
              <w:adjustRightInd/>
              <w:ind w:left="0"/>
              <w:rPr>
                <w:b/>
                <w:bCs/>
                <w:sz w:val="20"/>
                <w:szCs w:val="20"/>
              </w:rPr>
            </w:pPr>
            <w:r>
              <w:rPr>
                <w:b/>
                <w:bCs/>
                <w:sz w:val="20"/>
                <w:szCs w:val="20"/>
              </w:rPr>
              <w:t>Rozmer 4 – Územné mechanizmy realizácie</w:t>
            </w:r>
          </w:p>
        </w:tc>
      </w:tr>
      <w:tr w:rsidR="008C1732" w14:paraId="07B47D7B" w14:textId="77777777" w:rsidTr="0095191D">
        <w:trPr>
          <w:trHeight w:val="255"/>
        </w:trPr>
        <w:tc>
          <w:tcPr>
            <w:tcW w:w="4928" w:type="dxa"/>
            <w:shd w:val="clear" w:color="auto" w:fill="DBE5F1" w:themeFill="accent1" w:themeFillTint="33"/>
            <w:vAlign w:val="center"/>
          </w:tcPr>
          <w:p w14:paraId="75A1B4E5" w14:textId="77777777" w:rsidR="008C1732" w:rsidRPr="006579CE" w:rsidRDefault="008C1732"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57A59E3D" w14:textId="77777777" w:rsidR="008C1732" w:rsidRPr="006579CE" w:rsidRDefault="008C1732" w:rsidP="005917D8">
            <w:pPr>
              <w:pStyle w:val="Default"/>
              <w:autoSpaceDE/>
              <w:autoSpaceDN/>
              <w:adjustRightInd/>
              <w:ind w:left="0"/>
              <w:rPr>
                <w:bCs/>
                <w:sz w:val="20"/>
                <w:szCs w:val="20"/>
              </w:rPr>
            </w:pPr>
            <w:r w:rsidRPr="006579CE">
              <w:rPr>
                <w:bCs/>
                <w:sz w:val="20"/>
                <w:szCs w:val="20"/>
              </w:rPr>
              <w:t>Kohézny fond</w:t>
            </w:r>
          </w:p>
        </w:tc>
      </w:tr>
      <w:tr w:rsidR="008C1732" w14:paraId="382DB48B" w14:textId="77777777" w:rsidTr="0095191D">
        <w:trPr>
          <w:trHeight w:val="255"/>
        </w:trPr>
        <w:tc>
          <w:tcPr>
            <w:tcW w:w="4928" w:type="dxa"/>
            <w:shd w:val="clear" w:color="auto" w:fill="DBE5F1" w:themeFill="accent1" w:themeFillTint="33"/>
            <w:vAlign w:val="center"/>
          </w:tcPr>
          <w:p w14:paraId="323E79B4" w14:textId="77777777" w:rsidR="008C1732" w:rsidRPr="006579CE" w:rsidRDefault="008C1732"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21CFB3B4" w14:textId="77777777" w:rsidR="008C1732" w:rsidRPr="006579CE" w:rsidRDefault="008C1732" w:rsidP="005917D8">
            <w:pPr>
              <w:ind w:left="0"/>
              <w:rPr>
                <w:sz w:val="20"/>
                <w:szCs w:val="20"/>
              </w:rPr>
            </w:pPr>
            <w:r w:rsidRPr="006579CE">
              <w:rPr>
                <w:sz w:val="20"/>
                <w:szCs w:val="20"/>
              </w:rPr>
              <w:t>N/A</w:t>
            </w:r>
          </w:p>
        </w:tc>
      </w:tr>
      <w:tr w:rsidR="008C1732" w14:paraId="576A0B43" w14:textId="77777777" w:rsidTr="0095191D">
        <w:trPr>
          <w:trHeight w:val="255"/>
        </w:trPr>
        <w:tc>
          <w:tcPr>
            <w:tcW w:w="4928" w:type="dxa"/>
            <w:vAlign w:val="center"/>
          </w:tcPr>
          <w:p w14:paraId="4C73FC28" w14:textId="77777777" w:rsidR="008C1732" w:rsidRPr="00D479A4" w:rsidRDefault="008C1732" w:rsidP="005917D8">
            <w:pPr>
              <w:ind w:left="0"/>
              <w:jc w:val="center"/>
              <w:rPr>
                <w:b/>
                <w:sz w:val="20"/>
                <w:szCs w:val="20"/>
              </w:rPr>
            </w:pPr>
            <w:r w:rsidRPr="00D479A4">
              <w:rPr>
                <w:b/>
                <w:sz w:val="20"/>
                <w:szCs w:val="20"/>
              </w:rPr>
              <w:t>Prioritná os</w:t>
            </w:r>
          </w:p>
        </w:tc>
        <w:tc>
          <w:tcPr>
            <w:tcW w:w="2126" w:type="dxa"/>
            <w:vAlign w:val="center"/>
          </w:tcPr>
          <w:p w14:paraId="189D6532" w14:textId="77777777" w:rsidR="008C1732" w:rsidRPr="00D479A4" w:rsidRDefault="008C1732" w:rsidP="005917D8">
            <w:pPr>
              <w:ind w:left="0"/>
              <w:jc w:val="center"/>
              <w:rPr>
                <w:b/>
                <w:sz w:val="20"/>
                <w:szCs w:val="20"/>
              </w:rPr>
            </w:pPr>
            <w:r w:rsidRPr="00D479A4">
              <w:rPr>
                <w:b/>
                <w:sz w:val="20"/>
                <w:szCs w:val="20"/>
              </w:rPr>
              <w:t>Kód</w:t>
            </w:r>
          </w:p>
        </w:tc>
        <w:tc>
          <w:tcPr>
            <w:tcW w:w="2044" w:type="dxa"/>
            <w:vAlign w:val="center"/>
          </w:tcPr>
          <w:p w14:paraId="694000C2" w14:textId="77777777" w:rsidR="008C1732" w:rsidRPr="00D479A4" w:rsidRDefault="008C1732" w:rsidP="005917D8">
            <w:pPr>
              <w:ind w:left="0"/>
              <w:jc w:val="center"/>
              <w:rPr>
                <w:b/>
                <w:sz w:val="20"/>
                <w:szCs w:val="20"/>
              </w:rPr>
            </w:pPr>
            <w:r w:rsidRPr="00D479A4">
              <w:rPr>
                <w:b/>
                <w:sz w:val="20"/>
                <w:szCs w:val="20"/>
              </w:rPr>
              <w:t>Suma (v EUR)</w:t>
            </w:r>
          </w:p>
        </w:tc>
      </w:tr>
      <w:tr w:rsidR="008C1732" w14:paraId="17FE474D" w14:textId="77777777" w:rsidTr="0095191D">
        <w:trPr>
          <w:trHeight w:val="520"/>
        </w:trPr>
        <w:tc>
          <w:tcPr>
            <w:tcW w:w="4928" w:type="dxa"/>
            <w:vAlign w:val="center"/>
          </w:tcPr>
          <w:p w14:paraId="1A3EDBB0" w14:textId="77777777" w:rsidR="008C1732"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14:paraId="787EBA50" w14:textId="77777777" w:rsidR="008C1732" w:rsidRPr="00D479A4" w:rsidRDefault="008C1732" w:rsidP="002F56BA">
            <w:pPr>
              <w:ind w:left="0"/>
              <w:jc w:val="center"/>
              <w:rPr>
                <w:sz w:val="20"/>
                <w:szCs w:val="20"/>
              </w:rPr>
            </w:pPr>
            <w:r>
              <w:rPr>
                <w:sz w:val="20"/>
                <w:szCs w:val="20"/>
              </w:rPr>
              <w:t>0</w:t>
            </w:r>
            <w:r w:rsidR="002F56BA">
              <w:rPr>
                <w:sz w:val="20"/>
                <w:szCs w:val="20"/>
              </w:rPr>
              <w:t>7</w:t>
            </w:r>
          </w:p>
        </w:tc>
        <w:tc>
          <w:tcPr>
            <w:tcW w:w="2044" w:type="dxa"/>
            <w:vAlign w:val="center"/>
          </w:tcPr>
          <w:p w14:paraId="30BE84ED" w14:textId="77777777" w:rsidR="008C1732" w:rsidRPr="00D479A4" w:rsidRDefault="008C1732" w:rsidP="002F56BA">
            <w:pPr>
              <w:ind w:left="0"/>
              <w:jc w:val="center"/>
              <w:rPr>
                <w:sz w:val="20"/>
                <w:szCs w:val="20"/>
              </w:rPr>
            </w:pPr>
            <w:r w:rsidRPr="008C1732">
              <w:rPr>
                <w:sz w:val="20"/>
                <w:szCs w:val="20"/>
              </w:rPr>
              <w:t>725 839 166</w:t>
            </w:r>
          </w:p>
        </w:tc>
      </w:tr>
    </w:tbl>
    <w:p w14:paraId="1102083A" w14:textId="77777777" w:rsidR="007B3B80" w:rsidRDefault="007B3B80" w:rsidP="004402B6">
      <w:pPr>
        <w:pStyle w:val="Nadpis3"/>
        <w:tabs>
          <w:tab w:val="clear" w:pos="709"/>
        </w:tabs>
        <w:jc w:val="both"/>
      </w:pPr>
      <w:bookmarkStart w:id="30" w:name="_Toc28951592"/>
      <w:r>
        <w:t>Súhrn plánovaného využitia technickej pomoci vrátane, ak je to vhodné, akcií na posilnenie administratívnej kapacity orgánov zapojených do riadenia a kontroly programu a prijímateľov (ak</w:t>
      </w:r>
      <w:r w:rsidR="00631CDB">
        <w:t> </w:t>
      </w:r>
      <w:r>
        <w:t>je to vhodné)</w:t>
      </w:r>
      <w:bookmarkEnd w:id="30"/>
    </w:p>
    <w:p w14:paraId="160255D7"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72A3D87E" w14:textId="77777777" w:rsidR="008C1732" w:rsidRPr="008C1732" w:rsidRDefault="008C1732" w:rsidP="008C1732">
      <w:pPr>
        <w:rPr>
          <w:sz w:val="22"/>
          <w:szCs w:val="22"/>
        </w:rPr>
      </w:pPr>
    </w:p>
    <w:p w14:paraId="12B54D3E" w14:textId="77777777" w:rsidR="00090A6F" w:rsidRDefault="00090A6F" w:rsidP="00090A6F">
      <w:pPr>
        <w:pStyle w:val="Nadpis2"/>
        <w:sectPr w:rsidR="00090A6F" w:rsidSect="00D1658B">
          <w:headerReference w:type="default" r:id="rId23"/>
          <w:footerReference w:type="default" r:id="rId24"/>
          <w:pgSz w:w="11906" w:h="16838"/>
          <w:pgMar w:top="1418" w:right="1361" w:bottom="1304" w:left="1474" w:header="709" w:footer="709" w:gutter="0"/>
          <w:cols w:space="708"/>
          <w:docGrid w:linePitch="360"/>
        </w:sectPr>
      </w:pPr>
    </w:p>
    <w:p w14:paraId="5060F38D" w14:textId="77777777" w:rsidR="001A218B" w:rsidRDefault="00090A6F" w:rsidP="0049252B">
      <w:pPr>
        <w:pStyle w:val="Nadpis2"/>
      </w:pPr>
      <w:bookmarkStart w:id="31" w:name="_Toc28951593"/>
      <w:r>
        <w:lastRenderedPageBreak/>
        <w:t>PRIORITNÁ OS 2: CESTNÁ INFRAŠTRUKTÚRA (TEN-T)</w:t>
      </w:r>
      <w:bookmarkEnd w:id="31"/>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49252B" w14:paraId="2653A546" w14:textId="77777777" w:rsidTr="00D23B7E">
        <w:trPr>
          <w:trHeight w:hRule="exact" w:val="284"/>
          <w:jc w:val="center"/>
        </w:trPr>
        <w:tc>
          <w:tcPr>
            <w:tcW w:w="4404" w:type="dxa"/>
            <w:shd w:val="clear" w:color="auto" w:fill="DBE5F1" w:themeFill="accent1" w:themeFillTint="33"/>
            <w:vAlign w:val="center"/>
          </w:tcPr>
          <w:p w14:paraId="326C529F" w14:textId="77777777" w:rsidR="0049252B" w:rsidRDefault="0049252B" w:rsidP="0049252B">
            <w:pPr>
              <w:ind w:left="0"/>
            </w:pPr>
            <w:r w:rsidRPr="00863337">
              <w:rPr>
                <w:b/>
                <w:i/>
                <w:sz w:val="20"/>
                <w:szCs w:val="20"/>
              </w:rPr>
              <w:t>ID prioritnej osi</w:t>
            </w:r>
          </w:p>
        </w:tc>
        <w:tc>
          <w:tcPr>
            <w:tcW w:w="3534" w:type="dxa"/>
            <w:vAlign w:val="center"/>
          </w:tcPr>
          <w:p w14:paraId="00AA74E8" w14:textId="77777777" w:rsidR="0049252B" w:rsidRDefault="000A60F9" w:rsidP="00D23B7E">
            <w:pPr>
              <w:pStyle w:val="PRIORITNA"/>
              <w:numPr>
                <w:ilvl w:val="0"/>
                <w:numId w:val="0"/>
              </w:numPr>
              <w:jc w:val="left"/>
            </w:pPr>
            <w:r>
              <w:t>2</w:t>
            </w:r>
          </w:p>
        </w:tc>
      </w:tr>
      <w:tr w:rsidR="0049252B" w14:paraId="04F9DC55" w14:textId="77777777" w:rsidTr="0095191D">
        <w:trPr>
          <w:trHeight w:hRule="exact" w:val="284"/>
          <w:jc w:val="center"/>
        </w:trPr>
        <w:tc>
          <w:tcPr>
            <w:tcW w:w="4404" w:type="dxa"/>
            <w:shd w:val="clear" w:color="auto" w:fill="DBE5F1" w:themeFill="accent1" w:themeFillTint="33"/>
            <w:vAlign w:val="center"/>
          </w:tcPr>
          <w:p w14:paraId="71F842B9" w14:textId="77777777" w:rsidR="0049252B" w:rsidRPr="003D6170" w:rsidRDefault="0049252B" w:rsidP="003D6170">
            <w:pPr>
              <w:ind w:left="0"/>
              <w:rPr>
                <w:b/>
                <w:i/>
                <w:sz w:val="20"/>
                <w:szCs w:val="20"/>
              </w:rPr>
            </w:pPr>
            <w:r w:rsidRPr="003D6170">
              <w:rPr>
                <w:b/>
                <w:i/>
                <w:sz w:val="20"/>
                <w:szCs w:val="20"/>
              </w:rPr>
              <w:t>Názov prioritnej osi</w:t>
            </w:r>
          </w:p>
        </w:tc>
        <w:tc>
          <w:tcPr>
            <w:tcW w:w="3534" w:type="dxa"/>
            <w:vAlign w:val="center"/>
          </w:tcPr>
          <w:p w14:paraId="5C24A5CF" w14:textId="77777777" w:rsidR="0049252B" w:rsidRPr="00750A42" w:rsidRDefault="0049252B" w:rsidP="00A67F3C">
            <w:pPr>
              <w:ind w:left="0"/>
              <w:rPr>
                <w:sz w:val="20"/>
                <w:szCs w:val="20"/>
              </w:rPr>
            </w:pPr>
            <w:r>
              <w:rPr>
                <w:sz w:val="20"/>
                <w:szCs w:val="20"/>
              </w:rPr>
              <w:t>Cestná infraštruktúra (TEN-T)</w:t>
            </w:r>
            <w:r>
              <w:t xml:space="preserve"> </w:t>
            </w:r>
          </w:p>
        </w:tc>
      </w:tr>
    </w:tbl>
    <w:p w14:paraId="00864C19" w14:textId="77777777" w:rsidR="0049252B" w:rsidRDefault="0049252B" w:rsidP="00D83282">
      <w:pPr>
        <w:pStyle w:val="PRIORITNA"/>
        <w:numPr>
          <w:ilvl w:val="0"/>
          <w:numId w:val="0"/>
        </w:numPr>
        <w:spacing w:after="0"/>
      </w:pPr>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49252B" w:rsidRPr="00765DFA" w14:paraId="684530D7" w14:textId="77777777" w:rsidTr="0095191D">
        <w:trPr>
          <w:trHeight w:val="255"/>
          <w:jc w:val="center"/>
        </w:trPr>
        <w:tc>
          <w:tcPr>
            <w:tcW w:w="4396" w:type="dxa"/>
            <w:shd w:val="clear" w:color="auto" w:fill="DBE5F1" w:themeFill="accent1" w:themeFillTint="33"/>
            <w:vAlign w:val="center"/>
          </w:tcPr>
          <w:p w14:paraId="3B221CCB" w14:textId="77777777" w:rsidR="0049252B" w:rsidRPr="00765DFA" w:rsidRDefault="0049252B"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26B77D0D" w14:textId="77777777" w:rsidR="0049252B" w:rsidRPr="00765DFA" w:rsidRDefault="0049252B" w:rsidP="005139F6">
            <w:pPr>
              <w:ind w:left="0"/>
              <w:rPr>
                <w:sz w:val="20"/>
                <w:szCs w:val="20"/>
              </w:rPr>
            </w:pPr>
            <w:r>
              <w:rPr>
                <w:sz w:val="20"/>
                <w:szCs w:val="20"/>
              </w:rPr>
              <w:t>Nie</w:t>
            </w:r>
          </w:p>
        </w:tc>
      </w:tr>
      <w:tr w:rsidR="0049252B" w:rsidRPr="00765DFA" w14:paraId="07480AA4" w14:textId="77777777" w:rsidTr="0095191D">
        <w:trPr>
          <w:trHeight w:val="255"/>
          <w:jc w:val="center"/>
        </w:trPr>
        <w:tc>
          <w:tcPr>
            <w:tcW w:w="4396" w:type="dxa"/>
            <w:shd w:val="clear" w:color="auto" w:fill="DBE5F1" w:themeFill="accent1" w:themeFillTint="33"/>
            <w:vAlign w:val="center"/>
          </w:tcPr>
          <w:p w14:paraId="416F8F22" w14:textId="77777777" w:rsidR="0049252B" w:rsidRPr="00765DFA" w:rsidRDefault="0049252B"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6FD2DBD2" w14:textId="77777777" w:rsidR="0049252B" w:rsidRPr="00765DFA" w:rsidRDefault="0049252B" w:rsidP="005139F6">
            <w:pPr>
              <w:ind w:left="0"/>
              <w:rPr>
                <w:sz w:val="20"/>
                <w:szCs w:val="20"/>
              </w:rPr>
            </w:pPr>
            <w:r>
              <w:rPr>
                <w:sz w:val="20"/>
                <w:szCs w:val="20"/>
              </w:rPr>
              <w:t>Nie</w:t>
            </w:r>
          </w:p>
        </w:tc>
      </w:tr>
      <w:tr w:rsidR="0049252B" w:rsidRPr="00750A42" w14:paraId="4E156378" w14:textId="77777777" w:rsidTr="0095191D">
        <w:trPr>
          <w:trHeight w:val="70"/>
          <w:jc w:val="center"/>
        </w:trPr>
        <w:tc>
          <w:tcPr>
            <w:tcW w:w="4396" w:type="dxa"/>
            <w:shd w:val="clear" w:color="auto" w:fill="DBE5F1" w:themeFill="accent1" w:themeFillTint="33"/>
            <w:vAlign w:val="center"/>
          </w:tcPr>
          <w:p w14:paraId="71CCF916" w14:textId="77777777" w:rsidR="0049252B" w:rsidRPr="00765DFA" w:rsidRDefault="0049252B"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5F7CB415" w14:textId="77777777" w:rsidR="0049252B" w:rsidRPr="00750A42" w:rsidRDefault="0049252B" w:rsidP="005139F6">
            <w:pPr>
              <w:ind w:left="0"/>
              <w:rPr>
                <w:sz w:val="20"/>
                <w:szCs w:val="20"/>
              </w:rPr>
            </w:pPr>
            <w:r>
              <w:rPr>
                <w:sz w:val="20"/>
                <w:szCs w:val="20"/>
              </w:rPr>
              <w:t>Nie</w:t>
            </w:r>
          </w:p>
        </w:tc>
      </w:tr>
      <w:tr w:rsidR="0049252B" w:rsidRPr="00765DFA" w14:paraId="2E35ECF2" w14:textId="77777777" w:rsidTr="0095191D">
        <w:trPr>
          <w:jc w:val="center"/>
        </w:trPr>
        <w:tc>
          <w:tcPr>
            <w:tcW w:w="4396" w:type="dxa"/>
            <w:shd w:val="clear" w:color="auto" w:fill="DBE5F1" w:themeFill="accent1" w:themeFillTint="33"/>
          </w:tcPr>
          <w:p w14:paraId="2595C444" w14:textId="77777777" w:rsidR="0049252B" w:rsidRPr="00765DFA" w:rsidRDefault="0049252B"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7D973E17" w14:textId="77777777" w:rsidR="0049252B" w:rsidRPr="00765DFA" w:rsidRDefault="0049252B" w:rsidP="005139F6">
            <w:pPr>
              <w:ind w:left="0"/>
              <w:rPr>
                <w:sz w:val="20"/>
                <w:szCs w:val="20"/>
              </w:rPr>
            </w:pPr>
            <w:r>
              <w:rPr>
                <w:sz w:val="20"/>
                <w:szCs w:val="20"/>
              </w:rPr>
              <w:t>N/A</w:t>
            </w:r>
          </w:p>
        </w:tc>
      </w:tr>
    </w:tbl>
    <w:p w14:paraId="65CFCBAA" w14:textId="77777777" w:rsidR="00090A6F" w:rsidRDefault="00090A6F" w:rsidP="00090A6F">
      <w:pPr>
        <w:pStyle w:val="Nadpis3"/>
      </w:pPr>
      <w:bookmarkStart w:id="32" w:name="_Toc28951594"/>
      <w:r>
        <w:t>Fond, kategória regiónu a základ pre výpočet podpory Únie</w:t>
      </w:r>
      <w:bookmarkEnd w:id="32"/>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C87B04" w14:paraId="4F635E53" w14:textId="77777777" w:rsidTr="0095191D">
        <w:trPr>
          <w:trHeight w:val="255"/>
          <w:jc w:val="center"/>
        </w:trPr>
        <w:tc>
          <w:tcPr>
            <w:tcW w:w="4404" w:type="dxa"/>
            <w:shd w:val="clear" w:color="auto" w:fill="DBE5F1" w:themeFill="accent1" w:themeFillTint="33"/>
            <w:vAlign w:val="center"/>
          </w:tcPr>
          <w:p w14:paraId="6FC52B19" w14:textId="77777777" w:rsidR="00C87B04" w:rsidRPr="00765DFA" w:rsidRDefault="00C87B04" w:rsidP="00765DFA">
            <w:pPr>
              <w:ind w:left="0"/>
              <w:rPr>
                <w:b/>
                <w:i/>
                <w:sz w:val="20"/>
                <w:szCs w:val="20"/>
              </w:rPr>
            </w:pPr>
            <w:r w:rsidRPr="00765DFA">
              <w:rPr>
                <w:b/>
                <w:i/>
                <w:sz w:val="20"/>
                <w:szCs w:val="20"/>
              </w:rPr>
              <w:t>Fond</w:t>
            </w:r>
          </w:p>
        </w:tc>
        <w:tc>
          <w:tcPr>
            <w:tcW w:w="3534" w:type="dxa"/>
            <w:vAlign w:val="center"/>
          </w:tcPr>
          <w:p w14:paraId="7A133EF6" w14:textId="77777777" w:rsidR="00C87B04" w:rsidRPr="00765DFA" w:rsidRDefault="00C87B04" w:rsidP="00765DFA">
            <w:pPr>
              <w:ind w:left="0"/>
              <w:rPr>
                <w:sz w:val="20"/>
                <w:szCs w:val="20"/>
              </w:rPr>
            </w:pPr>
            <w:r w:rsidRPr="00765DFA">
              <w:rPr>
                <w:sz w:val="20"/>
                <w:szCs w:val="20"/>
              </w:rPr>
              <w:t>Kohézny fond</w:t>
            </w:r>
          </w:p>
        </w:tc>
      </w:tr>
      <w:tr w:rsidR="00C87B04" w14:paraId="79A6B925" w14:textId="77777777" w:rsidTr="0095191D">
        <w:trPr>
          <w:trHeight w:val="255"/>
          <w:jc w:val="center"/>
        </w:trPr>
        <w:tc>
          <w:tcPr>
            <w:tcW w:w="4404" w:type="dxa"/>
            <w:shd w:val="clear" w:color="auto" w:fill="DBE5F1" w:themeFill="accent1" w:themeFillTint="33"/>
            <w:vAlign w:val="center"/>
          </w:tcPr>
          <w:p w14:paraId="322672D7" w14:textId="77777777" w:rsidR="00C87B04" w:rsidRPr="00765DFA" w:rsidRDefault="00C87B04" w:rsidP="00765DFA">
            <w:pPr>
              <w:ind w:left="0"/>
              <w:rPr>
                <w:b/>
                <w:i/>
                <w:sz w:val="20"/>
                <w:szCs w:val="20"/>
              </w:rPr>
            </w:pPr>
            <w:r w:rsidRPr="00765DFA">
              <w:rPr>
                <w:b/>
                <w:i/>
                <w:sz w:val="20"/>
                <w:szCs w:val="20"/>
              </w:rPr>
              <w:t>Kategória regiónu</w:t>
            </w:r>
          </w:p>
        </w:tc>
        <w:tc>
          <w:tcPr>
            <w:tcW w:w="3534" w:type="dxa"/>
            <w:vAlign w:val="center"/>
          </w:tcPr>
          <w:p w14:paraId="08107009" w14:textId="77777777" w:rsidR="00C87B04" w:rsidRPr="00765DFA" w:rsidRDefault="00C87B04" w:rsidP="00765DFA">
            <w:pPr>
              <w:ind w:left="0"/>
              <w:rPr>
                <w:sz w:val="20"/>
                <w:szCs w:val="20"/>
              </w:rPr>
            </w:pPr>
            <w:r w:rsidRPr="00765DFA">
              <w:rPr>
                <w:sz w:val="20"/>
                <w:szCs w:val="20"/>
              </w:rPr>
              <w:t>N/A</w:t>
            </w:r>
          </w:p>
        </w:tc>
      </w:tr>
      <w:tr w:rsidR="00C87B04" w14:paraId="6107D956" w14:textId="77777777" w:rsidTr="0095191D">
        <w:trPr>
          <w:trHeight w:val="255"/>
          <w:jc w:val="center"/>
        </w:trPr>
        <w:tc>
          <w:tcPr>
            <w:tcW w:w="4404" w:type="dxa"/>
            <w:shd w:val="clear" w:color="auto" w:fill="DBE5F1" w:themeFill="accent1" w:themeFillTint="33"/>
            <w:vAlign w:val="center"/>
          </w:tcPr>
          <w:p w14:paraId="0C19C345" w14:textId="77777777" w:rsidR="00C87B04" w:rsidRPr="00765DFA" w:rsidRDefault="00C87B04" w:rsidP="00765DFA">
            <w:pPr>
              <w:ind w:left="0"/>
              <w:rPr>
                <w:b/>
                <w:i/>
                <w:sz w:val="20"/>
                <w:szCs w:val="20"/>
              </w:rPr>
            </w:pPr>
            <w:r w:rsidRPr="00765DFA">
              <w:rPr>
                <w:b/>
                <w:i/>
                <w:sz w:val="20"/>
                <w:szCs w:val="20"/>
              </w:rPr>
              <w:t>Základ pre výpočet (celkový príspevok)</w:t>
            </w:r>
          </w:p>
        </w:tc>
        <w:tc>
          <w:tcPr>
            <w:tcW w:w="3534" w:type="dxa"/>
            <w:vAlign w:val="center"/>
          </w:tcPr>
          <w:p w14:paraId="5364E73C" w14:textId="77777777" w:rsidR="00C87B04" w:rsidRPr="00765DFA" w:rsidRDefault="00473F11" w:rsidP="00765DFA">
            <w:pPr>
              <w:ind w:left="0"/>
              <w:rPr>
                <w:sz w:val="20"/>
                <w:szCs w:val="20"/>
                <w:lang w:val="en-US"/>
              </w:rPr>
            </w:pPr>
            <w:r w:rsidRPr="00765DFA">
              <w:rPr>
                <w:sz w:val="20"/>
                <w:szCs w:val="20"/>
                <w:lang w:val="en-US"/>
              </w:rPr>
              <w:t>1 344 117</w:t>
            </w:r>
            <w:r w:rsidR="00AE12DF">
              <w:rPr>
                <w:sz w:val="20"/>
                <w:szCs w:val="20"/>
                <w:lang w:val="en-US"/>
              </w:rPr>
              <w:t> </w:t>
            </w:r>
            <w:r w:rsidRPr="00765DFA">
              <w:rPr>
                <w:sz w:val="20"/>
                <w:szCs w:val="20"/>
                <w:lang w:val="en-US"/>
              </w:rPr>
              <w:t>648</w:t>
            </w:r>
            <w:r w:rsidR="00AE12DF">
              <w:rPr>
                <w:sz w:val="20"/>
                <w:szCs w:val="20"/>
                <w:lang w:val="en-US"/>
              </w:rPr>
              <w:t xml:space="preserve"> EUR</w:t>
            </w:r>
          </w:p>
        </w:tc>
      </w:tr>
      <w:tr w:rsidR="00C87B04" w14:paraId="430F4E39" w14:textId="77777777" w:rsidTr="00C63371">
        <w:trPr>
          <w:jc w:val="center"/>
        </w:trPr>
        <w:tc>
          <w:tcPr>
            <w:tcW w:w="4404" w:type="dxa"/>
            <w:shd w:val="clear" w:color="auto" w:fill="DBE5F1" w:themeFill="accent1" w:themeFillTint="33"/>
          </w:tcPr>
          <w:p w14:paraId="0529B1B4" w14:textId="77777777" w:rsidR="00C87B04" w:rsidRPr="00765DFA" w:rsidRDefault="00C87B04" w:rsidP="009553A0">
            <w:pPr>
              <w:ind w:left="0"/>
              <w:rPr>
                <w:b/>
                <w:i/>
                <w:sz w:val="20"/>
                <w:szCs w:val="20"/>
              </w:rPr>
            </w:pPr>
            <w:r w:rsidRPr="00765DFA">
              <w:rPr>
                <w:b/>
                <w:i/>
                <w:sz w:val="20"/>
                <w:szCs w:val="20"/>
              </w:rPr>
              <w:t>Kategória regiónu pre najvzdialenejšie a severné riedko osídlené regióny (ak je to vhodné)</w:t>
            </w:r>
          </w:p>
        </w:tc>
        <w:tc>
          <w:tcPr>
            <w:tcW w:w="3534" w:type="dxa"/>
            <w:vAlign w:val="center"/>
          </w:tcPr>
          <w:p w14:paraId="2B930ABA" w14:textId="77777777" w:rsidR="00C87B04" w:rsidRPr="00765DFA" w:rsidRDefault="00C87B04" w:rsidP="00C63371">
            <w:pPr>
              <w:ind w:left="0"/>
              <w:rPr>
                <w:sz w:val="20"/>
                <w:szCs w:val="20"/>
              </w:rPr>
            </w:pPr>
            <w:r w:rsidRPr="00765DFA">
              <w:rPr>
                <w:sz w:val="20"/>
                <w:szCs w:val="20"/>
              </w:rPr>
              <w:t>N/A</w:t>
            </w:r>
          </w:p>
        </w:tc>
      </w:tr>
    </w:tbl>
    <w:p w14:paraId="3D38B394" w14:textId="77777777" w:rsidR="009A627A" w:rsidRDefault="0049252B" w:rsidP="00105418">
      <w:pPr>
        <w:pStyle w:val="Nadpis3"/>
        <w:tabs>
          <w:tab w:val="clear" w:pos="709"/>
        </w:tabs>
        <w:jc w:val="both"/>
      </w:pPr>
      <w:bookmarkStart w:id="33" w:name="_Toc28951595"/>
      <w:r>
        <w:t>INVESTIČNÁ PRIORITA 7</w:t>
      </w:r>
      <w:r w:rsidR="002B58BC">
        <w:t>i</w:t>
      </w:r>
      <w:r>
        <w:t>)</w:t>
      </w:r>
      <w:r w:rsidR="009A627A">
        <w:t xml:space="preserve">: </w:t>
      </w:r>
      <w:r w:rsidR="009A627A" w:rsidRPr="00D25728">
        <w:t>Podpora multimodálneho jednotného európskeho dopravného priestoru pomocou investícií do TEN-T</w:t>
      </w:r>
      <w:bookmarkEnd w:id="33"/>
    </w:p>
    <w:p w14:paraId="434E0A8F" w14:textId="77777777" w:rsidR="00105418" w:rsidRDefault="00105418" w:rsidP="00105418">
      <w:pPr>
        <w:pStyle w:val="tl3"/>
        <w:tabs>
          <w:tab w:val="clear" w:pos="709"/>
        </w:tabs>
      </w:pPr>
      <w:r>
        <w:t>Špecifické ciele investičnej priority a očakávané výsledky</w:t>
      </w:r>
    </w:p>
    <w:p w14:paraId="23F7E8F7" w14:textId="77777777" w:rsidR="00105418" w:rsidRPr="006B762B" w:rsidRDefault="00105418" w:rsidP="00105418">
      <w:pPr>
        <w:shd w:val="clear" w:color="auto" w:fill="FFFFCC"/>
        <w:jc w:val="both"/>
        <w:rPr>
          <w:b/>
          <w:i/>
        </w:rPr>
      </w:pPr>
      <w:r w:rsidRPr="004F0234">
        <w:rPr>
          <w:i/>
        </w:rPr>
        <w:t xml:space="preserve">ŠPECIFICKÝ CIEĽ </w:t>
      </w:r>
      <w:r>
        <w:rPr>
          <w:i/>
        </w:rPr>
        <w:t>2.1</w:t>
      </w:r>
      <w:r w:rsidRPr="004F0234">
        <w:rPr>
          <w:i/>
        </w:rPr>
        <w:t>:</w:t>
      </w:r>
      <w:r>
        <w:rPr>
          <w:i/>
        </w:rPr>
        <w:t xml:space="preserve"> </w:t>
      </w:r>
      <w:r>
        <w:rPr>
          <w:b/>
          <w:i/>
        </w:rPr>
        <w:t>Odstránenie kľúčových úzkych miest na cestnej infraštruktúre TEN-T prostredníctvom výstavby nových úsekov diaľnic a rýchlostných ciest</w:t>
      </w:r>
    </w:p>
    <w:p w14:paraId="78B11D79" w14:textId="77777777" w:rsidR="00105418" w:rsidRDefault="00105418" w:rsidP="00105418">
      <w:pPr>
        <w:spacing w:before="180"/>
        <w:jc w:val="both"/>
        <w:rPr>
          <w:sz w:val="22"/>
          <w:szCs w:val="22"/>
        </w:rPr>
      </w:pPr>
      <w:r>
        <w:rPr>
          <w:sz w:val="22"/>
          <w:szCs w:val="22"/>
        </w:rPr>
        <w:t>V Strategickom pláne bola pre oblasť rozvoja cestnej infraštruktúry určená vízia „</w:t>
      </w:r>
      <w:r w:rsidRPr="003B202F">
        <w:rPr>
          <w:i/>
          <w:sz w:val="22"/>
          <w:szCs w:val="22"/>
        </w:rPr>
        <w:t>modernej, kvalitnej, bezpečnej a efektívne fungujúcej dopravnej infraštruktúry</w:t>
      </w:r>
      <w:r>
        <w:rPr>
          <w:sz w:val="22"/>
          <w:szCs w:val="22"/>
        </w:rPr>
        <w:t>“</w:t>
      </w:r>
      <w:r w:rsidRPr="009B0762">
        <w:rPr>
          <w:sz w:val="22"/>
          <w:szCs w:val="22"/>
        </w:rPr>
        <w:t>, a</w:t>
      </w:r>
      <w:r>
        <w:rPr>
          <w:sz w:val="22"/>
          <w:szCs w:val="22"/>
        </w:rPr>
        <w:t> </w:t>
      </w:r>
      <w:r w:rsidRPr="009B0762">
        <w:rPr>
          <w:sz w:val="22"/>
          <w:szCs w:val="22"/>
        </w:rPr>
        <w:t>to najmä v</w:t>
      </w:r>
      <w:r>
        <w:rPr>
          <w:sz w:val="22"/>
          <w:szCs w:val="22"/>
        </w:rPr>
        <w:t> </w:t>
      </w:r>
      <w:r w:rsidRPr="009B0762">
        <w:rPr>
          <w:sz w:val="22"/>
          <w:szCs w:val="22"/>
        </w:rPr>
        <w:t>koridoroch transeurópskej dopravnej siete (TEN-T).</w:t>
      </w:r>
      <w:r w:rsidRPr="006229E8">
        <w:rPr>
          <w:sz w:val="22"/>
          <w:szCs w:val="22"/>
        </w:rPr>
        <w:t xml:space="preserve"> </w:t>
      </w:r>
      <w:r>
        <w:rPr>
          <w:sz w:val="22"/>
          <w:szCs w:val="22"/>
        </w:rPr>
        <w:t>Aktivity plánované v prioritnej osi významným spôsobom prispievajú k naplneniu tejto vízie.</w:t>
      </w:r>
    </w:p>
    <w:p w14:paraId="3DC4B1AE" w14:textId="40DC923A" w:rsidR="00105418" w:rsidRDefault="00105418" w:rsidP="00105418">
      <w:pPr>
        <w:spacing w:before="180"/>
        <w:jc w:val="both"/>
        <w:rPr>
          <w:sz w:val="22"/>
          <w:szCs w:val="22"/>
        </w:rPr>
      </w:pPr>
      <w:r>
        <w:rPr>
          <w:sz w:val="22"/>
          <w:szCs w:val="22"/>
        </w:rPr>
        <w:t xml:space="preserve">Obsahové zameranie projektov prioritnej osi bude smerovať k naplneniu </w:t>
      </w:r>
      <w:r w:rsidR="00D85B34">
        <w:rPr>
          <w:sz w:val="22"/>
          <w:szCs w:val="22"/>
        </w:rPr>
        <w:t xml:space="preserve">špecifického cieľa, ktorým </w:t>
      </w:r>
      <w:r>
        <w:rPr>
          <w:sz w:val="22"/>
          <w:szCs w:val="22"/>
        </w:rPr>
        <w:t>je</w:t>
      </w:r>
      <w:r w:rsidR="00D85B34">
        <w:rPr>
          <w:sz w:val="22"/>
          <w:szCs w:val="22"/>
        </w:rPr>
        <w:t xml:space="preserve"> </w:t>
      </w:r>
      <w:r w:rsidRPr="002F7377">
        <w:rPr>
          <w:b/>
          <w:sz w:val="22"/>
          <w:szCs w:val="22"/>
        </w:rPr>
        <w:t>odstránenie</w:t>
      </w:r>
      <w:r>
        <w:rPr>
          <w:sz w:val="22"/>
          <w:szCs w:val="22"/>
        </w:rPr>
        <w:t xml:space="preserve"> </w:t>
      </w:r>
      <w:r w:rsidRPr="00DF113F">
        <w:rPr>
          <w:b/>
          <w:sz w:val="22"/>
          <w:szCs w:val="22"/>
        </w:rPr>
        <w:t>kľúčových úzkych miest na cestnej infraštruktúre TEN-T</w:t>
      </w:r>
      <w:r>
        <w:rPr>
          <w:b/>
          <w:sz w:val="22"/>
          <w:szCs w:val="22"/>
        </w:rPr>
        <w:t xml:space="preserve">, </w:t>
      </w:r>
      <w:r>
        <w:rPr>
          <w:sz w:val="22"/>
          <w:szCs w:val="22"/>
        </w:rPr>
        <w:t>s dôrazom na </w:t>
      </w:r>
      <w:r w:rsidRPr="00F5277C">
        <w:rPr>
          <w:sz w:val="22"/>
          <w:szCs w:val="22"/>
        </w:rPr>
        <w:t>udržateľn</w:t>
      </w:r>
      <w:r>
        <w:rPr>
          <w:sz w:val="22"/>
          <w:szCs w:val="22"/>
        </w:rPr>
        <w:t xml:space="preserve">osť, nákladovú efektívnosť, zvyšovanie bezpečnosti cestnej premávky a znižovanie socioekonomických a environmentálnych vplyvov cestnej dopravy. </w:t>
      </w:r>
      <w:r w:rsidRPr="009B0762">
        <w:rPr>
          <w:sz w:val="22"/>
          <w:szCs w:val="22"/>
        </w:rPr>
        <w:t>Budovanie kvalitnej cestnej infraštruktúry v</w:t>
      </w:r>
      <w:r>
        <w:rPr>
          <w:sz w:val="22"/>
          <w:szCs w:val="22"/>
        </w:rPr>
        <w:t xml:space="preserve"> </w:t>
      </w:r>
      <w:r w:rsidRPr="009B0762">
        <w:rPr>
          <w:sz w:val="22"/>
          <w:szCs w:val="22"/>
        </w:rPr>
        <w:t>trasách TEN-T má pre národné hospodárstvo</w:t>
      </w:r>
      <w:r>
        <w:rPr>
          <w:sz w:val="22"/>
          <w:szCs w:val="22"/>
        </w:rPr>
        <w:t xml:space="preserve"> a </w:t>
      </w:r>
      <w:r w:rsidRPr="00425455">
        <w:rPr>
          <w:sz w:val="22"/>
          <w:szCs w:val="22"/>
        </w:rPr>
        <w:t>rozvoj konkurencieschopnosti krajiny a</w:t>
      </w:r>
      <w:r>
        <w:rPr>
          <w:sz w:val="22"/>
          <w:szCs w:val="22"/>
        </w:rPr>
        <w:t> </w:t>
      </w:r>
      <w:r w:rsidRPr="00425455">
        <w:rPr>
          <w:sz w:val="22"/>
          <w:szCs w:val="22"/>
        </w:rPr>
        <w:t>regiónov</w:t>
      </w:r>
      <w:r w:rsidRPr="009B0762">
        <w:rPr>
          <w:sz w:val="22"/>
          <w:szCs w:val="22"/>
        </w:rPr>
        <w:t xml:space="preserve"> strategický význam nielen z</w:t>
      </w:r>
      <w:r>
        <w:rPr>
          <w:sz w:val="22"/>
          <w:szCs w:val="22"/>
        </w:rPr>
        <w:t> </w:t>
      </w:r>
      <w:r w:rsidRPr="009B0762">
        <w:rPr>
          <w:sz w:val="22"/>
          <w:szCs w:val="22"/>
        </w:rPr>
        <w:t>hľadiska udržania previazanosti a</w:t>
      </w:r>
      <w:r>
        <w:rPr>
          <w:sz w:val="22"/>
          <w:szCs w:val="22"/>
        </w:rPr>
        <w:t> </w:t>
      </w:r>
      <w:r w:rsidRPr="009B0762">
        <w:rPr>
          <w:sz w:val="22"/>
          <w:szCs w:val="22"/>
        </w:rPr>
        <w:t>dostupnosti Slovenska s</w:t>
      </w:r>
      <w:r>
        <w:rPr>
          <w:sz w:val="22"/>
          <w:szCs w:val="22"/>
        </w:rPr>
        <w:t> </w:t>
      </w:r>
      <w:r w:rsidRPr="009B0762">
        <w:rPr>
          <w:sz w:val="22"/>
          <w:szCs w:val="22"/>
        </w:rPr>
        <w:t>krajinami členských štátov EÚ, ale aj z</w:t>
      </w:r>
      <w:r>
        <w:rPr>
          <w:sz w:val="22"/>
          <w:szCs w:val="22"/>
        </w:rPr>
        <w:t> </w:t>
      </w:r>
      <w:r w:rsidRPr="009B0762">
        <w:rPr>
          <w:sz w:val="22"/>
          <w:szCs w:val="22"/>
        </w:rPr>
        <w:t xml:space="preserve">hľadiska </w:t>
      </w:r>
      <w:r>
        <w:rPr>
          <w:sz w:val="22"/>
          <w:szCs w:val="22"/>
        </w:rPr>
        <w:t xml:space="preserve">jeho </w:t>
      </w:r>
      <w:r w:rsidRPr="009B0762">
        <w:rPr>
          <w:sz w:val="22"/>
          <w:szCs w:val="22"/>
        </w:rPr>
        <w:t>ďalšieho rozvoja.</w:t>
      </w:r>
      <w:r>
        <w:rPr>
          <w:sz w:val="22"/>
          <w:szCs w:val="22"/>
        </w:rPr>
        <w:t xml:space="preserve"> Z</w:t>
      </w:r>
      <w:r w:rsidRPr="008A49C4">
        <w:rPr>
          <w:sz w:val="22"/>
          <w:szCs w:val="22"/>
        </w:rPr>
        <w:t xml:space="preserve">lepšuje </w:t>
      </w:r>
      <w:r>
        <w:rPr>
          <w:sz w:val="22"/>
          <w:szCs w:val="22"/>
        </w:rPr>
        <w:t xml:space="preserve">medzinárodnú </w:t>
      </w:r>
      <w:r w:rsidRPr="008A49C4">
        <w:rPr>
          <w:sz w:val="22"/>
          <w:szCs w:val="22"/>
        </w:rPr>
        <w:t>dostupnosť</w:t>
      </w:r>
      <w:r>
        <w:rPr>
          <w:sz w:val="22"/>
          <w:szCs w:val="22"/>
        </w:rPr>
        <w:t>, dostupnosť a</w:t>
      </w:r>
      <w:r w:rsidRPr="008A49C4">
        <w:rPr>
          <w:sz w:val="22"/>
          <w:szCs w:val="22"/>
        </w:rPr>
        <w:t xml:space="preserve"> </w:t>
      </w:r>
      <w:r>
        <w:rPr>
          <w:sz w:val="22"/>
          <w:szCs w:val="22"/>
        </w:rPr>
        <w:t>prepojenosť regiónov,</w:t>
      </w:r>
      <w:r w:rsidRPr="008A49C4">
        <w:rPr>
          <w:sz w:val="22"/>
          <w:szCs w:val="22"/>
        </w:rPr>
        <w:t xml:space="preserve"> zvyšuje ich atraktívnosť pre investorov a tým </w:t>
      </w:r>
      <w:r>
        <w:rPr>
          <w:sz w:val="22"/>
          <w:szCs w:val="22"/>
        </w:rPr>
        <w:t>vytvára predpoklady</w:t>
      </w:r>
      <w:r w:rsidRPr="008A49C4">
        <w:rPr>
          <w:sz w:val="22"/>
          <w:szCs w:val="22"/>
        </w:rPr>
        <w:t xml:space="preserve"> pre vyššiu konkurencieschopnosť, podnikateľský rozvoj</w:t>
      </w:r>
      <w:r>
        <w:rPr>
          <w:sz w:val="22"/>
          <w:szCs w:val="22"/>
        </w:rPr>
        <w:t xml:space="preserve">, </w:t>
      </w:r>
      <w:r w:rsidRPr="008A49C4">
        <w:rPr>
          <w:sz w:val="22"/>
          <w:szCs w:val="22"/>
        </w:rPr>
        <w:t>hospodársky ras</w:t>
      </w:r>
      <w:r>
        <w:rPr>
          <w:sz w:val="22"/>
          <w:szCs w:val="22"/>
        </w:rPr>
        <w:t>t a tvorbu</w:t>
      </w:r>
      <w:r w:rsidRPr="008A49C4">
        <w:rPr>
          <w:sz w:val="22"/>
          <w:szCs w:val="22"/>
        </w:rPr>
        <w:t xml:space="preserve"> nových pracovných miest</w:t>
      </w:r>
      <w:r>
        <w:rPr>
          <w:sz w:val="22"/>
          <w:szCs w:val="22"/>
        </w:rPr>
        <w:t>.</w:t>
      </w:r>
    </w:p>
    <w:p w14:paraId="3DE12A77" w14:textId="55AE74E1" w:rsidR="00105418" w:rsidRDefault="00105418" w:rsidP="00105418">
      <w:pPr>
        <w:spacing w:before="180"/>
        <w:jc w:val="both"/>
        <w:rPr>
          <w:sz w:val="22"/>
          <w:szCs w:val="22"/>
        </w:rPr>
      </w:pPr>
      <w:r w:rsidRPr="002F7377">
        <w:rPr>
          <w:sz w:val="22"/>
          <w:szCs w:val="22"/>
        </w:rPr>
        <w:t xml:space="preserve">Zdroje prioritnej osi budú preto smerovať na </w:t>
      </w:r>
      <w:r w:rsidRPr="008C6480">
        <w:rPr>
          <w:b/>
          <w:sz w:val="22"/>
          <w:szCs w:val="22"/>
        </w:rPr>
        <w:t>výstavbu nových úsekov diaľnic a rýchlostných ciest</w:t>
      </w:r>
      <w:r w:rsidRPr="002F7377">
        <w:rPr>
          <w:sz w:val="22"/>
          <w:szCs w:val="22"/>
        </w:rPr>
        <w:t xml:space="preserve"> v trasách, kde existujúca </w:t>
      </w:r>
      <w:r>
        <w:rPr>
          <w:sz w:val="22"/>
          <w:szCs w:val="22"/>
        </w:rPr>
        <w:t>cesta I. triedy svojimi parametrami už nespĺňa požiadavky v oblasti kapacity (prostredníctvom ciest I. triedy je realizovaných takmer 44 % dopravných výkonov) a</w:t>
      </w:r>
      <w:r w:rsidRPr="002E16EB">
        <w:rPr>
          <w:sz w:val="22"/>
          <w:szCs w:val="22"/>
        </w:rPr>
        <w:t xml:space="preserve"> v dôsledku dlhodobého preťaženia už ani</w:t>
      </w:r>
      <w:r>
        <w:rPr>
          <w:sz w:val="22"/>
          <w:szCs w:val="22"/>
        </w:rPr>
        <w:t xml:space="preserve"> v oblasti</w:t>
      </w:r>
      <w:r w:rsidRPr="002E16EB">
        <w:rPr>
          <w:sz w:val="22"/>
          <w:szCs w:val="22"/>
        </w:rPr>
        <w:t xml:space="preserve"> kvalit</w:t>
      </w:r>
      <w:r>
        <w:rPr>
          <w:sz w:val="22"/>
          <w:szCs w:val="22"/>
        </w:rPr>
        <w:t xml:space="preserve">y infraštruktúry. </w:t>
      </w:r>
      <w:r w:rsidRPr="002E16EB">
        <w:rPr>
          <w:sz w:val="22"/>
          <w:szCs w:val="22"/>
        </w:rPr>
        <w:t>Mnohé z ciest I. triedy sú pritom tras</w:t>
      </w:r>
      <w:r>
        <w:rPr>
          <w:sz w:val="22"/>
          <w:szCs w:val="22"/>
        </w:rPr>
        <w:t xml:space="preserve">ované intravilánom miest a obcí, pričom intenzita dopravy na týchto úsekoch negatívne ovplyvňuje kvalitu života miestneho </w:t>
      </w:r>
      <w:r w:rsidRPr="00A21DD4">
        <w:rPr>
          <w:sz w:val="22"/>
          <w:szCs w:val="22"/>
        </w:rPr>
        <w:t xml:space="preserve">obyvateľstva </w:t>
      </w:r>
      <w:r w:rsidR="00307AAF" w:rsidRPr="00A21DD4">
        <w:rPr>
          <w:sz w:val="22"/>
          <w:szCs w:val="22"/>
        </w:rPr>
        <w:t>taktiež</w:t>
      </w:r>
      <w:r w:rsidR="00C707A4" w:rsidRPr="00A21DD4">
        <w:rPr>
          <w:sz w:val="22"/>
          <w:szCs w:val="22"/>
        </w:rPr>
        <w:t xml:space="preserve"> </w:t>
      </w:r>
      <w:r w:rsidR="00307AAF" w:rsidRPr="00A21DD4">
        <w:rPr>
          <w:sz w:val="22"/>
          <w:szCs w:val="22"/>
        </w:rPr>
        <w:t>z hľadiska kvality ovzdušia</w:t>
      </w:r>
      <w:r w:rsidRPr="00A21DD4">
        <w:rPr>
          <w:sz w:val="22"/>
          <w:szCs w:val="22"/>
        </w:rPr>
        <w:t>.</w:t>
      </w:r>
      <w:r>
        <w:rPr>
          <w:sz w:val="22"/>
          <w:szCs w:val="22"/>
        </w:rPr>
        <w:t xml:space="preserve"> Vybudovaním nových úsekov diaľnic a rýchlostných ciest dôjde k odkloneniu významnej časti výkonov tranzitnej cestnej dopravy z intravilánov miest a obcí. To prispeje k výraznému zlepšeniu životných podmienok v dotknutých oblastiach, predovšetkým zníženiu hlukového zaťaženia o</w:t>
      </w:r>
      <w:r w:rsidR="00D85B34">
        <w:rPr>
          <w:sz w:val="22"/>
          <w:szCs w:val="22"/>
        </w:rPr>
        <w:t>byvateľstva, emisií, vibrácií a </w:t>
      </w:r>
      <w:r>
        <w:rPr>
          <w:sz w:val="22"/>
          <w:szCs w:val="22"/>
        </w:rPr>
        <w:t xml:space="preserve">prašnosti spôsobených súčasnou intenzitou cestnej dopravy. V tejto súvislosti sa ďalej predpokladá </w:t>
      </w:r>
      <w:r>
        <w:rPr>
          <w:sz w:val="22"/>
          <w:szCs w:val="22"/>
        </w:rPr>
        <w:lastRenderedPageBreak/>
        <w:t>realizácia nadväzujúcich opatrení na úrovni miest a regiónov v zmysle pripravovaných PUMM v spojení s plánmi kvality ovzdušia.</w:t>
      </w:r>
    </w:p>
    <w:p w14:paraId="0226F14C" w14:textId="77777777" w:rsidR="00105418" w:rsidRDefault="00105418" w:rsidP="00105418">
      <w:pPr>
        <w:autoSpaceDE w:val="0"/>
        <w:autoSpaceDN w:val="0"/>
        <w:adjustRightInd w:val="0"/>
        <w:spacing w:before="180"/>
        <w:jc w:val="both"/>
        <w:rPr>
          <w:sz w:val="22"/>
          <w:szCs w:val="22"/>
        </w:rPr>
      </w:pPr>
      <w:r w:rsidRPr="00DF113F">
        <w:rPr>
          <w:b/>
          <w:sz w:val="22"/>
          <w:szCs w:val="22"/>
        </w:rPr>
        <w:t>Prioritným záujmom SR je výstavba tých úsekov diaľnic a rýchlostných ciest, absencia ktorých sa negatívne premieta v oblastiach hospodárstva, životného prost</w:t>
      </w:r>
      <w:r w:rsidR="00A67F3C">
        <w:rPr>
          <w:b/>
          <w:sz w:val="22"/>
          <w:szCs w:val="22"/>
        </w:rPr>
        <w:t>redia a ktoré tvoria prekážku v </w:t>
      </w:r>
      <w:r w:rsidRPr="00DF113F">
        <w:rPr>
          <w:b/>
          <w:sz w:val="22"/>
          <w:szCs w:val="22"/>
        </w:rPr>
        <w:t xml:space="preserve">mobilite obyvateľstva, znižujú atraktivitu územia z pohľadu </w:t>
      </w:r>
      <w:r w:rsidR="00706210">
        <w:rPr>
          <w:b/>
          <w:sz w:val="22"/>
          <w:szCs w:val="22"/>
        </w:rPr>
        <w:t>turizmu a </w:t>
      </w:r>
      <w:r w:rsidRPr="00DF113F">
        <w:rPr>
          <w:b/>
          <w:sz w:val="22"/>
          <w:szCs w:val="22"/>
        </w:rPr>
        <w:t xml:space="preserve">prílevu investícií alebo </w:t>
      </w:r>
      <w:r>
        <w:rPr>
          <w:b/>
          <w:sz w:val="22"/>
          <w:szCs w:val="22"/>
        </w:rPr>
        <w:t xml:space="preserve">významným spôsobom </w:t>
      </w:r>
      <w:r w:rsidRPr="00DF113F">
        <w:rPr>
          <w:b/>
          <w:sz w:val="22"/>
          <w:szCs w:val="22"/>
        </w:rPr>
        <w:t>napomôžu zvýšiť bezpečnosť premávky</w:t>
      </w:r>
      <w:r w:rsidRPr="00085B3F">
        <w:rPr>
          <w:sz w:val="22"/>
          <w:szCs w:val="22"/>
        </w:rPr>
        <w:t>.</w:t>
      </w:r>
      <w:r>
        <w:rPr>
          <w:sz w:val="22"/>
          <w:szCs w:val="22"/>
        </w:rPr>
        <w:t xml:space="preserve"> Nové úseky diaľnic a rýchlostných ciest budú budované v súlade s platnými environmentálnymi a technickými požiadavkami s cieľom znižovania negatívnych vplyvov z dopravy </w:t>
      </w:r>
      <w:r w:rsidR="00307AAF" w:rsidRPr="00A21DD4">
        <w:rPr>
          <w:sz w:val="22"/>
          <w:szCs w:val="22"/>
        </w:rPr>
        <w:t xml:space="preserve">s dôrazom </w:t>
      </w:r>
      <w:r w:rsidR="00706210">
        <w:rPr>
          <w:sz w:val="22"/>
          <w:szCs w:val="22"/>
        </w:rPr>
        <w:t>na </w:t>
      </w:r>
      <w:r w:rsidR="005E42EE">
        <w:rPr>
          <w:sz w:val="22"/>
          <w:szCs w:val="22"/>
        </w:rPr>
        <w:t xml:space="preserve">zlepšovanie kvality ovzdušia. </w:t>
      </w:r>
    </w:p>
    <w:p w14:paraId="2B03B0D3" w14:textId="77777777" w:rsidR="00105418" w:rsidRPr="001B2070" w:rsidRDefault="00105418" w:rsidP="00105418">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47A35BAE" w14:textId="77777777" w:rsidR="009E0158" w:rsidRDefault="00105418" w:rsidP="00C35D0B">
      <w:pPr>
        <w:pStyle w:val="Odsekzoznamu"/>
        <w:numPr>
          <w:ilvl w:val="0"/>
          <w:numId w:val="51"/>
        </w:numPr>
        <w:autoSpaceDE w:val="0"/>
        <w:autoSpaceDN w:val="0"/>
        <w:adjustRightInd w:val="0"/>
        <w:ind w:hanging="436"/>
        <w:jc w:val="both"/>
        <w:rPr>
          <w:sz w:val="22"/>
          <w:szCs w:val="22"/>
        </w:rPr>
      </w:pPr>
      <w:r w:rsidRPr="00186DB7">
        <w:rPr>
          <w:sz w:val="22"/>
          <w:szCs w:val="22"/>
        </w:rPr>
        <w:t>odstránenie kľúčových úzkych miest na sieti TEN-T, predovšetkým v úseku Žilina – Liptovský Mikuláš a Žilina – št. hr</w:t>
      </w:r>
      <w:r w:rsidR="00E46F1E">
        <w:rPr>
          <w:sz w:val="22"/>
          <w:szCs w:val="22"/>
        </w:rPr>
        <w:t>.</w:t>
      </w:r>
      <w:r w:rsidRPr="00186DB7">
        <w:rPr>
          <w:sz w:val="22"/>
          <w:szCs w:val="22"/>
        </w:rPr>
        <w:t xml:space="preserve"> SR/ČR</w:t>
      </w:r>
      <w:r>
        <w:rPr>
          <w:sz w:val="22"/>
          <w:szCs w:val="22"/>
        </w:rPr>
        <w:t xml:space="preserve"> a SR/PR</w:t>
      </w:r>
      <w:r w:rsidRPr="00186DB7">
        <w:rPr>
          <w:sz w:val="22"/>
          <w:szCs w:val="22"/>
        </w:rPr>
        <w:t>,</w:t>
      </w:r>
    </w:p>
    <w:p w14:paraId="61010890"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zvýšenie bezpečnosti cestnej premávky, zníženie nehodovosti,</w:t>
      </w:r>
    </w:p>
    <w:p w14:paraId="7FB25ACB"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zníženie hlukovej záťaže a emisií CO</w:t>
      </w:r>
      <w:r w:rsidRPr="005068E6">
        <w:rPr>
          <w:sz w:val="22"/>
          <w:szCs w:val="22"/>
          <w:vertAlign w:val="subscript"/>
        </w:rPr>
        <w:t>2</w:t>
      </w:r>
      <w:r>
        <w:rPr>
          <w:sz w:val="22"/>
          <w:szCs w:val="22"/>
        </w:rPr>
        <w:t>, NO</w:t>
      </w:r>
      <w:r w:rsidRPr="005068E6">
        <w:rPr>
          <w:sz w:val="22"/>
          <w:szCs w:val="22"/>
          <w:vertAlign w:val="subscript"/>
        </w:rPr>
        <w:t>2</w:t>
      </w:r>
      <w:r>
        <w:rPr>
          <w:sz w:val="22"/>
          <w:szCs w:val="22"/>
        </w:rPr>
        <w:t xml:space="preserve"> a PM</w:t>
      </w:r>
      <w:r w:rsidR="00307AAF" w:rsidRPr="00307AAF">
        <w:rPr>
          <w:sz w:val="22"/>
          <w:szCs w:val="22"/>
          <w:vertAlign w:val="subscript"/>
        </w:rPr>
        <w:t>10</w:t>
      </w:r>
      <w:r>
        <w:rPr>
          <w:sz w:val="22"/>
          <w:szCs w:val="22"/>
        </w:rPr>
        <w:t xml:space="preserve"> v intraviláne miest a obcí,</w:t>
      </w:r>
    </w:p>
    <w:p w14:paraId="78521FD2"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zníženie časových strát a úspora nákladov,</w:t>
      </w:r>
    </w:p>
    <w:p w14:paraId="019BA1B8"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poskytovanie dopravných informácií účastníkom cestnej premávky,</w:t>
      </w:r>
    </w:p>
    <w:p w14:paraId="4A97CF02"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sidRPr="00186DB7">
        <w:rPr>
          <w:sz w:val="22"/>
          <w:szCs w:val="22"/>
        </w:rPr>
        <w:t>zabezpečenie bezpečnej migrácie zveri,</w:t>
      </w:r>
    </w:p>
    <w:p w14:paraId="3CED5E4A" w14:textId="77777777" w:rsidR="009E0158" w:rsidRDefault="00105418" w:rsidP="00C35D0B">
      <w:pPr>
        <w:pStyle w:val="Odsekzoznamu"/>
        <w:numPr>
          <w:ilvl w:val="0"/>
          <w:numId w:val="51"/>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Pr>
          <w:sz w:val="22"/>
          <w:szCs w:val="22"/>
        </w:rPr>
        <w:t>, zlepšenie mobility obyvateľov</w:t>
      </w:r>
      <w:r w:rsidRPr="00B715C0">
        <w:rPr>
          <w:sz w:val="22"/>
          <w:szCs w:val="22"/>
        </w:rPr>
        <w:t xml:space="preserve"> a</w:t>
      </w:r>
      <w:r>
        <w:rPr>
          <w:sz w:val="22"/>
          <w:szCs w:val="22"/>
        </w:rPr>
        <w:t xml:space="preserve"> zvýšenie</w:t>
      </w:r>
      <w:r w:rsidRPr="00B715C0">
        <w:rPr>
          <w:sz w:val="22"/>
          <w:szCs w:val="22"/>
        </w:rPr>
        <w:t xml:space="preserve"> potenciálu </w:t>
      </w:r>
      <w:r>
        <w:rPr>
          <w:sz w:val="22"/>
          <w:szCs w:val="22"/>
        </w:rPr>
        <w:t>rastu zamestnanosti.</w:t>
      </w:r>
    </w:p>
    <w:p w14:paraId="794704A9" w14:textId="77777777" w:rsidR="00105418" w:rsidRDefault="00105418" w:rsidP="004402B6">
      <w:pPr>
        <w:pStyle w:val="Tab"/>
      </w:pPr>
      <w:r w:rsidRPr="004F0234">
        <w:t>Výsledkové ukazovatele zodpovedajúce špecifickému cieľu</w:t>
      </w:r>
      <w:r>
        <w:t xml:space="preserve"> 2.1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105418" w:rsidRPr="008C1732" w14:paraId="107D01C6" w14:textId="77777777" w:rsidTr="00105418">
        <w:trPr>
          <w:trHeight w:val="487"/>
          <w:jc w:val="center"/>
        </w:trPr>
        <w:tc>
          <w:tcPr>
            <w:tcW w:w="598" w:type="dxa"/>
            <w:shd w:val="clear" w:color="auto" w:fill="C6D9F1" w:themeFill="text2" w:themeFillTint="33"/>
            <w:vAlign w:val="center"/>
          </w:tcPr>
          <w:p w14:paraId="348AC80C" w14:textId="77777777" w:rsidR="00105418" w:rsidRPr="008C1732" w:rsidRDefault="00105418" w:rsidP="00105418">
            <w:pPr>
              <w:ind w:left="0"/>
              <w:jc w:val="center"/>
              <w:rPr>
                <w:b/>
                <w:sz w:val="18"/>
                <w:szCs w:val="18"/>
              </w:rPr>
            </w:pPr>
            <w:r>
              <w:rPr>
                <w:b/>
                <w:sz w:val="18"/>
                <w:szCs w:val="18"/>
              </w:rPr>
              <w:t>P. č.</w:t>
            </w:r>
          </w:p>
        </w:tc>
        <w:tc>
          <w:tcPr>
            <w:tcW w:w="1391" w:type="dxa"/>
            <w:shd w:val="clear" w:color="auto" w:fill="C6D9F1" w:themeFill="text2" w:themeFillTint="33"/>
            <w:vAlign w:val="center"/>
          </w:tcPr>
          <w:p w14:paraId="4B29498D" w14:textId="77777777" w:rsidR="00105418" w:rsidRPr="008C1732" w:rsidRDefault="00105418" w:rsidP="00105418">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09F79439" w14:textId="77777777" w:rsidR="00105418" w:rsidRPr="008C1732" w:rsidRDefault="00105418" w:rsidP="00105418">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79FDF4B1" w14:textId="77777777" w:rsidR="00105418" w:rsidRPr="008C1732" w:rsidRDefault="00105418" w:rsidP="00105418">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1EA12E07" w14:textId="77777777" w:rsidR="00105418" w:rsidRPr="008C1732" w:rsidRDefault="00105418" w:rsidP="00105418">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286F829C" w14:textId="77777777" w:rsidR="00105418" w:rsidRPr="008C1732" w:rsidRDefault="00105418" w:rsidP="00105418">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58F259C3" w14:textId="77777777" w:rsidR="00105418" w:rsidRPr="008C1732" w:rsidRDefault="00105418" w:rsidP="00105418">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646A656E" w14:textId="77777777" w:rsidR="00105418" w:rsidRPr="008C1732" w:rsidRDefault="00105418" w:rsidP="00105418">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0C213C3" w14:textId="77777777" w:rsidR="00105418" w:rsidRPr="008C1732" w:rsidRDefault="00105418" w:rsidP="00105418">
            <w:pPr>
              <w:ind w:left="0"/>
              <w:jc w:val="center"/>
              <w:rPr>
                <w:b/>
                <w:sz w:val="18"/>
                <w:szCs w:val="18"/>
              </w:rPr>
            </w:pPr>
            <w:r w:rsidRPr="008C1732">
              <w:rPr>
                <w:b/>
                <w:sz w:val="18"/>
                <w:szCs w:val="18"/>
              </w:rPr>
              <w:t>Frekvencia vykazovania</w:t>
            </w:r>
          </w:p>
        </w:tc>
      </w:tr>
      <w:tr w:rsidR="00105418" w:rsidRPr="00DA54A1" w14:paraId="6BDF69DD" w14:textId="77777777" w:rsidTr="00105418">
        <w:trPr>
          <w:trHeight w:val="680"/>
          <w:jc w:val="center"/>
        </w:trPr>
        <w:tc>
          <w:tcPr>
            <w:tcW w:w="598" w:type="dxa"/>
            <w:shd w:val="clear" w:color="auto" w:fill="auto"/>
            <w:vAlign w:val="center"/>
          </w:tcPr>
          <w:p w14:paraId="26B9CBEB" w14:textId="77777777" w:rsidR="00105418" w:rsidRPr="00336C1F" w:rsidRDefault="00105418" w:rsidP="00105418">
            <w:pPr>
              <w:ind w:left="0"/>
              <w:jc w:val="center"/>
              <w:rPr>
                <w:sz w:val="20"/>
                <w:szCs w:val="20"/>
              </w:rPr>
            </w:pPr>
            <w:r>
              <w:rPr>
                <w:sz w:val="20"/>
                <w:szCs w:val="20"/>
              </w:rPr>
              <w:t>1.</w:t>
            </w:r>
          </w:p>
        </w:tc>
        <w:tc>
          <w:tcPr>
            <w:tcW w:w="1391" w:type="dxa"/>
            <w:shd w:val="clear" w:color="auto" w:fill="auto"/>
            <w:vAlign w:val="center"/>
          </w:tcPr>
          <w:p w14:paraId="40D0B8AF" w14:textId="77777777" w:rsidR="00105418" w:rsidRPr="00AB18C1" w:rsidRDefault="00105418" w:rsidP="00105418">
            <w:pPr>
              <w:ind w:left="0"/>
              <w:rPr>
                <w:sz w:val="20"/>
                <w:szCs w:val="20"/>
              </w:rPr>
            </w:pPr>
            <w:r w:rsidRPr="00336C1F">
              <w:rPr>
                <w:sz w:val="20"/>
                <w:szCs w:val="20"/>
              </w:rPr>
              <w:t>Úspora času v </w:t>
            </w:r>
            <w:r>
              <w:rPr>
                <w:sz w:val="20"/>
                <w:szCs w:val="20"/>
              </w:rPr>
              <w:t>cestnej</w:t>
            </w:r>
            <w:r w:rsidRPr="00336C1F">
              <w:rPr>
                <w:sz w:val="20"/>
                <w:szCs w:val="20"/>
              </w:rPr>
              <w:t xml:space="preserve"> doprave</w:t>
            </w:r>
            <w:r>
              <w:rPr>
                <w:sz w:val="20"/>
                <w:szCs w:val="20"/>
              </w:rPr>
              <w:t xml:space="preserve"> na diaľniciach a rýchlostných cestách</w:t>
            </w:r>
          </w:p>
        </w:tc>
        <w:tc>
          <w:tcPr>
            <w:tcW w:w="897" w:type="dxa"/>
            <w:shd w:val="clear" w:color="auto" w:fill="auto"/>
            <w:vAlign w:val="center"/>
          </w:tcPr>
          <w:p w14:paraId="2249E1E6" w14:textId="77777777" w:rsidR="00105418" w:rsidRPr="00DA54A1" w:rsidRDefault="00105418" w:rsidP="00105418">
            <w:pPr>
              <w:ind w:left="0"/>
              <w:jc w:val="center"/>
              <w:rPr>
                <w:i/>
                <w:sz w:val="20"/>
                <w:szCs w:val="20"/>
              </w:rPr>
            </w:pPr>
            <w:r>
              <w:rPr>
                <w:i/>
                <w:sz w:val="20"/>
                <w:szCs w:val="20"/>
              </w:rPr>
              <w:t>EUR</w:t>
            </w:r>
          </w:p>
        </w:tc>
        <w:tc>
          <w:tcPr>
            <w:tcW w:w="997" w:type="dxa"/>
            <w:shd w:val="clear" w:color="auto" w:fill="auto"/>
            <w:vAlign w:val="center"/>
          </w:tcPr>
          <w:p w14:paraId="076C039C" w14:textId="77777777" w:rsidR="00105418" w:rsidRPr="00DA54A1" w:rsidRDefault="00105418" w:rsidP="00105418">
            <w:pPr>
              <w:ind w:left="0"/>
              <w:jc w:val="center"/>
              <w:rPr>
                <w:i/>
                <w:sz w:val="20"/>
                <w:szCs w:val="20"/>
              </w:rPr>
            </w:pPr>
            <w:r w:rsidRPr="00DA54A1">
              <w:rPr>
                <w:i/>
                <w:sz w:val="20"/>
                <w:szCs w:val="20"/>
              </w:rPr>
              <w:t>N/A</w:t>
            </w:r>
          </w:p>
        </w:tc>
        <w:tc>
          <w:tcPr>
            <w:tcW w:w="1297" w:type="dxa"/>
            <w:vAlign w:val="center"/>
          </w:tcPr>
          <w:p w14:paraId="55D31CFC" w14:textId="77777777" w:rsidR="00105418" w:rsidRPr="00DA54A1" w:rsidRDefault="00105418" w:rsidP="00105418">
            <w:pPr>
              <w:ind w:left="0"/>
              <w:jc w:val="center"/>
              <w:rPr>
                <w:i/>
                <w:sz w:val="20"/>
                <w:szCs w:val="20"/>
              </w:rPr>
            </w:pPr>
            <w:r>
              <w:rPr>
                <w:i/>
                <w:sz w:val="20"/>
                <w:szCs w:val="20"/>
              </w:rPr>
              <w:t>588 684 851</w:t>
            </w:r>
          </w:p>
        </w:tc>
        <w:tc>
          <w:tcPr>
            <w:tcW w:w="1297" w:type="dxa"/>
            <w:vAlign w:val="center"/>
          </w:tcPr>
          <w:p w14:paraId="1F0BDAEC" w14:textId="77777777" w:rsidR="00105418" w:rsidRPr="00DA54A1" w:rsidRDefault="00105418" w:rsidP="00105418">
            <w:pPr>
              <w:ind w:left="0"/>
              <w:jc w:val="center"/>
              <w:rPr>
                <w:i/>
                <w:sz w:val="20"/>
                <w:szCs w:val="20"/>
              </w:rPr>
            </w:pPr>
            <w:r w:rsidRPr="00DA54A1">
              <w:rPr>
                <w:i/>
                <w:sz w:val="20"/>
                <w:szCs w:val="20"/>
              </w:rPr>
              <w:t>2013</w:t>
            </w:r>
          </w:p>
        </w:tc>
        <w:tc>
          <w:tcPr>
            <w:tcW w:w="865" w:type="dxa"/>
            <w:shd w:val="clear" w:color="auto" w:fill="auto"/>
            <w:vAlign w:val="center"/>
          </w:tcPr>
          <w:p w14:paraId="24DA4E60" w14:textId="77777777" w:rsidR="00105418" w:rsidRPr="00DA54A1" w:rsidRDefault="00105418" w:rsidP="00105418">
            <w:pPr>
              <w:ind w:left="0"/>
              <w:jc w:val="center"/>
              <w:rPr>
                <w:i/>
                <w:sz w:val="20"/>
                <w:szCs w:val="20"/>
              </w:rPr>
            </w:pPr>
            <w:r>
              <w:rPr>
                <w:i/>
                <w:sz w:val="20"/>
                <w:szCs w:val="20"/>
              </w:rPr>
              <w:t>343 475 242</w:t>
            </w:r>
          </w:p>
        </w:tc>
        <w:tc>
          <w:tcPr>
            <w:tcW w:w="759" w:type="dxa"/>
            <w:vAlign w:val="center"/>
          </w:tcPr>
          <w:p w14:paraId="65FD8D04" w14:textId="77777777" w:rsidR="00105418" w:rsidRPr="00DA54A1" w:rsidRDefault="00105418" w:rsidP="00105418">
            <w:pPr>
              <w:ind w:left="0"/>
              <w:jc w:val="center"/>
              <w:rPr>
                <w:i/>
                <w:sz w:val="20"/>
                <w:szCs w:val="20"/>
              </w:rPr>
            </w:pPr>
            <w:r w:rsidRPr="00DA54A1">
              <w:rPr>
                <w:i/>
                <w:sz w:val="20"/>
                <w:szCs w:val="20"/>
              </w:rPr>
              <w:t>RO OPII</w:t>
            </w:r>
          </w:p>
        </w:tc>
        <w:tc>
          <w:tcPr>
            <w:tcW w:w="1186" w:type="dxa"/>
            <w:vAlign w:val="center"/>
          </w:tcPr>
          <w:p w14:paraId="4B17D1FB" w14:textId="77777777" w:rsidR="00105418" w:rsidRPr="00DA54A1" w:rsidRDefault="00105418" w:rsidP="00105418">
            <w:pPr>
              <w:ind w:left="0"/>
              <w:jc w:val="center"/>
              <w:rPr>
                <w:i/>
                <w:sz w:val="20"/>
                <w:szCs w:val="20"/>
              </w:rPr>
            </w:pPr>
            <w:r w:rsidRPr="00DA54A1">
              <w:rPr>
                <w:i/>
                <w:sz w:val="20"/>
                <w:szCs w:val="20"/>
              </w:rPr>
              <w:t>Ročne</w:t>
            </w:r>
          </w:p>
        </w:tc>
      </w:tr>
      <w:tr w:rsidR="00105418" w:rsidRPr="00DA54A1" w14:paraId="7FC04420" w14:textId="77777777" w:rsidTr="004E341B">
        <w:trPr>
          <w:trHeight w:val="1300"/>
          <w:jc w:val="center"/>
        </w:trPr>
        <w:tc>
          <w:tcPr>
            <w:tcW w:w="598" w:type="dxa"/>
            <w:shd w:val="clear" w:color="auto" w:fill="auto"/>
            <w:vAlign w:val="center"/>
          </w:tcPr>
          <w:p w14:paraId="74ED41C3" w14:textId="77777777" w:rsidR="00105418" w:rsidRDefault="00105418" w:rsidP="00105418">
            <w:pPr>
              <w:ind w:left="0"/>
              <w:jc w:val="center"/>
              <w:rPr>
                <w:sz w:val="20"/>
                <w:szCs w:val="20"/>
              </w:rPr>
            </w:pPr>
            <w:r>
              <w:rPr>
                <w:sz w:val="20"/>
                <w:szCs w:val="20"/>
              </w:rPr>
              <w:t>2.</w:t>
            </w:r>
          </w:p>
        </w:tc>
        <w:tc>
          <w:tcPr>
            <w:tcW w:w="1391" w:type="dxa"/>
            <w:shd w:val="clear" w:color="auto" w:fill="auto"/>
            <w:vAlign w:val="center"/>
          </w:tcPr>
          <w:p w14:paraId="4D00C70E" w14:textId="77777777" w:rsidR="00105418" w:rsidRPr="00336C1F" w:rsidRDefault="00105418" w:rsidP="00105418">
            <w:pPr>
              <w:ind w:left="0"/>
              <w:rPr>
                <w:sz w:val="20"/>
                <w:szCs w:val="20"/>
              </w:rPr>
            </w:pPr>
            <w:r>
              <w:rPr>
                <w:sz w:val="20"/>
                <w:szCs w:val="20"/>
              </w:rPr>
              <w:t>Úspora produkcie emisií PM</w:t>
            </w:r>
            <w:r w:rsidRPr="001814E9">
              <w:rPr>
                <w:sz w:val="20"/>
                <w:szCs w:val="20"/>
                <w:vertAlign w:val="subscript"/>
              </w:rPr>
              <w:t>10</w:t>
            </w:r>
            <w:r>
              <w:rPr>
                <w:sz w:val="20"/>
                <w:szCs w:val="20"/>
              </w:rPr>
              <w:t xml:space="preserve"> (vplyvom výstavby diaľnic)</w:t>
            </w:r>
          </w:p>
        </w:tc>
        <w:tc>
          <w:tcPr>
            <w:tcW w:w="897" w:type="dxa"/>
            <w:shd w:val="clear" w:color="auto" w:fill="auto"/>
            <w:vAlign w:val="center"/>
          </w:tcPr>
          <w:p w14:paraId="31E14F9C" w14:textId="77777777" w:rsidR="00105418" w:rsidRDefault="00105418" w:rsidP="004E341B">
            <w:pPr>
              <w:ind w:left="0"/>
              <w:jc w:val="center"/>
              <w:rPr>
                <w:i/>
                <w:sz w:val="20"/>
                <w:szCs w:val="20"/>
              </w:rPr>
            </w:pPr>
            <w:r>
              <w:rPr>
                <w:i/>
                <w:sz w:val="20"/>
                <w:szCs w:val="20"/>
              </w:rPr>
              <w:t>tona</w:t>
            </w:r>
          </w:p>
        </w:tc>
        <w:tc>
          <w:tcPr>
            <w:tcW w:w="997" w:type="dxa"/>
            <w:shd w:val="clear" w:color="auto" w:fill="auto"/>
            <w:vAlign w:val="center"/>
          </w:tcPr>
          <w:p w14:paraId="2BB7E040" w14:textId="77777777" w:rsidR="00105418" w:rsidRPr="00DA54A1" w:rsidRDefault="00105418" w:rsidP="00105418">
            <w:pPr>
              <w:ind w:left="0"/>
              <w:jc w:val="center"/>
              <w:rPr>
                <w:i/>
                <w:sz w:val="20"/>
                <w:szCs w:val="20"/>
              </w:rPr>
            </w:pPr>
            <w:r>
              <w:rPr>
                <w:i/>
                <w:sz w:val="20"/>
                <w:szCs w:val="20"/>
              </w:rPr>
              <w:t>N/A</w:t>
            </w:r>
          </w:p>
        </w:tc>
        <w:tc>
          <w:tcPr>
            <w:tcW w:w="1297" w:type="dxa"/>
            <w:vAlign w:val="center"/>
          </w:tcPr>
          <w:p w14:paraId="4822C327" w14:textId="77777777" w:rsidR="00105418" w:rsidDel="008E6686" w:rsidRDefault="00105418" w:rsidP="00105418">
            <w:pPr>
              <w:ind w:left="0"/>
              <w:jc w:val="center"/>
              <w:rPr>
                <w:i/>
                <w:sz w:val="20"/>
                <w:szCs w:val="20"/>
              </w:rPr>
            </w:pPr>
            <w:r>
              <w:rPr>
                <w:i/>
                <w:sz w:val="20"/>
                <w:szCs w:val="20"/>
              </w:rPr>
              <w:t>30,11</w:t>
            </w:r>
          </w:p>
        </w:tc>
        <w:tc>
          <w:tcPr>
            <w:tcW w:w="1297" w:type="dxa"/>
            <w:vAlign w:val="center"/>
          </w:tcPr>
          <w:p w14:paraId="78A58914" w14:textId="77777777" w:rsidR="00105418" w:rsidRPr="00DA54A1" w:rsidRDefault="00105418" w:rsidP="00105418">
            <w:pPr>
              <w:ind w:left="0"/>
              <w:jc w:val="center"/>
              <w:rPr>
                <w:i/>
                <w:sz w:val="20"/>
                <w:szCs w:val="20"/>
              </w:rPr>
            </w:pPr>
            <w:r>
              <w:rPr>
                <w:i/>
                <w:sz w:val="20"/>
                <w:szCs w:val="20"/>
              </w:rPr>
              <w:t>2013</w:t>
            </w:r>
          </w:p>
        </w:tc>
        <w:tc>
          <w:tcPr>
            <w:tcW w:w="865" w:type="dxa"/>
            <w:shd w:val="clear" w:color="auto" w:fill="auto"/>
            <w:vAlign w:val="center"/>
          </w:tcPr>
          <w:p w14:paraId="0188C346" w14:textId="77777777" w:rsidR="00105418" w:rsidDel="008E6686" w:rsidRDefault="00105418" w:rsidP="00105418">
            <w:pPr>
              <w:ind w:left="0"/>
              <w:jc w:val="center"/>
              <w:rPr>
                <w:i/>
                <w:sz w:val="20"/>
                <w:szCs w:val="20"/>
              </w:rPr>
            </w:pPr>
            <w:r>
              <w:rPr>
                <w:i/>
                <w:sz w:val="20"/>
                <w:szCs w:val="20"/>
              </w:rPr>
              <w:t>8,46</w:t>
            </w:r>
          </w:p>
        </w:tc>
        <w:tc>
          <w:tcPr>
            <w:tcW w:w="759" w:type="dxa"/>
            <w:vAlign w:val="center"/>
          </w:tcPr>
          <w:p w14:paraId="76B80368" w14:textId="77777777" w:rsidR="00105418" w:rsidRPr="00DA54A1" w:rsidRDefault="00105418" w:rsidP="00105418">
            <w:pPr>
              <w:ind w:left="0"/>
              <w:jc w:val="center"/>
              <w:rPr>
                <w:i/>
                <w:sz w:val="20"/>
                <w:szCs w:val="20"/>
              </w:rPr>
            </w:pPr>
            <w:r>
              <w:rPr>
                <w:i/>
                <w:sz w:val="20"/>
                <w:szCs w:val="20"/>
              </w:rPr>
              <w:t>RO OPII</w:t>
            </w:r>
          </w:p>
        </w:tc>
        <w:tc>
          <w:tcPr>
            <w:tcW w:w="1186" w:type="dxa"/>
            <w:vAlign w:val="center"/>
          </w:tcPr>
          <w:p w14:paraId="0C67A8B8" w14:textId="77777777" w:rsidR="00105418" w:rsidRPr="00DA54A1" w:rsidRDefault="00105418" w:rsidP="00105418">
            <w:pPr>
              <w:ind w:left="0"/>
              <w:jc w:val="center"/>
              <w:rPr>
                <w:i/>
                <w:sz w:val="20"/>
                <w:szCs w:val="20"/>
              </w:rPr>
            </w:pPr>
            <w:r>
              <w:rPr>
                <w:i/>
                <w:sz w:val="20"/>
                <w:szCs w:val="20"/>
              </w:rPr>
              <w:t>Ročne</w:t>
            </w:r>
          </w:p>
        </w:tc>
      </w:tr>
      <w:tr w:rsidR="00105418" w:rsidRPr="00DA54A1" w14:paraId="4C4A136F" w14:textId="77777777" w:rsidTr="004E341B">
        <w:trPr>
          <w:trHeight w:val="1461"/>
          <w:jc w:val="center"/>
        </w:trPr>
        <w:tc>
          <w:tcPr>
            <w:tcW w:w="598" w:type="dxa"/>
            <w:shd w:val="clear" w:color="auto" w:fill="auto"/>
            <w:vAlign w:val="center"/>
          </w:tcPr>
          <w:p w14:paraId="0E02830D" w14:textId="77777777" w:rsidR="00105418" w:rsidRPr="00110C1D" w:rsidRDefault="00307AAF" w:rsidP="00110C1D">
            <w:pPr>
              <w:ind w:left="0"/>
              <w:jc w:val="center"/>
              <w:rPr>
                <w:sz w:val="20"/>
              </w:rPr>
            </w:pPr>
            <w:r w:rsidRPr="00110C1D">
              <w:rPr>
                <w:sz w:val="20"/>
              </w:rPr>
              <w:t>3.</w:t>
            </w:r>
          </w:p>
        </w:tc>
        <w:tc>
          <w:tcPr>
            <w:tcW w:w="1391" w:type="dxa"/>
            <w:shd w:val="clear" w:color="auto" w:fill="auto"/>
            <w:vAlign w:val="center"/>
          </w:tcPr>
          <w:p w14:paraId="116A5448" w14:textId="77777777" w:rsidR="004E341B" w:rsidRPr="00110C1D" w:rsidRDefault="00307AAF" w:rsidP="00110C1D">
            <w:pPr>
              <w:ind w:left="0"/>
              <w:rPr>
                <w:sz w:val="20"/>
              </w:rPr>
            </w:pPr>
            <w:r w:rsidRPr="00110C1D">
              <w:rPr>
                <w:sz w:val="20"/>
              </w:rPr>
              <w:t>Úspora produkcie emisií NO</w:t>
            </w:r>
            <w:r w:rsidRPr="00110C1D">
              <w:rPr>
                <w:sz w:val="20"/>
                <w:vertAlign w:val="subscript"/>
              </w:rPr>
              <w:t>2</w:t>
            </w:r>
            <w:r w:rsidRPr="00110C1D">
              <w:rPr>
                <w:sz w:val="20"/>
              </w:rPr>
              <w:t xml:space="preserve"> (vplyvom výstavby diaľnic)</w:t>
            </w:r>
          </w:p>
        </w:tc>
        <w:tc>
          <w:tcPr>
            <w:tcW w:w="897" w:type="dxa"/>
            <w:shd w:val="clear" w:color="auto" w:fill="auto"/>
            <w:vAlign w:val="center"/>
          </w:tcPr>
          <w:p w14:paraId="372FF75E" w14:textId="77777777" w:rsidR="00105418" w:rsidRPr="00110C1D" w:rsidRDefault="00307AAF" w:rsidP="00110C1D">
            <w:pPr>
              <w:ind w:left="0"/>
              <w:jc w:val="center"/>
              <w:rPr>
                <w:i/>
                <w:sz w:val="20"/>
              </w:rPr>
            </w:pPr>
            <w:r w:rsidRPr="00110C1D">
              <w:rPr>
                <w:i/>
                <w:sz w:val="20"/>
              </w:rPr>
              <w:t>tona</w:t>
            </w:r>
          </w:p>
        </w:tc>
        <w:tc>
          <w:tcPr>
            <w:tcW w:w="997" w:type="dxa"/>
            <w:shd w:val="clear" w:color="auto" w:fill="auto"/>
            <w:vAlign w:val="center"/>
          </w:tcPr>
          <w:p w14:paraId="4631A73E" w14:textId="77777777" w:rsidR="00105418" w:rsidRPr="00110C1D" w:rsidRDefault="00307AAF" w:rsidP="00110C1D">
            <w:pPr>
              <w:ind w:left="0"/>
              <w:jc w:val="center"/>
              <w:rPr>
                <w:i/>
                <w:sz w:val="20"/>
              </w:rPr>
            </w:pPr>
            <w:r w:rsidRPr="00110C1D">
              <w:rPr>
                <w:i/>
                <w:sz w:val="20"/>
              </w:rPr>
              <w:t>N/A</w:t>
            </w:r>
          </w:p>
        </w:tc>
        <w:tc>
          <w:tcPr>
            <w:tcW w:w="1297" w:type="dxa"/>
            <w:vAlign w:val="center"/>
          </w:tcPr>
          <w:p w14:paraId="79E9C40C" w14:textId="77777777" w:rsidR="00105418" w:rsidRPr="00110C1D" w:rsidRDefault="00307AAF" w:rsidP="00110C1D">
            <w:pPr>
              <w:ind w:left="0"/>
              <w:jc w:val="center"/>
              <w:rPr>
                <w:i/>
                <w:sz w:val="20"/>
              </w:rPr>
            </w:pPr>
            <w:r w:rsidRPr="00110C1D">
              <w:rPr>
                <w:i/>
                <w:sz w:val="20"/>
              </w:rPr>
              <w:t>129,18</w:t>
            </w:r>
          </w:p>
        </w:tc>
        <w:tc>
          <w:tcPr>
            <w:tcW w:w="1297" w:type="dxa"/>
            <w:vAlign w:val="center"/>
          </w:tcPr>
          <w:p w14:paraId="1812E7FD" w14:textId="77777777" w:rsidR="00105418" w:rsidRPr="00110C1D" w:rsidRDefault="00307AAF" w:rsidP="00110C1D">
            <w:pPr>
              <w:ind w:left="0"/>
              <w:jc w:val="center"/>
              <w:rPr>
                <w:i/>
                <w:sz w:val="20"/>
              </w:rPr>
            </w:pPr>
            <w:r w:rsidRPr="00110C1D">
              <w:rPr>
                <w:i/>
                <w:sz w:val="20"/>
              </w:rPr>
              <w:t>2013</w:t>
            </w:r>
          </w:p>
        </w:tc>
        <w:tc>
          <w:tcPr>
            <w:tcW w:w="865" w:type="dxa"/>
            <w:shd w:val="clear" w:color="auto" w:fill="auto"/>
            <w:vAlign w:val="center"/>
          </w:tcPr>
          <w:p w14:paraId="285A907B" w14:textId="77777777" w:rsidR="00105418" w:rsidRPr="00110C1D" w:rsidRDefault="00307AAF" w:rsidP="00110C1D">
            <w:pPr>
              <w:ind w:left="0"/>
              <w:jc w:val="center"/>
              <w:rPr>
                <w:i/>
                <w:sz w:val="20"/>
              </w:rPr>
            </w:pPr>
            <w:r w:rsidRPr="00110C1D">
              <w:rPr>
                <w:i/>
                <w:sz w:val="20"/>
              </w:rPr>
              <w:t>33,02</w:t>
            </w:r>
          </w:p>
        </w:tc>
        <w:tc>
          <w:tcPr>
            <w:tcW w:w="759" w:type="dxa"/>
            <w:vAlign w:val="center"/>
          </w:tcPr>
          <w:p w14:paraId="356581AC" w14:textId="77777777" w:rsidR="00105418" w:rsidRPr="00110C1D" w:rsidRDefault="00307AAF" w:rsidP="00110C1D">
            <w:pPr>
              <w:ind w:left="0"/>
              <w:jc w:val="center"/>
              <w:rPr>
                <w:i/>
                <w:sz w:val="20"/>
              </w:rPr>
            </w:pPr>
            <w:r w:rsidRPr="00110C1D">
              <w:rPr>
                <w:i/>
                <w:sz w:val="20"/>
              </w:rPr>
              <w:t>RO OPII</w:t>
            </w:r>
          </w:p>
        </w:tc>
        <w:tc>
          <w:tcPr>
            <w:tcW w:w="1186" w:type="dxa"/>
            <w:vAlign w:val="center"/>
          </w:tcPr>
          <w:p w14:paraId="122C65CD" w14:textId="77777777" w:rsidR="00105418" w:rsidRPr="00110C1D" w:rsidRDefault="00307AAF" w:rsidP="00110C1D">
            <w:pPr>
              <w:ind w:left="0"/>
              <w:jc w:val="center"/>
              <w:rPr>
                <w:i/>
                <w:sz w:val="20"/>
              </w:rPr>
            </w:pPr>
            <w:r w:rsidRPr="00110C1D">
              <w:rPr>
                <w:i/>
                <w:sz w:val="20"/>
              </w:rPr>
              <w:t>Ročne</w:t>
            </w:r>
          </w:p>
        </w:tc>
      </w:tr>
    </w:tbl>
    <w:p w14:paraId="50D8585F" w14:textId="77777777" w:rsidR="00105418" w:rsidRPr="00151195" w:rsidRDefault="004773A0" w:rsidP="00151195">
      <w:pPr>
        <w:pStyle w:val="tl3"/>
      </w:pPr>
      <w:r w:rsidRPr="00151195">
        <w:t>Opis typu a príklady aktivít</w:t>
      </w:r>
    </w:p>
    <w:p w14:paraId="16C3268E" w14:textId="77777777" w:rsidR="00D94757" w:rsidRPr="00336C1F" w:rsidRDefault="004773A0" w:rsidP="00D94757">
      <w:pPr>
        <w:spacing w:before="180" w:after="120"/>
        <w:rPr>
          <w:sz w:val="22"/>
          <w:szCs w:val="22"/>
        </w:rPr>
      </w:pPr>
      <w:r>
        <w:rPr>
          <w:sz w:val="22"/>
          <w:szCs w:val="22"/>
          <w:u w:val="single"/>
        </w:rPr>
        <w:t>Investičná priorita 7</w:t>
      </w:r>
      <w:r w:rsidR="00305A3F">
        <w:rPr>
          <w:sz w:val="22"/>
          <w:szCs w:val="22"/>
          <w:u w:val="single"/>
        </w:rPr>
        <w:t>i</w:t>
      </w:r>
      <w:r>
        <w:rPr>
          <w:sz w:val="22"/>
          <w:szCs w:val="22"/>
          <w:u w:val="single"/>
        </w:rPr>
        <w:t>) bude napĺňaná</w:t>
      </w:r>
      <w:r w:rsidR="00D94757" w:rsidRPr="00404A68">
        <w:rPr>
          <w:sz w:val="22"/>
          <w:szCs w:val="22"/>
          <w:u w:val="single"/>
        </w:rPr>
        <w:t xml:space="preserve"> prostredníctvom nasledujúcich aktivít</w:t>
      </w:r>
      <w:r w:rsidR="00D94757" w:rsidRPr="00336C1F">
        <w:rPr>
          <w:sz w:val="22"/>
          <w:szCs w:val="22"/>
        </w:rPr>
        <w:t>:</w:t>
      </w:r>
    </w:p>
    <w:p w14:paraId="57AADA98" w14:textId="77777777" w:rsidR="009E0158" w:rsidRDefault="00D94757" w:rsidP="00C35D0B">
      <w:pPr>
        <w:numPr>
          <w:ilvl w:val="2"/>
          <w:numId w:val="25"/>
        </w:numPr>
        <w:shd w:val="clear" w:color="auto" w:fill="E5DFEC" w:themeFill="accent4" w:themeFillTint="33"/>
        <w:tabs>
          <w:tab w:val="clear" w:pos="360"/>
        </w:tabs>
        <w:ind w:left="426" w:hanging="426"/>
        <w:jc w:val="both"/>
        <w:rPr>
          <w:sz w:val="22"/>
          <w:szCs w:val="22"/>
        </w:rPr>
      </w:pPr>
      <w:r>
        <w:rPr>
          <w:sz w:val="22"/>
          <w:szCs w:val="22"/>
        </w:rPr>
        <w:t>Výstavba diaľnic a rýchlostných ciest</w:t>
      </w:r>
      <w:r w:rsidR="00B468F6">
        <w:rPr>
          <w:sz w:val="22"/>
          <w:szCs w:val="22"/>
        </w:rPr>
        <w:t xml:space="preserve"> vrátane privádzačov</w:t>
      </w:r>
      <w:r>
        <w:rPr>
          <w:sz w:val="22"/>
          <w:szCs w:val="22"/>
        </w:rPr>
        <w:t xml:space="preserve"> (TEN-T),</w:t>
      </w:r>
    </w:p>
    <w:p w14:paraId="5090DE39" w14:textId="77777777" w:rsidR="009E0158" w:rsidRDefault="00D94757" w:rsidP="00C35D0B">
      <w:pPr>
        <w:numPr>
          <w:ilvl w:val="2"/>
          <w:numId w:val="25"/>
        </w:numPr>
        <w:shd w:val="clear" w:color="auto" w:fill="E5DFEC" w:themeFill="accent4" w:themeFillTint="33"/>
        <w:tabs>
          <w:tab w:val="clear" w:pos="360"/>
        </w:tabs>
        <w:ind w:left="426" w:hanging="426"/>
        <w:jc w:val="both"/>
        <w:rPr>
          <w:sz w:val="22"/>
          <w:szCs w:val="22"/>
        </w:rPr>
      </w:pPr>
      <w:r w:rsidRPr="00001DBB">
        <w:rPr>
          <w:sz w:val="22"/>
          <w:szCs w:val="22"/>
        </w:rPr>
        <w:t>Budovanie inteligentných dopravných systémov,</w:t>
      </w:r>
    </w:p>
    <w:p w14:paraId="60AA04DA" w14:textId="77777777" w:rsidR="009E0158" w:rsidRDefault="00D94757" w:rsidP="00C35D0B">
      <w:pPr>
        <w:numPr>
          <w:ilvl w:val="2"/>
          <w:numId w:val="25"/>
        </w:numPr>
        <w:shd w:val="clear" w:color="auto" w:fill="E5DFEC" w:themeFill="accent4" w:themeFillTint="33"/>
        <w:tabs>
          <w:tab w:val="clear" w:pos="360"/>
        </w:tabs>
        <w:ind w:left="426" w:hanging="426"/>
        <w:jc w:val="both"/>
        <w:rPr>
          <w:sz w:val="22"/>
          <w:szCs w:val="22"/>
        </w:rPr>
      </w:pPr>
      <w:r w:rsidRPr="00001DBB">
        <w:rPr>
          <w:sz w:val="22"/>
          <w:szCs w:val="22"/>
        </w:rPr>
        <w:t>Zvyšovanie bezpečnosti cestnej dopravy,</w:t>
      </w:r>
    </w:p>
    <w:p w14:paraId="7588F85B" w14:textId="77777777" w:rsidR="009E0158" w:rsidRDefault="006E03F4" w:rsidP="00C35D0B">
      <w:pPr>
        <w:numPr>
          <w:ilvl w:val="2"/>
          <w:numId w:val="25"/>
        </w:numPr>
        <w:shd w:val="clear" w:color="auto" w:fill="E5DFEC" w:themeFill="accent4" w:themeFillTint="33"/>
        <w:tabs>
          <w:tab w:val="clear" w:pos="360"/>
        </w:tabs>
        <w:ind w:left="426" w:hanging="426"/>
        <w:jc w:val="both"/>
        <w:rPr>
          <w:sz w:val="22"/>
          <w:szCs w:val="22"/>
        </w:rPr>
      </w:pPr>
      <w:r>
        <w:rPr>
          <w:sz w:val="22"/>
          <w:szCs w:val="22"/>
        </w:rPr>
        <w:t>Projektová príprava</w:t>
      </w:r>
      <w:r w:rsidR="00591638">
        <w:rPr>
          <w:sz w:val="22"/>
          <w:szCs w:val="22"/>
        </w:rPr>
        <w:t>.</w:t>
      </w:r>
    </w:p>
    <w:p w14:paraId="22ACC11C" w14:textId="77777777" w:rsidR="009E0158" w:rsidRDefault="006E03F4" w:rsidP="00C35D0B">
      <w:pPr>
        <w:numPr>
          <w:ilvl w:val="2"/>
          <w:numId w:val="26"/>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Výstavba diaľnic a</w:t>
      </w:r>
      <w:r w:rsidR="004167C1" w:rsidRPr="00A34DD1">
        <w:rPr>
          <w:b/>
          <w:i/>
          <w:color w:val="548DD4" w:themeColor="text2" w:themeTint="99"/>
          <w:sz w:val="22"/>
          <w:szCs w:val="22"/>
        </w:rPr>
        <w:t> rýchlostných ciest</w:t>
      </w:r>
      <w:r w:rsidR="00A67F3C">
        <w:rPr>
          <w:b/>
          <w:i/>
          <w:color w:val="548DD4" w:themeColor="text2" w:themeTint="99"/>
          <w:sz w:val="22"/>
          <w:szCs w:val="22"/>
        </w:rPr>
        <w:t xml:space="preserve"> vrátane privádzačov</w:t>
      </w:r>
      <w:r w:rsidR="004167C1" w:rsidRPr="00A34DD1">
        <w:rPr>
          <w:b/>
          <w:i/>
          <w:color w:val="548DD4" w:themeColor="text2" w:themeTint="99"/>
          <w:sz w:val="22"/>
          <w:szCs w:val="22"/>
        </w:rPr>
        <w:t xml:space="preserve"> (TEN-T)</w:t>
      </w:r>
    </w:p>
    <w:p w14:paraId="587900FF" w14:textId="77777777" w:rsidR="009553A0" w:rsidRDefault="004167C1" w:rsidP="004167C1">
      <w:pPr>
        <w:autoSpaceDE w:val="0"/>
        <w:autoSpaceDN w:val="0"/>
        <w:adjustRightInd w:val="0"/>
        <w:jc w:val="both"/>
        <w:rPr>
          <w:sz w:val="22"/>
          <w:szCs w:val="22"/>
        </w:rPr>
      </w:pPr>
      <w:r w:rsidRPr="004167C1">
        <w:rPr>
          <w:bCs/>
          <w:sz w:val="22"/>
          <w:szCs w:val="22"/>
        </w:rPr>
        <w:t>Pokrok dosiahnutý pri budovaní dopravnej infraštruktúry zaostáva z</w:t>
      </w:r>
      <w:r w:rsidR="001A701A">
        <w:rPr>
          <w:bCs/>
          <w:sz w:val="22"/>
          <w:szCs w:val="22"/>
        </w:rPr>
        <w:t xml:space="preserve">a dynamikou rozvoja ekonomiky, </w:t>
      </w:r>
      <w:r w:rsidRPr="004167C1">
        <w:rPr>
          <w:bCs/>
          <w:sz w:val="22"/>
          <w:szCs w:val="22"/>
        </w:rPr>
        <w:t>rastom prepravných nárokov</w:t>
      </w:r>
      <w:r w:rsidR="001A701A">
        <w:rPr>
          <w:bCs/>
          <w:sz w:val="22"/>
          <w:szCs w:val="22"/>
        </w:rPr>
        <w:t xml:space="preserve"> a spoločenskou objednávkou</w:t>
      </w:r>
      <w:r w:rsidRPr="004167C1">
        <w:rPr>
          <w:bCs/>
          <w:sz w:val="22"/>
          <w:szCs w:val="22"/>
        </w:rPr>
        <w:t xml:space="preserve"> a predstavuje významnú bariéru rastu a rozvoja zamestnanosti. Dopravná infraštruktúra tak nenapĺňa funkciu nástroja na zvýšenie atraktivity </w:t>
      </w:r>
      <w:r w:rsidRPr="004167C1">
        <w:rPr>
          <w:bCs/>
          <w:sz w:val="22"/>
          <w:szCs w:val="22"/>
        </w:rPr>
        <w:lastRenderedPageBreak/>
        <w:t>územia, jeho ekonomického potenciálu a kvality života obyvateľov</w:t>
      </w:r>
      <w:r w:rsidRPr="004167C1">
        <w:rPr>
          <w:sz w:val="22"/>
          <w:szCs w:val="22"/>
        </w:rPr>
        <w:t xml:space="preserve">. </w:t>
      </w:r>
      <w:r w:rsidRPr="00AD2EF1">
        <w:rPr>
          <w:sz w:val="22"/>
          <w:szCs w:val="22"/>
        </w:rPr>
        <w:t>Naopak, skôr brzdí integráciu slabších regiónov do širších územných a</w:t>
      </w:r>
      <w:r>
        <w:rPr>
          <w:sz w:val="22"/>
          <w:szCs w:val="22"/>
        </w:rPr>
        <w:t> </w:t>
      </w:r>
      <w:r w:rsidRPr="00AD2EF1">
        <w:rPr>
          <w:sz w:val="22"/>
          <w:szCs w:val="22"/>
        </w:rPr>
        <w:t xml:space="preserve">hospodárskych vzťahov. </w:t>
      </w:r>
    </w:p>
    <w:p w14:paraId="35282ED3" w14:textId="77777777" w:rsidR="008D1467" w:rsidRDefault="004167C1" w:rsidP="009553A0">
      <w:pPr>
        <w:autoSpaceDE w:val="0"/>
        <w:autoSpaceDN w:val="0"/>
        <w:adjustRightInd w:val="0"/>
        <w:spacing w:before="180"/>
        <w:jc w:val="both"/>
        <w:rPr>
          <w:sz w:val="22"/>
          <w:szCs w:val="22"/>
        </w:rPr>
      </w:pPr>
      <w:r w:rsidRPr="00AD2EF1">
        <w:rPr>
          <w:sz w:val="22"/>
          <w:szCs w:val="22"/>
        </w:rPr>
        <w:t>Ra</w:t>
      </w:r>
      <w:r>
        <w:rPr>
          <w:sz w:val="22"/>
          <w:szCs w:val="22"/>
        </w:rPr>
        <w:t>stúce požiadavky na mobilitu sú </w:t>
      </w:r>
      <w:r w:rsidRPr="00AD2EF1">
        <w:rPr>
          <w:sz w:val="22"/>
          <w:szCs w:val="22"/>
        </w:rPr>
        <w:t>totiž na väčšine ťahov</w:t>
      </w:r>
      <w:r>
        <w:rPr>
          <w:sz w:val="22"/>
          <w:szCs w:val="22"/>
        </w:rPr>
        <w:t>,</w:t>
      </w:r>
      <w:r w:rsidRPr="00AD2EF1">
        <w:rPr>
          <w:sz w:val="22"/>
          <w:szCs w:val="22"/>
        </w:rPr>
        <w:t xml:space="preserve"> aj tých, ktoré sú súčasťou transeurópskej </w:t>
      </w:r>
      <w:r>
        <w:rPr>
          <w:sz w:val="22"/>
          <w:szCs w:val="22"/>
        </w:rPr>
        <w:t>cestnej</w:t>
      </w:r>
      <w:r w:rsidRPr="00AD2EF1">
        <w:rPr>
          <w:sz w:val="22"/>
          <w:szCs w:val="22"/>
        </w:rPr>
        <w:t xml:space="preserve"> siete (TEN-T)</w:t>
      </w:r>
      <w:r>
        <w:rPr>
          <w:sz w:val="22"/>
          <w:szCs w:val="22"/>
        </w:rPr>
        <w:t>,</w:t>
      </w:r>
      <w:r w:rsidRPr="00AD2EF1">
        <w:rPr>
          <w:sz w:val="22"/>
          <w:szCs w:val="22"/>
        </w:rPr>
        <w:t xml:space="preserve"> naďalej zabezpečované dominantne prostredníctvom ciest I. triedy</w:t>
      </w:r>
      <w:r w:rsidR="009553A0">
        <w:rPr>
          <w:sz w:val="22"/>
          <w:szCs w:val="22"/>
        </w:rPr>
        <w:t xml:space="preserve">. </w:t>
      </w:r>
      <w:r w:rsidR="003676B4">
        <w:rPr>
          <w:sz w:val="22"/>
          <w:szCs w:val="22"/>
        </w:rPr>
        <w:t>Problémom je preťaženie ciest I. triedy, prostredníctvom ktorých</w:t>
      </w:r>
      <w:r w:rsidR="003676B4" w:rsidRPr="005B798A">
        <w:rPr>
          <w:sz w:val="22"/>
          <w:szCs w:val="22"/>
        </w:rPr>
        <w:t xml:space="preserve"> sa </w:t>
      </w:r>
      <w:r w:rsidR="003676B4">
        <w:rPr>
          <w:sz w:val="22"/>
          <w:szCs w:val="22"/>
        </w:rPr>
        <w:t>realizuje</w:t>
      </w:r>
      <w:r w:rsidR="003676B4" w:rsidRPr="005B798A">
        <w:rPr>
          <w:sz w:val="22"/>
          <w:szCs w:val="22"/>
        </w:rPr>
        <w:t xml:space="preserve"> takmer 44 % dopravných výkonov</w:t>
      </w:r>
      <w:r w:rsidR="003676B4">
        <w:rPr>
          <w:sz w:val="22"/>
          <w:szCs w:val="22"/>
        </w:rPr>
        <w:t xml:space="preserve">. </w:t>
      </w:r>
      <w:r w:rsidR="003676B4" w:rsidRPr="005B798A">
        <w:rPr>
          <w:sz w:val="22"/>
          <w:szCs w:val="22"/>
        </w:rPr>
        <w:t>V</w:t>
      </w:r>
      <w:r w:rsidR="003676B4">
        <w:rPr>
          <w:sz w:val="22"/>
          <w:szCs w:val="22"/>
        </w:rPr>
        <w:t> </w:t>
      </w:r>
      <w:r w:rsidR="003676B4" w:rsidRPr="005B798A">
        <w:rPr>
          <w:sz w:val="22"/>
          <w:szCs w:val="22"/>
        </w:rPr>
        <w:t>porovnaní s</w:t>
      </w:r>
      <w:r w:rsidR="003676B4">
        <w:rPr>
          <w:sz w:val="22"/>
          <w:szCs w:val="22"/>
        </w:rPr>
        <w:t> </w:t>
      </w:r>
      <w:r w:rsidR="003676B4" w:rsidRPr="005B798A">
        <w:rPr>
          <w:sz w:val="22"/>
          <w:szCs w:val="22"/>
        </w:rPr>
        <w:t>diaľnicami a</w:t>
      </w:r>
      <w:r w:rsidR="003676B4">
        <w:rPr>
          <w:sz w:val="22"/>
          <w:szCs w:val="22"/>
        </w:rPr>
        <w:t> </w:t>
      </w:r>
      <w:r w:rsidR="003676B4" w:rsidRPr="005B798A">
        <w:rPr>
          <w:sz w:val="22"/>
          <w:szCs w:val="22"/>
        </w:rPr>
        <w:t>rýchlostnými cestami je to približne o</w:t>
      </w:r>
      <w:r w:rsidR="003676B4">
        <w:rPr>
          <w:sz w:val="22"/>
          <w:szCs w:val="22"/>
        </w:rPr>
        <w:t> 21 % viac.</w:t>
      </w:r>
    </w:p>
    <w:p w14:paraId="6199159D" w14:textId="77777777" w:rsidR="004167C1" w:rsidRDefault="004167C1" w:rsidP="009553A0">
      <w:pPr>
        <w:autoSpaceDE w:val="0"/>
        <w:autoSpaceDN w:val="0"/>
        <w:adjustRightInd w:val="0"/>
        <w:spacing w:before="180"/>
        <w:jc w:val="both"/>
        <w:rPr>
          <w:sz w:val="22"/>
          <w:szCs w:val="22"/>
        </w:rPr>
      </w:pPr>
      <w:r>
        <w:rPr>
          <w:sz w:val="22"/>
          <w:szCs w:val="22"/>
        </w:rPr>
        <w:t>Pre porovnanie, n</w:t>
      </w:r>
      <w:r w:rsidRPr="005B798A">
        <w:rPr>
          <w:sz w:val="22"/>
          <w:szCs w:val="22"/>
        </w:rPr>
        <w:t>a cestách II. a</w:t>
      </w:r>
      <w:r>
        <w:rPr>
          <w:sz w:val="22"/>
          <w:szCs w:val="22"/>
        </w:rPr>
        <w:t> </w:t>
      </w:r>
      <w:r w:rsidR="00AE12DF">
        <w:rPr>
          <w:sz w:val="22"/>
          <w:szCs w:val="22"/>
        </w:rPr>
        <w:t>III. triedy sa realizuje takmer 21</w:t>
      </w:r>
      <w:r w:rsidRPr="005B798A">
        <w:rPr>
          <w:sz w:val="22"/>
          <w:szCs w:val="22"/>
        </w:rPr>
        <w:t xml:space="preserve"> %, resp. 13 % dopravných výkonov</w:t>
      </w:r>
      <w:r w:rsidR="00AE12DF">
        <w:rPr>
          <w:rStyle w:val="Odkaznapoznmkupodiarou"/>
          <w:sz w:val="22"/>
          <w:szCs w:val="22"/>
        </w:rPr>
        <w:footnoteReference w:id="57"/>
      </w:r>
      <w:r w:rsidRPr="005B798A">
        <w:rPr>
          <w:sz w:val="22"/>
          <w:szCs w:val="22"/>
        </w:rPr>
        <w:t>.</w:t>
      </w:r>
      <w:r>
        <w:rPr>
          <w:sz w:val="22"/>
          <w:szCs w:val="22"/>
        </w:rPr>
        <w:t xml:space="preserve"> Mnohé</w:t>
      </w:r>
      <w:r w:rsidRPr="00AD2EF1">
        <w:rPr>
          <w:sz w:val="22"/>
          <w:szCs w:val="22"/>
        </w:rPr>
        <w:t xml:space="preserve"> </w:t>
      </w:r>
      <w:r>
        <w:rPr>
          <w:sz w:val="22"/>
          <w:szCs w:val="22"/>
        </w:rPr>
        <w:t xml:space="preserve">z ciest I. triedy sú pritom </w:t>
      </w:r>
      <w:r w:rsidRPr="00AD2EF1">
        <w:rPr>
          <w:sz w:val="22"/>
          <w:szCs w:val="22"/>
        </w:rPr>
        <w:t>trasované intravilánom miest a</w:t>
      </w:r>
      <w:r>
        <w:rPr>
          <w:sz w:val="22"/>
          <w:szCs w:val="22"/>
        </w:rPr>
        <w:t> </w:t>
      </w:r>
      <w:r w:rsidRPr="00AD2EF1">
        <w:rPr>
          <w:sz w:val="22"/>
          <w:szCs w:val="22"/>
        </w:rPr>
        <w:t xml:space="preserve">obcí, nespĺňajú </w:t>
      </w:r>
      <w:r w:rsidR="00814C84">
        <w:rPr>
          <w:sz w:val="22"/>
          <w:szCs w:val="22"/>
        </w:rPr>
        <w:t>základné</w:t>
      </w:r>
      <w:r>
        <w:rPr>
          <w:sz w:val="22"/>
          <w:szCs w:val="22"/>
        </w:rPr>
        <w:t xml:space="preserve"> štandardy v oblasti kapacity, bezpečnosti </w:t>
      </w:r>
      <w:r w:rsidRPr="00AD2EF1">
        <w:rPr>
          <w:sz w:val="22"/>
          <w:szCs w:val="22"/>
        </w:rPr>
        <w:t>a</w:t>
      </w:r>
      <w:r>
        <w:rPr>
          <w:sz w:val="22"/>
          <w:szCs w:val="22"/>
        </w:rPr>
        <w:t> </w:t>
      </w:r>
      <w:r w:rsidRPr="00AD2EF1">
        <w:rPr>
          <w:sz w:val="22"/>
          <w:szCs w:val="22"/>
        </w:rPr>
        <w:t>v</w:t>
      </w:r>
      <w:r>
        <w:rPr>
          <w:sz w:val="22"/>
          <w:szCs w:val="22"/>
        </w:rPr>
        <w:t> </w:t>
      </w:r>
      <w:r w:rsidRPr="00AD2EF1">
        <w:rPr>
          <w:sz w:val="22"/>
          <w:szCs w:val="22"/>
        </w:rPr>
        <w:t xml:space="preserve">dôsledku dlhodobého preťaženia </w:t>
      </w:r>
      <w:r>
        <w:rPr>
          <w:sz w:val="22"/>
          <w:szCs w:val="22"/>
        </w:rPr>
        <w:t xml:space="preserve">už </w:t>
      </w:r>
      <w:r w:rsidRPr="00AD2EF1">
        <w:rPr>
          <w:sz w:val="22"/>
          <w:szCs w:val="22"/>
        </w:rPr>
        <w:t>ani kvalitatívne parametre.</w:t>
      </w:r>
    </w:p>
    <w:p w14:paraId="48DF1462" w14:textId="77777777" w:rsidR="009D2BD5" w:rsidRDefault="009D2BD5" w:rsidP="009D2BD5">
      <w:pPr>
        <w:spacing w:before="180"/>
        <w:jc w:val="both"/>
        <w:rPr>
          <w:sz w:val="22"/>
          <w:szCs w:val="22"/>
        </w:rPr>
      </w:pPr>
      <w:r w:rsidRPr="00956CF4">
        <w:rPr>
          <w:b/>
          <w:sz w:val="22"/>
          <w:szCs w:val="22"/>
        </w:rPr>
        <w:t>Celková plánovaná dĺžka diaľničnej siete SR predstavuje 705 km a je definovaná ťahmi D1, D2, D3 a D4. K 01.01.2013 bolo z plánovaného rozsahu diaľnic v prevádzke necelých 62 %.</w:t>
      </w:r>
      <w:r w:rsidRPr="004901C9">
        <w:rPr>
          <w:sz w:val="22"/>
          <w:szCs w:val="22"/>
        </w:rPr>
        <w:t xml:space="preserve"> V</w:t>
      </w:r>
      <w:r>
        <w:rPr>
          <w:sz w:val="22"/>
          <w:szCs w:val="22"/>
        </w:rPr>
        <w:t> celej dĺžke je v prevádzke</w:t>
      </w:r>
      <w:r w:rsidRPr="004901C9">
        <w:rPr>
          <w:sz w:val="22"/>
          <w:szCs w:val="22"/>
        </w:rPr>
        <w:t xml:space="preserve"> len diaľnica D2 </w:t>
      </w:r>
      <w:r>
        <w:rPr>
          <w:sz w:val="22"/>
          <w:szCs w:val="22"/>
        </w:rPr>
        <w:t xml:space="preserve">o dĺžke </w:t>
      </w:r>
      <w:r w:rsidRPr="004901C9">
        <w:rPr>
          <w:sz w:val="22"/>
          <w:szCs w:val="22"/>
        </w:rPr>
        <w:t>cca 80 km</w:t>
      </w:r>
      <w:r>
        <w:rPr>
          <w:sz w:val="22"/>
          <w:szCs w:val="22"/>
        </w:rPr>
        <w:t>.</w:t>
      </w:r>
      <w:r w:rsidRPr="004901C9">
        <w:rPr>
          <w:sz w:val="22"/>
          <w:szCs w:val="22"/>
        </w:rPr>
        <w:t xml:space="preserve"> </w:t>
      </w:r>
      <w:r>
        <w:rPr>
          <w:sz w:val="22"/>
          <w:szCs w:val="22"/>
        </w:rPr>
        <w:t>Projektové a realizačné práce na ostatných diaľničných ťahoch sú v rôznom štádiu rozpracovanosti.</w:t>
      </w:r>
    </w:p>
    <w:p w14:paraId="311DC01B" w14:textId="77777777" w:rsidR="008D1467" w:rsidRPr="005B798A" w:rsidRDefault="008D1467" w:rsidP="008D1467">
      <w:pPr>
        <w:spacing w:before="180"/>
        <w:jc w:val="both"/>
        <w:rPr>
          <w:sz w:val="22"/>
          <w:szCs w:val="22"/>
        </w:rPr>
      </w:pPr>
      <w:r>
        <w:rPr>
          <w:sz w:val="22"/>
          <w:szCs w:val="22"/>
        </w:rPr>
        <w:t>P</w:t>
      </w:r>
      <w:r w:rsidRPr="005B798A">
        <w:rPr>
          <w:sz w:val="22"/>
          <w:szCs w:val="22"/>
        </w:rPr>
        <w:t>riemerný ročný prírastok diaľnic a</w:t>
      </w:r>
      <w:r>
        <w:rPr>
          <w:sz w:val="22"/>
          <w:szCs w:val="22"/>
        </w:rPr>
        <w:t> </w:t>
      </w:r>
      <w:r w:rsidRPr="005B798A">
        <w:rPr>
          <w:sz w:val="22"/>
          <w:szCs w:val="22"/>
        </w:rPr>
        <w:t xml:space="preserve">diaľničných privádzačov </w:t>
      </w:r>
      <w:r>
        <w:rPr>
          <w:sz w:val="22"/>
          <w:szCs w:val="22"/>
        </w:rPr>
        <w:t xml:space="preserve">na Slovensku </w:t>
      </w:r>
      <w:r w:rsidR="00A50DEB" w:rsidRPr="005B798A">
        <w:rPr>
          <w:sz w:val="22"/>
          <w:szCs w:val="22"/>
        </w:rPr>
        <w:t xml:space="preserve">od roku 2006 </w:t>
      </w:r>
      <w:r>
        <w:rPr>
          <w:sz w:val="22"/>
          <w:szCs w:val="22"/>
        </w:rPr>
        <w:t xml:space="preserve">predstavuje </w:t>
      </w:r>
      <w:r w:rsidRPr="005B798A">
        <w:rPr>
          <w:sz w:val="22"/>
          <w:szCs w:val="22"/>
        </w:rPr>
        <w:t>len 12,3 km</w:t>
      </w:r>
      <w:r w:rsidR="007B4B46">
        <w:rPr>
          <w:rStyle w:val="Odkaznapoznmkupodiarou"/>
          <w:sz w:val="22"/>
          <w:szCs w:val="22"/>
        </w:rPr>
        <w:footnoteReference w:id="58"/>
      </w:r>
      <w:r w:rsidRPr="005B798A">
        <w:rPr>
          <w:sz w:val="22"/>
          <w:szCs w:val="22"/>
        </w:rPr>
        <w:t>. Po ukončení úsekov, ktoré sú vo výstavbe od roku 2011</w:t>
      </w:r>
      <w:r>
        <w:rPr>
          <w:sz w:val="22"/>
          <w:szCs w:val="22"/>
        </w:rPr>
        <w:t xml:space="preserve"> (spolufinancované zo zdrojov Operačného programu Doprava)</w:t>
      </w:r>
      <w:r w:rsidRPr="005B798A">
        <w:rPr>
          <w:sz w:val="22"/>
          <w:szCs w:val="22"/>
        </w:rPr>
        <w:t xml:space="preserve"> sa tempo výstavby zvýši na 18 km/rok.</w:t>
      </w:r>
    </w:p>
    <w:p w14:paraId="5D5F90BE" w14:textId="77777777" w:rsidR="008D1467" w:rsidRDefault="008D1467" w:rsidP="008D1467">
      <w:pPr>
        <w:spacing w:before="180"/>
        <w:jc w:val="both"/>
        <w:rPr>
          <w:sz w:val="22"/>
          <w:szCs w:val="22"/>
        </w:rPr>
      </w:pPr>
      <w:r w:rsidRPr="00515ED4">
        <w:rPr>
          <w:sz w:val="22"/>
          <w:szCs w:val="22"/>
        </w:rPr>
        <w:t>Z</w:t>
      </w:r>
      <w:r>
        <w:rPr>
          <w:sz w:val="22"/>
          <w:szCs w:val="22"/>
        </w:rPr>
        <w:t> </w:t>
      </w:r>
      <w:r w:rsidRPr="00515ED4">
        <w:rPr>
          <w:sz w:val="22"/>
          <w:szCs w:val="22"/>
        </w:rPr>
        <w:t>pohľadu hustoty diaľnic patrí Slovenská republika stále ku krajinám s</w:t>
      </w:r>
      <w:r>
        <w:rPr>
          <w:sz w:val="22"/>
          <w:szCs w:val="22"/>
        </w:rPr>
        <w:t> </w:t>
      </w:r>
      <w:r w:rsidRPr="00515ED4">
        <w:rPr>
          <w:sz w:val="22"/>
          <w:szCs w:val="22"/>
        </w:rPr>
        <w:t>najnižšou hustotou tohto</w:t>
      </w:r>
      <w:r>
        <w:rPr>
          <w:sz w:val="22"/>
          <w:szCs w:val="22"/>
        </w:rPr>
        <w:t xml:space="preserve"> typu dopravnej infraštruktúry a </w:t>
      </w:r>
      <w:r w:rsidRPr="00515ED4">
        <w:rPr>
          <w:sz w:val="22"/>
          <w:szCs w:val="22"/>
        </w:rPr>
        <w:t xml:space="preserve">svojou hustotou diaľničnej siete značne zaostáva za priemerom </w:t>
      </w:r>
      <w:r>
        <w:rPr>
          <w:sz w:val="22"/>
          <w:szCs w:val="22"/>
        </w:rPr>
        <w:t xml:space="preserve">krajín </w:t>
      </w:r>
      <w:r w:rsidRPr="00515ED4">
        <w:rPr>
          <w:sz w:val="22"/>
          <w:szCs w:val="22"/>
        </w:rPr>
        <w:t>EÚ 28. Priemerná hustota v</w:t>
      </w:r>
      <w:r>
        <w:rPr>
          <w:sz w:val="22"/>
          <w:szCs w:val="22"/>
        </w:rPr>
        <w:t> </w:t>
      </w:r>
      <w:r w:rsidRPr="00515ED4">
        <w:rPr>
          <w:sz w:val="22"/>
          <w:szCs w:val="22"/>
        </w:rPr>
        <w:t>týchto krajinách (bez Malty a</w:t>
      </w:r>
      <w:r>
        <w:rPr>
          <w:sz w:val="22"/>
          <w:szCs w:val="22"/>
        </w:rPr>
        <w:t> </w:t>
      </w:r>
      <w:r w:rsidRPr="00515ED4">
        <w:rPr>
          <w:sz w:val="22"/>
          <w:szCs w:val="22"/>
        </w:rPr>
        <w:t>Lotyšska) je na úrovni 16,4 km/</w:t>
      </w:r>
      <w:r>
        <w:rPr>
          <w:sz w:val="22"/>
          <w:szCs w:val="22"/>
        </w:rPr>
        <w:t xml:space="preserve">tis. </w:t>
      </w:r>
      <w:r w:rsidRPr="00515ED4">
        <w:rPr>
          <w:sz w:val="22"/>
          <w:szCs w:val="22"/>
        </w:rPr>
        <w:t>km</w:t>
      </w:r>
      <w:r w:rsidRPr="00515ED4">
        <w:rPr>
          <w:sz w:val="22"/>
          <w:szCs w:val="22"/>
          <w:vertAlign w:val="superscript"/>
        </w:rPr>
        <w:t>2</w:t>
      </w:r>
      <w:r w:rsidRPr="00515ED4">
        <w:rPr>
          <w:sz w:val="22"/>
          <w:szCs w:val="22"/>
        </w:rPr>
        <w:t xml:space="preserve"> (zdroj: Eurostat).</w:t>
      </w:r>
      <w:r w:rsidRPr="008D1467">
        <w:rPr>
          <w:sz w:val="22"/>
          <w:szCs w:val="22"/>
        </w:rPr>
        <w:t xml:space="preserve"> </w:t>
      </w:r>
      <w:r>
        <w:rPr>
          <w:sz w:val="22"/>
          <w:szCs w:val="22"/>
        </w:rPr>
        <w:t>K 01.01.2012 bola</w:t>
      </w:r>
      <w:r w:rsidRPr="00515ED4">
        <w:rPr>
          <w:sz w:val="22"/>
          <w:szCs w:val="22"/>
        </w:rPr>
        <w:t xml:space="preserve"> hustota diaľnic trasovaných v</w:t>
      </w:r>
      <w:r>
        <w:rPr>
          <w:sz w:val="22"/>
          <w:szCs w:val="22"/>
        </w:rPr>
        <w:t> </w:t>
      </w:r>
      <w:r w:rsidRPr="00515ED4">
        <w:rPr>
          <w:sz w:val="22"/>
          <w:szCs w:val="22"/>
        </w:rPr>
        <w:t xml:space="preserve">koridoroch TEN-T </w:t>
      </w:r>
      <w:r>
        <w:rPr>
          <w:sz w:val="22"/>
          <w:szCs w:val="22"/>
        </w:rPr>
        <w:t>na Slovensku na úrovni cca 8,55 </w:t>
      </w:r>
      <w:r w:rsidRPr="00515ED4">
        <w:rPr>
          <w:sz w:val="22"/>
          <w:szCs w:val="22"/>
        </w:rPr>
        <w:t>km/tis. km</w:t>
      </w:r>
      <w:r w:rsidRPr="00515ED4">
        <w:rPr>
          <w:sz w:val="22"/>
          <w:szCs w:val="22"/>
          <w:vertAlign w:val="superscript"/>
        </w:rPr>
        <w:t>2</w:t>
      </w:r>
      <w:r>
        <w:rPr>
          <w:sz w:val="22"/>
          <w:szCs w:val="22"/>
        </w:rPr>
        <w:t xml:space="preserve"> (Graf 1).</w:t>
      </w:r>
    </w:p>
    <w:p w14:paraId="3640A70F" w14:textId="02BA6F1C" w:rsidR="009D2BD5" w:rsidRDefault="009D2BD5" w:rsidP="008B2833">
      <w:pPr>
        <w:pStyle w:val="Graf"/>
        <w:spacing w:after="0"/>
      </w:pPr>
      <w:r>
        <w:t>Hustota diaľničnej siete k 1.1.2012 (km/tis. km</w:t>
      </w:r>
      <w:r w:rsidRPr="00015053">
        <w:rPr>
          <w:vertAlign w:val="superscript"/>
        </w:rPr>
        <w:t>2</w:t>
      </w:r>
      <w:r>
        <w:t>) – medzinárodné porovnanie</w:t>
      </w:r>
      <w:r w:rsidR="008709E6">
        <w:t xml:space="preserve"> – pozri Prílohu 21</w:t>
      </w:r>
    </w:p>
    <w:p w14:paraId="6955C2B6" w14:textId="77777777" w:rsidR="009D2BD5" w:rsidRDefault="009D2BD5" w:rsidP="009D2BD5">
      <w:pPr>
        <w:spacing w:before="180"/>
        <w:jc w:val="both"/>
        <w:rPr>
          <w:sz w:val="22"/>
          <w:szCs w:val="22"/>
        </w:rPr>
      </w:pPr>
      <w:r w:rsidRPr="004901C9">
        <w:rPr>
          <w:sz w:val="22"/>
          <w:szCs w:val="22"/>
        </w:rPr>
        <w:t>Čo sa týka siete rýchlostných ciest, tá je definovaná ťahmi R1, R2, R3, R4, R5, R6, R7 a</w:t>
      </w:r>
      <w:r>
        <w:rPr>
          <w:sz w:val="22"/>
          <w:szCs w:val="22"/>
        </w:rPr>
        <w:t> </w:t>
      </w:r>
      <w:r w:rsidRPr="004901C9">
        <w:rPr>
          <w:sz w:val="22"/>
          <w:szCs w:val="22"/>
        </w:rPr>
        <w:t>R8, pričom jej celková dĺžka aj s</w:t>
      </w:r>
      <w:r>
        <w:rPr>
          <w:sz w:val="22"/>
          <w:szCs w:val="22"/>
        </w:rPr>
        <w:t> </w:t>
      </w:r>
      <w:r w:rsidRPr="004901C9">
        <w:rPr>
          <w:sz w:val="22"/>
          <w:szCs w:val="22"/>
        </w:rPr>
        <w:t>peážami (spoločnými úsekmi) predstavuje 1 263 km. Dobudovanosť siete rýchlostných ciest bola k</w:t>
      </w:r>
      <w:r>
        <w:rPr>
          <w:sz w:val="22"/>
          <w:szCs w:val="22"/>
        </w:rPr>
        <w:t> 01.01.2013</w:t>
      </w:r>
      <w:r w:rsidRPr="004901C9">
        <w:rPr>
          <w:sz w:val="22"/>
          <w:szCs w:val="22"/>
        </w:rPr>
        <w:t xml:space="preserve"> na úrovni 19,6 %. Najväčší stupeň dobudovanosti je </w:t>
      </w:r>
      <w:r>
        <w:rPr>
          <w:sz w:val="22"/>
          <w:szCs w:val="22"/>
        </w:rPr>
        <w:t xml:space="preserve">dosiahnutý </w:t>
      </w:r>
      <w:r w:rsidRPr="004901C9">
        <w:rPr>
          <w:sz w:val="22"/>
          <w:szCs w:val="22"/>
        </w:rPr>
        <w:t>na ťahu R1, na ktorom je v</w:t>
      </w:r>
      <w:r>
        <w:rPr>
          <w:sz w:val="22"/>
          <w:szCs w:val="22"/>
        </w:rPr>
        <w:t> </w:t>
      </w:r>
      <w:r w:rsidRPr="004901C9">
        <w:rPr>
          <w:sz w:val="22"/>
          <w:szCs w:val="22"/>
        </w:rPr>
        <w:t>prevádzke ucelený úsek Trnava – Banská Bystrica. Naproti tomu</w:t>
      </w:r>
      <w:r>
        <w:rPr>
          <w:sz w:val="22"/>
          <w:szCs w:val="22"/>
        </w:rPr>
        <w:t>, na </w:t>
      </w:r>
      <w:r w:rsidRPr="004901C9">
        <w:rPr>
          <w:sz w:val="22"/>
          <w:szCs w:val="22"/>
        </w:rPr>
        <w:t>rýchlostných cestách R5, R7 a</w:t>
      </w:r>
      <w:r>
        <w:rPr>
          <w:sz w:val="22"/>
          <w:szCs w:val="22"/>
        </w:rPr>
        <w:t> </w:t>
      </w:r>
      <w:r w:rsidRPr="004901C9">
        <w:rPr>
          <w:sz w:val="22"/>
          <w:szCs w:val="22"/>
        </w:rPr>
        <w:t>R8 nebola doposiaľ vôbec začatá</w:t>
      </w:r>
      <w:r>
        <w:rPr>
          <w:sz w:val="22"/>
          <w:szCs w:val="22"/>
        </w:rPr>
        <w:t xml:space="preserve"> výstavba a jednotlivé úseky sú </w:t>
      </w:r>
      <w:r w:rsidRPr="004901C9">
        <w:rPr>
          <w:sz w:val="22"/>
          <w:szCs w:val="22"/>
        </w:rPr>
        <w:t>zatiaľ len vo fáze prípravy.</w:t>
      </w:r>
    </w:p>
    <w:p w14:paraId="1A1BBF46" w14:textId="4B588B9E" w:rsidR="009D2BD5" w:rsidRDefault="009D2BD5" w:rsidP="009D2BD5">
      <w:pPr>
        <w:autoSpaceDE w:val="0"/>
        <w:autoSpaceDN w:val="0"/>
        <w:adjustRightInd w:val="0"/>
        <w:spacing w:before="180"/>
        <w:jc w:val="both"/>
        <w:rPr>
          <w:sz w:val="22"/>
          <w:szCs w:val="22"/>
        </w:rPr>
      </w:pPr>
      <w:r w:rsidRPr="005B798A">
        <w:rPr>
          <w:sz w:val="22"/>
          <w:szCs w:val="22"/>
        </w:rPr>
        <w:t>Vedľa nesporných pozitívnych vplyvov cestnej dopravy je rozvoj motorizmu sprevádzaný celou škálou negatívnych javov. Medzi najzávažnejšie z</w:t>
      </w:r>
      <w:r>
        <w:rPr>
          <w:sz w:val="22"/>
          <w:szCs w:val="22"/>
        </w:rPr>
        <w:t> </w:t>
      </w:r>
      <w:r w:rsidRPr="005B798A">
        <w:rPr>
          <w:sz w:val="22"/>
          <w:szCs w:val="22"/>
        </w:rPr>
        <w:t>nich je možné zaradiť dopravné nehody a</w:t>
      </w:r>
      <w:r w:rsidR="00CB354D">
        <w:rPr>
          <w:sz w:val="22"/>
          <w:szCs w:val="22"/>
        </w:rPr>
        <w:t> ich </w:t>
      </w:r>
      <w:r w:rsidRPr="005B798A">
        <w:rPr>
          <w:sz w:val="22"/>
          <w:szCs w:val="22"/>
        </w:rPr>
        <w:t xml:space="preserve">následky. </w:t>
      </w:r>
      <w:r>
        <w:rPr>
          <w:color w:val="000000" w:themeColor="text1"/>
          <w:sz w:val="22"/>
          <w:szCs w:val="22"/>
        </w:rPr>
        <w:t>Tie</w:t>
      </w:r>
      <w:r>
        <w:rPr>
          <w:sz w:val="22"/>
          <w:szCs w:val="22"/>
        </w:rPr>
        <w:t xml:space="preserve"> sú závažným </w:t>
      </w:r>
      <w:r w:rsidRPr="005B798A">
        <w:rPr>
          <w:sz w:val="22"/>
          <w:szCs w:val="22"/>
        </w:rPr>
        <w:t xml:space="preserve">celospoločenským problémom premietajúcim sa vo všetkých sférach ľudskej činnosti. </w:t>
      </w:r>
      <w:r>
        <w:rPr>
          <w:sz w:val="22"/>
          <w:szCs w:val="22"/>
        </w:rPr>
        <w:t>Hlavným c</w:t>
      </w:r>
      <w:r w:rsidRPr="005B798A">
        <w:rPr>
          <w:sz w:val="22"/>
          <w:szCs w:val="22"/>
        </w:rPr>
        <w:t xml:space="preserve">ieľom každej spoločnosti by </w:t>
      </w:r>
      <w:r>
        <w:rPr>
          <w:sz w:val="22"/>
          <w:szCs w:val="22"/>
        </w:rPr>
        <w:t>preto</w:t>
      </w:r>
      <w:r w:rsidRPr="005B798A">
        <w:rPr>
          <w:sz w:val="22"/>
          <w:szCs w:val="22"/>
        </w:rPr>
        <w:t xml:space="preserve"> malo byť znižovanie počt</w:t>
      </w:r>
      <w:r>
        <w:rPr>
          <w:sz w:val="22"/>
          <w:szCs w:val="22"/>
        </w:rPr>
        <w:t>u a zmierňovanie následkov dopravných nehôd.</w:t>
      </w:r>
    </w:p>
    <w:p w14:paraId="35859D46" w14:textId="77777777" w:rsidR="004167C1" w:rsidRDefault="004167C1" w:rsidP="004167C1">
      <w:pPr>
        <w:autoSpaceDE w:val="0"/>
        <w:autoSpaceDN w:val="0"/>
        <w:adjustRightInd w:val="0"/>
        <w:spacing w:before="180"/>
        <w:jc w:val="both"/>
        <w:rPr>
          <w:sz w:val="22"/>
          <w:szCs w:val="22"/>
        </w:rPr>
      </w:pPr>
      <w:r w:rsidRPr="005B798A">
        <w:rPr>
          <w:sz w:val="22"/>
          <w:szCs w:val="22"/>
        </w:rPr>
        <w:t>Z</w:t>
      </w:r>
      <w:r>
        <w:rPr>
          <w:sz w:val="22"/>
          <w:szCs w:val="22"/>
        </w:rPr>
        <w:t> </w:t>
      </w:r>
      <w:r w:rsidRPr="005B798A">
        <w:rPr>
          <w:sz w:val="22"/>
          <w:szCs w:val="22"/>
        </w:rPr>
        <w:t>vývoja dopravných výkonov vidieť evidentný nárast cestnej doprav</w:t>
      </w:r>
      <w:r>
        <w:rPr>
          <w:sz w:val="22"/>
          <w:szCs w:val="22"/>
        </w:rPr>
        <w:t>y na všetkých kategóriách ciest.</w:t>
      </w:r>
      <w:r w:rsidRPr="005B798A">
        <w:rPr>
          <w:sz w:val="22"/>
          <w:szCs w:val="22"/>
        </w:rPr>
        <w:t xml:space="preserve"> </w:t>
      </w:r>
      <w:r>
        <w:rPr>
          <w:sz w:val="22"/>
          <w:szCs w:val="22"/>
        </w:rPr>
        <w:t>N</w:t>
      </w:r>
      <w:r w:rsidRPr="005B798A">
        <w:rPr>
          <w:sz w:val="22"/>
          <w:szCs w:val="22"/>
        </w:rPr>
        <w:t>ajväčší nárast však môžeme sledovať pri diaľniciach a</w:t>
      </w:r>
      <w:r>
        <w:rPr>
          <w:sz w:val="22"/>
          <w:szCs w:val="22"/>
        </w:rPr>
        <w:t> </w:t>
      </w:r>
      <w:r w:rsidRPr="005B798A">
        <w:rPr>
          <w:sz w:val="22"/>
          <w:szCs w:val="22"/>
        </w:rPr>
        <w:t>rýchlostných cestách, na ktorých došlo v</w:t>
      </w:r>
      <w:r>
        <w:rPr>
          <w:sz w:val="22"/>
          <w:szCs w:val="22"/>
        </w:rPr>
        <w:t> </w:t>
      </w:r>
      <w:r w:rsidRPr="005B798A">
        <w:rPr>
          <w:sz w:val="22"/>
          <w:szCs w:val="22"/>
        </w:rPr>
        <w:t>porovnaní s</w:t>
      </w:r>
      <w:r>
        <w:rPr>
          <w:sz w:val="22"/>
          <w:szCs w:val="22"/>
        </w:rPr>
        <w:t> </w:t>
      </w:r>
      <w:r w:rsidRPr="005B798A">
        <w:rPr>
          <w:sz w:val="22"/>
          <w:szCs w:val="22"/>
        </w:rPr>
        <w:t>rokom 2005 k</w:t>
      </w:r>
      <w:r>
        <w:rPr>
          <w:sz w:val="22"/>
          <w:szCs w:val="22"/>
        </w:rPr>
        <w:t> </w:t>
      </w:r>
      <w:r w:rsidRPr="005B798A">
        <w:rPr>
          <w:sz w:val="22"/>
          <w:szCs w:val="22"/>
        </w:rPr>
        <w:t>nárastu dopravných výkonov o</w:t>
      </w:r>
      <w:r>
        <w:rPr>
          <w:sz w:val="22"/>
          <w:szCs w:val="22"/>
        </w:rPr>
        <w:t> </w:t>
      </w:r>
      <w:r w:rsidRPr="005B798A">
        <w:rPr>
          <w:sz w:val="22"/>
          <w:szCs w:val="22"/>
        </w:rPr>
        <w:t>66 %. To súvisí najmä s</w:t>
      </w:r>
      <w:r>
        <w:rPr>
          <w:sz w:val="22"/>
          <w:szCs w:val="22"/>
        </w:rPr>
        <w:t> </w:t>
      </w:r>
      <w:r w:rsidRPr="005B798A">
        <w:rPr>
          <w:sz w:val="22"/>
          <w:szCs w:val="22"/>
        </w:rPr>
        <w:t>postupným dokončovaním nových úsekov diaľnic a</w:t>
      </w:r>
      <w:r>
        <w:rPr>
          <w:sz w:val="22"/>
          <w:szCs w:val="22"/>
        </w:rPr>
        <w:t> </w:t>
      </w:r>
      <w:r w:rsidRPr="005B798A">
        <w:rPr>
          <w:sz w:val="22"/>
          <w:szCs w:val="22"/>
        </w:rPr>
        <w:t>rýchlostných komunikácií. Ukazuje sa tak, že výstavba diaľnic a</w:t>
      </w:r>
      <w:r>
        <w:rPr>
          <w:sz w:val="22"/>
          <w:szCs w:val="22"/>
        </w:rPr>
        <w:t> </w:t>
      </w:r>
      <w:r w:rsidRPr="005B798A">
        <w:rPr>
          <w:sz w:val="22"/>
          <w:szCs w:val="22"/>
        </w:rPr>
        <w:t>rýchlostných ciest plní svoju úlohu a</w:t>
      </w:r>
      <w:r>
        <w:rPr>
          <w:sz w:val="22"/>
          <w:szCs w:val="22"/>
        </w:rPr>
        <w:t> </w:t>
      </w:r>
      <w:r w:rsidRPr="005B798A">
        <w:rPr>
          <w:sz w:val="22"/>
          <w:szCs w:val="22"/>
        </w:rPr>
        <w:t>po ich dokončení je na nich prevedená značná časť dopravných výkonov. Zároveň sa prejavuje vplyv indukcie dopravy, kedy novovybudovaná kvalitná cesta na seba prevezme aj časť výkonov realizovaných pred jej dostavbou po iných komunikáciách ako tých, ktoré diaľnice</w:t>
      </w:r>
      <w:r w:rsidR="00814C84">
        <w:rPr>
          <w:sz w:val="22"/>
          <w:szCs w:val="22"/>
        </w:rPr>
        <w:t xml:space="preserve"> primárne</w:t>
      </w:r>
      <w:r w:rsidRPr="005B798A">
        <w:rPr>
          <w:sz w:val="22"/>
          <w:szCs w:val="22"/>
        </w:rPr>
        <w:t xml:space="preserve"> nahradila.</w:t>
      </w:r>
    </w:p>
    <w:p w14:paraId="61EF4CC9" w14:textId="5F1A9BB0" w:rsidR="003676B4" w:rsidRDefault="004167C1" w:rsidP="004167C1">
      <w:pPr>
        <w:autoSpaceDE w:val="0"/>
        <w:autoSpaceDN w:val="0"/>
        <w:adjustRightInd w:val="0"/>
        <w:spacing w:before="180"/>
        <w:jc w:val="both"/>
        <w:rPr>
          <w:sz w:val="22"/>
          <w:szCs w:val="22"/>
        </w:rPr>
      </w:pPr>
      <w:r w:rsidRPr="0040795B">
        <w:rPr>
          <w:sz w:val="22"/>
          <w:szCs w:val="22"/>
        </w:rPr>
        <w:t>Budovanie diaľničnej siete má dôležitý význam pri zvyšovaní dostupnosti regiónov, skracovaní prepravného času, úspore paliva</w:t>
      </w:r>
      <w:r w:rsidRPr="0044578F">
        <w:rPr>
          <w:sz w:val="22"/>
          <w:szCs w:val="22"/>
        </w:rPr>
        <w:t>, zvyšovaní produktivity práce</w:t>
      </w:r>
      <w:r>
        <w:rPr>
          <w:sz w:val="22"/>
          <w:szCs w:val="22"/>
        </w:rPr>
        <w:t xml:space="preserve">, </w:t>
      </w:r>
      <w:r w:rsidRPr="0040795B">
        <w:rPr>
          <w:sz w:val="22"/>
          <w:szCs w:val="22"/>
        </w:rPr>
        <w:t xml:space="preserve">znižovaní </w:t>
      </w:r>
      <w:r>
        <w:rPr>
          <w:sz w:val="22"/>
          <w:szCs w:val="22"/>
        </w:rPr>
        <w:t xml:space="preserve">nehodovosti a </w:t>
      </w:r>
      <w:r w:rsidRPr="0040795B">
        <w:rPr>
          <w:sz w:val="22"/>
          <w:szCs w:val="22"/>
        </w:rPr>
        <w:t xml:space="preserve">nepriaznivých </w:t>
      </w:r>
      <w:r w:rsidRPr="0040795B">
        <w:rPr>
          <w:sz w:val="22"/>
          <w:szCs w:val="22"/>
        </w:rPr>
        <w:lastRenderedPageBreak/>
        <w:t>vplyvov</w:t>
      </w:r>
      <w:r>
        <w:rPr>
          <w:sz w:val="22"/>
          <w:szCs w:val="22"/>
        </w:rPr>
        <w:t xml:space="preserve"> na </w:t>
      </w:r>
      <w:r w:rsidRPr="0040795B">
        <w:rPr>
          <w:sz w:val="22"/>
          <w:szCs w:val="22"/>
        </w:rPr>
        <w:t>životné prostredie</w:t>
      </w:r>
      <w:r>
        <w:rPr>
          <w:sz w:val="22"/>
          <w:szCs w:val="22"/>
        </w:rPr>
        <w:t xml:space="preserve"> </w:t>
      </w:r>
      <w:r w:rsidRPr="0040795B">
        <w:rPr>
          <w:sz w:val="22"/>
          <w:szCs w:val="22"/>
        </w:rPr>
        <w:t>a</w:t>
      </w:r>
      <w:r>
        <w:rPr>
          <w:sz w:val="22"/>
          <w:szCs w:val="22"/>
        </w:rPr>
        <w:t> </w:t>
      </w:r>
      <w:r w:rsidRPr="0040795B">
        <w:rPr>
          <w:sz w:val="22"/>
          <w:szCs w:val="22"/>
        </w:rPr>
        <w:t>v</w:t>
      </w:r>
      <w:r>
        <w:rPr>
          <w:sz w:val="22"/>
          <w:szCs w:val="22"/>
        </w:rPr>
        <w:t> </w:t>
      </w:r>
      <w:r w:rsidRPr="0040795B">
        <w:rPr>
          <w:sz w:val="22"/>
          <w:szCs w:val="22"/>
        </w:rPr>
        <w:t>neposlednom rade priaznivo vplýva na stav cestných komunikáci</w:t>
      </w:r>
      <w:r w:rsidR="0042774B">
        <w:rPr>
          <w:sz w:val="22"/>
          <w:szCs w:val="22"/>
        </w:rPr>
        <w:t>í nižšieho dopravného významu.</w:t>
      </w:r>
    </w:p>
    <w:p w14:paraId="3461AA5D" w14:textId="1F45EC81" w:rsidR="003676B4" w:rsidRDefault="003676B4" w:rsidP="004167C1">
      <w:pPr>
        <w:autoSpaceDE w:val="0"/>
        <w:autoSpaceDN w:val="0"/>
        <w:adjustRightInd w:val="0"/>
        <w:spacing w:before="180"/>
        <w:jc w:val="both"/>
        <w:rPr>
          <w:sz w:val="22"/>
          <w:szCs w:val="22"/>
        </w:rPr>
      </w:pPr>
      <w:r>
        <w:rPr>
          <w:sz w:val="22"/>
          <w:szCs w:val="22"/>
        </w:rPr>
        <w:t xml:space="preserve">Problematickou je intenzita tranzitnej prepravy. </w:t>
      </w:r>
      <w:r w:rsidRPr="00546E92">
        <w:rPr>
          <w:sz w:val="22"/>
          <w:szCs w:val="22"/>
        </w:rPr>
        <w:t>V súčasnosti medzi mestá s kritickými hodnotami vzdialeného tranzitu prechádzajúceho intravilánom (jeho podielom na celkovej doprave v meste) patria Košice (78 %), Trnava (73 %), Ružomberok (62 %), Šahy (51 %), Žiar nad Hronom (51 %), Levoča (50 %). Tranzitnú dopravu z týchto miest by mali pre</w:t>
      </w:r>
      <w:r>
        <w:rPr>
          <w:sz w:val="22"/>
          <w:szCs w:val="22"/>
        </w:rPr>
        <w:t>vziať plánované úseky diaľnic a </w:t>
      </w:r>
      <w:r w:rsidRPr="00546E92">
        <w:rPr>
          <w:sz w:val="22"/>
          <w:szCs w:val="22"/>
        </w:rPr>
        <w:t>rýchlostných ciest v ich priestore. Viac ako 40 % vzdialeného tranzitu prechádza tiež mestami Martin, Turčianske Teplice, Vranov nad Topľou, pri Bratislave sú to Šamorín a Dunajská Streda, kritická situácia s tranzitom je v Čadci. Podiel vzdialenej tranzit</w:t>
      </w:r>
      <w:r>
        <w:rPr>
          <w:sz w:val="22"/>
          <w:szCs w:val="22"/>
        </w:rPr>
        <w:t>nej dopravy tesne pod 40 % je v </w:t>
      </w:r>
      <w:r w:rsidRPr="00546E92">
        <w:rPr>
          <w:sz w:val="22"/>
          <w:szCs w:val="22"/>
        </w:rPr>
        <w:t>aglomeráciách Žiliny a Prešova, kde je potrebné bezodkladne začať riešiť túto neúnosnú situáciu.</w:t>
      </w:r>
      <w:r w:rsidR="00E512FB">
        <w:rPr>
          <w:sz w:val="22"/>
          <w:szCs w:val="22"/>
        </w:rPr>
        <w:t xml:space="preserve"> </w:t>
      </w:r>
      <w:r w:rsidR="00F0116F">
        <w:rPr>
          <w:sz w:val="22"/>
          <w:szCs w:val="22"/>
        </w:rPr>
        <w:t xml:space="preserve">Elimináciu negatívnych javov vyplývajúcich z dopravy v mestách a regiónoch je </w:t>
      </w:r>
      <w:r w:rsidR="00F0116F" w:rsidRPr="006F3295">
        <w:rPr>
          <w:sz w:val="22"/>
          <w:szCs w:val="22"/>
        </w:rPr>
        <w:t xml:space="preserve">možné dosiahnuť </w:t>
      </w:r>
      <w:r w:rsidR="00F0116F">
        <w:rPr>
          <w:sz w:val="22"/>
          <w:szCs w:val="22"/>
        </w:rPr>
        <w:t>realizáciou</w:t>
      </w:r>
      <w:r w:rsidR="00F0116F" w:rsidRPr="006F3295">
        <w:rPr>
          <w:sz w:val="22"/>
          <w:szCs w:val="22"/>
        </w:rPr>
        <w:t xml:space="preserve"> opatrení, ktoré boli stanovené v strategických dokumentoch</w:t>
      </w:r>
      <w:r w:rsidR="00F0116F">
        <w:rPr>
          <w:sz w:val="22"/>
          <w:szCs w:val="22"/>
        </w:rPr>
        <w:t xml:space="preserve"> MDV SR</w:t>
      </w:r>
      <w:r w:rsidR="00F0116F" w:rsidRPr="006F3295">
        <w:rPr>
          <w:sz w:val="22"/>
          <w:szCs w:val="22"/>
        </w:rPr>
        <w:t xml:space="preserve">, </w:t>
      </w:r>
      <w:r w:rsidR="00F0116F">
        <w:rPr>
          <w:sz w:val="22"/>
          <w:szCs w:val="22"/>
        </w:rPr>
        <w:t>Programoch a Akčných plánoch na zlepšenie kvality ovzdušia</w:t>
      </w:r>
      <w:r w:rsidR="00F0116F">
        <w:rPr>
          <w:rStyle w:val="Odkaznapoznmkupodiarou"/>
          <w:sz w:val="22"/>
          <w:szCs w:val="22"/>
        </w:rPr>
        <w:footnoteReference w:id="59"/>
      </w:r>
      <w:r w:rsidR="00F0116F">
        <w:rPr>
          <w:sz w:val="22"/>
          <w:szCs w:val="22"/>
        </w:rPr>
        <w:t xml:space="preserve">, </w:t>
      </w:r>
      <w:r w:rsidR="00F0116F" w:rsidRPr="006F3295">
        <w:rPr>
          <w:sz w:val="22"/>
          <w:szCs w:val="22"/>
        </w:rPr>
        <w:t xml:space="preserve">resp. </w:t>
      </w:r>
      <w:r w:rsidR="00F0116F">
        <w:rPr>
          <w:sz w:val="22"/>
          <w:szCs w:val="22"/>
        </w:rPr>
        <w:t>Plánoch udržateľnej mestskej mobility (ak už existujú)</w:t>
      </w:r>
      <w:r w:rsidR="00F04DC4">
        <w:rPr>
          <w:sz w:val="22"/>
          <w:szCs w:val="22"/>
        </w:rPr>
        <w:t>, ktoré by mali byť prepojené na plány kvality ovzdušia</w:t>
      </w:r>
      <w:r w:rsidR="005E42EE">
        <w:rPr>
          <w:sz w:val="22"/>
          <w:szCs w:val="22"/>
        </w:rPr>
        <w:t xml:space="preserve"> </w:t>
      </w:r>
      <w:r w:rsidR="009A642B">
        <w:rPr>
          <w:sz w:val="22"/>
          <w:szCs w:val="22"/>
        </w:rPr>
        <w:t>za účelom napĺňať ciele definované</w:t>
      </w:r>
      <w:r w:rsidR="002E433C" w:rsidRPr="002E433C">
        <w:rPr>
          <w:sz w:val="22"/>
          <w:szCs w:val="22"/>
        </w:rPr>
        <w:t xml:space="preserve"> </w:t>
      </w:r>
      <w:r w:rsidR="002E433C">
        <w:rPr>
          <w:sz w:val="22"/>
          <w:szCs w:val="22"/>
        </w:rPr>
        <w:t>smernicou Európskeho parlamentu a rady 2008/50/ES o kvalite okolitého ovzdušia a čistejšom ovzduší v Európe; v rámci SR transponovanou zákonom č. 137/2010 Z.</w:t>
      </w:r>
      <w:r w:rsidR="0042774B">
        <w:rPr>
          <w:sz w:val="22"/>
          <w:szCs w:val="22"/>
        </w:rPr>
        <w:t> </w:t>
      </w:r>
      <w:r w:rsidR="002E433C">
        <w:rPr>
          <w:sz w:val="22"/>
          <w:szCs w:val="22"/>
        </w:rPr>
        <w:t>z. v znení neskorších predpisov a vyhláškou č. 360/2010 Z.</w:t>
      </w:r>
      <w:r w:rsidR="0042774B">
        <w:rPr>
          <w:sz w:val="22"/>
          <w:szCs w:val="22"/>
        </w:rPr>
        <w:t> </w:t>
      </w:r>
      <w:r w:rsidR="002E433C">
        <w:rPr>
          <w:sz w:val="22"/>
          <w:szCs w:val="22"/>
        </w:rPr>
        <w:t xml:space="preserve">z. Ministerstva pôdohospodárstva, životného prostredia a regionálneho rozvoja Slovenskej republiky o kvalite ovzdušia </w:t>
      </w:r>
      <w:r w:rsidR="0042774B">
        <w:rPr>
          <w:sz w:val="22"/>
          <w:szCs w:val="22"/>
        </w:rPr>
        <w:t>v znení vyhlášky č. 442/2013 Z. </w:t>
      </w:r>
      <w:r w:rsidR="002E433C">
        <w:rPr>
          <w:sz w:val="22"/>
          <w:szCs w:val="22"/>
        </w:rPr>
        <w:t>z.</w:t>
      </w:r>
    </w:p>
    <w:p w14:paraId="21D1887B" w14:textId="77777777" w:rsidR="004167C1" w:rsidRDefault="004167C1" w:rsidP="004167C1">
      <w:pPr>
        <w:autoSpaceDE w:val="0"/>
        <w:autoSpaceDN w:val="0"/>
        <w:adjustRightInd w:val="0"/>
        <w:spacing w:before="180"/>
        <w:jc w:val="both"/>
        <w:rPr>
          <w:sz w:val="22"/>
          <w:szCs w:val="22"/>
        </w:rPr>
      </w:pPr>
      <w:r w:rsidRPr="0040795B">
        <w:rPr>
          <w:sz w:val="22"/>
          <w:szCs w:val="22"/>
        </w:rPr>
        <w:t>Prínos realizácie veľkých projektov tejto prioritnej osi na zlepšenie časovej dostupnosti Slovenska a</w:t>
      </w:r>
      <w:r>
        <w:rPr>
          <w:sz w:val="22"/>
          <w:szCs w:val="22"/>
        </w:rPr>
        <w:t> </w:t>
      </w:r>
      <w:r w:rsidRPr="0040795B">
        <w:rPr>
          <w:sz w:val="22"/>
          <w:szCs w:val="22"/>
        </w:rPr>
        <w:t xml:space="preserve">jeho regionálnych </w:t>
      </w:r>
      <w:r>
        <w:rPr>
          <w:sz w:val="22"/>
          <w:szCs w:val="22"/>
        </w:rPr>
        <w:t xml:space="preserve">centier je </w:t>
      </w:r>
      <w:r w:rsidR="003844CC">
        <w:rPr>
          <w:sz w:val="22"/>
          <w:szCs w:val="22"/>
        </w:rPr>
        <w:t xml:space="preserve">uvedený </w:t>
      </w:r>
      <w:r w:rsidR="00686362">
        <w:rPr>
          <w:sz w:val="22"/>
          <w:szCs w:val="22"/>
        </w:rPr>
        <w:t>v Prílohe 5</w:t>
      </w:r>
      <w:r>
        <w:rPr>
          <w:sz w:val="22"/>
          <w:szCs w:val="22"/>
        </w:rPr>
        <w:t>.</w:t>
      </w:r>
    </w:p>
    <w:p w14:paraId="7E6D903A" w14:textId="77777777" w:rsidR="004167C1" w:rsidRPr="005B798A" w:rsidRDefault="00B468F6" w:rsidP="004167C1">
      <w:pPr>
        <w:autoSpaceDE w:val="0"/>
        <w:autoSpaceDN w:val="0"/>
        <w:adjustRightInd w:val="0"/>
        <w:spacing w:before="120" w:after="120"/>
        <w:jc w:val="both"/>
        <w:rPr>
          <w:sz w:val="23"/>
          <w:szCs w:val="23"/>
          <w:u w:val="single"/>
        </w:rPr>
      </w:pPr>
      <w:r>
        <w:rPr>
          <w:sz w:val="23"/>
          <w:szCs w:val="23"/>
          <w:u w:val="single"/>
        </w:rPr>
        <w:t>Výstavba diaľnic</w:t>
      </w:r>
    </w:p>
    <w:p w14:paraId="4C42EE17" w14:textId="7A3E3FF2" w:rsidR="004167C1" w:rsidRDefault="004167C1" w:rsidP="004167C1">
      <w:pPr>
        <w:autoSpaceDE w:val="0"/>
        <w:autoSpaceDN w:val="0"/>
        <w:adjustRightInd w:val="0"/>
        <w:spacing w:before="120"/>
        <w:jc w:val="both"/>
        <w:rPr>
          <w:b/>
          <w:sz w:val="22"/>
          <w:szCs w:val="22"/>
        </w:rPr>
      </w:pPr>
      <w:r w:rsidRPr="00AD2EF1">
        <w:rPr>
          <w:b/>
          <w:sz w:val="22"/>
          <w:szCs w:val="22"/>
        </w:rPr>
        <w:t>V</w:t>
      </w:r>
      <w:r>
        <w:rPr>
          <w:b/>
          <w:sz w:val="22"/>
          <w:szCs w:val="22"/>
        </w:rPr>
        <w:t> </w:t>
      </w:r>
      <w:r w:rsidRPr="00AD2EF1">
        <w:rPr>
          <w:b/>
          <w:sz w:val="22"/>
          <w:szCs w:val="22"/>
        </w:rPr>
        <w:t>oblasti rozvoja diaľničnej siete budú investície smerovať do výstavby nových úsekov diaľnic D1 a</w:t>
      </w:r>
      <w:r>
        <w:rPr>
          <w:b/>
          <w:sz w:val="22"/>
          <w:szCs w:val="22"/>
        </w:rPr>
        <w:t> </w:t>
      </w:r>
      <w:r w:rsidRPr="00AD2EF1">
        <w:rPr>
          <w:b/>
          <w:sz w:val="22"/>
          <w:szCs w:val="22"/>
        </w:rPr>
        <w:t>D3</w:t>
      </w:r>
      <w:r>
        <w:rPr>
          <w:sz w:val="22"/>
          <w:szCs w:val="22"/>
        </w:rPr>
        <w:t xml:space="preserve">. </w:t>
      </w:r>
      <w:r w:rsidRPr="00D315C6">
        <w:rPr>
          <w:b/>
          <w:sz w:val="22"/>
          <w:szCs w:val="22"/>
        </w:rPr>
        <w:t>Tieto úseky budú viesť k ďalšiemu rozširovaniu diaľničnej siete v smere na východ a sever krajiny a odstránia kľúčové úzke mi</w:t>
      </w:r>
      <w:r w:rsidR="00724E8C">
        <w:rPr>
          <w:b/>
          <w:sz w:val="22"/>
          <w:szCs w:val="22"/>
        </w:rPr>
        <w:t>esta a prekážky na cestnej sieti</w:t>
      </w:r>
      <w:r w:rsidRPr="00D315C6">
        <w:rPr>
          <w:b/>
          <w:sz w:val="22"/>
          <w:szCs w:val="22"/>
        </w:rPr>
        <w:t xml:space="preserve"> </w:t>
      </w:r>
      <w:r>
        <w:rPr>
          <w:b/>
          <w:sz w:val="22"/>
          <w:szCs w:val="22"/>
        </w:rPr>
        <w:t xml:space="preserve">základnej siete </w:t>
      </w:r>
      <w:r w:rsidRPr="00D315C6">
        <w:rPr>
          <w:b/>
          <w:sz w:val="22"/>
          <w:szCs w:val="22"/>
        </w:rPr>
        <w:t>TEN-T.</w:t>
      </w:r>
      <w:r w:rsidR="00C93650">
        <w:rPr>
          <w:b/>
          <w:sz w:val="22"/>
          <w:szCs w:val="22"/>
        </w:rPr>
        <w:t xml:space="preserve"> </w:t>
      </w:r>
      <w:r w:rsidR="00393AD5">
        <w:rPr>
          <w:b/>
          <w:sz w:val="22"/>
          <w:szCs w:val="22"/>
        </w:rPr>
        <w:t>(pozri Prílohu 21)</w:t>
      </w:r>
    </w:p>
    <w:p w14:paraId="3EB4CD49" w14:textId="77777777" w:rsidR="004167C1" w:rsidRPr="000F36B5" w:rsidRDefault="004167C1" w:rsidP="004167C1">
      <w:pPr>
        <w:autoSpaceDE w:val="0"/>
        <w:autoSpaceDN w:val="0"/>
        <w:adjustRightInd w:val="0"/>
        <w:spacing w:before="180"/>
        <w:jc w:val="both"/>
        <w:rPr>
          <w:sz w:val="22"/>
          <w:szCs w:val="22"/>
          <w:u w:val="single"/>
        </w:rPr>
      </w:pPr>
      <w:r w:rsidRPr="000F36B5">
        <w:rPr>
          <w:sz w:val="22"/>
          <w:szCs w:val="22"/>
          <w:u w:val="single"/>
        </w:rPr>
        <w:t>Diaľnica D1</w:t>
      </w:r>
    </w:p>
    <w:p w14:paraId="393436B2" w14:textId="77777777" w:rsidR="004167C1" w:rsidRDefault="004167C1" w:rsidP="004167C1">
      <w:pPr>
        <w:autoSpaceDE w:val="0"/>
        <w:autoSpaceDN w:val="0"/>
        <w:adjustRightInd w:val="0"/>
        <w:spacing w:before="120" w:after="120"/>
        <w:jc w:val="both"/>
        <w:rPr>
          <w:sz w:val="22"/>
          <w:szCs w:val="22"/>
        </w:rPr>
      </w:pPr>
      <w:r w:rsidRPr="001914FF">
        <w:rPr>
          <w:sz w:val="22"/>
          <w:szCs w:val="22"/>
        </w:rPr>
        <w:t>Nosnou časťou uceleného dopravného systému SR z pohľadu cestnej infraštruktúry je multimodálny koridor</w:t>
      </w:r>
      <w:r>
        <w:rPr>
          <w:sz w:val="22"/>
          <w:szCs w:val="22"/>
        </w:rPr>
        <w:t xml:space="preserve"> </w:t>
      </w:r>
      <w:r w:rsidRPr="001914FF">
        <w:rPr>
          <w:sz w:val="22"/>
          <w:szCs w:val="22"/>
        </w:rPr>
        <w:t>Va, ktorý je zároveň sídelnou rozvojovou osou I. stupňa lokalizovanou v koridore Bratislava – Trenčín – Žilina</w:t>
      </w:r>
      <w:r>
        <w:rPr>
          <w:sz w:val="22"/>
          <w:szCs w:val="22"/>
        </w:rPr>
        <w:t xml:space="preserve"> </w:t>
      </w:r>
      <w:r w:rsidRPr="001914FF">
        <w:rPr>
          <w:sz w:val="22"/>
          <w:szCs w:val="22"/>
        </w:rPr>
        <w:t>– Poprad – Prešov – Košice</w:t>
      </w:r>
      <w:r>
        <w:rPr>
          <w:sz w:val="22"/>
          <w:szCs w:val="22"/>
        </w:rPr>
        <w:t>. Hlavnú rozvojovú os kopíruje diaľnica D1, ktorá spája osem z </w:t>
      </w:r>
      <w:r w:rsidRPr="00DB55A3">
        <w:rPr>
          <w:sz w:val="22"/>
          <w:szCs w:val="22"/>
        </w:rPr>
        <w:t>desiatich najväčších miest Slovenska zo zápa</w:t>
      </w:r>
      <w:r>
        <w:rPr>
          <w:sz w:val="22"/>
          <w:szCs w:val="22"/>
        </w:rPr>
        <w:t xml:space="preserve">du cez sever krajiny na východ. </w:t>
      </w:r>
    </w:p>
    <w:p w14:paraId="232327F4" w14:textId="77777777" w:rsidR="004167C1" w:rsidRDefault="004167C1" w:rsidP="004167C1">
      <w:pPr>
        <w:autoSpaceDE w:val="0"/>
        <w:autoSpaceDN w:val="0"/>
        <w:adjustRightInd w:val="0"/>
        <w:spacing w:before="180"/>
        <w:jc w:val="both"/>
        <w:rPr>
          <w:sz w:val="22"/>
          <w:szCs w:val="22"/>
        </w:rPr>
      </w:pPr>
      <w:r w:rsidRPr="00DB55A3">
        <w:rPr>
          <w:sz w:val="22"/>
          <w:szCs w:val="22"/>
        </w:rPr>
        <w:t xml:space="preserve">Ide o najdlhšiu diaľnicu prechádzajúcu naprieč celou krajinou </w:t>
      </w:r>
      <w:r>
        <w:rPr>
          <w:sz w:val="22"/>
          <w:szCs w:val="22"/>
        </w:rPr>
        <w:t xml:space="preserve">o dĺžke 516 km. Diaľnica </w:t>
      </w:r>
      <w:r w:rsidRPr="00DB55A3">
        <w:rPr>
          <w:sz w:val="22"/>
          <w:szCs w:val="22"/>
        </w:rPr>
        <w:t>je predovšetkým vo svojej severnej časti trasovaná v náročných terénnych po</w:t>
      </w:r>
      <w:r>
        <w:rPr>
          <w:sz w:val="22"/>
          <w:szCs w:val="22"/>
        </w:rPr>
        <w:t>dmienkach s množstvom tunelov a </w:t>
      </w:r>
      <w:r w:rsidRPr="00DB55A3">
        <w:rPr>
          <w:sz w:val="22"/>
          <w:szCs w:val="22"/>
        </w:rPr>
        <w:t>mostných objektov</w:t>
      </w:r>
      <w:r>
        <w:rPr>
          <w:sz w:val="22"/>
          <w:szCs w:val="22"/>
        </w:rPr>
        <w:t xml:space="preserve">. Z tohto dôvodu je </w:t>
      </w:r>
      <w:r w:rsidRPr="00DB55A3">
        <w:rPr>
          <w:sz w:val="22"/>
          <w:szCs w:val="22"/>
        </w:rPr>
        <w:t xml:space="preserve">realizácia </w:t>
      </w:r>
      <w:r>
        <w:rPr>
          <w:sz w:val="22"/>
          <w:szCs w:val="22"/>
        </w:rPr>
        <w:t>D1 mimoriadne technicky, časovo a </w:t>
      </w:r>
      <w:r w:rsidRPr="00DB55A3">
        <w:rPr>
          <w:sz w:val="22"/>
          <w:szCs w:val="22"/>
        </w:rPr>
        <w:t xml:space="preserve">finančne náročná. </w:t>
      </w:r>
      <w:r>
        <w:rPr>
          <w:sz w:val="22"/>
          <w:szCs w:val="22"/>
        </w:rPr>
        <w:t>K 01.01.2013 bolo v prevádzke 312 km a vo výstavbe 72 km diaľnice. Ako kľúčové úzke miesto na diaľnici D1 je možné označiť úsek medzi Žilinou a Liptovským Mikulášom, kde je doprava prevádzkovaná</w:t>
      </w:r>
      <w:r w:rsidR="00724E8C">
        <w:rPr>
          <w:sz w:val="22"/>
          <w:szCs w:val="22"/>
        </w:rPr>
        <w:t xml:space="preserve"> na ceste</w:t>
      </w:r>
      <w:r>
        <w:rPr>
          <w:sz w:val="22"/>
          <w:szCs w:val="22"/>
        </w:rPr>
        <w:t xml:space="preserve"> I. triedy (I/18), pričom na niektorých úsekoch je dosahovaná intenzita dopravy na úrovni 20</w:t>
      </w:r>
      <w:r w:rsidR="00600731">
        <w:rPr>
          <w:sz w:val="22"/>
          <w:szCs w:val="22"/>
        </w:rPr>
        <w:t xml:space="preserve"> až </w:t>
      </w:r>
      <w:r>
        <w:rPr>
          <w:sz w:val="22"/>
          <w:szCs w:val="22"/>
        </w:rPr>
        <w:t>37 tis. voz./24 hod.</w:t>
      </w:r>
    </w:p>
    <w:p w14:paraId="16C07497" w14:textId="77777777" w:rsidR="004167C1" w:rsidRDefault="004167C1" w:rsidP="004167C1">
      <w:pPr>
        <w:autoSpaceDE w:val="0"/>
        <w:autoSpaceDN w:val="0"/>
        <w:adjustRightInd w:val="0"/>
        <w:spacing w:before="180"/>
        <w:jc w:val="both"/>
        <w:rPr>
          <w:sz w:val="22"/>
          <w:szCs w:val="22"/>
        </w:rPr>
      </w:pPr>
      <w:r w:rsidRPr="00EA5186">
        <w:rPr>
          <w:b/>
          <w:sz w:val="22"/>
          <w:szCs w:val="22"/>
        </w:rPr>
        <w:t xml:space="preserve">Stratégia rozvoja </w:t>
      </w:r>
      <w:r>
        <w:rPr>
          <w:b/>
          <w:sz w:val="22"/>
          <w:szCs w:val="22"/>
        </w:rPr>
        <w:t>diaľnice D1</w:t>
      </w:r>
      <w:r w:rsidRPr="00EA5186">
        <w:rPr>
          <w:b/>
          <w:sz w:val="22"/>
          <w:szCs w:val="22"/>
        </w:rPr>
        <w:t xml:space="preserve"> kontinuálne nadviaže na programové obdobie </w:t>
      </w:r>
      <w:r w:rsidR="00FC7AF9">
        <w:rPr>
          <w:b/>
          <w:sz w:val="22"/>
          <w:szCs w:val="22"/>
        </w:rPr>
        <w:t>2007</w:t>
      </w:r>
      <w:r w:rsidRPr="00EA5186">
        <w:rPr>
          <w:b/>
          <w:sz w:val="22"/>
          <w:szCs w:val="22"/>
        </w:rPr>
        <w:t xml:space="preserve"> – 2013</w:t>
      </w:r>
      <w:r>
        <w:rPr>
          <w:b/>
          <w:sz w:val="22"/>
          <w:szCs w:val="22"/>
        </w:rPr>
        <w:t>, resp. predchádzajúcu pomoc a finančné prostriedky budú</w:t>
      </w:r>
      <w:r w:rsidRPr="00EA5186">
        <w:rPr>
          <w:b/>
          <w:sz w:val="22"/>
          <w:szCs w:val="22"/>
        </w:rPr>
        <w:t> </w:t>
      </w:r>
      <w:r>
        <w:rPr>
          <w:b/>
          <w:sz w:val="22"/>
          <w:szCs w:val="22"/>
        </w:rPr>
        <w:t xml:space="preserve">smerované </w:t>
      </w:r>
      <w:r w:rsidRPr="00EA5186">
        <w:rPr>
          <w:b/>
          <w:sz w:val="22"/>
          <w:szCs w:val="22"/>
        </w:rPr>
        <w:t xml:space="preserve">prioritne </w:t>
      </w:r>
      <w:r>
        <w:rPr>
          <w:b/>
          <w:sz w:val="22"/>
          <w:szCs w:val="22"/>
        </w:rPr>
        <w:t>na</w:t>
      </w:r>
      <w:r w:rsidRPr="00EA5186">
        <w:rPr>
          <w:b/>
          <w:sz w:val="22"/>
          <w:szCs w:val="22"/>
        </w:rPr>
        <w:t xml:space="preserve"> </w:t>
      </w:r>
      <w:r>
        <w:rPr>
          <w:b/>
          <w:sz w:val="22"/>
          <w:szCs w:val="22"/>
        </w:rPr>
        <w:t>spolufinancovanie veľkých projektov, ktoré sa realizujú vo fázach</w:t>
      </w:r>
      <w:r w:rsidRPr="00EA5186">
        <w:rPr>
          <w:b/>
          <w:sz w:val="22"/>
          <w:szCs w:val="22"/>
        </w:rPr>
        <w:t>.</w:t>
      </w:r>
      <w:r>
        <w:rPr>
          <w:b/>
          <w:sz w:val="22"/>
          <w:szCs w:val="22"/>
        </w:rPr>
        <w:t xml:space="preserve"> </w:t>
      </w:r>
      <w:r>
        <w:rPr>
          <w:sz w:val="22"/>
          <w:szCs w:val="22"/>
        </w:rPr>
        <w:t>Zo zdrojov prioritnej osi bude prioritne financovaná projektová príprava a výstavba týchto úsekov:</w:t>
      </w:r>
    </w:p>
    <w:p w14:paraId="70457A20"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Hričovské Podhradie – Lietavská Lúčka (2. fáza),</w:t>
      </w:r>
    </w:p>
    <w:p w14:paraId="346B2373"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Lietavská Lúčka – Višňové – Dubná Skala</w:t>
      </w:r>
      <w:r w:rsidR="00724E8C">
        <w:rPr>
          <w:sz w:val="22"/>
          <w:szCs w:val="22"/>
        </w:rPr>
        <w:t xml:space="preserve"> (2. fáza)</w:t>
      </w:r>
      <w:r>
        <w:rPr>
          <w:sz w:val="22"/>
          <w:szCs w:val="22"/>
        </w:rPr>
        <w:t>,</w:t>
      </w:r>
    </w:p>
    <w:p w14:paraId="0D3BB624"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Hubová – Ivachnová (2. fáza),</w:t>
      </w:r>
    </w:p>
    <w:p w14:paraId="46C741DE"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Turany – Hubová,</w:t>
      </w:r>
    </w:p>
    <w:p w14:paraId="6536C3BA"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Budimír – Bidovce,</w:t>
      </w:r>
    </w:p>
    <w:p w14:paraId="00FFADDC"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Prešov, západ – Prešov, juh.</w:t>
      </w:r>
    </w:p>
    <w:p w14:paraId="6BBD8AFD" w14:textId="77777777" w:rsidR="004167C1" w:rsidRDefault="004167C1" w:rsidP="004167C1">
      <w:pPr>
        <w:autoSpaceDE w:val="0"/>
        <w:autoSpaceDN w:val="0"/>
        <w:adjustRightInd w:val="0"/>
        <w:spacing w:before="240"/>
        <w:jc w:val="both"/>
        <w:rPr>
          <w:sz w:val="22"/>
          <w:szCs w:val="22"/>
        </w:rPr>
      </w:pPr>
      <w:r>
        <w:rPr>
          <w:sz w:val="22"/>
          <w:szCs w:val="22"/>
        </w:rPr>
        <w:lastRenderedPageBreak/>
        <w:t>Ukončením výstavby všetkých úsekov diaľnice D1, rozostavaných pred rokom 2014, ako aj tých, ktoré budú spolufinancované z OPII, dôjde v horizonte niekoľkých rokov k súvislému prepojeniu dvoch najväčších miest SR (Bratislavy a Košíc) kvalitnou cestnou infraštruktúrou o celkovej dĺžke cca 442 km.</w:t>
      </w:r>
    </w:p>
    <w:p w14:paraId="618A0358" w14:textId="77777777" w:rsidR="004167C1" w:rsidRPr="000F36B5" w:rsidRDefault="004167C1" w:rsidP="004167C1">
      <w:pPr>
        <w:autoSpaceDE w:val="0"/>
        <w:autoSpaceDN w:val="0"/>
        <w:adjustRightInd w:val="0"/>
        <w:spacing w:before="120" w:after="120"/>
        <w:jc w:val="both"/>
        <w:rPr>
          <w:sz w:val="22"/>
          <w:szCs w:val="22"/>
          <w:u w:val="single"/>
        </w:rPr>
      </w:pPr>
      <w:r>
        <w:rPr>
          <w:sz w:val="22"/>
          <w:szCs w:val="22"/>
          <w:u w:val="single"/>
        </w:rPr>
        <w:t>Diaľnica D3</w:t>
      </w:r>
    </w:p>
    <w:p w14:paraId="06AF40E2" w14:textId="77777777" w:rsidR="004167C1" w:rsidRDefault="004167C1" w:rsidP="004167C1">
      <w:pPr>
        <w:autoSpaceDE w:val="0"/>
        <w:autoSpaceDN w:val="0"/>
        <w:adjustRightInd w:val="0"/>
        <w:jc w:val="both"/>
        <w:rPr>
          <w:sz w:val="22"/>
          <w:szCs w:val="22"/>
        </w:rPr>
      </w:pPr>
      <w:r w:rsidRPr="00221562">
        <w:rPr>
          <w:sz w:val="22"/>
          <w:szCs w:val="22"/>
        </w:rPr>
        <w:t>Diaľnica D3 je dôležitá z pohľadu se</w:t>
      </w:r>
      <w:r>
        <w:rPr>
          <w:sz w:val="22"/>
          <w:szCs w:val="22"/>
        </w:rPr>
        <w:t>verojužného prepojenia na Poľskú</w:t>
      </w:r>
      <w:r w:rsidRPr="00221562">
        <w:rPr>
          <w:sz w:val="22"/>
          <w:szCs w:val="22"/>
        </w:rPr>
        <w:t xml:space="preserve"> a Českú republiku. </w:t>
      </w:r>
      <w:r>
        <w:rPr>
          <w:sz w:val="22"/>
          <w:szCs w:val="22"/>
        </w:rPr>
        <w:t xml:space="preserve">Celková plánovaná dĺžka diaľnice D3 je 59,8 km, z toho k 01.01.2013 bolo potrebné </w:t>
      </w:r>
      <w:r w:rsidRPr="00221562">
        <w:rPr>
          <w:sz w:val="22"/>
          <w:szCs w:val="22"/>
        </w:rPr>
        <w:t>dokončiť viac ako 5</w:t>
      </w:r>
      <w:r>
        <w:rPr>
          <w:sz w:val="22"/>
          <w:szCs w:val="22"/>
        </w:rPr>
        <w:t>0 </w:t>
      </w:r>
      <w:r w:rsidRPr="00221562">
        <w:rPr>
          <w:sz w:val="22"/>
          <w:szCs w:val="22"/>
        </w:rPr>
        <w:t>km.</w:t>
      </w:r>
    </w:p>
    <w:p w14:paraId="0C58BF86" w14:textId="77777777" w:rsidR="004167C1" w:rsidRPr="00A21DD4" w:rsidRDefault="004205D7" w:rsidP="004167C1">
      <w:pPr>
        <w:autoSpaceDE w:val="0"/>
        <w:autoSpaceDN w:val="0"/>
        <w:adjustRightInd w:val="0"/>
        <w:spacing w:before="180"/>
        <w:jc w:val="both"/>
        <w:rPr>
          <w:sz w:val="22"/>
          <w:szCs w:val="22"/>
        </w:rPr>
      </w:pPr>
      <w:r w:rsidRPr="00A21DD4">
        <w:rPr>
          <w:sz w:val="22"/>
          <w:szCs w:val="22"/>
        </w:rPr>
        <w:t>Spolufinancovanie úsekov D3</w:t>
      </w:r>
      <w:r w:rsidR="006F24FD" w:rsidRPr="00A21DD4">
        <w:rPr>
          <w:sz w:val="22"/>
          <w:szCs w:val="22"/>
        </w:rPr>
        <w:t xml:space="preserve"> </w:t>
      </w:r>
      <w:r w:rsidRPr="00A21DD4">
        <w:rPr>
          <w:sz w:val="22"/>
          <w:szCs w:val="22"/>
        </w:rPr>
        <w:t>je podmienené realizáciou sm</w:t>
      </w:r>
      <w:r w:rsidR="002B6EB5">
        <w:rPr>
          <w:sz w:val="22"/>
          <w:szCs w:val="22"/>
        </w:rPr>
        <w:t>erového dopravného prieskumu na </w:t>
      </w:r>
      <w:r w:rsidRPr="00A21DD4">
        <w:rPr>
          <w:sz w:val="22"/>
          <w:szCs w:val="22"/>
        </w:rPr>
        <w:t>cezhraničných prechodoch s Českou a Poľskou republikou</w:t>
      </w:r>
      <w:r w:rsidR="00385B89" w:rsidRPr="00A21DD4">
        <w:rPr>
          <w:sz w:val="22"/>
          <w:szCs w:val="22"/>
        </w:rPr>
        <w:t xml:space="preserve"> a nadväzujúceho dopravného modelu</w:t>
      </w:r>
      <w:r w:rsidRPr="00A21DD4">
        <w:rPr>
          <w:sz w:val="22"/>
          <w:szCs w:val="22"/>
        </w:rPr>
        <w:t>. Výstavba úsekov bude možná až po potvrdení, že dopravné intenzity na D3 sú dostatočné pre splnenie podmienok ekonomickej miery návratnosti. Z PO</w:t>
      </w:r>
      <w:r w:rsidR="00631CDB" w:rsidRPr="00A21DD4">
        <w:rPr>
          <w:sz w:val="22"/>
          <w:szCs w:val="22"/>
        </w:rPr>
        <w:t> </w:t>
      </w:r>
      <w:r w:rsidRPr="00A21DD4">
        <w:rPr>
          <w:sz w:val="22"/>
          <w:szCs w:val="22"/>
        </w:rPr>
        <w:t>2 sa prioritne uvažuje s</w:t>
      </w:r>
      <w:r w:rsidR="00EA334D" w:rsidRPr="00A21DD4">
        <w:rPr>
          <w:sz w:val="22"/>
          <w:szCs w:val="22"/>
        </w:rPr>
        <w:t>o spolu</w:t>
      </w:r>
      <w:r w:rsidRPr="00A21DD4">
        <w:rPr>
          <w:sz w:val="22"/>
          <w:szCs w:val="22"/>
        </w:rPr>
        <w:t>financovaním týchto úsekov:</w:t>
      </w:r>
    </w:p>
    <w:p w14:paraId="43B82B9B" w14:textId="77777777" w:rsidR="009E0158" w:rsidRDefault="004167C1" w:rsidP="00C35D0B">
      <w:pPr>
        <w:pStyle w:val="Odsekzoznamu"/>
        <w:numPr>
          <w:ilvl w:val="0"/>
          <w:numId w:val="27"/>
        </w:numPr>
        <w:autoSpaceDE w:val="0"/>
        <w:autoSpaceDN w:val="0"/>
        <w:adjustRightInd w:val="0"/>
        <w:spacing w:before="120"/>
        <w:jc w:val="both"/>
        <w:rPr>
          <w:sz w:val="22"/>
          <w:szCs w:val="22"/>
        </w:rPr>
      </w:pPr>
      <w:r w:rsidRPr="00A21DD4">
        <w:rPr>
          <w:sz w:val="22"/>
          <w:szCs w:val="22"/>
        </w:rPr>
        <w:t>D3 Svrčinovec – Skalité (2.</w:t>
      </w:r>
      <w:r>
        <w:rPr>
          <w:sz w:val="22"/>
          <w:szCs w:val="22"/>
        </w:rPr>
        <w:t xml:space="preserve"> fáza)</w:t>
      </w:r>
      <w:r w:rsidR="00372D6D">
        <w:rPr>
          <w:sz w:val="22"/>
          <w:szCs w:val="22"/>
        </w:rPr>
        <w:t>,</w:t>
      </w:r>
    </w:p>
    <w:p w14:paraId="0B6DAE6E" w14:textId="4EA08C4B"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Čadca, Bukov – Svrčinovec</w:t>
      </w:r>
      <w:r w:rsidR="00DB7333">
        <w:rPr>
          <w:sz w:val="22"/>
          <w:szCs w:val="22"/>
        </w:rPr>
        <w:t xml:space="preserve"> (</w:t>
      </w:r>
      <w:r w:rsidR="0042774B">
        <w:rPr>
          <w:sz w:val="22"/>
          <w:szCs w:val="22"/>
        </w:rPr>
        <w:t xml:space="preserve">projekt </w:t>
      </w:r>
      <w:r w:rsidR="00DB7333">
        <w:rPr>
          <w:sz w:val="22"/>
          <w:szCs w:val="22"/>
        </w:rPr>
        <w:t>financovan</w:t>
      </w:r>
      <w:r w:rsidR="0042774B">
        <w:rPr>
          <w:sz w:val="22"/>
          <w:szCs w:val="22"/>
        </w:rPr>
        <w:t>ý</w:t>
      </w:r>
      <w:r w:rsidR="00372D6D">
        <w:rPr>
          <w:sz w:val="22"/>
          <w:szCs w:val="22"/>
        </w:rPr>
        <w:t xml:space="preserve"> zo zdrojov </w:t>
      </w:r>
      <w:r w:rsidR="00DB7333">
        <w:rPr>
          <w:sz w:val="22"/>
          <w:szCs w:val="22"/>
        </w:rPr>
        <w:t>OPII a </w:t>
      </w:r>
      <w:r w:rsidR="00372D6D">
        <w:rPr>
          <w:sz w:val="22"/>
          <w:szCs w:val="22"/>
        </w:rPr>
        <w:t>NPE</w:t>
      </w:r>
      <w:r w:rsidR="00DB7333">
        <w:rPr>
          <w:sz w:val="22"/>
          <w:szCs w:val="22"/>
        </w:rPr>
        <w:t>)</w:t>
      </w:r>
      <w:r>
        <w:rPr>
          <w:sz w:val="22"/>
          <w:szCs w:val="22"/>
        </w:rPr>
        <w:t>,</w:t>
      </w:r>
    </w:p>
    <w:p w14:paraId="09C972A1" w14:textId="7948254E"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Žilina, Strážov – Žilina, Brodno (2. fáza)</w:t>
      </w:r>
      <w:r w:rsidR="00321062">
        <w:rPr>
          <w:sz w:val="22"/>
          <w:szCs w:val="22"/>
        </w:rPr>
        <w:t>,</w:t>
      </w:r>
    </w:p>
    <w:p w14:paraId="103F349A"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Žilina, Brodno – Kysucké Nové Mesto,</w:t>
      </w:r>
    </w:p>
    <w:p w14:paraId="63D1AE91"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Kysucké Nové Mesto – Oščadnica</w:t>
      </w:r>
      <w:r w:rsidR="00CD70FE">
        <w:rPr>
          <w:sz w:val="22"/>
          <w:szCs w:val="22"/>
        </w:rPr>
        <w:t>.</w:t>
      </w:r>
    </w:p>
    <w:p w14:paraId="7E22DA79" w14:textId="77777777" w:rsidR="004167C1" w:rsidRDefault="004167C1" w:rsidP="004167C1">
      <w:pPr>
        <w:autoSpaceDE w:val="0"/>
        <w:autoSpaceDN w:val="0"/>
        <w:adjustRightInd w:val="0"/>
        <w:spacing w:before="240"/>
        <w:jc w:val="both"/>
        <w:rPr>
          <w:sz w:val="22"/>
          <w:szCs w:val="22"/>
        </w:rPr>
      </w:pPr>
      <w:r w:rsidRPr="00AD2EF1">
        <w:rPr>
          <w:sz w:val="22"/>
          <w:szCs w:val="22"/>
        </w:rPr>
        <w:t xml:space="preserve">Konkrétny zoznam úsekov, vrátane harmonogramu ich výstavby </w:t>
      </w:r>
      <w:r>
        <w:rPr>
          <w:sz w:val="22"/>
          <w:szCs w:val="22"/>
        </w:rPr>
        <w:t>bol</w:t>
      </w:r>
      <w:r w:rsidRPr="00AD2EF1">
        <w:rPr>
          <w:sz w:val="22"/>
          <w:szCs w:val="22"/>
        </w:rPr>
        <w:t xml:space="preserve"> definovaný </w:t>
      </w:r>
      <w:r>
        <w:rPr>
          <w:sz w:val="22"/>
          <w:szCs w:val="22"/>
        </w:rPr>
        <w:t>v Strategickom pláne</w:t>
      </w:r>
      <w:r w:rsidR="00BE0B89">
        <w:rPr>
          <w:sz w:val="22"/>
          <w:szCs w:val="22"/>
        </w:rPr>
        <w:t>.</w:t>
      </w:r>
    </w:p>
    <w:p w14:paraId="1A244015" w14:textId="77777777" w:rsidR="00BB0E8D" w:rsidRDefault="00BB0E8D" w:rsidP="004167C1">
      <w:pPr>
        <w:autoSpaceDE w:val="0"/>
        <w:autoSpaceDN w:val="0"/>
        <w:adjustRightInd w:val="0"/>
        <w:spacing w:before="180"/>
        <w:jc w:val="both"/>
        <w:rPr>
          <w:sz w:val="23"/>
          <w:szCs w:val="23"/>
          <w:u w:val="single"/>
        </w:rPr>
      </w:pPr>
      <w:r>
        <w:rPr>
          <w:sz w:val="23"/>
          <w:szCs w:val="23"/>
          <w:u w:val="single"/>
        </w:rPr>
        <w:t>Diaľnica D4</w:t>
      </w:r>
    </w:p>
    <w:p w14:paraId="17982085" w14:textId="23DD7C80" w:rsidR="002A54DC" w:rsidRDefault="00393AD5" w:rsidP="002A54DC">
      <w:pPr>
        <w:autoSpaceDE w:val="0"/>
        <w:autoSpaceDN w:val="0"/>
        <w:adjustRightInd w:val="0"/>
        <w:spacing w:before="180"/>
        <w:jc w:val="both"/>
        <w:rPr>
          <w:sz w:val="22"/>
          <w:szCs w:val="22"/>
        </w:rPr>
      </w:pPr>
      <w:r>
        <w:rPr>
          <w:sz w:val="22"/>
          <w:szCs w:val="22"/>
        </w:rPr>
        <w:t>Pozri Prílohu 21.</w:t>
      </w:r>
    </w:p>
    <w:p w14:paraId="545FEB3D" w14:textId="77777777" w:rsidR="004167C1" w:rsidRPr="005B798A" w:rsidRDefault="00B468F6" w:rsidP="004167C1">
      <w:pPr>
        <w:autoSpaceDE w:val="0"/>
        <w:autoSpaceDN w:val="0"/>
        <w:adjustRightInd w:val="0"/>
        <w:spacing w:before="180"/>
        <w:jc w:val="both"/>
        <w:rPr>
          <w:sz w:val="23"/>
          <w:szCs w:val="23"/>
          <w:u w:val="single"/>
        </w:rPr>
      </w:pPr>
      <w:r>
        <w:rPr>
          <w:sz w:val="23"/>
          <w:szCs w:val="23"/>
          <w:u w:val="single"/>
        </w:rPr>
        <w:t>Výstavba rýchlostných ciest</w:t>
      </w:r>
    </w:p>
    <w:p w14:paraId="7ED05C19" w14:textId="412095A2" w:rsidR="004167C1" w:rsidRPr="00872A41" w:rsidRDefault="004167C1" w:rsidP="004167C1">
      <w:pPr>
        <w:autoSpaceDE w:val="0"/>
        <w:autoSpaceDN w:val="0"/>
        <w:adjustRightInd w:val="0"/>
        <w:spacing w:before="120"/>
        <w:jc w:val="both"/>
        <w:rPr>
          <w:sz w:val="22"/>
          <w:szCs w:val="22"/>
        </w:rPr>
      </w:pPr>
      <w:r w:rsidRPr="00D30920">
        <w:rPr>
          <w:b/>
          <w:sz w:val="22"/>
          <w:szCs w:val="22"/>
        </w:rPr>
        <w:t>V</w:t>
      </w:r>
      <w:r>
        <w:rPr>
          <w:b/>
          <w:sz w:val="22"/>
          <w:szCs w:val="22"/>
        </w:rPr>
        <w:t> </w:t>
      </w:r>
      <w:r w:rsidRPr="00D30920">
        <w:rPr>
          <w:b/>
          <w:sz w:val="22"/>
          <w:szCs w:val="22"/>
        </w:rPr>
        <w:t>oblasti rýchlostných ciest sa v</w:t>
      </w:r>
      <w:r>
        <w:rPr>
          <w:b/>
          <w:sz w:val="22"/>
          <w:szCs w:val="22"/>
        </w:rPr>
        <w:t> </w:t>
      </w:r>
      <w:r w:rsidRPr="00D30920">
        <w:rPr>
          <w:b/>
          <w:sz w:val="22"/>
          <w:szCs w:val="22"/>
        </w:rPr>
        <w:t xml:space="preserve">nasledujúcom období 2014 – 2020 bude </w:t>
      </w:r>
      <w:r>
        <w:rPr>
          <w:b/>
          <w:sz w:val="22"/>
          <w:szCs w:val="22"/>
        </w:rPr>
        <w:t xml:space="preserve">zo zdrojov KF </w:t>
      </w:r>
      <w:r w:rsidRPr="003C7A11">
        <w:rPr>
          <w:b/>
          <w:color w:val="000000" w:themeColor="text1"/>
          <w:sz w:val="22"/>
          <w:szCs w:val="22"/>
        </w:rPr>
        <w:t>preferovať</w:t>
      </w:r>
      <w:r w:rsidR="000D1994">
        <w:rPr>
          <w:b/>
          <w:color w:val="000000" w:themeColor="text1"/>
          <w:sz w:val="22"/>
          <w:szCs w:val="22"/>
        </w:rPr>
        <w:t xml:space="preserve"> predovšetkým</w:t>
      </w:r>
      <w:r w:rsidRPr="003C7A11">
        <w:rPr>
          <w:b/>
          <w:color w:val="000000" w:themeColor="text1"/>
          <w:sz w:val="22"/>
          <w:szCs w:val="22"/>
        </w:rPr>
        <w:t xml:space="preserve"> príprava</w:t>
      </w:r>
      <w:r w:rsidR="003F4F12">
        <w:rPr>
          <w:b/>
          <w:color w:val="000000" w:themeColor="text1"/>
          <w:sz w:val="22"/>
          <w:szCs w:val="22"/>
        </w:rPr>
        <w:t xml:space="preserve"> projektovej dokumentácie</w:t>
      </w:r>
      <w:r>
        <w:rPr>
          <w:b/>
          <w:sz w:val="22"/>
          <w:szCs w:val="22"/>
        </w:rPr>
        <w:t xml:space="preserve"> </w:t>
      </w:r>
      <w:r w:rsidRPr="00D30920">
        <w:rPr>
          <w:b/>
          <w:sz w:val="22"/>
          <w:szCs w:val="22"/>
        </w:rPr>
        <w:t>úsekov ciest na R3</w:t>
      </w:r>
      <w:r>
        <w:rPr>
          <w:b/>
          <w:sz w:val="22"/>
          <w:szCs w:val="22"/>
        </w:rPr>
        <w:t xml:space="preserve"> a </w:t>
      </w:r>
      <w:r w:rsidRPr="00D30920">
        <w:rPr>
          <w:b/>
          <w:sz w:val="22"/>
          <w:szCs w:val="22"/>
        </w:rPr>
        <w:t>R6</w:t>
      </w:r>
      <w:r w:rsidR="00F0116F">
        <w:rPr>
          <w:b/>
          <w:sz w:val="22"/>
          <w:szCs w:val="22"/>
        </w:rPr>
        <w:t xml:space="preserve">. </w:t>
      </w:r>
      <w:r w:rsidR="00F0116F" w:rsidRPr="00872A41">
        <w:rPr>
          <w:sz w:val="22"/>
          <w:szCs w:val="22"/>
        </w:rPr>
        <w:t xml:space="preserve">Výstavbe konkrétnych úsekov bude predchádzať </w:t>
      </w:r>
      <w:r w:rsidR="00F0116F">
        <w:rPr>
          <w:sz w:val="22"/>
          <w:szCs w:val="22"/>
        </w:rPr>
        <w:t xml:space="preserve">taktiež </w:t>
      </w:r>
      <w:r w:rsidR="00F0116F" w:rsidRPr="00872A41">
        <w:rPr>
          <w:sz w:val="22"/>
          <w:szCs w:val="22"/>
        </w:rPr>
        <w:t xml:space="preserve">spracovanie štúdií realizovateľnosti, ktoré komplexným spôsobom posúdia </w:t>
      </w:r>
      <w:r w:rsidR="00F0116F">
        <w:rPr>
          <w:sz w:val="22"/>
          <w:szCs w:val="22"/>
        </w:rPr>
        <w:t>tieto koridory (</w:t>
      </w:r>
      <w:r w:rsidR="00F0116F" w:rsidRPr="00872A41">
        <w:rPr>
          <w:sz w:val="22"/>
          <w:szCs w:val="22"/>
        </w:rPr>
        <w:t>možnosti trasovania</w:t>
      </w:r>
      <w:r w:rsidR="00F0116F">
        <w:rPr>
          <w:sz w:val="22"/>
          <w:szCs w:val="22"/>
        </w:rPr>
        <w:t xml:space="preserve">, optimálnosť objektovej skladby a pod.). </w:t>
      </w:r>
      <w:r w:rsidR="00724E8C">
        <w:rPr>
          <w:sz w:val="22"/>
          <w:szCs w:val="22"/>
        </w:rPr>
        <w:t>Uvedené komunikácie</w:t>
      </w:r>
      <w:r w:rsidRPr="00872A41">
        <w:rPr>
          <w:sz w:val="22"/>
          <w:szCs w:val="22"/>
        </w:rPr>
        <w:t xml:space="preserve"> sú </w:t>
      </w:r>
      <w:r w:rsidR="00F0116F">
        <w:rPr>
          <w:sz w:val="22"/>
          <w:szCs w:val="22"/>
        </w:rPr>
        <w:t xml:space="preserve">súčasťou základnej siete TEN-T a sú </w:t>
      </w:r>
      <w:r w:rsidRPr="00872A41">
        <w:rPr>
          <w:sz w:val="22"/>
          <w:szCs w:val="22"/>
        </w:rPr>
        <w:t>dôležité pre</w:t>
      </w:r>
      <w:r w:rsidR="003F4F12">
        <w:rPr>
          <w:sz w:val="22"/>
          <w:szCs w:val="22"/>
        </w:rPr>
        <w:t xml:space="preserve"> budúce</w:t>
      </w:r>
      <w:r w:rsidRPr="00872A41">
        <w:rPr>
          <w:sz w:val="22"/>
          <w:szCs w:val="22"/>
        </w:rPr>
        <w:t xml:space="preserve"> zabezpečenie kvalitných</w:t>
      </w:r>
      <w:r w:rsidR="00F0116F">
        <w:rPr>
          <w:sz w:val="22"/>
          <w:szCs w:val="22"/>
        </w:rPr>
        <w:t xml:space="preserve"> </w:t>
      </w:r>
      <w:r w:rsidRPr="00872A41">
        <w:rPr>
          <w:sz w:val="22"/>
          <w:szCs w:val="22"/>
        </w:rPr>
        <w:t xml:space="preserve">cezhraničných spojení v smere </w:t>
      </w:r>
      <w:r w:rsidR="00F0116F">
        <w:rPr>
          <w:sz w:val="22"/>
          <w:szCs w:val="22"/>
        </w:rPr>
        <w:t xml:space="preserve">sever – juh (R3) a </w:t>
      </w:r>
      <w:r w:rsidRPr="00872A41">
        <w:rPr>
          <w:sz w:val="22"/>
          <w:szCs w:val="22"/>
        </w:rPr>
        <w:t>západ</w:t>
      </w:r>
      <w:r>
        <w:rPr>
          <w:sz w:val="22"/>
          <w:szCs w:val="22"/>
        </w:rPr>
        <w:t xml:space="preserve"> </w:t>
      </w:r>
      <w:r w:rsidRPr="00872A41">
        <w:rPr>
          <w:sz w:val="22"/>
          <w:szCs w:val="22"/>
        </w:rPr>
        <w:t>-</w:t>
      </w:r>
      <w:r>
        <w:rPr>
          <w:sz w:val="22"/>
          <w:szCs w:val="22"/>
        </w:rPr>
        <w:t xml:space="preserve"> </w:t>
      </w:r>
      <w:r w:rsidRPr="00872A41">
        <w:rPr>
          <w:sz w:val="22"/>
          <w:szCs w:val="22"/>
        </w:rPr>
        <w:t xml:space="preserve">východ </w:t>
      </w:r>
      <w:r w:rsidR="002B6EB5">
        <w:rPr>
          <w:sz w:val="22"/>
          <w:szCs w:val="22"/>
        </w:rPr>
        <w:t>(R6)</w:t>
      </w:r>
      <w:r w:rsidRPr="00872A41">
        <w:rPr>
          <w:sz w:val="22"/>
          <w:szCs w:val="22"/>
        </w:rPr>
        <w:t>.</w:t>
      </w:r>
      <w:r>
        <w:rPr>
          <w:sz w:val="22"/>
          <w:szCs w:val="22"/>
        </w:rPr>
        <w:t xml:space="preserve"> </w:t>
      </w:r>
    </w:p>
    <w:p w14:paraId="1A6A1C3A" w14:textId="77777777" w:rsidR="00D94757" w:rsidRDefault="004167C1" w:rsidP="009553A0">
      <w:pPr>
        <w:autoSpaceDE w:val="0"/>
        <w:autoSpaceDN w:val="0"/>
        <w:adjustRightInd w:val="0"/>
        <w:spacing w:before="180" w:after="120"/>
        <w:jc w:val="both"/>
        <w:rPr>
          <w:sz w:val="22"/>
          <w:szCs w:val="22"/>
        </w:rPr>
      </w:pPr>
      <w:r w:rsidRPr="005B798A">
        <w:rPr>
          <w:sz w:val="22"/>
          <w:szCs w:val="22"/>
        </w:rPr>
        <w:t xml:space="preserve">Pri </w:t>
      </w:r>
      <w:r w:rsidR="00F04DC4">
        <w:rPr>
          <w:sz w:val="22"/>
          <w:szCs w:val="22"/>
        </w:rPr>
        <w:t xml:space="preserve">prípadnej </w:t>
      </w:r>
      <w:r w:rsidRPr="005B798A">
        <w:rPr>
          <w:sz w:val="22"/>
          <w:szCs w:val="22"/>
        </w:rPr>
        <w:t xml:space="preserve">výstavbe nových úsekov rýchlostných ciest </w:t>
      </w:r>
      <w:r>
        <w:rPr>
          <w:sz w:val="22"/>
          <w:szCs w:val="22"/>
        </w:rPr>
        <w:t xml:space="preserve">TEN-T </w:t>
      </w:r>
      <w:r w:rsidRPr="005B798A">
        <w:rPr>
          <w:sz w:val="22"/>
          <w:szCs w:val="22"/>
        </w:rPr>
        <w:t>bude MDV SR venovať náležitú pozornosť zabezpečeniu nákladovej efektívnosti. Vzhľadom na súčasné intenzity paralelných úsekov ciest I. triedy, ako aj prognózovaný vývoj v</w:t>
      </w:r>
      <w:r>
        <w:rPr>
          <w:sz w:val="22"/>
          <w:szCs w:val="22"/>
        </w:rPr>
        <w:t> </w:t>
      </w:r>
      <w:r w:rsidRPr="005B798A">
        <w:rPr>
          <w:sz w:val="22"/>
          <w:szCs w:val="22"/>
        </w:rPr>
        <w:t>území, budú niektoré úseky realizované v</w:t>
      </w:r>
      <w:r>
        <w:rPr>
          <w:sz w:val="22"/>
          <w:szCs w:val="22"/>
        </w:rPr>
        <w:t> </w:t>
      </w:r>
      <w:r w:rsidRPr="005B798A">
        <w:rPr>
          <w:sz w:val="22"/>
          <w:szCs w:val="22"/>
        </w:rPr>
        <w:t>polovičnom profile.</w:t>
      </w:r>
    </w:p>
    <w:p w14:paraId="73C99B55" w14:textId="77777777" w:rsidR="00E759A7" w:rsidRDefault="00BC6870" w:rsidP="009553A0">
      <w:pPr>
        <w:autoSpaceDE w:val="0"/>
        <w:autoSpaceDN w:val="0"/>
        <w:adjustRightInd w:val="0"/>
        <w:spacing w:before="180" w:after="120"/>
        <w:jc w:val="both"/>
        <w:rPr>
          <w:sz w:val="22"/>
          <w:szCs w:val="22"/>
        </w:rPr>
      </w:pPr>
      <w:r>
        <w:rPr>
          <w:sz w:val="22"/>
          <w:szCs w:val="22"/>
        </w:rPr>
        <w:t>Výstavba ciest bude mať pozitívny vplyv na celý priľahlý podunajský región a prispeje k napĺňaniu cieľov makroregionálnej Stratégie EÚ pre dunajský región</w:t>
      </w:r>
      <w:r w:rsidR="00A54DDC">
        <w:rPr>
          <w:rStyle w:val="Odkaznapoznmkupodiarou"/>
          <w:sz w:val="22"/>
          <w:szCs w:val="22"/>
        </w:rPr>
        <w:footnoteReference w:id="60"/>
      </w:r>
      <w:r>
        <w:rPr>
          <w:sz w:val="22"/>
          <w:szCs w:val="22"/>
        </w:rPr>
        <w:t xml:space="preserve"> (ďalej len „dunajská stratégia“), prioritne pre plnenie cieľa „</w:t>
      </w:r>
      <w:r>
        <w:rPr>
          <w:i/>
          <w:iCs/>
          <w:sz w:val="22"/>
          <w:szCs w:val="22"/>
        </w:rPr>
        <w:t>1. Zlepšenie mobility a</w:t>
      </w:r>
      <w:r w:rsidR="008F1A11">
        <w:rPr>
          <w:i/>
          <w:iCs/>
          <w:sz w:val="22"/>
          <w:szCs w:val="22"/>
        </w:rPr>
        <w:t> </w:t>
      </w:r>
      <w:r>
        <w:rPr>
          <w:i/>
          <w:iCs/>
          <w:sz w:val="22"/>
          <w:szCs w:val="22"/>
        </w:rPr>
        <w:t>multimodality</w:t>
      </w:r>
      <w:r w:rsidR="008F1A11">
        <w:rPr>
          <w:i/>
          <w:iCs/>
          <w:sz w:val="22"/>
          <w:szCs w:val="22"/>
        </w:rPr>
        <w:t>, 1b Cestné, železničné a letecké spojenia</w:t>
      </w:r>
      <w:r>
        <w:rPr>
          <w:sz w:val="22"/>
          <w:szCs w:val="22"/>
        </w:rPr>
        <w:t xml:space="preserve">“. </w:t>
      </w:r>
      <w:r>
        <w:rPr>
          <w:sz w:val="23"/>
          <w:szCs w:val="23"/>
        </w:rPr>
        <w:t>S</w:t>
      </w:r>
      <w:r>
        <w:rPr>
          <w:sz w:val="22"/>
          <w:szCs w:val="22"/>
        </w:rPr>
        <w:t>ynergické prepojenia medzi prioritnými oblasťami dunajskej stratégie a hlavnými programami EŠIF sú uvedené v kap. 3.1.4 PD SR.</w:t>
      </w:r>
    </w:p>
    <w:p w14:paraId="185909E9" w14:textId="77777777" w:rsidR="009E0158" w:rsidRDefault="009553A0" w:rsidP="00C35D0B">
      <w:pPr>
        <w:numPr>
          <w:ilvl w:val="2"/>
          <w:numId w:val="26"/>
        </w:numPr>
        <w:tabs>
          <w:tab w:val="clear" w:pos="360"/>
        </w:tabs>
        <w:spacing w:before="180" w:after="120"/>
        <w:ind w:left="851" w:hanging="425"/>
        <w:jc w:val="both"/>
        <w:rPr>
          <w:b/>
          <w:i/>
          <w:color w:val="548DD4" w:themeColor="text2" w:themeTint="99"/>
          <w:sz w:val="22"/>
          <w:szCs w:val="22"/>
        </w:rPr>
      </w:pPr>
      <w:r w:rsidRPr="00A34DD1">
        <w:rPr>
          <w:b/>
          <w:i/>
          <w:color w:val="548DD4" w:themeColor="text2" w:themeTint="99"/>
          <w:sz w:val="22"/>
          <w:szCs w:val="22"/>
        </w:rPr>
        <w:t>Budovanie inteligentných dopravných systémov</w:t>
      </w:r>
    </w:p>
    <w:p w14:paraId="2ADDF734" w14:textId="77777777" w:rsidR="009553A0" w:rsidRDefault="00382524" w:rsidP="009553A0">
      <w:pPr>
        <w:autoSpaceDE w:val="0"/>
        <w:autoSpaceDN w:val="0"/>
        <w:adjustRightInd w:val="0"/>
        <w:spacing w:before="120"/>
        <w:jc w:val="both"/>
        <w:rPr>
          <w:sz w:val="22"/>
          <w:szCs w:val="22"/>
        </w:rPr>
      </w:pPr>
      <w:r>
        <w:rPr>
          <w:sz w:val="22"/>
          <w:szCs w:val="22"/>
        </w:rPr>
        <w:t xml:space="preserve">V spojitosti s rastúcim objemom dopravy a vysokou mierou nehodovosti je kľúčovým problémom nedostatočné vybavenie cestnej infraštruktúry </w:t>
      </w:r>
      <w:r w:rsidRPr="007A1AAE">
        <w:rPr>
          <w:sz w:val="22"/>
          <w:szCs w:val="22"/>
        </w:rPr>
        <w:t>technologickými zariad</w:t>
      </w:r>
      <w:r>
        <w:rPr>
          <w:sz w:val="22"/>
          <w:szCs w:val="22"/>
        </w:rPr>
        <w:t xml:space="preserve">eniami na monitorovanie dopravy a </w:t>
      </w:r>
      <w:r w:rsidRPr="007A1AAE">
        <w:rPr>
          <w:sz w:val="22"/>
          <w:szCs w:val="22"/>
        </w:rPr>
        <w:t>prevádzkových podmienok</w:t>
      </w:r>
      <w:r>
        <w:rPr>
          <w:sz w:val="22"/>
          <w:szCs w:val="22"/>
        </w:rPr>
        <w:t xml:space="preserve">. </w:t>
      </w:r>
      <w:r w:rsidR="009553A0" w:rsidRPr="00AD2EF1">
        <w:rPr>
          <w:sz w:val="22"/>
          <w:szCs w:val="22"/>
        </w:rPr>
        <w:t>Riešením pre zvládnutie rastúcich objemov dopravy a</w:t>
      </w:r>
      <w:r w:rsidR="009553A0">
        <w:rPr>
          <w:sz w:val="22"/>
          <w:szCs w:val="22"/>
        </w:rPr>
        <w:t> </w:t>
      </w:r>
      <w:r w:rsidR="009553A0" w:rsidRPr="00D30920">
        <w:rPr>
          <w:sz w:val="22"/>
          <w:szCs w:val="22"/>
        </w:rPr>
        <w:t>vysokej</w:t>
      </w:r>
      <w:r w:rsidR="009553A0">
        <w:rPr>
          <w:color w:val="FF0000"/>
          <w:sz w:val="22"/>
          <w:szCs w:val="22"/>
        </w:rPr>
        <w:t xml:space="preserve"> </w:t>
      </w:r>
      <w:r w:rsidR="009553A0" w:rsidRPr="00AD2EF1">
        <w:rPr>
          <w:sz w:val="22"/>
          <w:szCs w:val="22"/>
        </w:rPr>
        <w:t xml:space="preserve">miery nehodovosti je </w:t>
      </w:r>
      <w:r w:rsidR="00750D9B">
        <w:rPr>
          <w:sz w:val="22"/>
          <w:szCs w:val="22"/>
        </w:rPr>
        <w:t>využívanie</w:t>
      </w:r>
      <w:r w:rsidR="009553A0" w:rsidRPr="00AD2EF1">
        <w:rPr>
          <w:sz w:val="22"/>
          <w:szCs w:val="22"/>
        </w:rPr>
        <w:t xml:space="preserve"> inteligentných dopravných systémov</w:t>
      </w:r>
      <w:r w:rsidR="009553A0">
        <w:rPr>
          <w:sz w:val="22"/>
          <w:szCs w:val="22"/>
        </w:rPr>
        <w:t xml:space="preserve"> a dopravnej telematiky</w:t>
      </w:r>
      <w:r w:rsidR="009553A0" w:rsidRPr="00AD2EF1">
        <w:rPr>
          <w:sz w:val="22"/>
          <w:szCs w:val="22"/>
        </w:rPr>
        <w:t>. Inteligentné dopravné sy</w:t>
      </w:r>
      <w:r w:rsidR="009553A0">
        <w:rPr>
          <w:sz w:val="22"/>
          <w:szCs w:val="22"/>
        </w:rPr>
        <w:t>stémy otvárajú nové možnosti na </w:t>
      </w:r>
      <w:r w:rsidR="009553A0" w:rsidRPr="00AD2EF1">
        <w:rPr>
          <w:sz w:val="22"/>
          <w:szCs w:val="22"/>
        </w:rPr>
        <w:t xml:space="preserve">dosiahnutie trvaloudržateľnej </w:t>
      </w:r>
      <w:r w:rsidR="009553A0" w:rsidRPr="00D30920">
        <w:rPr>
          <w:sz w:val="22"/>
          <w:szCs w:val="22"/>
        </w:rPr>
        <w:t xml:space="preserve">mobility </w:t>
      </w:r>
      <w:r w:rsidR="009553A0" w:rsidRPr="00D30920">
        <w:rPr>
          <w:sz w:val="22"/>
          <w:szCs w:val="22"/>
        </w:rPr>
        <w:lastRenderedPageBreak/>
        <w:t>a</w:t>
      </w:r>
      <w:r w:rsidR="009553A0">
        <w:rPr>
          <w:color w:val="FF0000"/>
          <w:sz w:val="22"/>
          <w:szCs w:val="22"/>
        </w:rPr>
        <w:t> </w:t>
      </w:r>
      <w:r w:rsidR="009553A0" w:rsidRPr="00AD2EF1">
        <w:rPr>
          <w:sz w:val="22"/>
          <w:szCs w:val="22"/>
        </w:rPr>
        <w:t>vytvárajú základné podmienky pre kvalitnú komunikačnú a</w:t>
      </w:r>
      <w:r w:rsidR="009553A0">
        <w:rPr>
          <w:sz w:val="22"/>
          <w:szCs w:val="22"/>
        </w:rPr>
        <w:t> </w:t>
      </w:r>
      <w:r w:rsidR="009553A0" w:rsidRPr="00AD2EF1">
        <w:rPr>
          <w:sz w:val="22"/>
          <w:szCs w:val="22"/>
        </w:rPr>
        <w:t>informačnú spoločnosť</w:t>
      </w:r>
      <w:r w:rsidR="009553A0">
        <w:rPr>
          <w:sz w:val="22"/>
          <w:szCs w:val="22"/>
        </w:rPr>
        <w:t xml:space="preserve">. </w:t>
      </w:r>
      <w:r w:rsidR="009553A0" w:rsidRPr="00AD2EF1">
        <w:rPr>
          <w:sz w:val="22"/>
          <w:szCs w:val="22"/>
        </w:rPr>
        <w:t xml:space="preserve">Zámerom </w:t>
      </w:r>
      <w:r w:rsidR="009553A0">
        <w:rPr>
          <w:sz w:val="22"/>
          <w:szCs w:val="22"/>
        </w:rPr>
        <w:t>EK</w:t>
      </w:r>
      <w:r>
        <w:rPr>
          <w:sz w:val="22"/>
          <w:szCs w:val="22"/>
        </w:rPr>
        <w:t xml:space="preserve"> je, </w:t>
      </w:r>
      <w:r w:rsidR="009553A0" w:rsidRPr="00AD2EF1">
        <w:rPr>
          <w:sz w:val="22"/>
          <w:szCs w:val="22"/>
        </w:rPr>
        <w:t>aby</w:t>
      </w:r>
      <w:r w:rsidR="0097314E">
        <w:rPr>
          <w:sz w:val="22"/>
          <w:szCs w:val="22"/>
        </w:rPr>
        <w:t> </w:t>
      </w:r>
      <w:r w:rsidR="00FC7AF9">
        <w:rPr>
          <w:sz w:val="22"/>
          <w:szCs w:val="22"/>
        </w:rPr>
        <w:t>členské krajiny EÚ</w:t>
      </w:r>
      <w:r w:rsidR="009553A0" w:rsidRPr="00AD2EF1">
        <w:rPr>
          <w:sz w:val="22"/>
          <w:szCs w:val="22"/>
        </w:rPr>
        <w:t xml:space="preserve"> v</w:t>
      </w:r>
      <w:r w:rsidR="009553A0">
        <w:rPr>
          <w:sz w:val="22"/>
          <w:szCs w:val="22"/>
        </w:rPr>
        <w:t> </w:t>
      </w:r>
      <w:r w:rsidR="009553A0" w:rsidRPr="00AD2EF1">
        <w:rPr>
          <w:sz w:val="22"/>
          <w:szCs w:val="22"/>
        </w:rPr>
        <w:t>priebehu niekoľkých rokov fungovali v</w:t>
      </w:r>
      <w:r w:rsidR="009553A0">
        <w:rPr>
          <w:sz w:val="22"/>
          <w:szCs w:val="22"/>
        </w:rPr>
        <w:t> </w:t>
      </w:r>
      <w:r w:rsidR="009553A0" w:rsidRPr="00AD2EF1">
        <w:rPr>
          <w:sz w:val="22"/>
          <w:szCs w:val="22"/>
        </w:rPr>
        <w:t>rámci jednotného inteligentného dopravného systému, pričom takéto riešenie je možné zabezpečiť formou realizácie parciálnych národných projektov. EÚ preto nabáda členské štáty k</w:t>
      </w:r>
      <w:r w:rsidR="009553A0">
        <w:rPr>
          <w:sz w:val="22"/>
          <w:szCs w:val="22"/>
        </w:rPr>
        <w:t> </w:t>
      </w:r>
      <w:r w:rsidR="009553A0" w:rsidRPr="00AD2EF1">
        <w:rPr>
          <w:sz w:val="22"/>
          <w:szCs w:val="22"/>
        </w:rPr>
        <w:t>tomu, aby inteligentn</w:t>
      </w:r>
      <w:r>
        <w:rPr>
          <w:sz w:val="22"/>
          <w:szCs w:val="22"/>
        </w:rPr>
        <w:t>é dopravné systémy rozvíjali vo </w:t>
      </w:r>
      <w:r w:rsidR="009553A0" w:rsidRPr="00AD2EF1">
        <w:rPr>
          <w:sz w:val="22"/>
          <w:szCs w:val="22"/>
        </w:rPr>
        <w:t>vzájomne kompatibilných aplikáciách a</w:t>
      </w:r>
      <w:r w:rsidR="009553A0">
        <w:rPr>
          <w:sz w:val="22"/>
          <w:szCs w:val="22"/>
        </w:rPr>
        <w:t> </w:t>
      </w:r>
      <w:r w:rsidR="009553A0" w:rsidRPr="00AD2EF1">
        <w:rPr>
          <w:sz w:val="22"/>
          <w:szCs w:val="22"/>
        </w:rPr>
        <w:t>aby užívateľské informácie z</w:t>
      </w:r>
      <w:r w:rsidR="009553A0">
        <w:rPr>
          <w:sz w:val="22"/>
          <w:szCs w:val="22"/>
        </w:rPr>
        <w:t> </w:t>
      </w:r>
      <w:r w:rsidR="009553A0" w:rsidRPr="00AD2EF1">
        <w:rPr>
          <w:sz w:val="22"/>
          <w:szCs w:val="22"/>
        </w:rPr>
        <w:t>jednotlivých národných systémov boli dostupné aj občanom z</w:t>
      </w:r>
      <w:r w:rsidR="009553A0">
        <w:rPr>
          <w:sz w:val="22"/>
          <w:szCs w:val="22"/>
        </w:rPr>
        <w:t> </w:t>
      </w:r>
      <w:r w:rsidR="009553A0" w:rsidRPr="00AD2EF1">
        <w:rPr>
          <w:sz w:val="22"/>
          <w:szCs w:val="22"/>
        </w:rPr>
        <w:t xml:space="preserve">ostatných štátov </w:t>
      </w:r>
      <w:r w:rsidR="009553A0">
        <w:rPr>
          <w:sz w:val="22"/>
          <w:szCs w:val="22"/>
        </w:rPr>
        <w:t>EÚ</w:t>
      </w:r>
      <w:r w:rsidR="00E641FB">
        <w:rPr>
          <w:sz w:val="22"/>
          <w:szCs w:val="22"/>
        </w:rPr>
        <w:t>.</w:t>
      </w:r>
    </w:p>
    <w:p w14:paraId="20614B47" w14:textId="6BCF802D" w:rsidR="00D93894" w:rsidRPr="00AD2EF1" w:rsidRDefault="0053602F" w:rsidP="009553A0">
      <w:pPr>
        <w:autoSpaceDE w:val="0"/>
        <w:autoSpaceDN w:val="0"/>
        <w:adjustRightInd w:val="0"/>
        <w:spacing w:before="120"/>
        <w:jc w:val="both"/>
        <w:rPr>
          <w:sz w:val="22"/>
          <w:szCs w:val="22"/>
        </w:rPr>
      </w:pPr>
      <w:r>
        <w:rPr>
          <w:b/>
          <w:sz w:val="22"/>
          <w:szCs w:val="22"/>
        </w:rPr>
        <w:t>Cieľom MDV</w:t>
      </w:r>
      <w:r w:rsidR="009553A0" w:rsidRPr="00D315C6">
        <w:rPr>
          <w:b/>
          <w:sz w:val="22"/>
          <w:szCs w:val="22"/>
        </w:rPr>
        <w:t xml:space="preserve"> SR je </w:t>
      </w:r>
      <w:r w:rsidR="00DB7333">
        <w:rPr>
          <w:b/>
          <w:sz w:val="22"/>
          <w:szCs w:val="22"/>
        </w:rPr>
        <w:t xml:space="preserve">nadviazať na aktivity OPD 2007 – 2013 a v prípade potreby podporiť ďalší </w:t>
      </w:r>
      <w:r w:rsidR="00495ECB">
        <w:rPr>
          <w:b/>
          <w:sz w:val="22"/>
          <w:szCs w:val="22"/>
        </w:rPr>
        <w:t xml:space="preserve">rozvoj </w:t>
      </w:r>
      <w:r w:rsidR="009553A0" w:rsidRPr="00D315C6">
        <w:rPr>
          <w:b/>
          <w:sz w:val="22"/>
          <w:szCs w:val="22"/>
        </w:rPr>
        <w:t>Národného dopravného informačného centra</w:t>
      </w:r>
      <w:r w:rsidR="00A50DEB">
        <w:rPr>
          <w:b/>
          <w:sz w:val="22"/>
          <w:szCs w:val="22"/>
        </w:rPr>
        <w:t xml:space="preserve"> (NDIC)</w:t>
      </w:r>
      <w:r w:rsidR="00DB7333">
        <w:rPr>
          <w:b/>
          <w:sz w:val="22"/>
          <w:szCs w:val="22"/>
        </w:rPr>
        <w:t xml:space="preserve"> so sídlom v Žiline. NDCI predstavuje </w:t>
      </w:r>
      <w:r w:rsidR="009553A0" w:rsidRPr="00D315C6">
        <w:rPr>
          <w:b/>
          <w:sz w:val="22"/>
          <w:szCs w:val="22"/>
        </w:rPr>
        <w:t>operačn</w:t>
      </w:r>
      <w:r w:rsidR="00E3353D">
        <w:rPr>
          <w:b/>
          <w:sz w:val="22"/>
          <w:szCs w:val="22"/>
        </w:rPr>
        <w:t>é</w:t>
      </w:r>
      <w:r w:rsidR="009553A0" w:rsidRPr="00D315C6">
        <w:rPr>
          <w:b/>
          <w:sz w:val="22"/>
          <w:szCs w:val="22"/>
        </w:rPr>
        <w:t xml:space="preserve"> a informačn</w:t>
      </w:r>
      <w:r w:rsidR="00E3353D">
        <w:rPr>
          <w:b/>
          <w:sz w:val="22"/>
          <w:szCs w:val="22"/>
        </w:rPr>
        <w:t>é</w:t>
      </w:r>
      <w:r w:rsidR="009553A0" w:rsidRPr="00D315C6">
        <w:rPr>
          <w:b/>
          <w:sz w:val="22"/>
          <w:szCs w:val="22"/>
        </w:rPr>
        <w:t xml:space="preserve"> pracovisko zabezpečujúc</w:t>
      </w:r>
      <w:r w:rsidR="00E3353D">
        <w:rPr>
          <w:b/>
          <w:sz w:val="22"/>
          <w:szCs w:val="22"/>
        </w:rPr>
        <w:t>e</w:t>
      </w:r>
      <w:r w:rsidR="009553A0" w:rsidRPr="00D315C6">
        <w:rPr>
          <w:b/>
          <w:sz w:val="22"/>
          <w:szCs w:val="22"/>
        </w:rPr>
        <w:t xml:space="preserve"> zber, spracovanie a poskytovanie dopravných</w:t>
      </w:r>
      <w:r w:rsidR="00E3353D">
        <w:rPr>
          <w:b/>
          <w:sz w:val="22"/>
          <w:szCs w:val="22"/>
        </w:rPr>
        <w:t>, ako</w:t>
      </w:r>
      <w:r w:rsidR="00263E07">
        <w:rPr>
          <w:b/>
          <w:sz w:val="22"/>
          <w:szCs w:val="22"/>
        </w:rPr>
        <w:t xml:space="preserve"> </w:t>
      </w:r>
      <w:r w:rsidR="009934DB">
        <w:rPr>
          <w:b/>
          <w:sz w:val="22"/>
          <w:szCs w:val="22"/>
        </w:rPr>
        <w:t xml:space="preserve">aj </w:t>
      </w:r>
      <w:r w:rsidR="00F40D24">
        <w:rPr>
          <w:b/>
          <w:sz w:val="22"/>
          <w:szCs w:val="22"/>
        </w:rPr>
        <w:t>iných celospoločensky</w:t>
      </w:r>
      <w:r w:rsidR="00263E07">
        <w:rPr>
          <w:b/>
          <w:sz w:val="22"/>
          <w:szCs w:val="22"/>
        </w:rPr>
        <w:t>, regionálne a/alebo lokálne</w:t>
      </w:r>
      <w:r w:rsidR="00F40D24">
        <w:rPr>
          <w:b/>
          <w:sz w:val="22"/>
          <w:szCs w:val="22"/>
        </w:rPr>
        <w:t xml:space="preserve"> dôležitých</w:t>
      </w:r>
      <w:r w:rsidR="009553A0" w:rsidRPr="00D315C6">
        <w:rPr>
          <w:b/>
          <w:sz w:val="22"/>
          <w:szCs w:val="22"/>
        </w:rPr>
        <w:t xml:space="preserve"> informácií cestujúcej verejnosti</w:t>
      </w:r>
      <w:r w:rsidR="009553A0">
        <w:rPr>
          <w:sz w:val="22"/>
          <w:szCs w:val="22"/>
        </w:rPr>
        <w:t>.</w:t>
      </w:r>
    </w:p>
    <w:p w14:paraId="4F919DE9" w14:textId="77777777" w:rsidR="009553A0" w:rsidRDefault="009553A0" w:rsidP="00C26329">
      <w:pPr>
        <w:autoSpaceDE w:val="0"/>
        <w:autoSpaceDN w:val="0"/>
        <w:adjustRightInd w:val="0"/>
        <w:spacing w:before="180" w:after="120"/>
        <w:jc w:val="both"/>
        <w:rPr>
          <w:sz w:val="22"/>
          <w:szCs w:val="22"/>
        </w:rPr>
      </w:pPr>
      <w:r w:rsidRPr="00470036">
        <w:rPr>
          <w:sz w:val="22"/>
          <w:szCs w:val="22"/>
        </w:rPr>
        <w:t>Z</w:t>
      </w:r>
      <w:r>
        <w:rPr>
          <w:sz w:val="22"/>
          <w:szCs w:val="22"/>
        </w:rPr>
        <w:t> </w:t>
      </w:r>
      <w:r w:rsidRPr="00470036">
        <w:rPr>
          <w:sz w:val="22"/>
          <w:szCs w:val="22"/>
        </w:rPr>
        <w:t>ďalších aktivít plánovaných v</w:t>
      </w:r>
      <w:r>
        <w:rPr>
          <w:sz w:val="22"/>
          <w:szCs w:val="22"/>
        </w:rPr>
        <w:t> </w:t>
      </w:r>
      <w:r w:rsidRPr="00470036">
        <w:rPr>
          <w:sz w:val="22"/>
          <w:szCs w:val="22"/>
        </w:rPr>
        <w:t>oblasti využívania dopravnej telematiky je možné spomenúť zámer doplniť príslušenstvo diaľnic a</w:t>
      </w:r>
      <w:r>
        <w:rPr>
          <w:sz w:val="22"/>
          <w:szCs w:val="22"/>
        </w:rPr>
        <w:t> </w:t>
      </w:r>
      <w:r w:rsidRPr="00470036">
        <w:rPr>
          <w:sz w:val="22"/>
          <w:szCs w:val="22"/>
        </w:rPr>
        <w:t xml:space="preserve">rýchlostných ciest </w:t>
      </w:r>
      <w:r w:rsidRPr="00470036">
        <w:rPr>
          <w:b/>
          <w:sz w:val="22"/>
          <w:szCs w:val="22"/>
        </w:rPr>
        <w:t>dopravnými zariadeniami pre monitorovanie a</w:t>
      </w:r>
      <w:r>
        <w:rPr>
          <w:b/>
          <w:sz w:val="22"/>
          <w:szCs w:val="22"/>
        </w:rPr>
        <w:t> </w:t>
      </w:r>
      <w:r w:rsidRPr="00470036">
        <w:rPr>
          <w:b/>
          <w:sz w:val="22"/>
          <w:szCs w:val="22"/>
        </w:rPr>
        <w:t>riadenie dopravy</w:t>
      </w:r>
      <w:r w:rsidRPr="00470036">
        <w:rPr>
          <w:sz w:val="22"/>
          <w:szCs w:val="22"/>
        </w:rPr>
        <w:t xml:space="preserve"> </w:t>
      </w:r>
      <w:r>
        <w:rPr>
          <w:sz w:val="22"/>
          <w:szCs w:val="22"/>
        </w:rPr>
        <w:t>–</w:t>
      </w:r>
      <w:r w:rsidRPr="00470036">
        <w:rPr>
          <w:sz w:val="22"/>
          <w:szCs w:val="22"/>
        </w:rPr>
        <w:t xml:space="preserve"> zariadenia dopravného prieskumu s</w:t>
      </w:r>
      <w:r>
        <w:rPr>
          <w:sz w:val="22"/>
          <w:szCs w:val="22"/>
        </w:rPr>
        <w:t> </w:t>
      </w:r>
      <w:r w:rsidRPr="00470036">
        <w:rPr>
          <w:sz w:val="22"/>
          <w:szCs w:val="22"/>
        </w:rPr>
        <w:t>funkciou automatického sčítania dopravy a</w:t>
      </w:r>
      <w:r>
        <w:rPr>
          <w:sz w:val="22"/>
          <w:szCs w:val="22"/>
        </w:rPr>
        <w:t> </w:t>
      </w:r>
      <w:r w:rsidRPr="00470036">
        <w:rPr>
          <w:sz w:val="22"/>
          <w:szCs w:val="22"/>
        </w:rPr>
        <w:t>analyzátora dopravného prúdu, premenné dopravné značky, zariadenia pr</w:t>
      </w:r>
      <w:r>
        <w:rPr>
          <w:sz w:val="22"/>
          <w:szCs w:val="22"/>
        </w:rPr>
        <w:t xml:space="preserve">e prevádzkové informácie, </w:t>
      </w:r>
      <w:r w:rsidR="00814C84">
        <w:rPr>
          <w:sz w:val="22"/>
          <w:szCs w:val="22"/>
        </w:rPr>
        <w:t>kamerové systémy</w:t>
      </w:r>
      <w:r w:rsidR="00495ECB">
        <w:rPr>
          <w:sz w:val="22"/>
          <w:szCs w:val="22"/>
        </w:rPr>
        <w:t>, riadiace, dohľadové a komunikačné systémy</w:t>
      </w:r>
      <w:r w:rsidR="00814C84">
        <w:rPr>
          <w:sz w:val="22"/>
          <w:szCs w:val="22"/>
        </w:rPr>
        <w:t xml:space="preserve"> a pod.</w:t>
      </w:r>
      <w:r w:rsidRPr="0044578F">
        <w:rPr>
          <w:sz w:val="22"/>
          <w:szCs w:val="22"/>
        </w:rPr>
        <w:t xml:space="preserve"> Tieto zariadenia nebudú slúžiť len pre reálny manažment dopravy, ale taktiež pre zber dát, plánovanie</w:t>
      </w:r>
      <w:r>
        <w:rPr>
          <w:sz w:val="22"/>
          <w:szCs w:val="22"/>
        </w:rPr>
        <w:t xml:space="preserve"> a optimalizáciu budúcich prepravných nárokov.</w:t>
      </w:r>
    </w:p>
    <w:p w14:paraId="2063D98D" w14:textId="77777777" w:rsidR="009E0158" w:rsidRDefault="009553A0" w:rsidP="00C35D0B">
      <w:pPr>
        <w:numPr>
          <w:ilvl w:val="2"/>
          <w:numId w:val="26"/>
        </w:numPr>
        <w:tabs>
          <w:tab w:val="clear" w:pos="360"/>
        </w:tabs>
        <w:spacing w:before="180" w:after="120"/>
        <w:ind w:left="851" w:hanging="425"/>
        <w:jc w:val="both"/>
        <w:rPr>
          <w:b/>
          <w:i/>
          <w:color w:val="548DD4" w:themeColor="text2" w:themeTint="99"/>
          <w:sz w:val="22"/>
          <w:szCs w:val="22"/>
        </w:rPr>
      </w:pPr>
      <w:r w:rsidRPr="00A34DD1">
        <w:rPr>
          <w:b/>
          <w:i/>
          <w:color w:val="548DD4" w:themeColor="text2" w:themeTint="99"/>
          <w:sz w:val="22"/>
          <w:szCs w:val="22"/>
        </w:rPr>
        <w:t>Zvyšovanie bezpečnosti cestnej dopravy</w:t>
      </w:r>
    </w:p>
    <w:p w14:paraId="319DAAE6" w14:textId="77777777" w:rsidR="009D2BD5" w:rsidRPr="009D2BD5" w:rsidRDefault="009D2BD5" w:rsidP="009D2BD5">
      <w:pPr>
        <w:spacing w:before="120"/>
        <w:jc w:val="both"/>
        <w:rPr>
          <w:sz w:val="22"/>
          <w:szCs w:val="22"/>
        </w:rPr>
      </w:pPr>
      <w:r w:rsidRPr="009D2BD5">
        <w:rPr>
          <w:sz w:val="22"/>
          <w:szCs w:val="22"/>
        </w:rPr>
        <w:t>Dopravná nehodovosť v cestnej doprave je ovplyvňovaná predovšetkým ľudským faktorom, bezpečnosťou cestných vozidiel a kvalitou cestnej siete. Z hľadiska vývoja dopravnej nehodovosti v rokoch 2005 až 2011 bolo toto obdobie charakteristické najmä nárastom motorizácie cestnej dopravy, ktorý so sebou priniesol veľký rast zaťaženia cestnej siete a výrazne ovplyvnil vývoj dopravno-bezpečnostnej situácie.</w:t>
      </w:r>
    </w:p>
    <w:p w14:paraId="08B207A2" w14:textId="77777777" w:rsidR="009D2BD5" w:rsidRPr="00657CBE" w:rsidRDefault="009D2BD5" w:rsidP="009D2BD5">
      <w:pPr>
        <w:spacing w:before="180"/>
        <w:jc w:val="both"/>
        <w:rPr>
          <w:sz w:val="22"/>
          <w:szCs w:val="22"/>
        </w:rPr>
      </w:pPr>
      <w:r w:rsidRPr="00657CBE">
        <w:rPr>
          <w:sz w:val="22"/>
          <w:szCs w:val="22"/>
        </w:rPr>
        <w:t>V </w:t>
      </w:r>
      <w:r w:rsidRPr="009D2BD5">
        <w:rPr>
          <w:sz w:val="22"/>
          <w:szCs w:val="22"/>
        </w:rPr>
        <w:t xml:space="preserve">súvislosti so záväzkami SR týkajúcich sa znižovania počtu </w:t>
      </w:r>
      <w:r w:rsidRPr="009D2BD5">
        <w:rPr>
          <w:iCs/>
          <w:sz w:val="22"/>
          <w:szCs w:val="22"/>
        </w:rPr>
        <w:t>usmrtených osôb v dôsledku dopravnej nehody v cestnej doprave</w:t>
      </w:r>
      <w:r w:rsidRPr="009D2BD5">
        <w:rPr>
          <w:sz w:val="22"/>
          <w:szCs w:val="22"/>
        </w:rPr>
        <w:t xml:space="preserve"> je možné konštatovať, že stanovené ciele sú priebežne napĺňané a počet usmrtených osôb v dôsledku dopravnej nehody má klesajúcu tendenciu. Od roku 2007 klesal počet usmrtených na cestác</w:t>
      </w:r>
      <w:r w:rsidR="00197539">
        <w:rPr>
          <w:sz w:val="22"/>
          <w:szCs w:val="22"/>
        </w:rPr>
        <w:t xml:space="preserve">h z hodnoty 627 až na 223 osôb </w:t>
      </w:r>
      <w:r w:rsidRPr="009D2BD5">
        <w:rPr>
          <w:sz w:val="22"/>
          <w:szCs w:val="22"/>
        </w:rPr>
        <w:t>v roku 2013, čo bola historicky najnižšia hodnota počtu usmrtených na slovenských cestách. To predstavuje 4,1</w:t>
      </w:r>
      <w:r w:rsidRPr="009D2BD5">
        <w:rPr>
          <w:bCs/>
          <w:sz w:val="22"/>
          <w:szCs w:val="22"/>
        </w:rPr>
        <w:t xml:space="preserve"> usmrtených na 100 tis. obyvateľov. </w:t>
      </w:r>
      <w:r w:rsidRPr="009D2BD5">
        <w:rPr>
          <w:b/>
          <w:sz w:val="22"/>
          <w:szCs w:val="22"/>
        </w:rPr>
        <w:t xml:space="preserve">Zámerom </w:t>
      </w:r>
      <w:r w:rsidR="007F7370">
        <w:rPr>
          <w:b/>
          <w:sz w:val="22"/>
          <w:szCs w:val="22"/>
        </w:rPr>
        <w:t xml:space="preserve">MDV </w:t>
      </w:r>
      <w:r w:rsidRPr="009D2BD5">
        <w:rPr>
          <w:b/>
          <w:sz w:val="22"/>
          <w:szCs w:val="22"/>
        </w:rPr>
        <w:t>SR je pokračovať v realizácii opatrení na znižovanie počtu a závažnosti dopravných nehôd a znížiť počet usmrtených o 50 % oproti roku 2010, t.</w:t>
      </w:r>
      <w:r w:rsidR="009F5E58">
        <w:rPr>
          <w:b/>
          <w:sz w:val="22"/>
          <w:szCs w:val="22"/>
        </w:rPr>
        <w:t> </w:t>
      </w:r>
      <w:r w:rsidRPr="009D2BD5">
        <w:rPr>
          <w:b/>
          <w:sz w:val="22"/>
          <w:szCs w:val="22"/>
        </w:rPr>
        <w:t>j. pod 173</w:t>
      </w:r>
      <w:r w:rsidRPr="009D2BD5">
        <w:rPr>
          <w:sz w:val="22"/>
          <w:szCs w:val="22"/>
        </w:rPr>
        <w:t>.</w:t>
      </w:r>
      <w:r w:rsidR="007F7370">
        <w:rPr>
          <w:sz w:val="22"/>
          <w:szCs w:val="22"/>
        </w:rPr>
        <w:t xml:space="preserve"> </w:t>
      </w:r>
      <w:r w:rsidR="00645909" w:rsidRPr="000D7BF3">
        <w:rPr>
          <w:sz w:val="22"/>
          <w:szCs w:val="22"/>
        </w:rPr>
        <w:t>Tento cieľ vychádza z Národného plánu na zvýšenie bezpečnosti cestnej premávky do roku 2020</w:t>
      </w:r>
      <w:r w:rsidR="0079404A">
        <w:rPr>
          <w:rStyle w:val="Odkaznapoznmkupodiarou"/>
          <w:sz w:val="22"/>
          <w:szCs w:val="22"/>
        </w:rPr>
        <w:footnoteReference w:id="61"/>
      </w:r>
      <w:r w:rsidR="00645909" w:rsidRPr="000D7BF3">
        <w:rPr>
          <w:sz w:val="22"/>
          <w:szCs w:val="22"/>
        </w:rPr>
        <w:t>.</w:t>
      </w:r>
    </w:p>
    <w:p w14:paraId="30DB8FAB" w14:textId="77777777" w:rsidR="009D2BD5" w:rsidRDefault="009D2BD5" w:rsidP="007A461E">
      <w:pPr>
        <w:autoSpaceDE w:val="0"/>
        <w:autoSpaceDN w:val="0"/>
        <w:adjustRightInd w:val="0"/>
        <w:spacing w:before="180"/>
        <w:jc w:val="both"/>
        <w:rPr>
          <w:sz w:val="22"/>
          <w:szCs w:val="22"/>
        </w:rPr>
      </w:pPr>
      <w:r w:rsidRPr="005B798A">
        <w:rPr>
          <w:sz w:val="22"/>
          <w:szCs w:val="22"/>
        </w:rPr>
        <w:t xml:space="preserve">Na základe </w:t>
      </w:r>
      <w:r>
        <w:rPr>
          <w:sz w:val="22"/>
          <w:szCs w:val="22"/>
        </w:rPr>
        <w:t>údajov o dopravných nehodách podľa druhu komunikácie j</w:t>
      </w:r>
      <w:r w:rsidRPr="005B798A">
        <w:rPr>
          <w:sz w:val="22"/>
          <w:szCs w:val="22"/>
        </w:rPr>
        <w:t>e možné skonštatovať, že najbezpečne</w:t>
      </w:r>
      <w:r>
        <w:rPr>
          <w:sz w:val="22"/>
          <w:szCs w:val="22"/>
        </w:rPr>
        <w:t>jšou kategóriou ciest</w:t>
      </w:r>
      <w:r w:rsidRPr="005B798A">
        <w:rPr>
          <w:sz w:val="22"/>
          <w:szCs w:val="22"/>
        </w:rPr>
        <w:t xml:space="preserve"> sú diaľnice</w:t>
      </w:r>
      <w:r>
        <w:rPr>
          <w:sz w:val="22"/>
          <w:szCs w:val="22"/>
        </w:rPr>
        <w:t xml:space="preserve"> a rýchlostné cesty.</w:t>
      </w:r>
      <w:r w:rsidRPr="000E0AF4">
        <w:rPr>
          <w:sz w:val="22"/>
          <w:szCs w:val="22"/>
        </w:rPr>
        <w:t xml:space="preserve"> </w:t>
      </w:r>
      <w:r w:rsidRPr="005B798A">
        <w:rPr>
          <w:sz w:val="22"/>
          <w:szCs w:val="22"/>
        </w:rPr>
        <w:t>Zámerom MDV SR je preto rozširovaním siete diaľnic a</w:t>
      </w:r>
      <w:r>
        <w:rPr>
          <w:sz w:val="22"/>
          <w:szCs w:val="22"/>
        </w:rPr>
        <w:t> </w:t>
      </w:r>
      <w:r w:rsidRPr="005B798A">
        <w:rPr>
          <w:sz w:val="22"/>
          <w:szCs w:val="22"/>
        </w:rPr>
        <w:t xml:space="preserve">rýchlostných ciest </w:t>
      </w:r>
      <w:r w:rsidRPr="005B798A">
        <w:rPr>
          <w:b/>
          <w:sz w:val="22"/>
          <w:szCs w:val="22"/>
        </w:rPr>
        <w:t>zabezpečiť postupný presun dopravných výkonov z</w:t>
      </w:r>
      <w:r>
        <w:rPr>
          <w:b/>
          <w:sz w:val="22"/>
          <w:szCs w:val="22"/>
        </w:rPr>
        <w:t> </w:t>
      </w:r>
      <w:r w:rsidRPr="005B798A">
        <w:rPr>
          <w:b/>
          <w:sz w:val="22"/>
          <w:szCs w:val="22"/>
        </w:rPr>
        <w:t>ciest nižšej kategórie na infraštruktúru, ktorá je na to z</w:t>
      </w:r>
      <w:r>
        <w:rPr>
          <w:b/>
          <w:sz w:val="22"/>
          <w:szCs w:val="22"/>
        </w:rPr>
        <w:t> </w:t>
      </w:r>
      <w:r w:rsidR="00A95966">
        <w:rPr>
          <w:b/>
          <w:sz w:val="22"/>
          <w:szCs w:val="22"/>
        </w:rPr>
        <w:t>hľadiska</w:t>
      </w:r>
      <w:r w:rsidR="00814C84">
        <w:rPr>
          <w:b/>
          <w:sz w:val="22"/>
          <w:szCs w:val="22"/>
        </w:rPr>
        <w:t xml:space="preserve"> prevádzkovo - technických</w:t>
      </w:r>
      <w:r w:rsidRPr="005B798A">
        <w:rPr>
          <w:b/>
          <w:sz w:val="22"/>
          <w:szCs w:val="22"/>
        </w:rPr>
        <w:t xml:space="preserve"> parametrov </w:t>
      </w:r>
      <w:r w:rsidR="00814C84">
        <w:rPr>
          <w:b/>
          <w:sz w:val="22"/>
          <w:szCs w:val="22"/>
        </w:rPr>
        <w:t>dimenzovaná</w:t>
      </w:r>
      <w:r w:rsidRPr="005B798A">
        <w:rPr>
          <w:sz w:val="22"/>
          <w:szCs w:val="22"/>
        </w:rPr>
        <w:t>.</w:t>
      </w:r>
      <w:r>
        <w:rPr>
          <w:sz w:val="22"/>
          <w:szCs w:val="22"/>
        </w:rPr>
        <w:t xml:space="preserve"> Tým dôjde k zlepšeniu stavu v oblasti bezpečnosti a</w:t>
      </w:r>
      <w:r w:rsidR="00724E8C">
        <w:rPr>
          <w:sz w:val="22"/>
          <w:szCs w:val="22"/>
        </w:rPr>
        <w:t> </w:t>
      </w:r>
      <w:r>
        <w:rPr>
          <w:sz w:val="22"/>
          <w:szCs w:val="22"/>
        </w:rPr>
        <w:t>plynulosti</w:t>
      </w:r>
      <w:r w:rsidR="00724E8C">
        <w:rPr>
          <w:sz w:val="22"/>
          <w:szCs w:val="22"/>
        </w:rPr>
        <w:t xml:space="preserve"> dopravy na celej cestnej sieti</w:t>
      </w:r>
      <w:r>
        <w:rPr>
          <w:sz w:val="22"/>
          <w:szCs w:val="22"/>
        </w:rPr>
        <w:t>.</w:t>
      </w:r>
    </w:p>
    <w:p w14:paraId="72236756" w14:textId="77777777" w:rsidR="009553A0" w:rsidRDefault="001124FB" w:rsidP="007A461E">
      <w:pPr>
        <w:autoSpaceDE w:val="0"/>
        <w:autoSpaceDN w:val="0"/>
        <w:adjustRightInd w:val="0"/>
        <w:spacing w:before="180"/>
        <w:jc w:val="both"/>
        <w:rPr>
          <w:sz w:val="22"/>
          <w:szCs w:val="22"/>
        </w:rPr>
      </w:pPr>
      <w:r>
        <w:rPr>
          <w:sz w:val="22"/>
          <w:szCs w:val="22"/>
        </w:rPr>
        <w:t>K znižovaniu nehodovosti</w:t>
      </w:r>
      <w:r w:rsidR="009553A0" w:rsidRPr="00430B9D">
        <w:rPr>
          <w:sz w:val="22"/>
          <w:szCs w:val="22"/>
        </w:rPr>
        <w:t xml:space="preserve"> na</w:t>
      </w:r>
      <w:r>
        <w:rPr>
          <w:sz w:val="22"/>
          <w:szCs w:val="22"/>
        </w:rPr>
        <w:t xml:space="preserve"> pozemných komunikáciách</w:t>
      </w:r>
      <w:r w:rsidR="009553A0" w:rsidRPr="00430B9D">
        <w:rPr>
          <w:sz w:val="22"/>
          <w:szCs w:val="22"/>
        </w:rPr>
        <w:t xml:space="preserve"> má prispieť aj smernica Európskeho parlamentu a Rady 2008/96/ES o riadení bezpečnosti cestnej infra</w:t>
      </w:r>
      <w:r>
        <w:rPr>
          <w:sz w:val="22"/>
          <w:szCs w:val="22"/>
        </w:rPr>
        <w:t>štruktúry. Bezpečnostný audit a </w:t>
      </w:r>
      <w:r w:rsidR="009553A0" w:rsidRPr="00430B9D">
        <w:rPr>
          <w:sz w:val="22"/>
          <w:szCs w:val="22"/>
        </w:rPr>
        <w:t xml:space="preserve">inšpekcia </w:t>
      </w:r>
      <w:r w:rsidR="009553A0">
        <w:rPr>
          <w:sz w:val="22"/>
          <w:szCs w:val="22"/>
        </w:rPr>
        <w:t xml:space="preserve">v SR </w:t>
      </w:r>
      <w:r w:rsidR="009553A0" w:rsidRPr="00430B9D">
        <w:rPr>
          <w:sz w:val="22"/>
          <w:szCs w:val="22"/>
        </w:rPr>
        <w:t>sa vykonávajú na základe</w:t>
      </w:r>
      <w:r w:rsidR="00EB05E6">
        <w:rPr>
          <w:sz w:val="22"/>
          <w:szCs w:val="22"/>
        </w:rPr>
        <w:t xml:space="preserve"> príslušného</w:t>
      </w:r>
      <w:r w:rsidR="009553A0" w:rsidRPr="00430B9D">
        <w:rPr>
          <w:sz w:val="22"/>
          <w:szCs w:val="22"/>
        </w:rPr>
        <w:t xml:space="preserve"> zákona</w:t>
      </w:r>
      <w:r w:rsidR="0014353C">
        <w:rPr>
          <w:sz w:val="22"/>
          <w:szCs w:val="22"/>
        </w:rPr>
        <w:t xml:space="preserve"> a vyhlášok</w:t>
      </w:r>
      <w:r w:rsidR="00EB05E6">
        <w:rPr>
          <w:rStyle w:val="Odkaznapoznmkupodiarou"/>
          <w:sz w:val="22"/>
          <w:szCs w:val="22"/>
        </w:rPr>
        <w:footnoteReference w:id="62"/>
      </w:r>
      <w:r w:rsidR="00EB05E6">
        <w:rPr>
          <w:sz w:val="22"/>
          <w:szCs w:val="22"/>
        </w:rPr>
        <w:t>.</w:t>
      </w:r>
      <w:r w:rsidR="009553A0" w:rsidRPr="00430B9D">
        <w:rPr>
          <w:sz w:val="22"/>
          <w:szCs w:val="22"/>
        </w:rPr>
        <w:t xml:space="preserve"> </w:t>
      </w:r>
      <w:r w:rsidR="009553A0" w:rsidRPr="007A461E">
        <w:rPr>
          <w:sz w:val="22"/>
          <w:szCs w:val="22"/>
        </w:rPr>
        <w:t>V súlade so smernicou boli stanovené postupy, ktoré by mali byť významným nástrojom na zlepšenie bezpečnosti cestnej infraštruktúry</w:t>
      </w:r>
      <w:r w:rsidR="00EB05E6">
        <w:rPr>
          <w:sz w:val="22"/>
          <w:szCs w:val="22"/>
        </w:rPr>
        <w:t xml:space="preserve">, a to v rámci celého projektového cyklu – plánovania, prípravy </w:t>
      </w:r>
      <w:r w:rsidR="001756E5">
        <w:rPr>
          <w:sz w:val="22"/>
          <w:szCs w:val="22"/>
        </w:rPr>
        <w:t xml:space="preserve">projektovej </w:t>
      </w:r>
      <w:r w:rsidR="00EB05E6">
        <w:rPr>
          <w:sz w:val="22"/>
          <w:szCs w:val="22"/>
        </w:rPr>
        <w:lastRenderedPageBreak/>
        <w:t>dokumentácie, výstavby, prevádzky a údržby komunikácie</w:t>
      </w:r>
      <w:r w:rsidR="009553A0" w:rsidRPr="007A461E">
        <w:rPr>
          <w:sz w:val="22"/>
          <w:szCs w:val="22"/>
        </w:rPr>
        <w:t>.</w:t>
      </w:r>
      <w:r w:rsidR="00801B55">
        <w:rPr>
          <w:sz w:val="22"/>
          <w:szCs w:val="22"/>
        </w:rPr>
        <w:t xml:space="preserve"> Vykonávanie bezpečnostného auditu a inšpekcie pri projektoch PO 2 bude osobitne monitorované RO OPII.</w:t>
      </w:r>
      <w:r w:rsidR="009553A0" w:rsidRPr="007A461E">
        <w:rPr>
          <w:sz w:val="22"/>
          <w:szCs w:val="22"/>
        </w:rPr>
        <w:t xml:space="preserve"> </w:t>
      </w:r>
    </w:p>
    <w:p w14:paraId="534054BD" w14:textId="77777777" w:rsidR="009553A0" w:rsidRDefault="009553A0" w:rsidP="00E76508">
      <w:pPr>
        <w:spacing w:before="180" w:after="240"/>
        <w:jc w:val="both"/>
        <w:rPr>
          <w:sz w:val="22"/>
          <w:szCs w:val="22"/>
        </w:rPr>
      </w:pPr>
      <w:r w:rsidRPr="00470036">
        <w:rPr>
          <w:sz w:val="22"/>
          <w:szCs w:val="22"/>
        </w:rPr>
        <w:t>V</w:t>
      </w:r>
      <w:r>
        <w:rPr>
          <w:sz w:val="22"/>
          <w:szCs w:val="22"/>
        </w:rPr>
        <w:t> </w:t>
      </w:r>
      <w:r w:rsidRPr="00470036">
        <w:rPr>
          <w:sz w:val="22"/>
          <w:szCs w:val="22"/>
        </w:rPr>
        <w:t>oblasti zvyšovania bezpečnosti na existujúcich diaľniciach a</w:t>
      </w:r>
      <w:r>
        <w:rPr>
          <w:sz w:val="22"/>
          <w:szCs w:val="22"/>
        </w:rPr>
        <w:t> </w:t>
      </w:r>
      <w:r w:rsidRPr="00470036">
        <w:rPr>
          <w:sz w:val="22"/>
          <w:szCs w:val="22"/>
        </w:rPr>
        <w:t>rýchlostných cestách bude snahou MDV SR reagovať na aktuálne problémy cestnej premávky, a</w:t>
      </w:r>
      <w:r>
        <w:rPr>
          <w:sz w:val="22"/>
          <w:szCs w:val="22"/>
        </w:rPr>
        <w:t> </w:t>
      </w:r>
      <w:r w:rsidRPr="00470036">
        <w:rPr>
          <w:sz w:val="22"/>
          <w:szCs w:val="22"/>
        </w:rPr>
        <w:t>to</w:t>
      </w:r>
      <w:r w:rsidRPr="00FA4701">
        <w:rPr>
          <w:b/>
          <w:sz w:val="22"/>
          <w:szCs w:val="22"/>
        </w:rPr>
        <w:t xml:space="preserve"> budovaním bezpečných koridorov pre migráciu zveri (ekoduktov), výstavbou oplotenia v kritických úsekoch, zvýšením kapacity exponovaných úsekov</w:t>
      </w:r>
      <w:r w:rsidR="00B47DA8">
        <w:rPr>
          <w:b/>
          <w:sz w:val="22"/>
          <w:szCs w:val="22"/>
        </w:rPr>
        <w:t>, aplikáciou dopravnej telematiky</w:t>
      </w:r>
      <w:r w:rsidR="00C118DA">
        <w:rPr>
          <w:b/>
          <w:sz w:val="22"/>
          <w:szCs w:val="22"/>
        </w:rPr>
        <w:t>, obstaraním diagnostických vozidiel a ich využívaním v systéme hospodárenia s</w:t>
      </w:r>
      <w:r w:rsidR="005A4589">
        <w:rPr>
          <w:b/>
          <w:sz w:val="22"/>
          <w:szCs w:val="22"/>
        </w:rPr>
        <w:t xml:space="preserve"> </w:t>
      </w:r>
      <w:r w:rsidR="00C118DA">
        <w:rPr>
          <w:b/>
          <w:sz w:val="22"/>
          <w:szCs w:val="22"/>
        </w:rPr>
        <w:t>vozovkami</w:t>
      </w:r>
      <w:r w:rsidR="005A4589">
        <w:rPr>
          <w:b/>
          <w:sz w:val="22"/>
          <w:szCs w:val="22"/>
        </w:rPr>
        <w:t>, mostmi</w:t>
      </w:r>
      <w:r w:rsidR="00B47DA8">
        <w:rPr>
          <w:b/>
          <w:sz w:val="22"/>
          <w:szCs w:val="22"/>
        </w:rPr>
        <w:t xml:space="preserve"> </w:t>
      </w:r>
      <w:r w:rsidRPr="00470036">
        <w:rPr>
          <w:sz w:val="22"/>
          <w:szCs w:val="22"/>
        </w:rPr>
        <w:t>a</w:t>
      </w:r>
      <w:r>
        <w:rPr>
          <w:sz w:val="22"/>
          <w:szCs w:val="22"/>
        </w:rPr>
        <w:t> </w:t>
      </w:r>
      <w:r w:rsidRPr="00470036">
        <w:rPr>
          <w:sz w:val="22"/>
          <w:szCs w:val="22"/>
        </w:rPr>
        <w:t>pod.</w:t>
      </w:r>
    </w:p>
    <w:p w14:paraId="65FFB24C" w14:textId="77777777" w:rsidR="009E0158" w:rsidRDefault="009553A0" w:rsidP="00C35D0B">
      <w:pPr>
        <w:numPr>
          <w:ilvl w:val="2"/>
          <w:numId w:val="26"/>
        </w:numPr>
        <w:spacing w:before="180" w:after="120"/>
        <w:ind w:left="851" w:hanging="425"/>
        <w:jc w:val="both"/>
        <w:rPr>
          <w:b/>
          <w:i/>
          <w:color w:val="548DD4" w:themeColor="text2" w:themeTint="99"/>
          <w:sz w:val="22"/>
          <w:szCs w:val="22"/>
        </w:rPr>
      </w:pPr>
      <w:r w:rsidRPr="00A34DD1">
        <w:rPr>
          <w:b/>
          <w:i/>
          <w:color w:val="548DD4" w:themeColor="text2" w:themeTint="99"/>
          <w:sz w:val="22"/>
          <w:szCs w:val="22"/>
        </w:rPr>
        <w:t>Projektová príprava</w:t>
      </w:r>
    </w:p>
    <w:p w14:paraId="1D67ED12" w14:textId="77777777" w:rsidR="00661AD4" w:rsidRDefault="00A50DEB" w:rsidP="00A50DEB">
      <w:pPr>
        <w:spacing w:after="180"/>
        <w:jc w:val="both"/>
        <w:rPr>
          <w:color w:val="000000" w:themeColor="text1"/>
          <w:sz w:val="22"/>
          <w:szCs w:val="22"/>
        </w:rPr>
      </w:pPr>
      <w:r w:rsidRPr="009A7904">
        <w:rPr>
          <w:sz w:val="22"/>
          <w:szCs w:val="22"/>
        </w:rPr>
        <w:t xml:space="preserve">Zoznam stavieb, na ktoré je potrebné sústrediť pozornosť bol </w:t>
      </w:r>
      <w:r>
        <w:rPr>
          <w:sz w:val="22"/>
          <w:szCs w:val="22"/>
        </w:rPr>
        <w:t>identifikovaný</w:t>
      </w:r>
      <w:r w:rsidRPr="009A7904">
        <w:rPr>
          <w:sz w:val="22"/>
          <w:szCs w:val="22"/>
        </w:rPr>
        <w:t xml:space="preserve"> v Strategickom pláne. </w:t>
      </w:r>
      <w:r w:rsidRPr="009A7904">
        <w:rPr>
          <w:color w:val="000000" w:themeColor="text1"/>
          <w:sz w:val="22"/>
          <w:szCs w:val="22"/>
        </w:rPr>
        <w:t xml:space="preserve">Zoznam obsahuje </w:t>
      </w:r>
      <w:r>
        <w:rPr>
          <w:color w:val="000000" w:themeColor="text1"/>
          <w:sz w:val="22"/>
          <w:szCs w:val="22"/>
        </w:rPr>
        <w:t>priority</w:t>
      </w:r>
      <w:r w:rsidRPr="009A7904">
        <w:rPr>
          <w:color w:val="000000" w:themeColor="text1"/>
          <w:sz w:val="22"/>
          <w:szCs w:val="22"/>
        </w:rPr>
        <w:t xml:space="preserve"> súvisiace s realizačnými projektmi v rámci obdobia 2014 –</w:t>
      </w:r>
      <w:r>
        <w:rPr>
          <w:color w:val="000000" w:themeColor="text1"/>
          <w:sz w:val="22"/>
          <w:szCs w:val="22"/>
        </w:rPr>
        <w:t xml:space="preserve"> </w:t>
      </w:r>
      <w:r w:rsidR="0079404A">
        <w:rPr>
          <w:color w:val="000000" w:themeColor="text1"/>
          <w:sz w:val="22"/>
          <w:szCs w:val="22"/>
        </w:rPr>
        <w:t>2023, ako aj za </w:t>
      </w:r>
      <w:r w:rsidRPr="009A7904">
        <w:rPr>
          <w:color w:val="000000" w:themeColor="text1"/>
          <w:sz w:val="22"/>
          <w:szCs w:val="22"/>
        </w:rPr>
        <w:t>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90"/>
        <w:gridCol w:w="5782"/>
      </w:tblGrid>
      <w:tr w:rsidR="00293C83" w14:paraId="352B180E" w14:textId="77777777" w:rsidTr="00532DA2">
        <w:trPr>
          <w:trHeight w:val="340"/>
          <w:jc w:val="center"/>
        </w:trPr>
        <w:tc>
          <w:tcPr>
            <w:tcW w:w="3290" w:type="dxa"/>
            <w:shd w:val="clear" w:color="auto" w:fill="DBE5F1" w:themeFill="accent1" w:themeFillTint="33"/>
            <w:vAlign w:val="center"/>
          </w:tcPr>
          <w:p w14:paraId="36FE8EC0" w14:textId="77777777" w:rsidR="00293C83" w:rsidRPr="009553A0" w:rsidRDefault="00293C83" w:rsidP="00DD5D6F">
            <w:pPr>
              <w:autoSpaceDE w:val="0"/>
              <w:autoSpaceDN w:val="0"/>
              <w:adjustRightInd w:val="0"/>
              <w:ind w:left="0"/>
              <w:jc w:val="both"/>
              <w:rPr>
                <w:i/>
                <w:sz w:val="22"/>
                <w:szCs w:val="22"/>
              </w:rPr>
            </w:pPr>
            <w:r w:rsidRPr="009553A0">
              <w:rPr>
                <w:i/>
                <w:sz w:val="22"/>
                <w:szCs w:val="22"/>
              </w:rPr>
              <w:t>Cieľové skupiny:</w:t>
            </w:r>
          </w:p>
        </w:tc>
        <w:tc>
          <w:tcPr>
            <w:tcW w:w="5782" w:type="dxa"/>
            <w:vAlign w:val="center"/>
          </w:tcPr>
          <w:p w14:paraId="5EB732F7"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293C83" w14:paraId="68D95E0F" w14:textId="77777777" w:rsidTr="00532DA2">
        <w:trPr>
          <w:trHeight w:val="340"/>
          <w:jc w:val="center"/>
        </w:trPr>
        <w:tc>
          <w:tcPr>
            <w:tcW w:w="3290" w:type="dxa"/>
            <w:shd w:val="clear" w:color="auto" w:fill="DBE5F1" w:themeFill="accent1" w:themeFillTint="33"/>
            <w:vAlign w:val="center"/>
          </w:tcPr>
          <w:p w14:paraId="5146A142" w14:textId="77777777" w:rsidR="00293C83" w:rsidRPr="009553A0" w:rsidRDefault="00293C83" w:rsidP="00532DA2">
            <w:pPr>
              <w:autoSpaceDE w:val="0"/>
              <w:autoSpaceDN w:val="0"/>
              <w:adjustRightInd w:val="0"/>
              <w:ind w:left="0"/>
              <w:rPr>
                <w:i/>
                <w:sz w:val="22"/>
                <w:szCs w:val="22"/>
              </w:rPr>
            </w:pPr>
            <w:r w:rsidRPr="009553A0">
              <w:rPr>
                <w:i/>
                <w:sz w:val="22"/>
                <w:szCs w:val="22"/>
              </w:rPr>
              <w:t>Cieľové územia:</w:t>
            </w:r>
          </w:p>
        </w:tc>
        <w:tc>
          <w:tcPr>
            <w:tcW w:w="5782" w:type="dxa"/>
            <w:vAlign w:val="center"/>
          </w:tcPr>
          <w:p w14:paraId="1DA54874"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293C83" w14:paraId="48A2068C" w14:textId="77777777" w:rsidTr="00532DA2">
        <w:trPr>
          <w:trHeight w:val="340"/>
          <w:jc w:val="center"/>
        </w:trPr>
        <w:tc>
          <w:tcPr>
            <w:tcW w:w="3290" w:type="dxa"/>
            <w:shd w:val="clear" w:color="auto" w:fill="DBE5F1" w:themeFill="accent1" w:themeFillTint="33"/>
            <w:vAlign w:val="center"/>
          </w:tcPr>
          <w:p w14:paraId="75FA5012" w14:textId="77777777" w:rsidR="00293C83" w:rsidRPr="009553A0" w:rsidRDefault="00293C83" w:rsidP="00532DA2">
            <w:pPr>
              <w:autoSpaceDE w:val="0"/>
              <w:autoSpaceDN w:val="0"/>
              <w:adjustRightInd w:val="0"/>
              <w:ind w:left="0"/>
              <w:rPr>
                <w:i/>
                <w:sz w:val="22"/>
                <w:szCs w:val="22"/>
              </w:rPr>
            </w:pPr>
            <w:r w:rsidRPr="009553A0">
              <w:rPr>
                <w:i/>
                <w:sz w:val="22"/>
                <w:szCs w:val="22"/>
              </w:rPr>
              <w:t>Prijímatelia:</w:t>
            </w:r>
          </w:p>
        </w:tc>
        <w:tc>
          <w:tcPr>
            <w:tcW w:w="5782" w:type="dxa"/>
            <w:vAlign w:val="center"/>
          </w:tcPr>
          <w:p w14:paraId="1EDEAE97"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Národná diaľničná spoločnosť, a.s.</w:t>
            </w:r>
          </w:p>
          <w:p w14:paraId="5FDC87A2"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MDV SR</w:t>
            </w:r>
          </w:p>
          <w:p w14:paraId="2A4C3535" w14:textId="77777777" w:rsidR="009E0158" w:rsidRDefault="006472E7" w:rsidP="00C35D0B">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0AE20FF7" w14:textId="77777777" w:rsidR="00105418" w:rsidRDefault="000001AA" w:rsidP="00105418">
      <w:pPr>
        <w:pStyle w:val="Nadpis4"/>
        <w:spacing w:before="240"/>
      </w:pPr>
      <w:r>
        <w:t>Hlavné princípy výberu projektov</w:t>
      </w:r>
    </w:p>
    <w:p w14:paraId="1D8B27D0" w14:textId="77777777" w:rsidR="000001AA" w:rsidRDefault="00010302" w:rsidP="000001AA">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0001AA" w:rsidRPr="00FE75AD">
        <w:rPr>
          <w:sz w:val="22"/>
          <w:szCs w:val="22"/>
        </w:rPr>
        <w:t xml:space="preserve">Výber </w:t>
      </w:r>
      <w:r w:rsidR="000001AA">
        <w:rPr>
          <w:sz w:val="22"/>
          <w:szCs w:val="22"/>
        </w:rPr>
        <w:t>projektov na </w:t>
      </w:r>
      <w:r w:rsidR="000001AA" w:rsidRPr="00FE75AD">
        <w:rPr>
          <w:sz w:val="22"/>
          <w:szCs w:val="22"/>
        </w:rPr>
        <w:t>implementáci</w:t>
      </w:r>
      <w:r w:rsidR="000001AA">
        <w:rPr>
          <w:sz w:val="22"/>
          <w:szCs w:val="22"/>
        </w:rPr>
        <w:t>u bude rešpektovať výstupy strategick</w:t>
      </w:r>
      <w:r w:rsidR="00A05CA8">
        <w:rPr>
          <w:sz w:val="22"/>
          <w:szCs w:val="22"/>
        </w:rPr>
        <w:t>ých dokumentov spracovaných pre </w:t>
      </w:r>
      <w:r w:rsidR="000001AA">
        <w:rPr>
          <w:sz w:val="22"/>
          <w:szCs w:val="22"/>
        </w:rPr>
        <w:t>potreby programového obdobia</w:t>
      </w:r>
      <w:r w:rsidR="00797F8A">
        <w:rPr>
          <w:sz w:val="22"/>
          <w:szCs w:val="22"/>
        </w:rPr>
        <w:t xml:space="preserve"> 2014 - 2020</w:t>
      </w:r>
      <w:r w:rsidR="000001AA">
        <w:rPr>
          <w:sz w:val="22"/>
          <w:szCs w:val="22"/>
        </w:rPr>
        <w:t>, ako aj ich prípad</w:t>
      </w:r>
      <w:r w:rsidR="00A95966">
        <w:rPr>
          <w:sz w:val="22"/>
          <w:szCs w:val="22"/>
        </w:rPr>
        <w:t xml:space="preserve">né aktualizácie, ktoré zohľadňujú </w:t>
      </w:r>
      <w:r w:rsidR="000001AA">
        <w:rPr>
          <w:sz w:val="22"/>
          <w:szCs w:val="22"/>
        </w:rPr>
        <w:t>rezortné potreby v širš</w:t>
      </w:r>
      <w:r>
        <w:rPr>
          <w:sz w:val="22"/>
          <w:szCs w:val="22"/>
        </w:rPr>
        <w:t>om kontexte. Ide predovšetkým o </w:t>
      </w:r>
      <w:r w:rsidR="000001AA">
        <w:rPr>
          <w:sz w:val="22"/>
          <w:szCs w:val="22"/>
        </w:rPr>
        <w:t xml:space="preserve">Strategický plán a Stratégiu </w:t>
      </w:r>
      <w:r w:rsidR="0079404A">
        <w:rPr>
          <w:sz w:val="22"/>
          <w:szCs w:val="22"/>
        </w:rPr>
        <w:t>VOD</w:t>
      </w:r>
      <w:r w:rsidR="000001AA">
        <w:rPr>
          <w:sz w:val="22"/>
          <w:szCs w:val="22"/>
        </w:rPr>
        <w:t>.</w:t>
      </w:r>
    </w:p>
    <w:p w14:paraId="7E830910" w14:textId="77777777" w:rsidR="00307AAF" w:rsidRPr="00A21DD4" w:rsidRDefault="00307AAF" w:rsidP="00307AAF">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40650A"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03FF94FD" w14:textId="77777777" w:rsidR="005D12F7" w:rsidRDefault="00307AAF" w:rsidP="005D12F7">
      <w:pPr>
        <w:spacing w:before="180"/>
        <w:jc w:val="both"/>
        <w:rPr>
          <w:sz w:val="22"/>
        </w:rPr>
      </w:pPr>
      <w:r w:rsidRPr="00A21DD4">
        <w:rPr>
          <w:sz w:val="22"/>
        </w:rPr>
        <w:t xml:space="preserve">Všetky plánované cestné projekty a projektové zámery </w:t>
      </w:r>
      <w:r w:rsidR="0040650A" w:rsidRPr="00A21DD4">
        <w:rPr>
          <w:sz w:val="22"/>
        </w:rPr>
        <w:t xml:space="preserve">PO 2 </w:t>
      </w:r>
      <w:r w:rsidRPr="00A21DD4">
        <w:rPr>
          <w:sz w:val="22"/>
        </w:rPr>
        <w:t xml:space="preserve">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5D12F7" w:rsidRPr="005D12F7">
        <w:rPr>
          <w:sz w:val="22"/>
        </w:rPr>
        <w:t xml:space="preserve">Závery stanoviska SEA OPII nenahrádzajú povinnosti/podmienky vyplývajúce zo smerníc EÚ pre dané plány a jednotlivé projekty. </w:t>
      </w:r>
      <w:r w:rsidR="001726F5">
        <w:rPr>
          <w:sz w:val="22"/>
        </w:rPr>
        <w:t>Plány a </w:t>
      </w:r>
      <w:r w:rsidR="005D12F7" w:rsidRPr="005D12F7">
        <w:rPr>
          <w:sz w:val="22"/>
        </w:rPr>
        <w:t>konkrétne projekty zahrnuté do výsledného indikatívneho zoznamu OPII budú zodpovedať výsledkom všetkých relevantných posúdení v súlade s legislatívou EU</w:t>
      </w:r>
      <w:r w:rsidR="005D12F7">
        <w:rPr>
          <w:sz w:val="22"/>
        </w:rPr>
        <w:t xml:space="preserve"> a budú predmetom revízie OPII.</w:t>
      </w:r>
    </w:p>
    <w:p w14:paraId="7F037038" w14:textId="77777777" w:rsidR="00307AAF" w:rsidRDefault="00C26329" w:rsidP="00110C1D">
      <w:pPr>
        <w:pStyle w:val="Nadpis4"/>
      </w:pPr>
      <w:r>
        <w:t>Plánované využitie finančných nástrojov</w:t>
      </w:r>
    </w:p>
    <w:p w14:paraId="41F50B08" w14:textId="77777777" w:rsidR="002F4803" w:rsidRPr="00182F14" w:rsidRDefault="002F4803" w:rsidP="002F4803">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financovanie, pri ktorom by ich realizácia bola efektívnou.</w:t>
      </w:r>
    </w:p>
    <w:p w14:paraId="70B500F4" w14:textId="77777777" w:rsidR="002F4803" w:rsidRPr="00182F14" w:rsidRDefault="002F4803" w:rsidP="002F4803">
      <w:pPr>
        <w:autoSpaceDE w:val="0"/>
        <w:autoSpaceDN w:val="0"/>
        <w:spacing w:after="12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w:t>
      </w:r>
      <w:r w:rsidRPr="00182F14">
        <w:rPr>
          <w:sz w:val="22"/>
          <w:szCs w:val="22"/>
        </w:rPr>
        <w:lastRenderedPageBreak/>
        <w:t>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14:paraId="6AF282AE" w14:textId="77777777" w:rsidR="00307AAF" w:rsidRDefault="005917D8" w:rsidP="00110C1D">
      <w:pPr>
        <w:pStyle w:val="Nadpis4"/>
      </w:pPr>
      <w:r>
        <w:t>Plánované využitie veľkých projektov</w:t>
      </w:r>
    </w:p>
    <w:p w14:paraId="748C38BB" w14:textId="77777777" w:rsidR="008F7F04" w:rsidRDefault="005917D8" w:rsidP="005917D8">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5F1686">
        <w:rPr>
          <w:sz w:val="22"/>
          <w:szCs w:val="22"/>
        </w:rPr>
        <w:t>Grafic</w:t>
      </w:r>
      <w:r w:rsidR="00724E8C">
        <w:rPr>
          <w:sz w:val="22"/>
          <w:szCs w:val="22"/>
        </w:rPr>
        <w:t>ké zobrazenie rozvoja cestne</w:t>
      </w:r>
      <w:r w:rsidRPr="005F1686">
        <w:rPr>
          <w:sz w:val="22"/>
          <w:szCs w:val="22"/>
        </w:rPr>
        <w:t>j infraštruktúry na Slovensku zabezpečené realizáciou zadefinovaných veľkých projektov je uvedené v</w:t>
      </w:r>
      <w:r>
        <w:rPr>
          <w:sz w:val="22"/>
          <w:szCs w:val="22"/>
        </w:rPr>
        <w:t> </w:t>
      </w:r>
      <w:r w:rsidR="006473FF" w:rsidRPr="006473FF">
        <w:rPr>
          <w:sz w:val="22"/>
          <w:szCs w:val="22"/>
        </w:rPr>
        <w:t>Prílohe 7</w:t>
      </w:r>
      <w:r w:rsidRPr="006473FF">
        <w:rPr>
          <w:sz w:val="22"/>
          <w:szCs w:val="22"/>
        </w:rPr>
        <w:t>.</w:t>
      </w:r>
    </w:p>
    <w:p w14:paraId="426950F3" w14:textId="77777777" w:rsidR="00307AAF" w:rsidRDefault="005917D8" w:rsidP="00110C1D">
      <w:pPr>
        <w:pStyle w:val="Nadpis4"/>
      </w:pPr>
      <w:r>
        <w:t>Ukazovatele výstupu na úrovni investičnej priority a kategórie regiónu</w:t>
      </w:r>
    </w:p>
    <w:p w14:paraId="5D534D39" w14:textId="77777777" w:rsidR="005917D8" w:rsidRPr="008C1732" w:rsidRDefault="005917D8" w:rsidP="004402B6">
      <w:pPr>
        <w:pStyle w:val="Tab"/>
      </w:pPr>
      <w:r>
        <w:t>Spoločné a špecifické ukazovatele výstupu</w:t>
      </w:r>
      <w:r w:rsidR="004570F8">
        <w:t xml:space="preserve"> investičnej priority 7</w:t>
      </w:r>
      <w:r w:rsidR="00D42D2B">
        <w:t>i</w:t>
      </w:r>
      <w:r w:rsidR="004570F8">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B2263B" w14:paraId="388CBB96" w14:textId="77777777" w:rsidTr="0095191D">
        <w:trPr>
          <w:trHeight w:val="487"/>
          <w:jc w:val="center"/>
        </w:trPr>
        <w:tc>
          <w:tcPr>
            <w:tcW w:w="578" w:type="dxa"/>
            <w:shd w:val="clear" w:color="auto" w:fill="C6D9F1" w:themeFill="text2" w:themeFillTint="33"/>
            <w:vAlign w:val="center"/>
          </w:tcPr>
          <w:p w14:paraId="5FC66077" w14:textId="77777777" w:rsidR="005917D8" w:rsidRPr="008C1732" w:rsidRDefault="00854EA5"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14:paraId="586FB07D" w14:textId="77777777" w:rsidR="005917D8" w:rsidRPr="008C1732" w:rsidRDefault="005917D8" w:rsidP="00350B96">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4FD27D88" w14:textId="77777777" w:rsidR="005917D8" w:rsidRPr="008C1732" w:rsidRDefault="005917D8" w:rsidP="00350B96">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5926A73E" w14:textId="77777777" w:rsidR="005917D8" w:rsidRPr="008C1732" w:rsidRDefault="005917D8" w:rsidP="00350B96">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3AEAD163" w14:textId="77777777" w:rsidR="005917D8" w:rsidRPr="008C1732" w:rsidRDefault="005917D8" w:rsidP="00350B96">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5D6F90F7" w14:textId="77777777" w:rsidR="005917D8" w:rsidRPr="008C1732" w:rsidRDefault="005917D8" w:rsidP="00350B96">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1C1930F2" w14:textId="77777777" w:rsidR="005917D8" w:rsidRPr="008C1732" w:rsidRDefault="005917D8" w:rsidP="00350B96">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0D7765E5" w14:textId="77777777" w:rsidR="005917D8" w:rsidRPr="008C1732" w:rsidRDefault="005917D8" w:rsidP="00350B96">
            <w:pPr>
              <w:ind w:left="0"/>
              <w:jc w:val="center"/>
              <w:rPr>
                <w:b/>
                <w:sz w:val="18"/>
                <w:szCs w:val="18"/>
              </w:rPr>
            </w:pPr>
            <w:r w:rsidRPr="008C1732">
              <w:rPr>
                <w:b/>
                <w:sz w:val="18"/>
                <w:szCs w:val="18"/>
              </w:rPr>
              <w:t>Frekvencia vykazovania</w:t>
            </w:r>
          </w:p>
        </w:tc>
      </w:tr>
      <w:tr w:rsidR="00B2263B" w14:paraId="091DAABC" w14:textId="77777777" w:rsidTr="0095191D">
        <w:trPr>
          <w:trHeight w:val="680"/>
          <w:jc w:val="center"/>
        </w:trPr>
        <w:tc>
          <w:tcPr>
            <w:tcW w:w="578" w:type="dxa"/>
            <w:shd w:val="clear" w:color="auto" w:fill="auto"/>
            <w:vAlign w:val="center"/>
          </w:tcPr>
          <w:p w14:paraId="0A054894" w14:textId="77777777" w:rsidR="005917D8" w:rsidRDefault="00724E8C" w:rsidP="005917D8">
            <w:pPr>
              <w:ind w:left="0"/>
              <w:jc w:val="center"/>
              <w:rPr>
                <w:sz w:val="18"/>
                <w:szCs w:val="18"/>
              </w:rPr>
            </w:pPr>
            <w:r>
              <w:rPr>
                <w:sz w:val="18"/>
                <w:szCs w:val="18"/>
              </w:rPr>
              <w:t>1</w:t>
            </w:r>
            <w:r w:rsidR="005917D8">
              <w:rPr>
                <w:sz w:val="18"/>
                <w:szCs w:val="18"/>
              </w:rPr>
              <w:t>.</w:t>
            </w:r>
          </w:p>
        </w:tc>
        <w:tc>
          <w:tcPr>
            <w:tcW w:w="2425" w:type="dxa"/>
            <w:shd w:val="clear" w:color="auto" w:fill="auto"/>
            <w:vAlign w:val="center"/>
          </w:tcPr>
          <w:p w14:paraId="07BE1C80" w14:textId="77777777" w:rsidR="00DE568C" w:rsidRDefault="005917D8" w:rsidP="00ED7FB4">
            <w:pPr>
              <w:keepNext/>
              <w:tabs>
                <w:tab w:val="left" w:pos="709"/>
              </w:tabs>
              <w:ind w:left="0"/>
              <w:rPr>
                <w:rFonts w:ascii="Arial Narrow" w:hAnsi="Arial Narrow" w:cs="Arial"/>
                <w:b/>
                <w:bCs/>
                <w:iCs/>
                <w:color w:val="4F81BD" w:themeColor="accent1"/>
                <w:sz w:val="18"/>
                <w:szCs w:val="18"/>
              </w:rPr>
            </w:pPr>
            <w:r>
              <w:rPr>
                <w:sz w:val="18"/>
                <w:szCs w:val="18"/>
              </w:rPr>
              <w:t>Celková dĺžka novovybudovaných ciest</w:t>
            </w:r>
            <w:r w:rsidR="00225C2F">
              <w:rPr>
                <w:sz w:val="18"/>
                <w:szCs w:val="18"/>
              </w:rPr>
              <w:t xml:space="preserve"> </w:t>
            </w:r>
            <w:r w:rsidR="00D42D2B">
              <w:rPr>
                <w:sz w:val="18"/>
                <w:szCs w:val="18"/>
              </w:rPr>
              <w:t>v sieti TEN-T</w:t>
            </w:r>
          </w:p>
        </w:tc>
        <w:tc>
          <w:tcPr>
            <w:tcW w:w="903" w:type="dxa"/>
            <w:shd w:val="clear" w:color="auto" w:fill="auto"/>
            <w:vAlign w:val="center"/>
          </w:tcPr>
          <w:p w14:paraId="23581FF6" w14:textId="77777777" w:rsidR="005917D8" w:rsidRPr="004F0234" w:rsidRDefault="005917D8" w:rsidP="004570F8">
            <w:pPr>
              <w:ind w:left="0"/>
              <w:jc w:val="center"/>
              <w:rPr>
                <w:i/>
                <w:sz w:val="18"/>
                <w:szCs w:val="18"/>
              </w:rPr>
            </w:pPr>
            <w:r w:rsidRPr="004F0234">
              <w:rPr>
                <w:i/>
                <w:sz w:val="18"/>
                <w:szCs w:val="18"/>
              </w:rPr>
              <w:t>km</w:t>
            </w:r>
          </w:p>
        </w:tc>
        <w:tc>
          <w:tcPr>
            <w:tcW w:w="621" w:type="dxa"/>
            <w:shd w:val="clear" w:color="auto" w:fill="auto"/>
            <w:vAlign w:val="center"/>
          </w:tcPr>
          <w:p w14:paraId="06CEE275" w14:textId="77777777" w:rsidR="005917D8" w:rsidRPr="004F0234" w:rsidRDefault="005917D8" w:rsidP="004570F8">
            <w:pPr>
              <w:ind w:left="0"/>
              <w:jc w:val="center"/>
              <w:rPr>
                <w:i/>
                <w:sz w:val="18"/>
                <w:szCs w:val="18"/>
              </w:rPr>
            </w:pPr>
            <w:r w:rsidRPr="004F0234">
              <w:rPr>
                <w:i/>
                <w:sz w:val="18"/>
                <w:szCs w:val="18"/>
              </w:rPr>
              <w:t>KF</w:t>
            </w:r>
          </w:p>
        </w:tc>
        <w:tc>
          <w:tcPr>
            <w:tcW w:w="1229" w:type="dxa"/>
            <w:shd w:val="clear" w:color="auto" w:fill="auto"/>
            <w:vAlign w:val="center"/>
          </w:tcPr>
          <w:p w14:paraId="49D25DEC" w14:textId="77777777" w:rsidR="005917D8" w:rsidRPr="004F0234" w:rsidRDefault="005917D8" w:rsidP="004570F8">
            <w:pPr>
              <w:ind w:left="0"/>
              <w:jc w:val="center"/>
              <w:rPr>
                <w:i/>
                <w:sz w:val="18"/>
                <w:szCs w:val="18"/>
              </w:rPr>
            </w:pPr>
            <w:r w:rsidRPr="00F55678">
              <w:rPr>
                <w:i/>
                <w:sz w:val="18"/>
                <w:szCs w:val="18"/>
              </w:rPr>
              <w:t>N/A</w:t>
            </w:r>
          </w:p>
        </w:tc>
        <w:tc>
          <w:tcPr>
            <w:tcW w:w="1253" w:type="dxa"/>
            <w:shd w:val="clear" w:color="auto" w:fill="auto"/>
            <w:vAlign w:val="center"/>
          </w:tcPr>
          <w:p w14:paraId="266A0226" w14:textId="12751F62" w:rsidR="005917D8" w:rsidRPr="004F0234" w:rsidRDefault="00FF04AB" w:rsidP="00A73FAE">
            <w:pPr>
              <w:ind w:left="0"/>
              <w:jc w:val="center"/>
              <w:rPr>
                <w:i/>
                <w:sz w:val="18"/>
                <w:szCs w:val="18"/>
              </w:rPr>
            </w:pPr>
            <w:r>
              <w:rPr>
                <w:i/>
                <w:sz w:val="18"/>
                <w:szCs w:val="18"/>
              </w:rPr>
              <w:t>11</w:t>
            </w:r>
            <w:r w:rsidR="003B3476">
              <w:rPr>
                <w:i/>
                <w:sz w:val="18"/>
                <w:szCs w:val="18"/>
              </w:rPr>
              <w:t>1</w:t>
            </w:r>
            <w:r w:rsidR="00B2263B">
              <w:rPr>
                <w:i/>
                <w:sz w:val="18"/>
                <w:szCs w:val="18"/>
              </w:rPr>
              <w:t>,7</w:t>
            </w:r>
          </w:p>
        </w:tc>
        <w:tc>
          <w:tcPr>
            <w:tcW w:w="1015" w:type="dxa"/>
            <w:vAlign w:val="center"/>
          </w:tcPr>
          <w:p w14:paraId="4BE1365C" w14:textId="77777777" w:rsidR="005917D8" w:rsidRPr="004F0234" w:rsidRDefault="005917D8" w:rsidP="004570F8">
            <w:pPr>
              <w:ind w:left="0"/>
              <w:jc w:val="center"/>
              <w:rPr>
                <w:i/>
                <w:sz w:val="18"/>
                <w:szCs w:val="18"/>
              </w:rPr>
            </w:pPr>
            <w:r w:rsidRPr="004F0234">
              <w:rPr>
                <w:i/>
                <w:sz w:val="18"/>
                <w:szCs w:val="18"/>
              </w:rPr>
              <w:t>RO OPII</w:t>
            </w:r>
          </w:p>
        </w:tc>
        <w:tc>
          <w:tcPr>
            <w:tcW w:w="1388" w:type="dxa"/>
            <w:vAlign w:val="center"/>
          </w:tcPr>
          <w:p w14:paraId="19EF3700" w14:textId="77777777" w:rsidR="005917D8" w:rsidRPr="004F0234" w:rsidRDefault="005917D8" w:rsidP="004570F8">
            <w:pPr>
              <w:ind w:left="0"/>
              <w:jc w:val="center"/>
              <w:rPr>
                <w:i/>
                <w:sz w:val="18"/>
                <w:szCs w:val="18"/>
              </w:rPr>
            </w:pPr>
            <w:r>
              <w:rPr>
                <w:i/>
                <w:sz w:val="18"/>
                <w:szCs w:val="18"/>
              </w:rPr>
              <w:t>Ročne</w:t>
            </w:r>
          </w:p>
        </w:tc>
      </w:tr>
    </w:tbl>
    <w:p w14:paraId="522B9675" w14:textId="77777777" w:rsidR="00840A3D" w:rsidRDefault="006B762B" w:rsidP="00ED7FB4">
      <w:pPr>
        <w:pStyle w:val="Nadpis3"/>
      </w:pPr>
      <w:bookmarkStart w:id="34" w:name="_Toc28951596"/>
      <w:r>
        <w:t>Výkonnostný rámec prioritnej osi</w:t>
      </w:r>
      <w:bookmarkEnd w:id="34"/>
    </w:p>
    <w:p w14:paraId="6D37EE21" w14:textId="77777777" w:rsidR="006B762B" w:rsidRPr="007B3B80" w:rsidRDefault="006B762B" w:rsidP="004402B6">
      <w:pPr>
        <w:pStyle w:val="Tab"/>
      </w:pPr>
      <w:r>
        <w:t>Výkonnostný rámec Prioritnej osi 2</w:t>
      </w:r>
    </w:p>
    <w:tbl>
      <w:tblPr>
        <w:tblStyle w:val="Mriekatabuky"/>
        <w:tblW w:w="98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17"/>
        <w:gridCol w:w="1576"/>
        <w:gridCol w:w="897"/>
        <w:gridCol w:w="617"/>
        <w:gridCol w:w="986"/>
        <w:gridCol w:w="987"/>
        <w:gridCol w:w="936"/>
        <w:gridCol w:w="747"/>
        <w:gridCol w:w="1217"/>
      </w:tblGrid>
      <w:tr w:rsidR="006B762B" w14:paraId="6B184A92" w14:textId="77777777" w:rsidTr="00ED7FB4">
        <w:trPr>
          <w:trHeight w:val="340"/>
          <w:jc w:val="center"/>
        </w:trPr>
        <w:tc>
          <w:tcPr>
            <w:tcW w:w="1476" w:type="dxa"/>
            <w:shd w:val="clear" w:color="auto" w:fill="C6D9F1" w:themeFill="text2" w:themeFillTint="33"/>
          </w:tcPr>
          <w:p w14:paraId="15B749D9" w14:textId="77777777" w:rsidR="006B762B" w:rsidRPr="008C1732" w:rsidRDefault="006B762B" w:rsidP="005917D8">
            <w:pPr>
              <w:ind w:left="0"/>
              <w:rPr>
                <w:b/>
                <w:sz w:val="18"/>
                <w:szCs w:val="18"/>
              </w:rPr>
            </w:pPr>
            <w:r w:rsidRPr="008C1732">
              <w:rPr>
                <w:b/>
                <w:sz w:val="18"/>
                <w:szCs w:val="18"/>
              </w:rPr>
              <w:t>Typ ukazovateľa</w:t>
            </w:r>
          </w:p>
          <w:p w14:paraId="3398C600" w14:textId="77777777" w:rsidR="006B762B" w:rsidRPr="008C1732" w:rsidRDefault="006B762B" w:rsidP="005917D8">
            <w:pPr>
              <w:ind w:left="0"/>
              <w:rPr>
                <w:b/>
                <w:sz w:val="18"/>
                <w:szCs w:val="18"/>
              </w:rPr>
            </w:pPr>
          </w:p>
          <w:p w14:paraId="06F0C260" w14:textId="77777777" w:rsidR="006B762B" w:rsidRPr="008C1732" w:rsidRDefault="006B762B" w:rsidP="005917D8">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17" w:type="dxa"/>
            <w:shd w:val="clear" w:color="auto" w:fill="C6D9F1" w:themeFill="text2" w:themeFillTint="33"/>
          </w:tcPr>
          <w:p w14:paraId="5D5D7E37" w14:textId="77777777" w:rsidR="006B762B" w:rsidRPr="008C1732" w:rsidRDefault="006B762B" w:rsidP="005917D8">
            <w:pPr>
              <w:ind w:left="0"/>
              <w:rPr>
                <w:b/>
                <w:sz w:val="18"/>
                <w:szCs w:val="18"/>
              </w:rPr>
            </w:pPr>
            <w:r w:rsidRPr="008C1732">
              <w:rPr>
                <w:b/>
                <w:sz w:val="18"/>
                <w:szCs w:val="18"/>
              </w:rPr>
              <w:t>ID</w:t>
            </w:r>
          </w:p>
        </w:tc>
        <w:tc>
          <w:tcPr>
            <w:tcW w:w="1576" w:type="dxa"/>
            <w:shd w:val="clear" w:color="auto" w:fill="C6D9F1" w:themeFill="text2" w:themeFillTint="33"/>
          </w:tcPr>
          <w:p w14:paraId="66BFFDA9" w14:textId="77777777" w:rsidR="006B762B" w:rsidRPr="008C1732" w:rsidRDefault="006B762B" w:rsidP="005917D8">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6E733BFF" w14:textId="77777777" w:rsidR="006B762B" w:rsidRPr="008C1732" w:rsidRDefault="006B762B" w:rsidP="005917D8">
            <w:pPr>
              <w:ind w:left="0"/>
              <w:rPr>
                <w:b/>
                <w:sz w:val="18"/>
                <w:szCs w:val="18"/>
              </w:rPr>
            </w:pPr>
            <w:r w:rsidRPr="008C1732">
              <w:rPr>
                <w:b/>
                <w:sz w:val="18"/>
                <w:szCs w:val="18"/>
              </w:rPr>
              <w:t>Merná jednotka</w:t>
            </w:r>
          </w:p>
        </w:tc>
        <w:tc>
          <w:tcPr>
            <w:tcW w:w="617" w:type="dxa"/>
            <w:shd w:val="clear" w:color="auto" w:fill="C6D9F1" w:themeFill="text2" w:themeFillTint="33"/>
          </w:tcPr>
          <w:p w14:paraId="55D18C4A" w14:textId="77777777" w:rsidR="006B762B" w:rsidRPr="008C1732" w:rsidRDefault="006B762B" w:rsidP="005917D8">
            <w:pPr>
              <w:ind w:left="0"/>
              <w:rPr>
                <w:b/>
                <w:sz w:val="18"/>
                <w:szCs w:val="18"/>
              </w:rPr>
            </w:pPr>
            <w:r w:rsidRPr="008C1732">
              <w:rPr>
                <w:b/>
                <w:sz w:val="18"/>
                <w:szCs w:val="18"/>
              </w:rPr>
              <w:t>Fond</w:t>
            </w:r>
          </w:p>
        </w:tc>
        <w:tc>
          <w:tcPr>
            <w:tcW w:w="986" w:type="dxa"/>
            <w:shd w:val="clear" w:color="auto" w:fill="C6D9F1" w:themeFill="text2" w:themeFillTint="33"/>
          </w:tcPr>
          <w:p w14:paraId="62FFC707" w14:textId="77777777" w:rsidR="006B762B" w:rsidRPr="008C1732" w:rsidRDefault="006B762B" w:rsidP="005917D8">
            <w:pPr>
              <w:ind w:left="0"/>
              <w:rPr>
                <w:b/>
                <w:sz w:val="18"/>
                <w:szCs w:val="18"/>
              </w:rPr>
            </w:pPr>
            <w:r w:rsidRPr="008C1732">
              <w:rPr>
                <w:b/>
                <w:sz w:val="18"/>
                <w:szCs w:val="18"/>
              </w:rPr>
              <w:t>Kategória regiónu</w:t>
            </w:r>
          </w:p>
        </w:tc>
        <w:tc>
          <w:tcPr>
            <w:tcW w:w="987" w:type="dxa"/>
            <w:shd w:val="clear" w:color="auto" w:fill="C6D9F1" w:themeFill="text2" w:themeFillTint="33"/>
          </w:tcPr>
          <w:p w14:paraId="098330B6" w14:textId="77777777" w:rsidR="006B762B" w:rsidRPr="008C1732" w:rsidRDefault="006B762B" w:rsidP="005917D8">
            <w:pPr>
              <w:ind w:left="0"/>
              <w:rPr>
                <w:b/>
                <w:sz w:val="18"/>
                <w:szCs w:val="18"/>
              </w:rPr>
            </w:pPr>
            <w:r w:rsidRPr="008C1732">
              <w:rPr>
                <w:b/>
                <w:sz w:val="18"/>
                <w:szCs w:val="18"/>
              </w:rPr>
              <w:t>Čiastkový cieľ pre rok 2018</w:t>
            </w:r>
          </w:p>
        </w:tc>
        <w:tc>
          <w:tcPr>
            <w:tcW w:w="936" w:type="dxa"/>
            <w:shd w:val="clear" w:color="auto" w:fill="C6D9F1" w:themeFill="text2" w:themeFillTint="33"/>
          </w:tcPr>
          <w:p w14:paraId="08F06F71" w14:textId="77777777" w:rsidR="006B762B" w:rsidRPr="008C1732" w:rsidRDefault="006B762B" w:rsidP="005917D8">
            <w:pPr>
              <w:ind w:left="0"/>
              <w:rPr>
                <w:b/>
                <w:sz w:val="18"/>
                <w:szCs w:val="18"/>
              </w:rPr>
            </w:pPr>
            <w:r w:rsidRPr="008C1732">
              <w:rPr>
                <w:b/>
                <w:sz w:val="18"/>
                <w:szCs w:val="18"/>
              </w:rPr>
              <w:t>Zámer</w:t>
            </w:r>
          </w:p>
          <w:p w14:paraId="0AEFF3CF" w14:textId="77777777" w:rsidR="006B762B" w:rsidRPr="008C1732" w:rsidRDefault="006B762B" w:rsidP="005917D8">
            <w:pPr>
              <w:ind w:left="0"/>
              <w:rPr>
                <w:b/>
                <w:sz w:val="18"/>
                <w:szCs w:val="18"/>
              </w:rPr>
            </w:pPr>
            <w:r w:rsidRPr="008C1732">
              <w:rPr>
                <w:b/>
                <w:sz w:val="18"/>
                <w:szCs w:val="18"/>
              </w:rPr>
              <w:t>(2023)</w:t>
            </w:r>
          </w:p>
        </w:tc>
        <w:tc>
          <w:tcPr>
            <w:tcW w:w="747" w:type="dxa"/>
            <w:shd w:val="clear" w:color="auto" w:fill="C6D9F1" w:themeFill="text2" w:themeFillTint="33"/>
          </w:tcPr>
          <w:p w14:paraId="3268F0B1" w14:textId="77777777" w:rsidR="006B762B" w:rsidRPr="008C1732" w:rsidRDefault="006B762B" w:rsidP="005917D8">
            <w:pPr>
              <w:ind w:left="0"/>
              <w:rPr>
                <w:b/>
                <w:sz w:val="18"/>
                <w:szCs w:val="18"/>
              </w:rPr>
            </w:pPr>
            <w:r w:rsidRPr="008C1732">
              <w:rPr>
                <w:b/>
                <w:sz w:val="18"/>
                <w:szCs w:val="18"/>
              </w:rPr>
              <w:t>Zdroj údajov</w:t>
            </w:r>
          </w:p>
        </w:tc>
        <w:tc>
          <w:tcPr>
            <w:tcW w:w="1217" w:type="dxa"/>
            <w:shd w:val="clear" w:color="auto" w:fill="C6D9F1" w:themeFill="text2" w:themeFillTint="33"/>
          </w:tcPr>
          <w:p w14:paraId="7EE67B62" w14:textId="77777777" w:rsidR="006B762B" w:rsidRPr="008C1732" w:rsidRDefault="006B762B" w:rsidP="005917D8">
            <w:pPr>
              <w:ind w:left="0"/>
              <w:rPr>
                <w:b/>
                <w:sz w:val="18"/>
                <w:szCs w:val="18"/>
              </w:rPr>
            </w:pPr>
            <w:r w:rsidRPr="008C1732">
              <w:rPr>
                <w:b/>
                <w:sz w:val="18"/>
                <w:szCs w:val="18"/>
              </w:rPr>
              <w:t>Zdôvodnenie výberu ukazovateľa</w:t>
            </w:r>
          </w:p>
        </w:tc>
      </w:tr>
      <w:tr w:rsidR="006B762B" w14:paraId="1BB8D2F2" w14:textId="77777777" w:rsidTr="00ED7FB4">
        <w:trPr>
          <w:trHeight w:val="454"/>
          <w:jc w:val="center"/>
        </w:trPr>
        <w:tc>
          <w:tcPr>
            <w:tcW w:w="1476" w:type="dxa"/>
          </w:tcPr>
          <w:p w14:paraId="1DF1B981" w14:textId="77777777" w:rsidR="006B762B" w:rsidRPr="00D9570C" w:rsidRDefault="006B762B" w:rsidP="005917D8">
            <w:pPr>
              <w:ind w:left="0"/>
              <w:rPr>
                <w:i/>
                <w:sz w:val="18"/>
                <w:szCs w:val="18"/>
              </w:rPr>
            </w:pPr>
            <w:r w:rsidRPr="00D9570C">
              <w:rPr>
                <w:i/>
                <w:sz w:val="18"/>
                <w:szCs w:val="18"/>
              </w:rPr>
              <w:t>výstupový ukazovateľ</w:t>
            </w:r>
          </w:p>
        </w:tc>
        <w:tc>
          <w:tcPr>
            <w:tcW w:w="417" w:type="dxa"/>
          </w:tcPr>
          <w:p w14:paraId="5D664415" w14:textId="77777777" w:rsidR="006B762B" w:rsidRPr="00D9570C" w:rsidRDefault="006B762B" w:rsidP="005917D8">
            <w:pPr>
              <w:rPr>
                <w:sz w:val="18"/>
                <w:szCs w:val="18"/>
              </w:rPr>
            </w:pPr>
          </w:p>
        </w:tc>
        <w:tc>
          <w:tcPr>
            <w:tcW w:w="1576" w:type="dxa"/>
            <w:vAlign w:val="center"/>
          </w:tcPr>
          <w:p w14:paraId="374EB8A4" w14:textId="77777777" w:rsidR="00814F0C" w:rsidRPr="00D9570C" w:rsidRDefault="006B762B" w:rsidP="00303565">
            <w:pPr>
              <w:ind w:left="0"/>
              <w:rPr>
                <w:sz w:val="18"/>
                <w:szCs w:val="18"/>
              </w:rPr>
            </w:pPr>
            <w:r w:rsidRPr="00D9570C">
              <w:rPr>
                <w:sz w:val="18"/>
                <w:szCs w:val="18"/>
              </w:rPr>
              <w:t>Celková dĺžka novo vybudovaných ciest</w:t>
            </w:r>
            <w:r w:rsidR="004E4DC3">
              <w:rPr>
                <w:sz w:val="18"/>
                <w:szCs w:val="18"/>
              </w:rPr>
              <w:t xml:space="preserve"> v</w:t>
            </w:r>
            <w:r w:rsidR="00303565">
              <w:rPr>
                <w:sz w:val="18"/>
                <w:szCs w:val="18"/>
              </w:rPr>
              <w:t> sieti TEN-T</w:t>
            </w:r>
          </w:p>
        </w:tc>
        <w:tc>
          <w:tcPr>
            <w:tcW w:w="897" w:type="dxa"/>
          </w:tcPr>
          <w:p w14:paraId="620E2B57" w14:textId="77777777" w:rsidR="006B762B" w:rsidRPr="00D9570C" w:rsidRDefault="006B762B" w:rsidP="005917D8">
            <w:pPr>
              <w:ind w:left="0"/>
              <w:rPr>
                <w:i/>
                <w:sz w:val="18"/>
                <w:szCs w:val="18"/>
              </w:rPr>
            </w:pPr>
            <w:r w:rsidRPr="00D9570C">
              <w:rPr>
                <w:i/>
                <w:sz w:val="18"/>
                <w:szCs w:val="18"/>
              </w:rPr>
              <w:t>km</w:t>
            </w:r>
          </w:p>
        </w:tc>
        <w:tc>
          <w:tcPr>
            <w:tcW w:w="617" w:type="dxa"/>
          </w:tcPr>
          <w:p w14:paraId="54A1988C" w14:textId="77777777" w:rsidR="006B762B" w:rsidRPr="00D9570C" w:rsidRDefault="006B762B" w:rsidP="005917D8">
            <w:pPr>
              <w:ind w:left="0"/>
              <w:rPr>
                <w:i/>
                <w:sz w:val="18"/>
                <w:szCs w:val="18"/>
              </w:rPr>
            </w:pPr>
            <w:r w:rsidRPr="00D9570C">
              <w:rPr>
                <w:i/>
                <w:sz w:val="18"/>
                <w:szCs w:val="18"/>
              </w:rPr>
              <w:t>KF</w:t>
            </w:r>
          </w:p>
        </w:tc>
        <w:tc>
          <w:tcPr>
            <w:tcW w:w="986" w:type="dxa"/>
          </w:tcPr>
          <w:p w14:paraId="56661AEF" w14:textId="77777777" w:rsidR="006B762B" w:rsidRPr="00D9570C" w:rsidRDefault="006B762B" w:rsidP="005917D8">
            <w:pPr>
              <w:ind w:left="0"/>
              <w:rPr>
                <w:i/>
                <w:sz w:val="18"/>
                <w:szCs w:val="18"/>
              </w:rPr>
            </w:pPr>
            <w:r w:rsidRPr="00D9570C">
              <w:rPr>
                <w:i/>
                <w:sz w:val="18"/>
                <w:szCs w:val="18"/>
              </w:rPr>
              <w:t>N/A</w:t>
            </w:r>
          </w:p>
        </w:tc>
        <w:tc>
          <w:tcPr>
            <w:tcW w:w="987" w:type="dxa"/>
          </w:tcPr>
          <w:p w14:paraId="26242821" w14:textId="3241AEC5" w:rsidR="006B762B" w:rsidRPr="00D9570C" w:rsidRDefault="00E476DB" w:rsidP="0006525C">
            <w:pPr>
              <w:ind w:left="0"/>
              <w:jc w:val="center"/>
              <w:rPr>
                <w:i/>
                <w:sz w:val="18"/>
                <w:szCs w:val="18"/>
              </w:rPr>
            </w:pPr>
            <w:r>
              <w:rPr>
                <w:i/>
                <w:sz w:val="18"/>
                <w:szCs w:val="18"/>
              </w:rPr>
              <w:t>1</w:t>
            </w:r>
            <w:r w:rsidR="00064895">
              <w:rPr>
                <w:i/>
                <w:sz w:val="18"/>
                <w:szCs w:val="18"/>
              </w:rPr>
              <w:t>6</w:t>
            </w:r>
            <w:r>
              <w:rPr>
                <w:i/>
                <w:sz w:val="18"/>
                <w:szCs w:val="18"/>
              </w:rPr>
              <w:t>,</w:t>
            </w:r>
            <w:r w:rsidR="0006525C">
              <w:rPr>
                <w:i/>
                <w:sz w:val="18"/>
                <w:szCs w:val="18"/>
              </w:rPr>
              <w:t>6</w:t>
            </w:r>
          </w:p>
        </w:tc>
        <w:tc>
          <w:tcPr>
            <w:tcW w:w="936" w:type="dxa"/>
          </w:tcPr>
          <w:p w14:paraId="542443A4" w14:textId="1CDA8FF0" w:rsidR="006B762B" w:rsidRPr="00D9570C" w:rsidRDefault="00E476DB" w:rsidP="0006525C">
            <w:pPr>
              <w:ind w:left="0"/>
              <w:jc w:val="center"/>
              <w:rPr>
                <w:i/>
                <w:sz w:val="18"/>
                <w:szCs w:val="18"/>
              </w:rPr>
            </w:pPr>
            <w:r>
              <w:rPr>
                <w:i/>
                <w:sz w:val="18"/>
                <w:szCs w:val="18"/>
              </w:rPr>
              <w:t>1</w:t>
            </w:r>
            <w:r w:rsidR="00F77F29">
              <w:rPr>
                <w:i/>
                <w:sz w:val="18"/>
                <w:szCs w:val="18"/>
              </w:rPr>
              <w:t>1</w:t>
            </w:r>
            <w:r w:rsidR="00E86D4C">
              <w:rPr>
                <w:i/>
                <w:sz w:val="18"/>
                <w:szCs w:val="18"/>
              </w:rPr>
              <w:t>1</w:t>
            </w:r>
            <w:r w:rsidR="00F77F29">
              <w:rPr>
                <w:i/>
                <w:sz w:val="18"/>
                <w:szCs w:val="18"/>
              </w:rPr>
              <w:t>,7</w:t>
            </w:r>
          </w:p>
        </w:tc>
        <w:tc>
          <w:tcPr>
            <w:tcW w:w="747" w:type="dxa"/>
          </w:tcPr>
          <w:p w14:paraId="0E43D9A0" w14:textId="77777777" w:rsidR="006B762B" w:rsidRPr="00D9570C" w:rsidRDefault="006B762B" w:rsidP="005917D8">
            <w:pPr>
              <w:ind w:left="0"/>
              <w:rPr>
                <w:i/>
                <w:sz w:val="18"/>
                <w:szCs w:val="18"/>
              </w:rPr>
            </w:pPr>
            <w:r w:rsidRPr="00D9570C">
              <w:rPr>
                <w:i/>
                <w:sz w:val="18"/>
                <w:szCs w:val="18"/>
              </w:rPr>
              <w:t>RO OPII</w:t>
            </w:r>
          </w:p>
        </w:tc>
        <w:tc>
          <w:tcPr>
            <w:tcW w:w="1217" w:type="dxa"/>
          </w:tcPr>
          <w:p w14:paraId="5C0089F1" w14:textId="77777777" w:rsidR="006B762B" w:rsidRPr="00D9570C" w:rsidRDefault="00285164" w:rsidP="006B762B">
            <w:pPr>
              <w:ind w:left="0"/>
              <w:rPr>
                <w:i/>
                <w:sz w:val="18"/>
                <w:szCs w:val="18"/>
              </w:rPr>
            </w:pPr>
            <w:r>
              <w:rPr>
                <w:i/>
                <w:sz w:val="18"/>
                <w:szCs w:val="18"/>
              </w:rPr>
              <w:t xml:space="preserve">Nosná investičná aktivita v rámci </w:t>
            </w:r>
            <w:r w:rsidR="00A95296">
              <w:rPr>
                <w:i/>
                <w:sz w:val="18"/>
                <w:szCs w:val="18"/>
              </w:rPr>
              <w:t>PO2</w:t>
            </w:r>
          </w:p>
        </w:tc>
      </w:tr>
      <w:tr w:rsidR="006B762B" w14:paraId="79D55934" w14:textId="77777777" w:rsidTr="00ED7FB4">
        <w:trPr>
          <w:trHeight w:val="454"/>
          <w:jc w:val="center"/>
        </w:trPr>
        <w:tc>
          <w:tcPr>
            <w:tcW w:w="1476" w:type="dxa"/>
          </w:tcPr>
          <w:p w14:paraId="1C815313" w14:textId="77777777" w:rsidR="006B762B" w:rsidRPr="00D9570C" w:rsidRDefault="006B762B" w:rsidP="005917D8">
            <w:pPr>
              <w:ind w:left="0"/>
              <w:rPr>
                <w:sz w:val="18"/>
                <w:szCs w:val="18"/>
              </w:rPr>
            </w:pPr>
            <w:r w:rsidRPr="00D9570C">
              <w:rPr>
                <w:i/>
                <w:sz w:val="18"/>
                <w:szCs w:val="18"/>
              </w:rPr>
              <w:t xml:space="preserve"> finančný ukazovateľ</w:t>
            </w:r>
          </w:p>
        </w:tc>
        <w:tc>
          <w:tcPr>
            <w:tcW w:w="417" w:type="dxa"/>
          </w:tcPr>
          <w:p w14:paraId="285CCC7B" w14:textId="77777777" w:rsidR="006B762B" w:rsidRPr="00D9570C" w:rsidRDefault="006B762B" w:rsidP="005917D8">
            <w:pPr>
              <w:rPr>
                <w:sz w:val="18"/>
                <w:szCs w:val="18"/>
              </w:rPr>
            </w:pPr>
          </w:p>
        </w:tc>
        <w:tc>
          <w:tcPr>
            <w:tcW w:w="1576" w:type="dxa"/>
            <w:vAlign w:val="center"/>
          </w:tcPr>
          <w:p w14:paraId="0B1D5697" w14:textId="52B98D90" w:rsidR="006B762B" w:rsidRPr="00D9570C" w:rsidRDefault="006B762B" w:rsidP="005917D8">
            <w:pPr>
              <w:ind w:left="0"/>
              <w:rPr>
                <w:sz w:val="18"/>
                <w:szCs w:val="18"/>
              </w:rPr>
            </w:pPr>
            <w:r w:rsidRPr="00D9570C">
              <w:rPr>
                <w:sz w:val="18"/>
                <w:szCs w:val="18"/>
              </w:rPr>
              <w:t>Celková suma oprávnených výdavk</w:t>
            </w:r>
            <w:r w:rsidR="009660F8">
              <w:rPr>
                <w:sz w:val="18"/>
                <w:szCs w:val="18"/>
              </w:rPr>
              <w:t>ov po ich certifikácii certifikačným orgánom</w:t>
            </w:r>
            <w:r w:rsidR="00670358">
              <w:rPr>
                <w:sz w:val="18"/>
                <w:szCs w:val="18"/>
              </w:rPr>
              <w:t xml:space="preserve"> a predložení žiadostí o platby Európskej komisii</w:t>
            </w:r>
          </w:p>
        </w:tc>
        <w:tc>
          <w:tcPr>
            <w:tcW w:w="897" w:type="dxa"/>
          </w:tcPr>
          <w:p w14:paraId="7F8F9267" w14:textId="77777777" w:rsidR="006B762B" w:rsidRPr="00D9570C" w:rsidRDefault="00A84867" w:rsidP="005917D8">
            <w:pPr>
              <w:ind w:left="0"/>
              <w:rPr>
                <w:i/>
                <w:sz w:val="18"/>
                <w:szCs w:val="18"/>
              </w:rPr>
            </w:pPr>
            <w:r>
              <w:rPr>
                <w:i/>
                <w:sz w:val="18"/>
                <w:szCs w:val="18"/>
              </w:rPr>
              <w:t>EUR</w:t>
            </w:r>
          </w:p>
        </w:tc>
        <w:tc>
          <w:tcPr>
            <w:tcW w:w="617" w:type="dxa"/>
          </w:tcPr>
          <w:p w14:paraId="41F0786C" w14:textId="77777777" w:rsidR="006B762B" w:rsidRPr="00D9570C" w:rsidRDefault="006B762B" w:rsidP="005917D8">
            <w:pPr>
              <w:ind w:left="0"/>
              <w:rPr>
                <w:i/>
                <w:sz w:val="18"/>
                <w:szCs w:val="18"/>
              </w:rPr>
            </w:pPr>
            <w:r w:rsidRPr="00D9570C">
              <w:rPr>
                <w:i/>
                <w:sz w:val="18"/>
                <w:szCs w:val="18"/>
              </w:rPr>
              <w:t>KF</w:t>
            </w:r>
          </w:p>
        </w:tc>
        <w:tc>
          <w:tcPr>
            <w:tcW w:w="986" w:type="dxa"/>
          </w:tcPr>
          <w:p w14:paraId="41489C94" w14:textId="77777777" w:rsidR="006B762B" w:rsidRPr="00D9570C" w:rsidRDefault="006B762B" w:rsidP="005917D8">
            <w:pPr>
              <w:ind w:left="0"/>
              <w:rPr>
                <w:i/>
                <w:sz w:val="18"/>
                <w:szCs w:val="18"/>
              </w:rPr>
            </w:pPr>
            <w:r w:rsidRPr="00D9570C">
              <w:rPr>
                <w:i/>
                <w:sz w:val="18"/>
                <w:szCs w:val="18"/>
              </w:rPr>
              <w:t>N/A</w:t>
            </w:r>
          </w:p>
        </w:tc>
        <w:tc>
          <w:tcPr>
            <w:tcW w:w="987" w:type="dxa"/>
          </w:tcPr>
          <w:p w14:paraId="19ABAF56" w14:textId="77777777" w:rsidR="006B762B" w:rsidRPr="00D9570C" w:rsidRDefault="00A84867" w:rsidP="009F00C0">
            <w:pPr>
              <w:ind w:left="0"/>
              <w:jc w:val="center"/>
              <w:rPr>
                <w:i/>
                <w:sz w:val="18"/>
                <w:szCs w:val="18"/>
              </w:rPr>
            </w:pPr>
            <w:r>
              <w:rPr>
                <w:i/>
                <w:sz w:val="18"/>
                <w:szCs w:val="18"/>
              </w:rPr>
              <w:t> </w:t>
            </w:r>
            <w:r w:rsidR="009F00C0">
              <w:rPr>
                <w:i/>
                <w:sz w:val="18"/>
                <w:szCs w:val="18"/>
              </w:rPr>
              <w:t>470 441 177</w:t>
            </w:r>
          </w:p>
        </w:tc>
        <w:tc>
          <w:tcPr>
            <w:tcW w:w="936" w:type="dxa"/>
          </w:tcPr>
          <w:p w14:paraId="6A723A5A" w14:textId="77777777" w:rsidR="006B762B" w:rsidRPr="00D9570C" w:rsidRDefault="009F00C0" w:rsidP="009F00C0">
            <w:pPr>
              <w:ind w:left="0"/>
              <w:jc w:val="center"/>
              <w:rPr>
                <w:i/>
                <w:sz w:val="18"/>
                <w:szCs w:val="18"/>
              </w:rPr>
            </w:pPr>
            <w:r>
              <w:rPr>
                <w:i/>
                <w:sz w:val="18"/>
                <w:szCs w:val="18"/>
              </w:rPr>
              <w:t>1 344 117 648</w:t>
            </w:r>
            <w:r w:rsidR="00A84867">
              <w:rPr>
                <w:i/>
                <w:sz w:val="18"/>
                <w:szCs w:val="18"/>
              </w:rPr>
              <w:t xml:space="preserve"> </w:t>
            </w:r>
          </w:p>
        </w:tc>
        <w:tc>
          <w:tcPr>
            <w:tcW w:w="747" w:type="dxa"/>
          </w:tcPr>
          <w:p w14:paraId="3B356CCE" w14:textId="77777777" w:rsidR="006B762B" w:rsidRPr="00D9570C" w:rsidRDefault="006B762B" w:rsidP="005917D8">
            <w:pPr>
              <w:ind w:left="0"/>
              <w:rPr>
                <w:i/>
                <w:sz w:val="18"/>
                <w:szCs w:val="18"/>
              </w:rPr>
            </w:pPr>
            <w:r w:rsidRPr="00D9570C">
              <w:rPr>
                <w:i/>
                <w:sz w:val="18"/>
                <w:szCs w:val="18"/>
              </w:rPr>
              <w:t>RO OPII</w:t>
            </w:r>
          </w:p>
        </w:tc>
        <w:tc>
          <w:tcPr>
            <w:tcW w:w="1217" w:type="dxa"/>
          </w:tcPr>
          <w:p w14:paraId="0B9BFA13" w14:textId="77777777" w:rsidR="006B762B" w:rsidRPr="00D9570C" w:rsidRDefault="006B762B" w:rsidP="005917D8">
            <w:pPr>
              <w:ind w:left="0"/>
              <w:rPr>
                <w:i/>
                <w:sz w:val="18"/>
                <w:szCs w:val="18"/>
              </w:rPr>
            </w:pPr>
            <w:r w:rsidRPr="00D9570C">
              <w:rPr>
                <w:i/>
                <w:sz w:val="18"/>
                <w:szCs w:val="18"/>
              </w:rPr>
              <w:t>Základný finančný ukazovateľ</w:t>
            </w:r>
          </w:p>
        </w:tc>
      </w:tr>
    </w:tbl>
    <w:p w14:paraId="08CC29D6" w14:textId="77777777" w:rsidR="00840A3D" w:rsidRDefault="006B762B" w:rsidP="00ED7FB4">
      <w:pPr>
        <w:pStyle w:val="Nadpis3"/>
      </w:pPr>
      <w:bookmarkStart w:id="35" w:name="_Toc28951597"/>
      <w:r>
        <w:t>Kategórie intervencií</w:t>
      </w:r>
      <w:bookmarkEnd w:id="35"/>
    </w:p>
    <w:p w14:paraId="1B6DB9A8" w14:textId="77777777" w:rsidR="006B762B" w:rsidRPr="006579CE" w:rsidRDefault="006B762B" w:rsidP="004402B6">
      <w:pPr>
        <w:pStyle w:val="Tab"/>
        <w:ind w:left="871" w:hanging="871"/>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6B762B" w14:paraId="2A0BC052" w14:textId="77777777" w:rsidTr="006B68A4">
        <w:trPr>
          <w:trHeight w:val="255"/>
          <w:jc w:val="center"/>
        </w:trPr>
        <w:tc>
          <w:tcPr>
            <w:tcW w:w="9098" w:type="dxa"/>
            <w:gridSpan w:val="3"/>
            <w:shd w:val="clear" w:color="auto" w:fill="DBE5F1" w:themeFill="accent1" w:themeFillTint="33"/>
            <w:vAlign w:val="center"/>
          </w:tcPr>
          <w:p w14:paraId="5B781D60" w14:textId="77777777" w:rsidR="006B762B" w:rsidRPr="006579CE" w:rsidRDefault="006B762B" w:rsidP="0095191D">
            <w:pPr>
              <w:pStyle w:val="Default"/>
              <w:autoSpaceDE/>
              <w:autoSpaceDN/>
              <w:adjustRightInd/>
              <w:ind w:left="0"/>
              <w:rPr>
                <w:sz w:val="20"/>
                <w:szCs w:val="20"/>
              </w:rPr>
            </w:pPr>
            <w:r>
              <w:rPr>
                <w:b/>
                <w:bCs/>
                <w:sz w:val="20"/>
                <w:szCs w:val="20"/>
              </w:rPr>
              <w:t>Rozmer 1 – Oblasť intervencie</w:t>
            </w:r>
          </w:p>
        </w:tc>
      </w:tr>
      <w:tr w:rsidR="006B762B" w14:paraId="773D8192" w14:textId="77777777" w:rsidTr="006B68A4">
        <w:trPr>
          <w:trHeight w:val="255"/>
          <w:jc w:val="center"/>
        </w:trPr>
        <w:tc>
          <w:tcPr>
            <w:tcW w:w="4928" w:type="dxa"/>
            <w:shd w:val="clear" w:color="auto" w:fill="DBE5F1" w:themeFill="accent1" w:themeFillTint="33"/>
            <w:vAlign w:val="center"/>
          </w:tcPr>
          <w:p w14:paraId="1FDDD877"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1CC61C6F"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45DDDBDE" w14:textId="77777777" w:rsidTr="006B68A4">
        <w:trPr>
          <w:trHeight w:val="255"/>
          <w:jc w:val="center"/>
        </w:trPr>
        <w:tc>
          <w:tcPr>
            <w:tcW w:w="4928" w:type="dxa"/>
            <w:shd w:val="clear" w:color="auto" w:fill="DBE5F1" w:themeFill="accent1" w:themeFillTint="33"/>
            <w:vAlign w:val="center"/>
          </w:tcPr>
          <w:p w14:paraId="0DA0C789"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6C13923B" w14:textId="77777777" w:rsidR="006B762B" w:rsidRPr="006579CE" w:rsidRDefault="006B762B" w:rsidP="005917D8">
            <w:pPr>
              <w:ind w:left="0"/>
              <w:rPr>
                <w:sz w:val="20"/>
                <w:szCs w:val="20"/>
              </w:rPr>
            </w:pPr>
            <w:r w:rsidRPr="006579CE">
              <w:rPr>
                <w:sz w:val="20"/>
                <w:szCs w:val="20"/>
              </w:rPr>
              <w:t>N/A</w:t>
            </w:r>
          </w:p>
        </w:tc>
      </w:tr>
      <w:tr w:rsidR="006B762B" w14:paraId="465FB282" w14:textId="77777777" w:rsidTr="006B68A4">
        <w:trPr>
          <w:trHeight w:val="255"/>
          <w:jc w:val="center"/>
        </w:trPr>
        <w:tc>
          <w:tcPr>
            <w:tcW w:w="4928" w:type="dxa"/>
            <w:vAlign w:val="center"/>
          </w:tcPr>
          <w:p w14:paraId="6B48A5FE" w14:textId="77777777" w:rsidR="006B762B" w:rsidRPr="00D479A4" w:rsidRDefault="006B762B" w:rsidP="005917D8">
            <w:pPr>
              <w:ind w:left="0"/>
              <w:jc w:val="center"/>
              <w:rPr>
                <w:b/>
                <w:sz w:val="20"/>
                <w:szCs w:val="20"/>
              </w:rPr>
            </w:pPr>
            <w:r w:rsidRPr="00D479A4">
              <w:rPr>
                <w:b/>
                <w:sz w:val="20"/>
                <w:szCs w:val="20"/>
              </w:rPr>
              <w:lastRenderedPageBreak/>
              <w:t>Prioritná os</w:t>
            </w:r>
          </w:p>
        </w:tc>
        <w:tc>
          <w:tcPr>
            <w:tcW w:w="2126" w:type="dxa"/>
            <w:vAlign w:val="center"/>
          </w:tcPr>
          <w:p w14:paraId="5D14F303" w14:textId="77777777"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14:paraId="07BBB01B" w14:textId="77777777" w:rsidR="006B762B" w:rsidRPr="00D479A4" w:rsidRDefault="006B762B" w:rsidP="005917D8">
            <w:pPr>
              <w:ind w:left="0"/>
              <w:jc w:val="center"/>
              <w:rPr>
                <w:b/>
                <w:sz w:val="20"/>
                <w:szCs w:val="20"/>
              </w:rPr>
            </w:pPr>
            <w:r w:rsidRPr="00D479A4">
              <w:rPr>
                <w:b/>
                <w:sz w:val="20"/>
                <w:szCs w:val="20"/>
              </w:rPr>
              <w:t>Suma (v EUR)</w:t>
            </w:r>
          </w:p>
        </w:tc>
      </w:tr>
      <w:tr w:rsidR="006B762B" w14:paraId="169CF53D" w14:textId="77777777" w:rsidTr="006B68A4">
        <w:trPr>
          <w:trHeight w:val="255"/>
          <w:jc w:val="center"/>
        </w:trPr>
        <w:tc>
          <w:tcPr>
            <w:tcW w:w="4928" w:type="dxa"/>
            <w:vMerge w:val="restart"/>
            <w:vAlign w:val="center"/>
          </w:tcPr>
          <w:p w14:paraId="604FEFA1" w14:textId="77777777" w:rsidR="006B762B" w:rsidRPr="00D479A4" w:rsidRDefault="006B68A4" w:rsidP="00303565">
            <w:pPr>
              <w:ind w:left="0"/>
              <w:rPr>
                <w:sz w:val="20"/>
                <w:szCs w:val="20"/>
              </w:rPr>
            </w:pPr>
            <w:r>
              <w:rPr>
                <w:sz w:val="20"/>
                <w:szCs w:val="20"/>
              </w:rPr>
              <w:t xml:space="preserve">Prioritná os 2 - </w:t>
            </w:r>
            <w:r w:rsidR="006B762B">
              <w:rPr>
                <w:sz w:val="20"/>
                <w:szCs w:val="20"/>
              </w:rPr>
              <w:t>Cestná</w:t>
            </w:r>
            <w:r w:rsidR="006B762B" w:rsidRPr="00D479A4">
              <w:rPr>
                <w:sz w:val="20"/>
                <w:szCs w:val="20"/>
              </w:rPr>
              <w:t xml:space="preserve"> infraštruktúra (TEN-T)</w:t>
            </w:r>
          </w:p>
        </w:tc>
        <w:tc>
          <w:tcPr>
            <w:tcW w:w="2126" w:type="dxa"/>
            <w:vAlign w:val="center"/>
          </w:tcPr>
          <w:p w14:paraId="75A8DB7C" w14:textId="77777777" w:rsidR="006B762B" w:rsidRPr="00D479A4" w:rsidRDefault="006B762B" w:rsidP="00B468F6">
            <w:pPr>
              <w:ind w:left="0"/>
              <w:jc w:val="center"/>
              <w:rPr>
                <w:sz w:val="20"/>
                <w:szCs w:val="20"/>
              </w:rPr>
            </w:pPr>
            <w:r>
              <w:rPr>
                <w:sz w:val="20"/>
                <w:szCs w:val="20"/>
              </w:rPr>
              <w:t>028</w:t>
            </w:r>
          </w:p>
        </w:tc>
        <w:tc>
          <w:tcPr>
            <w:tcW w:w="2044" w:type="dxa"/>
            <w:vAlign w:val="center"/>
          </w:tcPr>
          <w:p w14:paraId="69F928BE" w14:textId="77777777" w:rsidR="006B762B" w:rsidRPr="006B762B" w:rsidRDefault="00111279" w:rsidP="00B468F6">
            <w:pPr>
              <w:ind w:left="0"/>
              <w:jc w:val="center"/>
              <w:rPr>
                <w:sz w:val="20"/>
                <w:szCs w:val="20"/>
              </w:rPr>
            </w:pPr>
            <w:r>
              <w:rPr>
                <w:sz w:val="20"/>
                <w:szCs w:val="20"/>
              </w:rPr>
              <w:t>1 078 554 499</w:t>
            </w:r>
          </w:p>
        </w:tc>
      </w:tr>
      <w:tr w:rsidR="00303565" w14:paraId="51BA0A02" w14:textId="77777777" w:rsidTr="006B68A4">
        <w:trPr>
          <w:trHeight w:val="255"/>
          <w:jc w:val="center"/>
        </w:trPr>
        <w:tc>
          <w:tcPr>
            <w:tcW w:w="4928" w:type="dxa"/>
            <w:vMerge/>
            <w:vAlign w:val="center"/>
          </w:tcPr>
          <w:p w14:paraId="1E78F470" w14:textId="77777777" w:rsidR="00303565" w:rsidRDefault="00303565" w:rsidP="006B68A4">
            <w:pPr>
              <w:rPr>
                <w:sz w:val="20"/>
                <w:szCs w:val="20"/>
              </w:rPr>
            </w:pPr>
          </w:p>
        </w:tc>
        <w:tc>
          <w:tcPr>
            <w:tcW w:w="2126" w:type="dxa"/>
            <w:vAlign w:val="center"/>
          </w:tcPr>
          <w:p w14:paraId="214626E9" w14:textId="77777777" w:rsidR="00303565" w:rsidRDefault="00303565" w:rsidP="00303565">
            <w:pPr>
              <w:ind w:left="0"/>
              <w:jc w:val="center"/>
              <w:rPr>
                <w:sz w:val="20"/>
                <w:szCs w:val="20"/>
              </w:rPr>
            </w:pPr>
            <w:r>
              <w:rPr>
                <w:sz w:val="20"/>
                <w:szCs w:val="20"/>
              </w:rPr>
              <w:t>029</w:t>
            </w:r>
          </w:p>
        </w:tc>
        <w:tc>
          <w:tcPr>
            <w:tcW w:w="2044" w:type="dxa"/>
            <w:vAlign w:val="center"/>
          </w:tcPr>
          <w:p w14:paraId="1B4F714B" w14:textId="77777777" w:rsidR="00303565" w:rsidRPr="006B762B" w:rsidRDefault="00111279" w:rsidP="00303565">
            <w:pPr>
              <w:ind w:left="0"/>
              <w:jc w:val="center"/>
              <w:rPr>
                <w:sz w:val="20"/>
                <w:szCs w:val="20"/>
              </w:rPr>
            </w:pPr>
            <w:r>
              <w:rPr>
                <w:sz w:val="20"/>
                <w:szCs w:val="20"/>
              </w:rPr>
              <w:t>43 945 501</w:t>
            </w:r>
          </w:p>
        </w:tc>
      </w:tr>
      <w:tr w:rsidR="006B762B" w14:paraId="58EBDA3F" w14:textId="77777777" w:rsidTr="006B68A4">
        <w:trPr>
          <w:trHeight w:val="255"/>
          <w:jc w:val="center"/>
        </w:trPr>
        <w:tc>
          <w:tcPr>
            <w:tcW w:w="4928" w:type="dxa"/>
            <w:vMerge/>
            <w:vAlign w:val="center"/>
          </w:tcPr>
          <w:p w14:paraId="691EDEAB" w14:textId="77777777" w:rsidR="006B762B" w:rsidRPr="00D479A4" w:rsidRDefault="006B762B" w:rsidP="005917D8">
            <w:pPr>
              <w:ind w:left="0"/>
              <w:rPr>
                <w:sz w:val="20"/>
                <w:szCs w:val="20"/>
              </w:rPr>
            </w:pPr>
          </w:p>
        </w:tc>
        <w:tc>
          <w:tcPr>
            <w:tcW w:w="2126" w:type="dxa"/>
            <w:vAlign w:val="center"/>
          </w:tcPr>
          <w:p w14:paraId="60512E32" w14:textId="77777777" w:rsidR="006B762B" w:rsidRPr="00D479A4" w:rsidRDefault="006B762B" w:rsidP="00B468F6">
            <w:pPr>
              <w:ind w:left="0"/>
              <w:jc w:val="center"/>
              <w:rPr>
                <w:sz w:val="20"/>
                <w:szCs w:val="20"/>
              </w:rPr>
            </w:pPr>
            <w:r>
              <w:rPr>
                <w:sz w:val="20"/>
                <w:szCs w:val="20"/>
              </w:rPr>
              <w:t>044</w:t>
            </w:r>
          </w:p>
        </w:tc>
        <w:tc>
          <w:tcPr>
            <w:tcW w:w="2044" w:type="dxa"/>
            <w:vAlign w:val="center"/>
          </w:tcPr>
          <w:p w14:paraId="25661978" w14:textId="77777777" w:rsidR="006B762B" w:rsidRPr="00D479A4" w:rsidRDefault="006B762B" w:rsidP="00B468F6">
            <w:pPr>
              <w:ind w:left="0"/>
              <w:jc w:val="center"/>
              <w:rPr>
                <w:sz w:val="20"/>
                <w:szCs w:val="20"/>
                <w:lang w:val="en-US"/>
              </w:rPr>
            </w:pPr>
            <w:r>
              <w:rPr>
                <w:sz w:val="20"/>
                <w:szCs w:val="20"/>
                <w:lang w:val="en-US"/>
              </w:rPr>
              <w:t>20 000 000</w:t>
            </w:r>
          </w:p>
        </w:tc>
      </w:tr>
    </w:tbl>
    <w:p w14:paraId="6B2091EE" w14:textId="77777777" w:rsidR="006B762B" w:rsidRPr="006579CE" w:rsidRDefault="006B762B"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6B762B" w14:paraId="0708DC0D" w14:textId="77777777" w:rsidTr="006B68A4">
        <w:trPr>
          <w:trHeight w:val="255"/>
          <w:jc w:val="center"/>
        </w:trPr>
        <w:tc>
          <w:tcPr>
            <w:tcW w:w="9098" w:type="dxa"/>
            <w:gridSpan w:val="3"/>
            <w:shd w:val="clear" w:color="auto" w:fill="DBE5F1" w:themeFill="accent1" w:themeFillTint="33"/>
            <w:vAlign w:val="center"/>
          </w:tcPr>
          <w:p w14:paraId="5B8B38A4" w14:textId="77777777" w:rsidR="006B762B" w:rsidRPr="006579CE" w:rsidRDefault="006B762B" w:rsidP="0095191D">
            <w:pPr>
              <w:pStyle w:val="Default"/>
              <w:autoSpaceDE/>
              <w:autoSpaceDN/>
              <w:adjustRightInd/>
              <w:ind w:left="0"/>
              <w:rPr>
                <w:sz w:val="20"/>
                <w:szCs w:val="20"/>
              </w:rPr>
            </w:pPr>
            <w:r>
              <w:rPr>
                <w:b/>
                <w:bCs/>
                <w:sz w:val="20"/>
                <w:szCs w:val="20"/>
              </w:rPr>
              <w:t>Rozmer 2 – Forma financovania</w:t>
            </w:r>
          </w:p>
        </w:tc>
      </w:tr>
      <w:tr w:rsidR="006B762B" w14:paraId="72CC4BFF" w14:textId="77777777" w:rsidTr="006B68A4">
        <w:trPr>
          <w:trHeight w:val="255"/>
          <w:jc w:val="center"/>
        </w:trPr>
        <w:tc>
          <w:tcPr>
            <w:tcW w:w="4928" w:type="dxa"/>
            <w:shd w:val="clear" w:color="auto" w:fill="DBE5F1" w:themeFill="accent1" w:themeFillTint="33"/>
            <w:vAlign w:val="center"/>
          </w:tcPr>
          <w:p w14:paraId="79EE847C"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4E5D77DE"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0678FE4A" w14:textId="77777777" w:rsidTr="006B68A4">
        <w:trPr>
          <w:trHeight w:val="255"/>
          <w:jc w:val="center"/>
        </w:trPr>
        <w:tc>
          <w:tcPr>
            <w:tcW w:w="4928" w:type="dxa"/>
            <w:shd w:val="clear" w:color="auto" w:fill="DBE5F1" w:themeFill="accent1" w:themeFillTint="33"/>
            <w:vAlign w:val="center"/>
          </w:tcPr>
          <w:p w14:paraId="228C795D"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0218A4DA" w14:textId="77777777" w:rsidR="006B762B" w:rsidRPr="006579CE" w:rsidRDefault="006B762B" w:rsidP="005917D8">
            <w:pPr>
              <w:ind w:left="0"/>
              <w:rPr>
                <w:sz w:val="20"/>
                <w:szCs w:val="20"/>
              </w:rPr>
            </w:pPr>
            <w:r w:rsidRPr="006579CE">
              <w:rPr>
                <w:sz w:val="20"/>
                <w:szCs w:val="20"/>
              </w:rPr>
              <w:t>N/A</w:t>
            </w:r>
          </w:p>
        </w:tc>
      </w:tr>
      <w:tr w:rsidR="006B762B" w14:paraId="123F2290" w14:textId="77777777" w:rsidTr="006B68A4">
        <w:trPr>
          <w:trHeight w:val="255"/>
          <w:jc w:val="center"/>
        </w:trPr>
        <w:tc>
          <w:tcPr>
            <w:tcW w:w="4928" w:type="dxa"/>
            <w:vAlign w:val="center"/>
          </w:tcPr>
          <w:p w14:paraId="6AC00E1C" w14:textId="77777777"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14:paraId="64EA45F7" w14:textId="77777777"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14:paraId="0A8B04AD" w14:textId="77777777" w:rsidR="006B762B" w:rsidRPr="00D479A4" w:rsidRDefault="006B762B" w:rsidP="005917D8">
            <w:pPr>
              <w:ind w:left="0"/>
              <w:jc w:val="center"/>
              <w:rPr>
                <w:b/>
                <w:sz w:val="20"/>
                <w:szCs w:val="20"/>
              </w:rPr>
            </w:pPr>
            <w:r w:rsidRPr="00D479A4">
              <w:rPr>
                <w:b/>
                <w:sz w:val="20"/>
                <w:szCs w:val="20"/>
              </w:rPr>
              <w:t>Suma (v EUR)</w:t>
            </w:r>
          </w:p>
        </w:tc>
      </w:tr>
      <w:tr w:rsidR="006B762B" w14:paraId="4E412391" w14:textId="77777777" w:rsidTr="006B68A4">
        <w:trPr>
          <w:trHeight w:val="255"/>
          <w:jc w:val="center"/>
        </w:trPr>
        <w:tc>
          <w:tcPr>
            <w:tcW w:w="4928" w:type="dxa"/>
            <w:vMerge w:val="restart"/>
            <w:vAlign w:val="center"/>
          </w:tcPr>
          <w:p w14:paraId="1B1DAD41" w14:textId="77777777" w:rsidR="006B762B" w:rsidRPr="00D479A4" w:rsidRDefault="006B68A4" w:rsidP="00C67BCE">
            <w:pPr>
              <w:ind w:left="0"/>
              <w:rPr>
                <w:sz w:val="20"/>
                <w:szCs w:val="20"/>
              </w:rPr>
            </w:pPr>
            <w:r>
              <w:rPr>
                <w:sz w:val="20"/>
                <w:szCs w:val="20"/>
              </w:rPr>
              <w:t xml:space="preserve">Prioritná os 2 - </w:t>
            </w:r>
            <w:r w:rsidR="006B762B">
              <w:rPr>
                <w:sz w:val="20"/>
                <w:szCs w:val="20"/>
              </w:rPr>
              <w:t>Cestná</w:t>
            </w:r>
            <w:r w:rsidR="006B762B" w:rsidRPr="00D479A4">
              <w:rPr>
                <w:sz w:val="20"/>
                <w:szCs w:val="20"/>
              </w:rPr>
              <w:t xml:space="preserve"> infraštruktúra (TEN-T)</w:t>
            </w:r>
          </w:p>
        </w:tc>
        <w:tc>
          <w:tcPr>
            <w:tcW w:w="2126" w:type="dxa"/>
            <w:vAlign w:val="center"/>
          </w:tcPr>
          <w:p w14:paraId="5C8C6044" w14:textId="77777777" w:rsidR="006B762B" w:rsidRPr="00D479A4" w:rsidRDefault="006B762B" w:rsidP="005917D8">
            <w:pPr>
              <w:ind w:left="0"/>
              <w:jc w:val="center"/>
              <w:rPr>
                <w:sz w:val="20"/>
                <w:szCs w:val="20"/>
              </w:rPr>
            </w:pPr>
            <w:r>
              <w:rPr>
                <w:sz w:val="20"/>
                <w:szCs w:val="20"/>
              </w:rPr>
              <w:t>01</w:t>
            </w:r>
          </w:p>
        </w:tc>
        <w:tc>
          <w:tcPr>
            <w:tcW w:w="2044" w:type="dxa"/>
            <w:vAlign w:val="center"/>
          </w:tcPr>
          <w:p w14:paraId="1055FFC0" w14:textId="77777777" w:rsidR="006B762B" w:rsidRPr="006B762B" w:rsidRDefault="006B762B" w:rsidP="00C67BCE">
            <w:pPr>
              <w:ind w:left="0"/>
              <w:jc w:val="center"/>
              <w:rPr>
                <w:sz w:val="20"/>
                <w:szCs w:val="20"/>
              </w:rPr>
            </w:pPr>
            <w:r w:rsidRPr="006B762B">
              <w:rPr>
                <w:sz w:val="20"/>
                <w:szCs w:val="20"/>
              </w:rPr>
              <w:t>1</w:t>
            </w:r>
            <w:r w:rsidR="00C67BCE">
              <w:rPr>
                <w:sz w:val="20"/>
                <w:szCs w:val="20"/>
              </w:rPr>
              <w:t> 098 554 499</w:t>
            </w:r>
          </w:p>
        </w:tc>
      </w:tr>
      <w:tr w:rsidR="006B762B" w14:paraId="53AA2236" w14:textId="77777777" w:rsidTr="006B68A4">
        <w:trPr>
          <w:trHeight w:val="255"/>
          <w:jc w:val="center"/>
        </w:trPr>
        <w:tc>
          <w:tcPr>
            <w:tcW w:w="4928" w:type="dxa"/>
            <w:vMerge/>
            <w:vAlign w:val="center"/>
          </w:tcPr>
          <w:p w14:paraId="33FE6212" w14:textId="77777777" w:rsidR="006B762B" w:rsidRPr="00D479A4" w:rsidRDefault="006B762B" w:rsidP="005917D8">
            <w:pPr>
              <w:ind w:left="0"/>
              <w:rPr>
                <w:sz w:val="20"/>
                <w:szCs w:val="20"/>
              </w:rPr>
            </w:pPr>
          </w:p>
        </w:tc>
        <w:tc>
          <w:tcPr>
            <w:tcW w:w="2126" w:type="dxa"/>
            <w:vAlign w:val="center"/>
          </w:tcPr>
          <w:p w14:paraId="410511B3" w14:textId="77777777" w:rsidR="006B762B" w:rsidRPr="00D479A4" w:rsidRDefault="00C67BCE" w:rsidP="005917D8">
            <w:pPr>
              <w:ind w:left="0"/>
              <w:jc w:val="center"/>
              <w:rPr>
                <w:sz w:val="20"/>
                <w:szCs w:val="20"/>
              </w:rPr>
            </w:pPr>
            <w:r>
              <w:rPr>
                <w:sz w:val="20"/>
                <w:szCs w:val="20"/>
              </w:rPr>
              <w:t>03</w:t>
            </w:r>
          </w:p>
        </w:tc>
        <w:tc>
          <w:tcPr>
            <w:tcW w:w="2044" w:type="dxa"/>
            <w:vAlign w:val="center"/>
          </w:tcPr>
          <w:p w14:paraId="7A84CC9A" w14:textId="77777777" w:rsidR="006B762B" w:rsidRPr="006B762B" w:rsidRDefault="00C67BCE" w:rsidP="006B762B">
            <w:pPr>
              <w:ind w:left="0"/>
              <w:jc w:val="center"/>
              <w:rPr>
                <w:sz w:val="20"/>
                <w:szCs w:val="20"/>
              </w:rPr>
            </w:pPr>
            <w:r>
              <w:rPr>
                <w:sz w:val="20"/>
                <w:szCs w:val="20"/>
              </w:rPr>
              <w:t>43 945 501</w:t>
            </w:r>
          </w:p>
        </w:tc>
      </w:tr>
    </w:tbl>
    <w:p w14:paraId="40EF4B9B" w14:textId="77777777" w:rsidR="00B8623A" w:rsidRPr="00B8623A" w:rsidRDefault="00B8623A"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B762B" w14:paraId="6E440084" w14:textId="77777777" w:rsidTr="006B68A4">
        <w:trPr>
          <w:trHeight w:val="255"/>
          <w:jc w:val="center"/>
        </w:trPr>
        <w:tc>
          <w:tcPr>
            <w:tcW w:w="9098" w:type="dxa"/>
            <w:gridSpan w:val="3"/>
            <w:shd w:val="clear" w:color="auto" w:fill="DBE5F1" w:themeFill="accent1" w:themeFillTint="33"/>
            <w:vAlign w:val="center"/>
          </w:tcPr>
          <w:p w14:paraId="373458EB" w14:textId="77777777" w:rsidR="006B762B" w:rsidRPr="006579CE" w:rsidRDefault="006B762B" w:rsidP="005917D8">
            <w:pPr>
              <w:pStyle w:val="Default"/>
              <w:autoSpaceDE/>
              <w:autoSpaceDN/>
              <w:adjustRightInd/>
              <w:ind w:left="0"/>
              <w:rPr>
                <w:sz w:val="20"/>
                <w:szCs w:val="20"/>
              </w:rPr>
            </w:pPr>
            <w:r>
              <w:rPr>
                <w:b/>
                <w:bCs/>
                <w:sz w:val="20"/>
                <w:szCs w:val="20"/>
              </w:rPr>
              <w:t>Rozmer 3 – Druh územia</w:t>
            </w:r>
          </w:p>
        </w:tc>
      </w:tr>
      <w:tr w:rsidR="006B762B" w14:paraId="45A701E0" w14:textId="77777777" w:rsidTr="006B68A4">
        <w:trPr>
          <w:trHeight w:val="255"/>
          <w:jc w:val="center"/>
        </w:trPr>
        <w:tc>
          <w:tcPr>
            <w:tcW w:w="4928" w:type="dxa"/>
            <w:shd w:val="clear" w:color="auto" w:fill="DBE5F1" w:themeFill="accent1" w:themeFillTint="33"/>
            <w:vAlign w:val="center"/>
          </w:tcPr>
          <w:p w14:paraId="41D4BD4B"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196EAB1C"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50DC6B57" w14:textId="77777777" w:rsidTr="006B68A4">
        <w:trPr>
          <w:trHeight w:val="255"/>
          <w:jc w:val="center"/>
        </w:trPr>
        <w:tc>
          <w:tcPr>
            <w:tcW w:w="4928" w:type="dxa"/>
            <w:shd w:val="clear" w:color="auto" w:fill="DBE5F1" w:themeFill="accent1" w:themeFillTint="33"/>
            <w:vAlign w:val="center"/>
          </w:tcPr>
          <w:p w14:paraId="32FFCAC3"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1A127342" w14:textId="77777777" w:rsidR="006B762B" w:rsidRPr="006579CE" w:rsidRDefault="006B762B" w:rsidP="005917D8">
            <w:pPr>
              <w:ind w:left="0"/>
              <w:rPr>
                <w:sz w:val="20"/>
                <w:szCs w:val="20"/>
              </w:rPr>
            </w:pPr>
            <w:r w:rsidRPr="006579CE">
              <w:rPr>
                <w:sz w:val="20"/>
                <w:szCs w:val="20"/>
              </w:rPr>
              <w:t>N/A</w:t>
            </w:r>
          </w:p>
        </w:tc>
      </w:tr>
      <w:tr w:rsidR="006B762B" w14:paraId="2ACECADF" w14:textId="77777777" w:rsidTr="006B68A4">
        <w:trPr>
          <w:trHeight w:val="255"/>
          <w:jc w:val="center"/>
        </w:trPr>
        <w:tc>
          <w:tcPr>
            <w:tcW w:w="4928" w:type="dxa"/>
            <w:vAlign w:val="center"/>
          </w:tcPr>
          <w:p w14:paraId="330EC392" w14:textId="77777777"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14:paraId="58717F25" w14:textId="77777777"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14:paraId="152796BF" w14:textId="77777777" w:rsidR="006B762B" w:rsidRPr="00D479A4" w:rsidRDefault="006B762B" w:rsidP="005917D8">
            <w:pPr>
              <w:ind w:left="0"/>
              <w:jc w:val="center"/>
              <w:rPr>
                <w:b/>
                <w:sz w:val="20"/>
                <w:szCs w:val="20"/>
              </w:rPr>
            </w:pPr>
            <w:r w:rsidRPr="00D479A4">
              <w:rPr>
                <w:b/>
                <w:sz w:val="20"/>
                <w:szCs w:val="20"/>
              </w:rPr>
              <w:t>Suma (v EUR)</w:t>
            </w:r>
          </w:p>
        </w:tc>
      </w:tr>
      <w:tr w:rsidR="00B468F6" w14:paraId="7912709A" w14:textId="77777777" w:rsidTr="006B68A4">
        <w:trPr>
          <w:trHeight w:val="255"/>
          <w:jc w:val="center"/>
        </w:trPr>
        <w:tc>
          <w:tcPr>
            <w:tcW w:w="4928" w:type="dxa"/>
            <w:vAlign w:val="center"/>
          </w:tcPr>
          <w:p w14:paraId="5A498A4D" w14:textId="77777777" w:rsidR="00B468F6" w:rsidRPr="00D479A4" w:rsidRDefault="006B68A4" w:rsidP="00DA69E0">
            <w:pPr>
              <w:ind w:left="0"/>
              <w:rPr>
                <w:sz w:val="20"/>
                <w:szCs w:val="20"/>
              </w:rPr>
            </w:pPr>
            <w:r>
              <w:rPr>
                <w:sz w:val="20"/>
                <w:szCs w:val="20"/>
              </w:rPr>
              <w:t xml:space="preserve">Prioritná os 2 - </w:t>
            </w:r>
            <w:r w:rsidR="00B468F6">
              <w:rPr>
                <w:sz w:val="20"/>
                <w:szCs w:val="20"/>
              </w:rPr>
              <w:t>Cestná</w:t>
            </w:r>
            <w:r w:rsidR="00B468F6" w:rsidRPr="00D479A4">
              <w:rPr>
                <w:sz w:val="20"/>
                <w:szCs w:val="20"/>
              </w:rPr>
              <w:t xml:space="preserve"> infraštruktúra (TEN-T)</w:t>
            </w:r>
          </w:p>
        </w:tc>
        <w:tc>
          <w:tcPr>
            <w:tcW w:w="2126" w:type="dxa"/>
            <w:vAlign w:val="center"/>
          </w:tcPr>
          <w:p w14:paraId="524B9C24" w14:textId="77777777" w:rsidR="00B468F6" w:rsidRPr="00D479A4" w:rsidRDefault="00B468F6" w:rsidP="00B468F6">
            <w:pPr>
              <w:ind w:left="0"/>
              <w:jc w:val="center"/>
              <w:rPr>
                <w:sz w:val="20"/>
                <w:szCs w:val="20"/>
              </w:rPr>
            </w:pPr>
            <w:r>
              <w:rPr>
                <w:sz w:val="20"/>
                <w:szCs w:val="20"/>
              </w:rPr>
              <w:t>0</w:t>
            </w:r>
            <w:r w:rsidR="002F56BA">
              <w:rPr>
                <w:sz w:val="20"/>
                <w:szCs w:val="20"/>
              </w:rPr>
              <w:t>7</w:t>
            </w:r>
          </w:p>
        </w:tc>
        <w:tc>
          <w:tcPr>
            <w:tcW w:w="2044" w:type="dxa"/>
            <w:vAlign w:val="center"/>
          </w:tcPr>
          <w:p w14:paraId="39B1E7B2" w14:textId="77777777" w:rsidR="00B468F6" w:rsidRPr="006B762B" w:rsidRDefault="00B468F6" w:rsidP="00B468F6">
            <w:pPr>
              <w:ind w:left="0"/>
              <w:jc w:val="center"/>
              <w:rPr>
                <w:sz w:val="20"/>
                <w:szCs w:val="20"/>
                <w:lang w:val="en-US"/>
              </w:rPr>
            </w:pPr>
            <w:r>
              <w:rPr>
                <w:sz w:val="20"/>
                <w:szCs w:val="20"/>
                <w:lang w:val="en-US"/>
              </w:rPr>
              <w:t>1 142 500 000</w:t>
            </w:r>
          </w:p>
        </w:tc>
      </w:tr>
    </w:tbl>
    <w:p w14:paraId="5376B516" w14:textId="77777777" w:rsidR="006B762B" w:rsidRPr="006579CE" w:rsidRDefault="006B762B"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B762B" w14:paraId="0DFB386E" w14:textId="77777777" w:rsidTr="006B68A4">
        <w:trPr>
          <w:trHeight w:val="255"/>
          <w:jc w:val="center"/>
        </w:trPr>
        <w:tc>
          <w:tcPr>
            <w:tcW w:w="9098" w:type="dxa"/>
            <w:gridSpan w:val="3"/>
            <w:shd w:val="clear" w:color="auto" w:fill="DBE5F1" w:themeFill="accent1" w:themeFillTint="33"/>
            <w:vAlign w:val="center"/>
          </w:tcPr>
          <w:p w14:paraId="0C0DF1A0" w14:textId="77777777" w:rsidR="006B762B" w:rsidRPr="008C1732" w:rsidRDefault="006B762B" w:rsidP="005917D8">
            <w:pPr>
              <w:pStyle w:val="Default"/>
              <w:autoSpaceDE/>
              <w:autoSpaceDN/>
              <w:adjustRightInd/>
              <w:ind w:left="0"/>
              <w:rPr>
                <w:b/>
                <w:bCs/>
                <w:sz w:val="20"/>
                <w:szCs w:val="20"/>
              </w:rPr>
            </w:pPr>
            <w:r>
              <w:rPr>
                <w:b/>
                <w:bCs/>
                <w:sz w:val="20"/>
                <w:szCs w:val="20"/>
              </w:rPr>
              <w:t>Rozmer 4 – Územné mechanizmy realizácie</w:t>
            </w:r>
          </w:p>
        </w:tc>
      </w:tr>
      <w:tr w:rsidR="006B762B" w14:paraId="07269ABB" w14:textId="77777777" w:rsidTr="006B68A4">
        <w:trPr>
          <w:trHeight w:val="255"/>
          <w:jc w:val="center"/>
        </w:trPr>
        <w:tc>
          <w:tcPr>
            <w:tcW w:w="4928" w:type="dxa"/>
            <w:shd w:val="clear" w:color="auto" w:fill="DBE5F1" w:themeFill="accent1" w:themeFillTint="33"/>
            <w:vAlign w:val="center"/>
          </w:tcPr>
          <w:p w14:paraId="79B09B5D"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074542F6"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61A11CE1" w14:textId="77777777" w:rsidTr="006B68A4">
        <w:trPr>
          <w:trHeight w:val="255"/>
          <w:jc w:val="center"/>
        </w:trPr>
        <w:tc>
          <w:tcPr>
            <w:tcW w:w="4928" w:type="dxa"/>
            <w:shd w:val="clear" w:color="auto" w:fill="DBE5F1" w:themeFill="accent1" w:themeFillTint="33"/>
            <w:vAlign w:val="center"/>
          </w:tcPr>
          <w:p w14:paraId="6F0AB6B9"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0910B94B" w14:textId="77777777" w:rsidR="006B762B" w:rsidRPr="006579CE" w:rsidRDefault="006B762B" w:rsidP="005917D8">
            <w:pPr>
              <w:ind w:left="0"/>
              <w:rPr>
                <w:sz w:val="20"/>
                <w:szCs w:val="20"/>
              </w:rPr>
            </w:pPr>
            <w:r w:rsidRPr="006579CE">
              <w:rPr>
                <w:sz w:val="20"/>
                <w:szCs w:val="20"/>
              </w:rPr>
              <w:t>N/A</w:t>
            </w:r>
          </w:p>
        </w:tc>
      </w:tr>
      <w:tr w:rsidR="006B762B" w14:paraId="08912411" w14:textId="77777777" w:rsidTr="00720946">
        <w:trPr>
          <w:trHeight w:val="255"/>
          <w:jc w:val="center"/>
        </w:trPr>
        <w:tc>
          <w:tcPr>
            <w:tcW w:w="4928" w:type="dxa"/>
            <w:tcBorders>
              <w:bottom w:val="single" w:sz="2" w:space="0" w:color="auto"/>
            </w:tcBorders>
            <w:vAlign w:val="center"/>
          </w:tcPr>
          <w:p w14:paraId="7CDDCB23" w14:textId="77777777" w:rsidR="006B762B" w:rsidRPr="00D479A4" w:rsidRDefault="006B762B" w:rsidP="005917D8">
            <w:pPr>
              <w:ind w:left="0"/>
              <w:jc w:val="center"/>
              <w:rPr>
                <w:b/>
                <w:sz w:val="20"/>
                <w:szCs w:val="20"/>
              </w:rPr>
            </w:pPr>
            <w:r w:rsidRPr="00D479A4">
              <w:rPr>
                <w:b/>
                <w:sz w:val="20"/>
                <w:szCs w:val="20"/>
              </w:rPr>
              <w:t>Prioritná os</w:t>
            </w:r>
          </w:p>
        </w:tc>
        <w:tc>
          <w:tcPr>
            <w:tcW w:w="2126" w:type="dxa"/>
            <w:tcBorders>
              <w:bottom w:val="single" w:sz="2" w:space="0" w:color="auto"/>
            </w:tcBorders>
            <w:vAlign w:val="center"/>
          </w:tcPr>
          <w:p w14:paraId="63C6F107" w14:textId="77777777" w:rsidR="006B762B" w:rsidRPr="00D479A4" w:rsidRDefault="006B762B" w:rsidP="005917D8">
            <w:pPr>
              <w:ind w:left="0"/>
              <w:jc w:val="center"/>
              <w:rPr>
                <w:b/>
                <w:sz w:val="20"/>
                <w:szCs w:val="20"/>
              </w:rPr>
            </w:pPr>
            <w:r w:rsidRPr="00D479A4">
              <w:rPr>
                <w:b/>
                <w:sz w:val="20"/>
                <w:szCs w:val="20"/>
              </w:rPr>
              <w:t>Kód</w:t>
            </w:r>
          </w:p>
        </w:tc>
        <w:tc>
          <w:tcPr>
            <w:tcW w:w="2044" w:type="dxa"/>
            <w:tcBorders>
              <w:bottom w:val="single" w:sz="2" w:space="0" w:color="auto"/>
            </w:tcBorders>
            <w:vAlign w:val="center"/>
          </w:tcPr>
          <w:p w14:paraId="6219885C" w14:textId="77777777" w:rsidR="006B762B" w:rsidRPr="00D479A4" w:rsidRDefault="006B762B" w:rsidP="005917D8">
            <w:pPr>
              <w:ind w:left="0"/>
              <w:jc w:val="center"/>
              <w:rPr>
                <w:b/>
                <w:sz w:val="20"/>
                <w:szCs w:val="20"/>
              </w:rPr>
            </w:pPr>
            <w:r w:rsidRPr="00D479A4">
              <w:rPr>
                <w:b/>
                <w:sz w:val="20"/>
                <w:szCs w:val="20"/>
              </w:rPr>
              <w:t>Suma (v EUR)</w:t>
            </w:r>
          </w:p>
        </w:tc>
      </w:tr>
      <w:tr w:rsidR="00B468F6" w14:paraId="5E1CEC9C" w14:textId="77777777" w:rsidTr="00720946">
        <w:trPr>
          <w:trHeight w:val="255"/>
          <w:jc w:val="center"/>
        </w:trPr>
        <w:tc>
          <w:tcPr>
            <w:tcW w:w="4928" w:type="dxa"/>
            <w:tcBorders>
              <w:bottom w:val="single" w:sz="4" w:space="0" w:color="auto"/>
            </w:tcBorders>
            <w:vAlign w:val="center"/>
          </w:tcPr>
          <w:p w14:paraId="43215034" w14:textId="77777777" w:rsidR="00B468F6" w:rsidRPr="00D479A4" w:rsidRDefault="006B68A4" w:rsidP="00DA69E0">
            <w:pPr>
              <w:ind w:left="0"/>
              <w:rPr>
                <w:sz w:val="20"/>
                <w:szCs w:val="20"/>
              </w:rPr>
            </w:pPr>
            <w:r>
              <w:rPr>
                <w:sz w:val="20"/>
                <w:szCs w:val="20"/>
              </w:rPr>
              <w:t xml:space="preserve">Prioritná os 2 - </w:t>
            </w:r>
            <w:r w:rsidR="00B468F6">
              <w:rPr>
                <w:sz w:val="20"/>
                <w:szCs w:val="20"/>
              </w:rPr>
              <w:t>Cestná</w:t>
            </w:r>
            <w:r w:rsidR="00B468F6" w:rsidRPr="00D479A4">
              <w:rPr>
                <w:sz w:val="20"/>
                <w:szCs w:val="20"/>
              </w:rPr>
              <w:t xml:space="preserve"> infraštruktúra (TEN-T)</w:t>
            </w:r>
          </w:p>
        </w:tc>
        <w:tc>
          <w:tcPr>
            <w:tcW w:w="2126" w:type="dxa"/>
            <w:tcBorders>
              <w:bottom w:val="single" w:sz="4" w:space="0" w:color="auto"/>
            </w:tcBorders>
            <w:vAlign w:val="center"/>
          </w:tcPr>
          <w:p w14:paraId="700EC549" w14:textId="77777777" w:rsidR="00B468F6" w:rsidRPr="00D479A4" w:rsidRDefault="00B468F6" w:rsidP="00B468F6">
            <w:pPr>
              <w:ind w:left="0"/>
              <w:jc w:val="center"/>
              <w:rPr>
                <w:sz w:val="20"/>
                <w:szCs w:val="20"/>
              </w:rPr>
            </w:pPr>
            <w:r>
              <w:rPr>
                <w:sz w:val="20"/>
                <w:szCs w:val="20"/>
              </w:rPr>
              <w:t>0</w:t>
            </w:r>
            <w:r w:rsidR="002F56BA">
              <w:rPr>
                <w:sz w:val="20"/>
                <w:szCs w:val="20"/>
              </w:rPr>
              <w:t>7</w:t>
            </w:r>
          </w:p>
        </w:tc>
        <w:tc>
          <w:tcPr>
            <w:tcW w:w="2044" w:type="dxa"/>
            <w:tcBorders>
              <w:bottom w:val="single" w:sz="4" w:space="0" w:color="auto"/>
            </w:tcBorders>
            <w:vAlign w:val="center"/>
          </w:tcPr>
          <w:p w14:paraId="01B37F07" w14:textId="77777777" w:rsidR="00B468F6" w:rsidRPr="00D479A4" w:rsidRDefault="00B468F6" w:rsidP="00B468F6">
            <w:pPr>
              <w:ind w:left="0"/>
              <w:jc w:val="center"/>
              <w:rPr>
                <w:sz w:val="20"/>
                <w:szCs w:val="20"/>
              </w:rPr>
            </w:pPr>
            <w:r>
              <w:rPr>
                <w:sz w:val="20"/>
                <w:szCs w:val="20"/>
                <w:lang w:val="en-US"/>
              </w:rPr>
              <w:t>1 142 500 000</w:t>
            </w:r>
          </w:p>
        </w:tc>
      </w:tr>
    </w:tbl>
    <w:p w14:paraId="16ADF7F1" w14:textId="77777777" w:rsidR="00307AAF" w:rsidRDefault="006B762B" w:rsidP="004402B6">
      <w:pPr>
        <w:pStyle w:val="Nadpis3"/>
        <w:tabs>
          <w:tab w:val="clear" w:pos="709"/>
          <w:tab w:val="clear" w:pos="851"/>
        </w:tabs>
        <w:jc w:val="both"/>
      </w:pPr>
      <w:bookmarkStart w:id="36" w:name="_Toc28951598"/>
      <w:r>
        <w:t>Súhrn plánovaného využitia technickej pomoci vrátane, ak je to vhodné, akcií na posilnenie administratívnej kapacity orgánov zapojených do riadenia a kontroly programu a prijímateľov (ak</w:t>
      </w:r>
      <w:r w:rsidR="00631CDB">
        <w:t> </w:t>
      </w:r>
      <w:r>
        <w:t>je to vhodné)</w:t>
      </w:r>
      <w:bookmarkEnd w:id="36"/>
    </w:p>
    <w:p w14:paraId="2B0D85CF" w14:textId="77777777" w:rsidR="008726AE" w:rsidRDefault="005342FD" w:rsidP="008726AE">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w:t>
      </w:r>
      <w:r w:rsidR="008726AE">
        <w:rPr>
          <w:sz w:val="22"/>
          <w:szCs w:val="22"/>
        </w:rPr>
        <w:t xml:space="preserve">enie projektov budú stanovené v </w:t>
      </w:r>
      <w:r w:rsidRPr="00A21DD4">
        <w:rPr>
          <w:sz w:val="22"/>
          <w:szCs w:val="22"/>
        </w:rPr>
        <w:t>riadiacej dokumentácii RO OPII</w:t>
      </w:r>
      <w:r w:rsidR="00A21DD4">
        <w:rPr>
          <w:sz w:val="22"/>
          <w:szCs w:val="22"/>
        </w:rPr>
        <w:t>.</w:t>
      </w:r>
    </w:p>
    <w:p w14:paraId="40D324F3" w14:textId="77777777" w:rsidR="00EE7ED9" w:rsidRDefault="00EE7ED9" w:rsidP="008726AE">
      <w:pPr>
        <w:jc w:val="both"/>
        <w:rPr>
          <w:sz w:val="22"/>
          <w:szCs w:val="22"/>
        </w:rPr>
        <w:sectPr w:rsidR="00EE7ED9" w:rsidSect="00D1658B">
          <w:headerReference w:type="default" r:id="rId25"/>
          <w:pgSz w:w="11906" w:h="16838"/>
          <w:pgMar w:top="1418" w:right="1361" w:bottom="1304" w:left="1474" w:header="709" w:footer="709" w:gutter="0"/>
          <w:cols w:space="708"/>
          <w:docGrid w:linePitch="360"/>
        </w:sectPr>
      </w:pPr>
    </w:p>
    <w:p w14:paraId="7F3D5471" w14:textId="77777777" w:rsidR="00307AAF" w:rsidRDefault="00373F09" w:rsidP="00ED7FB4">
      <w:pPr>
        <w:pStyle w:val="Nadpis2"/>
      </w:pPr>
      <w:bookmarkStart w:id="37" w:name="_Toc28951599"/>
      <w:r w:rsidRPr="00105418">
        <w:lastRenderedPageBreak/>
        <w:t>PRIORITNÁ OS 3</w:t>
      </w:r>
      <w:r w:rsidR="00266DA8" w:rsidRPr="00105418">
        <w:t xml:space="preserve">: </w:t>
      </w:r>
      <w:r w:rsidRPr="00105418">
        <w:t>VEREJNÁ OSOBNÁ DOPRAVA</w:t>
      </w:r>
      <w:bookmarkEnd w:id="37"/>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997578" w14:paraId="2658EA33" w14:textId="77777777" w:rsidTr="0095191D">
        <w:trPr>
          <w:trHeight w:hRule="exact" w:val="284"/>
          <w:jc w:val="center"/>
        </w:trPr>
        <w:tc>
          <w:tcPr>
            <w:tcW w:w="4404" w:type="dxa"/>
            <w:shd w:val="clear" w:color="auto" w:fill="DBE5F1" w:themeFill="accent1" w:themeFillTint="33"/>
            <w:vAlign w:val="center"/>
          </w:tcPr>
          <w:p w14:paraId="6EDD6EE8" w14:textId="77777777" w:rsidR="00997578" w:rsidRDefault="00997578" w:rsidP="005139F6">
            <w:pPr>
              <w:ind w:left="0"/>
            </w:pPr>
            <w:r w:rsidRPr="00863337">
              <w:rPr>
                <w:b/>
                <w:i/>
                <w:sz w:val="20"/>
                <w:szCs w:val="20"/>
              </w:rPr>
              <w:t>ID prioritnej osi</w:t>
            </w:r>
          </w:p>
        </w:tc>
        <w:tc>
          <w:tcPr>
            <w:tcW w:w="3534" w:type="dxa"/>
            <w:vAlign w:val="center"/>
          </w:tcPr>
          <w:p w14:paraId="3FF49DDC" w14:textId="77777777" w:rsidR="00997578" w:rsidRDefault="000A60F9" w:rsidP="00D83282">
            <w:pPr>
              <w:pStyle w:val="PRIORITNA"/>
              <w:numPr>
                <w:ilvl w:val="0"/>
                <w:numId w:val="0"/>
              </w:numPr>
              <w:jc w:val="left"/>
            </w:pPr>
            <w:r>
              <w:t>3</w:t>
            </w:r>
          </w:p>
        </w:tc>
      </w:tr>
      <w:tr w:rsidR="00997578" w14:paraId="1AF3632E" w14:textId="77777777" w:rsidTr="0095191D">
        <w:trPr>
          <w:trHeight w:hRule="exact" w:val="284"/>
          <w:jc w:val="center"/>
        </w:trPr>
        <w:tc>
          <w:tcPr>
            <w:tcW w:w="4404" w:type="dxa"/>
            <w:shd w:val="clear" w:color="auto" w:fill="DBE5F1" w:themeFill="accent1" w:themeFillTint="33"/>
            <w:vAlign w:val="center"/>
          </w:tcPr>
          <w:p w14:paraId="3C1D61DF" w14:textId="77777777" w:rsidR="00997578" w:rsidRPr="003D6170" w:rsidRDefault="00997578" w:rsidP="003D6170">
            <w:pPr>
              <w:ind w:left="0"/>
            </w:pPr>
            <w:r w:rsidRPr="003D6170">
              <w:rPr>
                <w:b/>
                <w:i/>
                <w:sz w:val="20"/>
                <w:szCs w:val="20"/>
              </w:rPr>
              <w:t>Názov prioritnej osi</w:t>
            </w:r>
          </w:p>
        </w:tc>
        <w:tc>
          <w:tcPr>
            <w:tcW w:w="3534" w:type="dxa"/>
            <w:vAlign w:val="center"/>
          </w:tcPr>
          <w:p w14:paraId="4E407C75" w14:textId="77777777" w:rsidR="00997578" w:rsidRPr="00750A42" w:rsidRDefault="00997578" w:rsidP="00D83282">
            <w:pPr>
              <w:ind w:left="0"/>
              <w:rPr>
                <w:sz w:val="20"/>
                <w:szCs w:val="20"/>
              </w:rPr>
            </w:pPr>
            <w:r>
              <w:rPr>
                <w:sz w:val="20"/>
                <w:szCs w:val="20"/>
              </w:rPr>
              <w:t>Verejná osobná doprava</w:t>
            </w:r>
          </w:p>
        </w:tc>
      </w:tr>
    </w:tbl>
    <w:p w14:paraId="0630AAEA" w14:textId="77777777" w:rsidR="00997578" w:rsidRDefault="00997578" w:rsidP="00E01D5B">
      <w:pPr>
        <w:pStyle w:val="PRIORITNA"/>
        <w:numPr>
          <w:ilvl w:val="0"/>
          <w:numId w:val="0"/>
        </w:numPr>
        <w:spacing w:after="0"/>
      </w:pPr>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997578" w:rsidRPr="00765DFA" w14:paraId="6DD9728F" w14:textId="77777777" w:rsidTr="0095191D">
        <w:trPr>
          <w:trHeight w:val="255"/>
          <w:jc w:val="center"/>
        </w:trPr>
        <w:tc>
          <w:tcPr>
            <w:tcW w:w="4396" w:type="dxa"/>
            <w:shd w:val="clear" w:color="auto" w:fill="DBE5F1" w:themeFill="accent1" w:themeFillTint="33"/>
            <w:vAlign w:val="center"/>
          </w:tcPr>
          <w:p w14:paraId="14198643" w14:textId="77777777" w:rsidR="00997578" w:rsidRPr="00765DFA" w:rsidRDefault="00997578"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3240751C" w14:textId="77777777" w:rsidR="00997578" w:rsidRPr="00765DFA" w:rsidRDefault="00997578" w:rsidP="005139F6">
            <w:pPr>
              <w:ind w:left="0"/>
              <w:rPr>
                <w:sz w:val="20"/>
                <w:szCs w:val="20"/>
              </w:rPr>
            </w:pPr>
            <w:r>
              <w:rPr>
                <w:sz w:val="20"/>
                <w:szCs w:val="20"/>
              </w:rPr>
              <w:t>Nie</w:t>
            </w:r>
          </w:p>
        </w:tc>
      </w:tr>
      <w:tr w:rsidR="00997578" w:rsidRPr="00765DFA" w14:paraId="42D89CF4" w14:textId="77777777" w:rsidTr="0095191D">
        <w:trPr>
          <w:trHeight w:val="255"/>
          <w:jc w:val="center"/>
        </w:trPr>
        <w:tc>
          <w:tcPr>
            <w:tcW w:w="4396" w:type="dxa"/>
            <w:shd w:val="clear" w:color="auto" w:fill="DBE5F1" w:themeFill="accent1" w:themeFillTint="33"/>
            <w:vAlign w:val="center"/>
          </w:tcPr>
          <w:p w14:paraId="4A0CCB6A" w14:textId="77777777" w:rsidR="00997578" w:rsidRPr="00765DFA" w:rsidRDefault="00997578"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67E477E6" w14:textId="77777777" w:rsidR="00997578" w:rsidRPr="00765DFA" w:rsidRDefault="00997578" w:rsidP="005139F6">
            <w:pPr>
              <w:ind w:left="0"/>
              <w:rPr>
                <w:sz w:val="20"/>
                <w:szCs w:val="20"/>
              </w:rPr>
            </w:pPr>
            <w:r>
              <w:rPr>
                <w:sz w:val="20"/>
                <w:szCs w:val="20"/>
              </w:rPr>
              <w:t>Nie</w:t>
            </w:r>
          </w:p>
        </w:tc>
      </w:tr>
      <w:tr w:rsidR="00997578" w:rsidRPr="00750A42" w14:paraId="1E371E63" w14:textId="77777777" w:rsidTr="0095191D">
        <w:trPr>
          <w:trHeight w:val="70"/>
          <w:jc w:val="center"/>
        </w:trPr>
        <w:tc>
          <w:tcPr>
            <w:tcW w:w="4396" w:type="dxa"/>
            <w:shd w:val="clear" w:color="auto" w:fill="DBE5F1" w:themeFill="accent1" w:themeFillTint="33"/>
            <w:vAlign w:val="center"/>
          </w:tcPr>
          <w:p w14:paraId="0B0A13C9" w14:textId="77777777" w:rsidR="00997578" w:rsidRPr="00765DFA" w:rsidRDefault="00997578"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1CA5C303" w14:textId="77777777" w:rsidR="00997578" w:rsidRPr="00750A42" w:rsidRDefault="00997578" w:rsidP="005139F6">
            <w:pPr>
              <w:ind w:left="0"/>
              <w:rPr>
                <w:sz w:val="20"/>
                <w:szCs w:val="20"/>
              </w:rPr>
            </w:pPr>
            <w:r>
              <w:rPr>
                <w:sz w:val="20"/>
                <w:szCs w:val="20"/>
              </w:rPr>
              <w:t>Nie</w:t>
            </w:r>
          </w:p>
        </w:tc>
      </w:tr>
      <w:tr w:rsidR="00997578" w:rsidRPr="00765DFA" w14:paraId="526DB03E" w14:textId="77777777" w:rsidTr="0095191D">
        <w:trPr>
          <w:jc w:val="center"/>
        </w:trPr>
        <w:tc>
          <w:tcPr>
            <w:tcW w:w="4396" w:type="dxa"/>
            <w:shd w:val="clear" w:color="auto" w:fill="DBE5F1" w:themeFill="accent1" w:themeFillTint="33"/>
          </w:tcPr>
          <w:p w14:paraId="43957CB4" w14:textId="77777777" w:rsidR="00997578" w:rsidRPr="00765DFA" w:rsidRDefault="00997578"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58DDDCD5" w14:textId="77777777" w:rsidR="00997578" w:rsidRPr="00765DFA" w:rsidRDefault="00997578" w:rsidP="005139F6">
            <w:pPr>
              <w:ind w:left="0"/>
              <w:rPr>
                <w:sz w:val="20"/>
                <w:szCs w:val="20"/>
              </w:rPr>
            </w:pPr>
            <w:r>
              <w:rPr>
                <w:sz w:val="20"/>
                <w:szCs w:val="20"/>
              </w:rPr>
              <w:t>N/A</w:t>
            </w:r>
          </w:p>
        </w:tc>
      </w:tr>
    </w:tbl>
    <w:p w14:paraId="550F24B2" w14:textId="77777777" w:rsidR="00307AAF" w:rsidRDefault="00266DA8" w:rsidP="00ED7FB4">
      <w:pPr>
        <w:pStyle w:val="Nadpis3"/>
      </w:pPr>
      <w:bookmarkStart w:id="38" w:name="_Toc28951600"/>
      <w:r>
        <w:t>Fond, kategória regiónu a základ pre výpočet podpory Únie</w:t>
      </w:r>
      <w:bookmarkEnd w:id="38"/>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266DA8" w14:paraId="3B04959F" w14:textId="77777777" w:rsidTr="0095191D">
        <w:trPr>
          <w:trHeight w:val="255"/>
          <w:jc w:val="center"/>
        </w:trPr>
        <w:tc>
          <w:tcPr>
            <w:tcW w:w="4042" w:type="dxa"/>
            <w:shd w:val="clear" w:color="auto" w:fill="DBE5F1" w:themeFill="accent1" w:themeFillTint="33"/>
            <w:vAlign w:val="center"/>
          </w:tcPr>
          <w:p w14:paraId="40FFA944" w14:textId="77777777" w:rsidR="00266DA8" w:rsidRPr="007A461E" w:rsidRDefault="00266DA8" w:rsidP="007A461E">
            <w:pPr>
              <w:ind w:left="0"/>
              <w:rPr>
                <w:b/>
                <w:i/>
                <w:sz w:val="20"/>
                <w:szCs w:val="20"/>
              </w:rPr>
            </w:pPr>
            <w:r w:rsidRPr="007A461E">
              <w:rPr>
                <w:b/>
                <w:i/>
                <w:sz w:val="20"/>
                <w:szCs w:val="20"/>
              </w:rPr>
              <w:t>Fond</w:t>
            </w:r>
          </w:p>
        </w:tc>
        <w:tc>
          <w:tcPr>
            <w:tcW w:w="3361" w:type="dxa"/>
            <w:vAlign w:val="center"/>
          </w:tcPr>
          <w:p w14:paraId="2B0D5F0F" w14:textId="77777777" w:rsidR="00266DA8" w:rsidRPr="007A461E" w:rsidRDefault="00266DA8" w:rsidP="007A461E">
            <w:pPr>
              <w:ind w:left="0"/>
              <w:rPr>
                <w:sz w:val="20"/>
                <w:szCs w:val="20"/>
              </w:rPr>
            </w:pPr>
            <w:r w:rsidRPr="007A461E">
              <w:rPr>
                <w:sz w:val="20"/>
                <w:szCs w:val="20"/>
              </w:rPr>
              <w:t>Kohézny fond</w:t>
            </w:r>
          </w:p>
        </w:tc>
      </w:tr>
      <w:tr w:rsidR="00266DA8" w14:paraId="3AD43700" w14:textId="77777777" w:rsidTr="0095191D">
        <w:trPr>
          <w:trHeight w:val="255"/>
          <w:jc w:val="center"/>
        </w:trPr>
        <w:tc>
          <w:tcPr>
            <w:tcW w:w="4042" w:type="dxa"/>
            <w:shd w:val="clear" w:color="auto" w:fill="DBE5F1" w:themeFill="accent1" w:themeFillTint="33"/>
            <w:vAlign w:val="center"/>
          </w:tcPr>
          <w:p w14:paraId="39ECC011" w14:textId="77777777" w:rsidR="00266DA8" w:rsidRPr="007A461E" w:rsidRDefault="00266DA8" w:rsidP="007A461E">
            <w:pPr>
              <w:ind w:left="0"/>
              <w:rPr>
                <w:b/>
                <w:i/>
                <w:sz w:val="20"/>
                <w:szCs w:val="20"/>
              </w:rPr>
            </w:pPr>
            <w:r w:rsidRPr="007A461E">
              <w:rPr>
                <w:b/>
                <w:i/>
                <w:sz w:val="20"/>
                <w:szCs w:val="20"/>
              </w:rPr>
              <w:t>Kategória regiónu</w:t>
            </w:r>
          </w:p>
        </w:tc>
        <w:tc>
          <w:tcPr>
            <w:tcW w:w="3361" w:type="dxa"/>
            <w:vAlign w:val="center"/>
          </w:tcPr>
          <w:p w14:paraId="4A9114B5" w14:textId="77777777" w:rsidR="00266DA8" w:rsidRPr="007A461E" w:rsidRDefault="00266DA8" w:rsidP="007A461E">
            <w:pPr>
              <w:ind w:left="0"/>
              <w:rPr>
                <w:sz w:val="20"/>
                <w:szCs w:val="20"/>
              </w:rPr>
            </w:pPr>
            <w:r w:rsidRPr="007A461E">
              <w:rPr>
                <w:sz w:val="20"/>
                <w:szCs w:val="20"/>
              </w:rPr>
              <w:t>N/A</w:t>
            </w:r>
          </w:p>
        </w:tc>
      </w:tr>
      <w:tr w:rsidR="00266DA8" w14:paraId="0E7D9DCE" w14:textId="77777777" w:rsidTr="0095191D">
        <w:trPr>
          <w:trHeight w:val="255"/>
          <w:jc w:val="center"/>
        </w:trPr>
        <w:tc>
          <w:tcPr>
            <w:tcW w:w="4042" w:type="dxa"/>
            <w:shd w:val="clear" w:color="auto" w:fill="DBE5F1" w:themeFill="accent1" w:themeFillTint="33"/>
            <w:vAlign w:val="center"/>
          </w:tcPr>
          <w:p w14:paraId="7A4ECD45" w14:textId="77777777" w:rsidR="00266DA8" w:rsidRPr="007A461E" w:rsidRDefault="00266DA8" w:rsidP="007A461E">
            <w:pPr>
              <w:ind w:left="0"/>
              <w:rPr>
                <w:b/>
                <w:i/>
                <w:sz w:val="20"/>
                <w:szCs w:val="20"/>
              </w:rPr>
            </w:pPr>
            <w:r w:rsidRPr="007A461E">
              <w:rPr>
                <w:b/>
                <w:i/>
                <w:sz w:val="20"/>
                <w:szCs w:val="20"/>
              </w:rPr>
              <w:t>Základ pre výpočet (celkový príspevok)</w:t>
            </w:r>
          </w:p>
        </w:tc>
        <w:tc>
          <w:tcPr>
            <w:tcW w:w="3361" w:type="dxa"/>
            <w:vAlign w:val="center"/>
          </w:tcPr>
          <w:p w14:paraId="3C25BAD7" w14:textId="4777E501" w:rsidR="00266DA8" w:rsidRPr="007A461E" w:rsidRDefault="006C7788" w:rsidP="006C7788">
            <w:pPr>
              <w:ind w:left="0"/>
              <w:rPr>
                <w:sz w:val="20"/>
                <w:szCs w:val="20"/>
                <w:lang w:val="en-US"/>
              </w:rPr>
            </w:pPr>
            <w:r>
              <w:rPr>
                <w:sz w:val="20"/>
                <w:szCs w:val="20"/>
                <w:lang w:val="en-US"/>
              </w:rPr>
              <w:t>387 455 295</w:t>
            </w:r>
            <w:r w:rsidR="00662EB4">
              <w:rPr>
                <w:sz w:val="20"/>
                <w:szCs w:val="20"/>
                <w:lang w:val="en-US"/>
              </w:rPr>
              <w:t xml:space="preserve"> EUR</w:t>
            </w:r>
          </w:p>
        </w:tc>
      </w:tr>
      <w:tr w:rsidR="00266DA8" w14:paraId="30BACEB3" w14:textId="77777777" w:rsidTr="00C63371">
        <w:trPr>
          <w:trHeight w:val="255"/>
          <w:jc w:val="center"/>
        </w:trPr>
        <w:tc>
          <w:tcPr>
            <w:tcW w:w="4042" w:type="dxa"/>
            <w:shd w:val="clear" w:color="auto" w:fill="DBE5F1" w:themeFill="accent1" w:themeFillTint="33"/>
          </w:tcPr>
          <w:p w14:paraId="041B9732" w14:textId="77777777" w:rsidR="00266DA8" w:rsidRPr="007A461E" w:rsidRDefault="00266DA8" w:rsidP="00017B79">
            <w:pPr>
              <w:ind w:left="0"/>
              <w:rPr>
                <w:b/>
                <w:i/>
                <w:sz w:val="20"/>
                <w:szCs w:val="20"/>
              </w:rPr>
            </w:pPr>
            <w:r w:rsidRPr="007A461E">
              <w:rPr>
                <w:b/>
                <w:i/>
                <w:sz w:val="20"/>
                <w:szCs w:val="20"/>
              </w:rPr>
              <w:t>Kategória regiónu pre najvzdialenejšie a severné riedko osídlené regióny (ak je to vhodné)</w:t>
            </w:r>
          </w:p>
        </w:tc>
        <w:tc>
          <w:tcPr>
            <w:tcW w:w="3361" w:type="dxa"/>
            <w:vAlign w:val="center"/>
          </w:tcPr>
          <w:p w14:paraId="318404D9" w14:textId="77777777" w:rsidR="00266DA8" w:rsidRPr="007A461E" w:rsidRDefault="00266DA8" w:rsidP="00C63371">
            <w:pPr>
              <w:ind w:left="0"/>
              <w:rPr>
                <w:sz w:val="20"/>
                <w:szCs w:val="20"/>
              </w:rPr>
            </w:pPr>
            <w:r w:rsidRPr="007A461E">
              <w:rPr>
                <w:sz w:val="20"/>
                <w:szCs w:val="20"/>
              </w:rPr>
              <w:t>N/A</w:t>
            </w:r>
          </w:p>
        </w:tc>
      </w:tr>
    </w:tbl>
    <w:p w14:paraId="09988904" w14:textId="77777777" w:rsidR="00307AAF" w:rsidRDefault="00266DA8" w:rsidP="001661A9">
      <w:pPr>
        <w:pStyle w:val="Nadpis3"/>
        <w:tabs>
          <w:tab w:val="clear" w:pos="851"/>
          <w:tab w:val="num" w:pos="709"/>
        </w:tabs>
        <w:ind w:left="709" w:hanging="709"/>
        <w:jc w:val="both"/>
      </w:pPr>
      <w:bookmarkStart w:id="39" w:name="_Toc28951601"/>
      <w:r>
        <w:t>INVEST</w:t>
      </w:r>
      <w:r w:rsidR="00E9201F">
        <w:t xml:space="preserve">IČNÁ PRIORITA </w:t>
      </w:r>
      <w:r w:rsidR="002B58BC">
        <w:t>7ii</w:t>
      </w:r>
      <w:r w:rsidR="00997578">
        <w:t>)</w:t>
      </w:r>
      <w:r>
        <w:t xml:space="preserve">: </w:t>
      </w:r>
      <w:r w:rsidR="00373F09" w:rsidRPr="00373F09">
        <w:t>Vývoj a zlepšovanie ekologicky priaznivých, vrátane nízkohlukových, a nízkouhlíkových dopravných systémov vrátane vnútrozemských vodných ciest a námornej dopravy, prístavov, multimodálnych prepojen</w:t>
      </w:r>
      <w:r w:rsidR="00373F09">
        <w:t>í a letiskovej infraštruktúry v </w:t>
      </w:r>
      <w:r w:rsidR="00373F09" w:rsidRPr="00373F09">
        <w:t>záujme podpory udržateľnej regionálnej a miestnej mobility</w:t>
      </w:r>
      <w:bookmarkEnd w:id="39"/>
    </w:p>
    <w:p w14:paraId="3BCD05B7" w14:textId="77777777" w:rsidR="00307AAF" w:rsidRDefault="00266DA8" w:rsidP="00ED7FB4">
      <w:pPr>
        <w:pStyle w:val="Nadpis4"/>
      </w:pPr>
      <w:r>
        <w:t>Špecifické ciele investičnej priority a očakávané výsledky</w:t>
      </w:r>
    </w:p>
    <w:p w14:paraId="43611E37" w14:textId="77777777" w:rsidR="00266DA8" w:rsidRPr="006B762B" w:rsidRDefault="00266DA8" w:rsidP="002E1021">
      <w:pPr>
        <w:shd w:val="clear" w:color="auto" w:fill="FFFFCC"/>
        <w:jc w:val="both"/>
        <w:rPr>
          <w:b/>
          <w:i/>
        </w:rPr>
      </w:pPr>
      <w:r w:rsidRPr="004F0234">
        <w:rPr>
          <w:i/>
        </w:rPr>
        <w:t xml:space="preserve">ŠPECIFICKÝ CIEĽ </w:t>
      </w:r>
      <w:r w:rsidR="00E87153">
        <w:rPr>
          <w:i/>
        </w:rPr>
        <w:t>3.</w:t>
      </w:r>
      <w:r>
        <w:rPr>
          <w:i/>
        </w:rPr>
        <w:t>1</w:t>
      </w:r>
      <w:r w:rsidRPr="004F0234">
        <w:rPr>
          <w:i/>
        </w:rPr>
        <w:t>:</w:t>
      </w:r>
      <w:r>
        <w:rPr>
          <w:i/>
        </w:rPr>
        <w:t xml:space="preserve"> </w:t>
      </w:r>
      <w:r w:rsidR="00225C2F" w:rsidRPr="00225C2F">
        <w:rPr>
          <w:b/>
          <w:i/>
        </w:rPr>
        <w:t xml:space="preserve">Zvýšenie atraktivity verejnej osobnej dopravy prostredníctvom </w:t>
      </w:r>
      <w:r w:rsidR="00D03E06">
        <w:rPr>
          <w:b/>
          <w:i/>
        </w:rPr>
        <w:t xml:space="preserve">modernizácie a rekonštrukcie </w:t>
      </w:r>
      <w:r w:rsidR="00225C2F" w:rsidRPr="00225C2F">
        <w:rPr>
          <w:b/>
          <w:i/>
        </w:rPr>
        <w:t>infraštruktúr</w:t>
      </w:r>
      <w:r w:rsidR="00225C2F">
        <w:rPr>
          <w:b/>
          <w:i/>
        </w:rPr>
        <w:t>y pre</w:t>
      </w:r>
      <w:r w:rsidR="005B631E" w:rsidRPr="005B631E">
        <w:rPr>
          <w:b/>
          <w:i/>
        </w:rPr>
        <w:t xml:space="preserve"> IDS a</w:t>
      </w:r>
      <w:r w:rsidR="00225C2F">
        <w:rPr>
          <w:b/>
          <w:i/>
        </w:rPr>
        <w:t> mestskú dráhovú dopravu</w:t>
      </w:r>
    </w:p>
    <w:p w14:paraId="7FD0EA8F" w14:textId="77777777" w:rsidR="00507A88" w:rsidRPr="00A21DD4" w:rsidRDefault="00BD3F53" w:rsidP="005B631E">
      <w:pPr>
        <w:autoSpaceDE w:val="0"/>
        <w:autoSpaceDN w:val="0"/>
        <w:adjustRightInd w:val="0"/>
        <w:spacing w:before="180"/>
        <w:jc w:val="both"/>
        <w:rPr>
          <w:sz w:val="22"/>
          <w:szCs w:val="22"/>
        </w:rPr>
      </w:pPr>
      <w:r w:rsidRPr="00A21DD4">
        <w:rPr>
          <w:b/>
          <w:sz w:val="22"/>
          <w:szCs w:val="22"/>
        </w:rPr>
        <w:t>N</w:t>
      </w:r>
      <w:r w:rsidR="0019490B" w:rsidRPr="00A21DD4">
        <w:rPr>
          <w:b/>
          <w:sz w:val="22"/>
          <w:szCs w:val="22"/>
        </w:rPr>
        <w:t>a </w:t>
      </w:r>
      <w:r w:rsidR="005B631E" w:rsidRPr="00A21DD4">
        <w:rPr>
          <w:b/>
          <w:sz w:val="22"/>
          <w:szCs w:val="22"/>
        </w:rPr>
        <w:t xml:space="preserve">rozšírenie </w:t>
      </w:r>
      <w:r w:rsidRPr="00A21DD4">
        <w:rPr>
          <w:b/>
          <w:sz w:val="22"/>
          <w:szCs w:val="22"/>
        </w:rPr>
        <w:t>IDS</w:t>
      </w:r>
      <w:r w:rsidR="005B631E" w:rsidRPr="00A21DD4">
        <w:rPr>
          <w:b/>
          <w:sz w:val="22"/>
          <w:szCs w:val="22"/>
        </w:rPr>
        <w:t xml:space="preserve"> chýba nielen realizácia zmien v organizovaní a prevádzke </w:t>
      </w:r>
      <w:r w:rsidRPr="00A21DD4">
        <w:rPr>
          <w:b/>
          <w:sz w:val="22"/>
          <w:szCs w:val="22"/>
        </w:rPr>
        <w:t>VOD</w:t>
      </w:r>
      <w:r w:rsidR="0019490B" w:rsidRPr="00A21DD4">
        <w:rPr>
          <w:b/>
          <w:sz w:val="22"/>
          <w:szCs w:val="22"/>
        </w:rPr>
        <w:t xml:space="preserve">, ale aj </w:t>
      </w:r>
      <w:r w:rsidRPr="00A21DD4">
        <w:rPr>
          <w:b/>
          <w:sz w:val="22"/>
          <w:szCs w:val="22"/>
        </w:rPr>
        <w:t>nadväzná</w:t>
      </w:r>
      <w:r w:rsidR="0019490B" w:rsidRPr="00A21DD4">
        <w:rPr>
          <w:b/>
          <w:sz w:val="22"/>
          <w:szCs w:val="22"/>
        </w:rPr>
        <w:t xml:space="preserve"> dopravn</w:t>
      </w:r>
      <w:r w:rsidRPr="00A21DD4">
        <w:rPr>
          <w:b/>
          <w:sz w:val="22"/>
          <w:szCs w:val="22"/>
        </w:rPr>
        <w:t>á</w:t>
      </w:r>
      <w:r w:rsidR="0019490B" w:rsidRPr="00A21DD4">
        <w:rPr>
          <w:b/>
          <w:sz w:val="22"/>
          <w:szCs w:val="22"/>
        </w:rPr>
        <w:t xml:space="preserve"> infraštruktúr</w:t>
      </w:r>
      <w:r w:rsidRPr="00A21DD4">
        <w:rPr>
          <w:b/>
          <w:sz w:val="22"/>
          <w:szCs w:val="22"/>
        </w:rPr>
        <w:t>a</w:t>
      </w:r>
      <w:r w:rsidR="005B631E" w:rsidRPr="00A21DD4">
        <w:rPr>
          <w:sz w:val="22"/>
          <w:szCs w:val="22"/>
        </w:rPr>
        <w:t>. Aktivity v oblasti mestskej dráhovej dopravy</w:t>
      </w:r>
      <w:r w:rsidRPr="00A21DD4">
        <w:rPr>
          <w:sz w:val="22"/>
          <w:szCs w:val="22"/>
        </w:rPr>
        <w:t xml:space="preserve"> (električková a trolejbusová doprava)</w:t>
      </w:r>
      <w:r w:rsidR="005B631E" w:rsidRPr="00A21DD4">
        <w:rPr>
          <w:sz w:val="22"/>
          <w:szCs w:val="22"/>
        </w:rPr>
        <w:t xml:space="preserve"> </w:t>
      </w:r>
      <w:r w:rsidR="00507A88" w:rsidRPr="00A21DD4">
        <w:rPr>
          <w:sz w:val="22"/>
          <w:szCs w:val="22"/>
        </w:rPr>
        <w:t>vychádzajú</w:t>
      </w:r>
      <w:r w:rsidR="005B631E" w:rsidRPr="00A21DD4">
        <w:rPr>
          <w:sz w:val="22"/>
          <w:szCs w:val="22"/>
        </w:rPr>
        <w:t xml:space="preserve"> z nedostatkov identifikovaných v Stratégii </w:t>
      </w:r>
      <w:r w:rsidR="0079404A" w:rsidRPr="00A21DD4">
        <w:rPr>
          <w:sz w:val="22"/>
          <w:szCs w:val="22"/>
        </w:rPr>
        <w:t>VOD</w:t>
      </w:r>
      <w:r w:rsidR="005B631E" w:rsidRPr="00A21DD4">
        <w:rPr>
          <w:sz w:val="22"/>
          <w:szCs w:val="22"/>
        </w:rPr>
        <w:t>.</w:t>
      </w:r>
    </w:p>
    <w:p w14:paraId="0CC37433" w14:textId="77777777" w:rsidR="006272CE" w:rsidRPr="00A21DD4" w:rsidRDefault="006272CE" w:rsidP="006272CE">
      <w:pPr>
        <w:spacing w:before="180"/>
        <w:jc w:val="both"/>
        <w:rPr>
          <w:b/>
          <w:sz w:val="22"/>
          <w:szCs w:val="22"/>
        </w:rPr>
      </w:pPr>
      <w:r w:rsidRPr="00A21DD4">
        <w:rPr>
          <w:b/>
          <w:sz w:val="22"/>
          <w:szCs w:val="22"/>
        </w:rPr>
        <w:t xml:space="preserve">Podpora potenciálnych projektov bude podmienená existenciou komplexného strategického plánu udržateľného rozvoja dopravy v jednotlivých mestách, resp. regiónoch (generel dopravy, </w:t>
      </w:r>
      <w:r w:rsidR="00D45E43" w:rsidRPr="00A21DD4">
        <w:rPr>
          <w:b/>
          <w:sz w:val="22"/>
          <w:szCs w:val="22"/>
        </w:rPr>
        <w:t>PUMM</w:t>
      </w:r>
      <w:r w:rsidRPr="00A21DD4">
        <w:rPr>
          <w:b/>
          <w:sz w:val="22"/>
          <w:szCs w:val="22"/>
        </w:rPr>
        <w:t>).</w:t>
      </w:r>
    </w:p>
    <w:p w14:paraId="414D92EE" w14:textId="77777777" w:rsidR="00266DA8" w:rsidRPr="00A21DD4" w:rsidRDefault="00266DA8" w:rsidP="001B2070">
      <w:pPr>
        <w:spacing w:before="180" w:after="120"/>
        <w:rPr>
          <w:rFonts w:ascii="Arial Narrow" w:hAnsi="Arial Narrow"/>
          <w:b/>
          <w:i/>
          <w:color w:val="548DD4" w:themeColor="text2" w:themeTint="99"/>
          <w:sz w:val="22"/>
          <w:szCs w:val="22"/>
        </w:rPr>
      </w:pPr>
      <w:r w:rsidRPr="00A21DD4">
        <w:rPr>
          <w:rFonts w:ascii="Arial Narrow" w:hAnsi="Arial Narrow"/>
          <w:b/>
          <w:i/>
          <w:color w:val="548DD4" w:themeColor="text2" w:themeTint="99"/>
          <w:sz w:val="22"/>
          <w:szCs w:val="22"/>
        </w:rPr>
        <w:t>VÝSLEDKY</w:t>
      </w:r>
    </w:p>
    <w:p w14:paraId="580A9C76" w14:textId="77777777" w:rsidR="009E0158" w:rsidRDefault="000D7807" w:rsidP="00CF7857">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zvýšenie atraktívnosti verejnej osobnej dopravy,</w:t>
      </w:r>
    </w:p>
    <w:p w14:paraId="2A213934" w14:textId="77777777" w:rsidR="009E0158" w:rsidRDefault="008A66A2" w:rsidP="00CF7857">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zlepšenie kvality služieb poskytovaných v MHD vo veľkých aglomeráciách (úspora času, rozšírenie ponuky služieb, zvýšenie komfortu a spoľahlivosti a pod.),</w:t>
      </w:r>
    </w:p>
    <w:p w14:paraId="579C4DAA" w14:textId="77777777" w:rsidR="009E0158" w:rsidRDefault="00BD3F53" w:rsidP="00CF7857">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zlepšenie kvality údržby dráhových vozidiel MHD,</w:t>
      </w:r>
    </w:p>
    <w:p w14:paraId="225C616E" w14:textId="77777777" w:rsidR="009E0158" w:rsidRDefault="008A66A2" w:rsidP="00CF7857">
      <w:pPr>
        <w:pStyle w:val="Odsekzoznamu"/>
        <w:numPr>
          <w:ilvl w:val="0"/>
          <w:numId w:val="46"/>
        </w:numPr>
        <w:autoSpaceDE w:val="0"/>
        <w:autoSpaceDN w:val="0"/>
        <w:adjustRightInd w:val="0"/>
        <w:spacing w:before="120"/>
        <w:ind w:left="851" w:hanging="425"/>
        <w:jc w:val="both"/>
        <w:rPr>
          <w:sz w:val="22"/>
          <w:szCs w:val="22"/>
        </w:rPr>
      </w:pPr>
      <w:r w:rsidRPr="00A21DD4">
        <w:rPr>
          <w:sz w:val="22"/>
          <w:szCs w:val="22"/>
        </w:rPr>
        <w:t>infraštruktúra umožňujúca zvýšenie podielu cestujúcich verejnej</w:t>
      </w:r>
      <w:r w:rsidRPr="008A66A2">
        <w:rPr>
          <w:sz w:val="22"/>
          <w:szCs w:val="22"/>
        </w:rPr>
        <w:t xml:space="preserve"> osobnej dopravy na deľbe prepravnej prác</w:t>
      </w:r>
      <w:r>
        <w:rPr>
          <w:sz w:val="22"/>
          <w:szCs w:val="22"/>
        </w:rPr>
        <w:t>e,</w:t>
      </w:r>
    </w:p>
    <w:p w14:paraId="4D12774D" w14:textId="77777777" w:rsidR="009E0158" w:rsidRDefault="008A66A2" w:rsidP="00CF7857">
      <w:pPr>
        <w:pStyle w:val="Odsekzoznamu"/>
        <w:numPr>
          <w:ilvl w:val="0"/>
          <w:numId w:val="46"/>
        </w:numPr>
        <w:autoSpaceDE w:val="0"/>
        <w:autoSpaceDN w:val="0"/>
        <w:adjustRightInd w:val="0"/>
        <w:spacing w:before="180"/>
        <w:ind w:left="851" w:hanging="425"/>
        <w:jc w:val="both"/>
        <w:rPr>
          <w:sz w:val="22"/>
          <w:szCs w:val="22"/>
        </w:rPr>
      </w:pPr>
      <w:r>
        <w:rPr>
          <w:sz w:val="22"/>
          <w:szCs w:val="22"/>
        </w:rPr>
        <w:t>zníženie negatívnych vplyvov na životné prostredie (zníženie hlukovej</w:t>
      </w:r>
      <w:r w:rsidR="00695031">
        <w:rPr>
          <w:sz w:val="22"/>
          <w:szCs w:val="22"/>
        </w:rPr>
        <w:t xml:space="preserve"> záťaže</w:t>
      </w:r>
      <w:r>
        <w:rPr>
          <w:sz w:val="22"/>
          <w:szCs w:val="22"/>
        </w:rPr>
        <w:t xml:space="preserve"> a</w:t>
      </w:r>
      <w:r w:rsidR="00695031">
        <w:rPr>
          <w:sz w:val="22"/>
          <w:szCs w:val="22"/>
        </w:rPr>
        <w:t> </w:t>
      </w:r>
      <w:r>
        <w:rPr>
          <w:sz w:val="22"/>
          <w:szCs w:val="22"/>
        </w:rPr>
        <w:t>emi</w:t>
      </w:r>
      <w:r w:rsidR="00695031">
        <w:rPr>
          <w:sz w:val="22"/>
          <w:szCs w:val="22"/>
        </w:rPr>
        <w:t>sií CO</w:t>
      </w:r>
      <w:r w:rsidR="00695031">
        <w:rPr>
          <w:sz w:val="22"/>
          <w:szCs w:val="22"/>
          <w:vertAlign w:val="subscript"/>
        </w:rPr>
        <w:t>2</w:t>
      </w:r>
      <w:r w:rsidR="00695031">
        <w:rPr>
          <w:sz w:val="22"/>
          <w:szCs w:val="22"/>
        </w:rPr>
        <w:t>, NO</w:t>
      </w:r>
      <w:r w:rsidR="00695031">
        <w:rPr>
          <w:sz w:val="22"/>
          <w:szCs w:val="22"/>
          <w:vertAlign w:val="subscript"/>
        </w:rPr>
        <w:t>2</w:t>
      </w:r>
      <w:r w:rsidR="00695031">
        <w:rPr>
          <w:sz w:val="22"/>
          <w:szCs w:val="22"/>
        </w:rPr>
        <w:t xml:space="preserve"> a</w:t>
      </w:r>
      <w:r w:rsidR="00FB648D">
        <w:rPr>
          <w:sz w:val="22"/>
          <w:szCs w:val="22"/>
        </w:rPr>
        <w:t> </w:t>
      </w:r>
      <w:r w:rsidR="00695031">
        <w:rPr>
          <w:sz w:val="22"/>
          <w:szCs w:val="22"/>
        </w:rPr>
        <w:t>PM</w:t>
      </w:r>
      <w:r w:rsidR="00307AAF" w:rsidRPr="00307AAF">
        <w:rPr>
          <w:sz w:val="22"/>
          <w:szCs w:val="22"/>
          <w:vertAlign w:val="subscript"/>
        </w:rPr>
        <w:t>10</w:t>
      </w:r>
      <w:r w:rsidR="00786749">
        <w:rPr>
          <w:sz w:val="22"/>
          <w:szCs w:val="22"/>
        </w:rPr>
        <w:t>)</w:t>
      </w:r>
      <w:r w:rsidR="00B24732">
        <w:rPr>
          <w:rStyle w:val="Odkaznapoznmkupodiarou"/>
          <w:sz w:val="22"/>
          <w:szCs w:val="22"/>
        </w:rPr>
        <w:footnoteReference w:id="63"/>
      </w:r>
      <w:r w:rsidR="000D7807">
        <w:rPr>
          <w:sz w:val="22"/>
          <w:szCs w:val="22"/>
        </w:rPr>
        <w:t>.</w:t>
      </w:r>
    </w:p>
    <w:p w14:paraId="5877A39B" w14:textId="77777777" w:rsidR="00307AAF" w:rsidRDefault="00307AAF" w:rsidP="00307AAF">
      <w:pPr>
        <w:pStyle w:val="Tab"/>
        <w:numPr>
          <w:ilvl w:val="0"/>
          <w:numId w:val="0"/>
        </w:numPr>
        <w:ind w:left="360" w:hanging="360"/>
      </w:pPr>
    </w:p>
    <w:p w14:paraId="00CC5AF6" w14:textId="77777777" w:rsidR="007E1F87" w:rsidRDefault="00BB2B1D" w:rsidP="00747F12">
      <w:pPr>
        <w:pStyle w:val="Tab"/>
      </w:pPr>
      <w:r w:rsidRPr="004F0234">
        <w:lastRenderedPageBreak/>
        <w:t>Výsledkové ukazovatele zodpovedajúce špecifickému cieľu</w:t>
      </w:r>
      <w:r w:rsidR="00350B96">
        <w:t xml:space="preserve"> 3.1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C837C9" w:rsidRPr="008C1732" w14:paraId="0EDB2DA9" w14:textId="77777777" w:rsidTr="0095191D">
        <w:trPr>
          <w:trHeight w:val="487"/>
          <w:jc w:val="center"/>
        </w:trPr>
        <w:tc>
          <w:tcPr>
            <w:tcW w:w="598" w:type="dxa"/>
            <w:shd w:val="clear" w:color="auto" w:fill="C6D9F1" w:themeFill="text2" w:themeFillTint="33"/>
            <w:vAlign w:val="center"/>
          </w:tcPr>
          <w:p w14:paraId="3ACA4730" w14:textId="77777777" w:rsidR="00C837C9" w:rsidRPr="008C1732" w:rsidRDefault="00C837C9" w:rsidP="00816B1A">
            <w:pPr>
              <w:ind w:left="0"/>
              <w:jc w:val="center"/>
              <w:rPr>
                <w:b/>
                <w:sz w:val="18"/>
                <w:szCs w:val="18"/>
              </w:rPr>
            </w:pPr>
            <w:r>
              <w:rPr>
                <w:b/>
                <w:sz w:val="18"/>
                <w:szCs w:val="18"/>
              </w:rPr>
              <w:t>P. č.</w:t>
            </w:r>
          </w:p>
        </w:tc>
        <w:tc>
          <w:tcPr>
            <w:tcW w:w="1391" w:type="dxa"/>
            <w:shd w:val="clear" w:color="auto" w:fill="C6D9F1" w:themeFill="text2" w:themeFillTint="33"/>
            <w:vAlign w:val="center"/>
          </w:tcPr>
          <w:p w14:paraId="7D19E2A3" w14:textId="77777777" w:rsidR="00C837C9" w:rsidRPr="008C1732" w:rsidRDefault="00C837C9"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65188997" w14:textId="77777777" w:rsidR="00C837C9" w:rsidRPr="008C1732" w:rsidRDefault="00C837C9" w:rsidP="00816B1A">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796341CA" w14:textId="77777777" w:rsidR="00C837C9" w:rsidRPr="008C1732" w:rsidRDefault="00C837C9"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6FDFDDB6" w14:textId="77777777" w:rsidR="00C837C9" w:rsidRPr="008C1732" w:rsidRDefault="00C837C9"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7A498EB8" w14:textId="77777777" w:rsidR="00C837C9" w:rsidRPr="008C1732" w:rsidRDefault="00C837C9" w:rsidP="00816B1A">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72F50F91" w14:textId="77777777" w:rsidR="00C837C9" w:rsidRPr="008C1732" w:rsidRDefault="00C837C9" w:rsidP="00816B1A">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3E632F14" w14:textId="77777777" w:rsidR="00C837C9" w:rsidRPr="008C1732" w:rsidRDefault="00C837C9" w:rsidP="00816B1A">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7E11E06A" w14:textId="77777777" w:rsidR="00C837C9" w:rsidRPr="008C1732" w:rsidRDefault="00C837C9" w:rsidP="00816B1A">
            <w:pPr>
              <w:ind w:left="0"/>
              <w:jc w:val="center"/>
              <w:rPr>
                <w:b/>
                <w:sz w:val="18"/>
                <w:szCs w:val="18"/>
              </w:rPr>
            </w:pPr>
            <w:r w:rsidRPr="008C1732">
              <w:rPr>
                <w:b/>
                <w:sz w:val="18"/>
                <w:szCs w:val="18"/>
              </w:rPr>
              <w:t>Frekvencia vykazovania</w:t>
            </w:r>
          </w:p>
        </w:tc>
      </w:tr>
      <w:tr w:rsidR="00C837C9" w:rsidRPr="00DA54A1" w14:paraId="6E7CFADC" w14:textId="77777777" w:rsidTr="0095191D">
        <w:trPr>
          <w:trHeight w:val="680"/>
          <w:jc w:val="center"/>
        </w:trPr>
        <w:tc>
          <w:tcPr>
            <w:tcW w:w="598" w:type="dxa"/>
            <w:shd w:val="clear" w:color="auto" w:fill="auto"/>
            <w:vAlign w:val="center"/>
          </w:tcPr>
          <w:p w14:paraId="09735648" w14:textId="77777777" w:rsidR="00C837C9" w:rsidRPr="00336C1F" w:rsidRDefault="00C837C9" w:rsidP="00816B1A">
            <w:pPr>
              <w:ind w:left="0"/>
              <w:jc w:val="center"/>
              <w:rPr>
                <w:sz w:val="20"/>
                <w:szCs w:val="20"/>
              </w:rPr>
            </w:pPr>
            <w:r>
              <w:rPr>
                <w:sz w:val="20"/>
                <w:szCs w:val="20"/>
              </w:rPr>
              <w:t>1.</w:t>
            </w:r>
          </w:p>
        </w:tc>
        <w:tc>
          <w:tcPr>
            <w:tcW w:w="1391" w:type="dxa"/>
            <w:shd w:val="clear" w:color="auto" w:fill="auto"/>
            <w:vAlign w:val="center"/>
          </w:tcPr>
          <w:p w14:paraId="28C1D03D" w14:textId="77777777" w:rsidR="00C837C9" w:rsidRPr="00AB18C1" w:rsidRDefault="00C837C9" w:rsidP="00225C2F">
            <w:pPr>
              <w:ind w:left="0"/>
              <w:rPr>
                <w:sz w:val="20"/>
                <w:szCs w:val="20"/>
              </w:rPr>
            </w:pPr>
            <w:r>
              <w:rPr>
                <w:sz w:val="20"/>
                <w:szCs w:val="20"/>
              </w:rPr>
              <w:t xml:space="preserve">Úspora času </w:t>
            </w:r>
            <w:r>
              <w:rPr>
                <w:sz w:val="20"/>
                <w:szCs w:val="20"/>
              </w:rPr>
              <w:br/>
              <w:t>v</w:t>
            </w:r>
            <w:r w:rsidR="00225C2F">
              <w:rPr>
                <w:sz w:val="20"/>
                <w:szCs w:val="20"/>
              </w:rPr>
              <w:t>o verejnej osobnej doprave</w:t>
            </w:r>
          </w:p>
        </w:tc>
        <w:tc>
          <w:tcPr>
            <w:tcW w:w="897" w:type="dxa"/>
            <w:shd w:val="clear" w:color="auto" w:fill="auto"/>
            <w:vAlign w:val="center"/>
          </w:tcPr>
          <w:p w14:paraId="2E5E83F6" w14:textId="77777777" w:rsidR="00C837C9" w:rsidRPr="00DA54A1" w:rsidRDefault="00C837C9" w:rsidP="00816B1A">
            <w:pPr>
              <w:ind w:left="0"/>
              <w:jc w:val="center"/>
              <w:rPr>
                <w:i/>
                <w:sz w:val="20"/>
                <w:szCs w:val="20"/>
              </w:rPr>
            </w:pPr>
            <w:r>
              <w:rPr>
                <w:i/>
                <w:sz w:val="20"/>
                <w:szCs w:val="20"/>
              </w:rPr>
              <w:t>EUR</w:t>
            </w:r>
          </w:p>
        </w:tc>
        <w:tc>
          <w:tcPr>
            <w:tcW w:w="997" w:type="dxa"/>
            <w:shd w:val="clear" w:color="auto" w:fill="auto"/>
            <w:vAlign w:val="center"/>
          </w:tcPr>
          <w:p w14:paraId="7AF93900" w14:textId="77777777" w:rsidR="00C837C9" w:rsidRPr="00DA54A1" w:rsidRDefault="00C837C9" w:rsidP="00816B1A">
            <w:pPr>
              <w:ind w:left="0"/>
              <w:jc w:val="center"/>
              <w:rPr>
                <w:i/>
                <w:sz w:val="20"/>
                <w:szCs w:val="20"/>
              </w:rPr>
            </w:pPr>
            <w:r w:rsidRPr="00DA54A1">
              <w:rPr>
                <w:i/>
                <w:sz w:val="20"/>
                <w:szCs w:val="20"/>
              </w:rPr>
              <w:t>N/A</w:t>
            </w:r>
          </w:p>
        </w:tc>
        <w:tc>
          <w:tcPr>
            <w:tcW w:w="1297" w:type="dxa"/>
            <w:vAlign w:val="center"/>
          </w:tcPr>
          <w:p w14:paraId="460C9D86" w14:textId="77777777" w:rsidR="00C837C9" w:rsidRPr="00DA54A1" w:rsidRDefault="00952C31" w:rsidP="00816B1A">
            <w:pPr>
              <w:ind w:left="0"/>
              <w:jc w:val="center"/>
              <w:rPr>
                <w:i/>
                <w:sz w:val="20"/>
                <w:szCs w:val="20"/>
              </w:rPr>
            </w:pPr>
            <w:r>
              <w:rPr>
                <w:i/>
                <w:sz w:val="20"/>
                <w:szCs w:val="20"/>
              </w:rPr>
              <w:t>33 752 086</w:t>
            </w:r>
          </w:p>
        </w:tc>
        <w:tc>
          <w:tcPr>
            <w:tcW w:w="1297" w:type="dxa"/>
            <w:vAlign w:val="center"/>
          </w:tcPr>
          <w:p w14:paraId="6D040680" w14:textId="77777777" w:rsidR="00C837C9" w:rsidRPr="00DA54A1" w:rsidRDefault="00C837C9" w:rsidP="00816B1A">
            <w:pPr>
              <w:ind w:left="0"/>
              <w:jc w:val="center"/>
              <w:rPr>
                <w:i/>
                <w:sz w:val="20"/>
                <w:szCs w:val="20"/>
              </w:rPr>
            </w:pPr>
            <w:r w:rsidRPr="00DA54A1">
              <w:rPr>
                <w:i/>
                <w:sz w:val="20"/>
                <w:szCs w:val="20"/>
              </w:rPr>
              <w:t>2013</w:t>
            </w:r>
          </w:p>
        </w:tc>
        <w:tc>
          <w:tcPr>
            <w:tcW w:w="865" w:type="dxa"/>
            <w:shd w:val="clear" w:color="auto" w:fill="auto"/>
            <w:vAlign w:val="center"/>
          </w:tcPr>
          <w:p w14:paraId="4E7A611F" w14:textId="77777777" w:rsidR="00C837C9" w:rsidRPr="00DA54A1" w:rsidRDefault="00952C31" w:rsidP="00816B1A">
            <w:pPr>
              <w:ind w:left="0"/>
              <w:jc w:val="center"/>
              <w:rPr>
                <w:i/>
                <w:sz w:val="20"/>
                <w:szCs w:val="20"/>
              </w:rPr>
            </w:pPr>
            <w:r>
              <w:rPr>
                <w:i/>
                <w:sz w:val="20"/>
                <w:szCs w:val="20"/>
              </w:rPr>
              <w:t>19 286 906</w:t>
            </w:r>
          </w:p>
        </w:tc>
        <w:tc>
          <w:tcPr>
            <w:tcW w:w="759" w:type="dxa"/>
            <w:vAlign w:val="center"/>
          </w:tcPr>
          <w:p w14:paraId="47ECCF95" w14:textId="77777777" w:rsidR="00C837C9" w:rsidRPr="00DA54A1" w:rsidRDefault="00C837C9" w:rsidP="00816B1A">
            <w:pPr>
              <w:ind w:left="0"/>
              <w:jc w:val="center"/>
              <w:rPr>
                <w:i/>
                <w:sz w:val="20"/>
                <w:szCs w:val="20"/>
              </w:rPr>
            </w:pPr>
            <w:r w:rsidRPr="00DA54A1">
              <w:rPr>
                <w:i/>
                <w:sz w:val="20"/>
                <w:szCs w:val="20"/>
              </w:rPr>
              <w:t>RO OPII</w:t>
            </w:r>
          </w:p>
        </w:tc>
        <w:tc>
          <w:tcPr>
            <w:tcW w:w="1186" w:type="dxa"/>
            <w:vAlign w:val="center"/>
          </w:tcPr>
          <w:p w14:paraId="62E4617E" w14:textId="77777777" w:rsidR="00C837C9" w:rsidRPr="00DA54A1" w:rsidRDefault="00C837C9" w:rsidP="00816B1A">
            <w:pPr>
              <w:ind w:left="0"/>
              <w:jc w:val="center"/>
              <w:rPr>
                <w:i/>
                <w:sz w:val="20"/>
                <w:szCs w:val="20"/>
              </w:rPr>
            </w:pPr>
            <w:r w:rsidRPr="00DA54A1">
              <w:rPr>
                <w:i/>
                <w:sz w:val="20"/>
                <w:szCs w:val="20"/>
              </w:rPr>
              <w:t>Ročne</w:t>
            </w:r>
          </w:p>
        </w:tc>
      </w:tr>
    </w:tbl>
    <w:p w14:paraId="4BB0ACD4" w14:textId="77777777" w:rsidR="00C837C9" w:rsidRDefault="00C837C9" w:rsidP="007E1F87">
      <w:pPr>
        <w:autoSpaceDE w:val="0"/>
        <w:autoSpaceDN w:val="0"/>
        <w:adjustRightInd w:val="0"/>
        <w:jc w:val="both"/>
      </w:pPr>
    </w:p>
    <w:p w14:paraId="53E311DD" w14:textId="77777777" w:rsidR="007E1F87" w:rsidRPr="006B762B" w:rsidRDefault="007E1F87" w:rsidP="002E1021">
      <w:pPr>
        <w:shd w:val="clear" w:color="auto" w:fill="FFFFCC"/>
        <w:jc w:val="both"/>
        <w:rPr>
          <w:b/>
          <w:i/>
        </w:rPr>
      </w:pPr>
      <w:r w:rsidRPr="004F0234">
        <w:rPr>
          <w:i/>
        </w:rPr>
        <w:t xml:space="preserve">ŠPECIFICKÝ CIEĽ </w:t>
      </w:r>
      <w:r w:rsidR="00E87153">
        <w:rPr>
          <w:i/>
        </w:rPr>
        <w:t>3.</w:t>
      </w:r>
      <w:r>
        <w:rPr>
          <w:i/>
        </w:rPr>
        <w:t>2</w:t>
      </w:r>
      <w:r w:rsidRPr="004F0234">
        <w:rPr>
          <w:i/>
        </w:rPr>
        <w:t>:</w:t>
      </w:r>
      <w:r>
        <w:rPr>
          <w:i/>
        </w:rPr>
        <w:t xml:space="preserve"> </w:t>
      </w:r>
      <w:r w:rsidR="00225C2F" w:rsidRPr="00225C2F">
        <w:rPr>
          <w:b/>
          <w:i/>
        </w:rPr>
        <w:t>Zvýšenie atraktivity</w:t>
      </w:r>
      <w:r w:rsidR="005E7C00">
        <w:rPr>
          <w:b/>
          <w:i/>
        </w:rPr>
        <w:t xml:space="preserve"> a prístupnosti</w:t>
      </w:r>
      <w:r w:rsidR="00225C2F" w:rsidRPr="00225C2F">
        <w:rPr>
          <w:b/>
          <w:i/>
        </w:rPr>
        <w:t xml:space="preserve"> verejnej osobnej dopravy prostredníctvom </w:t>
      </w:r>
      <w:r w:rsidR="00225C2F">
        <w:rPr>
          <w:b/>
          <w:i/>
        </w:rPr>
        <w:t>obnovy</w:t>
      </w:r>
      <w:r w:rsidRPr="007E1F87">
        <w:rPr>
          <w:b/>
          <w:i/>
        </w:rPr>
        <w:t xml:space="preserve"> mobilných prostriedkov dráhovej MHD</w:t>
      </w:r>
    </w:p>
    <w:p w14:paraId="493124C0" w14:textId="77777777" w:rsidR="007E1F87" w:rsidRPr="00A21DD4" w:rsidRDefault="007E1F87" w:rsidP="007E1F87">
      <w:pPr>
        <w:autoSpaceDE w:val="0"/>
        <w:autoSpaceDN w:val="0"/>
        <w:adjustRightInd w:val="0"/>
        <w:spacing w:before="180"/>
        <w:jc w:val="both"/>
        <w:rPr>
          <w:color w:val="000000" w:themeColor="text1"/>
          <w:sz w:val="22"/>
          <w:szCs w:val="22"/>
        </w:rPr>
      </w:pPr>
      <w:r w:rsidRPr="00A21DD4">
        <w:rPr>
          <w:color w:val="000000" w:themeColor="text1"/>
          <w:sz w:val="22"/>
          <w:szCs w:val="22"/>
        </w:rPr>
        <w:t xml:space="preserve">Nasadením nízkopodlažných a energeticky úsporných vozidiel </w:t>
      </w:r>
      <w:r w:rsidR="00346F47" w:rsidRPr="00A21DD4">
        <w:rPr>
          <w:color w:val="000000" w:themeColor="text1"/>
          <w:sz w:val="22"/>
          <w:szCs w:val="22"/>
        </w:rPr>
        <w:t>v</w:t>
      </w:r>
      <w:r w:rsidRPr="00A21DD4">
        <w:rPr>
          <w:color w:val="000000" w:themeColor="text1"/>
          <w:sz w:val="22"/>
          <w:szCs w:val="22"/>
        </w:rPr>
        <w:t xml:space="preserve"> dráhovej MHD sa dosiahne nielen zvýšenie prístupnosti MHD pre zdravotne postihnutých cestujúcich, zvýšenie komfortu a úspora času cestujúcich, ale aj pokles spotreby energie a s tým súvisiacich nákladov. </w:t>
      </w:r>
    </w:p>
    <w:p w14:paraId="7D5BAEF1" w14:textId="77777777" w:rsidR="009879BD" w:rsidRPr="00A21DD4" w:rsidRDefault="00BE2404" w:rsidP="009879BD">
      <w:pPr>
        <w:spacing w:before="180"/>
        <w:jc w:val="both"/>
        <w:rPr>
          <w:b/>
          <w:sz w:val="22"/>
          <w:szCs w:val="22"/>
        </w:rPr>
      </w:pPr>
      <w:r w:rsidRPr="00A21DD4">
        <w:rPr>
          <w:b/>
          <w:sz w:val="22"/>
          <w:szCs w:val="22"/>
        </w:rPr>
        <w:t xml:space="preserve">Podmienkou podpory obnovy vozidiel v MHD bude existencia komplexného strategického plánu udržateľného rozvoja dopravy v jednotlivých mestách (generel dopravy, </w:t>
      </w:r>
      <w:r w:rsidR="00F34D12" w:rsidRPr="00A21DD4">
        <w:rPr>
          <w:b/>
          <w:sz w:val="22"/>
          <w:szCs w:val="22"/>
        </w:rPr>
        <w:t>PUMM</w:t>
      </w:r>
      <w:r w:rsidRPr="00A21DD4">
        <w:rPr>
          <w:b/>
          <w:sz w:val="22"/>
          <w:szCs w:val="22"/>
        </w:rPr>
        <w:t>) a realizácia opatrení na zabezpečenie preferencie MHD na tratiach, pre ktoré budú určené.</w:t>
      </w:r>
    </w:p>
    <w:p w14:paraId="4153418C" w14:textId="77777777" w:rsidR="007E1F87" w:rsidRPr="005B631E" w:rsidRDefault="007E1F87" w:rsidP="007E1F87">
      <w:pPr>
        <w:autoSpaceDE w:val="0"/>
        <w:autoSpaceDN w:val="0"/>
        <w:adjustRightInd w:val="0"/>
        <w:spacing w:before="180" w:after="120"/>
        <w:jc w:val="both"/>
        <w:rPr>
          <w:rFonts w:ascii="Arial Narrow" w:hAnsi="Arial Narrow"/>
          <w:b/>
          <w:i/>
          <w:color w:val="4F81BD" w:themeColor="accent1"/>
          <w:sz w:val="22"/>
          <w:szCs w:val="22"/>
        </w:rPr>
      </w:pPr>
      <w:r w:rsidRPr="00A21DD4">
        <w:rPr>
          <w:rFonts w:ascii="Arial Narrow" w:hAnsi="Arial Narrow"/>
          <w:b/>
          <w:i/>
          <w:color w:val="4F81BD" w:themeColor="accent1"/>
          <w:sz w:val="22"/>
          <w:szCs w:val="22"/>
        </w:rPr>
        <w:t>VÝSLEDKY</w:t>
      </w:r>
    </w:p>
    <w:p w14:paraId="32066436" w14:textId="77777777" w:rsidR="009E0158" w:rsidRDefault="00F86FFA" w:rsidP="00CF7857">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zvýšenie atraktívnosti verejnej osobnej dopravy,</w:t>
      </w:r>
    </w:p>
    <w:p w14:paraId="3A3F48FB" w14:textId="77777777" w:rsidR="009E0158" w:rsidRDefault="001053C0" w:rsidP="00CF7857">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zlepšenie kvality</w:t>
      </w:r>
      <w:r w:rsidR="00BB2B1D">
        <w:rPr>
          <w:color w:val="000000" w:themeColor="text1"/>
          <w:sz w:val="22"/>
          <w:szCs w:val="22"/>
        </w:rPr>
        <w:t xml:space="preserve"> služieb poskytovaných </w:t>
      </w:r>
      <w:r w:rsidR="00FB6AFD">
        <w:rPr>
          <w:color w:val="000000" w:themeColor="text1"/>
          <w:sz w:val="22"/>
          <w:szCs w:val="22"/>
        </w:rPr>
        <w:t>dráhovou</w:t>
      </w:r>
      <w:r w:rsidR="00BB2B1D">
        <w:rPr>
          <w:color w:val="000000" w:themeColor="text1"/>
          <w:sz w:val="22"/>
          <w:szCs w:val="22"/>
        </w:rPr>
        <w:t xml:space="preserve"> MHD vo veľkých aglomeráciách (úspora </w:t>
      </w:r>
      <w:r w:rsidR="00FB6AFD">
        <w:rPr>
          <w:color w:val="000000" w:themeColor="text1"/>
          <w:sz w:val="22"/>
          <w:szCs w:val="22"/>
        </w:rPr>
        <w:t xml:space="preserve">cestovného </w:t>
      </w:r>
      <w:r w:rsidR="00BB2B1D">
        <w:rPr>
          <w:color w:val="000000" w:themeColor="text1"/>
          <w:sz w:val="22"/>
          <w:szCs w:val="22"/>
        </w:rPr>
        <w:t>času, rozšírenie ponuky služieb, zvýšenie komfortu a spoľahlivosti a pod.),</w:t>
      </w:r>
    </w:p>
    <w:p w14:paraId="28DF8519" w14:textId="77777777" w:rsidR="009E0158" w:rsidRDefault="00BB2B1D" w:rsidP="00CF7857">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zvýšenie prístupnosti vozidiel MHD,</w:t>
      </w:r>
    </w:p>
    <w:p w14:paraId="2201E79A" w14:textId="77777777" w:rsidR="009E0158" w:rsidRDefault="008A66A2" w:rsidP="00CF7857">
      <w:pPr>
        <w:pStyle w:val="Odsekzoznamu"/>
        <w:numPr>
          <w:ilvl w:val="0"/>
          <w:numId w:val="47"/>
        </w:numPr>
        <w:autoSpaceDE w:val="0"/>
        <w:autoSpaceDN w:val="0"/>
        <w:adjustRightInd w:val="0"/>
        <w:spacing w:before="180"/>
        <w:jc w:val="both"/>
        <w:rPr>
          <w:color w:val="000000" w:themeColor="text1"/>
          <w:sz w:val="22"/>
          <w:szCs w:val="22"/>
        </w:rPr>
      </w:pPr>
      <w:r>
        <w:rPr>
          <w:color w:val="000000" w:themeColor="text1"/>
          <w:sz w:val="22"/>
          <w:szCs w:val="22"/>
        </w:rPr>
        <w:t>zníženie negatívnych vplyvov na životné prostredie (</w:t>
      </w:r>
      <w:r w:rsidR="00BB2B1D">
        <w:rPr>
          <w:color w:val="000000" w:themeColor="text1"/>
          <w:sz w:val="22"/>
          <w:szCs w:val="22"/>
        </w:rPr>
        <w:t xml:space="preserve">zníženie </w:t>
      </w:r>
      <w:r w:rsidR="00FB6AFD">
        <w:rPr>
          <w:color w:val="000000" w:themeColor="text1"/>
          <w:sz w:val="22"/>
          <w:szCs w:val="22"/>
        </w:rPr>
        <w:t>hluku, emisií</w:t>
      </w:r>
      <w:r w:rsidR="00695031">
        <w:rPr>
          <w:color w:val="000000" w:themeColor="text1"/>
          <w:sz w:val="22"/>
          <w:szCs w:val="22"/>
        </w:rPr>
        <w:t xml:space="preserve"> </w:t>
      </w:r>
      <w:r w:rsidR="00695031">
        <w:rPr>
          <w:sz w:val="22"/>
          <w:szCs w:val="22"/>
        </w:rPr>
        <w:t>CO</w:t>
      </w:r>
      <w:r w:rsidR="00695031">
        <w:rPr>
          <w:sz w:val="22"/>
          <w:szCs w:val="22"/>
          <w:vertAlign w:val="subscript"/>
        </w:rPr>
        <w:t>2</w:t>
      </w:r>
      <w:r w:rsidR="00695031">
        <w:rPr>
          <w:sz w:val="22"/>
          <w:szCs w:val="22"/>
        </w:rPr>
        <w:t>, NO</w:t>
      </w:r>
      <w:r w:rsidR="00695031">
        <w:rPr>
          <w:sz w:val="22"/>
          <w:szCs w:val="22"/>
          <w:vertAlign w:val="subscript"/>
        </w:rPr>
        <w:t>2</w:t>
      </w:r>
      <w:r w:rsidR="00695031">
        <w:rPr>
          <w:sz w:val="22"/>
          <w:szCs w:val="22"/>
        </w:rPr>
        <w:t xml:space="preserve"> a PM</w:t>
      </w:r>
      <w:r w:rsidR="00307AAF" w:rsidRPr="00307AAF">
        <w:rPr>
          <w:sz w:val="22"/>
          <w:szCs w:val="22"/>
          <w:vertAlign w:val="subscript"/>
        </w:rPr>
        <w:t>10</w:t>
      </w:r>
      <w:r w:rsidR="00FB6AFD">
        <w:rPr>
          <w:color w:val="000000" w:themeColor="text1"/>
          <w:sz w:val="22"/>
          <w:szCs w:val="22"/>
        </w:rPr>
        <w:t>, vibrácií a pod.)</w:t>
      </w:r>
      <w:r w:rsidR="00382524">
        <w:rPr>
          <w:color w:val="000000" w:themeColor="text1"/>
          <w:sz w:val="22"/>
          <w:szCs w:val="22"/>
        </w:rPr>
        <w:t xml:space="preserve"> – čistá MHD</w:t>
      </w:r>
      <w:r w:rsidR="00B24732">
        <w:rPr>
          <w:rStyle w:val="Odkaznapoznmkupodiarou"/>
          <w:color w:val="000000" w:themeColor="text1"/>
          <w:sz w:val="22"/>
          <w:szCs w:val="22"/>
        </w:rPr>
        <w:footnoteReference w:id="64"/>
      </w:r>
      <w:r w:rsidR="00FB6AFD">
        <w:rPr>
          <w:color w:val="000000" w:themeColor="text1"/>
          <w:sz w:val="22"/>
          <w:szCs w:val="22"/>
        </w:rPr>
        <w:t>,</w:t>
      </w:r>
    </w:p>
    <w:p w14:paraId="3E1EB86A" w14:textId="77777777" w:rsidR="009E0158" w:rsidRDefault="007E1F87" w:rsidP="00CF7857">
      <w:pPr>
        <w:pStyle w:val="Odsekzoznamu"/>
        <w:numPr>
          <w:ilvl w:val="0"/>
          <w:numId w:val="47"/>
        </w:numPr>
        <w:autoSpaceDE w:val="0"/>
        <w:autoSpaceDN w:val="0"/>
        <w:adjustRightInd w:val="0"/>
        <w:spacing w:before="180"/>
        <w:jc w:val="both"/>
        <w:rPr>
          <w:color w:val="000000" w:themeColor="text1"/>
          <w:sz w:val="22"/>
          <w:szCs w:val="22"/>
        </w:rPr>
      </w:pPr>
      <w:r w:rsidRPr="007E1F87">
        <w:rPr>
          <w:color w:val="000000" w:themeColor="text1"/>
          <w:sz w:val="22"/>
          <w:szCs w:val="22"/>
        </w:rPr>
        <w:t>zvýšenie podielu verejnej osobnej do</w:t>
      </w:r>
      <w:r w:rsidR="00BB2B1D">
        <w:rPr>
          <w:color w:val="000000" w:themeColor="text1"/>
          <w:sz w:val="22"/>
          <w:szCs w:val="22"/>
        </w:rPr>
        <w:t>pravy na deľbe prepravnej práce.</w:t>
      </w:r>
    </w:p>
    <w:p w14:paraId="3B95A090" w14:textId="77777777" w:rsidR="00C837C9" w:rsidRDefault="00266DA8" w:rsidP="00747F12">
      <w:pPr>
        <w:pStyle w:val="Tab"/>
      </w:pPr>
      <w:r w:rsidRPr="004F0234">
        <w:t>Výsledkové ukazovatele zodpovedajúce špecifickému cieľu</w:t>
      </w:r>
      <w:r w:rsidR="00350B96">
        <w:t xml:space="preserve"> 3.2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C837C9" w:rsidRPr="008C1732" w14:paraId="72574A6A" w14:textId="77777777" w:rsidTr="0095191D">
        <w:trPr>
          <w:trHeight w:val="487"/>
          <w:jc w:val="center"/>
        </w:trPr>
        <w:tc>
          <w:tcPr>
            <w:tcW w:w="598" w:type="dxa"/>
            <w:shd w:val="clear" w:color="auto" w:fill="C6D9F1" w:themeFill="text2" w:themeFillTint="33"/>
            <w:vAlign w:val="center"/>
          </w:tcPr>
          <w:p w14:paraId="763D76EC" w14:textId="77777777" w:rsidR="00C837C9" w:rsidRPr="008C1732" w:rsidRDefault="00C837C9" w:rsidP="00816B1A">
            <w:pPr>
              <w:ind w:left="0"/>
              <w:jc w:val="center"/>
              <w:rPr>
                <w:b/>
                <w:sz w:val="18"/>
                <w:szCs w:val="18"/>
              </w:rPr>
            </w:pPr>
            <w:r>
              <w:rPr>
                <w:b/>
                <w:sz w:val="18"/>
                <w:szCs w:val="18"/>
              </w:rPr>
              <w:t>P. č.</w:t>
            </w:r>
          </w:p>
        </w:tc>
        <w:tc>
          <w:tcPr>
            <w:tcW w:w="1391" w:type="dxa"/>
            <w:shd w:val="clear" w:color="auto" w:fill="C6D9F1" w:themeFill="text2" w:themeFillTint="33"/>
            <w:vAlign w:val="center"/>
          </w:tcPr>
          <w:p w14:paraId="2F0827EF" w14:textId="77777777" w:rsidR="00C837C9" w:rsidRPr="008C1732" w:rsidRDefault="00C837C9"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66F0BA63" w14:textId="77777777" w:rsidR="00C837C9" w:rsidRPr="008C1732" w:rsidRDefault="00C837C9" w:rsidP="00816B1A">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3C2B5B81" w14:textId="77777777" w:rsidR="00C837C9" w:rsidRPr="008C1732" w:rsidRDefault="00C837C9"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66624126" w14:textId="77777777" w:rsidR="00C837C9" w:rsidRPr="008C1732" w:rsidRDefault="00C837C9"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626A2E1D" w14:textId="77777777" w:rsidR="00C837C9" w:rsidRPr="008C1732" w:rsidRDefault="00C837C9" w:rsidP="00816B1A">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1E77EA2D" w14:textId="77777777" w:rsidR="00C837C9" w:rsidRPr="008C1732" w:rsidRDefault="00C837C9" w:rsidP="00816B1A">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795F7971" w14:textId="77777777" w:rsidR="00C837C9" w:rsidRPr="008C1732" w:rsidRDefault="00C837C9" w:rsidP="00816B1A">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5EC2CDA0" w14:textId="77777777" w:rsidR="00C837C9" w:rsidRPr="008C1732" w:rsidRDefault="00C837C9" w:rsidP="00816B1A">
            <w:pPr>
              <w:ind w:left="0"/>
              <w:jc w:val="center"/>
              <w:rPr>
                <w:b/>
                <w:sz w:val="18"/>
                <w:szCs w:val="18"/>
              </w:rPr>
            </w:pPr>
            <w:r w:rsidRPr="008C1732">
              <w:rPr>
                <w:b/>
                <w:sz w:val="18"/>
                <w:szCs w:val="18"/>
              </w:rPr>
              <w:t>Frekvencia vykazovania</w:t>
            </w:r>
          </w:p>
        </w:tc>
      </w:tr>
      <w:tr w:rsidR="00C837C9" w:rsidRPr="00DA54A1" w14:paraId="2F567EF0" w14:textId="77777777" w:rsidTr="0095191D">
        <w:trPr>
          <w:trHeight w:val="680"/>
          <w:jc w:val="center"/>
        </w:trPr>
        <w:tc>
          <w:tcPr>
            <w:tcW w:w="598" w:type="dxa"/>
            <w:shd w:val="clear" w:color="auto" w:fill="auto"/>
            <w:vAlign w:val="center"/>
          </w:tcPr>
          <w:p w14:paraId="19CEB5CD" w14:textId="77777777" w:rsidR="00C837C9" w:rsidRPr="00336C1F" w:rsidRDefault="00C837C9" w:rsidP="00816B1A">
            <w:pPr>
              <w:ind w:left="0"/>
              <w:jc w:val="center"/>
              <w:rPr>
                <w:sz w:val="20"/>
                <w:szCs w:val="20"/>
              </w:rPr>
            </w:pPr>
            <w:r>
              <w:rPr>
                <w:sz w:val="20"/>
                <w:szCs w:val="20"/>
              </w:rPr>
              <w:t>1.</w:t>
            </w:r>
          </w:p>
        </w:tc>
        <w:tc>
          <w:tcPr>
            <w:tcW w:w="1391" w:type="dxa"/>
            <w:shd w:val="clear" w:color="auto" w:fill="auto"/>
            <w:vAlign w:val="center"/>
          </w:tcPr>
          <w:p w14:paraId="2A214587" w14:textId="77777777" w:rsidR="00C837C9" w:rsidRPr="00AB18C1" w:rsidRDefault="00225C2F" w:rsidP="00225C2F">
            <w:pPr>
              <w:ind w:left="0"/>
              <w:rPr>
                <w:sz w:val="20"/>
                <w:szCs w:val="20"/>
              </w:rPr>
            </w:pPr>
            <w:r>
              <w:rPr>
                <w:sz w:val="20"/>
                <w:szCs w:val="20"/>
              </w:rPr>
              <w:t>Počet</w:t>
            </w:r>
            <w:r w:rsidR="00C837C9" w:rsidRPr="00854EA5">
              <w:rPr>
                <w:sz w:val="20"/>
                <w:szCs w:val="20"/>
              </w:rPr>
              <w:t xml:space="preserve"> cestujúcich</w:t>
            </w:r>
            <w:r>
              <w:rPr>
                <w:sz w:val="20"/>
                <w:szCs w:val="20"/>
              </w:rPr>
              <w:t xml:space="preserve"> </w:t>
            </w:r>
            <w:r w:rsidRPr="00854EA5">
              <w:rPr>
                <w:sz w:val="20"/>
                <w:szCs w:val="20"/>
              </w:rPr>
              <w:t>prepravených</w:t>
            </w:r>
            <w:r>
              <w:rPr>
                <w:sz w:val="20"/>
                <w:szCs w:val="20"/>
              </w:rPr>
              <w:t xml:space="preserve"> dráhovou MHD v </w:t>
            </w:r>
            <w:r w:rsidR="00C837C9" w:rsidRPr="00854EA5">
              <w:rPr>
                <w:sz w:val="20"/>
                <w:szCs w:val="20"/>
              </w:rPr>
              <w:t>mestách</w:t>
            </w:r>
            <w:r>
              <w:rPr>
                <w:sz w:val="20"/>
                <w:szCs w:val="20"/>
              </w:rPr>
              <w:t xml:space="preserve"> Bratislava, Košice, Žilina</w:t>
            </w:r>
            <w:r w:rsidR="007B50AC">
              <w:rPr>
                <w:sz w:val="20"/>
                <w:szCs w:val="20"/>
              </w:rPr>
              <w:t>,</w:t>
            </w:r>
            <w:r>
              <w:rPr>
                <w:sz w:val="20"/>
                <w:szCs w:val="20"/>
              </w:rPr>
              <w:t xml:space="preserve"> Prešov</w:t>
            </w:r>
            <w:r w:rsidR="007B50AC">
              <w:rPr>
                <w:sz w:val="20"/>
                <w:szCs w:val="20"/>
              </w:rPr>
              <w:t xml:space="preserve"> a Banská Bystrica</w:t>
            </w:r>
          </w:p>
        </w:tc>
        <w:tc>
          <w:tcPr>
            <w:tcW w:w="897" w:type="dxa"/>
            <w:shd w:val="clear" w:color="auto" w:fill="auto"/>
            <w:vAlign w:val="center"/>
          </w:tcPr>
          <w:p w14:paraId="59750D87" w14:textId="77777777" w:rsidR="00C837C9" w:rsidRPr="00DA54A1" w:rsidRDefault="00034834" w:rsidP="00816B1A">
            <w:pPr>
              <w:ind w:left="0"/>
              <w:jc w:val="center"/>
              <w:rPr>
                <w:i/>
                <w:sz w:val="20"/>
                <w:szCs w:val="20"/>
              </w:rPr>
            </w:pPr>
            <w:r>
              <w:rPr>
                <w:i/>
                <w:sz w:val="20"/>
                <w:szCs w:val="20"/>
              </w:rPr>
              <w:t>počet</w:t>
            </w:r>
          </w:p>
        </w:tc>
        <w:tc>
          <w:tcPr>
            <w:tcW w:w="997" w:type="dxa"/>
            <w:shd w:val="clear" w:color="auto" w:fill="auto"/>
            <w:vAlign w:val="center"/>
          </w:tcPr>
          <w:p w14:paraId="7A94EACD" w14:textId="77777777" w:rsidR="00C837C9" w:rsidRPr="00DA54A1" w:rsidRDefault="00C837C9" w:rsidP="00816B1A">
            <w:pPr>
              <w:ind w:left="0"/>
              <w:jc w:val="center"/>
              <w:rPr>
                <w:i/>
                <w:sz w:val="20"/>
                <w:szCs w:val="20"/>
              </w:rPr>
            </w:pPr>
            <w:r w:rsidRPr="00DA54A1">
              <w:rPr>
                <w:i/>
                <w:sz w:val="20"/>
                <w:szCs w:val="20"/>
              </w:rPr>
              <w:t>N/A</w:t>
            </w:r>
          </w:p>
        </w:tc>
        <w:tc>
          <w:tcPr>
            <w:tcW w:w="1297" w:type="dxa"/>
            <w:vAlign w:val="center"/>
          </w:tcPr>
          <w:p w14:paraId="3E00B6DB" w14:textId="77777777" w:rsidR="00C837C9" w:rsidRPr="00DA54A1" w:rsidRDefault="000A60F9" w:rsidP="00816B1A">
            <w:pPr>
              <w:ind w:left="0"/>
              <w:jc w:val="center"/>
              <w:rPr>
                <w:i/>
                <w:sz w:val="20"/>
                <w:szCs w:val="20"/>
              </w:rPr>
            </w:pPr>
            <w:r>
              <w:rPr>
                <w:i/>
                <w:sz w:val="20"/>
                <w:szCs w:val="20"/>
              </w:rPr>
              <w:t>157 657 489</w:t>
            </w:r>
          </w:p>
        </w:tc>
        <w:tc>
          <w:tcPr>
            <w:tcW w:w="1297" w:type="dxa"/>
            <w:vAlign w:val="center"/>
          </w:tcPr>
          <w:p w14:paraId="3C73B71E" w14:textId="77777777" w:rsidR="00C837C9" w:rsidRPr="00DA54A1" w:rsidRDefault="00C837C9" w:rsidP="00816B1A">
            <w:pPr>
              <w:ind w:left="0"/>
              <w:jc w:val="center"/>
              <w:rPr>
                <w:i/>
                <w:sz w:val="20"/>
                <w:szCs w:val="20"/>
              </w:rPr>
            </w:pPr>
            <w:r w:rsidRPr="00DA54A1">
              <w:rPr>
                <w:i/>
                <w:sz w:val="20"/>
                <w:szCs w:val="20"/>
              </w:rPr>
              <w:t>201</w:t>
            </w:r>
            <w:r w:rsidR="004D5177">
              <w:rPr>
                <w:i/>
                <w:sz w:val="20"/>
                <w:szCs w:val="20"/>
              </w:rPr>
              <w:t>2</w:t>
            </w:r>
          </w:p>
        </w:tc>
        <w:tc>
          <w:tcPr>
            <w:tcW w:w="865" w:type="dxa"/>
            <w:shd w:val="clear" w:color="auto" w:fill="auto"/>
            <w:vAlign w:val="center"/>
          </w:tcPr>
          <w:p w14:paraId="3E44BF48" w14:textId="77777777" w:rsidR="00C837C9" w:rsidRPr="00DA54A1" w:rsidRDefault="000A60F9" w:rsidP="00816B1A">
            <w:pPr>
              <w:ind w:left="0"/>
              <w:jc w:val="center"/>
              <w:rPr>
                <w:i/>
                <w:sz w:val="20"/>
                <w:szCs w:val="20"/>
              </w:rPr>
            </w:pPr>
            <w:r>
              <w:rPr>
                <w:i/>
                <w:sz w:val="20"/>
                <w:szCs w:val="20"/>
              </w:rPr>
              <w:t>200 085 737</w:t>
            </w:r>
          </w:p>
        </w:tc>
        <w:tc>
          <w:tcPr>
            <w:tcW w:w="759" w:type="dxa"/>
            <w:vAlign w:val="center"/>
          </w:tcPr>
          <w:p w14:paraId="6E6B0EA3" w14:textId="77777777" w:rsidR="00C837C9" w:rsidRPr="00DA54A1" w:rsidRDefault="00C837C9" w:rsidP="00816B1A">
            <w:pPr>
              <w:ind w:left="0"/>
              <w:jc w:val="center"/>
              <w:rPr>
                <w:i/>
                <w:sz w:val="20"/>
                <w:szCs w:val="20"/>
              </w:rPr>
            </w:pPr>
            <w:r w:rsidRPr="00DA54A1">
              <w:rPr>
                <w:i/>
                <w:sz w:val="20"/>
                <w:szCs w:val="20"/>
              </w:rPr>
              <w:t>RO OPII</w:t>
            </w:r>
          </w:p>
        </w:tc>
        <w:tc>
          <w:tcPr>
            <w:tcW w:w="1186" w:type="dxa"/>
            <w:vAlign w:val="center"/>
          </w:tcPr>
          <w:p w14:paraId="1C1D691F" w14:textId="77777777" w:rsidR="00C837C9" w:rsidRPr="00DA54A1" w:rsidRDefault="00C837C9" w:rsidP="00816B1A">
            <w:pPr>
              <w:ind w:left="0"/>
              <w:jc w:val="center"/>
              <w:rPr>
                <w:i/>
                <w:sz w:val="20"/>
                <w:szCs w:val="20"/>
              </w:rPr>
            </w:pPr>
            <w:r w:rsidRPr="00DA54A1">
              <w:rPr>
                <w:i/>
                <w:sz w:val="20"/>
                <w:szCs w:val="20"/>
              </w:rPr>
              <w:t>Ročne</w:t>
            </w:r>
          </w:p>
        </w:tc>
      </w:tr>
    </w:tbl>
    <w:p w14:paraId="24508B44" w14:textId="77777777" w:rsidR="00D45E43" w:rsidRDefault="00D45E43">
      <w:pPr>
        <w:rPr>
          <w:rFonts w:ascii="Arial Narrow" w:hAnsi="Arial Narrow" w:cs="Arial"/>
          <w:b/>
          <w:bCs/>
          <w:color w:val="1F497D" w:themeColor="text2"/>
          <w:sz w:val="22"/>
          <w:szCs w:val="26"/>
        </w:rPr>
      </w:pPr>
      <w:r>
        <w:br w:type="page"/>
      </w:r>
    </w:p>
    <w:p w14:paraId="40FB6D85" w14:textId="77777777" w:rsidR="00307AAF" w:rsidRDefault="000001AA" w:rsidP="00ED7FB4">
      <w:pPr>
        <w:pStyle w:val="Nadpis4"/>
      </w:pPr>
      <w:r>
        <w:lastRenderedPageBreak/>
        <w:t>Opis typu a príklady aktivít</w:t>
      </w:r>
    </w:p>
    <w:p w14:paraId="08A55B8A" w14:textId="77777777" w:rsidR="00266DA8" w:rsidRPr="00336C1F" w:rsidRDefault="00997578" w:rsidP="00266DA8">
      <w:pPr>
        <w:spacing w:before="180" w:after="120"/>
        <w:rPr>
          <w:sz w:val="22"/>
          <w:szCs w:val="22"/>
        </w:rPr>
      </w:pPr>
      <w:r>
        <w:rPr>
          <w:sz w:val="22"/>
          <w:szCs w:val="22"/>
          <w:u w:val="single"/>
        </w:rPr>
        <w:t>Investičná priorita 7</w:t>
      </w:r>
      <w:r w:rsidR="00305A3F">
        <w:rPr>
          <w:sz w:val="22"/>
          <w:szCs w:val="22"/>
          <w:u w:val="single"/>
        </w:rPr>
        <w:t>ii</w:t>
      </w:r>
      <w:r>
        <w:rPr>
          <w:sz w:val="22"/>
          <w:szCs w:val="22"/>
          <w:u w:val="single"/>
        </w:rPr>
        <w:t>)</w:t>
      </w:r>
      <w:r w:rsidR="00266DA8" w:rsidRPr="00D1658B">
        <w:rPr>
          <w:sz w:val="22"/>
          <w:szCs w:val="22"/>
          <w:u w:val="single"/>
        </w:rPr>
        <w:t xml:space="preserve"> bude napĺňan</w:t>
      </w:r>
      <w:r>
        <w:rPr>
          <w:sz w:val="22"/>
          <w:szCs w:val="22"/>
          <w:u w:val="single"/>
        </w:rPr>
        <w:t>á</w:t>
      </w:r>
      <w:r w:rsidR="00266DA8" w:rsidRPr="00D1658B">
        <w:rPr>
          <w:sz w:val="22"/>
          <w:szCs w:val="22"/>
          <w:u w:val="single"/>
        </w:rPr>
        <w:t xml:space="preserve"> prostredníctvom nasledujúcich aktivít</w:t>
      </w:r>
      <w:r w:rsidR="00266DA8" w:rsidRPr="00336C1F">
        <w:rPr>
          <w:sz w:val="22"/>
          <w:szCs w:val="22"/>
        </w:rPr>
        <w:t>:</w:t>
      </w:r>
    </w:p>
    <w:p w14:paraId="4AB576E7" w14:textId="77777777" w:rsidR="009E0158" w:rsidRDefault="00854EA5" w:rsidP="00CF7857">
      <w:pPr>
        <w:numPr>
          <w:ilvl w:val="2"/>
          <w:numId w:val="37"/>
        </w:numPr>
        <w:shd w:val="clear" w:color="auto" w:fill="E5DFEC" w:themeFill="accent4" w:themeFillTint="33"/>
        <w:tabs>
          <w:tab w:val="clear" w:pos="360"/>
        </w:tabs>
        <w:ind w:left="426" w:hanging="426"/>
        <w:jc w:val="both"/>
        <w:rPr>
          <w:sz w:val="22"/>
          <w:szCs w:val="22"/>
        </w:rPr>
      </w:pPr>
      <w:r w:rsidRPr="00854EA5">
        <w:rPr>
          <w:sz w:val="22"/>
          <w:szCs w:val="22"/>
        </w:rPr>
        <w:t>M</w:t>
      </w:r>
      <w:r w:rsidR="003D4780" w:rsidRPr="00854EA5">
        <w:rPr>
          <w:sz w:val="22"/>
          <w:szCs w:val="22"/>
        </w:rPr>
        <w:t xml:space="preserve">odernizácia a výstavba električkových </w:t>
      </w:r>
      <w:r w:rsidRPr="00854EA5">
        <w:rPr>
          <w:sz w:val="22"/>
          <w:szCs w:val="22"/>
        </w:rPr>
        <w:t xml:space="preserve">a trolejbusových </w:t>
      </w:r>
      <w:r w:rsidR="003D4780" w:rsidRPr="00854EA5">
        <w:rPr>
          <w:sz w:val="22"/>
          <w:szCs w:val="22"/>
        </w:rPr>
        <w:t xml:space="preserve">tratí </w:t>
      </w:r>
      <w:r w:rsidRPr="00854EA5">
        <w:rPr>
          <w:sz w:val="22"/>
          <w:szCs w:val="22"/>
        </w:rPr>
        <w:t xml:space="preserve">vrátane </w:t>
      </w:r>
      <w:r w:rsidR="003D4780" w:rsidRPr="00854EA5">
        <w:rPr>
          <w:sz w:val="22"/>
          <w:szCs w:val="22"/>
        </w:rPr>
        <w:t xml:space="preserve">prvkov preferencie MHD a napojenia na ostatné druhy MHD a nemotorovú dopravu, </w:t>
      </w:r>
    </w:p>
    <w:p w14:paraId="2E9F577B" w14:textId="77777777" w:rsidR="009E0158" w:rsidRDefault="003D4780" w:rsidP="00CF7857">
      <w:pPr>
        <w:numPr>
          <w:ilvl w:val="2"/>
          <w:numId w:val="37"/>
        </w:numPr>
        <w:shd w:val="clear" w:color="auto" w:fill="E5DFEC" w:themeFill="accent4" w:themeFillTint="33"/>
        <w:tabs>
          <w:tab w:val="clear" w:pos="360"/>
        </w:tabs>
        <w:ind w:left="426" w:hanging="426"/>
        <w:jc w:val="both"/>
        <w:rPr>
          <w:sz w:val="22"/>
          <w:szCs w:val="22"/>
        </w:rPr>
      </w:pPr>
      <w:r w:rsidRPr="00854EA5">
        <w:rPr>
          <w:sz w:val="22"/>
          <w:szCs w:val="22"/>
        </w:rPr>
        <w:t>Obstaranie mobilných prostriedkov dráhovej MHD (električiek a trolejbusov (vrátane vozidiel s pomocným pohonom))</w:t>
      </w:r>
      <w:r w:rsidR="006E5486">
        <w:rPr>
          <w:sz w:val="22"/>
          <w:szCs w:val="22"/>
        </w:rPr>
        <w:t>,</w:t>
      </w:r>
    </w:p>
    <w:p w14:paraId="31EBE22D" w14:textId="77777777" w:rsidR="009E0158" w:rsidRDefault="006E5486" w:rsidP="00CF7857">
      <w:pPr>
        <w:numPr>
          <w:ilvl w:val="2"/>
          <w:numId w:val="37"/>
        </w:numPr>
        <w:shd w:val="clear" w:color="auto" w:fill="E5DFEC" w:themeFill="accent4" w:themeFillTint="33"/>
        <w:tabs>
          <w:tab w:val="clear" w:pos="360"/>
        </w:tabs>
        <w:ind w:left="426" w:hanging="426"/>
        <w:jc w:val="both"/>
        <w:rPr>
          <w:sz w:val="22"/>
          <w:szCs w:val="22"/>
        </w:rPr>
      </w:pPr>
      <w:r w:rsidRPr="00B42F79">
        <w:rPr>
          <w:sz w:val="22"/>
          <w:szCs w:val="22"/>
        </w:rPr>
        <w:t>Výstavba a moder</w:t>
      </w:r>
      <w:r>
        <w:rPr>
          <w:sz w:val="22"/>
          <w:szCs w:val="22"/>
        </w:rPr>
        <w:t>nizácia infraštruktúry pre IDS (modernizácia a výstavba prestupných terminálov so zásahom do železničnej infraštruktúry),</w:t>
      </w:r>
    </w:p>
    <w:p w14:paraId="41509FAE" w14:textId="07D0B1E6" w:rsidR="009E0158" w:rsidRDefault="003D4780" w:rsidP="00CF7857">
      <w:pPr>
        <w:numPr>
          <w:ilvl w:val="2"/>
          <w:numId w:val="37"/>
        </w:numPr>
        <w:shd w:val="clear" w:color="auto" w:fill="E5DFEC" w:themeFill="accent4" w:themeFillTint="33"/>
        <w:tabs>
          <w:tab w:val="clear" w:pos="360"/>
        </w:tabs>
        <w:ind w:left="426" w:hanging="426"/>
        <w:jc w:val="both"/>
        <w:rPr>
          <w:sz w:val="22"/>
          <w:szCs w:val="22"/>
        </w:rPr>
      </w:pPr>
      <w:r w:rsidRPr="00B42F79">
        <w:rPr>
          <w:sz w:val="22"/>
          <w:szCs w:val="22"/>
        </w:rPr>
        <w:t>Vybudovanie a modernizácia technickej základne na opravu a údržbu vozového parku dráhovej MHD,</w:t>
      </w:r>
    </w:p>
    <w:p w14:paraId="4D0AAD0D" w14:textId="77777777" w:rsidR="009E0158" w:rsidRDefault="003D4780" w:rsidP="00CF7857">
      <w:pPr>
        <w:numPr>
          <w:ilvl w:val="2"/>
          <w:numId w:val="37"/>
        </w:numPr>
        <w:shd w:val="clear" w:color="auto" w:fill="E5DFEC" w:themeFill="accent4" w:themeFillTint="33"/>
        <w:tabs>
          <w:tab w:val="clear" w:pos="360"/>
        </w:tabs>
        <w:ind w:left="426" w:hanging="426"/>
        <w:jc w:val="both"/>
        <w:rPr>
          <w:sz w:val="22"/>
          <w:szCs w:val="22"/>
        </w:rPr>
      </w:pPr>
      <w:r w:rsidRPr="00EF0B0D">
        <w:rPr>
          <w:sz w:val="22"/>
          <w:szCs w:val="22"/>
        </w:rPr>
        <w:t>Projektová príprava.</w:t>
      </w:r>
    </w:p>
    <w:p w14:paraId="2D9DB992" w14:textId="77777777" w:rsidR="009E0158" w:rsidRDefault="00B548A5" w:rsidP="00CF7857">
      <w:pPr>
        <w:numPr>
          <w:ilvl w:val="2"/>
          <w:numId w:val="38"/>
        </w:numPr>
        <w:tabs>
          <w:tab w:val="clear" w:pos="360"/>
        </w:tabs>
        <w:spacing w:before="180" w:after="120"/>
        <w:ind w:left="851" w:hanging="425"/>
        <w:jc w:val="both"/>
        <w:rPr>
          <w:b/>
          <w:i/>
          <w:color w:val="4F81BD" w:themeColor="accent1"/>
          <w:sz w:val="22"/>
          <w:szCs w:val="22"/>
        </w:rPr>
      </w:pPr>
      <w:r w:rsidRPr="00AF56C3">
        <w:rPr>
          <w:b/>
          <w:i/>
          <w:color w:val="4F81BD" w:themeColor="accent1"/>
          <w:sz w:val="22"/>
          <w:szCs w:val="22"/>
        </w:rPr>
        <w:t>Modernizácia a výstavba električkových a trolejbusových tratí vrátane prvkov preferencie MHD a napojenia na ostatné druhy MHD a nemotorov</w:t>
      </w:r>
      <w:r>
        <w:rPr>
          <w:b/>
          <w:i/>
          <w:color w:val="4F81BD" w:themeColor="accent1"/>
          <w:sz w:val="22"/>
          <w:szCs w:val="22"/>
        </w:rPr>
        <w:t>ú dopravu</w:t>
      </w:r>
    </w:p>
    <w:p w14:paraId="16E4D475" w14:textId="77777777" w:rsidR="006272CE" w:rsidRPr="005348B9" w:rsidRDefault="006272CE" w:rsidP="006272CE">
      <w:pPr>
        <w:autoSpaceDE w:val="0"/>
        <w:autoSpaceDN w:val="0"/>
        <w:adjustRightInd w:val="0"/>
        <w:spacing w:before="180"/>
        <w:jc w:val="both"/>
        <w:rPr>
          <w:sz w:val="22"/>
          <w:szCs w:val="22"/>
        </w:rPr>
      </w:pPr>
      <w:r w:rsidRPr="00743F53">
        <w:rPr>
          <w:sz w:val="22"/>
          <w:szCs w:val="22"/>
        </w:rPr>
        <w:t>V</w:t>
      </w:r>
      <w:r>
        <w:rPr>
          <w:sz w:val="22"/>
          <w:szCs w:val="22"/>
        </w:rPr>
        <w:t> súvislosti s neustále</w:t>
      </w:r>
      <w:r w:rsidRPr="00743F53">
        <w:rPr>
          <w:sz w:val="22"/>
          <w:szCs w:val="22"/>
        </w:rPr>
        <w:t xml:space="preserve"> </w:t>
      </w:r>
      <w:r>
        <w:rPr>
          <w:sz w:val="22"/>
          <w:szCs w:val="22"/>
        </w:rPr>
        <w:t xml:space="preserve">sa </w:t>
      </w:r>
      <w:r w:rsidRPr="00743F53">
        <w:rPr>
          <w:sz w:val="22"/>
          <w:szCs w:val="22"/>
        </w:rPr>
        <w:t>zvyšujúcimi prepravnými nárokmi obyvateľstva a</w:t>
      </w:r>
      <w:r>
        <w:rPr>
          <w:sz w:val="22"/>
          <w:szCs w:val="22"/>
        </w:rPr>
        <w:t> </w:t>
      </w:r>
      <w:r w:rsidRPr="00743F53">
        <w:rPr>
          <w:sz w:val="22"/>
          <w:szCs w:val="22"/>
        </w:rPr>
        <w:t xml:space="preserve">rastom </w:t>
      </w:r>
      <w:r w:rsidR="00517F3D">
        <w:rPr>
          <w:sz w:val="22"/>
          <w:szCs w:val="22"/>
        </w:rPr>
        <w:t>IAD</w:t>
      </w:r>
      <w:r w:rsidRPr="00743F53">
        <w:rPr>
          <w:sz w:val="22"/>
          <w:szCs w:val="22"/>
        </w:rPr>
        <w:t xml:space="preserve"> je nevyhnutné vykonávať zásadné </w:t>
      </w:r>
      <w:r>
        <w:rPr>
          <w:sz w:val="22"/>
          <w:szCs w:val="22"/>
        </w:rPr>
        <w:t xml:space="preserve">systémové </w:t>
      </w:r>
      <w:r w:rsidRPr="00743F53">
        <w:rPr>
          <w:sz w:val="22"/>
          <w:szCs w:val="22"/>
        </w:rPr>
        <w:t>opatrenia na podporu rozvo</w:t>
      </w:r>
      <w:r>
        <w:rPr>
          <w:sz w:val="22"/>
          <w:szCs w:val="22"/>
        </w:rPr>
        <w:t>ja ekologických druhov dopravy.</w:t>
      </w:r>
      <w:r w:rsidRPr="00E92FE1">
        <w:rPr>
          <w:color w:val="FF0000"/>
          <w:sz w:val="22"/>
          <w:szCs w:val="22"/>
        </w:rPr>
        <w:t xml:space="preserve"> </w:t>
      </w:r>
      <w:r w:rsidRPr="005348B9">
        <w:rPr>
          <w:sz w:val="22"/>
          <w:szCs w:val="22"/>
        </w:rPr>
        <w:t>Veľké aglomerácie najv</w:t>
      </w:r>
      <w:r w:rsidR="00A95966">
        <w:rPr>
          <w:sz w:val="22"/>
          <w:szCs w:val="22"/>
        </w:rPr>
        <w:t>iac trpia preťaženosťou dopravy a</w:t>
      </w:r>
      <w:r w:rsidRPr="005348B9">
        <w:rPr>
          <w:sz w:val="22"/>
          <w:szCs w:val="22"/>
        </w:rPr>
        <w:t xml:space="preserve"> zlou kvalitou ovzdušia a</w:t>
      </w:r>
      <w:r w:rsidR="00A95966">
        <w:rPr>
          <w:sz w:val="22"/>
          <w:szCs w:val="22"/>
        </w:rPr>
        <w:t> sú vystavované nadmerným hladinám hluku a vibráciám.</w:t>
      </w:r>
      <w:r w:rsidR="00CC411D">
        <w:rPr>
          <w:sz w:val="22"/>
          <w:szCs w:val="22"/>
        </w:rPr>
        <w:t xml:space="preserve"> Elimináciu negatívnych javov vyplývajúcich z dopravy v mestách a regiónoch je </w:t>
      </w:r>
      <w:r w:rsidR="00CC411D" w:rsidRPr="006F3295">
        <w:rPr>
          <w:sz w:val="22"/>
          <w:szCs w:val="22"/>
        </w:rPr>
        <w:t xml:space="preserve">možné dosiahnuť </w:t>
      </w:r>
      <w:r w:rsidR="00CC411D">
        <w:rPr>
          <w:sz w:val="22"/>
          <w:szCs w:val="22"/>
        </w:rPr>
        <w:t>realizáciou</w:t>
      </w:r>
      <w:r w:rsidR="00CC411D" w:rsidRPr="006F3295">
        <w:rPr>
          <w:sz w:val="22"/>
          <w:szCs w:val="22"/>
        </w:rPr>
        <w:t xml:space="preserve"> opatrení, ktoré boli stanovené v strategických dokumentoch</w:t>
      </w:r>
      <w:r w:rsidR="00CC411D">
        <w:rPr>
          <w:sz w:val="22"/>
          <w:szCs w:val="22"/>
        </w:rPr>
        <w:t xml:space="preserve"> MDV SR</w:t>
      </w:r>
      <w:r w:rsidR="00CC411D" w:rsidRPr="006F3295">
        <w:rPr>
          <w:sz w:val="22"/>
          <w:szCs w:val="22"/>
        </w:rPr>
        <w:t xml:space="preserve">, </w:t>
      </w:r>
      <w:r w:rsidR="00CC411D">
        <w:rPr>
          <w:sz w:val="22"/>
          <w:szCs w:val="22"/>
        </w:rPr>
        <w:t>Programoch a Akčných plánoch na zlepšenie kvality ovzdušia</w:t>
      </w:r>
      <w:r w:rsidR="00CC411D">
        <w:rPr>
          <w:rStyle w:val="Odkaznapoznmkupodiarou"/>
          <w:sz w:val="22"/>
          <w:szCs w:val="22"/>
        </w:rPr>
        <w:footnoteReference w:id="65"/>
      </w:r>
      <w:r w:rsidR="00CC411D">
        <w:rPr>
          <w:sz w:val="22"/>
          <w:szCs w:val="22"/>
        </w:rPr>
        <w:t xml:space="preserve">, </w:t>
      </w:r>
      <w:r w:rsidR="00CC411D" w:rsidRPr="006F3295">
        <w:rPr>
          <w:sz w:val="22"/>
          <w:szCs w:val="22"/>
        </w:rPr>
        <w:t xml:space="preserve">resp. </w:t>
      </w:r>
      <w:r w:rsidR="00CC411D">
        <w:rPr>
          <w:sz w:val="22"/>
          <w:szCs w:val="22"/>
        </w:rPr>
        <w:t>Plánoch udržateľnej mestskej mobility (ak už existujú).</w:t>
      </w:r>
    </w:p>
    <w:p w14:paraId="63B74BBE" w14:textId="77777777" w:rsidR="00307AAF" w:rsidRDefault="006272CE" w:rsidP="00307AAF">
      <w:pPr>
        <w:spacing w:before="180"/>
        <w:jc w:val="both"/>
        <w:rPr>
          <w:sz w:val="22"/>
          <w:szCs w:val="22"/>
        </w:rPr>
      </w:pPr>
      <w:r w:rsidRPr="00FE75AD">
        <w:rPr>
          <w:sz w:val="22"/>
          <w:szCs w:val="22"/>
        </w:rPr>
        <w:t xml:space="preserve">Za najvýznamnejšie slabé miesto </w:t>
      </w:r>
      <w:r w:rsidR="00517F3D">
        <w:rPr>
          <w:sz w:val="22"/>
          <w:szCs w:val="22"/>
        </w:rPr>
        <w:t>VOD</w:t>
      </w:r>
      <w:r w:rsidRPr="00FE75AD">
        <w:rPr>
          <w:sz w:val="22"/>
          <w:szCs w:val="22"/>
        </w:rPr>
        <w:t xml:space="preserve"> na Slovensku je možné označiť absenciu funkčných integrovaných dopravných systémov, ktoré by boli infraštruktúrne a</w:t>
      </w:r>
      <w:r w:rsidR="00DE3CE6">
        <w:rPr>
          <w:sz w:val="22"/>
          <w:szCs w:val="22"/>
        </w:rPr>
        <w:t xml:space="preserve"> prevádzkovo optimalizované pre </w:t>
      </w:r>
      <w:r w:rsidRPr="00FE75AD">
        <w:rPr>
          <w:sz w:val="22"/>
          <w:szCs w:val="22"/>
        </w:rPr>
        <w:t>príslušné aglomerácie. Dôvod je potrebné hľadať predovšetkým v</w:t>
      </w:r>
      <w:r>
        <w:rPr>
          <w:sz w:val="22"/>
          <w:szCs w:val="22"/>
        </w:rPr>
        <w:t> </w:t>
      </w:r>
      <w:r w:rsidRPr="00FE75AD">
        <w:rPr>
          <w:sz w:val="22"/>
          <w:szCs w:val="22"/>
        </w:rPr>
        <w:t>nastavení systému</w:t>
      </w:r>
      <w:r>
        <w:rPr>
          <w:sz w:val="22"/>
          <w:szCs w:val="22"/>
        </w:rPr>
        <w:t xml:space="preserve"> objednávania a organizácie</w:t>
      </w:r>
      <w:r w:rsidRPr="00FE75AD">
        <w:rPr>
          <w:sz w:val="22"/>
          <w:szCs w:val="22"/>
        </w:rPr>
        <w:t xml:space="preserve"> dopravy a</w:t>
      </w:r>
      <w:r>
        <w:rPr>
          <w:sz w:val="22"/>
          <w:szCs w:val="22"/>
        </w:rPr>
        <w:t> </w:t>
      </w:r>
      <w:r w:rsidRPr="00FE75AD">
        <w:rPr>
          <w:sz w:val="22"/>
          <w:szCs w:val="22"/>
        </w:rPr>
        <w:t>z</w:t>
      </w:r>
      <w:r>
        <w:rPr>
          <w:sz w:val="22"/>
          <w:szCs w:val="22"/>
        </w:rPr>
        <w:t> </w:t>
      </w:r>
      <w:r w:rsidRPr="00FE75AD">
        <w:rPr>
          <w:sz w:val="22"/>
          <w:szCs w:val="22"/>
        </w:rPr>
        <w:t>toho vyplývajúceho spôsobu zabezpečenia výkonov vo verejnom záujme. V</w:t>
      </w:r>
      <w:r>
        <w:rPr>
          <w:sz w:val="22"/>
          <w:szCs w:val="22"/>
        </w:rPr>
        <w:t> </w:t>
      </w:r>
      <w:r w:rsidRPr="00FE75AD">
        <w:rPr>
          <w:sz w:val="22"/>
          <w:szCs w:val="22"/>
        </w:rPr>
        <w:t>súčasnosti je objednávateľom výkonov v</w:t>
      </w:r>
      <w:r>
        <w:rPr>
          <w:sz w:val="22"/>
          <w:szCs w:val="22"/>
        </w:rPr>
        <w:t> </w:t>
      </w:r>
      <w:r w:rsidRPr="00FE75AD">
        <w:rPr>
          <w:sz w:val="22"/>
          <w:szCs w:val="22"/>
        </w:rPr>
        <w:t>regionálnej železničnej doprave MDV SR, v</w:t>
      </w:r>
      <w:r>
        <w:rPr>
          <w:sz w:val="22"/>
          <w:szCs w:val="22"/>
        </w:rPr>
        <w:t> </w:t>
      </w:r>
      <w:r w:rsidRPr="00FE75AD">
        <w:rPr>
          <w:sz w:val="22"/>
          <w:szCs w:val="22"/>
        </w:rPr>
        <w:t>prímestskej autobusovej doprave sú objednávateľmi VÚC a</w:t>
      </w:r>
      <w:r>
        <w:rPr>
          <w:sz w:val="22"/>
          <w:szCs w:val="22"/>
        </w:rPr>
        <w:t> </w:t>
      </w:r>
      <w:r w:rsidRPr="00FE75AD">
        <w:rPr>
          <w:sz w:val="22"/>
          <w:szCs w:val="22"/>
        </w:rPr>
        <w:t>v</w:t>
      </w:r>
      <w:r>
        <w:rPr>
          <w:sz w:val="22"/>
          <w:szCs w:val="22"/>
        </w:rPr>
        <w:t> </w:t>
      </w:r>
      <w:r w:rsidRPr="00FE75AD">
        <w:rPr>
          <w:sz w:val="22"/>
          <w:szCs w:val="22"/>
        </w:rPr>
        <w:t xml:space="preserve">mestskej hromadnej doprave mestá, pričom </w:t>
      </w:r>
      <w:r w:rsidR="00BA677E">
        <w:rPr>
          <w:sz w:val="22"/>
          <w:szCs w:val="22"/>
        </w:rPr>
        <w:t xml:space="preserve">medzi nimi </w:t>
      </w:r>
      <w:r w:rsidRPr="00FE75AD">
        <w:rPr>
          <w:sz w:val="22"/>
          <w:szCs w:val="22"/>
        </w:rPr>
        <w:t>nie je zabezpečená vzájomná previazanosť a</w:t>
      </w:r>
      <w:r>
        <w:rPr>
          <w:sz w:val="22"/>
          <w:szCs w:val="22"/>
        </w:rPr>
        <w:t> </w:t>
      </w:r>
      <w:r w:rsidRPr="00FE75AD">
        <w:rPr>
          <w:sz w:val="22"/>
          <w:szCs w:val="22"/>
        </w:rPr>
        <w:t xml:space="preserve">koordinácia jednotlivých dopravných módov. </w:t>
      </w:r>
    </w:p>
    <w:p w14:paraId="09E19D8E" w14:textId="77777777" w:rsidR="00307AAF" w:rsidRDefault="006272CE" w:rsidP="00307AAF">
      <w:pPr>
        <w:spacing w:before="180"/>
        <w:jc w:val="both"/>
        <w:rPr>
          <w:sz w:val="22"/>
          <w:szCs w:val="22"/>
        </w:rPr>
      </w:pPr>
      <w:r w:rsidRPr="00FE75AD">
        <w:rPr>
          <w:sz w:val="22"/>
          <w:szCs w:val="22"/>
        </w:rPr>
        <w:t>Železničná doprava má v</w:t>
      </w:r>
      <w:r>
        <w:rPr>
          <w:sz w:val="22"/>
          <w:szCs w:val="22"/>
        </w:rPr>
        <w:t> </w:t>
      </w:r>
      <w:r w:rsidRPr="00FE75AD">
        <w:rPr>
          <w:sz w:val="22"/>
          <w:szCs w:val="22"/>
        </w:rPr>
        <w:t xml:space="preserve">súčasnosti dostatočnú kapacitu na uspokojenie </w:t>
      </w:r>
      <w:r>
        <w:rPr>
          <w:sz w:val="22"/>
          <w:szCs w:val="22"/>
        </w:rPr>
        <w:t>súčasných aj prognózovaných</w:t>
      </w:r>
      <w:r w:rsidRPr="00FE75AD">
        <w:rPr>
          <w:sz w:val="22"/>
          <w:szCs w:val="22"/>
        </w:rPr>
        <w:t xml:space="preserve"> prepravných nárokov na celej sieti ŽSR. </w:t>
      </w:r>
    </w:p>
    <w:p w14:paraId="2F6608C9" w14:textId="77777777" w:rsidR="006272CE" w:rsidRPr="00DE6378" w:rsidRDefault="006272CE" w:rsidP="006272CE">
      <w:pPr>
        <w:spacing w:before="180"/>
        <w:jc w:val="both"/>
        <w:rPr>
          <w:sz w:val="22"/>
          <w:szCs w:val="22"/>
        </w:rPr>
      </w:pPr>
      <w:r w:rsidRPr="00DE6378">
        <w:rPr>
          <w:sz w:val="22"/>
          <w:szCs w:val="22"/>
        </w:rPr>
        <w:t xml:space="preserve">Identifikovanými infraštruktúrnymi problémami železničnej regionálnej </w:t>
      </w:r>
      <w:r w:rsidR="00595C25">
        <w:rPr>
          <w:sz w:val="22"/>
          <w:szCs w:val="22"/>
        </w:rPr>
        <w:t xml:space="preserve">osobnej </w:t>
      </w:r>
      <w:r w:rsidRPr="00DE6378">
        <w:rPr>
          <w:sz w:val="22"/>
          <w:szCs w:val="22"/>
        </w:rPr>
        <w:t xml:space="preserve">dopravy </w:t>
      </w:r>
      <w:r>
        <w:rPr>
          <w:sz w:val="22"/>
          <w:szCs w:val="22"/>
        </w:rPr>
        <w:t xml:space="preserve">sú </w:t>
      </w:r>
      <w:r w:rsidRPr="00DE6378">
        <w:rPr>
          <w:sz w:val="22"/>
          <w:szCs w:val="22"/>
        </w:rPr>
        <w:t>najmä nedostatočne udržiavaný, zanedbaný charakter železničných staníc a</w:t>
      </w:r>
      <w:r>
        <w:rPr>
          <w:sz w:val="22"/>
          <w:szCs w:val="22"/>
        </w:rPr>
        <w:t> </w:t>
      </w:r>
      <w:r w:rsidRPr="00DE6378">
        <w:rPr>
          <w:sz w:val="22"/>
          <w:szCs w:val="22"/>
        </w:rPr>
        <w:t>zastávok</w:t>
      </w:r>
      <w:r>
        <w:rPr>
          <w:sz w:val="22"/>
          <w:szCs w:val="22"/>
        </w:rPr>
        <w:t xml:space="preserve"> vrátane prestupných bodov,</w:t>
      </w:r>
      <w:r w:rsidRPr="00DE6378">
        <w:rPr>
          <w:sz w:val="22"/>
          <w:szCs w:val="22"/>
        </w:rPr>
        <w:t xml:space="preserve"> </w:t>
      </w:r>
      <w:r>
        <w:rPr>
          <w:sz w:val="22"/>
          <w:szCs w:val="22"/>
        </w:rPr>
        <w:t xml:space="preserve">rozmiestnenie tarifných bodov </w:t>
      </w:r>
      <w:r w:rsidR="00595C25">
        <w:rPr>
          <w:sz w:val="22"/>
          <w:szCs w:val="22"/>
        </w:rPr>
        <w:t>neprispôsobujúce sa</w:t>
      </w:r>
      <w:r w:rsidRPr="00DE6378">
        <w:rPr>
          <w:sz w:val="22"/>
          <w:szCs w:val="22"/>
        </w:rPr>
        <w:t xml:space="preserve"> vývoju osídlenia v</w:t>
      </w:r>
      <w:r>
        <w:rPr>
          <w:sz w:val="22"/>
          <w:szCs w:val="22"/>
        </w:rPr>
        <w:t> </w:t>
      </w:r>
      <w:r w:rsidRPr="00DE6378">
        <w:rPr>
          <w:sz w:val="22"/>
          <w:szCs w:val="22"/>
        </w:rPr>
        <w:t xml:space="preserve">ostatnom čase, nízke </w:t>
      </w:r>
      <w:r>
        <w:rPr>
          <w:sz w:val="22"/>
          <w:szCs w:val="22"/>
        </w:rPr>
        <w:t xml:space="preserve">prevádzkové </w:t>
      </w:r>
      <w:r w:rsidRPr="00DE6378">
        <w:rPr>
          <w:sz w:val="22"/>
          <w:szCs w:val="22"/>
        </w:rPr>
        <w:t>rýchlosti na perspektívnych tratiach</w:t>
      </w:r>
      <w:r w:rsidR="00AE2A87">
        <w:rPr>
          <w:sz w:val="22"/>
          <w:szCs w:val="22"/>
        </w:rPr>
        <w:t>,</w:t>
      </w:r>
      <w:r w:rsidRPr="00DE6378">
        <w:rPr>
          <w:sz w:val="22"/>
          <w:szCs w:val="22"/>
        </w:rPr>
        <w:t xml:space="preserve"> vhodných na prevzatie líniovej obsluhy územia (obmedzená traťová rýchlosť, jej prechodné a</w:t>
      </w:r>
      <w:r>
        <w:rPr>
          <w:sz w:val="22"/>
          <w:szCs w:val="22"/>
        </w:rPr>
        <w:t> </w:t>
      </w:r>
      <w:r w:rsidRPr="00DE6378">
        <w:rPr>
          <w:sz w:val="22"/>
          <w:szCs w:val="22"/>
        </w:rPr>
        <w:t>bodové obmedzenia).</w:t>
      </w:r>
    </w:p>
    <w:p w14:paraId="786BC355" w14:textId="0E5D2B32" w:rsidR="006272CE" w:rsidRPr="0048730E" w:rsidRDefault="006272CE" w:rsidP="006272CE">
      <w:pPr>
        <w:spacing w:before="180"/>
        <w:jc w:val="both"/>
        <w:rPr>
          <w:sz w:val="22"/>
          <w:szCs w:val="22"/>
        </w:rPr>
      </w:pPr>
      <w:r w:rsidRPr="0048730E">
        <w:rPr>
          <w:sz w:val="22"/>
          <w:szCs w:val="22"/>
        </w:rPr>
        <w:t>Prímestská a</w:t>
      </w:r>
      <w:r>
        <w:rPr>
          <w:sz w:val="22"/>
          <w:szCs w:val="22"/>
        </w:rPr>
        <w:t> </w:t>
      </w:r>
      <w:r w:rsidRPr="0048730E">
        <w:rPr>
          <w:sz w:val="22"/>
          <w:szCs w:val="22"/>
        </w:rPr>
        <w:t>regionálna autobusová doprava trpí úbytkom cestujúcich z</w:t>
      </w:r>
      <w:r>
        <w:rPr>
          <w:sz w:val="22"/>
          <w:szCs w:val="22"/>
        </w:rPr>
        <w:t> </w:t>
      </w:r>
      <w:r w:rsidRPr="0048730E">
        <w:rPr>
          <w:sz w:val="22"/>
          <w:szCs w:val="22"/>
        </w:rPr>
        <w:t xml:space="preserve">dôvodu nízkej miery konkurencieschopnosti voči </w:t>
      </w:r>
      <w:r w:rsidR="00517F3D">
        <w:rPr>
          <w:sz w:val="22"/>
          <w:szCs w:val="22"/>
        </w:rPr>
        <w:t>IAD</w:t>
      </w:r>
      <w:r w:rsidRPr="0048730E">
        <w:rPr>
          <w:sz w:val="22"/>
          <w:szCs w:val="22"/>
        </w:rPr>
        <w:t xml:space="preserve">. </w:t>
      </w:r>
      <w:r>
        <w:rPr>
          <w:sz w:val="22"/>
          <w:szCs w:val="22"/>
        </w:rPr>
        <w:t>Dopravcom s</w:t>
      </w:r>
      <w:r w:rsidRPr="0048730E">
        <w:rPr>
          <w:sz w:val="22"/>
          <w:szCs w:val="22"/>
        </w:rPr>
        <w:t>účasne vzrástli náklady</w:t>
      </w:r>
      <w:r>
        <w:rPr>
          <w:sz w:val="22"/>
          <w:szCs w:val="22"/>
        </w:rPr>
        <w:t>, napr.</w:t>
      </w:r>
      <w:r w:rsidRPr="0048730E">
        <w:rPr>
          <w:sz w:val="22"/>
          <w:szCs w:val="22"/>
        </w:rPr>
        <w:t xml:space="preserve"> aj z</w:t>
      </w:r>
      <w:r>
        <w:rPr>
          <w:sz w:val="22"/>
          <w:szCs w:val="22"/>
        </w:rPr>
        <w:t> </w:t>
      </w:r>
      <w:r w:rsidRPr="0048730E">
        <w:rPr>
          <w:sz w:val="22"/>
          <w:szCs w:val="22"/>
        </w:rPr>
        <w:t>dôvodu potrebnej obnovy voz</w:t>
      </w:r>
      <w:r>
        <w:rPr>
          <w:sz w:val="22"/>
          <w:szCs w:val="22"/>
        </w:rPr>
        <w:t>ového</w:t>
      </w:r>
      <w:r w:rsidRPr="0048730E">
        <w:rPr>
          <w:sz w:val="22"/>
          <w:szCs w:val="22"/>
        </w:rPr>
        <w:t xml:space="preserve"> parku. Absencia harmonizácie a</w:t>
      </w:r>
      <w:r>
        <w:rPr>
          <w:sz w:val="22"/>
          <w:szCs w:val="22"/>
        </w:rPr>
        <w:t> </w:t>
      </w:r>
      <w:r w:rsidRPr="0048730E">
        <w:rPr>
          <w:sz w:val="22"/>
          <w:szCs w:val="22"/>
        </w:rPr>
        <w:t>integrácie regionálnej dopravy s</w:t>
      </w:r>
      <w:r>
        <w:rPr>
          <w:sz w:val="22"/>
          <w:szCs w:val="22"/>
        </w:rPr>
        <w:t> </w:t>
      </w:r>
      <w:r w:rsidRPr="0048730E">
        <w:rPr>
          <w:sz w:val="22"/>
          <w:szCs w:val="22"/>
        </w:rPr>
        <w:t xml:space="preserve">ostatnými druhmi </w:t>
      </w:r>
      <w:r w:rsidR="00517F3D">
        <w:rPr>
          <w:sz w:val="22"/>
          <w:szCs w:val="22"/>
        </w:rPr>
        <w:t>VOD</w:t>
      </w:r>
      <w:r w:rsidRPr="0048730E">
        <w:rPr>
          <w:sz w:val="22"/>
          <w:szCs w:val="22"/>
        </w:rPr>
        <w:t xml:space="preserve"> vedie k</w:t>
      </w:r>
      <w:r>
        <w:rPr>
          <w:sz w:val="22"/>
          <w:szCs w:val="22"/>
        </w:rPr>
        <w:t> neefektívnej dopravnej obsluhe</w:t>
      </w:r>
      <w:r w:rsidRPr="0048730E">
        <w:rPr>
          <w:sz w:val="22"/>
          <w:szCs w:val="22"/>
        </w:rPr>
        <w:t xml:space="preserve"> </w:t>
      </w:r>
      <w:r>
        <w:rPr>
          <w:sz w:val="22"/>
          <w:szCs w:val="22"/>
        </w:rPr>
        <w:t>a </w:t>
      </w:r>
      <w:r w:rsidRPr="0048730E">
        <w:rPr>
          <w:sz w:val="22"/>
          <w:szCs w:val="22"/>
        </w:rPr>
        <w:t>vysokým prevádzkovým nákladom, pričom časť nákladov je vy</w:t>
      </w:r>
      <w:r>
        <w:rPr>
          <w:sz w:val="22"/>
          <w:szCs w:val="22"/>
        </w:rPr>
        <w:t>nakladaná na prepravu, ktorá je </w:t>
      </w:r>
      <w:r w:rsidRPr="0048730E">
        <w:rPr>
          <w:sz w:val="22"/>
          <w:szCs w:val="22"/>
        </w:rPr>
        <w:t>konkurenčná k</w:t>
      </w:r>
      <w:r>
        <w:rPr>
          <w:sz w:val="22"/>
          <w:szCs w:val="22"/>
        </w:rPr>
        <w:t> osobnej železničnej doprave. Na</w:t>
      </w:r>
      <w:r w:rsidR="006448A9">
        <w:rPr>
          <w:sz w:val="22"/>
          <w:szCs w:val="22"/>
        </w:rPr>
        <w:t> </w:t>
      </w:r>
      <w:r w:rsidRPr="0048730E">
        <w:rPr>
          <w:sz w:val="22"/>
          <w:szCs w:val="22"/>
        </w:rPr>
        <w:t>koordináciu železničnej a</w:t>
      </w:r>
      <w:r>
        <w:rPr>
          <w:sz w:val="22"/>
          <w:szCs w:val="22"/>
        </w:rPr>
        <w:t> </w:t>
      </w:r>
      <w:r w:rsidRPr="0048730E">
        <w:rPr>
          <w:sz w:val="22"/>
          <w:szCs w:val="22"/>
        </w:rPr>
        <w:t xml:space="preserve">autobusovej dopravy chýbajú </w:t>
      </w:r>
      <w:r>
        <w:rPr>
          <w:sz w:val="22"/>
          <w:szCs w:val="22"/>
        </w:rPr>
        <w:t xml:space="preserve">adekvátne </w:t>
      </w:r>
      <w:r w:rsidRPr="0048730E">
        <w:rPr>
          <w:sz w:val="22"/>
          <w:szCs w:val="22"/>
        </w:rPr>
        <w:t>prestupné body medzi jednotlivými druhmi dopravy, moderné komunikačné zariadenia medzi vozidlami a</w:t>
      </w:r>
      <w:r>
        <w:rPr>
          <w:sz w:val="22"/>
          <w:szCs w:val="22"/>
        </w:rPr>
        <w:t> </w:t>
      </w:r>
      <w:r w:rsidRPr="0048730E">
        <w:rPr>
          <w:sz w:val="22"/>
          <w:szCs w:val="22"/>
        </w:rPr>
        <w:t>dispečingami a</w:t>
      </w:r>
      <w:r>
        <w:rPr>
          <w:sz w:val="22"/>
          <w:szCs w:val="22"/>
        </w:rPr>
        <w:t xml:space="preserve"> ďalšie </w:t>
      </w:r>
      <w:r w:rsidRPr="0048730E">
        <w:rPr>
          <w:sz w:val="22"/>
          <w:szCs w:val="22"/>
        </w:rPr>
        <w:t>prvky integrácie dopravných systémov.</w:t>
      </w:r>
    </w:p>
    <w:p w14:paraId="59319C8C" w14:textId="77777777" w:rsidR="006272CE" w:rsidRPr="00FE75AD" w:rsidRDefault="006272CE" w:rsidP="006272CE">
      <w:pPr>
        <w:spacing w:before="180"/>
        <w:jc w:val="both"/>
        <w:rPr>
          <w:sz w:val="22"/>
          <w:szCs w:val="22"/>
        </w:rPr>
      </w:pPr>
      <w:r w:rsidRPr="00FE75AD">
        <w:rPr>
          <w:sz w:val="22"/>
          <w:szCs w:val="22"/>
        </w:rPr>
        <w:t>V</w:t>
      </w:r>
      <w:r>
        <w:rPr>
          <w:sz w:val="22"/>
          <w:szCs w:val="22"/>
        </w:rPr>
        <w:t> </w:t>
      </w:r>
      <w:r w:rsidRPr="00FE75AD">
        <w:rPr>
          <w:sz w:val="22"/>
          <w:szCs w:val="22"/>
        </w:rPr>
        <w:t xml:space="preserve">autobusovej doprave je nedostatkom okrem nevhodnej organizácie najmä nízka </w:t>
      </w:r>
      <w:r>
        <w:rPr>
          <w:sz w:val="22"/>
          <w:szCs w:val="22"/>
        </w:rPr>
        <w:t>úroveň kvality zastávok</w:t>
      </w:r>
      <w:r w:rsidRPr="00FE75AD">
        <w:rPr>
          <w:sz w:val="22"/>
          <w:szCs w:val="22"/>
        </w:rPr>
        <w:t>, nízky rozsah doplnkových služieb a</w:t>
      </w:r>
      <w:r>
        <w:rPr>
          <w:sz w:val="22"/>
          <w:szCs w:val="22"/>
        </w:rPr>
        <w:t> </w:t>
      </w:r>
      <w:r w:rsidRPr="00FE75AD">
        <w:rPr>
          <w:sz w:val="22"/>
          <w:szCs w:val="22"/>
        </w:rPr>
        <w:t xml:space="preserve">absencia </w:t>
      </w:r>
      <w:r>
        <w:rPr>
          <w:sz w:val="22"/>
          <w:szCs w:val="22"/>
        </w:rPr>
        <w:t xml:space="preserve">súvisiacej </w:t>
      </w:r>
      <w:r w:rsidRPr="00FE75AD">
        <w:rPr>
          <w:sz w:val="22"/>
          <w:szCs w:val="22"/>
        </w:rPr>
        <w:t xml:space="preserve">infraštruktúry – </w:t>
      </w:r>
      <w:r>
        <w:rPr>
          <w:sz w:val="22"/>
          <w:szCs w:val="22"/>
        </w:rPr>
        <w:t xml:space="preserve">záchytných </w:t>
      </w:r>
      <w:r w:rsidRPr="00FE75AD">
        <w:rPr>
          <w:sz w:val="22"/>
          <w:szCs w:val="22"/>
        </w:rPr>
        <w:t>parkovísk a</w:t>
      </w:r>
      <w:r>
        <w:rPr>
          <w:sz w:val="22"/>
          <w:szCs w:val="22"/>
        </w:rPr>
        <w:t> </w:t>
      </w:r>
      <w:r w:rsidRPr="00FE75AD">
        <w:rPr>
          <w:sz w:val="22"/>
          <w:szCs w:val="22"/>
        </w:rPr>
        <w:t>odstavn</w:t>
      </w:r>
      <w:r>
        <w:rPr>
          <w:sz w:val="22"/>
          <w:szCs w:val="22"/>
        </w:rPr>
        <w:t>ých</w:t>
      </w:r>
      <w:r w:rsidRPr="00FE75AD">
        <w:rPr>
          <w:sz w:val="22"/>
          <w:szCs w:val="22"/>
        </w:rPr>
        <w:t xml:space="preserve"> pl</w:t>
      </w:r>
      <w:r>
        <w:rPr>
          <w:sz w:val="22"/>
          <w:szCs w:val="22"/>
        </w:rPr>
        <w:t>ô</w:t>
      </w:r>
      <w:r w:rsidRPr="00FE75AD">
        <w:rPr>
          <w:sz w:val="22"/>
          <w:szCs w:val="22"/>
        </w:rPr>
        <w:t>ch pre bicykle a</w:t>
      </w:r>
      <w:r>
        <w:rPr>
          <w:sz w:val="22"/>
          <w:szCs w:val="22"/>
        </w:rPr>
        <w:t> </w:t>
      </w:r>
      <w:r w:rsidRPr="00FE75AD">
        <w:rPr>
          <w:sz w:val="22"/>
          <w:szCs w:val="22"/>
        </w:rPr>
        <w:t>motocykle, ako aj absentuj</w:t>
      </w:r>
      <w:r>
        <w:rPr>
          <w:sz w:val="22"/>
          <w:szCs w:val="22"/>
        </w:rPr>
        <w:t>úca nadväzná infraštruktúra pre </w:t>
      </w:r>
      <w:r w:rsidRPr="00FE75AD">
        <w:rPr>
          <w:sz w:val="22"/>
          <w:szCs w:val="22"/>
        </w:rPr>
        <w:t xml:space="preserve">ekologické </w:t>
      </w:r>
      <w:r>
        <w:rPr>
          <w:sz w:val="22"/>
          <w:szCs w:val="22"/>
        </w:rPr>
        <w:t>druhy</w:t>
      </w:r>
      <w:r w:rsidRPr="00FE75AD">
        <w:rPr>
          <w:sz w:val="22"/>
          <w:szCs w:val="22"/>
        </w:rPr>
        <w:t xml:space="preserve"> dopravy </w:t>
      </w:r>
      <w:r>
        <w:rPr>
          <w:sz w:val="22"/>
          <w:szCs w:val="22"/>
        </w:rPr>
        <w:t>(</w:t>
      </w:r>
      <w:r w:rsidRPr="00FE75AD">
        <w:rPr>
          <w:sz w:val="22"/>
          <w:szCs w:val="22"/>
        </w:rPr>
        <w:t>napr. cyklotrasy, cyklistick</w:t>
      </w:r>
      <w:r>
        <w:rPr>
          <w:sz w:val="22"/>
          <w:szCs w:val="22"/>
        </w:rPr>
        <w:t>é chodníky), ktoré by umožnili lepšiu prístupnosť zastávok verejnej osobnej dopravy.</w:t>
      </w:r>
    </w:p>
    <w:p w14:paraId="5F4F8CAF" w14:textId="1DE67FA3" w:rsidR="006272CE" w:rsidRPr="0048730E" w:rsidRDefault="006272CE" w:rsidP="006272CE">
      <w:pPr>
        <w:spacing w:before="180"/>
        <w:jc w:val="both"/>
        <w:rPr>
          <w:sz w:val="22"/>
          <w:szCs w:val="22"/>
        </w:rPr>
      </w:pPr>
      <w:r w:rsidRPr="0048730E">
        <w:rPr>
          <w:sz w:val="22"/>
          <w:szCs w:val="22"/>
        </w:rPr>
        <w:lastRenderedPageBreak/>
        <w:t>V</w:t>
      </w:r>
      <w:r>
        <w:rPr>
          <w:sz w:val="22"/>
          <w:szCs w:val="22"/>
        </w:rPr>
        <w:t> </w:t>
      </w:r>
      <w:r w:rsidRPr="0048730E">
        <w:rPr>
          <w:sz w:val="22"/>
          <w:szCs w:val="22"/>
        </w:rPr>
        <w:t xml:space="preserve">MHD je </w:t>
      </w:r>
      <w:r w:rsidR="00595C25">
        <w:rPr>
          <w:sz w:val="22"/>
          <w:szCs w:val="22"/>
        </w:rPr>
        <w:t xml:space="preserve">problémovou oblasťou </w:t>
      </w:r>
      <w:r w:rsidRPr="0048730E">
        <w:rPr>
          <w:sz w:val="22"/>
          <w:szCs w:val="22"/>
        </w:rPr>
        <w:t>podfinancovanosť mestských dopravných podnikov a</w:t>
      </w:r>
      <w:r>
        <w:rPr>
          <w:sz w:val="22"/>
          <w:szCs w:val="22"/>
        </w:rPr>
        <w:t> </w:t>
      </w:r>
      <w:r w:rsidRPr="0048730E">
        <w:rPr>
          <w:sz w:val="22"/>
          <w:szCs w:val="22"/>
        </w:rPr>
        <w:t>z</w:t>
      </w:r>
      <w:r>
        <w:rPr>
          <w:sz w:val="22"/>
          <w:szCs w:val="22"/>
        </w:rPr>
        <w:t> </w:t>
      </w:r>
      <w:r w:rsidRPr="0048730E">
        <w:rPr>
          <w:sz w:val="22"/>
          <w:szCs w:val="22"/>
        </w:rPr>
        <w:t>nej vyplývajúci zlý stav koľajového zvršku električkových tratí, trolejbusových dráh a</w:t>
      </w:r>
      <w:r>
        <w:rPr>
          <w:sz w:val="22"/>
          <w:szCs w:val="22"/>
        </w:rPr>
        <w:t> </w:t>
      </w:r>
      <w:r w:rsidRPr="0048730E">
        <w:rPr>
          <w:sz w:val="22"/>
          <w:szCs w:val="22"/>
        </w:rPr>
        <w:t xml:space="preserve">meniarní, zastaraný </w:t>
      </w:r>
      <w:r>
        <w:rPr>
          <w:sz w:val="22"/>
          <w:szCs w:val="22"/>
        </w:rPr>
        <w:t>vozový</w:t>
      </w:r>
      <w:r w:rsidRPr="0048730E">
        <w:rPr>
          <w:sz w:val="22"/>
          <w:szCs w:val="22"/>
        </w:rPr>
        <w:t xml:space="preserve"> park s</w:t>
      </w:r>
      <w:r>
        <w:rPr>
          <w:sz w:val="22"/>
          <w:szCs w:val="22"/>
        </w:rPr>
        <w:t> </w:t>
      </w:r>
      <w:r w:rsidRPr="0048730E">
        <w:rPr>
          <w:sz w:val="22"/>
          <w:szCs w:val="22"/>
        </w:rPr>
        <w:t>vysokým počtom porúch a</w:t>
      </w:r>
      <w:r>
        <w:rPr>
          <w:sz w:val="22"/>
          <w:szCs w:val="22"/>
        </w:rPr>
        <w:t> </w:t>
      </w:r>
      <w:r w:rsidRPr="0048730E">
        <w:rPr>
          <w:sz w:val="22"/>
          <w:szCs w:val="22"/>
        </w:rPr>
        <w:t>výpadko</w:t>
      </w:r>
      <w:r>
        <w:rPr>
          <w:sz w:val="22"/>
          <w:szCs w:val="22"/>
        </w:rPr>
        <w:t>v a </w:t>
      </w:r>
      <w:r w:rsidRPr="0048730E">
        <w:rPr>
          <w:sz w:val="22"/>
          <w:szCs w:val="22"/>
        </w:rPr>
        <w:t>v</w:t>
      </w:r>
      <w:r>
        <w:rPr>
          <w:sz w:val="22"/>
          <w:szCs w:val="22"/>
        </w:rPr>
        <w:t> </w:t>
      </w:r>
      <w:r w:rsidRPr="0048730E">
        <w:rPr>
          <w:sz w:val="22"/>
          <w:szCs w:val="22"/>
        </w:rPr>
        <w:t>rámci elektrickej trakcie</w:t>
      </w:r>
      <w:r>
        <w:rPr>
          <w:sz w:val="22"/>
          <w:szCs w:val="22"/>
        </w:rPr>
        <w:t xml:space="preserve"> aj </w:t>
      </w:r>
      <w:r w:rsidRPr="0048730E">
        <w:rPr>
          <w:sz w:val="22"/>
          <w:szCs w:val="22"/>
        </w:rPr>
        <w:t>nízke percento nízkopodlažných vozidiel.</w:t>
      </w:r>
      <w:r>
        <w:rPr>
          <w:sz w:val="22"/>
          <w:szCs w:val="22"/>
        </w:rPr>
        <w:t xml:space="preserve"> </w:t>
      </w:r>
      <w:r w:rsidRPr="007919B4">
        <w:rPr>
          <w:sz w:val="22"/>
          <w:szCs w:val="22"/>
        </w:rPr>
        <w:t>Väčši</w:t>
      </w:r>
      <w:r w:rsidR="00DA4B38">
        <w:rPr>
          <w:sz w:val="22"/>
          <w:szCs w:val="22"/>
        </w:rPr>
        <w:t>na električiek a trolejbusov neobsahuje moderné elektrické vybavenie</w:t>
      </w:r>
      <w:r w:rsidRPr="007919B4">
        <w:rPr>
          <w:sz w:val="22"/>
          <w:szCs w:val="22"/>
        </w:rPr>
        <w:t xml:space="preserve"> umožňujúc</w:t>
      </w:r>
      <w:r w:rsidR="00BE5936">
        <w:rPr>
          <w:sz w:val="22"/>
          <w:szCs w:val="22"/>
        </w:rPr>
        <w:t>e</w:t>
      </w:r>
      <w:r w:rsidRPr="007919B4">
        <w:rPr>
          <w:sz w:val="22"/>
          <w:szCs w:val="22"/>
        </w:rPr>
        <w:t xml:space="preserve"> rekuperáciu elektrickej energie, čím nie je dosiahnutá adekvátna hospodárnosť.</w:t>
      </w:r>
    </w:p>
    <w:p w14:paraId="09D51003" w14:textId="77777777" w:rsidR="006272CE" w:rsidRPr="0048730E" w:rsidRDefault="00517F3D" w:rsidP="006272CE">
      <w:pPr>
        <w:spacing w:before="180"/>
        <w:jc w:val="both"/>
        <w:rPr>
          <w:sz w:val="22"/>
          <w:szCs w:val="22"/>
        </w:rPr>
      </w:pPr>
      <w:r>
        <w:rPr>
          <w:sz w:val="22"/>
          <w:szCs w:val="22"/>
        </w:rPr>
        <w:t>VOD</w:t>
      </w:r>
      <w:r w:rsidR="006272CE" w:rsidRPr="0048730E">
        <w:rPr>
          <w:sz w:val="22"/>
          <w:szCs w:val="22"/>
        </w:rPr>
        <w:t xml:space="preserve"> tiež neprospieva nízka úroveň preferencie vozidiel v</w:t>
      </w:r>
      <w:r w:rsidR="006272CE">
        <w:rPr>
          <w:sz w:val="22"/>
          <w:szCs w:val="22"/>
        </w:rPr>
        <w:t> </w:t>
      </w:r>
      <w:r w:rsidR="006272CE" w:rsidRPr="0048730E">
        <w:rPr>
          <w:sz w:val="22"/>
          <w:szCs w:val="22"/>
        </w:rPr>
        <w:t>dopravnej prevádzke</w:t>
      </w:r>
      <w:r w:rsidR="006272CE">
        <w:rPr>
          <w:sz w:val="22"/>
          <w:szCs w:val="22"/>
        </w:rPr>
        <w:t xml:space="preserve"> </w:t>
      </w:r>
      <w:r w:rsidR="006272CE" w:rsidRPr="00921D8E">
        <w:rPr>
          <w:sz w:val="22"/>
          <w:szCs w:val="22"/>
        </w:rPr>
        <w:t>(chýbajúca prioritizácia na križovatkách a</w:t>
      </w:r>
      <w:r w:rsidR="006272CE">
        <w:rPr>
          <w:sz w:val="22"/>
          <w:szCs w:val="22"/>
        </w:rPr>
        <w:t> </w:t>
      </w:r>
      <w:r w:rsidR="006272CE" w:rsidRPr="00921D8E">
        <w:rPr>
          <w:sz w:val="22"/>
          <w:szCs w:val="22"/>
        </w:rPr>
        <w:t>vyhradené pruhy pre MHD), nedostatočná</w:t>
      </w:r>
      <w:r w:rsidR="006272CE" w:rsidRPr="0048730E">
        <w:rPr>
          <w:sz w:val="22"/>
          <w:szCs w:val="22"/>
        </w:rPr>
        <w:t xml:space="preserve"> informovanosť cestujúcej verejnosti </w:t>
      </w:r>
      <w:r w:rsidR="00595C25">
        <w:rPr>
          <w:sz w:val="22"/>
          <w:szCs w:val="22"/>
        </w:rPr>
        <w:t xml:space="preserve">z dôvodu chýbajúcich moderných technológií, </w:t>
      </w:r>
      <w:r w:rsidR="006272CE" w:rsidRPr="0048730E">
        <w:rPr>
          <w:sz w:val="22"/>
          <w:szCs w:val="22"/>
        </w:rPr>
        <w:t>zastaraná infraštruktúra zázemia cestujúcej verejnosti</w:t>
      </w:r>
      <w:r w:rsidR="00595C25">
        <w:rPr>
          <w:sz w:val="22"/>
          <w:szCs w:val="22"/>
        </w:rPr>
        <w:t xml:space="preserve"> a pod.</w:t>
      </w:r>
    </w:p>
    <w:p w14:paraId="4DD3EEEC" w14:textId="77777777" w:rsidR="006272CE" w:rsidRDefault="006272CE" w:rsidP="006272CE">
      <w:pPr>
        <w:spacing w:before="180"/>
        <w:jc w:val="both"/>
        <w:rPr>
          <w:color w:val="000000" w:themeColor="text1"/>
          <w:sz w:val="22"/>
          <w:szCs w:val="22"/>
        </w:rPr>
      </w:pPr>
      <w:r w:rsidRPr="0048730E">
        <w:rPr>
          <w:b/>
          <w:sz w:val="22"/>
          <w:szCs w:val="22"/>
        </w:rPr>
        <w:t xml:space="preserve">Víziou </w:t>
      </w:r>
      <w:r w:rsidR="00517F3D">
        <w:rPr>
          <w:b/>
          <w:sz w:val="22"/>
          <w:szCs w:val="22"/>
        </w:rPr>
        <w:t>S</w:t>
      </w:r>
      <w:r w:rsidR="00517F3D" w:rsidRPr="0048730E">
        <w:rPr>
          <w:b/>
          <w:sz w:val="22"/>
          <w:szCs w:val="22"/>
        </w:rPr>
        <w:t xml:space="preserve">tratégie </w:t>
      </w:r>
      <w:r w:rsidR="00517F3D">
        <w:rPr>
          <w:b/>
          <w:sz w:val="22"/>
          <w:szCs w:val="22"/>
        </w:rPr>
        <w:t>VOD</w:t>
      </w:r>
      <w:r w:rsidRPr="0048730E">
        <w:rPr>
          <w:b/>
          <w:sz w:val="22"/>
          <w:szCs w:val="22"/>
        </w:rPr>
        <w:t xml:space="preserve"> je</w:t>
      </w:r>
      <w:r w:rsidR="007579B8">
        <w:rPr>
          <w:b/>
          <w:sz w:val="22"/>
          <w:szCs w:val="22"/>
        </w:rPr>
        <w:t xml:space="preserve"> predovšetkým</w:t>
      </w:r>
      <w:r w:rsidRPr="0048730E">
        <w:rPr>
          <w:b/>
          <w:sz w:val="22"/>
          <w:szCs w:val="22"/>
        </w:rPr>
        <w:t xml:space="preserve"> zvrátiť doterajší nepriaznivý vývoj v</w:t>
      </w:r>
      <w:r>
        <w:rPr>
          <w:b/>
          <w:sz w:val="22"/>
          <w:szCs w:val="22"/>
        </w:rPr>
        <w:t> </w:t>
      </w:r>
      <w:r w:rsidRPr="0048730E">
        <w:rPr>
          <w:b/>
          <w:sz w:val="22"/>
          <w:szCs w:val="22"/>
        </w:rPr>
        <w:t>deľbe prepravnej práce</w:t>
      </w:r>
      <w:r>
        <w:rPr>
          <w:b/>
          <w:sz w:val="22"/>
          <w:szCs w:val="22"/>
        </w:rPr>
        <w:t xml:space="preserve"> v osobnej doprave. Cieľom je </w:t>
      </w:r>
      <w:r w:rsidR="00B5529D">
        <w:rPr>
          <w:b/>
          <w:sz w:val="22"/>
          <w:szCs w:val="22"/>
        </w:rPr>
        <w:t>systémovou integráciou</w:t>
      </w:r>
      <w:r>
        <w:rPr>
          <w:b/>
          <w:sz w:val="22"/>
          <w:szCs w:val="22"/>
        </w:rPr>
        <w:t xml:space="preserve"> jednotlivých dopravných systémov, ich lepšou</w:t>
      </w:r>
      <w:r w:rsidRPr="0048730E">
        <w:rPr>
          <w:b/>
          <w:sz w:val="22"/>
          <w:szCs w:val="22"/>
        </w:rPr>
        <w:t xml:space="preserve"> organizáciou </w:t>
      </w:r>
      <w:r>
        <w:rPr>
          <w:b/>
          <w:sz w:val="22"/>
          <w:szCs w:val="22"/>
        </w:rPr>
        <w:t xml:space="preserve">a vybavením </w:t>
      </w:r>
      <w:r w:rsidRPr="0048730E">
        <w:rPr>
          <w:b/>
          <w:sz w:val="22"/>
          <w:szCs w:val="22"/>
        </w:rPr>
        <w:t>vytvoriť podmienky pre trvalo udržateľnú regionálnu a</w:t>
      </w:r>
      <w:r>
        <w:rPr>
          <w:b/>
          <w:sz w:val="22"/>
          <w:szCs w:val="22"/>
        </w:rPr>
        <w:t> </w:t>
      </w:r>
      <w:r w:rsidRPr="0048730E">
        <w:rPr>
          <w:b/>
          <w:sz w:val="22"/>
          <w:szCs w:val="22"/>
        </w:rPr>
        <w:t>mestskú mobilitu.</w:t>
      </w:r>
      <w:r w:rsidR="00B5529D" w:rsidRPr="00B5529D">
        <w:rPr>
          <w:color w:val="000000" w:themeColor="text1"/>
          <w:sz w:val="22"/>
          <w:szCs w:val="22"/>
        </w:rPr>
        <w:t xml:space="preserve"> </w:t>
      </w:r>
    </w:p>
    <w:p w14:paraId="5681B78A" w14:textId="77777777" w:rsidR="00307AAF" w:rsidRDefault="00BA6A87" w:rsidP="00307AAF">
      <w:pPr>
        <w:spacing w:before="180"/>
        <w:jc w:val="both"/>
        <w:rPr>
          <w:sz w:val="22"/>
          <w:szCs w:val="22"/>
        </w:rPr>
      </w:pPr>
      <w:r w:rsidRPr="00A676D0">
        <w:rPr>
          <w:sz w:val="22"/>
          <w:szCs w:val="22"/>
        </w:rPr>
        <w:t>Keďže MHD je na Slovensku realizovaná rôznymi formami, najmä z</w:t>
      </w:r>
      <w:r>
        <w:rPr>
          <w:sz w:val="22"/>
          <w:szCs w:val="22"/>
        </w:rPr>
        <w:t> </w:t>
      </w:r>
      <w:r w:rsidRPr="00A676D0">
        <w:rPr>
          <w:sz w:val="22"/>
          <w:szCs w:val="22"/>
        </w:rPr>
        <w:t>pohľadu</w:t>
      </w:r>
      <w:r>
        <w:rPr>
          <w:sz w:val="22"/>
          <w:szCs w:val="22"/>
        </w:rPr>
        <w:t xml:space="preserve"> poskytovaných typov dopravy,</w:t>
      </w:r>
      <w:r w:rsidRPr="00A676D0">
        <w:rPr>
          <w:sz w:val="22"/>
          <w:szCs w:val="22"/>
        </w:rPr>
        <w:t xml:space="preserve"> organizačného zabezpečenia objednávania výkonov a</w:t>
      </w:r>
      <w:r>
        <w:rPr>
          <w:sz w:val="22"/>
          <w:szCs w:val="22"/>
        </w:rPr>
        <w:t> </w:t>
      </w:r>
      <w:r w:rsidRPr="00A676D0">
        <w:rPr>
          <w:sz w:val="22"/>
          <w:szCs w:val="22"/>
        </w:rPr>
        <w:t xml:space="preserve">zdrojov financovania, </w:t>
      </w:r>
      <w:r>
        <w:rPr>
          <w:sz w:val="22"/>
          <w:szCs w:val="22"/>
        </w:rPr>
        <w:t xml:space="preserve">MDV SR </w:t>
      </w:r>
      <w:r w:rsidRPr="00A676D0">
        <w:rPr>
          <w:sz w:val="22"/>
          <w:szCs w:val="22"/>
        </w:rPr>
        <w:t>p</w:t>
      </w:r>
      <w:r>
        <w:rPr>
          <w:sz w:val="22"/>
          <w:szCs w:val="22"/>
        </w:rPr>
        <w:t>lánuje zakomponovať do </w:t>
      </w:r>
      <w:r w:rsidRPr="00A676D0">
        <w:rPr>
          <w:sz w:val="22"/>
          <w:szCs w:val="22"/>
        </w:rPr>
        <w:t xml:space="preserve">systému čerpania </w:t>
      </w:r>
      <w:r>
        <w:rPr>
          <w:sz w:val="22"/>
          <w:szCs w:val="22"/>
        </w:rPr>
        <w:t xml:space="preserve">prostriedkov </w:t>
      </w:r>
      <w:r w:rsidRPr="00A676D0">
        <w:rPr>
          <w:sz w:val="22"/>
          <w:szCs w:val="22"/>
        </w:rPr>
        <w:t>len tie mestá, v</w:t>
      </w:r>
      <w:r>
        <w:rPr>
          <w:sz w:val="22"/>
          <w:szCs w:val="22"/>
        </w:rPr>
        <w:t> </w:t>
      </w:r>
      <w:r w:rsidRPr="00A676D0">
        <w:rPr>
          <w:sz w:val="22"/>
          <w:szCs w:val="22"/>
        </w:rPr>
        <w:t>ktorých</w:t>
      </w:r>
      <w:r>
        <w:rPr>
          <w:sz w:val="22"/>
          <w:szCs w:val="22"/>
        </w:rPr>
        <w:t xml:space="preserve"> je súčasťou</w:t>
      </w:r>
      <w:r w:rsidRPr="00A676D0">
        <w:rPr>
          <w:sz w:val="22"/>
          <w:szCs w:val="22"/>
        </w:rPr>
        <w:t xml:space="preserve"> MHD</w:t>
      </w:r>
      <w:r w:rsidR="00407075">
        <w:rPr>
          <w:sz w:val="22"/>
          <w:szCs w:val="22"/>
        </w:rPr>
        <w:t> </w:t>
      </w:r>
      <w:r>
        <w:rPr>
          <w:sz w:val="22"/>
          <w:szCs w:val="22"/>
        </w:rPr>
        <w:t>dráhová doprava alebo MHD</w:t>
      </w:r>
      <w:r w:rsidRPr="00A676D0">
        <w:rPr>
          <w:sz w:val="22"/>
          <w:szCs w:val="22"/>
        </w:rPr>
        <w:t xml:space="preserve"> zabezpečujú špecializ</w:t>
      </w:r>
      <w:r>
        <w:rPr>
          <w:sz w:val="22"/>
          <w:szCs w:val="22"/>
        </w:rPr>
        <w:t>ované dopravné podniky so </w:t>
      </w:r>
      <w:r w:rsidRPr="00A676D0">
        <w:rPr>
          <w:sz w:val="22"/>
          <w:szCs w:val="22"/>
        </w:rPr>
        <w:t>100</w:t>
      </w:r>
      <w:r>
        <w:rPr>
          <w:sz w:val="22"/>
          <w:szCs w:val="22"/>
        </w:rPr>
        <w:t> </w:t>
      </w:r>
      <w:r w:rsidRPr="00A676D0">
        <w:rPr>
          <w:sz w:val="22"/>
          <w:szCs w:val="22"/>
        </w:rPr>
        <w:t xml:space="preserve">% účasťou mesta. </w:t>
      </w:r>
      <w:r w:rsidRPr="005348B9">
        <w:rPr>
          <w:sz w:val="22"/>
          <w:szCs w:val="22"/>
        </w:rPr>
        <w:t>Uvedené podmienky spĺňajú</w:t>
      </w:r>
      <w:r>
        <w:rPr>
          <w:sz w:val="22"/>
          <w:szCs w:val="22"/>
        </w:rPr>
        <w:t xml:space="preserve"> </w:t>
      </w:r>
      <w:r w:rsidRPr="00A676D0">
        <w:rPr>
          <w:sz w:val="22"/>
          <w:szCs w:val="22"/>
        </w:rPr>
        <w:t xml:space="preserve">mestá </w:t>
      </w:r>
      <w:r w:rsidRPr="007535B7">
        <w:rPr>
          <w:b/>
          <w:sz w:val="22"/>
          <w:szCs w:val="22"/>
        </w:rPr>
        <w:t>Bratislava, Košice, Prešov, Žilina a Banská Bystrica</w:t>
      </w:r>
      <w:r>
        <w:rPr>
          <w:sz w:val="22"/>
          <w:szCs w:val="22"/>
        </w:rPr>
        <w:t>.</w:t>
      </w:r>
    </w:p>
    <w:p w14:paraId="496B00E0" w14:textId="77777777" w:rsidR="006272CE" w:rsidRDefault="006272CE" w:rsidP="00B5529D">
      <w:pPr>
        <w:autoSpaceDE w:val="0"/>
        <w:autoSpaceDN w:val="0"/>
        <w:adjustRightInd w:val="0"/>
        <w:spacing w:before="180"/>
        <w:jc w:val="both"/>
        <w:rPr>
          <w:sz w:val="22"/>
          <w:szCs w:val="22"/>
        </w:rPr>
      </w:pPr>
      <w:r w:rsidRPr="005348B9">
        <w:rPr>
          <w:sz w:val="22"/>
          <w:szCs w:val="22"/>
        </w:rPr>
        <w:t xml:space="preserve">Prioritná os vytvára predpoklady </w:t>
      </w:r>
      <w:r>
        <w:rPr>
          <w:sz w:val="22"/>
          <w:szCs w:val="22"/>
        </w:rPr>
        <w:t xml:space="preserve">na </w:t>
      </w:r>
      <w:r w:rsidRPr="005348B9">
        <w:rPr>
          <w:sz w:val="22"/>
          <w:szCs w:val="22"/>
        </w:rPr>
        <w:t xml:space="preserve">zvyšovanie atraktivity </w:t>
      </w:r>
      <w:r w:rsidR="00517F3D">
        <w:rPr>
          <w:sz w:val="22"/>
          <w:szCs w:val="22"/>
        </w:rPr>
        <w:t>VOD</w:t>
      </w:r>
      <w:r w:rsidRPr="005348B9">
        <w:rPr>
          <w:sz w:val="22"/>
          <w:szCs w:val="22"/>
        </w:rPr>
        <w:t xml:space="preserve">, a tým aj podmienky </w:t>
      </w:r>
      <w:r>
        <w:rPr>
          <w:sz w:val="22"/>
          <w:szCs w:val="22"/>
        </w:rPr>
        <w:t xml:space="preserve">na </w:t>
      </w:r>
      <w:r w:rsidRPr="005348B9">
        <w:rPr>
          <w:sz w:val="22"/>
          <w:szCs w:val="22"/>
        </w:rPr>
        <w:t xml:space="preserve">presun cestujúcich z </w:t>
      </w:r>
      <w:r w:rsidR="00517F3D">
        <w:rPr>
          <w:sz w:val="22"/>
          <w:szCs w:val="22"/>
        </w:rPr>
        <w:t>IAD</w:t>
      </w:r>
      <w:r w:rsidRPr="005348B9">
        <w:rPr>
          <w:sz w:val="22"/>
          <w:szCs w:val="22"/>
        </w:rPr>
        <w:t xml:space="preserve"> na hromadné</w:t>
      </w:r>
      <w:r w:rsidR="00F07D45">
        <w:rPr>
          <w:sz w:val="22"/>
          <w:szCs w:val="22"/>
        </w:rPr>
        <w:t>,</w:t>
      </w:r>
      <w:r w:rsidRPr="005348B9">
        <w:rPr>
          <w:sz w:val="22"/>
          <w:szCs w:val="22"/>
        </w:rPr>
        <w:t xml:space="preserve"> nákladovo efektívnejšie systémy. Realizáciou investičných priorít tejto prioritnej osi bude zabezpečené nielen plnenie špecifického cieľa zameraného na</w:t>
      </w:r>
      <w:r w:rsidR="00F07D45">
        <w:rPr>
          <w:sz w:val="22"/>
          <w:szCs w:val="22"/>
        </w:rPr>
        <w:t xml:space="preserve"> zvýšenie atraktivity </w:t>
      </w:r>
      <w:r w:rsidR="00517F3D">
        <w:rPr>
          <w:sz w:val="22"/>
          <w:szCs w:val="22"/>
        </w:rPr>
        <w:t>VOD</w:t>
      </w:r>
      <w:r w:rsidR="00F07D45">
        <w:rPr>
          <w:sz w:val="22"/>
          <w:szCs w:val="22"/>
        </w:rPr>
        <w:t>, ale zároveň sa vytvoria</w:t>
      </w:r>
      <w:r w:rsidRPr="005348B9">
        <w:rPr>
          <w:sz w:val="22"/>
          <w:szCs w:val="22"/>
        </w:rPr>
        <w:t xml:space="preserve"> podmienk</w:t>
      </w:r>
      <w:r w:rsidR="00F07D45">
        <w:rPr>
          <w:sz w:val="22"/>
          <w:szCs w:val="22"/>
        </w:rPr>
        <w:t>y</w:t>
      </w:r>
      <w:r w:rsidRPr="005348B9">
        <w:rPr>
          <w:sz w:val="22"/>
          <w:szCs w:val="22"/>
        </w:rPr>
        <w:t xml:space="preserve"> pre </w:t>
      </w:r>
      <w:r>
        <w:rPr>
          <w:sz w:val="22"/>
          <w:szCs w:val="22"/>
        </w:rPr>
        <w:t>udržanie a </w:t>
      </w:r>
      <w:r w:rsidRPr="005348B9">
        <w:rPr>
          <w:sz w:val="22"/>
          <w:szCs w:val="22"/>
        </w:rPr>
        <w:t xml:space="preserve">rast </w:t>
      </w:r>
      <w:r>
        <w:rPr>
          <w:sz w:val="22"/>
          <w:szCs w:val="22"/>
        </w:rPr>
        <w:t xml:space="preserve">podielu </w:t>
      </w:r>
      <w:r w:rsidRPr="005348B9">
        <w:rPr>
          <w:sz w:val="22"/>
          <w:szCs w:val="22"/>
        </w:rPr>
        <w:t>výkonov verejnej osobnej dopravy</w:t>
      </w:r>
      <w:r>
        <w:rPr>
          <w:sz w:val="22"/>
          <w:szCs w:val="22"/>
        </w:rPr>
        <w:t xml:space="preserve"> na deľbe prepravnej práce</w:t>
      </w:r>
      <w:r w:rsidR="00F07D45">
        <w:rPr>
          <w:sz w:val="22"/>
          <w:szCs w:val="22"/>
        </w:rPr>
        <w:t xml:space="preserve"> a </w:t>
      </w:r>
      <w:r w:rsidRPr="005348B9">
        <w:rPr>
          <w:sz w:val="22"/>
          <w:szCs w:val="22"/>
        </w:rPr>
        <w:t>prispeje</w:t>
      </w:r>
      <w:r w:rsidR="00F07D45">
        <w:rPr>
          <w:sz w:val="22"/>
          <w:szCs w:val="22"/>
        </w:rPr>
        <w:t xml:space="preserve"> sa</w:t>
      </w:r>
      <w:r w:rsidRPr="005348B9">
        <w:rPr>
          <w:sz w:val="22"/>
          <w:szCs w:val="22"/>
        </w:rPr>
        <w:t xml:space="preserve"> k zvýšeniu ekologickosti, energetickej efektívnosti a prístupnosti </w:t>
      </w:r>
      <w:r w:rsidR="00517F3D">
        <w:rPr>
          <w:sz w:val="22"/>
          <w:szCs w:val="22"/>
        </w:rPr>
        <w:t>VOD</w:t>
      </w:r>
      <w:r w:rsidR="00B5529D">
        <w:rPr>
          <w:sz w:val="22"/>
          <w:szCs w:val="22"/>
        </w:rPr>
        <w:t>.</w:t>
      </w:r>
    </w:p>
    <w:p w14:paraId="290D5FC0" w14:textId="77777777" w:rsidR="002E2316" w:rsidRDefault="002E2316" w:rsidP="002E2316">
      <w:pPr>
        <w:spacing w:before="180" w:after="120"/>
        <w:jc w:val="both"/>
        <w:rPr>
          <w:b/>
          <w:sz w:val="22"/>
          <w:szCs w:val="22"/>
        </w:rPr>
      </w:pPr>
      <w:r w:rsidRPr="0048730E">
        <w:rPr>
          <w:sz w:val="22"/>
          <w:szCs w:val="22"/>
        </w:rPr>
        <w:t xml:space="preserve">Na základe skúseností získaných pri implementácii opatrení na zlepšenie </w:t>
      </w:r>
      <w:r w:rsidR="00517F3D">
        <w:rPr>
          <w:sz w:val="22"/>
          <w:szCs w:val="22"/>
        </w:rPr>
        <w:t>VOD</w:t>
      </w:r>
      <w:r w:rsidRPr="0048730E">
        <w:rPr>
          <w:sz w:val="22"/>
          <w:szCs w:val="22"/>
        </w:rPr>
        <w:t xml:space="preserve"> v</w:t>
      </w:r>
      <w:r>
        <w:rPr>
          <w:sz w:val="22"/>
          <w:szCs w:val="22"/>
        </w:rPr>
        <w:t> </w:t>
      </w:r>
      <w:r w:rsidRPr="0048730E">
        <w:rPr>
          <w:sz w:val="22"/>
          <w:szCs w:val="22"/>
        </w:rPr>
        <w:t>programovom období 2007 – 2013</w:t>
      </w:r>
      <w:r>
        <w:rPr>
          <w:sz w:val="22"/>
          <w:szCs w:val="22"/>
        </w:rPr>
        <w:t xml:space="preserve"> a s cieľom nadviazať na tieto opatrenia </w:t>
      </w:r>
      <w:r w:rsidRPr="0048730E">
        <w:rPr>
          <w:sz w:val="22"/>
          <w:szCs w:val="22"/>
        </w:rPr>
        <w:t xml:space="preserve">budú ako hlavné oblasti intervencií </w:t>
      </w:r>
      <w:r>
        <w:rPr>
          <w:sz w:val="22"/>
          <w:szCs w:val="22"/>
        </w:rPr>
        <w:t xml:space="preserve">preferované </w:t>
      </w:r>
      <w:r w:rsidRPr="00A108C9">
        <w:rPr>
          <w:b/>
          <w:sz w:val="22"/>
          <w:szCs w:val="22"/>
        </w:rPr>
        <w:t>investičné akcie so zameraním na</w:t>
      </w:r>
      <w:r>
        <w:rPr>
          <w:b/>
          <w:sz w:val="22"/>
          <w:szCs w:val="22"/>
        </w:rPr>
        <w:t>:</w:t>
      </w:r>
    </w:p>
    <w:p w14:paraId="011F2271" w14:textId="77777777" w:rsidR="009E0158" w:rsidRDefault="002E2316" w:rsidP="00CF7857">
      <w:pPr>
        <w:pStyle w:val="Odsekzoznamu"/>
        <w:numPr>
          <w:ilvl w:val="0"/>
          <w:numId w:val="59"/>
        </w:numPr>
        <w:spacing w:before="120"/>
        <w:jc w:val="both"/>
        <w:rPr>
          <w:rFonts w:ascii="TimesNewRoman" w:hAnsi="TimesNewRoman" w:cs="TimesNewRoman"/>
          <w:sz w:val="22"/>
          <w:szCs w:val="22"/>
        </w:rPr>
      </w:pPr>
      <w:r w:rsidRPr="00BA6A87">
        <w:rPr>
          <w:sz w:val="22"/>
          <w:szCs w:val="22"/>
        </w:rPr>
        <w:t xml:space="preserve">výstavbu a modernizáciu infraštruktúry integrovaných dopravných systémov, </w:t>
      </w:r>
    </w:p>
    <w:p w14:paraId="22790CCA" w14:textId="77777777" w:rsidR="009E0158" w:rsidRDefault="002E2316" w:rsidP="00CF7857">
      <w:pPr>
        <w:pStyle w:val="Odsekzoznamu"/>
        <w:numPr>
          <w:ilvl w:val="0"/>
          <w:numId w:val="59"/>
        </w:numPr>
        <w:spacing w:before="180"/>
        <w:jc w:val="both"/>
        <w:rPr>
          <w:rFonts w:ascii="TimesNewRoman" w:hAnsi="TimesNewRoman" w:cs="TimesNewRoman"/>
          <w:sz w:val="22"/>
          <w:szCs w:val="22"/>
        </w:rPr>
      </w:pPr>
      <w:r w:rsidRPr="00BA6A87">
        <w:rPr>
          <w:sz w:val="22"/>
          <w:szCs w:val="22"/>
        </w:rPr>
        <w:t>výstavbu a modernizáciu tratí mestskej dráhovej dopravy,</w:t>
      </w:r>
    </w:p>
    <w:p w14:paraId="18EC5CA8" w14:textId="77777777" w:rsidR="009E0158" w:rsidRDefault="002E2316" w:rsidP="00CF7857">
      <w:pPr>
        <w:pStyle w:val="Odsekzoznamu"/>
        <w:numPr>
          <w:ilvl w:val="0"/>
          <w:numId w:val="59"/>
        </w:numPr>
        <w:spacing w:before="180"/>
        <w:jc w:val="both"/>
        <w:rPr>
          <w:rFonts w:ascii="TimesNewRoman" w:hAnsi="TimesNewRoman" w:cs="TimesNewRoman"/>
          <w:sz w:val="22"/>
          <w:szCs w:val="22"/>
        </w:rPr>
      </w:pPr>
      <w:r w:rsidRPr="00BA6A87">
        <w:rPr>
          <w:sz w:val="22"/>
          <w:szCs w:val="22"/>
        </w:rPr>
        <w:t>obnovu a modernizáciu mobilných prostriedkov mestskej dráhovej dopravy.</w:t>
      </w:r>
    </w:p>
    <w:p w14:paraId="3EAB4BA5" w14:textId="77777777" w:rsidR="00D65602" w:rsidRDefault="00D65602" w:rsidP="00D65602">
      <w:pPr>
        <w:spacing w:before="180"/>
        <w:jc w:val="both"/>
        <w:rPr>
          <w:sz w:val="22"/>
          <w:szCs w:val="22"/>
        </w:rPr>
      </w:pPr>
      <w:r w:rsidRPr="003F6CA4">
        <w:rPr>
          <w:sz w:val="22"/>
          <w:szCs w:val="22"/>
        </w:rPr>
        <w:t>Na základe návrhu štruktúry operačných programov SR 2014 – 2020 budú aktivity OPII</w:t>
      </w:r>
      <w:r>
        <w:rPr>
          <w:sz w:val="22"/>
          <w:szCs w:val="22"/>
        </w:rPr>
        <w:t xml:space="preserve"> v oblasti podpory verejnej osobnej dopravy</w:t>
      </w:r>
      <w:r w:rsidRPr="003F6CA4">
        <w:rPr>
          <w:sz w:val="22"/>
          <w:szCs w:val="22"/>
        </w:rPr>
        <w:t xml:space="preserve"> komplementárne dopĺňané aj z iných zdrojov. </w:t>
      </w:r>
      <w:r w:rsidRPr="00412533">
        <w:rPr>
          <w:b/>
          <w:sz w:val="22"/>
          <w:szCs w:val="22"/>
        </w:rPr>
        <w:t>Z</w:t>
      </w:r>
      <w:r w:rsidRPr="00682BA7">
        <w:rPr>
          <w:b/>
          <w:sz w:val="22"/>
          <w:szCs w:val="22"/>
        </w:rPr>
        <w:t>o zdrojov OPII budú implementované predovšetkým veľké projekty spolufinancované z</w:t>
      </w:r>
      <w:r>
        <w:rPr>
          <w:b/>
          <w:sz w:val="22"/>
          <w:szCs w:val="22"/>
        </w:rPr>
        <w:t xml:space="preserve"> KF </w:t>
      </w:r>
      <w:r w:rsidRPr="00682BA7">
        <w:rPr>
          <w:b/>
          <w:sz w:val="22"/>
          <w:szCs w:val="22"/>
        </w:rPr>
        <w:t xml:space="preserve">s rozhodujúcim a systémovým vplyvom na fungovanie </w:t>
      </w:r>
      <w:r w:rsidR="00517F3D">
        <w:rPr>
          <w:b/>
          <w:sz w:val="22"/>
          <w:szCs w:val="22"/>
        </w:rPr>
        <w:t>VOD</w:t>
      </w:r>
      <w:r w:rsidRPr="00682BA7">
        <w:rPr>
          <w:b/>
          <w:sz w:val="22"/>
          <w:szCs w:val="22"/>
        </w:rPr>
        <w:t xml:space="preserve"> na Slovensku.</w:t>
      </w:r>
    </w:p>
    <w:p w14:paraId="4C81DA63" w14:textId="77777777" w:rsidR="006272CE" w:rsidRDefault="006272CE" w:rsidP="006272CE">
      <w:pPr>
        <w:spacing w:before="180"/>
        <w:jc w:val="both"/>
        <w:rPr>
          <w:sz w:val="22"/>
          <w:szCs w:val="22"/>
        </w:rPr>
      </w:pPr>
      <w:r>
        <w:rPr>
          <w:sz w:val="22"/>
          <w:szCs w:val="22"/>
        </w:rPr>
        <w:t xml:space="preserve">Aktivity prioritnej osi sú komplementárne s aktivitami </w:t>
      </w:r>
      <w:r w:rsidR="00B5529D">
        <w:rPr>
          <w:sz w:val="22"/>
          <w:szCs w:val="22"/>
        </w:rPr>
        <w:t>P</w:t>
      </w:r>
      <w:r>
        <w:rPr>
          <w:sz w:val="22"/>
          <w:szCs w:val="22"/>
        </w:rPr>
        <w:t xml:space="preserve">rioritnej osi 1 </w:t>
      </w:r>
      <w:r w:rsidR="00CC411D">
        <w:rPr>
          <w:sz w:val="22"/>
          <w:szCs w:val="22"/>
        </w:rPr>
        <w:t>IROP</w:t>
      </w:r>
      <w:r>
        <w:rPr>
          <w:sz w:val="22"/>
          <w:szCs w:val="22"/>
        </w:rPr>
        <w:t xml:space="preserve">. Zatiaľ čo OPII je v oblasti podpory mestskej a regionálnej mobility zameraný na investične najnáročnejšiu dráhovú dopravu, IROP sa zameriava na podporné aktivity a tzv. mäkké opatrenia vrátane ďalších módov ekologicky priaznivejších druhov dopravy. </w:t>
      </w:r>
      <w:r w:rsidR="002E2316">
        <w:rPr>
          <w:sz w:val="22"/>
          <w:szCs w:val="22"/>
        </w:rPr>
        <w:t xml:space="preserve">Detailnejšie informácie o deliacich líniách, ako aj možnostiach spolupráce medzi OPII a IROP </w:t>
      </w:r>
      <w:r>
        <w:rPr>
          <w:sz w:val="22"/>
          <w:szCs w:val="22"/>
        </w:rPr>
        <w:t xml:space="preserve">sú uvedené v kapitole </w:t>
      </w:r>
      <w:r w:rsidR="00DC571B">
        <w:rPr>
          <w:sz w:val="22"/>
          <w:szCs w:val="22"/>
        </w:rPr>
        <w:t>8</w:t>
      </w:r>
      <w:r>
        <w:rPr>
          <w:sz w:val="22"/>
          <w:szCs w:val="22"/>
        </w:rPr>
        <w:t>.1.</w:t>
      </w:r>
    </w:p>
    <w:p w14:paraId="2CA3D73E" w14:textId="77777777" w:rsidR="0075131D" w:rsidRDefault="00BA6A87" w:rsidP="00BA6A87">
      <w:pPr>
        <w:spacing w:before="180"/>
        <w:jc w:val="both"/>
        <w:rPr>
          <w:sz w:val="22"/>
          <w:szCs w:val="22"/>
        </w:rPr>
      </w:pPr>
      <w:r>
        <w:rPr>
          <w:sz w:val="22"/>
          <w:szCs w:val="22"/>
        </w:rPr>
        <w:t xml:space="preserve">Predpokladom dosiahnutia stanovených cieľov je nielen realizácia aktivít prostredníctvom OPII a IROP, ale aj realizácia súvisiacich organizačných a prevádzkových opatrení </w:t>
      </w:r>
      <w:r>
        <w:rPr>
          <w:color w:val="000000"/>
          <w:sz w:val="22"/>
          <w:szCs w:val="22"/>
        </w:rPr>
        <w:t>Stratégie</w:t>
      </w:r>
      <w:r w:rsidRPr="00A5254D">
        <w:rPr>
          <w:color w:val="000000"/>
          <w:sz w:val="22"/>
          <w:szCs w:val="22"/>
        </w:rPr>
        <w:t xml:space="preserve"> </w:t>
      </w:r>
      <w:r w:rsidR="00517F3D">
        <w:rPr>
          <w:color w:val="000000"/>
          <w:sz w:val="22"/>
          <w:szCs w:val="22"/>
        </w:rPr>
        <w:t>VOD</w:t>
      </w:r>
      <w:r>
        <w:rPr>
          <w:sz w:val="22"/>
          <w:szCs w:val="22"/>
        </w:rPr>
        <w:t>.</w:t>
      </w:r>
    </w:p>
    <w:p w14:paraId="24851FBF" w14:textId="77777777" w:rsidR="0075131D" w:rsidRDefault="0075131D" w:rsidP="00BA6A87">
      <w:pPr>
        <w:spacing w:before="180"/>
        <w:jc w:val="both"/>
        <w:rPr>
          <w:sz w:val="22"/>
          <w:szCs w:val="22"/>
        </w:rPr>
      </w:pPr>
      <w:r w:rsidRPr="00A21DD4">
        <w:rPr>
          <w:sz w:val="22"/>
          <w:szCs w:val="22"/>
        </w:rPr>
        <w:t>Všetky projekty mestskej koľajovej dopravy v Bratislave budú technicky riešené ako štandardná električková dráha s rozchodom 1 000 mm bez zabezpečenia budúcej možnosti prechodu na rozchod 1 435 mm.</w:t>
      </w:r>
    </w:p>
    <w:p w14:paraId="221F9B09" w14:textId="77777777" w:rsidR="00C72C35" w:rsidRDefault="006E03F4" w:rsidP="00BE2404">
      <w:pPr>
        <w:spacing w:before="180"/>
        <w:jc w:val="both"/>
        <w:rPr>
          <w:sz w:val="22"/>
          <w:szCs w:val="22"/>
        </w:rPr>
      </w:pPr>
      <w:r>
        <w:rPr>
          <w:sz w:val="22"/>
          <w:szCs w:val="22"/>
        </w:rPr>
        <w:t xml:space="preserve">Popis súčasného stavu a zámerov plánovaných v oblasti rozvoja dopravnej infraštruktúry pre verejnú osobnú dopravu vo vybraných mestských aglomeráciách je uvedený v Prílohe 6. </w:t>
      </w:r>
    </w:p>
    <w:p w14:paraId="318B6809" w14:textId="77777777" w:rsidR="009E0158" w:rsidRDefault="00E01D5B" w:rsidP="00CF7857">
      <w:pPr>
        <w:numPr>
          <w:ilvl w:val="2"/>
          <w:numId w:val="38"/>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lastRenderedPageBreak/>
        <w:t>Obstaranie mobilných prostriedkov dráhovej MHD (električiek a trolejbusov</w:t>
      </w:r>
      <w:r w:rsidR="00307AAF" w:rsidRPr="00307AAF">
        <w:rPr>
          <w:b/>
          <w:i/>
          <w:color w:val="4F81BD" w:themeColor="accent1"/>
          <w:sz w:val="22"/>
          <w:szCs w:val="22"/>
        </w:rPr>
        <w:t xml:space="preserve"> </w:t>
      </w:r>
      <w:r w:rsidRPr="005139F6">
        <w:rPr>
          <w:b/>
          <w:i/>
          <w:color w:val="4F81BD" w:themeColor="accent1"/>
          <w:sz w:val="22"/>
          <w:szCs w:val="22"/>
        </w:rPr>
        <w:t>(vrátane vozidiel s pomocným pohonom))</w:t>
      </w:r>
    </w:p>
    <w:p w14:paraId="4C22EAD9" w14:textId="77777777" w:rsidR="00E01D5B" w:rsidRPr="006424E3" w:rsidRDefault="00E01D5B" w:rsidP="00E01D5B">
      <w:pPr>
        <w:spacing w:before="180" w:after="120"/>
        <w:jc w:val="both"/>
        <w:rPr>
          <w:sz w:val="22"/>
          <w:szCs w:val="22"/>
          <w:u w:val="single"/>
        </w:rPr>
      </w:pPr>
      <w:r w:rsidRPr="006424E3">
        <w:rPr>
          <w:sz w:val="22"/>
          <w:szCs w:val="22"/>
          <w:u w:val="single"/>
        </w:rPr>
        <w:t>Obnova prostriedkov dráhovej MHD v Bratislave</w:t>
      </w:r>
    </w:p>
    <w:p w14:paraId="72986EE8" w14:textId="6C457182" w:rsidR="00E01D5B" w:rsidRDefault="003D1732" w:rsidP="00E01D5B">
      <w:pPr>
        <w:jc w:val="both"/>
        <w:rPr>
          <w:color w:val="000000"/>
          <w:sz w:val="22"/>
          <w:szCs w:val="22"/>
        </w:rPr>
      </w:pPr>
      <w:r w:rsidRPr="00D00B45">
        <w:rPr>
          <w:sz w:val="22"/>
          <w:szCs w:val="22"/>
        </w:rPr>
        <w:t>Pri posudzovaní vozového parku dráhovej MH</w:t>
      </w:r>
      <w:r>
        <w:rPr>
          <w:sz w:val="22"/>
          <w:szCs w:val="22"/>
        </w:rPr>
        <w:t>D</w:t>
      </w:r>
      <w:r w:rsidRPr="00D00B45">
        <w:rPr>
          <w:sz w:val="22"/>
          <w:szCs w:val="22"/>
        </w:rPr>
        <w:t xml:space="preserve"> v Bratislave z hľadiska prístupnosti vozidiel, ich energetickej efektívnosti a fyzickej a morálnej zastaranosti je potrebné konštatovať, že </w:t>
      </w:r>
      <w:r>
        <w:rPr>
          <w:sz w:val="22"/>
          <w:szCs w:val="22"/>
        </w:rPr>
        <w:t xml:space="preserve">vo väčšine prípadov už </w:t>
      </w:r>
      <w:r w:rsidRPr="00D00B45">
        <w:rPr>
          <w:sz w:val="22"/>
          <w:szCs w:val="22"/>
        </w:rPr>
        <w:t xml:space="preserve">nespĺňajú </w:t>
      </w:r>
      <w:r>
        <w:rPr>
          <w:sz w:val="22"/>
          <w:szCs w:val="22"/>
        </w:rPr>
        <w:t xml:space="preserve">kvalitatívne parametre a štandardy kladené na prevádzku MHD. </w:t>
      </w:r>
      <w:r w:rsidRPr="00D00B45">
        <w:rPr>
          <w:sz w:val="22"/>
          <w:szCs w:val="22"/>
        </w:rPr>
        <w:t>Z tohto dôvodu je</w:t>
      </w:r>
      <w:r w:rsidRPr="006424E3">
        <w:rPr>
          <w:sz w:val="22"/>
          <w:szCs w:val="22"/>
        </w:rPr>
        <w:t xml:space="preserve"> j</w:t>
      </w:r>
      <w:r w:rsidRPr="006424E3">
        <w:rPr>
          <w:color w:val="000000"/>
          <w:sz w:val="22"/>
          <w:szCs w:val="22"/>
        </w:rPr>
        <w:t>edným</w:t>
      </w:r>
      <w:r>
        <w:rPr>
          <w:color w:val="000000"/>
          <w:sz w:val="22"/>
          <w:szCs w:val="22"/>
        </w:rPr>
        <w:t xml:space="preserve"> z cieľov stratégie podpory verejnej osobnej dopravy v Bratislave </w:t>
      </w:r>
      <w:r w:rsidRPr="00787A15">
        <w:rPr>
          <w:b/>
          <w:color w:val="000000"/>
          <w:sz w:val="22"/>
          <w:szCs w:val="22"/>
        </w:rPr>
        <w:t>ob</w:t>
      </w:r>
      <w:r w:rsidRPr="00787A15">
        <w:rPr>
          <w:b/>
          <w:sz w:val="22"/>
          <w:szCs w:val="22"/>
        </w:rPr>
        <w:t>staranie moderných nízkopodlažných električi</w:t>
      </w:r>
      <w:r>
        <w:rPr>
          <w:b/>
          <w:sz w:val="22"/>
          <w:szCs w:val="22"/>
        </w:rPr>
        <w:t xml:space="preserve">ek a trolejbusov (vrátane trolejbusov s pomocným pohonom) </w:t>
      </w:r>
      <w:r w:rsidRPr="00787A15">
        <w:rPr>
          <w:b/>
          <w:sz w:val="22"/>
          <w:szCs w:val="22"/>
        </w:rPr>
        <w:t>s nízkou energetickou náročnosťou</w:t>
      </w:r>
      <w:r>
        <w:rPr>
          <w:b/>
          <w:sz w:val="22"/>
          <w:szCs w:val="22"/>
        </w:rPr>
        <w:t>.</w:t>
      </w:r>
      <w:r w:rsidR="00A56214">
        <w:rPr>
          <w:color w:val="000000"/>
          <w:sz w:val="22"/>
          <w:szCs w:val="22"/>
        </w:rPr>
        <w:t xml:space="preserve"> </w:t>
      </w:r>
      <w:r>
        <w:rPr>
          <w:color w:val="000000"/>
          <w:sz w:val="22"/>
          <w:szCs w:val="22"/>
        </w:rPr>
        <w:t xml:space="preserve">Projekt obnovy trolejbusov paralelne rieši doterajší problém spočívajúci v rozširovaní siete trolejbusovej dopravy bez obstarania dodatočných vozidiel. S oboma projektmi súvisí aj modernizácia údržbovej základne vozidiel tak, aby bolo možné moderné vozidlá adekvátne </w:t>
      </w:r>
      <w:r w:rsidRPr="00161034">
        <w:rPr>
          <w:color w:val="000000"/>
          <w:sz w:val="22"/>
          <w:szCs w:val="22"/>
        </w:rPr>
        <w:t>udržiavať.</w:t>
      </w:r>
    </w:p>
    <w:p w14:paraId="5CE39F95" w14:textId="77777777" w:rsidR="004A479A" w:rsidRPr="004A479A" w:rsidRDefault="004A479A" w:rsidP="004A479A">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236E0726" w14:textId="3F2087D4" w:rsidR="009E0158" w:rsidRDefault="004A479A"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(električky</w:t>
      </w:r>
      <w:r w:rsidR="007967A6">
        <w:rPr>
          <w:i/>
          <w:sz w:val="22"/>
          <w:szCs w:val="22"/>
        </w:rPr>
        <w:t>, trolejbusy</w:t>
      </w:r>
      <w:r w:rsidRPr="004A479A">
        <w:rPr>
          <w:i/>
          <w:sz w:val="22"/>
          <w:szCs w:val="22"/>
        </w:rPr>
        <w:t>)</w:t>
      </w:r>
      <w:r>
        <w:rPr>
          <w:i/>
          <w:sz w:val="22"/>
          <w:szCs w:val="22"/>
        </w:rPr>
        <w:t>.</w:t>
      </w:r>
    </w:p>
    <w:p w14:paraId="4F15057C" w14:textId="77777777"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Pr>
          <w:sz w:val="22"/>
          <w:szCs w:val="22"/>
          <w:u w:val="single"/>
        </w:rPr>
        <w:t>Košiciach</w:t>
      </w:r>
    </w:p>
    <w:p w14:paraId="7480473A" w14:textId="77777777" w:rsidR="00E01D5B" w:rsidRDefault="00E01D5B" w:rsidP="00E01D5B">
      <w:pPr>
        <w:jc w:val="both"/>
        <w:rPr>
          <w:sz w:val="22"/>
          <w:szCs w:val="22"/>
        </w:rPr>
      </w:pPr>
      <w:r>
        <w:rPr>
          <w:color w:val="000000"/>
          <w:sz w:val="22"/>
          <w:szCs w:val="22"/>
        </w:rPr>
        <w:t xml:space="preserve">Z podobných dôvodov a sledujúc rovnaké ciele ako v Bratislave aj v Košiciach je zámerom podporiť obnovu prostriedkov dráhovej MHD </w:t>
      </w:r>
      <w:r w:rsidRPr="00161034">
        <w:rPr>
          <w:b/>
          <w:color w:val="000000"/>
          <w:sz w:val="22"/>
          <w:szCs w:val="22"/>
        </w:rPr>
        <w:t>obstaraním</w:t>
      </w:r>
      <w:r>
        <w:rPr>
          <w:color w:val="000000"/>
          <w:sz w:val="22"/>
          <w:szCs w:val="22"/>
        </w:rPr>
        <w:t xml:space="preserve"> </w:t>
      </w:r>
      <w:r w:rsidRPr="00787A15">
        <w:rPr>
          <w:b/>
          <w:sz w:val="22"/>
          <w:szCs w:val="22"/>
        </w:rPr>
        <w:t>moderných nízkopodlažných električi</w:t>
      </w:r>
      <w:r>
        <w:rPr>
          <w:b/>
          <w:sz w:val="22"/>
          <w:szCs w:val="22"/>
        </w:rPr>
        <w:t xml:space="preserve">ek </w:t>
      </w:r>
      <w:r w:rsidRPr="00787A15">
        <w:rPr>
          <w:b/>
          <w:sz w:val="22"/>
          <w:szCs w:val="22"/>
        </w:rPr>
        <w:t>s nízkou energetickou náročnosťou</w:t>
      </w:r>
      <w:r>
        <w:rPr>
          <w:b/>
          <w:sz w:val="22"/>
          <w:szCs w:val="22"/>
        </w:rPr>
        <w:t>.</w:t>
      </w:r>
      <w:r w:rsidRPr="00161034">
        <w:t xml:space="preserve"> </w:t>
      </w:r>
      <w:r>
        <w:rPr>
          <w:sz w:val="22"/>
          <w:szCs w:val="22"/>
        </w:rPr>
        <w:t>Projekt plynule nadviaže</w:t>
      </w:r>
      <w:r w:rsidRPr="00161034">
        <w:rPr>
          <w:sz w:val="22"/>
          <w:szCs w:val="22"/>
        </w:rPr>
        <w:t xml:space="preserve"> na aktivity programového obdobia 2007 – 2013, keď do </w:t>
      </w:r>
      <w:r>
        <w:rPr>
          <w:sz w:val="22"/>
          <w:szCs w:val="22"/>
        </w:rPr>
        <w:t>Košíc pribudne</w:t>
      </w:r>
      <w:r w:rsidR="0097314E">
        <w:rPr>
          <w:sz w:val="22"/>
          <w:szCs w:val="22"/>
        </w:rPr>
        <w:t> </w:t>
      </w:r>
      <w:r>
        <w:rPr>
          <w:sz w:val="22"/>
          <w:szCs w:val="22"/>
        </w:rPr>
        <w:t xml:space="preserve">28 ks </w:t>
      </w:r>
      <w:r w:rsidRPr="00161034">
        <w:rPr>
          <w:sz w:val="22"/>
          <w:szCs w:val="22"/>
        </w:rPr>
        <w:t>električiek</w:t>
      </w:r>
      <w:r>
        <w:rPr>
          <w:sz w:val="22"/>
          <w:szCs w:val="22"/>
        </w:rPr>
        <w:t>. S projektom úzko</w:t>
      </w:r>
      <w:r w:rsidRPr="00161034">
        <w:rPr>
          <w:sz w:val="22"/>
          <w:szCs w:val="22"/>
        </w:rPr>
        <w:t xml:space="preserve"> súvisí modernizácia údržbovej základne vozidiel tak, aby bolo možné moderné vozidlá adekvátne udržiavať.</w:t>
      </w:r>
    </w:p>
    <w:p w14:paraId="78396C76"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4E02D664" w14:textId="5E07B6BE"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w:t>
      </w:r>
      <w:r>
        <w:rPr>
          <w:i/>
          <w:sz w:val="22"/>
          <w:szCs w:val="22"/>
        </w:rPr>
        <w:t xml:space="preserve"> parku dráhovej MHD (električky</w:t>
      </w:r>
      <w:r w:rsidRPr="004A479A">
        <w:rPr>
          <w:i/>
          <w:sz w:val="22"/>
          <w:szCs w:val="22"/>
        </w:rPr>
        <w:t>)</w:t>
      </w:r>
      <w:r>
        <w:rPr>
          <w:i/>
          <w:sz w:val="22"/>
          <w:szCs w:val="22"/>
        </w:rPr>
        <w:t>.</w:t>
      </w:r>
    </w:p>
    <w:p w14:paraId="5DE786FA" w14:textId="77777777"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Pr>
          <w:sz w:val="22"/>
          <w:szCs w:val="22"/>
          <w:u w:val="single"/>
        </w:rPr>
        <w:t>Prešove</w:t>
      </w:r>
    </w:p>
    <w:p w14:paraId="16321E0F" w14:textId="68FA71FC" w:rsidR="00E01D5B" w:rsidRDefault="00E01D5B" w:rsidP="00E01D5B">
      <w:pPr>
        <w:jc w:val="both"/>
        <w:rPr>
          <w:sz w:val="22"/>
          <w:szCs w:val="22"/>
        </w:rPr>
      </w:pPr>
      <w:r w:rsidRPr="000A52CE">
        <w:rPr>
          <w:sz w:val="22"/>
          <w:szCs w:val="22"/>
        </w:rPr>
        <w:t xml:space="preserve">Prešov </w:t>
      </w:r>
      <w:r>
        <w:rPr>
          <w:sz w:val="22"/>
          <w:szCs w:val="22"/>
        </w:rPr>
        <w:t xml:space="preserve">síce kontinuálne rieši obnovu vozového parku, avšak </w:t>
      </w:r>
      <w:r w:rsidRPr="000A52CE">
        <w:rPr>
          <w:sz w:val="22"/>
          <w:szCs w:val="22"/>
        </w:rPr>
        <w:t xml:space="preserve">nedisponuje žiadnymi </w:t>
      </w:r>
      <w:r>
        <w:rPr>
          <w:sz w:val="22"/>
          <w:szCs w:val="22"/>
        </w:rPr>
        <w:t>trolejbusmi s pomocným pohonom, resp. duobusmi</w:t>
      </w:r>
      <w:r w:rsidRPr="000A52CE">
        <w:rPr>
          <w:sz w:val="22"/>
          <w:szCs w:val="22"/>
        </w:rPr>
        <w:t xml:space="preserve">. </w:t>
      </w:r>
      <w:r>
        <w:rPr>
          <w:sz w:val="22"/>
          <w:szCs w:val="22"/>
        </w:rPr>
        <w:t>To spôsobuje prevádzkové problémy v prípade výluk trolejbusovej siete a taktiež spôsobuje nutnosť obsluhovať koncové lokality</w:t>
      </w:r>
      <w:r w:rsidR="00455479">
        <w:rPr>
          <w:sz w:val="22"/>
          <w:szCs w:val="22"/>
        </w:rPr>
        <w:t xml:space="preserve"> v meste</w:t>
      </w:r>
      <w:r>
        <w:rPr>
          <w:sz w:val="22"/>
          <w:szCs w:val="22"/>
        </w:rPr>
        <w:t xml:space="preserve"> menej ekologickou autobusovou dopravou. Odstránenie týchto problémov je možné dosiahnuť </w:t>
      </w:r>
      <w:r w:rsidRPr="00D13E25">
        <w:rPr>
          <w:b/>
          <w:sz w:val="22"/>
          <w:szCs w:val="22"/>
        </w:rPr>
        <w:t>obstaraním</w:t>
      </w:r>
      <w:r>
        <w:rPr>
          <w:sz w:val="22"/>
          <w:szCs w:val="22"/>
        </w:rPr>
        <w:t xml:space="preserve"> </w:t>
      </w:r>
      <w:r w:rsidR="0039330E">
        <w:rPr>
          <w:b/>
          <w:sz w:val="22"/>
          <w:szCs w:val="22"/>
        </w:rPr>
        <w:t>nových</w:t>
      </w:r>
      <w:r w:rsidRPr="00D1373A">
        <w:rPr>
          <w:b/>
          <w:sz w:val="22"/>
          <w:szCs w:val="22"/>
        </w:rPr>
        <w:t xml:space="preserve"> nízkopodlažných trolejbusov </w:t>
      </w:r>
      <w:r>
        <w:rPr>
          <w:b/>
          <w:sz w:val="22"/>
          <w:szCs w:val="22"/>
        </w:rPr>
        <w:t>s pomocným pohonom</w:t>
      </w:r>
      <w:r w:rsidRPr="00D1373A">
        <w:rPr>
          <w:b/>
          <w:sz w:val="22"/>
          <w:szCs w:val="22"/>
        </w:rPr>
        <w:t xml:space="preserve"> s </w:t>
      </w:r>
      <w:r>
        <w:rPr>
          <w:b/>
          <w:sz w:val="22"/>
          <w:szCs w:val="22"/>
        </w:rPr>
        <w:t>nízkou energetickou náročnosťou</w:t>
      </w:r>
      <w:r w:rsidRPr="005574FF">
        <w:rPr>
          <w:sz w:val="22"/>
          <w:szCs w:val="22"/>
        </w:rPr>
        <w:t>.</w:t>
      </w:r>
    </w:p>
    <w:p w14:paraId="1BB7D4E2"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766E94C0" w14:textId="6AF3BE04"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(trolejbusy)</w:t>
      </w:r>
      <w:r>
        <w:rPr>
          <w:i/>
          <w:sz w:val="22"/>
          <w:szCs w:val="22"/>
        </w:rPr>
        <w:t>.</w:t>
      </w:r>
    </w:p>
    <w:p w14:paraId="0B4D81DD" w14:textId="77777777"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sidR="0059698C">
        <w:rPr>
          <w:sz w:val="22"/>
          <w:szCs w:val="22"/>
          <w:u w:val="single"/>
        </w:rPr>
        <w:t>Žiline</w:t>
      </w:r>
    </w:p>
    <w:p w14:paraId="377BB55B" w14:textId="23CD87C1" w:rsidR="00E01D5B" w:rsidRDefault="00E01D5B" w:rsidP="00E01D5B">
      <w:pPr>
        <w:spacing w:before="120" w:after="120"/>
        <w:jc w:val="both"/>
        <w:rPr>
          <w:sz w:val="22"/>
          <w:szCs w:val="22"/>
        </w:rPr>
      </w:pPr>
      <w:r>
        <w:rPr>
          <w:sz w:val="22"/>
          <w:szCs w:val="22"/>
        </w:rPr>
        <w:t xml:space="preserve">Podobne ako v Prešove, aj v Žiline je trolejbusová doprava nosná a z hľadiska prepravných výkonov prevažuje nad autobusovou </w:t>
      </w:r>
      <w:r w:rsidR="0059698C">
        <w:rPr>
          <w:sz w:val="22"/>
          <w:szCs w:val="22"/>
        </w:rPr>
        <w:t>MHD. To však so sebou prináša aj</w:t>
      </w:r>
      <w:r>
        <w:rPr>
          <w:sz w:val="22"/>
          <w:szCs w:val="22"/>
        </w:rPr>
        <w:t xml:space="preserve"> prevádzkové problémy, pretože vzhľadom na absenciu trolejbusov s pomocným pohonom je problematickým riešenie napäťových výluk, porúch na trakčnom vedení či mimoriadnych udalostí. Je nutné tiež konštatovať výraznú zastaranosť vozového parku trolejbusov. Z týchto dôvodov sa navrhujú intervencie vo forme </w:t>
      </w:r>
      <w:r w:rsidRPr="00787A15">
        <w:rPr>
          <w:b/>
          <w:color w:val="000000"/>
          <w:sz w:val="22"/>
          <w:szCs w:val="22"/>
        </w:rPr>
        <w:t>ob</w:t>
      </w:r>
      <w:r>
        <w:rPr>
          <w:b/>
          <w:sz w:val="22"/>
          <w:szCs w:val="22"/>
        </w:rPr>
        <w:t xml:space="preserve">starania </w:t>
      </w:r>
      <w:r w:rsidRPr="00D1373A">
        <w:rPr>
          <w:b/>
          <w:sz w:val="22"/>
          <w:szCs w:val="22"/>
        </w:rPr>
        <w:t xml:space="preserve">moderných nízkopodlažných trolejbusov (vrátane </w:t>
      </w:r>
      <w:r>
        <w:rPr>
          <w:b/>
          <w:sz w:val="22"/>
          <w:szCs w:val="22"/>
        </w:rPr>
        <w:t>trolejbusov s pomocným pohonom)</w:t>
      </w:r>
      <w:r w:rsidRPr="00D1373A">
        <w:rPr>
          <w:b/>
          <w:sz w:val="22"/>
          <w:szCs w:val="22"/>
        </w:rPr>
        <w:t xml:space="preserve"> s </w:t>
      </w:r>
      <w:r>
        <w:rPr>
          <w:b/>
          <w:sz w:val="22"/>
          <w:szCs w:val="22"/>
        </w:rPr>
        <w:t>nízkou energetickou náročnosťou</w:t>
      </w:r>
      <w:r w:rsidRPr="005574FF">
        <w:rPr>
          <w:sz w:val="22"/>
          <w:szCs w:val="22"/>
        </w:rPr>
        <w:t>.</w:t>
      </w:r>
    </w:p>
    <w:p w14:paraId="1FE93522"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50A8215B" w14:textId="1EDDCAF6"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(trolejbusy)</w:t>
      </w:r>
      <w:r>
        <w:rPr>
          <w:i/>
          <w:sz w:val="22"/>
          <w:szCs w:val="22"/>
        </w:rPr>
        <w:t>.</w:t>
      </w:r>
    </w:p>
    <w:p w14:paraId="5D148F40" w14:textId="77777777" w:rsidR="00413843" w:rsidRDefault="00517F3D" w:rsidP="00413843">
      <w:pPr>
        <w:spacing w:before="180" w:after="120"/>
        <w:jc w:val="both"/>
        <w:rPr>
          <w:sz w:val="22"/>
          <w:szCs w:val="22"/>
          <w:u w:val="single"/>
        </w:rPr>
      </w:pPr>
      <w:r>
        <w:rPr>
          <w:sz w:val="22"/>
          <w:szCs w:val="22"/>
          <w:u w:val="single"/>
        </w:rPr>
        <w:t xml:space="preserve">Obnova prostriedkov dráhovej MHD </w:t>
      </w:r>
      <w:r w:rsidR="00413843">
        <w:rPr>
          <w:sz w:val="22"/>
          <w:szCs w:val="22"/>
          <w:u w:val="single"/>
        </w:rPr>
        <w:t>v Bansk</w:t>
      </w:r>
      <w:r>
        <w:rPr>
          <w:sz w:val="22"/>
          <w:szCs w:val="22"/>
          <w:u w:val="single"/>
        </w:rPr>
        <w:t>ej Bystrici</w:t>
      </w:r>
    </w:p>
    <w:p w14:paraId="78C8795E" w14:textId="77777777" w:rsidR="00413843" w:rsidRDefault="00413843" w:rsidP="00754B38">
      <w:pPr>
        <w:spacing w:before="180" w:after="120"/>
        <w:jc w:val="both"/>
        <w:rPr>
          <w:sz w:val="22"/>
          <w:szCs w:val="22"/>
        </w:rPr>
      </w:pPr>
      <w:r>
        <w:rPr>
          <w:sz w:val="22"/>
          <w:szCs w:val="22"/>
        </w:rPr>
        <w:t xml:space="preserve">V Banskej Bystrici tvorí trolejbusová doprava významnú časť MHD, jej podiel na výkonoch je však nižší ako u autobusovej dopravy. Potenciálnou možnosťou rozvoja je rozšírenie trolejbusovej siete, resp. prepojenie existujúcich úsekov, čím by sa dosiahol vyšší podiel tohto ekologického módu </w:t>
      </w:r>
      <w:r>
        <w:rPr>
          <w:sz w:val="22"/>
          <w:szCs w:val="22"/>
        </w:rPr>
        <w:lastRenderedPageBreak/>
        <w:t>dopravy na MHD, a s ním spojené obstaranie dodatočných trolejbusov.</w:t>
      </w:r>
      <w:r w:rsidR="00754B38">
        <w:rPr>
          <w:sz w:val="22"/>
          <w:szCs w:val="22"/>
        </w:rPr>
        <w:t xml:space="preserve"> Zámery v oblasti rozvoja trolejbusovej dopravy však musia byť potvrdené lokálnymi strategickými dokumentmi vrátan</w:t>
      </w:r>
      <w:r w:rsidR="0083727B">
        <w:rPr>
          <w:sz w:val="22"/>
          <w:szCs w:val="22"/>
        </w:rPr>
        <w:t>e posúdenia ich udržateľnosti.</w:t>
      </w:r>
    </w:p>
    <w:p w14:paraId="3DE4F34D"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13569709" w14:textId="3DBFFCA9"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(trolejbusy)</w:t>
      </w:r>
      <w:r>
        <w:rPr>
          <w:i/>
          <w:sz w:val="22"/>
          <w:szCs w:val="22"/>
        </w:rPr>
        <w:t>.</w:t>
      </w:r>
    </w:p>
    <w:p w14:paraId="7BECE15F" w14:textId="77777777" w:rsidR="009E0158" w:rsidRDefault="006E5486" w:rsidP="00CF7857">
      <w:pPr>
        <w:numPr>
          <w:ilvl w:val="2"/>
          <w:numId w:val="38"/>
        </w:numPr>
        <w:spacing w:before="180" w:after="120"/>
        <w:ind w:left="851" w:hanging="425"/>
        <w:jc w:val="both"/>
        <w:rPr>
          <w:b/>
          <w:i/>
          <w:color w:val="4F81BD" w:themeColor="accent1"/>
          <w:sz w:val="22"/>
          <w:szCs w:val="22"/>
        </w:rPr>
      </w:pPr>
      <w:r w:rsidRPr="00AF56C3">
        <w:rPr>
          <w:b/>
          <w:i/>
          <w:color w:val="4F81BD" w:themeColor="accent1"/>
          <w:sz w:val="22"/>
          <w:szCs w:val="22"/>
        </w:rPr>
        <w:t>Výstavba a moder</w:t>
      </w:r>
      <w:r>
        <w:rPr>
          <w:b/>
          <w:i/>
          <w:color w:val="4F81BD" w:themeColor="accent1"/>
          <w:sz w:val="22"/>
          <w:szCs w:val="22"/>
        </w:rPr>
        <w:t>nizácia infraštruktúry pre IDS</w:t>
      </w:r>
      <w:r w:rsidRPr="00AF56C3">
        <w:rPr>
          <w:b/>
          <w:i/>
          <w:color w:val="4F81BD" w:themeColor="accent1"/>
          <w:sz w:val="22"/>
          <w:szCs w:val="22"/>
        </w:rPr>
        <w:t xml:space="preserve"> </w:t>
      </w:r>
      <w:r>
        <w:rPr>
          <w:b/>
          <w:i/>
          <w:color w:val="4F81BD" w:themeColor="accent1"/>
          <w:sz w:val="22"/>
          <w:szCs w:val="22"/>
        </w:rPr>
        <w:t>(</w:t>
      </w:r>
      <w:r w:rsidRPr="00AF56C3">
        <w:rPr>
          <w:b/>
          <w:i/>
          <w:color w:val="4F81BD" w:themeColor="accent1"/>
          <w:sz w:val="22"/>
          <w:szCs w:val="22"/>
        </w:rPr>
        <w:t>modernizácia a výstavba prestupných terminálov so zásahom do železničnej infraštruktúry</w:t>
      </w:r>
      <w:r w:rsidR="0083727B">
        <w:rPr>
          <w:b/>
          <w:i/>
          <w:color w:val="4F81BD" w:themeColor="accent1"/>
          <w:sz w:val="22"/>
          <w:szCs w:val="22"/>
        </w:rPr>
        <w:t>)</w:t>
      </w:r>
    </w:p>
    <w:p w14:paraId="498F070D" w14:textId="77777777" w:rsidR="006E5486" w:rsidRPr="006E5486" w:rsidRDefault="006E5486" w:rsidP="006E5486">
      <w:pPr>
        <w:autoSpaceDE w:val="0"/>
        <w:autoSpaceDN w:val="0"/>
        <w:adjustRightInd w:val="0"/>
        <w:spacing w:before="180"/>
        <w:jc w:val="both"/>
        <w:rPr>
          <w:sz w:val="22"/>
          <w:szCs w:val="22"/>
        </w:rPr>
      </w:pPr>
      <w:r w:rsidRPr="006E5486">
        <w:rPr>
          <w:sz w:val="22"/>
          <w:szCs w:val="22"/>
        </w:rPr>
        <w:t xml:space="preserve">Nevyhovujúce prestupné body negatívne poznačujú zámery efektívnejšej organizácie dopravy, keď z dôvodu komplikovanosti prestupov a nízkej atraktivity prestupných miest vystupujú do popredia obavy zo straty existujúcich zákazníkov </w:t>
      </w:r>
      <w:r w:rsidR="00517F3D">
        <w:rPr>
          <w:sz w:val="22"/>
          <w:szCs w:val="22"/>
        </w:rPr>
        <w:t>VOD</w:t>
      </w:r>
      <w:r w:rsidRPr="006E5486">
        <w:rPr>
          <w:sz w:val="22"/>
          <w:szCs w:val="22"/>
        </w:rPr>
        <w:t xml:space="preserve"> namiesto deklarovaného cieľa získania nových zákazníkov. Intervencie do prestupných terminálov pre IDS tak majú za cieľ vytvorenie predpokladov na zavedenie efektívnejšej organizácie </w:t>
      </w:r>
      <w:r w:rsidR="00517F3D">
        <w:rPr>
          <w:sz w:val="22"/>
          <w:szCs w:val="22"/>
        </w:rPr>
        <w:t>VOD</w:t>
      </w:r>
      <w:r w:rsidRPr="006E5486">
        <w:rPr>
          <w:sz w:val="22"/>
          <w:szCs w:val="22"/>
        </w:rPr>
        <w:t>.</w:t>
      </w:r>
    </w:p>
    <w:p w14:paraId="0F0E5C36" w14:textId="77777777" w:rsidR="006E5486" w:rsidRPr="006E5486" w:rsidRDefault="006E5486" w:rsidP="006E5486">
      <w:pPr>
        <w:spacing w:before="120"/>
        <w:jc w:val="both"/>
        <w:rPr>
          <w:sz w:val="22"/>
          <w:szCs w:val="22"/>
        </w:rPr>
      </w:pPr>
      <w:r w:rsidRPr="006E5486">
        <w:rPr>
          <w:sz w:val="22"/>
          <w:szCs w:val="22"/>
        </w:rPr>
        <w:t>Cieľom výstavby terminálov osobnej prepravy je zároveň optimalizovať počet a umiestnenie prestupných bodov na sieti verejnej hromadnej osobnej dopra</w:t>
      </w:r>
      <w:r w:rsidR="0083727B">
        <w:rPr>
          <w:sz w:val="22"/>
          <w:szCs w:val="22"/>
        </w:rPr>
        <w:t>vy a tým vytvárať podmienky pre </w:t>
      </w:r>
      <w:r w:rsidRPr="006E5486">
        <w:rPr>
          <w:sz w:val="22"/>
          <w:szCs w:val="22"/>
        </w:rPr>
        <w:t>efektívne zabezpečenie prepravných potrieb obyvateľstva. Motivačné prvky pre budúcich používateľov by mali predstavovať časovú a ekonomickú úsporu. Výstavba prestupných bodov bude realizovaná v úzkej spolupráci s modernizáciou dopravnej infraštruktúry a obnovou mobilných prostriedkov. Zo zdrojov OPII sa uvažuje s intervenciami do prestupných terminálov so zásahom do železničnej infraštruktúry v Bratislavskom a Košickom kraji.</w:t>
      </w:r>
    </w:p>
    <w:p w14:paraId="34F438F8" w14:textId="77777777" w:rsidR="006E5486" w:rsidRPr="006E5486" w:rsidRDefault="006E5486" w:rsidP="006E5486">
      <w:pPr>
        <w:spacing w:before="120"/>
        <w:jc w:val="both"/>
        <w:rPr>
          <w:sz w:val="22"/>
          <w:szCs w:val="22"/>
        </w:rPr>
      </w:pPr>
      <w:r w:rsidRPr="006E5486">
        <w:rPr>
          <w:sz w:val="22"/>
          <w:szCs w:val="22"/>
        </w:rPr>
        <w:t>Počet, rozmiestnenie a technické riešenie terminálov budú stanovené na základe výsledkov plánov dopravnej obslužnosti. Cieľom stavieb bude presmerovanie prímestskej dopravy z individuálnej dopravy na koľajovú dopravu, ako aj prevzatie dopravy zo zaťažených tratí z cestnej hromadnej dopravy – autobusov na veľkokapacitnú železničnú dopravu. K bezproblémovému prestupu má slúžiť stavebné riešenie a technické vybavenie terminálu.</w:t>
      </w:r>
    </w:p>
    <w:p w14:paraId="183A4229" w14:textId="094CA934" w:rsidR="009E0158" w:rsidRDefault="00E01D5B" w:rsidP="00CF7857">
      <w:pPr>
        <w:numPr>
          <w:ilvl w:val="2"/>
          <w:numId w:val="38"/>
        </w:numPr>
        <w:spacing w:before="180" w:after="120"/>
        <w:ind w:left="851" w:hanging="425"/>
        <w:jc w:val="both"/>
        <w:rPr>
          <w:b/>
          <w:i/>
          <w:color w:val="4F81BD" w:themeColor="accent1"/>
          <w:sz w:val="22"/>
          <w:szCs w:val="22"/>
        </w:rPr>
      </w:pPr>
      <w:r w:rsidRPr="005139F6">
        <w:rPr>
          <w:b/>
          <w:i/>
          <w:color w:val="4F81BD" w:themeColor="accent1"/>
          <w:sz w:val="22"/>
          <w:szCs w:val="22"/>
        </w:rPr>
        <w:t>Vybudovanie a modernizácia technickej základne na opravu a údržbu vozového parku dráhovej MHD</w:t>
      </w:r>
    </w:p>
    <w:p w14:paraId="0E08DDFD" w14:textId="0A5EBF8C" w:rsidR="000001AA" w:rsidRPr="000001AA" w:rsidRDefault="000001AA" w:rsidP="000001AA">
      <w:pPr>
        <w:spacing w:before="180" w:after="120"/>
        <w:jc w:val="both"/>
        <w:rPr>
          <w:sz w:val="22"/>
          <w:szCs w:val="22"/>
        </w:rPr>
      </w:pPr>
      <w:r w:rsidRPr="000001AA">
        <w:rPr>
          <w:sz w:val="22"/>
          <w:szCs w:val="22"/>
        </w:rPr>
        <w:t>Z obnovy vozového parku dráhovej MHD, tzn. obstarania nových električiek a trolejbusov vyplývajú špecifické nároky aj na ich budúcu údržbu a opravy, ktoré sa premietajú do potreby výstavby novej, resp. modernizácie existujúcej údržbovej základ</w:t>
      </w:r>
      <w:r w:rsidR="000C7996">
        <w:rPr>
          <w:sz w:val="22"/>
          <w:szCs w:val="22"/>
        </w:rPr>
        <w:t>n</w:t>
      </w:r>
      <w:r w:rsidRPr="000001AA">
        <w:rPr>
          <w:sz w:val="22"/>
          <w:szCs w:val="22"/>
        </w:rPr>
        <w:t>e, ktorá v súčasnosti nie je dostatočne te</w:t>
      </w:r>
      <w:r w:rsidR="0097314E">
        <w:rPr>
          <w:sz w:val="22"/>
          <w:szCs w:val="22"/>
        </w:rPr>
        <w:t>chnicky a kapacitne vybavená na</w:t>
      </w:r>
      <w:r w:rsidRPr="000001AA">
        <w:rPr>
          <w:sz w:val="22"/>
          <w:szCs w:val="22"/>
        </w:rPr>
        <w:t xml:space="preserve"> údržbu a opravy </w:t>
      </w:r>
      <w:r w:rsidR="0097314E">
        <w:rPr>
          <w:sz w:val="22"/>
          <w:szCs w:val="22"/>
        </w:rPr>
        <w:t>nových dopravných prostriedkov.</w:t>
      </w:r>
    </w:p>
    <w:p w14:paraId="0538E424" w14:textId="77777777" w:rsidR="000001AA" w:rsidRPr="000001AA" w:rsidRDefault="000001AA" w:rsidP="000001AA">
      <w:pPr>
        <w:spacing w:before="180" w:after="120"/>
        <w:jc w:val="both"/>
        <w:rPr>
          <w:sz w:val="22"/>
          <w:szCs w:val="22"/>
        </w:rPr>
      </w:pPr>
      <w:r w:rsidRPr="000001AA">
        <w:rPr>
          <w:sz w:val="22"/>
          <w:szCs w:val="22"/>
        </w:rPr>
        <w:t xml:space="preserve">Súčasný stav v oblasti </w:t>
      </w:r>
      <w:r w:rsidR="00517F3D">
        <w:rPr>
          <w:sz w:val="22"/>
          <w:szCs w:val="22"/>
        </w:rPr>
        <w:t>MHD</w:t>
      </w:r>
      <w:r w:rsidRPr="000001AA">
        <w:rPr>
          <w:sz w:val="22"/>
          <w:szCs w:val="22"/>
        </w:rPr>
        <w:t xml:space="preserve"> je charakteristický popri nevyhovujúcej dopravnej infraštruktúre </w:t>
      </w:r>
      <w:r w:rsidR="006D086E">
        <w:rPr>
          <w:sz w:val="22"/>
          <w:szCs w:val="22"/>
        </w:rPr>
        <w:t>taktiež</w:t>
      </w:r>
      <w:r w:rsidRPr="000001AA">
        <w:rPr>
          <w:sz w:val="22"/>
          <w:szCs w:val="22"/>
        </w:rPr>
        <w:t xml:space="preserve"> nedostatočnou kvalitou poskytovaných služieb</w:t>
      </w:r>
      <w:r w:rsidR="00513743">
        <w:rPr>
          <w:sz w:val="22"/>
          <w:szCs w:val="22"/>
        </w:rPr>
        <w:t>, ktorá je</w:t>
      </w:r>
      <w:r w:rsidRPr="000001AA">
        <w:rPr>
          <w:sz w:val="22"/>
          <w:szCs w:val="22"/>
        </w:rPr>
        <w:t xml:space="preserve"> zapríčinen</w:t>
      </w:r>
      <w:r w:rsidR="00513743">
        <w:rPr>
          <w:sz w:val="22"/>
          <w:szCs w:val="22"/>
        </w:rPr>
        <w:t>á</w:t>
      </w:r>
      <w:r w:rsidRPr="000001AA">
        <w:rPr>
          <w:sz w:val="22"/>
          <w:szCs w:val="22"/>
        </w:rPr>
        <w:t xml:space="preserve"> predovšetkým nevyhovujúcim technickým stavom vozidiel MHD</w:t>
      </w:r>
      <w:r w:rsidR="00513743">
        <w:rPr>
          <w:sz w:val="22"/>
          <w:szCs w:val="22"/>
        </w:rPr>
        <w:t>.</w:t>
      </w:r>
      <w:r w:rsidRPr="000001AA">
        <w:rPr>
          <w:sz w:val="22"/>
          <w:szCs w:val="22"/>
        </w:rPr>
        <w:t xml:space="preserve"> </w:t>
      </w:r>
      <w:r w:rsidR="00513743">
        <w:rPr>
          <w:sz w:val="22"/>
          <w:szCs w:val="22"/>
        </w:rPr>
        <w:t>V</w:t>
      </w:r>
      <w:r w:rsidRPr="000001AA">
        <w:rPr>
          <w:sz w:val="22"/>
          <w:szCs w:val="22"/>
        </w:rPr>
        <w:t> prípade neprijatia vhodných opatrení indikuje</w:t>
      </w:r>
      <w:r w:rsidR="00620751">
        <w:rPr>
          <w:sz w:val="22"/>
          <w:szCs w:val="22"/>
        </w:rPr>
        <w:t xml:space="preserve"> tento stav</w:t>
      </w:r>
      <w:r w:rsidRPr="000001AA">
        <w:rPr>
          <w:sz w:val="22"/>
          <w:szCs w:val="22"/>
        </w:rPr>
        <w:t xml:space="preserve"> ďalšie zníženie dopytu po využívaní služieb MHD</w:t>
      </w:r>
      <w:r w:rsidR="00620751">
        <w:rPr>
          <w:sz w:val="22"/>
          <w:szCs w:val="22"/>
        </w:rPr>
        <w:t>,</w:t>
      </w:r>
      <w:r w:rsidRPr="000001AA">
        <w:rPr>
          <w:sz w:val="22"/>
          <w:szCs w:val="22"/>
        </w:rPr>
        <w:t xml:space="preserve"> </w:t>
      </w:r>
      <w:r w:rsidR="00620751">
        <w:rPr>
          <w:sz w:val="22"/>
          <w:szCs w:val="22"/>
        </w:rPr>
        <w:t xml:space="preserve">čo </w:t>
      </w:r>
      <w:r w:rsidR="00424A41">
        <w:rPr>
          <w:sz w:val="22"/>
          <w:szCs w:val="22"/>
        </w:rPr>
        <w:t>by</w:t>
      </w:r>
      <w:r w:rsidR="00620751">
        <w:rPr>
          <w:sz w:val="22"/>
          <w:szCs w:val="22"/>
        </w:rPr>
        <w:t xml:space="preserve"> následne</w:t>
      </w:r>
      <w:r w:rsidR="00424A41">
        <w:rPr>
          <w:sz w:val="22"/>
          <w:szCs w:val="22"/>
        </w:rPr>
        <w:t xml:space="preserve"> viedlo</w:t>
      </w:r>
      <w:r w:rsidRPr="000001AA">
        <w:rPr>
          <w:sz w:val="22"/>
          <w:szCs w:val="22"/>
        </w:rPr>
        <w:t xml:space="preserve"> k ďalšiemu postupnému znižovaniu poskytovaných výkonov MHD a zvyšovaniu podielu </w:t>
      </w:r>
      <w:r w:rsidR="00517F3D">
        <w:rPr>
          <w:sz w:val="22"/>
          <w:szCs w:val="22"/>
        </w:rPr>
        <w:t>IAD</w:t>
      </w:r>
      <w:r w:rsidR="0083727B">
        <w:rPr>
          <w:sz w:val="22"/>
          <w:szCs w:val="22"/>
        </w:rPr>
        <w:t>.</w:t>
      </w:r>
    </w:p>
    <w:p w14:paraId="7294F984" w14:textId="26251856" w:rsidR="000001AA" w:rsidRPr="000001AA" w:rsidRDefault="000001AA" w:rsidP="000001AA">
      <w:pPr>
        <w:spacing w:before="180" w:after="120"/>
        <w:jc w:val="both"/>
        <w:rPr>
          <w:sz w:val="22"/>
          <w:szCs w:val="22"/>
        </w:rPr>
      </w:pPr>
      <w:r w:rsidRPr="000001AA">
        <w:rPr>
          <w:sz w:val="22"/>
          <w:szCs w:val="22"/>
        </w:rPr>
        <w:t xml:space="preserve">Súčasné technické zázemie nevyhovuje nárokom na údržbu a opravy moderných vozidiel. </w:t>
      </w:r>
      <w:r w:rsidR="0083727B">
        <w:rPr>
          <w:sz w:val="22"/>
          <w:szCs w:val="22"/>
        </w:rPr>
        <w:t>Cieľom</w:t>
      </w:r>
      <w:r w:rsidRPr="000001AA">
        <w:rPr>
          <w:sz w:val="22"/>
          <w:szCs w:val="22"/>
        </w:rPr>
        <w:t xml:space="preserve"> realizácie projektov údržbovej základne je tak vytvoriť</w:t>
      </w:r>
      <w:r w:rsidR="00620751">
        <w:rPr>
          <w:sz w:val="22"/>
          <w:szCs w:val="22"/>
        </w:rPr>
        <w:t xml:space="preserve"> vhodné</w:t>
      </w:r>
      <w:r w:rsidRPr="000001AA">
        <w:rPr>
          <w:sz w:val="22"/>
          <w:szCs w:val="22"/>
        </w:rPr>
        <w:t xml:space="preserve"> technické podmienky pre údržbu a opravy nových nízkopodlažných vozidiel s cieľom zabezpečenia ich plnej prevádzkyschopnosti. Modernizovaná údržbová základňa bude aj naďalej slúžiť na vykonávanie údržby a</w:t>
      </w:r>
      <w:r w:rsidR="0083727B">
        <w:rPr>
          <w:sz w:val="22"/>
          <w:szCs w:val="22"/>
        </w:rPr>
        <w:t> </w:t>
      </w:r>
      <w:r w:rsidRPr="000001AA">
        <w:rPr>
          <w:sz w:val="22"/>
          <w:szCs w:val="22"/>
        </w:rPr>
        <w:t>opráv</w:t>
      </w:r>
      <w:r w:rsidR="0083727B">
        <w:rPr>
          <w:sz w:val="22"/>
          <w:szCs w:val="22"/>
        </w:rPr>
        <w:t xml:space="preserve"> v </w:t>
      </w:r>
      <w:r w:rsidRPr="000001AA">
        <w:rPr>
          <w:sz w:val="22"/>
          <w:szCs w:val="22"/>
        </w:rPr>
        <w:t xml:space="preserve">súčasnosti </w:t>
      </w:r>
      <w:r w:rsidR="0083727B">
        <w:rPr>
          <w:sz w:val="22"/>
          <w:szCs w:val="22"/>
        </w:rPr>
        <w:t>prevádzkovaného vozového parku.</w:t>
      </w:r>
    </w:p>
    <w:p w14:paraId="58351EE2" w14:textId="5D03E025" w:rsidR="000001AA" w:rsidRPr="000001AA" w:rsidRDefault="000001AA" w:rsidP="000001AA">
      <w:pPr>
        <w:spacing w:before="180" w:after="120"/>
        <w:jc w:val="both"/>
        <w:rPr>
          <w:sz w:val="22"/>
          <w:szCs w:val="22"/>
        </w:rPr>
      </w:pPr>
      <w:r w:rsidRPr="000001AA">
        <w:rPr>
          <w:sz w:val="22"/>
          <w:szCs w:val="22"/>
        </w:rPr>
        <w:t>Hlavným cieľom výstavby a modernizácie technickej zá</w:t>
      </w:r>
      <w:r w:rsidR="00AE2A87">
        <w:rPr>
          <w:sz w:val="22"/>
          <w:szCs w:val="22"/>
        </w:rPr>
        <w:t>kladne je podporiť rast výkonov</w:t>
      </w:r>
      <w:r w:rsidRPr="000001AA">
        <w:rPr>
          <w:sz w:val="22"/>
          <w:szCs w:val="22"/>
        </w:rPr>
        <w:t xml:space="preserve"> dráhovej </w:t>
      </w:r>
      <w:r w:rsidR="00517F3D">
        <w:rPr>
          <w:sz w:val="22"/>
          <w:szCs w:val="22"/>
        </w:rPr>
        <w:t>MHD</w:t>
      </w:r>
      <w:r w:rsidRPr="000001AA">
        <w:rPr>
          <w:sz w:val="22"/>
          <w:szCs w:val="22"/>
        </w:rPr>
        <w:t xml:space="preserve"> prostredníctvom zvýšeného dopytu spokojných zák</w:t>
      </w:r>
      <w:r w:rsidR="00747F12">
        <w:rPr>
          <w:sz w:val="22"/>
          <w:szCs w:val="22"/>
        </w:rPr>
        <w:t>azníkov po kvalitnej preprave v </w:t>
      </w:r>
      <w:r w:rsidRPr="000001AA">
        <w:rPr>
          <w:sz w:val="22"/>
          <w:szCs w:val="22"/>
        </w:rPr>
        <w:t>modernizovaných dopravných prostriedkoch. Výstavba a mod</w:t>
      </w:r>
      <w:r w:rsidR="00747F12">
        <w:rPr>
          <w:sz w:val="22"/>
          <w:szCs w:val="22"/>
        </w:rPr>
        <w:t>ernizácia údržbovej základne (v </w:t>
      </w:r>
      <w:r w:rsidRPr="000001AA">
        <w:rPr>
          <w:sz w:val="22"/>
          <w:szCs w:val="22"/>
        </w:rPr>
        <w:t>synergii s projektmi zameranými na obnovu vozového parku a výstavbu a </w:t>
      </w:r>
      <w:r w:rsidR="00747F12">
        <w:rPr>
          <w:sz w:val="22"/>
          <w:szCs w:val="22"/>
        </w:rPr>
        <w:t>modernizáciu infraštruktúry pre </w:t>
      </w:r>
      <w:r w:rsidRPr="000001AA">
        <w:rPr>
          <w:sz w:val="22"/>
          <w:szCs w:val="22"/>
        </w:rPr>
        <w:t xml:space="preserve">dráhovú MHD) prispeje k zvýšeniu kvality služieb ponúkaných MHD, zlepšeniu kultúry a komfortu cestovania v rámci MHD, zlepšeniu jej spoľahlivosti a bezpečnosti a podnieti rast dopytu po službách MHD. Tým sa vytvoria základné predpoklady pre zvýšenie podielu ekologickej dráhovej </w:t>
      </w:r>
      <w:r w:rsidR="00517F3D">
        <w:rPr>
          <w:sz w:val="22"/>
          <w:szCs w:val="22"/>
        </w:rPr>
        <w:t>MHD</w:t>
      </w:r>
      <w:r w:rsidRPr="000001AA">
        <w:rPr>
          <w:sz w:val="22"/>
          <w:szCs w:val="22"/>
        </w:rPr>
        <w:t>, ktorá bude základom budúcej dopravnej sústavy</w:t>
      </w:r>
      <w:r w:rsidR="00DA4B38">
        <w:rPr>
          <w:sz w:val="22"/>
          <w:szCs w:val="22"/>
        </w:rPr>
        <w:t xml:space="preserve"> </w:t>
      </w:r>
      <w:r w:rsidR="00620751">
        <w:rPr>
          <w:sz w:val="22"/>
          <w:szCs w:val="22"/>
        </w:rPr>
        <w:t>mestských aglomerácií</w:t>
      </w:r>
      <w:r w:rsidRPr="000001AA">
        <w:rPr>
          <w:sz w:val="22"/>
          <w:szCs w:val="22"/>
        </w:rPr>
        <w:t>.</w:t>
      </w:r>
    </w:p>
    <w:p w14:paraId="08EEAD88" w14:textId="77777777" w:rsidR="009E0158" w:rsidRDefault="003C0531" w:rsidP="00CF7857">
      <w:pPr>
        <w:numPr>
          <w:ilvl w:val="2"/>
          <w:numId w:val="38"/>
        </w:numPr>
        <w:spacing w:before="180" w:after="120"/>
        <w:ind w:left="851" w:hanging="425"/>
        <w:jc w:val="both"/>
        <w:rPr>
          <w:b/>
          <w:i/>
          <w:color w:val="4F81BD" w:themeColor="accent1"/>
          <w:sz w:val="22"/>
          <w:szCs w:val="22"/>
        </w:rPr>
      </w:pPr>
      <w:r>
        <w:rPr>
          <w:b/>
          <w:i/>
          <w:color w:val="4F81BD" w:themeColor="accent1"/>
          <w:sz w:val="22"/>
          <w:szCs w:val="22"/>
        </w:rPr>
        <w:lastRenderedPageBreak/>
        <w:t>Projektová príprava</w:t>
      </w:r>
    </w:p>
    <w:p w14:paraId="4783DD53" w14:textId="77777777" w:rsidR="000E41D5" w:rsidRDefault="000E41D5" w:rsidP="000E41D5">
      <w:pPr>
        <w:spacing w:after="180"/>
        <w:jc w:val="both"/>
        <w:rPr>
          <w:sz w:val="22"/>
          <w:szCs w:val="22"/>
        </w:rPr>
      </w:pPr>
      <w:r w:rsidRPr="000E41D5">
        <w:rPr>
          <w:sz w:val="22"/>
          <w:szCs w:val="22"/>
        </w:rPr>
        <w:t>Súčasný stav projektovej prípravy investičných stavieb je možné označiť ako prierezový problém systémového charakteru. Na základe uvedeného bude náležitá pozornosť i zdroje venované predprojektovej a projektov</w:t>
      </w:r>
      <w:r>
        <w:rPr>
          <w:sz w:val="22"/>
          <w:szCs w:val="22"/>
        </w:rPr>
        <w:t>ej príprave</w:t>
      </w:r>
      <w:r w:rsidRPr="000E41D5">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FE6C5A" w14:paraId="1DFE3435" w14:textId="77777777" w:rsidTr="00532DA2">
        <w:trPr>
          <w:trHeight w:val="284"/>
          <w:jc w:val="center"/>
        </w:trPr>
        <w:tc>
          <w:tcPr>
            <w:tcW w:w="3289" w:type="dxa"/>
            <w:shd w:val="clear" w:color="auto" w:fill="DBE5F1" w:themeFill="accent1" w:themeFillTint="33"/>
            <w:vAlign w:val="center"/>
          </w:tcPr>
          <w:p w14:paraId="28CE855B" w14:textId="77777777"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5783" w:type="dxa"/>
            <w:vAlign w:val="center"/>
          </w:tcPr>
          <w:p w14:paraId="15DEC37C" w14:textId="77777777" w:rsidR="009E0158" w:rsidRDefault="00FE6C5A" w:rsidP="00CF7857">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FE6C5A" w14:paraId="467D012E" w14:textId="77777777" w:rsidTr="00532DA2">
        <w:trPr>
          <w:trHeight w:val="284"/>
          <w:jc w:val="center"/>
        </w:trPr>
        <w:tc>
          <w:tcPr>
            <w:tcW w:w="3289" w:type="dxa"/>
            <w:shd w:val="clear" w:color="auto" w:fill="DBE5F1" w:themeFill="accent1" w:themeFillTint="33"/>
            <w:vAlign w:val="center"/>
          </w:tcPr>
          <w:p w14:paraId="3C2585A8" w14:textId="77777777"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5783" w:type="dxa"/>
            <w:vAlign w:val="center"/>
          </w:tcPr>
          <w:p w14:paraId="068564E9" w14:textId="77777777" w:rsidR="009E0158" w:rsidRDefault="00FE6C5A" w:rsidP="00CF7857">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FE6C5A" w14:paraId="327B9226" w14:textId="77777777" w:rsidTr="00532DA2">
        <w:trPr>
          <w:trHeight w:val="284"/>
          <w:jc w:val="center"/>
        </w:trPr>
        <w:tc>
          <w:tcPr>
            <w:tcW w:w="3289" w:type="dxa"/>
            <w:shd w:val="clear" w:color="auto" w:fill="DBE5F1" w:themeFill="accent1" w:themeFillTint="33"/>
            <w:vAlign w:val="center"/>
          </w:tcPr>
          <w:p w14:paraId="44A326F0" w14:textId="77777777"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5783" w:type="dxa"/>
            <w:vAlign w:val="center"/>
          </w:tcPr>
          <w:p w14:paraId="4219AE3D"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Bratislava, a. s.</w:t>
            </w:r>
          </w:p>
          <w:p w14:paraId="6E3E26F6"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mesta Košice, a. s.</w:t>
            </w:r>
          </w:p>
          <w:p w14:paraId="61698C2C"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mesta Prešov, a. s.</w:t>
            </w:r>
          </w:p>
          <w:p w14:paraId="293367E6"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mesta Žilin</w:t>
            </w:r>
            <w:r w:rsidR="00DA69E0">
              <w:rPr>
                <w:sz w:val="22"/>
                <w:szCs w:val="22"/>
              </w:rPr>
              <w:t>y</w:t>
            </w:r>
            <w:r w:rsidRPr="00D23B7E">
              <w:rPr>
                <w:sz w:val="22"/>
                <w:szCs w:val="22"/>
              </w:rPr>
              <w:t xml:space="preserve"> s.r.o.</w:t>
            </w:r>
          </w:p>
          <w:p w14:paraId="3425BC52"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hlavné mesto SR Bratislava</w:t>
            </w:r>
          </w:p>
          <w:p w14:paraId="26B6607F"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Košice</w:t>
            </w:r>
          </w:p>
          <w:p w14:paraId="3DA09F49"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Prešov</w:t>
            </w:r>
          </w:p>
          <w:p w14:paraId="560B815E"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Žilina</w:t>
            </w:r>
          </w:p>
          <w:p w14:paraId="126EE8CA"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Banská Bystrica</w:t>
            </w:r>
          </w:p>
          <w:p w14:paraId="43E5479A"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Železnice Slovenskej republiky</w:t>
            </w:r>
          </w:p>
          <w:p w14:paraId="4DF8BDF4" w14:textId="77777777" w:rsidR="009E0158" w:rsidRDefault="00010302" w:rsidP="00CF7857">
            <w:pPr>
              <w:pStyle w:val="Odsekzoznamu"/>
              <w:numPr>
                <w:ilvl w:val="0"/>
                <w:numId w:val="27"/>
              </w:numPr>
              <w:autoSpaceDE w:val="0"/>
              <w:autoSpaceDN w:val="0"/>
              <w:adjustRightInd w:val="0"/>
              <w:ind w:left="284" w:hanging="284"/>
              <w:rPr>
                <w:sz w:val="22"/>
                <w:szCs w:val="22"/>
              </w:rPr>
            </w:pPr>
            <w:r w:rsidRPr="00D23B7E">
              <w:rPr>
                <w:sz w:val="22"/>
                <w:szCs w:val="22"/>
              </w:rPr>
              <w:t>MDV SR</w:t>
            </w:r>
          </w:p>
          <w:p w14:paraId="5A9C1FC4" w14:textId="77777777" w:rsidR="009E0158" w:rsidRDefault="006472E7" w:rsidP="00CF7857">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49A27D84" w14:textId="77777777" w:rsidR="00307AAF" w:rsidRDefault="005972A7" w:rsidP="00ED7FB4">
      <w:pPr>
        <w:pStyle w:val="Nadpis4"/>
      </w:pPr>
      <w:r>
        <w:t>Hlavné princípy výberu projektov</w:t>
      </w:r>
    </w:p>
    <w:p w14:paraId="79B61641" w14:textId="77777777" w:rsidR="005972A7" w:rsidRDefault="00010302" w:rsidP="005972A7">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5972A7" w:rsidRPr="00FE75AD">
        <w:rPr>
          <w:sz w:val="22"/>
          <w:szCs w:val="22"/>
        </w:rPr>
        <w:t xml:space="preserve">Výber </w:t>
      </w:r>
      <w:r w:rsidR="005972A7">
        <w:rPr>
          <w:sz w:val="22"/>
          <w:szCs w:val="22"/>
        </w:rPr>
        <w:t>projektov na </w:t>
      </w:r>
      <w:r w:rsidR="005972A7" w:rsidRPr="00FE75AD">
        <w:rPr>
          <w:sz w:val="22"/>
          <w:szCs w:val="22"/>
        </w:rPr>
        <w:t>implementáci</w:t>
      </w:r>
      <w:r w:rsidR="005972A7">
        <w:rPr>
          <w:sz w:val="22"/>
          <w:szCs w:val="22"/>
        </w:rPr>
        <w:t xml:space="preserve">u bude rešpektovať </w:t>
      </w:r>
      <w:r w:rsidR="009B76DD">
        <w:rPr>
          <w:sz w:val="22"/>
          <w:szCs w:val="22"/>
        </w:rPr>
        <w:t>výstupy strategick</w:t>
      </w:r>
      <w:r w:rsidR="000060B9">
        <w:rPr>
          <w:sz w:val="22"/>
          <w:szCs w:val="22"/>
        </w:rPr>
        <w:t>ých dokumentov spracovaných pre </w:t>
      </w:r>
      <w:r w:rsidR="009B76DD">
        <w:rPr>
          <w:sz w:val="22"/>
          <w:szCs w:val="22"/>
        </w:rPr>
        <w:t>potreby programového obdobia</w:t>
      </w:r>
      <w:r w:rsidR="005564FD">
        <w:rPr>
          <w:sz w:val="22"/>
          <w:szCs w:val="22"/>
        </w:rPr>
        <w:t xml:space="preserve"> 2014 - 2020</w:t>
      </w:r>
      <w:r w:rsidR="009B76DD">
        <w:rPr>
          <w:sz w:val="22"/>
          <w:szCs w:val="22"/>
        </w:rPr>
        <w:t>, ako aj ich prípad</w:t>
      </w:r>
      <w:r w:rsidR="00DA4B38">
        <w:rPr>
          <w:sz w:val="22"/>
          <w:szCs w:val="22"/>
        </w:rPr>
        <w:t xml:space="preserve">né aktualizácie, ktoré </w:t>
      </w:r>
      <w:r w:rsidR="0095191D">
        <w:rPr>
          <w:sz w:val="22"/>
          <w:szCs w:val="22"/>
        </w:rPr>
        <w:t>zohľadňujú</w:t>
      </w:r>
      <w:r w:rsidR="009B76DD">
        <w:rPr>
          <w:sz w:val="22"/>
          <w:szCs w:val="22"/>
        </w:rPr>
        <w:t xml:space="preserve"> rezortné potreby v širš</w:t>
      </w:r>
      <w:r w:rsidR="00A26B61">
        <w:rPr>
          <w:sz w:val="22"/>
          <w:szCs w:val="22"/>
        </w:rPr>
        <w:t>om kontexte. Ide predovšetkým o </w:t>
      </w:r>
      <w:r w:rsidR="009B76DD">
        <w:rPr>
          <w:sz w:val="22"/>
          <w:szCs w:val="22"/>
        </w:rPr>
        <w:t xml:space="preserve">Strategický plán a Stratégiu </w:t>
      </w:r>
      <w:r w:rsidR="005A1A06">
        <w:rPr>
          <w:sz w:val="22"/>
          <w:szCs w:val="22"/>
        </w:rPr>
        <w:t>VOD</w:t>
      </w:r>
      <w:r w:rsidR="009B76DD">
        <w:rPr>
          <w:sz w:val="22"/>
          <w:szCs w:val="22"/>
        </w:rPr>
        <w:t>.</w:t>
      </w:r>
    </w:p>
    <w:p w14:paraId="5980ABA1" w14:textId="77777777" w:rsidR="005564FD" w:rsidRDefault="005564FD" w:rsidP="005564FD">
      <w:pPr>
        <w:tabs>
          <w:tab w:val="left" w:pos="540"/>
        </w:tabs>
        <w:spacing w:before="180"/>
        <w:jc w:val="both"/>
        <w:rPr>
          <w:sz w:val="22"/>
        </w:rPr>
      </w:pPr>
      <w:r w:rsidRPr="00A21DD4">
        <w:rPr>
          <w:sz w:val="22"/>
        </w:rPr>
        <w:t>V snahe o zabezpečenie efektívneho a transparentného procesu výber</w:t>
      </w:r>
      <w:r w:rsidR="00E97585" w:rsidRPr="00A21DD4">
        <w:rPr>
          <w:sz w:val="22"/>
        </w:rPr>
        <w:t>u projektov budú podporené iba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38452E9C" w14:textId="77777777" w:rsidR="002E4933" w:rsidRDefault="002E4933" w:rsidP="002E4933">
      <w:pPr>
        <w:spacing w:before="180"/>
        <w:jc w:val="both"/>
        <w:rPr>
          <w:sz w:val="22"/>
        </w:rPr>
      </w:pPr>
      <w:r w:rsidRPr="00B8623A">
        <w:rPr>
          <w:sz w:val="22"/>
        </w:rPr>
        <w:t>Všetky plánované projekty a projektové zámery PO 3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Závery stanoviska SEA OPII nenahrádzajú povinnosti/podmienky vyplývajúce zo smerníc EÚ pre dané plány a</w:t>
      </w:r>
      <w:r w:rsidR="002D1E44">
        <w:rPr>
          <w:sz w:val="22"/>
        </w:rPr>
        <w:t xml:space="preserve"> jednotlivé projekty. Plány a </w:t>
      </w:r>
      <w:r w:rsidRPr="00B8623A">
        <w:rPr>
          <w:sz w:val="22"/>
        </w:rPr>
        <w:t>konkrétne projekty zahrnuté do výsledného indikatívneho zoznamu OPII budú zodpovedať výsledkom všetkých relevantných posúdení v súlade s legislatívou EU a budú predmetom revízie OPII.</w:t>
      </w:r>
    </w:p>
    <w:p w14:paraId="5119D875" w14:textId="77777777" w:rsidR="00307AAF" w:rsidRDefault="00266DA8" w:rsidP="00ED7FB4">
      <w:pPr>
        <w:pStyle w:val="Nadpis4"/>
      </w:pPr>
      <w:r>
        <w:t>Plánované využitie finančných nástrojov</w:t>
      </w:r>
    </w:p>
    <w:p w14:paraId="6791ECC6"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0060B9">
        <w:rPr>
          <w:sz w:val="22"/>
          <w:szCs w:val="22"/>
        </w:rPr>
        <w:t>ajú adekvátne financovanie, pri </w:t>
      </w:r>
      <w:r w:rsidRPr="00203FA1">
        <w:rPr>
          <w:sz w:val="22"/>
          <w:szCs w:val="22"/>
        </w:rPr>
        <w:t>ktorom by ich realizácia bola efektívnou.</w:t>
      </w:r>
    </w:p>
    <w:p w14:paraId="643553D3" w14:textId="77777777" w:rsidR="00307AAF" w:rsidRDefault="00203FA1" w:rsidP="00307AAF">
      <w:pPr>
        <w:autoSpaceDE w:val="0"/>
        <w:autoSpaceDN w:val="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w:t>
      </w:r>
      <w:r w:rsidRPr="00182F14">
        <w:rPr>
          <w:sz w:val="22"/>
          <w:szCs w:val="22"/>
        </w:rPr>
        <w:lastRenderedPageBreak/>
        <w:t>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6CDDB511" w14:textId="77777777" w:rsidR="00307AAF" w:rsidRDefault="00266DA8" w:rsidP="0021312C">
      <w:pPr>
        <w:pStyle w:val="tl2"/>
      </w:pPr>
      <w:r>
        <w:t>Plánované využitie veľkých projektov</w:t>
      </w:r>
    </w:p>
    <w:p w14:paraId="10785134" w14:textId="77777777" w:rsidR="00266DA8" w:rsidRPr="007B3B80" w:rsidRDefault="00266DA8" w:rsidP="00266DA8">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p>
    <w:p w14:paraId="72CFED76" w14:textId="77777777" w:rsidR="00307AAF" w:rsidRDefault="00266DA8" w:rsidP="00ED7FB4">
      <w:pPr>
        <w:pStyle w:val="Nadpis4"/>
      </w:pPr>
      <w:r>
        <w:t>Ukazovatele výstupu na úrovni investičnej priority a kategórie regiónu</w:t>
      </w:r>
    </w:p>
    <w:p w14:paraId="2DD5C333" w14:textId="77777777" w:rsidR="00266DA8" w:rsidRPr="008C1732" w:rsidRDefault="00266DA8" w:rsidP="00266DA8">
      <w:pPr>
        <w:pStyle w:val="Tab"/>
      </w:pPr>
      <w:r>
        <w:t>Spoločné a špecifické ukazovatele výstupu</w:t>
      </w:r>
      <w:r w:rsidR="00E01D5B">
        <w:t xml:space="preserve"> investičnej priority 7</w:t>
      </w:r>
      <w:r w:rsidR="00D42D2B">
        <w:t>ii</w:t>
      </w:r>
      <w:r w:rsidR="00E01D5B">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266DA8" w14:paraId="32A8F66A" w14:textId="77777777" w:rsidTr="0095191D">
        <w:trPr>
          <w:trHeight w:val="487"/>
          <w:jc w:val="center"/>
        </w:trPr>
        <w:tc>
          <w:tcPr>
            <w:tcW w:w="578" w:type="dxa"/>
            <w:shd w:val="clear" w:color="auto" w:fill="C6D9F1" w:themeFill="text2" w:themeFillTint="33"/>
            <w:vAlign w:val="center"/>
          </w:tcPr>
          <w:p w14:paraId="7CAE54C3" w14:textId="77777777" w:rsidR="00266DA8" w:rsidRPr="008C1732" w:rsidRDefault="00AF56C3"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14:paraId="46F6C9DB" w14:textId="77777777" w:rsidR="00266DA8" w:rsidRPr="008C1732" w:rsidRDefault="00266DA8" w:rsidP="00350B96">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04AAAAB5" w14:textId="77777777" w:rsidR="00266DA8" w:rsidRPr="008C1732" w:rsidRDefault="00266DA8" w:rsidP="00350B96">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2263948F" w14:textId="77777777" w:rsidR="00266DA8" w:rsidRPr="008C1732" w:rsidRDefault="00266DA8" w:rsidP="00350B96">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6146EB45" w14:textId="77777777" w:rsidR="00266DA8" w:rsidRPr="008C1732" w:rsidRDefault="00266DA8" w:rsidP="00350B96">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78BC8E2E" w14:textId="77777777" w:rsidR="00266DA8" w:rsidRPr="008C1732" w:rsidRDefault="00266DA8" w:rsidP="00350B96">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74A76BED" w14:textId="77777777" w:rsidR="00266DA8" w:rsidRPr="008C1732" w:rsidRDefault="00266DA8" w:rsidP="00350B96">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55E44E9E" w14:textId="77777777" w:rsidR="00266DA8" w:rsidRPr="008C1732" w:rsidRDefault="00266DA8" w:rsidP="00350B96">
            <w:pPr>
              <w:ind w:left="0"/>
              <w:jc w:val="center"/>
              <w:rPr>
                <w:b/>
                <w:sz w:val="18"/>
                <w:szCs w:val="18"/>
              </w:rPr>
            </w:pPr>
            <w:r w:rsidRPr="008C1732">
              <w:rPr>
                <w:b/>
                <w:sz w:val="18"/>
                <w:szCs w:val="18"/>
              </w:rPr>
              <w:t>Frekvencia vykazovania</w:t>
            </w:r>
          </w:p>
        </w:tc>
      </w:tr>
      <w:tr w:rsidR="00266DA8" w14:paraId="42C9F333" w14:textId="77777777" w:rsidTr="0095191D">
        <w:trPr>
          <w:trHeight w:val="680"/>
          <w:jc w:val="center"/>
        </w:trPr>
        <w:tc>
          <w:tcPr>
            <w:tcW w:w="578" w:type="dxa"/>
            <w:shd w:val="clear" w:color="auto" w:fill="auto"/>
            <w:vAlign w:val="center"/>
          </w:tcPr>
          <w:p w14:paraId="17021362" w14:textId="77777777" w:rsidR="00266DA8" w:rsidRPr="00737ED2" w:rsidRDefault="00266DA8" w:rsidP="00017B79">
            <w:pPr>
              <w:ind w:left="0"/>
              <w:jc w:val="center"/>
              <w:rPr>
                <w:sz w:val="18"/>
                <w:szCs w:val="18"/>
              </w:rPr>
            </w:pPr>
            <w:r>
              <w:rPr>
                <w:sz w:val="18"/>
                <w:szCs w:val="18"/>
              </w:rPr>
              <w:t>1</w:t>
            </w:r>
            <w:r w:rsidRPr="00737ED2">
              <w:rPr>
                <w:sz w:val="18"/>
                <w:szCs w:val="18"/>
              </w:rPr>
              <w:t>.</w:t>
            </w:r>
          </w:p>
        </w:tc>
        <w:tc>
          <w:tcPr>
            <w:tcW w:w="2425" w:type="dxa"/>
            <w:shd w:val="clear" w:color="auto" w:fill="auto"/>
            <w:vAlign w:val="center"/>
          </w:tcPr>
          <w:p w14:paraId="45AE4608" w14:textId="77777777" w:rsidR="00266DA8" w:rsidRPr="00737ED2" w:rsidRDefault="00185512" w:rsidP="00017B79">
            <w:pPr>
              <w:ind w:left="0"/>
              <w:rPr>
                <w:sz w:val="18"/>
                <w:szCs w:val="18"/>
              </w:rPr>
            </w:pPr>
            <w:r w:rsidRPr="0009435A">
              <w:rPr>
                <w:sz w:val="18"/>
                <w:szCs w:val="18"/>
              </w:rPr>
              <w:t xml:space="preserve">Celková dĺžka nových alebo </w:t>
            </w:r>
            <w:r>
              <w:rPr>
                <w:sz w:val="18"/>
                <w:szCs w:val="18"/>
              </w:rPr>
              <w:t>zmodernizovaných</w:t>
            </w:r>
            <w:r w:rsidRPr="0009435A">
              <w:rPr>
                <w:sz w:val="18"/>
                <w:szCs w:val="18"/>
              </w:rPr>
              <w:t xml:space="preserve"> tratí </w:t>
            </w:r>
            <w:r>
              <w:rPr>
                <w:sz w:val="18"/>
                <w:szCs w:val="18"/>
              </w:rPr>
              <w:t xml:space="preserve">pre </w:t>
            </w:r>
            <w:r w:rsidRPr="0009435A">
              <w:rPr>
                <w:sz w:val="18"/>
                <w:szCs w:val="18"/>
              </w:rPr>
              <w:t>električky a</w:t>
            </w:r>
            <w:r>
              <w:rPr>
                <w:sz w:val="18"/>
                <w:szCs w:val="18"/>
              </w:rPr>
              <w:t>lebo</w:t>
            </w:r>
            <w:r w:rsidRPr="0009435A">
              <w:rPr>
                <w:sz w:val="18"/>
                <w:szCs w:val="18"/>
              </w:rPr>
              <w:t> metr</w:t>
            </w:r>
            <w:r>
              <w:rPr>
                <w:sz w:val="18"/>
                <w:szCs w:val="18"/>
              </w:rPr>
              <w:t>o</w:t>
            </w:r>
          </w:p>
        </w:tc>
        <w:tc>
          <w:tcPr>
            <w:tcW w:w="903" w:type="dxa"/>
            <w:shd w:val="clear" w:color="auto" w:fill="auto"/>
            <w:vAlign w:val="center"/>
          </w:tcPr>
          <w:p w14:paraId="49C179EC" w14:textId="77777777" w:rsidR="00266DA8" w:rsidRPr="004F0234" w:rsidRDefault="00266DA8" w:rsidP="00E01D5B">
            <w:pPr>
              <w:ind w:left="0"/>
              <w:jc w:val="center"/>
              <w:rPr>
                <w:i/>
                <w:sz w:val="18"/>
                <w:szCs w:val="18"/>
              </w:rPr>
            </w:pPr>
            <w:r w:rsidRPr="004F0234">
              <w:rPr>
                <w:i/>
                <w:sz w:val="18"/>
                <w:szCs w:val="18"/>
              </w:rPr>
              <w:t>km</w:t>
            </w:r>
          </w:p>
        </w:tc>
        <w:tc>
          <w:tcPr>
            <w:tcW w:w="621" w:type="dxa"/>
            <w:shd w:val="clear" w:color="auto" w:fill="auto"/>
            <w:vAlign w:val="center"/>
          </w:tcPr>
          <w:p w14:paraId="1E6F247C" w14:textId="77777777" w:rsidR="00266DA8" w:rsidRPr="004F0234" w:rsidRDefault="00266DA8" w:rsidP="00E01D5B">
            <w:pPr>
              <w:ind w:left="0"/>
              <w:jc w:val="center"/>
              <w:rPr>
                <w:i/>
                <w:sz w:val="18"/>
                <w:szCs w:val="18"/>
              </w:rPr>
            </w:pPr>
            <w:r w:rsidRPr="004F0234">
              <w:rPr>
                <w:i/>
                <w:sz w:val="18"/>
                <w:szCs w:val="18"/>
              </w:rPr>
              <w:t>KF</w:t>
            </w:r>
          </w:p>
        </w:tc>
        <w:tc>
          <w:tcPr>
            <w:tcW w:w="1229" w:type="dxa"/>
            <w:shd w:val="clear" w:color="auto" w:fill="auto"/>
            <w:vAlign w:val="center"/>
          </w:tcPr>
          <w:p w14:paraId="28D7630B" w14:textId="77777777" w:rsidR="00266DA8" w:rsidRPr="004F0234" w:rsidRDefault="00266DA8" w:rsidP="00E01D5B">
            <w:pPr>
              <w:ind w:left="0"/>
              <w:jc w:val="center"/>
              <w:rPr>
                <w:i/>
                <w:sz w:val="18"/>
                <w:szCs w:val="18"/>
              </w:rPr>
            </w:pPr>
            <w:r w:rsidRPr="004F0234">
              <w:rPr>
                <w:i/>
                <w:sz w:val="18"/>
                <w:szCs w:val="18"/>
              </w:rPr>
              <w:t>N/A</w:t>
            </w:r>
          </w:p>
        </w:tc>
        <w:tc>
          <w:tcPr>
            <w:tcW w:w="1253" w:type="dxa"/>
            <w:shd w:val="clear" w:color="auto" w:fill="auto"/>
            <w:vAlign w:val="center"/>
          </w:tcPr>
          <w:p w14:paraId="69FF6719" w14:textId="718AA3DD" w:rsidR="00266DA8" w:rsidRPr="004F0234" w:rsidRDefault="00E476DB" w:rsidP="00732F6D">
            <w:pPr>
              <w:ind w:left="0"/>
              <w:jc w:val="center"/>
              <w:rPr>
                <w:i/>
                <w:sz w:val="18"/>
                <w:szCs w:val="18"/>
              </w:rPr>
            </w:pPr>
            <w:r>
              <w:rPr>
                <w:i/>
                <w:sz w:val="18"/>
                <w:szCs w:val="18"/>
              </w:rPr>
              <w:t>18,5</w:t>
            </w:r>
          </w:p>
        </w:tc>
        <w:tc>
          <w:tcPr>
            <w:tcW w:w="1015" w:type="dxa"/>
            <w:vAlign w:val="center"/>
          </w:tcPr>
          <w:p w14:paraId="06231C94" w14:textId="77777777" w:rsidR="00266DA8" w:rsidRPr="004F0234" w:rsidRDefault="00266DA8" w:rsidP="00E01D5B">
            <w:pPr>
              <w:ind w:left="0"/>
              <w:jc w:val="center"/>
              <w:rPr>
                <w:i/>
                <w:sz w:val="18"/>
                <w:szCs w:val="18"/>
              </w:rPr>
            </w:pPr>
            <w:r w:rsidRPr="004F0234">
              <w:rPr>
                <w:i/>
                <w:sz w:val="18"/>
                <w:szCs w:val="18"/>
              </w:rPr>
              <w:t>RO OPII</w:t>
            </w:r>
          </w:p>
        </w:tc>
        <w:tc>
          <w:tcPr>
            <w:tcW w:w="1388" w:type="dxa"/>
            <w:vAlign w:val="center"/>
          </w:tcPr>
          <w:p w14:paraId="0C0BFBDD" w14:textId="77777777" w:rsidR="00266DA8" w:rsidRPr="004F0234" w:rsidRDefault="00266DA8" w:rsidP="00E01D5B">
            <w:pPr>
              <w:ind w:left="0"/>
              <w:jc w:val="center"/>
              <w:rPr>
                <w:i/>
                <w:sz w:val="18"/>
                <w:szCs w:val="18"/>
              </w:rPr>
            </w:pPr>
            <w:r>
              <w:rPr>
                <w:i/>
                <w:sz w:val="18"/>
                <w:szCs w:val="18"/>
              </w:rPr>
              <w:t>Ročne</w:t>
            </w:r>
          </w:p>
        </w:tc>
      </w:tr>
      <w:tr w:rsidR="00266DA8" w14:paraId="69BA3A0B" w14:textId="77777777" w:rsidTr="0095191D">
        <w:trPr>
          <w:trHeight w:val="680"/>
          <w:jc w:val="center"/>
        </w:trPr>
        <w:tc>
          <w:tcPr>
            <w:tcW w:w="578" w:type="dxa"/>
            <w:shd w:val="clear" w:color="auto" w:fill="auto"/>
            <w:vAlign w:val="center"/>
          </w:tcPr>
          <w:p w14:paraId="5883C1EB" w14:textId="77777777" w:rsidR="00266DA8" w:rsidRDefault="00266DA8" w:rsidP="00017B79">
            <w:pPr>
              <w:ind w:left="0"/>
              <w:jc w:val="center"/>
              <w:rPr>
                <w:sz w:val="18"/>
                <w:szCs w:val="18"/>
              </w:rPr>
            </w:pPr>
            <w:r>
              <w:rPr>
                <w:sz w:val="18"/>
                <w:szCs w:val="18"/>
              </w:rPr>
              <w:t>2.</w:t>
            </w:r>
          </w:p>
        </w:tc>
        <w:tc>
          <w:tcPr>
            <w:tcW w:w="2425" w:type="dxa"/>
            <w:shd w:val="clear" w:color="auto" w:fill="auto"/>
            <w:vAlign w:val="center"/>
          </w:tcPr>
          <w:p w14:paraId="51B33EC5" w14:textId="77777777" w:rsidR="00266DA8" w:rsidRPr="00737ED2" w:rsidRDefault="00185512" w:rsidP="00017B79">
            <w:pPr>
              <w:ind w:left="0"/>
              <w:rPr>
                <w:sz w:val="18"/>
                <w:szCs w:val="18"/>
              </w:rPr>
            </w:pPr>
            <w:r>
              <w:rPr>
                <w:sz w:val="18"/>
                <w:szCs w:val="18"/>
              </w:rPr>
              <w:t>Počet vybudovaných terminálov osobnej dopravy</w:t>
            </w:r>
          </w:p>
        </w:tc>
        <w:tc>
          <w:tcPr>
            <w:tcW w:w="903" w:type="dxa"/>
            <w:shd w:val="clear" w:color="auto" w:fill="auto"/>
            <w:vAlign w:val="center"/>
          </w:tcPr>
          <w:p w14:paraId="647BE2B5" w14:textId="77777777" w:rsidR="00266DA8" w:rsidRPr="004F0234" w:rsidRDefault="00185512" w:rsidP="00E01D5B">
            <w:pPr>
              <w:ind w:left="0"/>
              <w:jc w:val="center"/>
              <w:rPr>
                <w:i/>
                <w:sz w:val="18"/>
                <w:szCs w:val="18"/>
              </w:rPr>
            </w:pPr>
            <w:r>
              <w:rPr>
                <w:i/>
                <w:sz w:val="18"/>
                <w:szCs w:val="18"/>
              </w:rPr>
              <w:t>počet</w:t>
            </w:r>
          </w:p>
        </w:tc>
        <w:tc>
          <w:tcPr>
            <w:tcW w:w="621" w:type="dxa"/>
            <w:shd w:val="clear" w:color="auto" w:fill="auto"/>
            <w:vAlign w:val="center"/>
          </w:tcPr>
          <w:p w14:paraId="7FB51D1B" w14:textId="77777777" w:rsidR="00266DA8" w:rsidRPr="004F0234" w:rsidRDefault="00266DA8" w:rsidP="00E01D5B">
            <w:pPr>
              <w:ind w:left="0"/>
              <w:jc w:val="center"/>
              <w:rPr>
                <w:i/>
                <w:sz w:val="18"/>
                <w:szCs w:val="18"/>
              </w:rPr>
            </w:pPr>
            <w:r w:rsidRPr="004F0234">
              <w:rPr>
                <w:i/>
                <w:sz w:val="18"/>
                <w:szCs w:val="18"/>
              </w:rPr>
              <w:t>KF</w:t>
            </w:r>
          </w:p>
        </w:tc>
        <w:tc>
          <w:tcPr>
            <w:tcW w:w="1229" w:type="dxa"/>
            <w:shd w:val="clear" w:color="auto" w:fill="auto"/>
            <w:vAlign w:val="center"/>
          </w:tcPr>
          <w:p w14:paraId="622A8F77" w14:textId="77777777" w:rsidR="00266DA8" w:rsidRPr="004F0234" w:rsidRDefault="00266DA8" w:rsidP="00E01D5B">
            <w:pPr>
              <w:ind w:left="0"/>
              <w:jc w:val="center"/>
              <w:rPr>
                <w:i/>
                <w:sz w:val="18"/>
                <w:szCs w:val="18"/>
              </w:rPr>
            </w:pPr>
            <w:r w:rsidRPr="00F55678">
              <w:rPr>
                <w:i/>
                <w:sz w:val="18"/>
                <w:szCs w:val="18"/>
              </w:rPr>
              <w:t>N/A</w:t>
            </w:r>
          </w:p>
        </w:tc>
        <w:tc>
          <w:tcPr>
            <w:tcW w:w="1253" w:type="dxa"/>
            <w:shd w:val="clear" w:color="auto" w:fill="auto"/>
            <w:vAlign w:val="center"/>
          </w:tcPr>
          <w:p w14:paraId="15CEAF69" w14:textId="77777777" w:rsidR="00266DA8" w:rsidRPr="004F0234" w:rsidRDefault="000A60F9" w:rsidP="00E01D5B">
            <w:pPr>
              <w:ind w:left="0"/>
              <w:jc w:val="center"/>
              <w:rPr>
                <w:i/>
                <w:sz w:val="18"/>
                <w:szCs w:val="18"/>
              </w:rPr>
            </w:pPr>
            <w:r>
              <w:rPr>
                <w:i/>
                <w:sz w:val="18"/>
                <w:szCs w:val="18"/>
              </w:rPr>
              <w:t>8</w:t>
            </w:r>
          </w:p>
        </w:tc>
        <w:tc>
          <w:tcPr>
            <w:tcW w:w="1015" w:type="dxa"/>
            <w:vAlign w:val="center"/>
          </w:tcPr>
          <w:p w14:paraId="352C0731" w14:textId="77777777" w:rsidR="00266DA8" w:rsidRPr="004F0234" w:rsidRDefault="00266DA8" w:rsidP="00E01D5B">
            <w:pPr>
              <w:ind w:left="0"/>
              <w:jc w:val="center"/>
              <w:rPr>
                <w:i/>
                <w:sz w:val="18"/>
                <w:szCs w:val="18"/>
              </w:rPr>
            </w:pPr>
            <w:r w:rsidRPr="004F0234">
              <w:rPr>
                <w:i/>
                <w:sz w:val="18"/>
                <w:szCs w:val="18"/>
              </w:rPr>
              <w:t>RO OPII</w:t>
            </w:r>
          </w:p>
        </w:tc>
        <w:tc>
          <w:tcPr>
            <w:tcW w:w="1388" w:type="dxa"/>
            <w:vAlign w:val="center"/>
          </w:tcPr>
          <w:p w14:paraId="751CB78B" w14:textId="77777777" w:rsidR="00266DA8" w:rsidRPr="004F0234" w:rsidRDefault="00266DA8" w:rsidP="00E01D5B">
            <w:pPr>
              <w:ind w:left="0"/>
              <w:jc w:val="center"/>
              <w:rPr>
                <w:i/>
                <w:sz w:val="18"/>
                <w:szCs w:val="18"/>
              </w:rPr>
            </w:pPr>
            <w:r>
              <w:rPr>
                <w:i/>
                <w:sz w:val="18"/>
                <w:szCs w:val="18"/>
              </w:rPr>
              <w:t>Ročne</w:t>
            </w:r>
          </w:p>
        </w:tc>
      </w:tr>
      <w:tr w:rsidR="00185512" w14:paraId="34649991" w14:textId="77777777" w:rsidTr="0095191D">
        <w:trPr>
          <w:trHeight w:val="680"/>
          <w:jc w:val="center"/>
        </w:trPr>
        <w:tc>
          <w:tcPr>
            <w:tcW w:w="578" w:type="dxa"/>
            <w:shd w:val="clear" w:color="auto" w:fill="auto"/>
            <w:vAlign w:val="center"/>
          </w:tcPr>
          <w:p w14:paraId="28519D3A" w14:textId="77777777" w:rsidR="00185512" w:rsidRDefault="00185512" w:rsidP="00185512">
            <w:pPr>
              <w:ind w:left="0"/>
              <w:jc w:val="center"/>
              <w:rPr>
                <w:sz w:val="18"/>
                <w:szCs w:val="18"/>
              </w:rPr>
            </w:pPr>
            <w:r>
              <w:rPr>
                <w:sz w:val="18"/>
                <w:szCs w:val="18"/>
              </w:rPr>
              <w:t>3.</w:t>
            </w:r>
          </w:p>
        </w:tc>
        <w:tc>
          <w:tcPr>
            <w:tcW w:w="2425" w:type="dxa"/>
            <w:shd w:val="clear" w:color="auto" w:fill="auto"/>
            <w:vAlign w:val="center"/>
          </w:tcPr>
          <w:p w14:paraId="5E097CC1" w14:textId="77777777" w:rsidR="00F05093" w:rsidRDefault="00185512">
            <w:pPr>
              <w:ind w:left="0"/>
              <w:rPr>
                <w:sz w:val="18"/>
                <w:szCs w:val="18"/>
              </w:rPr>
            </w:pPr>
            <w:r>
              <w:rPr>
                <w:sz w:val="18"/>
                <w:szCs w:val="18"/>
              </w:rPr>
              <w:t xml:space="preserve">Počet </w:t>
            </w:r>
            <w:r w:rsidR="00F31C23">
              <w:rPr>
                <w:sz w:val="18"/>
                <w:szCs w:val="18"/>
              </w:rPr>
              <w:t xml:space="preserve">nových </w:t>
            </w:r>
            <w:r>
              <w:rPr>
                <w:sz w:val="18"/>
                <w:szCs w:val="18"/>
              </w:rPr>
              <w:t>mobilných prostriedkov dráhovej mestskej hromadnej dopravy (električky, trolejbusy)</w:t>
            </w:r>
            <w:r w:rsidR="00CE5DC6">
              <w:rPr>
                <w:sz w:val="18"/>
                <w:szCs w:val="18"/>
              </w:rPr>
              <w:t xml:space="preserve"> </w:t>
            </w:r>
            <w:r w:rsidR="00CE5DC6" w:rsidRPr="00A21DD4">
              <w:rPr>
                <w:sz w:val="18"/>
                <w:szCs w:val="18"/>
              </w:rPr>
              <w:t>vhodných tiež pre cestujúcich s obmedzenou mobilitou</w:t>
            </w:r>
          </w:p>
        </w:tc>
        <w:tc>
          <w:tcPr>
            <w:tcW w:w="903" w:type="dxa"/>
            <w:shd w:val="clear" w:color="auto" w:fill="auto"/>
            <w:vAlign w:val="center"/>
          </w:tcPr>
          <w:p w14:paraId="2D03EB48" w14:textId="77777777" w:rsidR="00185512" w:rsidRPr="004F0234" w:rsidRDefault="00185512" w:rsidP="00E01D5B">
            <w:pPr>
              <w:ind w:left="0"/>
              <w:jc w:val="center"/>
              <w:rPr>
                <w:i/>
                <w:sz w:val="18"/>
                <w:szCs w:val="18"/>
              </w:rPr>
            </w:pPr>
            <w:r>
              <w:rPr>
                <w:i/>
                <w:sz w:val="18"/>
                <w:szCs w:val="18"/>
              </w:rPr>
              <w:t>počet</w:t>
            </w:r>
          </w:p>
        </w:tc>
        <w:tc>
          <w:tcPr>
            <w:tcW w:w="621" w:type="dxa"/>
            <w:shd w:val="clear" w:color="auto" w:fill="auto"/>
            <w:vAlign w:val="center"/>
          </w:tcPr>
          <w:p w14:paraId="0A65E39B" w14:textId="77777777" w:rsidR="00185512" w:rsidRPr="004F0234" w:rsidRDefault="00185512" w:rsidP="00E01D5B">
            <w:pPr>
              <w:ind w:left="0"/>
              <w:jc w:val="center"/>
              <w:rPr>
                <w:i/>
                <w:sz w:val="18"/>
                <w:szCs w:val="18"/>
              </w:rPr>
            </w:pPr>
            <w:r w:rsidRPr="004F0234">
              <w:rPr>
                <w:i/>
                <w:sz w:val="18"/>
                <w:szCs w:val="18"/>
              </w:rPr>
              <w:t>KF</w:t>
            </w:r>
          </w:p>
        </w:tc>
        <w:tc>
          <w:tcPr>
            <w:tcW w:w="1229" w:type="dxa"/>
            <w:shd w:val="clear" w:color="auto" w:fill="auto"/>
            <w:vAlign w:val="center"/>
          </w:tcPr>
          <w:p w14:paraId="01D95880" w14:textId="77777777" w:rsidR="00185512" w:rsidRPr="00F55678" w:rsidRDefault="00185512" w:rsidP="00E01D5B">
            <w:pPr>
              <w:ind w:left="0"/>
              <w:jc w:val="center"/>
              <w:rPr>
                <w:i/>
                <w:sz w:val="18"/>
                <w:szCs w:val="18"/>
              </w:rPr>
            </w:pPr>
            <w:r w:rsidRPr="00F55678">
              <w:rPr>
                <w:i/>
                <w:sz w:val="18"/>
                <w:szCs w:val="18"/>
              </w:rPr>
              <w:t>N/A</w:t>
            </w:r>
          </w:p>
        </w:tc>
        <w:tc>
          <w:tcPr>
            <w:tcW w:w="1253" w:type="dxa"/>
            <w:shd w:val="clear" w:color="auto" w:fill="auto"/>
            <w:vAlign w:val="center"/>
          </w:tcPr>
          <w:p w14:paraId="0A24D9E8" w14:textId="77777777" w:rsidR="00185512" w:rsidRDefault="0041209B" w:rsidP="00E01D5B">
            <w:pPr>
              <w:ind w:left="0"/>
              <w:jc w:val="center"/>
              <w:rPr>
                <w:i/>
                <w:sz w:val="18"/>
                <w:szCs w:val="18"/>
              </w:rPr>
            </w:pPr>
            <w:r>
              <w:rPr>
                <w:i/>
                <w:sz w:val="18"/>
                <w:szCs w:val="18"/>
              </w:rPr>
              <w:t>78</w:t>
            </w:r>
          </w:p>
        </w:tc>
        <w:tc>
          <w:tcPr>
            <w:tcW w:w="1015" w:type="dxa"/>
            <w:vAlign w:val="center"/>
          </w:tcPr>
          <w:p w14:paraId="42C83DA0" w14:textId="77777777" w:rsidR="00185512" w:rsidRPr="004F0234" w:rsidRDefault="00185512" w:rsidP="00E01D5B">
            <w:pPr>
              <w:ind w:left="0"/>
              <w:jc w:val="center"/>
              <w:rPr>
                <w:i/>
                <w:sz w:val="18"/>
                <w:szCs w:val="18"/>
              </w:rPr>
            </w:pPr>
            <w:r w:rsidRPr="004F0234">
              <w:rPr>
                <w:i/>
                <w:sz w:val="18"/>
                <w:szCs w:val="18"/>
              </w:rPr>
              <w:t>RO OPII</w:t>
            </w:r>
          </w:p>
        </w:tc>
        <w:tc>
          <w:tcPr>
            <w:tcW w:w="1388" w:type="dxa"/>
            <w:vAlign w:val="center"/>
          </w:tcPr>
          <w:p w14:paraId="16F0F145" w14:textId="77777777" w:rsidR="00185512" w:rsidRPr="004F0234" w:rsidRDefault="00185512" w:rsidP="00E01D5B">
            <w:pPr>
              <w:ind w:left="0"/>
              <w:jc w:val="center"/>
              <w:rPr>
                <w:i/>
                <w:sz w:val="18"/>
                <w:szCs w:val="18"/>
              </w:rPr>
            </w:pPr>
            <w:r>
              <w:rPr>
                <w:i/>
                <w:sz w:val="18"/>
                <w:szCs w:val="18"/>
              </w:rPr>
              <w:t>Ročne</w:t>
            </w:r>
          </w:p>
        </w:tc>
      </w:tr>
    </w:tbl>
    <w:p w14:paraId="12641DAE" w14:textId="77777777" w:rsidR="00307AAF" w:rsidRDefault="00266DA8" w:rsidP="00ED7FB4">
      <w:pPr>
        <w:pStyle w:val="Nadpis3"/>
      </w:pPr>
      <w:bookmarkStart w:id="40" w:name="_Toc28951602"/>
      <w:r>
        <w:t>Výkonnostný rámec prioritnej osi</w:t>
      </w:r>
      <w:bookmarkEnd w:id="40"/>
    </w:p>
    <w:p w14:paraId="25D3530F" w14:textId="77777777" w:rsidR="00266DA8" w:rsidRPr="007B3B80" w:rsidRDefault="00266DA8" w:rsidP="00266DA8">
      <w:pPr>
        <w:pStyle w:val="Tab"/>
      </w:pPr>
      <w:r>
        <w:t>Vý</w:t>
      </w:r>
      <w:r w:rsidR="00860E18">
        <w:t>konnostný rámec Prioritnej osi 3</w:t>
      </w:r>
    </w:p>
    <w:tbl>
      <w:tblPr>
        <w:tblStyle w:val="Mriekatabuky"/>
        <w:tblW w:w="974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86"/>
        <w:gridCol w:w="897"/>
        <w:gridCol w:w="617"/>
        <w:gridCol w:w="986"/>
        <w:gridCol w:w="987"/>
        <w:gridCol w:w="846"/>
        <w:gridCol w:w="747"/>
        <w:gridCol w:w="1233"/>
      </w:tblGrid>
      <w:tr w:rsidR="00266DA8" w14:paraId="676EF88A" w14:textId="77777777" w:rsidTr="00C72C35">
        <w:trPr>
          <w:trHeight w:val="340"/>
          <w:jc w:val="center"/>
        </w:trPr>
        <w:tc>
          <w:tcPr>
            <w:tcW w:w="1476" w:type="dxa"/>
            <w:shd w:val="clear" w:color="auto" w:fill="C6D9F1" w:themeFill="text2" w:themeFillTint="33"/>
          </w:tcPr>
          <w:p w14:paraId="37263ECA" w14:textId="77777777" w:rsidR="00266DA8" w:rsidRPr="008C1732" w:rsidRDefault="00266DA8" w:rsidP="00017B79">
            <w:pPr>
              <w:ind w:left="0"/>
              <w:rPr>
                <w:b/>
                <w:sz w:val="18"/>
                <w:szCs w:val="18"/>
              </w:rPr>
            </w:pPr>
            <w:r w:rsidRPr="008C1732">
              <w:rPr>
                <w:b/>
                <w:sz w:val="18"/>
                <w:szCs w:val="18"/>
              </w:rPr>
              <w:t>Typ ukazovateľa</w:t>
            </w:r>
          </w:p>
          <w:p w14:paraId="5143AB24" w14:textId="77777777" w:rsidR="00266DA8" w:rsidRPr="008C1732" w:rsidRDefault="00266DA8" w:rsidP="00017B79">
            <w:pPr>
              <w:ind w:left="0"/>
              <w:rPr>
                <w:b/>
                <w:sz w:val="18"/>
                <w:szCs w:val="18"/>
              </w:rPr>
            </w:pPr>
          </w:p>
          <w:p w14:paraId="2C09632A" w14:textId="77777777" w:rsidR="00266DA8" w:rsidRPr="008C1732" w:rsidRDefault="00266DA8"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7F2E08FD" w14:textId="77777777" w:rsidR="00266DA8" w:rsidRPr="008C1732" w:rsidRDefault="00AF56C3" w:rsidP="00017B79">
            <w:pPr>
              <w:ind w:left="0"/>
              <w:rPr>
                <w:b/>
                <w:sz w:val="18"/>
                <w:szCs w:val="18"/>
              </w:rPr>
            </w:pPr>
            <w:r>
              <w:rPr>
                <w:b/>
                <w:sz w:val="18"/>
                <w:szCs w:val="18"/>
              </w:rPr>
              <w:t>P.</w:t>
            </w:r>
            <w:r w:rsidR="003D6170">
              <w:rPr>
                <w:b/>
                <w:sz w:val="18"/>
                <w:szCs w:val="18"/>
              </w:rPr>
              <w:t xml:space="preserve"> </w:t>
            </w:r>
            <w:r>
              <w:rPr>
                <w:b/>
                <w:sz w:val="18"/>
                <w:szCs w:val="18"/>
              </w:rPr>
              <w:t>č.</w:t>
            </w:r>
          </w:p>
        </w:tc>
        <w:tc>
          <w:tcPr>
            <w:tcW w:w="1586" w:type="dxa"/>
            <w:shd w:val="clear" w:color="auto" w:fill="C6D9F1" w:themeFill="text2" w:themeFillTint="33"/>
          </w:tcPr>
          <w:p w14:paraId="241BBDBC" w14:textId="77777777" w:rsidR="00266DA8" w:rsidRPr="008C1732" w:rsidRDefault="00266DA8"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574A9775" w14:textId="77777777" w:rsidR="00266DA8" w:rsidRPr="008C1732" w:rsidRDefault="00266DA8" w:rsidP="00017B79">
            <w:pPr>
              <w:ind w:left="0"/>
              <w:rPr>
                <w:b/>
                <w:sz w:val="18"/>
                <w:szCs w:val="18"/>
              </w:rPr>
            </w:pPr>
            <w:r w:rsidRPr="008C1732">
              <w:rPr>
                <w:b/>
                <w:sz w:val="18"/>
                <w:szCs w:val="18"/>
              </w:rPr>
              <w:t>Merná jednotka</w:t>
            </w:r>
          </w:p>
        </w:tc>
        <w:tc>
          <w:tcPr>
            <w:tcW w:w="617" w:type="dxa"/>
            <w:shd w:val="clear" w:color="auto" w:fill="C6D9F1" w:themeFill="text2" w:themeFillTint="33"/>
          </w:tcPr>
          <w:p w14:paraId="63A14C40" w14:textId="77777777" w:rsidR="00266DA8" w:rsidRPr="008C1732" w:rsidRDefault="00266DA8" w:rsidP="00017B79">
            <w:pPr>
              <w:ind w:left="0"/>
              <w:rPr>
                <w:b/>
                <w:sz w:val="18"/>
                <w:szCs w:val="18"/>
              </w:rPr>
            </w:pPr>
            <w:r w:rsidRPr="008C1732">
              <w:rPr>
                <w:b/>
                <w:sz w:val="18"/>
                <w:szCs w:val="18"/>
              </w:rPr>
              <w:t>Fond</w:t>
            </w:r>
          </w:p>
        </w:tc>
        <w:tc>
          <w:tcPr>
            <w:tcW w:w="986" w:type="dxa"/>
            <w:shd w:val="clear" w:color="auto" w:fill="C6D9F1" w:themeFill="text2" w:themeFillTint="33"/>
          </w:tcPr>
          <w:p w14:paraId="3DF730E8" w14:textId="77777777" w:rsidR="00266DA8" w:rsidRPr="008C1732" w:rsidRDefault="00266DA8" w:rsidP="00017B79">
            <w:pPr>
              <w:ind w:left="0"/>
              <w:rPr>
                <w:b/>
                <w:sz w:val="18"/>
                <w:szCs w:val="18"/>
              </w:rPr>
            </w:pPr>
            <w:r w:rsidRPr="008C1732">
              <w:rPr>
                <w:b/>
                <w:sz w:val="18"/>
                <w:szCs w:val="18"/>
              </w:rPr>
              <w:t>Kategória regiónu</w:t>
            </w:r>
          </w:p>
        </w:tc>
        <w:tc>
          <w:tcPr>
            <w:tcW w:w="987" w:type="dxa"/>
            <w:shd w:val="clear" w:color="auto" w:fill="C6D9F1" w:themeFill="text2" w:themeFillTint="33"/>
          </w:tcPr>
          <w:p w14:paraId="4F1BFF35" w14:textId="77777777" w:rsidR="00266DA8" w:rsidRPr="008C1732" w:rsidRDefault="00266DA8" w:rsidP="00017B79">
            <w:pPr>
              <w:ind w:left="0"/>
              <w:rPr>
                <w:b/>
                <w:sz w:val="18"/>
                <w:szCs w:val="18"/>
              </w:rPr>
            </w:pPr>
            <w:r w:rsidRPr="008C1732">
              <w:rPr>
                <w:b/>
                <w:sz w:val="18"/>
                <w:szCs w:val="18"/>
              </w:rPr>
              <w:t>Čiastkový cieľ pre rok 2018</w:t>
            </w:r>
          </w:p>
        </w:tc>
        <w:tc>
          <w:tcPr>
            <w:tcW w:w="846" w:type="dxa"/>
            <w:shd w:val="clear" w:color="auto" w:fill="C6D9F1" w:themeFill="text2" w:themeFillTint="33"/>
          </w:tcPr>
          <w:p w14:paraId="001A86AC" w14:textId="77777777" w:rsidR="00266DA8" w:rsidRPr="008C1732" w:rsidRDefault="00266DA8" w:rsidP="00017B79">
            <w:pPr>
              <w:ind w:left="0"/>
              <w:rPr>
                <w:b/>
                <w:sz w:val="18"/>
                <w:szCs w:val="18"/>
              </w:rPr>
            </w:pPr>
            <w:r w:rsidRPr="008C1732">
              <w:rPr>
                <w:b/>
                <w:sz w:val="18"/>
                <w:szCs w:val="18"/>
              </w:rPr>
              <w:t>Zámer</w:t>
            </w:r>
          </w:p>
          <w:p w14:paraId="14AD35FA" w14:textId="77777777" w:rsidR="00266DA8" w:rsidRPr="008C1732" w:rsidRDefault="00266DA8" w:rsidP="00017B79">
            <w:pPr>
              <w:ind w:left="0"/>
              <w:rPr>
                <w:b/>
                <w:sz w:val="18"/>
                <w:szCs w:val="18"/>
              </w:rPr>
            </w:pPr>
            <w:r w:rsidRPr="008C1732">
              <w:rPr>
                <w:b/>
                <w:sz w:val="18"/>
                <w:szCs w:val="18"/>
              </w:rPr>
              <w:t>(2023)</w:t>
            </w:r>
          </w:p>
        </w:tc>
        <w:tc>
          <w:tcPr>
            <w:tcW w:w="747" w:type="dxa"/>
            <w:shd w:val="clear" w:color="auto" w:fill="C6D9F1" w:themeFill="text2" w:themeFillTint="33"/>
          </w:tcPr>
          <w:p w14:paraId="53FC61DB" w14:textId="77777777" w:rsidR="00266DA8" w:rsidRPr="008C1732" w:rsidRDefault="00266DA8" w:rsidP="00017B79">
            <w:pPr>
              <w:ind w:left="0"/>
              <w:rPr>
                <w:b/>
                <w:sz w:val="18"/>
                <w:szCs w:val="18"/>
              </w:rPr>
            </w:pPr>
            <w:r w:rsidRPr="008C1732">
              <w:rPr>
                <w:b/>
                <w:sz w:val="18"/>
                <w:szCs w:val="18"/>
              </w:rPr>
              <w:t>Zdroj údajov</w:t>
            </w:r>
          </w:p>
        </w:tc>
        <w:tc>
          <w:tcPr>
            <w:tcW w:w="1233" w:type="dxa"/>
            <w:shd w:val="clear" w:color="auto" w:fill="C6D9F1" w:themeFill="text2" w:themeFillTint="33"/>
          </w:tcPr>
          <w:p w14:paraId="1442F2F2" w14:textId="77777777" w:rsidR="00266DA8" w:rsidRPr="008C1732" w:rsidRDefault="00266DA8" w:rsidP="00017B79">
            <w:pPr>
              <w:ind w:left="0"/>
              <w:rPr>
                <w:b/>
                <w:sz w:val="18"/>
                <w:szCs w:val="18"/>
              </w:rPr>
            </w:pPr>
            <w:r w:rsidRPr="008C1732">
              <w:rPr>
                <w:b/>
                <w:sz w:val="18"/>
                <w:szCs w:val="18"/>
              </w:rPr>
              <w:t>Zdôvodnenie výberu ukazovateľa</w:t>
            </w:r>
          </w:p>
        </w:tc>
      </w:tr>
      <w:tr w:rsidR="00266DA8" w14:paraId="2E843CBF" w14:textId="77777777" w:rsidTr="00C72C35">
        <w:trPr>
          <w:trHeight w:val="454"/>
          <w:jc w:val="center"/>
        </w:trPr>
        <w:tc>
          <w:tcPr>
            <w:tcW w:w="1476" w:type="dxa"/>
            <w:vAlign w:val="center"/>
          </w:tcPr>
          <w:p w14:paraId="2741C30A" w14:textId="77777777" w:rsidR="00266DA8" w:rsidRPr="00D9570C" w:rsidRDefault="00266DA8" w:rsidP="005139F6">
            <w:pPr>
              <w:ind w:left="0"/>
              <w:rPr>
                <w:i/>
                <w:sz w:val="18"/>
                <w:szCs w:val="18"/>
              </w:rPr>
            </w:pPr>
            <w:r w:rsidRPr="00D9570C">
              <w:rPr>
                <w:i/>
                <w:sz w:val="18"/>
                <w:szCs w:val="18"/>
              </w:rPr>
              <w:t>výstupový ukazovateľ</w:t>
            </w:r>
          </w:p>
        </w:tc>
        <w:tc>
          <w:tcPr>
            <w:tcW w:w="371" w:type="dxa"/>
          </w:tcPr>
          <w:p w14:paraId="20E4289B" w14:textId="77777777" w:rsidR="00266DA8" w:rsidRPr="00D9570C" w:rsidRDefault="00266DA8" w:rsidP="00017B79">
            <w:pPr>
              <w:rPr>
                <w:sz w:val="18"/>
                <w:szCs w:val="18"/>
              </w:rPr>
            </w:pPr>
          </w:p>
        </w:tc>
        <w:tc>
          <w:tcPr>
            <w:tcW w:w="1586" w:type="dxa"/>
            <w:vAlign w:val="center"/>
          </w:tcPr>
          <w:p w14:paraId="6BF69135" w14:textId="77777777" w:rsidR="00266DA8" w:rsidRPr="00D9570C" w:rsidRDefault="00860E18" w:rsidP="00017B79">
            <w:pPr>
              <w:ind w:left="0"/>
              <w:rPr>
                <w:sz w:val="18"/>
                <w:szCs w:val="18"/>
              </w:rPr>
            </w:pPr>
            <w:r w:rsidRPr="00DA54CE">
              <w:rPr>
                <w:sz w:val="18"/>
                <w:szCs w:val="18"/>
              </w:rPr>
              <w:t>Celková dĺžka nových alebo zmodernizovaných tratí pre električky alebo metro</w:t>
            </w:r>
          </w:p>
        </w:tc>
        <w:tc>
          <w:tcPr>
            <w:tcW w:w="897" w:type="dxa"/>
            <w:vAlign w:val="center"/>
          </w:tcPr>
          <w:p w14:paraId="6D2D825B" w14:textId="77777777" w:rsidR="00266DA8" w:rsidRPr="00D9570C" w:rsidRDefault="00266DA8" w:rsidP="005139F6">
            <w:pPr>
              <w:ind w:left="0"/>
              <w:jc w:val="center"/>
              <w:rPr>
                <w:i/>
                <w:sz w:val="18"/>
                <w:szCs w:val="18"/>
              </w:rPr>
            </w:pPr>
            <w:r w:rsidRPr="00D9570C">
              <w:rPr>
                <w:i/>
                <w:sz w:val="18"/>
                <w:szCs w:val="18"/>
              </w:rPr>
              <w:t>km</w:t>
            </w:r>
          </w:p>
        </w:tc>
        <w:tc>
          <w:tcPr>
            <w:tcW w:w="617" w:type="dxa"/>
            <w:vAlign w:val="center"/>
          </w:tcPr>
          <w:p w14:paraId="05EED0AD" w14:textId="77777777" w:rsidR="00266DA8" w:rsidRPr="00D9570C" w:rsidRDefault="00266DA8" w:rsidP="005139F6">
            <w:pPr>
              <w:ind w:left="0"/>
              <w:jc w:val="center"/>
              <w:rPr>
                <w:i/>
                <w:sz w:val="18"/>
                <w:szCs w:val="18"/>
              </w:rPr>
            </w:pPr>
            <w:r w:rsidRPr="00D9570C">
              <w:rPr>
                <w:i/>
                <w:sz w:val="18"/>
                <w:szCs w:val="18"/>
              </w:rPr>
              <w:t>KF</w:t>
            </w:r>
          </w:p>
        </w:tc>
        <w:tc>
          <w:tcPr>
            <w:tcW w:w="986" w:type="dxa"/>
            <w:vAlign w:val="center"/>
          </w:tcPr>
          <w:p w14:paraId="35C83AD0" w14:textId="77777777" w:rsidR="00266DA8" w:rsidRPr="00D9570C" w:rsidRDefault="00266DA8" w:rsidP="005139F6">
            <w:pPr>
              <w:ind w:left="0"/>
              <w:jc w:val="center"/>
              <w:rPr>
                <w:i/>
                <w:sz w:val="18"/>
                <w:szCs w:val="18"/>
              </w:rPr>
            </w:pPr>
            <w:r w:rsidRPr="00D9570C">
              <w:rPr>
                <w:i/>
                <w:sz w:val="18"/>
                <w:szCs w:val="18"/>
              </w:rPr>
              <w:t>N/A</w:t>
            </w:r>
          </w:p>
        </w:tc>
        <w:tc>
          <w:tcPr>
            <w:tcW w:w="987" w:type="dxa"/>
            <w:vAlign w:val="center"/>
          </w:tcPr>
          <w:p w14:paraId="5D851FB8" w14:textId="703211FB" w:rsidR="00266DA8" w:rsidRPr="00D9570C" w:rsidRDefault="00392D97" w:rsidP="00B80579">
            <w:pPr>
              <w:ind w:left="0"/>
              <w:jc w:val="center"/>
              <w:rPr>
                <w:i/>
                <w:sz w:val="18"/>
                <w:szCs w:val="18"/>
              </w:rPr>
            </w:pPr>
            <w:r>
              <w:rPr>
                <w:i/>
                <w:sz w:val="18"/>
                <w:szCs w:val="18"/>
              </w:rPr>
              <w:t>7,9</w:t>
            </w:r>
          </w:p>
        </w:tc>
        <w:tc>
          <w:tcPr>
            <w:tcW w:w="846" w:type="dxa"/>
            <w:vAlign w:val="center"/>
          </w:tcPr>
          <w:p w14:paraId="571EADBC" w14:textId="399B2CE4" w:rsidR="00266DA8" w:rsidRPr="00D9570C" w:rsidRDefault="00E476DB" w:rsidP="00B80579">
            <w:pPr>
              <w:ind w:left="0"/>
              <w:jc w:val="center"/>
              <w:rPr>
                <w:i/>
                <w:sz w:val="18"/>
                <w:szCs w:val="18"/>
              </w:rPr>
            </w:pPr>
            <w:r>
              <w:rPr>
                <w:i/>
                <w:sz w:val="18"/>
                <w:szCs w:val="18"/>
              </w:rPr>
              <w:t>18,5</w:t>
            </w:r>
          </w:p>
        </w:tc>
        <w:tc>
          <w:tcPr>
            <w:tcW w:w="747" w:type="dxa"/>
            <w:vAlign w:val="center"/>
          </w:tcPr>
          <w:p w14:paraId="4EFBE19C" w14:textId="77777777" w:rsidR="00266DA8" w:rsidRPr="00D9570C" w:rsidRDefault="00266DA8" w:rsidP="005139F6">
            <w:pPr>
              <w:ind w:left="0"/>
              <w:jc w:val="center"/>
              <w:rPr>
                <w:i/>
                <w:sz w:val="18"/>
                <w:szCs w:val="18"/>
              </w:rPr>
            </w:pPr>
            <w:r w:rsidRPr="00D9570C">
              <w:rPr>
                <w:i/>
                <w:sz w:val="18"/>
                <w:szCs w:val="18"/>
              </w:rPr>
              <w:t>RO OPII</w:t>
            </w:r>
          </w:p>
        </w:tc>
        <w:tc>
          <w:tcPr>
            <w:tcW w:w="1233" w:type="dxa"/>
            <w:vAlign w:val="center"/>
          </w:tcPr>
          <w:p w14:paraId="300AEF1F" w14:textId="77777777" w:rsidR="00266DA8" w:rsidRPr="00D9570C" w:rsidRDefault="0060467A" w:rsidP="005139F6">
            <w:pPr>
              <w:ind w:left="0"/>
              <w:jc w:val="center"/>
              <w:rPr>
                <w:i/>
                <w:sz w:val="18"/>
                <w:szCs w:val="18"/>
              </w:rPr>
            </w:pPr>
            <w:r w:rsidRPr="00FB1EAB">
              <w:rPr>
                <w:i/>
                <w:sz w:val="18"/>
                <w:szCs w:val="18"/>
              </w:rPr>
              <w:t>Nosná investičná aktivita v rámci PO</w:t>
            </w:r>
            <w:r>
              <w:rPr>
                <w:i/>
                <w:sz w:val="18"/>
                <w:szCs w:val="18"/>
              </w:rPr>
              <w:t>3</w:t>
            </w:r>
          </w:p>
        </w:tc>
      </w:tr>
      <w:tr w:rsidR="00266DA8" w14:paraId="54FA37B0" w14:textId="77777777" w:rsidTr="00C72C35">
        <w:trPr>
          <w:trHeight w:val="454"/>
          <w:jc w:val="center"/>
        </w:trPr>
        <w:tc>
          <w:tcPr>
            <w:tcW w:w="1476" w:type="dxa"/>
            <w:vAlign w:val="center"/>
          </w:tcPr>
          <w:p w14:paraId="221B45FA" w14:textId="77777777" w:rsidR="00266DA8" w:rsidRPr="00D9570C" w:rsidRDefault="00266DA8" w:rsidP="005139F6">
            <w:pPr>
              <w:ind w:left="0"/>
              <w:rPr>
                <w:sz w:val="18"/>
                <w:szCs w:val="18"/>
              </w:rPr>
            </w:pPr>
            <w:r w:rsidRPr="00D9570C">
              <w:rPr>
                <w:i/>
                <w:sz w:val="18"/>
                <w:szCs w:val="18"/>
              </w:rPr>
              <w:t xml:space="preserve"> finančný ukazovateľ</w:t>
            </w:r>
          </w:p>
        </w:tc>
        <w:tc>
          <w:tcPr>
            <w:tcW w:w="371" w:type="dxa"/>
          </w:tcPr>
          <w:p w14:paraId="0B585274" w14:textId="77777777" w:rsidR="00266DA8" w:rsidRPr="00D9570C" w:rsidRDefault="00266DA8" w:rsidP="00017B79">
            <w:pPr>
              <w:rPr>
                <w:sz w:val="18"/>
                <w:szCs w:val="18"/>
              </w:rPr>
            </w:pPr>
          </w:p>
        </w:tc>
        <w:tc>
          <w:tcPr>
            <w:tcW w:w="1586" w:type="dxa"/>
            <w:vAlign w:val="center"/>
          </w:tcPr>
          <w:p w14:paraId="565FDC52" w14:textId="435BAA90" w:rsidR="00266DA8" w:rsidRPr="00D9570C" w:rsidRDefault="00063472" w:rsidP="00017B79">
            <w:pPr>
              <w:ind w:left="0"/>
              <w:rPr>
                <w:sz w:val="18"/>
                <w:szCs w:val="18"/>
              </w:rPr>
            </w:pPr>
            <w:r w:rsidRPr="00063472">
              <w:rPr>
                <w:sz w:val="18"/>
                <w:szCs w:val="18"/>
              </w:rPr>
              <w:t>Celková suma oprávnených výdavkov po ich certifikácii certifikačným orgánom</w:t>
            </w:r>
            <w:r w:rsidR="00DF0231">
              <w:rPr>
                <w:sz w:val="18"/>
                <w:szCs w:val="18"/>
              </w:rPr>
              <w:t xml:space="preserve"> a predložení žiadostí o platby Európskej komisii</w:t>
            </w:r>
          </w:p>
        </w:tc>
        <w:tc>
          <w:tcPr>
            <w:tcW w:w="897" w:type="dxa"/>
            <w:vAlign w:val="center"/>
          </w:tcPr>
          <w:p w14:paraId="369407C3" w14:textId="77777777" w:rsidR="00266DA8" w:rsidRPr="00D9570C" w:rsidRDefault="00A84867" w:rsidP="005139F6">
            <w:pPr>
              <w:ind w:left="0"/>
              <w:jc w:val="center"/>
              <w:rPr>
                <w:i/>
                <w:sz w:val="18"/>
                <w:szCs w:val="18"/>
              </w:rPr>
            </w:pPr>
            <w:r>
              <w:rPr>
                <w:i/>
                <w:sz w:val="18"/>
                <w:szCs w:val="18"/>
              </w:rPr>
              <w:t>EUR</w:t>
            </w:r>
          </w:p>
        </w:tc>
        <w:tc>
          <w:tcPr>
            <w:tcW w:w="617" w:type="dxa"/>
            <w:vAlign w:val="center"/>
          </w:tcPr>
          <w:p w14:paraId="67FA92BD" w14:textId="77777777" w:rsidR="00266DA8" w:rsidRPr="00D9570C" w:rsidRDefault="00266DA8" w:rsidP="005139F6">
            <w:pPr>
              <w:ind w:left="0"/>
              <w:jc w:val="center"/>
              <w:rPr>
                <w:i/>
                <w:sz w:val="18"/>
                <w:szCs w:val="18"/>
              </w:rPr>
            </w:pPr>
            <w:r w:rsidRPr="00D9570C">
              <w:rPr>
                <w:i/>
                <w:sz w:val="18"/>
                <w:szCs w:val="18"/>
              </w:rPr>
              <w:t>KF</w:t>
            </w:r>
          </w:p>
        </w:tc>
        <w:tc>
          <w:tcPr>
            <w:tcW w:w="986" w:type="dxa"/>
            <w:vAlign w:val="center"/>
          </w:tcPr>
          <w:p w14:paraId="12DC40C4" w14:textId="77777777" w:rsidR="00266DA8" w:rsidRPr="00D9570C" w:rsidRDefault="00266DA8" w:rsidP="005139F6">
            <w:pPr>
              <w:ind w:left="0"/>
              <w:jc w:val="center"/>
              <w:rPr>
                <w:i/>
                <w:sz w:val="18"/>
                <w:szCs w:val="18"/>
              </w:rPr>
            </w:pPr>
            <w:r w:rsidRPr="00D9570C">
              <w:rPr>
                <w:i/>
                <w:sz w:val="18"/>
                <w:szCs w:val="18"/>
              </w:rPr>
              <w:t>N/A</w:t>
            </w:r>
          </w:p>
        </w:tc>
        <w:tc>
          <w:tcPr>
            <w:tcW w:w="987" w:type="dxa"/>
            <w:vAlign w:val="center"/>
          </w:tcPr>
          <w:p w14:paraId="26AD6C75" w14:textId="77777777" w:rsidR="00266DA8" w:rsidRPr="00D9570C" w:rsidRDefault="009F00C0" w:rsidP="009F00C0">
            <w:pPr>
              <w:ind w:left="0"/>
              <w:jc w:val="center"/>
              <w:rPr>
                <w:i/>
                <w:sz w:val="18"/>
                <w:szCs w:val="18"/>
              </w:rPr>
            </w:pPr>
            <w:r>
              <w:rPr>
                <w:i/>
                <w:sz w:val="18"/>
                <w:szCs w:val="18"/>
              </w:rPr>
              <w:t> 113 770 589</w:t>
            </w:r>
          </w:p>
        </w:tc>
        <w:tc>
          <w:tcPr>
            <w:tcW w:w="846" w:type="dxa"/>
            <w:vAlign w:val="center"/>
          </w:tcPr>
          <w:p w14:paraId="66268265" w14:textId="5D992E1F" w:rsidR="00266DA8" w:rsidRPr="00D9570C" w:rsidRDefault="00A84867" w:rsidP="006C7788">
            <w:pPr>
              <w:ind w:left="0"/>
              <w:jc w:val="center"/>
              <w:rPr>
                <w:i/>
                <w:sz w:val="18"/>
                <w:szCs w:val="18"/>
              </w:rPr>
            </w:pPr>
            <w:r>
              <w:rPr>
                <w:i/>
                <w:sz w:val="18"/>
                <w:szCs w:val="18"/>
              </w:rPr>
              <w:t> </w:t>
            </w:r>
            <w:r w:rsidR="006C7788">
              <w:rPr>
                <w:i/>
                <w:sz w:val="18"/>
                <w:szCs w:val="18"/>
              </w:rPr>
              <w:t>387 455 295</w:t>
            </w:r>
            <w:r>
              <w:rPr>
                <w:i/>
                <w:sz w:val="18"/>
                <w:szCs w:val="18"/>
              </w:rPr>
              <w:t xml:space="preserve"> </w:t>
            </w:r>
          </w:p>
        </w:tc>
        <w:tc>
          <w:tcPr>
            <w:tcW w:w="747" w:type="dxa"/>
            <w:vAlign w:val="center"/>
          </w:tcPr>
          <w:p w14:paraId="6E6537E0" w14:textId="77777777" w:rsidR="00266DA8" w:rsidRPr="00D9570C" w:rsidRDefault="00266DA8" w:rsidP="005139F6">
            <w:pPr>
              <w:ind w:left="0"/>
              <w:jc w:val="center"/>
              <w:rPr>
                <w:i/>
                <w:sz w:val="18"/>
                <w:szCs w:val="18"/>
              </w:rPr>
            </w:pPr>
            <w:r w:rsidRPr="00D9570C">
              <w:rPr>
                <w:i/>
                <w:sz w:val="18"/>
                <w:szCs w:val="18"/>
              </w:rPr>
              <w:t>RO OPII</w:t>
            </w:r>
          </w:p>
        </w:tc>
        <w:tc>
          <w:tcPr>
            <w:tcW w:w="1233" w:type="dxa"/>
            <w:vAlign w:val="center"/>
          </w:tcPr>
          <w:p w14:paraId="3C1D8EC0" w14:textId="77777777" w:rsidR="00266DA8" w:rsidRPr="00D9570C" w:rsidRDefault="00266DA8" w:rsidP="005139F6">
            <w:pPr>
              <w:ind w:left="0"/>
              <w:jc w:val="center"/>
              <w:rPr>
                <w:i/>
                <w:sz w:val="18"/>
                <w:szCs w:val="18"/>
              </w:rPr>
            </w:pPr>
            <w:r w:rsidRPr="00D9570C">
              <w:rPr>
                <w:i/>
                <w:sz w:val="18"/>
                <w:szCs w:val="18"/>
              </w:rPr>
              <w:t>Základný finančný ukazovateľ</w:t>
            </w:r>
          </w:p>
        </w:tc>
      </w:tr>
    </w:tbl>
    <w:p w14:paraId="1E372FE9" w14:textId="77777777" w:rsidR="00307AAF" w:rsidRDefault="00266DA8" w:rsidP="002B03EB">
      <w:pPr>
        <w:pStyle w:val="Nadpis3"/>
      </w:pPr>
      <w:bookmarkStart w:id="41" w:name="_Toc28951603"/>
      <w:r>
        <w:lastRenderedPageBreak/>
        <w:t>Kategórie intervencií</w:t>
      </w:r>
      <w:bookmarkEnd w:id="41"/>
    </w:p>
    <w:p w14:paraId="4635B05F" w14:textId="77777777"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2"/>
        <w:gridCol w:w="2120"/>
        <w:gridCol w:w="2040"/>
      </w:tblGrid>
      <w:tr w:rsidR="00266DA8" w14:paraId="0C215E4F" w14:textId="77777777" w:rsidTr="00860E18">
        <w:trPr>
          <w:trHeight w:val="255"/>
          <w:jc w:val="center"/>
        </w:trPr>
        <w:tc>
          <w:tcPr>
            <w:tcW w:w="9072" w:type="dxa"/>
            <w:gridSpan w:val="3"/>
            <w:shd w:val="clear" w:color="auto" w:fill="DBE5F1" w:themeFill="accent1" w:themeFillTint="33"/>
            <w:vAlign w:val="center"/>
          </w:tcPr>
          <w:p w14:paraId="14BC053B" w14:textId="77777777" w:rsidR="00266DA8" w:rsidRPr="006579CE" w:rsidRDefault="00266DA8" w:rsidP="00017B79">
            <w:pPr>
              <w:pStyle w:val="Default"/>
              <w:autoSpaceDE/>
              <w:autoSpaceDN/>
              <w:adjustRightInd/>
              <w:ind w:left="0"/>
              <w:rPr>
                <w:sz w:val="20"/>
                <w:szCs w:val="20"/>
              </w:rPr>
            </w:pPr>
            <w:r>
              <w:rPr>
                <w:b/>
                <w:bCs/>
                <w:sz w:val="20"/>
                <w:szCs w:val="20"/>
              </w:rPr>
              <w:t xml:space="preserve">Rozmer 1 – Oblasť intervencie </w:t>
            </w:r>
          </w:p>
        </w:tc>
      </w:tr>
      <w:tr w:rsidR="00266DA8" w14:paraId="393715B7" w14:textId="77777777" w:rsidTr="00860E18">
        <w:trPr>
          <w:trHeight w:val="255"/>
          <w:jc w:val="center"/>
        </w:trPr>
        <w:tc>
          <w:tcPr>
            <w:tcW w:w="4912" w:type="dxa"/>
            <w:shd w:val="clear" w:color="auto" w:fill="DBE5F1" w:themeFill="accent1" w:themeFillTint="33"/>
            <w:vAlign w:val="center"/>
          </w:tcPr>
          <w:p w14:paraId="772BC72D" w14:textId="77777777"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60" w:type="dxa"/>
            <w:gridSpan w:val="2"/>
            <w:shd w:val="clear" w:color="auto" w:fill="DBE5F1" w:themeFill="accent1" w:themeFillTint="33"/>
            <w:vAlign w:val="center"/>
          </w:tcPr>
          <w:p w14:paraId="6584F851" w14:textId="77777777"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14:paraId="47B3A725" w14:textId="77777777" w:rsidTr="00860E18">
        <w:trPr>
          <w:trHeight w:val="255"/>
          <w:jc w:val="center"/>
        </w:trPr>
        <w:tc>
          <w:tcPr>
            <w:tcW w:w="4912" w:type="dxa"/>
            <w:shd w:val="clear" w:color="auto" w:fill="DBE5F1" w:themeFill="accent1" w:themeFillTint="33"/>
            <w:vAlign w:val="center"/>
          </w:tcPr>
          <w:p w14:paraId="1148E29A" w14:textId="77777777" w:rsidR="00266DA8" w:rsidRPr="006579CE" w:rsidRDefault="00266DA8" w:rsidP="00017B79">
            <w:pPr>
              <w:ind w:left="0"/>
              <w:rPr>
                <w:sz w:val="20"/>
                <w:szCs w:val="20"/>
              </w:rPr>
            </w:pPr>
            <w:r w:rsidRPr="006579CE">
              <w:rPr>
                <w:b/>
                <w:bCs/>
                <w:color w:val="000000"/>
                <w:sz w:val="20"/>
                <w:szCs w:val="20"/>
              </w:rPr>
              <w:t>Kategória regiónu</w:t>
            </w:r>
          </w:p>
        </w:tc>
        <w:tc>
          <w:tcPr>
            <w:tcW w:w="4160" w:type="dxa"/>
            <w:gridSpan w:val="2"/>
            <w:shd w:val="clear" w:color="auto" w:fill="DBE5F1" w:themeFill="accent1" w:themeFillTint="33"/>
            <w:vAlign w:val="center"/>
          </w:tcPr>
          <w:p w14:paraId="3429EE9C" w14:textId="77777777" w:rsidR="00266DA8" w:rsidRPr="006579CE" w:rsidRDefault="00266DA8" w:rsidP="00017B79">
            <w:pPr>
              <w:ind w:left="0"/>
              <w:rPr>
                <w:sz w:val="20"/>
                <w:szCs w:val="20"/>
              </w:rPr>
            </w:pPr>
            <w:r w:rsidRPr="006579CE">
              <w:rPr>
                <w:sz w:val="20"/>
                <w:szCs w:val="20"/>
              </w:rPr>
              <w:t>N/A</w:t>
            </w:r>
          </w:p>
        </w:tc>
      </w:tr>
      <w:tr w:rsidR="00266DA8" w14:paraId="5362F586" w14:textId="77777777" w:rsidTr="00B80579">
        <w:trPr>
          <w:trHeight w:val="255"/>
          <w:jc w:val="center"/>
        </w:trPr>
        <w:tc>
          <w:tcPr>
            <w:tcW w:w="4912" w:type="dxa"/>
            <w:tcBorders>
              <w:bottom w:val="single" w:sz="4" w:space="0" w:color="auto"/>
            </w:tcBorders>
            <w:vAlign w:val="center"/>
          </w:tcPr>
          <w:p w14:paraId="5220136D" w14:textId="77777777" w:rsidR="00266DA8" w:rsidRPr="00D479A4" w:rsidRDefault="00266DA8" w:rsidP="00017B79">
            <w:pPr>
              <w:ind w:left="0"/>
              <w:jc w:val="center"/>
              <w:rPr>
                <w:b/>
                <w:sz w:val="20"/>
                <w:szCs w:val="20"/>
              </w:rPr>
            </w:pPr>
            <w:r w:rsidRPr="00D479A4">
              <w:rPr>
                <w:b/>
                <w:sz w:val="20"/>
                <w:szCs w:val="20"/>
              </w:rPr>
              <w:t>Prioritná os</w:t>
            </w:r>
          </w:p>
        </w:tc>
        <w:tc>
          <w:tcPr>
            <w:tcW w:w="2120" w:type="dxa"/>
            <w:tcBorders>
              <w:bottom w:val="single" w:sz="4" w:space="0" w:color="auto"/>
            </w:tcBorders>
            <w:vAlign w:val="center"/>
          </w:tcPr>
          <w:p w14:paraId="33962666" w14:textId="77777777" w:rsidR="00266DA8" w:rsidRPr="00D479A4" w:rsidRDefault="00266DA8" w:rsidP="00017B79">
            <w:pPr>
              <w:ind w:left="0"/>
              <w:jc w:val="center"/>
              <w:rPr>
                <w:b/>
                <w:sz w:val="20"/>
                <w:szCs w:val="20"/>
              </w:rPr>
            </w:pPr>
            <w:r w:rsidRPr="00D479A4">
              <w:rPr>
                <w:b/>
                <w:sz w:val="20"/>
                <w:szCs w:val="20"/>
              </w:rPr>
              <w:t>Kód</w:t>
            </w:r>
          </w:p>
        </w:tc>
        <w:tc>
          <w:tcPr>
            <w:tcW w:w="2040" w:type="dxa"/>
            <w:tcBorders>
              <w:bottom w:val="single" w:sz="4" w:space="0" w:color="auto"/>
            </w:tcBorders>
            <w:vAlign w:val="center"/>
          </w:tcPr>
          <w:p w14:paraId="224BDCD1" w14:textId="77777777" w:rsidR="00266DA8" w:rsidRPr="00D479A4" w:rsidRDefault="00266DA8" w:rsidP="00017B79">
            <w:pPr>
              <w:ind w:left="0"/>
              <w:jc w:val="center"/>
              <w:rPr>
                <w:b/>
                <w:sz w:val="20"/>
                <w:szCs w:val="20"/>
              </w:rPr>
            </w:pPr>
            <w:r w:rsidRPr="00D479A4">
              <w:rPr>
                <w:b/>
                <w:sz w:val="20"/>
                <w:szCs w:val="20"/>
              </w:rPr>
              <w:t>Suma (v EUR)</w:t>
            </w:r>
          </w:p>
        </w:tc>
      </w:tr>
      <w:tr w:rsidR="00860E18" w14:paraId="782A1A14" w14:textId="77777777" w:rsidTr="00860E18">
        <w:trPr>
          <w:trHeight w:val="255"/>
          <w:jc w:val="center"/>
        </w:trPr>
        <w:tc>
          <w:tcPr>
            <w:tcW w:w="4912" w:type="dxa"/>
            <w:vMerge w:val="restart"/>
            <w:vAlign w:val="center"/>
          </w:tcPr>
          <w:p w14:paraId="1671E6FB" w14:textId="77777777" w:rsidR="00860E18" w:rsidRPr="00D479A4" w:rsidRDefault="00860E18" w:rsidP="001124FB">
            <w:pPr>
              <w:ind w:left="0"/>
              <w:rPr>
                <w:sz w:val="20"/>
                <w:szCs w:val="20"/>
              </w:rPr>
            </w:pPr>
            <w:r>
              <w:rPr>
                <w:sz w:val="20"/>
                <w:szCs w:val="20"/>
              </w:rPr>
              <w:t>Prioritná os 3 – Verejná osobná doprava</w:t>
            </w:r>
          </w:p>
        </w:tc>
        <w:tc>
          <w:tcPr>
            <w:tcW w:w="2120" w:type="dxa"/>
            <w:vAlign w:val="center"/>
          </w:tcPr>
          <w:p w14:paraId="2AB6E1BC" w14:textId="77777777" w:rsidR="00860E18" w:rsidRPr="00D479A4" w:rsidRDefault="00860E18" w:rsidP="00017B79">
            <w:pPr>
              <w:ind w:left="0"/>
              <w:jc w:val="center"/>
              <w:rPr>
                <w:sz w:val="20"/>
                <w:szCs w:val="20"/>
              </w:rPr>
            </w:pPr>
            <w:r>
              <w:rPr>
                <w:sz w:val="20"/>
                <w:szCs w:val="20"/>
              </w:rPr>
              <w:t>026</w:t>
            </w:r>
          </w:p>
        </w:tc>
        <w:tc>
          <w:tcPr>
            <w:tcW w:w="2040" w:type="dxa"/>
            <w:vAlign w:val="center"/>
          </w:tcPr>
          <w:p w14:paraId="44FEA5C4" w14:textId="77777777" w:rsidR="00860E18" w:rsidRPr="00860E18" w:rsidRDefault="00860E18" w:rsidP="00860E18">
            <w:pPr>
              <w:ind w:left="0"/>
              <w:jc w:val="center"/>
              <w:rPr>
                <w:sz w:val="20"/>
                <w:szCs w:val="20"/>
              </w:rPr>
            </w:pPr>
            <w:r w:rsidRPr="00860E18">
              <w:rPr>
                <w:sz w:val="20"/>
                <w:szCs w:val="20"/>
              </w:rPr>
              <w:t>20 000 000</w:t>
            </w:r>
          </w:p>
        </w:tc>
      </w:tr>
      <w:tr w:rsidR="00860E18" w14:paraId="6AFE5DF9" w14:textId="77777777" w:rsidTr="00B80579">
        <w:trPr>
          <w:trHeight w:val="255"/>
          <w:jc w:val="center"/>
        </w:trPr>
        <w:tc>
          <w:tcPr>
            <w:tcW w:w="4912" w:type="dxa"/>
            <w:vMerge/>
            <w:tcBorders>
              <w:bottom w:val="single" w:sz="4" w:space="0" w:color="auto"/>
            </w:tcBorders>
            <w:vAlign w:val="center"/>
          </w:tcPr>
          <w:p w14:paraId="02377538" w14:textId="77777777" w:rsidR="00860E18" w:rsidRPr="00D479A4" w:rsidRDefault="00860E18" w:rsidP="00017B79">
            <w:pPr>
              <w:ind w:left="0"/>
              <w:rPr>
                <w:sz w:val="20"/>
                <w:szCs w:val="20"/>
              </w:rPr>
            </w:pPr>
          </w:p>
        </w:tc>
        <w:tc>
          <w:tcPr>
            <w:tcW w:w="2120" w:type="dxa"/>
            <w:tcBorders>
              <w:bottom w:val="single" w:sz="4" w:space="0" w:color="auto"/>
            </w:tcBorders>
            <w:vAlign w:val="center"/>
          </w:tcPr>
          <w:p w14:paraId="249893E0" w14:textId="77777777" w:rsidR="00860E18" w:rsidRPr="00D479A4" w:rsidRDefault="00860E18" w:rsidP="00017B79">
            <w:pPr>
              <w:ind w:left="0"/>
              <w:jc w:val="center"/>
              <w:rPr>
                <w:sz w:val="20"/>
                <w:szCs w:val="20"/>
              </w:rPr>
            </w:pPr>
            <w:r>
              <w:rPr>
                <w:sz w:val="20"/>
                <w:szCs w:val="20"/>
              </w:rPr>
              <w:t>043</w:t>
            </w:r>
          </w:p>
        </w:tc>
        <w:tc>
          <w:tcPr>
            <w:tcW w:w="2040" w:type="dxa"/>
            <w:tcBorders>
              <w:bottom w:val="single" w:sz="4" w:space="0" w:color="auto"/>
            </w:tcBorders>
            <w:vAlign w:val="center"/>
          </w:tcPr>
          <w:p w14:paraId="0C6DCA81" w14:textId="588B32DA" w:rsidR="00860E18" w:rsidRPr="00860E18" w:rsidRDefault="006C7788" w:rsidP="006C7788">
            <w:pPr>
              <w:ind w:left="0"/>
              <w:jc w:val="center"/>
              <w:rPr>
                <w:sz w:val="20"/>
                <w:szCs w:val="20"/>
              </w:rPr>
            </w:pPr>
            <w:r>
              <w:rPr>
                <w:sz w:val="20"/>
                <w:szCs w:val="20"/>
              </w:rPr>
              <w:t>309 337 000</w:t>
            </w:r>
          </w:p>
        </w:tc>
      </w:tr>
    </w:tbl>
    <w:p w14:paraId="3B68129E" w14:textId="77777777"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14:paraId="49C175B7" w14:textId="77777777" w:rsidTr="00316085">
        <w:trPr>
          <w:trHeight w:val="255"/>
          <w:jc w:val="center"/>
        </w:trPr>
        <w:tc>
          <w:tcPr>
            <w:tcW w:w="9072" w:type="dxa"/>
            <w:gridSpan w:val="3"/>
            <w:shd w:val="clear" w:color="auto" w:fill="DBE5F1" w:themeFill="accent1" w:themeFillTint="33"/>
            <w:vAlign w:val="center"/>
          </w:tcPr>
          <w:p w14:paraId="229F064D" w14:textId="77777777" w:rsidR="00266DA8" w:rsidRPr="00860E18" w:rsidRDefault="00266DA8" w:rsidP="00017B79">
            <w:pPr>
              <w:pStyle w:val="Default"/>
              <w:autoSpaceDE/>
              <w:autoSpaceDN/>
              <w:adjustRightInd/>
              <w:ind w:left="0"/>
              <w:rPr>
                <w:sz w:val="20"/>
                <w:szCs w:val="20"/>
              </w:rPr>
            </w:pPr>
            <w:r w:rsidRPr="00860E18">
              <w:rPr>
                <w:b/>
                <w:bCs/>
                <w:sz w:val="20"/>
                <w:szCs w:val="20"/>
              </w:rPr>
              <w:t xml:space="preserve">Rozmer 2 – Forma financovania </w:t>
            </w:r>
          </w:p>
        </w:tc>
      </w:tr>
      <w:tr w:rsidR="00266DA8" w14:paraId="1A8618A1" w14:textId="77777777" w:rsidTr="00316085">
        <w:trPr>
          <w:trHeight w:val="255"/>
          <w:jc w:val="center"/>
        </w:trPr>
        <w:tc>
          <w:tcPr>
            <w:tcW w:w="4913" w:type="dxa"/>
            <w:shd w:val="clear" w:color="auto" w:fill="DBE5F1" w:themeFill="accent1" w:themeFillTint="33"/>
            <w:vAlign w:val="center"/>
          </w:tcPr>
          <w:p w14:paraId="1DCDBABC" w14:textId="77777777" w:rsidR="00266DA8" w:rsidRPr="00860E18" w:rsidRDefault="00266DA8" w:rsidP="00017B79">
            <w:pPr>
              <w:pStyle w:val="Default"/>
              <w:autoSpaceDE/>
              <w:autoSpaceDN/>
              <w:adjustRightInd/>
              <w:ind w:left="0"/>
              <w:rPr>
                <w:b/>
                <w:bCs/>
                <w:sz w:val="20"/>
                <w:szCs w:val="20"/>
              </w:rPr>
            </w:pPr>
            <w:r w:rsidRPr="00860E18">
              <w:rPr>
                <w:b/>
                <w:bCs/>
                <w:sz w:val="20"/>
                <w:szCs w:val="20"/>
              </w:rPr>
              <w:t>Fond</w:t>
            </w:r>
          </w:p>
        </w:tc>
        <w:tc>
          <w:tcPr>
            <w:tcW w:w="4159" w:type="dxa"/>
            <w:gridSpan w:val="2"/>
            <w:shd w:val="clear" w:color="auto" w:fill="DBE5F1" w:themeFill="accent1" w:themeFillTint="33"/>
            <w:vAlign w:val="center"/>
          </w:tcPr>
          <w:p w14:paraId="78817C2F" w14:textId="77777777" w:rsidR="00266DA8" w:rsidRPr="00860E18" w:rsidRDefault="00266DA8" w:rsidP="00017B79">
            <w:pPr>
              <w:pStyle w:val="Default"/>
              <w:autoSpaceDE/>
              <w:autoSpaceDN/>
              <w:adjustRightInd/>
              <w:ind w:left="0"/>
              <w:rPr>
                <w:bCs/>
                <w:sz w:val="20"/>
                <w:szCs w:val="20"/>
              </w:rPr>
            </w:pPr>
            <w:r w:rsidRPr="00860E18">
              <w:rPr>
                <w:bCs/>
                <w:sz w:val="20"/>
                <w:szCs w:val="20"/>
              </w:rPr>
              <w:t>Kohézny fond</w:t>
            </w:r>
          </w:p>
        </w:tc>
      </w:tr>
      <w:tr w:rsidR="00266DA8" w14:paraId="4A243587" w14:textId="77777777" w:rsidTr="00316085">
        <w:trPr>
          <w:trHeight w:val="255"/>
          <w:jc w:val="center"/>
        </w:trPr>
        <w:tc>
          <w:tcPr>
            <w:tcW w:w="4913" w:type="dxa"/>
            <w:shd w:val="clear" w:color="auto" w:fill="DBE5F1" w:themeFill="accent1" w:themeFillTint="33"/>
            <w:vAlign w:val="center"/>
          </w:tcPr>
          <w:p w14:paraId="256B8E37" w14:textId="77777777" w:rsidR="00266DA8" w:rsidRPr="00860E18" w:rsidRDefault="00266DA8" w:rsidP="00017B79">
            <w:pPr>
              <w:ind w:left="0"/>
              <w:rPr>
                <w:sz w:val="20"/>
                <w:szCs w:val="20"/>
              </w:rPr>
            </w:pPr>
            <w:r w:rsidRPr="00860E18">
              <w:rPr>
                <w:b/>
                <w:bCs/>
                <w:color w:val="000000"/>
                <w:sz w:val="20"/>
                <w:szCs w:val="20"/>
              </w:rPr>
              <w:t>Kategória regiónu</w:t>
            </w:r>
          </w:p>
        </w:tc>
        <w:tc>
          <w:tcPr>
            <w:tcW w:w="4159" w:type="dxa"/>
            <w:gridSpan w:val="2"/>
            <w:shd w:val="clear" w:color="auto" w:fill="DBE5F1" w:themeFill="accent1" w:themeFillTint="33"/>
            <w:vAlign w:val="center"/>
          </w:tcPr>
          <w:p w14:paraId="2A3B9086" w14:textId="77777777" w:rsidR="00266DA8" w:rsidRPr="00860E18" w:rsidRDefault="00266DA8" w:rsidP="00017B79">
            <w:pPr>
              <w:ind w:left="0"/>
              <w:rPr>
                <w:sz w:val="20"/>
                <w:szCs w:val="20"/>
              </w:rPr>
            </w:pPr>
            <w:r w:rsidRPr="00860E18">
              <w:rPr>
                <w:sz w:val="20"/>
                <w:szCs w:val="20"/>
              </w:rPr>
              <w:t>N/A</w:t>
            </w:r>
          </w:p>
        </w:tc>
      </w:tr>
      <w:tr w:rsidR="00266DA8" w14:paraId="2CCDE800" w14:textId="77777777" w:rsidTr="00316085">
        <w:trPr>
          <w:trHeight w:val="255"/>
          <w:jc w:val="center"/>
        </w:trPr>
        <w:tc>
          <w:tcPr>
            <w:tcW w:w="4913" w:type="dxa"/>
            <w:vAlign w:val="center"/>
          </w:tcPr>
          <w:p w14:paraId="6A265581" w14:textId="77777777" w:rsidR="00266DA8" w:rsidRPr="00860E18" w:rsidRDefault="00266DA8" w:rsidP="00017B79">
            <w:pPr>
              <w:ind w:left="0"/>
              <w:jc w:val="center"/>
              <w:rPr>
                <w:b/>
                <w:sz w:val="20"/>
                <w:szCs w:val="20"/>
              </w:rPr>
            </w:pPr>
            <w:r w:rsidRPr="00860E18">
              <w:rPr>
                <w:b/>
                <w:sz w:val="20"/>
                <w:szCs w:val="20"/>
              </w:rPr>
              <w:t>Prioritná os</w:t>
            </w:r>
          </w:p>
        </w:tc>
        <w:tc>
          <w:tcPr>
            <w:tcW w:w="2120" w:type="dxa"/>
            <w:vAlign w:val="center"/>
          </w:tcPr>
          <w:p w14:paraId="5BAB316B" w14:textId="77777777" w:rsidR="00266DA8" w:rsidRPr="00860E18" w:rsidRDefault="00266DA8" w:rsidP="00017B79">
            <w:pPr>
              <w:ind w:left="0"/>
              <w:jc w:val="center"/>
              <w:rPr>
                <w:b/>
                <w:sz w:val="20"/>
                <w:szCs w:val="20"/>
              </w:rPr>
            </w:pPr>
            <w:r w:rsidRPr="00860E18">
              <w:rPr>
                <w:b/>
                <w:sz w:val="20"/>
                <w:szCs w:val="20"/>
              </w:rPr>
              <w:t>Kód</w:t>
            </w:r>
          </w:p>
        </w:tc>
        <w:tc>
          <w:tcPr>
            <w:tcW w:w="2039" w:type="dxa"/>
            <w:vAlign w:val="center"/>
          </w:tcPr>
          <w:p w14:paraId="5193C3DD" w14:textId="77777777" w:rsidR="00266DA8" w:rsidRPr="00860E18" w:rsidRDefault="00266DA8" w:rsidP="00017B79">
            <w:pPr>
              <w:ind w:left="0"/>
              <w:jc w:val="center"/>
              <w:rPr>
                <w:b/>
                <w:sz w:val="20"/>
                <w:szCs w:val="20"/>
              </w:rPr>
            </w:pPr>
            <w:r w:rsidRPr="00860E18">
              <w:rPr>
                <w:b/>
                <w:sz w:val="20"/>
                <w:szCs w:val="20"/>
              </w:rPr>
              <w:t>Suma (v EUR)</w:t>
            </w:r>
          </w:p>
        </w:tc>
      </w:tr>
      <w:tr w:rsidR="00266DA8" w14:paraId="0F4A7634" w14:textId="77777777" w:rsidTr="00316085">
        <w:trPr>
          <w:trHeight w:val="255"/>
          <w:jc w:val="center"/>
        </w:trPr>
        <w:tc>
          <w:tcPr>
            <w:tcW w:w="4913" w:type="dxa"/>
            <w:vAlign w:val="center"/>
          </w:tcPr>
          <w:p w14:paraId="724A255C" w14:textId="77777777" w:rsidR="00266DA8" w:rsidRPr="00860E18" w:rsidRDefault="001124FB" w:rsidP="00017B79">
            <w:pPr>
              <w:ind w:left="0"/>
              <w:rPr>
                <w:sz w:val="20"/>
                <w:szCs w:val="20"/>
              </w:rPr>
            </w:pPr>
            <w:r w:rsidRPr="00860E18">
              <w:rPr>
                <w:sz w:val="20"/>
                <w:szCs w:val="20"/>
              </w:rPr>
              <w:t>Prioritná os 3 – Verejná osobná doprava</w:t>
            </w:r>
          </w:p>
        </w:tc>
        <w:tc>
          <w:tcPr>
            <w:tcW w:w="2120" w:type="dxa"/>
            <w:vAlign w:val="center"/>
          </w:tcPr>
          <w:p w14:paraId="218820B4" w14:textId="77777777" w:rsidR="00266DA8" w:rsidRPr="00860E18" w:rsidRDefault="00266DA8" w:rsidP="00017B79">
            <w:pPr>
              <w:ind w:left="0"/>
              <w:jc w:val="center"/>
              <w:rPr>
                <w:sz w:val="20"/>
                <w:szCs w:val="20"/>
              </w:rPr>
            </w:pPr>
            <w:r w:rsidRPr="00860E18">
              <w:rPr>
                <w:sz w:val="20"/>
                <w:szCs w:val="20"/>
              </w:rPr>
              <w:t>01</w:t>
            </w:r>
          </w:p>
        </w:tc>
        <w:tc>
          <w:tcPr>
            <w:tcW w:w="2039" w:type="dxa"/>
            <w:vAlign w:val="center"/>
          </w:tcPr>
          <w:p w14:paraId="7E5B4A9D" w14:textId="6F2ABBFF" w:rsidR="00266DA8" w:rsidRPr="00860E18" w:rsidRDefault="006C7788" w:rsidP="006C7788">
            <w:pPr>
              <w:ind w:left="0"/>
              <w:jc w:val="center"/>
              <w:rPr>
                <w:sz w:val="20"/>
                <w:szCs w:val="20"/>
              </w:rPr>
            </w:pPr>
            <w:r>
              <w:rPr>
                <w:sz w:val="20"/>
                <w:szCs w:val="20"/>
                <w:lang w:val="en-US"/>
              </w:rPr>
              <w:t>329 337 000</w:t>
            </w:r>
          </w:p>
        </w:tc>
      </w:tr>
    </w:tbl>
    <w:p w14:paraId="36A56476" w14:textId="77777777"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14:paraId="18B224DF" w14:textId="77777777" w:rsidTr="00E37C51">
        <w:trPr>
          <w:trHeight w:val="255"/>
          <w:jc w:val="center"/>
        </w:trPr>
        <w:tc>
          <w:tcPr>
            <w:tcW w:w="9072" w:type="dxa"/>
            <w:gridSpan w:val="3"/>
            <w:shd w:val="clear" w:color="auto" w:fill="DBE5F1" w:themeFill="accent1" w:themeFillTint="33"/>
            <w:vAlign w:val="center"/>
          </w:tcPr>
          <w:p w14:paraId="020BC5DB" w14:textId="77777777" w:rsidR="00266DA8" w:rsidRPr="006579CE" w:rsidRDefault="00266DA8" w:rsidP="00017B79">
            <w:pPr>
              <w:pStyle w:val="Default"/>
              <w:autoSpaceDE/>
              <w:autoSpaceDN/>
              <w:adjustRightInd/>
              <w:ind w:left="0"/>
              <w:rPr>
                <w:sz w:val="20"/>
                <w:szCs w:val="20"/>
              </w:rPr>
            </w:pPr>
            <w:r>
              <w:rPr>
                <w:b/>
                <w:bCs/>
                <w:sz w:val="20"/>
                <w:szCs w:val="20"/>
              </w:rPr>
              <w:t xml:space="preserve">Rozmer 3 – Druh územia </w:t>
            </w:r>
          </w:p>
        </w:tc>
      </w:tr>
      <w:tr w:rsidR="00266DA8" w14:paraId="18C23239" w14:textId="77777777" w:rsidTr="00E37C51">
        <w:trPr>
          <w:trHeight w:val="255"/>
          <w:jc w:val="center"/>
        </w:trPr>
        <w:tc>
          <w:tcPr>
            <w:tcW w:w="4913" w:type="dxa"/>
            <w:shd w:val="clear" w:color="auto" w:fill="DBE5F1" w:themeFill="accent1" w:themeFillTint="33"/>
            <w:vAlign w:val="center"/>
          </w:tcPr>
          <w:p w14:paraId="053D4F57" w14:textId="77777777"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1C197C4C" w14:textId="77777777"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14:paraId="0ABA6411" w14:textId="77777777" w:rsidTr="00E37C51">
        <w:trPr>
          <w:trHeight w:val="255"/>
          <w:jc w:val="center"/>
        </w:trPr>
        <w:tc>
          <w:tcPr>
            <w:tcW w:w="4913" w:type="dxa"/>
            <w:shd w:val="clear" w:color="auto" w:fill="DBE5F1" w:themeFill="accent1" w:themeFillTint="33"/>
            <w:vAlign w:val="center"/>
          </w:tcPr>
          <w:p w14:paraId="6D0D7A8A" w14:textId="77777777" w:rsidR="00266DA8" w:rsidRPr="006579CE" w:rsidRDefault="00266DA8"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3922E510" w14:textId="77777777" w:rsidR="00266DA8" w:rsidRPr="006579CE" w:rsidRDefault="00266DA8" w:rsidP="00017B79">
            <w:pPr>
              <w:ind w:left="0"/>
              <w:rPr>
                <w:sz w:val="20"/>
                <w:szCs w:val="20"/>
              </w:rPr>
            </w:pPr>
            <w:r w:rsidRPr="006579CE">
              <w:rPr>
                <w:sz w:val="20"/>
                <w:szCs w:val="20"/>
              </w:rPr>
              <w:t>N/A</w:t>
            </w:r>
          </w:p>
        </w:tc>
      </w:tr>
      <w:tr w:rsidR="00266DA8" w14:paraId="1CB0220D" w14:textId="77777777" w:rsidTr="00E37C51">
        <w:trPr>
          <w:trHeight w:val="255"/>
          <w:jc w:val="center"/>
        </w:trPr>
        <w:tc>
          <w:tcPr>
            <w:tcW w:w="4913" w:type="dxa"/>
            <w:vAlign w:val="center"/>
          </w:tcPr>
          <w:p w14:paraId="2B9D9E11" w14:textId="77777777" w:rsidR="00266DA8" w:rsidRPr="00D479A4" w:rsidRDefault="00266DA8" w:rsidP="00017B79">
            <w:pPr>
              <w:ind w:left="0"/>
              <w:jc w:val="center"/>
              <w:rPr>
                <w:b/>
                <w:sz w:val="20"/>
                <w:szCs w:val="20"/>
              </w:rPr>
            </w:pPr>
            <w:r w:rsidRPr="00D479A4">
              <w:rPr>
                <w:b/>
                <w:sz w:val="20"/>
                <w:szCs w:val="20"/>
              </w:rPr>
              <w:t>Prioritná os</w:t>
            </w:r>
          </w:p>
        </w:tc>
        <w:tc>
          <w:tcPr>
            <w:tcW w:w="2120" w:type="dxa"/>
            <w:vAlign w:val="center"/>
          </w:tcPr>
          <w:p w14:paraId="58C5CD5D" w14:textId="77777777" w:rsidR="00266DA8" w:rsidRPr="00D479A4" w:rsidRDefault="00266DA8" w:rsidP="00017B79">
            <w:pPr>
              <w:ind w:left="0"/>
              <w:jc w:val="center"/>
              <w:rPr>
                <w:b/>
                <w:sz w:val="20"/>
                <w:szCs w:val="20"/>
              </w:rPr>
            </w:pPr>
            <w:r w:rsidRPr="00D479A4">
              <w:rPr>
                <w:b/>
                <w:sz w:val="20"/>
                <w:szCs w:val="20"/>
              </w:rPr>
              <w:t>Kód</w:t>
            </w:r>
          </w:p>
        </w:tc>
        <w:tc>
          <w:tcPr>
            <w:tcW w:w="2039" w:type="dxa"/>
            <w:vAlign w:val="center"/>
          </w:tcPr>
          <w:p w14:paraId="376444CC" w14:textId="77777777" w:rsidR="00266DA8" w:rsidRPr="00D479A4" w:rsidRDefault="00266DA8" w:rsidP="00017B79">
            <w:pPr>
              <w:ind w:left="0"/>
              <w:jc w:val="center"/>
              <w:rPr>
                <w:b/>
                <w:sz w:val="20"/>
                <w:szCs w:val="20"/>
              </w:rPr>
            </w:pPr>
            <w:r w:rsidRPr="00D479A4">
              <w:rPr>
                <w:b/>
                <w:sz w:val="20"/>
                <w:szCs w:val="20"/>
              </w:rPr>
              <w:t>Suma (v EUR)</w:t>
            </w:r>
          </w:p>
        </w:tc>
      </w:tr>
      <w:tr w:rsidR="00E37C51" w14:paraId="6270B76A" w14:textId="77777777" w:rsidTr="00E37C51">
        <w:trPr>
          <w:trHeight w:val="255"/>
          <w:jc w:val="center"/>
        </w:trPr>
        <w:tc>
          <w:tcPr>
            <w:tcW w:w="4913" w:type="dxa"/>
            <w:vMerge w:val="restart"/>
            <w:vAlign w:val="center"/>
          </w:tcPr>
          <w:p w14:paraId="2C16FB54" w14:textId="77777777" w:rsidR="00E37C51" w:rsidRPr="00D479A4" w:rsidRDefault="00E37C51" w:rsidP="00017B79">
            <w:pPr>
              <w:ind w:left="0"/>
              <w:rPr>
                <w:sz w:val="20"/>
                <w:szCs w:val="20"/>
              </w:rPr>
            </w:pPr>
            <w:r>
              <w:rPr>
                <w:sz w:val="20"/>
                <w:szCs w:val="20"/>
              </w:rPr>
              <w:t>Prioritná os 3 – Verejná osobná doprava</w:t>
            </w:r>
          </w:p>
        </w:tc>
        <w:tc>
          <w:tcPr>
            <w:tcW w:w="2120" w:type="dxa"/>
            <w:vAlign w:val="center"/>
          </w:tcPr>
          <w:p w14:paraId="08B49E9C" w14:textId="77777777" w:rsidR="00E37C51" w:rsidRPr="00D479A4" w:rsidRDefault="00E37C51" w:rsidP="007C05FA">
            <w:pPr>
              <w:ind w:left="0"/>
              <w:jc w:val="center"/>
              <w:rPr>
                <w:sz w:val="20"/>
                <w:szCs w:val="20"/>
              </w:rPr>
            </w:pPr>
            <w:r>
              <w:rPr>
                <w:sz w:val="20"/>
                <w:szCs w:val="20"/>
              </w:rPr>
              <w:t>01</w:t>
            </w:r>
          </w:p>
        </w:tc>
        <w:tc>
          <w:tcPr>
            <w:tcW w:w="2039" w:type="dxa"/>
            <w:vAlign w:val="center"/>
          </w:tcPr>
          <w:p w14:paraId="14357907" w14:textId="557B0791" w:rsidR="00E37C51" w:rsidRPr="006B762B" w:rsidRDefault="006C7788" w:rsidP="006C7788">
            <w:pPr>
              <w:ind w:left="0"/>
              <w:jc w:val="center"/>
              <w:rPr>
                <w:sz w:val="20"/>
                <w:szCs w:val="20"/>
                <w:lang w:val="en-US"/>
              </w:rPr>
            </w:pPr>
            <w:r>
              <w:rPr>
                <w:sz w:val="20"/>
                <w:szCs w:val="20"/>
                <w:lang w:val="en-US"/>
              </w:rPr>
              <w:t>299 337 000</w:t>
            </w:r>
          </w:p>
        </w:tc>
      </w:tr>
      <w:tr w:rsidR="00E37C51" w14:paraId="46680696" w14:textId="77777777" w:rsidTr="00E37C51">
        <w:trPr>
          <w:trHeight w:val="255"/>
          <w:jc w:val="center"/>
        </w:trPr>
        <w:tc>
          <w:tcPr>
            <w:tcW w:w="4913" w:type="dxa"/>
            <w:vMerge/>
            <w:vAlign w:val="center"/>
          </w:tcPr>
          <w:p w14:paraId="19394E5A" w14:textId="77777777" w:rsidR="00E37C51" w:rsidRDefault="00E37C51" w:rsidP="00017B79">
            <w:pPr>
              <w:rPr>
                <w:sz w:val="20"/>
                <w:szCs w:val="20"/>
              </w:rPr>
            </w:pPr>
          </w:p>
        </w:tc>
        <w:tc>
          <w:tcPr>
            <w:tcW w:w="2120" w:type="dxa"/>
            <w:vAlign w:val="center"/>
          </w:tcPr>
          <w:p w14:paraId="467F9B4D" w14:textId="77777777" w:rsidR="00E37C51" w:rsidRDefault="00E37C51" w:rsidP="00E37C51">
            <w:pPr>
              <w:ind w:left="0"/>
              <w:jc w:val="center"/>
              <w:rPr>
                <w:sz w:val="20"/>
                <w:szCs w:val="20"/>
              </w:rPr>
            </w:pPr>
            <w:r>
              <w:rPr>
                <w:sz w:val="20"/>
                <w:szCs w:val="20"/>
              </w:rPr>
              <w:t>02</w:t>
            </w:r>
          </w:p>
        </w:tc>
        <w:tc>
          <w:tcPr>
            <w:tcW w:w="2039" w:type="dxa"/>
            <w:vAlign w:val="center"/>
          </w:tcPr>
          <w:p w14:paraId="2875B330" w14:textId="77777777" w:rsidR="00E37C51" w:rsidRDefault="00E37C51" w:rsidP="00E37C51">
            <w:pPr>
              <w:ind w:left="0"/>
              <w:jc w:val="center"/>
              <w:rPr>
                <w:sz w:val="20"/>
                <w:szCs w:val="20"/>
                <w:lang w:val="en-US"/>
              </w:rPr>
            </w:pPr>
            <w:r>
              <w:rPr>
                <w:sz w:val="20"/>
                <w:szCs w:val="20"/>
                <w:lang w:val="en-US"/>
              </w:rPr>
              <w:t>30 000 000</w:t>
            </w:r>
          </w:p>
        </w:tc>
      </w:tr>
    </w:tbl>
    <w:p w14:paraId="1FD193A4" w14:textId="77777777" w:rsidR="0075315D" w:rsidRPr="0075315D" w:rsidRDefault="0075315D" w:rsidP="0075315D">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14:paraId="66812F5A" w14:textId="77777777" w:rsidTr="00017B79">
        <w:trPr>
          <w:trHeight w:val="255"/>
          <w:jc w:val="center"/>
        </w:trPr>
        <w:tc>
          <w:tcPr>
            <w:tcW w:w="9098" w:type="dxa"/>
            <w:gridSpan w:val="3"/>
            <w:shd w:val="clear" w:color="auto" w:fill="DBE5F1" w:themeFill="accent1" w:themeFillTint="33"/>
            <w:vAlign w:val="center"/>
          </w:tcPr>
          <w:p w14:paraId="4619CAAD" w14:textId="77777777" w:rsidR="00266DA8" w:rsidRPr="008C1732" w:rsidRDefault="00266DA8" w:rsidP="00017B79">
            <w:pPr>
              <w:pStyle w:val="Default"/>
              <w:autoSpaceDE/>
              <w:autoSpaceDN/>
              <w:adjustRightInd/>
              <w:ind w:left="0"/>
              <w:rPr>
                <w:b/>
                <w:bCs/>
                <w:sz w:val="20"/>
                <w:szCs w:val="20"/>
              </w:rPr>
            </w:pPr>
            <w:r>
              <w:rPr>
                <w:b/>
                <w:bCs/>
                <w:sz w:val="20"/>
                <w:szCs w:val="20"/>
              </w:rPr>
              <w:t>Rozmer 4 – Územné mechanizmy realizácie</w:t>
            </w:r>
          </w:p>
        </w:tc>
      </w:tr>
      <w:tr w:rsidR="00266DA8" w14:paraId="2D146916" w14:textId="77777777" w:rsidTr="00017B79">
        <w:trPr>
          <w:trHeight w:val="255"/>
          <w:jc w:val="center"/>
        </w:trPr>
        <w:tc>
          <w:tcPr>
            <w:tcW w:w="4928" w:type="dxa"/>
            <w:shd w:val="clear" w:color="auto" w:fill="DBE5F1" w:themeFill="accent1" w:themeFillTint="33"/>
            <w:vAlign w:val="center"/>
          </w:tcPr>
          <w:p w14:paraId="05028E1A" w14:textId="77777777"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4E123F54" w14:textId="77777777"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14:paraId="4D25CF2E" w14:textId="77777777" w:rsidTr="00017B79">
        <w:trPr>
          <w:trHeight w:val="255"/>
          <w:jc w:val="center"/>
        </w:trPr>
        <w:tc>
          <w:tcPr>
            <w:tcW w:w="4928" w:type="dxa"/>
            <w:shd w:val="clear" w:color="auto" w:fill="DBE5F1" w:themeFill="accent1" w:themeFillTint="33"/>
            <w:vAlign w:val="center"/>
          </w:tcPr>
          <w:p w14:paraId="0310363B" w14:textId="77777777" w:rsidR="00266DA8" w:rsidRPr="006579CE" w:rsidRDefault="00266DA8"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1FFD229E" w14:textId="77777777" w:rsidR="00266DA8" w:rsidRPr="006579CE" w:rsidRDefault="00266DA8" w:rsidP="00017B79">
            <w:pPr>
              <w:ind w:left="0"/>
              <w:rPr>
                <w:sz w:val="20"/>
                <w:szCs w:val="20"/>
              </w:rPr>
            </w:pPr>
            <w:r w:rsidRPr="006579CE">
              <w:rPr>
                <w:sz w:val="20"/>
                <w:szCs w:val="20"/>
              </w:rPr>
              <w:t>N/A</w:t>
            </w:r>
          </w:p>
        </w:tc>
      </w:tr>
      <w:tr w:rsidR="00266DA8" w14:paraId="0F1A2AD3" w14:textId="77777777" w:rsidTr="00017B79">
        <w:trPr>
          <w:trHeight w:val="255"/>
          <w:jc w:val="center"/>
        </w:trPr>
        <w:tc>
          <w:tcPr>
            <w:tcW w:w="4928" w:type="dxa"/>
            <w:vAlign w:val="center"/>
          </w:tcPr>
          <w:p w14:paraId="3E8A0901" w14:textId="77777777" w:rsidR="00266DA8" w:rsidRPr="00D479A4" w:rsidRDefault="00266DA8" w:rsidP="00017B79">
            <w:pPr>
              <w:ind w:left="0"/>
              <w:jc w:val="center"/>
              <w:rPr>
                <w:b/>
                <w:sz w:val="20"/>
                <w:szCs w:val="20"/>
              </w:rPr>
            </w:pPr>
            <w:r w:rsidRPr="00D479A4">
              <w:rPr>
                <w:b/>
                <w:sz w:val="20"/>
                <w:szCs w:val="20"/>
              </w:rPr>
              <w:t>Prioritná os</w:t>
            </w:r>
          </w:p>
        </w:tc>
        <w:tc>
          <w:tcPr>
            <w:tcW w:w="2126" w:type="dxa"/>
            <w:vAlign w:val="center"/>
          </w:tcPr>
          <w:p w14:paraId="5088376A" w14:textId="77777777" w:rsidR="00266DA8" w:rsidRPr="00D479A4" w:rsidRDefault="00266DA8" w:rsidP="00017B79">
            <w:pPr>
              <w:ind w:left="0"/>
              <w:jc w:val="center"/>
              <w:rPr>
                <w:b/>
                <w:sz w:val="20"/>
                <w:szCs w:val="20"/>
              </w:rPr>
            </w:pPr>
            <w:r w:rsidRPr="00D479A4">
              <w:rPr>
                <w:b/>
                <w:sz w:val="20"/>
                <w:szCs w:val="20"/>
              </w:rPr>
              <w:t>Kód</w:t>
            </w:r>
          </w:p>
        </w:tc>
        <w:tc>
          <w:tcPr>
            <w:tcW w:w="2044" w:type="dxa"/>
            <w:vAlign w:val="center"/>
          </w:tcPr>
          <w:p w14:paraId="14C2C55D" w14:textId="77777777" w:rsidR="00266DA8" w:rsidRPr="00D479A4" w:rsidRDefault="00266DA8" w:rsidP="00017B79">
            <w:pPr>
              <w:ind w:left="0"/>
              <w:jc w:val="center"/>
              <w:rPr>
                <w:b/>
                <w:sz w:val="20"/>
                <w:szCs w:val="20"/>
              </w:rPr>
            </w:pPr>
            <w:r w:rsidRPr="00D479A4">
              <w:rPr>
                <w:b/>
                <w:sz w:val="20"/>
                <w:szCs w:val="20"/>
              </w:rPr>
              <w:t>Suma (v EUR)</w:t>
            </w:r>
          </w:p>
        </w:tc>
      </w:tr>
      <w:tr w:rsidR="00266DA8" w14:paraId="2E78CDC7" w14:textId="77777777" w:rsidTr="00017B79">
        <w:trPr>
          <w:trHeight w:val="255"/>
          <w:jc w:val="center"/>
        </w:trPr>
        <w:tc>
          <w:tcPr>
            <w:tcW w:w="4928" w:type="dxa"/>
            <w:vAlign w:val="center"/>
          </w:tcPr>
          <w:p w14:paraId="79E9904E" w14:textId="77777777" w:rsidR="00266DA8" w:rsidRPr="00D479A4" w:rsidRDefault="00860E18" w:rsidP="00017B79">
            <w:pPr>
              <w:ind w:left="0"/>
              <w:rPr>
                <w:sz w:val="20"/>
                <w:szCs w:val="20"/>
              </w:rPr>
            </w:pPr>
            <w:r>
              <w:rPr>
                <w:sz w:val="20"/>
                <w:szCs w:val="20"/>
              </w:rPr>
              <w:t>Prioritná os 3 – Verejná osobná doprava</w:t>
            </w:r>
          </w:p>
        </w:tc>
        <w:tc>
          <w:tcPr>
            <w:tcW w:w="2126" w:type="dxa"/>
            <w:vAlign w:val="center"/>
          </w:tcPr>
          <w:p w14:paraId="1051EE42" w14:textId="77777777" w:rsidR="00266DA8" w:rsidRPr="00D479A4" w:rsidRDefault="00627E8B" w:rsidP="00627E8B">
            <w:pPr>
              <w:ind w:left="0"/>
              <w:jc w:val="center"/>
              <w:rPr>
                <w:sz w:val="20"/>
                <w:szCs w:val="20"/>
              </w:rPr>
            </w:pPr>
            <w:r>
              <w:rPr>
                <w:sz w:val="20"/>
                <w:szCs w:val="20"/>
              </w:rPr>
              <w:t>07</w:t>
            </w:r>
          </w:p>
        </w:tc>
        <w:tc>
          <w:tcPr>
            <w:tcW w:w="2044" w:type="dxa"/>
            <w:vAlign w:val="center"/>
          </w:tcPr>
          <w:p w14:paraId="322E1F70" w14:textId="6BDE2F19" w:rsidR="00266DA8" w:rsidRPr="00D479A4" w:rsidRDefault="006C7788" w:rsidP="006C7788">
            <w:pPr>
              <w:ind w:left="0"/>
              <w:jc w:val="center"/>
              <w:rPr>
                <w:sz w:val="20"/>
                <w:szCs w:val="20"/>
              </w:rPr>
            </w:pPr>
            <w:r>
              <w:rPr>
                <w:sz w:val="20"/>
                <w:szCs w:val="20"/>
                <w:lang w:val="en-US"/>
              </w:rPr>
              <w:t>329 337 000</w:t>
            </w:r>
          </w:p>
        </w:tc>
      </w:tr>
    </w:tbl>
    <w:p w14:paraId="6B7B06B5" w14:textId="77777777" w:rsidR="00307AAF" w:rsidRDefault="00266DA8" w:rsidP="002D1E44">
      <w:pPr>
        <w:pStyle w:val="Nadpis3"/>
        <w:tabs>
          <w:tab w:val="clear" w:pos="851"/>
          <w:tab w:val="num" w:pos="709"/>
        </w:tabs>
        <w:ind w:left="709" w:hanging="709"/>
        <w:jc w:val="both"/>
      </w:pPr>
      <w:bookmarkStart w:id="42" w:name="_Toc28951604"/>
      <w:r>
        <w:t>Súhrn plánovaného využitia technickej pomoci vrátane, ak je to vhodné, akcií na posilnenie administratívnej kapacity orgánov zapojených do riadenia a kontroly programu a prijímateľov (ak</w:t>
      </w:r>
      <w:r w:rsidR="00631CDB">
        <w:t> </w:t>
      </w:r>
      <w:r>
        <w:t>je to vhodné)</w:t>
      </w:r>
      <w:bookmarkEnd w:id="42"/>
    </w:p>
    <w:p w14:paraId="69BD4F87"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1EA0DEF6" w14:textId="77777777" w:rsidR="00266DA8" w:rsidRDefault="00266DA8" w:rsidP="00266DA8">
      <w:pPr>
        <w:rPr>
          <w:sz w:val="22"/>
          <w:szCs w:val="22"/>
        </w:rPr>
      </w:pPr>
    </w:p>
    <w:p w14:paraId="1C9652F2" w14:textId="77777777" w:rsidR="00266DA8" w:rsidRDefault="00266DA8" w:rsidP="006B762B">
      <w:pPr>
        <w:rPr>
          <w:sz w:val="22"/>
          <w:szCs w:val="22"/>
        </w:rPr>
      </w:pPr>
    </w:p>
    <w:p w14:paraId="4DF8BDA5" w14:textId="77777777" w:rsidR="006D24A5" w:rsidRDefault="006D24A5" w:rsidP="006B762B">
      <w:pPr>
        <w:rPr>
          <w:sz w:val="22"/>
          <w:szCs w:val="22"/>
        </w:rPr>
      </w:pPr>
    </w:p>
    <w:p w14:paraId="5A903177" w14:textId="77777777" w:rsidR="006D24A5" w:rsidRDefault="006D24A5" w:rsidP="006D24A5">
      <w:pPr>
        <w:pStyle w:val="Nadpis2"/>
        <w:sectPr w:rsidR="006D24A5" w:rsidSect="00D1658B">
          <w:headerReference w:type="default" r:id="rId26"/>
          <w:pgSz w:w="11906" w:h="16838"/>
          <w:pgMar w:top="1418" w:right="1361" w:bottom="1304" w:left="1474" w:header="709" w:footer="709" w:gutter="0"/>
          <w:cols w:space="708"/>
          <w:docGrid w:linePitch="360"/>
        </w:sectPr>
      </w:pPr>
    </w:p>
    <w:p w14:paraId="68C689DB" w14:textId="77777777" w:rsidR="00307AAF" w:rsidRDefault="006D24A5" w:rsidP="002B03EB">
      <w:pPr>
        <w:pStyle w:val="Nadpis2"/>
      </w:pPr>
      <w:bookmarkStart w:id="43" w:name="_Toc28951605"/>
      <w:r>
        <w:lastRenderedPageBreak/>
        <w:t xml:space="preserve">PRIORITNÁ OS </w:t>
      </w:r>
      <w:r w:rsidR="00266DA8">
        <w:t>4</w:t>
      </w:r>
      <w:r>
        <w:t xml:space="preserve">: </w:t>
      </w:r>
      <w:r w:rsidR="00266DA8">
        <w:t>INFRAŠTRUKTÚRA VODNEJ DOPRAVY (TEN-T CORE)</w:t>
      </w:r>
      <w:bookmarkEnd w:id="43"/>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E01D5B" w14:paraId="6CAB5D42" w14:textId="77777777" w:rsidTr="002E1021">
        <w:trPr>
          <w:trHeight w:hRule="exact" w:val="284"/>
          <w:jc w:val="center"/>
        </w:trPr>
        <w:tc>
          <w:tcPr>
            <w:tcW w:w="4404" w:type="dxa"/>
            <w:shd w:val="clear" w:color="auto" w:fill="DBE5F1" w:themeFill="accent1" w:themeFillTint="33"/>
            <w:vAlign w:val="center"/>
          </w:tcPr>
          <w:p w14:paraId="23A3786B" w14:textId="77777777" w:rsidR="00E01D5B" w:rsidRDefault="00E01D5B" w:rsidP="005139F6">
            <w:pPr>
              <w:ind w:left="0"/>
            </w:pPr>
            <w:r w:rsidRPr="00863337">
              <w:rPr>
                <w:b/>
                <w:i/>
                <w:sz w:val="20"/>
                <w:szCs w:val="20"/>
              </w:rPr>
              <w:t>ID prioritnej osi</w:t>
            </w:r>
          </w:p>
        </w:tc>
        <w:tc>
          <w:tcPr>
            <w:tcW w:w="3534" w:type="dxa"/>
          </w:tcPr>
          <w:p w14:paraId="514F5CE3" w14:textId="77777777" w:rsidR="00EB510B" w:rsidRDefault="000A60F9" w:rsidP="00EB510B">
            <w:pPr>
              <w:pStyle w:val="PRIORITNA"/>
              <w:numPr>
                <w:ilvl w:val="0"/>
                <w:numId w:val="0"/>
              </w:numPr>
              <w:spacing w:after="0"/>
              <w:rPr>
                <w:noProof/>
              </w:rPr>
            </w:pPr>
            <w:r>
              <w:t>4</w:t>
            </w:r>
          </w:p>
        </w:tc>
      </w:tr>
      <w:tr w:rsidR="00E01D5B" w14:paraId="704AC24B" w14:textId="77777777" w:rsidTr="002E1021">
        <w:trPr>
          <w:trHeight w:hRule="exact" w:val="284"/>
          <w:jc w:val="center"/>
        </w:trPr>
        <w:tc>
          <w:tcPr>
            <w:tcW w:w="4404" w:type="dxa"/>
            <w:shd w:val="clear" w:color="auto" w:fill="DBE5F1" w:themeFill="accent1" w:themeFillTint="33"/>
            <w:vAlign w:val="center"/>
          </w:tcPr>
          <w:p w14:paraId="0525A34B" w14:textId="77777777" w:rsidR="00E01D5B" w:rsidRPr="003D6170" w:rsidRDefault="00E01D5B" w:rsidP="003D6170">
            <w:pPr>
              <w:ind w:left="0"/>
            </w:pPr>
            <w:r w:rsidRPr="003D6170">
              <w:rPr>
                <w:b/>
                <w:i/>
                <w:sz w:val="20"/>
                <w:szCs w:val="20"/>
              </w:rPr>
              <w:t>Názov prioritnej osi</w:t>
            </w:r>
          </w:p>
        </w:tc>
        <w:tc>
          <w:tcPr>
            <w:tcW w:w="3534" w:type="dxa"/>
            <w:vAlign w:val="center"/>
          </w:tcPr>
          <w:p w14:paraId="0FF62088" w14:textId="77777777" w:rsidR="00E01D5B" w:rsidRPr="00750A42" w:rsidRDefault="005139F6" w:rsidP="005139F6">
            <w:pPr>
              <w:ind w:left="0"/>
              <w:rPr>
                <w:sz w:val="20"/>
                <w:szCs w:val="20"/>
              </w:rPr>
            </w:pPr>
            <w:r>
              <w:rPr>
                <w:sz w:val="20"/>
                <w:szCs w:val="20"/>
              </w:rPr>
              <w:t>Infraštruktúra vodnej dopravy (TEN-T CORE)</w:t>
            </w:r>
          </w:p>
        </w:tc>
      </w:tr>
    </w:tbl>
    <w:p w14:paraId="7F0C9C9F" w14:textId="77777777" w:rsidR="00E01D5B" w:rsidRDefault="00E01D5B" w:rsidP="00E01D5B">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01D5B" w:rsidRPr="00765DFA" w14:paraId="2A18CA05" w14:textId="77777777" w:rsidTr="002E1021">
        <w:trPr>
          <w:trHeight w:val="255"/>
          <w:jc w:val="center"/>
        </w:trPr>
        <w:tc>
          <w:tcPr>
            <w:tcW w:w="4396" w:type="dxa"/>
            <w:shd w:val="clear" w:color="auto" w:fill="DBE5F1" w:themeFill="accent1" w:themeFillTint="33"/>
            <w:vAlign w:val="center"/>
          </w:tcPr>
          <w:p w14:paraId="21E176D3" w14:textId="77777777" w:rsidR="00E01D5B" w:rsidRPr="00765DFA" w:rsidRDefault="00E01D5B"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61984841" w14:textId="77777777" w:rsidR="00E01D5B" w:rsidRPr="00765DFA" w:rsidRDefault="00E01D5B" w:rsidP="005139F6">
            <w:pPr>
              <w:ind w:left="0"/>
              <w:rPr>
                <w:sz w:val="20"/>
                <w:szCs w:val="20"/>
              </w:rPr>
            </w:pPr>
            <w:r>
              <w:rPr>
                <w:sz w:val="20"/>
                <w:szCs w:val="20"/>
              </w:rPr>
              <w:t>Nie</w:t>
            </w:r>
          </w:p>
        </w:tc>
      </w:tr>
      <w:tr w:rsidR="00E01D5B" w:rsidRPr="00765DFA" w14:paraId="0BDFC576" w14:textId="77777777" w:rsidTr="002E1021">
        <w:trPr>
          <w:trHeight w:val="255"/>
          <w:jc w:val="center"/>
        </w:trPr>
        <w:tc>
          <w:tcPr>
            <w:tcW w:w="4396" w:type="dxa"/>
            <w:shd w:val="clear" w:color="auto" w:fill="DBE5F1" w:themeFill="accent1" w:themeFillTint="33"/>
            <w:vAlign w:val="center"/>
          </w:tcPr>
          <w:p w14:paraId="140AE495" w14:textId="77777777" w:rsidR="00E01D5B" w:rsidRPr="00765DFA" w:rsidRDefault="00E01D5B"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00EFD58A" w14:textId="77777777" w:rsidR="00E01D5B" w:rsidRPr="00765DFA" w:rsidRDefault="00E01D5B" w:rsidP="005139F6">
            <w:pPr>
              <w:ind w:left="0"/>
              <w:rPr>
                <w:sz w:val="20"/>
                <w:szCs w:val="20"/>
              </w:rPr>
            </w:pPr>
            <w:r>
              <w:rPr>
                <w:sz w:val="20"/>
                <w:szCs w:val="20"/>
              </w:rPr>
              <w:t>Nie</w:t>
            </w:r>
          </w:p>
        </w:tc>
      </w:tr>
      <w:tr w:rsidR="00E01D5B" w:rsidRPr="00750A42" w14:paraId="17370C81" w14:textId="77777777" w:rsidTr="002E1021">
        <w:trPr>
          <w:trHeight w:val="70"/>
          <w:jc w:val="center"/>
        </w:trPr>
        <w:tc>
          <w:tcPr>
            <w:tcW w:w="4396" w:type="dxa"/>
            <w:shd w:val="clear" w:color="auto" w:fill="DBE5F1" w:themeFill="accent1" w:themeFillTint="33"/>
            <w:vAlign w:val="center"/>
          </w:tcPr>
          <w:p w14:paraId="22A6E76F" w14:textId="77777777" w:rsidR="00E01D5B" w:rsidRPr="00765DFA" w:rsidRDefault="00E01D5B"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780948B4" w14:textId="77777777" w:rsidR="00E01D5B" w:rsidRPr="00750A42" w:rsidRDefault="00E01D5B" w:rsidP="005139F6">
            <w:pPr>
              <w:ind w:left="0"/>
              <w:rPr>
                <w:sz w:val="20"/>
                <w:szCs w:val="20"/>
              </w:rPr>
            </w:pPr>
            <w:r>
              <w:rPr>
                <w:sz w:val="20"/>
                <w:szCs w:val="20"/>
              </w:rPr>
              <w:t>Nie</w:t>
            </w:r>
          </w:p>
        </w:tc>
      </w:tr>
      <w:tr w:rsidR="00E01D5B" w:rsidRPr="00765DFA" w14:paraId="0380A771" w14:textId="77777777" w:rsidTr="002E1021">
        <w:trPr>
          <w:jc w:val="center"/>
        </w:trPr>
        <w:tc>
          <w:tcPr>
            <w:tcW w:w="4396" w:type="dxa"/>
            <w:shd w:val="clear" w:color="auto" w:fill="DBE5F1" w:themeFill="accent1" w:themeFillTint="33"/>
          </w:tcPr>
          <w:p w14:paraId="35E76A56" w14:textId="77777777" w:rsidR="00E01D5B" w:rsidRPr="00765DFA" w:rsidRDefault="00E01D5B"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09E724EF" w14:textId="77777777" w:rsidR="00E01D5B" w:rsidRPr="00765DFA" w:rsidRDefault="00E01D5B" w:rsidP="005139F6">
            <w:pPr>
              <w:ind w:left="0"/>
              <w:rPr>
                <w:sz w:val="20"/>
                <w:szCs w:val="20"/>
              </w:rPr>
            </w:pPr>
            <w:r>
              <w:rPr>
                <w:sz w:val="20"/>
                <w:szCs w:val="20"/>
              </w:rPr>
              <w:t>N/A</w:t>
            </w:r>
          </w:p>
        </w:tc>
      </w:tr>
    </w:tbl>
    <w:p w14:paraId="79A43984" w14:textId="77777777" w:rsidR="00307AAF" w:rsidRDefault="006D24A5" w:rsidP="002B03EB">
      <w:pPr>
        <w:pStyle w:val="Nadpis3"/>
      </w:pPr>
      <w:bookmarkStart w:id="44" w:name="_Toc28951606"/>
      <w:r>
        <w:t>Fond, kategória regiónu a</w:t>
      </w:r>
      <w:r w:rsidR="000A60F9">
        <w:t> </w:t>
      </w:r>
      <w:r>
        <w:t>základ pre výpočet podpory Únie</w:t>
      </w:r>
      <w:bookmarkEnd w:id="44"/>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60"/>
        <w:gridCol w:w="3478"/>
      </w:tblGrid>
      <w:tr w:rsidR="006D24A5" w14:paraId="5CA470F8" w14:textId="77777777" w:rsidTr="00173210">
        <w:trPr>
          <w:trHeight w:val="255"/>
          <w:jc w:val="center"/>
        </w:trPr>
        <w:tc>
          <w:tcPr>
            <w:tcW w:w="4460" w:type="dxa"/>
            <w:shd w:val="clear" w:color="auto" w:fill="DBE5F1" w:themeFill="accent1" w:themeFillTint="33"/>
            <w:vAlign w:val="center"/>
          </w:tcPr>
          <w:p w14:paraId="2C3F883F" w14:textId="77777777" w:rsidR="006D24A5" w:rsidRPr="001124FB" w:rsidRDefault="006D24A5" w:rsidP="001124FB">
            <w:pPr>
              <w:ind w:left="0"/>
              <w:rPr>
                <w:b/>
                <w:i/>
                <w:sz w:val="20"/>
                <w:szCs w:val="20"/>
              </w:rPr>
            </w:pPr>
            <w:r w:rsidRPr="001124FB">
              <w:rPr>
                <w:b/>
                <w:i/>
                <w:sz w:val="20"/>
                <w:szCs w:val="20"/>
              </w:rPr>
              <w:t>Fond</w:t>
            </w:r>
          </w:p>
        </w:tc>
        <w:tc>
          <w:tcPr>
            <w:tcW w:w="3478" w:type="dxa"/>
            <w:vAlign w:val="center"/>
          </w:tcPr>
          <w:p w14:paraId="1C5AA624" w14:textId="77777777" w:rsidR="006D24A5" w:rsidRPr="001124FB" w:rsidRDefault="006D24A5" w:rsidP="00173210">
            <w:pPr>
              <w:ind w:left="0"/>
              <w:rPr>
                <w:sz w:val="20"/>
                <w:szCs w:val="20"/>
              </w:rPr>
            </w:pPr>
            <w:r w:rsidRPr="001124FB">
              <w:rPr>
                <w:sz w:val="20"/>
                <w:szCs w:val="20"/>
              </w:rPr>
              <w:t>Kohézny fond</w:t>
            </w:r>
          </w:p>
        </w:tc>
      </w:tr>
      <w:tr w:rsidR="006D24A5" w14:paraId="0EFBB890" w14:textId="77777777" w:rsidTr="00173210">
        <w:trPr>
          <w:trHeight w:val="255"/>
          <w:jc w:val="center"/>
        </w:trPr>
        <w:tc>
          <w:tcPr>
            <w:tcW w:w="4460" w:type="dxa"/>
            <w:shd w:val="clear" w:color="auto" w:fill="DBE5F1" w:themeFill="accent1" w:themeFillTint="33"/>
            <w:vAlign w:val="center"/>
          </w:tcPr>
          <w:p w14:paraId="2B8EB548" w14:textId="77777777" w:rsidR="006D24A5" w:rsidRPr="001124FB" w:rsidRDefault="006D24A5" w:rsidP="001124FB">
            <w:pPr>
              <w:ind w:left="0"/>
              <w:rPr>
                <w:b/>
                <w:i/>
                <w:sz w:val="20"/>
                <w:szCs w:val="20"/>
              </w:rPr>
            </w:pPr>
            <w:r w:rsidRPr="001124FB">
              <w:rPr>
                <w:b/>
                <w:i/>
                <w:sz w:val="20"/>
                <w:szCs w:val="20"/>
              </w:rPr>
              <w:t>Kategória regiónu</w:t>
            </w:r>
          </w:p>
        </w:tc>
        <w:tc>
          <w:tcPr>
            <w:tcW w:w="3478" w:type="dxa"/>
            <w:vAlign w:val="center"/>
          </w:tcPr>
          <w:p w14:paraId="1CCD672C" w14:textId="77777777" w:rsidR="006D24A5" w:rsidRPr="001124FB" w:rsidRDefault="006D24A5" w:rsidP="00173210">
            <w:pPr>
              <w:ind w:left="0"/>
              <w:rPr>
                <w:sz w:val="20"/>
                <w:szCs w:val="20"/>
              </w:rPr>
            </w:pPr>
            <w:r w:rsidRPr="001124FB">
              <w:rPr>
                <w:sz w:val="20"/>
                <w:szCs w:val="20"/>
              </w:rPr>
              <w:t>N/A</w:t>
            </w:r>
          </w:p>
        </w:tc>
      </w:tr>
      <w:tr w:rsidR="006D24A5" w14:paraId="0F3EC196" w14:textId="77777777" w:rsidTr="00173210">
        <w:trPr>
          <w:trHeight w:val="255"/>
          <w:jc w:val="center"/>
        </w:trPr>
        <w:tc>
          <w:tcPr>
            <w:tcW w:w="4460" w:type="dxa"/>
            <w:shd w:val="clear" w:color="auto" w:fill="DBE5F1" w:themeFill="accent1" w:themeFillTint="33"/>
            <w:vAlign w:val="center"/>
          </w:tcPr>
          <w:p w14:paraId="69E41AEA" w14:textId="77777777" w:rsidR="006D24A5" w:rsidRPr="001124FB" w:rsidRDefault="006D24A5" w:rsidP="001124FB">
            <w:pPr>
              <w:ind w:left="0"/>
              <w:rPr>
                <w:b/>
                <w:i/>
                <w:sz w:val="20"/>
                <w:szCs w:val="20"/>
              </w:rPr>
            </w:pPr>
            <w:r w:rsidRPr="001124FB">
              <w:rPr>
                <w:b/>
                <w:i/>
                <w:sz w:val="20"/>
                <w:szCs w:val="20"/>
              </w:rPr>
              <w:t>Základ pre výpočet (celkový príspevok)</w:t>
            </w:r>
          </w:p>
        </w:tc>
        <w:tc>
          <w:tcPr>
            <w:tcW w:w="3478" w:type="dxa"/>
            <w:vAlign w:val="center"/>
          </w:tcPr>
          <w:p w14:paraId="6EE98275" w14:textId="51F5E318" w:rsidR="006D24A5" w:rsidRPr="001124FB" w:rsidRDefault="006C7788" w:rsidP="006C7788">
            <w:pPr>
              <w:ind w:left="0"/>
              <w:rPr>
                <w:sz w:val="20"/>
                <w:szCs w:val="20"/>
                <w:lang w:val="en-US"/>
              </w:rPr>
            </w:pPr>
            <w:r>
              <w:rPr>
                <w:sz w:val="20"/>
                <w:szCs w:val="20"/>
                <w:lang w:val="en-US"/>
              </w:rPr>
              <w:t>128 780 000</w:t>
            </w:r>
            <w:r w:rsidR="00662EB4">
              <w:rPr>
                <w:sz w:val="20"/>
                <w:szCs w:val="20"/>
                <w:lang w:val="en-US"/>
              </w:rPr>
              <w:t xml:space="preserve"> EUR</w:t>
            </w:r>
          </w:p>
        </w:tc>
      </w:tr>
      <w:tr w:rsidR="006D24A5" w14:paraId="703ABE3E" w14:textId="77777777" w:rsidTr="00173210">
        <w:trPr>
          <w:jc w:val="center"/>
        </w:trPr>
        <w:tc>
          <w:tcPr>
            <w:tcW w:w="4460" w:type="dxa"/>
            <w:shd w:val="clear" w:color="auto" w:fill="DBE5F1" w:themeFill="accent1" w:themeFillTint="33"/>
          </w:tcPr>
          <w:p w14:paraId="75954D5D" w14:textId="77777777" w:rsidR="006D24A5" w:rsidRPr="001124FB" w:rsidRDefault="006D24A5" w:rsidP="00017B79">
            <w:pPr>
              <w:ind w:left="0"/>
              <w:rPr>
                <w:b/>
                <w:i/>
                <w:sz w:val="20"/>
                <w:szCs w:val="20"/>
              </w:rPr>
            </w:pPr>
            <w:r w:rsidRPr="001124FB">
              <w:rPr>
                <w:b/>
                <w:i/>
                <w:sz w:val="20"/>
                <w:szCs w:val="20"/>
              </w:rPr>
              <w:t>Kategória regiónu pre najvzdialenejšie a</w:t>
            </w:r>
            <w:r w:rsidR="000A60F9">
              <w:rPr>
                <w:b/>
                <w:i/>
                <w:sz w:val="20"/>
                <w:szCs w:val="20"/>
              </w:rPr>
              <w:t> </w:t>
            </w:r>
            <w:r w:rsidRPr="001124FB">
              <w:rPr>
                <w:b/>
                <w:i/>
                <w:sz w:val="20"/>
                <w:szCs w:val="20"/>
              </w:rPr>
              <w:t>severné riedko osídlené regióny (ak je to vhodné)</w:t>
            </w:r>
          </w:p>
        </w:tc>
        <w:tc>
          <w:tcPr>
            <w:tcW w:w="3478" w:type="dxa"/>
            <w:vAlign w:val="center"/>
          </w:tcPr>
          <w:p w14:paraId="7BC5D9A0" w14:textId="77777777" w:rsidR="006D24A5" w:rsidRPr="001124FB" w:rsidRDefault="006D24A5" w:rsidP="00173210">
            <w:pPr>
              <w:ind w:left="0"/>
              <w:rPr>
                <w:sz w:val="20"/>
                <w:szCs w:val="20"/>
              </w:rPr>
            </w:pPr>
            <w:r w:rsidRPr="001124FB">
              <w:rPr>
                <w:sz w:val="20"/>
                <w:szCs w:val="20"/>
              </w:rPr>
              <w:t>N/A</w:t>
            </w:r>
          </w:p>
        </w:tc>
      </w:tr>
    </w:tbl>
    <w:p w14:paraId="18A138C0" w14:textId="77777777" w:rsidR="00307AAF" w:rsidRDefault="006D24A5" w:rsidP="002B03EB">
      <w:pPr>
        <w:pStyle w:val="Nadpis3"/>
        <w:tabs>
          <w:tab w:val="clear" w:pos="851"/>
          <w:tab w:val="num" w:pos="709"/>
        </w:tabs>
        <w:ind w:left="709" w:hanging="709"/>
      </w:pPr>
      <w:bookmarkStart w:id="45" w:name="_Toc28951607"/>
      <w:r>
        <w:t xml:space="preserve">INVESTIČNÁ PRIORITA </w:t>
      </w:r>
      <w:r w:rsidR="00E01D5B">
        <w:t>7</w:t>
      </w:r>
      <w:r w:rsidR="001E4D8B">
        <w:t>i</w:t>
      </w:r>
      <w:r w:rsidR="00E01D5B">
        <w:t>)</w:t>
      </w:r>
      <w:r>
        <w:t xml:space="preserve">: </w:t>
      </w:r>
      <w:r w:rsidR="00481558" w:rsidRPr="00481558">
        <w:t>Podpora multimodálneho jednotného európskeho dopravného priestoru pomocou investícií do TEN-T</w:t>
      </w:r>
      <w:bookmarkEnd w:id="45"/>
    </w:p>
    <w:p w14:paraId="7C0AEAB3" w14:textId="77777777" w:rsidR="00307AAF" w:rsidRDefault="006D24A5" w:rsidP="002B03EB">
      <w:pPr>
        <w:pStyle w:val="Nadpis4"/>
      </w:pPr>
      <w:r>
        <w:t>Špecifické ciele investičnej priority a</w:t>
      </w:r>
      <w:r w:rsidR="000A60F9">
        <w:t> </w:t>
      </w:r>
      <w:r>
        <w:t>očakávané výsledky</w:t>
      </w:r>
    </w:p>
    <w:p w14:paraId="49DAC3C5" w14:textId="6792454D" w:rsidR="006D24A5" w:rsidRPr="006B762B" w:rsidRDefault="006D24A5" w:rsidP="002E1021">
      <w:pPr>
        <w:shd w:val="clear" w:color="auto" w:fill="FFFFCC"/>
        <w:jc w:val="both"/>
        <w:rPr>
          <w:b/>
          <w:i/>
        </w:rPr>
      </w:pPr>
      <w:r w:rsidRPr="004F0234">
        <w:rPr>
          <w:i/>
        </w:rPr>
        <w:t xml:space="preserve">ŠPECIFICKÝ CIEĽ </w:t>
      </w:r>
      <w:r w:rsidR="00E87153">
        <w:rPr>
          <w:i/>
        </w:rPr>
        <w:t>4.</w:t>
      </w:r>
      <w:r>
        <w:rPr>
          <w:i/>
        </w:rPr>
        <w:t>1</w:t>
      </w:r>
      <w:r w:rsidRPr="004F0234">
        <w:rPr>
          <w:i/>
        </w:rPr>
        <w:t>:</w:t>
      </w:r>
      <w:r w:rsidR="00481558">
        <w:rPr>
          <w:i/>
        </w:rPr>
        <w:t xml:space="preserve"> </w:t>
      </w:r>
      <w:r w:rsidR="008C4A20">
        <w:rPr>
          <w:b/>
          <w:i/>
        </w:rPr>
        <w:t xml:space="preserve">Zlepšenie kvality služieb poskytovaných </w:t>
      </w:r>
      <w:r w:rsidR="00B947A1">
        <w:rPr>
          <w:b/>
          <w:i/>
        </w:rPr>
        <w:t>na dunajskej vodnej ceste</w:t>
      </w:r>
      <w:r w:rsidR="007C1462">
        <w:rPr>
          <w:b/>
          <w:i/>
        </w:rPr>
        <w:t xml:space="preserve"> </w:t>
      </w:r>
    </w:p>
    <w:p w14:paraId="68954863" w14:textId="77777777" w:rsidR="00A438EA" w:rsidRDefault="00A438EA" w:rsidP="00FA4C5A">
      <w:pPr>
        <w:spacing w:before="180"/>
        <w:jc w:val="both"/>
        <w:rPr>
          <w:sz w:val="22"/>
          <w:szCs w:val="22"/>
        </w:rPr>
      </w:pPr>
      <w:r>
        <w:rPr>
          <w:sz w:val="22"/>
          <w:szCs w:val="22"/>
        </w:rPr>
        <w:t>V Strategickom pláne bola pre oblasť rozvoja vodnej dopravy určená vízia „</w:t>
      </w:r>
      <w:r>
        <w:rPr>
          <w:i/>
          <w:sz w:val="22"/>
          <w:szCs w:val="22"/>
        </w:rPr>
        <w:t>modernej,</w:t>
      </w:r>
      <w:r w:rsidRPr="003B202F">
        <w:rPr>
          <w:i/>
          <w:sz w:val="22"/>
          <w:szCs w:val="22"/>
        </w:rPr>
        <w:t xml:space="preserve"> </w:t>
      </w:r>
      <w:r>
        <w:rPr>
          <w:i/>
          <w:sz w:val="22"/>
          <w:szCs w:val="22"/>
        </w:rPr>
        <w:t>bezpečnej a integrovanej infraštruktúry a prevádzky vodnej dopravy</w:t>
      </w:r>
      <w:r>
        <w:rPr>
          <w:sz w:val="22"/>
          <w:szCs w:val="22"/>
        </w:rPr>
        <w:t xml:space="preserve">“. </w:t>
      </w:r>
      <w:r w:rsidR="00606C35">
        <w:rPr>
          <w:sz w:val="22"/>
          <w:szCs w:val="22"/>
        </w:rPr>
        <w:t>Pre</w:t>
      </w:r>
      <w:r w:rsidR="00CA1383">
        <w:rPr>
          <w:sz w:val="22"/>
          <w:szCs w:val="22"/>
        </w:rPr>
        <w:t xml:space="preserve"> dosiahnutie</w:t>
      </w:r>
      <w:r w:rsidR="00606C35">
        <w:rPr>
          <w:sz w:val="22"/>
          <w:szCs w:val="22"/>
        </w:rPr>
        <w:t xml:space="preserve"> tejto</w:t>
      </w:r>
      <w:r>
        <w:rPr>
          <w:sz w:val="22"/>
          <w:szCs w:val="22"/>
        </w:rPr>
        <w:t xml:space="preserve"> vízie</w:t>
      </w:r>
      <w:r w:rsidR="00606C35">
        <w:rPr>
          <w:sz w:val="22"/>
          <w:szCs w:val="22"/>
        </w:rPr>
        <w:t xml:space="preserve"> </w:t>
      </w:r>
      <w:r w:rsidR="00CA1383">
        <w:rPr>
          <w:sz w:val="22"/>
          <w:szCs w:val="22"/>
        </w:rPr>
        <w:t>boli</w:t>
      </w:r>
      <w:r w:rsidR="00606C35">
        <w:rPr>
          <w:sz w:val="22"/>
          <w:szCs w:val="22"/>
        </w:rPr>
        <w:t xml:space="preserve"> </w:t>
      </w:r>
      <w:r w:rsidR="00395343">
        <w:rPr>
          <w:sz w:val="22"/>
          <w:szCs w:val="22"/>
        </w:rPr>
        <w:t>definované</w:t>
      </w:r>
      <w:r w:rsidR="00606C35">
        <w:rPr>
          <w:sz w:val="22"/>
          <w:szCs w:val="22"/>
        </w:rPr>
        <w:t xml:space="preserve"> strategické ciele zamerané</w:t>
      </w:r>
      <w:r>
        <w:rPr>
          <w:sz w:val="22"/>
          <w:szCs w:val="22"/>
        </w:rPr>
        <w:t xml:space="preserve"> na </w:t>
      </w:r>
      <w:r w:rsidRPr="00606C35">
        <w:rPr>
          <w:i/>
          <w:sz w:val="22"/>
          <w:szCs w:val="22"/>
        </w:rPr>
        <w:t>„</w:t>
      </w:r>
      <w:r w:rsidR="00606C35" w:rsidRPr="00606C35">
        <w:rPr>
          <w:i/>
          <w:sz w:val="22"/>
          <w:szCs w:val="22"/>
        </w:rPr>
        <w:t>r</w:t>
      </w:r>
      <w:r w:rsidRPr="00606C35">
        <w:rPr>
          <w:i/>
          <w:sz w:val="22"/>
          <w:szCs w:val="22"/>
        </w:rPr>
        <w:t>ozvoj, modernizáciu a rekonštrukciu infraštruktúry vodných ciest“</w:t>
      </w:r>
      <w:r>
        <w:rPr>
          <w:sz w:val="22"/>
          <w:szCs w:val="22"/>
        </w:rPr>
        <w:t xml:space="preserve"> a</w:t>
      </w:r>
      <w:r w:rsidR="00410C90">
        <w:rPr>
          <w:sz w:val="22"/>
          <w:szCs w:val="22"/>
        </w:rPr>
        <w:t> </w:t>
      </w:r>
      <w:r w:rsidRPr="00606C35">
        <w:rPr>
          <w:i/>
          <w:sz w:val="22"/>
          <w:szCs w:val="22"/>
        </w:rPr>
        <w:t>„</w:t>
      </w:r>
      <w:r w:rsidR="00606C35" w:rsidRPr="00606C35">
        <w:rPr>
          <w:i/>
          <w:sz w:val="22"/>
          <w:szCs w:val="22"/>
        </w:rPr>
        <w:t>ú</w:t>
      </w:r>
      <w:r w:rsidRPr="00606C35">
        <w:rPr>
          <w:i/>
          <w:sz w:val="22"/>
          <w:szCs w:val="22"/>
        </w:rPr>
        <w:t>držbu, obnovu, modernizáciu a rozvoj infraštruktúry verejných prístavov</w:t>
      </w:r>
      <w:r w:rsidR="00606C35">
        <w:rPr>
          <w:i/>
          <w:sz w:val="22"/>
          <w:szCs w:val="22"/>
        </w:rPr>
        <w:t>“</w:t>
      </w:r>
      <w:r>
        <w:rPr>
          <w:sz w:val="22"/>
          <w:szCs w:val="22"/>
        </w:rPr>
        <w:t>.</w:t>
      </w:r>
      <w:r w:rsidRPr="006229E8">
        <w:rPr>
          <w:sz w:val="22"/>
          <w:szCs w:val="22"/>
        </w:rPr>
        <w:t xml:space="preserve"> </w:t>
      </w:r>
      <w:r>
        <w:rPr>
          <w:sz w:val="22"/>
          <w:szCs w:val="22"/>
        </w:rPr>
        <w:t>Aktivity plánované na</w:t>
      </w:r>
      <w:r w:rsidR="00410C90">
        <w:rPr>
          <w:sz w:val="22"/>
          <w:szCs w:val="22"/>
        </w:rPr>
        <w:t> </w:t>
      </w:r>
      <w:r>
        <w:rPr>
          <w:sz w:val="22"/>
          <w:szCs w:val="22"/>
        </w:rPr>
        <w:t>realizáciu v prioritnej osi významným spôsobom prispejú k naplneniu týchto cieľov a vízie.</w:t>
      </w:r>
    </w:p>
    <w:p w14:paraId="4206E66A" w14:textId="77777777" w:rsidR="002F2B02" w:rsidRDefault="002F2B02" w:rsidP="002F2B02">
      <w:pPr>
        <w:spacing w:before="180"/>
        <w:jc w:val="both"/>
        <w:rPr>
          <w:sz w:val="22"/>
          <w:szCs w:val="22"/>
        </w:rPr>
      </w:pPr>
      <w:r w:rsidRPr="00115BDD">
        <w:rPr>
          <w:sz w:val="22"/>
          <w:szCs w:val="22"/>
        </w:rPr>
        <w:t>Dunaj ako vodná cesta medzinárodného významu by mala podľa medzinárodnej klasifikácie vnútrozemských vodných ciest zabezpečiť určitú dopravnú výkonnosť minimálne 300 dní v</w:t>
      </w:r>
      <w:r w:rsidR="000A60F9" w:rsidRPr="00115BDD">
        <w:rPr>
          <w:sz w:val="22"/>
          <w:szCs w:val="22"/>
        </w:rPr>
        <w:t> </w:t>
      </w:r>
      <w:r w:rsidRPr="00115BDD">
        <w:rPr>
          <w:sz w:val="22"/>
          <w:szCs w:val="22"/>
        </w:rPr>
        <w:t>roku podľa kritérií EHK OSN a</w:t>
      </w:r>
      <w:r w:rsidR="000A60F9" w:rsidRPr="00115BDD">
        <w:rPr>
          <w:sz w:val="22"/>
          <w:szCs w:val="22"/>
        </w:rPr>
        <w:t> </w:t>
      </w:r>
      <w:r w:rsidRPr="00115BDD">
        <w:rPr>
          <w:sz w:val="22"/>
          <w:szCs w:val="22"/>
        </w:rPr>
        <w:t>Dunajskej komisie.</w:t>
      </w:r>
      <w:r>
        <w:rPr>
          <w:sz w:val="22"/>
          <w:szCs w:val="22"/>
        </w:rPr>
        <w:t xml:space="preserve"> Dunaj</w:t>
      </w:r>
      <w:r w:rsidRPr="000B131A">
        <w:rPr>
          <w:sz w:val="22"/>
          <w:szCs w:val="22"/>
        </w:rPr>
        <w:t xml:space="preserve"> s</w:t>
      </w:r>
      <w:r w:rsidR="000A60F9">
        <w:rPr>
          <w:sz w:val="22"/>
          <w:szCs w:val="22"/>
        </w:rPr>
        <w:t> </w:t>
      </w:r>
      <w:r w:rsidRPr="000B131A">
        <w:rPr>
          <w:sz w:val="22"/>
          <w:szCs w:val="22"/>
        </w:rPr>
        <w:t xml:space="preserve">priemernou využiteľnosťou ponoru plavidiel 19 dm </w:t>
      </w:r>
      <w:r>
        <w:rPr>
          <w:sz w:val="22"/>
          <w:szCs w:val="22"/>
        </w:rPr>
        <w:t>aktuálne disponuje mierou splavnosti na úrovni približne</w:t>
      </w:r>
      <w:r w:rsidRPr="000B131A">
        <w:rPr>
          <w:sz w:val="22"/>
          <w:szCs w:val="22"/>
        </w:rPr>
        <w:t xml:space="preserve"> 60 % celoročnej plavebnej prevádzky</w:t>
      </w:r>
      <w:r>
        <w:rPr>
          <w:sz w:val="22"/>
          <w:szCs w:val="22"/>
        </w:rPr>
        <w:t>.</w:t>
      </w:r>
    </w:p>
    <w:p w14:paraId="1DC2524B" w14:textId="27839C7F" w:rsidR="00D1110F" w:rsidRDefault="002F2B02" w:rsidP="002F2B02">
      <w:pPr>
        <w:spacing w:before="180"/>
        <w:jc w:val="both"/>
        <w:rPr>
          <w:b/>
          <w:sz w:val="22"/>
          <w:szCs w:val="22"/>
        </w:rPr>
      </w:pPr>
      <w:r>
        <w:rPr>
          <w:sz w:val="22"/>
          <w:szCs w:val="22"/>
        </w:rPr>
        <w:t>Aktivity v</w:t>
      </w:r>
      <w:r w:rsidR="000A60F9">
        <w:rPr>
          <w:sz w:val="22"/>
          <w:szCs w:val="22"/>
        </w:rPr>
        <w:t> </w:t>
      </w:r>
      <w:r>
        <w:rPr>
          <w:sz w:val="22"/>
          <w:szCs w:val="22"/>
        </w:rPr>
        <w:t>rámci špecifického cieľa budú zamerané</w:t>
      </w:r>
      <w:r w:rsidR="003A2021">
        <w:rPr>
          <w:sz w:val="22"/>
          <w:szCs w:val="22"/>
        </w:rPr>
        <w:t xml:space="preserve"> najmä</w:t>
      </w:r>
      <w:r>
        <w:rPr>
          <w:sz w:val="22"/>
          <w:szCs w:val="22"/>
        </w:rPr>
        <w:t xml:space="preserve"> na </w:t>
      </w:r>
      <w:r w:rsidRPr="0022561E">
        <w:rPr>
          <w:b/>
          <w:sz w:val="22"/>
          <w:szCs w:val="22"/>
        </w:rPr>
        <w:t xml:space="preserve">spracovanie </w:t>
      </w:r>
      <w:r>
        <w:rPr>
          <w:b/>
          <w:sz w:val="22"/>
          <w:szCs w:val="22"/>
        </w:rPr>
        <w:t>predprojektovej prípravy</w:t>
      </w:r>
      <w:r w:rsidR="00373CC0">
        <w:rPr>
          <w:b/>
          <w:sz w:val="22"/>
          <w:szCs w:val="22"/>
        </w:rPr>
        <w:t xml:space="preserve">, </w:t>
      </w:r>
      <w:r w:rsidR="00D1110F">
        <w:rPr>
          <w:b/>
          <w:sz w:val="22"/>
          <w:szCs w:val="22"/>
        </w:rPr>
        <w:t>vypracovanie príslušných</w:t>
      </w:r>
      <w:r>
        <w:rPr>
          <w:b/>
          <w:sz w:val="22"/>
          <w:szCs w:val="22"/>
        </w:rPr>
        <w:t xml:space="preserve"> </w:t>
      </w:r>
      <w:r w:rsidRPr="0022561E">
        <w:rPr>
          <w:b/>
          <w:sz w:val="22"/>
          <w:szCs w:val="22"/>
        </w:rPr>
        <w:t>štúdií realizovateľnosti</w:t>
      </w:r>
      <w:r>
        <w:rPr>
          <w:b/>
          <w:sz w:val="22"/>
          <w:szCs w:val="22"/>
        </w:rPr>
        <w:t xml:space="preserve"> a</w:t>
      </w:r>
      <w:r w:rsidR="000A60F9">
        <w:rPr>
          <w:b/>
          <w:sz w:val="22"/>
          <w:szCs w:val="22"/>
        </w:rPr>
        <w:t> </w:t>
      </w:r>
      <w:r w:rsidRPr="00945E64">
        <w:rPr>
          <w:b/>
          <w:sz w:val="22"/>
          <w:szCs w:val="22"/>
        </w:rPr>
        <w:t xml:space="preserve">prípravu </w:t>
      </w:r>
      <w:r>
        <w:rPr>
          <w:b/>
          <w:sz w:val="22"/>
          <w:szCs w:val="22"/>
        </w:rPr>
        <w:t xml:space="preserve">jednotlivých stupňov </w:t>
      </w:r>
      <w:r w:rsidRPr="00945E64">
        <w:rPr>
          <w:b/>
          <w:sz w:val="22"/>
          <w:szCs w:val="22"/>
        </w:rPr>
        <w:t>projektovej dokumentácie</w:t>
      </w:r>
      <w:r>
        <w:rPr>
          <w:b/>
          <w:sz w:val="22"/>
          <w:szCs w:val="22"/>
        </w:rPr>
        <w:t>.</w:t>
      </w:r>
      <w:r w:rsidR="004017EA">
        <w:rPr>
          <w:b/>
          <w:sz w:val="22"/>
          <w:szCs w:val="22"/>
        </w:rPr>
        <w:t xml:space="preserve"> </w:t>
      </w:r>
      <w:r w:rsidR="0070645C">
        <w:rPr>
          <w:b/>
          <w:sz w:val="22"/>
          <w:szCs w:val="22"/>
        </w:rPr>
        <w:t>P</w:t>
      </w:r>
      <w:r w:rsidR="004017EA">
        <w:rPr>
          <w:b/>
          <w:sz w:val="22"/>
          <w:szCs w:val="22"/>
        </w:rPr>
        <w:t>okiaľ ide o prípravu podrobnejš</w:t>
      </w:r>
      <w:r w:rsidR="00D1110F">
        <w:rPr>
          <w:b/>
          <w:sz w:val="22"/>
          <w:szCs w:val="22"/>
        </w:rPr>
        <w:t>ej</w:t>
      </w:r>
      <w:r w:rsidR="004017EA">
        <w:rPr>
          <w:b/>
          <w:sz w:val="22"/>
          <w:szCs w:val="22"/>
        </w:rPr>
        <w:t xml:space="preserve"> projektovej dokumentácie</w:t>
      </w:r>
      <w:r w:rsidR="0070645C">
        <w:rPr>
          <w:b/>
          <w:sz w:val="22"/>
          <w:szCs w:val="22"/>
        </w:rPr>
        <w:t xml:space="preserve"> projektov zameraných na zlepšenie splavnosti dunajskej vodnej cesty</w:t>
      </w:r>
      <w:r w:rsidR="004017EA">
        <w:rPr>
          <w:b/>
          <w:sz w:val="22"/>
          <w:szCs w:val="22"/>
        </w:rPr>
        <w:t xml:space="preserve">, </w:t>
      </w:r>
      <w:r w:rsidR="00F63A96">
        <w:rPr>
          <w:b/>
          <w:sz w:val="22"/>
          <w:szCs w:val="22"/>
        </w:rPr>
        <w:t>resp. realizačné aktivity,</w:t>
      </w:r>
      <w:r w:rsidR="007C1462">
        <w:rPr>
          <w:b/>
          <w:sz w:val="22"/>
          <w:szCs w:val="22"/>
        </w:rPr>
        <w:t xml:space="preserve"> </w:t>
      </w:r>
      <w:r w:rsidR="004017EA">
        <w:rPr>
          <w:b/>
          <w:sz w:val="22"/>
          <w:szCs w:val="22"/>
        </w:rPr>
        <w:t>bu</w:t>
      </w:r>
      <w:r w:rsidR="000060B9">
        <w:rPr>
          <w:b/>
          <w:sz w:val="22"/>
          <w:szCs w:val="22"/>
        </w:rPr>
        <w:t>dú možné len za predpokladu, že </w:t>
      </w:r>
      <w:r w:rsidR="004017EA">
        <w:rPr>
          <w:b/>
          <w:sz w:val="22"/>
          <w:szCs w:val="22"/>
        </w:rPr>
        <w:t>bude zabezpečený súlad s príslušnými právnymi predpismi EÚ, najmä so smernicou o biotopoch a Rámcovou smernicou o vode a že bude na základe analýzy altern</w:t>
      </w:r>
      <w:r w:rsidR="003976F3">
        <w:rPr>
          <w:b/>
          <w:sz w:val="22"/>
          <w:szCs w:val="22"/>
        </w:rPr>
        <w:t>atív vybraná environmentálne</w:t>
      </w:r>
      <w:r w:rsidR="004017EA">
        <w:rPr>
          <w:b/>
          <w:sz w:val="22"/>
          <w:szCs w:val="22"/>
        </w:rPr>
        <w:t xml:space="preserve"> vhodnejšia voľba.</w:t>
      </w:r>
      <w:r w:rsidR="00727030">
        <w:rPr>
          <w:b/>
          <w:sz w:val="22"/>
          <w:szCs w:val="22"/>
        </w:rPr>
        <w:t xml:space="preserve"> V prípade aktivít modernizácie a výstavby </w:t>
      </w:r>
      <w:r w:rsidR="00373CC0">
        <w:rPr>
          <w:b/>
          <w:sz w:val="22"/>
          <w:szCs w:val="22"/>
        </w:rPr>
        <w:t>v</w:t>
      </w:r>
      <w:r w:rsidR="00727030">
        <w:rPr>
          <w:b/>
          <w:sz w:val="22"/>
          <w:szCs w:val="22"/>
        </w:rPr>
        <w:t>erejn</w:t>
      </w:r>
      <w:r w:rsidR="00F63A96">
        <w:rPr>
          <w:b/>
          <w:sz w:val="22"/>
          <w:szCs w:val="22"/>
        </w:rPr>
        <w:t>ých</w:t>
      </w:r>
      <w:r w:rsidR="00727030">
        <w:rPr>
          <w:b/>
          <w:sz w:val="22"/>
          <w:szCs w:val="22"/>
        </w:rPr>
        <w:t xml:space="preserve"> prístav</w:t>
      </w:r>
      <w:r w:rsidR="00F63A96">
        <w:rPr>
          <w:b/>
          <w:sz w:val="22"/>
          <w:szCs w:val="22"/>
        </w:rPr>
        <w:t>ov</w:t>
      </w:r>
      <w:r w:rsidR="00727030">
        <w:rPr>
          <w:b/>
          <w:sz w:val="22"/>
          <w:szCs w:val="22"/>
        </w:rPr>
        <w:t xml:space="preserve"> v</w:t>
      </w:r>
      <w:r w:rsidR="00F63A96">
        <w:rPr>
          <w:b/>
          <w:sz w:val="22"/>
          <w:szCs w:val="22"/>
        </w:rPr>
        <w:t> </w:t>
      </w:r>
      <w:r w:rsidR="00727030">
        <w:rPr>
          <w:b/>
          <w:sz w:val="22"/>
          <w:szCs w:val="22"/>
        </w:rPr>
        <w:t>Bratislave</w:t>
      </w:r>
      <w:r w:rsidR="00F63A96">
        <w:rPr>
          <w:b/>
          <w:sz w:val="22"/>
          <w:szCs w:val="22"/>
        </w:rPr>
        <w:t xml:space="preserve"> a Komárne</w:t>
      </w:r>
      <w:r w:rsidR="00727030">
        <w:rPr>
          <w:b/>
          <w:sz w:val="22"/>
          <w:szCs w:val="22"/>
        </w:rPr>
        <w:t xml:space="preserve"> sa predpokladá realizácia za predpokladu splnenia podmienok spojených so štátnou pomocou.</w:t>
      </w:r>
    </w:p>
    <w:p w14:paraId="42DBBC4C" w14:textId="77777777" w:rsidR="002F2B02" w:rsidRDefault="002F2B02" w:rsidP="002F2B02">
      <w:pPr>
        <w:spacing w:before="180"/>
        <w:jc w:val="both"/>
        <w:rPr>
          <w:sz w:val="22"/>
          <w:szCs w:val="22"/>
        </w:rPr>
      </w:pPr>
      <w:r>
        <w:rPr>
          <w:sz w:val="22"/>
          <w:szCs w:val="22"/>
        </w:rPr>
        <w:t>Prípadná realizácia investičných a</w:t>
      </w:r>
      <w:r w:rsidRPr="00E92F9B">
        <w:rPr>
          <w:sz w:val="22"/>
          <w:szCs w:val="22"/>
        </w:rPr>
        <w:t>ktiv</w:t>
      </w:r>
      <w:r>
        <w:rPr>
          <w:sz w:val="22"/>
          <w:szCs w:val="22"/>
        </w:rPr>
        <w:t xml:space="preserve">ít bude mať pozitívny vplyv </w:t>
      </w:r>
      <w:r w:rsidRPr="00E92F9B">
        <w:rPr>
          <w:sz w:val="22"/>
          <w:szCs w:val="22"/>
        </w:rPr>
        <w:t>na celý priľahlý podunajský región</w:t>
      </w:r>
      <w:r>
        <w:rPr>
          <w:sz w:val="22"/>
          <w:szCs w:val="22"/>
        </w:rPr>
        <w:t xml:space="preserve"> a</w:t>
      </w:r>
      <w:r w:rsidR="000A60F9">
        <w:rPr>
          <w:sz w:val="22"/>
          <w:szCs w:val="22"/>
        </w:rPr>
        <w:t> </w:t>
      </w:r>
      <w:r w:rsidRPr="00E92F9B">
        <w:rPr>
          <w:sz w:val="22"/>
          <w:szCs w:val="22"/>
        </w:rPr>
        <w:t>prispej</w:t>
      </w:r>
      <w:r>
        <w:rPr>
          <w:sz w:val="22"/>
          <w:szCs w:val="22"/>
        </w:rPr>
        <w:t>e</w:t>
      </w:r>
      <w:r w:rsidRPr="00E92F9B">
        <w:rPr>
          <w:sz w:val="22"/>
          <w:szCs w:val="22"/>
        </w:rPr>
        <w:t xml:space="preserve"> k</w:t>
      </w:r>
      <w:r w:rsidR="000A60F9">
        <w:rPr>
          <w:sz w:val="22"/>
          <w:szCs w:val="22"/>
        </w:rPr>
        <w:t> </w:t>
      </w:r>
      <w:r w:rsidRPr="00E92F9B">
        <w:rPr>
          <w:sz w:val="22"/>
          <w:szCs w:val="22"/>
        </w:rPr>
        <w:t>nap</w:t>
      </w:r>
      <w:r>
        <w:rPr>
          <w:sz w:val="22"/>
          <w:szCs w:val="22"/>
        </w:rPr>
        <w:t>ĺ</w:t>
      </w:r>
      <w:r w:rsidRPr="00E92F9B">
        <w:rPr>
          <w:sz w:val="22"/>
          <w:szCs w:val="22"/>
        </w:rPr>
        <w:t xml:space="preserve">ňaniu cieľov </w:t>
      </w:r>
      <w:r w:rsidR="0099153F">
        <w:rPr>
          <w:sz w:val="22"/>
          <w:szCs w:val="22"/>
        </w:rPr>
        <w:t>dunajskej stratégie</w:t>
      </w:r>
      <w:r w:rsidR="008F1A11">
        <w:rPr>
          <w:sz w:val="22"/>
          <w:szCs w:val="22"/>
        </w:rPr>
        <w:t xml:space="preserve">, </w:t>
      </w:r>
      <w:r w:rsidR="008F1A11" w:rsidRPr="008F1A11">
        <w:rPr>
          <w:sz w:val="22"/>
          <w:szCs w:val="22"/>
        </w:rPr>
        <w:t>prioritne pre plnenie</w:t>
      </w:r>
      <w:r w:rsidR="008F1A11">
        <w:rPr>
          <w:sz w:val="22"/>
          <w:szCs w:val="22"/>
        </w:rPr>
        <w:t xml:space="preserve"> cieľa „</w:t>
      </w:r>
      <w:r w:rsidR="008F1A11" w:rsidRPr="008F1A11">
        <w:rPr>
          <w:i/>
          <w:sz w:val="22"/>
          <w:szCs w:val="22"/>
        </w:rPr>
        <w:t>1. Zlepšenie mobility a multimodality, 1a Vnútrozemské vodné cesty</w:t>
      </w:r>
      <w:r w:rsidR="008F1A11" w:rsidRPr="008F1A11">
        <w:rPr>
          <w:sz w:val="22"/>
          <w:szCs w:val="22"/>
        </w:rPr>
        <w:t>“.</w:t>
      </w:r>
      <w:r w:rsidR="008149D0">
        <w:rPr>
          <w:sz w:val="22"/>
          <w:szCs w:val="22"/>
        </w:rPr>
        <w:t xml:space="preserve"> </w:t>
      </w:r>
    </w:p>
    <w:p w14:paraId="02D37A2B" w14:textId="77777777" w:rsidR="000060B9" w:rsidRDefault="000060B9" w:rsidP="002F2B02">
      <w:pPr>
        <w:spacing w:before="180"/>
        <w:jc w:val="both"/>
        <w:rPr>
          <w:sz w:val="22"/>
          <w:szCs w:val="22"/>
        </w:rPr>
      </w:pPr>
    </w:p>
    <w:p w14:paraId="06026CD6" w14:textId="77777777" w:rsidR="008149D0" w:rsidRPr="006B677D" w:rsidRDefault="008149D0" w:rsidP="002F2B02">
      <w:pPr>
        <w:spacing w:before="180"/>
        <w:jc w:val="both"/>
        <w:rPr>
          <w:sz w:val="22"/>
          <w:szCs w:val="22"/>
        </w:rPr>
      </w:pPr>
      <w:r w:rsidRPr="006B677D">
        <w:rPr>
          <w:sz w:val="22"/>
          <w:szCs w:val="22"/>
        </w:rPr>
        <w:t xml:space="preserve">Uvažované projekty </w:t>
      </w:r>
      <w:r w:rsidR="00253579" w:rsidRPr="006B677D">
        <w:rPr>
          <w:sz w:val="22"/>
          <w:szCs w:val="22"/>
        </w:rPr>
        <w:t>prioritnej osi 4</w:t>
      </w:r>
      <w:r w:rsidRPr="006B677D">
        <w:rPr>
          <w:sz w:val="22"/>
          <w:szCs w:val="22"/>
        </w:rPr>
        <w:t xml:space="preserve"> majú potenciál prispieť k štyrom základným cieľom prioritnej oblasti 1a Dunajskej stratégie, t.</w:t>
      </w:r>
      <w:r w:rsidR="00DF686B">
        <w:rPr>
          <w:sz w:val="22"/>
          <w:szCs w:val="22"/>
        </w:rPr>
        <w:t> </w:t>
      </w:r>
      <w:r w:rsidRPr="006B677D">
        <w:rPr>
          <w:sz w:val="22"/>
          <w:szCs w:val="22"/>
        </w:rPr>
        <w:t>j</w:t>
      </w:r>
      <w:r w:rsidR="00DF686B">
        <w:rPr>
          <w:sz w:val="22"/>
          <w:szCs w:val="22"/>
        </w:rPr>
        <w:t>.</w:t>
      </w:r>
      <w:r w:rsidRPr="006B677D">
        <w:rPr>
          <w:sz w:val="22"/>
          <w:szCs w:val="22"/>
        </w:rPr>
        <w:t>:</w:t>
      </w:r>
    </w:p>
    <w:p w14:paraId="2615FD7A" w14:textId="77777777" w:rsidR="009E0158" w:rsidRDefault="008149D0" w:rsidP="00356B6C">
      <w:pPr>
        <w:pStyle w:val="Odsekzoznamu"/>
        <w:numPr>
          <w:ilvl w:val="1"/>
          <w:numId w:val="46"/>
        </w:numPr>
        <w:spacing w:before="120"/>
        <w:ind w:left="567" w:hanging="283"/>
        <w:jc w:val="both"/>
        <w:rPr>
          <w:bCs/>
          <w:color w:val="000000"/>
          <w:sz w:val="22"/>
          <w:szCs w:val="22"/>
        </w:rPr>
      </w:pPr>
      <w:r w:rsidRPr="000060B9">
        <w:rPr>
          <w:bCs/>
          <w:color w:val="000000"/>
          <w:sz w:val="22"/>
          <w:szCs w:val="22"/>
        </w:rPr>
        <w:lastRenderedPageBreak/>
        <w:t>Nárast nákladnej prepravy na rieke o</w:t>
      </w:r>
      <w:r w:rsidR="000060B9">
        <w:rPr>
          <w:bCs/>
          <w:color w:val="000000"/>
          <w:sz w:val="22"/>
          <w:szCs w:val="22"/>
        </w:rPr>
        <w:t> </w:t>
      </w:r>
      <w:r w:rsidRPr="000060B9">
        <w:rPr>
          <w:bCs/>
          <w:color w:val="000000"/>
          <w:sz w:val="22"/>
          <w:szCs w:val="22"/>
        </w:rPr>
        <w:t>20</w:t>
      </w:r>
      <w:r w:rsidR="000060B9">
        <w:rPr>
          <w:bCs/>
          <w:color w:val="000000"/>
          <w:sz w:val="22"/>
          <w:szCs w:val="22"/>
        </w:rPr>
        <w:t> </w:t>
      </w:r>
      <w:r w:rsidRPr="000060B9">
        <w:rPr>
          <w:bCs/>
          <w:color w:val="000000"/>
          <w:sz w:val="22"/>
          <w:szCs w:val="22"/>
        </w:rPr>
        <w:t>% do roku 2020 v porovnaní s rokom 2010,</w:t>
      </w:r>
    </w:p>
    <w:p w14:paraId="34A9F07A" w14:textId="77777777" w:rsidR="009E0158" w:rsidRDefault="008149D0" w:rsidP="00356B6C">
      <w:pPr>
        <w:pStyle w:val="Odsekzoznamu"/>
        <w:numPr>
          <w:ilvl w:val="1"/>
          <w:numId w:val="46"/>
        </w:numPr>
        <w:spacing w:before="60"/>
        <w:ind w:left="567" w:hanging="283"/>
        <w:jc w:val="both"/>
        <w:rPr>
          <w:color w:val="000000"/>
          <w:sz w:val="22"/>
          <w:szCs w:val="22"/>
        </w:rPr>
      </w:pPr>
      <w:r w:rsidRPr="000060B9">
        <w:rPr>
          <w:color w:val="000000"/>
          <w:sz w:val="22"/>
          <w:szCs w:val="22"/>
        </w:rPr>
        <w:t>Vyriešiť prekážky splavnosti, berúc do úvahy špecifické charakteristiky jednotlivých úsekov Dunaja,</w:t>
      </w:r>
    </w:p>
    <w:p w14:paraId="767B47A1" w14:textId="77777777" w:rsidR="009E0158" w:rsidRDefault="008149D0" w:rsidP="00356B6C">
      <w:pPr>
        <w:pStyle w:val="Odsekzoznamu"/>
        <w:numPr>
          <w:ilvl w:val="1"/>
          <w:numId w:val="46"/>
        </w:numPr>
        <w:spacing w:before="60"/>
        <w:ind w:left="567" w:hanging="283"/>
        <w:jc w:val="both"/>
        <w:rPr>
          <w:color w:val="000000"/>
          <w:sz w:val="22"/>
          <w:szCs w:val="22"/>
        </w:rPr>
      </w:pPr>
      <w:r w:rsidRPr="000060B9">
        <w:rPr>
          <w:color w:val="000000"/>
          <w:sz w:val="22"/>
          <w:szCs w:val="22"/>
        </w:rPr>
        <w:t>Vybudovať efektívne multimodálne terminály v prístavoch pozdĺž Dunaja,</w:t>
      </w:r>
    </w:p>
    <w:p w14:paraId="7277E2BC" w14:textId="77777777" w:rsidR="009E0158" w:rsidRDefault="008149D0" w:rsidP="00356B6C">
      <w:pPr>
        <w:pStyle w:val="Odsekzoznamu"/>
        <w:numPr>
          <w:ilvl w:val="1"/>
          <w:numId w:val="46"/>
        </w:numPr>
        <w:spacing w:before="60"/>
        <w:ind w:left="567" w:hanging="283"/>
        <w:jc w:val="both"/>
        <w:rPr>
          <w:color w:val="000000"/>
          <w:sz w:val="22"/>
          <w:szCs w:val="22"/>
        </w:rPr>
      </w:pPr>
      <w:r w:rsidRPr="000060B9">
        <w:rPr>
          <w:color w:val="000000"/>
          <w:sz w:val="22"/>
          <w:szCs w:val="22"/>
        </w:rPr>
        <w:t>Implementovať harmonizované Riečne informačné služby (RIS) na Dunaji.</w:t>
      </w:r>
    </w:p>
    <w:p w14:paraId="7C423676" w14:textId="77777777" w:rsidR="008149D0" w:rsidRPr="006B677D" w:rsidRDefault="00253579" w:rsidP="000060B9">
      <w:pPr>
        <w:spacing w:before="240"/>
        <w:jc w:val="both"/>
        <w:rPr>
          <w:color w:val="000000"/>
          <w:sz w:val="22"/>
          <w:szCs w:val="22"/>
        </w:rPr>
      </w:pPr>
      <w:r w:rsidRPr="006B677D">
        <w:rPr>
          <w:color w:val="000000"/>
          <w:sz w:val="22"/>
          <w:szCs w:val="22"/>
        </w:rPr>
        <w:t xml:space="preserve">Všetky projekty </w:t>
      </w:r>
      <w:r w:rsidR="000060B9">
        <w:rPr>
          <w:color w:val="000000"/>
          <w:sz w:val="22"/>
          <w:szCs w:val="22"/>
        </w:rPr>
        <w:t>p</w:t>
      </w:r>
      <w:r w:rsidRPr="006B677D">
        <w:rPr>
          <w:color w:val="000000"/>
          <w:sz w:val="22"/>
          <w:szCs w:val="22"/>
        </w:rPr>
        <w:t>rioritnej osi sú plne v súlade s cieľmi Dunajskej stratégie. Prednosť dostane ekologický prístup pri zabezpečení týchto cieľov</w:t>
      </w:r>
      <w:r w:rsidR="00EC6CF0">
        <w:rPr>
          <w:color w:val="000000"/>
          <w:sz w:val="22"/>
          <w:szCs w:val="22"/>
        </w:rPr>
        <w:t xml:space="preserve">. </w:t>
      </w:r>
      <w:r w:rsidRPr="006B677D">
        <w:rPr>
          <w:color w:val="000000"/>
          <w:sz w:val="22"/>
          <w:szCs w:val="22"/>
        </w:rPr>
        <w:t>Zlepšenie splavnosti vodnej cesty Dunaj podpor</w:t>
      </w:r>
      <w:r w:rsidR="00011DA5">
        <w:rPr>
          <w:color w:val="000000"/>
          <w:sz w:val="22"/>
          <w:szCs w:val="22"/>
        </w:rPr>
        <w:t xml:space="preserve">í nárast nákladnej </w:t>
      </w:r>
      <w:r w:rsidR="00BC1FAC">
        <w:rPr>
          <w:color w:val="000000"/>
          <w:sz w:val="22"/>
          <w:szCs w:val="22"/>
        </w:rPr>
        <w:t xml:space="preserve">a osobnej </w:t>
      </w:r>
      <w:r w:rsidRPr="006B677D">
        <w:rPr>
          <w:color w:val="000000"/>
          <w:sz w:val="22"/>
          <w:szCs w:val="22"/>
        </w:rPr>
        <w:t>lodnej dopravy, ktorá podporí dopyt po službách prístavov na</w:t>
      </w:r>
      <w:r w:rsidR="00EC6CF0">
        <w:rPr>
          <w:color w:val="000000"/>
          <w:sz w:val="22"/>
          <w:szCs w:val="22"/>
        </w:rPr>
        <w:t xml:space="preserve"> </w:t>
      </w:r>
      <w:r w:rsidRPr="006B677D">
        <w:rPr>
          <w:color w:val="000000"/>
          <w:sz w:val="22"/>
          <w:szCs w:val="22"/>
        </w:rPr>
        <w:t>Dunaj</w:t>
      </w:r>
      <w:r w:rsidR="00727030" w:rsidRPr="006B677D">
        <w:rPr>
          <w:color w:val="000000"/>
          <w:sz w:val="22"/>
          <w:szCs w:val="22"/>
        </w:rPr>
        <w:t>i</w:t>
      </w:r>
      <w:r w:rsidR="00EC6CF0">
        <w:rPr>
          <w:color w:val="000000"/>
          <w:sz w:val="22"/>
          <w:szCs w:val="22"/>
        </w:rPr>
        <w:t xml:space="preserve"> </w:t>
      </w:r>
      <w:r w:rsidR="00727030" w:rsidRPr="006B677D">
        <w:rPr>
          <w:color w:val="000000"/>
          <w:sz w:val="22"/>
          <w:szCs w:val="22"/>
        </w:rPr>
        <w:t>ako celku</w:t>
      </w:r>
      <w:r w:rsidRPr="006B677D">
        <w:rPr>
          <w:color w:val="000000"/>
          <w:sz w:val="22"/>
          <w:szCs w:val="22"/>
        </w:rPr>
        <w:t xml:space="preserve">. </w:t>
      </w:r>
    </w:p>
    <w:p w14:paraId="133049ED" w14:textId="77777777" w:rsidR="007712BE" w:rsidRPr="001B2070" w:rsidRDefault="007712BE"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w:t>
      </w:r>
      <w:r w:rsidR="006D24A5" w:rsidRPr="001B2070">
        <w:rPr>
          <w:rFonts w:ascii="Arial Narrow" w:hAnsi="Arial Narrow"/>
          <w:b/>
          <w:i/>
          <w:color w:val="548DD4" w:themeColor="text2" w:themeTint="99"/>
          <w:sz w:val="22"/>
          <w:szCs w:val="22"/>
        </w:rPr>
        <w:t>ÝSLEDKY</w:t>
      </w:r>
    </w:p>
    <w:p w14:paraId="3E90C2B8" w14:textId="42EE412D" w:rsidR="009E0158" w:rsidRDefault="00E63B65" w:rsidP="00356B6C">
      <w:pPr>
        <w:pStyle w:val="Odsekzoznamu"/>
        <w:numPr>
          <w:ilvl w:val="0"/>
          <w:numId w:val="48"/>
        </w:numPr>
        <w:autoSpaceDE w:val="0"/>
        <w:autoSpaceDN w:val="0"/>
        <w:adjustRightInd w:val="0"/>
        <w:jc w:val="both"/>
        <w:rPr>
          <w:color w:val="000000" w:themeColor="text1"/>
          <w:sz w:val="22"/>
          <w:szCs w:val="22"/>
        </w:rPr>
      </w:pPr>
      <w:r>
        <w:rPr>
          <w:color w:val="000000" w:themeColor="text1"/>
          <w:sz w:val="22"/>
          <w:szCs w:val="22"/>
        </w:rPr>
        <w:t>zlepšenie kvality verejných služieb poskytovaných v</w:t>
      </w:r>
      <w:r w:rsidR="000A60F9">
        <w:rPr>
          <w:color w:val="000000" w:themeColor="text1"/>
          <w:sz w:val="22"/>
          <w:szCs w:val="22"/>
        </w:rPr>
        <w:t> </w:t>
      </w:r>
      <w:r>
        <w:rPr>
          <w:color w:val="000000" w:themeColor="text1"/>
          <w:sz w:val="22"/>
          <w:szCs w:val="22"/>
        </w:rPr>
        <w:t>prístav</w:t>
      </w:r>
      <w:r w:rsidR="00F63A96">
        <w:rPr>
          <w:color w:val="000000" w:themeColor="text1"/>
          <w:sz w:val="22"/>
          <w:szCs w:val="22"/>
        </w:rPr>
        <w:t>och</w:t>
      </w:r>
      <w:r>
        <w:rPr>
          <w:color w:val="000000" w:themeColor="text1"/>
          <w:sz w:val="22"/>
          <w:szCs w:val="22"/>
        </w:rPr>
        <w:t xml:space="preserve"> v</w:t>
      </w:r>
      <w:r w:rsidR="00F63A96">
        <w:rPr>
          <w:color w:val="000000" w:themeColor="text1"/>
          <w:sz w:val="22"/>
          <w:szCs w:val="22"/>
        </w:rPr>
        <w:t> </w:t>
      </w:r>
      <w:r>
        <w:rPr>
          <w:color w:val="000000" w:themeColor="text1"/>
          <w:sz w:val="22"/>
          <w:szCs w:val="22"/>
        </w:rPr>
        <w:t>Bratislave</w:t>
      </w:r>
      <w:r w:rsidR="00F63A96">
        <w:rPr>
          <w:color w:val="000000" w:themeColor="text1"/>
          <w:sz w:val="22"/>
          <w:szCs w:val="22"/>
        </w:rPr>
        <w:t xml:space="preserve"> a Komárne</w:t>
      </w:r>
      <w:r>
        <w:rPr>
          <w:color w:val="000000" w:themeColor="text1"/>
          <w:sz w:val="22"/>
          <w:szCs w:val="22"/>
        </w:rPr>
        <w:t>,</w:t>
      </w:r>
    </w:p>
    <w:p w14:paraId="528ADA78" w14:textId="77777777" w:rsidR="009E0158" w:rsidRDefault="00E63B65" w:rsidP="00356B6C">
      <w:pPr>
        <w:pStyle w:val="Odsekzoznamu"/>
        <w:numPr>
          <w:ilvl w:val="0"/>
          <w:numId w:val="48"/>
        </w:numPr>
        <w:autoSpaceDE w:val="0"/>
        <w:autoSpaceDN w:val="0"/>
        <w:adjustRightInd w:val="0"/>
        <w:jc w:val="both"/>
        <w:rPr>
          <w:color w:val="000000" w:themeColor="text1"/>
          <w:sz w:val="22"/>
          <w:szCs w:val="22"/>
        </w:rPr>
      </w:pPr>
      <w:r>
        <w:rPr>
          <w:color w:val="000000" w:themeColor="text1"/>
          <w:sz w:val="22"/>
          <w:szCs w:val="22"/>
        </w:rPr>
        <w:t>zvýšenie bezpečnosti</w:t>
      </w:r>
      <w:r w:rsidR="00C40AF1">
        <w:rPr>
          <w:color w:val="000000" w:themeColor="text1"/>
          <w:sz w:val="22"/>
          <w:szCs w:val="22"/>
        </w:rPr>
        <w:t xml:space="preserve"> vodnej dopravy</w:t>
      </w:r>
      <w:r>
        <w:rPr>
          <w:color w:val="000000" w:themeColor="text1"/>
          <w:sz w:val="22"/>
          <w:szCs w:val="22"/>
        </w:rPr>
        <w:t>,</w:t>
      </w:r>
    </w:p>
    <w:p w14:paraId="33EC0E54" w14:textId="77777777" w:rsidR="009E0158" w:rsidRDefault="00E63B65" w:rsidP="00356B6C">
      <w:pPr>
        <w:pStyle w:val="Odsekzoznamu"/>
        <w:numPr>
          <w:ilvl w:val="0"/>
          <w:numId w:val="48"/>
        </w:numPr>
        <w:autoSpaceDE w:val="0"/>
        <w:autoSpaceDN w:val="0"/>
        <w:adjustRightInd w:val="0"/>
        <w:spacing w:before="180"/>
        <w:jc w:val="both"/>
        <w:rPr>
          <w:color w:val="000000" w:themeColor="text1"/>
          <w:sz w:val="22"/>
          <w:szCs w:val="22"/>
        </w:rPr>
      </w:pPr>
      <w:r>
        <w:rPr>
          <w:color w:val="000000" w:themeColor="text1"/>
          <w:sz w:val="22"/>
          <w:szCs w:val="22"/>
        </w:rPr>
        <w:t>zníženie negatívnych vplyvov na životné prostredie</w:t>
      </w:r>
      <w:r w:rsidR="006B677D">
        <w:rPr>
          <w:color w:val="000000" w:themeColor="text1"/>
          <w:sz w:val="22"/>
          <w:szCs w:val="22"/>
        </w:rPr>
        <w:t xml:space="preserve"> (zníženie emisií </w:t>
      </w:r>
      <w:r w:rsidR="006B677D">
        <w:rPr>
          <w:sz w:val="22"/>
          <w:szCs w:val="22"/>
        </w:rPr>
        <w:t>CO</w:t>
      </w:r>
      <w:r w:rsidR="006B677D">
        <w:rPr>
          <w:sz w:val="22"/>
          <w:szCs w:val="22"/>
          <w:vertAlign w:val="subscript"/>
        </w:rPr>
        <w:t>2</w:t>
      </w:r>
      <w:r w:rsidR="006B677D">
        <w:rPr>
          <w:sz w:val="22"/>
          <w:szCs w:val="22"/>
        </w:rPr>
        <w:t>, NO</w:t>
      </w:r>
      <w:r w:rsidR="006B677D">
        <w:rPr>
          <w:sz w:val="22"/>
          <w:szCs w:val="22"/>
          <w:vertAlign w:val="subscript"/>
        </w:rPr>
        <w:t>2</w:t>
      </w:r>
      <w:r w:rsidR="006B677D">
        <w:rPr>
          <w:sz w:val="22"/>
          <w:szCs w:val="22"/>
        </w:rPr>
        <w:t xml:space="preserve"> a</w:t>
      </w:r>
      <w:r w:rsidR="00FB648D">
        <w:rPr>
          <w:sz w:val="22"/>
          <w:szCs w:val="22"/>
        </w:rPr>
        <w:t> </w:t>
      </w:r>
      <w:r w:rsidR="006B677D">
        <w:rPr>
          <w:sz w:val="22"/>
          <w:szCs w:val="22"/>
        </w:rPr>
        <w:t>PM</w:t>
      </w:r>
      <w:r w:rsidR="00307AAF" w:rsidRPr="00307AAF">
        <w:rPr>
          <w:sz w:val="22"/>
          <w:szCs w:val="22"/>
          <w:vertAlign w:val="subscript"/>
        </w:rPr>
        <w:t>10</w:t>
      </w:r>
      <w:r w:rsidR="006B677D">
        <w:rPr>
          <w:sz w:val="22"/>
          <w:szCs w:val="22"/>
        </w:rPr>
        <w:t xml:space="preserve"> a zlepšenie systému nakladania s</w:t>
      </w:r>
      <w:r w:rsidR="00453441">
        <w:rPr>
          <w:sz w:val="22"/>
          <w:szCs w:val="22"/>
        </w:rPr>
        <w:t xml:space="preserve"> odpadmi, </w:t>
      </w:r>
      <w:r w:rsidR="006B677D">
        <w:rPr>
          <w:sz w:val="22"/>
          <w:szCs w:val="22"/>
        </w:rPr>
        <w:t xml:space="preserve">prevádzkovými </w:t>
      </w:r>
      <w:r w:rsidR="00453441">
        <w:rPr>
          <w:sz w:val="22"/>
          <w:szCs w:val="22"/>
        </w:rPr>
        <w:t xml:space="preserve">a pohonnými </w:t>
      </w:r>
      <w:r w:rsidR="006B677D">
        <w:rPr>
          <w:sz w:val="22"/>
          <w:szCs w:val="22"/>
        </w:rPr>
        <w:t>hmotami</w:t>
      </w:r>
      <w:r w:rsidR="006B677D">
        <w:rPr>
          <w:color w:val="000000" w:themeColor="text1"/>
          <w:sz w:val="22"/>
          <w:szCs w:val="22"/>
        </w:rPr>
        <w:t>)</w:t>
      </w:r>
      <w:r w:rsidR="00065AE0">
        <w:rPr>
          <w:rStyle w:val="Odkaznapoznmkupodiarou"/>
          <w:color w:val="000000" w:themeColor="text1"/>
          <w:sz w:val="22"/>
          <w:szCs w:val="22"/>
        </w:rPr>
        <w:footnoteReference w:id="66"/>
      </w:r>
      <w:r>
        <w:rPr>
          <w:color w:val="000000" w:themeColor="text1"/>
          <w:sz w:val="22"/>
          <w:szCs w:val="22"/>
        </w:rPr>
        <w:t>,</w:t>
      </w:r>
    </w:p>
    <w:p w14:paraId="01EE731A" w14:textId="77777777" w:rsidR="009E0158" w:rsidRDefault="002F2B02" w:rsidP="00356B6C">
      <w:pPr>
        <w:pStyle w:val="Odsekzoznamu"/>
        <w:numPr>
          <w:ilvl w:val="0"/>
          <w:numId w:val="48"/>
        </w:numPr>
        <w:autoSpaceDE w:val="0"/>
        <w:autoSpaceDN w:val="0"/>
        <w:adjustRightInd w:val="0"/>
        <w:spacing w:before="180"/>
        <w:jc w:val="both"/>
        <w:rPr>
          <w:color w:val="000000" w:themeColor="text1"/>
          <w:sz w:val="22"/>
          <w:szCs w:val="22"/>
        </w:rPr>
      </w:pPr>
      <w:r>
        <w:rPr>
          <w:color w:val="000000" w:themeColor="text1"/>
          <w:sz w:val="22"/>
          <w:szCs w:val="22"/>
        </w:rPr>
        <w:t>vytváranie predpokladov na odstránenie kľúčových úzkych miest na infraštruktúre vodnej dopravy v</w:t>
      </w:r>
      <w:r w:rsidR="000A60F9">
        <w:rPr>
          <w:color w:val="000000" w:themeColor="text1"/>
          <w:sz w:val="22"/>
          <w:szCs w:val="22"/>
        </w:rPr>
        <w:t> </w:t>
      </w:r>
      <w:r>
        <w:rPr>
          <w:color w:val="000000" w:themeColor="text1"/>
          <w:sz w:val="22"/>
          <w:szCs w:val="22"/>
        </w:rPr>
        <w:t>TEN-T,</w:t>
      </w:r>
    </w:p>
    <w:p w14:paraId="33C263F8" w14:textId="77777777" w:rsidR="009E0158" w:rsidRDefault="00171EDB" w:rsidP="00356B6C">
      <w:pPr>
        <w:pStyle w:val="Odsekzoznamu"/>
        <w:numPr>
          <w:ilvl w:val="0"/>
          <w:numId w:val="48"/>
        </w:numPr>
        <w:autoSpaceDE w:val="0"/>
        <w:autoSpaceDN w:val="0"/>
        <w:adjustRightInd w:val="0"/>
        <w:spacing w:before="180"/>
        <w:jc w:val="both"/>
        <w:rPr>
          <w:color w:val="000000" w:themeColor="text1"/>
          <w:sz w:val="22"/>
          <w:szCs w:val="22"/>
        </w:rPr>
      </w:pPr>
      <w:r w:rsidRPr="00750184">
        <w:rPr>
          <w:color w:val="000000" w:themeColor="text1"/>
          <w:sz w:val="22"/>
          <w:szCs w:val="22"/>
        </w:rPr>
        <w:t xml:space="preserve">vytváranie predpokladov na zvýšenie podielu </w:t>
      </w:r>
      <w:r>
        <w:rPr>
          <w:color w:val="000000" w:themeColor="text1"/>
          <w:sz w:val="22"/>
          <w:szCs w:val="22"/>
        </w:rPr>
        <w:t>vodnej</w:t>
      </w:r>
      <w:r w:rsidRPr="00750184">
        <w:rPr>
          <w:color w:val="000000" w:themeColor="text1"/>
          <w:sz w:val="22"/>
          <w:szCs w:val="22"/>
        </w:rPr>
        <w:t xml:space="preserve"> dopravy na deľbe prepravnej práce</w:t>
      </w:r>
      <w:r>
        <w:rPr>
          <w:color w:val="000000" w:themeColor="text1"/>
          <w:sz w:val="22"/>
          <w:szCs w:val="22"/>
        </w:rPr>
        <w:t>.</w:t>
      </w:r>
    </w:p>
    <w:p w14:paraId="4381EB6D" w14:textId="77777777" w:rsidR="0060675C" w:rsidRDefault="006D24A5" w:rsidP="0060675C">
      <w:pPr>
        <w:pStyle w:val="Tab"/>
      </w:pPr>
      <w:r w:rsidRPr="004F0234">
        <w:t>Výsledkové ukazovatele zodpovedajúce špecifickému cieľu</w:t>
      </w:r>
      <w:r w:rsidR="003D6170">
        <w:t xml:space="preserve"> 4.1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6"/>
        <w:gridCol w:w="1427"/>
        <w:gridCol w:w="897"/>
        <w:gridCol w:w="995"/>
        <w:gridCol w:w="1297"/>
        <w:gridCol w:w="1297"/>
        <w:gridCol w:w="862"/>
        <w:gridCol w:w="911"/>
        <w:gridCol w:w="1185"/>
      </w:tblGrid>
      <w:tr w:rsidR="0060675C" w:rsidRPr="008C1732" w14:paraId="04B00BA4" w14:textId="77777777" w:rsidTr="006A6AAD">
        <w:trPr>
          <w:trHeight w:val="487"/>
          <w:jc w:val="center"/>
        </w:trPr>
        <w:tc>
          <w:tcPr>
            <w:tcW w:w="416" w:type="dxa"/>
            <w:shd w:val="clear" w:color="auto" w:fill="C6D9F1" w:themeFill="text2" w:themeFillTint="33"/>
            <w:vAlign w:val="center"/>
          </w:tcPr>
          <w:p w14:paraId="6A318644" w14:textId="77777777" w:rsidR="0060675C" w:rsidRPr="008C1732" w:rsidRDefault="0060675C" w:rsidP="00816B1A">
            <w:pPr>
              <w:ind w:left="0"/>
              <w:jc w:val="center"/>
              <w:rPr>
                <w:b/>
                <w:sz w:val="18"/>
                <w:szCs w:val="18"/>
              </w:rPr>
            </w:pPr>
            <w:r>
              <w:rPr>
                <w:b/>
                <w:sz w:val="18"/>
                <w:szCs w:val="18"/>
              </w:rPr>
              <w:t>P. č.</w:t>
            </w:r>
          </w:p>
        </w:tc>
        <w:tc>
          <w:tcPr>
            <w:tcW w:w="1427" w:type="dxa"/>
            <w:shd w:val="clear" w:color="auto" w:fill="C6D9F1" w:themeFill="text2" w:themeFillTint="33"/>
            <w:vAlign w:val="center"/>
          </w:tcPr>
          <w:p w14:paraId="08F8DE76" w14:textId="77777777" w:rsidR="0060675C" w:rsidRPr="008C1732" w:rsidRDefault="0060675C"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4E7AFCBA" w14:textId="77777777" w:rsidR="0060675C" w:rsidRPr="008C1732" w:rsidRDefault="0060675C" w:rsidP="00816B1A">
            <w:pPr>
              <w:ind w:left="0"/>
              <w:jc w:val="center"/>
              <w:rPr>
                <w:b/>
                <w:sz w:val="18"/>
                <w:szCs w:val="18"/>
              </w:rPr>
            </w:pPr>
            <w:r w:rsidRPr="008C1732">
              <w:rPr>
                <w:b/>
                <w:sz w:val="18"/>
                <w:szCs w:val="18"/>
              </w:rPr>
              <w:t>Merná jednotka</w:t>
            </w:r>
          </w:p>
        </w:tc>
        <w:tc>
          <w:tcPr>
            <w:tcW w:w="995" w:type="dxa"/>
            <w:shd w:val="clear" w:color="auto" w:fill="C6D9F1" w:themeFill="text2" w:themeFillTint="33"/>
            <w:vAlign w:val="center"/>
          </w:tcPr>
          <w:p w14:paraId="5F3E5DAF" w14:textId="77777777" w:rsidR="0060675C" w:rsidRPr="008C1732" w:rsidRDefault="0060675C"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769CF4E9" w14:textId="77777777" w:rsidR="0060675C" w:rsidRPr="008C1732" w:rsidRDefault="0060675C"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7E6C95E3" w14:textId="77777777" w:rsidR="0060675C" w:rsidRPr="008C1732" w:rsidRDefault="0060675C" w:rsidP="00816B1A">
            <w:pPr>
              <w:ind w:left="0"/>
              <w:jc w:val="center"/>
              <w:rPr>
                <w:b/>
                <w:sz w:val="18"/>
                <w:szCs w:val="18"/>
              </w:rPr>
            </w:pPr>
            <w:r>
              <w:rPr>
                <w:b/>
                <w:sz w:val="18"/>
                <w:szCs w:val="18"/>
              </w:rPr>
              <w:t>Východiskový rok</w:t>
            </w:r>
          </w:p>
        </w:tc>
        <w:tc>
          <w:tcPr>
            <w:tcW w:w="862" w:type="dxa"/>
            <w:shd w:val="clear" w:color="auto" w:fill="C6D9F1" w:themeFill="text2" w:themeFillTint="33"/>
            <w:vAlign w:val="center"/>
          </w:tcPr>
          <w:p w14:paraId="26BF206D" w14:textId="77777777" w:rsidR="0060675C" w:rsidRPr="008C1732" w:rsidRDefault="0060675C" w:rsidP="00816B1A">
            <w:pPr>
              <w:ind w:left="0"/>
              <w:jc w:val="center"/>
              <w:rPr>
                <w:b/>
                <w:sz w:val="18"/>
                <w:szCs w:val="18"/>
              </w:rPr>
            </w:pPr>
            <w:r w:rsidRPr="008C1732">
              <w:rPr>
                <w:b/>
                <w:sz w:val="18"/>
                <w:szCs w:val="18"/>
              </w:rPr>
              <w:t>Cieľová hodnota (2023)</w:t>
            </w:r>
          </w:p>
        </w:tc>
        <w:tc>
          <w:tcPr>
            <w:tcW w:w="911" w:type="dxa"/>
            <w:shd w:val="clear" w:color="auto" w:fill="C6D9F1" w:themeFill="text2" w:themeFillTint="33"/>
            <w:vAlign w:val="center"/>
          </w:tcPr>
          <w:p w14:paraId="0D4BABED" w14:textId="77777777" w:rsidR="0060675C" w:rsidRPr="008C1732" w:rsidRDefault="0060675C" w:rsidP="00816B1A">
            <w:pPr>
              <w:ind w:left="0"/>
              <w:jc w:val="center"/>
              <w:rPr>
                <w:b/>
                <w:sz w:val="18"/>
                <w:szCs w:val="18"/>
              </w:rPr>
            </w:pPr>
            <w:r w:rsidRPr="008C1732">
              <w:rPr>
                <w:b/>
                <w:sz w:val="18"/>
                <w:szCs w:val="18"/>
              </w:rPr>
              <w:t>Zdroj údajov</w:t>
            </w:r>
          </w:p>
        </w:tc>
        <w:tc>
          <w:tcPr>
            <w:tcW w:w="1185" w:type="dxa"/>
            <w:shd w:val="clear" w:color="auto" w:fill="C6D9F1" w:themeFill="text2" w:themeFillTint="33"/>
            <w:vAlign w:val="center"/>
          </w:tcPr>
          <w:p w14:paraId="2B0F4AA9" w14:textId="77777777" w:rsidR="0060675C" w:rsidRPr="008C1732" w:rsidRDefault="0060675C" w:rsidP="00816B1A">
            <w:pPr>
              <w:ind w:left="0"/>
              <w:jc w:val="center"/>
              <w:rPr>
                <w:b/>
                <w:sz w:val="18"/>
                <w:szCs w:val="18"/>
              </w:rPr>
            </w:pPr>
            <w:r w:rsidRPr="008C1732">
              <w:rPr>
                <w:b/>
                <w:sz w:val="18"/>
                <w:szCs w:val="18"/>
              </w:rPr>
              <w:t>Frekvencia vykazovania</w:t>
            </w:r>
          </w:p>
        </w:tc>
      </w:tr>
      <w:tr w:rsidR="0060675C" w:rsidRPr="00AB18C1" w14:paraId="4EF71B7B" w14:textId="77777777" w:rsidTr="006A6AAD">
        <w:trPr>
          <w:trHeight w:val="680"/>
          <w:jc w:val="center"/>
        </w:trPr>
        <w:tc>
          <w:tcPr>
            <w:tcW w:w="416" w:type="dxa"/>
            <w:shd w:val="clear" w:color="auto" w:fill="auto"/>
            <w:vAlign w:val="center"/>
          </w:tcPr>
          <w:p w14:paraId="70BB48AC" w14:textId="77777777" w:rsidR="0060675C" w:rsidRPr="00336C1F" w:rsidRDefault="0060675C" w:rsidP="00816B1A">
            <w:pPr>
              <w:ind w:left="0"/>
              <w:jc w:val="center"/>
              <w:rPr>
                <w:sz w:val="20"/>
                <w:szCs w:val="20"/>
              </w:rPr>
            </w:pPr>
            <w:r>
              <w:rPr>
                <w:sz w:val="20"/>
                <w:szCs w:val="20"/>
              </w:rPr>
              <w:t>1.</w:t>
            </w:r>
          </w:p>
        </w:tc>
        <w:tc>
          <w:tcPr>
            <w:tcW w:w="1427" w:type="dxa"/>
            <w:shd w:val="clear" w:color="auto" w:fill="auto"/>
            <w:vAlign w:val="center"/>
          </w:tcPr>
          <w:p w14:paraId="5BDFF43B" w14:textId="77777777" w:rsidR="0060675C" w:rsidRPr="00AB18C1" w:rsidRDefault="005F76B2" w:rsidP="00816B1A">
            <w:pPr>
              <w:ind w:left="0"/>
              <w:rPr>
                <w:sz w:val="20"/>
                <w:szCs w:val="20"/>
              </w:rPr>
            </w:pPr>
            <w:r>
              <w:rPr>
                <w:sz w:val="20"/>
                <w:szCs w:val="20"/>
              </w:rPr>
              <w:t>Objem zrealizovaných výkonov nákladnej dopravy vo verejnom prístave Bratislava</w:t>
            </w:r>
          </w:p>
        </w:tc>
        <w:tc>
          <w:tcPr>
            <w:tcW w:w="897" w:type="dxa"/>
            <w:shd w:val="clear" w:color="auto" w:fill="auto"/>
            <w:vAlign w:val="center"/>
          </w:tcPr>
          <w:p w14:paraId="39A95E1D" w14:textId="77777777" w:rsidR="0060675C" w:rsidRPr="00AB18C1" w:rsidRDefault="005F76B2" w:rsidP="00816B1A">
            <w:pPr>
              <w:ind w:left="0"/>
              <w:jc w:val="center"/>
              <w:rPr>
                <w:sz w:val="20"/>
                <w:szCs w:val="20"/>
              </w:rPr>
            </w:pPr>
            <w:r>
              <w:rPr>
                <w:sz w:val="20"/>
                <w:szCs w:val="20"/>
              </w:rPr>
              <w:t>tis. ton</w:t>
            </w:r>
          </w:p>
        </w:tc>
        <w:tc>
          <w:tcPr>
            <w:tcW w:w="995" w:type="dxa"/>
            <w:shd w:val="clear" w:color="auto" w:fill="auto"/>
            <w:vAlign w:val="center"/>
          </w:tcPr>
          <w:p w14:paraId="318C60D8" w14:textId="77777777" w:rsidR="0060675C" w:rsidRPr="00AB18C1" w:rsidRDefault="0060675C" w:rsidP="00816B1A">
            <w:pPr>
              <w:ind w:left="0"/>
              <w:jc w:val="center"/>
              <w:rPr>
                <w:sz w:val="20"/>
                <w:szCs w:val="20"/>
              </w:rPr>
            </w:pPr>
            <w:r w:rsidRPr="00AB18C1">
              <w:rPr>
                <w:sz w:val="20"/>
                <w:szCs w:val="20"/>
              </w:rPr>
              <w:t>N/A</w:t>
            </w:r>
          </w:p>
        </w:tc>
        <w:tc>
          <w:tcPr>
            <w:tcW w:w="1297" w:type="dxa"/>
            <w:vAlign w:val="center"/>
          </w:tcPr>
          <w:p w14:paraId="716BFDEE" w14:textId="77777777" w:rsidR="0060675C" w:rsidRPr="00AB18C1" w:rsidRDefault="000A60F9" w:rsidP="000A60F9">
            <w:pPr>
              <w:ind w:left="0"/>
              <w:jc w:val="center"/>
              <w:rPr>
                <w:sz w:val="20"/>
                <w:szCs w:val="20"/>
              </w:rPr>
            </w:pPr>
            <w:r>
              <w:rPr>
                <w:sz w:val="20"/>
                <w:szCs w:val="20"/>
              </w:rPr>
              <w:t>2 078</w:t>
            </w:r>
          </w:p>
        </w:tc>
        <w:tc>
          <w:tcPr>
            <w:tcW w:w="1297" w:type="dxa"/>
            <w:vAlign w:val="center"/>
          </w:tcPr>
          <w:p w14:paraId="56F98DE5" w14:textId="77777777" w:rsidR="0060675C" w:rsidRPr="00AB18C1" w:rsidRDefault="0060675C" w:rsidP="00816B1A">
            <w:pPr>
              <w:ind w:left="0"/>
              <w:jc w:val="center"/>
              <w:rPr>
                <w:sz w:val="20"/>
                <w:szCs w:val="20"/>
              </w:rPr>
            </w:pPr>
            <w:r w:rsidRPr="00AB18C1">
              <w:rPr>
                <w:sz w:val="20"/>
                <w:szCs w:val="20"/>
              </w:rPr>
              <w:t>2013</w:t>
            </w:r>
          </w:p>
        </w:tc>
        <w:tc>
          <w:tcPr>
            <w:tcW w:w="862" w:type="dxa"/>
            <w:shd w:val="clear" w:color="auto" w:fill="auto"/>
            <w:vAlign w:val="center"/>
          </w:tcPr>
          <w:p w14:paraId="3EC55C8A" w14:textId="77777777" w:rsidR="0060675C" w:rsidRPr="00AB18C1" w:rsidRDefault="000A60F9" w:rsidP="00816B1A">
            <w:pPr>
              <w:ind w:left="0"/>
              <w:jc w:val="center"/>
              <w:rPr>
                <w:sz w:val="20"/>
                <w:szCs w:val="20"/>
              </w:rPr>
            </w:pPr>
            <w:r>
              <w:rPr>
                <w:sz w:val="20"/>
                <w:szCs w:val="20"/>
              </w:rPr>
              <w:t>3 000</w:t>
            </w:r>
          </w:p>
        </w:tc>
        <w:tc>
          <w:tcPr>
            <w:tcW w:w="911" w:type="dxa"/>
            <w:vAlign w:val="center"/>
          </w:tcPr>
          <w:p w14:paraId="347BE583" w14:textId="4D8BCE0C" w:rsidR="0060675C" w:rsidRPr="00AB18C1" w:rsidRDefault="00DD0BE9" w:rsidP="00816B1A">
            <w:pPr>
              <w:ind w:left="0"/>
              <w:jc w:val="center"/>
              <w:rPr>
                <w:sz w:val="20"/>
                <w:szCs w:val="20"/>
              </w:rPr>
            </w:pPr>
            <w:r>
              <w:rPr>
                <w:sz w:val="20"/>
                <w:szCs w:val="20"/>
              </w:rPr>
              <w:t>Verejné prístavy</w:t>
            </w:r>
            <w:r w:rsidR="001C53E4">
              <w:rPr>
                <w:sz w:val="20"/>
                <w:szCs w:val="20"/>
              </w:rPr>
              <w:t>, a.</w:t>
            </w:r>
            <w:r w:rsidR="00EC09B6">
              <w:rPr>
                <w:sz w:val="20"/>
                <w:szCs w:val="20"/>
              </w:rPr>
              <w:t> </w:t>
            </w:r>
            <w:r w:rsidR="001C53E4">
              <w:rPr>
                <w:sz w:val="20"/>
                <w:szCs w:val="20"/>
              </w:rPr>
              <w:t>s.</w:t>
            </w:r>
          </w:p>
        </w:tc>
        <w:tc>
          <w:tcPr>
            <w:tcW w:w="1185" w:type="dxa"/>
            <w:vAlign w:val="center"/>
          </w:tcPr>
          <w:p w14:paraId="1020A218" w14:textId="77777777" w:rsidR="0060675C" w:rsidRPr="00AB18C1" w:rsidRDefault="0060675C" w:rsidP="00816B1A">
            <w:pPr>
              <w:ind w:left="0"/>
              <w:jc w:val="center"/>
              <w:rPr>
                <w:sz w:val="20"/>
                <w:szCs w:val="20"/>
              </w:rPr>
            </w:pPr>
            <w:r w:rsidRPr="00AB18C1">
              <w:rPr>
                <w:sz w:val="20"/>
                <w:szCs w:val="20"/>
              </w:rPr>
              <w:t>Ročne</w:t>
            </w:r>
          </w:p>
        </w:tc>
      </w:tr>
    </w:tbl>
    <w:p w14:paraId="78E61054" w14:textId="77777777" w:rsidR="00307AAF" w:rsidRDefault="00E01D5B" w:rsidP="002B03EB">
      <w:pPr>
        <w:pStyle w:val="Nadpis4"/>
      </w:pPr>
      <w:r>
        <w:t>Opis typu a príklady aktivít</w:t>
      </w:r>
    </w:p>
    <w:p w14:paraId="2D0D4DC5" w14:textId="77777777" w:rsidR="006D24A5" w:rsidRPr="00336C1F" w:rsidRDefault="00E01D5B" w:rsidP="006D24A5">
      <w:pPr>
        <w:spacing w:before="180" w:after="120"/>
        <w:rPr>
          <w:sz w:val="22"/>
          <w:szCs w:val="22"/>
        </w:rPr>
      </w:pPr>
      <w:r>
        <w:rPr>
          <w:sz w:val="22"/>
          <w:szCs w:val="22"/>
          <w:u w:val="single"/>
        </w:rPr>
        <w:t>Investičná priorita 7</w:t>
      </w:r>
      <w:r w:rsidR="001E4D8B">
        <w:rPr>
          <w:sz w:val="22"/>
          <w:szCs w:val="22"/>
          <w:u w:val="single"/>
        </w:rPr>
        <w:t>i</w:t>
      </w:r>
      <w:r>
        <w:rPr>
          <w:sz w:val="22"/>
          <w:szCs w:val="22"/>
          <w:u w:val="single"/>
        </w:rPr>
        <w:t xml:space="preserve">) </w:t>
      </w:r>
      <w:r w:rsidR="006D24A5" w:rsidRPr="00290C15">
        <w:rPr>
          <w:sz w:val="22"/>
          <w:szCs w:val="22"/>
          <w:u w:val="single"/>
        </w:rPr>
        <w:t>bude napĺňan</w:t>
      </w:r>
      <w:r>
        <w:rPr>
          <w:sz w:val="22"/>
          <w:szCs w:val="22"/>
          <w:u w:val="single"/>
        </w:rPr>
        <w:t>á</w:t>
      </w:r>
      <w:r w:rsidR="006D24A5" w:rsidRPr="00290C15">
        <w:rPr>
          <w:sz w:val="22"/>
          <w:szCs w:val="22"/>
          <w:u w:val="single"/>
        </w:rPr>
        <w:t xml:space="preserve"> prostredníctvom nasledujúcich aktivít</w:t>
      </w:r>
      <w:r w:rsidR="006D24A5" w:rsidRPr="00336C1F">
        <w:rPr>
          <w:sz w:val="22"/>
          <w:szCs w:val="22"/>
        </w:rPr>
        <w:t>:</w:t>
      </w:r>
    </w:p>
    <w:p w14:paraId="726D3DBA" w14:textId="4D966FAD" w:rsidR="009E0158" w:rsidRDefault="00F63A96" w:rsidP="00356B6C">
      <w:pPr>
        <w:numPr>
          <w:ilvl w:val="2"/>
          <w:numId w:val="29"/>
        </w:numPr>
        <w:shd w:val="clear" w:color="auto" w:fill="E5DFEC" w:themeFill="accent4" w:themeFillTint="33"/>
        <w:tabs>
          <w:tab w:val="clear" w:pos="360"/>
        </w:tabs>
        <w:ind w:left="426" w:hanging="426"/>
        <w:jc w:val="both"/>
        <w:rPr>
          <w:sz w:val="22"/>
          <w:szCs w:val="22"/>
        </w:rPr>
      </w:pPr>
      <w:r>
        <w:rPr>
          <w:sz w:val="22"/>
          <w:szCs w:val="22"/>
        </w:rPr>
        <w:t>Z</w:t>
      </w:r>
      <w:r w:rsidR="004E4FC8">
        <w:rPr>
          <w:sz w:val="22"/>
          <w:szCs w:val="22"/>
        </w:rPr>
        <w:t>lepšeni</w:t>
      </w:r>
      <w:r>
        <w:rPr>
          <w:sz w:val="22"/>
          <w:szCs w:val="22"/>
        </w:rPr>
        <w:t>e</w:t>
      </w:r>
      <w:r w:rsidR="004E4FC8">
        <w:rPr>
          <w:sz w:val="22"/>
          <w:szCs w:val="22"/>
        </w:rPr>
        <w:t xml:space="preserve"> splavnosti </w:t>
      </w:r>
      <w:r w:rsidR="00425328">
        <w:rPr>
          <w:sz w:val="22"/>
          <w:szCs w:val="22"/>
        </w:rPr>
        <w:t>dunajskej vodnej cesty</w:t>
      </w:r>
      <w:r w:rsidR="00A7187D">
        <w:rPr>
          <w:sz w:val="22"/>
          <w:szCs w:val="22"/>
        </w:rPr>
        <w:t>,</w:t>
      </w:r>
    </w:p>
    <w:p w14:paraId="63E60D7E" w14:textId="6F21F72F" w:rsidR="009E0158" w:rsidRDefault="007B6187" w:rsidP="00356B6C">
      <w:pPr>
        <w:numPr>
          <w:ilvl w:val="2"/>
          <w:numId w:val="29"/>
        </w:numPr>
        <w:shd w:val="clear" w:color="auto" w:fill="E5DFEC" w:themeFill="accent4" w:themeFillTint="33"/>
        <w:tabs>
          <w:tab w:val="clear" w:pos="360"/>
        </w:tabs>
        <w:ind w:left="425" w:hanging="425"/>
        <w:jc w:val="both"/>
        <w:rPr>
          <w:sz w:val="22"/>
          <w:szCs w:val="22"/>
        </w:rPr>
      </w:pPr>
      <w:r>
        <w:rPr>
          <w:sz w:val="22"/>
          <w:szCs w:val="22"/>
        </w:rPr>
        <w:t xml:space="preserve">Modernizácia a výstavba </w:t>
      </w:r>
      <w:r w:rsidR="00E20FCD">
        <w:rPr>
          <w:sz w:val="22"/>
          <w:szCs w:val="22"/>
        </w:rPr>
        <w:t>verejn</w:t>
      </w:r>
      <w:r w:rsidR="00F63A96">
        <w:rPr>
          <w:sz w:val="22"/>
          <w:szCs w:val="22"/>
        </w:rPr>
        <w:t xml:space="preserve">ých </w:t>
      </w:r>
      <w:r w:rsidR="00E20FCD">
        <w:rPr>
          <w:sz w:val="22"/>
          <w:szCs w:val="22"/>
        </w:rPr>
        <w:t>prístav</w:t>
      </w:r>
      <w:r w:rsidR="00F63A96">
        <w:rPr>
          <w:sz w:val="22"/>
          <w:szCs w:val="22"/>
        </w:rPr>
        <w:t>ov</w:t>
      </w:r>
      <w:r w:rsidR="00E20FCD">
        <w:rPr>
          <w:sz w:val="22"/>
          <w:szCs w:val="22"/>
        </w:rPr>
        <w:t xml:space="preserve"> v</w:t>
      </w:r>
      <w:r w:rsidR="00F63A96">
        <w:rPr>
          <w:sz w:val="22"/>
          <w:szCs w:val="22"/>
        </w:rPr>
        <w:t> Bratislave a Komárne</w:t>
      </w:r>
      <w:r w:rsidR="00E20FCD">
        <w:rPr>
          <w:sz w:val="22"/>
          <w:szCs w:val="22"/>
        </w:rPr>
        <w:t>,</w:t>
      </w:r>
    </w:p>
    <w:p w14:paraId="7620D6FF" w14:textId="25F474CF" w:rsidR="00DD4A27" w:rsidRDefault="00C5050D" w:rsidP="00F63A96">
      <w:pPr>
        <w:numPr>
          <w:ilvl w:val="2"/>
          <w:numId w:val="29"/>
        </w:numPr>
        <w:shd w:val="clear" w:color="auto" w:fill="E5DFEC" w:themeFill="accent4" w:themeFillTint="33"/>
        <w:tabs>
          <w:tab w:val="clear" w:pos="360"/>
        </w:tabs>
        <w:ind w:left="426" w:hanging="426"/>
        <w:jc w:val="both"/>
        <w:rPr>
          <w:sz w:val="22"/>
          <w:szCs w:val="22"/>
        </w:rPr>
      </w:pPr>
      <w:r>
        <w:rPr>
          <w:sz w:val="22"/>
          <w:szCs w:val="22"/>
        </w:rPr>
        <w:t>Z</w:t>
      </w:r>
      <w:r w:rsidR="007B6187" w:rsidRPr="000B131A">
        <w:rPr>
          <w:sz w:val="22"/>
          <w:szCs w:val="22"/>
        </w:rPr>
        <w:t>avádzanie moderných technológií do riadenia lodnej a</w:t>
      </w:r>
      <w:r w:rsidR="007B6187">
        <w:rPr>
          <w:sz w:val="22"/>
          <w:szCs w:val="22"/>
        </w:rPr>
        <w:t> </w:t>
      </w:r>
      <w:r w:rsidR="007B6187" w:rsidRPr="000B131A">
        <w:rPr>
          <w:sz w:val="22"/>
          <w:szCs w:val="22"/>
        </w:rPr>
        <w:t>prístavnej prevádzky</w:t>
      </w:r>
      <w:r w:rsidR="00F63A96">
        <w:rPr>
          <w:sz w:val="22"/>
          <w:szCs w:val="22"/>
        </w:rPr>
        <w:t xml:space="preserve"> a realizácia súvisiacich technických opatrení</w:t>
      </w:r>
      <w:r w:rsidR="007B6187" w:rsidRPr="000B131A">
        <w:rPr>
          <w:sz w:val="22"/>
          <w:szCs w:val="22"/>
        </w:rPr>
        <w:t>,</w:t>
      </w:r>
    </w:p>
    <w:p w14:paraId="2E31DF00" w14:textId="3D1D827A" w:rsidR="00F63A96" w:rsidRPr="00F63A96" w:rsidRDefault="00F63A96" w:rsidP="00F63A96">
      <w:pPr>
        <w:numPr>
          <w:ilvl w:val="2"/>
          <w:numId w:val="29"/>
        </w:numPr>
        <w:shd w:val="clear" w:color="auto" w:fill="E5DFEC" w:themeFill="accent4" w:themeFillTint="33"/>
        <w:tabs>
          <w:tab w:val="clear" w:pos="360"/>
        </w:tabs>
        <w:ind w:left="426" w:hanging="426"/>
        <w:jc w:val="both"/>
        <w:rPr>
          <w:sz w:val="22"/>
          <w:szCs w:val="22"/>
        </w:rPr>
      </w:pPr>
      <w:r>
        <w:rPr>
          <w:sz w:val="22"/>
          <w:szCs w:val="22"/>
        </w:rPr>
        <w:t>Zavedenie pravidelnej osobnej lodnej dopravy po Dunaji (Dunajbus)</w:t>
      </w:r>
    </w:p>
    <w:p w14:paraId="26FF6D31" w14:textId="34078EFA" w:rsidR="009E0158" w:rsidRDefault="004A64C1" w:rsidP="00356B6C">
      <w:pPr>
        <w:numPr>
          <w:ilvl w:val="2"/>
          <w:numId w:val="29"/>
        </w:numPr>
        <w:shd w:val="clear" w:color="auto" w:fill="E5DFEC" w:themeFill="accent4" w:themeFillTint="33"/>
        <w:jc w:val="both"/>
        <w:rPr>
          <w:sz w:val="22"/>
          <w:szCs w:val="22"/>
        </w:rPr>
      </w:pPr>
      <w:r>
        <w:rPr>
          <w:sz w:val="22"/>
          <w:szCs w:val="22"/>
        </w:rPr>
        <w:t xml:space="preserve"> </w:t>
      </w:r>
      <w:r w:rsidR="00C5050D">
        <w:rPr>
          <w:sz w:val="22"/>
          <w:szCs w:val="22"/>
        </w:rPr>
        <w:t>P</w:t>
      </w:r>
      <w:r w:rsidR="007B6187">
        <w:rPr>
          <w:sz w:val="22"/>
          <w:szCs w:val="22"/>
        </w:rPr>
        <w:t>redinvestičná a projektová príprava</w:t>
      </w:r>
      <w:r w:rsidR="00356B6C">
        <w:rPr>
          <w:sz w:val="22"/>
          <w:szCs w:val="22"/>
        </w:rPr>
        <w:t>.</w:t>
      </w:r>
    </w:p>
    <w:p w14:paraId="300CA806" w14:textId="71DE1431" w:rsidR="009E0158" w:rsidRDefault="00B1025B" w:rsidP="00356B6C">
      <w:pPr>
        <w:numPr>
          <w:ilvl w:val="2"/>
          <w:numId w:val="30"/>
        </w:numPr>
        <w:tabs>
          <w:tab w:val="clear" w:pos="360"/>
        </w:tabs>
        <w:spacing w:before="180" w:after="120"/>
        <w:ind w:left="851" w:hanging="425"/>
        <w:jc w:val="both"/>
        <w:rPr>
          <w:b/>
          <w:i/>
          <w:color w:val="4F81BD" w:themeColor="accent1"/>
          <w:sz w:val="22"/>
          <w:szCs w:val="22"/>
        </w:rPr>
      </w:pPr>
      <w:r>
        <w:rPr>
          <w:b/>
          <w:i/>
          <w:color w:val="4F81BD" w:themeColor="accent1"/>
          <w:sz w:val="22"/>
          <w:szCs w:val="22"/>
        </w:rPr>
        <w:t>Z</w:t>
      </w:r>
      <w:r w:rsidR="00E20FCD" w:rsidRPr="005139F6">
        <w:rPr>
          <w:b/>
          <w:i/>
          <w:color w:val="4F81BD" w:themeColor="accent1"/>
          <w:sz w:val="22"/>
          <w:szCs w:val="22"/>
        </w:rPr>
        <w:t>lepšeni</w:t>
      </w:r>
      <w:r>
        <w:rPr>
          <w:b/>
          <w:i/>
          <w:color w:val="4F81BD" w:themeColor="accent1"/>
          <w:sz w:val="22"/>
          <w:szCs w:val="22"/>
        </w:rPr>
        <w:t>e</w:t>
      </w:r>
      <w:r w:rsidR="00E20FCD" w:rsidRPr="005139F6">
        <w:rPr>
          <w:b/>
          <w:i/>
          <w:color w:val="4F81BD" w:themeColor="accent1"/>
          <w:sz w:val="22"/>
          <w:szCs w:val="22"/>
        </w:rPr>
        <w:t xml:space="preserve"> splavnosti dunajskej vodnej cesty</w:t>
      </w:r>
    </w:p>
    <w:p w14:paraId="7096C2FF" w14:textId="717992DB" w:rsidR="00976C76" w:rsidRDefault="00976C76" w:rsidP="00976C76">
      <w:pPr>
        <w:spacing w:before="180" w:after="120"/>
        <w:jc w:val="both"/>
        <w:rPr>
          <w:b/>
          <w:sz w:val="22"/>
          <w:szCs w:val="22"/>
        </w:rPr>
      </w:pPr>
      <w:r w:rsidRPr="00CC0B78">
        <w:rPr>
          <w:sz w:val="22"/>
          <w:szCs w:val="22"/>
        </w:rPr>
        <w:t xml:space="preserve">Modernizácia a rozvoj jestvujúcich vodných ciest má smerovať k dosiahnutiu požadovaných dopravných kritérií, odstráneniu úzkych miest (plavebné prekážky) pre dosiahnutie parametrov plavebnej dráhy, ktoré </w:t>
      </w:r>
      <w:r w:rsidR="00B1025B">
        <w:rPr>
          <w:sz w:val="22"/>
          <w:szCs w:val="22"/>
        </w:rPr>
        <w:t>sú odporúčané</w:t>
      </w:r>
      <w:r w:rsidR="002754C2">
        <w:rPr>
          <w:sz w:val="22"/>
          <w:szCs w:val="22"/>
        </w:rPr>
        <w:t xml:space="preserve"> </w:t>
      </w:r>
      <w:r w:rsidRPr="00CC0B78">
        <w:rPr>
          <w:sz w:val="22"/>
          <w:szCs w:val="22"/>
        </w:rPr>
        <w:t>a zabezpečia garantované podmienky pre plavbu na vodných cestách.</w:t>
      </w:r>
      <w:r w:rsidRPr="00BB3348">
        <w:rPr>
          <w:sz w:val="22"/>
          <w:szCs w:val="22"/>
        </w:rPr>
        <w:t xml:space="preserve"> Technické riešenie zabezpečenia splavnosti bude predmetom štúdie realizovateľnosti, ktorá bude úzko prihliadať na ekonomickú efektívnosť, ako aj environmentálnu prijateľnosť. </w:t>
      </w:r>
      <w:r w:rsidR="002D75C0" w:rsidRPr="00A21DD4">
        <w:rPr>
          <w:b/>
          <w:sz w:val="22"/>
          <w:szCs w:val="22"/>
        </w:rPr>
        <w:t>V</w:t>
      </w:r>
      <w:r w:rsidR="00307AAF" w:rsidRPr="00A21DD4">
        <w:rPr>
          <w:b/>
          <w:sz w:val="22"/>
          <w:szCs w:val="22"/>
        </w:rPr>
        <w:t xml:space="preserve">šetky aktivity súvisiace so zabezpečením štúdií realizovateľnosti týkajúcich sa opatrení na vodnej ceste Dunaj </w:t>
      </w:r>
      <w:r w:rsidR="002D75C0" w:rsidRPr="00A21DD4">
        <w:rPr>
          <w:b/>
          <w:sz w:val="22"/>
          <w:szCs w:val="22"/>
        </w:rPr>
        <w:t>bude MDV</w:t>
      </w:r>
      <w:r w:rsidR="00130CF3">
        <w:rPr>
          <w:b/>
          <w:sz w:val="22"/>
          <w:szCs w:val="22"/>
        </w:rPr>
        <w:t xml:space="preserve"> SR</w:t>
      </w:r>
      <w:r w:rsidR="002D75C0" w:rsidRPr="00A21DD4">
        <w:rPr>
          <w:b/>
          <w:sz w:val="22"/>
          <w:szCs w:val="22"/>
        </w:rPr>
        <w:t xml:space="preserve"> </w:t>
      </w:r>
      <w:r w:rsidR="00307AAF" w:rsidRPr="00A21DD4">
        <w:rPr>
          <w:b/>
          <w:sz w:val="22"/>
          <w:szCs w:val="22"/>
        </w:rPr>
        <w:t>konzultovať s</w:t>
      </w:r>
      <w:r w:rsidR="00B1025B">
        <w:rPr>
          <w:b/>
          <w:sz w:val="22"/>
          <w:szCs w:val="22"/>
        </w:rPr>
        <w:t> </w:t>
      </w:r>
      <w:r w:rsidR="00307AAF" w:rsidRPr="00A21DD4">
        <w:rPr>
          <w:b/>
          <w:sz w:val="22"/>
          <w:szCs w:val="22"/>
        </w:rPr>
        <w:t>EK. Výsledky štúdií budú rešpektovať</w:t>
      </w:r>
      <w:r w:rsidR="009829E2" w:rsidRPr="00A21DD4">
        <w:rPr>
          <w:b/>
          <w:sz w:val="22"/>
          <w:szCs w:val="22"/>
        </w:rPr>
        <w:t xml:space="preserve"> príslušnú </w:t>
      </w:r>
      <w:r w:rsidR="00307AAF" w:rsidRPr="00A21DD4">
        <w:rPr>
          <w:b/>
          <w:sz w:val="22"/>
          <w:szCs w:val="22"/>
        </w:rPr>
        <w:t xml:space="preserve">európsku </w:t>
      </w:r>
      <w:r w:rsidR="00307AAF" w:rsidRPr="00A21DD4">
        <w:rPr>
          <w:b/>
          <w:sz w:val="22"/>
          <w:szCs w:val="22"/>
        </w:rPr>
        <w:lastRenderedPageBreak/>
        <w:t>legislatívu</w:t>
      </w:r>
      <w:r w:rsidR="009829E2" w:rsidRPr="00A21DD4">
        <w:rPr>
          <w:b/>
          <w:sz w:val="22"/>
          <w:szCs w:val="22"/>
        </w:rPr>
        <w:t xml:space="preserve">, </w:t>
      </w:r>
      <w:r w:rsidR="00307AAF" w:rsidRPr="00A21DD4">
        <w:rPr>
          <w:b/>
          <w:sz w:val="22"/>
          <w:szCs w:val="22"/>
        </w:rPr>
        <w:t>predovšetkým ustanovenia Smernice 2000/60/ES, ktorou sa stanovuje rámec pôsobnosti pre opatrenia Spoločenstva v oblasti vodného hospodárstva. Štúdie realizovateľnosti by mali porovnáv</w:t>
      </w:r>
      <w:r w:rsidR="000060B9">
        <w:rPr>
          <w:b/>
          <w:sz w:val="22"/>
          <w:szCs w:val="22"/>
        </w:rPr>
        <w:t>ať všetky technické opatrenia s </w:t>
      </w:r>
      <w:r w:rsidR="00307AAF" w:rsidRPr="00A21DD4">
        <w:rPr>
          <w:b/>
          <w:sz w:val="22"/>
          <w:szCs w:val="22"/>
        </w:rPr>
        <w:t>dôrazom na ustanovenia čl. 4.7 smernice.</w:t>
      </w:r>
      <w:r w:rsidR="00B1025B">
        <w:rPr>
          <w:b/>
          <w:sz w:val="22"/>
          <w:szCs w:val="22"/>
        </w:rPr>
        <w:t xml:space="preserve"> </w:t>
      </w:r>
      <w:r w:rsidR="00B1025B">
        <w:rPr>
          <w:b/>
          <w:color w:val="000000" w:themeColor="text1"/>
          <w:sz w:val="22"/>
          <w:szCs w:val="22"/>
          <w:lang w:eastAsia="cs-CZ"/>
        </w:rPr>
        <w:t>Výsledky štúdií realizovateľnosti budú prerokované s JASPERS. V prípade negatívneho stanoviska EK k výsledkom</w:t>
      </w:r>
      <w:r w:rsidR="00B1025B" w:rsidRPr="005E3A15">
        <w:rPr>
          <w:b/>
          <w:color w:val="000000" w:themeColor="text1"/>
          <w:sz w:val="22"/>
          <w:szCs w:val="22"/>
          <w:lang w:eastAsia="cs-CZ"/>
        </w:rPr>
        <w:t xml:space="preserve"> štúdi</w:t>
      </w:r>
      <w:r w:rsidR="00B1025B">
        <w:rPr>
          <w:b/>
          <w:color w:val="000000" w:themeColor="text1"/>
          <w:sz w:val="22"/>
          <w:szCs w:val="22"/>
          <w:lang w:eastAsia="cs-CZ"/>
        </w:rPr>
        <w:t>í realizovateľnosti, r</w:t>
      </w:r>
      <w:r w:rsidR="00B1025B" w:rsidRPr="005E3A15">
        <w:rPr>
          <w:b/>
          <w:color w:val="000000" w:themeColor="text1"/>
          <w:sz w:val="22"/>
          <w:szCs w:val="22"/>
          <w:lang w:eastAsia="cs-CZ"/>
        </w:rPr>
        <w:t>ealizácia výstavby predmetnej infraštruktúry nebud</w:t>
      </w:r>
      <w:r w:rsidR="00B1025B">
        <w:rPr>
          <w:b/>
          <w:color w:val="000000" w:themeColor="text1"/>
          <w:sz w:val="22"/>
          <w:szCs w:val="22"/>
          <w:lang w:eastAsia="cs-CZ"/>
        </w:rPr>
        <w:t>e</w:t>
      </w:r>
      <w:r w:rsidR="00B1025B" w:rsidRPr="005E3A15">
        <w:rPr>
          <w:b/>
          <w:color w:val="000000" w:themeColor="text1"/>
          <w:sz w:val="22"/>
          <w:szCs w:val="22"/>
          <w:lang w:eastAsia="cs-CZ"/>
        </w:rPr>
        <w:t xml:space="preserve"> </w:t>
      </w:r>
      <w:r w:rsidR="00B1025B">
        <w:rPr>
          <w:b/>
          <w:color w:val="000000" w:themeColor="text1"/>
          <w:sz w:val="22"/>
          <w:szCs w:val="22"/>
          <w:lang w:eastAsia="cs-CZ"/>
        </w:rPr>
        <w:t xml:space="preserve">z OPII financovaná. </w:t>
      </w:r>
    </w:p>
    <w:p w14:paraId="62C3A227" w14:textId="77777777" w:rsidR="00976C76" w:rsidRDefault="00976C76" w:rsidP="00976C76">
      <w:pPr>
        <w:spacing w:before="180" w:after="120"/>
        <w:jc w:val="both"/>
        <w:rPr>
          <w:sz w:val="22"/>
          <w:szCs w:val="22"/>
        </w:rPr>
      </w:pPr>
      <w:r w:rsidRPr="005348B9">
        <w:rPr>
          <w:sz w:val="22"/>
          <w:szCs w:val="22"/>
        </w:rPr>
        <w:t>V roku 2013 boli ukončené práce na tvorbe štúdie „Dunajská os – prípadová štúdia prístavných miest Bratislava, Komárno a Štúrovo“. Štúdia je výsledkom výskumu Organizácie pre hospodársku spoluprácu a rozvoj (ďalej len „OECD“) a multirezortnej spolupráce (MDVRR SR, ÚV SR, MŽP SR a MZVEZ SR). Identifikuje súčasné a potenciálne dopady na prístavné mestá a regióny pozdĺž rieky Dunaj a poukazuje na možnosti rozvoja multimodálnej dopravnej infraštruktúry s vnútrozemskou vodnou dopravou. Výskumná štúdia ďalej poukazuje na potrebu lepšieho využívania vodnej dopravy ako ekonomicky a environmentálne výhodného druhu dopravy. Materiál je dostupný v databáze OECD pre svetovú podnikateľskú verejnosť s cieľom podporiť hospodársku spoluprácu a investičný rozvoj vo vodnej doprave s prístavmi na rieke Dunaj.</w:t>
      </w:r>
    </w:p>
    <w:p w14:paraId="06309334" w14:textId="10F0212F" w:rsidR="009E0158" w:rsidRDefault="00E20FCD" w:rsidP="00C13509">
      <w:pPr>
        <w:numPr>
          <w:ilvl w:val="2"/>
          <w:numId w:val="94"/>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Modernizácia a výstavba verejn</w:t>
      </w:r>
      <w:r w:rsidR="00B1025B">
        <w:rPr>
          <w:b/>
          <w:i/>
          <w:color w:val="4F81BD" w:themeColor="accent1"/>
          <w:sz w:val="22"/>
          <w:szCs w:val="22"/>
        </w:rPr>
        <w:t>ých prístavov</w:t>
      </w:r>
      <w:r w:rsidRPr="005139F6">
        <w:rPr>
          <w:b/>
          <w:i/>
          <w:color w:val="4F81BD" w:themeColor="accent1"/>
          <w:sz w:val="22"/>
          <w:szCs w:val="22"/>
        </w:rPr>
        <w:t xml:space="preserve"> v</w:t>
      </w:r>
      <w:r w:rsidR="00B1025B">
        <w:rPr>
          <w:b/>
          <w:i/>
          <w:color w:val="4F81BD" w:themeColor="accent1"/>
          <w:sz w:val="22"/>
          <w:szCs w:val="22"/>
        </w:rPr>
        <w:t> </w:t>
      </w:r>
      <w:r w:rsidRPr="005139F6">
        <w:rPr>
          <w:b/>
          <w:i/>
          <w:color w:val="4F81BD" w:themeColor="accent1"/>
          <w:sz w:val="22"/>
          <w:szCs w:val="22"/>
        </w:rPr>
        <w:t>Bratislave</w:t>
      </w:r>
      <w:r w:rsidR="00B1025B">
        <w:rPr>
          <w:b/>
          <w:i/>
          <w:color w:val="4F81BD" w:themeColor="accent1"/>
          <w:sz w:val="22"/>
          <w:szCs w:val="22"/>
        </w:rPr>
        <w:t xml:space="preserve"> a Komárne</w:t>
      </w:r>
    </w:p>
    <w:p w14:paraId="108BEDFD" w14:textId="34C17406" w:rsidR="00D83282" w:rsidRDefault="005D04A1" w:rsidP="00017B79">
      <w:pPr>
        <w:spacing w:before="120" w:after="120"/>
        <w:jc w:val="both"/>
        <w:rPr>
          <w:b/>
          <w:sz w:val="22"/>
          <w:szCs w:val="22"/>
        </w:rPr>
      </w:pPr>
      <w:r w:rsidRPr="00D83282">
        <w:rPr>
          <w:sz w:val="22"/>
          <w:szCs w:val="22"/>
        </w:rPr>
        <w:t>Intervencie v oblasti modernizácie a rozvoja infraštruktúry verejných prístavov budú zamerané</w:t>
      </w:r>
      <w:r w:rsidR="002754C2">
        <w:rPr>
          <w:sz w:val="22"/>
          <w:szCs w:val="22"/>
        </w:rPr>
        <w:t xml:space="preserve"> </w:t>
      </w:r>
      <w:r w:rsidR="00B1025B">
        <w:rPr>
          <w:sz w:val="22"/>
          <w:szCs w:val="22"/>
        </w:rPr>
        <w:t>najmä</w:t>
      </w:r>
      <w:r w:rsidR="00B1025B" w:rsidRPr="005D04A1">
        <w:rPr>
          <w:b/>
          <w:sz w:val="22"/>
          <w:szCs w:val="22"/>
        </w:rPr>
        <w:t xml:space="preserve"> </w:t>
      </w:r>
      <w:r w:rsidRPr="005D04A1">
        <w:rPr>
          <w:b/>
          <w:sz w:val="22"/>
          <w:szCs w:val="22"/>
        </w:rPr>
        <w:t>na zlepšenie stavu a budovanie novej prístavnej infraštruktúry za účelom vytvárania podmienok umožňujúcich rast výkonov vodnej dopravy v tendenciách vytvárania liberálnych podmienok podnikania a modernizácie infraštruktúry prístavov na Dunaji.</w:t>
      </w:r>
      <w:r w:rsidR="00B1025B">
        <w:rPr>
          <w:b/>
          <w:sz w:val="22"/>
          <w:szCs w:val="22"/>
        </w:rPr>
        <w:t xml:space="preserve"> Cieľom je taktiež zvýšiť existujúcu úroveň bezpečnosti a bezpečnostnej ochrany vo verejných prístavoch.</w:t>
      </w:r>
    </w:p>
    <w:p w14:paraId="6335A9F2" w14:textId="6003CD5F" w:rsidR="00115BDD" w:rsidRDefault="00115BDD" w:rsidP="00115BDD">
      <w:pPr>
        <w:spacing w:before="180"/>
        <w:jc w:val="both"/>
        <w:rPr>
          <w:sz w:val="22"/>
          <w:szCs w:val="22"/>
        </w:rPr>
      </w:pPr>
      <w:r w:rsidRPr="004A414A">
        <w:rPr>
          <w:sz w:val="22"/>
          <w:szCs w:val="22"/>
        </w:rPr>
        <w:t>M</w:t>
      </w:r>
      <w:r>
        <w:rPr>
          <w:sz w:val="22"/>
          <w:szCs w:val="22"/>
        </w:rPr>
        <w:t>DV SR</w:t>
      </w:r>
      <w:r w:rsidRPr="004A414A">
        <w:rPr>
          <w:sz w:val="22"/>
          <w:szCs w:val="22"/>
        </w:rPr>
        <w:t xml:space="preserve"> od intervencií smerovaných do infraštruktúry</w:t>
      </w:r>
      <w:r>
        <w:rPr>
          <w:sz w:val="22"/>
          <w:szCs w:val="22"/>
        </w:rPr>
        <w:t xml:space="preserve"> prístavov</w:t>
      </w:r>
      <w:r w:rsidRPr="004A414A">
        <w:rPr>
          <w:sz w:val="22"/>
          <w:szCs w:val="22"/>
        </w:rPr>
        <w:t xml:space="preserve"> </w:t>
      </w:r>
      <w:r>
        <w:rPr>
          <w:sz w:val="22"/>
          <w:szCs w:val="22"/>
        </w:rPr>
        <w:t xml:space="preserve">prioritne </w:t>
      </w:r>
      <w:r w:rsidRPr="004A414A">
        <w:rPr>
          <w:sz w:val="22"/>
          <w:szCs w:val="22"/>
        </w:rPr>
        <w:t xml:space="preserve">očakáva </w:t>
      </w:r>
      <w:r>
        <w:rPr>
          <w:sz w:val="22"/>
          <w:szCs w:val="22"/>
        </w:rPr>
        <w:t xml:space="preserve">skvalitnenie </w:t>
      </w:r>
      <w:r w:rsidRPr="004A414A">
        <w:rPr>
          <w:sz w:val="22"/>
          <w:szCs w:val="22"/>
        </w:rPr>
        <w:t>služieb poskytovaných na nediskriminačnom princípe vo verejných prístavoch, resp. rozšírenie ich ponuky.</w:t>
      </w:r>
      <w:r>
        <w:rPr>
          <w:sz w:val="22"/>
          <w:szCs w:val="22"/>
        </w:rPr>
        <w:t xml:space="preserve"> Rozsa</w:t>
      </w:r>
      <w:r w:rsidR="00B1025B">
        <w:rPr>
          <w:sz w:val="22"/>
          <w:szCs w:val="22"/>
        </w:rPr>
        <w:t xml:space="preserve">h modernizácie a výstavby verejných prístavov </w:t>
      </w:r>
      <w:r>
        <w:rPr>
          <w:sz w:val="22"/>
          <w:szCs w:val="22"/>
        </w:rPr>
        <w:t xml:space="preserve">bude </w:t>
      </w:r>
      <w:r w:rsidRPr="00491814">
        <w:rPr>
          <w:sz w:val="22"/>
          <w:szCs w:val="22"/>
        </w:rPr>
        <w:t>závisieť od výsledkov štúdií realizovateľnosti</w:t>
      </w:r>
      <w:r>
        <w:rPr>
          <w:sz w:val="22"/>
          <w:szCs w:val="22"/>
        </w:rPr>
        <w:t>.</w:t>
      </w:r>
    </w:p>
    <w:p w14:paraId="63DC2DC1" w14:textId="67850FB0" w:rsidR="003976F3" w:rsidRDefault="005D04A1" w:rsidP="00D83282">
      <w:pPr>
        <w:spacing w:before="180" w:after="120"/>
        <w:jc w:val="both"/>
        <w:rPr>
          <w:sz w:val="22"/>
          <w:szCs w:val="22"/>
        </w:rPr>
      </w:pPr>
      <w:r w:rsidRPr="005D04A1">
        <w:rPr>
          <w:sz w:val="22"/>
          <w:szCs w:val="22"/>
        </w:rPr>
        <w:t>Uvedené podmienky predstavujú aktívne nástroje pre podporu vstupu významných tovarových operátorov na trh a získanie tovarových prúdov s cieľom rozvoja mobility a podpory hospodárskeho rozvoja štátu a regiónov. Technické riešenia projektových zámerov budú podliehať výsledkom príslušných štúdií realizovateľnosti. V prípade verejných prístavov bude taktiež vypracovaná komplexná analýza o možnostiach rozvoja verejných prístavov v kontexte štátnej pomoci.</w:t>
      </w:r>
      <w:r w:rsidR="00E96BA3">
        <w:rPr>
          <w:sz w:val="22"/>
          <w:szCs w:val="22"/>
        </w:rPr>
        <w:t xml:space="preserve"> </w:t>
      </w:r>
      <w:r w:rsidR="00E96BA3" w:rsidDel="002D5039">
        <w:rPr>
          <w:sz w:val="22"/>
          <w:szCs w:val="22"/>
        </w:rPr>
        <w:t>V súvislosti s potenciálnym príspevkom investícií na kvalitu ovzdušia je žiaduce, aby boli investície prepojené na PUMM a plány kvality ovzdušia.</w:t>
      </w:r>
    </w:p>
    <w:p w14:paraId="63E2E9ED" w14:textId="0952D0EB" w:rsidR="00E96BA3" w:rsidRDefault="00E96BA3" w:rsidP="00E96BA3">
      <w:pPr>
        <w:spacing w:before="180" w:after="120"/>
        <w:jc w:val="both"/>
        <w:rPr>
          <w:sz w:val="22"/>
          <w:szCs w:val="22"/>
        </w:rPr>
      </w:pPr>
      <w:r>
        <w:rPr>
          <w:sz w:val="22"/>
          <w:szCs w:val="22"/>
        </w:rPr>
        <w:t xml:space="preserve">V nadväznosti na existujúci stav bezpečnosti a bezpečnostnej ochrany vo verejných prístavoch je žiaduce prijať náležité kroky (zavedenie monitorovacieho systému prístavov) s cieľom zabezpečiť rýchlu identifikáciu havarijných situácií a skrátenie reakčnej doby záchranných a zásahových zložiek. Zároveň je potrebné zabezpečiť implementáciu zodpovedajúcich havarijných opatrení, ktoré by v prípade vzniku havarijných situácií zaistili minimalizáciu škôd a záchranu osôb. Realizácia uvedených opatrení sa týka oboch verejných prístavov (Bratislava, Komárno).Intervencie vo verejnom prístave Bratislava budú smerovať taktiež na podporu rozvoja alternatívnych palív vedúcich </w:t>
      </w:r>
      <w:r w:rsidRPr="00AE60CA">
        <w:rPr>
          <w:sz w:val="22"/>
          <w:szCs w:val="22"/>
        </w:rPr>
        <w:t>k ekologizácii vodnej</w:t>
      </w:r>
      <w:r>
        <w:rPr>
          <w:sz w:val="22"/>
          <w:szCs w:val="22"/>
        </w:rPr>
        <w:t xml:space="preserve"> dopravy v zmysle odporúčaní EK (vybudovanie terminálu LNG), zabezpečenie podmienok pre ekologické dopĺňanie prevádzkových kvapalín do plavidiel a </w:t>
      </w:r>
      <w:r w:rsidRPr="00AE60CA">
        <w:rPr>
          <w:sz w:val="22"/>
          <w:szCs w:val="22"/>
        </w:rPr>
        <w:t>efektívne nakladanie s prevádzkovými odpadmi v</w:t>
      </w:r>
      <w:r>
        <w:rPr>
          <w:sz w:val="22"/>
          <w:szCs w:val="22"/>
        </w:rPr>
        <w:t>znikajúcimi vo vodnej doprave a </w:t>
      </w:r>
      <w:r w:rsidRPr="00AE60CA">
        <w:rPr>
          <w:sz w:val="22"/>
          <w:szCs w:val="22"/>
        </w:rPr>
        <w:t>ich likvidáci</w:t>
      </w:r>
      <w:r>
        <w:rPr>
          <w:sz w:val="22"/>
          <w:szCs w:val="22"/>
        </w:rPr>
        <w:t>u (v</w:t>
      </w:r>
      <w:r w:rsidRPr="00AE60CA">
        <w:rPr>
          <w:sz w:val="22"/>
          <w:szCs w:val="22"/>
        </w:rPr>
        <w:t>ybudovanie zázemia pre</w:t>
      </w:r>
      <w:r>
        <w:rPr>
          <w:sz w:val="22"/>
          <w:szCs w:val="22"/>
        </w:rPr>
        <w:t xml:space="preserve"> </w:t>
      </w:r>
      <w:r w:rsidRPr="00AE60CA">
        <w:rPr>
          <w:sz w:val="22"/>
          <w:szCs w:val="22"/>
        </w:rPr>
        <w:t>plavidlá</w:t>
      </w:r>
      <w:r>
        <w:rPr>
          <w:sz w:val="22"/>
          <w:szCs w:val="22"/>
        </w:rPr>
        <w:t>).</w:t>
      </w:r>
    </w:p>
    <w:p w14:paraId="133519CB" w14:textId="3186EE0B" w:rsidR="00E96BA3" w:rsidRDefault="00E96BA3" w:rsidP="00E96BA3">
      <w:pPr>
        <w:spacing w:before="180" w:after="120"/>
        <w:jc w:val="both"/>
        <w:rPr>
          <w:sz w:val="22"/>
          <w:szCs w:val="22"/>
        </w:rPr>
      </w:pPr>
      <w:r w:rsidRPr="00C72392">
        <w:rPr>
          <w:sz w:val="22"/>
          <w:szCs w:val="22"/>
        </w:rPr>
        <w:t xml:space="preserve">Aj napriek </w:t>
      </w:r>
      <w:r>
        <w:rPr>
          <w:sz w:val="22"/>
          <w:szCs w:val="22"/>
        </w:rPr>
        <w:t>skutočnosti</w:t>
      </w:r>
      <w:r w:rsidRPr="00C72392">
        <w:rPr>
          <w:sz w:val="22"/>
          <w:szCs w:val="22"/>
        </w:rPr>
        <w:t xml:space="preserve">, že </w:t>
      </w:r>
      <w:r>
        <w:rPr>
          <w:sz w:val="22"/>
          <w:szCs w:val="22"/>
        </w:rPr>
        <w:t>postavenie verejného prístavu v </w:t>
      </w:r>
      <w:r w:rsidRPr="00C72392">
        <w:rPr>
          <w:sz w:val="22"/>
          <w:szCs w:val="22"/>
        </w:rPr>
        <w:t>Bratislav</w:t>
      </w:r>
      <w:r>
        <w:rPr>
          <w:sz w:val="22"/>
          <w:szCs w:val="22"/>
        </w:rPr>
        <w:t xml:space="preserve">e </w:t>
      </w:r>
      <w:r w:rsidRPr="00C72392">
        <w:rPr>
          <w:sz w:val="22"/>
          <w:szCs w:val="22"/>
        </w:rPr>
        <w:t>ako hlavného prístavu SR ostáva nespochybniteľn</w:t>
      </w:r>
      <w:r>
        <w:rPr>
          <w:sz w:val="22"/>
          <w:szCs w:val="22"/>
        </w:rPr>
        <w:t>é</w:t>
      </w:r>
      <w:r w:rsidRPr="00C72392">
        <w:rPr>
          <w:sz w:val="22"/>
          <w:szCs w:val="22"/>
        </w:rPr>
        <w:t xml:space="preserve"> a jeho modernizácia</w:t>
      </w:r>
      <w:r>
        <w:rPr>
          <w:sz w:val="22"/>
          <w:szCs w:val="22"/>
        </w:rPr>
        <w:t xml:space="preserve"> je</w:t>
      </w:r>
      <w:r w:rsidRPr="00C72392">
        <w:rPr>
          <w:sz w:val="22"/>
          <w:szCs w:val="22"/>
        </w:rPr>
        <w:t xml:space="preserve"> jednou z hlavných priorít v rámci vnútrozemskej vodnej dopravy, </w:t>
      </w:r>
      <w:r>
        <w:rPr>
          <w:sz w:val="22"/>
          <w:szCs w:val="22"/>
        </w:rPr>
        <w:t>cieľom MDV SR je smerovať zdroje taktiež na modernizáciu verejného prístavu</w:t>
      </w:r>
      <w:r w:rsidRPr="00C72392">
        <w:rPr>
          <w:sz w:val="22"/>
          <w:szCs w:val="22"/>
        </w:rPr>
        <w:t xml:space="preserve"> Komárno. </w:t>
      </w:r>
      <w:r w:rsidRPr="004D0216">
        <w:rPr>
          <w:sz w:val="22"/>
          <w:szCs w:val="22"/>
        </w:rPr>
        <w:t xml:space="preserve">Verejný prístav Komárno je druhým najväčším prístavom </w:t>
      </w:r>
      <w:r>
        <w:rPr>
          <w:sz w:val="22"/>
          <w:szCs w:val="22"/>
        </w:rPr>
        <w:t xml:space="preserve">SR </w:t>
      </w:r>
      <w:r w:rsidRPr="004D0216">
        <w:rPr>
          <w:sz w:val="22"/>
          <w:szCs w:val="22"/>
        </w:rPr>
        <w:t xml:space="preserve">nachádzajúcim sa na sútoku rieky Váh </w:t>
      </w:r>
      <w:r>
        <w:rPr>
          <w:sz w:val="22"/>
          <w:szCs w:val="22"/>
        </w:rPr>
        <w:br/>
      </w:r>
      <w:r w:rsidRPr="004D0216">
        <w:rPr>
          <w:sz w:val="22"/>
          <w:szCs w:val="22"/>
        </w:rPr>
        <w:t>a medzinárodnej vodnej cesty Dunaj, ktor</w:t>
      </w:r>
      <w:r>
        <w:rPr>
          <w:sz w:val="22"/>
          <w:szCs w:val="22"/>
        </w:rPr>
        <w:t>ý je</w:t>
      </w:r>
      <w:r w:rsidRPr="004D0216">
        <w:rPr>
          <w:sz w:val="22"/>
          <w:szCs w:val="22"/>
        </w:rPr>
        <w:t xml:space="preserve"> súčasťou TEN-T koridoru Rýn – Dunaj.</w:t>
      </w:r>
      <w:r>
        <w:rPr>
          <w:sz w:val="22"/>
          <w:szCs w:val="22"/>
        </w:rPr>
        <w:t xml:space="preserve"> Verejný prístav Komárno zohráva dôležitú úlohu pri preprave tovaru pochádzajúceho zo Žitného ostrova.</w:t>
      </w:r>
    </w:p>
    <w:p w14:paraId="407CDAC9" w14:textId="77777777" w:rsidR="00E96BA3" w:rsidRPr="005D04A1" w:rsidRDefault="00E96BA3" w:rsidP="00E96BA3">
      <w:pPr>
        <w:spacing w:before="180" w:after="120"/>
        <w:jc w:val="both"/>
        <w:rPr>
          <w:sz w:val="22"/>
          <w:szCs w:val="22"/>
        </w:rPr>
      </w:pPr>
      <w:r>
        <w:rPr>
          <w:sz w:val="22"/>
          <w:szCs w:val="22"/>
        </w:rPr>
        <w:lastRenderedPageBreak/>
        <w:t>Z nástroja CEF bude preto financované obstaranie š</w:t>
      </w:r>
      <w:r w:rsidRPr="00C72392">
        <w:rPr>
          <w:sz w:val="22"/>
          <w:szCs w:val="22"/>
        </w:rPr>
        <w:t>túdie realizovateľnosti, ktorá</w:t>
      </w:r>
      <w:r>
        <w:rPr>
          <w:sz w:val="22"/>
          <w:szCs w:val="22"/>
        </w:rPr>
        <w:t xml:space="preserve"> detailnejšie rozpracuje závery a odporúčania </w:t>
      </w:r>
      <w:r w:rsidRPr="00C72392">
        <w:rPr>
          <w:sz w:val="22"/>
          <w:szCs w:val="22"/>
        </w:rPr>
        <w:t>Master</w:t>
      </w:r>
      <w:r>
        <w:rPr>
          <w:sz w:val="22"/>
          <w:szCs w:val="22"/>
        </w:rPr>
        <w:t>plá</w:t>
      </w:r>
      <w:r w:rsidRPr="00C72392">
        <w:rPr>
          <w:sz w:val="22"/>
          <w:szCs w:val="22"/>
        </w:rPr>
        <w:t>n</w:t>
      </w:r>
      <w:r>
        <w:rPr>
          <w:sz w:val="22"/>
          <w:szCs w:val="22"/>
        </w:rPr>
        <w:t>u</w:t>
      </w:r>
      <w:r w:rsidRPr="00C72392">
        <w:rPr>
          <w:sz w:val="22"/>
          <w:szCs w:val="22"/>
        </w:rPr>
        <w:t xml:space="preserve"> </w:t>
      </w:r>
      <w:r>
        <w:rPr>
          <w:sz w:val="22"/>
          <w:szCs w:val="22"/>
        </w:rPr>
        <w:t>prístavu Komárno a </w:t>
      </w:r>
      <w:r w:rsidRPr="00C72392">
        <w:rPr>
          <w:sz w:val="22"/>
          <w:szCs w:val="22"/>
        </w:rPr>
        <w:t xml:space="preserve">posúdi </w:t>
      </w:r>
      <w:r>
        <w:rPr>
          <w:sz w:val="22"/>
          <w:szCs w:val="22"/>
        </w:rPr>
        <w:t>alternatívy</w:t>
      </w:r>
      <w:r w:rsidRPr="00C72392">
        <w:rPr>
          <w:sz w:val="22"/>
          <w:szCs w:val="22"/>
        </w:rPr>
        <w:t xml:space="preserve"> modernizácie prístavu.</w:t>
      </w:r>
      <w:r w:rsidRPr="00C72392">
        <w:t xml:space="preserve"> </w:t>
      </w:r>
      <w:r>
        <w:rPr>
          <w:sz w:val="22"/>
          <w:szCs w:val="22"/>
        </w:rPr>
        <w:t>V nadväznosti na rozvojové možnosti verejného prístavu sa predpokladá taktiež obstaranie projektovej</w:t>
      </w:r>
      <w:r w:rsidRPr="00C72392">
        <w:rPr>
          <w:sz w:val="22"/>
          <w:szCs w:val="22"/>
        </w:rPr>
        <w:t xml:space="preserve"> dokumentáci</w:t>
      </w:r>
      <w:r>
        <w:rPr>
          <w:sz w:val="22"/>
          <w:szCs w:val="22"/>
        </w:rPr>
        <w:t xml:space="preserve">e, ktorá je </w:t>
      </w:r>
      <w:r w:rsidRPr="00C72392">
        <w:rPr>
          <w:sz w:val="22"/>
          <w:szCs w:val="22"/>
        </w:rPr>
        <w:t>potrebn</w:t>
      </w:r>
      <w:r>
        <w:rPr>
          <w:sz w:val="22"/>
          <w:szCs w:val="22"/>
        </w:rPr>
        <w:t>á</w:t>
      </w:r>
      <w:r w:rsidRPr="00C72392">
        <w:rPr>
          <w:sz w:val="22"/>
          <w:szCs w:val="22"/>
        </w:rPr>
        <w:t xml:space="preserve"> na definovanie rozsahu a spôsobu </w:t>
      </w:r>
      <w:r>
        <w:rPr>
          <w:sz w:val="22"/>
          <w:szCs w:val="22"/>
        </w:rPr>
        <w:t>jeho modernizácie, ako aj samotná modernizácia prístavnej infraštruktúry.</w:t>
      </w:r>
    </w:p>
    <w:p w14:paraId="36F09671" w14:textId="00D1FE3F" w:rsidR="0089630A" w:rsidRDefault="00B0524C" w:rsidP="00351D17">
      <w:pPr>
        <w:numPr>
          <w:ilvl w:val="2"/>
          <w:numId w:val="95"/>
        </w:numPr>
        <w:spacing w:before="180" w:after="120"/>
        <w:ind w:left="850" w:hanging="425"/>
        <w:jc w:val="both"/>
        <w:rPr>
          <w:b/>
          <w:i/>
          <w:color w:val="4F81BD" w:themeColor="accent1"/>
          <w:sz w:val="22"/>
          <w:szCs w:val="22"/>
        </w:rPr>
      </w:pPr>
      <w:r w:rsidRPr="005139F6">
        <w:rPr>
          <w:b/>
          <w:i/>
          <w:color w:val="4F81BD" w:themeColor="accent1"/>
          <w:sz w:val="22"/>
          <w:szCs w:val="22"/>
        </w:rPr>
        <w:t>Zavádzanie moderných technológií</w:t>
      </w:r>
      <w:r w:rsidR="005D04A1" w:rsidRPr="005139F6">
        <w:rPr>
          <w:b/>
          <w:i/>
          <w:color w:val="4F81BD" w:themeColor="accent1"/>
          <w:sz w:val="22"/>
          <w:szCs w:val="22"/>
        </w:rPr>
        <w:t xml:space="preserve"> do riadenia lodnej a prístavnej prevádzky</w:t>
      </w:r>
      <w:r w:rsidR="002754C2">
        <w:rPr>
          <w:b/>
          <w:i/>
          <w:color w:val="4F81BD" w:themeColor="accent1"/>
          <w:sz w:val="22"/>
          <w:szCs w:val="22"/>
        </w:rPr>
        <w:t xml:space="preserve"> </w:t>
      </w:r>
      <w:r w:rsidR="00E96BA3">
        <w:rPr>
          <w:b/>
          <w:i/>
          <w:color w:val="4F81BD" w:themeColor="accent1"/>
          <w:sz w:val="22"/>
          <w:szCs w:val="22"/>
        </w:rPr>
        <w:t>a realizácia súvisiacich technických opatrení</w:t>
      </w:r>
    </w:p>
    <w:p w14:paraId="209BEDE9" w14:textId="15FA2F78" w:rsidR="0089630A" w:rsidRPr="0089630A" w:rsidRDefault="005D04A1" w:rsidP="0089630A">
      <w:pPr>
        <w:spacing w:before="180" w:after="120"/>
        <w:jc w:val="both"/>
        <w:rPr>
          <w:b/>
          <w:i/>
          <w:color w:val="4F81BD" w:themeColor="accent1"/>
          <w:sz w:val="22"/>
          <w:szCs w:val="22"/>
        </w:rPr>
      </w:pPr>
      <w:r w:rsidRPr="0089630A">
        <w:rPr>
          <w:sz w:val="22"/>
          <w:szCs w:val="22"/>
        </w:rPr>
        <w:t>Dobudovanie infraštruktúry vodných ciest a prístavov bude doplnené o zavádzanie nových technológií do oblasti riadenia lodnej a prístavnej prevádzky</w:t>
      </w:r>
      <w:r w:rsidR="00E96BA3" w:rsidRPr="0089630A">
        <w:rPr>
          <w:sz w:val="22"/>
          <w:szCs w:val="22"/>
        </w:rPr>
        <w:t>, ako aj na modernizáciu plavebného značenia na slovenskom úseku medzinárodnej vodnej cesty Dunaj</w:t>
      </w:r>
      <w:r w:rsidRPr="0089630A">
        <w:rPr>
          <w:sz w:val="22"/>
          <w:szCs w:val="22"/>
        </w:rPr>
        <w:t xml:space="preserve">. Uplatnenie riečnych informačných systémov (RIS) </w:t>
      </w:r>
      <w:r w:rsidR="00604E9E" w:rsidRPr="0089630A">
        <w:rPr>
          <w:sz w:val="22"/>
          <w:szCs w:val="22"/>
        </w:rPr>
        <w:t xml:space="preserve">a realizácia súvisiacich technických opatrení </w:t>
      </w:r>
      <w:r w:rsidRPr="0089630A">
        <w:rPr>
          <w:sz w:val="22"/>
          <w:szCs w:val="22"/>
        </w:rPr>
        <w:t>umožní dosiahnuť zvýšenie kapacity infraštruktúry, optimálne využívanie existujúcej infraštruktúry</w:t>
      </w:r>
      <w:r w:rsidR="00F7555E" w:rsidRPr="0089630A">
        <w:rPr>
          <w:sz w:val="22"/>
          <w:szCs w:val="22"/>
        </w:rPr>
        <w:t xml:space="preserve"> a</w:t>
      </w:r>
      <w:r w:rsidR="00DF686B" w:rsidRPr="0089630A">
        <w:rPr>
          <w:sz w:val="22"/>
          <w:szCs w:val="22"/>
        </w:rPr>
        <w:t> </w:t>
      </w:r>
      <w:r w:rsidRPr="0089630A">
        <w:rPr>
          <w:sz w:val="22"/>
          <w:szCs w:val="22"/>
        </w:rPr>
        <w:t>zvýšenie bezpečnosti</w:t>
      </w:r>
      <w:r w:rsidR="00E46BE3" w:rsidRPr="0089630A">
        <w:rPr>
          <w:sz w:val="22"/>
          <w:szCs w:val="22"/>
        </w:rPr>
        <w:t xml:space="preserve"> lodnej a prístavnej prevádzky.</w:t>
      </w:r>
      <w:r w:rsidR="002754C2" w:rsidRPr="0089630A">
        <w:rPr>
          <w:sz w:val="22"/>
          <w:szCs w:val="22"/>
        </w:rPr>
        <w:t xml:space="preserve"> </w:t>
      </w:r>
      <w:r w:rsidR="00E96BA3" w:rsidRPr="0089630A">
        <w:rPr>
          <w:sz w:val="22"/>
          <w:szCs w:val="22"/>
        </w:rPr>
        <w:t>V prípade preukázania potreby prostredníctvom štúdie uskutočniteľnosti môžu byť zdroje prioritnej osi využité taktiež na obstaranie vytyčovacích plavidiel pre obsluhu slovenského úseku dunajskej vodnej cesty.</w:t>
      </w:r>
    </w:p>
    <w:p w14:paraId="18F97223" w14:textId="3A6BC018" w:rsidR="00E96BA3" w:rsidRDefault="00E96BA3" w:rsidP="00351D17">
      <w:pPr>
        <w:numPr>
          <w:ilvl w:val="2"/>
          <w:numId w:val="95"/>
        </w:numPr>
        <w:spacing w:before="180" w:after="120"/>
        <w:ind w:left="850" w:hanging="425"/>
        <w:jc w:val="both"/>
        <w:rPr>
          <w:b/>
          <w:i/>
          <w:color w:val="4F81BD" w:themeColor="accent1"/>
          <w:sz w:val="22"/>
          <w:szCs w:val="22"/>
        </w:rPr>
      </w:pPr>
      <w:r>
        <w:rPr>
          <w:b/>
          <w:i/>
          <w:color w:val="4F81BD" w:themeColor="accent1"/>
          <w:sz w:val="22"/>
          <w:szCs w:val="22"/>
        </w:rPr>
        <w:t>Zavedenie pravidelnej osobnej lodnej dopravy po Dunaji (Dunajbus)</w:t>
      </w:r>
    </w:p>
    <w:p w14:paraId="1ECF4C5C" w14:textId="05A7B399" w:rsidR="002333CE" w:rsidRPr="00167E3F" w:rsidRDefault="002333CE" w:rsidP="002333CE">
      <w:pPr>
        <w:jc w:val="both"/>
      </w:pPr>
      <w:r w:rsidRPr="001B0A55">
        <w:rPr>
          <w:sz w:val="22"/>
          <w:szCs w:val="22"/>
        </w:rPr>
        <w:t>Predmetom aktivity je realizácia komplexného zámeru vybudovania systému pravidelnej osobnej lodnej dopravy na dunajskej vodnej ceste v úseku Šamorín – Bratislava. Zdroje prioritnej osi budú smerované prioritne na obstaranie štúdie realizovateľnosti za účelom preukázania potenciálu zavedenia pravidelnej osobnej lodnej dopravy v bratislavskej aglomerácii a v prípade opodstatnenia projektu aj na obstaranie projektovej dokumentácie a zabezpečenie fyzickej realizácie. Predpokladá sa, že realizačná fáza projektu si bude vyžadovať najmä výstavbu kotvísk pre plavidlá, parkovísk Park</w:t>
      </w:r>
      <w:r w:rsidRPr="001B0A55">
        <w:rPr>
          <w:sz w:val="22"/>
          <w:szCs w:val="22"/>
          <w:lang w:val="en-GB"/>
        </w:rPr>
        <w:t>&amp;</w:t>
      </w:r>
      <w:r w:rsidRPr="001B0A55">
        <w:rPr>
          <w:sz w:val="22"/>
          <w:szCs w:val="22"/>
        </w:rPr>
        <w:t>Ride a vlnolamov na ochranu kotvísk, ako aj nákup samotných plavidiel, ktorými bude zabezpečovaná preprava cestujúcich.</w:t>
      </w:r>
      <w:r w:rsidRPr="001B0A55">
        <w:t xml:space="preserve"> </w:t>
      </w:r>
      <w:r w:rsidRPr="001B0A55">
        <w:rPr>
          <w:sz w:val="22"/>
          <w:szCs w:val="22"/>
        </w:rPr>
        <w:t>Cieľom aktivity je predovšetkým využiť vnútrozemské vodné cesty ako prostriedok na zlepšenie dopravnej obsluhy bratislavskej aglomerácie.</w:t>
      </w:r>
      <w:r w:rsidRPr="002333CE">
        <w:rPr>
          <w:color w:val="4F81BD" w:themeColor="accent1"/>
          <w:sz w:val="22"/>
          <w:szCs w:val="22"/>
        </w:rPr>
        <w:t xml:space="preserve"> </w:t>
      </w:r>
      <w:r w:rsidRPr="002333CE">
        <w:rPr>
          <w:b/>
          <w:color w:val="000000" w:themeColor="text1"/>
          <w:sz w:val="22"/>
          <w:szCs w:val="22"/>
          <w:lang w:eastAsia="cs-CZ"/>
        </w:rPr>
        <w:t>Výsledky štúdie realizovateľnosti budú prerokované s JASPERS. V príp</w:t>
      </w:r>
      <w:r w:rsidR="008A662C">
        <w:rPr>
          <w:b/>
          <w:color w:val="000000" w:themeColor="text1"/>
          <w:sz w:val="22"/>
          <w:szCs w:val="22"/>
          <w:lang w:eastAsia="cs-CZ"/>
        </w:rPr>
        <w:t>ade negatívneho stanoviska EK k </w:t>
      </w:r>
      <w:r w:rsidRPr="002333CE">
        <w:rPr>
          <w:b/>
          <w:color w:val="000000" w:themeColor="text1"/>
          <w:sz w:val="22"/>
          <w:szCs w:val="22"/>
          <w:lang w:eastAsia="cs-CZ"/>
        </w:rPr>
        <w:t xml:space="preserve">výsledkom štúdie realizovateľnosti, realizácia výstavby predmetnej infraštruktúry, ani nákup plavidiel nebudú z OPII financované. V prípade nesúhlasu EK s výsledkami štúdie musia byť príslušné projekty odstránené z OPII počas následnej revízie. </w:t>
      </w:r>
      <w:r w:rsidRPr="002333CE">
        <w:rPr>
          <w:b/>
          <w:color w:val="000000" w:themeColor="text1"/>
          <w:lang w:eastAsia="cs-CZ"/>
        </w:rPr>
        <w:t>RO OPII je povinný JASPERS a EK poskytnúť pred predložením projektov vychádzajúcich zo štúdie realizovateľnosti na financovanie z OPII dostatočné uistenie aj v prípade ďalších aspektov projektu. Ide predovšetkým o predloženie posúdenia udržateľnosti (prevádzky) projektu, preukázanie úplného vyriešenia otázok štátnej pomoci a riadneho zriadenia verejnej služby, resp. preukázanie, že prijímateľ projektu disponuje dostatočnými kapacitami na implementáciu projektu.</w:t>
      </w:r>
    </w:p>
    <w:p w14:paraId="50012030" w14:textId="7E5D17BF" w:rsidR="009E0158" w:rsidRDefault="005D04A1" w:rsidP="00351D17">
      <w:pPr>
        <w:numPr>
          <w:ilvl w:val="2"/>
          <w:numId w:val="95"/>
        </w:numPr>
        <w:spacing w:before="180" w:after="120"/>
        <w:ind w:left="850" w:hanging="425"/>
        <w:jc w:val="both"/>
        <w:rPr>
          <w:b/>
          <w:i/>
          <w:color w:val="4F81BD" w:themeColor="accent1"/>
          <w:sz w:val="22"/>
          <w:szCs w:val="22"/>
        </w:rPr>
      </w:pPr>
      <w:r w:rsidRPr="005139F6">
        <w:rPr>
          <w:b/>
          <w:i/>
          <w:color w:val="4F81BD" w:themeColor="accent1"/>
          <w:sz w:val="22"/>
          <w:szCs w:val="22"/>
        </w:rPr>
        <w:t>Predinvestičná a projektová príprava</w:t>
      </w:r>
    </w:p>
    <w:p w14:paraId="563CAE46" w14:textId="77777777" w:rsidR="0038626E" w:rsidRPr="00ED7224" w:rsidRDefault="00FC4AEB" w:rsidP="00E01D5B">
      <w:pPr>
        <w:spacing w:after="180"/>
        <w:jc w:val="both"/>
        <w:rPr>
          <w:sz w:val="22"/>
          <w:szCs w:val="22"/>
        </w:rPr>
      </w:pPr>
      <w:r>
        <w:rPr>
          <w:sz w:val="22"/>
          <w:szCs w:val="22"/>
        </w:rPr>
        <w:t>Súčasný stav prípravy projektov na infraštruktúre vodnej dopravy</w:t>
      </w:r>
      <w:r w:rsidR="00EE4612">
        <w:rPr>
          <w:sz w:val="22"/>
          <w:szCs w:val="22"/>
        </w:rPr>
        <w:t xml:space="preserve"> je možné označiť </w:t>
      </w:r>
      <w:r>
        <w:rPr>
          <w:sz w:val="22"/>
          <w:szCs w:val="22"/>
        </w:rPr>
        <w:t xml:space="preserve">ako </w:t>
      </w:r>
      <w:r w:rsidR="00065AE0">
        <w:rPr>
          <w:sz w:val="22"/>
          <w:szCs w:val="22"/>
        </w:rPr>
        <w:t xml:space="preserve">najslabší </w:t>
      </w:r>
      <w:r w:rsidR="004913E3">
        <w:rPr>
          <w:sz w:val="22"/>
          <w:szCs w:val="22"/>
        </w:rPr>
        <w:t>zo všetkých prioritných osí, keďže t</w:t>
      </w:r>
      <w:r>
        <w:rPr>
          <w:sz w:val="22"/>
          <w:szCs w:val="22"/>
        </w:rPr>
        <w:t>ento sektor vst</w:t>
      </w:r>
      <w:r w:rsidR="00EE4612">
        <w:rPr>
          <w:sz w:val="22"/>
          <w:szCs w:val="22"/>
        </w:rPr>
        <w:t xml:space="preserve">upuje do programového obdobia </w:t>
      </w:r>
      <w:r w:rsidR="004913E3">
        <w:rPr>
          <w:sz w:val="22"/>
          <w:szCs w:val="22"/>
        </w:rPr>
        <w:t xml:space="preserve">2014 – 2020 </w:t>
      </w:r>
      <w:r w:rsidR="00EE4612">
        <w:rPr>
          <w:sz w:val="22"/>
          <w:szCs w:val="22"/>
        </w:rPr>
        <w:t>prakticky bez pripravených projektov.</w:t>
      </w:r>
      <w:r w:rsidR="00EE4612" w:rsidRPr="00EE4612">
        <w:rPr>
          <w:b/>
          <w:sz w:val="22"/>
          <w:szCs w:val="22"/>
        </w:rPr>
        <w:t xml:space="preserve"> </w:t>
      </w:r>
      <w:r w:rsidR="00EE4612" w:rsidRPr="00CC0B78">
        <w:rPr>
          <w:sz w:val="22"/>
          <w:szCs w:val="22"/>
        </w:rPr>
        <w:t xml:space="preserve">Na základe uvedeného bude </w:t>
      </w:r>
      <w:r w:rsidR="00A22DE9" w:rsidRPr="00CC0B78">
        <w:rPr>
          <w:sz w:val="22"/>
          <w:szCs w:val="22"/>
        </w:rPr>
        <w:t xml:space="preserve">obstaranie predinvestičnej a projektovej prípravy </w:t>
      </w:r>
      <w:r w:rsidR="0061667C" w:rsidRPr="00CC0B78">
        <w:rPr>
          <w:sz w:val="22"/>
          <w:szCs w:val="22"/>
        </w:rPr>
        <w:t xml:space="preserve">jednou z </w:t>
      </w:r>
      <w:r w:rsidR="0087127E">
        <w:rPr>
          <w:sz w:val="22"/>
          <w:szCs w:val="22"/>
        </w:rPr>
        <w:t>hlavných</w:t>
      </w:r>
      <w:r w:rsidR="0061667C" w:rsidRPr="00CC0B78">
        <w:rPr>
          <w:sz w:val="22"/>
          <w:szCs w:val="22"/>
        </w:rPr>
        <w:t xml:space="preserve"> priorít</w:t>
      </w:r>
      <w:r w:rsidR="00A22DE9" w:rsidRPr="00CC0B78">
        <w:rPr>
          <w:sz w:val="22"/>
          <w:szCs w:val="22"/>
        </w:rPr>
        <w:t xml:space="preserve"> prioritnej osi.</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6"/>
        <w:gridCol w:w="6236"/>
      </w:tblGrid>
      <w:tr w:rsidR="00FE6C5A" w14:paraId="2E4A3B4B" w14:textId="77777777" w:rsidTr="002D1E44">
        <w:trPr>
          <w:trHeight w:val="340"/>
          <w:jc w:val="center"/>
        </w:trPr>
        <w:tc>
          <w:tcPr>
            <w:tcW w:w="2836" w:type="dxa"/>
            <w:shd w:val="clear" w:color="auto" w:fill="DBE5F1" w:themeFill="accent1" w:themeFillTint="33"/>
            <w:vAlign w:val="center"/>
          </w:tcPr>
          <w:p w14:paraId="70F68F4A" w14:textId="77777777"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6236" w:type="dxa"/>
            <w:vAlign w:val="center"/>
          </w:tcPr>
          <w:p w14:paraId="3DE3FE3F" w14:textId="77777777" w:rsidR="009E0158" w:rsidRDefault="00FE6C5A" w:rsidP="001779B7">
            <w:pPr>
              <w:pStyle w:val="Odsekzoznamu"/>
              <w:numPr>
                <w:ilvl w:val="0"/>
                <w:numId w:val="27"/>
              </w:numPr>
              <w:autoSpaceDE w:val="0"/>
              <w:autoSpaceDN w:val="0"/>
              <w:adjustRightInd w:val="0"/>
              <w:ind w:left="284" w:hanging="284"/>
              <w:rPr>
                <w:sz w:val="22"/>
                <w:szCs w:val="22"/>
              </w:rPr>
            </w:pPr>
            <w:r>
              <w:rPr>
                <w:sz w:val="22"/>
                <w:szCs w:val="22"/>
              </w:rPr>
              <w:t>široká verejnosť</w:t>
            </w:r>
          </w:p>
          <w:p w14:paraId="6E9D942C" w14:textId="77777777" w:rsidR="009E0158" w:rsidRDefault="00FE6C5A" w:rsidP="001779B7">
            <w:pPr>
              <w:pStyle w:val="Odsekzoznamu"/>
              <w:numPr>
                <w:ilvl w:val="0"/>
                <w:numId w:val="27"/>
              </w:numPr>
              <w:autoSpaceDE w:val="0"/>
              <w:autoSpaceDN w:val="0"/>
              <w:adjustRightInd w:val="0"/>
              <w:ind w:left="284" w:hanging="284"/>
              <w:jc w:val="both"/>
              <w:rPr>
                <w:sz w:val="22"/>
                <w:szCs w:val="22"/>
              </w:rPr>
            </w:pPr>
            <w:r>
              <w:rPr>
                <w:sz w:val="22"/>
                <w:szCs w:val="22"/>
              </w:rPr>
              <w:t>prepravcovia a operátori pôsobiaci v oblasti vodnej dopravy</w:t>
            </w:r>
          </w:p>
        </w:tc>
      </w:tr>
      <w:tr w:rsidR="00FE6C5A" w14:paraId="61B6A54B" w14:textId="77777777" w:rsidTr="002D1E44">
        <w:trPr>
          <w:trHeight w:val="340"/>
          <w:jc w:val="center"/>
        </w:trPr>
        <w:tc>
          <w:tcPr>
            <w:tcW w:w="2836" w:type="dxa"/>
            <w:shd w:val="clear" w:color="auto" w:fill="DBE5F1" w:themeFill="accent1" w:themeFillTint="33"/>
            <w:vAlign w:val="center"/>
          </w:tcPr>
          <w:p w14:paraId="70D187E1" w14:textId="77777777"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6236" w:type="dxa"/>
            <w:vAlign w:val="center"/>
          </w:tcPr>
          <w:p w14:paraId="3156C890" w14:textId="77777777" w:rsidR="009E0158" w:rsidRDefault="00FE6C5A" w:rsidP="001779B7">
            <w:pPr>
              <w:pStyle w:val="Odsekzoznamu"/>
              <w:numPr>
                <w:ilvl w:val="0"/>
                <w:numId w:val="27"/>
              </w:numPr>
              <w:autoSpaceDE w:val="0"/>
              <w:autoSpaceDN w:val="0"/>
              <w:adjustRightInd w:val="0"/>
              <w:ind w:left="284" w:hanging="284"/>
              <w:rPr>
                <w:sz w:val="22"/>
                <w:szCs w:val="22"/>
              </w:rPr>
            </w:pPr>
            <w:r>
              <w:rPr>
                <w:sz w:val="22"/>
                <w:szCs w:val="22"/>
              </w:rPr>
              <w:t>Bratislavský kraj</w:t>
            </w:r>
          </w:p>
          <w:p w14:paraId="6958FFAC" w14:textId="77777777" w:rsidR="009E0158" w:rsidRDefault="00FA6DB8" w:rsidP="001779B7">
            <w:pPr>
              <w:pStyle w:val="Odsekzoznamu"/>
              <w:numPr>
                <w:ilvl w:val="0"/>
                <w:numId w:val="27"/>
              </w:numPr>
              <w:autoSpaceDE w:val="0"/>
              <w:autoSpaceDN w:val="0"/>
              <w:adjustRightInd w:val="0"/>
              <w:ind w:left="284" w:hanging="284"/>
              <w:rPr>
                <w:sz w:val="22"/>
                <w:szCs w:val="22"/>
              </w:rPr>
            </w:pPr>
            <w:r>
              <w:rPr>
                <w:sz w:val="22"/>
                <w:szCs w:val="22"/>
              </w:rPr>
              <w:t>Trnavský kraj</w:t>
            </w:r>
          </w:p>
          <w:p w14:paraId="16554EA4" w14:textId="77777777" w:rsidR="009E0158" w:rsidRDefault="00FA6DB8" w:rsidP="001779B7">
            <w:pPr>
              <w:pStyle w:val="Odsekzoznamu"/>
              <w:numPr>
                <w:ilvl w:val="0"/>
                <w:numId w:val="27"/>
              </w:numPr>
              <w:autoSpaceDE w:val="0"/>
              <w:autoSpaceDN w:val="0"/>
              <w:adjustRightInd w:val="0"/>
              <w:ind w:left="284" w:hanging="284"/>
              <w:rPr>
                <w:sz w:val="22"/>
                <w:szCs w:val="22"/>
              </w:rPr>
            </w:pPr>
            <w:r>
              <w:rPr>
                <w:sz w:val="22"/>
                <w:szCs w:val="22"/>
              </w:rPr>
              <w:t>Nitriansky kraj</w:t>
            </w:r>
          </w:p>
        </w:tc>
      </w:tr>
      <w:tr w:rsidR="00FE6C5A" w:rsidRPr="009553A0" w14:paraId="39772F79" w14:textId="77777777" w:rsidTr="002D1E44">
        <w:trPr>
          <w:trHeight w:val="340"/>
          <w:jc w:val="center"/>
        </w:trPr>
        <w:tc>
          <w:tcPr>
            <w:tcW w:w="2836" w:type="dxa"/>
            <w:shd w:val="clear" w:color="auto" w:fill="DBE5F1" w:themeFill="accent1" w:themeFillTint="33"/>
            <w:vAlign w:val="center"/>
          </w:tcPr>
          <w:p w14:paraId="36F02588" w14:textId="77777777"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6236" w:type="dxa"/>
            <w:vAlign w:val="center"/>
          </w:tcPr>
          <w:p w14:paraId="6EC5B32D" w14:textId="3192E841" w:rsidR="009E0158" w:rsidRDefault="00FE6C5A" w:rsidP="001779B7">
            <w:pPr>
              <w:pStyle w:val="Odsekzoznamu"/>
              <w:numPr>
                <w:ilvl w:val="0"/>
                <w:numId w:val="27"/>
              </w:numPr>
              <w:autoSpaceDE w:val="0"/>
              <w:autoSpaceDN w:val="0"/>
              <w:adjustRightInd w:val="0"/>
              <w:ind w:left="284" w:hanging="284"/>
              <w:rPr>
                <w:sz w:val="22"/>
                <w:szCs w:val="22"/>
              </w:rPr>
            </w:pPr>
            <w:r w:rsidRPr="00D23B7E">
              <w:rPr>
                <w:sz w:val="22"/>
                <w:szCs w:val="22"/>
              </w:rPr>
              <w:t>Verejné prístavy, a. s.</w:t>
            </w:r>
          </w:p>
          <w:p w14:paraId="776633AB" w14:textId="77777777" w:rsidR="002333CE" w:rsidRDefault="002333CE" w:rsidP="002333CE">
            <w:pPr>
              <w:pStyle w:val="Odsekzoznamu"/>
              <w:numPr>
                <w:ilvl w:val="0"/>
                <w:numId w:val="27"/>
              </w:numPr>
              <w:autoSpaceDE w:val="0"/>
              <w:autoSpaceDN w:val="0"/>
              <w:adjustRightInd w:val="0"/>
              <w:ind w:left="284" w:hanging="284"/>
              <w:rPr>
                <w:sz w:val="22"/>
                <w:szCs w:val="22"/>
              </w:rPr>
            </w:pPr>
            <w:r w:rsidRPr="006A0F26">
              <w:rPr>
                <w:sz w:val="22"/>
                <w:szCs w:val="22"/>
              </w:rPr>
              <w:t>Slovenský vodohospodársky podnik, štátny podni</w:t>
            </w:r>
            <w:r>
              <w:rPr>
                <w:sz w:val="22"/>
                <w:szCs w:val="22"/>
              </w:rPr>
              <w:t>k</w:t>
            </w:r>
          </w:p>
          <w:p w14:paraId="26D90DC6" w14:textId="77777777" w:rsidR="002333CE" w:rsidRDefault="002333CE" w:rsidP="002333CE">
            <w:pPr>
              <w:pStyle w:val="Odsekzoznamu"/>
              <w:numPr>
                <w:ilvl w:val="0"/>
                <w:numId w:val="27"/>
              </w:numPr>
              <w:autoSpaceDE w:val="0"/>
              <w:autoSpaceDN w:val="0"/>
              <w:adjustRightInd w:val="0"/>
              <w:ind w:left="284" w:hanging="284"/>
              <w:rPr>
                <w:sz w:val="22"/>
                <w:szCs w:val="22"/>
              </w:rPr>
            </w:pPr>
            <w:r w:rsidRPr="006A0F26">
              <w:rPr>
                <w:sz w:val="22"/>
                <w:szCs w:val="22"/>
              </w:rPr>
              <w:t>Vodohospodárska výstavba, štátny podnik</w:t>
            </w:r>
          </w:p>
          <w:p w14:paraId="6FF23912" w14:textId="77777777" w:rsidR="002333CE" w:rsidRDefault="002333CE" w:rsidP="002333CE">
            <w:pPr>
              <w:pStyle w:val="Odsekzoznamu"/>
              <w:numPr>
                <w:ilvl w:val="0"/>
                <w:numId w:val="27"/>
              </w:numPr>
              <w:autoSpaceDE w:val="0"/>
              <w:autoSpaceDN w:val="0"/>
              <w:adjustRightInd w:val="0"/>
              <w:ind w:left="284" w:hanging="284"/>
              <w:rPr>
                <w:sz w:val="22"/>
                <w:szCs w:val="22"/>
              </w:rPr>
            </w:pPr>
            <w:r>
              <w:rPr>
                <w:sz w:val="22"/>
                <w:szCs w:val="22"/>
              </w:rPr>
              <w:t>Pro-Danubia – Združenie obcí pre miestnu dopravu po Dunaji</w:t>
            </w:r>
          </w:p>
          <w:p w14:paraId="6BE4C91F" w14:textId="41473B12" w:rsidR="002333CE" w:rsidRPr="002333CE" w:rsidRDefault="002333CE" w:rsidP="002333CE">
            <w:pPr>
              <w:pStyle w:val="Odsekzoznamu"/>
              <w:numPr>
                <w:ilvl w:val="0"/>
                <w:numId w:val="27"/>
              </w:numPr>
              <w:autoSpaceDE w:val="0"/>
              <w:autoSpaceDN w:val="0"/>
              <w:adjustRightInd w:val="0"/>
              <w:ind w:left="284" w:hanging="284"/>
              <w:rPr>
                <w:sz w:val="22"/>
                <w:szCs w:val="22"/>
              </w:rPr>
            </w:pPr>
            <w:r>
              <w:rPr>
                <w:sz w:val="22"/>
                <w:szCs w:val="22"/>
              </w:rPr>
              <w:t>Dopravný úrad</w:t>
            </w:r>
          </w:p>
          <w:p w14:paraId="3177B3B8" w14:textId="77777777" w:rsidR="009E0158" w:rsidRDefault="007E7491" w:rsidP="001779B7">
            <w:pPr>
              <w:pStyle w:val="Odsekzoznamu"/>
              <w:numPr>
                <w:ilvl w:val="0"/>
                <w:numId w:val="27"/>
              </w:numPr>
              <w:autoSpaceDE w:val="0"/>
              <w:autoSpaceDN w:val="0"/>
              <w:adjustRightInd w:val="0"/>
              <w:ind w:left="284" w:hanging="284"/>
              <w:rPr>
                <w:sz w:val="22"/>
                <w:szCs w:val="22"/>
              </w:rPr>
            </w:pPr>
            <w:r w:rsidRPr="00D23B7E">
              <w:rPr>
                <w:sz w:val="22"/>
                <w:szCs w:val="22"/>
              </w:rPr>
              <w:lastRenderedPageBreak/>
              <w:t>MDV SR</w:t>
            </w:r>
          </w:p>
          <w:p w14:paraId="583662BF" w14:textId="77777777" w:rsidR="009E0158" w:rsidRDefault="006472E7" w:rsidP="001779B7">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2C6518FD" w14:textId="77777777" w:rsidR="00307AAF" w:rsidRDefault="005D5247" w:rsidP="002B03EB">
      <w:pPr>
        <w:pStyle w:val="Nadpis4"/>
      </w:pPr>
      <w:r>
        <w:lastRenderedPageBreak/>
        <w:t>Hlavné princípy výberu projektov</w:t>
      </w:r>
    </w:p>
    <w:p w14:paraId="3D7C6832" w14:textId="77777777" w:rsidR="005D5247" w:rsidRDefault="00010302" w:rsidP="005D5247">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5D5247" w:rsidRPr="00FE75AD">
        <w:rPr>
          <w:sz w:val="22"/>
          <w:szCs w:val="22"/>
        </w:rPr>
        <w:t xml:space="preserve">Výber </w:t>
      </w:r>
      <w:r w:rsidR="005D5247">
        <w:rPr>
          <w:sz w:val="22"/>
          <w:szCs w:val="22"/>
        </w:rPr>
        <w:t>projektov na </w:t>
      </w:r>
      <w:r w:rsidR="005D5247" w:rsidRPr="00FE75AD">
        <w:rPr>
          <w:sz w:val="22"/>
          <w:szCs w:val="22"/>
        </w:rPr>
        <w:t>implementáci</w:t>
      </w:r>
      <w:r w:rsidR="005D5247">
        <w:rPr>
          <w:sz w:val="22"/>
          <w:szCs w:val="22"/>
        </w:rPr>
        <w:t>u bude rešpektovať výstupy strategických dokumento</w:t>
      </w:r>
      <w:r w:rsidR="00A05CA8">
        <w:rPr>
          <w:sz w:val="22"/>
          <w:szCs w:val="22"/>
        </w:rPr>
        <w:t>v spracovaných pre </w:t>
      </w:r>
      <w:r w:rsidR="005D5247">
        <w:rPr>
          <w:sz w:val="22"/>
          <w:szCs w:val="22"/>
        </w:rPr>
        <w:t>potreby p</w:t>
      </w:r>
      <w:r w:rsidR="00A26B61">
        <w:rPr>
          <w:sz w:val="22"/>
          <w:szCs w:val="22"/>
        </w:rPr>
        <w:t>rogramového obdobia</w:t>
      </w:r>
      <w:r w:rsidR="005564FD">
        <w:rPr>
          <w:sz w:val="22"/>
          <w:szCs w:val="22"/>
        </w:rPr>
        <w:t xml:space="preserve"> 2014 - 2020</w:t>
      </w:r>
      <w:r w:rsidR="00A26B61">
        <w:rPr>
          <w:sz w:val="22"/>
          <w:szCs w:val="22"/>
        </w:rPr>
        <w:t xml:space="preserve">, ako aj ich </w:t>
      </w:r>
      <w:r w:rsidR="005D5247">
        <w:rPr>
          <w:sz w:val="22"/>
          <w:szCs w:val="22"/>
        </w:rPr>
        <w:t>prípa</w:t>
      </w:r>
      <w:r w:rsidR="007E69E9">
        <w:rPr>
          <w:sz w:val="22"/>
          <w:szCs w:val="22"/>
        </w:rPr>
        <w:t>dné aktualizácie, ktoré zohľadňujú</w:t>
      </w:r>
      <w:r w:rsidR="005D5247">
        <w:rPr>
          <w:sz w:val="22"/>
          <w:szCs w:val="22"/>
        </w:rPr>
        <w:t xml:space="preserve"> rezortné potreby v širš</w:t>
      </w:r>
      <w:r w:rsidR="00A26B61">
        <w:rPr>
          <w:sz w:val="22"/>
          <w:szCs w:val="22"/>
        </w:rPr>
        <w:t>om kontexte. Ide predovšetkým o </w:t>
      </w:r>
      <w:r w:rsidR="005D5247">
        <w:rPr>
          <w:sz w:val="22"/>
          <w:szCs w:val="22"/>
        </w:rPr>
        <w:t xml:space="preserve">Strategický plán a Stratégiu </w:t>
      </w:r>
      <w:r w:rsidR="001E09F3">
        <w:rPr>
          <w:sz w:val="22"/>
          <w:szCs w:val="22"/>
        </w:rPr>
        <w:t>VOD</w:t>
      </w:r>
      <w:r w:rsidR="005D5247">
        <w:rPr>
          <w:sz w:val="22"/>
          <w:szCs w:val="22"/>
        </w:rPr>
        <w:t>.</w:t>
      </w:r>
    </w:p>
    <w:p w14:paraId="68B6082C" w14:textId="77777777" w:rsidR="00307AAF" w:rsidRPr="00A21DD4" w:rsidRDefault="00307AAF" w:rsidP="00307AAF">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FE57B7"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2A64812A" w14:textId="3525D0B3" w:rsidR="00B0750A" w:rsidRPr="00B0750A" w:rsidRDefault="00681576" w:rsidP="00B0750A">
      <w:pPr>
        <w:spacing w:before="180"/>
        <w:jc w:val="both"/>
        <w:rPr>
          <w:sz w:val="22"/>
        </w:rPr>
      </w:pPr>
      <w:r w:rsidRPr="00B0750A">
        <w:rPr>
          <w:sz w:val="22"/>
        </w:rPr>
        <w:t xml:space="preserve">Všetky plánované </w:t>
      </w:r>
      <w:r w:rsidR="005564FD" w:rsidRPr="00B0750A">
        <w:rPr>
          <w:sz w:val="22"/>
        </w:rPr>
        <w:t xml:space="preserve">projekty a projektové </w:t>
      </w:r>
      <w:r w:rsidRPr="00B0750A">
        <w:rPr>
          <w:sz w:val="22"/>
        </w:rPr>
        <w:t>zámery</w:t>
      </w:r>
      <w:r w:rsidR="005564FD" w:rsidRPr="00B0750A">
        <w:rPr>
          <w:sz w:val="22"/>
        </w:rPr>
        <w:t xml:space="preserve"> PO 4 </w:t>
      </w:r>
      <w:r w:rsidRPr="00B0750A">
        <w:rPr>
          <w:sz w:val="22"/>
        </w:rPr>
        <w:t>budú rešpektovať požiadavky nariadení a</w:t>
      </w:r>
      <w:r w:rsidR="00FE57B7" w:rsidRPr="00B0750A">
        <w:rPr>
          <w:sz w:val="22"/>
        </w:rPr>
        <w:t> </w:t>
      </w:r>
      <w:r w:rsidRPr="00B0750A">
        <w:rPr>
          <w:sz w:val="22"/>
        </w:rPr>
        <w:t>smerníc Európskej únie týkajúce sa ochrany životného prostredia, najmä Smernice Európskeho parlamentu a Rady 2000/60/ES z 23. októbra 2000, ktorou sa</w:t>
      </w:r>
      <w:r w:rsidR="004D39D8">
        <w:rPr>
          <w:sz w:val="22"/>
        </w:rPr>
        <w:t xml:space="preserve"> stanovuje rámec pôsobnosti pre </w:t>
      </w:r>
      <w:r w:rsidRPr="00B0750A">
        <w:rPr>
          <w:sz w:val="22"/>
        </w:rPr>
        <w:t xml:space="preserve">opatrenia spoločenstva v oblasti vodného hospodárstva (najmä čl. 4.7),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B0750A" w:rsidRPr="00B0750A">
        <w:rPr>
          <w:sz w:val="22"/>
        </w:rPr>
        <w:t>Závery stanoviska SEA OPII nenahrádzajú povinnosti/podmienky vyplývajúce zo smerníc EÚ pre dané plány a</w:t>
      </w:r>
      <w:r w:rsidR="002D1E44">
        <w:rPr>
          <w:sz w:val="22"/>
        </w:rPr>
        <w:t xml:space="preserve"> jednotlivé projekty. Plány a </w:t>
      </w:r>
      <w:r w:rsidR="00B0750A" w:rsidRPr="00B0750A">
        <w:rPr>
          <w:sz w:val="22"/>
        </w:rPr>
        <w:t>konkrétne projekty zahrnuté do výsledného indikatívneho zoznamu OPII budú zodpovedať výsledkom všetkých relevantných posúdení v súlade s legislatívou EU a budú predmetom revízie OPII.</w:t>
      </w:r>
    </w:p>
    <w:p w14:paraId="6CBBE16D" w14:textId="77777777" w:rsidR="00307AAF" w:rsidRDefault="006D24A5" w:rsidP="002B03EB">
      <w:pPr>
        <w:pStyle w:val="Nadpis4"/>
      </w:pPr>
      <w:r>
        <w:t>Plánované využitie finančných nástrojov</w:t>
      </w:r>
    </w:p>
    <w:p w14:paraId="7EC40323"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0060B9">
        <w:rPr>
          <w:sz w:val="22"/>
          <w:szCs w:val="22"/>
        </w:rPr>
        <w:t>ajú adekvátne financovanie, pri </w:t>
      </w:r>
      <w:r w:rsidRPr="00203FA1">
        <w:rPr>
          <w:sz w:val="22"/>
          <w:szCs w:val="22"/>
        </w:rPr>
        <w:t>ktorom by ich realizácia bola efektívnou.</w:t>
      </w:r>
    </w:p>
    <w:p w14:paraId="40B94F53" w14:textId="77777777" w:rsidR="00203FA1" w:rsidRDefault="00203FA1" w:rsidP="00203FA1">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w:t>
      </w:r>
      <w:r w:rsidR="000060B9">
        <w:rPr>
          <w:sz w:val="22"/>
          <w:szCs w:val="22"/>
        </w:rPr>
        <w:t>programové obdobie 2014 – 2020.</w:t>
      </w:r>
    </w:p>
    <w:p w14:paraId="2024F580" w14:textId="77777777" w:rsidR="00307AAF" w:rsidRDefault="006D24A5" w:rsidP="00C25D4A">
      <w:pPr>
        <w:pStyle w:val="tl3"/>
      </w:pPr>
      <w:r>
        <w:t>Plánované využitie veľkých projektov</w:t>
      </w:r>
    </w:p>
    <w:p w14:paraId="44EAFAE1" w14:textId="77777777" w:rsidR="006D24A5" w:rsidRDefault="006D24A5" w:rsidP="006D24A5">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p>
    <w:p w14:paraId="05A7593E" w14:textId="77777777" w:rsidR="00307AAF" w:rsidRDefault="006D24A5" w:rsidP="002B03EB">
      <w:pPr>
        <w:pStyle w:val="Nadpis4"/>
      </w:pPr>
      <w:r>
        <w:lastRenderedPageBreak/>
        <w:t>Ukazovatele výstupu na úrovni investičnej priority a kategórie regiónu</w:t>
      </w:r>
    </w:p>
    <w:p w14:paraId="0017484A" w14:textId="77777777" w:rsidR="006D24A5" w:rsidRPr="008C1732" w:rsidRDefault="006D24A5" w:rsidP="00ED7224">
      <w:pPr>
        <w:pStyle w:val="Tab"/>
      </w:pPr>
      <w:r>
        <w:t>Spoločné a špecifické ukazovatele výstupu</w:t>
      </w:r>
      <w:r w:rsidR="00E01D5B">
        <w:t xml:space="preserve"> investičnej priority</w:t>
      </w:r>
      <w:r w:rsidR="00D83282">
        <w:t xml:space="preserve"> 7</w:t>
      </w:r>
      <w:r w:rsidR="00D42D2B">
        <w:t>i</w:t>
      </w:r>
      <w:r w:rsidR="00D83282">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6D24A5" w14:paraId="3A3B6501" w14:textId="77777777" w:rsidTr="003D6170">
        <w:trPr>
          <w:trHeight w:val="487"/>
          <w:jc w:val="center"/>
        </w:trPr>
        <w:tc>
          <w:tcPr>
            <w:tcW w:w="578" w:type="dxa"/>
            <w:shd w:val="clear" w:color="auto" w:fill="C6D9F1" w:themeFill="text2" w:themeFillTint="33"/>
            <w:vAlign w:val="center"/>
          </w:tcPr>
          <w:p w14:paraId="183CEB2B" w14:textId="77777777" w:rsidR="006D24A5" w:rsidRPr="008C1732" w:rsidRDefault="003D6170" w:rsidP="003D6170">
            <w:pPr>
              <w:ind w:left="0"/>
              <w:jc w:val="center"/>
              <w:rPr>
                <w:b/>
                <w:sz w:val="18"/>
                <w:szCs w:val="18"/>
              </w:rPr>
            </w:pPr>
            <w:r>
              <w:rPr>
                <w:b/>
                <w:sz w:val="18"/>
                <w:szCs w:val="18"/>
              </w:rPr>
              <w:t>P. č.</w:t>
            </w:r>
          </w:p>
        </w:tc>
        <w:tc>
          <w:tcPr>
            <w:tcW w:w="2425" w:type="dxa"/>
            <w:shd w:val="clear" w:color="auto" w:fill="C6D9F1" w:themeFill="text2" w:themeFillTint="33"/>
            <w:vAlign w:val="center"/>
          </w:tcPr>
          <w:p w14:paraId="74169182" w14:textId="77777777" w:rsidR="006D24A5" w:rsidRPr="008C1732" w:rsidRDefault="006D24A5"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20D91B43" w14:textId="77777777" w:rsidR="006D24A5" w:rsidRPr="008C1732" w:rsidRDefault="006D24A5" w:rsidP="003D6170">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43F7A47E" w14:textId="77777777" w:rsidR="006D24A5" w:rsidRPr="008C1732" w:rsidRDefault="006D24A5" w:rsidP="003D6170">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0E6E56BC" w14:textId="77777777" w:rsidR="006D24A5" w:rsidRPr="008C1732" w:rsidRDefault="006D24A5" w:rsidP="003D6170">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3A021F6C" w14:textId="77777777" w:rsidR="006D24A5" w:rsidRPr="008C1732" w:rsidRDefault="006D24A5" w:rsidP="003D6170">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7E7C43C1" w14:textId="77777777" w:rsidR="006D24A5" w:rsidRPr="008C1732" w:rsidRDefault="006D24A5" w:rsidP="003D6170">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004034EF" w14:textId="77777777" w:rsidR="006D24A5" w:rsidRPr="008C1732" w:rsidRDefault="006D24A5" w:rsidP="003D6170">
            <w:pPr>
              <w:ind w:left="0"/>
              <w:jc w:val="center"/>
              <w:rPr>
                <w:b/>
                <w:sz w:val="18"/>
                <w:szCs w:val="18"/>
              </w:rPr>
            </w:pPr>
            <w:r w:rsidRPr="008C1732">
              <w:rPr>
                <w:b/>
                <w:sz w:val="18"/>
                <w:szCs w:val="18"/>
              </w:rPr>
              <w:t>Frekvencia vykazovania</w:t>
            </w:r>
          </w:p>
        </w:tc>
      </w:tr>
      <w:tr w:rsidR="00225C2F" w14:paraId="5F178697" w14:textId="77777777" w:rsidTr="003D6170">
        <w:trPr>
          <w:trHeight w:val="680"/>
          <w:jc w:val="center"/>
        </w:trPr>
        <w:tc>
          <w:tcPr>
            <w:tcW w:w="578" w:type="dxa"/>
            <w:shd w:val="clear" w:color="auto" w:fill="auto"/>
            <w:vAlign w:val="center"/>
          </w:tcPr>
          <w:p w14:paraId="139EA957" w14:textId="77777777" w:rsidR="00225C2F" w:rsidRPr="00737ED2" w:rsidRDefault="00225C2F" w:rsidP="00017B79">
            <w:pPr>
              <w:ind w:left="0"/>
              <w:jc w:val="center"/>
              <w:rPr>
                <w:sz w:val="18"/>
                <w:szCs w:val="18"/>
              </w:rPr>
            </w:pPr>
            <w:r>
              <w:rPr>
                <w:sz w:val="18"/>
                <w:szCs w:val="18"/>
              </w:rPr>
              <w:t>1</w:t>
            </w:r>
            <w:r w:rsidRPr="00737ED2">
              <w:rPr>
                <w:sz w:val="18"/>
                <w:szCs w:val="18"/>
              </w:rPr>
              <w:t>.</w:t>
            </w:r>
          </w:p>
        </w:tc>
        <w:tc>
          <w:tcPr>
            <w:tcW w:w="2425" w:type="dxa"/>
            <w:shd w:val="clear" w:color="auto" w:fill="auto"/>
            <w:vAlign w:val="center"/>
          </w:tcPr>
          <w:p w14:paraId="48D32587" w14:textId="77777777" w:rsidR="00225C2F" w:rsidRPr="00737ED2" w:rsidRDefault="00225C2F" w:rsidP="00C3107B">
            <w:pPr>
              <w:ind w:left="0"/>
              <w:rPr>
                <w:sz w:val="18"/>
                <w:szCs w:val="18"/>
              </w:rPr>
            </w:pPr>
            <w:r>
              <w:rPr>
                <w:sz w:val="18"/>
                <w:szCs w:val="18"/>
              </w:rPr>
              <w:t>Počet zmodernizovaných verejných prístavov na sieti TEN-</w:t>
            </w:r>
            <w:r w:rsidRPr="00A21DD4">
              <w:rPr>
                <w:sz w:val="18"/>
                <w:szCs w:val="18"/>
              </w:rPr>
              <w:t>T</w:t>
            </w:r>
            <w:r w:rsidR="00533ADC" w:rsidRPr="00A21DD4">
              <w:rPr>
                <w:sz w:val="18"/>
                <w:szCs w:val="18"/>
              </w:rPr>
              <w:t xml:space="preserve"> </w:t>
            </w:r>
            <w:r w:rsidR="00307AAF" w:rsidRPr="00A21DD4">
              <w:rPr>
                <w:sz w:val="18"/>
                <w:szCs w:val="18"/>
              </w:rPr>
              <w:t>CORE</w:t>
            </w:r>
          </w:p>
        </w:tc>
        <w:tc>
          <w:tcPr>
            <w:tcW w:w="903" w:type="dxa"/>
            <w:shd w:val="clear" w:color="auto" w:fill="auto"/>
            <w:vAlign w:val="center"/>
          </w:tcPr>
          <w:p w14:paraId="67538B5A" w14:textId="77777777" w:rsidR="00225C2F" w:rsidRPr="004F0234" w:rsidRDefault="00225C2F" w:rsidP="00C3107B">
            <w:pPr>
              <w:ind w:left="0"/>
              <w:jc w:val="center"/>
              <w:rPr>
                <w:i/>
                <w:sz w:val="18"/>
                <w:szCs w:val="18"/>
              </w:rPr>
            </w:pPr>
            <w:r>
              <w:rPr>
                <w:i/>
                <w:sz w:val="18"/>
                <w:szCs w:val="18"/>
              </w:rPr>
              <w:t>počet</w:t>
            </w:r>
          </w:p>
        </w:tc>
        <w:tc>
          <w:tcPr>
            <w:tcW w:w="621" w:type="dxa"/>
            <w:shd w:val="clear" w:color="auto" w:fill="auto"/>
            <w:vAlign w:val="center"/>
          </w:tcPr>
          <w:p w14:paraId="0B15D756" w14:textId="77777777" w:rsidR="00225C2F" w:rsidRPr="004F0234" w:rsidRDefault="00225C2F" w:rsidP="00C3107B">
            <w:pPr>
              <w:ind w:left="0"/>
              <w:jc w:val="center"/>
              <w:rPr>
                <w:i/>
                <w:sz w:val="18"/>
                <w:szCs w:val="18"/>
              </w:rPr>
            </w:pPr>
            <w:r w:rsidRPr="004F0234">
              <w:rPr>
                <w:i/>
                <w:sz w:val="18"/>
                <w:szCs w:val="18"/>
              </w:rPr>
              <w:t>KF</w:t>
            </w:r>
          </w:p>
        </w:tc>
        <w:tc>
          <w:tcPr>
            <w:tcW w:w="1229" w:type="dxa"/>
            <w:shd w:val="clear" w:color="auto" w:fill="auto"/>
            <w:vAlign w:val="center"/>
          </w:tcPr>
          <w:p w14:paraId="5FF2B756" w14:textId="77777777" w:rsidR="00225C2F" w:rsidRPr="004F0234" w:rsidRDefault="00225C2F" w:rsidP="00C3107B">
            <w:pPr>
              <w:ind w:left="0"/>
              <w:jc w:val="center"/>
              <w:rPr>
                <w:i/>
                <w:sz w:val="18"/>
                <w:szCs w:val="18"/>
              </w:rPr>
            </w:pPr>
            <w:r w:rsidRPr="00F55678">
              <w:rPr>
                <w:i/>
                <w:sz w:val="18"/>
                <w:szCs w:val="18"/>
              </w:rPr>
              <w:t>N/A</w:t>
            </w:r>
          </w:p>
        </w:tc>
        <w:tc>
          <w:tcPr>
            <w:tcW w:w="1253" w:type="dxa"/>
            <w:shd w:val="clear" w:color="auto" w:fill="auto"/>
            <w:vAlign w:val="center"/>
          </w:tcPr>
          <w:p w14:paraId="7D7047D0" w14:textId="77777777" w:rsidR="00225C2F" w:rsidRPr="004F0234" w:rsidRDefault="00612D9A" w:rsidP="00C3107B">
            <w:pPr>
              <w:ind w:left="0"/>
              <w:jc w:val="center"/>
              <w:rPr>
                <w:i/>
                <w:sz w:val="18"/>
                <w:szCs w:val="18"/>
              </w:rPr>
            </w:pPr>
            <w:r>
              <w:rPr>
                <w:i/>
                <w:sz w:val="18"/>
                <w:szCs w:val="18"/>
              </w:rPr>
              <w:t>1</w:t>
            </w:r>
          </w:p>
        </w:tc>
        <w:tc>
          <w:tcPr>
            <w:tcW w:w="1015" w:type="dxa"/>
            <w:vAlign w:val="center"/>
          </w:tcPr>
          <w:p w14:paraId="577FF424" w14:textId="77777777" w:rsidR="00225C2F" w:rsidRPr="004F0234" w:rsidRDefault="00225C2F" w:rsidP="00C3107B">
            <w:pPr>
              <w:ind w:left="0"/>
              <w:jc w:val="center"/>
              <w:rPr>
                <w:i/>
                <w:sz w:val="18"/>
                <w:szCs w:val="18"/>
              </w:rPr>
            </w:pPr>
            <w:r w:rsidRPr="004F0234">
              <w:rPr>
                <w:i/>
                <w:sz w:val="18"/>
                <w:szCs w:val="18"/>
              </w:rPr>
              <w:t>RO OPII</w:t>
            </w:r>
          </w:p>
        </w:tc>
        <w:tc>
          <w:tcPr>
            <w:tcW w:w="1388" w:type="dxa"/>
            <w:vAlign w:val="center"/>
          </w:tcPr>
          <w:p w14:paraId="62C5F366" w14:textId="77777777" w:rsidR="00225C2F" w:rsidRPr="004F0234" w:rsidRDefault="00225C2F" w:rsidP="00C3107B">
            <w:pPr>
              <w:ind w:left="0"/>
              <w:jc w:val="center"/>
              <w:rPr>
                <w:i/>
                <w:sz w:val="18"/>
                <w:szCs w:val="18"/>
              </w:rPr>
            </w:pPr>
            <w:r>
              <w:rPr>
                <w:i/>
                <w:sz w:val="18"/>
                <w:szCs w:val="18"/>
              </w:rPr>
              <w:t>Ročne</w:t>
            </w:r>
          </w:p>
        </w:tc>
      </w:tr>
      <w:tr w:rsidR="006D24A5" w14:paraId="2C1C9A50" w14:textId="77777777" w:rsidTr="003D6170">
        <w:trPr>
          <w:trHeight w:val="680"/>
          <w:jc w:val="center"/>
        </w:trPr>
        <w:tc>
          <w:tcPr>
            <w:tcW w:w="578" w:type="dxa"/>
            <w:shd w:val="clear" w:color="auto" w:fill="auto"/>
            <w:vAlign w:val="center"/>
          </w:tcPr>
          <w:p w14:paraId="24933655" w14:textId="77777777" w:rsidR="006D24A5" w:rsidRDefault="006D24A5" w:rsidP="00017B79">
            <w:pPr>
              <w:ind w:left="0"/>
              <w:jc w:val="center"/>
              <w:rPr>
                <w:sz w:val="18"/>
                <w:szCs w:val="18"/>
              </w:rPr>
            </w:pPr>
            <w:r>
              <w:rPr>
                <w:sz w:val="18"/>
                <w:szCs w:val="18"/>
              </w:rPr>
              <w:t>2.</w:t>
            </w:r>
          </w:p>
        </w:tc>
        <w:tc>
          <w:tcPr>
            <w:tcW w:w="2425" w:type="dxa"/>
            <w:shd w:val="clear" w:color="auto" w:fill="auto"/>
            <w:vAlign w:val="center"/>
          </w:tcPr>
          <w:p w14:paraId="3E982ECD" w14:textId="77777777" w:rsidR="006D24A5" w:rsidRPr="00737ED2" w:rsidRDefault="002F2B02" w:rsidP="00225C2F">
            <w:pPr>
              <w:ind w:left="0"/>
              <w:rPr>
                <w:sz w:val="18"/>
                <w:szCs w:val="18"/>
              </w:rPr>
            </w:pPr>
            <w:r>
              <w:rPr>
                <w:sz w:val="18"/>
                <w:szCs w:val="18"/>
              </w:rPr>
              <w:t>Počet vypracovaných štúdií realizovateľnosti (v súvislosti s rozvojom prístavov a vodných ciest TEN-T CORE)</w:t>
            </w:r>
          </w:p>
        </w:tc>
        <w:tc>
          <w:tcPr>
            <w:tcW w:w="903" w:type="dxa"/>
            <w:shd w:val="clear" w:color="auto" w:fill="auto"/>
            <w:vAlign w:val="center"/>
          </w:tcPr>
          <w:p w14:paraId="6F4832BB" w14:textId="77777777" w:rsidR="006D24A5" w:rsidRPr="004F0234" w:rsidRDefault="00225C2F" w:rsidP="00225C2F">
            <w:pPr>
              <w:ind w:left="0"/>
              <w:jc w:val="center"/>
              <w:rPr>
                <w:i/>
                <w:sz w:val="18"/>
                <w:szCs w:val="18"/>
              </w:rPr>
            </w:pPr>
            <w:r>
              <w:rPr>
                <w:i/>
                <w:sz w:val="18"/>
                <w:szCs w:val="18"/>
              </w:rPr>
              <w:t>počet</w:t>
            </w:r>
          </w:p>
        </w:tc>
        <w:tc>
          <w:tcPr>
            <w:tcW w:w="621" w:type="dxa"/>
            <w:shd w:val="clear" w:color="auto" w:fill="auto"/>
            <w:vAlign w:val="center"/>
          </w:tcPr>
          <w:p w14:paraId="3FCF1BFB" w14:textId="77777777" w:rsidR="006D24A5" w:rsidRPr="004F0234" w:rsidRDefault="006D24A5" w:rsidP="00E01D5B">
            <w:pPr>
              <w:ind w:left="0"/>
              <w:jc w:val="center"/>
              <w:rPr>
                <w:i/>
                <w:sz w:val="18"/>
                <w:szCs w:val="18"/>
              </w:rPr>
            </w:pPr>
            <w:r w:rsidRPr="004F0234">
              <w:rPr>
                <w:i/>
                <w:sz w:val="18"/>
                <w:szCs w:val="18"/>
              </w:rPr>
              <w:t>KF</w:t>
            </w:r>
          </w:p>
        </w:tc>
        <w:tc>
          <w:tcPr>
            <w:tcW w:w="1229" w:type="dxa"/>
            <w:shd w:val="clear" w:color="auto" w:fill="auto"/>
            <w:vAlign w:val="center"/>
          </w:tcPr>
          <w:p w14:paraId="07714354" w14:textId="77777777" w:rsidR="006D24A5" w:rsidRPr="004F0234" w:rsidRDefault="006D24A5" w:rsidP="00E01D5B">
            <w:pPr>
              <w:ind w:left="0"/>
              <w:jc w:val="center"/>
              <w:rPr>
                <w:i/>
                <w:sz w:val="18"/>
                <w:szCs w:val="18"/>
              </w:rPr>
            </w:pPr>
            <w:r w:rsidRPr="00F55678">
              <w:rPr>
                <w:i/>
                <w:sz w:val="18"/>
                <w:szCs w:val="18"/>
              </w:rPr>
              <w:t>N/A</w:t>
            </w:r>
          </w:p>
        </w:tc>
        <w:tc>
          <w:tcPr>
            <w:tcW w:w="1253" w:type="dxa"/>
            <w:shd w:val="clear" w:color="auto" w:fill="auto"/>
            <w:vAlign w:val="center"/>
          </w:tcPr>
          <w:p w14:paraId="1F30AA82" w14:textId="77777777" w:rsidR="006D24A5" w:rsidRPr="004F0234" w:rsidRDefault="00612D9A" w:rsidP="00E01D5B">
            <w:pPr>
              <w:ind w:left="0"/>
              <w:jc w:val="center"/>
              <w:rPr>
                <w:i/>
                <w:sz w:val="18"/>
                <w:szCs w:val="18"/>
              </w:rPr>
            </w:pPr>
            <w:r>
              <w:rPr>
                <w:i/>
                <w:sz w:val="18"/>
                <w:szCs w:val="18"/>
              </w:rPr>
              <w:t>3</w:t>
            </w:r>
          </w:p>
        </w:tc>
        <w:tc>
          <w:tcPr>
            <w:tcW w:w="1015" w:type="dxa"/>
            <w:vAlign w:val="center"/>
          </w:tcPr>
          <w:p w14:paraId="290A1186" w14:textId="77777777" w:rsidR="006D24A5" w:rsidRPr="004F0234" w:rsidRDefault="006D24A5" w:rsidP="00E01D5B">
            <w:pPr>
              <w:ind w:left="0"/>
              <w:jc w:val="center"/>
              <w:rPr>
                <w:i/>
                <w:sz w:val="18"/>
                <w:szCs w:val="18"/>
              </w:rPr>
            </w:pPr>
            <w:r w:rsidRPr="004F0234">
              <w:rPr>
                <w:i/>
                <w:sz w:val="18"/>
                <w:szCs w:val="18"/>
              </w:rPr>
              <w:t>RO OPII</w:t>
            </w:r>
          </w:p>
        </w:tc>
        <w:tc>
          <w:tcPr>
            <w:tcW w:w="1388" w:type="dxa"/>
            <w:vAlign w:val="center"/>
          </w:tcPr>
          <w:p w14:paraId="024F026C" w14:textId="77777777" w:rsidR="006D24A5" w:rsidRPr="004F0234" w:rsidRDefault="006D24A5" w:rsidP="00E01D5B">
            <w:pPr>
              <w:ind w:left="0"/>
              <w:jc w:val="center"/>
              <w:rPr>
                <w:i/>
                <w:sz w:val="18"/>
                <w:szCs w:val="18"/>
              </w:rPr>
            </w:pPr>
            <w:r>
              <w:rPr>
                <w:i/>
                <w:sz w:val="18"/>
                <w:szCs w:val="18"/>
              </w:rPr>
              <w:t>Ročne</w:t>
            </w:r>
          </w:p>
        </w:tc>
      </w:tr>
    </w:tbl>
    <w:p w14:paraId="6058C7EE" w14:textId="77777777" w:rsidR="00307AAF" w:rsidRDefault="006D24A5" w:rsidP="002B03EB">
      <w:pPr>
        <w:pStyle w:val="Nadpis3"/>
      </w:pPr>
      <w:bookmarkStart w:id="46" w:name="_Toc28951608"/>
      <w:r>
        <w:t>Výkonnostný rámec prioritnej osi</w:t>
      </w:r>
      <w:bookmarkEnd w:id="46"/>
    </w:p>
    <w:p w14:paraId="48FAD046" w14:textId="77777777" w:rsidR="006D24A5" w:rsidRPr="007B3B80" w:rsidRDefault="006D24A5" w:rsidP="00ED7224">
      <w:pPr>
        <w:pStyle w:val="Tab"/>
      </w:pPr>
      <w:r>
        <w:t>Vý</w:t>
      </w:r>
      <w:r w:rsidR="00EF2D7B">
        <w:t xml:space="preserve">konnostný rámec Prioritnej osi </w:t>
      </w:r>
      <w:r w:rsidR="00E00F70">
        <w:t>4</w:t>
      </w:r>
    </w:p>
    <w:tbl>
      <w:tblPr>
        <w:tblStyle w:val="Mriekatabuky"/>
        <w:tblW w:w="98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86"/>
        <w:gridCol w:w="897"/>
        <w:gridCol w:w="617"/>
        <w:gridCol w:w="986"/>
        <w:gridCol w:w="987"/>
        <w:gridCol w:w="846"/>
        <w:gridCol w:w="747"/>
        <w:gridCol w:w="1312"/>
      </w:tblGrid>
      <w:tr w:rsidR="006D24A5" w14:paraId="295A799C" w14:textId="77777777" w:rsidTr="00395D81">
        <w:trPr>
          <w:trHeight w:val="340"/>
          <w:jc w:val="center"/>
        </w:trPr>
        <w:tc>
          <w:tcPr>
            <w:tcW w:w="1476" w:type="dxa"/>
            <w:shd w:val="clear" w:color="auto" w:fill="C6D9F1" w:themeFill="text2" w:themeFillTint="33"/>
          </w:tcPr>
          <w:p w14:paraId="5914ECF6" w14:textId="77777777" w:rsidR="006D24A5" w:rsidRPr="008C1732" w:rsidRDefault="006D24A5" w:rsidP="00017B79">
            <w:pPr>
              <w:ind w:left="0"/>
              <w:rPr>
                <w:b/>
                <w:sz w:val="18"/>
                <w:szCs w:val="18"/>
              </w:rPr>
            </w:pPr>
            <w:r w:rsidRPr="008C1732">
              <w:rPr>
                <w:b/>
                <w:sz w:val="18"/>
                <w:szCs w:val="18"/>
              </w:rPr>
              <w:t>Typ ukazovateľa</w:t>
            </w:r>
          </w:p>
          <w:p w14:paraId="12D389EA" w14:textId="77777777" w:rsidR="006D24A5" w:rsidRPr="008C1732" w:rsidRDefault="006D24A5" w:rsidP="00017B79">
            <w:pPr>
              <w:ind w:left="0"/>
              <w:rPr>
                <w:b/>
                <w:sz w:val="18"/>
                <w:szCs w:val="18"/>
              </w:rPr>
            </w:pPr>
          </w:p>
          <w:p w14:paraId="585E82BD" w14:textId="77777777" w:rsidR="006D24A5" w:rsidRPr="008C1732" w:rsidRDefault="006D24A5"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3CCA775C" w14:textId="77777777" w:rsidR="006D24A5" w:rsidRPr="008C1732" w:rsidRDefault="00AF56C3" w:rsidP="00017B79">
            <w:pPr>
              <w:ind w:left="0"/>
              <w:rPr>
                <w:b/>
                <w:sz w:val="18"/>
                <w:szCs w:val="18"/>
              </w:rPr>
            </w:pPr>
            <w:r>
              <w:rPr>
                <w:b/>
                <w:sz w:val="18"/>
                <w:szCs w:val="18"/>
              </w:rPr>
              <w:t>P. č.</w:t>
            </w:r>
          </w:p>
        </w:tc>
        <w:tc>
          <w:tcPr>
            <w:tcW w:w="1576" w:type="dxa"/>
            <w:shd w:val="clear" w:color="auto" w:fill="C6D9F1" w:themeFill="text2" w:themeFillTint="33"/>
          </w:tcPr>
          <w:p w14:paraId="3E51D113" w14:textId="77777777" w:rsidR="006D24A5" w:rsidRPr="008C1732" w:rsidRDefault="006D24A5"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63CE98C5" w14:textId="77777777" w:rsidR="006D24A5" w:rsidRPr="008C1732" w:rsidRDefault="006D24A5" w:rsidP="00017B79">
            <w:pPr>
              <w:ind w:left="0"/>
              <w:rPr>
                <w:b/>
                <w:sz w:val="18"/>
                <w:szCs w:val="18"/>
              </w:rPr>
            </w:pPr>
            <w:r w:rsidRPr="008C1732">
              <w:rPr>
                <w:b/>
                <w:sz w:val="18"/>
                <w:szCs w:val="18"/>
              </w:rPr>
              <w:t>Merná jednotka</w:t>
            </w:r>
          </w:p>
        </w:tc>
        <w:tc>
          <w:tcPr>
            <w:tcW w:w="617" w:type="dxa"/>
            <w:shd w:val="clear" w:color="auto" w:fill="C6D9F1" w:themeFill="text2" w:themeFillTint="33"/>
          </w:tcPr>
          <w:p w14:paraId="07C7B9BA" w14:textId="77777777" w:rsidR="006D24A5" w:rsidRPr="008C1732" w:rsidRDefault="006D24A5" w:rsidP="00017B79">
            <w:pPr>
              <w:ind w:left="0"/>
              <w:rPr>
                <w:b/>
                <w:sz w:val="18"/>
                <w:szCs w:val="18"/>
              </w:rPr>
            </w:pPr>
            <w:r w:rsidRPr="008C1732">
              <w:rPr>
                <w:b/>
                <w:sz w:val="18"/>
                <w:szCs w:val="18"/>
              </w:rPr>
              <w:t>Fond</w:t>
            </w:r>
          </w:p>
        </w:tc>
        <w:tc>
          <w:tcPr>
            <w:tcW w:w="986" w:type="dxa"/>
            <w:shd w:val="clear" w:color="auto" w:fill="C6D9F1" w:themeFill="text2" w:themeFillTint="33"/>
          </w:tcPr>
          <w:p w14:paraId="142CC73A" w14:textId="77777777" w:rsidR="006D24A5" w:rsidRPr="008C1732" w:rsidRDefault="006D24A5" w:rsidP="00017B79">
            <w:pPr>
              <w:ind w:left="0"/>
              <w:rPr>
                <w:b/>
                <w:sz w:val="18"/>
                <w:szCs w:val="18"/>
              </w:rPr>
            </w:pPr>
            <w:r w:rsidRPr="008C1732">
              <w:rPr>
                <w:b/>
                <w:sz w:val="18"/>
                <w:szCs w:val="18"/>
              </w:rPr>
              <w:t>Kategória regiónu</w:t>
            </w:r>
          </w:p>
        </w:tc>
        <w:tc>
          <w:tcPr>
            <w:tcW w:w="987" w:type="dxa"/>
            <w:shd w:val="clear" w:color="auto" w:fill="C6D9F1" w:themeFill="text2" w:themeFillTint="33"/>
          </w:tcPr>
          <w:p w14:paraId="14E3A775" w14:textId="77777777" w:rsidR="006D24A5" w:rsidRPr="008C1732" w:rsidRDefault="006D24A5" w:rsidP="00017B79">
            <w:pPr>
              <w:ind w:left="0"/>
              <w:rPr>
                <w:b/>
                <w:sz w:val="18"/>
                <w:szCs w:val="18"/>
              </w:rPr>
            </w:pPr>
            <w:r w:rsidRPr="008C1732">
              <w:rPr>
                <w:b/>
                <w:sz w:val="18"/>
                <w:szCs w:val="18"/>
              </w:rPr>
              <w:t>Čiastkový cieľ pre rok 2018</w:t>
            </w:r>
          </w:p>
        </w:tc>
        <w:tc>
          <w:tcPr>
            <w:tcW w:w="736" w:type="dxa"/>
            <w:shd w:val="clear" w:color="auto" w:fill="C6D9F1" w:themeFill="text2" w:themeFillTint="33"/>
          </w:tcPr>
          <w:p w14:paraId="7C9BED7F" w14:textId="77777777" w:rsidR="006D24A5" w:rsidRPr="008C1732" w:rsidRDefault="006D24A5" w:rsidP="00017B79">
            <w:pPr>
              <w:ind w:left="0"/>
              <w:rPr>
                <w:b/>
                <w:sz w:val="18"/>
                <w:szCs w:val="18"/>
              </w:rPr>
            </w:pPr>
            <w:r w:rsidRPr="008C1732">
              <w:rPr>
                <w:b/>
                <w:sz w:val="18"/>
                <w:szCs w:val="18"/>
              </w:rPr>
              <w:t>Zámer</w:t>
            </w:r>
          </w:p>
          <w:p w14:paraId="04F3119C" w14:textId="77777777" w:rsidR="006D24A5" w:rsidRPr="008C1732" w:rsidRDefault="006D24A5" w:rsidP="00017B79">
            <w:pPr>
              <w:ind w:left="0"/>
              <w:rPr>
                <w:b/>
                <w:sz w:val="18"/>
                <w:szCs w:val="18"/>
              </w:rPr>
            </w:pPr>
            <w:r w:rsidRPr="008C1732">
              <w:rPr>
                <w:b/>
                <w:sz w:val="18"/>
                <w:szCs w:val="18"/>
              </w:rPr>
              <w:t>(2023)</w:t>
            </w:r>
          </w:p>
        </w:tc>
        <w:tc>
          <w:tcPr>
            <w:tcW w:w="747" w:type="dxa"/>
            <w:shd w:val="clear" w:color="auto" w:fill="C6D9F1" w:themeFill="text2" w:themeFillTint="33"/>
          </w:tcPr>
          <w:p w14:paraId="7BF73382" w14:textId="77777777" w:rsidR="006D24A5" w:rsidRPr="008C1732" w:rsidRDefault="006D24A5" w:rsidP="00017B79">
            <w:pPr>
              <w:ind w:left="0"/>
              <w:rPr>
                <w:b/>
                <w:sz w:val="18"/>
                <w:szCs w:val="18"/>
              </w:rPr>
            </w:pPr>
            <w:r w:rsidRPr="008C1732">
              <w:rPr>
                <w:b/>
                <w:sz w:val="18"/>
                <w:szCs w:val="18"/>
              </w:rPr>
              <w:t>Zdroj údajov</w:t>
            </w:r>
          </w:p>
        </w:tc>
        <w:tc>
          <w:tcPr>
            <w:tcW w:w="1432" w:type="dxa"/>
            <w:shd w:val="clear" w:color="auto" w:fill="C6D9F1" w:themeFill="text2" w:themeFillTint="33"/>
          </w:tcPr>
          <w:p w14:paraId="557FF803" w14:textId="77777777" w:rsidR="006D24A5" w:rsidRPr="008C1732" w:rsidRDefault="006D24A5" w:rsidP="00017B79">
            <w:pPr>
              <w:ind w:left="0"/>
              <w:rPr>
                <w:b/>
                <w:sz w:val="18"/>
                <w:szCs w:val="18"/>
              </w:rPr>
            </w:pPr>
            <w:r w:rsidRPr="008C1732">
              <w:rPr>
                <w:b/>
                <w:sz w:val="18"/>
                <w:szCs w:val="18"/>
              </w:rPr>
              <w:t>Zdôvodnenie výberu ukazovateľa</w:t>
            </w:r>
          </w:p>
        </w:tc>
      </w:tr>
      <w:tr w:rsidR="006D24A5" w14:paraId="2D851712" w14:textId="77777777" w:rsidTr="00395D81">
        <w:trPr>
          <w:trHeight w:val="454"/>
          <w:jc w:val="center"/>
        </w:trPr>
        <w:tc>
          <w:tcPr>
            <w:tcW w:w="1476" w:type="dxa"/>
            <w:vAlign w:val="center"/>
          </w:tcPr>
          <w:p w14:paraId="0EF82C71" w14:textId="77777777" w:rsidR="006D24A5" w:rsidRDefault="006D24A5" w:rsidP="005139F6">
            <w:pPr>
              <w:ind w:left="0"/>
              <w:rPr>
                <w:i/>
                <w:sz w:val="18"/>
                <w:szCs w:val="18"/>
              </w:rPr>
            </w:pPr>
          </w:p>
          <w:p w14:paraId="61CDAB90" w14:textId="77777777" w:rsidR="00A24BA1" w:rsidRPr="00D9570C" w:rsidRDefault="00A24BA1" w:rsidP="005139F6">
            <w:pPr>
              <w:ind w:left="0"/>
              <w:rPr>
                <w:i/>
                <w:sz w:val="18"/>
                <w:szCs w:val="18"/>
              </w:rPr>
            </w:pPr>
            <w:r>
              <w:rPr>
                <w:i/>
                <w:sz w:val="18"/>
                <w:szCs w:val="18"/>
              </w:rPr>
              <w:t>implementačný krok</w:t>
            </w:r>
          </w:p>
        </w:tc>
        <w:tc>
          <w:tcPr>
            <w:tcW w:w="371" w:type="dxa"/>
          </w:tcPr>
          <w:p w14:paraId="2A3B9C37" w14:textId="77777777" w:rsidR="006D24A5" w:rsidRPr="00D9570C" w:rsidRDefault="006D24A5" w:rsidP="00017B79">
            <w:pPr>
              <w:rPr>
                <w:sz w:val="18"/>
                <w:szCs w:val="18"/>
              </w:rPr>
            </w:pPr>
          </w:p>
        </w:tc>
        <w:tc>
          <w:tcPr>
            <w:tcW w:w="1576" w:type="dxa"/>
            <w:vAlign w:val="center"/>
          </w:tcPr>
          <w:p w14:paraId="4BE4A8D8" w14:textId="397DDE94" w:rsidR="00A24BA1" w:rsidRPr="00D9570C" w:rsidRDefault="00F204C9" w:rsidP="00017B79">
            <w:pPr>
              <w:ind w:left="0"/>
              <w:rPr>
                <w:sz w:val="18"/>
                <w:szCs w:val="18"/>
              </w:rPr>
            </w:pPr>
            <w:r w:rsidRPr="00315AF8">
              <w:rPr>
                <w:sz w:val="18"/>
                <w:szCs w:val="18"/>
              </w:rPr>
              <w:t>Počet vyhlásených VO na projekty verejného prístavu Bratislava v súlade s vypracovanou štúdiou realizovateľnosti</w:t>
            </w:r>
          </w:p>
        </w:tc>
        <w:tc>
          <w:tcPr>
            <w:tcW w:w="897" w:type="dxa"/>
            <w:vAlign w:val="center"/>
          </w:tcPr>
          <w:p w14:paraId="1E2E4F85" w14:textId="77777777" w:rsidR="006D24A5" w:rsidRPr="00D9570C" w:rsidRDefault="00E00F70" w:rsidP="005139F6">
            <w:pPr>
              <w:ind w:left="0"/>
              <w:jc w:val="center"/>
              <w:rPr>
                <w:i/>
                <w:sz w:val="18"/>
                <w:szCs w:val="18"/>
              </w:rPr>
            </w:pPr>
            <w:r>
              <w:rPr>
                <w:i/>
                <w:sz w:val="18"/>
                <w:szCs w:val="18"/>
              </w:rPr>
              <w:t>počet</w:t>
            </w:r>
          </w:p>
        </w:tc>
        <w:tc>
          <w:tcPr>
            <w:tcW w:w="617" w:type="dxa"/>
            <w:vAlign w:val="center"/>
          </w:tcPr>
          <w:p w14:paraId="71AD6E1D" w14:textId="77777777" w:rsidR="006D24A5" w:rsidRPr="00D9570C" w:rsidRDefault="006D24A5" w:rsidP="005139F6">
            <w:pPr>
              <w:ind w:left="0"/>
              <w:jc w:val="center"/>
              <w:rPr>
                <w:i/>
                <w:sz w:val="18"/>
                <w:szCs w:val="18"/>
              </w:rPr>
            </w:pPr>
            <w:r w:rsidRPr="00D9570C">
              <w:rPr>
                <w:i/>
                <w:sz w:val="18"/>
                <w:szCs w:val="18"/>
              </w:rPr>
              <w:t>KF</w:t>
            </w:r>
          </w:p>
        </w:tc>
        <w:tc>
          <w:tcPr>
            <w:tcW w:w="986" w:type="dxa"/>
            <w:vAlign w:val="center"/>
          </w:tcPr>
          <w:p w14:paraId="256655B5" w14:textId="77777777" w:rsidR="006D24A5" w:rsidRPr="00D9570C" w:rsidRDefault="006D24A5" w:rsidP="005139F6">
            <w:pPr>
              <w:ind w:left="0"/>
              <w:jc w:val="center"/>
              <w:rPr>
                <w:i/>
                <w:sz w:val="18"/>
                <w:szCs w:val="18"/>
              </w:rPr>
            </w:pPr>
            <w:r w:rsidRPr="00D9570C">
              <w:rPr>
                <w:i/>
                <w:sz w:val="18"/>
                <w:szCs w:val="18"/>
              </w:rPr>
              <w:t>N/A</w:t>
            </w:r>
          </w:p>
        </w:tc>
        <w:tc>
          <w:tcPr>
            <w:tcW w:w="987" w:type="dxa"/>
            <w:vAlign w:val="center"/>
          </w:tcPr>
          <w:p w14:paraId="61F2CE4E" w14:textId="108B7F4D" w:rsidR="006D24A5" w:rsidRPr="00D9570C" w:rsidRDefault="00F204C9" w:rsidP="005139F6">
            <w:pPr>
              <w:ind w:left="0"/>
              <w:jc w:val="center"/>
              <w:rPr>
                <w:i/>
                <w:sz w:val="18"/>
                <w:szCs w:val="18"/>
              </w:rPr>
            </w:pPr>
            <w:r>
              <w:rPr>
                <w:i/>
                <w:sz w:val="18"/>
                <w:szCs w:val="18"/>
              </w:rPr>
              <w:t>2</w:t>
            </w:r>
          </w:p>
        </w:tc>
        <w:tc>
          <w:tcPr>
            <w:tcW w:w="736" w:type="dxa"/>
            <w:vAlign w:val="center"/>
          </w:tcPr>
          <w:p w14:paraId="3AE1601A" w14:textId="77777777" w:rsidR="006D24A5" w:rsidRPr="00D9570C" w:rsidRDefault="00A24BA1" w:rsidP="005139F6">
            <w:pPr>
              <w:ind w:left="0"/>
              <w:jc w:val="center"/>
              <w:rPr>
                <w:i/>
                <w:sz w:val="18"/>
                <w:szCs w:val="18"/>
              </w:rPr>
            </w:pPr>
            <w:r>
              <w:rPr>
                <w:i/>
                <w:sz w:val="18"/>
                <w:szCs w:val="18"/>
              </w:rPr>
              <w:t>2</w:t>
            </w:r>
          </w:p>
        </w:tc>
        <w:tc>
          <w:tcPr>
            <w:tcW w:w="747" w:type="dxa"/>
            <w:vAlign w:val="center"/>
          </w:tcPr>
          <w:p w14:paraId="73309025" w14:textId="77777777" w:rsidR="006D24A5" w:rsidRPr="00D9570C" w:rsidRDefault="006D24A5" w:rsidP="005139F6">
            <w:pPr>
              <w:ind w:left="0"/>
              <w:jc w:val="center"/>
              <w:rPr>
                <w:i/>
                <w:sz w:val="18"/>
                <w:szCs w:val="18"/>
              </w:rPr>
            </w:pPr>
            <w:r w:rsidRPr="00D9570C">
              <w:rPr>
                <w:i/>
                <w:sz w:val="18"/>
                <w:szCs w:val="18"/>
              </w:rPr>
              <w:t>RO OPII</w:t>
            </w:r>
          </w:p>
        </w:tc>
        <w:tc>
          <w:tcPr>
            <w:tcW w:w="1432" w:type="dxa"/>
            <w:vAlign w:val="center"/>
          </w:tcPr>
          <w:p w14:paraId="2916DF51" w14:textId="77777777" w:rsidR="006D24A5" w:rsidRDefault="006D24A5" w:rsidP="005139F6">
            <w:pPr>
              <w:ind w:left="0"/>
              <w:jc w:val="center"/>
              <w:rPr>
                <w:i/>
                <w:sz w:val="18"/>
                <w:szCs w:val="18"/>
              </w:rPr>
            </w:pPr>
          </w:p>
          <w:p w14:paraId="6D81F446" w14:textId="77777777" w:rsidR="00A24BA1" w:rsidRPr="00D9570C" w:rsidRDefault="00A24BA1" w:rsidP="005139F6">
            <w:pPr>
              <w:ind w:left="0"/>
              <w:jc w:val="center"/>
              <w:rPr>
                <w:i/>
                <w:sz w:val="18"/>
                <w:szCs w:val="18"/>
              </w:rPr>
            </w:pPr>
            <w:r>
              <w:rPr>
                <w:i/>
                <w:sz w:val="18"/>
                <w:szCs w:val="18"/>
              </w:rPr>
              <w:t>Dôležitý implementačný krok</w:t>
            </w:r>
          </w:p>
        </w:tc>
      </w:tr>
      <w:tr w:rsidR="00FE692B" w14:paraId="09265852" w14:textId="77777777" w:rsidTr="00395D81">
        <w:trPr>
          <w:trHeight w:val="454"/>
          <w:jc w:val="center"/>
        </w:trPr>
        <w:tc>
          <w:tcPr>
            <w:tcW w:w="1476" w:type="dxa"/>
            <w:vAlign w:val="center"/>
          </w:tcPr>
          <w:p w14:paraId="65D2C7E8" w14:textId="77777777" w:rsidR="009D53AD" w:rsidRDefault="00FE692B">
            <w:pPr>
              <w:ind w:left="0"/>
              <w:rPr>
                <w:i/>
                <w:sz w:val="18"/>
                <w:szCs w:val="18"/>
              </w:rPr>
            </w:pPr>
            <w:r>
              <w:rPr>
                <w:i/>
                <w:sz w:val="18"/>
                <w:szCs w:val="18"/>
              </w:rPr>
              <w:t>výstupový ukazovateľ</w:t>
            </w:r>
          </w:p>
        </w:tc>
        <w:tc>
          <w:tcPr>
            <w:tcW w:w="371" w:type="dxa"/>
          </w:tcPr>
          <w:p w14:paraId="624BFC3A" w14:textId="77777777" w:rsidR="009D53AD" w:rsidRDefault="009D53AD">
            <w:pPr>
              <w:ind w:left="0"/>
              <w:rPr>
                <w:sz w:val="18"/>
                <w:szCs w:val="18"/>
              </w:rPr>
            </w:pPr>
          </w:p>
        </w:tc>
        <w:tc>
          <w:tcPr>
            <w:tcW w:w="1576" w:type="dxa"/>
            <w:vAlign w:val="center"/>
          </w:tcPr>
          <w:p w14:paraId="18181AF5" w14:textId="77777777" w:rsidR="009D53AD" w:rsidRDefault="00FE692B">
            <w:pPr>
              <w:ind w:left="0"/>
              <w:rPr>
                <w:sz w:val="18"/>
                <w:szCs w:val="18"/>
              </w:rPr>
            </w:pPr>
            <w:r>
              <w:rPr>
                <w:sz w:val="18"/>
                <w:szCs w:val="18"/>
              </w:rPr>
              <w:t xml:space="preserve">Počet zmodernizovaných verejných </w:t>
            </w:r>
            <w:r w:rsidRPr="00A21DD4">
              <w:rPr>
                <w:sz w:val="18"/>
                <w:szCs w:val="18"/>
              </w:rPr>
              <w:t>prístavov na sieti TEN-T</w:t>
            </w:r>
            <w:r w:rsidR="00D37D59" w:rsidRPr="00A21DD4">
              <w:rPr>
                <w:sz w:val="18"/>
                <w:szCs w:val="18"/>
              </w:rPr>
              <w:t xml:space="preserve"> </w:t>
            </w:r>
            <w:r w:rsidR="00307AAF" w:rsidRPr="00A21DD4">
              <w:rPr>
                <w:sz w:val="18"/>
                <w:szCs w:val="18"/>
              </w:rPr>
              <w:t>CORE</w:t>
            </w:r>
          </w:p>
        </w:tc>
        <w:tc>
          <w:tcPr>
            <w:tcW w:w="897" w:type="dxa"/>
            <w:vAlign w:val="center"/>
          </w:tcPr>
          <w:p w14:paraId="6FCEF355" w14:textId="77777777" w:rsidR="009D53AD" w:rsidRDefault="00FE692B">
            <w:pPr>
              <w:ind w:left="0"/>
              <w:jc w:val="center"/>
              <w:rPr>
                <w:i/>
                <w:sz w:val="18"/>
                <w:szCs w:val="18"/>
              </w:rPr>
            </w:pPr>
            <w:r>
              <w:rPr>
                <w:i/>
                <w:sz w:val="18"/>
                <w:szCs w:val="18"/>
              </w:rPr>
              <w:t>počet</w:t>
            </w:r>
          </w:p>
        </w:tc>
        <w:tc>
          <w:tcPr>
            <w:tcW w:w="617" w:type="dxa"/>
            <w:vAlign w:val="center"/>
          </w:tcPr>
          <w:p w14:paraId="7159E4E9" w14:textId="77777777" w:rsidR="009D53AD" w:rsidRDefault="00FE692B">
            <w:pPr>
              <w:ind w:left="0"/>
              <w:jc w:val="center"/>
              <w:rPr>
                <w:i/>
                <w:sz w:val="18"/>
                <w:szCs w:val="18"/>
              </w:rPr>
            </w:pPr>
            <w:r>
              <w:rPr>
                <w:i/>
                <w:sz w:val="18"/>
                <w:szCs w:val="18"/>
              </w:rPr>
              <w:t>KF</w:t>
            </w:r>
          </w:p>
        </w:tc>
        <w:tc>
          <w:tcPr>
            <w:tcW w:w="986" w:type="dxa"/>
            <w:vAlign w:val="center"/>
          </w:tcPr>
          <w:p w14:paraId="20AFA12D" w14:textId="77777777" w:rsidR="009D53AD" w:rsidRDefault="00FE692B">
            <w:pPr>
              <w:ind w:left="0"/>
              <w:jc w:val="center"/>
              <w:rPr>
                <w:i/>
                <w:sz w:val="18"/>
                <w:szCs w:val="18"/>
              </w:rPr>
            </w:pPr>
            <w:r>
              <w:rPr>
                <w:i/>
                <w:sz w:val="18"/>
                <w:szCs w:val="18"/>
              </w:rPr>
              <w:t>N/A</w:t>
            </w:r>
          </w:p>
        </w:tc>
        <w:tc>
          <w:tcPr>
            <w:tcW w:w="987" w:type="dxa"/>
            <w:vAlign w:val="center"/>
          </w:tcPr>
          <w:p w14:paraId="0CC70FCC" w14:textId="77777777" w:rsidR="009D53AD" w:rsidRDefault="00FE692B">
            <w:pPr>
              <w:ind w:left="0"/>
              <w:jc w:val="center"/>
              <w:rPr>
                <w:i/>
                <w:sz w:val="18"/>
                <w:szCs w:val="18"/>
              </w:rPr>
            </w:pPr>
            <w:r>
              <w:rPr>
                <w:i/>
                <w:sz w:val="18"/>
                <w:szCs w:val="18"/>
              </w:rPr>
              <w:t>0</w:t>
            </w:r>
          </w:p>
        </w:tc>
        <w:tc>
          <w:tcPr>
            <w:tcW w:w="736" w:type="dxa"/>
            <w:vAlign w:val="center"/>
          </w:tcPr>
          <w:p w14:paraId="4BB5AD6C" w14:textId="77777777" w:rsidR="009D53AD" w:rsidRDefault="00FE692B">
            <w:pPr>
              <w:ind w:left="0"/>
              <w:jc w:val="center"/>
              <w:rPr>
                <w:i/>
                <w:sz w:val="18"/>
                <w:szCs w:val="18"/>
              </w:rPr>
            </w:pPr>
            <w:r>
              <w:rPr>
                <w:i/>
                <w:sz w:val="18"/>
                <w:szCs w:val="18"/>
              </w:rPr>
              <w:t>1</w:t>
            </w:r>
          </w:p>
        </w:tc>
        <w:tc>
          <w:tcPr>
            <w:tcW w:w="747" w:type="dxa"/>
            <w:vAlign w:val="center"/>
          </w:tcPr>
          <w:p w14:paraId="13CAD770" w14:textId="77777777" w:rsidR="009D53AD" w:rsidRDefault="00FE692B">
            <w:pPr>
              <w:ind w:left="0"/>
              <w:jc w:val="center"/>
              <w:rPr>
                <w:i/>
                <w:sz w:val="18"/>
                <w:szCs w:val="18"/>
              </w:rPr>
            </w:pPr>
            <w:r>
              <w:rPr>
                <w:i/>
                <w:sz w:val="18"/>
                <w:szCs w:val="18"/>
              </w:rPr>
              <w:t>RO OPII</w:t>
            </w:r>
          </w:p>
        </w:tc>
        <w:tc>
          <w:tcPr>
            <w:tcW w:w="1432" w:type="dxa"/>
            <w:vAlign w:val="center"/>
          </w:tcPr>
          <w:p w14:paraId="67B796F0" w14:textId="77777777" w:rsidR="009D53AD" w:rsidRDefault="00FE692B">
            <w:pPr>
              <w:ind w:left="0"/>
              <w:jc w:val="center"/>
              <w:rPr>
                <w:i/>
                <w:sz w:val="18"/>
                <w:szCs w:val="18"/>
              </w:rPr>
            </w:pPr>
            <w:r>
              <w:rPr>
                <w:i/>
                <w:sz w:val="18"/>
                <w:szCs w:val="18"/>
              </w:rPr>
              <w:t>Nosná investičná aktivita v rámci PO4</w:t>
            </w:r>
          </w:p>
        </w:tc>
      </w:tr>
      <w:tr w:rsidR="006D24A5" w14:paraId="2AE552D4" w14:textId="77777777" w:rsidTr="00395D81">
        <w:trPr>
          <w:trHeight w:val="454"/>
          <w:jc w:val="center"/>
        </w:trPr>
        <w:tc>
          <w:tcPr>
            <w:tcW w:w="1476" w:type="dxa"/>
            <w:vAlign w:val="center"/>
          </w:tcPr>
          <w:p w14:paraId="1F17012E" w14:textId="706C6BA4" w:rsidR="006D24A5" w:rsidRPr="00D9570C" w:rsidRDefault="006D24A5" w:rsidP="005139F6">
            <w:pPr>
              <w:ind w:left="0"/>
              <w:rPr>
                <w:sz w:val="18"/>
                <w:szCs w:val="18"/>
              </w:rPr>
            </w:pPr>
            <w:r w:rsidRPr="00D9570C">
              <w:rPr>
                <w:i/>
                <w:sz w:val="18"/>
                <w:szCs w:val="18"/>
              </w:rPr>
              <w:t>finančný ukazovateľ</w:t>
            </w:r>
          </w:p>
        </w:tc>
        <w:tc>
          <w:tcPr>
            <w:tcW w:w="371" w:type="dxa"/>
          </w:tcPr>
          <w:p w14:paraId="50950ED0" w14:textId="77777777" w:rsidR="006D24A5" w:rsidRPr="00D9570C" w:rsidRDefault="006D24A5" w:rsidP="00017B79">
            <w:pPr>
              <w:rPr>
                <w:sz w:val="18"/>
                <w:szCs w:val="18"/>
              </w:rPr>
            </w:pPr>
          </w:p>
        </w:tc>
        <w:tc>
          <w:tcPr>
            <w:tcW w:w="1576" w:type="dxa"/>
            <w:vAlign w:val="center"/>
          </w:tcPr>
          <w:p w14:paraId="016617E2" w14:textId="6C8DC506" w:rsidR="006D24A5" w:rsidRPr="00D9570C" w:rsidRDefault="00B76046" w:rsidP="00017B79">
            <w:pPr>
              <w:ind w:left="0"/>
              <w:rPr>
                <w:sz w:val="18"/>
                <w:szCs w:val="18"/>
              </w:rPr>
            </w:pPr>
            <w:r w:rsidRPr="00B76046">
              <w:rPr>
                <w:sz w:val="18"/>
                <w:szCs w:val="18"/>
              </w:rPr>
              <w:t>Celková suma oprávnených výdavkov po ich certifikácii certifikačným orgánom</w:t>
            </w:r>
            <w:r w:rsidR="00114E67">
              <w:rPr>
                <w:sz w:val="18"/>
                <w:szCs w:val="18"/>
              </w:rPr>
              <w:t xml:space="preserve"> a predložení žiadostí o platby Európskej komisii</w:t>
            </w:r>
          </w:p>
        </w:tc>
        <w:tc>
          <w:tcPr>
            <w:tcW w:w="897" w:type="dxa"/>
            <w:vAlign w:val="center"/>
          </w:tcPr>
          <w:p w14:paraId="44AEF62B" w14:textId="77777777" w:rsidR="006D24A5" w:rsidRPr="00D9570C" w:rsidRDefault="00FE738D" w:rsidP="005139F6">
            <w:pPr>
              <w:ind w:left="0"/>
              <w:jc w:val="center"/>
              <w:rPr>
                <w:i/>
                <w:sz w:val="18"/>
                <w:szCs w:val="18"/>
              </w:rPr>
            </w:pPr>
            <w:r>
              <w:rPr>
                <w:i/>
                <w:sz w:val="18"/>
                <w:szCs w:val="18"/>
              </w:rPr>
              <w:t>EUR</w:t>
            </w:r>
          </w:p>
        </w:tc>
        <w:tc>
          <w:tcPr>
            <w:tcW w:w="617" w:type="dxa"/>
            <w:vAlign w:val="center"/>
          </w:tcPr>
          <w:p w14:paraId="0726AAE4" w14:textId="77777777" w:rsidR="006D24A5" w:rsidRPr="00D9570C" w:rsidRDefault="006D24A5" w:rsidP="005139F6">
            <w:pPr>
              <w:ind w:left="0"/>
              <w:jc w:val="center"/>
              <w:rPr>
                <w:i/>
                <w:sz w:val="18"/>
                <w:szCs w:val="18"/>
              </w:rPr>
            </w:pPr>
            <w:r w:rsidRPr="00D9570C">
              <w:rPr>
                <w:i/>
                <w:sz w:val="18"/>
                <w:szCs w:val="18"/>
              </w:rPr>
              <w:t>KF</w:t>
            </w:r>
          </w:p>
        </w:tc>
        <w:tc>
          <w:tcPr>
            <w:tcW w:w="986" w:type="dxa"/>
            <w:vAlign w:val="center"/>
          </w:tcPr>
          <w:p w14:paraId="71768E8B" w14:textId="77777777" w:rsidR="006D24A5" w:rsidRPr="00D9570C" w:rsidRDefault="006D24A5" w:rsidP="005139F6">
            <w:pPr>
              <w:ind w:left="0"/>
              <w:jc w:val="center"/>
              <w:rPr>
                <w:i/>
                <w:sz w:val="18"/>
                <w:szCs w:val="18"/>
              </w:rPr>
            </w:pPr>
            <w:r w:rsidRPr="00D9570C">
              <w:rPr>
                <w:i/>
                <w:sz w:val="18"/>
                <w:szCs w:val="18"/>
              </w:rPr>
              <w:t>N/A</w:t>
            </w:r>
          </w:p>
        </w:tc>
        <w:tc>
          <w:tcPr>
            <w:tcW w:w="987" w:type="dxa"/>
            <w:vAlign w:val="center"/>
          </w:tcPr>
          <w:p w14:paraId="6C4760A8" w14:textId="01BD9F4E" w:rsidR="00D329F5" w:rsidRDefault="00F204C9">
            <w:pPr>
              <w:ind w:left="0"/>
              <w:jc w:val="center"/>
              <w:rPr>
                <w:i/>
                <w:sz w:val="18"/>
                <w:szCs w:val="18"/>
              </w:rPr>
            </w:pPr>
            <w:r>
              <w:rPr>
                <w:i/>
                <w:sz w:val="18"/>
                <w:szCs w:val="18"/>
              </w:rPr>
              <w:t>13 700 000</w:t>
            </w:r>
          </w:p>
        </w:tc>
        <w:tc>
          <w:tcPr>
            <w:tcW w:w="736" w:type="dxa"/>
            <w:vAlign w:val="center"/>
          </w:tcPr>
          <w:p w14:paraId="7561ED03" w14:textId="4BD12B00" w:rsidR="006D24A5" w:rsidRPr="00D9570C" w:rsidRDefault="00FE738D" w:rsidP="006C7788">
            <w:pPr>
              <w:ind w:left="0"/>
              <w:jc w:val="center"/>
              <w:rPr>
                <w:i/>
                <w:sz w:val="18"/>
                <w:szCs w:val="18"/>
              </w:rPr>
            </w:pPr>
            <w:r>
              <w:rPr>
                <w:i/>
                <w:sz w:val="18"/>
                <w:szCs w:val="18"/>
              </w:rPr>
              <w:t> </w:t>
            </w:r>
            <w:r w:rsidR="006C7788">
              <w:rPr>
                <w:i/>
                <w:sz w:val="18"/>
                <w:szCs w:val="18"/>
              </w:rPr>
              <w:t>128 780 000</w:t>
            </w:r>
          </w:p>
        </w:tc>
        <w:tc>
          <w:tcPr>
            <w:tcW w:w="747" w:type="dxa"/>
            <w:vAlign w:val="center"/>
          </w:tcPr>
          <w:p w14:paraId="48CE77B0" w14:textId="77777777" w:rsidR="006D24A5" w:rsidRPr="00D9570C" w:rsidRDefault="006D24A5" w:rsidP="005139F6">
            <w:pPr>
              <w:ind w:left="0"/>
              <w:jc w:val="center"/>
              <w:rPr>
                <w:i/>
                <w:sz w:val="18"/>
                <w:szCs w:val="18"/>
              </w:rPr>
            </w:pPr>
            <w:r w:rsidRPr="00D9570C">
              <w:rPr>
                <w:i/>
                <w:sz w:val="18"/>
                <w:szCs w:val="18"/>
              </w:rPr>
              <w:t>RO OPII</w:t>
            </w:r>
          </w:p>
        </w:tc>
        <w:tc>
          <w:tcPr>
            <w:tcW w:w="1432" w:type="dxa"/>
            <w:vAlign w:val="center"/>
          </w:tcPr>
          <w:p w14:paraId="33D26E7C" w14:textId="77777777" w:rsidR="006D24A5" w:rsidRPr="00D9570C" w:rsidRDefault="006D24A5" w:rsidP="005139F6">
            <w:pPr>
              <w:ind w:left="0"/>
              <w:jc w:val="center"/>
              <w:rPr>
                <w:i/>
                <w:sz w:val="18"/>
                <w:szCs w:val="18"/>
              </w:rPr>
            </w:pPr>
            <w:r w:rsidRPr="00D9570C">
              <w:rPr>
                <w:i/>
                <w:sz w:val="18"/>
                <w:szCs w:val="18"/>
              </w:rPr>
              <w:t>Základný finančný ukazovateľ</w:t>
            </w:r>
          </w:p>
        </w:tc>
      </w:tr>
    </w:tbl>
    <w:p w14:paraId="3AA7694E" w14:textId="77777777" w:rsidR="00307AAF" w:rsidRDefault="006D24A5" w:rsidP="002B03EB">
      <w:pPr>
        <w:pStyle w:val="Nadpis3"/>
      </w:pPr>
      <w:bookmarkStart w:id="47" w:name="_Toc28951609"/>
      <w:r w:rsidRPr="002B03EB">
        <w:t>Kategórie</w:t>
      </w:r>
      <w:r>
        <w:t xml:space="preserve"> intervencií</w:t>
      </w:r>
      <w:bookmarkEnd w:id="47"/>
    </w:p>
    <w:p w14:paraId="437FAA74" w14:textId="77777777" w:rsidR="006D24A5" w:rsidRPr="006579CE" w:rsidRDefault="006D24A5"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46"/>
        <w:gridCol w:w="1787"/>
        <w:gridCol w:w="2039"/>
      </w:tblGrid>
      <w:tr w:rsidR="006D24A5" w14:paraId="09A84119" w14:textId="77777777" w:rsidTr="00017B79">
        <w:trPr>
          <w:trHeight w:val="284"/>
          <w:jc w:val="center"/>
        </w:trPr>
        <w:tc>
          <w:tcPr>
            <w:tcW w:w="9072" w:type="dxa"/>
            <w:gridSpan w:val="3"/>
            <w:shd w:val="clear" w:color="auto" w:fill="DBE5F1" w:themeFill="accent1" w:themeFillTint="33"/>
            <w:vAlign w:val="center"/>
          </w:tcPr>
          <w:p w14:paraId="13BB0B2C" w14:textId="77777777" w:rsidR="006D24A5" w:rsidRPr="006579CE" w:rsidRDefault="006D24A5" w:rsidP="00017B79">
            <w:pPr>
              <w:pStyle w:val="Default"/>
              <w:autoSpaceDE/>
              <w:autoSpaceDN/>
              <w:adjustRightInd/>
              <w:ind w:left="0"/>
              <w:rPr>
                <w:sz w:val="20"/>
                <w:szCs w:val="20"/>
              </w:rPr>
            </w:pPr>
            <w:r>
              <w:rPr>
                <w:b/>
                <w:bCs/>
                <w:sz w:val="20"/>
                <w:szCs w:val="20"/>
              </w:rPr>
              <w:t xml:space="preserve">Rozmer 1 – Oblasť intervencie </w:t>
            </w:r>
          </w:p>
        </w:tc>
      </w:tr>
      <w:tr w:rsidR="006D24A5" w14:paraId="4BA1B68F" w14:textId="77777777" w:rsidTr="00E467C5">
        <w:trPr>
          <w:trHeight w:val="284"/>
          <w:jc w:val="center"/>
        </w:trPr>
        <w:tc>
          <w:tcPr>
            <w:tcW w:w="5246" w:type="dxa"/>
            <w:shd w:val="clear" w:color="auto" w:fill="DBE5F1" w:themeFill="accent1" w:themeFillTint="33"/>
            <w:vAlign w:val="center"/>
          </w:tcPr>
          <w:p w14:paraId="16D612B5"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3826" w:type="dxa"/>
            <w:gridSpan w:val="2"/>
            <w:shd w:val="clear" w:color="auto" w:fill="DBE5F1" w:themeFill="accent1" w:themeFillTint="33"/>
            <w:vAlign w:val="center"/>
          </w:tcPr>
          <w:p w14:paraId="2D986D31"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77EE5A75" w14:textId="77777777" w:rsidTr="00E467C5">
        <w:trPr>
          <w:trHeight w:val="284"/>
          <w:jc w:val="center"/>
        </w:trPr>
        <w:tc>
          <w:tcPr>
            <w:tcW w:w="5246" w:type="dxa"/>
            <w:shd w:val="clear" w:color="auto" w:fill="DBE5F1" w:themeFill="accent1" w:themeFillTint="33"/>
            <w:vAlign w:val="center"/>
          </w:tcPr>
          <w:p w14:paraId="15E569EA" w14:textId="77777777" w:rsidR="006D24A5" w:rsidRPr="006579CE" w:rsidRDefault="006D24A5" w:rsidP="00017B79">
            <w:pPr>
              <w:ind w:left="0"/>
              <w:rPr>
                <w:sz w:val="20"/>
                <w:szCs w:val="20"/>
              </w:rPr>
            </w:pPr>
            <w:r w:rsidRPr="006579CE">
              <w:rPr>
                <w:b/>
                <w:bCs/>
                <w:color w:val="000000"/>
                <w:sz w:val="20"/>
                <w:szCs w:val="20"/>
              </w:rPr>
              <w:t>Kategória regiónu</w:t>
            </w:r>
          </w:p>
        </w:tc>
        <w:tc>
          <w:tcPr>
            <w:tcW w:w="3826" w:type="dxa"/>
            <w:gridSpan w:val="2"/>
            <w:shd w:val="clear" w:color="auto" w:fill="DBE5F1" w:themeFill="accent1" w:themeFillTint="33"/>
            <w:vAlign w:val="center"/>
          </w:tcPr>
          <w:p w14:paraId="1D1CE0F2" w14:textId="77777777" w:rsidR="006D24A5" w:rsidRPr="006579CE" w:rsidRDefault="006D24A5" w:rsidP="00017B79">
            <w:pPr>
              <w:ind w:left="0"/>
              <w:rPr>
                <w:sz w:val="20"/>
                <w:szCs w:val="20"/>
              </w:rPr>
            </w:pPr>
            <w:r w:rsidRPr="006579CE">
              <w:rPr>
                <w:sz w:val="20"/>
                <w:szCs w:val="20"/>
              </w:rPr>
              <w:t>N/A</w:t>
            </w:r>
          </w:p>
        </w:tc>
      </w:tr>
      <w:tr w:rsidR="006D24A5" w14:paraId="6B9BCB5B" w14:textId="77777777" w:rsidTr="00E467C5">
        <w:trPr>
          <w:trHeight w:val="284"/>
          <w:jc w:val="center"/>
        </w:trPr>
        <w:tc>
          <w:tcPr>
            <w:tcW w:w="5246" w:type="dxa"/>
            <w:vAlign w:val="center"/>
          </w:tcPr>
          <w:p w14:paraId="0E1143B3" w14:textId="77777777" w:rsidR="006D24A5" w:rsidRPr="00D479A4" w:rsidRDefault="006D24A5" w:rsidP="00017B79">
            <w:pPr>
              <w:ind w:left="0"/>
              <w:jc w:val="center"/>
              <w:rPr>
                <w:b/>
                <w:sz w:val="20"/>
                <w:szCs w:val="20"/>
              </w:rPr>
            </w:pPr>
            <w:r w:rsidRPr="00D479A4">
              <w:rPr>
                <w:b/>
                <w:sz w:val="20"/>
                <w:szCs w:val="20"/>
              </w:rPr>
              <w:t>Prioritná os</w:t>
            </w:r>
          </w:p>
        </w:tc>
        <w:tc>
          <w:tcPr>
            <w:tcW w:w="1787" w:type="dxa"/>
            <w:vAlign w:val="center"/>
          </w:tcPr>
          <w:p w14:paraId="475EF3FB" w14:textId="77777777"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14:paraId="20C2C8BD" w14:textId="77777777" w:rsidR="006D24A5" w:rsidRPr="00D479A4" w:rsidRDefault="006D24A5" w:rsidP="00017B79">
            <w:pPr>
              <w:ind w:left="0"/>
              <w:jc w:val="center"/>
              <w:rPr>
                <w:b/>
                <w:sz w:val="20"/>
                <w:szCs w:val="20"/>
              </w:rPr>
            </w:pPr>
            <w:r w:rsidRPr="00D479A4">
              <w:rPr>
                <w:b/>
                <w:sz w:val="20"/>
                <w:szCs w:val="20"/>
              </w:rPr>
              <w:t>Suma (v EUR)</w:t>
            </w:r>
          </w:p>
        </w:tc>
      </w:tr>
      <w:tr w:rsidR="00E00F70" w14:paraId="5465A82E" w14:textId="77777777" w:rsidTr="00E467C5">
        <w:trPr>
          <w:trHeight w:val="284"/>
          <w:jc w:val="center"/>
        </w:trPr>
        <w:tc>
          <w:tcPr>
            <w:tcW w:w="5246" w:type="dxa"/>
            <w:vAlign w:val="center"/>
          </w:tcPr>
          <w:p w14:paraId="52D553F3" w14:textId="77777777" w:rsidR="00E00F70" w:rsidRPr="00D479A4" w:rsidRDefault="003E0235" w:rsidP="00E00F70">
            <w:pPr>
              <w:ind w:left="0"/>
              <w:rPr>
                <w:b/>
                <w:sz w:val="20"/>
                <w:szCs w:val="20"/>
              </w:rPr>
            </w:pPr>
            <w:r>
              <w:rPr>
                <w:sz w:val="20"/>
                <w:szCs w:val="20"/>
              </w:rPr>
              <w:t xml:space="preserve">Prioritná os 4 - </w:t>
            </w:r>
            <w:r w:rsidR="00E00F70">
              <w:rPr>
                <w:sz w:val="20"/>
                <w:szCs w:val="20"/>
              </w:rPr>
              <w:t>Infraštruktúra vodnej dopravy (TEN-T CORE)</w:t>
            </w:r>
          </w:p>
        </w:tc>
        <w:tc>
          <w:tcPr>
            <w:tcW w:w="1787" w:type="dxa"/>
            <w:vAlign w:val="center"/>
          </w:tcPr>
          <w:p w14:paraId="5D026EB6" w14:textId="77777777" w:rsidR="00E00F70" w:rsidRPr="00D479A4" w:rsidRDefault="00E00F70" w:rsidP="00E00F70">
            <w:pPr>
              <w:ind w:left="0"/>
              <w:jc w:val="center"/>
              <w:rPr>
                <w:b/>
                <w:sz w:val="20"/>
                <w:szCs w:val="20"/>
              </w:rPr>
            </w:pPr>
            <w:r>
              <w:rPr>
                <w:sz w:val="20"/>
                <w:szCs w:val="20"/>
              </w:rPr>
              <w:t>041</w:t>
            </w:r>
          </w:p>
        </w:tc>
        <w:tc>
          <w:tcPr>
            <w:tcW w:w="2039" w:type="dxa"/>
            <w:vAlign w:val="center"/>
          </w:tcPr>
          <w:p w14:paraId="415E295D" w14:textId="326B850E" w:rsidR="00E00F70" w:rsidRPr="00E00F70" w:rsidRDefault="006C7788" w:rsidP="006C7788">
            <w:pPr>
              <w:ind w:left="0"/>
              <w:jc w:val="center"/>
              <w:rPr>
                <w:sz w:val="20"/>
                <w:szCs w:val="20"/>
              </w:rPr>
            </w:pPr>
            <w:r>
              <w:rPr>
                <w:sz w:val="20"/>
                <w:szCs w:val="20"/>
              </w:rPr>
              <w:t>109 463 000</w:t>
            </w:r>
          </w:p>
        </w:tc>
      </w:tr>
    </w:tbl>
    <w:p w14:paraId="5AF1CCEB" w14:textId="77777777" w:rsidR="007A7FD2" w:rsidRDefault="007A7FD2" w:rsidP="00E467C5">
      <w:pPr>
        <w:pStyle w:val="Tab"/>
        <w:tabs>
          <w:tab w:val="clear" w:pos="0"/>
          <w:tab w:val="clear" w:pos="851"/>
        </w:tabs>
        <w:spacing w:before="36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37"/>
        <w:gridCol w:w="1796"/>
        <w:gridCol w:w="2039"/>
      </w:tblGrid>
      <w:tr w:rsidR="006D24A5" w14:paraId="3ED3B34A" w14:textId="77777777" w:rsidTr="007A7FD2">
        <w:trPr>
          <w:trHeight w:val="255"/>
          <w:jc w:val="center"/>
        </w:trPr>
        <w:tc>
          <w:tcPr>
            <w:tcW w:w="9072" w:type="dxa"/>
            <w:gridSpan w:val="3"/>
            <w:shd w:val="clear" w:color="auto" w:fill="DBE5F1" w:themeFill="accent1" w:themeFillTint="33"/>
            <w:vAlign w:val="center"/>
          </w:tcPr>
          <w:p w14:paraId="094F35E8" w14:textId="77777777" w:rsidR="006D24A5" w:rsidRPr="006579CE" w:rsidRDefault="006D24A5" w:rsidP="00017B79">
            <w:pPr>
              <w:pStyle w:val="Default"/>
              <w:autoSpaceDE/>
              <w:autoSpaceDN/>
              <w:adjustRightInd/>
              <w:ind w:left="0"/>
              <w:rPr>
                <w:sz w:val="20"/>
                <w:szCs w:val="20"/>
              </w:rPr>
            </w:pPr>
            <w:r>
              <w:rPr>
                <w:b/>
                <w:bCs/>
                <w:sz w:val="20"/>
                <w:szCs w:val="20"/>
              </w:rPr>
              <w:t xml:space="preserve">Rozmer 2 – Forma financovania </w:t>
            </w:r>
          </w:p>
        </w:tc>
      </w:tr>
      <w:tr w:rsidR="006D24A5" w14:paraId="67CA8896" w14:textId="77777777" w:rsidTr="00E467C5">
        <w:trPr>
          <w:trHeight w:val="255"/>
          <w:jc w:val="center"/>
        </w:trPr>
        <w:tc>
          <w:tcPr>
            <w:tcW w:w="5237" w:type="dxa"/>
            <w:shd w:val="clear" w:color="auto" w:fill="DBE5F1" w:themeFill="accent1" w:themeFillTint="33"/>
            <w:vAlign w:val="center"/>
          </w:tcPr>
          <w:p w14:paraId="5A91E597"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3835" w:type="dxa"/>
            <w:gridSpan w:val="2"/>
            <w:shd w:val="clear" w:color="auto" w:fill="DBE5F1" w:themeFill="accent1" w:themeFillTint="33"/>
            <w:vAlign w:val="center"/>
          </w:tcPr>
          <w:p w14:paraId="2A21A52D"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507CE7EA" w14:textId="77777777" w:rsidTr="00E467C5">
        <w:trPr>
          <w:trHeight w:val="255"/>
          <w:jc w:val="center"/>
        </w:trPr>
        <w:tc>
          <w:tcPr>
            <w:tcW w:w="5237" w:type="dxa"/>
            <w:shd w:val="clear" w:color="auto" w:fill="DBE5F1" w:themeFill="accent1" w:themeFillTint="33"/>
            <w:vAlign w:val="center"/>
          </w:tcPr>
          <w:p w14:paraId="5FE6C924" w14:textId="77777777" w:rsidR="006D24A5" w:rsidRPr="006579CE" w:rsidRDefault="006D24A5" w:rsidP="00017B79">
            <w:pPr>
              <w:ind w:left="0"/>
              <w:rPr>
                <w:sz w:val="20"/>
                <w:szCs w:val="20"/>
              </w:rPr>
            </w:pPr>
            <w:r w:rsidRPr="006579CE">
              <w:rPr>
                <w:b/>
                <w:bCs/>
                <w:color w:val="000000"/>
                <w:sz w:val="20"/>
                <w:szCs w:val="20"/>
              </w:rPr>
              <w:t>Kategória regiónu</w:t>
            </w:r>
          </w:p>
        </w:tc>
        <w:tc>
          <w:tcPr>
            <w:tcW w:w="3835" w:type="dxa"/>
            <w:gridSpan w:val="2"/>
            <w:shd w:val="clear" w:color="auto" w:fill="DBE5F1" w:themeFill="accent1" w:themeFillTint="33"/>
            <w:vAlign w:val="center"/>
          </w:tcPr>
          <w:p w14:paraId="33BF6470" w14:textId="77777777" w:rsidR="006D24A5" w:rsidRPr="006579CE" w:rsidRDefault="006D24A5" w:rsidP="00017B79">
            <w:pPr>
              <w:ind w:left="0"/>
              <w:rPr>
                <w:sz w:val="20"/>
                <w:szCs w:val="20"/>
              </w:rPr>
            </w:pPr>
            <w:r w:rsidRPr="006579CE">
              <w:rPr>
                <w:sz w:val="20"/>
                <w:szCs w:val="20"/>
              </w:rPr>
              <w:t>N/A</w:t>
            </w:r>
          </w:p>
        </w:tc>
      </w:tr>
      <w:tr w:rsidR="006D24A5" w14:paraId="4D65D6F5" w14:textId="77777777" w:rsidTr="00E467C5">
        <w:trPr>
          <w:trHeight w:val="255"/>
          <w:jc w:val="center"/>
        </w:trPr>
        <w:tc>
          <w:tcPr>
            <w:tcW w:w="5237" w:type="dxa"/>
            <w:vAlign w:val="center"/>
          </w:tcPr>
          <w:p w14:paraId="62D9E3EE" w14:textId="77777777" w:rsidR="006D24A5" w:rsidRPr="00D479A4" w:rsidRDefault="006D24A5" w:rsidP="00017B79">
            <w:pPr>
              <w:ind w:left="0"/>
              <w:jc w:val="center"/>
              <w:rPr>
                <w:b/>
                <w:sz w:val="20"/>
                <w:szCs w:val="20"/>
              </w:rPr>
            </w:pPr>
            <w:r w:rsidRPr="00D479A4">
              <w:rPr>
                <w:b/>
                <w:sz w:val="20"/>
                <w:szCs w:val="20"/>
              </w:rPr>
              <w:lastRenderedPageBreak/>
              <w:t>Prioritná os</w:t>
            </w:r>
          </w:p>
        </w:tc>
        <w:tc>
          <w:tcPr>
            <w:tcW w:w="1796" w:type="dxa"/>
            <w:vAlign w:val="center"/>
          </w:tcPr>
          <w:p w14:paraId="5C0A1F30" w14:textId="77777777"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14:paraId="0B5B6CB3" w14:textId="77777777" w:rsidR="006D24A5" w:rsidRPr="00D479A4" w:rsidRDefault="006D24A5" w:rsidP="00017B79">
            <w:pPr>
              <w:ind w:left="0"/>
              <w:jc w:val="center"/>
              <w:rPr>
                <w:b/>
                <w:sz w:val="20"/>
                <w:szCs w:val="20"/>
              </w:rPr>
            </w:pPr>
            <w:r w:rsidRPr="00D479A4">
              <w:rPr>
                <w:b/>
                <w:sz w:val="20"/>
                <w:szCs w:val="20"/>
              </w:rPr>
              <w:t>Suma (v EUR)</w:t>
            </w:r>
          </w:p>
        </w:tc>
      </w:tr>
      <w:tr w:rsidR="006D24A5" w14:paraId="7BCFACD2" w14:textId="77777777" w:rsidTr="00E467C5">
        <w:trPr>
          <w:trHeight w:val="255"/>
          <w:jc w:val="center"/>
        </w:trPr>
        <w:tc>
          <w:tcPr>
            <w:tcW w:w="5237" w:type="dxa"/>
            <w:vMerge w:val="restart"/>
            <w:vAlign w:val="center"/>
          </w:tcPr>
          <w:p w14:paraId="56F45D3A" w14:textId="77777777" w:rsidR="006D24A5" w:rsidRPr="00D479A4" w:rsidRDefault="003E0235" w:rsidP="00DE620A">
            <w:pPr>
              <w:ind w:left="0"/>
              <w:rPr>
                <w:sz w:val="20"/>
                <w:szCs w:val="20"/>
              </w:rPr>
            </w:pPr>
            <w:r>
              <w:rPr>
                <w:sz w:val="20"/>
                <w:szCs w:val="20"/>
              </w:rPr>
              <w:t xml:space="preserve">Prioritná os 4 - </w:t>
            </w:r>
            <w:r w:rsidR="00E00F70">
              <w:rPr>
                <w:sz w:val="20"/>
                <w:szCs w:val="20"/>
              </w:rPr>
              <w:t>Infraštruktúra vodnej dopravy (TEN-T CORE)</w:t>
            </w:r>
          </w:p>
        </w:tc>
        <w:tc>
          <w:tcPr>
            <w:tcW w:w="1796" w:type="dxa"/>
            <w:vAlign w:val="center"/>
          </w:tcPr>
          <w:p w14:paraId="77A96D4F" w14:textId="77777777" w:rsidR="006D24A5" w:rsidRPr="00D479A4" w:rsidRDefault="006D24A5" w:rsidP="00017B79">
            <w:pPr>
              <w:ind w:left="0"/>
              <w:jc w:val="center"/>
              <w:rPr>
                <w:sz w:val="20"/>
                <w:szCs w:val="20"/>
              </w:rPr>
            </w:pPr>
            <w:r>
              <w:rPr>
                <w:sz w:val="20"/>
                <w:szCs w:val="20"/>
              </w:rPr>
              <w:t>01</w:t>
            </w:r>
          </w:p>
        </w:tc>
        <w:tc>
          <w:tcPr>
            <w:tcW w:w="2039" w:type="dxa"/>
            <w:vAlign w:val="center"/>
          </w:tcPr>
          <w:p w14:paraId="39D3577A" w14:textId="61DC2CB2" w:rsidR="006D24A5" w:rsidRPr="00E92F9B" w:rsidRDefault="006C7788" w:rsidP="006C7788">
            <w:pPr>
              <w:ind w:left="0"/>
              <w:jc w:val="center"/>
              <w:rPr>
                <w:sz w:val="20"/>
                <w:szCs w:val="20"/>
              </w:rPr>
            </w:pPr>
            <w:r>
              <w:rPr>
                <w:sz w:val="20"/>
                <w:szCs w:val="20"/>
                <w:lang w:val="en-US"/>
              </w:rPr>
              <w:t>105 969 500</w:t>
            </w:r>
          </w:p>
        </w:tc>
      </w:tr>
      <w:tr w:rsidR="006D24A5" w14:paraId="36B1D5E1" w14:textId="77777777" w:rsidTr="00E467C5">
        <w:trPr>
          <w:trHeight w:val="255"/>
          <w:jc w:val="center"/>
        </w:trPr>
        <w:tc>
          <w:tcPr>
            <w:tcW w:w="5237" w:type="dxa"/>
            <w:vMerge/>
            <w:vAlign w:val="center"/>
          </w:tcPr>
          <w:p w14:paraId="6925FBC2" w14:textId="77777777" w:rsidR="006D24A5" w:rsidRPr="00D479A4" w:rsidRDefault="006D24A5" w:rsidP="00017B79">
            <w:pPr>
              <w:ind w:left="0"/>
              <w:rPr>
                <w:sz w:val="20"/>
                <w:szCs w:val="20"/>
              </w:rPr>
            </w:pPr>
          </w:p>
        </w:tc>
        <w:tc>
          <w:tcPr>
            <w:tcW w:w="1796" w:type="dxa"/>
            <w:vAlign w:val="center"/>
          </w:tcPr>
          <w:p w14:paraId="71382AE6" w14:textId="77777777" w:rsidR="006D24A5" w:rsidRPr="00D479A4" w:rsidRDefault="004A3C14" w:rsidP="00017B79">
            <w:pPr>
              <w:ind w:left="0"/>
              <w:jc w:val="center"/>
              <w:rPr>
                <w:sz w:val="20"/>
                <w:szCs w:val="20"/>
              </w:rPr>
            </w:pPr>
            <w:r>
              <w:rPr>
                <w:sz w:val="20"/>
                <w:szCs w:val="20"/>
              </w:rPr>
              <w:t>03</w:t>
            </w:r>
          </w:p>
        </w:tc>
        <w:tc>
          <w:tcPr>
            <w:tcW w:w="2039" w:type="dxa"/>
            <w:vAlign w:val="center"/>
          </w:tcPr>
          <w:p w14:paraId="12D2A933" w14:textId="77777777" w:rsidR="006D24A5" w:rsidRPr="00E92F9B" w:rsidRDefault="00E00F70" w:rsidP="00017B79">
            <w:pPr>
              <w:ind w:left="0"/>
              <w:jc w:val="center"/>
              <w:rPr>
                <w:sz w:val="20"/>
                <w:szCs w:val="20"/>
              </w:rPr>
            </w:pPr>
            <w:r w:rsidRPr="00E92F9B">
              <w:rPr>
                <w:sz w:val="20"/>
                <w:szCs w:val="20"/>
              </w:rPr>
              <w:t>3 493 500</w:t>
            </w:r>
          </w:p>
        </w:tc>
      </w:tr>
    </w:tbl>
    <w:p w14:paraId="5F66F619" w14:textId="77777777" w:rsidR="003D6170" w:rsidRPr="003D6170" w:rsidRDefault="003D6170" w:rsidP="000119A4">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37"/>
        <w:gridCol w:w="1796"/>
        <w:gridCol w:w="2039"/>
      </w:tblGrid>
      <w:tr w:rsidR="006D24A5" w14:paraId="5E19B7F0" w14:textId="77777777" w:rsidTr="00E467C5">
        <w:trPr>
          <w:trHeight w:val="255"/>
          <w:jc w:val="center"/>
        </w:trPr>
        <w:tc>
          <w:tcPr>
            <w:tcW w:w="9072" w:type="dxa"/>
            <w:gridSpan w:val="3"/>
            <w:shd w:val="clear" w:color="auto" w:fill="DBE5F1" w:themeFill="accent1" w:themeFillTint="33"/>
            <w:vAlign w:val="center"/>
          </w:tcPr>
          <w:p w14:paraId="0BFC035D" w14:textId="77777777" w:rsidR="006D24A5" w:rsidRPr="006579CE" w:rsidRDefault="006D24A5" w:rsidP="00017B79">
            <w:pPr>
              <w:pStyle w:val="Default"/>
              <w:autoSpaceDE/>
              <w:autoSpaceDN/>
              <w:adjustRightInd/>
              <w:ind w:left="0"/>
              <w:rPr>
                <w:sz w:val="20"/>
                <w:szCs w:val="20"/>
              </w:rPr>
            </w:pPr>
            <w:r>
              <w:rPr>
                <w:b/>
                <w:bCs/>
                <w:sz w:val="20"/>
                <w:szCs w:val="20"/>
              </w:rPr>
              <w:t xml:space="preserve">Rozmer 3 – Druh územia </w:t>
            </w:r>
          </w:p>
        </w:tc>
      </w:tr>
      <w:tr w:rsidR="006D24A5" w14:paraId="092D80A0" w14:textId="77777777" w:rsidTr="00E467C5">
        <w:trPr>
          <w:trHeight w:val="255"/>
          <w:jc w:val="center"/>
        </w:trPr>
        <w:tc>
          <w:tcPr>
            <w:tcW w:w="5237" w:type="dxa"/>
            <w:shd w:val="clear" w:color="auto" w:fill="DBE5F1" w:themeFill="accent1" w:themeFillTint="33"/>
            <w:vAlign w:val="center"/>
          </w:tcPr>
          <w:p w14:paraId="1BB25206"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3835" w:type="dxa"/>
            <w:gridSpan w:val="2"/>
            <w:shd w:val="clear" w:color="auto" w:fill="DBE5F1" w:themeFill="accent1" w:themeFillTint="33"/>
            <w:vAlign w:val="center"/>
          </w:tcPr>
          <w:p w14:paraId="23016FDF"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04F86401" w14:textId="77777777" w:rsidTr="00E467C5">
        <w:trPr>
          <w:trHeight w:val="255"/>
          <w:jc w:val="center"/>
        </w:trPr>
        <w:tc>
          <w:tcPr>
            <w:tcW w:w="5237" w:type="dxa"/>
            <w:shd w:val="clear" w:color="auto" w:fill="DBE5F1" w:themeFill="accent1" w:themeFillTint="33"/>
            <w:vAlign w:val="center"/>
          </w:tcPr>
          <w:p w14:paraId="31AC3FF6" w14:textId="77777777" w:rsidR="006D24A5" w:rsidRPr="006579CE" w:rsidRDefault="006D24A5" w:rsidP="00017B79">
            <w:pPr>
              <w:ind w:left="0"/>
              <w:rPr>
                <w:sz w:val="20"/>
                <w:szCs w:val="20"/>
              </w:rPr>
            </w:pPr>
            <w:r w:rsidRPr="006579CE">
              <w:rPr>
                <w:b/>
                <w:bCs/>
                <w:color w:val="000000"/>
                <w:sz w:val="20"/>
                <w:szCs w:val="20"/>
              </w:rPr>
              <w:t>Kategória regiónu</w:t>
            </w:r>
          </w:p>
        </w:tc>
        <w:tc>
          <w:tcPr>
            <w:tcW w:w="3835" w:type="dxa"/>
            <w:gridSpan w:val="2"/>
            <w:shd w:val="clear" w:color="auto" w:fill="DBE5F1" w:themeFill="accent1" w:themeFillTint="33"/>
            <w:vAlign w:val="center"/>
          </w:tcPr>
          <w:p w14:paraId="381E7EEF" w14:textId="77777777" w:rsidR="006D24A5" w:rsidRPr="006579CE" w:rsidRDefault="006D24A5" w:rsidP="00017B79">
            <w:pPr>
              <w:ind w:left="0"/>
              <w:rPr>
                <w:sz w:val="20"/>
                <w:szCs w:val="20"/>
              </w:rPr>
            </w:pPr>
            <w:r w:rsidRPr="006579CE">
              <w:rPr>
                <w:sz w:val="20"/>
                <w:szCs w:val="20"/>
              </w:rPr>
              <w:t>N/A</w:t>
            </w:r>
          </w:p>
        </w:tc>
      </w:tr>
      <w:tr w:rsidR="006D24A5" w14:paraId="1E8E8221" w14:textId="77777777" w:rsidTr="00E467C5">
        <w:trPr>
          <w:trHeight w:val="255"/>
          <w:jc w:val="center"/>
        </w:trPr>
        <w:tc>
          <w:tcPr>
            <w:tcW w:w="5237" w:type="dxa"/>
            <w:vAlign w:val="center"/>
          </w:tcPr>
          <w:p w14:paraId="48213149" w14:textId="77777777" w:rsidR="006D24A5" w:rsidRPr="00D479A4" w:rsidRDefault="006D24A5" w:rsidP="00017B79">
            <w:pPr>
              <w:ind w:left="0"/>
              <w:jc w:val="center"/>
              <w:rPr>
                <w:b/>
                <w:sz w:val="20"/>
                <w:szCs w:val="20"/>
              </w:rPr>
            </w:pPr>
            <w:r w:rsidRPr="00D479A4">
              <w:rPr>
                <w:b/>
                <w:sz w:val="20"/>
                <w:szCs w:val="20"/>
              </w:rPr>
              <w:t>Prioritná os</w:t>
            </w:r>
          </w:p>
        </w:tc>
        <w:tc>
          <w:tcPr>
            <w:tcW w:w="1796" w:type="dxa"/>
            <w:vAlign w:val="center"/>
          </w:tcPr>
          <w:p w14:paraId="3C6C9CD4" w14:textId="77777777"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14:paraId="2DC94CA8" w14:textId="77777777" w:rsidR="006D24A5" w:rsidRPr="00D479A4" w:rsidRDefault="006D24A5" w:rsidP="00017B79">
            <w:pPr>
              <w:ind w:left="0"/>
              <w:jc w:val="center"/>
              <w:rPr>
                <w:b/>
                <w:sz w:val="20"/>
                <w:szCs w:val="20"/>
              </w:rPr>
            </w:pPr>
            <w:r w:rsidRPr="00D479A4">
              <w:rPr>
                <w:b/>
                <w:sz w:val="20"/>
                <w:szCs w:val="20"/>
              </w:rPr>
              <w:t>Suma (v EUR)</w:t>
            </w:r>
          </w:p>
        </w:tc>
      </w:tr>
      <w:tr w:rsidR="006D24A5" w14:paraId="591F5B81" w14:textId="77777777" w:rsidTr="00C6642C">
        <w:trPr>
          <w:trHeight w:val="284"/>
          <w:jc w:val="center"/>
        </w:trPr>
        <w:tc>
          <w:tcPr>
            <w:tcW w:w="5237" w:type="dxa"/>
            <w:vAlign w:val="center"/>
          </w:tcPr>
          <w:p w14:paraId="5C22EF33" w14:textId="77777777" w:rsidR="006D24A5" w:rsidRPr="00D479A4" w:rsidRDefault="003E0235" w:rsidP="00017B79">
            <w:pPr>
              <w:ind w:left="0"/>
              <w:rPr>
                <w:sz w:val="20"/>
                <w:szCs w:val="20"/>
              </w:rPr>
            </w:pPr>
            <w:r>
              <w:rPr>
                <w:sz w:val="20"/>
                <w:szCs w:val="20"/>
              </w:rPr>
              <w:t xml:space="preserve">Prioritná os 4 - </w:t>
            </w:r>
            <w:r w:rsidR="00E00F70">
              <w:rPr>
                <w:sz w:val="20"/>
                <w:szCs w:val="20"/>
              </w:rPr>
              <w:t>Infraštruktúra vodnej dopravy (TEN-T CORE)</w:t>
            </w:r>
          </w:p>
        </w:tc>
        <w:tc>
          <w:tcPr>
            <w:tcW w:w="1796" w:type="dxa"/>
            <w:vAlign w:val="center"/>
          </w:tcPr>
          <w:p w14:paraId="433F4EBE" w14:textId="77777777" w:rsidR="006D24A5" w:rsidRPr="00D479A4" w:rsidRDefault="006D24A5" w:rsidP="00017B79">
            <w:pPr>
              <w:ind w:left="0"/>
              <w:jc w:val="center"/>
              <w:rPr>
                <w:sz w:val="20"/>
                <w:szCs w:val="20"/>
              </w:rPr>
            </w:pPr>
            <w:r>
              <w:rPr>
                <w:sz w:val="20"/>
                <w:szCs w:val="20"/>
              </w:rPr>
              <w:t>0</w:t>
            </w:r>
            <w:r w:rsidR="00E97DEB">
              <w:rPr>
                <w:sz w:val="20"/>
                <w:szCs w:val="20"/>
              </w:rPr>
              <w:t>7</w:t>
            </w:r>
          </w:p>
        </w:tc>
        <w:tc>
          <w:tcPr>
            <w:tcW w:w="2039" w:type="dxa"/>
            <w:vAlign w:val="center"/>
          </w:tcPr>
          <w:p w14:paraId="6EBCB958" w14:textId="56AB94DC" w:rsidR="006D24A5" w:rsidRPr="00E92F9B" w:rsidRDefault="006C7788" w:rsidP="006C7788">
            <w:pPr>
              <w:ind w:left="0"/>
              <w:jc w:val="center"/>
              <w:rPr>
                <w:sz w:val="20"/>
                <w:szCs w:val="20"/>
                <w:lang w:val="en-US"/>
              </w:rPr>
            </w:pPr>
            <w:r>
              <w:rPr>
                <w:sz w:val="20"/>
                <w:szCs w:val="20"/>
                <w:lang w:val="en-US"/>
              </w:rPr>
              <w:t>109 463 000</w:t>
            </w:r>
          </w:p>
        </w:tc>
      </w:tr>
    </w:tbl>
    <w:p w14:paraId="23064B7E" w14:textId="77777777" w:rsidR="001E09F3" w:rsidRPr="001E09F3" w:rsidRDefault="001E09F3" w:rsidP="000119A4">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37"/>
        <w:gridCol w:w="1796"/>
        <w:gridCol w:w="2039"/>
      </w:tblGrid>
      <w:tr w:rsidR="006D24A5" w14:paraId="4130FF16" w14:textId="77777777" w:rsidTr="00E467C5">
        <w:trPr>
          <w:trHeight w:val="255"/>
          <w:jc w:val="center"/>
        </w:trPr>
        <w:tc>
          <w:tcPr>
            <w:tcW w:w="9072" w:type="dxa"/>
            <w:gridSpan w:val="3"/>
            <w:shd w:val="clear" w:color="auto" w:fill="DBE5F1" w:themeFill="accent1" w:themeFillTint="33"/>
            <w:vAlign w:val="center"/>
          </w:tcPr>
          <w:p w14:paraId="438ADC44" w14:textId="77777777" w:rsidR="006D24A5" w:rsidRPr="008C1732" w:rsidRDefault="006D24A5" w:rsidP="00017B79">
            <w:pPr>
              <w:pStyle w:val="Default"/>
              <w:autoSpaceDE/>
              <w:autoSpaceDN/>
              <w:adjustRightInd/>
              <w:ind w:left="0"/>
              <w:rPr>
                <w:b/>
                <w:bCs/>
                <w:sz w:val="20"/>
                <w:szCs w:val="20"/>
              </w:rPr>
            </w:pPr>
            <w:r>
              <w:rPr>
                <w:b/>
                <w:bCs/>
                <w:sz w:val="20"/>
                <w:szCs w:val="20"/>
              </w:rPr>
              <w:t>Rozmer 4 – Územné mechanizmy realizácie</w:t>
            </w:r>
          </w:p>
        </w:tc>
      </w:tr>
      <w:tr w:rsidR="006D24A5" w14:paraId="0D4B5B6F" w14:textId="77777777" w:rsidTr="00E467C5">
        <w:trPr>
          <w:trHeight w:val="255"/>
          <w:jc w:val="center"/>
        </w:trPr>
        <w:tc>
          <w:tcPr>
            <w:tcW w:w="5237" w:type="dxa"/>
            <w:shd w:val="clear" w:color="auto" w:fill="DBE5F1" w:themeFill="accent1" w:themeFillTint="33"/>
            <w:vAlign w:val="center"/>
          </w:tcPr>
          <w:p w14:paraId="0FB6B56E"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3835" w:type="dxa"/>
            <w:gridSpan w:val="2"/>
            <w:shd w:val="clear" w:color="auto" w:fill="DBE5F1" w:themeFill="accent1" w:themeFillTint="33"/>
            <w:vAlign w:val="center"/>
          </w:tcPr>
          <w:p w14:paraId="6F5AE68B"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57ED7135" w14:textId="77777777" w:rsidTr="00E467C5">
        <w:trPr>
          <w:trHeight w:val="255"/>
          <w:jc w:val="center"/>
        </w:trPr>
        <w:tc>
          <w:tcPr>
            <w:tcW w:w="5237" w:type="dxa"/>
            <w:shd w:val="clear" w:color="auto" w:fill="DBE5F1" w:themeFill="accent1" w:themeFillTint="33"/>
            <w:vAlign w:val="center"/>
          </w:tcPr>
          <w:p w14:paraId="1EFF6B65" w14:textId="77777777" w:rsidR="006D24A5" w:rsidRPr="006579CE" w:rsidRDefault="006D24A5" w:rsidP="00017B79">
            <w:pPr>
              <w:ind w:left="0"/>
              <w:rPr>
                <w:sz w:val="20"/>
                <w:szCs w:val="20"/>
              </w:rPr>
            </w:pPr>
            <w:r w:rsidRPr="006579CE">
              <w:rPr>
                <w:b/>
                <w:bCs/>
                <w:color w:val="000000"/>
                <w:sz w:val="20"/>
                <w:szCs w:val="20"/>
              </w:rPr>
              <w:t>Kategória regiónu</w:t>
            </w:r>
          </w:p>
        </w:tc>
        <w:tc>
          <w:tcPr>
            <w:tcW w:w="3835" w:type="dxa"/>
            <w:gridSpan w:val="2"/>
            <w:shd w:val="clear" w:color="auto" w:fill="DBE5F1" w:themeFill="accent1" w:themeFillTint="33"/>
            <w:vAlign w:val="center"/>
          </w:tcPr>
          <w:p w14:paraId="47C7D2C3" w14:textId="77777777" w:rsidR="006D24A5" w:rsidRPr="006579CE" w:rsidRDefault="006D24A5" w:rsidP="00017B79">
            <w:pPr>
              <w:ind w:left="0"/>
              <w:rPr>
                <w:sz w:val="20"/>
                <w:szCs w:val="20"/>
              </w:rPr>
            </w:pPr>
            <w:r w:rsidRPr="006579CE">
              <w:rPr>
                <w:sz w:val="20"/>
                <w:szCs w:val="20"/>
              </w:rPr>
              <w:t>N/A</w:t>
            </w:r>
          </w:p>
        </w:tc>
      </w:tr>
      <w:tr w:rsidR="006D24A5" w14:paraId="3E4D7DDC" w14:textId="77777777" w:rsidTr="00E467C5">
        <w:trPr>
          <w:trHeight w:val="255"/>
          <w:jc w:val="center"/>
        </w:trPr>
        <w:tc>
          <w:tcPr>
            <w:tcW w:w="5237" w:type="dxa"/>
            <w:vAlign w:val="center"/>
          </w:tcPr>
          <w:p w14:paraId="4B1CED72" w14:textId="77777777" w:rsidR="006D24A5" w:rsidRPr="00D479A4" w:rsidRDefault="006D24A5" w:rsidP="00017B79">
            <w:pPr>
              <w:ind w:left="0"/>
              <w:jc w:val="center"/>
              <w:rPr>
                <w:b/>
                <w:sz w:val="20"/>
                <w:szCs w:val="20"/>
              </w:rPr>
            </w:pPr>
            <w:r w:rsidRPr="00D479A4">
              <w:rPr>
                <w:b/>
                <w:sz w:val="20"/>
                <w:szCs w:val="20"/>
              </w:rPr>
              <w:t>Prioritná os</w:t>
            </w:r>
          </w:p>
        </w:tc>
        <w:tc>
          <w:tcPr>
            <w:tcW w:w="1796" w:type="dxa"/>
            <w:vAlign w:val="center"/>
          </w:tcPr>
          <w:p w14:paraId="2FCE1D89" w14:textId="77777777"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14:paraId="114FD28F" w14:textId="77777777" w:rsidR="006D24A5" w:rsidRPr="00D479A4" w:rsidRDefault="006D24A5" w:rsidP="00017B79">
            <w:pPr>
              <w:ind w:left="0"/>
              <w:jc w:val="center"/>
              <w:rPr>
                <w:b/>
                <w:sz w:val="20"/>
                <w:szCs w:val="20"/>
              </w:rPr>
            </w:pPr>
            <w:r w:rsidRPr="00D479A4">
              <w:rPr>
                <w:b/>
                <w:sz w:val="20"/>
                <w:szCs w:val="20"/>
              </w:rPr>
              <w:t>Suma (v EUR)</w:t>
            </w:r>
          </w:p>
        </w:tc>
      </w:tr>
      <w:tr w:rsidR="006D24A5" w14:paraId="5E70D275" w14:textId="77777777" w:rsidTr="00C6642C">
        <w:trPr>
          <w:trHeight w:val="284"/>
          <w:jc w:val="center"/>
        </w:trPr>
        <w:tc>
          <w:tcPr>
            <w:tcW w:w="5237" w:type="dxa"/>
            <w:vAlign w:val="center"/>
          </w:tcPr>
          <w:p w14:paraId="3DE22675" w14:textId="77777777" w:rsidR="006D24A5" w:rsidRPr="00D479A4" w:rsidRDefault="003E0235" w:rsidP="00DE620A">
            <w:pPr>
              <w:ind w:left="0"/>
              <w:rPr>
                <w:sz w:val="20"/>
                <w:szCs w:val="20"/>
              </w:rPr>
            </w:pPr>
            <w:r>
              <w:rPr>
                <w:sz w:val="20"/>
                <w:szCs w:val="20"/>
              </w:rPr>
              <w:t xml:space="preserve">Prioritná os 4 - </w:t>
            </w:r>
            <w:r w:rsidR="00E00F70">
              <w:rPr>
                <w:sz w:val="20"/>
                <w:szCs w:val="20"/>
              </w:rPr>
              <w:t>Infraštruktúra vodnej dopravy (TEN-T CORE)</w:t>
            </w:r>
          </w:p>
        </w:tc>
        <w:tc>
          <w:tcPr>
            <w:tcW w:w="1796" w:type="dxa"/>
            <w:vAlign w:val="center"/>
          </w:tcPr>
          <w:p w14:paraId="27EA1F90" w14:textId="77777777" w:rsidR="006D24A5" w:rsidRPr="00D479A4" w:rsidRDefault="006D24A5" w:rsidP="00017B79">
            <w:pPr>
              <w:ind w:left="0"/>
              <w:jc w:val="center"/>
              <w:rPr>
                <w:sz w:val="20"/>
                <w:szCs w:val="20"/>
              </w:rPr>
            </w:pPr>
            <w:r>
              <w:rPr>
                <w:sz w:val="20"/>
                <w:szCs w:val="20"/>
              </w:rPr>
              <w:t>0</w:t>
            </w:r>
            <w:r w:rsidR="00E97DEB">
              <w:rPr>
                <w:sz w:val="20"/>
                <w:szCs w:val="20"/>
              </w:rPr>
              <w:t>7</w:t>
            </w:r>
          </w:p>
        </w:tc>
        <w:tc>
          <w:tcPr>
            <w:tcW w:w="2039" w:type="dxa"/>
            <w:vAlign w:val="center"/>
          </w:tcPr>
          <w:p w14:paraId="5BC98E9C" w14:textId="0F7AA0DB" w:rsidR="006D24A5" w:rsidRPr="00E92F9B" w:rsidRDefault="006C7788" w:rsidP="006C7788">
            <w:pPr>
              <w:ind w:left="0"/>
              <w:jc w:val="center"/>
              <w:rPr>
                <w:sz w:val="20"/>
                <w:szCs w:val="20"/>
                <w:lang w:val="en-US"/>
              </w:rPr>
            </w:pPr>
            <w:r>
              <w:rPr>
                <w:sz w:val="20"/>
                <w:szCs w:val="20"/>
                <w:lang w:val="en-US"/>
              </w:rPr>
              <w:t>109 463 000</w:t>
            </w:r>
          </w:p>
        </w:tc>
      </w:tr>
    </w:tbl>
    <w:p w14:paraId="2946BFE7" w14:textId="77777777" w:rsidR="00307AAF" w:rsidRDefault="006D24A5" w:rsidP="002D1E44">
      <w:pPr>
        <w:pStyle w:val="Nadpis3"/>
        <w:tabs>
          <w:tab w:val="clear" w:pos="851"/>
          <w:tab w:val="num" w:pos="709"/>
        </w:tabs>
        <w:ind w:left="709" w:hanging="709"/>
        <w:jc w:val="both"/>
      </w:pPr>
      <w:bookmarkStart w:id="48" w:name="_Toc28951610"/>
      <w:r>
        <w:t>Súhrn plánovaného využitia technickej pomoci vrátane, ak je to vhodné, akcií na posilnenie administratívnej kapacity orgánov zapojených do riadenia a kontroly programu a prijímateľov (ak</w:t>
      </w:r>
      <w:r w:rsidR="00631CDB">
        <w:t> </w:t>
      </w:r>
      <w:r>
        <w:t>je to vhodné)</w:t>
      </w:r>
      <w:bookmarkEnd w:id="48"/>
    </w:p>
    <w:p w14:paraId="1A3CBBE4"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2700CB6F" w14:textId="77777777" w:rsidR="006D24A5" w:rsidRPr="00205947" w:rsidRDefault="006D24A5" w:rsidP="006D24A5">
      <w:pPr>
        <w:rPr>
          <w:sz w:val="22"/>
          <w:szCs w:val="22"/>
        </w:rPr>
      </w:pPr>
    </w:p>
    <w:p w14:paraId="64891E3D" w14:textId="77777777" w:rsidR="008F243C" w:rsidRDefault="008F243C" w:rsidP="006B762B">
      <w:pPr>
        <w:rPr>
          <w:sz w:val="22"/>
          <w:szCs w:val="22"/>
        </w:rPr>
        <w:sectPr w:rsidR="008F243C" w:rsidSect="00D1658B">
          <w:headerReference w:type="default" r:id="rId27"/>
          <w:pgSz w:w="11906" w:h="16838"/>
          <w:pgMar w:top="1418" w:right="1361" w:bottom="1304" w:left="1474" w:header="709" w:footer="709" w:gutter="0"/>
          <w:cols w:space="708"/>
          <w:docGrid w:linePitch="360"/>
        </w:sectPr>
      </w:pPr>
    </w:p>
    <w:p w14:paraId="7B59FDD9" w14:textId="0C2DF923" w:rsidR="00307AAF" w:rsidRDefault="00017B79" w:rsidP="00E64647">
      <w:pPr>
        <w:pStyle w:val="Nadpis2"/>
        <w:tabs>
          <w:tab w:val="clear" w:pos="851"/>
        </w:tabs>
        <w:ind w:left="709" w:hanging="709"/>
      </w:pPr>
      <w:bookmarkStart w:id="49" w:name="_Toc28951611"/>
      <w:r>
        <w:lastRenderedPageBreak/>
        <w:t xml:space="preserve">PRIORITNÁ OS 5: ŽELEZNIČNÁ </w:t>
      </w:r>
      <w:r w:rsidR="00E621B4">
        <w:t>INFRAŠTRUKTÚR</w:t>
      </w:r>
      <w:r>
        <w:t>A</w:t>
      </w:r>
      <w:r w:rsidR="00C87140">
        <w:t xml:space="preserve"> A OBNOVA MOBILNÝCH PROSTRIEDKOV</w:t>
      </w:r>
      <w:bookmarkEnd w:id="49"/>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D83282" w14:paraId="56E9A56D" w14:textId="77777777" w:rsidTr="002E1021">
        <w:trPr>
          <w:trHeight w:val="284"/>
          <w:jc w:val="center"/>
        </w:trPr>
        <w:tc>
          <w:tcPr>
            <w:tcW w:w="4404" w:type="dxa"/>
            <w:shd w:val="clear" w:color="auto" w:fill="DBE5F1" w:themeFill="accent1" w:themeFillTint="33"/>
            <w:vAlign w:val="center"/>
          </w:tcPr>
          <w:p w14:paraId="466C590E" w14:textId="77777777" w:rsidR="00D83282" w:rsidRDefault="00D83282" w:rsidP="005139F6">
            <w:pPr>
              <w:ind w:left="0"/>
            </w:pPr>
            <w:r w:rsidRPr="00863337">
              <w:rPr>
                <w:b/>
                <w:i/>
                <w:sz w:val="20"/>
                <w:szCs w:val="20"/>
              </w:rPr>
              <w:t>ID prioritnej osi</w:t>
            </w:r>
          </w:p>
        </w:tc>
        <w:tc>
          <w:tcPr>
            <w:tcW w:w="3534" w:type="dxa"/>
            <w:vAlign w:val="center"/>
          </w:tcPr>
          <w:p w14:paraId="45A1453A" w14:textId="77777777" w:rsidR="00D83282" w:rsidRDefault="000A60F9" w:rsidP="00D83282">
            <w:pPr>
              <w:pStyle w:val="PRIORITNA"/>
              <w:numPr>
                <w:ilvl w:val="0"/>
                <w:numId w:val="0"/>
              </w:numPr>
              <w:spacing w:after="0"/>
              <w:jc w:val="left"/>
            </w:pPr>
            <w:r>
              <w:t>5</w:t>
            </w:r>
          </w:p>
        </w:tc>
      </w:tr>
      <w:tr w:rsidR="00D83282" w14:paraId="1A7218E8" w14:textId="77777777" w:rsidTr="002E1021">
        <w:trPr>
          <w:trHeight w:val="284"/>
          <w:jc w:val="center"/>
        </w:trPr>
        <w:tc>
          <w:tcPr>
            <w:tcW w:w="4404" w:type="dxa"/>
            <w:shd w:val="clear" w:color="auto" w:fill="DBE5F1" w:themeFill="accent1" w:themeFillTint="33"/>
            <w:vAlign w:val="center"/>
          </w:tcPr>
          <w:p w14:paraId="5C7C1AE4" w14:textId="77777777" w:rsidR="00D83282" w:rsidRPr="003D6170" w:rsidRDefault="00D83282" w:rsidP="003D6170">
            <w:pPr>
              <w:ind w:left="0"/>
            </w:pPr>
            <w:r w:rsidRPr="003D6170">
              <w:rPr>
                <w:b/>
                <w:i/>
                <w:sz w:val="20"/>
                <w:szCs w:val="20"/>
              </w:rPr>
              <w:t>Názov prioritnej osi</w:t>
            </w:r>
          </w:p>
        </w:tc>
        <w:tc>
          <w:tcPr>
            <w:tcW w:w="3534" w:type="dxa"/>
            <w:vAlign w:val="center"/>
          </w:tcPr>
          <w:p w14:paraId="202083EF" w14:textId="43889E3E" w:rsidR="00D83282" w:rsidRPr="00750A42" w:rsidRDefault="00D83282" w:rsidP="00C87140">
            <w:pPr>
              <w:ind w:left="0"/>
              <w:rPr>
                <w:sz w:val="20"/>
                <w:szCs w:val="20"/>
              </w:rPr>
            </w:pPr>
            <w:r>
              <w:rPr>
                <w:sz w:val="20"/>
                <w:szCs w:val="20"/>
              </w:rPr>
              <w:t>Železničná infr</w:t>
            </w:r>
            <w:r w:rsidR="005D5247">
              <w:rPr>
                <w:sz w:val="20"/>
                <w:szCs w:val="20"/>
              </w:rPr>
              <w:t>aštruktúra</w:t>
            </w:r>
            <w:r w:rsidR="00C87140">
              <w:rPr>
                <w:sz w:val="20"/>
                <w:szCs w:val="20"/>
              </w:rPr>
              <w:t xml:space="preserve"> a obnova mobilných prostriedkov</w:t>
            </w:r>
          </w:p>
        </w:tc>
      </w:tr>
    </w:tbl>
    <w:p w14:paraId="26322EC9" w14:textId="77777777" w:rsidR="00D83282" w:rsidRDefault="00D83282" w:rsidP="00D83282">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D83282" w:rsidRPr="00765DFA" w14:paraId="147DA7C2" w14:textId="77777777" w:rsidTr="002E1021">
        <w:trPr>
          <w:trHeight w:val="255"/>
          <w:jc w:val="center"/>
        </w:trPr>
        <w:tc>
          <w:tcPr>
            <w:tcW w:w="4396" w:type="dxa"/>
            <w:shd w:val="clear" w:color="auto" w:fill="DBE5F1" w:themeFill="accent1" w:themeFillTint="33"/>
            <w:vAlign w:val="center"/>
          </w:tcPr>
          <w:p w14:paraId="6E3998D4" w14:textId="77777777" w:rsidR="00D83282" w:rsidRPr="00765DFA" w:rsidRDefault="00D83282"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32A8E59E" w14:textId="77777777" w:rsidR="00D83282" w:rsidRPr="00765DFA" w:rsidRDefault="00D83282" w:rsidP="005139F6">
            <w:pPr>
              <w:ind w:left="0"/>
              <w:rPr>
                <w:sz w:val="20"/>
                <w:szCs w:val="20"/>
              </w:rPr>
            </w:pPr>
            <w:r>
              <w:rPr>
                <w:sz w:val="20"/>
                <w:szCs w:val="20"/>
              </w:rPr>
              <w:t>Nie</w:t>
            </w:r>
          </w:p>
        </w:tc>
      </w:tr>
      <w:tr w:rsidR="00D83282" w:rsidRPr="00765DFA" w14:paraId="5543902F" w14:textId="77777777" w:rsidTr="002E1021">
        <w:trPr>
          <w:trHeight w:val="255"/>
          <w:jc w:val="center"/>
        </w:trPr>
        <w:tc>
          <w:tcPr>
            <w:tcW w:w="4396" w:type="dxa"/>
            <w:shd w:val="clear" w:color="auto" w:fill="DBE5F1" w:themeFill="accent1" w:themeFillTint="33"/>
            <w:vAlign w:val="center"/>
          </w:tcPr>
          <w:p w14:paraId="33996A49" w14:textId="77777777" w:rsidR="00D83282" w:rsidRPr="00765DFA" w:rsidRDefault="00D83282"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1F8F3DD3" w14:textId="77777777" w:rsidR="00D83282" w:rsidRPr="00765DFA" w:rsidRDefault="00D83282" w:rsidP="005139F6">
            <w:pPr>
              <w:ind w:left="0"/>
              <w:rPr>
                <w:sz w:val="20"/>
                <w:szCs w:val="20"/>
              </w:rPr>
            </w:pPr>
            <w:r>
              <w:rPr>
                <w:sz w:val="20"/>
                <w:szCs w:val="20"/>
              </w:rPr>
              <w:t>Nie</w:t>
            </w:r>
          </w:p>
        </w:tc>
      </w:tr>
      <w:tr w:rsidR="00D83282" w:rsidRPr="00750A42" w14:paraId="5FA77438" w14:textId="77777777" w:rsidTr="002E1021">
        <w:trPr>
          <w:trHeight w:val="70"/>
          <w:jc w:val="center"/>
        </w:trPr>
        <w:tc>
          <w:tcPr>
            <w:tcW w:w="4396" w:type="dxa"/>
            <w:shd w:val="clear" w:color="auto" w:fill="DBE5F1" w:themeFill="accent1" w:themeFillTint="33"/>
            <w:vAlign w:val="center"/>
          </w:tcPr>
          <w:p w14:paraId="1BFF2E52" w14:textId="77777777" w:rsidR="00D83282" w:rsidRPr="00765DFA" w:rsidRDefault="00D83282"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27A0D210" w14:textId="77777777" w:rsidR="00D83282" w:rsidRPr="00750A42" w:rsidRDefault="00D83282" w:rsidP="005139F6">
            <w:pPr>
              <w:ind w:left="0"/>
              <w:rPr>
                <w:sz w:val="20"/>
                <w:szCs w:val="20"/>
              </w:rPr>
            </w:pPr>
            <w:r>
              <w:rPr>
                <w:sz w:val="20"/>
                <w:szCs w:val="20"/>
              </w:rPr>
              <w:t>Nie</w:t>
            </w:r>
          </w:p>
        </w:tc>
      </w:tr>
      <w:tr w:rsidR="00D83282" w:rsidRPr="00765DFA" w14:paraId="3160C9DF" w14:textId="77777777" w:rsidTr="002E1021">
        <w:trPr>
          <w:jc w:val="center"/>
        </w:trPr>
        <w:tc>
          <w:tcPr>
            <w:tcW w:w="4396" w:type="dxa"/>
            <w:shd w:val="clear" w:color="auto" w:fill="DBE5F1" w:themeFill="accent1" w:themeFillTint="33"/>
          </w:tcPr>
          <w:p w14:paraId="36228254" w14:textId="77777777" w:rsidR="00D83282" w:rsidRPr="00765DFA" w:rsidRDefault="00D83282"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64EE9F43" w14:textId="77777777" w:rsidR="00D83282" w:rsidRPr="00765DFA" w:rsidRDefault="00D83282" w:rsidP="005139F6">
            <w:pPr>
              <w:ind w:left="0"/>
              <w:rPr>
                <w:sz w:val="20"/>
                <w:szCs w:val="20"/>
              </w:rPr>
            </w:pPr>
            <w:r>
              <w:rPr>
                <w:sz w:val="20"/>
                <w:szCs w:val="20"/>
              </w:rPr>
              <w:t>N/A</w:t>
            </w:r>
          </w:p>
        </w:tc>
      </w:tr>
    </w:tbl>
    <w:p w14:paraId="692D4581" w14:textId="77777777" w:rsidR="00307AAF" w:rsidRDefault="00017B79" w:rsidP="002B03EB">
      <w:pPr>
        <w:pStyle w:val="Nadpis3"/>
        <w:tabs>
          <w:tab w:val="clear" w:pos="851"/>
          <w:tab w:val="num" w:pos="709"/>
        </w:tabs>
        <w:ind w:left="709" w:hanging="709"/>
      </w:pPr>
      <w:bookmarkStart w:id="50" w:name="_Toc28951612"/>
      <w:r>
        <w:t>Fond, kategória regiónu a základ pre výpočet podpory Únie</w:t>
      </w:r>
      <w:bookmarkEnd w:id="50"/>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017B79" w14:paraId="1D25D11A" w14:textId="77777777" w:rsidTr="00D83282">
        <w:trPr>
          <w:trHeight w:val="255"/>
          <w:jc w:val="center"/>
        </w:trPr>
        <w:tc>
          <w:tcPr>
            <w:tcW w:w="4042" w:type="dxa"/>
            <w:shd w:val="clear" w:color="auto" w:fill="DBE5F1" w:themeFill="accent1" w:themeFillTint="33"/>
            <w:vAlign w:val="center"/>
          </w:tcPr>
          <w:p w14:paraId="08D0495F" w14:textId="77777777" w:rsidR="00017B79" w:rsidRPr="003E0235" w:rsidRDefault="00017B79" w:rsidP="00744ECB">
            <w:pPr>
              <w:ind w:left="0"/>
              <w:rPr>
                <w:b/>
                <w:i/>
                <w:sz w:val="20"/>
                <w:szCs w:val="20"/>
              </w:rPr>
            </w:pPr>
            <w:r w:rsidRPr="003E0235">
              <w:rPr>
                <w:b/>
                <w:i/>
                <w:sz w:val="20"/>
                <w:szCs w:val="20"/>
              </w:rPr>
              <w:t>Fond</w:t>
            </w:r>
          </w:p>
        </w:tc>
        <w:tc>
          <w:tcPr>
            <w:tcW w:w="3361" w:type="dxa"/>
            <w:vAlign w:val="center"/>
          </w:tcPr>
          <w:p w14:paraId="399B7D61" w14:textId="77777777" w:rsidR="00017B79" w:rsidRPr="003E0235" w:rsidRDefault="007F7347" w:rsidP="00744ECB">
            <w:pPr>
              <w:ind w:left="0"/>
              <w:rPr>
                <w:sz w:val="20"/>
                <w:szCs w:val="20"/>
              </w:rPr>
            </w:pPr>
            <w:r w:rsidRPr="003E0235">
              <w:rPr>
                <w:sz w:val="20"/>
                <w:szCs w:val="20"/>
              </w:rPr>
              <w:t>EFRR</w:t>
            </w:r>
          </w:p>
        </w:tc>
      </w:tr>
      <w:tr w:rsidR="00017B79" w14:paraId="70CED593" w14:textId="77777777" w:rsidTr="00D83282">
        <w:trPr>
          <w:trHeight w:val="255"/>
          <w:jc w:val="center"/>
        </w:trPr>
        <w:tc>
          <w:tcPr>
            <w:tcW w:w="4042" w:type="dxa"/>
            <w:shd w:val="clear" w:color="auto" w:fill="DBE5F1" w:themeFill="accent1" w:themeFillTint="33"/>
            <w:vAlign w:val="center"/>
          </w:tcPr>
          <w:p w14:paraId="4ED38446" w14:textId="77777777" w:rsidR="00017B79" w:rsidRPr="003E0235" w:rsidRDefault="00017B79" w:rsidP="00744ECB">
            <w:pPr>
              <w:ind w:left="0"/>
              <w:rPr>
                <w:b/>
                <w:i/>
                <w:sz w:val="20"/>
                <w:szCs w:val="20"/>
              </w:rPr>
            </w:pPr>
            <w:r w:rsidRPr="003E0235">
              <w:rPr>
                <w:b/>
                <w:i/>
                <w:sz w:val="20"/>
                <w:szCs w:val="20"/>
              </w:rPr>
              <w:t>Kategória regiónu</w:t>
            </w:r>
          </w:p>
        </w:tc>
        <w:tc>
          <w:tcPr>
            <w:tcW w:w="3361" w:type="dxa"/>
            <w:vAlign w:val="center"/>
          </w:tcPr>
          <w:p w14:paraId="23864341" w14:textId="77777777" w:rsidR="00017B79" w:rsidRPr="003E0235" w:rsidRDefault="005D5247" w:rsidP="00744ECB">
            <w:pPr>
              <w:ind w:left="0"/>
              <w:rPr>
                <w:sz w:val="20"/>
                <w:szCs w:val="20"/>
              </w:rPr>
            </w:pPr>
            <w:r>
              <w:rPr>
                <w:sz w:val="20"/>
                <w:szCs w:val="20"/>
              </w:rPr>
              <w:t>Menej rozvinutý</w:t>
            </w:r>
          </w:p>
        </w:tc>
      </w:tr>
      <w:tr w:rsidR="00017B79" w14:paraId="672C4049" w14:textId="77777777" w:rsidTr="00D83282">
        <w:trPr>
          <w:trHeight w:val="255"/>
          <w:jc w:val="center"/>
        </w:trPr>
        <w:tc>
          <w:tcPr>
            <w:tcW w:w="4042" w:type="dxa"/>
            <w:shd w:val="clear" w:color="auto" w:fill="DBE5F1" w:themeFill="accent1" w:themeFillTint="33"/>
            <w:vAlign w:val="center"/>
          </w:tcPr>
          <w:p w14:paraId="49E454C0" w14:textId="77777777" w:rsidR="00017B79" w:rsidRPr="003E0235" w:rsidRDefault="00017B79" w:rsidP="00744ECB">
            <w:pPr>
              <w:ind w:left="0"/>
              <w:rPr>
                <w:b/>
                <w:i/>
                <w:sz w:val="20"/>
                <w:szCs w:val="20"/>
              </w:rPr>
            </w:pPr>
            <w:r w:rsidRPr="003E0235">
              <w:rPr>
                <w:b/>
                <w:i/>
                <w:sz w:val="20"/>
                <w:szCs w:val="20"/>
              </w:rPr>
              <w:t>Základ pre výpočet (celkový príspevok)</w:t>
            </w:r>
          </w:p>
        </w:tc>
        <w:tc>
          <w:tcPr>
            <w:tcW w:w="3361" w:type="dxa"/>
            <w:vAlign w:val="center"/>
          </w:tcPr>
          <w:p w14:paraId="57941667" w14:textId="6E79985E" w:rsidR="00017B79" w:rsidRPr="003E0235" w:rsidRDefault="006C7788" w:rsidP="006C7788">
            <w:pPr>
              <w:ind w:left="0"/>
              <w:rPr>
                <w:sz w:val="20"/>
                <w:szCs w:val="20"/>
                <w:lang w:val="en-US"/>
              </w:rPr>
            </w:pPr>
            <w:r>
              <w:rPr>
                <w:sz w:val="20"/>
                <w:szCs w:val="20"/>
                <w:lang w:val="en-US"/>
              </w:rPr>
              <w:t>310 531 470</w:t>
            </w:r>
            <w:r w:rsidR="00662EB4">
              <w:rPr>
                <w:sz w:val="20"/>
                <w:szCs w:val="20"/>
                <w:lang w:val="en-US"/>
              </w:rPr>
              <w:t xml:space="preserve"> EUR</w:t>
            </w:r>
          </w:p>
        </w:tc>
      </w:tr>
      <w:tr w:rsidR="00017B79" w14:paraId="12630D09" w14:textId="77777777" w:rsidTr="00C63371">
        <w:trPr>
          <w:trHeight w:val="255"/>
          <w:jc w:val="center"/>
        </w:trPr>
        <w:tc>
          <w:tcPr>
            <w:tcW w:w="4042" w:type="dxa"/>
            <w:shd w:val="clear" w:color="auto" w:fill="DBE5F1" w:themeFill="accent1" w:themeFillTint="33"/>
          </w:tcPr>
          <w:p w14:paraId="27AB2CAD" w14:textId="77777777" w:rsidR="00017B79" w:rsidRPr="003E0235" w:rsidRDefault="00017B79" w:rsidP="00017B79">
            <w:pPr>
              <w:ind w:left="0"/>
              <w:rPr>
                <w:b/>
                <w:i/>
                <w:sz w:val="20"/>
                <w:szCs w:val="20"/>
              </w:rPr>
            </w:pPr>
            <w:r w:rsidRPr="003E0235">
              <w:rPr>
                <w:b/>
                <w:i/>
                <w:sz w:val="20"/>
                <w:szCs w:val="20"/>
              </w:rPr>
              <w:t>Kategória regiónu pre najvzdialenejšie a severné riedko osídlené regióny (ak je to vhodné)</w:t>
            </w:r>
          </w:p>
        </w:tc>
        <w:tc>
          <w:tcPr>
            <w:tcW w:w="3361" w:type="dxa"/>
            <w:vAlign w:val="center"/>
          </w:tcPr>
          <w:p w14:paraId="6CDDC1DC" w14:textId="77777777" w:rsidR="00017B79" w:rsidRPr="003E0235" w:rsidRDefault="00017B79" w:rsidP="00C63371">
            <w:pPr>
              <w:ind w:left="0"/>
              <w:rPr>
                <w:sz w:val="20"/>
                <w:szCs w:val="20"/>
              </w:rPr>
            </w:pPr>
            <w:r w:rsidRPr="003E0235">
              <w:rPr>
                <w:sz w:val="20"/>
                <w:szCs w:val="20"/>
              </w:rPr>
              <w:t>N/A</w:t>
            </w:r>
          </w:p>
        </w:tc>
      </w:tr>
    </w:tbl>
    <w:p w14:paraId="7CF7CC56" w14:textId="77777777" w:rsidR="00307AAF" w:rsidRDefault="00017B79" w:rsidP="002B03EB">
      <w:pPr>
        <w:pStyle w:val="Nadpis3"/>
        <w:tabs>
          <w:tab w:val="clear" w:pos="851"/>
          <w:tab w:val="num" w:pos="709"/>
        </w:tabs>
        <w:ind w:left="709" w:hanging="709"/>
      </w:pPr>
      <w:bookmarkStart w:id="51" w:name="_Toc28951613"/>
      <w:r>
        <w:t>INVEST</w:t>
      </w:r>
      <w:r w:rsidR="008F67B1">
        <w:t xml:space="preserve">IČNÁ PRIORITA </w:t>
      </w:r>
      <w:r w:rsidR="00D83282">
        <w:t>7d)</w:t>
      </w:r>
      <w:r>
        <w:t xml:space="preserve">: </w:t>
      </w:r>
      <w:r w:rsidR="008F67B1" w:rsidRPr="008F67B1">
        <w:t>Vývoj a modernizácia komplexných, interoperabilných železničných systémov vysokej kvality a podpora opatrení na znižovanie hluku</w:t>
      </w:r>
      <w:bookmarkEnd w:id="51"/>
    </w:p>
    <w:p w14:paraId="4966F6AD" w14:textId="77777777" w:rsidR="00307AAF" w:rsidRDefault="00017B79" w:rsidP="002B03EB">
      <w:pPr>
        <w:pStyle w:val="Nadpis4"/>
      </w:pPr>
      <w:r w:rsidRPr="002B03EB">
        <w:t>Špecifické</w:t>
      </w:r>
      <w:r>
        <w:t xml:space="preserve"> ciele investičnej priority a očakávané výsledky</w:t>
      </w:r>
    </w:p>
    <w:p w14:paraId="0E12395F" w14:textId="72DDB94F" w:rsidR="00017B79" w:rsidRPr="006B762B" w:rsidRDefault="00017B79" w:rsidP="002E1021">
      <w:pPr>
        <w:shd w:val="clear" w:color="auto" w:fill="FFFFCC"/>
        <w:jc w:val="both"/>
        <w:rPr>
          <w:b/>
          <w:i/>
        </w:rPr>
      </w:pPr>
      <w:r w:rsidRPr="004F0234">
        <w:rPr>
          <w:i/>
        </w:rPr>
        <w:t xml:space="preserve">ŠPECIFICKÝ CIEĽ </w:t>
      </w:r>
      <w:r w:rsidR="00A67013">
        <w:rPr>
          <w:i/>
        </w:rPr>
        <w:t>5.</w:t>
      </w:r>
      <w:r>
        <w:rPr>
          <w:i/>
        </w:rPr>
        <w:t>1</w:t>
      </w:r>
      <w:r w:rsidRPr="004F0234">
        <w:rPr>
          <w:i/>
        </w:rPr>
        <w:t>:</w:t>
      </w:r>
      <w:r>
        <w:rPr>
          <w:i/>
        </w:rPr>
        <w:t xml:space="preserve"> </w:t>
      </w:r>
      <w:r w:rsidR="000500C4" w:rsidRPr="00A22EFA">
        <w:rPr>
          <w:b/>
          <w:i/>
        </w:rPr>
        <w:t>Odstránenie kľúčových úzkych miest na železničnej infraštruktúre prostredníctvom</w:t>
      </w:r>
      <w:r w:rsidR="000500C4">
        <w:rPr>
          <w:i/>
        </w:rPr>
        <w:t xml:space="preserve"> </w:t>
      </w:r>
      <w:r w:rsidR="000500C4">
        <w:rPr>
          <w:b/>
          <w:i/>
        </w:rPr>
        <w:t>m</w:t>
      </w:r>
      <w:r w:rsidR="008F67B1" w:rsidRPr="008F67B1">
        <w:rPr>
          <w:b/>
          <w:i/>
        </w:rPr>
        <w:t>odernizáci</w:t>
      </w:r>
      <w:r w:rsidR="000500C4">
        <w:rPr>
          <w:b/>
          <w:i/>
        </w:rPr>
        <w:t>e</w:t>
      </w:r>
      <w:r w:rsidR="008F67B1" w:rsidRPr="008F67B1">
        <w:rPr>
          <w:b/>
          <w:i/>
        </w:rPr>
        <w:t xml:space="preserve"> a rozvoj</w:t>
      </w:r>
      <w:r w:rsidR="000500C4">
        <w:rPr>
          <w:b/>
          <w:i/>
        </w:rPr>
        <w:t>a</w:t>
      </w:r>
      <w:r w:rsidR="008F67B1" w:rsidRPr="008F67B1">
        <w:rPr>
          <w:b/>
          <w:i/>
        </w:rPr>
        <w:t xml:space="preserve"> železničných tratí a súvisiacich objektov dopravne významných z hľadiska medzinárodnej a vnútroštátnej dopravy</w:t>
      </w:r>
    </w:p>
    <w:p w14:paraId="6C2FA1EA" w14:textId="77777777" w:rsidR="00382524" w:rsidRDefault="007E69E9" w:rsidP="00382524">
      <w:pPr>
        <w:spacing w:before="180"/>
        <w:jc w:val="both"/>
        <w:rPr>
          <w:sz w:val="22"/>
          <w:szCs w:val="22"/>
        </w:rPr>
      </w:pPr>
      <w:r>
        <w:rPr>
          <w:sz w:val="22"/>
          <w:szCs w:val="22"/>
        </w:rPr>
        <w:t>Železničnú infraštruktúru</w:t>
      </w:r>
      <w:r w:rsidR="00382524">
        <w:rPr>
          <w:sz w:val="22"/>
          <w:szCs w:val="22"/>
        </w:rPr>
        <w:t xml:space="preserve"> na Slovensku možno charakterizovať dostatočnou hustotou siete</w:t>
      </w:r>
      <w:r w:rsidR="00382524" w:rsidRPr="00454781">
        <w:rPr>
          <w:sz w:val="22"/>
          <w:szCs w:val="22"/>
        </w:rPr>
        <w:t xml:space="preserve">, ale jej technické parametre nie sú v súlade so súčasnými európskymi štandardami, ktoré obmedzujú interoperabilitu siete, negatívne vplývajú na životné prostredie a z </w:t>
      </w:r>
      <w:r w:rsidR="00727EDF">
        <w:rPr>
          <w:sz w:val="22"/>
          <w:szCs w:val="22"/>
        </w:rPr>
        <w:t>pohľadu VOD</w:t>
      </w:r>
      <w:r w:rsidR="00382524" w:rsidRPr="00454781">
        <w:rPr>
          <w:sz w:val="22"/>
          <w:szCs w:val="22"/>
        </w:rPr>
        <w:t xml:space="preserve"> znižujú jej atraktivitu nízkym komfortom pre cestujúcich.</w:t>
      </w:r>
      <w:r w:rsidR="00382524">
        <w:rPr>
          <w:sz w:val="22"/>
          <w:szCs w:val="22"/>
        </w:rPr>
        <w:t xml:space="preserve"> Posun v tejto oblasti je podmienený jednak modernizáciou tratí, t. j. ich renováciou prípadne elektrifikáciou vybraných úsekov tratí, ako aj modernizáciou súvisiacich objektov. V rámci </w:t>
      </w:r>
      <w:r w:rsidR="00EB67C2">
        <w:rPr>
          <w:sz w:val="22"/>
          <w:szCs w:val="22"/>
        </w:rPr>
        <w:t>ŠC 5.1</w:t>
      </w:r>
      <w:r w:rsidR="00382524">
        <w:rPr>
          <w:sz w:val="22"/>
          <w:szCs w:val="22"/>
        </w:rPr>
        <w:t xml:space="preserve"> budú podporené aktivity zamerané na </w:t>
      </w:r>
      <w:r w:rsidR="00FC72FA">
        <w:rPr>
          <w:sz w:val="22"/>
          <w:szCs w:val="22"/>
        </w:rPr>
        <w:t xml:space="preserve">modernizáciu železničných tratí, </w:t>
      </w:r>
      <w:r w:rsidR="00382524">
        <w:rPr>
          <w:sz w:val="22"/>
          <w:szCs w:val="22"/>
        </w:rPr>
        <w:t xml:space="preserve">znižovanie bezpečnostných rizík v súvislosti so železničnou dopravou – odstraňovanie </w:t>
      </w:r>
      <w:r w:rsidR="00382524" w:rsidRPr="00393924">
        <w:rPr>
          <w:sz w:val="22"/>
          <w:szCs w:val="22"/>
        </w:rPr>
        <w:t>úrovňových križovaní s</w:t>
      </w:r>
      <w:r w:rsidR="00EB67C2">
        <w:rPr>
          <w:sz w:val="22"/>
          <w:szCs w:val="22"/>
        </w:rPr>
        <w:t> </w:t>
      </w:r>
      <w:r w:rsidR="00382524" w:rsidRPr="00393924">
        <w:rPr>
          <w:sz w:val="22"/>
          <w:szCs w:val="22"/>
        </w:rPr>
        <w:t>cestnou infraštruktúrou, modernizácia železničných priecestí</w:t>
      </w:r>
      <w:r w:rsidR="00382524">
        <w:rPr>
          <w:sz w:val="22"/>
          <w:szCs w:val="22"/>
        </w:rPr>
        <w:t>, ako aj aktivity zamerané na modernizáciu</w:t>
      </w:r>
      <w:r w:rsidR="00382524" w:rsidRPr="00393924">
        <w:rPr>
          <w:sz w:val="22"/>
          <w:szCs w:val="22"/>
        </w:rPr>
        <w:t xml:space="preserve"> prestupných terminálov železničnej osobnej doprav</w:t>
      </w:r>
      <w:r w:rsidR="00382524">
        <w:rPr>
          <w:sz w:val="22"/>
          <w:szCs w:val="22"/>
        </w:rPr>
        <w:t>y a ich napojení na cestnú sieť, v</w:t>
      </w:r>
      <w:r w:rsidR="00382524" w:rsidRPr="00393924">
        <w:rPr>
          <w:sz w:val="22"/>
          <w:szCs w:val="22"/>
        </w:rPr>
        <w:t>ýstav</w:t>
      </w:r>
      <w:r w:rsidR="00382524">
        <w:rPr>
          <w:sz w:val="22"/>
          <w:szCs w:val="22"/>
        </w:rPr>
        <w:t>ba nových železničných zastávok a pod.</w:t>
      </w:r>
    </w:p>
    <w:p w14:paraId="7A6374E2" w14:textId="093D4A58" w:rsidR="00034834" w:rsidRPr="00454781" w:rsidRDefault="00EB67C2" w:rsidP="00034834">
      <w:pPr>
        <w:spacing w:before="180"/>
        <w:jc w:val="both"/>
        <w:rPr>
          <w:sz w:val="22"/>
          <w:szCs w:val="22"/>
        </w:rPr>
      </w:pPr>
      <w:r>
        <w:rPr>
          <w:sz w:val="22"/>
          <w:szCs w:val="22"/>
        </w:rPr>
        <w:t>ŠC</w:t>
      </w:r>
      <w:r w:rsidRPr="00454781">
        <w:rPr>
          <w:sz w:val="22"/>
          <w:szCs w:val="22"/>
        </w:rPr>
        <w:t xml:space="preserve"> </w:t>
      </w:r>
      <w:r w:rsidR="00727EDF">
        <w:rPr>
          <w:sz w:val="22"/>
          <w:szCs w:val="22"/>
        </w:rPr>
        <w:t>5.1 je</w:t>
      </w:r>
      <w:r w:rsidR="00034834" w:rsidRPr="00454781">
        <w:rPr>
          <w:sz w:val="22"/>
          <w:szCs w:val="22"/>
        </w:rPr>
        <w:t xml:space="preserve"> v súlade so strategickým cieľom </w:t>
      </w:r>
      <w:r w:rsidR="00034834">
        <w:rPr>
          <w:sz w:val="22"/>
          <w:szCs w:val="22"/>
        </w:rPr>
        <w:t>„</w:t>
      </w:r>
      <w:r w:rsidR="001A7562" w:rsidRPr="001A7562">
        <w:rPr>
          <w:i/>
          <w:sz w:val="22"/>
          <w:szCs w:val="22"/>
        </w:rPr>
        <w:t>Modernizácia a rozvoj železničnej dopravnej cesty tam, kde je to účelné</w:t>
      </w:r>
      <w:r w:rsidR="00034834" w:rsidRPr="00454781">
        <w:rPr>
          <w:sz w:val="22"/>
          <w:szCs w:val="22"/>
        </w:rPr>
        <w:t>“ definovanom v Strategickom pláne</w:t>
      </w:r>
      <w:r w:rsidR="00034834">
        <w:rPr>
          <w:sz w:val="22"/>
          <w:szCs w:val="22"/>
        </w:rPr>
        <w:t xml:space="preserve"> a </w:t>
      </w:r>
      <w:r w:rsidR="00034834" w:rsidRPr="00454781">
        <w:rPr>
          <w:sz w:val="22"/>
          <w:szCs w:val="22"/>
        </w:rPr>
        <w:t xml:space="preserve">kladie </w:t>
      </w:r>
      <w:r w:rsidR="00034834">
        <w:rPr>
          <w:sz w:val="22"/>
          <w:szCs w:val="22"/>
        </w:rPr>
        <w:t>dôraz na potrebu modernizácie v </w:t>
      </w:r>
      <w:r w:rsidR="002D1E44">
        <w:rPr>
          <w:sz w:val="22"/>
          <w:szCs w:val="22"/>
        </w:rPr>
        <w:t>osiach s </w:t>
      </w:r>
      <w:r w:rsidR="00034834" w:rsidRPr="00454781">
        <w:rPr>
          <w:sz w:val="22"/>
          <w:szCs w:val="22"/>
        </w:rPr>
        <w:t xml:space="preserve">vysokým dopytom po železničnej, osobnej alebo nákladnej doprave. </w:t>
      </w:r>
      <w:r w:rsidR="00034834">
        <w:rPr>
          <w:sz w:val="22"/>
          <w:szCs w:val="22"/>
        </w:rPr>
        <w:t xml:space="preserve">V rámci tohto špecifického cieľa bude modernizácia zameraná na traťové osi </w:t>
      </w:r>
      <w:r w:rsidR="00FC72FA">
        <w:rPr>
          <w:sz w:val="22"/>
          <w:szCs w:val="22"/>
        </w:rPr>
        <w:t>na sieti</w:t>
      </w:r>
      <w:r w:rsidR="00FC72FA" w:rsidRPr="00454781">
        <w:rPr>
          <w:sz w:val="22"/>
          <w:szCs w:val="22"/>
        </w:rPr>
        <w:t xml:space="preserve"> </w:t>
      </w:r>
      <w:r w:rsidR="00034834" w:rsidRPr="00454781">
        <w:rPr>
          <w:sz w:val="22"/>
          <w:szCs w:val="22"/>
        </w:rPr>
        <w:t>TEN-</w:t>
      </w:r>
      <w:r w:rsidR="00034834">
        <w:rPr>
          <w:sz w:val="22"/>
          <w:szCs w:val="22"/>
        </w:rPr>
        <w:t>T</w:t>
      </w:r>
      <w:r w:rsidR="00FC72FA">
        <w:rPr>
          <w:sz w:val="22"/>
          <w:szCs w:val="22"/>
        </w:rPr>
        <w:t xml:space="preserve"> aj mimo nej</w:t>
      </w:r>
      <w:r w:rsidR="00034834">
        <w:rPr>
          <w:sz w:val="22"/>
          <w:szCs w:val="22"/>
        </w:rPr>
        <w:t>.</w:t>
      </w:r>
    </w:p>
    <w:p w14:paraId="5487EB13" w14:textId="77777777" w:rsidR="00771F01" w:rsidRDefault="00382524" w:rsidP="00771F01">
      <w:pPr>
        <w:spacing w:before="180"/>
        <w:jc w:val="both"/>
        <w:rPr>
          <w:sz w:val="22"/>
          <w:szCs w:val="22"/>
        </w:rPr>
      </w:pPr>
      <w:r w:rsidRPr="00454781">
        <w:rPr>
          <w:sz w:val="22"/>
          <w:szCs w:val="22"/>
        </w:rPr>
        <w:t>Podporené aktivity prispejú k</w:t>
      </w:r>
      <w:r w:rsidR="00771F01">
        <w:rPr>
          <w:sz w:val="22"/>
          <w:szCs w:val="22"/>
        </w:rPr>
        <w:t> zvýšeniu</w:t>
      </w:r>
      <w:r>
        <w:rPr>
          <w:sz w:val="22"/>
          <w:szCs w:val="22"/>
        </w:rPr>
        <w:t xml:space="preserve"> atraktívnosti železničnej dopravy,</w:t>
      </w:r>
      <w:r w:rsidRPr="00454781">
        <w:rPr>
          <w:sz w:val="22"/>
          <w:szCs w:val="22"/>
        </w:rPr>
        <w:t xml:space="preserve"> zníženiu </w:t>
      </w:r>
      <w:r>
        <w:rPr>
          <w:sz w:val="22"/>
          <w:szCs w:val="22"/>
        </w:rPr>
        <w:t>vplyvov</w:t>
      </w:r>
      <w:r w:rsidRPr="00454781">
        <w:rPr>
          <w:sz w:val="22"/>
          <w:szCs w:val="22"/>
        </w:rPr>
        <w:t xml:space="preserve"> </w:t>
      </w:r>
      <w:r>
        <w:rPr>
          <w:sz w:val="22"/>
          <w:szCs w:val="22"/>
        </w:rPr>
        <w:t xml:space="preserve">železničnej </w:t>
      </w:r>
      <w:r w:rsidRPr="00454781">
        <w:rPr>
          <w:sz w:val="22"/>
          <w:szCs w:val="22"/>
        </w:rPr>
        <w:t>dopravy na životné prostredie</w:t>
      </w:r>
      <w:r>
        <w:rPr>
          <w:sz w:val="22"/>
          <w:szCs w:val="22"/>
        </w:rPr>
        <w:t>, dosiahnutiu</w:t>
      </w:r>
      <w:r w:rsidRPr="00454781">
        <w:rPr>
          <w:sz w:val="22"/>
          <w:szCs w:val="22"/>
        </w:rPr>
        <w:t xml:space="preserve"> vyššej energetickej nezávislosti železnice na</w:t>
      </w:r>
      <w:r w:rsidR="00EB67C2">
        <w:rPr>
          <w:sz w:val="22"/>
          <w:szCs w:val="22"/>
        </w:rPr>
        <w:t> </w:t>
      </w:r>
      <w:r w:rsidRPr="00454781">
        <w:rPr>
          <w:sz w:val="22"/>
          <w:szCs w:val="22"/>
        </w:rPr>
        <w:t>ropných produktoch</w:t>
      </w:r>
      <w:r w:rsidR="009C1167">
        <w:rPr>
          <w:sz w:val="22"/>
          <w:szCs w:val="22"/>
        </w:rPr>
        <w:t>,</w:t>
      </w:r>
      <w:r>
        <w:rPr>
          <w:sz w:val="22"/>
          <w:szCs w:val="22"/>
        </w:rPr>
        <w:t xml:space="preserve"> ako aj zvýšeniu bezpečnosti v súvislosti so železničnou dopravou.</w:t>
      </w:r>
    </w:p>
    <w:p w14:paraId="7D52242C" w14:textId="77777777" w:rsidR="009C1167" w:rsidRDefault="009C1167" w:rsidP="009C1167">
      <w:pPr>
        <w:pStyle w:val="Odsekzoznamu"/>
        <w:autoSpaceDE w:val="0"/>
        <w:autoSpaceDN w:val="0"/>
        <w:adjustRightInd w:val="0"/>
        <w:spacing w:before="180" w:after="120"/>
        <w:ind w:left="0"/>
        <w:contextualSpacing w:val="0"/>
        <w:jc w:val="both"/>
        <w:rPr>
          <w:sz w:val="22"/>
          <w:szCs w:val="22"/>
        </w:rPr>
      </w:pPr>
      <w:r w:rsidRPr="002E40A5">
        <w:rPr>
          <w:sz w:val="22"/>
          <w:szCs w:val="22"/>
        </w:rPr>
        <w:t xml:space="preserve">Princípy trvalo udržateľného rozvoja </w:t>
      </w:r>
      <w:r>
        <w:rPr>
          <w:sz w:val="22"/>
          <w:szCs w:val="22"/>
        </w:rPr>
        <w:t>železničnej dopravy sú základným predpokladom pre to</w:t>
      </w:r>
      <w:r w:rsidRPr="002E40A5">
        <w:rPr>
          <w:sz w:val="22"/>
          <w:szCs w:val="22"/>
        </w:rPr>
        <w:t>, aby sa železničná doprava stala lídrom udržateľného dopravného systému, ktorý spĺňa náročné požiadavky spoločnosti o budúcnosti dopravy, ale zároveň neohrozuje kvalitu životného prostredia.</w:t>
      </w:r>
    </w:p>
    <w:p w14:paraId="534297E1" w14:textId="77777777" w:rsidR="009C1167" w:rsidRDefault="009C1167" w:rsidP="00771F01">
      <w:pPr>
        <w:spacing w:before="180"/>
        <w:jc w:val="both"/>
        <w:rPr>
          <w:sz w:val="22"/>
          <w:szCs w:val="22"/>
        </w:rPr>
      </w:pPr>
    </w:p>
    <w:p w14:paraId="3CC98228" w14:textId="77777777" w:rsidR="00771F01" w:rsidRDefault="00771F01" w:rsidP="00771F01">
      <w:pPr>
        <w:spacing w:before="180"/>
        <w:jc w:val="both"/>
        <w:rPr>
          <w:sz w:val="22"/>
          <w:szCs w:val="22"/>
        </w:rPr>
      </w:pPr>
      <w:r w:rsidRPr="002E40A5">
        <w:rPr>
          <w:sz w:val="22"/>
          <w:szCs w:val="22"/>
        </w:rPr>
        <w:lastRenderedPageBreak/>
        <w:t>Udržateľný rozvoj znamená, že z plánov súčasnej a budúcej potreby dopravnej obslužnosti územia musí vychádzať udržateľný proces výstavby, modernizácie a obnovy železničnej infraštruktúry, rozvoj koridorov, dôraz na prepojenie s regionál</w:t>
      </w:r>
      <w:r>
        <w:rPr>
          <w:sz w:val="22"/>
          <w:szCs w:val="22"/>
        </w:rPr>
        <w:t>nou a mestskou dopravou,</w:t>
      </w:r>
      <w:r w:rsidRPr="002E40A5">
        <w:rPr>
          <w:sz w:val="22"/>
          <w:szCs w:val="22"/>
        </w:rPr>
        <w:t xml:space="preserve"> ako</w:t>
      </w:r>
      <w:r>
        <w:rPr>
          <w:sz w:val="22"/>
          <w:szCs w:val="22"/>
        </w:rPr>
        <w:t xml:space="preserve"> aj</w:t>
      </w:r>
      <w:r w:rsidRPr="002E40A5">
        <w:rPr>
          <w:sz w:val="22"/>
          <w:szCs w:val="22"/>
        </w:rPr>
        <w:t xml:space="preserve"> proces obnovy a následnej údr</w:t>
      </w:r>
      <w:r>
        <w:rPr>
          <w:sz w:val="22"/>
          <w:szCs w:val="22"/>
        </w:rPr>
        <w:t>žby parku koľajových vozidiel a</w:t>
      </w:r>
      <w:r w:rsidRPr="002E40A5">
        <w:rPr>
          <w:sz w:val="22"/>
          <w:szCs w:val="22"/>
        </w:rPr>
        <w:t xml:space="preserve"> technológií zabezpečujúcich bezpečnú,</w:t>
      </w:r>
      <w:r>
        <w:rPr>
          <w:sz w:val="22"/>
          <w:szCs w:val="22"/>
        </w:rPr>
        <w:t xml:space="preserve"> spoľahlivú a kvalitnú prevádzk</w:t>
      </w:r>
      <w:r w:rsidRPr="002E40A5">
        <w:rPr>
          <w:sz w:val="22"/>
          <w:szCs w:val="22"/>
        </w:rPr>
        <w:t>u vlakov.</w:t>
      </w:r>
      <w:r w:rsidR="00F82E41">
        <w:rPr>
          <w:sz w:val="22"/>
          <w:szCs w:val="22"/>
        </w:rPr>
        <w:t xml:space="preserve"> Obstaranie nových koľajových vozidiel musí byť previazané so zlepšením železničnej infraštruktúry a</w:t>
      </w:r>
      <w:r w:rsidR="00631CDB">
        <w:rPr>
          <w:sz w:val="22"/>
          <w:szCs w:val="22"/>
        </w:rPr>
        <w:t xml:space="preserve"> </w:t>
      </w:r>
      <w:r w:rsidR="00F82E41">
        <w:rPr>
          <w:sz w:val="22"/>
          <w:szCs w:val="22"/>
        </w:rPr>
        <w:t>p</w:t>
      </w:r>
      <w:r w:rsidR="00727EDF">
        <w:rPr>
          <w:sz w:val="22"/>
          <w:szCs w:val="22"/>
        </w:rPr>
        <w:t>arametre železničných</w:t>
      </w:r>
      <w:r w:rsidR="00F82E41">
        <w:rPr>
          <w:sz w:val="22"/>
          <w:szCs w:val="22"/>
        </w:rPr>
        <w:t xml:space="preserve"> vozidiel musia</w:t>
      </w:r>
      <w:r w:rsidR="00B942F0">
        <w:rPr>
          <w:sz w:val="22"/>
          <w:szCs w:val="22"/>
        </w:rPr>
        <w:t xml:space="preserve"> zodpovedať</w:t>
      </w:r>
      <w:r w:rsidR="00631CDB">
        <w:rPr>
          <w:sz w:val="22"/>
          <w:szCs w:val="22"/>
        </w:rPr>
        <w:t xml:space="preserve"> </w:t>
      </w:r>
      <w:r w:rsidR="00F82E41">
        <w:rPr>
          <w:sz w:val="22"/>
          <w:szCs w:val="22"/>
        </w:rPr>
        <w:t>parametr</w:t>
      </w:r>
      <w:r w:rsidR="00B942F0">
        <w:rPr>
          <w:sz w:val="22"/>
          <w:szCs w:val="22"/>
        </w:rPr>
        <w:t>om</w:t>
      </w:r>
      <w:r w:rsidR="00F82E41">
        <w:rPr>
          <w:sz w:val="22"/>
          <w:szCs w:val="22"/>
        </w:rPr>
        <w:t xml:space="preserve"> dopravnej infraštruktúry, aby bola zabezpečená vzájomná kompatibilita a</w:t>
      </w:r>
      <w:r w:rsidR="008826DB">
        <w:rPr>
          <w:sz w:val="22"/>
          <w:szCs w:val="22"/>
        </w:rPr>
        <w:t xml:space="preserve"> </w:t>
      </w:r>
      <w:r w:rsidR="00F82E41">
        <w:rPr>
          <w:sz w:val="22"/>
          <w:szCs w:val="22"/>
        </w:rPr>
        <w:t>synergi</w:t>
      </w:r>
      <w:r w:rsidR="00963E79">
        <w:rPr>
          <w:sz w:val="22"/>
          <w:szCs w:val="22"/>
        </w:rPr>
        <w:t>cké účinky</w:t>
      </w:r>
      <w:r w:rsidR="00F82E41">
        <w:rPr>
          <w:sz w:val="22"/>
          <w:szCs w:val="22"/>
        </w:rPr>
        <w:t xml:space="preserve"> investícií</w:t>
      </w:r>
      <w:r w:rsidR="00631CDB">
        <w:rPr>
          <w:sz w:val="22"/>
          <w:szCs w:val="22"/>
        </w:rPr>
        <w:t>.</w:t>
      </w:r>
    </w:p>
    <w:p w14:paraId="19931632" w14:textId="77777777" w:rsidR="00771F01" w:rsidRDefault="00771F01" w:rsidP="00771F01">
      <w:pPr>
        <w:spacing w:before="120"/>
        <w:jc w:val="both"/>
        <w:rPr>
          <w:sz w:val="22"/>
          <w:szCs w:val="22"/>
          <w:lang w:eastAsia="cs-CZ"/>
        </w:rPr>
      </w:pPr>
      <w:r>
        <w:rPr>
          <w:sz w:val="22"/>
          <w:szCs w:val="22"/>
          <w:lang w:eastAsia="cs-CZ"/>
        </w:rPr>
        <w:t>Aj napriek skutočnosti</w:t>
      </w:r>
      <w:r w:rsidRPr="001B189D">
        <w:rPr>
          <w:sz w:val="22"/>
          <w:szCs w:val="22"/>
          <w:lang w:eastAsia="cs-CZ"/>
        </w:rPr>
        <w:t>, že železničná doprava je</w:t>
      </w:r>
      <w:r>
        <w:rPr>
          <w:sz w:val="22"/>
          <w:szCs w:val="22"/>
          <w:lang w:eastAsia="cs-CZ"/>
        </w:rPr>
        <w:t xml:space="preserve"> považovanú za lídra z pohľadu udržateľnosti</w:t>
      </w:r>
      <w:r w:rsidRPr="001B189D">
        <w:rPr>
          <w:sz w:val="22"/>
          <w:szCs w:val="22"/>
          <w:lang w:eastAsia="cs-CZ"/>
        </w:rPr>
        <w:t xml:space="preserve"> </w:t>
      </w:r>
      <w:r w:rsidR="00C3107B">
        <w:rPr>
          <w:sz w:val="22"/>
          <w:szCs w:val="22"/>
          <w:lang w:eastAsia="cs-CZ"/>
        </w:rPr>
        <w:t xml:space="preserve">dopravy, </w:t>
      </w:r>
      <w:r>
        <w:rPr>
          <w:sz w:val="22"/>
          <w:szCs w:val="22"/>
          <w:lang w:eastAsia="cs-CZ"/>
        </w:rPr>
        <w:t>stále existuje priestor na zníženie negatívnych dopadov</w:t>
      </w:r>
      <w:r w:rsidRPr="001B189D">
        <w:rPr>
          <w:sz w:val="22"/>
          <w:szCs w:val="22"/>
          <w:lang w:eastAsia="cs-CZ"/>
        </w:rPr>
        <w:t xml:space="preserve"> na zdravie a bezpečnosť ľudí, ako aj okolité prostredie. </w:t>
      </w:r>
      <w:r>
        <w:rPr>
          <w:sz w:val="22"/>
          <w:szCs w:val="22"/>
          <w:lang w:eastAsia="cs-CZ"/>
        </w:rPr>
        <w:t>Medzi oblasti</w:t>
      </w:r>
      <w:r w:rsidR="00527FCD">
        <w:rPr>
          <w:sz w:val="22"/>
          <w:szCs w:val="22"/>
          <w:lang w:eastAsia="cs-CZ"/>
        </w:rPr>
        <w:t>,</w:t>
      </w:r>
      <w:r>
        <w:rPr>
          <w:sz w:val="22"/>
          <w:szCs w:val="22"/>
          <w:lang w:eastAsia="cs-CZ"/>
        </w:rPr>
        <w:t xml:space="preserve"> na ktoré je potrebné zamerať úsilie možno zaradiť najmä</w:t>
      </w:r>
      <w:r w:rsidRPr="001B189D">
        <w:rPr>
          <w:sz w:val="22"/>
          <w:szCs w:val="22"/>
          <w:lang w:eastAsia="cs-CZ"/>
        </w:rPr>
        <w:t xml:space="preserve"> klimatické zmeny (vrátane energetickej spotreby), hluk a vibrácie, odpadové ho</w:t>
      </w:r>
      <w:r w:rsidR="00E3616E">
        <w:rPr>
          <w:sz w:val="22"/>
          <w:szCs w:val="22"/>
          <w:lang w:eastAsia="cs-CZ"/>
        </w:rPr>
        <w:t>spodárstvo, udržateľná výroba a </w:t>
      </w:r>
      <w:r w:rsidRPr="001B189D">
        <w:rPr>
          <w:sz w:val="22"/>
          <w:szCs w:val="22"/>
          <w:lang w:eastAsia="cs-CZ"/>
        </w:rPr>
        <w:t>spotreba, emisie látok znečisťujúcich ovzdušie, či ochrana biodiverzity a prírodných zdrojov.</w:t>
      </w:r>
    </w:p>
    <w:p w14:paraId="3AC73197" w14:textId="77777777" w:rsidR="00017B79" w:rsidRPr="00771F01" w:rsidRDefault="00017B79" w:rsidP="00771F01">
      <w:pPr>
        <w:spacing w:before="180"/>
        <w:jc w:val="both"/>
        <w:rPr>
          <w:sz w:val="22"/>
          <w:szCs w:val="22"/>
        </w:rPr>
      </w:pPr>
      <w:r w:rsidRPr="001B2070">
        <w:rPr>
          <w:rFonts w:ascii="Arial Narrow" w:hAnsi="Arial Narrow"/>
          <w:b/>
          <w:i/>
          <w:color w:val="548DD4" w:themeColor="text2" w:themeTint="99"/>
          <w:sz w:val="22"/>
          <w:szCs w:val="22"/>
        </w:rPr>
        <w:t>VÝSLEDKY</w:t>
      </w:r>
    </w:p>
    <w:p w14:paraId="06C634E4" w14:textId="77339AA8" w:rsidR="009E0158" w:rsidRDefault="00DF263C" w:rsidP="00AA304D">
      <w:pPr>
        <w:pStyle w:val="Odsekzoznamu"/>
        <w:numPr>
          <w:ilvl w:val="0"/>
          <w:numId w:val="72"/>
        </w:numPr>
        <w:autoSpaceDE w:val="0"/>
        <w:autoSpaceDN w:val="0"/>
        <w:adjustRightInd w:val="0"/>
        <w:spacing w:before="120"/>
        <w:jc w:val="both"/>
        <w:rPr>
          <w:color w:val="000000" w:themeColor="text1"/>
          <w:sz w:val="22"/>
          <w:szCs w:val="22"/>
        </w:rPr>
      </w:pPr>
      <w:r>
        <w:rPr>
          <w:color w:val="000000" w:themeColor="text1"/>
          <w:sz w:val="22"/>
          <w:szCs w:val="22"/>
        </w:rPr>
        <w:t>z</w:t>
      </w:r>
      <w:r w:rsidR="00382524" w:rsidRPr="00DF263C">
        <w:rPr>
          <w:color w:val="000000" w:themeColor="text1"/>
          <w:sz w:val="22"/>
          <w:szCs w:val="22"/>
        </w:rPr>
        <w:t>lepšenie technických parametrov železničnej infraštruktúry vo vybraných úsekoch,</w:t>
      </w:r>
    </w:p>
    <w:p w14:paraId="7CE7C9CB" w14:textId="54F6E5D1" w:rsidR="009E0158" w:rsidRDefault="00103ADB" w:rsidP="00AA304D">
      <w:pPr>
        <w:pStyle w:val="Odsekzoznamu"/>
        <w:numPr>
          <w:ilvl w:val="0"/>
          <w:numId w:val="72"/>
        </w:numPr>
        <w:autoSpaceDE w:val="0"/>
        <w:autoSpaceDN w:val="0"/>
        <w:adjustRightInd w:val="0"/>
        <w:spacing w:before="120"/>
        <w:jc w:val="both"/>
        <w:rPr>
          <w:color w:val="000000" w:themeColor="text1"/>
          <w:sz w:val="22"/>
          <w:szCs w:val="22"/>
        </w:rPr>
      </w:pPr>
      <w:r>
        <w:rPr>
          <w:color w:val="000000" w:themeColor="text1"/>
          <w:sz w:val="22"/>
          <w:szCs w:val="22"/>
        </w:rPr>
        <w:t>pozri Prílohu 21,</w:t>
      </w:r>
    </w:p>
    <w:p w14:paraId="63356F13" w14:textId="77777777" w:rsidR="009E0158" w:rsidRDefault="00DF263C" w:rsidP="00AA304D">
      <w:pPr>
        <w:pStyle w:val="Odsekzoznamu"/>
        <w:numPr>
          <w:ilvl w:val="0"/>
          <w:numId w:val="72"/>
        </w:numPr>
        <w:autoSpaceDE w:val="0"/>
        <w:autoSpaceDN w:val="0"/>
        <w:adjustRightInd w:val="0"/>
        <w:jc w:val="both"/>
        <w:rPr>
          <w:color w:val="000000" w:themeColor="text1"/>
          <w:sz w:val="22"/>
          <w:szCs w:val="22"/>
        </w:rPr>
      </w:pPr>
      <w:r>
        <w:rPr>
          <w:color w:val="000000" w:themeColor="text1"/>
          <w:sz w:val="22"/>
          <w:szCs w:val="22"/>
        </w:rPr>
        <w:t>z</w:t>
      </w:r>
      <w:r w:rsidR="00382524" w:rsidRPr="00DF263C">
        <w:rPr>
          <w:color w:val="000000" w:themeColor="text1"/>
          <w:sz w:val="22"/>
          <w:szCs w:val="22"/>
        </w:rPr>
        <w:t>výšenie podielu elektrifikovaných tratí</w:t>
      </w:r>
      <w:r>
        <w:rPr>
          <w:color w:val="000000" w:themeColor="text1"/>
          <w:sz w:val="22"/>
          <w:szCs w:val="22"/>
        </w:rPr>
        <w:t>,</w:t>
      </w:r>
    </w:p>
    <w:p w14:paraId="13F30F56"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zníženie počtu úmrtí na železničných priecestiach,</w:t>
      </w:r>
    </w:p>
    <w:p w14:paraId="6EA00B24"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zníženie negatívnych vplyvov na životné prostredie (zníženie hlukovej záťaže</w:t>
      </w:r>
      <w:r w:rsidR="006B677D">
        <w:rPr>
          <w:color w:val="000000" w:themeColor="text1"/>
          <w:sz w:val="22"/>
          <w:szCs w:val="22"/>
        </w:rPr>
        <w:t xml:space="preserve"> a emisií CO</w:t>
      </w:r>
      <w:r w:rsidR="006B677D" w:rsidRPr="006B677D">
        <w:rPr>
          <w:color w:val="000000" w:themeColor="text1"/>
          <w:sz w:val="22"/>
          <w:szCs w:val="22"/>
          <w:vertAlign w:val="subscript"/>
        </w:rPr>
        <w:t>2</w:t>
      </w:r>
      <w:r w:rsidR="006B677D">
        <w:rPr>
          <w:color w:val="000000" w:themeColor="text1"/>
          <w:sz w:val="22"/>
          <w:szCs w:val="22"/>
        </w:rPr>
        <w:t>, NO</w:t>
      </w:r>
      <w:r w:rsidR="006B677D" w:rsidRPr="006B677D">
        <w:rPr>
          <w:color w:val="000000" w:themeColor="text1"/>
          <w:sz w:val="22"/>
          <w:szCs w:val="22"/>
          <w:vertAlign w:val="subscript"/>
        </w:rPr>
        <w:t>2</w:t>
      </w:r>
      <w:r w:rsidR="006B677D">
        <w:rPr>
          <w:color w:val="000000" w:themeColor="text1"/>
          <w:sz w:val="22"/>
          <w:szCs w:val="22"/>
        </w:rPr>
        <w:t xml:space="preserve"> a</w:t>
      </w:r>
      <w:r w:rsidR="00FB648D">
        <w:rPr>
          <w:color w:val="000000" w:themeColor="text1"/>
          <w:sz w:val="22"/>
          <w:szCs w:val="22"/>
        </w:rPr>
        <w:t> </w:t>
      </w:r>
      <w:r w:rsidR="006B677D">
        <w:rPr>
          <w:color w:val="000000" w:themeColor="text1"/>
          <w:sz w:val="22"/>
          <w:szCs w:val="22"/>
        </w:rPr>
        <w:t>PM</w:t>
      </w:r>
      <w:r w:rsidR="00307AAF" w:rsidRPr="00307AAF">
        <w:rPr>
          <w:color w:val="000000" w:themeColor="text1"/>
          <w:sz w:val="22"/>
          <w:szCs w:val="22"/>
          <w:vertAlign w:val="subscript"/>
        </w:rPr>
        <w:t>10</w:t>
      </w:r>
      <w:r w:rsidRPr="00DF263C">
        <w:rPr>
          <w:color w:val="000000" w:themeColor="text1"/>
          <w:sz w:val="22"/>
          <w:szCs w:val="22"/>
        </w:rPr>
        <w:t>),</w:t>
      </w:r>
    </w:p>
    <w:p w14:paraId="0CD84710"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zvýšenie komfortu pre koncových užívateľov a tým atraktivity železničnej dopravy v regiónoch,</w:t>
      </w:r>
    </w:p>
    <w:p w14:paraId="602AE257"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vytváranie predpokladov pre zvýšenie konkurencieschopnosti regiónov, zlepšenia mobility obyvateľov a potenciálu rastu zamestnanosti.</w:t>
      </w:r>
    </w:p>
    <w:p w14:paraId="6839FFEA" w14:textId="77777777" w:rsidR="003D6170" w:rsidRDefault="00017B79" w:rsidP="003D6170">
      <w:pPr>
        <w:pStyle w:val="Tab"/>
      </w:pPr>
      <w:r w:rsidRPr="004F0234">
        <w:t>Výsledkové ukazovatele zodpovedajúce špecifickému cieľu</w:t>
      </w:r>
      <w:r w:rsidR="003D6170">
        <w:t xml:space="preserve"> 5.1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304"/>
        <w:gridCol w:w="898"/>
        <w:gridCol w:w="1025"/>
        <w:gridCol w:w="1297"/>
        <w:gridCol w:w="1297"/>
        <w:gridCol w:w="911"/>
        <w:gridCol w:w="789"/>
        <w:gridCol w:w="1210"/>
      </w:tblGrid>
      <w:tr w:rsidR="00A837FB" w:rsidRPr="008C1732" w14:paraId="3940D51C" w14:textId="77777777" w:rsidTr="002E1021">
        <w:trPr>
          <w:trHeight w:val="487"/>
          <w:jc w:val="center"/>
        </w:trPr>
        <w:tc>
          <w:tcPr>
            <w:tcW w:w="556" w:type="dxa"/>
            <w:shd w:val="clear" w:color="auto" w:fill="C6D9F1" w:themeFill="text2" w:themeFillTint="33"/>
            <w:vAlign w:val="center"/>
          </w:tcPr>
          <w:p w14:paraId="141BABD2" w14:textId="77777777" w:rsidR="00A837FB" w:rsidRPr="008C1732" w:rsidRDefault="00A837FB" w:rsidP="00816B1A">
            <w:pPr>
              <w:ind w:left="0"/>
              <w:jc w:val="center"/>
              <w:rPr>
                <w:b/>
                <w:sz w:val="18"/>
                <w:szCs w:val="18"/>
              </w:rPr>
            </w:pPr>
            <w:r>
              <w:rPr>
                <w:b/>
                <w:sz w:val="18"/>
                <w:szCs w:val="18"/>
              </w:rPr>
              <w:t>P. č.</w:t>
            </w:r>
          </w:p>
        </w:tc>
        <w:tc>
          <w:tcPr>
            <w:tcW w:w="1304" w:type="dxa"/>
            <w:shd w:val="clear" w:color="auto" w:fill="C6D9F1" w:themeFill="text2" w:themeFillTint="33"/>
            <w:vAlign w:val="center"/>
          </w:tcPr>
          <w:p w14:paraId="049B5BC7" w14:textId="77777777" w:rsidR="00A837FB" w:rsidRPr="008C1732" w:rsidRDefault="00A837FB" w:rsidP="00816B1A">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571C9584" w14:textId="77777777" w:rsidR="00A837FB" w:rsidRPr="008C1732" w:rsidRDefault="00A837FB" w:rsidP="00816B1A">
            <w:pPr>
              <w:ind w:left="0"/>
              <w:jc w:val="center"/>
              <w:rPr>
                <w:b/>
                <w:sz w:val="18"/>
                <w:szCs w:val="18"/>
              </w:rPr>
            </w:pPr>
            <w:r w:rsidRPr="008C1732">
              <w:rPr>
                <w:b/>
                <w:sz w:val="18"/>
                <w:szCs w:val="18"/>
              </w:rPr>
              <w:t>Merná jednotka</w:t>
            </w:r>
          </w:p>
        </w:tc>
        <w:tc>
          <w:tcPr>
            <w:tcW w:w="1025" w:type="dxa"/>
            <w:shd w:val="clear" w:color="auto" w:fill="C6D9F1" w:themeFill="text2" w:themeFillTint="33"/>
            <w:vAlign w:val="center"/>
          </w:tcPr>
          <w:p w14:paraId="7EA0D9F1" w14:textId="77777777" w:rsidR="00A837FB" w:rsidRPr="008C1732" w:rsidRDefault="00A837FB"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7BD5EF74" w14:textId="77777777" w:rsidR="00A837FB" w:rsidRPr="008C1732" w:rsidRDefault="00A837FB"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59502D8D" w14:textId="77777777" w:rsidR="00A837FB" w:rsidRPr="008C1732" w:rsidRDefault="00A837FB" w:rsidP="00816B1A">
            <w:pPr>
              <w:ind w:left="0"/>
              <w:jc w:val="center"/>
              <w:rPr>
                <w:b/>
                <w:sz w:val="18"/>
                <w:szCs w:val="18"/>
              </w:rPr>
            </w:pPr>
            <w:r>
              <w:rPr>
                <w:b/>
                <w:sz w:val="18"/>
                <w:szCs w:val="18"/>
              </w:rPr>
              <w:t>Východiskový rok</w:t>
            </w:r>
          </w:p>
        </w:tc>
        <w:tc>
          <w:tcPr>
            <w:tcW w:w="911" w:type="dxa"/>
            <w:shd w:val="clear" w:color="auto" w:fill="C6D9F1" w:themeFill="text2" w:themeFillTint="33"/>
            <w:vAlign w:val="center"/>
          </w:tcPr>
          <w:p w14:paraId="73F0502A" w14:textId="77777777" w:rsidR="00A837FB" w:rsidRPr="008C1732" w:rsidRDefault="00A837FB" w:rsidP="00816B1A">
            <w:pPr>
              <w:ind w:left="0"/>
              <w:jc w:val="center"/>
              <w:rPr>
                <w:b/>
                <w:sz w:val="18"/>
                <w:szCs w:val="18"/>
              </w:rPr>
            </w:pPr>
            <w:r w:rsidRPr="008C1732">
              <w:rPr>
                <w:b/>
                <w:sz w:val="18"/>
                <w:szCs w:val="18"/>
              </w:rPr>
              <w:t>Cieľová hodnota (2023)</w:t>
            </w:r>
          </w:p>
        </w:tc>
        <w:tc>
          <w:tcPr>
            <w:tcW w:w="789" w:type="dxa"/>
            <w:shd w:val="clear" w:color="auto" w:fill="C6D9F1" w:themeFill="text2" w:themeFillTint="33"/>
            <w:vAlign w:val="center"/>
          </w:tcPr>
          <w:p w14:paraId="65404235" w14:textId="77777777" w:rsidR="00A837FB" w:rsidRPr="008C1732" w:rsidRDefault="00A837FB" w:rsidP="00816B1A">
            <w:pPr>
              <w:ind w:left="0"/>
              <w:jc w:val="center"/>
              <w:rPr>
                <w:b/>
                <w:sz w:val="18"/>
                <w:szCs w:val="18"/>
              </w:rPr>
            </w:pPr>
            <w:r w:rsidRPr="008C1732">
              <w:rPr>
                <w:b/>
                <w:sz w:val="18"/>
                <w:szCs w:val="18"/>
              </w:rPr>
              <w:t>Zdroj údajov</w:t>
            </w:r>
          </w:p>
        </w:tc>
        <w:tc>
          <w:tcPr>
            <w:tcW w:w="1210" w:type="dxa"/>
            <w:shd w:val="clear" w:color="auto" w:fill="C6D9F1" w:themeFill="text2" w:themeFillTint="33"/>
            <w:vAlign w:val="center"/>
          </w:tcPr>
          <w:p w14:paraId="6D38DB45"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21DD4" w14:paraId="3C370E0D" w14:textId="77777777" w:rsidTr="002E1021">
        <w:trPr>
          <w:trHeight w:val="680"/>
          <w:jc w:val="center"/>
        </w:trPr>
        <w:tc>
          <w:tcPr>
            <w:tcW w:w="556" w:type="dxa"/>
            <w:shd w:val="clear" w:color="auto" w:fill="auto"/>
            <w:vAlign w:val="center"/>
          </w:tcPr>
          <w:p w14:paraId="073C7482" w14:textId="77777777" w:rsidR="00A837FB" w:rsidRPr="00A21DD4" w:rsidRDefault="00A837FB" w:rsidP="00816B1A">
            <w:pPr>
              <w:ind w:left="0"/>
              <w:jc w:val="center"/>
              <w:rPr>
                <w:sz w:val="20"/>
                <w:szCs w:val="20"/>
              </w:rPr>
            </w:pPr>
            <w:r w:rsidRPr="00A21DD4">
              <w:rPr>
                <w:sz w:val="20"/>
                <w:szCs w:val="20"/>
              </w:rPr>
              <w:t>1.</w:t>
            </w:r>
          </w:p>
        </w:tc>
        <w:tc>
          <w:tcPr>
            <w:tcW w:w="1304" w:type="dxa"/>
            <w:shd w:val="clear" w:color="auto" w:fill="auto"/>
            <w:vAlign w:val="center"/>
          </w:tcPr>
          <w:p w14:paraId="354E50D4" w14:textId="77777777" w:rsidR="00A837FB" w:rsidRPr="00A21DD4" w:rsidRDefault="00A837FB" w:rsidP="00816B1A">
            <w:pPr>
              <w:ind w:left="0"/>
              <w:rPr>
                <w:sz w:val="20"/>
                <w:szCs w:val="20"/>
              </w:rPr>
            </w:pPr>
            <w:r w:rsidRPr="00A21DD4">
              <w:rPr>
                <w:sz w:val="20"/>
                <w:szCs w:val="20"/>
              </w:rPr>
              <w:t>Úspora času v železničnej doprave</w:t>
            </w:r>
          </w:p>
        </w:tc>
        <w:tc>
          <w:tcPr>
            <w:tcW w:w="898" w:type="dxa"/>
            <w:shd w:val="clear" w:color="auto" w:fill="auto"/>
            <w:vAlign w:val="center"/>
          </w:tcPr>
          <w:p w14:paraId="187FB84C" w14:textId="77777777" w:rsidR="00A837FB" w:rsidRPr="00A21DD4" w:rsidRDefault="00A837FB" w:rsidP="00816B1A">
            <w:pPr>
              <w:ind w:left="0"/>
              <w:jc w:val="center"/>
              <w:rPr>
                <w:i/>
                <w:sz w:val="20"/>
                <w:szCs w:val="20"/>
              </w:rPr>
            </w:pPr>
            <w:r w:rsidRPr="00A21DD4">
              <w:rPr>
                <w:i/>
                <w:sz w:val="20"/>
                <w:szCs w:val="20"/>
              </w:rPr>
              <w:t>EUR</w:t>
            </w:r>
          </w:p>
        </w:tc>
        <w:tc>
          <w:tcPr>
            <w:tcW w:w="1025" w:type="dxa"/>
            <w:shd w:val="clear" w:color="auto" w:fill="auto"/>
            <w:vAlign w:val="center"/>
          </w:tcPr>
          <w:p w14:paraId="76CE08EF" w14:textId="77777777" w:rsidR="00A837FB" w:rsidRPr="00A21DD4" w:rsidRDefault="00307AAF" w:rsidP="00816B1A">
            <w:pPr>
              <w:ind w:left="0"/>
              <w:jc w:val="center"/>
              <w:rPr>
                <w:i/>
                <w:sz w:val="20"/>
                <w:szCs w:val="20"/>
              </w:rPr>
            </w:pPr>
            <w:r w:rsidRPr="00A21DD4">
              <w:rPr>
                <w:i/>
                <w:sz w:val="20"/>
                <w:szCs w:val="20"/>
              </w:rPr>
              <w:t>Menej rozvinuté</w:t>
            </w:r>
          </w:p>
        </w:tc>
        <w:tc>
          <w:tcPr>
            <w:tcW w:w="1297" w:type="dxa"/>
            <w:vAlign w:val="center"/>
          </w:tcPr>
          <w:p w14:paraId="5939A40C" w14:textId="77777777" w:rsidR="00A837FB" w:rsidRPr="00A21DD4" w:rsidRDefault="004D5177" w:rsidP="000A60F9">
            <w:pPr>
              <w:ind w:left="0"/>
              <w:jc w:val="center"/>
              <w:rPr>
                <w:i/>
                <w:sz w:val="20"/>
                <w:szCs w:val="20"/>
              </w:rPr>
            </w:pPr>
            <w:r w:rsidRPr="00A21DD4">
              <w:rPr>
                <w:i/>
                <w:sz w:val="20"/>
                <w:szCs w:val="20"/>
              </w:rPr>
              <w:t>1 870 908</w:t>
            </w:r>
          </w:p>
        </w:tc>
        <w:tc>
          <w:tcPr>
            <w:tcW w:w="1297" w:type="dxa"/>
            <w:vAlign w:val="center"/>
          </w:tcPr>
          <w:p w14:paraId="13573781" w14:textId="77777777" w:rsidR="00A837FB" w:rsidRPr="00A21DD4" w:rsidRDefault="00A837FB" w:rsidP="00816B1A">
            <w:pPr>
              <w:ind w:left="0"/>
              <w:jc w:val="center"/>
              <w:rPr>
                <w:i/>
                <w:sz w:val="20"/>
                <w:szCs w:val="20"/>
              </w:rPr>
            </w:pPr>
            <w:r w:rsidRPr="00A21DD4">
              <w:rPr>
                <w:i/>
                <w:sz w:val="20"/>
                <w:szCs w:val="20"/>
              </w:rPr>
              <w:t>2013</w:t>
            </w:r>
          </w:p>
        </w:tc>
        <w:tc>
          <w:tcPr>
            <w:tcW w:w="911" w:type="dxa"/>
            <w:shd w:val="clear" w:color="auto" w:fill="auto"/>
            <w:vAlign w:val="center"/>
          </w:tcPr>
          <w:p w14:paraId="13F90CDC" w14:textId="77777777" w:rsidR="00A837FB" w:rsidRPr="00887420" w:rsidRDefault="004D5177" w:rsidP="00816B1A">
            <w:pPr>
              <w:ind w:left="0"/>
              <w:jc w:val="center"/>
              <w:rPr>
                <w:i/>
                <w:sz w:val="16"/>
                <w:szCs w:val="16"/>
              </w:rPr>
            </w:pPr>
            <w:r w:rsidRPr="00887420">
              <w:rPr>
                <w:i/>
                <w:sz w:val="16"/>
                <w:szCs w:val="16"/>
              </w:rPr>
              <w:t>1 558</w:t>
            </w:r>
            <w:r w:rsidR="00B24B85" w:rsidRPr="00887420">
              <w:rPr>
                <w:i/>
                <w:sz w:val="16"/>
                <w:szCs w:val="16"/>
              </w:rPr>
              <w:t> </w:t>
            </w:r>
            <w:r w:rsidRPr="00887420">
              <w:rPr>
                <w:i/>
                <w:sz w:val="16"/>
                <w:szCs w:val="16"/>
              </w:rPr>
              <w:t>999</w:t>
            </w:r>
          </w:p>
        </w:tc>
        <w:tc>
          <w:tcPr>
            <w:tcW w:w="789" w:type="dxa"/>
            <w:vAlign w:val="center"/>
          </w:tcPr>
          <w:p w14:paraId="546F01DA" w14:textId="77777777" w:rsidR="00A837FB" w:rsidRPr="00A21DD4" w:rsidRDefault="00A837FB" w:rsidP="00816B1A">
            <w:pPr>
              <w:ind w:left="0"/>
              <w:jc w:val="center"/>
              <w:rPr>
                <w:sz w:val="20"/>
                <w:szCs w:val="20"/>
              </w:rPr>
            </w:pPr>
            <w:r w:rsidRPr="00A21DD4">
              <w:rPr>
                <w:sz w:val="20"/>
                <w:szCs w:val="20"/>
              </w:rPr>
              <w:t>RO OPII</w:t>
            </w:r>
          </w:p>
        </w:tc>
        <w:tc>
          <w:tcPr>
            <w:tcW w:w="1210" w:type="dxa"/>
            <w:vAlign w:val="center"/>
          </w:tcPr>
          <w:p w14:paraId="41A6EF4C" w14:textId="77777777" w:rsidR="00A837FB" w:rsidRPr="00A21DD4" w:rsidRDefault="00A837FB" w:rsidP="00816B1A">
            <w:pPr>
              <w:ind w:left="0"/>
              <w:jc w:val="center"/>
              <w:rPr>
                <w:sz w:val="20"/>
                <w:szCs w:val="20"/>
              </w:rPr>
            </w:pPr>
            <w:r w:rsidRPr="00A21DD4">
              <w:rPr>
                <w:sz w:val="20"/>
                <w:szCs w:val="20"/>
              </w:rPr>
              <w:t>Ročne</w:t>
            </w:r>
          </w:p>
        </w:tc>
      </w:tr>
      <w:tr w:rsidR="00D65B44" w:rsidRPr="00A21DD4" w14:paraId="22F3E5F6" w14:textId="77777777" w:rsidTr="002E1021">
        <w:trPr>
          <w:trHeight w:val="680"/>
          <w:jc w:val="center"/>
        </w:trPr>
        <w:tc>
          <w:tcPr>
            <w:tcW w:w="556" w:type="dxa"/>
            <w:shd w:val="clear" w:color="auto" w:fill="auto"/>
            <w:vAlign w:val="center"/>
          </w:tcPr>
          <w:p w14:paraId="2722E197" w14:textId="77777777" w:rsidR="00D65B44" w:rsidRPr="00A21DD4" w:rsidRDefault="00D65B44" w:rsidP="00C3107B">
            <w:pPr>
              <w:ind w:left="0"/>
              <w:jc w:val="center"/>
              <w:rPr>
                <w:sz w:val="20"/>
                <w:szCs w:val="20"/>
              </w:rPr>
            </w:pPr>
            <w:r w:rsidRPr="00A21DD4">
              <w:rPr>
                <w:sz w:val="20"/>
                <w:szCs w:val="20"/>
              </w:rPr>
              <w:t>2.</w:t>
            </w:r>
          </w:p>
        </w:tc>
        <w:tc>
          <w:tcPr>
            <w:tcW w:w="1304" w:type="dxa"/>
            <w:shd w:val="clear" w:color="auto" w:fill="auto"/>
            <w:vAlign w:val="center"/>
          </w:tcPr>
          <w:p w14:paraId="003521AB" w14:textId="77777777" w:rsidR="00D65B44" w:rsidRPr="00A21DD4" w:rsidRDefault="00D65B44" w:rsidP="00C3107B">
            <w:pPr>
              <w:ind w:left="0"/>
              <w:rPr>
                <w:sz w:val="20"/>
                <w:szCs w:val="20"/>
              </w:rPr>
            </w:pPr>
            <w:r w:rsidRPr="00A21DD4">
              <w:rPr>
                <w:sz w:val="20"/>
                <w:szCs w:val="20"/>
              </w:rPr>
              <w:t>Miera elektrifikácie železničných tratí</w:t>
            </w:r>
          </w:p>
        </w:tc>
        <w:tc>
          <w:tcPr>
            <w:tcW w:w="898" w:type="dxa"/>
            <w:shd w:val="clear" w:color="auto" w:fill="auto"/>
            <w:vAlign w:val="center"/>
          </w:tcPr>
          <w:p w14:paraId="11595F5C" w14:textId="77777777" w:rsidR="00D65B44" w:rsidRPr="00A21DD4" w:rsidRDefault="00D65B44" w:rsidP="00C3107B">
            <w:pPr>
              <w:ind w:left="0"/>
              <w:jc w:val="center"/>
              <w:rPr>
                <w:i/>
                <w:sz w:val="20"/>
                <w:szCs w:val="20"/>
              </w:rPr>
            </w:pPr>
            <w:r w:rsidRPr="00A21DD4">
              <w:rPr>
                <w:i/>
                <w:sz w:val="20"/>
                <w:szCs w:val="20"/>
              </w:rPr>
              <w:t>%</w:t>
            </w:r>
          </w:p>
        </w:tc>
        <w:tc>
          <w:tcPr>
            <w:tcW w:w="1025" w:type="dxa"/>
            <w:shd w:val="clear" w:color="auto" w:fill="auto"/>
            <w:vAlign w:val="center"/>
          </w:tcPr>
          <w:p w14:paraId="2CAC15C8" w14:textId="77777777" w:rsidR="00D65B44" w:rsidRPr="00A21DD4" w:rsidRDefault="00307AAF" w:rsidP="00C3107B">
            <w:pPr>
              <w:ind w:left="0"/>
              <w:jc w:val="center"/>
              <w:rPr>
                <w:i/>
                <w:sz w:val="20"/>
                <w:szCs w:val="20"/>
              </w:rPr>
            </w:pPr>
            <w:r w:rsidRPr="00A21DD4">
              <w:rPr>
                <w:i/>
                <w:sz w:val="20"/>
                <w:szCs w:val="20"/>
              </w:rPr>
              <w:t>Menej rozvinuté</w:t>
            </w:r>
          </w:p>
        </w:tc>
        <w:tc>
          <w:tcPr>
            <w:tcW w:w="1297" w:type="dxa"/>
            <w:vAlign w:val="center"/>
          </w:tcPr>
          <w:p w14:paraId="60CC54D4" w14:textId="77777777" w:rsidR="00D65B44" w:rsidRPr="00A21DD4" w:rsidRDefault="00E041B3" w:rsidP="000A60F9">
            <w:pPr>
              <w:ind w:left="0"/>
              <w:jc w:val="center"/>
              <w:rPr>
                <w:i/>
                <w:sz w:val="20"/>
                <w:szCs w:val="20"/>
              </w:rPr>
            </w:pPr>
            <w:r w:rsidRPr="00A21DD4">
              <w:rPr>
                <w:i/>
                <w:sz w:val="20"/>
                <w:szCs w:val="20"/>
              </w:rPr>
              <w:t>44,06</w:t>
            </w:r>
          </w:p>
        </w:tc>
        <w:tc>
          <w:tcPr>
            <w:tcW w:w="1297" w:type="dxa"/>
            <w:vAlign w:val="center"/>
          </w:tcPr>
          <w:p w14:paraId="19DF3DC2" w14:textId="77777777" w:rsidR="00D65B44" w:rsidRPr="00A21DD4" w:rsidRDefault="00D65B44" w:rsidP="00C3107B">
            <w:pPr>
              <w:ind w:left="0"/>
              <w:jc w:val="center"/>
              <w:rPr>
                <w:i/>
                <w:sz w:val="20"/>
                <w:szCs w:val="20"/>
              </w:rPr>
            </w:pPr>
            <w:r w:rsidRPr="00A21DD4">
              <w:rPr>
                <w:i/>
                <w:sz w:val="20"/>
                <w:szCs w:val="20"/>
              </w:rPr>
              <w:t>2013</w:t>
            </w:r>
          </w:p>
        </w:tc>
        <w:tc>
          <w:tcPr>
            <w:tcW w:w="911" w:type="dxa"/>
            <w:shd w:val="clear" w:color="auto" w:fill="auto"/>
            <w:vAlign w:val="center"/>
          </w:tcPr>
          <w:p w14:paraId="2450EECE" w14:textId="77777777" w:rsidR="00D65B44" w:rsidRPr="00A21DD4" w:rsidRDefault="00E041B3" w:rsidP="00C3107B">
            <w:pPr>
              <w:ind w:left="0"/>
              <w:jc w:val="center"/>
              <w:rPr>
                <w:i/>
                <w:sz w:val="20"/>
                <w:szCs w:val="20"/>
              </w:rPr>
            </w:pPr>
            <w:r w:rsidRPr="00A21DD4">
              <w:rPr>
                <w:i/>
                <w:sz w:val="20"/>
                <w:szCs w:val="20"/>
              </w:rPr>
              <w:t>45,5</w:t>
            </w:r>
            <w:r w:rsidR="00132829" w:rsidRPr="00A21DD4">
              <w:rPr>
                <w:i/>
                <w:sz w:val="20"/>
                <w:szCs w:val="20"/>
              </w:rPr>
              <w:t>7</w:t>
            </w:r>
          </w:p>
        </w:tc>
        <w:tc>
          <w:tcPr>
            <w:tcW w:w="789" w:type="dxa"/>
            <w:vAlign w:val="center"/>
          </w:tcPr>
          <w:p w14:paraId="4FE61892" w14:textId="77777777" w:rsidR="00D65B44" w:rsidRPr="00A21DD4" w:rsidRDefault="00D65B44" w:rsidP="00C3107B">
            <w:pPr>
              <w:ind w:left="0"/>
              <w:jc w:val="center"/>
              <w:rPr>
                <w:sz w:val="20"/>
                <w:szCs w:val="20"/>
              </w:rPr>
            </w:pPr>
            <w:r w:rsidRPr="00A21DD4">
              <w:rPr>
                <w:sz w:val="20"/>
                <w:szCs w:val="20"/>
              </w:rPr>
              <w:t>RO OPII</w:t>
            </w:r>
          </w:p>
        </w:tc>
        <w:tc>
          <w:tcPr>
            <w:tcW w:w="1210" w:type="dxa"/>
            <w:vAlign w:val="center"/>
          </w:tcPr>
          <w:p w14:paraId="49497AAC" w14:textId="77777777" w:rsidR="00D65B44" w:rsidRPr="00A21DD4" w:rsidRDefault="00D65B44" w:rsidP="00C3107B">
            <w:pPr>
              <w:ind w:left="0"/>
              <w:jc w:val="center"/>
              <w:rPr>
                <w:sz w:val="20"/>
                <w:szCs w:val="20"/>
              </w:rPr>
            </w:pPr>
            <w:r w:rsidRPr="00A21DD4">
              <w:rPr>
                <w:sz w:val="20"/>
                <w:szCs w:val="20"/>
              </w:rPr>
              <w:t>Ročne</w:t>
            </w:r>
          </w:p>
        </w:tc>
      </w:tr>
      <w:tr w:rsidR="00994CDE" w:rsidRPr="00A21DD4" w14:paraId="0297F44C" w14:textId="77777777" w:rsidTr="002E1021">
        <w:trPr>
          <w:trHeight w:val="680"/>
          <w:jc w:val="center"/>
        </w:trPr>
        <w:tc>
          <w:tcPr>
            <w:tcW w:w="556" w:type="dxa"/>
            <w:shd w:val="clear" w:color="auto" w:fill="auto"/>
            <w:vAlign w:val="center"/>
          </w:tcPr>
          <w:p w14:paraId="01C9E12B" w14:textId="77777777" w:rsidR="00994CDE" w:rsidRPr="00A21DD4" w:rsidRDefault="004205D7" w:rsidP="00994CDE">
            <w:pPr>
              <w:ind w:left="0"/>
              <w:jc w:val="center"/>
              <w:rPr>
                <w:sz w:val="20"/>
                <w:szCs w:val="20"/>
              </w:rPr>
            </w:pPr>
            <w:r w:rsidRPr="00A21DD4">
              <w:rPr>
                <w:sz w:val="20"/>
                <w:szCs w:val="20"/>
              </w:rPr>
              <w:t>3.</w:t>
            </w:r>
          </w:p>
        </w:tc>
        <w:tc>
          <w:tcPr>
            <w:tcW w:w="1304" w:type="dxa"/>
            <w:shd w:val="clear" w:color="auto" w:fill="auto"/>
            <w:vAlign w:val="center"/>
          </w:tcPr>
          <w:p w14:paraId="38CFD715" w14:textId="77777777" w:rsidR="00994CDE" w:rsidRPr="00A21DD4" w:rsidRDefault="004205D7" w:rsidP="00994CDE">
            <w:pPr>
              <w:ind w:left="0"/>
              <w:rPr>
                <w:sz w:val="20"/>
                <w:szCs w:val="20"/>
              </w:rPr>
            </w:pPr>
            <w:r w:rsidRPr="00A21DD4">
              <w:rPr>
                <w:sz w:val="20"/>
                <w:szCs w:val="20"/>
              </w:rPr>
              <w:t>Úspora produkcie emisií PM</w:t>
            </w:r>
            <w:r w:rsidR="001814E9" w:rsidRPr="00A21DD4">
              <w:rPr>
                <w:sz w:val="20"/>
                <w:szCs w:val="20"/>
                <w:vertAlign w:val="subscript"/>
              </w:rPr>
              <w:t>10</w:t>
            </w:r>
            <w:r w:rsidRPr="00A21DD4">
              <w:rPr>
                <w:sz w:val="20"/>
                <w:szCs w:val="20"/>
              </w:rPr>
              <w:t xml:space="preserve"> (vplyvom elektrifikácie tratí)</w:t>
            </w:r>
          </w:p>
        </w:tc>
        <w:tc>
          <w:tcPr>
            <w:tcW w:w="898" w:type="dxa"/>
            <w:shd w:val="clear" w:color="auto" w:fill="auto"/>
            <w:vAlign w:val="center"/>
          </w:tcPr>
          <w:p w14:paraId="187B1DC5" w14:textId="77777777" w:rsidR="00994CDE" w:rsidRPr="00A21DD4" w:rsidRDefault="004205D7" w:rsidP="00994CDE">
            <w:pPr>
              <w:ind w:left="0"/>
              <w:jc w:val="center"/>
              <w:rPr>
                <w:i/>
                <w:sz w:val="20"/>
                <w:szCs w:val="20"/>
              </w:rPr>
            </w:pPr>
            <w:r w:rsidRPr="00A21DD4">
              <w:rPr>
                <w:i/>
                <w:sz w:val="20"/>
                <w:szCs w:val="20"/>
              </w:rPr>
              <w:t>tona</w:t>
            </w:r>
          </w:p>
        </w:tc>
        <w:tc>
          <w:tcPr>
            <w:tcW w:w="1025" w:type="dxa"/>
            <w:shd w:val="clear" w:color="auto" w:fill="auto"/>
            <w:vAlign w:val="center"/>
          </w:tcPr>
          <w:p w14:paraId="4631D094" w14:textId="77777777" w:rsidR="00994CDE" w:rsidRPr="00A21DD4" w:rsidRDefault="002F2CAA" w:rsidP="00994CDE">
            <w:pPr>
              <w:ind w:left="0"/>
              <w:jc w:val="center"/>
              <w:rPr>
                <w:i/>
                <w:sz w:val="20"/>
                <w:szCs w:val="20"/>
              </w:rPr>
            </w:pPr>
            <w:r w:rsidRPr="00A21DD4">
              <w:rPr>
                <w:i/>
                <w:sz w:val="20"/>
                <w:szCs w:val="20"/>
              </w:rPr>
              <w:t>Menej rozvinuté</w:t>
            </w:r>
          </w:p>
        </w:tc>
        <w:tc>
          <w:tcPr>
            <w:tcW w:w="1297" w:type="dxa"/>
            <w:vAlign w:val="center"/>
          </w:tcPr>
          <w:p w14:paraId="001B9895" w14:textId="77777777" w:rsidR="00994CDE" w:rsidRPr="00A21DD4" w:rsidRDefault="001814E9" w:rsidP="00994CDE">
            <w:pPr>
              <w:ind w:left="0"/>
              <w:jc w:val="center"/>
              <w:rPr>
                <w:i/>
                <w:sz w:val="20"/>
                <w:szCs w:val="20"/>
              </w:rPr>
            </w:pPr>
            <w:r w:rsidRPr="00A21DD4">
              <w:rPr>
                <w:i/>
                <w:sz w:val="20"/>
                <w:szCs w:val="20"/>
              </w:rPr>
              <w:t>3,4</w:t>
            </w:r>
          </w:p>
        </w:tc>
        <w:tc>
          <w:tcPr>
            <w:tcW w:w="1297" w:type="dxa"/>
            <w:vAlign w:val="center"/>
          </w:tcPr>
          <w:p w14:paraId="3DB9454D" w14:textId="77777777" w:rsidR="00994CDE" w:rsidRPr="00A21DD4" w:rsidRDefault="004205D7" w:rsidP="00994CDE">
            <w:pPr>
              <w:ind w:left="0"/>
              <w:jc w:val="center"/>
              <w:rPr>
                <w:i/>
                <w:sz w:val="20"/>
                <w:szCs w:val="20"/>
              </w:rPr>
            </w:pPr>
            <w:r w:rsidRPr="00A21DD4">
              <w:rPr>
                <w:i/>
                <w:sz w:val="20"/>
                <w:szCs w:val="20"/>
              </w:rPr>
              <w:t>2013</w:t>
            </w:r>
          </w:p>
        </w:tc>
        <w:tc>
          <w:tcPr>
            <w:tcW w:w="911" w:type="dxa"/>
            <w:shd w:val="clear" w:color="auto" w:fill="auto"/>
            <w:vAlign w:val="center"/>
          </w:tcPr>
          <w:p w14:paraId="07A46528" w14:textId="77777777" w:rsidR="00994CDE" w:rsidRPr="00A21DD4" w:rsidRDefault="001814E9" w:rsidP="00994CDE">
            <w:pPr>
              <w:ind w:left="0"/>
              <w:jc w:val="center"/>
              <w:rPr>
                <w:i/>
                <w:sz w:val="20"/>
                <w:szCs w:val="20"/>
              </w:rPr>
            </w:pPr>
            <w:r w:rsidRPr="00A21DD4">
              <w:rPr>
                <w:i/>
                <w:sz w:val="20"/>
                <w:szCs w:val="20"/>
              </w:rPr>
              <w:t>0</w:t>
            </w:r>
          </w:p>
        </w:tc>
        <w:tc>
          <w:tcPr>
            <w:tcW w:w="789" w:type="dxa"/>
            <w:vAlign w:val="center"/>
          </w:tcPr>
          <w:p w14:paraId="48C96AA6" w14:textId="77777777" w:rsidR="00994CDE" w:rsidRPr="00A21DD4" w:rsidRDefault="004205D7" w:rsidP="00994CDE">
            <w:pPr>
              <w:ind w:left="0"/>
              <w:jc w:val="center"/>
              <w:rPr>
                <w:sz w:val="20"/>
                <w:szCs w:val="20"/>
              </w:rPr>
            </w:pPr>
            <w:r w:rsidRPr="00A21DD4">
              <w:rPr>
                <w:sz w:val="20"/>
                <w:szCs w:val="20"/>
              </w:rPr>
              <w:t>RO OPII</w:t>
            </w:r>
          </w:p>
        </w:tc>
        <w:tc>
          <w:tcPr>
            <w:tcW w:w="1210" w:type="dxa"/>
            <w:vAlign w:val="center"/>
          </w:tcPr>
          <w:p w14:paraId="720D4834" w14:textId="77777777" w:rsidR="00994CDE" w:rsidRPr="00A21DD4" w:rsidRDefault="004205D7" w:rsidP="00994CDE">
            <w:pPr>
              <w:ind w:left="0"/>
              <w:jc w:val="center"/>
              <w:rPr>
                <w:sz w:val="20"/>
                <w:szCs w:val="20"/>
              </w:rPr>
            </w:pPr>
            <w:r w:rsidRPr="00A21DD4">
              <w:rPr>
                <w:sz w:val="20"/>
                <w:szCs w:val="20"/>
              </w:rPr>
              <w:t>Ročne</w:t>
            </w:r>
          </w:p>
        </w:tc>
      </w:tr>
      <w:tr w:rsidR="00994CDE" w:rsidRPr="00A21DD4" w14:paraId="410DD2D1" w14:textId="77777777" w:rsidTr="002E1021">
        <w:trPr>
          <w:trHeight w:val="680"/>
          <w:jc w:val="center"/>
        </w:trPr>
        <w:tc>
          <w:tcPr>
            <w:tcW w:w="556" w:type="dxa"/>
            <w:shd w:val="clear" w:color="auto" w:fill="auto"/>
            <w:vAlign w:val="center"/>
          </w:tcPr>
          <w:p w14:paraId="1A83AF66" w14:textId="77777777" w:rsidR="00994CDE" w:rsidRPr="00A21DD4" w:rsidRDefault="004205D7" w:rsidP="00994CDE">
            <w:pPr>
              <w:ind w:left="0"/>
              <w:jc w:val="center"/>
              <w:rPr>
                <w:sz w:val="20"/>
                <w:szCs w:val="20"/>
              </w:rPr>
            </w:pPr>
            <w:r w:rsidRPr="00A21DD4">
              <w:rPr>
                <w:sz w:val="20"/>
                <w:szCs w:val="20"/>
              </w:rPr>
              <w:t>4.</w:t>
            </w:r>
          </w:p>
        </w:tc>
        <w:tc>
          <w:tcPr>
            <w:tcW w:w="1304" w:type="dxa"/>
            <w:shd w:val="clear" w:color="auto" w:fill="auto"/>
            <w:vAlign w:val="center"/>
          </w:tcPr>
          <w:p w14:paraId="48ECA0D7" w14:textId="77777777" w:rsidR="00994CDE" w:rsidRPr="00A21DD4" w:rsidRDefault="004205D7" w:rsidP="00994CDE">
            <w:pPr>
              <w:ind w:left="0"/>
              <w:rPr>
                <w:sz w:val="20"/>
                <w:szCs w:val="20"/>
              </w:rPr>
            </w:pPr>
            <w:r w:rsidRPr="00A21DD4">
              <w:rPr>
                <w:sz w:val="20"/>
                <w:szCs w:val="20"/>
              </w:rPr>
              <w:t>Úspora produkcie emisií NO</w:t>
            </w:r>
            <w:r w:rsidRPr="00A21DD4">
              <w:rPr>
                <w:sz w:val="20"/>
                <w:szCs w:val="20"/>
                <w:vertAlign w:val="subscript"/>
              </w:rPr>
              <w:t>2</w:t>
            </w:r>
            <w:r w:rsidRPr="00A21DD4">
              <w:rPr>
                <w:sz w:val="20"/>
                <w:szCs w:val="20"/>
              </w:rPr>
              <w:t xml:space="preserve"> (vplyvom elektrifikácie tratí)</w:t>
            </w:r>
          </w:p>
        </w:tc>
        <w:tc>
          <w:tcPr>
            <w:tcW w:w="898" w:type="dxa"/>
            <w:shd w:val="clear" w:color="auto" w:fill="auto"/>
            <w:vAlign w:val="center"/>
          </w:tcPr>
          <w:p w14:paraId="38E33F35" w14:textId="77777777" w:rsidR="00994CDE" w:rsidRPr="00A21DD4" w:rsidRDefault="004205D7" w:rsidP="00994CDE">
            <w:pPr>
              <w:ind w:left="0"/>
              <w:jc w:val="center"/>
              <w:rPr>
                <w:i/>
                <w:sz w:val="20"/>
                <w:szCs w:val="20"/>
              </w:rPr>
            </w:pPr>
            <w:r w:rsidRPr="00A21DD4">
              <w:rPr>
                <w:i/>
                <w:sz w:val="20"/>
                <w:szCs w:val="20"/>
              </w:rPr>
              <w:t>tona</w:t>
            </w:r>
          </w:p>
        </w:tc>
        <w:tc>
          <w:tcPr>
            <w:tcW w:w="1025" w:type="dxa"/>
            <w:shd w:val="clear" w:color="auto" w:fill="auto"/>
            <w:vAlign w:val="center"/>
          </w:tcPr>
          <w:p w14:paraId="00FCABB3" w14:textId="77777777" w:rsidR="00994CDE" w:rsidRPr="00A21DD4" w:rsidRDefault="002F2CAA" w:rsidP="00994CDE">
            <w:pPr>
              <w:ind w:left="0"/>
              <w:jc w:val="center"/>
              <w:rPr>
                <w:i/>
                <w:sz w:val="20"/>
                <w:szCs w:val="20"/>
              </w:rPr>
            </w:pPr>
            <w:r w:rsidRPr="00A21DD4">
              <w:rPr>
                <w:i/>
                <w:sz w:val="20"/>
                <w:szCs w:val="20"/>
              </w:rPr>
              <w:t>Menej rozvinuté</w:t>
            </w:r>
          </w:p>
        </w:tc>
        <w:tc>
          <w:tcPr>
            <w:tcW w:w="1297" w:type="dxa"/>
            <w:vAlign w:val="center"/>
          </w:tcPr>
          <w:p w14:paraId="7853A487" w14:textId="77777777" w:rsidR="00994CDE" w:rsidRPr="00A21DD4" w:rsidRDefault="001814E9" w:rsidP="00994CDE">
            <w:pPr>
              <w:ind w:left="0"/>
              <w:jc w:val="center"/>
              <w:rPr>
                <w:i/>
                <w:sz w:val="20"/>
                <w:szCs w:val="20"/>
              </w:rPr>
            </w:pPr>
            <w:r w:rsidRPr="00A21DD4">
              <w:rPr>
                <w:i/>
                <w:sz w:val="20"/>
                <w:szCs w:val="20"/>
              </w:rPr>
              <w:t>42,74</w:t>
            </w:r>
          </w:p>
        </w:tc>
        <w:tc>
          <w:tcPr>
            <w:tcW w:w="1297" w:type="dxa"/>
            <w:vAlign w:val="center"/>
          </w:tcPr>
          <w:p w14:paraId="3BDBB938" w14:textId="77777777" w:rsidR="00994CDE" w:rsidRPr="00A21DD4" w:rsidRDefault="004205D7" w:rsidP="00994CDE">
            <w:pPr>
              <w:ind w:left="0"/>
              <w:jc w:val="center"/>
              <w:rPr>
                <w:i/>
                <w:sz w:val="20"/>
                <w:szCs w:val="20"/>
              </w:rPr>
            </w:pPr>
            <w:r w:rsidRPr="00A21DD4">
              <w:rPr>
                <w:i/>
                <w:sz w:val="20"/>
                <w:szCs w:val="20"/>
              </w:rPr>
              <w:t>2013</w:t>
            </w:r>
          </w:p>
        </w:tc>
        <w:tc>
          <w:tcPr>
            <w:tcW w:w="911" w:type="dxa"/>
            <w:shd w:val="clear" w:color="auto" w:fill="auto"/>
            <w:vAlign w:val="center"/>
          </w:tcPr>
          <w:p w14:paraId="775D6731" w14:textId="77777777" w:rsidR="00994CDE" w:rsidRPr="00A21DD4" w:rsidRDefault="001814E9" w:rsidP="00994CDE">
            <w:pPr>
              <w:ind w:left="0"/>
              <w:jc w:val="center"/>
              <w:rPr>
                <w:i/>
                <w:sz w:val="20"/>
                <w:szCs w:val="20"/>
              </w:rPr>
            </w:pPr>
            <w:r w:rsidRPr="00A21DD4">
              <w:rPr>
                <w:i/>
                <w:sz w:val="20"/>
                <w:szCs w:val="20"/>
              </w:rPr>
              <w:t>0</w:t>
            </w:r>
          </w:p>
        </w:tc>
        <w:tc>
          <w:tcPr>
            <w:tcW w:w="789" w:type="dxa"/>
            <w:vAlign w:val="center"/>
          </w:tcPr>
          <w:p w14:paraId="554CB870" w14:textId="77777777" w:rsidR="00994CDE" w:rsidRPr="00A21DD4" w:rsidRDefault="004205D7" w:rsidP="00994CDE">
            <w:pPr>
              <w:ind w:left="0"/>
              <w:jc w:val="center"/>
              <w:rPr>
                <w:sz w:val="20"/>
                <w:szCs w:val="20"/>
              </w:rPr>
            </w:pPr>
            <w:r w:rsidRPr="00A21DD4">
              <w:rPr>
                <w:sz w:val="20"/>
                <w:szCs w:val="20"/>
              </w:rPr>
              <w:t>RO OPII</w:t>
            </w:r>
          </w:p>
        </w:tc>
        <w:tc>
          <w:tcPr>
            <w:tcW w:w="1210" w:type="dxa"/>
            <w:vAlign w:val="center"/>
          </w:tcPr>
          <w:p w14:paraId="7B4C816B" w14:textId="77777777" w:rsidR="00994CDE" w:rsidRPr="00A21DD4" w:rsidRDefault="004205D7" w:rsidP="00994CDE">
            <w:pPr>
              <w:ind w:left="0"/>
              <w:jc w:val="center"/>
              <w:rPr>
                <w:sz w:val="20"/>
                <w:szCs w:val="20"/>
              </w:rPr>
            </w:pPr>
            <w:r w:rsidRPr="00A21DD4">
              <w:rPr>
                <w:sz w:val="20"/>
                <w:szCs w:val="20"/>
              </w:rPr>
              <w:t>Ročne</w:t>
            </w:r>
          </w:p>
        </w:tc>
      </w:tr>
    </w:tbl>
    <w:p w14:paraId="4A5D79F6" w14:textId="11C11B44" w:rsidR="003D6170" w:rsidRPr="006B762B" w:rsidRDefault="003D6170" w:rsidP="002E1021">
      <w:pPr>
        <w:shd w:val="clear" w:color="auto" w:fill="FFFFCC"/>
        <w:spacing w:before="240"/>
        <w:jc w:val="both"/>
        <w:rPr>
          <w:b/>
          <w:i/>
        </w:rPr>
      </w:pPr>
      <w:r w:rsidRPr="00A21DD4">
        <w:rPr>
          <w:i/>
        </w:rPr>
        <w:t xml:space="preserve">ŠPECIFICKÝ CIEĽ 5.2: </w:t>
      </w:r>
      <w:r w:rsidR="00307AAF" w:rsidRPr="00A21DD4">
        <w:rPr>
          <w:b/>
          <w:i/>
        </w:rPr>
        <w:t>Zlepšenie technických podmienok pre prevádzku medzinárodnej železničnej dopravy prostredníctvom implementácie vybraných prvkov TSI na najdôležitejších tratiach pre medzinárodnú dopravu</w:t>
      </w:r>
      <w:r w:rsidR="00D65B44" w:rsidRPr="00D65B44">
        <w:rPr>
          <w:b/>
          <w:i/>
        </w:rPr>
        <w:t xml:space="preserve"> </w:t>
      </w:r>
    </w:p>
    <w:p w14:paraId="7F1CAAA1" w14:textId="77777777" w:rsidR="000E41D5" w:rsidRDefault="000E41D5" w:rsidP="000E41D5">
      <w:pPr>
        <w:spacing w:before="180"/>
        <w:jc w:val="both"/>
        <w:rPr>
          <w:sz w:val="22"/>
          <w:szCs w:val="22"/>
        </w:rPr>
      </w:pPr>
      <w:r w:rsidRPr="00AF71BD">
        <w:rPr>
          <w:sz w:val="22"/>
          <w:szCs w:val="22"/>
        </w:rPr>
        <w:t>Existencia vzájomne nekompatibilných železničných systémov využívaných v krajinách EÚ obmedzuje výkonnosť, plynulosť</w:t>
      </w:r>
      <w:r>
        <w:rPr>
          <w:sz w:val="22"/>
          <w:szCs w:val="22"/>
        </w:rPr>
        <w:t xml:space="preserve"> a kvalitu železničnej dopravy (predovšetkým pri cezhraničných prepravách)</w:t>
      </w:r>
      <w:r w:rsidRPr="00AF71BD">
        <w:rPr>
          <w:sz w:val="22"/>
          <w:szCs w:val="22"/>
        </w:rPr>
        <w:t xml:space="preserve">, znižuje konkurenčnú pozíciu </w:t>
      </w:r>
      <w:r>
        <w:rPr>
          <w:sz w:val="22"/>
          <w:szCs w:val="22"/>
        </w:rPr>
        <w:t>železníc na dopravnom trhu a je jednou z hlavných prekážok pri budovaní jednotného trhu EÚ.</w:t>
      </w:r>
    </w:p>
    <w:p w14:paraId="09CAE1A5" w14:textId="77777777" w:rsidR="000E41D5" w:rsidRPr="00C3408A" w:rsidRDefault="000E41D5" w:rsidP="000E41D5">
      <w:pPr>
        <w:spacing w:before="180"/>
        <w:jc w:val="both"/>
        <w:rPr>
          <w:sz w:val="22"/>
          <w:szCs w:val="22"/>
        </w:rPr>
      </w:pPr>
      <w:r w:rsidRPr="00C3408A">
        <w:rPr>
          <w:sz w:val="22"/>
          <w:szCs w:val="22"/>
        </w:rPr>
        <w:lastRenderedPageBreak/>
        <w:t>Súčasná železničn</w:t>
      </w:r>
      <w:r>
        <w:rPr>
          <w:sz w:val="22"/>
          <w:szCs w:val="22"/>
        </w:rPr>
        <w:t>á infraštruktúra je technicky a </w:t>
      </w:r>
      <w:r w:rsidRPr="00C3408A">
        <w:rPr>
          <w:sz w:val="22"/>
          <w:szCs w:val="22"/>
        </w:rPr>
        <w:t xml:space="preserve">technologicky značne </w:t>
      </w:r>
      <w:r>
        <w:rPr>
          <w:sz w:val="22"/>
          <w:szCs w:val="22"/>
        </w:rPr>
        <w:t>zastaraná</w:t>
      </w:r>
      <w:r w:rsidRPr="00C3408A">
        <w:rPr>
          <w:sz w:val="22"/>
          <w:szCs w:val="22"/>
        </w:rPr>
        <w:t>, nespĺňa ra</w:t>
      </w:r>
      <w:r>
        <w:rPr>
          <w:sz w:val="22"/>
          <w:szCs w:val="22"/>
        </w:rPr>
        <w:t>stúce kvalitatívne požiadavky kladené na železničnú dopravu</w:t>
      </w:r>
      <w:r w:rsidRPr="00C3408A">
        <w:rPr>
          <w:sz w:val="22"/>
          <w:szCs w:val="22"/>
        </w:rPr>
        <w:t xml:space="preserve">, technické </w:t>
      </w:r>
      <w:r>
        <w:rPr>
          <w:sz w:val="22"/>
          <w:szCs w:val="22"/>
        </w:rPr>
        <w:t>špecifikácie interoperability a </w:t>
      </w:r>
      <w:r w:rsidRPr="00C3408A">
        <w:rPr>
          <w:sz w:val="22"/>
          <w:szCs w:val="22"/>
        </w:rPr>
        <w:t>príslušné vyhlášky UIC, čo obmedzuje začlenenie do európskeho železničného systému a pr</w:t>
      </w:r>
      <w:r>
        <w:rPr>
          <w:sz w:val="22"/>
          <w:szCs w:val="22"/>
        </w:rPr>
        <w:t>ispieva k </w:t>
      </w:r>
      <w:r w:rsidRPr="00C3408A">
        <w:rPr>
          <w:sz w:val="22"/>
          <w:szCs w:val="22"/>
        </w:rPr>
        <w:t xml:space="preserve">pokračujúcemu poklesu podielu </w:t>
      </w:r>
      <w:r>
        <w:rPr>
          <w:sz w:val="22"/>
          <w:szCs w:val="22"/>
        </w:rPr>
        <w:t>železníc</w:t>
      </w:r>
      <w:r w:rsidRPr="00C3408A">
        <w:rPr>
          <w:sz w:val="22"/>
          <w:szCs w:val="22"/>
        </w:rPr>
        <w:t xml:space="preserve"> na dopravnom trhu v prospech rastu cestnej dopravy.</w:t>
      </w:r>
    </w:p>
    <w:p w14:paraId="5EB54C3F" w14:textId="383FB979" w:rsidR="002D122E" w:rsidRPr="00C20BC1" w:rsidRDefault="000E41D5" w:rsidP="00C20BC1">
      <w:pPr>
        <w:spacing w:before="180"/>
        <w:jc w:val="both"/>
        <w:rPr>
          <w:sz w:val="22"/>
          <w:szCs w:val="22"/>
        </w:rPr>
      </w:pPr>
      <w:r>
        <w:rPr>
          <w:sz w:val="22"/>
          <w:szCs w:val="22"/>
        </w:rPr>
        <w:t xml:space="preserve">Jednou z priorít Strategického plánu je v rámci propagácie modernej a bezpečnej železničnej infraštruktúry zaistenie prevádzkyschopnosti a zvýšenie bezpečnosti a spoľahlivosti železničnej dopravy. Pri rozvoji a modernizácii komplexnej, interoperabilnej železničnej siete je limitujúcim faktorom, predovšetkým v súčasnosti nízka úroveň zabezpečovacieho zariadenia a nevyhovujúce koľajové obvody. </w:t>
      </w:r>
      <w:r w:rsidRPr="00935D56">
        <w:rPr>
          <w:sz w:val="22"/>
          <w:szCs w:val="22"/>
        </w:rPr>
        <w:t xml:space="preserve">Pri </w:t>
      </w:r>
      <w:r>
        <w:rPr>
          <w:sz w:val="22"/>
          <w:szCs w:val="22"/>
        </w:rPr>
        <w:t xml:space="preserve">hlavných železničných koridoroch, resp. </w:t>
      </w:r>
      <w:r w:rsidR="00D57810">
        <w:rPr>
          <w:sz w:val="22"/>
          <w:szCs w:val="22"/>
        </w:rPr>
        <w:t>ucelených traťových úsekoch, na </w:t>
      </w:r>
      <w:r>
        <w:rPr>
          <w:sz w:val="22"/>
          <w:szCs w:val="22"/>
        </w:rPr>
        <w:t xml:space="preserve">ktorých už prebehla modernizácia alebo sa súvislá modernizácia zo strednodobého hľadiska nepredpokladá, je vhodné, aby okrem odstraňovania úzkych a obmedzujúcich miest došlo k zabezpečeniu prvkov interoperability </w:t>
      </w:r>
      <w:r w:rsidR="00DB53FE">
        <w:rPr>
          <w:sz w:val="22"/>
          <w:szCs w:val="22"/>
        </w:rPr>
        <w:t>a telematických aplikácií</w:t>
      </w:r>
      <w:r w:rsidR="006A7D9F">
        <w:rPr>
          <w:sz w:val="22"/>
          <w:szCs w:val="22"/>
        </w:rPr>
        <w:t xml:space="preserve"> </w:t>
      </w:r>
      <w:r>
        <w:rPr>
          <w:sz w:val="22"/>
          <w:szCs w:val="22"/>
        </w:rPr>
        <w:t>z hľadiska možnosti prevádzky medzinárodných osobných a nákladných vlakov. Ide o podporu zavádzania dopravných riadiacich systémov v súlade s príslušnými rozhodnutiami EÚ a národnými plánmi s cieľom zlepšiť interop</w:t>
      </w:r>
      <w:r w:rsidR="00CB4C15">
        <w:rPr>
          <w:sz w:val="22"/>
          <w:szCs w:val="22"/>
        </w:rPr>
        <w:t>erabilitu železničných systémov.</w:t>
      </w:r>
      <w:r w:rsidR="00450369">
        <w:rPr>
          <w:sz w:val="22"/>
          <w:szCs w:val="22"/>
        </w:rPr>
        <w:t xml:space="preserve"> </w:t>
      </w:r>
      <w:r w:rsidRPr="00DA54A1">
        <w:rPr>
          <w:sz w:val="22"/>
          <w:szCs w:val="22"/>
        </w:rPr>
        <w:t>K 31.12.2013 bolo na železničnej sieti SR systémom ERTMS vybavených cca 92 km</w:t>
      </w:r>
      <w:r w:rsidR="00D57810">
        <w:rPr>
          <w:sz w:val="22"/>
          <w:szCs w:val="22"/>
        </w:rPr>
        <w:t xml:space="preserve"> tratí</w:t>
      </w:r>
      <w:r w:rsidR="00D57810">
        <w:rPr>
          <w:rStyle w:val="Odkaznapoznmkupodiarou"/>
          <w:sz w:val="22"/>
          <w:szCs w:val="22"/>
        </w:rPr>
        <w:footnoteReference w:id="67"/>
      </w:r>
      <w:r w:rsidR="00D57810">
        <w:rPr>
          <w:sz w:val="22"/>
          <w:szCs w:val="22"/>
        </w:rPr>
        <w:t xml:space="preserve">. </w:t>
      </w:r>
      <w:r w:rsidRPr="00DA54A1">
        <w:rPr>
          <w:sz w:val="22"/>
          <w:szCs w:val="22"/>
        </w:rPr>
        <w:t xml:space="preserve">To predstavuje 13,1 % celkovej dĺžky </w:t>
      </w:r>
      <w:r>
        <w:rPr>
          <w:sz w:val="22"/>
          <w:szCs w:val="22"/>
        </w:rPr>
        <w:t xml:space="preserve">tratí zaradených do </w:t>
      </w:r>
      <w:r w:rsidRPr="00DA54A1">
        <w:rPr>
          <w:sz w:val="22"/>
          <w:szCs w:val="22"/>
        </w:rPr>
        <w:t xml:space="preserve">základnej siete TEN-T, resp. 6,5 % </w:t>
      </w:r>
      <w:r>
        <w:rPr>
          <w:sz w:val="22"/>
          <w:szCs w:val="22"/>
        </w:rPr>
        <w:t xml:space="preserve">z celkovej </w:t>
      </w:r>
      <w:r w:rsidRPr="00DA54A1">
        <w:rPr>
          <w:sz w:val="22"/>
          <w:szCs w:val="22"/>
        </w:rPr>
        <w:t>dĺžky súhrnnej siete TEN-T.</w:t>
      </w:r>
      <w:r w:rsidRPr="00DA54A1">
        <w:rPr>
          <w:b/>
          <w:sz w:val="22"/>
          <w:szCs w:val="22"/>
        </w:rPr>
        <w:t xml:space="preserve"> </w:t>
      </w:r>
      <w:r>
        <w:rPr>
          <w:b/>
          <w:sz w:val="22"/>
          <w:szCs w:val="22"/>
        </w:rPr>
        <w:t>Z </w:t>
      </w:r>
      <w:r w:rsidRPr="00ED6F6E">
        <w:rPr>
          <w:b/>
          <w:sz w:val="22"/>
          <w:szCs w:val="22"/>
        </w:rPr>
        <w:t>dôvodu</w:t>
      </w:r>
      <w:r>
        <w:rPr>
          <w:b/>
          <w:sz w:val="22"/>
          <w:szCs w:val="22"/>
        </w:rPr>
        <w:t xml:space="preserve"> potreby zvýšenia interoperability tratí významných pre medzinárodnú dopravu</w:t>
      </w:r>
      <w:r w:rsidRPr="00ED6F6E">
        <w:rPr>
          <w:b/>
          <w:sz w:val="22"/>
          <w:szCs w:val="22"/>
        </w:rPr>
        <w:t xml:space="preserve"> budú aktivity špecifické</w:t>
      </w:r>
      <w:r>
        <w:rPr>
          <w:b/>
          <w:sz w:val="22"/>
          <w:szCs w:val="22"/>
        </w:rPr>
        <w:t>ho</w:t>
      </w:r>
      <w:r w:rsidRPr="00ED6F6E">
        <w:rPr>
          <w:b/>
          <w:sz w:val="22"/>
          <w:szCs w:val="22"/>
        </w:rPr>
        <w:t xml:space="preserve"> cieľa </w:t>
      </w:r>
      <w:r>
        <w:rPr>
          <w:b/>
          <w:sz w:val="22"/>
          <w:szCs w:val="22"/>
        </w:rPr>
        <w:t>zamerané na </w:t>
      </w:r>
      <w:r w:rsidRPr="00ED6F6E">
        <w:rPr>
          <w:b/>
          <w:sz w:val="22"/>
          <w:szCs w:val="22"/>
        </w:rPr>
        <w:t>zavedenie systému ERTMS, tzn. predovšetkým inštaláciu traťového zabezpečovacieho systému ETCS a oznamovacieho zariadenia GSM-R</w:t>
      </w:r>
      <w:r>
        <w:rPr>
          <w:sz w:val="22"/>
          <w:szCs w:val="22"/>
        </w:rPr>
        <w:t>.</w:t>
      </w:r>
    </w:p>
    <w:p w14:paraId="6C3AF81B" w14:textId="77777777" w:rsidR="002D122E" w:rsidRPr="001B2070" w:rsidRDefault="002D122E" w:rsidP="002D122E">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D4D213D" w14:textId="77777777" w:rsidR="009E0158" w:rsidRDefault="002D122E" w:rsidP="00AA304D">
      <w:pPr>
        <w:pStyle w:val="Odsekzoznamu"/>
        <w:numPr>
          <w:ilvl w:val="0"/>
          <w:numId w:val="75"/>
        </w:numPr>
        <w:autoSpaceDE w:val="0"/>
        <w:autoSpaceDN w:val="0"/>
        <w:adjustRightInd w:val="0"/>
        <w:jc w:val="both"/>
        <w:rPr>
          <w:sz w:val="22"/>
          <w:szCs w:val="22"/>
        </w:rPr>
      </w:pPr>
      <w:r>
        <w:rPr>
          <w:sz w:val="22"/>
          <w:szCs w:val="22"/>
        </w:rPr>
        <w:t>splnenie záväzkov vyplývajúcich z </w:t>
      </w:r>
      <w:r w:rsidRPr="005F1EB5">
        <w:rPr>
          <w:sz w:val="22"/>
          <w:szCs w:val="22"/>
        </w:rPr>
        <w:t xml:space="preserve">Rozhodnutia Komisie č. </w:t>
      </w:r>
      <w:r>
        <w:rPr>
          <w:sz w:val="22"/>
          <w:szCs w:val="22"/>
        </w:rPr>
        <w:t>2012/88/EÚ z 25. januára 2012 o </w:t>
      </w:r>
      <w:r w:rsidRPr="005F1EB5">
        <w:rPr>
          <w:sz w:val="22"/>
          <w:szCs w:val="22"/>
        </w:rPr>
        <w:t>technickej špecifikácii interoperability týkajúcej sa subsys</w:t>
      </w:r>
      <w:r>
        <w:rPr>
          <w:sz w:val="22"/>
          <w:szCs w:val="22"/>
        </w:rPr>
        <w:t>témov riadenia - zabezpečenia a </w:t>
      </w:r>
      <w:r w:rsidRPr="005F1EB5">
        <w:rPr>
          <w:sz w:val="22"/>
          <w:szCs w:val="22"/>
        </w:rPr>
        <w:t>návestenia transeurópskeho železničného systému</w:t>
      </w:r>
      <w:r w:rsidR="00CB4C15" w:rsidRPr="00CB4C15">
        <w:t xml:space="preserve"> </w:t>
      </w:r>
      <w:r w:rsidR="00CB4C15" w:rsidRPr="00CB4C15">
        <w:rPr>
          <w:sz w:val="22"/>
          <w:szCs w:val="22"/>
        </w:rPr>
        <w:t>a Na</w:t>
      </w:r>
      <w:r w:rsidR="00CB4C15">
        <w:rPr>
          <w:sz w:val="22"/>
          <w:szCs w:val="22"/>
        </w:rPr>
        <w:t>riadení Komisie č.</w:t>
      </w:r>
      <w:r w:rsidR="005822BC">
        <w:rPr>
          <w:sz w:val="22"/>
          <w:szCs w:val="22"/>
        </w:rPr>
        <w:t xml:space="preserve"> </w:t>
      </w:r>
      <w:r w:rsidR="00CB4C15">
        <w:rPr>
          <w:sz w:val="22"/>
          <w:szCs w:val="22"/>
        </w:rPr>
        <w:t>454/2011/EÚ z </w:t>
      </w:r>
      <w:r w:rsidR="00CB4C15" w:rsidRPr="00CB4C15">
        <w:rPr>
          <w:sz w:val="22"/>
          <w:szCs w:val="22"/>
        </w:rPr>
        <w:t>5.</w:t>
      </w:r>
      <w:r w:rsidR="006A391B">
        <w:rPr>
          <w:sz w:val="22"/>
          <w:szCs w:val="22"/>
        </w:rPr>
        <w:t xml:space="preserve"> mája </w:t>
      </w:r>
      <w:r w:rsidR="00CB4C15" w:rsidRPr="00CB4C15">
        <w:rPr>
          <w:sz w:val="22"/>
          <w:szCs w:val="22"/>
        </w:rPr>
        <w:t>2011 a č. 62/2006/ES z 23.</w:t>
      </w:r>
      <w:r w:rsidR="006A391B">
        <w:rPr>
          <w:sz w:val="22"/>
          <w:szCs w:val="22"/>
        </w:rPr>
        <w:t xml:space="preserve"> decembra </w:t>
      </w:r>
      <w:r w:rsidR="00CB4C15" w:rsidRPr="00CB4C15">
        <w:rPr>
          <w:sz w:val="22"/>
          <w:szCs w:val="22"/>
        </w:rPr>
        <w:t>2005 o technickej špecifikáci</w:t>
      </w:r>
      <w:r w:rsidR="00CB4C15">
        <w:rPr>
          <w:sz w:val="22"/>
          <w:szCs w:val="22"/>
        </w:rPr>
        <w:t>i interoperability týkajúcej sa </w:t>
      </w:r>
      <w:r w:rsidR="00CB4C15" w:rsidRPr="00CB4C15">
        <w:rPr>
          <w:sz w:val="22"/>
          <w:szCs w:val="22"/>
        </w:rPr>
        <w:t>telematických aplikácií,</w:t>
      </w:r>
    </w:p>
    <w:p w14:paraId="0300FDB3" w14:textId="77777777" w:rsidR="009E0158" w:rsidRDefault="002D122E" w:rsidP="00AA304D">
      <w:pPr>
        <w:pStyle w:val="Odsekzoznamu"/>
        <w:numPr>
          <w:ilvl w:val="0"/>
          <w:numId w:val="75"/>
        </w:numPr>
        <w:autoSpaceDE w:val="0"/>
        <w:autoSpaceDN w:val="0"/>
        <w:adjustRightInd w:val="0"/>
        <w:jc w:val="both"/>
        <w:rPr>
          <w:sz w:val="22"/>
          <w:szCs w:val="22"/>
        </w:rPr>
      </w:pPr>
      <w:r w:rsidRPr="002D122E">
        <w:rPr>
          <w:sz w:val="22"/>
          <w:szCs w:val="22"/>
        </w:rPr>
        <w:t>zvýšenie bezpečnosti železničnej dopravy.</w:t>
      </w:r>
    </w:p>
    <w:p w14:paraId="58117C04" w14:textId="77777777" w:rsidR="000E41D5" w:rsidRDefault="008D24AC" w:rsidP="00ED7224">
      <w:pPr>
        <w:pStyle w:val="Tab"/>
      </w:pPr>
      <w:r w:rsidRPr="004F0234">
        <w:t>Výsledkové ukazovatele zodpovedajúce špecifickému cieľu</w:t>
      </w:r>
      <w:r>
        <w:t xml:space="preserve"> 5.2</w:t>
      </w:r>
    </w:p>
    <w:tbl>
      <w:tblPr>
        <w:tblStyle w:val="Mriekatabuky"/>
        <w:tblW w:w="9669" w:type="dxa"/>
        <w:jc w:val="center"/>
        <w:tblLayout w:type="fixed"/>
        <w:tblLook w:val="04A0" w:firstRow="1" w:lastRow="0" w:firstColumn="1" w:lastColumn="0" w:noHBand="0" w:noVBand="1"/>
      </w:tblPr>
      <w:tblGrid>
        <w:gridCol w:w="598"/>
        <w:gridCol w:w="1574"/>
        <w:gridCol w:w="904"/>
        <w:gridCol w:w="1008"/>
        <w:gridCol w:w="1316"/>
        <w:gridCol w:w="1329"/>
        <w:gridCol w:w="896"/>
        <w:gridCol w:w="798"/>
        <w:gridCol w:w="1246"/>
      </w:tblGrid>
      <w:tr w:rsidR="00A837FB" w:rsidRPr="008C1732" w14:paraId="033E1A65" w14:textId="77777777" w:rsidTr="002E1021">
        <w:trPr>
          <w:trHeight w:val="487"/>
          <w:jc w:val="center"/>
        </w:trPr>
        <w:tc>
          <w:tcPr>
            <w:tcW w:w="598" w:type="dxa"/>
            <w:tcBorders>
              <w:bottom w:val="single" w:sz="4" w:space="0" w:color="auto"/>
            </w:tcBorders>
            <w:shd w:val="clear" w:color="auto" w:fill="C6D9F1" w:themeFill="text2" w:themeFillTint="33"/>
            <w:vAlign w:val="center"/>
          </w:tcPr>
          <w:p w14:paraId="31CF83F1" w14:textId="77777777" w:rsidR="00A837FB" w:rsidRPr="008C1732" w:rsidRDefault="00A837FB" w:rsidP="00816B1A">
            <w:pPr>
              <w:ind w:left="0"/>
              <w:jc w:val="center"/>
              <w:rPr>
                <w:b/>
                <w:sz w:val="18"/>
                <w:szCs w:val="18"/>
              </w:rPr>
            </w:pPr>
            <w:r>
              <w:rPr>
                <w:b/>
                <w:sz w:val="18"/>
                <w:szCs w:val="18"/>
              </w:rPr>
              <w:t>P. č.</w:t>
            </w:r>
          </w:p>
        </w:tc>
        <w:tc>
          <w:tcPr>
            <w:tcW w:w="1574" w:type="dxa"/>
            <w:tcBorders>
              <w:bottom w:val="single" w:sz="4" w:space="0" w:color="auto"/>
            </w:tcBorders>
            <w:shd w:val="clear" w:color="auto" w:fill="C6D9F1" w:themeFill="text2" w:themeFillTint="33"/>
            <w:vAlign w:val="center"/>
          </w:tcPr>
          <w:p w14:paraId="010580E8" w14:textId="77777777" w:rsidR="00A837FB" w:rsidRPr="008C1732" w:rsidRDefault="00A837FB" w:rsidP="00816B1A">
            <w:pPr>
              <w:ind w:left="0"/>
              <w:jc w:val="center"/>
              <w:rPr>
                <w:b/>
                <w:sz w:val="18"/>
                <w:szCs w:val="18"/>
              </w:rPr>
            </w:pPr>
            <w:r w:rsidRPr="008C1732">
              <w:rPr>
                <w:b/>
                <w:sz w:val="18"/>
                <w:szCs w:val="18"/>
              </w:rPr>
              <w:t>Ukazovateľ</w:t>
            </w:r>
          </w:p>
        </w:tc>
        <w:tc>
          <w:tcPr>
            <w:tcW w:w="904" w:type="dxa"/>
            <w:tcBorders>
              <w:bottom w:val="single" w:sz="4" w:space="0" w:color="auto"/>
            </w:tcBorders>
            <w:shd w:val="clear" w:color="auto" w:fill="C6D9F1" w:themeFill="text2" w:themeFillTint="33"/>
            <w:vAlign w:val="center"/>
          </w:tcPr>
          <w:p w14:paraId="4B2EFB47" w14:textId="77777777" w:rsidR="00A837FB" w:rsidRPr="008C1732" w:rsidRDefault="00A837FB" w:rsidP="00816B1A">
            <w:pPr>
              <w:ind w:left="0"/>
              <w:jc w:val="center"/>
              <w:rPr>
                <w:b/>
                <w:sz w:val="18"/>
                <w:szCs w:val="18"/>
              </w:rPr>
            </w:pPr>
            <w:r w:rsidRPr="008C1732">
              <w:rPr>
                <w:b/>
                <w:sz w:val="18"/>
                <w:szCs w:val="18"/>
              </w:rPr>
              <w:t>Merná jednotka</w:t>
            </w:r>
          </w:p>
        </w:tc>
        <w:tc>
          <w:tcPr>
            <w:tcW w:w="1008" w:type="dxa"/>
            <w:tcBorders>
              <w:bottom w:val="single" w:sz="4" w:space="0" w:color="auto"/>
            </w:tcBorders>
            <w:shd w:val="clear" w:color="auto" w:fill="C6D9F1" w:themeFill="text2" w:themeFillTint="33"/>
            <w:vAlign w:val="center"/>
          </w:tcPr>
          <w:p w14:paraId="646AB912" w14:textId="77777777" w:rsidR="00A837FB" w:rsidRPr="008C1732" w:rsidRDefault="00A837FB" w:rsidP="00816B1A">
            <w:pPr>
              <w:ind w:left="0"/>
              <w:jc w:val="center"/>
              <w:rPr>
                <w:b/>
                <w:sz w:val="18"/>
                <w:szCs w:val="18"/>
              </w:rPr>
            </w:pPr>
            <w:r w:rsidRPr="008C1732">
              <w:rPr>
                <w:b/>
                <w:sz w:val="18"/>
                <w:szCs w:val="18"/>
              </w:rPr>
              <w:t>Kategória regiónu</w:t>
            </w:r>
          </w:p>
        </w:tc>
        <w:tc>
          <w:tcPr>
            <w:tcW w:w="1316" w:type="dxa"/>
            <w:tcBorders>
              <w:bottom w:val="single" w:sz="4" w:space="0" w:color="auto"/>
            </w:tcBorders>
            <w:shd w:val="clear" w:color="auto" w:fill="C6D9F1" w:themeFill="text2" w:themeFillTint="33"/>
            <w:vAlign w:val="center"/>
          </w:tcPr>
          <w:p w14:paraId="6D4ACA84" w14:textId="77777777" w:rsidR="00A837FB" w:rsidRPr="008C1732" w:rsidRDefault="00A837FB" w:rsidP="00816B1A">
            <w:pPr>
              <w:ind w:left="0"/>
              <w:jc w:val="center"/>
              <w:rPr>
                <w:b/>
                <w:sz w:val="18"/>
                <w:szCs w:val="18"/>
              </w:rPr>
            </w:pPr>
            <w:r>
              <w:rPr>
                <w:b/>
                <w:sz w:val="18"/>
                <w:szCs w:val="18"/>
              </w:rPr>
              <w:t>Východisková hodnota</w:t>
            </w:r>
          </w:p>
        </w:tc>
        <w:tc>
          <w:tcPr>
            <w:tcW w:w="1329" w:type="dxa"/>
            <w:tcBorders>
              <w:bottom w:val="single" w:sz="4" w:space="0" w:color="auto"/>
            </w:tcBorders>
            <w:shd w:val="clear" w:color="auto" w:fill="C6D9F1" w:themeFill="text2" w:themeFillTint="33"/>
            <w:vAlign w:val="center"/>
          </w:tcPr>
          <w:p w14:paraId="69482821" w14:textId="77777777" w:rsidR="00A837FB" w:rsidRPr="008C1732" w:rsidRDefault="00A837FB" w:rsidP="00816B1A">
            <w:pPr>
              <w:ind w:left="0"/>
              <w:jc w:val="center"/>
              <w:rPr>
                <w:b/>
                <w:sz w:val="18"/>
                <w:szCs w:val="18"/>
              </w:rPr>
            </w:pPr>
            <w:r>
              <w:rPr>
                <w:b/>
                <w:sz w:val="18"/>
                <w:szCs w:val="18"/>
              </w:rPr>
              <w:t>Východiskový rok</w:t>
            </w:r>
          </w:p>
        </w:tc>
        <w:tc>
          <w:tcPr>
            <w:tcW w:w="896" w:type="dxa"/>
            <w:tcBorders>
              <w:bottom w:val="single" w:sz="4" w:space="0" w:color="auto"/>
            </w:tcBorders>
            <w:shd w:val="clear" w:color="auto" w:fill="C6D9F1" w:themeFill="text2" w:themeFillTint="33"/>
            <w:vAlign w:val="center"/>
          </w:tcPr>
          <w:p w14:paraId="103875B3" w14:textId="77777777" w:rsidR="00A837FB" w:rsidRPr="008C1732" w:rsidRDefault="00A837FB" w:rsidP="00816B1A">
            <w:pPr>
              <w:ind w:left="0"/>
              <w:jc w:val="center"/>
              <w:rPr>
                <w:b/>
                <w:sz w:val="18"/>
                <w:szCs w:val="18"/>
              </w:rPr>
            </w:pPr>
            <w:r w:rsidRPr="008C1732">
              <w:rPr>
                <w:b/>
                <w:sz w:val="18"/>
                <w:szCs w:val="18"/>
              </w:rPr>
              <w:t>Cieľová hodnota (2023)</w:t>
            </w:r>
          </w:p>
        </w:tc>
        <w:tc>
          <w:tcPr>
            <w:tcW w:w="798" w:type="dxa"/>
            <w:tcBorders>
              <w:bottom w:val="single" w:sz="4" w:space="0" w:color="auto"/>
            </w:tcBorders>
            <w:shd w:val="clear" w:color="auto" w:fill="C6D9F1" w:themeFill="text2" w:themeFillTint="33"/>
            <w:vAlign w:val="center"/>
          </w:tcPr>
          <w:p w14:paraId="6108033B" w14:textId="77777777" w:rsidR="00A837FB" w:rsidRPr="008C1732" w:rsidRDefault="00A837FB" w:rsidP="00816B1A">
            <w:pPr>
              <w:ind w:left="0"/>
              <w:jc w:val="center"/>
              <w:rPr>
                <w:b/>
                <w:sz w:val="18"/>
                <w:szCs w:val="18"/>
              </w:rPr>
            </w:pPr>
            <w:r w:rsidRPr="008C1732">
              <w:rPr>
                <w:b/>
                <w:sz w:val="18"/>
                <w:szCs w:val="18"/>
              </w:rPr>
              <w:t>Zdroj údajov</w:t>
            </w:r>
          </w:p>
        </w:tc>
        <w:tc>
          <w:tcPr>
            <w:tcW w:w="1246" w:type="dxa"/>
            <w:tcBorders>
              <w:bottom w:val="single" w:sz="4" w:space="0" w:color="auto"/>
            </w:tcBorders>
            <w:shd w:val="clear" w:color="auto" w:fill="C6D9F1" w:themeFill="text2" w:themeFillTint="33"/>
            <w:vAlign w:val="center"/>
          </w:tcPr>
          <w:p w14:paraId="0B70D8E9"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B18C1" w14:paraId="6D321C31" w14:textId="77777777" w:rsidTr="002E1021">
        <w:trPr>
          <w:trHeight w:val="680"/>
          <w:jc w:val="center"/>
        </w:trPr>
        <w:tc>
          <w:tcPr>
            <w:tcW w:w="598" w:type="dxa"/>
            <w:shd w:val="clear" w:color="auto" w:fill="auto"/>
            <w:vAlign w:val="center"/>
          </w:tcPr>
          <w:p w14:paraId="00874D91" w14:textId="77777777" w:rsidR="00A837FB" w:rsidRPr="00336C1F" w:rsidRDefault="00A837FB" w:rsidP="00816B1A">
            <w:pPr>
              <w:ind w:left="0"/>
              <w:jc w:val="center"/>
              <w:rPr>
                <w:sz w:val="20"/>
                <w:szCs w:val="20"/>
              </w:rPr>
            </w:pPr>
            <w:r>
              <w:rPr>
                <w:sz w:val="20"/>
                <w:szCs w:val="20"/>
              </w:rPr>
              <w:t>1.</w:t>
            </w:r>
          </w:p>
        </w:tc>
        <w:tc>
          <w:tcPr>
            <w:tcW w:w="1574" w:type="dxa"/>
            <w:shd w:val="clear" w:color="auto" w:fill="auto"/>
            <w:vAlign w:val="center"/>
          </w:tcPr>
          <w:p w14:paraId="61B761FB" w14:textId="77777777" w:rsidR="00A837FB" w:rsidRPr="00A21DD4" w:rsidRDefault="00F646E7" w:rsidP="002D0D3B">
            <w:pPr>
              <w:ind w:left="0"/>
              <w:rPr>
                <w:sz w:val="18"/>
                <w:szCs w:val="18"/>
              </w:rPr>
            </w:pPr>
            <w:r w:rsidRPr="00A21DD4">
              <w:rPr>
                <w:sz w:val="18"/>
                <w:szCs w:val="18"/>
              </w:rPr>
              <w:t>Celkový objem</w:t>
            </w:r>
            <w:r w:rsidR="00E92823" w:rsidRPr="00A21DD4">
              <w:rPr>
                <w:sz w:val="18"/>
                <w:szCs w:val="18"/>
              </w:rPr>
              <w:t xml:space="preserve"> medzinárodnej</w:t>
            </w:r>
            <w:r w:rsidR="00307AAF" w:rsidRPr="00A21DD4">
              <w:rPr>
                <w:sz w:val="18"/>
                <w:szCs w:val="18"/>
              </w:rPr>
              <w:t xml:space="preserve"> prepravy na koridore TEN-T</w:t>
            </w:r>
            <w:r w:rsidR="002D0D3B">
              <w:rPr>
                <w:sz w:val="18"/>
                <w:szCs w:val="18"/>
              </w:rPr>
              <w:t xml:space="preserve"> </w:t>
            </w:r>
            <w:r w:rsidR="00307AAF" w:rsidRPr="00A21DD4">
              <w:rPr>
                <w:sz w:val="18"/>
                <w:szCs w:val="18"/>
              </w:rPr>
              <w:t>(úsek Bratislava – Nové Zámky – Štúrovo / Komárno – št. hr. SR/MR)</w:t>
            </w:r>
          </w:p>
        </w:tc>
        <w:tc>
          <w:tcPr>
            <w:tcW w:w="904" w:type="dxa"/>
            <w:shd w:val="clear" w:color="auto" w:fill="auto"/>
            <w:vAlign w:val="center"/>
          </w:tcPr>
          <w:p w14:paraId="5336D4C2" w14:textId="77777777" w:rsidR="00A837FB" w:rsidRPr="00A21DD4" w:rsidRDefault="00307AAF" w:rsidP="00816B1A">
            <w:pPr>
              <w:ind w:left="0"/>
              <w:jc w:val="center"/>
              <w:rPr>
                <w:i/>
                <w:sz w:val="18"/>
                <w:szCs w:val="18"/>
              </w:rPr>
            </w:pPr>
            <w:r w:rsidRPr="00A21DD4">
              <w:rPr>
                <w:i/>
                <w:sz w:val="18"/>
                <w:szCs w:val="18"/>
              </w:rPr>
              <w:t>vlkm</w:t>
            </w:r>
          </w:p>
        </w:tc>
        <w:tc>
          <w:tcPr>
            <w:tcW w:w="1008" w:type="dxa"/>
            <w:shd w:val="clear" w:color="auto" w:fill="auto"/>
            <w:vAlign w:val="center"/>
          </w:tcPr>
          <w:p w14:paraId="798D09DD" w14:textId="77777777" w:rsidR="00A837FB" w:rsidRPr="00A21DD4" w:rsidRDefault="00307AAF" w:rsidP="00816B1A">
            <w:pPr>
              <w:ind w:left="0"/>
              <w:jc w:val="center"/>
              <w:rPr>
                <w:i/>
                <w:sz w:val="18"/>
                <w:szCs w:val="18"/>
              </w:rPr>
            </w:pPr>
            <w:r w:rsidRPr="00A21DD4">
              <w:rPr>
                <w:i/>
                <w:sz w:val="18"/>
                <w:szCs w:val="18"/>
              </w:rPr>
              <w:t>Menej rozvinuté</w:t>
            </w:r>
          </w:p>
        </w:tc>
        <w:tc>
          <w:tcPr>
            <w:tcW w:w="1316" w:type="dxa"/>
            <w:vAlign w:val="center"/>
          </w:tcPr>
          <w:p w14:paraId="32C05900" w14:textId="77777777" w:rsidR="00A837FB" w:rsidRPr="00A21DD4" w:rsidRDefault="00307AAF" w:rsidP="00E041B3">
            <w:pPr>
              <w:ind w:left="0"/>
              <w:jc w:val="center"/>
              <w:rPr>
                <w:i/>
                <w:sz w:val="18"/>
                <w:szCs w:val="18"/>
              </w:rPr>
            </w:pPr>
            <w:r w:rsidRPr="00A21DD4">
              <w:rPr>
                <w:i/>
                <w:sz w:val="18"/>
                <w:szCs w:val="18"/>
                <w:lang w:val="en-GB"/>
              </w:rPr>
              <w:t>748 518</w:t>
            </w:r>
          </w:p>
        </w:tc>
        <w:tc>
          <w:tcPr>
            <w:tcW w:w="1329" w:type="dxa"/>
            <w:vAlign w:val="center"/>
          </w:tcPr>
          <w:p w14:paraId="18231644" w14:textId="77777777" w:rsidR="00A837FB" w:rsidRPr="00A21DD4" w:rsidRDefault="00307AAF" w:rsidP="00816B1A">
            <w:pPr>
              <w:ind w:left="0"/>
              <w:jc w:val="center"/>
              <w:rPr>
                <w:i/>
                <w:sz w:val="18"/>
                <w:szCs w:val="18"/>
              </w:rPr>
            </w:pPr>
            <w:r w:rsidRPr="00A21DD4">
              <w:rPr>
                <w:i/>
                <w:sz w:val="18"/>
                <w:szCs w:val="18"/>
              </w:rPr>
              <w:t>2013</w:t>
            </w:r>
          </w:p>
        </w:tc>
        <w:tc>
          <w:tcPr>
            <w:tcW w:w="896" w:type="dxa"/>
            <w:shd w:val="clear" w:color="auto" w:fill="auto"/>
            <w:vAlign w:val="center"/>
          </w:tcPr>
          <w:p w14:paraId="1519EA33" w14:textId="77777777" w:rsidR="00A837FB" w:rsidRPr="00A21DD4" w:rsidRDefault="00307AAF" w:rsidP="00816B1A">
            <w:pPr>
              <w:ind w:left="0"/>
              <w:jc w:val="center"/>
              <w:rPr>
                <w:i/>
                <w:sz w:val="18"/>
                <w:szCs w:val="18"/>
              </w:rPr>
            </w:pPr>
            <w:r w:rsidRPr="00A21DD4">
              <w:rPr>
                <w:i/>
                <w:sz w:val="18"/>
                <w:szCs w:val="18"/>
                <w:lang w:val="en-GB"/>
              </w:rPr>
              <w:t>796 973</w:t>
            </w:r>
          </w:p>
        </w:tc>
        <w:tc>
          <w:tcPr>
            <w:tcW w:w="798" w:type="dxa"/>
            <w:vAlign w:val="center"/>
          </w:tcPr>
          <w:p w14:paraId="1E3A628C" w14:textId="77777777" w:rsidR="00A837FB" w:rsidRPr="00A21DD4" w:rsidRDefault="00307AAF" w:rsidP="00816B1A">
            <w:pPr>
              <w:ind w:left="0"/>
              <w:jc w:val="center"/>
              <w:rPr>
                <w:sz w:val="18"/>
                <w:szCs w:val="18"/>
              </w:rPr>
            </w:pPr>
            <w:r w:rsidRPr="00A21DD4">
              <w:rPr>
                <w:sz w:val="18"/>
                <w:szCs w:val="18"/>
              </w:rPr>
              <w:t>RO OPII</w:t>
            </w:r>
          </w:p>
        </w:tc>
        <w:tc>
          <w:tcPr>
            <w:tcW w:w="1246" w:type="dxa"/>
            <w:vAlign w:val="center"/>
          </w:tcPr>
          <w:p w14:paraId="40E35B4B" w14:textId="77777777" w:rsidR="00A837FB" w:rsidRPr="00A21DD4" w:rsidRDefault="00307AAF" w:rsidP="00816B1A">
            <w:pPr>
              <w:ind w:left="0"/>
              <w:jc w:val="center"/>
              <w:rPr>
                <w:sz w:val="18"/>
                <w:szCs w:val="18"/>
              </w:rPr>
            </w:pPr>
            <w:r w:rsidRPr="00A21DD4">
              <w:rPr>
                <w:sz w:val="18"/>
                <w:szCs w:val="18"/>
              </w:rPr>
              <w:t>Ročne</w:t>
            </w:r>
          </w:p>
        </w:tc>
      </w:tr>
    </w:tbl>
    <w:p w14:paraId="24784817" w14:textId="3D3D1022" w:rsidR="00C87140" w:rsidRPr="006B762B" w:rsidRDefault="00C87140" w:rsidP="00C87140">
      <w:pPr>
        <w:shd w:val="clear" w:color="auto" w:fill="FFFFCC"/>
        <w:spacing w:before="240"/>
        <w:jc w:val="both"/>
        <w:rPr>
          <w:b/>
          <w:i/>
        </w:rPr>
      </w:pPr>
      <w:r>
        <w:rPr>
          <w:i/>
        </w:rPr>
        <w:t xml:space="preserve">ŠPECIFICKÝ CIEĽ 5.3: </w:t>
      </w:r>
      <w:r w:rsidRPr="001061E2">
        <w:rPr>
          <w:b/>
          <w:i/>
        </w:rPr>
        <w:t>Zvýšenie atraktivity a kvality služieb železničnej verejnej osobnej dopravy prostredníctvom obnovy mobilných prostriedkov</w:t>
      </w:r>
    </w:p>
    <w:p w14:paraId="68AE858C" w14:textId="77777777" w:rsidR="00C87140" w:rsidRDefault="00C87140" w:rsidP="00C87140">
      <w:pPr>
        <w:spacing w:before="180"/>
        <w:jc w:val="both"/>
        <w:rPr>
          <w:sz w:val="22"/>
          <w:szCs w:val="22"/>
        </w:rPr>
      </w:pPr>
      <w:r>
        <w:rPr>
          <w:sz w:val="22"/>
          <w:szCs w:val="22"/>
        </w:rPr>
        <w:t>ŠC 5.3</w:t>
      </w:r>
      <w:r w:rsidRPr="00B95FD1">
        <w:rPr>
          <w:sz w:val="22"/>
          <w:szCs w:val="22"/>
        </w:rPr>
        <w:t xml:space="preserve"> synergicky dopĺňa ciele stanovené pre oblasť infraštruktúry</w:t>
      </w:r>
      <w:r>
        <w:rPr>
          <w:sz w:val="22"/>
          <w:szCs w:val="22"/>
        </w:rPr>
        <w:t xml:space="preserve"> a aktivity zamerané na modernizáciu parku železničných koľajových vozidiel v rámci prioritnej osi 1</w:t>
      </w:r>
      <w:r w:rsidRPr="00B95FD1">
        <w:rPr>
          <w:sz w:val="22"/>
          <w:szCs w:val="22"/>
        </w:rPr>
        <w:t xml:space="preserve">. Synergickým pôsobením výsledkov infraštruktúrnych a prevádzkových opatrení je možná multiplikácia pozitívnych efektov a zvýšenie atraktívnosti železničnej dopravy. </w:t>
      </w:r>
    </w:p>
    <w:p w14:paraId="674B42B1" w14:textId="77777777" w:rsidR="00C87140" w:rsidRDefault="00C87140" w:rsidP="00C87140">
      <w:pPr>
        <w:spacing w:before="180"/>
        <w:jc w:val="both"/>
        <w:rPr>
          <w:sz w:val="22"/>
          <w:szCs w:val="22"/>
        </w:rPr>
      </w:pPr>
      <w:r w:rsidRPr="00B907D0">
        <w:rPr>
          <w:sz w:val="22"/>
          <w:szCs w:val="22"/>
        </w:rPr>
        <w:t xml:space="preserve">Dôležitou súčasťou pri vytváraní komplexného, kvalitného a interoperabilného železničného systému je aj obnova vozového parku železničnej verejnej osobnej dopravy. Obnovou </w:t>
      </w:r>
      <w:r>
        <w:rPr>
          <w:sz w:val="22"/>
          <w:szCs w:val="22"/>
        </w:rPr>
        <w:t xml:space="preserve">(primárne nákupom nových) </w:t>
      </w:r>
      <w:r w:rsidRPr="00B907D0">
        <w:rPr>
          <w:sz w:val="22"/>
          <w:szCs w:val="22"/>
        </w:rPr>
        <w:t>mobilných prostriedkov železničnej verejnej osobnej dopravy</w:t>
      </w:r>
      <w:r>
        <w:rPr>
          <w:sz w:val="22"/>
          <w:szCs w:val="22"/>
        </w:rPr>
        <w:t xml:space="preserve"> a zabezpečením ich </w:t>
      </w:r>
      <w:r>
        <w:rPr>
          <w:sz w:val="22"/>
          <w:szCs w:val="22"/>
        </w:rPr>
        <w:lastRenderedPageBreak/>
        <w:t xml:space="preserve">interoperability </w:t>
      </w:r>
      <w:r w:rsidRPr="00B907D0">
        <w:rPr>
          <w:sz w:val="22"/>
          <w:szCs w:val="22"/>
        </w:rPr>
        <w:t>dôjde k zvýšeniu komfortu</w:t>
      </w:r>
      <w:r>
        <w:rPr>
          <w:sz w:val="22"/>
          <w:szCs w:val="22"/>
        </w:rPr>
        <w:t>, bezpečnosti</w:t>
      </w:r>
      <w:r w:rsidRPr="00B907D0">
        <w:rPr>
          <w:sz w:val="22"/>
          <w:szCs w:val="22"/>
        </w:rPr>
        <w:t xml:space="preserve"> a kvality železničnej dopravy z pohľadu koncového užívateľa. </w:t>
      </w:r>
    </w:p>
    <w:p w14:paraId="2C431C8E" w14:textId="77777777" w:rsidR="00C87140" w:rsidRDefault="00C87140" w:rsidP="00C87140">
      <w:pPr>
        <w:spacing w:before="180"/>
        <w:jc w:val="both"/>
        <w:rPr>
          <w:sz w:val="22"/>
          <w:szCs w:val="22"/>
        </w:rPr>
      </w:pPr>
      <w:r w:rsidRPr="00B907D0">
        <w:rPr>
          <w:sz w:val="22"/>
          <w:szCs w:val="22"/>
        </w:rPr>
        <w:t>Dosiahnutie kvalitn</w:t>
      </w:r>
      <w:r>
        <w:rPr>
          <w:sz w:val="22"/>
          <w:szCs w:val="22"/>
        </w:rPr>
        <w:t>ej a konkurencieschopnej</w:t>
      </w:r>
      <w:r w:rsidRPr="00B907D0">
        <w:rPr>
          <w:sz w:val="22"/>
          <w:szCs w:val="22"/>
        </w:rPr>
        <w:t xml:space="preserve"> železničnej</w:t>
      </w:r>
      <w:r>
        <w:rPr>
          <w:sz w:val="22"/>
          <w:szCs w:val="22"/>
        </w:rPr>
        <w:t xml:space="preserve"> osobnej</w:t>
      </w:r>
      <w:r w:rsidRPr="00B907D0">
        <w:rPr>
          <w:sz w:val="22"/>
          <w:szCs w:val="22"/>
        </w:rPr>
        <w:t xml:space="preserve"> dopravy ako strategického cieľa </w:t>
      </w:r>
      <w:r>
        <w:rPr>
          <w:sz w:val="22"/>
          <w:szCs w:val="22"/>
        </w:rPr>
        <w:t xml:space="preserve">železničnej dopravy definovaného </w:t>
      </w:r>
      <w:r w:rsidRPr="00DE5077">
        <w:rPr>
          <w:sz w:val="22"/>
          <w:szCs w:val="22"/>
        </w:rPr>
        <w:t>v Strategickom pláne</w:t>
      </w:r>
      <w:r w:rsidRPr="00B907D0">
        <w:rPr>
          <w:sz w:val="22"/>
          <w:szCs w:val="22"/>
        </w:rPr>
        <w:t xml:space="preserve"> je podmienené vytvorením dostatočne kvalitného a atrak</w:t>
      </w:r>
      <w:r>
        <w:rPr>
          <w:sz w:val="22"/>
          <w:szCs w:val="22"/>
        </w:rPr>
        <w:t>tívneho systému</w:t>
      </w:r>
      <w:r w:rsidRPr="00B907D0">
        <w:rPr>
          <w:sz w:val="22"/>
          <w:szCs w:val="22"/>
        </w:rPr>
        <w:t xml:space="preserve"> železničnej</w:t>
      </w:r>
      <w:r>
        <w:rPr>
          <w:sz w:val="22"/>
          <w:szCs w:val="22"/>
        </w:rPr>
        <w:t xml:space="preserve"> osobnej</w:t>
      </w:r>
      <w:r w:rsidRPr="00B907D0">
        <w:rPr>
          <w:sz w:val="22"/>
          <w:szCs w:val="22"/>
        </w:rPr>
        <w:t xml:space="preserve"> dopravy. Jednou z priorít uvede</w:t>
      </w:r>
      <w:r>
        <w:rPr>
          <w:sz w:val="22"/>
          <w:szCs w:val="22"/>
        </w:rPr>
        <w:t>ného cieľa je </w:t>
      </w:r>
      <w:r w:rsidRPr="00B907D0">
        <w:rPr>
          <w:sz w:val="22"/>
          <w:szCs w:val="22"/>
        </w:rPr>
        <w:t>zabezpečenie komfortnej osobnej dopravy, v rámci ktorej sa bude klásť dôraz najmä na zásadné zlepšenie parametrov os</w:t>
      </w:r>
      <w:r>
        <w:rPr>
          <w:sz w:val="22"/>
          <w:szCs w:val="22"/>
        </w:rPr>
        <w:t>obnej dopravy významne zlepšujúcich vnímanie železničnej dopravy zo strany cestujúcich.</w:t>
      </w:r>
    </w:p>
    <w:p w14:paraId="25AB4F00" w14:textId="77777777" w:rsidR="00C87140" w:rsidRDefault="00C87140" w:rsidP="00C87140">
      <w:pPr>
        <w:spacing w:before="180"/>
        <w:jc w:val="both"/>
        <w:rPr>
          <w:sz w:val="22"/>
          <w:szCs w:val="22"/>
        </w:rPr>
      </w:pPr>
      <w:r>
        <w:rPr>
          <w:sz w:val="22"/>
          <w:szCs w:val="22"/>
        </w:rPr>
        <w:t>Obstaranie nových koľajových vozidiel musí byť previazané so zlepšením železničnej infraštruktúry a parametre železničných koľajových vozidiel musia zodpovedať parametrom dopravnej infraštruktúry, aby bola zabezpečená vzájomná kompatibilita a synergické účinky investícií.</w:t>
      </w:r>
    </w:p>
    <w:p w14:paraId="38027D8E" w14:textId="77777777" w:rsidR="00C87140" w:rsidRDefault="00C87140" w:rsidP="00C87140">
      <w:pPr>
        <w:spacing w:before="180"/>
        <w:jc w:val="both"/>
        <w:rPr>
          <w:sz w:val="22"/>
          <w:szCs w:val="22"/>
        </w:rPr>
      </w:pPr>
      <w:r w:rsidRPr="00B95FD1">
        <w:rPr>
          <w:b/>
          <w:sz w:val="22"/>
          <w:szCs w:val="22"/>
        </w:rPr>
        <w:t>V prípade, ak železničná osobná doprava ponúkne prepravu v porovnateľnej kvalite ako iné druhy dopravy a vo frekvencii, ktorá zodpovedá prepravnému dopytu</w:t>
      </w:r>
      <w:r>
        <w:rPr>
          <w:b/>
          <w:sz w:val="22"/>
          <w:szCs w:val="22"/>
        </w:rPr>
        <w:t xml:space="preserve"> zo strany cestujúcej verejnosti</w:t>
      </w:r>
      <w:r w:rsidRPr="00B95FD1">
        <w:rPr>
          <w:b/>
          <w:sz w:val="22"/>
          <w:szCs w:val="22"/>
        </w:rPr>
        <w:t xml:space="preserve">, môže byť snaha o integráciu verejnej osobnej dopravy úspešná. </w:t>
      </w:r>
      <w:r w:rsidRPr="00DE5077">
        <w:rPr>
          <w:sz w:val="22"/>
          <w:szCs w:val="22"/>
        </w:rPr>
        <w:t>Strategický plán</w:t>
      </w:r>
      <w:r w:rsidRPr="00986FA0">
        <w:rPr>
          <w:sz w:val="22"/>
          <w:szCs w:val="22"/>
        </w:rPr>
        <w:t xml:space="preserve"> identifikoval prínos</w:t>
      </w:r>
      <w:r>
        <w:rPr>
          <w:sz w:val="22"/>
          <w:szCs w:val="22"/>
        </w:rPr>
        <w:t>y</w:t>
      </w:r>
      <w:r w:rsidRPr="00986FA0">
        <w:rPr>
          <w:sz w:val="22"/>
          <w:szCs w:val="22"/>
        </w:rPr>
        <w:t xml:space="preserve"> potenciálnej integrácie a postupnej harmonizácie prepravy odstránen</w:t>
      </w:r>
      <w:r>
        <w:rPr>
          <w:sz w:val="22"/>
          <w:szCs w:val="22"/>
        </w:rPr>
        <w:t>ím</w:t>
      </w:r>
      <w:r w:rsidRPr="00986FA0">
        <w:rPr>
          <w:sz w:val="22"/>
          <w:szCs w:val="22"/>
        </w:rPr>
        <w:t xml:space="preserve"> paralelných spojov v</w:t>
      </w:r>
      <w:r>
        <w:rPr>
          <w:sz w:val="22"/>
          <w:szCs w:val="22"/>
        </w:rPr>
        <w:t> </w:t>
      </w:r>
      <w:r w:rsidRPr="00986FA0">
        <w:rPr>
          <w:sz w:val="22"/>
          <w:szCs w:val="22"/>
        </w:rPr>
        <w:t>železničnej</w:t>
      </w:r>
      <w:r>
        <w:rPr>
          <w:sz w:val="22"/>
          <w:szCs w:val="22"/>
        </w:rPr>
        <w:t xml:space="preserve"> a</w:t>
      </w:r>
      <w:r w:rsidRPr="00986FA0">
        <w:rPr>
          <w:sz w:val="22"/>
          <w:szCs w:val="22"/>
        </w:rPr>
        <w:t xml:space="preserve"> autobusovej doprave, ktoré spôsobujú neefektívne vynakladanie verejných zdrojov.</w:t>
      </w:r>
    </w:p>
    <w:p w14:paraId="52978029" w14:textId="4ECE4A82" w:rsidR="00C87140" w:rsidRDefault="00C87140" w:rsidP="00C87140">
      <w:pPr>
        <w:spacing w:before="180"/>
        <w:jc w:val="both"/>
        <w:rPr>
          <w:sz w:val="22"/>
          <w:szCs w:val="22"/>
        </w:rPr>
      </w:pPr>
      <w:r w:rsidRPr="00B95FD1">
        <w:rPr>
          <w:sz w:val="22"/>
          <w:szCs w:val="22"/>
        </w:rPr>
        <w:t>Opatrenia týkajúce sa služieb vo verejnom záujme budú implementované v súlade s požiadavkami nariadenia EP a Rady (ES) č. 1370 z 23. októbra 2007 o službách vo verejnom záujme v železničnej a cestnej osobnej doprave, ktorým sa zrušujú nariadenia Rady (EHS) č. 1191/69 a (EHS) č. 1107/70</w:t>
      </w:r>
      <w:r>
        <w:rPr>
          <w:sz w:val="22"/>
          <w:szCs w:val="22"/>
        </w:rPr>
        <w:t xml:space="preserve"> a nariadenia EP a Rady (EÚ) 2016/2338 zo 14. decembra 2016, ktorým sa mení nariadenie (ES) </w:t>
      </w:r>
      <w:r>
        <w:rPr>
          <w:sz w:val="22"/>
          <w:szCs w:val="22"/>
        </w:rPr>
        <w:br/>
        <w:t>č. 1370/2007, pokiaľ ide o otvorenie trhu so službami vnútroštátnej železničnej osobnej dopravy</w:t>
      </w:r>
      <w:r w:rsidRPr="00B95FD1">
        <w:rPr>
          <w:sz w:val="22"/>
          <w:szCs w:val="22"/>
        </w:rPr>
        <w:t>.</w:t>
      </w:r>
    </w:p>
    <w:p w14:paraId="76156FB8" w14:textId="77777777" w:rsidR="00C87140" w:rsidRPr="001B2070" w:rsidRDefault="00C87140" w:rsidP="00C8714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F6BDFAE" w14:textId="77777777" w:rsidR="00C87140" w:rsidRDefault="00C87140" w:rsidP="00C87140">
      <w:pPr>
        <w:pStyle w:val="Odsekzoznamu"/>
        <w:numPr>
          <w:ilvl w:val="0"/>
          <w:numId w:val="129"/>
        </w:numPr>
        <w:autoSpaceDE w:val="0"/>
        <w:autoSpaceDN w:val="0"/>
        <w:adjustRightInd w:val="0"/>
        <w:ind w:left="850" w:hanging="425"/>
        <w:jc w:val="both"/>
        <w:rPr>
          <w:sz w:val="22"/>
          <w:szCs w:val="22"/>
        </w:rPr>
      </w:pPr>
      <w:r>
        <w:rPr>
          <w:sz w:val="22"/>
          <w:szCs w:val="22"/>
        </w:rPr>
        <w:t xml:space="preserve">zvýšenie atraktivity verejnej osobnej dopravy prostredníctvom obstarania nových </w:t>
      </w:r>
      <w:r w:rsidRPr="00186DB7">
        <w:rPr>
          <w:sz w:val="22"/>
          <w:szCs w:val="22"/>
        </w:rPr>
        <w:t>prostriedkov zabezpečujúcich verejnú železničnú osobnú dopravu</w:t>
      </w:r>
      <w:r>
        <w:rPr>
          <w:sz w:val="22"/>
          <w:szCs w:val="22"/>
        </w:rPr>
        <w:t>,</w:t>
      </w:r>
    </w:p>
    <w:p w14:paraId="5870D72C" w14:textId="77777777" w:rsidR="00C87140" w:rsidRDefault="00C87140" w:rsidP="00C87140">
      <w:pPr>
        <w:pStyle w:val="Odsekzoznamu"/>
        <w:numPr>
          <w:ilvl w:val="0"/>
          <w:numId w:val="129"/>
        </w:numPr>
        <w:autoSpaceDE w:val="0"/>
        <w:autoSpaceDN w:val="0"/>
        <w:adjustRightInd w:val="0"/>
        <w:ind w:left="851" w:hanging="425"/>
        <w:jc w:val="both"/>
        <w:rPr>
          <w:sz w:val="22"/>
          <w:szCs w:val="22"/>
        </w:rPr>
      </w:pPr>
      <w:r>
        <w:rPr>
          <w:sz w:val="22"/>
          <w:szCs w:val="22"/>
        </w:rPr>
        <w:t>podpora stabilizácie služieb poskytovaných vo verejnom záujme,</w:t>
      </w:r>
    </w:p>
    <w:p w14:paraId="7BFB9F54" w14:textId="77777777" w:rsidR="00C87140" w:rsidRDefault="00C87140" w:rsidP="00C87140">
      <w:pPr>
        <w:pStyle w:val="Odsekzoznamu"/>
        <w:numPr>
          <w:ilvl w:val="0"/>
          <w:numId w:val="129"/>
        </w:numPr>
        <w:autoSpaceDE w:val="0"/>
        <w:autoSpaceDN w:val="0"/>
        <w:adjustRightInd w:val="0"/>
        <w:ind w:left="851" w:hanging="425"/>
        <w:jc w:val="both"/>
        <w:rPr>
          <w:sz w:val="22"/>
          <w:szCs w:val="22"/>
        </w:rPr>
      </w:pPr>
      <w:r>
        <w:rPr>
          <w:sz w:val="22"/>
          <w:szCs w:val="22"/>
        </w:rPr>
        <w:t>zníženie hlukovej záťaže a emisií CO</w:t>
      </w:r>
      <w:r w:rsidRPr="005068E6">
        <w:rPr>
          <w:sz w:val="22"/>
          <w:szCs w:val="22"/>
          <w:vertAlign w:val="subscript"/>
        </w:rPr>
        <w:t>2</w:t>
      </w:r>
      <w:r>
        <w:rPr>
          <w:sz w:val="22"/>
          <w:szCs w:val="22"/>
        </w:rPr>
        <w:t>, NO</w:t>
      </w:r>
      <w:r w:rsidRPr="005068E6">
        <w:rPr>
          <w:sz w:val="22"/>
          <w:szCs w:val="22"/>
          <w:vertAlign w:val="subscript"/>
        </w:rPr>
        <w:t>2</w:t>
      </w:r>
      <w:r>
        <w:rPr>
          <w:sz w:val="22"/>
          <w:szCs w:val="22"/>
        </w:rPr>
        <w:t xml:space="preserve"> a PM</w:t>
      </w:r>
      <w:r w:rsidRPr="00307AAF">
        <w:rPr>
          <w:sz w:val="22"/>
          <w:szCs w:val="22"/>
          <w:vertAlign w:val="subscript"/>
        </w:rPr>
        <w:t>10</w:t>
      </w:r>
      <w:r>
        <w:rPr>
          <w:sz w:val="22"/>
          <w:szCs w:val="22"/>
        </w:rPr>
        <w:t xml:space="preserve"> vyplývajúcej z prevádzky železničnej verejnej osobnej dopravy.</w:t>
      </w:r>
    </w:p>
    <w:p w14:paraId="6E409C45" w14:textId="2763FBF5" w:rsidR="00E64647" w:rsidRDefault="00C87140" w:rsidP="00E64647">
      <w:pPr>
        <w:pStyle w:val="Tab"/>
      </w:pPr>
      <w:r>
        <w:t>Špecifické v</w:t>
      </w:r>
      <w:r w:rsidRPr="004F0234">
        <w:t>ýsledkové ukazovatele zodpovedajúce špecifickému cieľu</w:t>
      </w:r>
      <w:r>
        <w:t xml:space="preserve"> 5.3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74"/>
        <w:gridCol w:w="898"/>
        <w:gridCol w:w="1022"/>
        <w:gridCol w:w="1297"/>
        <w:gridCol w:w="1297"/>
        <w:gridCol w:w="907"/>
        <w:gridCol w:w="786"/>
        <w:gridCol w:w="1208"/>
      </w:tblGrid>
      <w:tr w:rsidR="00C87140" w:rsidRPr="008C1732" w14:paraId="2CD014DA" w14:textId="77777777" w:rsidTr="00B44676">
        <w:trPr>
          <w:trHeight w:val="487"/>
          <w:jc w:val="center"/>
        </w:trPr>
        <w:tc>
          <w:tcPr>
            <w:tcW w:w="598" w:type="dxa"/>
            <w:shd w:val="clear" w:color="auto" w:fill="C6D9F1" w:themeFill="text2" w:themeFillTint="33"/>
            <w:vAlign w:val="center"/>
          </w:tcPr>
          <w:p w14:paraId="0C0249B4" w14:textId="77777777" w:rsidR="00C87140" w:rsidRPr="008C1732" w:rsidRDefault="00C87140" w:rsidP="00B44676">
            <w:pPr>
              <w:ind w:left="0"/>
              <w:jc w:val="center"/>
              <w:rPr>
                <w:b/>
                <w:sz w:val="18"/>
                <w:szCs w:val="18"/>
              </w:rPr>
            </w:pPr>
            <w:r>
              <w:rPr>
                <w:b/>
                <w:sz w:val="18"/>
                <w:szCs w:val="18"/>
              </w:rPr>
              <w:t>P. č.</w:t>
            </w:r>
          </w:p>
        </w:tc>
        <w:tc>
          <w:tcPr>
            <w:tcW w:w="1274" w:type="dxa"/>
            <w:shd w:val="clear" w:color="auto" w:fill="C6D9F1" w:themeFill="text2" w:themeFillTint="33"/>
            <w:vAlign w:val="center"/>
          </w:tcPr>
          <w:p w14:paraId="4ED248F2" w14:textId="77777777" w:rsidR="00C87140" w:rsidRPr="008C1732" w:rsidRDefault="00C87140" w:rsidP="00B44676">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74453B7C" w14:textId="77777777" w:rsidR="00C87140" w:rsidRPr="008C1732" w:rsidRDefault="00C87140" w:rsidP="00B44676">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14:paraId="1F080081" w14:textId="77777777" w:rsidR="00C87140" w:rsidRPr="008C1732" w:rsidRDefault="00C87140" w:rsidP="00B44676">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11082377" w14:textId="77777777" w:rsidR="00C87140" w:rsidRPr="008C1732" w:rsidRDefault="00C87140" w:rsidP="00B44676">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00455477" w14:textId="77777777" w:rsidR="00C87140" w:rsidRPr="008C1732" w:rsidRDefault="00C87140" w:rsidP="00B44676">
            <w:pPr>
              <w:ind w:left="0"/>
              <w:jc w:val="center"/>
              <w:rPr>
                <w:b/>
                <w:sz w:val="18"/>
                <w:szCs w:val="18"/>
              </w:rPr>
            </w:pPr>
            <w:r>
              <w:rPr>
                <w:b/>
                <w:sz w:val="18"/>
                <w:szCs w:val="18"/>
              </w:rPr>
              <w:t>Východiskový rok</w:t>
            </w:r>
          </w:p>
        </w:tc>
        <w:tc>
          <w:tcPr>
            <w:tcW w:w="907" w:type="dxa"/>
            <w:shd w:val="clear" w:color="auto" w:fill="C6D9F1" w:themeFill="text2" w:themeFillTint="33"/>
            <w:vAlign w:val="center"/>
          </w:tcPr>
          <w:p w14:paraId="7EC61099" w14:textId="77777777" w:rsidR="00C87140" w:rsidRPr="008C1732" w:rsidRDefault="00C87140" w:rsidP="00B44676">
            <w:pPr>
              <w:ind w:left="0"/>
              <w:jc w:val="center"/>
              <w:rPr>
                <w:b/>
                <w:sz w:val="18"/>
                <w:szCs w:val="18"/>
              </w:rPr>
            </w:pPr>
            <w:r w:rsidRPr="008C1732">
              <w:rPr>
                <w:b/>
                <w:sz w:val="18"/>
                <w:szCs w:val="18"/>
              </w:rPr>
              <w:t>Cieľová hodnota (2023)</w:t>
            </w:r>
          </w:p>
        </w:tc>
        <w:tc>
          <w:tcPr>
            <w:tcW w:w="786" w:type="dxa"/>
            <w:shd w:val="clear" w:color="auto" w:fill="C6D9F1" w:themeFill="text2" w:themeFillTint="33"/>
            <w:vAlign w:val="center"/>
          </w:tcPr>
          <w:p w14:paraId="0F77C6B5" w14:textId="77777777" w:rsidR="00C87140" w:rsidRPr="008C1732" w:rsidRDefault="00C87140" w:rsidP="00B44676">
            <w:pPr>
              <w:ind w:left="0"/>
              <w:jc w:val="center"/>
              <w:rPr>
                <w:b/>
                <w:sz w:val="18"/>
                <w:szCs w:val="18"/>
              </w:rPr>
            </w:pPr>
            <w:r w:rsidRPr="008C1732">
              <w:rPr>
                <w:b/>
                <w:sz w:val="18"/>
                <w:szCs w:val="18"/>
              </w:rPr>
              <w:t>Zdroj údajov</w:t>
            </w:r>
          </w:p>
        </w:tc>
        <w:tc>
          <w:tcPr>
            <w:tcW w:w="1208" w:type="dxa"/>
            <w:shd w:val="clear" w:color="auto" w:fill="C6D9F1" w:themeFill="text2" w:themeFillTint="33"/>
            <w:vAlign w:val="center"/>
          </w:tcPr>
          <w:p w14:paraId="010EB8B1" w14:textId="77777777" w:rsidR="00C87140" w:rsidRPr="008C1732" w:rsidRDefault="00C87140" w:rsidP="00B44676">
            <w:pPr>
              <w:ind w:left="0"/>
              <w:jc w:val="center"/>
              <w:rPr>
                <w:b/>
                <w:sz w:val="18"/>
                <w:szCs w:val="18"/>
              </w:rPr>
            </w:pPr>
            <w:r w:rsidRPr="008C1732">
              <w:rPr>
                <w:b/>
                <w:sz w:val="18"/>
                <w:szCs w:val="18"/>
              </w:rPr>
              <w:t>Frekvencia vykazovania</w:t>
            </w:r>
          </w:p>
        </w:tc>
      </w:tr>
      <w:tr w:rsidR="00C87140" w:rsidRPr="00AB18C1" w14:paraId="0B67AF38" w14:textId="77777777" w:rsidTr="00B44676">
        <w:trPr>
          <w:trHeight w:val="680"/>
          <w:jc w:val="center"/>
        </w:trPr>
        <w:tc>
          <w:tcPr>
            <w:tcW w:w="598" w:type="dxa"/>
            <w:shd w:val="clear" w:color="auto" w:fill="auto"/>
            <w:vAlign w:val="center"/>
          </w:tcPr>
          <w:p w14:paraId="45BCABAA" w14:textId="77777777" w:rsidR="00C87140" w:rsidRPr="00DF686B" w:rsidRDefault="00C87140" w:rsidP="00B44676">
            <w:pPr>
              <w:ind w:left="0"/>
              <w:jc w:val="center"/>
              <w:rPr>
                <w:sz w:val="18"/>
                <w:szCs w:val="18"/>
              </w:rPr>
            </w:pPr>
            <w:r w:rsidRPr="00307AAF">
              <w:rPr>
                <w:sz w:val="18"/>
                <w:szCs w:val="18"/>
              </w:rPr>
              <w:t>1.</w:t>
            </w:r>
          </w:p>
        </w:tc>
        <w:tc>
          <w:tcPr>
            <w:tcW w:w="1274" w:type="dxa"/>
            <w:shd w:val="clear" w:color="auto" w:fill="auto"/>
            <w:tcMar>
              <w:left w:w="57" w:type="dxa"/>
              <w:right w:w="57" w:type="dxa"/>
            </w:tcMar>
            <w:vAlign w:val="center"/>
          </w:tcPr>
          <w:p w14:paraId="72126E23" w14:textId="77777777" w:rsidR="00C87140" w:rsidRPr="00DF686B" w:rsidRDefault="00C87140" w:rsidP="00B44676">
            <w:pPr>
              <w:ind w:left="0"/>
              <w:rPr>
                <w:sz w:val="18"/>
                <w:szCs w:val="18"/>
              </w:rPr>
            </w:pPr>
            <w:r>
              <w:rPr>
                <w:sz w:val="18"/>
                <w:szCs w:val="18"/>
              </w:rPr>
              <w:t>Počet prepravených cestujúcich vo verejnej železničnej osobnej doprave</w:t>
            </w:r>
          </w:p>
        </w:tc>
        <w:tc>
          <w:tcPr>
            <w:tcW w:w="898" w:type="dxa"/>
            <w:shd w:val="clear" w:color="auto" w:fill="auto"/>
            <w:vAlign w:val="center"/>
          </w:tcPr>
          <w:p w14:paraId="481820E9" w14:textId="77777777" w:rsidR="00C87140" w:rsidRPr="00DF686B" w:rsidRDefault="00C87140" w:rsidP="00B44676">
            <w:pPr>
              <w:ind w:left="0"/>
              <w:jc w:val="center"/>
              <w:rPr>
                <w:i/>
                <w:sz w:val="18"/>
                <w:szCs w:val="18"/>
              </w:rPr>
            </w:pPr>
            <w:r w:rsidRPr="00307AAF">
              <w:rPr>
                <w:i/>
                <w:sz w:val="18"/>
                <w:szCs w:val="18"/>
              </w:rPr>
              <w:t>počet</w:t>
            </w:r>
          </w:p>
        </w:tc>
        <w:tc>
          <w:tcPr>
            <w:tcW w:w="1022" w:type="dxa"/>
            <w:shd w:val="clear" w:color="auto" w:fill="auto"/>
            <w:vAlign w:val="center"/>
          </w:tcPr>
          <w:p w14:paraId="60B36F92" w14:textId="77777777" w:rsidR="00C87140" w:rsidRPr="00DF686B" w:rsidRDefault="00C87140" w:rsidP="00B44676">
            <w:pPr>
              <w:ind w:left="0"/>
              <w:jc w:val="center"/>
              <w:rPr>
                <w:i/>
                <w:sz w:val="18"/>
                <w:szCs w:val="18"/>
              </w:rPr>
            </w:pPr>
            <w:r w:rsidRPr="00307AAF">
              <w:rPr>
                <w:i/>
                <w:sz w:val="18"/>
                <w:szCs w:val="18"/>
              </w:rPr>
              <w:t>N/A</w:t>
            </w:r>
          </w:p>
        </w:tc>
        <w:tc>
          <w:tcPr>
            <w:tcW w:w="1297" w:type="dxa"/>
            <w:vAlign w:val="center"/>
          </w:tcPr>
          <w:p w14:paraId="5ECC2794" w14:textId="77777777" w:rsidR="00C87140" w:rsidRPr="00293DE3" w:rsidRDefault="00C87140" w:rsidP="00B44676">
            <w:pPr>
              <w:ind w:left="0"/>
              <w:jc w:val="center"/>
              <w:rPr>
                <w:i/>
                <w:sz w:val="18"/>
                <w:szCs w:val="18"/>
              </w:rPr>
            </w:pPr>
            <w:r w:rsidRPr="00293DE3">
              <w:rPr>
                <w:i/>
                <w:sz w:val="18"/>
                <w:szCs w:val="18"/>
              </w:rPr>
              <w:t>44 287 000</w:t>
            </w:r>
          </w:p>
        </w:tc>
        <w:tc>
          <w:tcPr>
            <w:tcW w:w="1297" w:type="dxa"/>
            <w:vAlign w:val="center"/>
          </w:tcPr>
          <w:p w14:paraId="5917360D" w14:textId="77777777" w:rsidR="00C87140" w:rsidRPr="00293DE3" w:rsidRDefault="00C87140" w:rsidP="00B44676">
            <w:pPr>
              <w:ind w:left="0"/>
              <w:jc w:val="center"/>
              <w:rPr>
                <w:i/>
                <w:sz w:val="18"/>
                <w:szCs w:val="18"/>
              </w:rPr>
            </w:pPr>
            <w:r w:rsidRPr="00293DE3">
              <w:rPr>
                <w:i/>
                <w:sz w:val="18"/>
                <w:szCs w:val="18"/>
              </w:rPr>
              <w:t>2013</w:t>
            </w:r>
          </w:p>
        </w:tc>
        <w:tc>
          <w:tcPr>
            <w:tcW w:w="907" w:type="dxa"/>
            <w:shd w:val="clear" w:color="auto" w:fill="auto"/>
            <w:vAlign w:val="center"/>
          </w:tcPr>
          <w:p w14:paraId="6A817007" w14:textId="77777777" w:rsidR="00C87140" w:rsidRPr="00293DE3" w:rsidRDefault="00C87140" w:rsidP="00B44676">
            <w:pPr>
              <w:ind w:left="0"/>
              <w:jc w:val="center"/>
              <w:rPr>
                <w:i/>
                <w:sz w:val="18"/>
                <w:szCs w:val="18"/>
              </w:rPr>
            </w:pPr>
            <w:r w:rsidRPr="00293DE3">
              <w:rPr>
                <w:i/>
                <w:sz w:val="18"/>
                <w:szCs w:val="18"/>
              </w:rPr>
              <w:t>46 942 211</w:t>
            </w:r>
          </w:p>
        </w:tc>
        <w:tc>
          <w:tcPr>
            <w:tcW w:w="786" w:type="dxa"/>
            <w:vAlign w:val="center"/>
          </w:tcPr>
          <w:p w14:paraId="02B3BE8C" w14:textId="77777777" w:rsidR="00C87140" w:rsidRPr="00DF686B" w:rsidRDefault="00C87140" w:rsidP="00B44676">
            <w:pPr>
              <w:ind w:left="0"/>
              <w:jc w:val="center"/>
              <w:rPr>
                <w:i/>
                <w:sz w:val="18"/>
                <w:szCs w:val="18"/>
              </w:rPr>
            </w:pPr>
            <w:r w:rsidRPr="00307AAF">
              <w:rPr>
                <w:i/>
                <w:sz w:val="18"/>
                <w:szCs w:val="18"/>
              </w:rPr>
              <w:t>RO OPII</w:t>
            </w:r>
          </w:p>
        </w:tc>
        <w:tc>
          <w:tcPr>
            <w:tcW w:w="1208" w:type="dxa"/>
            <w:vAlign w:val="center"/>
          </w:tcPr>
          <w:p w14:paraId="44A1B9F4" w14:textId="77777777" w:rsidR="00C87140" w:rsidRPr="00DF686B" w:rsidRDefault="00C87140" w:rsidP="00B44676">
            <w:pPr>
              <w:ind w:left="0"/>
              <w:jc w:val="center"/>
              <w:rPr>
                <w:i/>
                <w:sz w:val="18"/>
                <w:szCs w:val="18"/>
              </w:rPr>
            </w:pPr>
            <w:r w:rsidRPr="00307AAF">
              <w:rPr>
                <w:i/>
                <w:sz w:val="18"/>
                <w:szCs w:val="18"/>
              </w:rPr>
              <w:t>Ročne</w:t>
            </w:r>
          </w:p>
        </w:tc>
      </w:tr>
    </w:tbl>
    <w:p w14:paraId="36707CBC" w14:textId="77777777" w:rsidR="00307AAF" w:rsidRDefault="00D83282" w:rsidP="002B03EB">
      <w:pPr>
        <w:pStyle w:val="Nadpis4"/>
      </w:pPr>
      <w:r>
        <w:t>Opis typu a príklady aktivít</w:t>
      </w:r>
    </w:p>
    <w:p w14:paraId="146E18BC" w14:textId="77777777" w:rsidR="00017B79" w:rsidRPr="00336C1F" w:rsidRDefault="00D83282" w:rsidP="00017B79">
      <w:pPr>
        <w:spacing w:before="180" w:after="120"/>
        <w:rPr>
          <w:sz w:val="22"/>
          <w:szCs w:val="22"/>
        </w:rPr>
      </w:pPr>
      <w:r>
        <w:rPr>
          <w:sz w:val="22"/>
          <w:szCs w:val="22"/>
          <w:u w:val="single"/>
        </w:rPr>
        <w:t>Investičná priorita 7d)</w:t>
      </w:r>
      <w:r w:rsidR="00017B79" w:rsidRPr="00D1658B">
        <w:rPr>
          <w:sz w:val="22"/>
          <w:szCs w:val="22"/>
          <w:u w:val="single"/>
        </w:rPr>
        <w:t xml:space="preserve"> bude napĺňan</w:t>
      </w:r>
      <w:r>
        <w:rPr>
          <w:sz w:val="22"/>
          <w:szCs w:val="22"/>
          <w:u w:val="single"/>
        </w:rPr>
        <w:t>á</w:t>
      </w:r>
      <w:r w:rsidR="00017B79" w:rsidRPr="00D1658B">
        <w:rPr>
          <w:sz w:val="22"/>
          <w:szCs w:val="22"/>
          <w:u w:val="single"/>
        </w:rPr>
        <w:t xml:space="preserve"> prostredníctvom nasledujúcich aktivít</w:t>
      </w:r>
      <w:r w:rsidR="00017B79" w:rsidRPr="00336C1F">
        <w:rPr>
          <w:sz w:val="22"/>
          <w:szCs w:val="22"/>
        </w:rPr>
        <w:t>:</w:t>
      </w:r>
    </w:p>
    <w:p w14:paraId="5EB78F01"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El</w:t>
      </w:r>
      <w:r w:rsidR="00C20BC1">
        <w:rPr>
          <w:sz w:val="22"/>
          <w:szCs w:val="22"/>
        </w:rPr>
        <w:t>ektrifikácia železničných tratí. Rozvoj systémov šetrných k životnému prostrediu, vrátane systémov s nízkou hlučnosťou a nízko uhlíkových dopravných systémov,</w:t>
      </w:r>
    </w:p>
    <w:p w14:paraId="42F607BC"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Z</w:t>
      </w:r>
      <w:r w:rsidRPr="001D3D78">
        <w:rPr>
          <w:sz w:val="22"/>
          <w:szCs w:val="22"/>
        </w:rPr>
        <w:t>nižovanie bezpečnostných rizík v železničnej doprave (napr. odstraňovanie úrovňových križovaní s cestnou infraštruktúrou, modernizácia železničných priecestí),</w:t>
      </w:r>
    </w:p>
    <w:p w14:paraId="73938020" w14:textId="20F5970D"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V</w:t>
      </w:r>
      <w:r w:rsidRPr="001D3D78">
        <w:rPr>
          <w:sz w:val="22"/>
          <w:szCs w:val="22"/>
        </w:rPr>
        <w:t xml:space="preserve">ýstavba a modernizácia prestupných terminálov železničnej osobnej </w:t>
      </w:r>
      <w:r w:rsidR="00C87140">
        <w:rPr>
          <w:sz w:val="22"/>
          <w:szCs w:val="22"/>
        </w:rPr>
        <w:t>dopravy</w:t>
      </w:r>
      <w:r w:rsidR="00C87140" w:rsidRPr="001D3D78">
        <w:rPr>
          <w:sz w:val="22"/>
          <w:szCs w:val="22"/>
        </w:rPr>
        <w:t xml:space="preserve"> </w:t>
      </w:r>
      <w:r w:rsidR="00C87140">
        <w:rPr>
          <w:sz w:val="22"/>
          <w:szCs w:val="22"/>
        </w:rPr>
        <w:t>a terminálov integrovanej osobnej prepravy</w:t>
      </w:r>
      <w:r w:rsidR="00C87140" w:rsidRPr="001D3D78">
        <w:rPr>
          <w:sz w:val="22"/>
          <w:szCs w:val="22"/>
        </w:rPr>
        <w:t xml:space="preserve"> </w:t>
      </w:r>
      <w:r w:rsidRPr="001D3D78">
        <w:rPr>
          <w:sz w:val="22"/>
          <w:szCs w:val="22"/>
        </w:rPr>
        <w:t>a ich napojení na cestnú sieť,</w:t>
      </w:r>
    </w:p>
    <w:p w14:paraId="7CA73ABE"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V</w:t>
      </w:r>
      <w:r w:rsidRPr="001D3D78">
        <w:rPr>
          <w:sz w:val="22"/>
          <w:szCs w:val="22"/>
        </w:rPr>
        <w:t>ýstavba nových železničných zastávok,</w:t>
      </w:r>
      <w:r>
        <w:rPr>
          <w:sz w:val="22"/>
          <w:szCs w:val="22"/>
        </w:rPr>
        <w:t xml:space="preserve"> </w:t>
      </w:r>
      <w:r w:rsidRPr="001D3D78">
        <w:rPr>
          <w:sz w:val="22"/>
          <w:szCs w:val="22"/>
        </w:rPr>
        <w:t>zavádzanie štandardov tratí a staníc,</w:t>
      </w:r>
      <w:r>
        <w:rPr>
          <w:sz w:val="22"/>
          <w:szCs w:val="22"/>
        </w:rPr>
        <w:t xml:space="preserve"> optimalizácia </w:t>
      </w:r>
      <w:r w:rsidRPr="00A21DD4">
        <w:rPr>
          <w:sz w:val="22"/>
          <w:szCs w:val="22"/>
        </w:rPr>
        <w:t>grafikonu vlakovej dopravy,</w:t>
      </w:r>
    </w:p>
    <w:p w14:paraId="36857340" w14:textId="1B98E643" w:rsidR="009E0158" w:rsidRDefault="001C5FD8" w:rsidP="002E33E4">
      <w:pPr>
        <w:numPr>
          <w:ilvl w:val="2"/>
          <w:numId w:val="32"/>
        </w:numPr>
        <w:shd w:val="clear" w:color="auto" w:fill="E5DFEC" w:themeFill="accent4" w:themeFillTint="33"/>
        <w:tabs>
          <w:tab w:val="clear" w:pos="360"/>
        </w:tabs>
        <w:ind w:left="426" w:hanging="426"/>
        <w:jc w:val="both"/>
        <w:rPr>
          <w:sz w:val="22"/>
          <w:szCs w:val="22"/>
        </w:rPr>
      </w:pPr>
      <w:r w:rsidRPr="00A21DD4">
        <w:rPr>
          <w:sz w:val="22"/>
          <w:szCs w:val="22"/>
        </w:rPr>
        <w:lastRenderedPageBreak/>
        <w:t>Vy</w:t>
      </w:r>
      <w:r w:rsidR="0020040D" w:rsidRPr="00A21DD4">
        <w:rPr>
          <w:sz w:val="22"/>
          <w:szCs w:val="22"/>
        </w:rPr>
        <w:t>budovani</w:t>
      </w:r>
      <w:r w:rsidRPr="00A21DD4">
        <w:rPr>
          <w:sz w:val="22"/>
          <w:szCs w:val="22"/>
        </w:rPr>
        <w:t>e infraštruktúry na kontrolu a prípravu</w:t>
      </w:r>
      <w:r w:rsidR="0020040D" w:rsidRPr="00A21DD4">
        <w:rPr>
          <w:sz w:val="22"/>
          <w:szCs w:val="22"/>
        </w:rPr>
        <w:t xml:space="preserve"> vozového parku železničnej osobnej dopravy</w:t>
      </w:r>
      <w:r w:rsidRPr="00A21DD4">
        <w:rPr>
          <w:sz w:val="22"/>
          <w:szCs w:val="22"/>
        </w:rPr>
        <w:t xml:space="preserve"> pre prevádzku v rámci služieb vo verejnom záujme</w:t>
      </w:r>
      <w:r w:rsidR="0020040D" w:rsidRPr="00A21DD4">
        <w:rPr>
          <w:sz w:val="22"/>
          <w:szCs w:val="22"/>
        </w:rPr>
        <w:t>,</w:t>
      </w:r>
    </w:p>
    <w:p w14:paraId="1B37EB80" w14:textId="77777777" w:rsidR="00961BBF"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M</w:t>
      </w:r>
      <w:r w:rsidRPr="001D3D78">
        <w:rPr>
          <w:sz w:val="22"/>
          <w:szCs w:val="22"/>
        </w:rPr>
        <w:t>odernizácia železničnej infraštruktúry v súvislosti so zabezpečením efektívneho colného konania,</w:t>
      </w:r>
    </w:p>
    <w:p w14:paraId="38A32B34" w14:textId="3C9BC761" w:rsidR="009E0158" w:rsidRDefault="00961BBF"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Modernizácia železničných tratí (zlepšovanie vybraných technických parametrov</w:t>
      </w:r>
      <w:r w:rsidR="00C715FF">
        <w:rPr>
          <w:sz w:val="22"/>
          <w:szCs w:val="22"/>
        </w:rPr>
        <w:t xml:space="preserve"> železničnej dopravnej cesty),</w:t>
      </w:r>
    </w:p>
    <w:p w14:paraId="66BD3245" w14:textId="48D28D59" w:rsidR="009E0158" w:rsidRDefault="002D122E"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Implementácia systémov ETCS a GSM-R,</w:t>
      </w:r>
      <w:r w:rsidR="00CB4C15">
        <w:rPr>
          <w:sz w:val="22"/>
          <w:szCs w:val="22"/>
        </w:rPr>
        <w:t xml:space="preserve"> TSI TAF/TAP,</w:t>
      </w:r>
    </w:p>
    <w:p w14:paraId="67D07378" w14:textId="46973C9E" w:rsidR="00C87140" w:rsidRPr="00C87140" w:rsidRDefault="00C87140" w:rsidP="00C87140">
      <w:pPr>
        <w:numPr>
          <w:ilvl w:val="2"/>
          <w:numId w:val="32"/>
        </w:numPr>
        <w:shd w:val="clear" w:color="auto" w:fill="E5DFEC" w:themeFill="accent4" w:themeFillTint="33"/>
        <w:tabs>
          <w:tab w:val="clear" w:pos="360"/>
        </w:tabs>
        <w:ind w:left="426" w:hanging="426"/>
        <w:jc w:val="both"/>
        <w:rPr>
          <w:sz w:val="22"/>
          <w:szCs w:val="22"/>
        </w:rPr>
      </w:pPr>
      <w:r>
        <w:rPr>
          <w:sz w:val="22"/>
          <w:szCs w:val="22"/>
        </w:rPr>
        <w:t>Obnova mobilných prostriedkov železničnej verejnej osobnej dopravy,</w:t>
      </w:r>
    </w:p>
    <w:p w14:paraId="033E6CBE" w14:textId="18860091"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P</w:t>
      </w:r>
      <w:r w:rsidR="00017B79">
        <w:rPr>
          <w:sz w:val="22"/>
          <w:szCs w:val="22"/>
        </w:rPr>
        <w:t>rojektová príprava.</w:t>
      </w:r>
    </w:p>
    <w:p w14:paraId="0CDE692D" w14:textId="77777777" w:rsidR="009E0158" w:rsidRDefault="00F71223" w:rsidP="00AA304D">
      <w:pPr>
        <w:numPr>
          <w:ilvl w:val="2"/>
          <w:numId w:val="33"/>
        </w:numPr>
        <w:autoSpaceDE w:val="0"/>
        <w:autoSpaceDN w:val="0"/>
        <w:adjustRightInd w:val="0"/>
        <w:spacing w:before="180" w:after="120"/>
        <w:ind w:left="851" w:hanging="426"/>
        <w:jc w:val="both"/>
        <w:rPr>
          <w:i/>
          <w:color w:val="4F81BD" w:themeColor="accent1"/>
          <w:sz w:val="22"/>
          <w:szCs w:val="22"/>
        </w:rPr>
      </w:pPr>
      <w:r w:rsidRPr="005139F6">
        <w:rPr>
          <w:b/>
          <w:i/>
          <w:color w:val="4F81BD" w:themeColor="accent1"/>
          <w:sz w:val="22"/>
          <w:szCs w:val="22"/>
        </w:rPr>
        <w:t>Elektrifikácia železničných tratí</w:t>
      </w:r>
      <w:r w:rsidR="00C20BC1">
        <w:rPr>
          <w:b/>
          <w:i/>
          <w:color w:val="4F81BD" w:themeColor="accent1"/>
          <w:sz w:val="22"/>
          <w:szCs w:val="22"/>
        </w:rPr>
        <w:t xml:space="preserve">. Rozvoj systémov šetrných k životnému prostrediu, vrátane systémov s nízkou hlučnosťou a nízko uhlíkových dopravných systémov </w:t>
      </w:r>
    </w:p>
    <w:p w14:paraId="4B75A703" w14:textId="77777777" w:rsidR="00F72A8E" w:rsidRDefault="00F72A8E" w:rsidP="00F72A8E">
      <w:pPr>
        <w:pStyle w:val="Odsekzoznamu"/>
        <w:autoSpaceDE w:val="0"/>
        <w:autoSpaceDN w:val="0"/>
        <w:adjustRightInd w:val="0"/>
        <w:spacing w:after="120"/>
        <w:ind w:left="0"/>
        <w:contextualSpacing w:val="0"/>
        <w:jc w:val="both"/>
        <w:rPr>
          <w:sz w:val="22"/>
          <w:szCs w:val="22"/>
        </w:rPr>
      </w:pPr>
      <w:r>
        <w:rPr>
          <w:sz w:val="22"/>
          <w:szCs w:val="22"/>
        </w:rPr>
        <w:t>Aktivity</w:t>
      </w:r>
      <w:r w:rsidR="000A19CB">
        <w:rPr>
          <w:sz w:val="22"/>
          <w:szCs w:val="22"/>
        </w:rPr>
        <w:t>, ktoré navrhuje MDV SR realizovať v rámci tejto časti</w:t>
      </w:r>
      <w:r>
        <w:rPr>
          <w:sz w:val="22"/>
          <w:szCs w:val="22"/>
        </w:rPr>
        <w:t xml:space="preserve"> </w:t>
      </w:r>
      <w:r w:rsidR="000A19CB">
        <w:rPr>
          <w:sz w:val="22"/>
          <w:szCs w:val="22"/>
        </w:rPr>
        <w:t xml:space="preserve">OP </w:t>
      </w:r>
      <w:r>
        <w:rPr>
          <w:sz w:val="22"/>
          <w:szCs w:val="22"/>
        </w:rPr>
        <w:t xml:space="preserve">priamo prispievajú k naplneniu vízie a cieľov dopravného sektora </w:t>
      </w:r>
      <w:r w:rsidR="000A19CB">
        <w:rPr>
          <w:sz w:val="22"/>
          <w:szCs w:val="22"/>
        </w:rPr>
        <w:t>identifikovaných v </w:t>
      </w:r>
      <w:r w:rsidR="00CB4C15">
        <w:rPr>
          <w:sz w:val="22"/>
          <w:szCs w:val="22"/>
        </w:rPr>
        <w:t>S</w:t>
      </w:r>
      <w:r w:rsidR="000A19CB">
        <w:rPr>
          <w:sz w:val="22"/>
          <w:szCs w:val="22"/>
        </w:rPr>
        <w:t>trategickom pláne (kap. 4.6). Ide o opatrenia súvisiace so znižovaním vplyvov na životné prostredie.</w:t>
      </w:r>
    </w:p>
    <w:p w14:paraId="7B94E961" w14:textId="77777777" w:rsidR="005664A2" w:rsidRDefault="005664A2" w:rsidP="005664A2">
      <w:pPr>
        <w:pStyle w:val="Odsekzoznamu"/>
        <w:autoSpaceDE w:val="0"/>
        <w:autoSpaceDN w:val="0"/>
        <w:adjustRightInd w:val="0"/>
        <w:spacing w:before="180" w:after="120"/>
        <w:ind w:left="0"/>
        <w:contextualSpacing w:val="0"/>
        <w:jc w:val="both"/>
        <w:rPr>
          <w:sz w:val="22"/>
          <w:szCs w:val="22"/>
        </w:rPr>
      </w:pPr>
      <w:r>
        <w:rPr>
          <w:sz w:val="22"/>
          <w:szCs w:val="22"/>
        </w:rPr>
        <w:t xml:space="preserve">Aj napriek skutočnosti, že z hľadiska vplyvov na životné prostredie patrí železničná </w:t>
      </w:r>
      <w:r w:rsidRPr="005139F6">
        <w:rPr>
          <w:sz w:val="22"/>
          <w:szCs w:val="22"/>
        </w:rPr>
        <w:t xml:space="preserve">doprava k environmentálne </w:t>
      </w:r>
      <w:r>
        <w:rPr>
          <w:sz w:val="22"/>
          <w:szCs w:val="22"/>
        </w:rPr>
        <w:t xml:space="preserve">prijateľným módom, ďalšie opatrenia na </w:t>
      </w:r>
      <w:r w:rsidRPr="00F72A8E">
        <w:rPr>
          <w:sz w:val="22"/>
          <w:szCs w:val="22"/>
        </w:rPr>
        <w:t>znižovani</w:t>
      </w:r>
      <w:r>
        <w:rPr>
          <w:sz w:val="22"/>
          <w:szCs w:val="22"/>
        </w:rPr>
        <w:t>e</w:t>
      </w:r>
      <w:r w:rsidRPr="00F72A8E">
        <w:rPr>
          <w:sz w:val="22"/>
          <w:szCs w:val="22"/>
        </w:rPr>
        <w:t xml:space="preserve"> záťaže</w:t>
      </w:r>
      <w:r>
        <w:rPr>
          <w:sz w:val="22"/>
          <w:szCs w:val="22"/>
        </w:rPr>
        <w:t xml:space="preserve"> na </w:t>
      </w:r>
      <w:r w:rsidRPr="00F72A8E">
        <w:rPr>
          <w:sz w:val="22"/>
          <w:szCs w:val="22"/>
        </w:rPr>
        <w:t>životné prostredi</w:t>
      </w:r>
      <w:r>
        <w:rPr>
          <w:sz w:val="22"/>
          <w:szCs w:val="22"/>
        </w:rPr>
        <w:t>e</w:t>
      </w:r>
      <w:r w:rsidRPr="00F72A8E">
        <w:rPr>
          <w:sz w:val="22"/>
          <w:szCs w:val="22"/>
        </w:rPr>
        <w:t xml:space="preserve"> </w:t>
      </w:r>
      <w:r w:rsidR="00B0559E">
        <w:rPr>
          <w:sz w:val="22"/>
          <w:szCs w:val="22"/>
        </w:rPr>
        <w:t>a obyvateľstvo</w:t>
      </w:r>
      <w:r>
        <w:rPr>
          <w:sz w:val="22"/>
          <w:szCs w:val="22"/>
        </w:rPr>
        <w:t xml:space="preserve"> </w:t>
      </w:r>
      <w:r w:rsidRPr="00F72A8E">
        <w:rPr>
          <w:sz w:val="22"/>
          <w:szCs w:val="22"/>
        </w:rPr>
        <w:t>je mo</w:t>
      </w:r>
      <w:r>
        <w:rPr>
          <w:sz w:val="22"/>
          <w:szCs w:val="22"/>
        </w:rPr>
        <w:t xml:space="preserve">žné rozvíjať najmä </w:t>
      </w:r>
      <w:r w:rsidRPr="00F72A8E">
        <w:rPr>
          <w:sz w:val="22"/>
          <w:szCs w:val="22"/>
        </w:rPr>
        <w:t>prostredníctvom</w:t>
      </w:r>
      <w:r>
        <w:rPr>
          <w:sz w:val="22"/>
          <w:szCs w:val="22"/>
        </w:rPr>
        <w:t xml:space="preserve"> elektrifikácie vyťažených železničných tratí. </w:t>
      </w:r>
      <w:r w:rsidRPr="00DA54CE">
        <w:rPr>
          <w:sz w:val="22"/>
          <w:szCs w:val="22"/>
        </w:rPr>
        <w:t>Elektrifikáciou tratí dochádza k znižovaniu závislosti dopravného sektora na ropných produktoch, respektíve zvyšovaní energetickej nezávislosti využitím viacerých zdrojov energie. V priebehu roku 2012 došlo na základe intenzívnej komunikácie MDVRR SR a jednotlivých železničných dopravcov operujúcich na sieti ŽSR k súhrnu potrieb a požiadaviek v nákladnej a osobnej doprave. Zo strany dopravcov bola chýbajúca elektrifikácia niektorých tratí označená ako jeden z najzávažnejších problémov.</w:t>
      </w:r>
      <w:r w:rsidRPr="00B82142">
        <w:rPr>
          <w:sz w:val="22"/>
          <w:szCs w:val="22"/>
        </w:rPr>
        <w:t xml:space="preserve"> </w:t>
      </w:r>
      <w:r w:rsidRPr="00DA54CE">
        <w:rPr>
          <w:sz w:val="22"/>
          <w:szCs w:val="22"/>
        </w:rPr>
        <w:t>Ku koncu roka 201</w:t>
      </w:r>
      <w:r>
        <w:rPr>
          <w:sz w:val="22"/>
          <w:szCs w:val="22"/>
        </w:rPr>
        <w:t>3</w:t>
      </w:r>
      <w:r w:rsidRPr="00DA54CE">
        <w:rPr>
          <w:sz w:val="22"/>
          <w:szCs w:val="22"/>
        </w:rPr>
        <w:t xml:space="preserve"> predstavovala dĺžka </w:t>
      </w:r>
      <w:r w:rsidRPr="00A21DD4">
        <w:rPr>
          <w:sz w:val="22"/>
          <w:szCs w:val="22"/>
        </w:rPr>
        <w:t>prevádzkovaných železničných tratí SR 3 600 km, z toho elektrifikovaných bolo 1 586 km tratí, čo tvorí cca 44,06 %</w:t>
      </w:r>
      <w:r w:rsidR="008D3244" w:rsidRPr="00A21DD4">
        <w:rPr>
          <w:sz w:val="22"/>
          <w:szCs w:val="22"/>
        </w:rPr>
        <w:t xml:space="preserve">. </w:t>
      </w:r>
      <w:r w:rsidR="00307AAF" w:rsidRPr="00A21DD4">
        <w:rPr>
          <w:sz w:val="22"/>
          <w:szCs w:val="22"/>
        </w:rPr>
        <w:t>Nezanedbateľným príspevkom elektrifikácie železničných tratí je aj vplyv na zvyšovanie kvality ovzdušia. Z predmetného dôvodu je žiaduce, aby boli plánované aktivity zahrnuté do PUMM s prepojením na plány kvality ovzdušia.</w:t>
      </w:r>
    </w:p>
    <w:p w14:paraId="1ACA3436" w14:textId="77777777" w:rsidR="00765170" w:rsidRPr="005D04A1" w:rsidRDefault="000A19CB" w:rsidP="005F09BE">
      <w:pPr>
        <w:spacing w:before="180"/>
        <w:jc w:val="both"/>
        <w:rPr>
          <w:sz w:val="22"/>
          <w:szCs w:val="22"/>
        </w:rPr>
      </w:pPr>
      <w:r>
        <w:rPr>
          <w:sz w:val="22"/>
          <w:szCs w:val="22"/>
        </w:rPr>
        <w:t>Prvým z navrhovaných projektov</w:t>
      </w:r>
      <w:r w:rsidR="005664A2">
        <w:rPr>
          <w:sz w:val="22"/>
          <w:szCs w:val="22"/>
        </w:rPr>
        <w:t xml:space="preserve"> v rámci PO 5</w:t>
      </w:r>
      <w:r w:rsidR="00FE4640">
        <w:rPr>
          <w:sz w:val="22"/>
          <w:szCs w:val="22"/>
        </w:rPr>
        <w:t xml:space="preserve">, elektrifikácia železničnej trate v úseku </w:t>
      </w:r>
      <w:r w:rsidR="00FE4640" w:rsidRPr="00FE4640">
        <w:rPr>
          <w:b/>
          <w:sz w:val="22"/>
          <w:szCs w:val="22"/>
        </w:rPr>
        <w:t>Bánovce nad Ondavou – Humenné</w:t>
      </w:r>
      <w:r w:rsidR="00FE4640">
        <w:rPr>
          <w:sz w:val="22"/>
          <w:szCs w:val="22"/>
        </w:rPr>
        <w:t xml:space="preserve">, </w:t>
      </w:r>
      <w:r w:rsidR="000C7996">
        <w:rPr>
          <w:sz w:val="22"/>
          <w:szCs w:val="22"/>
        </w:rPr>
        <w:t>je umiestený na v</w:t>
      </w:r>
      <w:r>
        <w:rPr>
          <w:sz w:val="22"/>
          <w:szCs w:val="22"/>
        </w:rPr>
        <w:t>ýchodnom Slovensku v</w:t>
      </w:r>
      <w:r w:rsidR="00FE4640">
        <w:rPr>
          <w:sz w:val="22"/>
          <w:szCs w:val="22"/>
        </w:rPr>
        <w:t> </w:t>
      </w:r>
      <w:r>
        <w:rPr>
          <w:sz w:val="22"/>
          <w:szCs w:val="22"/>
        </w:rPr>
        <w:t>K</w:t>
      </w:r>
      <w:r w:rsidR="00FE4640">
        <w:rPr>
          <w:sz w:val="22"/>
          <w:szCs w:val="22"/>
        </w:rPr>
        <w:t>ošickom kraji</w:t>
      </w:r>
      <w:r>
        <w:rPr>
          <w:sz w:val="22"/>
          <w:szCs w:val="22"/>
        </w:rPr>
        <w:t xml:space="preserve">. </w:t>
      </w:r>
      <w:r w:rsidRPr="000A19CB">
        <w:rPr>
          <w:sz w:val="22"/>
          <w:szCs w:val="22"/>
        </w:rPr>
        <w:t xml:space="preserve">Košický región má veľký potenciál </w:t>
      </w:r>
      <w:r w:rsidR="00D87443">
        <w:rPr>
          <w:sz w:val="22"/>
          <w:szCs w:val="22"/>
        </w:rPr>
        <w:t>na</w:t>
      </w:r>
      <w:r w:rsidR="00FE4640">
        <w:rPr>
          <w:sz w:val="22"/>
          <w:szCs w:val="22"/>
        </w:rPr>
        <w:t> </w:t>
      </w:r>
      <w:r w:rsidRPr="000A19CB">
        <w:rPr>
          <w:sz w:val="22"/>
          <w:szCs w:val="22"/>
        </w:rPr>
        <w:t>zlepšenie železničného spojenia</w:t>
      </w:r>
      <w:r w:rsidR="00D87443">
        <w:rPr>
          <w:sz w:val="22"/>
          <w:szCs w:val="22"/>
        </w:rPr>
        <w:t>, avšak</w:t>
      </w:r>
      <w:r w:rsidRPr="000A19CB">
        <w:rPr>
          <w:sz w:val="22"/>
          <w:szCs w:val="22"/>
        </w:rPr>
        <w:t xml:space="preserve"> potrebuje </w:t>
      </w:r>
      <w:r w:rsidR="00D87443">
        <w:rPr>
          <w:sz w:val="22"/>
          <w:szCs w:val="22"/>
        </w:rPr>
        <w:t>investičné</w:t>
      </w:r>
      <w:r w:rsidRPr="000A19CB">
        <w:rPr>
          <w:sz w:val="22"/>
          <w:szCs w:val="22"/>
        </w:rPr>
        <w:t xml:space="preserve"> stimuly </w:t>
      </w:r>
      <w:r w:rsidR="005F09BE">
        <w:rPr>
          <w:sz w:val="22"/>
          <w:szCs w:val="22"/>
        </w:rPr>
        <w:t>na</w:t>
      </w:r>
      <w:r w:rsidRPr="000A19CB">
        <w:rPr>
          <w:sz w:val="22"/>
          <w:szCs w:val="22"/>
        </w:rPr>
        <w:t xml:space="preserve"> zlepšenie</w:t>
      </w:r>
      <w:r>
        <w:rPr>
          <w:sz w:val="22"/>
          <w:szCs w:val="22"/>
        </w:rPr>
        <w:t xml:space="preserve"> </w:t>
      </w:r>
      <w:r w:rsidRPr="000A19CB">
        <w:rPr>
          <w:sz w:val="22"/>
          <w:szCs w:val="22"/>
        </w:rPr>
        <w:t>dopravnej infraštruk</w:t>
      </w:r>
      <w:r w:rsidR="00D87443">
        <w:rPr>
          <w:sz w:val="22"/>
          <w:szCs w:val="22"/>
        </w:rPr>
        <w:t>túry. Nosnou železničnou líniou na východ od Košíc, ktorá je súčasťou základnej siete TEN-T</w:t>
      </w:r>
      <w:r w:rsidR="00FE4640">
        <w:rPr>
          <w:sz w:val="22"/>
          <w:szCs w:val="22"/>
        </w:rPr>
        <w:t>,</w:t>
      </w:r>
      <w:r w:rsidR="00D87443">
        <w:rPr>
          <w:sz w:val="22"/>
          <w:szCs w:val="22"/>
        </w:rPr>
        <w:t xml:space="preserve"> je dvojkoľajná elektrifikovaná trať Košice – Čierna nad Tisou – št. hr. SR/Ukrajina. </w:t>
      </w:r>
      <w:r w:rsidR="00FE4640">
        <w:rPr>
          <w:sz w:val="22"/>
          <w:szCs w:val="22"/>
        </w:rPr>
        <w:t>Na </w:t>
      </w:r>
      <w:r w:rsidR="00D87443">
        <w:rPr>
          <w:sz w:val="22"/>
          <w:szCs w:val="22"/>
        </w:rPr>
        <w:t xml:space="preserve">túto trať nadväzuje jednokoľajná trať do Humenného a následne Medzilaboriec, avšak </w:t>
      </w:r>
      <w:r w:rsidR="005F09BE">
        <w:rPr>
          <w:sz w:val="22"/>
          <w:szCs w:val="22"/>
        </w:rPr>
        <w:t>trať je e</w:t>
      </w:r>
      <w:r w:rsidR="00D87443">
        <w:rPr>
          <w:sz w:val="22"/>
          <w:szCs w:val="22"/>
        </w:rPr>
        <w:t xml:space="preserve">lektrifikovaná len v úseku Michaľany – Bánovce nad Ondavou. </w:t>
      </w:r>
      <w:r w:rsidR="00FE4640">
        <w:rPr>
          <w:sz w:val="22"/>
          <w:szCs w:val="22"/>
        </w:rPr>
        <w:t xml:space="preserve">Z tohto dôvodu je cieľom </w:t>
      </w:r>
      <w:r w:rsidR="005F09BE">
        <w:rPr>
          <w:sz w:val="22"/>
          <w:szCs w:val="22"/>
        </w:rPr>
        <w:t xml:space="preserve">RO OPII </w:t>
      </w:r>
      <w:r w:rsidR="00FE4640">
        <w:rPr>
          <w:sz w:val="22"/>
          <w:szCs w:val="22"/>
        </w:rPr>
        <w:t xml:space="preserve">zabezpečiť elektrifikáciu nadväzujúceho úseku v smere na </w:t>
      </w:r>
      <w:r w:rsidR="00FE4640" w:rsidRPr="00D2182F">
        <w:rPr>
          <w:b/>
          <w:sz w:val="22"/>
          <w:szCs w:val="22"/>
        </w:rPr>
        <w:t>Humenné</w:t>
      </w:r>
      <w:r w:rsidR="005F09BE">
        <w:rPr>
          <w:sz w:val="22"/>
          <w:szCs w:val="22"/>
        </w:rPr>
        <w:t xml:space="preserve">, ktoré </w:t>
      </w:r>
      <w:r w:rsidR="00FE4640">
        <w:rPr>
          <w:sz w:val="22"/>
          <w:szCs w:val="22"/>
        </w:rPr>
        <w:t>je</w:t>
      </w:r>
      <w:r w:rsidR="005F09BE">
        <w:rPr>
          <w:sz w:val="22"/>
          <w:szCs w:val="22"/>
        </w:rPr>
        <w:t xml:space="preserve"> na tejto línii </w:t>
      </w:r>
      <w:r w:rsidR="00FE4640">
        <w:rPr>
          <w:sz w:val="22"/>
          <w:szCs w:val="22"/>
        </w:rPr>
        <w:t>v</w:t>
      </w:r>
      <w:r w:rsidR="00D87443">
        <w:rPr>
          <w:sz w:val="22"/>
          <w:szCs w:val="22"/>
        </w:rPr>
        <w:t xml:space="preserve">ýznamným železničným uzlom </w:t>
      </w:r>
      <w:r w:rsidR="00FE4640">
        <w:rPr>
          <w:sz w:val="22"/>
          <w:szCs w:val="22"/>
        </w:rPr>
        <w:t>s významnými prepravnými prúdmi.</w:t>
      </w:r>
      <w:r w:rsidR="00F42982">
        <w:rPr>
          <w:sz w:val="22"/>
          <w:szCs w:val="22"/>
        </w:rPr>
        <w:t xml:space="preserve"> Dĺžka úseku</w:t>
      </w:r>
      <w:r w:rsidR="005F09BE">
        <w:rPr>
          <w:sz w:val="22"/>
          <w:szCs w:val="22"/>
        </w:rPr>
        <w:t xml:space="preserve"> plánovaného na </w:t>
      </w:r>
      <w:r w:rsidR="00F42982">
        <w:rPr>
          <w:sz w:val="22"/>
          <w:szCs w:val="22"/>
        </w:rPr>
        <w:t>elektrifikáciu</w:t>
      </w:r>
      <w:r w:rsidR="00B55225">
        <w:rPr>
          <w:sz w:val="22"/>
          <w:szCs w:val="22"/>
        </w:rPr>
        <w:t xml:space="preserve"> a súvisiace predelektrifikačné úpravy</w:t>
      </w:r>
      <w:r w:rsidR="00F42982">
        <w:rPr>
          <w:sz w:val="22"/>
          <w:szCs w:val="22"/>
        </w:rPr>
        <w:t xml:space="preserve"> je 33 km.</w:t>
      </w:r>
    </w:p>
    <w:p w14:paraId="5A41CCC3" w14:textId="3626ADE0" w:rsidR="00F72A8E" w:rsidRDefault="000A19CB" w:rsidP="000A19CB">
      <w:pPr>
        <w:spacing w:before="180"/>
        <w:jc w:val="both"/>
        <w:rPr>
          <w:sz w:val="22"/>
          <w:szCs w:val="22"/>
        </w:rPr>
      </w:pPr>
      <w:r w:rsidRPr="000A19CB">
        <w:rPr>
          <w:sz w:val="22"/>
          <w:szCs w:val="22"/>
        </w:rPr>
        <w:t xml:space="preserve">Cieľom </w:t>
      </w:r>
      <w:r w:rsidR="00FE4640">
        <w:rPr>
          <w:sz w:val="22"/>
          <w:szCs w:val="22"/>
        </w:rPr>
        <w:t xml:space="preserve">projektu </w:t>
      </w:r>
      <w:r w:rsidRPr="000A19CB">
        <w:rPr>
          <w:sz w:val="22"/>
          <w:szCs w:val="22"/>
        </w:rPr>
        <w:t>je dosiahnuť lepší dopravný komfort cestujúcich zlepšením dynamiky jazdy a lepšou vybavenosťou trate. Zlepší</w:t>
      </w:r>
      <w:r>
        <w:rPr>
          <w:sz w:val="22"/>
          <w:szCs w:val="22"/>
        </w:rPr>
        <w:t xml:space="preserve"> </w:t>
      </w:r>
      <w:r w:rsidRPr="000A19CB">
        <w:rPr>
          <w:sz w:val="22"/>
          <w:szCs w:val="22"/>
        </w:rPr>
        <w:t>sa aj súbeh osobných a nákladných vlakov na elektrifikovanom úseku. Ďalším cieľom je zvýšenie parametrov trate a</w:t>
      </w:r>
      <w:r>
        <w:rPr>
          <w:sz w:val="22"/>
          <w:szCs w:val="22"/>
        </w:rPr>
        <w:t xml:space="preserve"> </w:t>
      </w:r>
      <w:r w:rsidRPr="000A19CB">
        <w:rPr>
          <w:sz w:val="22"/>
          <w:szCs w:val="22"/>
        </w:rPr>
        <w:t>zlepšenie využitia pracovnej sily.</w:t>
      </w:r>
      <w:r>
        <w:rPr>
          <w:sz w:val="22"/>
          <w:szCs w:val="22"/>
        </w:rPr>
        <w:t xml:space="preserve"> </w:t>
      </w:r>
      <w:r w:rsidR="00FE4640">
        <w:rPr>
          <w:sz w:val="22"/>
          <w:szCs w:val="22"/>
        </w:rPr>
        <w:t>Elektrifikáciou trate sa </w:t>
      </w:r>
      <w:r w:rsidRPr="000A19CB">
        <w:rPr>
          <w:sz w:val="22"/>
          <w:szCs w:val="22"/>
        </w:rPr>
        <w:t>umožní pripojenie vlakovej dopravy uvedeného úseku do integrovaného</w:t>
      </w:r>
      <w:r>
        <w:rPr>
          <w:sz w:val="22"/>
          <w:szCs w:val="22"/>
        </w:rPr>
        <w:t xml:space="preserve"> </w:t>
      </w:r>
      <w:r w:rsidRPr="000A19CB">
        <w:rPr>
          <w:sz w:val="22"/>
          <w:szCs w:val="22"/>
        </w:rPr>
        <w:t>dopravného systému</w:t>
      </w:r>
      <w:r>
        <w:rPr>
          <w:sz w:val="22"/>
          <w:szCs w:val="22"/>
        </w:rPr>
        <w:t xml:space="preserve"> </w:t>
      </w:r>
      <w:r w:rsidRPr="000A19CB">
        <w:rPr>
          <w:sz w:val="22"/>
          <w:szCs w:val="22"/>
        </w:rPr>
        <w:t>Košíc.</w:t>
      </w:r>
      <w:r w:rsidR="00FE4640">
        <w:rPr>
          <w:sz w:val="22"/>
          <w:szCs w:val="22"/>
        </w:rPr>
        <w:t xml:space="preserve"> Projekt bude nadväzovať na </w:t>
      </w:r>
      <w:r w:rsidR="00F42982">
        <w:rPr>
          <w:sz w:val="22"/>
          <w:szCs w:val="22"/>
        </w:rPr>
        <w:t>aktivity programo</w:t>
      </w:r>
      <w:r w:rsidR="005D5247">
        <w:rPr>
          <w:sz w:val="22"/>
          <w:szCs w:val="22"/>
        </w:rPr>
        <w:t>vého obdobia 2007 – 2013, kedy začala projektová príprava projektu</w:t>
      </w:r>
      <w:r w:rsidR="00F42982">
        <w:rPr>
          <w:sz w:val="22"/>
          <w:szCs w:val="22"/>
        </w:rPr>
        <w:t xml:space="preserve">. </w:t>
      </w:r>
      <w:r w:rsidR="005D5247">
        <w:rPr>
          <w:sz w:val="22"/>
          <w:szCs w:val="22"/>
        </w:rPr>
        <w:t>V rámci realizácie tohto projektu sa počíta aj s realizáciou terminálu integrovanej osobnej prepravy v </w:t>
      </w:r>
      <w:r w:rsidR="002D0D3B">
        <w:rPr>
          <w:sz w:val="22"/>
          <w:szCs w:val="22"/>
        </w:rPr>
        <w:t>Michalovciach</w:t>
      </w:r>
      <w:r w:rsidR="005D5247">
        <w:rPr>
          <w:sz w:val="22"/>
          <w:szCs w:val="22"/>
        </w:rPr>
        <w:t xml:space="preserve">. </w:t>
      </w:r>
      <w:r w:rsidR="00F42982">
        <w:rPr>
          <w:sz w:val="22"/>
          <w:szCs w:val="22"/>
        </w:rPr>
        <w:t xml:space="preserve">Zároveň bude projekt </w:t>
      </w:r>
      <w:r w:rsidR="00FE4640">
        <w:rPr>
          <w:sz w:val="22"/>
          <w:szCs w:val="22"/>
        </w:rPr>
        <w:t>komplementár</w:t>
      </w:r>
      <w:r w:rsidR="002E1021">
        <w:rPr>
          <w:sz w:val="22"/>
          <w:szCs w:val="22"/>
        </w:rPr>
        <w:t>ne doplnený</w:t>
      </w:r>
      <w:r w:rsidR="00C87140">
        <w:rPr>
          <w:sz w:val="22"/>
          <w:szCs w:val="22"/>
        </w:rPr>
        <w:t xml:space="preserve"> </w:t>
      </w:r>
      <w:r w:rsidR="00C87140">
        <w:rPr>
          <w:sz w:val="22"/>
          <w:szCs w:val="22"/>
        </w:rPr>
        <w:br/>
      </w:r>
      <w:r w:rsidR="002E1021">
        <w:rPr>
          <w:sz w:val="22"/>
          <w:szCs w:val="22"/>
        </w:rPr>
        <w:t xml:space="preserve"> </w:t>
      </w:r>
      <w:r w:rsidR="00F42982">
        <w:rPr>
          <w:sz w:val="22"/>
          <w:szCs w:val="22"/>
        </w:rPr>
        <w:t>v</w:t>
      </w:r>
      <w:r w:rsidR="005D5247">
        <w:rPr>
          <w:sz w:val="22"/>
          <w:szCs w:val="22"/>
        </w:rPr>
        <w:t>ýstavb</w:t>
      </w:r>
      <w:r w:rsidR="00BD2856">
        <w:rPr>
          <w:sz w:val="22"/>
          <w:szCs w:val="22"/>
        </w:rPr>
        <w:t>ou</w:t>
      </w:r>
      <w:r w:rsidR="005D5247">
        <w:rPr>
          <w:sz w:val="22"/>
          <w:szCs w:val="22"/>
        </w:rPr>
        <w:t xml:space="preserve"> terminálu</w:t>
      </w:r>
      <w:r w:rsidR="00F42982">
        <w:rPr>
          <w:sz w:val="22"/>
          <w:szCs w:val="22"/>
        </w:rPr>
        <w:t xml:space="preserve"> osobnej prepravy</w:t>
      </w:r>
      <w:r w:rsidR="005D5247">
        <w:rPr>
          <w:sz w:val="22"/>
          <w:szCs w:val="22"/>
        </w:rPr>
        <w:t xml:space="preserve"> v </w:t>
      </w:r>
      <w:r w:rsidR="002D0D3B">
        <w:rPr>
          <w:sz w:val="22"/>
          <w:szCs w:val="22"/>
        </w:rPr>
        <w:t>Trebišove</w:t>
      </w:r>
      <w:r w:rsidR="005D5247">
        <w:rPr>
          <w:sz w:val="22"/>
          <w:szCs w:val="22"/>
        </w:rPr>
        <w:t>.</w:t>
      </w:r>
    </w:p>
    <w:p w14:paraId="29594A2E" w14:textId="77777777" w:rsidR="00660DE4" w:rsidRDefault="00FE4640" w:rsidP="004C6D40">
      <w:pPr>
        <w:spacing w:before="180"/>
        <w:jc w:val="both"/>
        <w:rPr>
          <w:sz w:val="22"/>
          <w:szCs w:val="22"/>
        </w:rPr>
      </w:pPr>
      <w:r>
        <w:rPr>
          <w:sz w:val="22"/>
          <w:szCs w:val="22"/>
        </w:rPr>
        <w:t xml:space="preserve">Ako už bolo uvedené, </w:t>
      </w:r>
      <w:r w:rsidR="00F42982">
        <w:rPr>
          <w:sz w:val="22"/>
          <w:szCs w:val="22"/>
        </w:rPr>
        <w:t xml:space="preserve">Košice sú </w:t>
      </w:r>
      <w:r>
        <w:rPr>
          <w:sz w:val="22"/>
          <w:szCs w:val="22"/>
        </w:rPr>
        <w:t>dô</w:t>
      </w:r>
      <w:r w:rsidR="004C6D40">
        <w:rPr>
          <w:sz w:val="22"/>
          <w:szCs w:val="22"/>
        </w:rPr>
        <w:t>ležitým železničným uzlom Východného Slovenska</w:t>
      </w:r>
      <w:r w:rsidR="00F42982">
        <w:rPr>
          <w:sz w:val="22"/>
          <w:szCs w:val="22"/>
        </w:rPr>
        <w:t xml:space="preserve">. </w:t>
      </w:r>
      <w:r w:rsidR="00B476FF">
        <w:rPr>
          <w:sz w:val="22"/>
          <w:szCs w:val="22"/>
        </w:rPr>
        <w:t>Na juhozápad od</w:t>
      </w:r>
      <w:r w:rsidR="004C6D40">
        <w:rPr>
          <w:sz w:val="22"/>
          <w:szCs w:val="22"/>
        </w:rPr>
        <w:t xml:space="preserve"> Košíc </w:t>
      </w:r>
      <w:r w:rsidR="00B476FF">
        <w:rPr>
          <w:sz w:val="22"/>
          <w:szCs w:val="22"/>
        </w:rPr>
        <w:t>smeruje</w:t>
      </w:r>
      <w:r w:rsidR="00F42982">
        <w:rPr>
          <w:sz w:val="22"/>
          <w:szCs w:val="22"/>
        </w:rPr>
        <w:t xml:space="preserve"> čiastočne dvojkoľajná trať do </w:t>
      </w:r>
      <w:r w:rsidR="004C6D40">
        <w:rPr>
          <w:sz w:val="22"/>
          <w:szCs w:val="22"/>
        </w:rPr>
        <w:t>Plešivca a Zvolena, ktor</w:t>
      </w:r>
      <w:r w:rsidR="002E1021">
        <w:rPr>
          <w:sz w:val="22"/>
          <w:szCs w:val="22"/>
        </w:rPr>
        <w:t>á je však elektrifikovaná len v </w:t>
      </w:r>
      <w:r w:rsidR="004C6D40">
        <w:rPr>
          <w:sz w:val="22"/>
          <w:szCs w:val="22"/>
        </w:rPr>
        <w:t>úseku Košice – Ha</w:t>
      </w:r>
      <w:r w:rsidR="000767A2">
        <w:rPr>
          <w:sz w:val="22"/>
          <w:szCs w:val="22"/>
        </w:rPr>
        <w:t>niska pri Košiciach.</w:t>
      </w:r>
      <w:r w:rsidR="0016202B">
        <w:rPr>
          <w:sz w:val="22"/>
          <w:szCs w:val="22"/>
        </w:rPr>
        <w:t xml:space="preserve"> Trať je súčasťou hlavného južného železničného koridoru Košice – Zvolen – Bratislava, ktorý je zaradený do súhrnnej siete TEN-T.</w:t>
      </w:r>
      <w:r w:rsidR="000767A2">
        <w:rPr>
          <w:sz w:val="22"/>
          <w:szCs w:val="22"/>
        </w:rPr>
        <w:t xml:space="preserve"> Zámerom je </w:t>
      </w:r>
      <w:r w:rsidR="004C6D40">
        <w:rPr>
          <w:sz w:val="22"/>
          <w:szCs w:val="22"/>
        </w:rPr>
        <w:t xml:space="preserve">kontinuálne pokračovať v elektrifikačných prácach v smere na Banskobystrický kraj (prioritne v úseku </w:t>
      </w:r>
      <w:r w:rsidR="004C6D40" w:rsidRPr="00D65742">
        <w:rPr>
          <w:b/>
          <w:sz w:val="22"/>
          <w:szCs w:val="22"/>
        </w:rPr>
        <w:t>Haniska pri Košiciach – Moldava nad Bodvou</w:t>
      </w:r>
      <w:r w:rsidR="0016202B">
        <w:rPr>
          <w:b/>
          <w:sz w:val="22"/>
          <w:szCs w:val="22"/>
        </w:rPr>
        <w:t xml:space="preserve"> </w:t>
      </w:r>
      <w:r w:rsidR="0016202B">
        <w:rPr>
          <w:sz w:val="22"/>
          <w:szCs w:val="22"/>
        </w:rPr>
        <w:t>a výhľadovo v úsekoch Moldava nad Bodvou – Fiľakovo a Fiľakovo - Zvolen</w:t>
      </w:r>
      <w:r w:rsidR="004C6D40">
        <w:rPr>
          <w:sz w:val="22"/>
          <w:szCs w:val="22"/>
        </w:rPr>
        <w:t>).</w:t>
      </w:r>
      <w:r w:rsidR="00F42982">
        <w:rPr>
          <w:sz w:val="22"/>
          <w:szCs w:val="22"/>
        </w:rPr>
        <w:t xml:space="preserve"> Dĺžka úseku plánovaného na elektrifikáciu je cca 20 km.</w:t>
      </w:r>
    </w:p>
    <w:p w14:paraId="617F8B6B" w14:textId="77777777" w:rsidR="009E0158" w:rsidRDefault="00CD58C4"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lastRenderedPageBreak/>
        <w:t>Znižovanie bezpečnostných rizík v železničnej doprave (napr. odstraňovanie úrovňových križovaní s cestnou infraštruktúrou, modernizácia železničných priecestí)</w:t>
      </w:r>
    </w:p>
    <w:p w14:paraId="7514775D" w14:textId="77777777" w:rsidR="001A3F93" w:rsidRDefault="006A14F4" w:rsidP="001A3F93">
      <w:pPr>
        <w:spacing w:before="180"/>
        <w:jc w:val="both"/>
        <w:rPr>
          <w:sz w:val="22"/>
          <w:szCs w:val="22"/>
        </w:rPr>
      </w:pPr>
      <w:r w:rsidRPr="005426DB">
        <w:rPr>
          <w:sz w:val="22"/>
          <w:szCs w:val="22"/>
        </w:rPr>
        <w:t xml:space="preserve">Aj napriek pomerne nízkej nehodovosti na železnici </w:t>
      </w:r>
      <w:r>
        <w:rPr>
          <w:sz w:val="22"/>
          <w:szCs w:val="22"/>
        </w:rPr>
        <w:t xml:space="preserve">v ostatných rokoch </w:t>
      </w:r>
      <w:r w:rsidRPr="005426DB">
        <w:rPr>
          <w:sz w:val="22"/>
          <w:szCs w:val="22"/>
        </w:rPr>
        <w:t xml:space="preserve">je </w:t>
      </w:r>
      <w:r>
        <w:rPr>
          <w:sz w:val="22"/>
          <w:szCs w:val="22"/>
        </w:rPr>
        <w:t>potrebné</w:t>
      </w:r>
      <w:r w:rsidRPr="005426DB">
        <w:rPr>
          <w:sz w:val="22"/>
          <w:szCs w:val="22"/>
        </w:rPr>
        <w:t xml:space="preserve"> pokračovať v</w:t>
      </w:r>
      <w:r>
        <w:rPr>
          <w:sz w:val="22"/>
          <w:szCs w:val="22"/>
        </w:rPr>
        <w:t> </w:t>
      </w:r>
      <w:r w:rsidRPr="005426DB">
        <w:rPr>
          <w:sz w:val="22"/>
          <w:szCs w:val="22"/>
        </w:rPr>
        <w:t>trende znižovania bezpečnostných rizík, a</w:t>
      </w:r>
      <w:r>
        <w:rPr>
          <w:sz w:val="22"/>
          <w:szCs w:val="22"/>
        </w:rPr>
        <w:t> </w:t>
      </w:r>
      <w:r w:rsidRPr="005426DB">
        <w:rPr>
          <w:sz w:val="22"/>
          <w:szCs w:val="22"/>
        </w:rPr>
        <w:t>to pri vnútorných</w:t>
      </w:r>
      <w:r>
        <w:rPr>
          <w:sz w:val="22"/>
          <w:szCs w:val="22"/>
        </w:rPr>
        <w:t xml:space="preserve">, tak aj vonkajších rizikách. Medzi najdôležitejšie </w:t>
      </w:r>
      <w:r w:rsidR="001A3F93">
        <w:rPr>
          <w:sz w:val="22"/>
          <w:szCs w:val="22"/>
        </w:rPr>
        <w:t xml:space="preserve">infraštruktúrne </w:t>
      </w:r>
      <w:r>
        <w:rPr>
          <w:sz w:val="22"/>
          <w:szCs w:val="22"/>
        </w:rPr>
        <w:t xml:space="preserve">opatrenia, na ktoré je potrebné sústrediť pozornosť </w:t>
      </w:r>
      <w:r w:rsidR="001A3F93">
        <w:rPr>
          <w:sz w:val="22"/>
          <w:szCs w:val="22"/>
        </w:rPr>
        <w:t>je možné</w:t>
      </w:r>
      <w:r>
        <w:rPr>
          <w:sz w:val="22"/>
          <w:szCs w:val="22"/>
        </w:rPr>
        <w:t xml:space="preserve"> </w:t>
      </w:r>
      <w:r w:rsidR="000060B9">
        <w:rPr>
          <w:sz w:val="22"/>
          <w:szCs w:val="22"/>
        </w:rPr>
        <w:t>zaradiť agendu</w:t>
      </w:r>
      <w:r w:rsidR="001A3F93">
        <w:rPr>
          <w:sz w:val="22"/>
          <w:szCs w:val="22"/>
        </w:rPr>
        <w:t xml:space="preserve"> zvyšovania bezpečnosti</w:t>
      </w:r>
      <w:r w:rsidR="00AF71BD">
        <w:rPr>
          <w:sz w:val="22"/>
          <w:szCs w:val="22"/>
        </w:rPr>
        <w:t xml:space="preserve"> na železničných priecestiach.</w:t>
      </w:r>
    </w:p>
    <w:p w14:paraId="2D340F6A" w14:textId="77777777" w:rsidR="006A14F4" w:rsidRDefault="001A3F93" w:rsidP="001A3F93">
      <w:pPr>
        <w:spacing w:before="180"/>
        <w:jc w:val="both"/>
        <w:rPr>
          <w:sz w:val="22"/>
          <w:szCs w:val="22"/>
        </w:rPr>
      </w:pPr>
      <w:r>
        <w:rPr>
          <w:sz w:val="22"/>
          <w:szCs w:val="22"/>
        </w:rPr>
        <w:t>Železničné priecestie vo forme úrovňového križovania</w:t>
      </w:r>
      <w:r w:rsidRPr="005426DB">
        <w:rPr>
          <w:sz w:val="22"/>
          <w:szCs w:val="22"/>
        </w:rPr>
        <w:t xml:space="preserve"> železničnej trate a</w:t>
      </w:r>
      <w:r>
        <w:rPr>
          <w:sz w:val="22"/>
          <w:szCs w:val="22"/>
        </w:rPr>
        <w:t> </w:t>
      </w:r>
      <w:r w:rsidRPr="005426DB">
        <w:rPr>
          <w:sz w:val="22"/>
          <w:szCs w:val="22"/>
        </w:rPr>
        <w:t>cestnej komun</w:t>
      </w:r>
      <w:r>
        <w:rPr>
          <w:sz w:val="22"/>
          <w:szCs w:val="22"/>
        </w:rPr>
        <w:t>ikácie je z pohľadu b</w:t>
      </w:r>
      <w:r w:rsidRPr="005426DB">
        <w:rPr>
          <w:sz w:val="22"/>
          <w:szCs w:val="22"/>
        </w:rPr>
        <w:t xml:space="preserve">ezpečnosti na železničnej trati najnebezpečnejším </w:t>
      </w:r>
      <w:r>
        <w:rPr>
          <w:sz w:val="22"/>
          <w:szCs w:val="22"/>
        </w:rPr>
        <w:t>bodom.</w:t>
      </w:r>
      <w:r w:rsidRPr="005426DB">
        <w:rPr>
          <w:sz w:val="22"/>
          <w:szCs w:val="22"/>
        </w:rPr>
        <w:t xml:space="preserve"> </w:t>
      </w:r>
      <w:r>
        <w:rPr>
          <w:sz w:val="22"/>
          <w:szCs w:val="22"/>
        </w:rPr>
        <w:t xml:space="preserve">Ide </w:t>
      </w:r>
      <w:r w:rsidRPr="005426DB">
        <w:rPr>
          <w:sz w:val="22"/>
          <w:szCs w:val="22"/>
        </w:rPr>
        <w:t xml:space="preserve">prakticky </w:t>
      </w:r>
      <w:r>
        <w:rPr>
          <w:sz w:val="22"/>
          <w:szCs w:val="22"/>
        </w:rPr>
        <w:t>o </w:t>
      </w:r>
      <w:r w:rsidRPr="005426DB">
        <w:rPr>
          <w:sz w:val="22"/>
          <w:szCs w:val="22"/>
        </w:rPr>
        <w:t xml:space="preserve">jediné miesto priameho fyzického kontaktu medzi inak pomerne izolovanými dopravnými módmi. </w:t>
      </w:r>
      <w:r w:rsidR="006A14F4">
        <w:rPr>
          <w:sz w:val="22"/>
          <w:szCs w:val="22"/>
        </w:rPr>
        <w:t>Z </w:t>
      </w:r>
      <w:r w:rsidR="006A14F4" w:rsidRPr="005426DB">
        <w:rPr>
          <w:sz w:val="22"/>
          <w:szCs w:val="22"/>
        </w:rPr>
        <w:t>hľadiska neustále stúpajúceho počtu cestných motorových vozidiel</w:t>
      </w:r>
      <w:r>
        <w:rPr>
          <w:sz w:val="22"/>
          <w:szCs w:val="22"/>
        </w:rPr>
        <w:t>,</w:t>
      </w:r>
      <w:r w:rsidR="006A14F4" w:rsidRPr="005426DB">
        <w:rPr>
          <w:sz w:val="22"/>
          <w:szCs w:val="22"/>
        </w:rPr>
        <w:t xml:space="preserve"> a</w:t>
      </w:r>
      <w:r w:rsidR="006A14F4">
        <w:rPr>
          <w:sz w:val="22"/>
          <w:szCs w:val="22"/>
        </w:rPr>
        <w:t> </w:t>
      </w:r>
      <w:r w:rsidR="006A14F4" w:rsidRPr="005426DB">
        <w:rPr>
          <w:sz w:val="22"/>
          <w:szCs w:val="22"/>
        </w:rPr>
        <w:t xml:space="preserve">tým </w:t>
      </w:r>
      <w:r>
        <w:rPr>
          <w:sz w:val="22"/>
          <w:szCs w:val="22"/>
        </w:rPr>
        <w:t>súvisiacej</w:t>
      </w:r>
      <w:r w:rsidR="006A14F4" w:rsidRPr="005426DB">
        <w:rPr>
          <w:sz w:val="22"/>
          <w:szCs w:val="22"/>
        </w:rPr>
        <w:t xml:space="preserve"> možnosti väčšieho počtu kolíz</w:t>
      </w:r>
      <w:r w:rsidR="006A14F4">
        <w:rPr>
          <w:sz w:val="22"/>
          <w:szCs w:val="22"/>
        </w:rPr>
        <w:t>ií so železničnými vozidlami je b</w:t>
      </w:r>
      <w:r w:rsidR="006A14F4" w:rsidRPr="005426DB">
        <w:rPr>
          <w:sz w:val="22"/>
          <w:szCs w:val="22"/>
        </w:rPr>
        <w:t>ezpečnosť na železničných priecestiach vážny celospoločensk</w:t>
      </w:r>
      <w:r w:rsidR="006A14F4">
        <w:rPr>
          <w:sz w:val="22"/>
          <w:szCs w:val="22"/>
        </w:rPr>
        <w:t>ý problém.</w:t>
      </w:r>
    </w:p>
    <w:p w14:paraId="41402D40" w14:textId="5E661A69" w:rsidR="00CD58C4" w:rsidRDefault="006A14F4" w:rsidP="006A14F4">
      <w:pPr>
        <w:spacing w:before="180" w:after="120"/>
        <w:jc w:val="both"/>
        <w:rPr>
          <w:sz w:val="22"/>
          <w:szCs w:val="22"/>
        </w:rPr>
      </w:pPr>
      <w:r>
        <w:rPr>
          <w:sz w:val="22"/>
          <w:szCs w:val="22"/>
        </w:rPr>
        <w:t xml:space="preserve">K 31.12.2012 bolo na území SR evidovaných spolu </w:t>
      </w:r>
      <w:r w:rsidRPr="005426DB">
        <w:rPr>
          <w:sz w:val="22"/>
          <w:szCs w:val="22"/>
        </w:rPr>
        <w:t>2</w:t>
      </w:r>
      <w:r>
        <w:rPr>
          <w:sz w:val="22"/>
          <w:szCs w:val="22"/>
        </w:rPr>
        <w:t xml:space="preserve"> </w:t>
      </w:r>
      <w:r w:rsidRPr="005426DB">
        <w:rPr>
          <w:sz w:val="22"/>
          <w:szCs w:val="22"/>
        </w:rPr>
        <w:t xml:space="preserve">160 </w:t>
      </w:r>
      <w:r>
        <w:rPr>
          <w:sz w:val="22"/>
          <w:szCs w:val="22"/>
        </w:rPr>
        <w:t>priecestí</w:t>
      </w:r>
      <w:r w:rsidRPr="005426DB">
        <w:rPr>
          <w:sz w:val="22"/>
          <w:szCs w:val="22"/>
        </w:rPr>
        <w:t>, z</w:t>
      </w:r>
      <w:r>
        <w:rPr>
          <w:sz w:val="22"/>
          <w:szCs w:val="22"/>
        </w:rPr>
        <w:t> </w:t>
      </w:r>
      <w:r w:rsidRPr="005426DB">
        <w:rPr>
          <w:sz w:val="22"/>
          <w:szCs w:val="22"/>
        </w:rPr>
        <w:t>toho 1</w:t>
      </w:r>
      <w:r>
        <w:rPr>
          <w:sz w:val="22"/>
          <w:szCs w:val="22"/>
        </w:rPr>
        <w:t xml:space="preserve"> </w:t>
      </w:r>
      <w:r w:rsidRPr="005426DB">
        <w:rPr>
          <w:sz w:val="22"/>
          <w:szCs w:val="22"/>
        </w:rPr>
        <w:t>088 zabezpečených</w:t>
      </w:r>
      <w:r w:rsidR="005B2764">
        <w:rPr>
          <w:sz w:val="22"/>
          <w:szCs w:val="22"/>
        </w:rPr>
        <w:t xml:space="preserve"> zabezpečovacím zariadením</w:t>
      </w:r>
      <w:r w:rsidRPr="005426DB">
        <w:rPr>
          <w:sz w:val="22"/>
          <w:szCs w:val="22"/>
        </w:rPr>
        <w:t xml:space="preserve"> a</w:t>
      </w:r>
      <w:r>
        <w:rPr>
          <w:sz w:val="22"/>
          <w:szCs w:val="22"/>
        </w:rPr>
        <w:t> </w:t>
      </w:r>
      <w:r w:rsidRPr="005426DB">
        <w:rPr>
          <w:sz w:val="22"/>
          <w:szCs w:val="22"/>
        </w:rPr>
        <w:t>1</w:t>
      </w:r>
      <w:r>
        <w:rPr>
          <w:sz w:val="22"/>
          <w:szCs w:val="22"/>
        </w:rPr>
        <w:t> </w:t>
      </w:r>
      <w:r w:rsidRPr="005426DB">
        <w:rPr>
          <w:sz w:val="22"/>
          <w:szCs w:val="22"/>
        </w:rPr>
        <w:t>072 zabezpečených</w:t>
      </w:r>
      <w:r w:rsidR="005B2764">
        <w:rPr>
          <w:sz w:val="22"/>
          <w:szCs w:val="22"/>
        </w:rPr>
        <w:t xml:space="preserve"> len dopravnou značkou</w:t>
      </w:r>
      <w:r w:rsidRPr="005426DB">
        <w:rPr>
          <w:sz w:val="22"/>
          <w:szCs w:val="22"/>
        </w:rPr>
        <w:t xml:space="preserve">. </w:t>
      </w:r>
      <w:r>
        <w:rPr>
          <w:sz w:val="22"/>
          <w:szCs w:val="22"/>
        </w:rPr>
        <w:t xml:space="preserve">Negatívny stav z pohľadu bezpečnosti na priecestiach </w:t>
      </w:r>
      <w:r w:rsidRPr="005426DB">
        <w:rPr>
          <w:sz w:val="22"/>
          <w:szCs w:val="22"/>
        </w:rPr>
        <w:t xml:space="preserve">dokumentuje aj štatistika nehodovosti. </w:t>
      </w:r>
      <w:r w:rsidRPr="00996AA1">
        <w:rPr>
          <w:sz w:val="22"/>
          <w:szCs w:val="22"/>
        </w:rPr>
        <w:t>V</w:t>
      </w:r>
      <w:r>
        <w:rPr>
          <w:sz w:val="22"/>
          <w:szCs w:val="22"/>
        </w:rPr>
        <w:t> </w:t>
      </w:r>
      <w:r w:rsidRPr="00996AA1">
        <w:rPr>
          <w:sz w:val="22"/>
          <w:szCs w:val="22"/>
        </w:rPr>
        <w:t xml:space="preserve">roku 2012 došlo </w:t>
      </w:r>
      <w:r>
        <w:rPr>
          <w:sz w:val="22"/>
          <w:szCs w:val="22"/>
        </w:rPr>
        <w:t xml:space="preserve">na železničných priecestiach k 50 nehodám, pri ktorých </w:t>
      </w:r>
      <w:r w:rsidRPr="00996AA1">
        <w:rPr>
          <w:sz w:val="22"/>
          <w:szCs w:val="22"/>
        </w:rPr>
        <w:t xml:space="preserve">bolo usmrtených </w:t>
      </w:r>
      <w:r w:rsidR="007550F8" w:rsidRPr="00996AA1">
        <w:rPr>
          <w:sz w:val="22"/>
          <w:szCs w:val="22"/>
        </w:rPr>
        <w:t>21 osôb</w:t>
      </w:r>
      <w:r w:rsidRPr="00996AA1">
        <w:rPr>
          <w:sz w:val="22"/>
          <w:szCs w:val="22"/>
        </w:rPr>
        <w:t xml:space="preserve">. </w:t>
      </w:r>
      <w:r>
        <w:rPr>
          <w:sz w:val="22"/>
          <w:szCs w:val="22"/>
        </w:rPr>
        <w:t>P</w:t>
      </w:r>
      <w:r w:rsidRPr="005426DB">
        <w:rPr>
          <w:sz w:val="22"/>
          <w:szCs w:val="22"/>
        </w:rPr>
        <w:t xml:space="preserve">resadzovanie znižovania počtu nezabezpečených železničných priecestí </w:t>
      </w:r>
      <w:r>
        <w:rPr>
          <w:sz w:val="22"/>
          <w:szCs w:val="22"/>
        </w:rPr>
        <w:t xml:space="preserve">preto patrí </w:t>
      </w:r>
      <w:r w:rsidRPr="005426DB">
        <w:rPr>
          <w:sz w:val="22"/>
          <w:szCs w:val="22"/>
        </w:rPr>
        <w:t xml:space="preserve">medzi priority </w:t>
      </w:r>
      <w:r>
        <w:rPr>
          <w:sz w:val="22"/>
          <w:szCs w:val="22"/>
        </w:rPr>
        <w:t>MDV</w:t>
      </w:r>
      <w:r w:rsidRPr="005426DB">
        <w:rPr>
          <w:sz w:val="22"/>
          <w:szCs w:val="22"/>
        </w:rPr>
        <w:t xml:space="preserve"> SR.</w:t>
      </w:r>
      <w:r>
        <w:rPr>
          <w:sz w:val="22"/>
          <w:szCs w:val="22"/>
        </w:rPr>
        <w:t xml:space="preserve"> </w:t>
      </w:r>
      <w:r w:rsidRPr="005426DB">
        <w:rPr>
          <w:b/>
          <w:sz w:val="22"/>
          <w:szCs w:val="22"/>
        </w:rPr>
        <w:t>Riešením tohto stavu je realizácia mimoúrovňových križovaní železnice s</w:t>
      </w:r>
      <w:r>
        <w:rPr>
          <w:b/>
          <w:sz w:val="22"/>
          <w:szCs w:val="22"/>
        </w:rPr>
        <w:t> </w:t>
      </w:r>
      <w:r w:rsidRPr="005426DB">
        <w:rPr>
          <w:b/>
          <w:sz w:val="22"/>
          <w:szCs w:val="22"/>
        </w:rPr>
        <w:t>cestnou infraštruktúrou, príp. inštalácia priecestných zabezpečovacích zariadení prioritne v</w:t>
      </w:r>
      <w:r>
        <w:rPr>
          <w:b/>
          <w:sz w:val="22"/>
          <w:szCs w:val="22"/>
        </w:rPr>
        <w:t> </w:t>
      </w:r>
      <w:r w:rsidRPr="005426DB">
        <w:rPr>
          <w:b/>
          <w:sz w:val="22"/>
          <w:szCs w:val="22"/>
        </w:rPr>
        <w:t>úsekoch s</w:t>
      </w:r>
      <w:r>
        <w:rPr>
          <w:b/>
          <w:sz w:val="22"/>
          <w:szCs w:val="22"/>
        </w:rPr>
        <w:t> </w:t>
      </w:r>
      <w:r w:rsidRPr="005426DB">
        <w:rPr>
          <w:b/>
          <w:sz w:val="22"/>
          <w:szCs w:val="22"/>
        </w:rPr>
        <w:t xml:space="preserve">nepriaznivými </w:t>
      </w:r>
      <w:r>
        <w:rPr>
          <w:b/>
          <w:sz w:val="22"/>
          <w:szCs w:val="22"/>
        </w:rPr>
        <w:t>rozhľadovými</w:t>
      </w:r>
      <w:r w:rsidRPr="005426DB">
        <w:rPr>
          <w:b/>
          <w:sz w:val="22"/>
          <w:szCs w:val="22"/>
        </w:rPr>
        <w:t xml:space="preserve"> pomermi.</w:t>
      </w:r>
      <w:r>
        <w:rPr>
          <w:b/>
          <w:sz w:val="22"/>
          <w:szCs w:val="22"/>
        </w:rPr>
        <w:t xml:space="preserve"> </w:t>
      </w:r>
      <w:r w:rsidRPr="00D02C1A">
        <w:rPr>
          <w:b/>
          <w:sz w:val="22"/>
          <w:szCs w:val="22"/>
        </w:rPr>
        <w:t>Komplexn</w:t>
      </w:r>
      <w:r>
        <w:rPr>
          <w:b/>
          <w:sz w:val="22"/>
          <w:szCs w:val="22"/>
        </w:rPr>
        <w:t>ý</w:t>
      </w:r>
      <w:r w:rsidRPr="00D02C1A">
        <w:rPr>
          <w:b/>
          <w:sz w:val="22"/>
          <w:szCs w:val="22"/>
        </w:rPr>
        <w:t xml:space="preserve"> program riešenia problematiky železničných priecestí</w:t>
      </w:r>
      <w:r>
        <w:rPr>
          <w:b/>
          <w:sz w:val="22"/>
          <w:szCs w:val="22"/>
        </w:rPr>
        <w:t xml:space="preserve"> bol schválený vládou SR uznesením č. 448 z 21. augusta 2013. </w:t>
      </w:r>
      <w:r>
        <w:rPr>
          <w:sz w:val="22"/>
          <w:szCs w:val="22"/>
        </w:rPr>
        <w:t xml:space="preserve">Cieľom programu je znížiť počet nehôd na železničných priecestiach na minimálnu úroveň prostredníctvom inštalácie </w:t>
      </w:r>
      <w:r w:rsidRPr="0099699D">
        <w:rPr>
          <w:sz w:val="22"/>
          <w:szCs w:val="22"/>
        </w:rPr>
        <w:t>nových priecestných zabezpečovacích zariadení na</w:t>
      </w:r>
      <w:r>
        <w:rPr>
          <w:sz w:val="22"/>
          <w:szCs w:val="22"/>
        </w:rPr>
        <w:t xml:space="preserve"> najrizikovejších priecestiach doposiaľ </w:t>
      </w:r>
      <w:r w:rsidRPr="0099699D">
        <w:rPr>
          <w:sz w:val="22"/>
          <w:szCs w:val="22"/>
        </w:rPr>
        <w:t>nevy</w:t>
      </w:r>
      <w:r>
        <w:rPr>
          <w:sz w:val="22"/>
          <w:szCs w:val="22"/>
        </w:rPr>
        <w:t>b</w:t>
      </w:r>
      <w:r w:rsidR="000C7996">
        <w:rPr>
          <w:sz w:val="22"/>
          <w:szCs w:val="22"/>
        </w:rPr>
        <w:t>avených priecestným zabezpečovac</w:t>
      </w:r>
      <w:r>
        <w:rPr>
          <w:sz w:val="22"/>
          <w:szCs w:val="22"/>
        </w:rPr>
        <w:t>ím zariadením, ako aj prostredníctvom modernizácie</w:t>
      </w:r>
      <w:r w:rsidRPr="0099699D">
        <w:rPr>
          <w:sz w:val="22"/>
          <w:szCs w:val="22"/>
        </w:rPr>
        <w:t xml:space="preserve"> tých priecestí, kde je to účelné z</w:t>
      </w:r>
      <w:r>
        <w:rPr>
          <w:sz w:val="22"/>
          <w:szCs w:val="22"/>
        </w:rPr>
        <w:t> </w:t>
      </w:r>
      <w:r w:rsidRPr="0099699D">
        <w:rPr>
          <w:sz w:val="22"/>
          <w:szCs w:val="22"/>
        </w:rPr>
        <w:t xml:space="preserve">dôvodu zvýšenia spoľahlivosti starších zariadení. </w:t>
      </w:r>
      <w:r w:rsidRPr="00C91357">
        <w:rPr>
          <w:sz w:val="22"/>
          <w:szCs w:val="22"/>
        </w:rPr>
        <w:t>Dôležitým účinkom týchto opatrení je aj pozitívny vplyv na plynulosť železničnej dopravy (najmä eliminácia rýchlostných obmedzení v</w:t>
      </w:r>
      <w:r>
        <w:rPr>
          <w:sz w:val="22"/>
          <w:szCs w:val="22"/>
        </w:rPr>
        <w:t> </w:t>
      </w:r>
      <w:r w:rsidRPr="00C91357">
        <w:rPr>
          <w:sz w:val="22"/>
          <w:szCs w:val="22"/>
        </w:rPr>
        <w:t>dôsledku zhoršený</w:t>
      </w:r>
      <w:r>
        <w:rPr>
          <w:sz w:val="22"/>
          <w:szCs w:val="22"/>
        </w:rPr>
        <w:t>ch rozhľadových pomerov).</w:t>
      </w:r>
    </w:p>
    <w:p w14:paraId="3B0F0BD7" w14:textId="77777777" w:rsidR="00BD2856" w:rsidRPr="006A14F4" w:rsidRDefault="00BD2856" w:rsidP="00BD2856">
      <w:pPr>
        <w:spacing w:before="180" w:after="120"/>
        <w:jc w:val="both"/>
        <w:rPr>
          <w:sz w:val="22"/>
          <w:szCs w:val="22"/>
        </w:rPr>
      </w:pPr>
      <w:r>
        <w:rPr>
          <w:sz w:val="22"/>
          <w:szCs w:val="22"/>
        </w:rPr>
        <w:t>Významný príspevok k znižovaniu počtu bezpečnostných incidentov a dopravných nehôd na sieti ŽSR môže mať taktiež budovanie kontrolných bodov manažéra infraštruktúry (check-points). Sieťové umiestnenie a technické vybavenie konkrétnych bodov vrátane spôsobu dátovej integrácie do siete ŽSR bude realizované v súlade so štúdiou realizovateľnosti a koncepciou budovania kontrolných bodov na sieti ŽSR.</w:t>
      </w:r>
    </w:p>
    <w:p w14:paraId="5614BEA0" w14:textId="061EC59A" w:rsidR="009E0158" w:rsidRDefault="00CD58C4"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t>Výstavba a modernizácia prestupných terminálov železničnej osobnej doprav</w:t>
      </w:r>
      <w:r w:rsidR="008C0344" w:rsidRPr="005139F6">
        <w:rPr>
          <w:b/>
          <w:i/>
          <w:color w:val="4F81BD" w:themeColor="accent1"/>
          <w:sz w:val="22"/>
          <w:szCs w:val="22"/>
        </w:rPr>
        <w:t>y</w:t>
      </w:r>
      <w:r w:rsidR="00CA605E">
        <w:rPr>
          <w:b/>
          <w:i/>
          <w:color w:val="4F81BD" w:themeColor="accent1"/>
          <w:sz w:val="22"/>
          <w:szCs w:val="22"/>
        </w:rPr>
        <w:t xml:space="preserve"> </w:t>
      </w:r>
      <w:r w:rsidR="00BD2856" w:rsidRPr="005139F6">
        <w:rPr>
          <w:b/>
          <w:i/>
          <w:color w:val="4F81BD" w:themeColor="accent1"/>
          <w:sz w:val="22"/>
          <w:szCs w:val="22"/>
        </w:rPr>
        <w:t>a</w:t>
      </w:r>
      <w:r w:rsidR="00BD2856">
        <w:rPr>
          <w:b/>
          <w:i/>
          <w:color w:val="4F81BD" w:themeColor="accent1"/>
          <w:sz w:val="22"/>
          <w:szCs w:val="22"/>
        </w:rPr>
        <w:t> terminálov integrovanej osobnej prepravy</w:t>
      </w:r>
      <w:r w:rsidR="00BD2856" w:rsidRPr="005139F6">
        <w:rPr>
          <w:b/>
          <w:i/>
          <w:color w:val="4F81BD" w:themeColor="accent1"/>
          <w:sz w:val="22"/>
          <w:szCs w:val="22"/>
        </w:rPr>
        <w:t xml:space="preserve"> </w:t>
      </w:r>
      <w:r w:rsidR="008C0344" w:rsidRPr="005139F6">
        <w:rPr>
          <w:b/>
          <w:i/>
          <w:color w:val="4F81BD" w:themeColor="accent1"/>
          <w:sz w:val="22"/>
          <w:szCs w:val="22"/>
        </w:rPr>
        <w:t>a ich napojení na cestnú sieť</w:t>
      </w:r>
    </w:p>
    <w:p w14:paraId="74E1D9D0" w14:textId="6C6BB7A9" w:rsidR="003F370A" w:rsidRPr="003F370A" w:rsidRDefault="003F370A" w:rsidP="003F370A">
      <w:pPr>
        <w:spacing w:before="120"/>
        <w:jc w:val="both"/>
        <w:rPr>
          <w:sz w:val="22"/>
          <w:szCs w:val="22"/>
        </w:rPr>
      </w:pPr>
      <w:r w:rsidRPr="003F370A">
        <w:rPr>
          <w:sz w:val="22"/>
          <w:szCs w:val="22"/>
        </w:rPr>
        <w:t>Cieľom výstavby terminálov</w:t>
      </w:r>
      <w:r>
        <w:rPr>
          <w:sz w:val="22"/>
          <w:szCs w:val="22"/>
        </w:rPr>
        <w:t xml:space="preserve"> železničnej osobnej do</w:t>
      </w:r>
      <w:r w:rsidRPr="003F370A">
        <w:rPr>
          <w:sz w:val="22"/>
          <w:szCs w:val="22"/>
        </w:rPr>
        <w:t>pravy</w:t>
      </w:r>
      <w:r w:rsidR="00CA605E">
        <w:rPr>
          <w:sz w:val="22"/>
          <w:szCs w:val="22"/>
        </w:rPr>
        <w:t xml:space="preserve"> </w:t>
      </w:r>
      <w:r w:rsidR="00BD2856">
        <w:rPr>
          <w:sz w:val="22"/>
          <w:szCs w:val="22"/>
        </w:rPr>
        <w:t>a terminálov integrovanej osobnej prepravy</w:t>
      </w:r>
      <w:r w:rsidR="00BD2856" w:rsidRPr="003F370A">
        <w:rPr>
          <w:sz w:val="22"/>
          <w:szCs w:val="22"/>
        </w:rPr>
        <w:t xml:space="preserve"> </w:t>
      </w:r>
      <w:r w:rsidRPr="003F370A">
        <w:rPr>
          <w:sz w:val="22"/>
          <w:szCs w:val="22"/>
        </w:rPr>
        <w:t>je optimalizovať počet a umiestnenie prestupných bodov na sieti verejnej hromadnej osobnej dopravy a tým vytvárať podmien</w:t>
      </w:r>
      <w:r w:rsidR="000060B9">
        <w:rPr>
          <w:sz w:val="22"/>
          <w:szCs w:val="22"/>
        </w:rPr>
        <w:t>ky pre </w:t>
      </w:r>
      <w:r w:rsidRPr="003F370A">
        <w:rPr>
          <w:sz w:val="22"/>
          <w:szCs w:val="22"/>
        </w:rPr>
        <w:t>efektívne zabezpečenie prepravných potrieb obyvateľstva. Motivačné prvky pre budúcich používateľov by mali predstavovať časovú a ekonomickú úsporu. Výstavba prestupných bodov bude realizovaná v úzkej spolupráci s modernizáciou dopravnej infraštruktúry a </w:t>
      </w:r>
      <w:r w:rsidR="000060B9">
        <w:rPr>
          <w:sz w:val="22"/>
          <w:szCs w:val="22"/>
        </w:rPr>
        <w:t>obnovou mobilných prostriedkov.</w:t>
      </w:r>
    </w:p>
    <w:p w14:paraId="176DEAAA" w14:textId="77777777" w:rsidR="003F370A" w:rsidRPr="003F370A" w:rsidRDefault="003F370A" w:rsidP="003F370A">
      <w:pPr>
        <w:spacing w:before="120"/>
        <w:jc w:val="both"/>
        <w:rPr>
          <w:sz w:val="22"/>
          <w:szCs w:val="22"/>
        </w:rPr>
      </w:pPr>
      <w:r w:rsidRPr="003F370A">
        <w:rPr>
          <w:sz w:val="22"/>
          <w:szCs w:val="22"/>
        </w:rPr>
        <w:t>Počet, rozmiestnenie a technické riešenie terminálov budú stanovené na základe výsledkov plánov dopravnej obslužnosti. Cieľom stavieb bude</w:t>
      </w:r>
      <w:r>
        <w:rPr>
          <w:sz w:val="22"/>
          <w:szCs w:val="22"/>
        </w:rPr>
        <w:t xml:space="preserve"> presmerovanie</w:t>
      </w:r>
      <w:r w:rsidRPr="003F370A">
        <w:rPr>
          <w:sz w:val="22"/>
          <w:szCs w:val="22"/>
        </w:rPr>
        <w:t xml:space="preserve"> </w:t>
      </w:r>
      <w:r>
        <w:rPr>
          <w:sz w:val="22"/>
          <w:szCs w:val="22"/>
        </w:rPr>
        <w:t>cestnej verejnej dopravy a </w:t>
      </w:r>
      <w:r w:rsidRPr="003F370A">
        <w:rPr>
          <w:sz w:val="22"/>
          <w:szCs w:val="22"/>
        </w:rPr>
        <w:t>individuálnej</w:t>
      </w:r>
      <w:r>
        <w:rPr>
          <w:sz w:val="22"/>
          <w:szCs w:val="22"/>
        </w:rPr>
        <w:t xml:space="preserve"> automobilovej</w:t>
      </w:r>
      <w:r w:rsidRPr="003F370A">
        <w:rPr>
          <w:sz w:val="22"/>
          <w:szCs w:val="22"/>
        </w:rPr>
        <w:t xml:space="preserve"> dopravy na</w:t>
      </w:r>
      <w:r>
        <w:rPr>
          <w:sz w:val="22"/>
          <w:szCs w:val="22"/>
        </w:rPr>
        <w:t xml:space="preserve"> veľkokapacitnú</w:t>
      </w:r>
      <w:r w:rsidRPr="003F370A">
        <w:rPr>
          <w:sz w:val="22"/>
          <w:szCs w:val="22"/>
        </w:rPr>
        <w:t xml:space="preserve"> </w:t>
      </w:r>
      <w:r>
        <w:rPr>
          <w:sz w:val="22"/>
          <w:szCs w:val="22"/>
        </w:rPr>
        <w:t>železničnú dopravu</w:t>
      </w:r>
      <w:r w:rsidR="000060B9">
        <w:rPr>
          <w:sz w:val="22"/>
          <w:szCs w:val="22"/>
        </w:rPr>
        <w:t>. K bezproblémovému prestupu má </w:t>
      </w:r>
      <w:r w:rsidRPr="003F370A">
        <w:rPr>
          <w:sz w:val="22"/>
          <w:szCs w:val="22"/>
        </w:rPr>
        <w:t>slúžiť stavebné riešenie a</w:t>
      </w:r>
      <w:r>
        <w:rPr>
          <w:sz w:val="22"/>
          <w:szCs w:val="22"/>
        </w:rPr>
        <w:t xml:space="preserve"> technické vybavenie terminálov.</w:t>
      </w:r>
    </w:p>
    <w:p w14:paraId="6ED03706" w14:textId="77777777" w:rsidR="009E0158" w:rsidRDefault="008C0344"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t>Výstavba nových železničných zastávok, zavádzanie štandardov tratí a staníc, optimalizácia grafikonu vlakovej dopravy</w:t>
      </w:r>
    </w:p>
    <w:p w14:paraId="44DBD505" w14:textId="1F421422" w:rsidR="003E0235" w:rsidRDefault="003E0235" w:rsidP="003E0235">
      <w:pPr>
        <w:spacing w:before="180"/>
        <w:jc w:val="both"/>
        <w:rPr>
          <w:b/>
          <w:snapToGrid w:val="0"/>
          <w:sz w:val="22"/>
          <w:szCs w:val="22"/>
          <w:lang w:eastAsia="cs-CZ"/>
        </w:rPr>
      </w:pPr>
      <w:r w:rsidRPr="00651BC9">
        <w:rPr>
          <w:snapToGrid w:val="0"/>
          <w:sz w:val="22"/>
          <w:szCs w:val="22"/>
          <w:lang w:eastAsia="cs-CZ"/>
        </w:rPr>
        <w:t>Vývoj železničnej siete SR najmä v</w:t>
      </w:r>
      <w:r>
        <w:rPr>
          <w:snapToGrid w:val="0"/>
          <w:sz w:val="22"/>
          <w:szCs w:val="22"/>
          <w:lang w:eastAsia="cs-CZ"/>
        </w:rPr>
        <w:t> </w:t>
      </w:r>
      <w:r w:rsidRPr="00651BC9">
        <w:rPr>
          <w:snapToGrid w:val="0"/>
          <w:sz w:val="22"/>
          <w:szCs w:val="22"/>
          <w:lang w:eastAsia="cs-CZ"/>
        </w:rPr>
        <w:t xml:space="preserve">ostatných desiatich rokoch bol charakteristický určitou asymetriou. Na jednej strane </w:t>
      </w:r>
      <w:r>
        <w:rPr>
          <w:snapToGrid w:val="0"/>
          <w:sz w:val="22"/>
          <w:szCs w:val="22"/>
          <w:lang w:eastAsia="cs-CZ"/>
        </w:rPr>
        <w:t>smerovali</w:t>
      </w:r>
      <w:r w:rsidRPr="00651BC9">
        <w:rPr>
          <w:snapToGrid w:val="0"/>
          <w:sz w:val="22"/>
          <w:szCs w:val="22"/>
          <w:lang w:eastAsia="cs-CZ"/>
        </w:rPr>
        <w:t xml:space="preserve"> pomerne masívne </w:t>
      </w:r>
      <w:r>
        <w:rPr>
          <w:snapToGrid w:val="0"/>
          <w:sz w:val="22"/>
          <w:szCs w:val="22"/>
          <w:lang w:eastAsia="cs-CZ"/>
        </w:rPr>
        <w:t>investície</w:t>
      </w:r>
      <w:r w:rsidRPr="00651BC9">
        <w:rPr>
          <w:snapToGrid w:val="0"/>
          <w:sz w:val="22"/>
          <w:szCs w:val="22"/>
          <w:lang w:eastAsia="cs-CZ"/>
        </w:rPr>
        <w:t xml:space="preserve"> do</w:t>
      </w:r>
      <w:r>
        <w:rPr>
          <w:snapToGrid w:val="0"/>
          <w:sz w:val="22"/>
          <w:szCs w:val="22"/>
          <w:lang w:eastAsia="cs-CZ"/>
        </w:rPr>
        <w:t xml:space="preserve"> rozvoja koridorových tratí, na </w:t>
      </w:r>
      <w:r w:rsidRPr="00651BC9">
        <w:rPr>
          <w:snapToGrid w:val="0"/>
          <w:sz w:val="22"/>
          <w:szCs w:val="22"/>
          <w:lang w:eastAsia="cs-CZ"/>
        </w:rPr>
        <w:t xml:space="preserve">druhej strane </w:t>
      </w:r>
      <w:r>
        <w:rPr>
          <w:snapToGrid w:val="0"/>
          <w:sz w:val="22"/>
          <w:szCs w:val="22"/>
          <w:lang w:eastAsia="cs-CZ"/>
        </w:rPr>
        <w:t>zdroje na rozvoj ostatných tratí</w:t>
      </w:r>
      <w:r w:rsidRPr="00651BC9">
        <w:rPr>
          <w:snapToGrid w:val="0"/>
          <w:sz w:val="22"/>
          <w:szCs w:val="22"/>
          <w:lang w:eastAsia="cs-CZ"/>
        </w:rPr>
        <w:t xml:space="preserve"> železničnej siete, </w:t>
      </w:r>
      <w:r>
        <w:rPr>
          <w:snapToGrid w:val="0"/>
          <w:sz w:val="22"/>
          <w:szCs w:val="22"/>
          <w:lang w:eastAsia="cs-CZ"/>
        </w:rPr>
        <w:t xml:space="preserve">akokoľvek konkurencieschopných </w:t>
      </w:r>
      <w:r>
        <w:rPr>
          <w:snapToGrid w:val="0"/>
          <w:sz w:val="22"/>
          <w:szCs w:val="22"/>
          <w:lang w:eastAsia="cs-CZ"/>
        </w:rPr>
        <w:lastRenderedPageBreak/>
        <w:t>a využiteľných</w:t>
      </w:r>
      <w:r w:rsidRPr="00651BC9">
        <w:rPr>
          <w:snapToGrid w:val="0"/>
          <w:sz w:val="22"/>
          <w:szCs w:val="22"/>
          <w:lang w:eastAsia="cs-CZ"/>
        </w:rPr>
        <w:t xml:space="preserve"> pre obsluhu </w:t>
      </w:r>
      <w:r>
        <w:rPr>
          <w:snapToGrid w:val="0"/>
          <w:sz w:val="22"/>
          <w:szCs w:val="22"/>
          <w:lang w:eastAsia="cs-CZ"/>
        </w:rPr>
        <w:t xml:space="preserve">relatívne </w:t>
      </w:r>
      <w:r w:rsidRPr="00651BC9">
        <w:rPr>
          <w:snapToGrid w:val="0"/>
          <w:sz w:val="22"/>
          <w:szCs w:val="22"/>
          <w:lang w:eastAsia="cs-CZ"/>
        </w:rPr>
        <w:t>významných prepravných prúdov v</w:t>
      </w:r>
      <w:r w:rsidR="00A83B85">
        <w:rPr>
          <w:snapToGrid w:val="0"/>
          <w:sz w:val="22"/>
          <w:szCs w:val="22"/>
          <w:lang w:eastAsia="cs-CZ"/>
        </w:rPr>
        <w:t xml:space="preserve"> </w:t>
      </w:r>
      <w:r w:rsidRPr="00651BC9">
        <w:rPr>
          <w:snapToGrid w:val="0"/>
          <w:sz w:val="22"/>
          <w:szCs w:val="22"/>
          <w:lang w:eastAsia="cs-CZ"/>
        </w:rPr>
        <w:t>o</w:t>
      </w:r>
      <w:r>
        <w:rPr>
          <w:snapToGrid w:val="0"/>
          <w:sz w:val="22"/>
          <w:szCs w:val="22"/>
          <w:lang w:eastAsia="cs-CZ"/>
        </w:rPr>
        <w:t xml:space="preserve">sobnej alebo nákladnej doprave, </w:t>
      </w:r>
      <w:r w:rsidR="007E69E9">
        <w:rPr>
          <w:snapToGrid w:val="0"/>
          <w:sz w:val="22"/>
          <w:szCs w:val="22"/>
          <w:lang w:eastAsia="cs-CZ"/>
        </w:rPr>
        <w:t>nedosahovali potrebný</w:t>
      </w:r>
      <w:r w:rsidR="00FA419A">
        <w:rPr>
          <w:snapToGrid w:val="0"/>
          <w:sz w:val="22"/>
          <w:szCs w:val="22"/>
          <w:lang w:eastAsia="cs-CZ"/>
        </w:rPr>
        <w:t xml:space="preserve"> rozsah. </w:t>
      </w:r>
      <w:r w:rsidRPr="00651BC9">
        <w:rPr>
          <w:snapToGrid w:val="0"/>
          <w:sz w:val="22"/>
          <w:szCs w:val="22"/>
          <w:lang w:eastAsia="cs-CZ"/>
        </w:rPr>
        <w:t>Príčina tohto faktu spočívala predovšetkým v</w:t>
      </w:r>
      <w:r>
        <w:rPr>
          <w:snapToGrid w:val="0"/>
          <w:sz w:val="22"/>
          <w:szCs w:val="22"/>
          <w:lang w:eastAsia="cs-CZ"/>
        </w:rPr>
        <w:t> </w:t>
      </w:r>
      <w:r w:rsidRPr="00651BC9">
        <w:rPr>
          <w:snapToGrid w:val="0"/>
          <w:sz w:val="22"/>
          <w:szCs w:val="22"/>
          <w:lang w:eastAsia="cs-CZ"/>
        </w:rPr>
        <w:t xml:space="preserve">pomerne </w:t>
      </w:r>
      <w:r>
        <w:rPr>
          <w:snapToGrid w:val="0"/>
          <w:sz w:val="22"/>
          <w:szCs w:val="22"/>
          <w:lang w:eastAsia="cs-CZ"/>
        </w:rPr>
        <w:t>drahých</w:t>
      </w:r>
      <w:r w:rsidRPr="00651BC9">
        <w:rPr>
          <w:snapToGrid w:val="0"/>
          <w:sz w:val="22"/>
          <w:szCs w:val="22"/>
          <w:lang w:eastAsia="cs-CZ"/>
        </w:rPr>
        <w:t xml:space="preserve"> koridorových stavbách, vyžadujúcich významné spolufinancovanie zo štátneho rozpočtu SR. Dôsledkom je stagnácia, v</w:t>
      </w:r>
      <w:r>
        <w:rPr>
          <w:snapToGrid w:val="0"/>
          <w:sz w:val="22"/>
          <w:szCs w:val="22"/>
          <w:lang w:eastAsia="cs-CZ"/>
        </w:rPr>
        <w:t> </w:t>
      </w:r>
      <w:r w:rsidRPr="00651BC9">
        <w:rPr>
          <w:snapToGrid w:val="0"/>
          <w:sz w:val="22"/>
          <w:szCs w:val="22"/>
          <w:lang w:eastAsia="cs-CZ"/>
        </w:rPr>
        <w:t>horšom prípade postupný úpadok nekoridorových tratí. V</w:t>
      </w:r>
      <w:r>
        <w:rPr>
          <w:snapToGrid w:val="0"/>
          <w:sz w:val="22"/>
          <w:szCs w:val="22"/>
          <w:lang w:eastAsia="cs-CZ"/>
        </w:rPr>
        <w:t> </w:t>
      </w:r>
      <w:r w:rsidRPr="00651BC9">
        <w:rPr>
          <w:snapToGrid w:val="0"/>
          <w:sz w:val="22"/>
          <w:szCs w:val="22"/>
          <w:lang w:eastAsia="cs-CZ"/>
        </w:rPr>
        <w:t>snahe obnoviť konkurencieschopnosť železničného sektoru ako celku</w:t>
      </w:r>
      <w:r w:rsidR="00FA419A">
        <w:rPr>
          <w:snapToGrid w:val="0"/>
          <w:sz w:val="22"/>
          <w:szCs w:val="22"/>
          <w:lang w:eastAsia="cs-CZ"/>
        </w:rPr>
        <w:t xml:space="preserve"> (v perspektívnych oblastiach)</w:t>
      </w:r>
      <w:r w:rsidRPr="00651BC9">
        <w:rPr>
          <w:snapToGrid w:val="0"/>
          <w:sz w:val="22"/>
          <w:szCs w:val="22"/>
          <w:lang w:eastAsia="cs-CZ"/>
        </w:rPr>
        <w:t xml:space="preserve">, zvýšiť </w:t>
      </w:r>
      <w:r>
        <w:rPr>
          <w:snapToGrid w:val="0"/>
          <w:sz w:val="22"/>
          <w:szCs w:val="22"/>
          <w:lang w:eastAsia="cs-CZ"/>
        </w:rPr>
        <w:t xml:space="preserve">jeho </w:t>
      </w:r>
      <w:r w:rsidRPr="00651BC9">
        <w:rPr>
          <w:snapToGrid w:val="0"/>
          <w:sz w:val="22"/>
          <w:szCs w:val="22"/>
          <w:lang w:eastAsia="cs-CZ"/>
        </w:rPr>
        <w:t xml:space="preserve">bezpečnosť </w:t>
      </w:r>
      <w:r>
        <w:rPr>
          <w:snapToGrid w:val="0"/>
          <w:sz w:val="22"/>
          <w:szCs w:val="22"/>
          <w:lang w:eastAsia="cs-CZ"/>
        </w:rPr>
        <w:t xml:space="preserve">a </w:t>
      </w:r>
      <w:r w:rsidRPr="00651BC9">
        <w:rPr>
          <w:snapToGrid w:val="0"/>
          <w:sz w:val="22"/>
          <w:szCs w:val="22"/>
          <w:lang w:eastAsia="cs-CZ"/>
        </w:rPr>
        <w:t xml:space="preserve">čo najkomplexnejším spôsobom využiť parametre modernizovaných tratí </w:t>
      </w:r>
      <w:r>
        <w:rPr>
          <w:snapToGrid w:val="0"/>
          <w:sz w:val="22"/>
          <w:szCs w:val="22"/>
          <w:lang w:eastAsia="cs-CZ"/>
        </w:rPr>
        <w:t>boli zo strany MDV</w:t>
      </w:r>
      <w:r w:rsidR="006C2FDA">
        <w:rPr>
          <w:snapToGrid w:val="0"/>
          <w:sz w:val="22"/>
          <w:szCs w:val="22"/>
          <w:lang w:eastAsia="cs-CZ"/>
        </w:rPr>
        <w:t> </w:t>
      </w:r>
      <w:r>
        <w:rPr>
          <w:snapToGrid w:val="0"/>
          <w:sz w:val="22"/>
          <w:szCs w:val="22"/>
          <w:lang w:eastAsia="cs-CZ"/>
        </w:rPr>
        <w:t>SR</w:t>
      </w:r>
      <w:r w:rsidRPr="00651BC9">
        <w:rPr>
          <w:snapToGrid w:val="0"/>
          <w:sz w:val="22"/>
          <w:szCs w:val="22"/>
          <w:lang w:eastAsia="cs-CZ"/>
        </w:rPr>
        <w:t xml:space="preserve"> i</w:t>
      </w:r>
      <w:r>
        <w:rPr>
          <w:snapToGrid w:val="0"/>
          <w:sz w:val="22"/>
          <w:szCs w:val="22"/>
          <w:lang w:eastAsia="cs-CZ"/>
        </w:rPr>
        <w:t>dentifikované</w:t>
      </w:r>
      <w:r w:rsidRPr="00651BC9">
        <w:rPr>
          <w:snapToGrid w:val="0"/>
          <w:sz w:val="22"/>
          <w:szCs w:val="22"/>
          <w:lang w:eastAsia="cs-CZ"/>
        </w:rPr>
        <w:t xml:space="preserve"> dôležité investičné témy v</w:t>
      </w:r>
      <w:r>
        <w:rPr>
          <w:snapToGrid w:val="0"/>
          <w:sz w:val="22"/>
          <w:szCs w:val="22"/>
          <w:lang w:eastAsia="cs-CZ"/>
        </w:rPr>
        <w:t> </w:t>
      </w:r>
      <w:r w:rsidRPr="00651BC9">
        <w:rPr>
          <w:snapToGrid w:val="0"/>
          <w:sz w:val="22"/>
          <w:szCs w:val="22"/>
          <w:lang w:eastAsia="cs-CZ"/>
        </w:rPr>
        <w:t>oblasti železničnej infraštruktúry</w:t>
      </w:r>
      <w:r w:rsidR="00FA419A">
        <w:rPr>
          <w:snapToGrid w:val="0"/>
          <w:sz w:val="22"/>
          <w:szCs w:val="22"/>
          <w:lang w:eastAsia="cs-CZ"/>
        </w:rPr>
        <w:t>, ktorým je</w:t>
      </w:r>
      <w:r w:rsidR="006C2FDA">
        <w:rPr>
          <w:snapToGrid w:val="0"/>
          <w:sz w:val="22"/>
          <w:szCs w:val="22"/>
          <w:lang w:eastAsia="cs-CZ"/>
        </w:rPr>
        <w:t xml:space="preserve"> </w:t>
      </w:r>
      <w:r>
        <w:rPr>
          <w:snapToGrid w:val="0"/>
          <w:sz w:val="22"/>
          <w:szCs w:val="22"/>
          <w:lang w:eastAsia="cs-CZ"/>
        </w:rPr>
        <w:t xml:space="preserve">potrebné venovať náležitú pozornosť. </w:t>
      </w:r>
      <w:r w:rsidRPr="00FA419A">
        <w:rPr>
          <w:b/>
          <w:snapToGrid w:val="0"/>
          <w:sz w:val="22"/>
          <w:szCs w:val="22"/>
          <w:lang w:eastAsia="cs-CZ"/>
        </w:rPr>
        <w:t xml:space="preserve">Ide najmä o projekty zamerané na optimalizáciu grafikonu vlakovej dopravy, výstavbu nových železničných zastávok, zavedenie štandardov </w:t>
      </w:r>
      <w:r w:rsidR="00827550">
        <w:rPr>
          <w:b/>
          <w:snapToGrid w:val="0"/>
          <w:sz w:val="22"/>
          <w:szCs w:val="22"/>
          <w:lang w:eastAsia="cs-CZ"/>
        </w:rPr>
        <w:t>tratí a</w:t>
      </w:r>
      <w:r w:rsidR="000723B6">
        <w:rPr>
          <w:b/>
          <w:snapToGrid w:val="0"/>
          <w:sz w:val="22"/>
          <w:szCs w:val="22"/>
          <w:lang w:eastAsia="cs-CZ"/>
        </w:rPr>
        <w:t xml:space="preserve"> </w:t>
      </w:r>
      <w:r w:rsidR="00827550">
        <w:rPr>
          <w:b/>
          <w:snapToGrid w:val="0"/>
          <w:sz w:val="22"/>
          <w:szCs w:val="22"/>
          <w:lang w:eastAsia="cs-CZ"/>
        </w:rPr>
        <w:t>staníc</w:t>
      </w:r>
      <w:r w:rsidRPr="00FA419A">
        <w:rPr>
          <w:b/>
          <w:snapToGrid w:val="0"/>
          <w:sz w:val="22"/>
          <w:szCs w:val="22"/>
          <w:lang w:eastAsia="cs-CZ"/>
        </w:rPr>
        <w:t>.</w:t>
      </w:r>
    </w:p>
    <w:p w14:paraId="4087F3C3" w14:textId="77777777" w:rsidR="00DF263C" w:rsidRPr="00005DA9" w:rsidRDefault="00DF263C" w:rsidP="00DF263C">
      <w:pPr>
        <w:spacing w:before="180"/>
        <w:jc w:val="both"/>
        <w:rPr>
          <w:b/>
          <w:snapToGrid w:val="0"/>
          <w:sz w:val="22"/>
          <w:szCs w:val="22"/>
          <w:lang w:eastAsia="cs-CZ"/>
        </w:rPr>
      </w:pPr>
      <w:r w:rsidRPr="000C02ED">
        <w:rPr>
          <w:sz w:val="22"/>
          <w:szCs w:val="22"/>
        </w:rPr>
        <w:t xml:space="preserve">Tieto aktivity reflektujú prioritu v rámci cieľa Strategického plánu - kvalitná a konkurencieschopná osobná železničná doprava. </w:t>
      </w:r>
      <w:r>
        <w:rPr>
          <w:sz w:val="22"/>
          <w:szCs w:val="22"/>
        </w:rPr>
        <w:t xml:space="preserve">V rámci realizácie tejto priority (SZ1.1) - </w:t>
      </w:r>
      <w:r w:rsidRPr="00AF51A7">
        <w:rPr>
          <w:sz w:val="22"/>
          <w:szCs w:val="22"/>
        </w:rPr>
        <w:t>Komfortná osobná doprava</w:t>
      </w:r>
      <w:r>
        <w:rPr>
          <w:sz w:val="22"/>
          <w:szCs w:val="22"/>
        </w:rPr>
        <w:t xml:space="preserve"> sa bude klásť dôraz najmä na zásadné zlepšenie parametrov. Ide o zvýšenie komfortu formou obnovy vybavenosti staníc a zastávok, informačných systém</w:t>
      </w:r>
      <w:r w:rsidR="00692172">
        <w:rPr>
          <w:sz w:val="22"/>
          <w:szCs w:val="22"/>
        </w:rPr>
        <w:t>ov</w:t>
      </w:r>
      <w:r>
        <w:rPr>
          <w:sz w:val="22"/>
          <w:szCs w:val="22"/>
        </w:rPr>
        <w:t xml:space="preserve"> a pod.</w:t>
      </w:r>
    </w:p>
    <w:p w14:paraId="3A9F5C9A" w14:textId="7FD7140C" w:rsidR="00FA419A" w:rsidRDefault="003E0235" w:rsidP="003E0235">
      <w:pPr>
        <w:spacing w:before="180"/>
        <w:jc w:val="both"/>
        <w:rPr>
          <w:sz w:val="22"/>
          <w:szCs w:val="22"/>
        </w:rPr>
      </w:pPr>
      <w:r>
        <w:rPr>
          <w:sz w:val="22"/>
          <w:szCs w:val="22"/>
        </w:rPr>
        <w:t>Cieľom</w:t>
      </w:r>
      <w:r w:rsidRPr="00EE7925">
        <w:rPr>
          <w:sz w:val="22"/>
          <w:szCs w:val="22"/>
        </w:rPr>
        <w:t xml:space="preserve"> projektov</w:t>
      </w:r>
      <w:r>
        <w:rPr>
          <w:sz w:val="22"/>
          <w:szCs w:val="22"/>
        </w:rPr>
        <w:t xml:space="preserve"> zameraných na optimalizáciu grafikonu vlakovej dopravy</w:t>
      </w:r>
      <w:r w:rsidRPr="00EE7925">
        <w:rPr>
          <w:sz w:val="22"/>
          <w:szCs w:val="22"/>
        </w:rPr>
        <w:t xml:space="preserve"> je zabezpečiť optimalizovaný integrovaný cestovn</w:t>
      </w:r>
      <w:r>
        <w:rPr>
          <w:sz w:val="22"/>
          <w:szCs w:val="22"/>
        </w:rPr>
        <w:t>ý poriadok na celej sieti tratí</w:t>
      </w:r>
      <w:r w:rsidRPr="00EE7925">
        <w:rPr>
          <w:sz w:val="22"/>
          <w:szCs w:val="22"/>
        </w:rPr>
        <w:t xml:space="preserve"> perspektívnych pre zabezpečovanie regionálnej železničnej osobnej dopravy, ktorý by bol prispôsobený cestovnému poriadku diaľkových vlakov na koridorových tratiach, plne využívajúcich ich zlepšené </w:t>
      </w:r>
      <w:r>
        <w:rPr>
          <w:sz w:val="22"/>
          <w:szCs w:val="22"/>
        </w:rPr>
        <w:t>parametre. Cestovný poriadok na </w:t>
      </w:r>
      <w:r w:rsidRPr="00EE7925">
        <w:rPr>
          <w:sz w:val="22"/>
          <w:szCs w:val="22"/>
        </w:rPr>
        <w:t>týchto tratiach by mal byť zorganizovaný v</w:t>
      </w:r>
      <w:r>
        <w:rPr>
          <w:sz w:val="22"/>
          <w:szCs w:val="22"/>
        </w:rPr>
        <w:t> </w:t>
      </w:r>
      <w:r w:rsidRPr="00EE7925">
        <w:rPr>
          <w:sz w:val="22"/>
          <w:szCs w:val="22"/>
        </w:rPr>
        <w:t>pravidelnom taktovom režime, s</w:t>
      </w:r>
      <w:r>
        <w:rPr>
          <w:sz w:val="22"/>
          <w:szCs w:val="22"/>
        </w:rPr>
        <w:t> </w:t>
      </w:r>
      <w:r w:rsidRPr="00EE7925">
        <w:rPr>
          <w:sz w:val="22"/>
          <w:szCs w:val="22"/>
        </w:rPr>
        <w:t>optimálnou vzájomnou previazanosťou jednotlivých systémov spojov v</w:t>
      </w:r>
      <w:r>
        <w:rPr>
          <w:sz w:val="22"/>
          <w:szCs w:val="22"/>
        </w:rPr>
        <w:t> </w:t>
      </w:r>
      <w:r w:rsidRPr="00EE7925">
        <w:rPr>
          <w:sz w:val="22"/>
          <w:szCs w:val="22"/>
        </w:rPr>
        <w:t xml:space="preserve">uzlových staniciach. </w:t>
      </w:r>
      <w:r>
        <w:rPr>
          <w:b/>
          <w:sz w:val="22"/>
          <w:szCs w:val="22"/>
        </w:rPr>
        <w:t>Základným operátom pre </w:t>
      </w:r>
      <w:r w:rsidRPr="00FD1DB1">
        <w:rPr>
          <w:b/>
          <w:sz w:val="22"/>
          <w:szCs w:val="22"/>
        </w:rPr>
        <w:t>výber týchto projektov bude cieľový grafikon vlakovej dopravy pre obdobie po ukončení modernizácie koridoru v úseku Bratislava – Žilina.</w:t>
      </w:r>
      <w:r w:rsidRPr="00EE7925">
        <w:rPr>
          <w:sz w:val="22"/>
          <w:szCs w:val="22"/>
        </w:rPr>
        <w:t xml:space="preserve"> Z</w:t>
      </w:r>
      <w:r>
        <w:rPr>
          <w:sz w:val="22"/>
          <w:szCs w:val="22"/>
        </w:rPr>
        <w:t> </w:t>
      </w:r>
      <w:r w:rsidRPr="00EE7925">
        <w:rPr>
          <w:sz w:val="22"/>
          <w:szCs w:val="22"/>
        </w:rPr>
        <w:t>tohto cieľového grafiko</w:t>
      </w:r>
      <w:r>
        <w:rPr>
          <w:sz w:val="22"/>
          <w:szCs w:val="22"/>
        </w:rPr>
        <w:t xml:space="preserve">nu vyplynie </w:t>
      </w:r>
      <w:r w:rsidRPr="00EE7925">
        <w:rPr>
          <w:sz w:val="22"/>
          <w:szCs w:val="22"/>
        </w:rPr>
        <w:t>exaktne definovaný zoznam konkrétnych investičných projektov na strane ŽSR i</w:t>
      </w:r>
      <w:r>
        <w:rPr>
          <w:sz w:val="22"/>
          <w:szCs w:val="22"/>
        </w:rPr>
        <w:t> operátorov</w:t>
      </w:r>
      <w:r w:rsidRPr="00EE7925">
        <w:rPr>
          <w:sz w:val="22"/>
          <w:szCs w:val="22"/>
        </w:rPr>
        <w:t xml:space="preserve">, ktoré je </w:t>
      </w:r>
      <w:r>
        <w:rPr>
          <w:sz w:val="22"/>
          <w:szCs w:val="22"/>
        </w:rPr>
        <w:t>potrebné</w:t>
      </w:r>
      <w:r w:rsidRPr="00EE7925">
        <w:rPr>
          <w:sz w:val="22"/>
          <w:szCs w:val="22"/>
        </w:rPr>
        <w:t xml:space="preserve"> </w:t>
      </w:r>
      <w:r>
        <w:rPr>
          <w:sz w:val="22"/>
          <w:szCs w:val="22"/>
        </w:rPr>
        <w:t xml:space="preserve">vykonať, aby po ukončení modernizácie koridoru </w:t>
      </w:r>
      <w:r w:rsidR="00FA419A">
        <w:rPr>
          <w:sz w:val="22"/>
          <w:szCs w:val="22"/>
        </w:rPr>
        <w:t xml:space="preserve">v smere Bratislava – Žilina </w:t>
      </w:r>
      <w:r w:rsidRPr="00EE7925">
        <w:rPr>
          <w:sz w:val="22"/>
          <w:szCs w:val="22"/>
        </w:rPr>
        <w:t xml:space="preserve">mohol </w:t>
      </w:r>
      <w:r>
        <w:rPr>
          <w:sz w:val="22"/>
          <w:szCs w:val="22"/>
        </w:rPr>
        <w:t>byť ideálny grafikon uvedený do</w:t>
      </w:r>
      <w:r w:rsidR="000A586F">
        <w:rPr>
          <w:sz w:val="22"/>
          <w:szCs w:val="22"/>
        </w:rPr>
        <w:t xml:space="preserve"> </w:t>
      </w:r>
      <w:r w:rsidR="00FF1175">
        <w:rPr>
          <w:sz w:val="22"/>
          <w:szCs w:val="22"/>
        </w:rPr>
        <w:t>praxe.</w:t>
      </w:r>
    </w:p>
    <w:p w14:paraId="0EB054D8" w14:textId="77777777" w:rsidR="003E0235" w:rsidRDefault="003E0235" w:rsidP="00FA419A">
      <w:pPr>
        <w:spacing w:before="180" w:after="120"/>
        <w:jc w:val="both"/>
        <w:rPr>
          <w:sz w:val="22"/>
          <w:szCs w:val="22"/>
        </w:rPr>
      </w:pPr>
      <w:r w:rsidRPr="00DA54CE">
        <w:rPr>
          <w:b/>
          <w:sz w:val="22"/>
          <w:szCs w:val="22"/>
        </w:rPr>
        <w:t>V ďalšom období je možné predpokladať najmä realizáciu projektov</w:t>
      </w:r>
      <w:r w:rsidRPr="004818C0">
        <w:rPr>
          <w:b/>
          <w:sz w:val="22"/>
          <w:szCs w:val="22"/>
        </w:rPr>
        <w:t xml:space="preserve"> komplexnej optimalizácie jazdných časov na vybraných tratiach (napr. zvýšením traťovej rýchlosti bez zmeny trasovania trate, skrátením križovacích intervalov v jestvujúcich dopravných bodoch), výstavbu výhybní, v ojedinelých prípadoch aj zdvojkoľajnenie krátkych úsekov.</w:t>
      </w:r>
      <w:r w:rsidR="00FA419A">
        <w:rPr>
          <w:b/>
          <w:sz w:val="22"/>
          <w:szCs w:val="22"/>
        </w:rPr>
        <w:t xml:space="preserve"> </w:t>
      </w:r>
      <w:r w:rsidR="00FA419A" w:rsidRPr="00FA419A">
        <w:rPr>
          <w:sz w:val="22"/>
          <w:szCs w:val="22"/>
        </w:rPr>
        <w:t xml:space="preserve">Investičný plán konkrétnych </w:t>
      </w:r>
      <w:r w:rsidR="00B01DF9">
        <w:rPr>
          <w:sz w:val="22"/>
          <w:szCs w:val="22"/>
        </w:rPr>
        <w:t>stavieb</w:t>
      </w:r>
      <w:r w:rsidR="00FA419A" w:rsidRPr="00FA419A">
        <w:rPr>
          <w:sz w:val="22"/>
          <w:szCs w:val="22"/>
        </w:rPr>
        <w:t xml:space="preserve"> bude </w:t>
      </w:r>
      <w:r w:rsidR="00FA419A" w:rsidRPr="00A21DD4">
        <w:rPr>
          <w:sz w:val="22"/>
          <w:szCs w:val="22"/>
        </w:rPr>
        <w:t xml:space="preserve">pripravovaný priebežne pre jednotlivé </w:t>
      </w:r>
      <w:r w:rsidR="00B01DF9" w:rsidRPr="00A21DD4">
        <w:rPr>
          <w:sz w:val="22"/>
          <w:szCs w:val="22"/>
        </w:rPr>
        <w:t>koridory, resp. funkčné celky, s rešpektovaním výstupov relevantných štúdií realizovateľnosti a/alebo odborných štúdií.</w:t>
      </w:r>
    </w:p>
    <w:p w14:paraId="1DB38E3B" w14:textId="70D36EDA" w:rsidR="00757BF3" w:rsidRPr="00A21DD4" w:rsidRDefault="00757BF3" w:rsidP="00FA419A">
      <w:pPr>
        <w:spacing w:before="180" w:after="120"/>
        <w:jc w:val="both"/>
        <w:rPr>
          <w:sz w:val="22"/>
          <w:szCs w:val="22"/>
        </w:rPr>
      </w:pPr>
      <w:r>
        <w:rPr>
          <w:sz w:val="22"/>
          <w:szCs w:val="22"/>
        </w:rPr>
        <w:t>Pre zavádzanie nových štandardov,</w:t>
      </w:r>
      <w:r w:rsidR="000A586F">
        <w:rPr>
          <w:sz w:val="22"/>
          <w:szCs w:val="22"/>
        </w:rPr>
        <w:t xml:space="preserve"> </w:t>
      </w:r>
      <w:r>
        <w:rPr>
          <w:sz w:val="22"/>
          <w:szCs w:val="22"/>
        </w:rPr>
        <w:t>vybavenia železničných staníc a</w:t>
      </w:r>
      <w:r w:rsidR="000A586F">
        <w:rPr>
          <w:sz w:val="22"/>
          <w:szCs w:val="22"/>
        </w:rPr>
        <w:t xml:space="preserve"> </w:t>
      </w:r>
      <w:r>
        <w:rPr>
          <w:sz w:val="22"/>
          <w:szCs w:val="22"/>
        </w:rPr>
        <w:t>celkové zvyšovanie bezpečnostných štandardov na železnici (napr. opatrenia na elimináciu krízových situácií a terorizmu) je nevyhnutné realizovať s tým súvisiacu podpornú infraštruktúru (telematika, inovácia sledovacích systémov, integrácia bezpečnostných systémov a previazanie s integrovaným záchranným systémom).</w:t>
      </w:r>
    </w:p>
    <w:p w14:paraId="0C6423E9" w14:textId="0EFA1D81" w:rsidR="009E0158" w:rsidRDefault="0020040D" w:rsidP="00AA304D">
      <w:pPr>
        <w:numPr>
          <w:ilvl w:val="2"/>
          <w:numId w:val="33"/>
        </w:numPr>
        <w:spacing w:before="180" w:after="120"/>
        <w:ind w:left="851" w:hanging="425"/>
        <w:jc w:val="both"/>
        <w:rPr>
          <w:b/>
          <w:i/>
          <w:color w:val="4F81BD" w:themeColor="accent1"/>
          <w:sz w:val="22"/>
          <w:szCs w:val="22"/>
        </w:rPr>
      </w:pPr>
      <w:r w:rsidRPr="00A21DD4">
        <w:rPr>
          <w:b/>
          <w:i/>
          <w:color w:val="4F81BD" w:themeColor="accent1"/>
          <w:sz w:val="22"/>
          <w:szCs w:val="22"/>
        </w:rPr>
        <w:t>Vybudovanie infraštruktúry na kontrolu a prípravu vozového parku železničnej osobnej dopravy pre prevádzku v rámci služieb vo verejnom záujme</w:t>
      </w:r>
    </w:p>
    <w:p w14:paraId="78C25724" w14:textId="34A45622" w:rsidR="007550F8" w:rsidRPr="00A21DD4" w:rsidRDefault="0020040D" w:rsidP="007550F8">
      <w:pPr>
        <w:spacing w:before="120"/>
        <w:jc w:val="both"/>
        <w:rPr>
          <w:sz w:val="22"/>
          <w:szCs w:val="22"/>
          <w:lang w:eastAsia="cs-CZ"/>
        </w:rPr>
      </w:pPr>
      <w:r w:rsidRPr="00A21DD4">
        <w:rPr>
          <w:sz w:val="22"/>
          <w:szCs w:val="22"/>
          <w:lang w:eastAsia="cs-CZ"/>
        </w:rPr>
        <w:t>Jedným zo základných predpokladov pre poskytovanie kvalitných a udržateľných prepravných služieb</w:t>
      </w:r>
      <w:r w:rsidR="00A83B85">
        <w:rPr>
          <w:sz w:val="22"/>
          <w:szCs w:val="22"/>
          <w:lang w:eastAsia="cs-CZ"/>
        </w:rPr>
        <w:t xml:space="preserve"> </w:t>
      </w:r>
      <w:r w:rsidRPr="00A21DD4">
        <w:rPr>
          <w:sz w:val="22"/>
          <w:szCs w:val="22"/>
          <w:lang w:eastAsia="cs-CZ"/>
        </w:rPr>
        <w:t>je kvalitatívne vyhovujúca infraštruktúra zabezpečujúca prevádzku koľajových vozidiel s</w:t>
      </w:r>
      <w:r w:rsidR="008D1624" w:rsidRPr="00A21DD4">
        <w:rPr>
          <w:sz w:val="22"/>
          <w:szCs w:val="22"/>
          <w:lang w:eastAsia="cs-CZ"/>
        </w:rPr>
        <w:t> </w:t>
      </w:r>
      <w:r w:rsidRPr="00A21DD4">
        <w:rPr>
          <w:sz w:val="22"/>
          <w:szCs w:val="22"/>
          <w:lang w:eastAsia="cs-CZ"/>
        </w:rPr>
        <w:t>minimálnymi dopadmi na ľudské zdravie a životné prostredie. Uvedená oblasť je jedným z</w:t>
      </w:r>
      <w:r w:rsidR="000A586F">
        <w:rPr>
          <w:sz w:val="22"/>
          <w:szCs w:val="22"/>
          <w:lang w:eastAsia="cs-CZ"/>
        </w:rPr>
        <w:t xml:space="preserve"> </w:t>
      </w:r>
      <w:r w:rsidRPr="00A21DD4">
        <w:rPr>
          <w:sz w:val="22"/>
          <w:szCs w:val="22"/>
          <w:lang w:eastAsia="cs-CZ"/>
        </w:rPr>
        <w:t>úzkych miest rozvoja železničnej osobnej dopravy na Slovensku, a to tak z </w:t>
      </w:r>
      <w:r w:rsidR="00EE1980" w:rsidRPr="00A21DD4">
        <w:rPr>
          <w:sz w:val="22"/>
          <w:szCs w:val="22"/>
          <w:lang w:eastAsia="cs-CZ"/>
        </w:rPr>
        <w:t xml:space="preserve">hľadiska </w:t>
      </w:r>
      <w:r w:rsidRPr="00A21DD4">
        <w:rPr>
          <w:sz w:val="22"/>
          <w:szCs w:val="22"/>
          <w:lang w:eastAsia="cs-CZ"/>
        </w:rPr>
        <w:t>kvality poskytovaných služieb, ako aj jej negatívnych dopadov na životné prostredie.</w:t>
      </w:r>
    </w:p>
    <w:p w14:paraId="5295F471" w14:textId="77777777" w:rsidR="00662EB4" w:rsidRPr="00A21DD4" w:rsidRDefault="0020040D" w:rsidP="007550F8">
      <w:pPr>
        <w:spacing w:before="180"/>
        <w:jc w:val="both"/>
        <w:rPr>
          <w:sz w:val="22"/>
          <w:szCs w:val="22"/>
        </w:rPr>
      </w:pPr>
      <w:r w:rsidRPr="00A21DD4">
        <w:rPr>
          <w:sz w:val="22"/>
          <w:szCs w:val="22"/>
          <w:lang w:eastAsia="cs-CZ"/>
        </w:rPr>
        <w:t>Sieť pracovísk zabezpečujúcich prípravu prevádzky vlakov sa v prevažnej miere vyznačuje zastaranou a nevhodnou infraštruktúrou pre vykonávanie bezpečnostných prehliadok, ako aj činností súvisiacich s prípravou moderných ucelených koľajových jednotiek, navyše s výrazne negatívnym dopadom na</w:t>
      </w:r>
      <w:r w:rsidR="00A66C74" w:rsidRPr="00A21DD4">
        <w:rPr>
          <w:sz w:val="22"/>
          <w:szCs w:val="22"/>
          <w:lang w:eastAsia="cs-CZ"/>
        </w:rPr>
        <w:t> </w:t>
      </w:r>
      <w:r w:rsidRPr="00A21DD4">
        <w:rPr>
          <w:sz w:val="22"/>
          <w:szCs w:val="22"/>
          <w:lang w:eastAsia="cs-CZ"/>
        </w:rPr>
        <w:t xml:space="preserve">životné prostredie. </w:t>
      </w:r>
      <w:r w:rsidRPr="00A21DD4">
        <w:rPr>
          <w:sz w:val="22"/>
          <w:szCs w:val="22"/>
        </w:rPr>
        <w:t>Je potrebná sanácia miest dlhodobo ekologicky zaťažených nevhodným výkonom činností a zároveň nastavenie novej koncepcie udržateľného, efektívneho a environmentálne prípustného chodu celého systému na základe nového prevádzkového konceptu.</w:t>
      </w:r>
      <w:r w:rsidRPr="00A21DD4">
        <w:rPr>
          <w:sz w:val="22"/>
          <w:szCs w:val="22"/>
          <w:lang w:eastAsia="cs-CZ"/>
        </w:rPr>
        <w:t xml:space="preserve"> Z environmentálneho hľadiska je zásadná ochrana povrchových a podzemných vôd prostredníctvom výstavby kanalizačného systému, čistiarní odpadových vôd a pod.</w:t>
      </w:r>
    </w:p>
    <w:p w14:paraId="5DCF7056" w14:textId="0330D93E" w:rsidR="00CC4631" w:rsidRPr="00A21DD4" w:rsidRDefault="0020040D" w:rsidP="007550F8">
      <w:pPr>
        <w:spacing w:before="180"/>
        <w:jc w:val="both"/>
        <w:rPr>
          <w:sz w:val="22"/>
          <w:szCs w:val="22"/>
          <w:lang w:eastAsia="cs-CZ"/>
        </w:rPr>
      </w:pPr>
      <w:r w:rsidRPr="00A21DD4">
        <w:rPr>
          <w:sz w:val="22"/>
          <w:szCs w:val="22"/>
          <w:lang w:eastAsia="cs-CZ"/>
        </w:rPr>
        <w:lastRenderedPageBreak/>
        <w:t>S cieľom zabezpečiť udržateľnosť kvality služieb poskytovaných v rám</w:t>
      </w:r>
      <w:r w:rsidR="00A83B85">
        <w:rPr>
          <w:sz w:val="22"/>
          <w:szCs w:val="22"/>
          <w:lang w:eastAsia="cs-CZ"/>
        </w:rPr>
        <w:t xml:space="preserve">ci železničnej verejnej osobnej </w:t>
      </w:r>
      <w:r w:rsidRPr="00A21DD4">
        <w:rPr>
          <w:sz w:val="22"/>
          <w:szCs w:val="22"/>
          <w:lang w:eastAsia="cs-CZ"/>
        </w:rPr>
        <w:t xml:space="preserve">dopravy na základe zmluvy o službách vo verejnom záujme je preto </w:t>
      </w:r>
      <w:r w:rsidRPr="00A21DD4">
        <w:rPr>
          <w:b/>
          <w:sz w:val="22"/>
          <w:szCs w:val="22"/>
          <w:lang w:eastAsia="cs-CZ"/>
        </w:rPr>
        <w:t>nevyhnutné pristúpiť k modernizácii tejto infraštruktúry pretože tvorí integrálnu súčasť prevádzkovania vlakov v železničnej osobnej doprave.</w:t>
      </w:r>
      <w:r w:rsidRPr="00A21DD4">
        <w:rPr>
          <w:sz w:val="22"/>
          <w:szCs w:val="22"/>
          <w:lang w:eastAsia="cs-CZ"/>
        </w:rPr>
        <w:t xml:space="preserve"> Cieľom aktivít je naplnenie environmentálnych požiadaviek na prevádzku pracovísk, zvýšenie kvality výkonov, zefektívnenie procesov – skrátenie prestojov vlakových súprav vyvolaných nevyhnutnými prehliadkami a činnosťami, optimalizácia počtu pracovísk a s tým spojené zníženie prevádzkových nákladov.</w:t>
      </w:r>
    </w:p>
    <w:p w14:paraId="7A15728C" w14:textId="77777777" w:rsidR="00D57810" w:rsidRPr="00A21DD4" w:rsidRDefault="0020040D" w:rsidP="00CC4631">
      <w:pPr>
        <w:spacing w:before="180"/>
        <w:jc w:val="both"/>
        <w:rPr>
          <w:color w:val="000000" w:themeColor="text1"/>
          <w:sz w:val="22"/>
          <w:szCs w:val="22"/>
          <w:lang w:eastAsia="cs-CZ"/>
        </w:rPr>
      </w:pPr>
      <w:r w:rsidRPr="00A21DD4">
        <w:rPr>
          <w:sz w:val="22"/>
          <w:szCs w:val="22"/>
          <w:lang w:eastAsia="cs-CZ"/>
        </w:rPr>
        <w:t xml:space="preserve">Intervencia počíta s výstavbou potrebnej infraštruktúry v mestách, ktorých kapacity by neboli </w:t>
      </w:r>
      <w:r w:rsidRPr="00A21DD4">
        <w:rPr>
          <w:color w:val="000000" w:themeColor="text1"/>
          <w:sz w:val="22"/>
          <w:szCs w:val="22"/>
          <w:lang w:eastAsia="cs-CZ"/>
        </w:rPr>
        <w:t>využívané len pre železničné vozidlá obstarané z európskych zdrojov, ale aj iných vozidiel dopravcu nachádzajúcich sa v spádovej oblasti príslušných železničných uzlov prevádzkovaných na základe zmluvy o dopravných výkonoch vo verejnom záujme.</w:t>
      </w:r>
    </w:p>
    <w:p w14:paraId="23D866DD" w14:textId="77777777" w:rsidR="008C0344" w:rsidRPr="00A21DD4" w:rsidRDefault="0020040D" w:rsidP="00CC4631">
      <w:pPr>
        <w:spacing w:before="180"/>
        <w:jc w:val="both"/>
        <w:rPr>
          <w:b/>
          <w:sz w:val="22"/>
          <w:szCs w:val="22"/>
          <w:lang w:eastAsia="cs-CZ"/>
        </w:rPr>
      </w:pPr>
      <w:r w:rsidRPr="00A21DD4">
        <w:rPr>
          <w:color w:val="000000" w:themeColor="text1"/>
          <w:sz w:val="22"/>
          <w:szCs w:val="22"/>
          <w:lang w:eastAsia="cs-CZ"/>
        </w:rPr>
        <w:t>Touto modernizáciou infraštruktúry vo vybraných lokalitách dôjde k postupnej optimalizácii celej siete pracovísk, nárastu kvality vykonávaných činností, skráteniu prestojov vlakov, vyriešeniu problémov environmentálneho charakteru, ako aj zvýšeniu bezpečnosti železničnej dopravy</w:t>
      </w:r>
      <w:r w:rsidRPr="00A21DD4">
        <w:rPr>
          <w:sz w:val="22"/>
          <w:szCs w:val="22"/>
          <w:lang w:eastAsia="cs-CZ"/>
        </w:rPr>
        <w:t xml:space="preserve">. </w:t>
      </w:r>
      <w:r w:rsidR="00307AAF" w:rsidRPr="00A21DD4">
        <w:rPr>
          <w:b/>
          <w:sz w:val="22"/>
          <w:szCs w:val="22"/>
          <w:lang w:eastAsia="cs-CZ"/>
        </w:rPr>
        <w:t>Riešenie tejto problematiky na základe nového prevádzkového konceptu vytvorí udržateľný systém pre</w:t>
      </w:r>
      <w:r w:rsidR="00A66C74" w:rsidRPr="00A21DD4">
        <w:rPr>
          <w:b/>
          <w:sz w:val="22"/>
          <w:szCs w:val="22"/>
          <w:lang w:eastAsia="cs-CZ"/>
        </w:rPr>
        <w:t> </w:t>
      </w:r>
      <w:r w:rsidR="00307AAF" w:rsidRPr="00A21DD4">
        <w:rPr>
          <w:b/>
          <w:sz w:val="22"/>
          <w:szCs w:val="22"/>
          <w:lang w:eastAsia="cs-CZ"/>
        </w:rPr>
        <w:t>fungovanie železničnej osobnej dopravy a znásobí pozitívne dopady nakupovaných mobilných prostriedkov voči cestujúcej verejnosti.</w:t>
      </w:r>
    </w:p>
    <w:p w14:paraId="3FEEE575" w14:textId="7BF81B5B" w:rsidR="00D73751" w:rsidRDefault="00307AAF" w:rsidP="00CC4631">
      <w:pPr>
        <w:spacing w:before="180"/>
        <w:jc w:val="both"/>
        <w:rPr>
          <w:b/>
          <w:color w:val="000000" w:themeColor="text1"/>
          <w:sz w:val="22"/>
          <w:szCs w:val="22"/>
          <w:lang w:eastAsia="cs-CZ"/>
        </w:rPr>
      </w:pPr>
      <w:r w:rsidRPr="00A21DD4">
        <w:rPr>
          <w:b/>
          <w:sz w:val="22"/>
          <w:szCs w:val="22"/>
          <w:lang w:eastAsia="cs-CZ"/>
        </w:rPr>
        <w:t xml:space="preserve">Výstavbe predmetnej infraštruktúry bude predchádzať spracovanie komplexnej štúdie realizovateľnosti. </w:t>
      </w:r>
      <w:r w:rsidRPr="000834AA">
        <w:rPr>
          <w:sz w:val="22"/>
          <w:szCs w:val="22"/>
          <w:lang w:eastAsia="cs-CZ"/>
        </w:rPr>
        <w:t>Štúdia realizovateľnosti bude vychádzať z celkovej stratégie rozvoja regionálnej verejnej osobnej dopravy v rámci ZSSK.</w:t>
      </w:r>
      <w:r w:rsidR="007D0F74" w:rsidRPr="000834AA">
        <w:rPr>
          <w:sz w:val="22"/>
          <w:szCs w:val="22"/>
          <w:lang w:eastAsia="cs-CZ"/>
        </w:rPr>
        <w:t xml:space="preserve"> </w:t>
      </w:r>
      <w:r w:rsidR="007D0F74" w:rsidRPr="000834AA">
        <w:rPr>
          <w:color w:val="000000" w:themeColor="text1"/>
          <w:sz w:val="22"/>
          <w:szCs w:val="22"/>
          <w:lang w:eastAsia="cs-CZ"/>
        </w:rPr>
        <w:t>Súčasťou štúdie bude aj identifikácia jednotlivých častí infraštruktúry s určením toho, akú časť projektu tvorí infraštruktúra a akú časť tvorí technologická vybavenosť.</w:t>
      </w:r>
      <w:r w:rsidR="00FA2FDD">
        <w:rPr>
          <w:b/>
          <w:color w:val="000000" w:themeColor="text1"/>
          <w:sz w:val="22"/>
          <w:szCs w:val="22"/>
          <w:lang w:eastAsia="cs-CZ"/>
        </w:rPr>
        <w:t xml:space="preserve"> </w:t>
      </w:r>
      <w:r w:rsidR="000834AA">
        <w:rPr>
          <w:b/>
          <w:color w:val="000000" w:themeColor="text1"/>
          <w:sz w:val="22"/>
          <w:szCs w:val="22"/>
          <w:lang w:eastAsia="cs-CZ"/>
        </w:rPr>
        <w:t>Štúdia realizovateľnosti</w:t>
      </w:r>
      <w:r w:rsidR="00FA2FDD">
        <w:rPr>
          <w:b/>
          <w:color w:val="000000" w:themeColor="text1"/>
          <w:sz w:val="22"/>
          <w:szCs w:val="22"/>
          <w:lang w:eastAsia="cs-CZ"/>
        </w:rPr>
        <w:t xml:space="preserve"> bude v priebehu jej spracovania kontinuálne konzultovaná s JASPERS.</w:t>
      </w:r>
      <w:r w:rsidR="007D0F74" w:rsidRPr="005E3A15">
        <w:rPr>
          <w:b/>
          <w:color w:val="000000" w:themeColor="text1"/>
          <w:sz w:val="22"/>
          <w:szCs w:val="22"/>
          <w:lang w:eastAsia="cs-CZ"/>
        </w:rPr>
        <w:t xml:space="preserve"> Realizácia výstavby predmetnej infraštruktúry nebude vykonaná a</w:t>
      </w:r>
      <w:r w:rsidR="00FA2FDD">
        <w:rPr>
          <w:b/>
          <w:color w:val="000000" w:themeColor="text1"/>
          <w:sz w:val="22"/>
          <w:szCs w:val="22"/>
          <w:lang w:eastAsia="cs-CZ"/>
        </w:rPr>
        <w:t> </w:t>
      </w:r>
      <w:r w:rsidR="007D0F74" w:rsidRPr="005E3A15">
        <w:rPr>
          <w:b/>
          <w:color w:val="000000" w:themeColor="text1"/>
          <w:sz w:val="22"/>
          <w:szCs w:val="22"/>
          <w:lang w:eastAsia="cs-CZ"/>
        </w:rPr>
        <w:t>financovaná</w:t>
      </w:r>
      <w:r w:rsidR="00FA2FDD">
        <w:rPr>
          <w:b/>
          <w:color w:val="000000" w:themeColor="text1"/>
          <w:sz w:val="22"/>
          <w:szCs w:val="22"/>
          <w:lang w:eastAsia="cs-CZ"/>
        </w:rPr>
        <w:t xml:space="preserve"> </w:t>
      </w:r>
      <w:r w:rsidR="00092150">
        <w:rPr>
          <w:b/>
          <w:color w:val="000000" w:themeColor="text1"/>
          <w:sz w:val="22"/>
          <w:szCs w:val="22"/>
          <w:lang w:eastAsia="cs-CZ"/>
        </w:rPr>
        <w:t>z </w:t>
      </w:r>
      <w:r w:rsidR="00FA2FDD">
        <w:rPr>
          <w:b/>
          <w:color w:val="000000" w:themeColor="text1"/>
          <w:sz w:val="22"/>
          <w:szCs w:val="22"/>
          <w:lang w:eastAsia="cs-CZ"/>
        </w:rPr>
        <w:t>OPII</w:t>
      </w:r>
      <w:r w:rsidR="007D0F74" w:rsidRPr="005E3A15">
        <w:rPr>
          <w:b/>
          <w:color w:val="000000" w:themeColor="text1"/>
          <w:sz w:val="22"/>
          <w:szCs w:val="22"/>
          <w:lang w:eastAsia="cs-CZ"/>
        </w:rPr>
        <w:t xml:space="preserve"> pred </w:t>
      </w:r>
      <w:r w:rsidR="00FA2FDD">
        <w:rPr>
          <w:b/>
          <w:color w:val="000000" w:themeColor="text1"/>
          <w:sz w:val="22"/>
          <w:szCs w:val="22"/>
          <w:lang w:eastAsia="cs-CZ"/>
        </w:rPr>
        <w:t xml:space="preserve">jednoznačným </w:t>
      </w:r>
      <w:r w:rsidR="007D0F74" w:rsidRPr="005E3A15">
        <w:rPr>
          <w:b/>
          <w:color w:val="000000" w:themeColor="text1"/>
          <w:sz w:val="22"/>
          <w:szCs w:val="22"/>
          <w:lang w:eastAsia="cs-CZ"/>
        </w:rPr>
        <w:t>schválením štúdie realizovateľnosti zo strany EK</w:t>
      </w:r>
      <w:r w:rsidR="00FA2FDD">
        <w:rPr>
          <w:b/>
          <w:color w:val="000000" w:themeColor="text1"/>
          <w:sz w:val="22"/>
          <w:szCs w:val="22"/>
          <w:lang w:eastAsia="cs-CZ"/>
        </w:rPr>
        <w:t xml:space="preserve"> a</w:t>
      </w:r>
      <w:r w:rsidR="000834AA">
        <w:rPr>
          <w:b/>
          <w:color w:val="000000" w:themeColor="text1"/>
          <w:sz w:val="22"/>
          <w:szCs w:val="22"/>
          <w:lang w:eastAsia="cs-CZ"/>
        </w:rPr>
        <w:t> </w:t>
      </w:r>
      <w:r w:rsidR="00FA2FDD">
        <w:rPr>
          <w:b/>
          <w:color w:val="000000" w:themeColor="text1"/>
          <w:sz w:val="22"/>
          <w:szCs w:val="22"/>
          <w:lang w:eastAsia="cs-CZ"/>
        </w:rPr>
        <w:t>schválením</w:t>
      </w:r>
      <w:r w:rsidR="000834AA">
        <w:rPr>
          <w:b/>
          <w:color w:val="000000" w:themeColor="text1"/>
          <w:sz w:val="22"/>
          <w:szCs w:val="22"/>
          <w:lang w:eastAsia="cs-CZ"/>
        </w:rPr>
        <w:t xml:space="preserve"> financovania</w:t>
      </w:r>
      <w:r w:rsidR="00FA2FDD">
        <w:rPr>
          <w:b/>
          <w:color w:val="000000" w:themeColor="text1"/>
          <w:sz w:val="22"/>
          <w:szCs w:val="22"/>
          <w:lang w:eastAsia="cs-CZ"/>
        </w:rPr>
        <w:t xml:space="preserve"> samotnej realizácie</w:t>
      </w:r>
      <w:r w:rsidR="007D0F74" w:rsidRPr="005E3A15">
        <w:rPr>
          <w:b/>
          <w:color w:val="000000" w:themeColor="text1"/>
          <w:sz w:val="22"/>
          <w:szCs w:val="22"/>
          <w:lang w:eastAsia="cs-CZ"/>
        </w:rPr>
        <w:t>. V prípade nesúh</w:t>
      </w:r>
      <w:r w:rsidR="00FA2FDD">
        <w:rPr>
          <w:b/>
          <w:color w:val="000000" w:themeColor="text1"/>
          <w:sz w:val="22"/>
          <w:szCs w:val="22"/>
          <w:lang w:eastAsia="cs-CZ"/>
        </w:rPr>
        <w:t>lasu EK s výsledkami štúdie musia byť</w:t>
      </w:r>
      <w:r w:rsidR="007D0F74" w:rsidRPr="005E3A15">
        <w:rPr>
          <w:b/>
          <w:color w:val="000000" w:themeColor="text1"/>
          <w:sz w:val="22"/>
          <w:szCs w:val="22"/>
          <w:lang w:eastAsia="cs-CZ"/>
        </w:rPr>
        <w:t xml:space="preserve"> príslušné projekty odstránené z OPII počas následnej revízie.</w:t>
      </w:r>
      <w:r w:rsidR="00FA2FDD">
        <w:rPr>
          <w:b/>
          <w:color w:val="000000" w:themeColor="text1"/>
          <w:sz w:val="22"/>
          <w:szCs w:val="22"/>
          <w:lang w:eastAsia="cs-CZ"/>
        </w:rPr>
        <w:t xml:space="preserve"> Predmetom financovania nemôže byť vybavenie priamo súvisiace s pravidelnou údržbou železničných vozidiel.</w:t>
      </w:r>
      <w:r w:rsidR="007D0F74" w:rsidRPr="00761197">
        <w:rPr>
          <w:b/>
          <w:color w:val="000000" w:themeColor="text1"/>
          <w:sz w:val="22"/>
          <w:szCs w:val="22"/>
          <w:lang w:eastAsia="cs-CZ"/>
        </w:rPr>
        <w:t xml:space="preserve"> </w:t>
      </w:r>
    </w:p>
    <w:p w14:paraId="549EE878" w14:textId="2680ECB3" w:rsidR="00D302BC" w:rsidRPr="00D302BC" w:rsidRDefault="00D302BC" w:rsidP="00CC4631">
      <w:pPr>
        <w:spacing w:before="180"/>
        <w:jc w:val="both"/>
        <w:rPr>
          <w:color w:val="000000" w:themeColor="text1"/>
          <w:sz w:val="22"/>
          <w:szCs w:val="22"/>
          <w:lang w:eastAsia="cs-CZ"/>
        </w:rPr>
      </w:pPr>
      <w:r w:rsidRPr="00D302BC">
        <w:rPr>
          <w:color w:val="000000" w:themeColor="text1"/>
          <w:sz w:val="22"/>
          <w:szCs w:val="22"/>
          <w:lang w:eastAsia="cs-CZ"/>
        </w:rPr>
        <w:t xml:space="preserve">Z prostriedkov prioritnej osi </w:t>
      </w:r>
      <w:r w:rsidR="00F46B9E">
        <w:rPr>
          <w:color w:val="000000" w:themeColor="text1"/>
          <w:sz w:val="22"/>
          <w:szCs w:val="22"/>
          <w:lang w:eastAsia="cs-CZ"/>
        </w:rPr>
        <w:t>... pozri Prílohu 21</w:t>
      </w:r>
      <w:r>
        <w:rPr>
          <w:color w:val="000000" w:themeColor="text1"/>
          <w:sz w:val="22"/>
          <w:szCs w:val="22"/>
          <w:lang w:eastAsia="cs-CZ"/>
        </w:rPr>
        <w:t xml:space="preserve">. </w:t>
      </w:r>
    </w:p>
    <w:p w14:paraId="4AE583AF" w14:textId="2C612868" w:rsidR="009E0158" w:rsidRDefault="00E74D5D"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t>Modernizácia železničnej infraštruktúry v súvislosti so zabezpečením efektívneho colného konania</w:t>
      </w:r>
    </w:p>
    <w:p w14:paraId="11BA2D6D" w14:textId="2523F103" w:rsidR="00A63483" w:rsidRPr="007A64E2" w:rsidRDefault="003A3069" w:rsidP="00A63483">
      <w:pPr>
        <w:autoSpaceDE w:val="0"/>
        <w:autoSpaceDN w:val="0"/>
        <w:adjustRightInd w:val="0"/>
        <w:spacing w:before="180"/>
        <w:jc w:val="both"/>
        <w:rPr>
          <w:sz w:val="22"/>
          <w:szCs w:val="22"/>
        </w:rPr>
      </w:pPr>
      <w:r w:rsidRPr="00663ADF">
        <w:rPr>
          <w:sz w:val="22"/>
          <w:szCs w:val="22"/>
        </w:rPr>
        <w:t>Pozri kapitolu</w:t>
      </w:r>
      <w:r w:rsidR="002D122E" w:rsidRPr="00663ADF">
        <w:rPr>
          <w:sz w:val="22"/>
          <w:szCs w:val="22"/>
        </w:rPr>
        <w:t xml:space="preserve"> 2.6.</w:t>
      </w:r>
      <w:r w:rsidRPr="00663ADF">
        <w:rPr>
          <w:sz w:val="22"/>
          <w:szCs w:val="22"/>
        </w:rPr>
        <w:t>3</w:t>
      </w:r>
      <w:r w:rsidR="002D122E" w:rsidRPr="00663ADF">
        <w:rPr>
          <w:sz w:val="22"/>
          <w:szCs w:val="22"/>
        </w:rPr>
        <w:t>.</w:t>
      </w:r>
      <w:r w:rsidRPr="00663ADF">
        <w:rPr>
          <w:sz w:val="22"/>
          <w:szCs w:val="22"/>
        </w:rPr>
        <w:t>2</w:t>
      </w:r>
      <w:r w:rsidR="005664A2" w:rsidRPr="00663ADF">
        <w:rPr>
          <w:sz w:val="22"/>
          <w:szCs w:val="22"/>
        </w:rPr>
        <w:t xml:space="preserve"> C.</w:t>
      </w:r>
    </w:p>
    <w:p w14:paraId="688AD2F0" w14:textId="2C99BC87" w:rsidR="007A64E2" w:rsidRDefault="007A64E2" w:rsidP="00AA304D">
      <w:pPr>
        <w:numPr>
          <w:ilvl w:val="2"/>
          <w:numId w:val="33"/>
        </w:numPr>
        <w:spacing w:before="180" w:after="120"/>
        <w:ind w:left="851" w:hanging="425"/>
        <w:jc w:val="both"/>
        <w:rPr>
          <w:b/>
          <w:i/>
          <w:color w:val="4F81BD" w:themeColor="accent1"/>
          <w:sz w:val="22"/>
          <w:szCs w:val="22"/>
        </w:rPr>
      </w:pPr>
      <w:r>
        <w:rPr>
          <w:b/>
          <w:i/>
          <w:color w:val="4F81BD" w:themeColor="accent1"/>
          <w:sz w:val="22"/>
          <w:szCs w:val="22"/>
        </w:rPr>
        <w:t>Modernizácia železničných tratí (zlepšovanie vybraných technických parametrov železničnej dopravnej cesty)</w:t>
      </w:r>
    </w:p>
    <w:p w14:paraId="3258016A" w14:textId="2F6E343E" w:rsidR="007A64E2" w:rsidRPr="007A64E2" w:rsidRDefault="00F46B9E" w:rsidP="007A64E2">
      <w:pPr>
        <w:spacing w:before="180"/>
        <w:jc w:val="both"/>
        <w:rPr>
          <w:sz w:val="22"/>
          <w:szCs w:val="22"/>
        </w:rPr>
      </w:pPr>
      <w:r>
        <w:rPr>
          <w:sz w:val="22"/>
          <w:szCs w:val="22"/>
        </w:rPr>
        <w:t>Pozri prílohu 21.</w:t>
      </w:r>
    </w:p>
    <w:p w14:paraId="53713EB2" w14:textId="10F38039" w:rsidR="009E0158" w:rsidRDefault="00765170" w:rsidP="00AA304D">
      <w:pPr>
        <w:numPr>
          <w:ilvl w:val="2"/>
          <w:numId w:val="33"/>
        </w:numPr>
        <w:spacing w:before="180" w:after="120"/>
        <w:ind w:left="851" w:hanging="425"/>
        <w:jc w:val="both"/>
        <w:rPr>
          <w:b/>
          <w:i/>
          <w:color w:val="4F81BD" w:themeColor="accent1"/>
          <w:sz w:val="22"/>
          <w:szCs w:val="22"/>
        </w:rPr>
      </w:pPr>
      <w:r>
        <w:rPr>
          <w:b/>
          <w:i/>
          <w:color w:val="4F81BD" w:themeColor="accent1"/>
          <w:sz w:val="22"/>
          <w:szCs w:val="22"/>
        </w:rPr>
        <w:t xml:space="preserve">Implementácia systémov ETCS, </w:t>
      </w:r>
      <w:r w:rsidR="002D122E">
        <w:rPr>
          <w:b/>
          <w:i/>
          <w:color w:val="4F81BD" w:themeColor="accent1"/>
          <w:sz w:val="22"/>
          <w:szCs w:val="22"/>
        </w:rPr>
        <w:t>GSM-R</w:t>
      </w:r>
      <w:r>
        <w:rPr>
          <w:b/>
          <w:i/>
          <w:color w:val="4F81BD" w:themeColor="accent1"/>
          <w:sz w:val="22"/>
          <w:szCs w:val="22"/>
        </w:rPr>
        <w:t>, TSI TAF/TAP</w:t>
      </w:r>
    </w:p>
    <w:p w14:paraId="3A7F1306" w14:textId="77777777" w:rsidR="009E0158" w:rsidRDefault="002D122E" w:rsidP="00AA304D">
      <w:pPr>
        <w:spacing w:before="120"/>
        <w:jc w:val="both"/>
        <w:rPr>
          <w:color w:val="000000" w:themeColor="text1"/>
          <w:sz w:val="22"/>
          <w:szCs w:val="22"/>
        </w:rPr>
      </w:pPr>
      <w:r w:rsidRPr="00A02ED4">
        <w:rPr>
          <w:sz w:val="22"/>
          <w:szCs w:val="22"/>
        </w:rPr>
        <w:t>Jedným z</w:t>
      </w:r>
      <w:r>
        <w:rPr>
          <w:sz w:val="22"/>
          <w:szCs w:val="22"/>
        </w:rPr>
        <w:t> </w:t>
      </w:r>
      <w:r w:rsidRPr="00A02ED4">
        <w:rPr>
          <w:sz w:val="22"/>
          <w:szCs w:val="22"/>
        </w:rPr>
        <w:t xml:space="preserve">hlavných nedostatkov železničnej </w:t>
      </w:r>
      <w:r w:rsidR="00765170">
        <w:rPr>
          <w:sz w:val="22"/>
          <w:szCs w:val="22"/>
        </w:rPr>
        <w:t xml:space="preserve">infraštruktúry </w:t>
      </w:r>
      <w:r w:rsidRPr="00E57693">
        <w:rPr>
          <w:color w:val="000000" w:themeColor="text1"/>
          <w:sz w:val="22"/>
          <w:szCs w:val="22"/>
        </w:rPr>
        <w:t>je jej zastaranosť,</w:t>
      </w:r>
      <w:r w:rsidRPr="00A02ED4">
        <w:rPr>
          <w:sz w:val="22"/>
          <w:szCs w:val="22"/>
        </w:rPr>
        <w:t xml:space="preserve"> nízka </w:t>
      </w:r>
      <w:r w:rsidRPr="00E57693">
        <w:rPr>
          <w:color w:val="000000" w:themeColor="text1"/>
          <w:sz w:val="22"/>
          <w:szCs w:val="22"/>
        </w:rPr>
        <w:t xml:space="preserve">technická úroveň </w:t>
      </w:r>
      <w:r>
        <w:rPr>
          <w:color w:val="000000" w:themeColor="text1"/>
          <w:sz w:val="22"/>
          <w:szCs w:val="22"/>
        </w:rPr>
        <w:t>a </w:t>
      </w:r>
      <w:r w:rsidRPr="00E57693">
        <w:rPr>
          <w:color w:val="000000" w:themeColor="text1"/>
          <w:sz w:val="22"/>
          <w:szCs w:val="22"/>
        </w:rPr>
        <w:t xml:space="preserve">nedostatočná interoperabilita. </w:t>
      </w:r>
      <w:r w:rsidRPr="0058787C">
        <w:rPr>
          <w:color w:val="000000" w:themeColor="text1"/>
          <w:sz w:val="22"/>
          <w:szCs w:val="22"/>
        </w:rPr>
        <w:t xml:space="preserve">Cieľom je zlepšenie technickej infraštruktúry </w:t>
      </w:r>
      <w:r>
        <w:rPr>
          <w:color w:val="000000" w:themeColor="text1"/>
          <w:sz w:val="22"/>
          <w:szCs w:val="22"/>
        </w:rPr>
        <w:t>existujúcich tratí</w:t>
      </w:r>
      <w:r w:rsidRPr="0058787C">
        <w:rPr>
          <w:color w:val="000000" w:themeColor="text1"/>
          <w:sz w:val="22"/>
          <w:szCs w:val="22"/>
        </w:rPr>
        <w:t xml:space="preserve"> na takú úroveň, aby zodpovedala Technickým</w:t>
      </w:r>
      <w:r>
        <w:rPr>
          <w:color w:val="000000" w:themeColor="text1"/>
          <w:sz w:val="22"/>
          <w:szCs w:val="22"/>
        </w:rPr>
        <w:t xml:space="preserve"> špecifikáciám interoperability (TSI). To umožní </w:t>
      </w:r>
      <w:r w:rsidRPr="00E57693">
        <w:rPr>
          <w:color w:val="000000" w:themeColor="text1"/>
          <w:sz w:val="22"/>
          <w:szCs w:val="22"/>
        </w:rPr>
        <w:t xml:space="preserve">odbúranie doterajších technických bariér, zabezpečenie </w:t>
      </w:r>
      <w:r>
        <w:rPr>
          <w:color w:val="000000" w:themeColor="text1"/>
          <w:sz w:val="22"/>
          <w:szCs w:val="22"/>
        </w:rPr>
        <w:t>efektívnejšieho</w:t>
      </w:r>
      <w:r w:rsidRPr="00E57693">
        <w:rPr>
          <w:color w:val="000000" w:themeColor="text1"/>
          <w:sz w:val="22"/>
          <w:szCs w:val="22"/>
        </w:rPr>
        <w:t xml:space="preserve"> využitia technických parametrov železničných tratí a</w:t>
      </w:r>
      <w:r>
        <w:rPr>
          <w:color w:val="000000" w:themeColor="text1"/>
          <w:sz w:val="22"/>
          <w:szCs w:val="22"/>
        </w:rPr>
        <w:t> </w:t>
      </w:r>
      <w:r w:rsidRPr="00E57693">
        <w:rPr>
          <w:color w:val="000000" w:themeColor="text1"/>
          <w:sz w:val="22"/>
          <w:szCs w:val="22"/>
        </w:rPr>
        <w:t>zvýšenie konkurencieschopnosti železničnej dopravy.</w:t>
      </w:r>
    </w:p>
    <w:p w14:paraId="38099749" w14:textId="62DFE020" w:rsidR="00861167" w:rsidRDefault="002D122E" w:rsidP="00861167">
      <w:pPr>
        <w:spacing w:before="120"/>
        <w:jc w:val="both"/>
        <w:rPr>
          <w:color w:val="000000" w:themeColor="text1"/>
          <w:sz w:val="22"/>
          <w:szCs w:val="22"/>
        </w:rPr>
      </w:pPr>
      <w:r w:rsidRPr="00E57693">
        <w:rPr>
          <w:color w:val="000000" w:themeColor="text1"/>
          <w:sz w:val="22"/>
          <w:szCs w:val="22"/>
        </w:rPr>
        <w:t>Intervencie v</w:t>
      </w:r>
      <w:r>
        <w:rPr>
          <w:color w:val="000000" w:themeColor="text1"/>
          <w:sz w:val="22"/>
          <w:szCs w:val="22"/>
        </w:rPr>
        <w:t> </w:t>
      </w:r>
      <w:r w:rsidRPr="00E57693">
        <w:rPr>
          <w:color w:val="000000" w:themeColor="text1"/>
          <w:sz w:val="22"/>
          <w:szCs w:val="22"/>
        </w:rPr>
        <w:t>oblasti železničnej dop</w:t>
      </w:r>
      <w:r>
        <w:rPr>
          <w:color w:val="000000" w:themeColor="text1"/>
          <w:sz w:val="22"/>
          <w:szCs w:val="22"/>
        </w:rPr>
        <w:t xml:space="preserve">ravy budú preto smerovať </w:t>
      </w:r>
      <w:r w:rsidR="00765170">
        <w:rPr>
          <w:color w:val="000000" w:themeColor="text1"/>
          <w:sz w:val="22"/>
          <w:szCs w:val="22"/>
        </w:rPr>
        <w:t xml:space="preserve">najmä </w:t>
      </w:r>
      <w:r>
        <w:rPr>
          <w:color w:val="000000" w:themeColor="text1"/>
          <w:sz w:val="22"/>
          <w:szCs w:val="22"/>
        </w:rPr>
        <w:t xml:space="preserve">k zavedeniu systému ERTMS </w:t>
      </w:r>
      <w:r w:rsidR="006A7D9F">
        <w:rPr>
          <w:color w:val="000000" w:themeColor="text1"/>
          <w:sz w:val="22"/>
          <w:szCs w:val="22"/>
        </w:rPr>
        <w:t xml:space="preserve">a podpornej prenosovej infraštruktúry </w:t>
      </w:r>
      <w:r>
        <w:rPr>
          <w:color w:val="000000" w:themeColor="text1"/>
          <w:sz w:val="22"/>
          <w:szCs w:val="22"/>
        </w:rPr>
        <w:t>na </w:t>
      </w:r>
      <w:r w:rsidRPr="00E57693">
        <w:rPr>
          <w:color w:val="000000" w:themeColor="text1"/>
          <w:sz w:val="22"/>
          <w:szCs w:val="22"/>
        </w:rPr>
        <w:t>ucelených úsekoch</w:t>
      </w:r>
      <w:r w:rsidR="006237F7">
        <w:rPr>
          <w:color w:val="000000" w:themeColor="text1"/>
          <w:sz w:val="22"/>
          <w:szCs w:val="22"/>
        </w:rPr>
        <w:t xml:space="preserve">, na ktorých sa implementuje niektorý </w:t>
      </w:r>
      <w:r w:rsidR="00E119F6">
        <w:rPr>
          <w:color w:val="000000" w:themeColor="text1"/>
          <w:sz w:val="22"/>
          <w:szCs w:val="22"/>
        </w:rPr>
        <w:t>z</w:t>
      </w:r>
      <w:r w:rsidR="00E92F5A">
        <w:rPr>
          <w:color w:val="000000" w:themeColor="text1"/>
          <w:sz w:val="22"/>
          <w:szCs w:val="22"/>
        </w:rPr>
        <w:t>o </w:t>
      </w:r>
      <w:r w:rsidR="006237F7">
        <w:rPr>
          <w:color w:val="000000" w:themeColor="text1"/>
          <w:sz w:val="22"/>
          <w:szCs w:val="22"/>
        </w:rPr>
        <w:t>subsystémov TSI TA</w:t>
      </w:r>
      <w:r w:rsidR="004C56B4">
        <w:rPr>
          <w:color w:val="000000" w:themeColor="text1"/>
          <w:sz w:val="22"/>
          <w:szCs w:val="22"/>
        </w:rPr>
        <w:t>F</w:t>
      </w:r>
      <w:r w:rsidR="006237F7">
        <w:rPr>
          <w:color w:val="000000" w:themeColor="text1"/>
          <w:sz w:val="22"/>
          <w:szCs w:val="22"/>
        </w:rPr>
        <w:t>/TA</w:t>
      </w:r>
      <w:r w:rsidR="004C56B4">
        <w:rPr>
          <w:color w:val="000000" w:themeColor="text1"/>
          <w:sz w:val="22"/>
          <w:szCs w:val="22"/>
        </w:rPr>
        <w:t>P</w:t>
      </w:r>
      <w:r w:rsidR="006237F7">
        <w:rPr>
          <w:color w:val="000000" w:themeColor="text1"/>
          <w:sz w:val="22"/>
          <w:szCs w:val="22"/>
        </w:rPr>
        <w:t>,</w:t>
      </w:r>
      <w:r w:rsidRPr="00A02ED4">
        <w:rPr>
          <w:sz w:val="22"/>
          <w:szCs w:val="22"/>
        </w:rPr>
        <w:t xml:space="preserve"> </w:t>
      </w:r>
      <w:r>
        <w:rPr>
          <w:color w:val="000000" w:themeColor="text1"/>
          <w:sz w:val="22"/>
          <w:szCs w:val="22"/>
        </w:rPr>
        <w:t>na </w:t>
      </w:r>
      <w:r w:rsidRPr="00E57693">
        <w:rPr>
          <w:color w:val="000000" w:themeColor="text1"/>
          <w:sz w:val="22"/>
          <w:szCs w:val="22"/>
        </w:rPr>
        <w:t>modernizovaných železničných</w:t>
      </w:r>
      <w:r w:rsidRPr="00A02ED4">
        <w:rPr>
          <w:sz w:val="22"/>
          <w:szCs w:val="22"/>
        </w:rPr>
        <w:t xml:space="preserve"> tratiach,</w:t>
      </w:r>
      <w:r w:rsidR="006237F7">
        <w:rPr>
          <w:sz w:val="22"/>
          <w:szCs w:val="22"/>
        </w:rPr>
        <w:t xml:space="preserve"> prednostne na tých,</w:t>
      </w:r>
      <w:r w:rsidR="00AD6A0A">
        <w:rPr>
          <w:sz w:val="22"/>
          <w:szCs w:val="22"/>
        </w:rPr>
        <w:t xml:space="preserve"> kde </w:t>
      </w:r>
      <w:r>
        <w:rPr>
          <w:sz w:val="22"/>
          <w:szCs w:val="22"/>
        </w:rPr>
        <w:t>pre SR vyplývajú záväzky podľa</w:t>
      </w:r>
      <w:r w:rsidRPr="00E57693">
        <w:rPr>
          <w:color w:val="000000" w:themeColor="text1"/>
          <w:sz w:val="22"/>
          <w:szCs w:val="22"/>
        </w:rPr>
        <w:t xml:space="preserve"> Rozhodnutia</w:t>
      </w:r>
      <w:r>
        <w:rPr>
          <w:color w:val="000000" w:themeColor="text1"/>
          <w:sz w:val="22"/>
          <w:szCs w:val="22"/>
        </w:rPr>
        <w:t xml:space="preserve"> Komisie č. </w:t>
      </w:r>
      <w:r w:rsidRPr="00E57693">
        <w:rPr>
          <w:color w:val="000000" w:themeColor="text1"/>
          <w:sz w:val="22"/>
          <w:szCs w:val="22"/>
        </w:rPr>
        <w:t>2012/88/EÚ z</w:t>
      </w:r>
      <w:r>
        <w:rPr>
          <w:color w:val="000000" w:themeColor="text1"/>
          <w:sz w:val="22"/>
          <w:szCs w:val="22"/>
        </w:rPr>
        <w:t> </w:t>
      </w:r>
      <w:r w:rsidRPr="00E57693">
        <w:rPr>
          <w:color w:val="000000" w:themeColor="text1"/>
          <w:sz w:val="22"/>
          <w:szCs w:val="22"/>
        </w:rPr>
        <w:t>25. januára 2012 o</w:t>
      </w:r>
      <w:r>
        <w:rPr>
          <w:color w:val="000000" w:themeColor="text1"/>
          <w:sz w:val="22"/>
          <w:szCs w:val="22"/>
        </w:rPr>
        <w:t> </w:t>
      </w:r>
      <w:r w:rsidRPr="00E57693">
        <w:rPr>
          <w:color w:val="000000" w:themeColor="text1"/>
          <w:sz w:val="22"/>
          <w:szCs w:val="22"/>
        </w:rPr>
        <w:t>technickej špecifikácii interoperability týkajúcej sa subsystémov riadenia</w:t>
      </w:r>
      <w:r>
        <w:rPr>
          <w:color w:val="000000" w:themeColor="text1"/>
          <w:sz w:val="22"/>
          <w:szCs w:val="22"/>
        </w:rPr>
        <w:t xml:space="preserve"> </w:t>
      </w:r>
      <w:r w:rsidRPr="00E57693">
        <w:rPr>
          <w:color w:val="000000" w:themeColor="text1"/>
          <w:sz w:val="22"/>
          <w:szCs w:val="22"/>
        </w:rPr>
        <w:t>-</w:t>
      </w:r>
      <w:r>
        <w:rPr>
          <w:color w:val="000000" w:themeColor="text1"/>
          <w:sz w:val="22"/>
          <w:szCs w:val="22"/>
        </w:rPr>
        <w:t xml:space="preserve"> </w:t>
      </w:r>
      <w:r w:rsidRPr="00E57693">
        <w:rPr>
          <w:color w:val="000000" w:themeColor="text1"/>
          <w:sz w:val="22"/>
          <w:szCs w:val="22"/>
        </w:rPr>
        <w:t>zabezpečenia a</w:t>
      </w:r>
      <w:r w:rsidR="00E92F5A">
        <w:rPr>
          <w:color w:val="000000" w:themeColor="text1"/>
          <w:sz w:val="22"/>
          <w:szCs w:val="22"/>
        </w:rPr>
        <w:t> </w:t>
      </w:r>
      <w:r w:rsidRPr="00E57693">
        <w:rPr>
          <w:color w:val="000000" w:themeColor="text1"/>
          <w:sz w:val="22"/>
          <w:szCs w:val="22"/>
        </w:rPr>
        <w:t>návestenia transe</w:t>
      </w:r>
      <w:r>
        <w:rPr>
          <w:color w:val="000000" w:themeColor="text1"/>
          <w:sz w:val="22"/>
          <w:szCs w:val="22"/>
        </w:rPr>
        <w:t xml:space="preserve">urópskeho železničného systému, resp. priamo </w:t>
      </w:r>
      <w:r w:rsidRPr="00BF0317">
        <w:rPr>
          <w:color w:val="000000" w:themeColor="text1"/>
          <w:sz w:val="22"/>
          <w:szCs w:val="22"/>
        </w:rPr>
        <w:t>zo Smernice</w:t>
      </w:r>
      <w:r>
        <w:rPr>
          <w:color w:val="000000" w:themeColor="text1"/>
          <w:sz w:val="22"/>
          <w:szCs w:val="22"/>
        </w:rPr>
        <w:t xml:space="preserve"> EP a Rady 2008/57/ES zo 17. júna 2008 </w:t>
      </w:r>
      <w:r w:rsidRPr="00BF0317">
        <w:rPr>
          <w:color w:val="000000" w:themeColor="text1"/>
          <w:sz w:val="22"/>
          <w:szCs w:val="22"/>
        </w:rPr>
        <w:t>o</w:t>
      </w:r>
      <w:r>
        <w:rPr>
          <w:color w:val="000000" w:themeColor="text1"/>
          <w:sz w:val="22"/>
          <w:szCs w:val="22"/>
        </w:rPr>
        <w:t> </w:t>
      </w:r>
      <w:r w:rsidRPr="00BF0317">
        <w:rPr>
          <w:color w:val="000000" w:themeColor="text1"/>
          <w:sz w:val="22"/>
          <w:szCs w:val="22"/>
        </w:rPr>
        <w:t>interoperabilite</w:t>
      </w:r>
      <w:r>
        <w:rPr>
          <w:color w:val="000000" w:themeColor="text1"/>
          <w:sz w:val="22"/>
          <w:szCs w:val="22"/>
        </w:rPr>
        <w:t xml:space="preserve"> systému železníc v Spoločenstve.</w:t>
      </w:r>
    </w:p>
    <w:p w14:paraId="62FD97A5" w14:textId="4B8DF0CE" w:rsidR="00622A37" w:rsidRDefault="006237F7" w:rsidP="00861167">
      <w:pPr>
        <w:spacing w:before="180" w:after="120"/>
        <w:jc w:val="both"/>
        <w:rPr>
          <w:color w:val="000000" w:themeColor="text1"/>
          <w:sz w:val="22"/>
          <w:szCs w:val="22"/>
        </w:rPr>
      </w:pPr>
      <w:r>
        <w:rPr>
          <w:color w:val="000000" w:themeColor="text1"/>
          <w:sz w:val="22"/>
          <w:szCs w:val="22"/>
        </w:rPr>
        <w:lastRenderedPageBreak/>
        <w:t>V prípade ERTMS ide prioritne o</w:t>
      </w:r>
      <w:r w:rsidR="00861167">
        <w:rPr>
          <w:color w:val="000000" w:themeColor="text1"/>
          <w:sz w:val="22"/>
          <w:szCs w:val="22"/>
        </w:rPr>
        <w:t> úsek:</w:t>
      </w:r>
    </w:p>
    <w:p w14:paraId="35AF83C3" w14:textId="77777777" w:rsidR="00861167" w:rsidRDefault="00861167" w:rsidP="00E92F5A">
      <w:pPr>
        <w:pStyle w:val="Odsekzoznamu"/>
        <w:numPr>
          <w:ilvl w:val="0"/>
          <w:numId w:val="27"/>
        </w:numPr>
        <w:spacing w:after="120"/>
        <w:ind w:left="714" w:hanging="357"/>
        <w:contextualSpacing w:val="0"/>
        <w:jc w:val="both"/>
        <w:rPr>
          <w:color w:val="000000" w:themeColor="text1"/>
          <w:sz w:val="22"/>
          <w:szCs w:val="22"/>
        </w:rPr>
      </w:pPr>
      <w:r>
        <w:rPr>
          <w:color w:val="000000" w:themeColor="text1"/>
          <w:sz w:val="22"/>
          <w:szCs w:val="22"/>
        </w:rPr>
        <w:t>v smere Bratislava (mimo) – Nové Zámky – Štúrovo/Komárno / št. hr. SR/MR.</w:t>
      </w:r>
    </w:p>
    <w:p w14:paraId="26AA4984" w14:textId="5756172D" w:rsidR="00DB0355" w:rsidRPr="00DB0355" w:rsidRDefault="00DB0355" w:rsidP="00DB0355">
      <w:pPr>
        <w:numPr>
          <w:ilvl w:val="2"/>
          <w:numId w:val="33"/>
        </w:numPr>
        <w:spacing w:before="180" w:after="120"/>
        <w:ind w:left="851" w:hanging="425"/>
        <w:jc w:val="both"/>
        <w:rPr>
          <w:b/>
          <w:i/>
          <w:color w:val="4F81BD" w:themeColor="accent1"/>
          <w:sz w:val="22"/>
          <w:szCs w:val="22"/>
        </w:rPr>
      </w:pPr>
      <w:r>
        <w:rPr>
          <w:b/>
          <w:i/>
          <w:color w:val="4F81BD" w:themeColor="accent1"/>
          <w:sz w:val="22"/>
          <w:szCs w:val="22"/>
        </w:rPr>
        <w:t>Obnova mobilných prostriedkov železničnej verejnej osobnej dopravy</w:t>
      </w:r>
    </w:p>
    <w:p w14:paraId="52F632BA" w14:textId="49F1E5B4" w:rsidR="00DB0355" w:rsidRPr="00351D17" w:rsidRDefault="00F46B9E" w:rsidP="00351D17">
      <w:pPr>
        <w:spacing w:before="180"/>
        <w:jc w:val="both"/>
        <w:rPr>
          <w:sz w:val="22"/>
          <w:szCs w:val="22"/>
        </w:rPr>
      </w:pPr>
      <w:r>
        <w:rPr>
          <w:sz w:val="22"/>
          <w:szCs w:val="22"/>
        </w:rPr>
        <w:t>Pozri Prílohu 21.</w:t>
      </w:r>
    </w:p>
    <w:p w14:paraId="295E9C1E" w14:textId="01437884" w:rsidR="009E0158" w:rsidRDefault="00836583" w:rsidP="00351D17">
      <w:pPr>
        <w:numPr>
          <w:ilvl w:val="2"/>
          <w:numId w:val="33"/>
        </w:numPr>
        <w:spacing w:before="180" w:after="120"/>
        <w:ind w:left="851" w:hanging="425"/>
        <w:jc w:val="both"/>
        <w:rPr>
          <w:b/>
          <w:i/>
          <w:color w:val="4F81BD" w:themeColor="accent1"/>
          <w:sz w:val="22"/>
          <w:szCs w:val="22"/>
        </w:rPr>
      </w:pPr>
      <w:r>
        <w:rPr>
          <w:b/>
          <w:i/>
          <w:color w:val="4F81BD" w:themeColor="accent1"/>
          <w:sz w:val="22"/>
          <w:szCs w:val="22"/>
        </w:rPr>
        <w:t>Projektová príprava</w:t>
      </w:r>
    </w:p>
    <w:p w14:paraId="2D98014B" w14:textId="13FFAB33" w:rsidR="004A61AB" w:rsidRDefault="00F46B9E" w:rsidP="004A61AB">
      <w:pPr>
        <w:spacing w:after="180"/>
        <w:jc w:val="both"/>
        <w:rPr>
          <w:sz w:val="22"/>
          <w:szCs w:val="22"/>
        </w:rPr>
      </w:pPr>
      <w:r>
        <w:rPr>
          <w:sz w:val="22"/>
          <w:szCs w:val="22"/>
        </w:rPr>
        <w:t>Pozri Prílohu 21.</w:t>
      </w:r>
    </w:p>
    <w:p w14:paraId="0A4B63C9" w14:textId="2A0A9D36" w:rsidR="00307AAF" w:rsidRDefault="0016202B" w:rsidP="002B03EB">
      <w:pPr>
        <w:pStyle w:val="Nadpis4"/>
      </w:pPr>
      <w:r>
        <w:t>Hlavné princípy výberu projektov</w:t>
      </w:r>
    </w:p>
    <w:p w14:paraId="093FC84D" w14:textId="77777777" w:rsidR="0016202B" w:rsidRDefault="00010302" w:rsidP="0016202B">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16202B" w:rsidRPr="00D23B7E">
        <w:rPr>
          <w:sz w:val="22"/>
          <w:szCs w:val="22"/>
        </w:rPr>
        <w:t>Výber projektov na implementáciu bude rešpektovať výstupy strategick</w:t>
      </w:r>
      <w:r w:rsidR="00A05CA8">
        <w:rPr>
          <w:sz w:val="22"/>
          <w:szCs w:val="22"/>
        </w:rPr>
        <w:t>ých dokumentov spracovaných pre </w:t>
      </w:r>
      <w:r w:rsidR="0016202B" w:rsidRPr="00D23B7E">
        <w:rPr>
          <w:sz w:val="22"/>
          <w:szCs w:val="22"/>
        </w:rPr>
        <w:t>potreby programového obdobia</w:t>
      </w:r>
      <w:r w:rsidR="00FE57B7">
        <w:rPr>
          <w:sz w:val="22"/>
          <w:szCs w:val="22"/>
        </w:rPr>
        <w:t xml:space="preserve"> 2014 - 2020</w:t>
      </w:r>
      <w:r w:rsidR="0016202B" w:rsidRPr="00D23B7E">
        <w:rPr>
          <w:sz w:val="22"/>
          <w:szCs w:val="22"/>
        </w:rPr>
        <w:t>, ako aj ich prípadné aktualizácie, ktoré posudzujú rezortné potreby v širšom kont</w:t>
      </w:r>
      <w:r w:rsidR="00A26B61" w:rsidRPr="00D23B7E">
        <w:rPr>
          <w:sz w:val="22"/>
          <w:szCs w:val="22"/>
        </w:rPr>
        <w:t>exte. Ide predovšetkým o </w:t>
      </w:r>
      <w:r w:rsidR="0016202B" w:rsidRPr="00D23B7E">
        <w:rPr>
          <w:sz w:val="22"/>
          <w:szCs w:val="22"/>
        </w:rPr>
        <w:t xml:space="preserve">Strategický plán a Stratégiu </w:t>
      </w:r>
      <w:r w:rsidR="00D57810" w:rsidRPr="00D23B7E">
        <w:rPr>
          <w:sz w:val="22"/>
          <w:szCs w:val="22"/>
        </w:rPr>
        <w:t>VOD</w:t>
      </w:r>
      <w:r w:rsidR="00A26B61" w:rsidRPr="00D23B7E">
        <w:rPr>
          <w:sz w:val="22"/>
          <w:szCs w:val="22"/>
        </w:rPr>
        <w:t>.</w:t>
      </w:r>
    </w:p>
    <w:p w14:paraId="6EF3E0E0" w14:textId="77777777" w:rsidR="00FE57B7" w:rsidRPr="00A21DD4" w:rsidRDefault="00FE57B7" w:rsidP="00FE57B7">
      <w:pPr>
        <w:tabs>
          <w:tab w:val="left" w:pos="540"/>
        </w:tabs>
        <w:spacing w:before="180"/>
        <w:jc w:val="both"/>
        <w:rPr>
          <w:sz w:val="22"/>
        </w:rPr>
      </w:pPr>
      <w:r w:rsidRPr="00A21DD4">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1D06E657" w14:textId="77777777" w:rsidR="00B0750A" w:rsidRDefault="00FE57B7" w:rsidP="00B0750A">
      <w:pPr>
        <w:spacing w:before="180"/>
        <w:jc w:val="both"/>
        <w:rPr>
          <w:sz w:val="22"/>
        </w:rPr>
      </w:pPr>
      <w:r w:rsidRPr="00B0750A">
        <w:rPr>
          <w:sz w:val="22"/>
        </w:rPr>
        <w:t xml:space="preserve">Všetky plánované železničné projekty a projektové zámery PO 5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B0750A" w:rsidRPr="00B0750A">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 a budú predmetom revízie OPII.</w:t>
      </w:r>
    </w:p>
    <w:p w14:paraId="2CBF5FEA" w14:textId="77777777" w:rsidR="00307AAF" w:rsidRDefault="00017B79" w:rsidP="002B03EB">
      <w:pPr>
        <w:pStyle w:val="Nadpis4"/>
      </w:pPr>
      <w:r w:rsidRPr="00A21DD4">
        <w:t>Plánované využitie finančných nástrojov</w:t>
      </w:r>
    </w:p>
    <w:p w14:paraId="44CF5259"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203FA1">
        <w:rPr>
          <w:sz w:val="22"/>
          <w:szCs w:val="22"/>
        </w:rPr>
        <w:t>ktorom by ich realizácia bola efektívnou.</w:t>
      </w:r>
    </w:p>
    <w:p w14:paraId="6096FEF7" w14:textId="77777777" w:rsidR="00307AAF" w:rsidRDefault="00203FA1" w:rsidP="00307AAF">
      <w:pPr>
        <w:autoSpaceDE w:val="0"/>
        <w:autoSpaceDN w:val="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1BC03362" w14:textId="77777777" w:rsidR="00307AAF" w:rsidRDefault="00017B79" w:rsidP="002B03EB">
      <w:pPr>
        <w:pStyle w:val="Nadpis4"/>
      </w:pPr>
      <w:r>
        <w:lastRenderedPageBreak/>
        <w:t>Plánované využitie veľkých projektov</w:t>
      </w:r>
    </w:p>
    <w:p w14:paraId="377FEE6D" w14:textId="77777777" w:rsidR="003A3069" w:rsidRDefault="00017B79" w:rsidP="00017B79">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5F1686">
        <w:rPr>
          <w:sz w:val="22"/>
          <w:szCs w:val="22"/>
        </w:rPr>
        <w:t>Grafické zobrazenie rozvoja železničnej infraštruktúry na Slovensku zabezpečené realizáciou zadefinovaných veľkých projektov je uvedené v</w:t>
      </w:r>
      <w:r>
        <w:rPr>
          <w:sz w:val="22"/>
          <w:szCs w:val="22"/>
        </w:rPr>
        <w:t> </w:t>
      </w:r>
      <w:r w:rsidRPr="00885D33">
        <w:rPr>
          <w:sz w:val="22"/>
          <w:szCs w:val="22"/>
        </w:rPr>
        <w:t>Príloh</w:t>
      </w:r>
      <w:r w:rsidR="00885D33" w:rsidRPr="00885D33">
        <w:rPr>
          <w:sz w:val="22"/>
          <w:szCs w:val="22"/>
        </w:rPr>
        <w:t>e 7</w:t>
      </w:r>
      <w:r w:rsidRPr="00885D33">
        <w:rPr>
          <w:sz w:val="22"/>
          <w:szCs w:val="22"/>
        </w:rPr>
        <w:t>.</w:t>
      </w:r>
    </w:p>
    <w:p w14:paraId="41EA8B70" w14:textId="632B4CD4" w:rsidR="00307AAF" w:rsidRDefault="00017B79" w:rsidP="002B03EB">
      <w:pPr>
        <w:pStyle w:val="Nadpis4"/>
      </w:pPr>
      <w:r>
        <w:t>Ukazovatele výstupu na úrovni investičnej priority a kategórie regiónu</w:t>
      </w:r>
    </w:p>
    <w:p w14:paraId="5DF4183C" w14:textId="77777777" w:rsidR="00017B79" w:rsidRPr="008C1732" w:rsidRDefault="00017B79" w:rsidP="00412385">
      <w:pPr>
        <w:pStyle w:val="Tab"/>
      </w:pPr>
      <w:r>
        <w:t>Spoločné a špecifické ukazovatele výstupu</w:t>
      </w:r>
      <w:r w:rsidR="00D83282">
        <w:t xml:space="preserve"> investičnej priority 7d)</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5"/>
        <w:gridCol w:w="2410"/>
        <w:gridCol w:w="903"/>
        <w:gridCol w:w="656"/>
        <w:gridCol w:w="1225"/>
        <w:gridCol w:w="1247"/>
        <w:gridCol w:w="1011"/>
        <w:gridCol w:w="1385"/>
      </w:tblGrid>
      <w:tr w:rsidR="00017B79" w14:paraId="4731E113" w14:textId="77777777" w:rsidTr="003D6170">
        <w:trPr>
          <w:trHeight w:val="487"/>
          <w:jc w:val="center"/>
        </w:trPr>
        <w:tc>
          <w:tcPr>
            <w:tcW w:w="575" w:type="dxa"/>
            <w:shd w:val="clear" w:color="auto" w:fill="C6D9F1" w:themeFill="text2" w:themeFillTint="33"/>
            <w:vAlign w:val="center"/>
          </w:tcPr>
          <w:p w14:paraId="785299C0" w14:textId="77777777" w:rsidR="00017B79" w:rsidRPr="008C1732" w:rsidRDefault="00AF56C3" w:rsidP="003D6170">
            <w:pPr>
              <w:ind w:left="0"/>
              <w:jc w:val="center"/>
              <w:rPr>
                <w:b/>
                <w:sz w:val="18"/>
                <w:szCs w:val="18"/>
              </w:rPr>
            </w:pPr>
            <w:r>
              <w:rPr>
                <w:b/>
                <w:sz w:val="18"/>
                <w:szCs w:val="18"/>
              </w:rPr>
              <w:t>P. č.</w:t>
            </w:r>
          </w:p>
        </w:tc>
        <w:tc>
          <w:tcPr>
            <w:tcW w:w="2410" w:type="dxa"/>
            <w:shd w:val="clear" w:color="auto" w:fill="C6D9F1" w:themeFill="text2" w:themeFillTint="33"/>
            <w:vAlign w:val="center"/>
          </w:tcPr>
          <w:p w14:paraId="13E1406E" w14:textId="77777777" w:rsidR="00017B79" w:rsidRPr="008C1732" w:rsidRDefault="00017B79"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4371822B" w14:textId="77777777" w:rsidR="00017B79" w:rsidRPr="008C1732" w:rsidRDefault="00017B79" w:rsidP="003D617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749B8D06" w14:textId="77777777" w:rsidR="00017B79" w:rsidRPr="008C1732" w:rsidRDefault="00017B79" w:rsidP="003D617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14:paraId="0E7E247B" w14:textId="77777777" w:rsidR="00017B79" w:rsidRPr="008C1732" w:rsidRDefault="00017B79" w:rsidP="003D6170">
            <w:pPr>
              <w:ind w:left="0"/>
              <w:jc w:val="center"/>
              <w:rPr>
                <w:b/>
                <w:sz w:val="18"/>
                <w:szCs w:val="18"/>
              </w:rPr>
            </w:pPr>
            <w:r w:rsidRPr="008C1732">
              <w:rPr>
                <w:b/>
                <w:sz w:val="18"/>
                <w:szCs w:val="18"/>
              </w:rPr>
              <w:t>Kategória regiónu</w:t>
            </w:r>
          </w:p>
        </w:tc>
        <w:tc>
          <w:tcPr>
            <w:tcW w:w="1247" w:type="dxa"/>
            <w:shd w:val="clear" w:color="auto" w:fill="C6D9F1" w:themeFill="text2" w:themeFillTint="33"/>
            <w:vAlign w:val="center"/>
          </w:tcPr>
          <w:p w14:paraId="184A3B8F" w14:textId="77777777" w:rsidR="00017B79" w:rsidRPr="008C1732" w:rsidRDefault="00017B79" w:rsidP="003D6170">
            <w:pPr>
              <w:ind w:left="0"/>
              <w:jc w:val="center"/>
              <w:rPr>
                <w:b/>
                <w:sz w:val="18"/>
                <w:szCs w:val="18"/>
              </w:rPr>
            </w:pPr>
            <w:r w:rsidRPr="008C1732">
              <w:rPr>
                <w:b/>
                <w:sz w:val="18"/>
                <w:szCs w:val="18"/>
              </w:rPr>
              <w:t>Cieľová hodnota (2023)</w:t>
            </w:r>
          </w:p>
        </w:tc>
        <w:tc>
          <w:tcPr>
            <w:tcW w:w="1011" w:type="dxa"/>
            <w:shd w:val="clear" w:color="auto" w:fill="C6D9F1" w:themeFill="text2" w:themeFillTint="33"/>
            <w:vAlign w:val="center"/>
          </w:tcPr>
          <w:p w14:paraId="72DB8B41" w14:textId="77777777" w:rsidR="00017B79" w:rsidRPr="008C1732" w:rsidRDefault="00017B79" w:rsidP="003D6170">
            <w:pPr>
              <w:ind w:left="0"/>
              <w:jc w:val="center"/>
              <w:rPr>
                <w:b/>
                <w:sz w:val="18"/>
                <w:szCs w:val="18"/>
              </w:rPr>
            </w:pPr>
            <w:r w:rsidRPr="008C1732">
              <w:rPr>
                <w:b/>
                <w:sz w:val="18"/>
                <w:szCs w:val="18"/>
              </w:rPr>
              <w:t>Zdroj údajov</w:t>
            </w:r>
          </w:p>
        </w:tc>
        <w:tc>
          <w:tcPr>
            <w:tcW w:w="1385" w:type="dxa"/>
            <w:shd w:val="clear" w:color="auto" w:fill="C6D9F1" w:themeFill="text2" w:themeFillTint="33"/>
            <w:vAlign w:val="center"/>
          </w:tcPr>
          <w:p w14:paraId="6B7A2031" w14:textId="77777777" w:rsidR="00017B79" w:rsidRPr="008C1732" w:rsidRDefault="00017B79" w:rsidP="003D6170">
            <w:pPr>
              <w:ind w:left="0"/>
              <w:jc w:val="center"/>
              <w:rPr>
                <w:b/>
                <w:sz w:val="18"/>
                <w:szCs w:val="18"/>
              </w:rPr>
            </w:pPr>
            <w:r w:rsidRPr="008C1732">
              <w:rPr>
                <w:b/>
                <w:sz w:val="18"/>
                <w:szCs w:val="18"/>
              </w:rPr>
              <w:t>Frekvencia vykazovania</w:t>
            </w:r>
          </w:p>
        </w:tc>
      </w:tr>
      <w:tr w:rsidR="00017B79" w14:paraId="3A32817D" w14:textId="77777777" w:rsidTr="003D6170">
        <w:trPr>
          <w:trHeight w:val="680"/>
          <w:jc w:val="center"/>
        </w:trPr>
        <w:tc>
          <w:tcPr>
            <w:tcW w:w="575" w:type="dxa"/>
            <w:shd w:val="clear" w:color="auto" w:fill="auto"/>
            <w:vAlign w:val="center"/>
          </w:tcPr>
          <w:p w14:paraId="5F9477AF" w14:textId="77777777" w:rsidR="00017B79" w:rsidRPr="00737ED2" w:rsidRDefault="00017B79" w:rsidP="00017B79">
            <w:pPr>
              <w:ind w:left="0"/>
              <w:jc w:val="center"/>
              <w:rPr>
                <w:sz w:val="18"/>
                <w:szCs w:val="18"/>
              </w:rPr>
            </w:pPr>
            <w:r>
              <w:rPr>
                <w:sz w:val="18"/>
                <w:szCs w:val="18"/>
              </w:rPr>
              <w:t>1</w:t>
            </w:r>
            <w:r w:rsidRPr="00737ED2">
              <w:rPr>
                <w:sz w:val="18"/>
                <w:szCs w:val="18"/>
              </w:rPr>
              <w:t>.</w:t>
            </w:r>
          </w:p>
        </w:tc>
        <w:tc>
          <w:tcPr>
            <w:tcW w:w="2410" w:type="dxa"/>
            <w:shd w:val="clear" w:color="auto" w:fill="auto"/>
            <w:vAlign w:val="center"/>
          </w:tcPr>
          <w:p w14:paraId="5DC04FFC" w14:textId="77777777" w:rsidR="00522308" w:rsidRDefault="001B1623">
            <w:pPr>
              <w:ind w:left="0"/>
              <w:rPr>
                <w:sz w:val="18"/>
                <w:szCs w:val="18"/>
              </w:rPr>
            </w:pPr>
            <w:r>
              <w:rPr>
                <w:sz w:val="18"/>
                <w:szCs w:val="18"/>
              </w:rPr>
              <w:t>Celková dĺžka rekonštruovaných alebo zrenovovaných železničných</w:t>
            </w:r>
            <w:r w:rsidR="00E74D5D" w:rsidRPr="00A90D14">
              <w:rPr>
                <w:sz w:val="18"/>
                <w:szCs w:val="18"/>
              </w:rPr>
              <w:t xml:space="preserve"> trat</w:t>
            </w:r>
            <w:r>
              <w:rPr>
                <w:sz w:val="18"/>
                <w:szCs w:val="18"/>
              </w:rPr>
              <w:t>í</w:t>
            </w:r>
          </w:p>
        </w:tc>
        <w:tc>
          <w:tcPr>
            <w:tcW w:w="903" w:type="dxa"/>
            <w:shd w:val="clear" w:color="auto" w:fill="auto"/>
            <w:vAlign w:val="center"/>
          </w:tcPr>
          <w:p w14:paraId="35C96777" w14:textId="77777777" w:rsidR="00017B79" w:rsidRPr="004F0234" w:rsidRDefault="00017B79" w:rsidP="00D83282">
            <w:pPr>
              <w:ind w:left="0"/>
              <w:jc w:val="center"/>
              <w:rPr>
                <w:i/>
                <w:sz w:val="18"/>
                <w:szCs w:val="18"/>
              </w:rPr>
            </w:pPr>
            <w:r w:rsidRPr="004F0234">
              <w:rPr>
                <w:i/>
                <w:sz w:val="18"/>
                <w:szCs w:val="18"/>
              </w:rPr>
              <w:t>km</w:t>
            </w:r>
          </w:p>
        </w:tc>
        <w:tc>
          <w:tcPr>
            <w:tcW w:w="656" w:type="dxa"/>
            <w:shd w:val="clear" w:color="auto" w:fill="auto"/>
            <w:vAlign w:val="center"/>
          </w:tcPr>
          <w:p w14:paraId="0A930FCF" w14:textId="77777777"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14:paraId="46D227EE" w14:textId="77777777"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14:paraId="0752A3FD" w14:textId="7B4C363E" w:rsidR="00017B79" w:rsidRPr="004F0234" w:rsidRDefault="00211A39" w:rsidP="00C54D53">
            <w:pPr>
              <w:ind w:left="0"/>
              <w:jc w:val="center"/>
              <w:rPr>
                <w:i/>
                <w:sz w:val="18"/>
                <w:szCs w:val="18"/>
              </w:rPr>
            </w:pPr>
            <w:r>
              <w:rPr>
                <w:i/>
                <w:sz w:val="18"/>
                <w:szCs w:val="18"/>
              </w:rPr>
              <w:t>54,5</w:t>
            </w:r>
          </w:p>
        </w:tc>
        <w:tc>
          <w:tcPr>
            <w:tcW w:w="1011" w:type="dxa"/>
            <w:vAlign w:val="center"/>
          </w:tcPr>
          <w:p w14:paraId="0869E22D" w14:textId="77777777"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14:paraId="611693D7" w14:textId="77777777" w:rsidR="00017B79" w:rsidRPr="004F0234" w:rsidRDefault="00017B79" w:rsidP="00D83282">
            <w:pPr>
              <w:ind w:left="0"/>
              <w:jc w:val="center"/>
              <w:rPr>
                <w:i/>
                <w:sz w:val="18"/>
                <w:szCs w:val="18"/>
              </w:rPr>
            </w:pPr>
            <w:r>
              <w:rPr>
                <w:i/>
                <w:sz w:val="18"/>
                <w:szCs w:val="18"/>
              </w:rPr>
              <w:t>Ročne</w:t>
            </w:r>
          </w:p>
        </w:tc>
      </w:tr>
      <w:tr w:rsidR="002C1D2F" w14:paraId="525A2109" w14:textId="77777777" w:rsidTr="003D6170">
        <w:trPr>
          <w:trHeight w:val="680"/>
          <w:jc w:val="center"/>
        </w:trPr>
        <w:tc>
          <w:tcPr>
            <w:tcW w:w="575" w:type="dxa"/>
            <w:shd w:val="clear" w:color="auto" w:fill="auto"/>
            <w:vAlign w:val="center"/>
          </w:tcPr>
          <w:p w14:paraId="3E9E5ED8" w14:textId="77777777" w:rsidR="00522308" w:rsidRDefault="002C1D2F">
            <w:pPr>
              <w:ind w:left="0"/>
              <w:jc w:val="center"/>
              <w:rPr>
                <w:sz w:val="18"/>
                <w:szCs w:val="18"/>
              </w:rPr>
            </w:pPr>
            <w:r>
              <w:rPr>
                <w:sz w:val="18"/>
                <w:szCs w:val="18"/>
              </w:rPr>
              <w:t>2.</w:t>
            </w:r>
          </w:p>
        </w:tc>
        <w:tc>
          <w:tcPr>
            <w:tcW w:w="2410" w:type="dxa"/>
            <w:shd w:val="clear" w:color="auto" w:fill="auto"/>
            <w:vAlign w:val="center"/>
          </w:tcPr>
          <w:p w14:paraId="5CA9546A" w14:textId="77777777" w:rsidR="00522308" w:rsidRDefault="002C1D2F">
            <w:pPr>
              <w:ind w:left="0"/>
              <w:rPr>
                <w:sz w:val="18"/>
                <w:szCs w:val="18"/>
              </w:rPr>
            </w:pPr>
            <w:r>
              <w:rPr>
                <w:sz w:val="18"/>
                <w:szCs w:val="18"/>
              </w:rPr>
              <w:t>Celková dĺžka rekonštruovaných alebo zrenovovaných železničných</w:t>
            </w:r>
            <w:r w:rsidRPr="00A90D14">
              <w:rPr>
                <w:sz w:val="18"/>
                <w:szCs w:val="18"/>
              </w:rPr>
              <w:t xml:space="preserve"> trat</w:t>
            </w:r>
            <w:r>
              <w:rPr>
                <w:sz w:val="18"/>
                <w:szCs w:val="18"/>
              </w:rPr>
              <w:t>í v sieti TEN-T</w:t>
            </w:r>
          </w:p>
        </w:tc>
        <w:tc>
          <w:tcPr>
            <w:tcW w:w="903" w:type="dxa"/>
            <w:shd w:val="clear" w:color="auto" w:fill="auto"/>
            <w:vAlign w:val="center"/>
          </w:tcPr>
          <w:p w14:paraId="67185F71" w14:textId="77777777" w:rsidR="00522308" w:rsidRDefault="002C1D2F">
            <w:pPr>
              <w:ind w:left="0"/>
              <w:jc w:val="center"/>
              <w:rPr>
                <w:i/>
                <w:sz w:val="18"/>
                <w:szCs w:val="18"/>
              </w:rPr>
            </w:pPr>
            <w:r>
              <w:rPr>
                <w:i/>
                <w:sz w:val="18"/>
                <w:szCs w:val="18"/>
              </w:rPr>
              <w:t>km</w:t>
            </w:r>
          </w:p>
        </w:tc>
        <w:tc>
          <w:tcPr>
            <w:tcW w:w="656" w:type="dxa"/>
            <w:shd w:val="clear" w:color="auto" w:fill="auto"/>
            <w:vAlign w:val="center"/>
          </w:tcPr>
          <w:p w14:paraId="2D125256" w14:textId="77777777" w:rsidR="00522308" w:rsidRDefault="002C1D2F">
            <w:pPr>
              <w:ind w:left="0"/>
              <w:jc w:val="center"/>
              <w:rPr>
                <w:i/>
                <w:sz w:val="18"/>
                <w:szCs w:val="18"/>
              </w:rPr>
            </w:pPr>
            <w:r>
              <w:rPr>
                <w:i/>
                <w:sz w:val="18"/>
                <w:szCs w:val="18"/>
              </w:rPr>
              <w:t>EFRR</w:t>
            </w:r>
          </w:p>
        </w:tc>
        <w:tc>
          <w:tcPr>
            <w:tcW w:w="1225" w:type="dxa"/>
            <w:shd w:val="clear" w:color="auto" w:fill="auto"/>
            <w:vAlign w:val="center"/>
          </w:tcPr>
          <w:p w14:paraId="32ED7061" w14:textId="77777777" w:rsidR="00522308" w:rsidRDefault="002C1D2F">
            <w:pPr>
              <w:ind w:left="0"/>
              <w:jc w:val="center"/>
              <w:rPr>
                <w:i/>
                <w:sz w:val="18"/>
                <w:szCs w:val="18"/>
              </w:rPr>
            </w:pPr>
            <w:r>
              <w:rPr>
                <w:i/>
                <w:sz w:val="18"/>
                <w:szCs w:val="18"/>
              </w:rPr>
              <w:t>Menej rozvinuté regióny</w:t>
            </w:r>
          </w:p>
        </w:tc>
        <w:tc>
          <w:tcPr>
            <w:tcW w:w="1247" w:type="dxa"/>
            <w:shd w:val="clear" w:color="auto" w:fill="auto"/>
            <w:vAlign w:val="center"/>
          </w:tcPr>
          <w:p w14:paraId="59FD097C" w14:textId="320510CD" w:rsidR="00522308" w:rsidRDefault="00211A39" w:rsidP="00C54D53">
            <w:pPr>
              <w:ind w:left="0"/>
              <w:jc w:val="center"/>
              <w:rPr>
                <w:i/>
                <w:sz w:val="18"/>
                <w:szCs w:val="18"/>
              </w:rPr>
            </w:pPr>
            <w:r>
              <w:rPr>
                <w:i/>
                <w:sz w:val="18"/>
                <w:szCs w:val="18"/>
              </w:rPr>
              <w:t>21,5</w:t>
            </w:r>
          </w:p>
        </w:tc>
        <w:tc>
          <w:tcPr>
            <w:tcW w:w="1011" w:type="dxa"/>
            <w:vAlign w:val="center"/>
          </w:tcPr>
          <w:p w14:paraId="5B61C87D" w14:textId="77777777" w:rsidR="00522308" w:rsidRDefault="002C1D2F">
            <w:pPr>
              <w:ind w:left="0"/>
              <w:jc w:val="center"/>
              <w:rPr>
                <w:i/>
                <w:sz w:val="18"/>
                <w:szCs w:val="18"/>
              </w:rPr>
            </w:pPr>
            <w:r w:rsidRPr="004F0234">
              <w:rPr>
                <w:i/>
                <w:sz w:val="18"/>
                <w:szCs w:val="18"/>
              </w:rPr>
              <w:t>RO OPII</w:t>
            </w:r>
          </w:p>
        </w:tc>
        <w:tc>
          <w:tcPr>
            <w:tcW w:w="1385" w:type="dxa"/>
            <w:vAlign w:val="center"/>
          </w:tcPr>
          <w:p w14:paraId="51555992" w14:textId="77777777" w:rsidR="00522308" w:rsidRDefault="002C1D2F">
            <w:pPr>
              <w:ind w:left="0"/>
              <w:jc w:val="center"/>
              <w:rPr>
                <w:i/>
                <w:sz w:val="18"/>
                <w:szCs w:val="18"/>
              </w:rPr>
            </w:pPr>
            <w:r>
              <w:rPr>
                <w:i/>
                <w:sz w:val="18"/>
                <w:szCs w:val="18"/>
              </w:rPr>
              <w:t>Ročne</w:t>
            </w:r>
          </w:p>
        </w:tc>
      </w:tr>
      <w:tr w:rsidR="00017B79" w14:paraId="7E1B6A30" w14:textId="77777777" w:rsidTr="003D6170">
        <w:trPr>
          <w:trHeight w:val="680"/>
          <w:jc w:val="center"/>
        </w:trPr>
        <w:tc>
          <w:tcPr>
            <w:tcW w:w="575" w:type="dxa"/>
            <w:shd w:val="clear" w:color="auto" w:fill="auto"/>
            <w:vAlign w:val="center"/>
          </w:tcPr>
          <w:p w14:paraId="66B23ECB" w14:textId="77777777" w:rsidR="00017B79" w:rsidRDefault="002C1D2F" w:rsidP="00017B79">
            <w:pPr>
              <w:ind w:left="0"/>
              <w:jc w:val="center"/>
              <w:rPr>
                <w:sz w:val="18"/>
                <w:szCs w:val="18"/>
              </w:rPr>
            </w:pPr>
            <w:r>
              <w:rPr>
                <w:sz w:val="18"/>
                <w:szCs w:val="18"/>
              </w:rPr>
              <w:t>3</w:t>
            </w:r>
            <w:r w:rsidR="00017B79">
              <w:rPr>
                <w:sz w:val="18"/>
                <w:szCs w:val="18"/>
              </w:rPr>
              <w:t>.</w:t>
            </w:r>
          </w:p>
        </w:tc>
        <w:tc>
          <w:tcPr>
            <w:tcW w:w="2410" w:type="dxa"/>
            <w:shd w:val="clear" w:color="auto" w:fill="auto"/>
            <w:vAlign w:val="center"/>
          </w:tcPr>
          <w:p w14:paraId="5F1FDA7F" w14:textId="77777777" w:rsidR="00017B79" w:rsidRPr="00737ED2" w:rsidRDefault="00E74D5D" w:rsidP="00017B79">
            <w:pPr>
              <w:ind w:left="0"/>
              <w:rPr>
                <w:sz w:val="18"/>
                <w:szCs w:val="18"/>
              </w:rPr>
            </w:pPr>
            <w:r w:rsidRPr="00F6756F">
              <w:rPr>
                <w:sz w:val="18"/>
                <w:szCs w:val="18"/>
              </w:rPr>
              <w:t xml:space="preserve">Počet </w:t>
            </w:r>
            <w:r>
              <w:rPr>
                <w:sz w:val="18"/>
                <w:szCs w:val="18"/>
              </w:rPr>
              <w:t>lokalít s odstránením environmentálnej záťaže spôsobenej prevádzkou železničnej dopravy</w:t>
            </w:r>
          </w:p>
        </w:tc>
        <w:tc>
          <w:tcPr>
            <w:tcW w:w="903" w:type="dxa"/>
            <w:shd w:val="clear" w:color="auto" w:fill="auto"/>
            <w:vAlign w:val="center"/>
          </w:tcPr>
          <w:p w14:paraId="640E116D" w14:textId="77777777" w:rsidR="00017B79" w:rsidRPr="004F0234" w:rsidRDefault="00E74D5D" w:rsidP="00D83282">
            <w:pPr>
              <w:ind w:left="0"/>
              <w:jc w:val="center"/>
              <w:rPr>
                <w:i/>
                <w:sz w:val="18"/>
                <w:szCs w:val="18"/>
              </w:rPr>
            </w:pPr>
            <w:r>
              <w:rPr>
                <w:i/>
                <w:sz w:val="18"/>
                <w:szCs w:val="18"/>
              </w:rPr>
              <w:t>počet</w:t>
            </w:r>
          </w:p>
        </w:tc>
        <w:tc>
          <w:tcPr>
            <w:tcW w:w="656" w:type="dxa"/>
            <w:shd w:val="clear" w:color="auto" w:fill="auto"/>
            <w:vAlign w:val="center"/>
          </w:tcPr>
          <w:p w14:paraId="0ABF73E5" w14:textId="77777777"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14:paraId="6DCDBDE1" w14:textId="77777777"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14:paraId="08FA4898" w14:textId="77777777" w:rsidR="00017B79" w:rsidRPr="004F0234" w:rsidRDefault="00E041B3" w:rsidP="00D83282">
            <w:pPr>
              <w:ind w:left="0"/>
              <w:jc w:val="center"/>
              <w:rPr>
                <w:i/>
                <w:sz w:val="18"/>
                <w:szCs w:val="18"/>
              </w:rPr>
            </w:pPr>
            <w:r>
              <w:rPr>
                <w:i/>
                <w:sz w:val="18"/>
                <w:szCs w:val="18"/>
              </w:rPr>
              <w:t>3</w:t>
            </w:r>
          </w:p>
        </w:tc>
        <w:tc>
          <w:tcPr>
            <w:tcW w:w="1011" w:type="dxa"/>
            <w:vAlign w:val="center"/>
          </w:tcPr>
          <w:p w14:paraId="04BF9968" w14:textId="77777777"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14:paraId="456CE85F" w14:textId="77777777" w:rsidR="00017B79" w:rsidRPr="004F0234" w:rsidRDefault="00017B79" w:rsidP="00D83282">
            <w:pPr>
              <w:ind w:left="0"/>
              <w:jc w:val="center"/>
              <w:rPr>
                <w:i/>
                <w:sz w:val="18"/>
                <w:szCs w:val="18"/>
              </w:rPr>
            </w:pPr>
            <w:r>
              <w:rPr>
                <w:i/>
                <w:sz w:val="18"/>
                <w:szCs w:val="18"/>
              </w:rPr>
              <w:t>Ročne</w:t>
            </w:r>
          </w:p>
        </w:tc>
      </w:tr>
      <w:tr w:rsidR="00017B79" w14:paraId="799EA9C2" w14:textId="77777777" w:rsidTr="003D6170">
        <w:trPr>
          <w:trHeight w:val="680"/>
          <w:jc w:val="center"/>
        </w:trPr>
        <w:tc>
          <w:tcPr>
            <w:tcW w:w="575" w:type="dxa"/>
            <w:shd w:val="clear" w:color="auto" w:fill="auto"/>
            <w:vAlign w:val="center"/>
          </w:tcPr>
          <w:p w14:paraId="7CC59FEE" w14:textId="77777777" w:rsidR="00017B79" w:rsidRDefault="002C1D2F" w:rsidP="00017B79">
            <w:pPr>
              <w:ind w:left="0"/>
              <w:jc w:val="center"/>
              <w:rPr>
                <w:sz w:val="18"/>
                <w:szCs w:val="18"/>
              </w:rPr>
            </w:pPr>
            <w:r>
              <w:rPr>
                <w:sz w:val="18"/>
                <w:szCs w:val="18"/>
              </w:rPr>
              <w:t>4</w:t>
            </w:r>
            <w:r w:rsidR="00017B79">
              <w:rPr>
                <w:sz w:val="18"/>
                <w:szCs w:val="18"/>
              </w:rPr>
              <w:t>.</w:t>
            </w:r>
          </w:p>
        </w:tc>
        <w:tc>
          <w:tcPr>
            <w:tcW w:w="2410" w:type="dxa"/>
            <w:shd w:val="clear" w:color="auto" w:fill="auto"/>
            <w:vAlign w:val="center"/>
          </w:tcPr>
          <w:p w14:paraId="44956E43" w14:textId="77777777" w:rsidR="00017B79" w:rsidRPr="00737ED2" w:rsidRDefault="002F2B02" w:rsidP="00D65B44">
            <w:pPr>
              <w:ind w:left="0"/>
              <w:rPr>
                <w:sz w:val="18"/>
                <w:szCs w:val="18"/>
              </w:rPr>
            </w:pPr>
            <w:r>
              <w:rPr>
                <w:sz w:val="18"/>
                <w:szCs w:val="18"/>
              </w:rPr>
              <w:t>Dĺžka železničných tratí (mimo TEN-T CORE) so zavedeným systémom ERTMS</w:t>
            </w:r>
          </w:p>
        </w:tc>
        <w:tc>
          <w:tcPr>
            <w:tcW w:w="903" w:type="dxa"/>
            <w:shd w:val="clear" w:color="auto" w:fill="auto"/>
            <w:vAlign w:val="center"/>
          </w:tcPr>
          <w:p w14:paraId="33B3E379" w14:textId="77777777" w:rsidR="00017B79" w:rsidRPr="004F0234" w:rsidRDefault="00E74D5D" w:rsidP="00D83282">
            <w:pPr>
              <w:ind w:left="0"/>
              <w:jc w:val="center"/>
              <w:rPr>
                <w:i/>
                <w:sz w:val="18"/>
                <w:szCs w:val="18"/>
              </w:rPr>
            </w:pPr>
            <w:r>
              <w:rPr>
                <w:i/>
                <w:sz w:val="18"/>
                <w:szCs w:val="18"/>
              </w:rPr>
              <w:t>km</w:t>
            </w:r>
          </w:p>
        </w:tc>
        <w:tc>
          <w:tcPr>
            <w:tcW w:w="656" w:type="dxa"/>
            <w:shd w:val="clear" w:color="auto" w:fill="auto"/>
            <w:vAlign w:val="center"/>
          </w:tcPr>
          <w:p w14:paraId="172A5859" w14:textId="77777777"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14:paraId="4E8C1B6F" w14:textId="77777777"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14:paraId="700547A4" w14:textId="77777777" w:rsidR="00017B79" w:rsidRPr="004F0234" w:rsidRDefault="00E041B3" w:rsidP="00D83282">
            <w:pPr>
              <w:ind w:left="0"/>
              <w:jc w:val="center"/>
              <w:rPr>
                <w:i/>
                <w:sz w:val="18"/>
                <w:szCs w:val="18"/>
              </w:rPr>
            </w:pPr>
            <w:r>
              <w:rPr>
                <w:i/>
                <w:sz w:val="18"/>
                <w:szCs w:val="18"/>
              </w:rPr>
              <w:t>182</w:t>
            </w:r>
          </w:p>
        </w:tc>
        <w:tc>
          <w:tcPr>
            <w:tcW w:w="1011" w:type="dxa"/>
            <w:vAlign w:val="center"/>
          </w:tcPr>
          <w:p w14:paraId="159A4203" w14:textId="77777777"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14:paraId="59E32210" w14:textId="77777777" w:rsidR="00017B79" w:rsidRPr="004F0234" w:rsidRDefault="00017B79" w:rsidP="00D83282">
            <w:pPr>
              <w:ind w:left="0"/>
              <w:jc w:val="center"/>
              <w:rPr>
                <w:i/>
                <w:sz w:val="18"/>
                <w:szCs w:val="18"/>
              </w:rPr>
            </w:pPr>
            <w:r>
              <w:rPr>
                <w:i/>
                <w:sz w:val="18"/>
                <w:szCs w:val="18"/>
              </w:rPr>
              <w:t>Ročne</w:t>
            </w:r>
          </w:p>
        </w:tc>
      </w:tr>
      <w:tr w:rsidR="00DB0355" w14:paraId="2B6CBDCF" w14:textId="77777777" w:rsidTr="003D6170">
        <w:trPr>
          <w:trHeight w:val="680"/>
          <w:jc w:val="center"/>
        </w:trPr>
        <w:tc>
          <w:tcPr>
            <w:tcW w:w="575" w:type="dxa"/>
            <w:shd w:val="clear" w:color="auto" w:fill="auto"/>
            <w:vAlign w:val="center"/>
          </w:tcPr>
          <w:p w14:paraId="07DDF1A5" w14:textId="10DD6C48" w:rsidR="00DB0355" w:rsidRDefault="00DB0355" w:rsidP="00DB0355">
            <w:pPr>
              <w:ind w:left="0"/>
              <w:jc w:val="center"/>
              <w:rPr>
                <w:sz w:val="18"/>
                <w:szCs w:val="18"/>
              </w:rPr>
            </w:pPr>
            <w:r>
              <w:rPr>
                <w:sz w:val="18"/>
                <w:szCs w:val="18"/>
              </w:rPr>
              <w:t>5.</w:t>
            </w:r>
          </w:p>
        </w:tc>
        <w:tc>
          <w:tcPr>
            <w:tcW w:w="2410" w:type="dxa"/>
            <w:shd w:val="clear" w:color="auto" w:fill="auto"/>
            <w:vAlign w:val="center"/>
          </w:tcPr>
          <w:p w14:paraId="688C0E45" w14:textId="45EEED7D" w:rsidR="00DB0355" w:rsidRDefault="00DB0355" w:rsidP="00DB0355">
            <w:pPr>
              <w:ind w:left="0"/>
              <w:rPr>
                <w:sz w:val="18"/>
                <w:szCs w:val="18"/>
              </w:rPr>
            </w:pPr>
            <w:r>
              <w:rPr>
                <w:sz w:val="18"/>
                <w:szCs w:val="18"/>
              </w:rPr>
              <w:t>Počet obnovených vlakových súprav v železničnej verejnej osobnej doprave</w:t>
            </w:r>
          </w:p>
        </w:tc>
        <w:tc>
          <w:tcPr>
            <w:tcW w:w="903" w:type="dxa"/>
            <w:shd w:val="clear" w:color="auto" w:fill="auto"/>
            <w:vAlign w:val="center"/>
          </w:tcPr>
          <w:p w14:paraId="600C6A45" w14:textId="7A19B4C4" w:rsidR="00DB0355" w:rsidRDefault="00DB0355" w:rsidP="00DB0355">
            <w:pPr>
              <w:ind w:left="0"/>
              <w:jc w:val="center"/>
              <w:rPr>
                <w:i/>
                <w:sz w:val="18"/>
                <w:szCs w:val="18"/>
              </w:rPr>
            </w:pPr>
            <w:r>
              <w:rPr>
                <w:i/>
                <w:sz w:val="18"/>
                <w:szCs w:val="18"/>
              </w:rPr>
              <w:t>počet</w:t>
            </w:r>
          </w:p>
        </w:tc>
        <w:tc>
          <w:tcPr>
            <w:tcW w:w="656" w:type="dxa"/>
            <w:shd w:val="clear" w:color="auto" w:fill="auto"/>
            <w:vAlign w:val="center"/>
          </w:tcPr>
          <w:p w14:paraId="5755C6E9" w14:textId="4738B3AC" w:rsidR="00DB0355" w:rsidRDefault="00DB0355" w:rsidP="00DB0355">
            <w:pPr>
              <w:ind w:left="0"/>
              <w:jc w:val="center"/>
              <w:rPr>
                <w:i/>
                <w:sz w:val="18"/>
                <w:szCs w:val="18"/>
              </w:rPr>
            </w:pPr>
            <w:r>
              <w:rPr>
                <w:i/>
                <w:sz w:val="18"/>
                <w:szCs w:val="18"/>
              </w:rPr>
              <w:t>EFRR</w:t>
            </w:r>
          </w:p>
        </w:tc>
        <w:tc>
          <w:tcPr>
            <w:tcW w:w="1225" w:type="dxa"/>
            <w:shd w:val="clear" w:color="auto" w:fill="auto"/>
            <w:vAlign w:val="center"/>
          </w:tcPr>
          <w:p w14:paraId="10BCBD6D" w14:textId="655199AF" w:rsidR="00DB0355" w:rsidRDefault="00DB0355" w:rsidP="00DB0355">
            <w:pPr>
              <w:ind w:left="0"/>
              <w:jc w:val="center"/>
              <w:rPr>
                <w:i/>
                <w:sz w:val="18"/>
                <w:szCs w:val="18"/>
              </w:rPr>
            </w:pPr>
            <w:r>
              <w:rPr>
                <w:i/>
                <w:sz w:val="18"/>
                <w:szCs w:val="18"/>
              </w:rPr>
              <w:t>Menej rozvinuté regióny</w:t>
            </w:r>
          </w:p>
        </w:tc>
        <w:tc>
          <w:tcPr>
            <w:tcW w:w="1247" w:type="dxa"/>
            <w:shd w:val="clear" w:color="auto" w:fill="auto"/>
            <w:vAlign w:val="center"/>
          </w:tcPr>
          <w:p w14:paraId="33BBBDD7" w14:textId="0681C45E" w:rsidR="00DB0355" w:rsidRDefault="00DB0355" w:rsidP="00DB0355">
            <w:pPr>
              <w:ind w:left="0"/>
              <w:jc w:val="center"/>
              <w:rPr>
                <w:i/>
                <w:sz w:val="18"/>
                <w:szCs w:val="18"/>
              </w:rPr>
            </w:pPr>
            <w:r>
              <w:rPr>
                <w:i/>
                <w:sz w:val="18"/>
                <w:szCs w:val="18"/>
              </w:rPr>
              <w:t>5</w:t>
            </w:r>
          </w:p>
        </w:tc>
        <w:tc>
          <w:tcPr>
            <w:tcW w:w="1011" w:type="dxa"/>
            <w:vAlign w:val="center"/>
          </w:tcPr>
          <w:p w14:paraId="446EA045" w14:textId="3B56EBF1" w:rsidR="00DB0355" w:rsidRPr="004F0234" w:rsidRDefault="00DB0355" w:rsidP="00DB0355">
            <w:pPr>
              <w:ind w:left="0"/>
              <w:jc w:val="center"/>
              <w:rPr>
                <w:i/>
                <w:sz w:val="18"/>
                <w:szCs w:val="18"/>
              </w:rPr>
            </w:pPr>
            <w:r w:rsidRPr="004F0234">
              <w:rPr>
                <w:i/>
                <w:sz w:val="18"/>
                <w:szCs w:val="18"/>
              </w:rPr>
              <w:t>RO OPII</w:t>
            </w:r>
          </w:p>
        </w:tc>
        <w:tc>
          <w:tcPr>
            <w:tcW w:w="1385" w:type="dxa"/>
            <w:vAlign w:val="center"/>
          </w:tcPr>
          <w:p w14:paraId="630755A0" w14:textId="10A65352" w:rsidR="00DB0355" w:rsidRDefault="00DB0355" w:rsidP="00DB0355">
            <w:pPr>
              <w:ind w:left="0"/>
              <w:jc w:val="center"/>
              <w:rPr>
                <w:i/>
                <w:sz w:val="18"/>
                <w:szCs w:val="18"/>
              </w:rPr>
            </w:pPr>
            <w:r>
              <w:rPr>
                <w:i/>
                <w:sz w:val="18"/>
                <w:szCs w:val="18"/>
              </w:rPr>
              <w:t>Ročne</w:t>
            </w:r>
          </w:p>
        </w:tc>
      </w:tr>
    </w:tbl>
    <w:p w14:paraId="56E37189" w14:textId="77777777" w:rsidR="00307AAF" w:rsidRDefault="00017B79" w:rsidP="002B03EB">
      <w:pPr>
        <w:pStyle w:val="Nadpis3"/>
      </w:pPr>
      <w:bookmarkStart w:id="52" w:name="_Toc28951614"/>
      <w:r>
        <w:t>Výkonnostný rámec prioritnej osi</w:t>
      </w:r>
      <w:bookmarkEnd w:id="52"/>
    </w:p>
    <w:p w14:paraId="6E876A8F" w14:textId="77777777" w:rsidR="00017B79" w:rsidRPr="007B3B80" w:rsidRDefault="00017B79" w:rsidP="00017B79">
      <w:pPr>
        <w:pStyle w:val="Tab"/>
      </w:pPr>
      <w:r>
        <w:t>Vý</w:t>
      </w:r>
      <w:r w:rsidR="00E74D5D">
        <w:t>konnostný rámec Prioritnej osi 5</w:t>
      </w:r>
    </w:p>
    <w:tbl>
      <w:tblPr>
        <w:tblStyle w:val="Mriekatabuky"/>
        <w:tblW w:w="100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76"/>
        <w:gridCol w:w="897"/>
        <w:gridCol w:w="656"/>
        <w:gridCol w:w="986"/>
        <w:gridCol w:w="987"/>
        <w:gridCol w:w="1014"/>
        <w:gridCol w:w="747"/>
        <w:gridCol w:w="1306"/>
      </w:tblGrid>
      <w:tr w:rsidR="000B2D64" w14:paraId="058815CF" w14:textId="77777777" w:rsidTr="00211A39">
        <w:trPr>
          <w:trHeight w:val="340"/>
          <w:jc w:val="center"/>
        </w:trPr>
        <w:tc>
          <w:tcPr>
            <w:tcW w:w="1476" w:type="dxa"/>
            <w:shd w:val="clear" w:color="auto" w:fill="C6D9F1" w:themeFill="text2" w:themeFillTint="33"/>
          </w:tcPr>
          <w:p w14:paraId="5C0FEF53" w14:textId="77777777" w:rsidR="000B2D64" w:rsidRPr="008C1732" w:rsidRDefault="000B2D64" w:rsidP="000B2D64">
            <w:pPr>
              <w:ind w:left="0"/>
              <w:rPr>
                <w:b/>
                <w:sz w:val="18"/>
                <w:szCs w:val="18"/>
              </w:rPr>
            </w:pPr>
            <w:r w:rsidRPr="008C1732">
              <w:rPr>
                <w:b/>
                <w:sz w:val="18"/>
                <w:szCs w:val="18"/>
              </w:rPr>
              <w:t>Typ ukazovateľa</w:t>
            </w:r>
          </w:p>
          <w:p w14:paraId="6A5D3B43" w14:textId="77777777" w:rsidR="000B2D64" w:rsidRPr="008C1732" w:rsidRDefault="000B2D64" w:rsidP="000B2D64">
            <w:pPr>
              <w:ind w:left="0"/>
              <w:rPr>
                <w:b/>
                <w:sz w:val="18"/>
                <w:szCs w:val="18"/>
              </w:rPr>
            </w:pPr>
          </w:p>
          <w:p w14:paraId="15B759B3" w14:textId="77777777" w:rsidR="000B2D64" w:rsidRPr="008C1732" w:rsidRDefault="000B2D64" w:rsidP="000B2D64">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35F8F222" w14:textId="77777777" w:rsidR="000B2D64" w:rsidRPr="008C1732" w:rsidRDefault="000B2D64" w:rsidP="000B2D64">
            <w:pPr>
              <w:ind w:left="0"/>
              <w:rPr>
                <w:b/>
                <w:sz w:val="18"/>
                <w:szCs w:val="18"/>
              </w:rPr>
            </w:pPr>
            <w:r>
              <w:rPr>
                <w:b/>
                <w:sz w:val="18"/>
                <w:szCs w:val="18"/>
              </w:rPr>
              <w:t>P. č.</w:t>
            </w:r>
          </w:p>
        </w:tc>
        <w:tc>
          <w:tcPr>
            <w:tcW w:w="1576" w:type="dxa"/>
            <w:shd w:val="clear" w:color="auto" w:fill="C6D9F1" w:themeFill="text2" w:themeFillTint="33"/>
          </w:tcPr>
          <w:p w14:paraId="2A6DCE7B" w14:textId="77777777" w:rsidR="000B2D64" w:rsidRPr="008C1732" w:rsidRDefault="000B2D64" w:rsidP="000B2D64">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51970D23" w14:textId="77777777" w:rsidR="000B2D64" w:rsidRPr="008C1732" w:rsidRDefault="000B2D64" w:rsidP="000B2D64">
            <w:pPr>
              <w:ind w:left="0"/>
              <w:rPr>
                <w:b/>
                <w:sz w:val="18"/>
                <w:szCs w:val="18"/>
              </w:rPr>
            </w:pPr>
            <w:r w:rsidRPr="008C1732">
              <w:rPr>
                <w:b/>
                <w:sz w:val="18"/>
                <w:szCs w:val="18"/>
              </w:rPr>
              <w:t>Merná jednotka</w:t>
            </w:r>
          </w:p>
        </w:tc>
        <w:tc>
          <w:tcPr>
            <w:tcW w:w="656" w:type="dxa"/>
            <w:shd w:val="clear" w:color="auto" w:fill="C6D9F1" w:themeFill="text2" w:themeFillTint="33"/>
          </w:tcPr>
          <w:p w14:paraId="2ADFEA5B" w14:textId="77777777" w:rsidR="000B2D64" w:rsidRPr="008C1732" w:rsidRDefault="000B2D64" w:rsidP="000B2D64">
            <w:pPr>
              <w:ind w:left="0"/>
              <w:rPr>
                <w:b/>
                <w:sz w:val="18"/>
                <w:szCs w:val="18"/>
              </w:rPr>
            </w:pPr>
            <w:r w:rsidRPr="008C1732">
              <w:rPr>
                <w:b/>
                <w:sz w:val="18"/>
                <w:szCs w:val="18"/>
              </w:rPr>
              <w:t>Fond</w:t>
            </w:r>
          </w:p>
        </w:tc>
        <w:tc>
          <w:tcPr>
            <w:tcW w:w="986" w:type="dxa"/>
            <w:shd w:val="clear" w:color="auto" w:fill="C6D9F1" w:themeFill="text2" w:themeFillTint="33"/>
          </w:tcPr>
          <w:p w14:paraId="6B2E7B73" w14:textId="77777777" w:rsidR="000B2D64" w:rsidRPr="008C1732" w:rsidRDefault="000B2D64" w:rsidP="000B2D64">
            <w:pPr>
              <w:ind w:left="0"/>
              <w:rPr>
                <w:b/>
                <w:sz w:val="18"/>
                <w:szCs w:val="18"/>
              </w:rPr>
            </w:pPr>
            <w:r w:rsidRPr="008C1732">
              <w:rPr>
                <w:b/>
                <w:sz w:val="18"/>
                <w:szCs w:val="18"/>
              </w:rPr>
              <w:t>Kategória regiónu</w:t>
            </w:r>
          </w:p>
        </w:tc>
        <w:tc>
          <w:tcPr>
            <w:tcW w:w="987" w:type="dxa"/>
            <w:shd w:val="clear" w:color="auto" w:fill="C6D9F1" w:themeFill="text2" w:themeFillTint="33"/>
          </w:tcPr>
          <w:p w14:paraId="7142D52C" w14:textId="77777777" w:rsidR="000B2D64" w:rsidRPr="008C1732" w:rsidRDefault="000B2D64" w:rsidP="000B2D64">
            <w:pPr>
              <w:ind w:left="0"/>
              <w:rPr>
                <w:b/>
                <w:sz w:val="18"/>
                <w:szCs w:val="18"/>
              </w:rPr>
            </w:pPr>
            <w:r w:rsidRPr="008C1732">
              <w:rPr>
                <w:b/>
                <w:sz w:val="18"/>
                <w:szCs w:val="18"/>
              </w:rPr>
              <w:t>Čiastkový cieľ pre rok 2018</w:t>
            </w:r>
          </w:p>
        </w:tc>
        <w:tc>
          <w:tcPr>
            <w:tcW w:w="1014" w:type="dxa"/>
            <w:shd w:val="clear" w:color="auto" w:fill="C6D9F1" w:themeFill="text2" w:themeFillTint="33"/>
          </w:tcPr>
          <w:p w14:paraId="2BF8F67E" w14:textId="77777777" w:rsidR="000B2D64" w:rsidRPr="008C1732" w:rsidRDefault="000B2D64" w:rsidP="000B2D64">
            <w:pPr>
              <w:ind w:left="0"/>
              <w:rPr>
                <w:b/>
                <w:sz w:val="18"/>
                <w:szCs w:val="18"/>
              </w:rPr>
            </w:pPr>
            <w:r w:rsidRPr="008C1732">
              <w:rPr>
                <w:b/>
                <w:sz w:val="18"/>
                <w:szCs w:val="18"/>
              </w:rPr>
              <w:t>Zámer</w:t>
            </w:r>
          </w:p>
          <w:p w14:paraId="0914FCD8" w14:textId="77777777" w:rsidR="000B2D64" w:rsidRPr="008C1732" w:rsidRDefault="000B2D64" w:rsidP="000B2D64">
            <w:pPr>
              <w:ind w:left="0"/>
              <w:rPr>
                <w:b/>
                <w:sz w:val="18"/>
                <w:szCs w:val="18"/>
              </w:rPr>
            </w:pPr>
            <w:r w:rsidRPr="008C1732">
              <w:rPr>
                <w:b/>
                <w:sz w:val="18"/>
                <w:szCs w:val="18"/>
              </w:rPr>
              <w:t>(2023)</w:t>
            </w:r>
          </w:p>
        </w:tc>
        <w:tc>
          <w:tcPr>
            <w:tcW w:w="747" w:type="dxa"/>
            <w:shd w:val="clear" w:color="auto" w:fill="C6D9F1" w:themeFill="text2" w:themeFillTint="33"/>
          </w:tcPr>
          <w:p w14:paraId="05349F5F" w14:textId="77777777" w:rsidR="000B2D64" w:rsidRPr="008C1732" w:rsidRDefault="000B2D64" w:rsidP="000B2D64">
            <w:pPr>
              <w:ind w:left="0"/>
              <w:rPr>
                <w:b/>
                <w:sz w:val="18"/>
                <w:szCs w:val="18"/>
              </w:rPr>
            </w:pPr>
            <w:r w:rsidRPr="008C1732">
              <w:rPr>
                <w:b/>
                <w:sz w:val="18"/>
                <w:szCs w:val="18"/>
              </w:rPr>
              <w:t>Zdroj údajov</w:t>
            </w:r>
          </w:p>
        </w:tc>
        <w:tc>
          <w:tcPr>
            <w:tcW w:w="1306" w:type="dxa"/>
            <w:shd w:val="clear" w:color="auto" w:fill="C6D9F1" w:themeFill="text2" w:themeFillTint="33"/>
          </w:tcPr>
          <w:p w14:paraId="4ED2BC21" w14:textId="77777777" w:rsidR="000B2D64" w:rsidRPr="008C1732" w:rsidRDefault="000B2D64" w:rsidP="000B2D64">
            <w:pPr>
              <w:ind w:left="0"/>
              <w:rPr>
                <w:b/>
                <w:sz w:val="18"/>
                <w:szCs w:val="18"/>
              </w:rPr>
            </w:pPr>
            <w:r w:rsidRPr="008C1732">
              <w:rPr>
                <w:b/>
                <w:sz w:val="18"/>
                <w:szCs w:val="18"/>
              </w:rPr>
              <w:t>Zdôvodnenie výberu ukazovateľa</w:t>
            </w:r>
          </w:p>
        </w:tc>
      </w:tr>
      <w:tr w:rsidR="00211A39" w14:paraId="081E2351" w14:textId="77777777" w:rsidTr="00211A39">
        <w:trPr>
          <w:trHeight w:val="454"/>
          <w:jc w:val="center"/>
        </w:trPr>
        <w:tc>
          <w:tcPr>
            <w:tcW w:w="1476" w:type="dxa"/>
            <w:vAlign w:val="center"/>
          </w:tcPr>
          <w:p w14:paraId="392F1432" w14:textId="77777777" w:rsidR="00211A39" w:rsidRPr="00D9570C" w:rsidRDefault="00211A39" w:rsidP="00211A39">
            <w:pPr>
              <w:ind w:left="0"/>
              <w:rPr>
                <w:i/>
                <w:sz w:val="18"/>
                <w:szCs w:val="18"/>
              </w:rPr>
            </w:pPr>
            <w:r w:rsidRPr="00D9570C">
              <w:rPr>
                <w:i/>
                <w:sz w:val="18"/>
                <w:szCs w:val="18"/>
              </w:rPr>
              <w:t>výstupový ukazovateľ</w:t>
            </w:r>
          </w:p>
        </w:tc>
        <w:tc>
          <w:tcPr>
            <w:tcW w:w="371" w:type="dxa"/>
          </w:tcPr>
          <w:p w14:paraId="5E268DD7" w14:textId="77777777" w:rsidR="00211A39" w:rsidRPr="00D9570C" w:rsidRDefault="00211A39" w:rsidP="00211A39">
            <w:pPr>
              <w:rPr>
                <w:sz w:val="18"/>
                <w:szCs w:val="18"/>
              </w:rPr>
            </w:pPr>
          </w:p>
        </w:tc>
        <w:tc>
          <w:tcPr>
            <w:tcW w:w="1576" w:type="dxa"/>
          </w:tcPr>
          <w:p w14:paraId="081C5C7B" w14:textId="77777777" w:rsidR="00211A39" w:rsidRPr="00D9570C" w:rsidRDefault="00211A39" w:rsidP="00211A39">
            <w:pPr>
              <w:ind w:left="0"/>
              <w:rPr>
                <w:sz w:val="18"/>
                <w:szCs w:val="18"/>
              </w:rPr>
            </w:pPr>
            <w:r w:rsidRPr="00DA54CE">
              <w:rPr>
                <w:sz w:val="18"/>
                <w:szCs w:val="18"/>
              </w:rPr>
              <w:t>Celková dĺžka rekonštruovanej alebo zrenovovanej železničnej trate</w:t>
            </w:r>
          </w:p>
        </w:tc>
        <w:tc>
          <w:tcPr>
            <w:tcW w:w="897" w:type="dxa"/>
            <w:vAlign w:val="center"/>
          </w:tcPr>
          <w:p w14:paraId="43149953" w14:textId="77777777" w:rsidR="00211A39" w:rsidRPr="00D9570C" w:rsidRDefault="00211A39" w:rsidP="00211A39">
            <w:pPr>
              <w:ind w:left="0"/>
              <w:jc w:val="center"/>
              <w:rPr>
                <w:i/>
                <w:sz w:val="18"/>
                <w:szCs w:val="18"/>
              </w:rPr>
            </w:pPr>
            <w:r>
              <w:rPr>
                <w:i/>
                <w:sz w:val="18"/>
                <w:szCs w:val="18"/>
              </w:rPr>
              <w:t>km</w:t>
            </w:r>
          </w:p>
        </w:tc>
        <w:tc>
          <w:tcPr>
            <w:tcW w:w="656" w:type="dxa"/>
            <w:vAlign w:val="center"/>
          </w:tcPr>
          <w:p w14:paraId="084AD94D" w14:textId="77777777" w:rsidR="00211A39" w:rsidRPr="00D9570C" w:rsidRDefault="00211A39" w:rsidP="00211A39">
            <w:pPr>
              <w:ind w:left="0"/>
              <w:jc w:val="center"/>
              <w:rPr>
                <w:i/>
                <w:sz w:val="18"/>
                <w:szCs w:val="18"/>
              </w:rPr>
            </w:pPr>
            <w:r>
              <w:rPr>
                <w:i/>
                <w:sz w:val="18"/>
                <w:szCs w:val="18"/>
              </w:rPr>
              <w:t>EFRR</w:t>
            </w:r>
          </w:p>
        </w:tc>
        <w:tc>
          <w:tcPr>
            <w:tcW w:w="986" w:type="dxa"/>
            <w:vAlign w:val="center"/>
          </w:tcPr>
          <w:p w14:paraId="3A7F11C6" w14:textId="77777777" w:rsidR="00211A39" w:rsidRPr="00D9570C" w:rsidRDefault="00211A39" w:rsidP="00211A39">
            <w:pPr>
              <w:ind w:left="0"/>
              <w:jc w:val="center"/>
              <w:rPr>
                <w:i/>
                <w:sz w:val="18"/>
                <w:szCs w:val="18"/>
              </w:rPr>
            </w:pPr>
            <w:r>
              <w:rPr>
                <w:i/>
                <w:sz w:val="18"/>
                <w:szCs w:val="18"/>
              </w:rPr>
              <w:t>Menej rozvinuté regióny</w:t>
            </w:r>
          </w:p>
        </w:tc>
        <w:tc>
          <w:tcPr>
            <w:tcW w:w="987" w:type="dxa"/>
            <w:vAlign w:val="center"/>
          </w:tcPr>
          <w:p w14:paraId="37D9B89D" w14:textId="5DC68D2D" w:rsidR="00211A39" w:rsidRPr="00D9570C" w:rsidRDefault="00211A39" w:rsidP="00211A39">
            <w:pPr>
              <w:ind w:left="0"/>
              <w:jc w:val="center"/>
              <w:rPr>
                <w:i/>
                <w:sz w:val="18"/>
                <w:szCs w:val="18"/>
              </w:rPr>
            </w:pPr>
            <w:r>
              <w:rPr>
                <w:i/>
                <w:sz w:val="18"/>
                <w:szCs w:val="18"/>
              </w:rPr>
              <w:t>54,5</w:t>
            </w:r>
          </w:p>
        </w:tc>
        <w:tc>
          <w:tcPr>
            <w:tcW w:w="1014" w:type="dxa"/>
            <w:vAlign w:val="center"/>
          </w:tcPr>
          <w:p w14:paraId="368C3727" w14:textId="4618B515" w:rsidR="00211A39" w:rsidRPr="00D9570C" w:rsidRDefault="00211A39" w:rsidP="00211A39">
            <w:pPr>
              <w:ind w:left="0"/>
              <w:jc w:val="center"/>
              <w:rPr>
                <w:i/>
                <w:sz w:val="18"/>
                <w:szCs w:val="18"/>
              </w:rPr>
            </w:pPr>
            <w:r>
              <w:rPr>
                <w:i/>
                <w:sz w:val="18"/>
                <w:szCs w:val="18"/>
              </w:rPr>
              <w:t>54,5</w:t>
            </w:r>
          </w:p>
        </w:tc>
        <w:tc>
          <w:tcPr>
            <w:tcW w:w="747" w:type="dxa"/>
            <w:vAlign w:val="center"/>
          </w:tcPr>
          <w:p w14:paraId="3C2C9E06" w14:textId="77777777" w:rsidR="00211A39" w:rsidRPr="00D9570C" w:rsidRDefault="00211A39" w:rsidP="00211A39">
            <w:pPr>
              <w:ind w:left="0"/>
              <w:jc w:val="center"/>
              <w:rPr>
                <w:i/>
                <w:sz w:val="18"/>
                <w:szCs w:val="18"/>
              </w:rPr>
            </w:pPr>
            <w:r w:rsidRPr="00D9570C">
              <w:rPr>
                <w:i/>
                <w:sz w:val="18"/>
                <w:szCs w:val="18"/>
              </w:rPr>
              <w:t>RO OPII</w:t>
            </w:r>
          </w:p>
        </w:tc>
        <w:tc>
          <w:tcPr>
            <w:tcW w:w="1306" w:type="dxa"/>
            <w:vAlign w:val="center"/>
          </w:tcPr>
          <w:p w14:paraId="16B71144" w14:textId="77777777" w:rsidR="00211A39" w:rsidRPr="00D9570C" w:rsidRDefault="00211A39" w:rsidP="00211A39">
            <w:pPr>
              <w:ind w:left="0"/>
              <w:jc w:val="center"/>
              <w:rPr>
                <w:i/>
                <w:sz w:val="18"/>
                <w:szCs w:val="18"/>
              </w:rPr>
            </w:pPr>
            <w:r>
              <w:rPr>
                <w:i/>
                <w:sz w:val="18"/>
                <w:szCs w:val="18"/>
              </w:rPr>
              <w:t>Nosná investičná aktivita v rámci PO5</w:t>
            </w:r>
          </w:p>
        </w:tc>
      </w:tr>
      <w:tr w:rsidR="00211A39" w14:paraId="5C4E0E76" w14:textId="77777777" w:rsidTr="00211A39">
        <w:trPr>
          <w:trHeight w:val="454"/>
          <w:jc w:val="center"/>
        </w:trPr>
        <w:tc>
          <w:tcPr>
            <w:tcW w:w="1476" w:type="dxa"/>
            <w:vAlign w:val="center"/>
          </w:tcPr>
          <w:p w14:paraId="2C9CC4FE" w14:textId="77777777" w:rsidR="00211A39" w:rsidRPr="00D9570C" w:rsidRDefault="00211A39" w:rsidP="00211A39">
            <w:pPr>
              <w:ind w:left="0"/>
              <w:rPr>
                <w:i/>
                <w:sz w:val="18"/>
                <w:szCs w:val="18"/>
              </w:rPr>
            </w:pPr>
            <w:r w:rsidRPr="00D9570C">
              <w:rPr>
                <w:i/>
                <w:sz w:val="18"/>
                <w:szCs w:val="18"/>
              </w:rPr>
              <w:t>výstupový ukazovateľ</w:t>
            </w:r>
          </w:p>
        </w:tc>
        <w:tc>
          <w:tcPr>
            <w:tcW w:w="371" w:type="dxa"/>
          </w:tcPr>
          <w:p w14:paraId="153DFEDF" w14:textId="77777777" w:rsidR="00211A39" w:rsidRPr="00D9570C" w:rsidRDefault="00211A39" w:rsidP="00211A39">
            <w:pPr>
              <w:ind w:left="0"/>
              <w:rPr>
                <w:sz w:val="18"/>
                <w:szCs w:val="18"/>
              </w:rPr>
            </w:pPr>
          </w:p>
        </w:tc>
        <w:tc>
          <w:tcPr>
            <w:tcW w:w="1576" w:type="dxa"/>
          </w:tcPr>
          <w:p w14:paraId="06676624" w14:textId="77777777" w:rsidR="00211A39" w:rsidRPr="00DA54CE" w:rsidRDefault="00211A39" w:rsidP="00211A39">
            <w:pPr>
              <w:ind w:left="0"/>
              <w:rPr>
                <w:sz w:val="18"/>
                <w:szCs w:val="18"/>
              </w:rPr>
            </w:pPr>
            <w:r w:rsidRPr="0081098A">
              <w:rPr>
                <w:sz w:val="18"/>
                <w:szCs w:val="18"/>
              </w:rPr>
              <w:t>Počet lokalít s odstránením environmentálnej záťaže spôsobenej prevádzkou železničnej dopravy</w:t>
            </w:r>
          </w:p>
        </w:tc>
        <w:tc>
          <w:tcPr>
            <w:tcW w:w="897" w:type="dxa"/>
            <w:vAlign w:val="center"/>
          </w:tcPr>
          <w:p w14:paraId="47C61E3D" w14:textId="77777777" w:rsidR="00211A39" w:rsidRDefault="00211A39" w:rsidP="00211A39">
            <w:pPr>
              <w:ind w:left="0"/>
              <w:jc w:val="center"/>
              <w:rPr>
                <w:i/>
                <w:sz w:val="18"/>
                <w:szCs w:val="18"/>
              </w:rPr>
            </w:pPr>
            <w:r>
              <w:rPr>
                <w:i/>
                <w:sz w:val="18"/>
                <w:szCs w:val="18"/>
              </w:rPr>
              <w:t>počet</w:t>
            </w:r>
          </w:p>
        </w:tc>
        <w:tc>
          <w:tcPr>
            <w:tcW w:w="656" w:type="dxa"/>
            <w:vAlign w:val="center"/>
          </w:tcPr>
          <w:p w14:paraId="1682D59E" w14:textId="77777777" w:rsidR="00211A39" w:rsidRDefault="00211A39" w:rsidP="00211A39">
            <w:pPr>
              <w:ind w:left="0"/>
              <w:jc w:val="center"/>
              <w:rPr>
                <w:i/>
                <w:sz w:val="18"/>
                <w:szCs w:val="18"/>
              </w:rPr>
            </w:pPr>
            <w:r>
              <w:rPr>
                <w:i/>
                <w:sz w:val="18"/>
                <w:szCs w:val="18"/>
              </w:rPr>
              <w:t>EFRR</w:t>
            </w:r>
          </w:p>
        </w:tc>
        <w:tc>
          <w:tcPr>
            <w:tcW w:w="986" w:type="dxa"/>
            <w:vAlign w:val="center"/>
          </w:tcPr>
          <w:p w14:paraId="3449BE81" w14:textId="77777777" w:rsidR="00211A39" w:rsidRDefault="00211A39" w:rsidP="00211A39">
            <w:pPr>
              <w:ind w:left="0"/>
              <w:jc w:val="center"/>
              <w:rPr>
                <w:i/>
                <w:sz w:val="18"/>
                <w:szCs w:val="18"/>
              </w:rPr>
            </w:pPr>
            <w:r>
              <w:rPr>
                <w:i/>
                <w:sz w:val="18"/>
                <w:szCs w:val="18"/>
              </w:rPr>
              <w:t>Menej rozvinuté regióny</w:t>
            </w:r>
          </w:p>
        </w:tc>
        <w:tc>
          <w:tcPr>
            <w:tcW w:w="987" w:type="dxa"/>
            <w:vAlign w:val="center"/>
          </w:tcPr>
          <w:p w14:paraId="0C1E25DF" w14:textId="1F264BEB" w:rsidR="00211A39" w:rsidRDefault="00211A39" w:rsidP="00211A39">
            <w:pPr>
              <w:ind w:left="0"/>
              <w:jc w:val="center"/>
              <w:rPr>
                <w:i/>
                <w:sz w:val="18"/>
                <w:szCs w:val="18"/>
              </w:rPr>
            </w:pPr>
            <w:r>
              <w:rPr>
                <w:i/>
                <w:sz w:val="18"/>
                <w:szCs w:val="18"/>
              </w:rPr>
              <w:t>3</w:t>
            </w:r>
          </w:p>
        </w:tc>
        <w:tc>
          <w:tcPr>
            <w:tcW w:w="1014" w:type="dxa"/>
            <w:vAlign w:val="center"/>
          </w:tcPr>
          <w:p w14:paraId="7B9F88AA" w14:textId="4A537DE3" w:rsidR="00211A39" w:rsidRDefault="00211A39" w:rsidP="00211A39">
            <w:pPr>
              <w:ind w:left="0"/>
              <w:jc w:val="center"/>
              <w:rPr>
                <w:i/>
                <w:sz w:val="18"/>
                <w:szCs w:val="18"/>
              </w:rPr>
            </w:pPr>
            <w:r>
              <w:rPr>
                <w:i/>
                <w:sz w:val="18"/>
                <w:szCs w:val="18"/>
              </w:rPr>
              <w:t>3</w:t>
            </w:r>
          </w:p>
        </w:tc>
        <w:tc>
          <w:tcPr>
            <w:tcW w:w="747" w:type="dxa"/>
            <w:vAlign w:val="center"/>
          </w:tcPr>
          <w:p w14:paraId="324AEBDA" w14:textId="77777777" w:rsidR="00211A39" w:rsidRPr="00D9570C" w:rsidRDefault="00211A39" w:rsidP="00211A39">
            <w:pPr>
              <w:ind w:left="0"/>
              <w:jc w:val="center"/>
              <w:rPr>
                <w:i/>
                <w:sz w:val="18"/>
                <w:szCs w:val="18"/>
              </w:rPr>
            </w:pPr>
            <w:r>
              <w:rPr>
                <w:i/>
                <w:sz w:val="18"/>
                <w:szCs w:val="18"/>
              </w:rPr>
              <w:t>RO OPII</w:t>
            </w:r>
          </w:p>
        </w:tc>
        <w:tc>
          <w:tcPr>
            <w:tcW w:w="1306" w:type="dxa"/>
            <w:vAlign w:val="center"/>
          </w:tcPr>
          <w:p w14:paraId="7F46DB0A" w14:textId="77777777" w:rsidR="00211A39" w:rsidRDefault="00211A39" w:rsidP="00211A39">
            <w:pPr>
              <w:ind w:left="0"/>
              <w:jc w:val="center"/>
              <w:rPr>
                <w:i/>
                <w:sz w:val="18"/>
                <w:szCs w:val="18"/>
              </w:rPr>
            </w:pPr>
            <w:r>
              <w:rPr>
                <w:i/>
                <w:sz w:val="18"/>
                <w:szCs w:val="18"/>
              </w:rPr>
              <w:t>Nosná investičná aktivita v rámci PO5</w:t>
            </w:r>
          </w:p>
        </w:tc>
      </w:tr>
      <w:tr w:rsidR="00211A39" w14:paraId="123F5225" w14:textId="77777777" w:rsidTr="00211A39">
        <w:trPr>
          <w:trHeight w:val="454"/>
          <w:jc w:val="center"/>
        </w:trPr>
        <w:tc>
          <w:tcPr>
            <w:tcW w:w="1476" w:type="dxa"/>
            <w:vAlign w:val="center"/>
          </w:tcPr>
          <w:p w14:paraId="398D9A36" w14:textId="051F613D" w:rsidR="00211A39" w:rsidRPr="00D9570C" w:rsidRDefault="00211A39" w:rsidP="00211A39">
            <w:pPr>
              <w:ind w:left="0"/>
              <w:rPr>
                <w:sz w:val="18"/>
                <w:szCs w:val="18"/>
              </w:rPr>
            </w:pPr>
            <w:r w:rsidRPr="00D9570C">
              <w:rPr>
                <w:i/>
                <w:sz w:val="18"/>
                <w:szCs w:val="18"/>
              </w:rPr>
              <w:t>finančný ukazovateľ</w:t>
            </w:r>
          </w:p>
        </w:tc>
        <w:tc>
          <w:tcPr>
            <w:tcW w:w="371" w:type="dxa"/>
          </w:tcPr>
          <w:p w14:paraId="0861DF30" w14:textId="77777777" w:rsidR="00211A39" w:rsidRPr="00D9570C" w:rsidRDefault="00211A39" w:rsidP="00211A39">
            <w:pPr>
              <w:rPr>
                <w:sz w:val="18"/>
                <w:szCs w:val="18"/>
              </w:rPr>
            </w:pPr>
          </w:p>
        </w:tc>
        <w:tc>
          <w:tcPr>
            <w:tcW w:w="1576" w:type="dxa"/>
          </w:tcPr>
          <w:p w14:paraId="2DBBF88C" w14:textId="2047D764" w:rsidR="00211A39" w:rsidRPr="00D9570C" w:rsidRDefault="00211A39" w:rsidP="00211A39">
            <w:pPr>
              <w:ind w:left="0"/>
              <w:rPr>
                <w:sz w:val="18"/>
                <w:szCs w:val="18"/>
              </w:rPr>
            </w:pPr>
            <w:r w:rsidRPr="00652A11">
              <w:rPr>
                <w:sz w:val="18"/>
                <w:szCs w:val="18"/>
              </w:rPr>
              <w:t>Celková suma oprávnených výdavkov po ich certifikácii certifikačným orgánom</w:t>
            </w:r>
            <w:r>
              <w:rPr>
                <w:sz w:val="18"/>
                <w:szCs w:val="18"/>
              </w:rPr>
              <w:t xml:space="preserve"> a predložení žiadostí o platby Európskej komisii</w:t>
            </w:r>
          </w:p>
        </w:tc>
        <w:tc>
          <w:tcPr>
            <w:tcW w:w="897" w:type="dxa"/>
            <w:vAlign w:val="center"/>
          </w:tcPr>
          <w:p w14:paraId="1F3AF0F9" w14:textId="77777777" w:rsidR="00211A39" w:rsidRPr="00D9570C" w:rsidRDefault="00211A39" w:rsidP="00211A39">
            <w:pPr>
              <w:ind w:left="0"/>
              <w:jc w:val="center"/>
              <w:rPr>
                <w:i/>
                <w:sz w:val="18"/>
                <w:szCs w:val="18"/>
              </w:rPr>
            </w:pPr>
            <w:r>
              <w:rPr>
                <w:i/>
                <w:sz w:val="18"/>
                <w:szCs w:val="18"/>
              </w:rPr>
              <w:t>EUR</w:t>
            </w:r>
          </w:p>
        </w:tc>
        <w:tc>
          <w:tcPr>
            <w:tcW w:w="656" w:type="dxa"/>
            <w:vAlign w:val="center"/>
          </w:tcPr>
          <w:p w14:paraId="333B3954" w14:textId="77777777" w:rsidR="00211A39" w:rsidRPr="00D9570C" w:rsidRDefault="00211A39" w:rsidP="00211A39">
            <w:pPr>
              <w:ind w:left="0"/>
              <w:jc w:val="center"/>
              <w:rPr>
                <w:i/>
                <w:sz w:val="18"/>
                <w:szCs w:val="18"/>
              </w:rPr>
            </w:pPr>
            <w:r>
              <w:rPr>
                <w:i/>
                <w:sz w:val="18"/>
                <w:szCs w:val="18"/>
              </w:rPr>
              <w:t>EFRR</w:t>
            </w:r>
          </w:p>
        </w:tc>
        <w:tc>
          <w:tcPr>
            <w:tcW w:w="986" w:type="dxa"/>
            <w:vAlign w:val="center"/>
          </w:tcPr>
          <w:p w14:paraId="02132030" w14:textId="77777777" w:rsidR="00211A39" w:rsidRPr="00D9570C" w:rsidRDefault="00211A39" w:rsidP="00211A39">
            <w:pPr>
              <w:ind w:left="0"/>
              <w:jc w:val="center"/>
              <w:rPr>
                <w:i/>
                <w:sz w:val="18"/>
                <w:szCs w:val="18"/>
              </w:rPr>
            </w:pPr>
            <w:r>
              <w:rPr>
                <w:i/>
                <w:sz w:val="18"/>
                <w:szCs w:val="18"/>
              </w:rPr>
              <w:t>Menej rozvinuté regióny</w:t>
            </w:r>
          </w:p>
        </w:tc>
        <w:tc>
          <w:tcPr>
            <w:tcW w:w="987" w:type="dxa"/>
            <w:vAlign w:val="center"/>
          </w:tcPr>
          <w:p w14:paraId="32C68EA8" w14:textId="34255346" w:rsidR="00211A39" w:rsidRPr="00D9570C" w:rsidRDefault="00211A39" w:rsidP="00211A39">
            <w:pPr>
              <w:ind w:left="0"/>
              <w:jc w:val="center"/>
              <w:rPr>
                <w:i/>
                <w:sz w:val="18"/>
                <w:szCs w:val="18"/>
              </w:rPr>
            </w:pPr>
            <w:r>
              <w:rPr>
                <w:i/>
                <w:sz w:val="18"/>
                <w:szCs w:val="18"/>
              </w:rPr>
              <w:t>99 611 375</w:t>
            </w:r>
          </w:p>
        </w:tc>
        <w:tc>
          <w:tcPr>
            <w:tcW w:w="1014" w:type="dxa"/>
            <w:vAlign w:val="center"/>
          </w:tcPr>
          <w:p w14:paraId="065B85E0" w14:textId="49D751CC" w:rsidR="00211A39" w:rsidRPr="00D9570C" w:rsidRDefault="006C7788" w:rsidP="006C7788">
            <w:pPr>
              <w:ind w:left="0"/>
              <w:jc w:val="center"/>
              <w:rPr>
                <w:i/>
                <w:sz w:val="18"/>
                <w:szCs w:val="18"/>
              </w:rPr>
            </w:pPr>
            <w:r>
              <w:rPr>
                <w:i/>
                <w:sz w:val="18"/>
                <w:szCs w:val="18"/>
              </w:rPr>
              <w:t>310 531 470</w:t>
            </w:r>
          </w:p>
        </w:tc>
        <w:tc>
          <w:tcPr>
            <w:tcW w:w="747" w:type="dxa"/>
            <w:vAlign w:val="center"/>
          </w:tcPr>
          <w:p w14:paraId="002B8765" w14:textId="77777777" w:rsidR="00211A39" w:rsidRPr="00D9570C" w:rsidRDefault="00211A39" w:rsidP="00211A39">
            <w:pPr>
              <w:ind w:left="0"/>
              <w:jc w:val="center"/>
              <w:rPr>
                <w:i/>
                <w:sz w:val="18"/>
                <w:szCs w:val="18"/>
              </w:rPr>
            </w:pPr>
            <w:r w:rsidRPr="00D9570C">
              <w:rPr>
                <w:i/>
                <w:sz w:val="18"/>
                <w:szCs w:val="18"/>
              </w:rPr>
              <w:t>RO OPII</w:t>
            </w:r>
          </w:p>
        </w:tc>
        <w:tc>
          <w:tcPr>
            <w:tcW w:w="1306" w:type="dxa"/>
            <w:vAlign w:val="center"/>
          </w:tcPr>
          <w:p w14:paraId="20F5D6D4" w14:textId="77777777" w:rsidR="00211A39" w:rsidRPr="00D9570C" w:rsidRDefault="00211A39" w:rsidP="00211A39">
            <w:pPr>
              <w:ind w:left="0"/>
              <w:jc w:val="center"/>
              <w:rPr>
                <w:i/>
                <w:sz w:val="18"/>
                <w:szCs w:val="18"/>
              </w:rPr>
            </w:pPr>
            <w:r w:rsidRPr="00D9570C">
              <w:rPr>
                <w:i/>
                <w:sz w:val="18"/>
                <w:szCs w:val="18"/>
              </w:rPr>
              <w:t>Základný finančný ukazovateľ</w:t>
            </w:r>
          </w:p>
        </w:tc>
      </w:tr>
    </w:tbl>
    <w:p w14:paraId="223F101D" w14:textId="77777777" w:rsidR="002F2B02" w:rsidRDefault="002F2B02">
      <w:pPr>
        <w:rPr>
          <w:rFonts w:ascii="Arial Narrow" w:hAnsi="Arial Narrow" w:cs="Arial"/>
          <w:b/>
          <w:bCs/>
          <w:color w:val="1F497D" w:themeColor="text2"/>
          <w:sz w:val="22"/>
          <w:szCs w:val="26"/>
        </w:rPr>
      </w:pPr>
      <w:r>
        <w:br w:type="page"/>
      </w:r>
    </w:p>
    <w:p w14:paraId="6859E4A0" w14:textId="77777777" w:rsidR="00307AAF" w:rsidRDefault="00017B79" w:rsidP="002B03EB">
      <w:pPr>
        <w:pStyle w:val="Nadpis3"/>
      </w:pPr>
      <w:bookmarkStart w:id="53" w:name="_Toc28951615"/>
      <w:r>
        <w:lastRenderedPageBreak/>
        <w:t>Kategórie intervencií</w:t>
      </w:r>
      <w:bookmarkEnd w:id="53"/>
    </w:p>
    <w:p w14:paraId="5BA4C1E3" w14:textId="77777777" w:rsidR="00017B79" w:rsidRPr="006579CE" w:rsidRDefault="00017B79" w:rsidP="000119A4">
      <w:pPr>
        <w:pStyle w:val="Tab"/>
        <w:tabs>
          <w:tab w:val="clear" w:pos="0"/>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0991E6FB" w14:textId="77777777" w:rsidTr="00017B79">
        <w:trPr>
          <w:trHeight w:val="284"/>
          <w:jc w:val="center"/>
        </w:trPr>
        <w:tc>
          <w:tcPr>
            <w:tcW w:w="9072" w:type="dxa"/>
            <w:gridSpan w:val="3"/>
            <w:shd w:val="clear" w:color="auto" w:fill="DBE5F1" w:themeFill="accent1" w:themeFillTint="33"/>
            <w:vAlign w:val="center"/>
          </w:tcPr>
          <w:p w14:paraId="5AAF13A7" w14:textId="77777777" w:rsidR="00017B79" w:rsidRPr="006579CE" w:rsidRDefault="00017B79" w:rsidP="00017B79">
            <w:pPr>
              <w:pStyle w:val="Default"/>
              <w:autoSpaceDE/>
              <w:autoSpaceDN/>
              <w:adjustRightInd/>
              <w:ind w:left="0"/>
              <w:rPr>
                <w:sz w:val="20"/>
                <w:szCs w:val="20"/>
              </w:rPr>
            </w:pPr>
            <w:r>
              <w:rPr>
                <w:b/>
                <w:bCs/>
                <w:sz w:val="20"/>
                <w:szCs w:val="20"/>
              </w:rPr>
              <w:t xml:space="preserve">Rozmer 1 – Oblasť intervencie </w:t>
            </w:r>
          </w:p>
        </w:tc>
      </w:tr>
      <w:tr w:rsidR="00017B79" w14:paraId="5B3D464D" w14:textId="77777777" w:rsidTr="00017B79">
        <w:trPr>
          <w:trHeight w:val="284"/>
          <w:jc w:val="center"/>
        </w:trPr>
        <w:tc>
          <w:tcPr>
            <w:tcW w:w="4913" w:type="dxa"/>
            <w:shd w:val="clear" w:color="auto" w:fill="DBE5F1" w:themeFill="accent1" w:themeFillTint="33"/>
            <w:vAlign w:val="center"/>
          </w:tcPr>
          <w:p w14:paraId="3D56E195" w14:textId="77777777" w:rsidR="00017B79" w:rsidRPr="006579CE" w:rsidRDefault="00017B79"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4918E606" w14:textId="77777777" w:rsidR="00017B79" w:rsidRPr="006579CE" w:rsidRDefault="002E2353" w:rsidP="00017B79">
            <w:pPr>
              <w:pStyle w:val="Default"/>
              <w:autoSpaceDE/>
              <w:autoSpaceDN/>
              <w:adjustRightInd/>
              <w:ind w:left="0"/>
              <w:rPr>
                <w:bCs/>
                <w:sz w:val="20"/>
                <w:szCs w:val="20"/>
              </w:rPr>
            </w:pPr>
            <w:r>
              <w:rPr>
                <w:bCs/>
                <w:sz w:val="20"/>
                <w:szCs w:val="20"/>
              </w:rPr>
              <w:t>EFRR</w:t>
            </w:r>
          </w:p>
        </w:tc>
      </w:tr>
      <w:tr w:rsidR="00017B79" w14:paraId="39BE64D0" w14:textId="77777777" w:rsidTr="00017B79">
        <w:trPr>
          <w:trHeight w:val="284"/>
          <w:jc w:val="center"/>
        </w:trPr>
        <w:tc>
          <w:tcPr>
            <w:tcW w:w="4913" w:type="dxa"/>
            <w:shd w:val="clear" w:color="auto" w:fill="DBE5F1" w:themeFill="accent1" w:themeFillTint="33"/>
            <w:vAlign w:val="center"/>
          </w:tcPr>
          <w:p w14:paraId="58BED4CF" w14:textId="77777777" w:rsidR="00017B79" w:rsidRPr="006579CE" w:rsidRDefault="00017B79"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2BF6E510" w14:textId="77777777" w:rsidR="00017B79" w:rsidRPr="006579CE" w:rsidRDefault="002E2353" w:rsidP="00017B79">
            <w:pPr>
              <w:ind w:left="0"/>
              <w:rPr>
                <w:sz w:val="20"/>
                <w:szCs w:val="20"/>
              </w:rPr>
            </w:pPr>
            <w:r>
              <w:rPr>
                <w:sz w:val="20"/>
                <w:szCs w:val="20"/>
              </w:rPr>
              <w:t>Menej rozvinuté regióny</w:t>
            </w:r>
          </w:p>
        </w:tc>
      </w:tr>
      <w:tr w:rsidR="00017B79" w14:paraId="5D3C8BBC" w14:textId="77777777" w:rsidTr="00017B79">
        <w:trPr>
          <w:trHeight w:val="284"/>
          <w:jc w:val="center"/>
        </w:trPr>
        <w:tc>
          <w:tcPr>
            <w:tcW w:w="4913" w:type="dxa"/>
            <w:vAlign w:val="center"/>
          </w:tcPr>
          <w:p w14:paraId="582E5CC6" w14:textId="77777777" w:rsidR="00017B79" w:rsidRPr="00D479A4" w:rsidRDefault="00017B79" w:rsidP="00017B79">
            <w:pPr>
              <w:ind w:left="0"/>
              <w:jc w:val="center"/>
              <w:rPr>
                <w:b/>
                <w:sz w:val="20"/>
                <w:szCs w:val="20"/>
              </w:rPr>
            </w:pPr>
            <w:r w:rsidRPr="00D479A4">
              <w:rPr>
                <w:b/>
                <w:sz w:val="20"/>
                <w:szCs w:val="20"/>
              </w:rPr>
              <w:t>Prioritná os</w:t>
            </w:r>
          </w:p>
        </w:tc>
        <w:tc>
          <w:tcPr>
            <w:tcW w:w="2120" w:type="dxa"/>
            <w:vAlign w:val="center"/>
          </w:tcPr>
          <w:p w14:paraId="05A9F046" w14:textId="77777777" w:rsidR="00017B79" w:rsidRPr="00D479A4" w:rsidRDefault="00017B79" w:rsidP="00017B79">
            <w:pPr>
              <w:ind w:left="0"/>
              <w:jc w:val="center"/>
              <w:rPr>
                <w:b/>
                <w:sz w:val="20"/>
                <w:szCs w:val="20"/>
              </w:rPr>
            </w:pPr>
            <w:r w:rsidRPr="00D479A4">
              <w:rPr>
                <w:b/>
                <w:sz w:val="20"/>
                <w:szCs w:val="20"/>
              </w:rPr>
              <w:t>Kód</w:t>
            </w:r>
          </w:p>
        </w:tc>
        <w:tc>
          <w:tcPr>
            <w:tcW w:w="2039" w:type="dxa"/>
            <w:vAlign w:val="center"/>
          </w:tcPr>
          <w:p w14:paraId="637366D3" w14:textId="77777777" w:rsidR="00017B79" w:rsidRPr="00D479A4" w:rsidRDefault="00017B79" w:rsidP="00017B79">
            <w:pPr>
              <w:ind w:left="0"/>
              <w:jc w:val="center"/>
              <w:rPr>
                <w:b/>
                <w:sz w:val="20"/>
                <w:szCs w:val="20"/>
              </w:rPr>
            </w:pPr>
            <w:r w:rsidRPr="00D479A4">
              <w:rPr>
                <w:b/>
                <w:sz w:val="20"/>
                <w:szCs w:val="20"/>
              </w:rPr>
              <w:t>Suma (v EUR)</w:t>
            </w:r>
          </w:p>
        </w:tc>
      </w:tr>
      <w:tr w:rsidR="00DB0355" w14:paraId="30A66EB7" w14:textId="77777777" w:rsidTr="00017B79">
        <w:trPr>
          <w:trHeight w:val="284"/>
          <w:jc w:val="center"/>
        </w:trPr>
        <w:tc>
          <w:tcPr>
            <w:tcW w:w="4913" w:type="dxa"/>
            <w:vMerge w:val="restart"/>
            <w:vAlign w:val="center"/>
          </w:tcPr>
          <w:p w14:paraId="4A908CBE" w14:textId="63E73785" w:rsidR="00DB0355" w:rsidRPr="00AF6057" w:rsidRDefault="00DB0355" w:rsidP="00DB0355">
            <w:pPr>
              <w:ind w:left="0"/>
              <w:rPr>
                <w:sz w:val="20"/>
                <w:szCs w:val="20"/>
              </w:rPr>
            </w:pPr>
            <w:r w:rsidRPr="00AF6057">
              <w:rPr>
                <w:sz w:val="20"/>
                <w:szCs w:val="20"/>
              </w:rPr>
              <w:t>Prioritná os 5 – Železničná infraštruktúra</w:t>
            </w:r>
            <w:r>
              <w:rPr>
                <w:sz w:val="20"/>
                <w:szCs w:val="20"/>
              </w:rPr>
              <w:t xml:space="preserve"> a obnova mobilných prostriedkov</w:t>
            </w:r>
          </w:p>
        </w:tc>
        <w:tc>
          <w:tcPr>
            <w:tcW w:w="2120" w:type="dxa"/>
            <w:vAlign w:val="center"/>
          </w:tcPr>
          <w:p w14:paraId="26744126" w14:textId="76829863" w:rsidR="00DB0355" w:rsidRDefault="00DB0355" w:rsidP="00632F1F">
            <w:pPr>
              <w:ind w:left="0"/>
              <w:jc w:val="center"/>
              <w:rPr>
                <w:sz w:val="20"/>
                <w:szCs w:val="20"/>
              </w:rPr>
            </w:pPr>
            <w:r>
              <w:rPr>
                <w:sz w:val="20"/>
                <w:szCs w:val="20"/>
              </w:rPr>
              <w:t>024</w:t>
            </w:r>
          </w:p>
        </w:tc>
        <w:tc>
          <w:tcPr>
            <w:tcW w:w="2039" w:type="dxa"/>
            <w:vAlign w:val="center"/>
          </w:tcPr>
          <w:p w14:paraId="54F40667" w14:textId="50D5640A" w:rsidR="00DB0355" w:rsidRPr="00E572D9" w:rsidRDefault="00DB0355" w:rsidP="00632F1F">
            <w:pPr>
              <w:ind w:left="0"/>
              <w:jc w:val="center"/>
              <w:rPr>
                <w:sz w:val="20"/>
                <w:szCs w:val="20"/>
              </w:rPr>
            </w:pPr>
            <w:r>
              <w:rPr>
                <w:sz w:val="20"/>
                <w:szCs w:val="20"/>
              </w:rPr>
              <w:t>60 000 000</w:t>
            </w:r>
          </w:p>
        </w:tc>
      </w:tr>
      <w:tr w:rsidR="00DB0355" w14:paraId="47989144" w14:textId="77777777" w:rsidTr="00017B79">
        <w:trPr>
          <w:trHeight w:val="284"/>
          <w:jc w:val="center"/>
        </w:trPr>
        <w:tc>
          <w:tcPr>
            <w:tcW w:w="4913" w:type="dxa"/>
            <w:vMerge/>
            <w:vAlign w:val="center"/>
          </w:tcPr>
          <w:p w14:paraId="76C99864" w14:textId="0CC251BD" w:rsidR="00DB0355" w:rsidRPr="00AF6057" w:rsidRDefault="00DB0355" w:rsidP="00632F1F">
            <w:pPr>
              <w:ind w:left="0"/>
              <w:rPr>
                <w:sz w:val="20"/>
                <w:szCs w:val="20"/>
              </w:rPr>
            </w:pPr>
          </w:p>
        </w:tc>
        <w:tc>
          <w:tcPr>
            <w:tcW w:w="2120" w:type="dxa"/>
            <w:vAlign w:val="center"/>
          </w:tcPr>
          <w:p w14:paraId="2EE82027" w14:textId="77777777" w:rsidR="00DB0355" w:rsidRPr="00D479A4" w:rsidRDefault="00DB0355" w:rsidP="00017B79">
            <w:pPr>
              <w:ind w:left="0"/>
              <w:jc w:val="center"/>
              <w:rPr>
                <w:b/>
                <w:sz w:val="20"/>
                <w:szCs w:val="20"/>
              </w:rPr>
            </w:pPr>
            <w:r>
              <w:rPr>
                <w:sz w:val="20"/>
                <w:szCs w:val="20"/>
              </w:rPr>
              <w:t>025</w:t>
            </w:r>
          </w:p>
        </w:tc>
        <w:tc>
          <w:tcPr>
            <w:tcW w:w="2039" w:type="dxa"/>
            <w:vAlign w:val="center"/>
          </w:tcPr>
          <w:p w14:paraId="1A263A55" w14:textId="4C896A61" w:rsidR="00DB0355" w:rsidRPr="00E572D9" w:rsidRDefault="009D2D07" w:rsidP="009D2D07">
            <w:pPr>
              <w:ind w:left="0"/>
              <w:jc w:val="center"/>
              <w:rPr>
                <w:sz w:val="20"/>
                <w:szCs w:val="20"/>
              </w:rPr>
            </w:pPr>
            <w:r>
              <w:rPr>
                <w:sz w:val="20"/>
                <w:szCs w:val="20"/>
              </w:rPr>
              <w:t>121 719 522</w:t>
            </w:r>
          </w:p>
        </w:tc>
      </w:tr>
      <w:tr w:rsidR="00DB0355" w14:paraId="1830C26C" w14:textId="77777777" w:rsidTr="00017B79">
        <w:trPr>
          <w:trHeight w:val="284"/>
          <w:jc w:val="center"/>
        </w:trPr>
        <w:tc>
          <w:tcPr>
            <w:tcW w:w="4913" w:type="dxa"/>
            <w:vMerge/>
            <w:vAlign w:val="center"/>
          </w:tcPr>
          <w:p w14:paraId="4309B4FF" w14:textId="77777777" w:rsidR="00DB0355" w:rsidRPr="00D479A4" w:rsidRDefault="00DB0355" w:rsidP="00E572D9">
            <w:pPr>
              <w:ind w:left="0"/>
              <w:rPr>
                <w:sz w:val="20"/>
                <w:szCs w:val="20"/>
              </w:rPr>
            </w:pPr>
          </w:p>
        </w:tc>
        <w:tc>
          <w:tcPr>
            <w:tcW w:w="2120" w:type="dxa"/>
            <w:vAlign w:val="center"/>
          </w:tcPr>
          <w:p w14:paraId="66716590" w14:textId="77777777" w:rsidR="00DB0355" w:rsidRDefault="00DB0355" w:rsidP="00E572D9">
            <w:pPr>
              <w:ind w:left="0"/>
              <w:jc w:val="center"/>
              <w:rPr>
                <w:sz w:val="20"/>
                <w:szCs w:val="20"/>
              </w:rPr>
            </w:pPr>
            <w:r>
              <w:rPr>
                <w:sz w:val="20"/>
                <w:szCs w:val="20"/>
              </w:rPr>
              <w:t>026</w:t>
            </w:r>
          </w:p>
        </w:tc>
        <w:tc>
          <w:tcPr>
            <w:tcW w:w="2039" w:type="dxa"/>
            <w:vAlign w:val="center"/>
          </w:tcPr>
          <w:p w14:paraId="275237BB" w14:textId="5321677C" w:rsidR="00DB0355" w:rsidRDefault="00DB0355" w:rsidP="009D2D07">
            <w:pPr>
              <w:ind w:left="0"/>
              <w:jc w:val="center"/>
              <w:rPr>
                <w:sz w:val="20"/>
                <w:szCs w:val="20"/>
              </w:rPr>
            </w:pPr>
            <w:r>
              <w:rPr>
                <w:sz w:val="20"/>
                <w:szCs w:val="20"/>
              </w:rPr>
              <w:t> 52 232 227</w:t>
            </w:r>
          </w:p>
        </w:tc>
      </w:tr>
      <w:tr w:rsidR="00DB0355" w14:paraId="0FD0291D" w14:textId="77777777" w:rsidTr="00017B79">
        <w:trPr>
          <w:trHeight w:val="284"/>
          <w:jc w:val="center"/>
        </w:trPr>
        <w:tc>
          <w:tcPr>
            <w:tcW w:w="4913" w:type="dxa"/>
            <w:vMerge/>
            <w:vAlign w:val="center"/>
          </w:tcPr>
          <w:p w14:paraId="255FC872" w14:textId="77777777" w:rsidR="00DB0355" w:rsidRPr="00D479A4" w:rsidRDefault="00DB0355" w:rsidP="00E572D9">
            <w:pPr>
              <w:rPr>
                <w:sz w:val="20"/>
                <w:szCs w:val="20"/>
              </w:rPr>
            </w:pPr>
          </w:p>
        </w:tc>
        <w:tc>
          <w:tcPr>
            <w:tcW w:w="2120" w:type="dxa"/>
            <w:vAlign w:val="center"/>
          </w:tcPr>
          <w:p w14:paraId="66997589" w14:textId="106155E3" w:rsidR="00DB0355" w:rsidRDefault="00DB0355" w:rsidP="00DB0355">
            <w:pPr>
              <w:ind w:left="0"/>
              <w:jc w:val="center"/>
              <w:rPr>
                <w:sz w:val="20"/>
                <w:szCs w:val="20"/>
              </w:rPr>
            </w:pPr>
            <w:r>
              <w:rPr>
                <w:sz w:val="20"/>
                <w:szCs w:val="20"/>
              </w:rPr>
              <w:t>027</w:t>
            </w:r>
          </w:p>
        </w:tc>
        <w:tc>
          <w:tcPr>
            <w:tcW w:w="2039" w:type="dxa"/>
            <w:vAlign w:val="center"/>
          </w:tcPr>
          <w:p w14:paraId="283EE47C" w14:textId="6A40D479" w:rsidR="00DB0355" w:rsidRDefault="00DB0355" w:rsidP="00DB0355">
            <w:pPr>
              <w:ind w:left="0"/>
              <w:jc w:val="center"/>
              <w:rPr>
                <w:sz w:val="20"/>
                <w:szCs w:val="20"/>
              </w:rPr>
            </w:pPr>
            <w:r>
              <w:rPr>
                <w:sz w:val="20"/>
                <w:szCs w:val="20"/>
              </w:rPr>
              <w:t>30 000 000</w:t>
            </w:r>
          </w:p>
        </w:tc>
      </w:tr>
    </w:tbl>
    <w:p w14:paraId="219F79A2" w14:textId="77777777" w:rsidR="00395D81" w:rsidRPr="00395D81" w:rsidRDefault="00395D81"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635C5F91" w14:textId="77777777" w:rsidTr="002E2353">
        <w:trPr>
          <w:trHeight w:val="255"/>
          <w:jc w:val="center"/>
        </w:trPr>
        <w:tc>
          <w:tcPr>
            <w:tcW w:w="9072" w:type="dxa"/>
            <w:gridSpan w:val="3"/>
            <w:shd w:val="clear" w:color="auto" w:fill="DBE5F1" w:themeFill="accent1" w:themeFillTint="33"/>
            <w:vAlign w:val="center"/>
          </w:tcPr>
          <w:p w14:paraId="7E0A11DE" w14:textId="77777777" w:rsidR="00017B79" w:rsidRPr="00304255" w:rsidRDefault="00017B79" w:rsidP="00017B79">
            <w:pPr>
              <w:pStyle w:val="Default"/>
              <w:autoSpaceDE/>
              <w:autoSpaceDN/>
              <w:adjustRightInd/>
              <w:ind w:left="0"/>
              <w:rPr>
                <w:sz w:val="20"/>
                <w:szCs w:val="20"/>
              </w:rPr>
            </w:pPr>
            <w:r w:rsidRPr="00304255">
              <w:rPr>
                <w:b/>
                <w:bCs/>
                <w:sz w:val="20"/>
                <w:szCs w:val="20"/>
              </w:rPr>
              <w:t xml:space="preserve">Rozmer 2 – Forma financovania </w:t>
            </w:r>
          </w:p>
        </w:tc>
      </w:tr>
      <w:tr w:rsidR="002E2353" w14:paraId="5825BD46" w14:textId="77777777" w:rsidTr="002E2353">
        <w:trPr>
          <w:trHeight w:val="255"/>
          <w:jc w:val="center"/>
        </w:trPr>
        <w:tc>
          <w:tcPr>
            <w:tcW w:w="4913" w:type="dxa"/>
            <w:shd w:val="clear" w:color="auto" w:fill="DBE5F1" w:themeFill="accent1" w:themeFillTint="33"/>
            <w:vAlign w:val="center"/>
          </w:tcPr>
          <w:p w14:paraId="69CB297F" w14:textId="77777777"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3203D597" w14:textId="77777777" w:rsidR="002E2353" w:rsidRPr="006579CE" w:rsidRDefault="002E2353" w:rsidP="00717C03">
            <w:pPr>
              <w:pStyle w:val="Default"/>
              <w:autoSpaceDE/>
              <w:autoSpaceDN/>
              <w:adjustRightInd/>
              <w:ind w:left="0"/>
              <w:rPr>
                <w:bCs/>
                <w:sz w:val="20"/>
                <w:szCs w:val="20"/>
              </w:rPr>
            </w:pPr>
            <w:r>
              <w:rPr>
                <w:bCs/>
                <w:sz w:val="20"/>
                <w:szCs w:val="20"/>
              </w:rPr>
              <w:t>EFRR</w:t>
            </w:r>
          </w:p>
        </w:tc>
      </w:tr>
      <w:tr w:rsidR="002E2353" w14:paraId="533C63C1" w14:textId="77777777" w:rsidTr="002E2353">
        <w:trPr>
          <w:trHeight w:val="255"/>
          <w:jc w:val="center"/>
        </w:trPr>
        <w:tc>
          <w:tcPr>
            <w:tcW w:w="4913" w:type="dxa"/>
            <w:shd w:val="clear" w:color="auto" w:fill="DBE5F1" w:themeFill="accent1" w:themeFillTint="33"/>
            <w:vAlign w:val="center"/>
          </w:tcPr>
          <w:p w14:paraId="3ADB01D8" w14:textId="77777777"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7EE28605" w14:textId="77777777" w:rsidR="002E2353" w:rsidRPr="006579CE" w:rsidRDefault="002E2353" w:rsidP="00717C03">
            <w:pPr>
              <w:ind w:left="0"/>
              <w:rPr>
                <w:sz w:val="20"/>
                <w:szCs w:val="20"/>
              </w:rPr>
            </w:pPr>
            <w:r>
              <w:rPr>
                <w:sz w:val="20"/>
                <w:szCs w:val="20"/>
              </w:rPr>
              <w:t>Menej rozvinuté regióny</w:t>
            </w:r>
          </w:p>
        </w:tc>
      </w:tr>
      <w:tr w:rsidR="00017B79" w14:paraId="1A9382B6" w14:textId="77777777" w:rsidTr="002E2353">
        <w:trPr>
          <w:trHeight w:val="255"/>
          <w:jc w:val="center"/>
        </w:trPr>
        <w:tc>
          <w:tcPr>
            <w:tcW w:w="4913" w:type="dxa"/>
            <w:vAlign w:val="center"/>
          </w:tcPr>
          <w:p w14:paraId="4ECBB95B" w14:textId="77777777"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14:paraId="7892B484" w14:textId="77777777"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14:paraId="2F2431B4" w14:textId="77777777" w:rsidR="00017B79" w:rsidRPr="00304255" w:rsidRDefault="00017B79" w:rsidP="00017B79">
            <w:pPr>
              <w:ind w:left="0"/>
              <w:jc w:val="center"/>
              <w:rPr>
                <w:b/>
                <w:sz w:val="20"/>
                <w:szCs w:val="20"/>
              </w:rPr>
            </w:pPr>
            <w:r w:rsidRPr="00304255">
              <w:rPr>
                <w:b/>
                <w:sz w:val="20"/>
                <w:szCs w:val="20"/>
              </w:rPr>
              <w:t>Suma (v EUR)</w:t>
            </w:r>
          </w:p>
        </w:tc>
      </w:tr>
      <w:tr w:rsidR="00017B79" w14:paraId="31A6647C" w14:textId="77777777" w:rsidTr="002E2353">
        <w:trPr>
          <w:trHeight w:val="255"/>
          <w:jc w:val="center"/>
        </w:trPr>
        <w:tc>
          <w:tcPr>
            <w:tcW w:w="4913" w:type="dxa"/>
            <w:vMerge w:val="restart"/>
            <w:vAlign w:val="center"/>
          </w:tcPr>
          <w:p w14:paraId="280A3C10" w14:textId="4DAF154E" w:rsidR="00017B79" w:rsidRPr="00304255" w:rsidRDefault="00304255" w:rsidP="00DB0355">
            <w:pPr>
              <w:ind w:left="0"/>
              <w:rPr>
                <w:sz w:val="20"/>
                <w:szCs w:val="20"/>
              </w:rPr>
            </w:pPr>
            <w:r w:rsidRPr="00304255">
              <w:rPr>
                <w:sz w:val="20"/>
                <w:szCs w:val="20"/>
              </w:rPr>
              <w:t>Prioritná os 5 – Železničná infraštruktúra</w:t>
            </w:r>
            <w:r w:rsidR="00DB0355">
              <w:rPr>
                <w:sz w:val="20"/>
                <w:szCs w:val="20"/>
              </w:rPr>
              <w:t xml:space="preserve"> a obnova mobilných prostriedkov</w:t>
            </w:r>
          </w:p>
        </w:tc>
        <w:tc>
          <w:tcPr>
            <w:tcW w:w="2120" w:type="dxa"/>
            <w:vAlign w:val="center"/>
          </w:tcPr>
          <w:p w14:paraId="2BAEF147" w14:textId="77777777" w:rsidR="00017B79" w:rsidRPr="00304255" w:rsidRDefault="00017B79" w:rsidP="00017B79">
            <w:pPr>
              <w:ind w:left="0"/>
              <w:jc w:val="center"/>
              <w:rPr>
                <w:sz w:val="20"/>
                <w:szCs w:val="20"/>
              </w:rPr>
            </w:pPr>
            <w:r w:rsidRPr="00304255">
              <w:rPr>
                <w:sz w:val="20"/>
                <w:szCs w:val="20"/>
              </w:rPr>
              <w:t>01</w:t>
            </w:r>
          </w:p>
        </w:tc>
        <w:tc>
          <w:tcPr>
            <w:tcW w:w="2039" w:type="dxa"/>
            <w:vAlign w:val="center"/>
          </w:tcPr>
          <w:p w14:paraId="716B04DC" w14:textId="4EC2E693" w:rsidR="00017B79" w:rsidRPr="00304255" w:rsidRDefault="009D2D07" w:rsidP="009D2D07">
            <w:pPr>
              <w:ind w:left="0"/>
              <w:jc w:val="center"/>
              <w:rPr>
                <w:sz w:val="20"/>
                <w:szCs w:val="20"/>
              </w:rPr>
            </w:pPr>
            <w:r>
              <w:rPr>
                <w:sz w:val="20"/>
                <w:szCs w:val="20"/>
              </w:rPr>
              <w:t>242 097 032</w:t>
            </w:r>
          </w:p>
        </w:tc>
      </w:tr>
      <w:tr w:rsidR="00017B79" w14:paraId="11E9F564" w14:textId="77777777" w:rsidTr="002E2353">
        <w:trPr>
          <w:trHeight w:val="255"/>
          <w:jc w:val="center"/>
        </w:trPr>
        <w:tc>
          <w:tcPr>
            <w:tcW w:w="4913" w:type="dxa"/>
            <w:vMerge/>
            <w:vAlign w:val="center"/>
          </w:tcPr>
          <w:p w14:paraId="5769A690" w14:textId="77777777" w:rsidR="00017B79" w:rsidRPr="00304255" w:rsidRDefault="00017B79" w:rsidP="00017B79">
            <w:pPr>
              <w:ind w:left="0"/>
              <w:rPr>
                <w:sz w:val="20"/>
                <w:szCs w:val="20"/>
              </w:rPr>
            </w:pPr>
          </w:p>
        </w:tc>
        <w:tc>
          <w:tcPr>
            <w:tcW w:w="2120" w:type="dxa"/>
            <w:vAlign w:val="center"/>
          </w:tcPr>
          <w:p w14:paraId="0B27C107" w14:textId="77777777" w:rsidR="00017B79" w:rsidRPr="00304255" w:rsidRDefault="004A7D1A" w:rsidP="00017B79">
            <w:pPr>
              <w:ind w:left="0"/>
              <w:jc w:val="center"/>
              <w:rPr>
                <w:sz w:val="20"/>
                <w:szCs w:val="20"/>
              </w:rPr>
            </w:pPr>
            <w:r>
              <w:rPr>
                <w:sz w:val="20"/>
                <w:szCs w:val="20"/>
              </w:rPr>
              <w:t>03</w:t>
            </w:r>
          </w:p>
        </w:tc>
        <w:tc>
          <w:tcPr>
            <w:tcW w:w="2039" w:type="dxa"/>
            <w:vAlign w:val="center"/>
          </w:tcPr>
          <w:p w14:paraId="0F24CD70" w14:textId="77777777" w:rsidR="00017B79" w:rsidRPr="00304255" w:rsidRDefault="004A7D1A" w:rsidP="00017B79">
            <w:pPr>
              <w:ind w:left="0"/>
              <w:jc w:val="center"/>
              <w:rPr>
                <w:sz w:val="20"/>
                <w:szCs w:val="20"/>
              </w:rPr>
            </w:pPr>
            <w:r>
              <w:rPr>
                <w:sz w:val="20"/>
                <w:szCs w:val="20"/>
              </w:rPr>
              <w:t>21 854 717</w:t>
            </w:r>
          </w:p>
        </w:tc>
      </w:tr>
    </w:tbl>
    <w:p w14:paraId="5777BD8A" w14:textId="77777777" w:rsidR="00017B79" w:rsidRPr="006579CE" w:rsidRDefault="00017B79"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0ACAC608" w14:textId="77777777" w:rsidTr="00304255">
        <w:trPr>
          <w:trHeight w:val="255"/>
          <w:jc w:val="center"/>
        </w:trPr>
        <w:tc>
          <w:tcPr>
            <w:tcW w:w="9072" w:type="dxa"/>
            <w:gridSpan w:val="3"/>
            <w:shd w:val="clear" w:color="auto" w:fill="DBE5F1" w:themeFill="accent1" w:themeFillTint="33"/>
            <w:vAlign w:val="center"/>
          </w:tcPr>
          <w:p w14:paraId="27AF4A86" w14:textId="77777777" w:rsidR="00017B79" w:rsidRPr="00304255" w:rsidRDefault="00017B79" w:rsidP="00017B79">
            <w:pPr>
              <w:pStyle w:val="Default"/>
              <w:autoSpaceDE/>
              <w:autoSpaceDN/>
              <w:adjustRightInd/>
              <w:ind w:left="0"/>
              <w:rPr>
                <w:sz w:val="20"/>
                <w:szCs w:val="20"/>
              </w:rPr>
            </w:pPr>
            <w:r w:rsidRPr="00304255">
              <w:rPr>
                <w:b/>
                <w:bCs/>
                <w:sz w:val="20"/>
                <w:szCs w:val="20"/>
              </w:rPr>
              <w:t xml:space="preserve">Rozmer 3 – Druh územia </w:t>
            </w:r>
          </w:p>
        </w:tc>
      </w:tr>
      <w:tr w:rsidR="002E2353" w14:paraId="4AEE59CF" w14:textId="77777777" w:rsidTr="00304255">
        <w:trPr>
          <w:trHeight w:val="255"/>
          <w:jc w:val="center"/>
        </w:trPr>
        <w:tc>
          <w:tcPr>
            <w:tcW w:w="4913" w:type="dxa"/>
            <w:shd w:val="clear" w:color="auto" w:fill="DBE5F1" w:themeFill="accent1" w:themeFillTint="33"/>
            <w:vAlign w:val="center"/>
          </w:tcPr>
          <w:p w14:paraId="201BE219" w14:textId="77777777"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68BD8D9B" w14:textId="77777777" w:rsidR="002E2353" w:rsidRPr="006579CE" w:rsidRDefault="002E2353" w:rsidP="00717C03">
            <w:pPr>
              <w:pStyle w:val="Default"/>
              <w:autoSpaceDE/>
              <w:autoSpaceDN/>
              <w:adjustRightInd/>
              <w:ind w:left="0"/>
              <w:rPr>
                <w:bCs/>
                <w:sz w:val="20"/>
                <w:szCs w:val="20"/>
              </w:rPr>
            </w:pPr>
            <w:r>
              <w:rPr>
                <w:bCs/>
                <w:sz w:val="20"/>
                <w:szCs w:val="20"/>
              </w:rPr>
              <w:t>EFRR</w:t>
            </w:r>
          </w:p>
        </w:tc>
      </w:tr>
      <w:tr w:rsidR="002E2353" w14:paraId="04CD5F9D" w14:textId="77777777" w:rsidTr="00304255">
        <w:trPr>
          <w:trHeight w:val="255"/>
          <w:jc w:val="center"/>
        </w:trPr>
        <w:tc>
          <w:tcPr>
            <w:tcW w:w="4913" w:type="dxa"/>
            <w:shd w:val="clear" w:color="auto" w:fill="DBE5F1" w:themeFill="accent1" w:themeFillTint="33"/>
            <w:vAlign w:val="center"/>
          </w:tcPr>
          <w:p w14:paraId="34F8469F" w14:textId="77777777"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33BA153C" w14:textId="77777777" w:rsidR="002E2353" w:rsidRPr="006579CE" w:rsidRDefault="002E2353" w:rsidP="00717C03">
            <w:pPr>
              <w:ind w:left="0"/>
              <w:rPr>
                <w:sz w:val="20"/>
                <w:szCs w:val="20"/>
              </w:rPr>
            </w:pPr>
            <w:r>
              <w:rPr>
                <w:sz w:val="20"/>
                <w:szCs w:val="20"/>
              </w:rPr>
              <w:t>Menej rozvinuté regióny</w:t>
            </w:r>
          </w:p>
        </w:tc>
      </w:tr>
      <w:tr w:rsidR="00017B79" w14:paraId="3FA46387" w14:textId="77777777" w:rsidTr="00304255">
        <w:trPr>
          <w:trHeight w:val="255"/>
          <w:jc w:val="center"/>
        </w:trPr>
        <w:tc>
          <w:tcPr>
            <w:tcW w:w="4913" w:type="dxa"/>
            <w:vAlign w:val="center"/>
          </w:tcPr>
          <w:p w14:paraId="55D9C215" w14:textId="77777777"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14:paraId="1DF77460" w14:textId="77777777"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14:paraId="39384B0F" w14:textId="77777777" w:rsidR="00017B79" w:rsidRPr="00304255" w:rsidRDefault="00017B79" w:rsidP="00017B79">
            <w:pPr>
              <w:ind w:left="0"/>
              <w:jc w:val="center"/>
              <w:rPr>
                <w:b/>
                <w:sz w:val="20"/>
                <w:szCs w:val="20"/>
              </w:rPr>
            </w:pPr>
            <w:r w:rsidRPr="00304255">
              <w:rPr>
                <w:b/>
                <w:sz w:val="20"/>
                <w:szCs w:val="20"/>
              </w:rPr>
              <w:t>Suma (v EUR)</w:t>
            </w:r>
          </w:p>
        </w:tc>
      </w:tr>
      <w:tr w:rsidR="00017B79" w14:paraId="35845A76" w14:textId="77777777" w:rsidTr="003458F5">
        <w:trPr>
          <w:trHeight w:val="284"/>
          <w:jc w:val="center"/>
        </w:trPr>
        <w:tc>
          <w:tcPr>
            <w:tcW w:w="4913" w:type="dxa"/>
            <w:vAlign w:val="center"/>
          </w:tcPr>
          <w:p w14:paraId="208B0D28" w14:textId="216785E7" w:rsidR="00017B79" w:rsidRPr="00304255" w:rsidRDefault="00304255" w:rsidP="00DB0355">
            <w:pPr>
              <w:ind w:left="0"/>
              <w:rPr>
                <w:sz w:val="20"/>
                <w:szCs w:val="20"/>
              </w:rPr>
            </w:pPr>
            <w:r w:rsidRPr="00304255">
              <w:rPr>
                <w:sz w:val="20"/>
                <w:szCs w:val="20"/>
              </w:rPr>
              <w:t>Prioritná os 5 – Železničná infraštruktúra</w:t>
            </w:r>
            <w:r w:rsidR="00DB0355">
              <w:rPr>
                <w:sz w:val="20"/>
                <w:szCs w:val="20"/>
              </w:rPr>
              <w:t xml:space="preserve"> a obnova mobilných prostriedkov</w:t>
            </w:r>
          </w:p>
        </w:tc>
        <w:tc>
          <w:tcPr>
            <w:tcW w:w="2120" w:type="dxa"/>
            <w:vAlign w:val="center"/>
          </w:tcPr>
          <w:p w14:paraId="11848C94" w14:textId="77777777" w:rsidR="00017B79" w:rsidRPr="00304255" w:rsidRDefault="00017B79" w:rsidP="00017B79">
            <w:pPr>
              <w:ind w:left="0"/>
              <w:jc w:val="center"/>
              <w:rPr>
                <w:sz w:val="20"/>
                <w:szCs w:val="20"/>
              </w:rPr>
            </w:pPr>
            <w:r w:rsidRPr="00304255">
              <w:rPr>
                <w:sz w:val="20"/>
                <w:szCs w:val="20"/>
              </w:rPr>
              <w:t>0</w:t>
            </w:r>
            <w:r w:rsidR="00304255">
              <w:rPr>
                <w:sz w:val="20"/>
                <w:szCs w:val="20"/>
              </w:rPr>
              <w:t>7</w:t>
            </w:r>
          </w:p>
        </w:tc>
        <w:tc>
          <w:tcPr>
            <w:tcW w:w="2039" w:type="dxa"/>
            <w:vAlign w:val="center"/>
          </w:tcPr>
          <w:p w14:paraId="2511C376" w14:textId="26147F5A" w:rsidR="00017B79" w:rsidRPr="00304255" w:rsidRDefault="009D2D07" w:rsidP="009D2D07">
            <w:pPr>
              <w:ind w:left="0"/>
              <w:jc w:val="center"/>
              <w:rPr>
                <w:sz w:val="20"/>
                <w:szCs w:val="20"/>
                <w:lang w:val="en-US"/>
              </w:rPr>
            </w:pPr>
            <w:r>
              <w:rPr>
                <w:sz w:val="20"/>
                <w:szCs w:val="20"/>
              </w:rPr>
              <w:t>263 951 749</w:t>
            </w:r>
          </w:p>
        </w:tc>
      </w:tr>
    </w:tbl>
    <w:p w14:paraId="318F3D7B" w14:textId="77777777" w:rsidR="00017B79" w:rsidRPr="006579CE" w:rsidRDefault="00017B79"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43D993F1" w14:textId="77777777" w:rsidTr="002E2353">
        <w:trPr>
          <w:trHeight w:val="255"/>
          <w:jc w:val="center"/>
        </w:trPr>
        <w:tc>
          <w:tcPr>
            <w:tcW w:w="9072" w:type="dxa"/>
            <w:gridSpan w:val="3"/>
            <w:shd w:val="clear" w:color="auto" w:fill="DBE5F1" w:themeFill="accent1" w:themeFillTint="33"/>
            <w:vAlign w:val="center"/>
          </w:tcPr>
          <w:p w14:paraId="5F365EA4" w14:textId="77777777" w:rsidR="00017B79" w:rsidRPr="00304255" w:rsidRDefault="00017B79" w:rsidP="00017B79">
            <w:pPr>
              <w:pStyle w:val="Default"/>
              <w:autoSpaceDE/>
              <w:autoSpaceDN/>
              <w:adjustRightInd/>
              <w:ind w:left="0"/>
              <w:rPr>
                <w:b/>
                <w:bCs/>
                <w:sz w:val="20"/>
                <w:szCs w:val="20"/>
              </w:rPr>
            </w:pPr>
            <w:r w:rsidRPr="00304255">
              <w:rPr>
                <w:b/>
                <w:bCs/>
                <w:sz w:val="20"/>
                <w:szCs w:val="20"/>
              </w:rPr>
              <w:t>Rozmer 4 – Územné mechanizmy realizácie</w:t>
            </w:r>
          </w:p>
        </w:tc>
      </w:tr>
      <w:tr w:rsidR="002E2353" w14:paraId="40DFE61C" w14:textId="77777777" w:rsidTr="002E2353">
        <w:trPr>
          <w:trHeight w:val="255"/>
          <w:jc w:val="center"/>
        </w:trPr>
        <w:tc>
          <w:tcPr>
            <w:tcW w:w="4913" w:type="dxa"/>
            <w:shd w:val="clear" w:color="auto" w:fill="DBE5F1" w:themeFill="accent1" w:themeFillTint="33"/>
            <w:vAlign w:val="center"/>
          </w:tcPr>
          <w:p w14:paraId="0D0D60A4" w14:textId="77777777"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5541301F" w14:textId="77777777" w:rsidR="002E2353" w:rsidRPr="006579CE" w:rsidRDefault="002E2353" w:rsidP="00717C03">
            <w:pPr>
              <w:pStyle w:val="Default"/>
              <w:autoSpaceDE/>
              <w:autoSpaceDN/>
              <w:adjustRightInd/>
              <w:ind w:left="0"/>
              <w:rPr>
                <w:bCs/>
                <w:sz w:val="20"/>
                <w:szCs w:val="20"/>
              </w:rPr>
            </w:pPr>
            <w:r>
              <w:rPr>
                <w:bCs/>
                <w:sz w:val="20"/>
                <w:szCs w:val="20"/>
              </w:rPr>
              <w:t>EFRR</w:t>
            </w:r>
          </w:p>
        </w:tc>
      </w:tr>
      <w:tr w:rsidR="002E2353" w14:paraId="4C019EC7" w14:textId="77777777" w:rsidTr="002E2353">
        <w:trPr>
          <w:trHeight w:val="255"/>
          <w:jc w:val="center"/>
        </w:trPr>
        <w:tc>
          <w:tcPr>
            <w:tcW w:w="4913" w:type="dxa"/>
            <w:shd w:val="clear" w:color="auto" w:fill="DBE5F1" w:themeFill="accent1" w:themeFillTint="33"/>
            <w:vAlign w:val="center"/>
          </w:tcPr>
          <w:p w14:paraId="688B99A2" w14:textId="77777777"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4E91D768" w14:textId="77777777" w:rsidR="002E2353" w:rsidRPr="006579CE" w:rsidRDefault="002E2353" w:rsidP="00717C03">
            <w:pPr>
              <w:ind w:left="0"/>
              <w:rPr>
                <w:sz w:val="20"/>
                <w:szCs w:val="20"/>
              </w:rPr>
            </w:pPr>
            <w:r>
              <w:rPr>
                <w:sz w:val="20"/>
                <w:szCs w:val="20"/>
              </w:rPr>
              <w:t>Menej rozvinuté regióny</w:t>
            </w:r>
          </w:p>
        </w:tc>
      </w:tr>
      <w:tr w:rsidR="00017B79" w14:paraId="4EC48182" w14:textId="77777777" w:rsidTr="002E2353">
        <w:trPr>
          <w:trHeight w:val="255"/>
          <w:jc w:val="center"/>
        </w:trPr>
        <w:tc>
          <w:tcPr>
            <w:tcW w:w="4913" w:type="dxa"/>
            <w:vAlign w:val="center"/>
          </w:tcPr>
          <w:p w14:paraId="753504A4" w14:textId="77777777"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14:paraId="0E000B4E" w14:textId="77777777"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14:paraId="32BE6F67" w14:textId="77777777" w:rsidR="00017B79" w:rsidRPr="00304255" w:rsidRDefault="00017B79" w:rsidP="00017B79">
            <w:pPr>
              <w:ind w:left="0"/>
              <w:jc w:val="center"/>
              <w:rPr>
                <w:b/>
                <w:sz w:val="20"/>
                <w:szCs w:val="20"/>
              </w:rPr>
            </w:pPr>
            <w:r w:rsidRPr="00304255">
              <w:rPr>
                <w:b/>
                <w:sz w:val="20"/>
                <w:szCs w:val="20"/>
              </w:rPr>
              <w:t>Suma (v EUR)</w:t>
            </w:r>
          </w:p>
        </w:tc>
      </w:tr>
      <w:tr w:rsidR="00017B79" w14:paraId="24AA17ED" w14:textId="77777777" w:rsidTr="003458F5">
        <w:trPr>
          <w:trHeight w:val="284"/>
          <w:jc w:val="center"/>
        </w:trPr>
        <w:tc>
          <w:tcPr>
            <w:tcW w:w="4913" w:type="dxa"/>
            <w:vAlign w:val="center"/>
          </w:tcPr>
          <w:p w14:paraId="63A92FD1" w14:textId="08842504" w:rsidR="00017B79" w:rsidRPr="00304255" w:rsidRDefault="00304255" w:rsidP="00DB0355">
            <w:pPr>
              <w:ind w:left="0"/>
              <w:rPr>
                <w:sz w:val="20"/>
                <w:szCs w:val="20"/>
              </w:rPr>
            </w:pPr>
            <w:r w:rsidRPr="00304255">
              <w:rPr>
                <w:sz w:val="20"/>
                <w:szCs w:val="20"/>
              </w:rPr>
              <w:t>Prioritná os 5 – Železničná infraštruktúra</w:t>
            </w:r>
            <w:r w:rsidR="00DB0355">
              <w:rPr>
                <w:sz w:val="20"/>
                <w:szCs w:val="20"/>
              </w:rPr>
              <w:t xml:space="preserve"> a obnova mobilných prostriedkov</w:t>
            </w:r>
          </w:p>
        </w:tc>
        <w:tc>
          <w:tcPr>
            <w:tcW w:w="2120" w:type="dxa"/>
            <w:vAlign w:val="center"/>
          </w:tcPr>
          <w:p w14:paraId="6C9C4BBA" w14:textId="77777777" w:rsidR="00017B79" w:rsidRPr="00304255" w:rsidRDefault="00017B79" w:rsidP="00017B79">
            <w:pPr>
              <w:ind w:left="0"/>
              <w:jc w:val="center"/>
              <w:rPr>
                <w:sz w:val="20"/>
                <w:szCs w:val="20"/>
              </w:rPr>
            </w:pPr>
            <w:r w:rsidRPr="00304255">
              <w:rPr>
                <w:sz w:val="20"/>
                <w:szCs w:val="20"/>
              </w:rPr>
              <w:t>0</w:t>
            </w:r>
            <w:r w:rsidR="00304255">
              <w:rPr>
                <w:sz w:val="20"/>
                <w:szCs w:val="20"/>
              </w:rPr>
              <w:t>7</w:t>
            </w:r>
          </w:p>
        </w:tc>
        <w:tc>
          <w:tcPr>
            <w:tcW w:w="2039" w:type="dxa"/>
            <w:vAlign w:val="center"/>
          </w:tcPr>
          <w:p w14:paraId="43120080" w14:textId="7B667363" w:rsidR="00017B79" w:rsidRPr="00304255" w:rsidRDefault="009D2D07" w:rsidP="009D2D07">
            <w:pPr>
              <w:ind w:left="0"/>
              <w:jc w:val="center"/>
              <w:rPr>
                <w:sz w:val="20"/>
                <w:szCs w:val="20"/>
                <w:lang w:val="en-US"/>
              </w:rPr>
            </w:pPr>
            <w:r>
              <w:rPr>
                <w:sz w:val="20"/>
                <w:szCs w:val="20"/>
              </w:rPr>
              <w:t>263 951 749</w:t>
            </w:r>
          </w:p>
        </w:tc>
      </w:tr>
    </w:tbl>
    <w:p w14:paraId="2C64A861" w14:textId="77777777" w:rsidR="00307AAF" w:rsidRDefault="00017B79" w:rsidP="002D1E44">
      <w:pPr>
        <w:pStyle w:val="Nadpis3"/>
        <w:tabs>
          <w:tab w:val="clear" w:pos="851"/>
          <w:tab w:val="num" w:pos="709"/>
        </w:tabs>
        <w:ind w:left="709" w:hanging="709"/>
        <w:jc w:val="both"/>
      </w:pPr>
      <w:bookmarkStart w:id="54" w:name="_Toc28951616"/>
      <w:r>
        <w:t>Súhrn plánovaného využitia technickej pomoci vrátane, ak je to vhodné, akcií na posilnenie administratívnej kapacity orgánov zapojených do riadenia a kontroly programu a prijímateľov (ak</w:t>
      </w:r>
      <w:r w:rsidR="00631CDB">
        <w:t> </w:t>
      </w:r>
      <w:r>
        <w:t>je to vhodné)</w:t>
      </w:r>
      <w:bookmarkEnd w:id="54"/>
    </w:p>
    <w:p w14:paraId="2C9C5D71"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05B9877B" w14:textId="77777777" w:rsidR="00E42497" w:rsidRDefault="00E42497" w:rsidP="005342FD">
      <w:pPr>
        <w:pStyle w:val="Nadpis2"/>
        <w:numPr>
          <w:ilvl w:val="0"/>
          <w:numId w:val="0"/>
        </w:numPr>
        <w:sectPr w:rsidR="00E42497" w:rsidSect="00D1658B">
          <w:headerReference w:type="default" r:id="rId28"/>
          <w:pgSz w:w="11906" w:h="16838"/>
          <w:pgMar w:top="1418" w:right="1361" w:bottom="1304" w:left="1474" w:header="709" w:footer="709" w:gutter="0"/>
          <w:cols w:space="708"/>
          <w:docGrid w:linePitch="360"/>
        </w:sectPr>
      </w:pPr>
    </w:p>
    <w:p w14:paraId="398F1B7A" w14:textId="77777777" w:rsidR="00307AAF" w:rsidRDefault="00E42497" w:rsidP="002B03EB">
      <w:pPr>
        <w:pStyle w:val="Nadpis2"/>
      </w:pPr>
      <w:bookmarkStart w:id="55" w:name="_Toc28951617"/>
      <w:r>
        <w:lastRenderedPageBreak/>
        <w:t>PRIORITNÁ OS 6: CESTNÁ INFRAŠTRUKTÚTA</w:t>
      </w:r>
      <w:r w:rsidR="00ED4FB3">
        <w:t xml:space="preserve"> (mimo TEN-T CORE)</w:t>
      </w:r>
      <w:bookmarkEnd w:id="55"/>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E41E26" w14:paraId="6BB2358C" w14:textId="77777777" w:rsidTr="002E1021">
        <w:trPr>
          <w:trHeight w:val="284"/>
          <w:jc w:val="center"/>
        </w:trPr>
        <w:tc>
          <w:tcPr>
            <w:tcW w:w="4404" w:type="dxa"/>
            <w:shd w:val="clear" w:color="auto" w:fill="DBE5F1" w:themeFill="accent1" w:themeFillTint="33"/>
            <w:vAlign w:val="center"/>
          </w:tcPr>
          <w:p w14:paraId="421DEE16" w14:textId="77777777" w:rsidR="00E41E26" w:rsidRDefault="00E41E26" w:rsidP="005139F6">
            <w:pPr>
              <w:ind w:left="0"/>
            </w:pPr>
            <w:r w:rsidRPr="00863337">
              <w:rPr>
                <w:b/>
                <w:i/>
                <w:sz w:val="20"/>
                <w:szCs w:val="20"/>
              </w:rPr>
              <w:t>ID prioritnej osi</w:t>
            </w:r>
          </w:p>
        </w:tc>
        <w:tc>
          <w:tcPr>
            <w:tcW w:w="3534" w:type="dxa"/>
            <w:vAlign w:val="center"/>
          </w:tcPr>
          <w:p w14:paraId="1143A8DF" w14:textId="77777777" w:rsidR="00E41E26" w:rsidRDefault="00E041B3" w:rsidP="00514805">
            <w:pPr>
              <w:pStyle w:val="PRIORITNA"/>
              <w:numPr>
                <w:ilvl w:val="0"/>
                <w:numId w:val="0"/>
              </w:numPr>
              <w:spacing w:after="0"/>
              <w:jc w:val="left"/>
            </w:pPr>
            <w:r>
              <w:t>6</w:t>
            </w:r>
          </w:p>
        </w:tc>
      </w:tr>
      <w:tr w:rsidR="00E41E26" w14:paraId="4AAE7CAB" w14:textId="77777777" w:rsidTr="002E1021">
        <w:trPr>
          <w:trHeight w:val="284"/>
          <w:jc w:val="center"/>
        </w:trPr>
        <w:tc>
          <w:tcPr>
            <w:tcW w:w="4404" w:type="dxa"/>
            <w:shd w:val="clear" w:color="auto" w:fill="DBE5F1" w:themeFill="accent1" w:themeFillTint="33"/>
            <w:vAlign w:val="center"/>
          </w:tcPr>
          <w:p w14:paraId="2EBD2117" w14:textId="77777777" w:rsidR="00E41E26" w:rsidRPr="003D6170" w:rsidRDefault="00E41E26" w:rsidP="003D6170">
            <w:pPr>
              <w:ind w:left="0"/>
            </w:pPr>
            <w:r w:rsidRPr="003D6170">
              <w:rPr>
                <w:b/>
                <w:i/>
                <w:sz w:val="20"/>
                <w:szCs w:val="20"/>
              </w:rPr>
              <w:t>Názov prioritnej osi</w:t>
            </w:r>
          </w:p>
        </w:tc>
        <w:tc>
          <w:tcPr>
            <w:tcW w:w="3534" w:type="dxa"/>
            <w:vAlign w:val="center"/>
          </w:tcPr>
          <w:p w14:paraId="28AB321E" w14:textId="77777777" w:rsidR="00E41E26" w:rsidRPr="00750A42" w:rsidRDefault="00E41E26" w:rsidP="00514805">
            <w:pPr>
              <w:ind w:left="0"/>
              <w:rPr>
                <w:sz w:val="20"/>
                <w:szCs w:val="20"/>
              </w:rPr>
            </w:pPr>
            <w:r>
              <w:rPr>
                <w:sz w:val="20"/>
                <w:szCs w:val="20"/>
              </w:rPr>
              <w:t>Cestná infraštruktúra</w:t>
            </w:r>
            <w:r w:rsidR="00ED4FB3">
              <w:rPr>
                <w:sz w:val="20"/>
                <w:szCs w:val="20"/>
              </w:rPr>
              <w:t xml:space="preserve"> (mimo TEN-T CORE)</w:t>
            </w:r>
          </w:p>
        </w:tc>
      </w:tr>
    </w:tbl>
    <w:p w14:paraId="22F188CF" w14:textId="77777777" w:rsidR="00E41E26" w:rsidRDefault="00E41E26" w:rsidP="00E41E26">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41E26" w:rsidRPr="00765DFA" w14:paraId="24A2F11D" w14:textId="77777777" w:rsidTr="002E1021">
        <w:trPr>
          <w:trHeight w:val="255"/>
          <w:jc w:val="center"/>
        </w:trPr>
        <w:tc>
          <w:tcPr>
            <w:tcW w:w="4396" w:type="dxa"/>
            <w:shd w:val="clear" w:color="auto" w:fill="DBE5F1" w:themeFill="accent1" w:themeFillTint="33"/>
            <w:vAlign w:val="center"/>
          </w:tcPr>
          <w:p w14:paraId="271A3B20" w14:textId="77777777" w:rsidR="00E41E26" w:rsidRPr="00765DFA" w:rsidRDefault="00E41E26"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345B10DE" w14:textId="77777777" w:rsidR="00E41E26" w:rsidRPr="00765DFA" w:rsidRDefault="00E41E26" w:rsidP="005139F6">
            <w:pPr>
              <w:ind w:left="0"/>
              <w:rPr>
                <w:sz w:val="20"/>
                <w:szCs w:val="20"/>
              </w:rPr>
            </w:pPr>
            <w:r>
              <w:rPr>
                <w:sz w:val="20"/>
                <w:szCs w:val="20"/>
              </w:rPr>
              <w:t>Nie</w:t>
            </w:r>
          </w:p>
        </w:tc>
      </w:tr>
      <w:tr w:rsidR="00E41E26" w:rsidRPr="00765DFA" w14:paraId="38238324" w14:textId="77777777" w:rsidTr="002E1021">
        <w:trPr>
          <w:trHeight w:val="255"/>
          <w:jc w:val="center"/>
        </w:trPr>
        <w:tc>
          <w:tcPr>
            <w:tcW w:w="4396" w:type="dxa"/>
            <w:shd w:val="clear" w:color="auto" w:fill="DBE5F1" w:themeFill="accent1" w:themeFillTint="33"/>
            <w:vAlign w:val="center"/>
          </w:tcPr>
          <w:p w14:paraId="1A089E8F" w14:textId="77777777" w:rsidR="00E41E26" w:rsidRPr="00765DFA" w:rsidRDefault="00E41E26"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57B79031" w14:textId="77777777" w:rsidR="00E41E26" w:rsidRPr="00765DFA" w:rsidRDefault="00E41E26" w:rsidP="005139F6">
            <w:pPr>
              <w:ind w:left="0"/>
              <w:rPr>
                <w:sz w:val="20"/>
                <w:szCs w:val="20"/>
              </w:rPr>
            </w:pPr>
            <w:r>
              <w:rPr>
                <w:sz w:val="20"/>
                <w:szCs w:val="20"/>
              </w:rPr>
              <w:t>Nie</w:t>
            </w:r>
          </w:p>
        </w:tc>
      </w:tr>
      <w:tr w:rsidR="00E41E26" w:rsidRPr="00750A42" w14:paraId="784927DB" w14:textId="77777777" w:rsidTr="002E1021">
        <w:trPr>
          <w:trHeight w:val="70"/>
          <w:jc w:val="center"/>
        </w:trPr>
        <w:tc>
          <w:tcPr>
            <w:tcW w:w="4396" w:type="dxa"/>
            <w:shd w:val="clear" w:color="auto" w:fill="DBE5F1" w:themeFill="accent1" w:themeFillTint="33"/>
            <w:vAlign w:val="center"/>
          </w:tcPr>
          <w:p w14:paraId="456ABFAA" w14:textId="77777777" w:rsidR="00E41E26" w:rsidRPr="00765DFA" w:rsidRDefault="00E41E26"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2B47B074" w14:textId="77777777" w:rsidR="00E41E26" w:rsidRPr="00750A42" w:rsidRDefault="00E41E26" w:rsidP="005139F6">
            <w:pPr>
              <w:ind w:left="0"/>
              <w:rPr>
                <w:sz w:val="20"/>
                <w:szCs w:val="20"/>
              </w:rPr>
            </w:pPr>
            <w:r>
              <w:rPr>
                <w:sz w:val="20"/>
                <w:szCs w:val="20"/>
              </w:rPr>
              <w:t>Nie</w:t>
            </w:r>
          </w:p>
        </w:tc>
      </w:tr>
      <w:tr w:rsidR="00E41E26" w:rsidRPr="00765DFA" w14:paraId="2875D439" w14:textId="77777777" w:rsidTr="002E1021">
        <w:trPr>
          <w:jc w:val="center"/>
        </w:trPr>
        <w:tc>
          <w:tcPr>
            <w:tcW w:w="4396" w:type="dxa"/>
            <w:shd w:val="clear" w:color="auto" w:fill="DBE5F1" w:themeFill="accent1" w:themeFillTint="33"/>
          </w:tcPr>
          <w:p w14:paraId="298AF4F8" w14:textId="77777777" w:rsidR="00E41E26" w:rsidRPr="00765DFA" w:rsidRDefault="00E41E26"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52E4A409" w14:textId="77777777" w:rsidR="00E41E26" w:rsidRPr="00765DFA" w:rsidRDefault="00E41E26" w:rsidP="005139F6">
            <w:pPr>
              <w:ind w:left="0"/>
              <w:rPr>
                <w:sz w:val="20"/>
                <w:szCs w:val="20"/>
              </w:rPr>
            </w:pPr>
            <w:r>
              <w:rPr>
                <w:sz w:val="20"/>
                <w:szCs w:val="20"/>
              </w:rPr>
              <w:t>N/A</w:t>
            </w:r>
          </w:p>
        </w:tc>
      </w:tr>
    </w:tbl>
    <w:p w14:paraId="4B5B5836" w14:textId="77777777" w:rsidR="00307AAF" w:rsidRDefault="00E42497" w:rsidP="002B03EB">
      <w:pPr>
        <w:pStyle w:val="Nadpis3"/>
      </w:pPr>
      <w:bookmarkStart w:id="56" w:name="_Toc28951618"/>
      <w:r>
        <w:t>Fond, kategória regiónu a</w:t>
      </w:r>
      <w:r w:rsidR="00E041B3">
        <w:t> </w:t>
      </w:r>
      <w:r>
        <w:t>základ pre výpočet podpory Únie</w:t>
      </w:r>
      <w:bookmarkEnd w:id="56"/>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42497" w14:paraId="250B5A22" w14:textId="77777777" w:rsidTr="00C63371">
        <w:trPr>
          <w:trHeight w:val="255"/>
          <w:jc w:val="center"/>
        </w:trPr>
        <w:tc>
          <w:tcPr>
            <w:tcW w:w="4042" w:type="dxa"/>
            <w:shd w:val="clear" w:color="auto" w:fill="DBE5F1" w:themeFill="accent1" w:themeFillTint="33"/>
            <w:vAlign w:val="center"/>
          </w:tcPr>
          <w:p w14:paraId="0A53F0BA" w14:textId="77777777" w:rsidR="00E42497" w:rsidRPr="00D75844" w:rsidRDefault="00E42497" w:rsidP="00D75844">
            <w:pPr>
              <w:ind w:left="0"/>
              <w:rPr>
                <w:b/>
                <w:i/>
                <w:sz w:val="20"/>
                <w:szCs w:val="20"/>
              </w:rPr>
            </w:pPr>
            <w:r w:rsidRPr="00D75844">
              <w:rPr>
                <w:b/>
                <w:i/>
                <w:sz w:val="20"/>
                <w:szCs w:val="20"/>
              </w:rPr>
              <w:t>Fond</w:t>
            </w:r>
          </w:p>
        </w:tc>
        <w:tc>
          <w:tcPr>
            <w:tcW w:w="3361" w:type="dxa"/>
            <w:vAlign w:val="center"/>
          </w:tcPr>
          <w:p w14:paraId="5146D2A1" w14:textId="77777777" w:rsidR="00E42497" w:rsidRPr="00D75844" w:rsidRDefault="007F7347" w:rsidP="00D75844">
            <w:pPr>
              <w:ind w:left="0"/>
              <w:rPr>
                <w:sz w:val="20"/>
                <w:szCs w:val="20"/>
              </w:rPr>
            </w:pPr>
            <w:r w:rsidRPr="00D75844">
              <w:rPr>
                <w:sz w:val="20"/>
                <w:szCs w:val="20"/>
              </w:rPr>
              <w:t>EFRR</w:t>
            </w:r>
          </w:p>
        </w:tc>
      </w:tr>
      <w:tr w:rsidR="00E42497" w14:paraId="5DC25C3F" w14:textId="77777777" w:rsidTr="00C63371">
        <w:trPr>
          <w:trHeight w:val="255"/>
          <w:jc w:val="center"/>
        </w:trPr>
        <w:tc>
          <w:tcPr>
            <w:tcW w:w="4042" w:type="dxa"/>
            <w:shd w:val="clear" w:color="auto" w:fill="DBE5F1" w:themeFill="accent1" w:themeFillTint="33"/>
            <w:vAlign w:val="center"/>
          </w:tcPr>
          <w:p w14:paraId="3F8D968E" w14:textId="77777777" w:rsidR="00E42497" w:rsidRPr="00D75844" w:rsidRDefault="00E42497" w:rsidP="00D75844">
            <w:pPr>
              <w:ind w:left="0"/>
              <w:rPr>
                <w:b/>
                <w:i/>
                <w:sz w:val="20"/>
                <w:szCs w:val="20"/>
              </w:rPr>
            </w:pPr>
            <w:r w:rsidRPr="00D75844">
              <w:rPr>
                <w:b/>
                <w:i/>
                <w:sz w:val="20"/>
                <w:szCs w:val="20"/>
              </w:rPr>
              <w:t>Kategória regiónu</w:t>
            </w:r>
          </w:p>
        </w:tc>
        <w:tc>
          <w:tcPr>
            <w:tcW w:w="3361" w:type="dxa"/>
            <w:vAlign w:val="center"/>
          </w:tcPr>
          <w:p w14:paraId="35D59503" w14:textId="77777777" w:rsidR="00E42497" w:rsidRPr="00D75844" w:rsidRDefault="009011DB" w:rsidP="00D75844">
            <w:pPr>
              <w:ind w:left="0"/>
              <w:rPr>
                <w:sz w:val="20"/>
                <w:szCs w:val="20"/>
              </w:rPr>
            </w:pPr>
            <w:r>
              <w:rPr>
                <w:sz w:val="20"/>
                <w:szCs w:val="20"/>
              </w:rPr>
              <w:t>Menej rozvinutý</w:t>
            </w:r>
          </w:p>
        </w:tc>
      </w:tr>
      <w:tr w:rsidR="00E42497" w14:paraId="49AB6165" w14:textId="77777777" w:rsidTr="00C63371">
        <w:trPr>
          <w:trHeight w:val="255"/>
          <w:jc w:val="center"/>
        </w:trPr>
        <w:tc>
          <w:tcPr>
            <w:tcW w:w="4042" w:type="dxa"/>
            <w:shd w:val="clear" w:color="auto" w:fill="DBE5F1" w:themeFill="accent1" w:themeFillTint="33"/>
            <w:vAlign w:val="center"/>
          </w:tcPr>
          <w:p w14:paraId="0459B3A8" w14:textId="77777777" w:rsidR="00E42497" w:rsidRPr="00D75844" w:rsidRDefault="00E42497" w:rsidP="00D75844">
            <w:pPr>
              <w:ind w:left="0"/>
              <w:rPr>
                <w:b/>
                <w:i/>
                <w:sz w:val="20"/>
                <w:szCs w:val="20"/>
              </w:rPr>
            </w:pPr>
            <w:r w:rsidRPr="00D75844">
              <w:rPr>
                <w:b/>
                <w:i/>
                <w:sz w:val="20"/>
                <w:szCs w:val="20"/>
              </w:rPr>
              <w:t>Základ pre výpočet (celkový príspevok)</w:t>
            </w:r>
          </w:p>
        </w:tc>
        <w:tc>
          <w:tcPr>
            <w:tcW w:w="3361" w:type="dxa"/>
            <w:vAlign w:val="center"/>
          </w:tcPr>
          <w:p w14:paraId="004DF48C" w14:textId="2465990C" w:rsidR="00E42497" w:rsidRPr="00D75844" w:rsidRDefault="009D2D07" w:rsidP="009D2D07">
            <w:pPr>
              <w:ind w:left="0"/>
              <w:rPr>
                <w:sz w:val="20"/>
                <w:szCs w:val="20"/>
                <w:lang w:val="en-US"/>
              </w:rPr>
            </w:pPr>
            <w:r>
              <w:rPr>
                <w:sz w:val="20"/>
                <w:szCs w:val="20"/>
                <w:lang w:val="en-US"/>
              </w:rPr>
              <w:t>946 924 744</w:t>
            </w:r>
            <w:r w:rsidR="00662EB4">
              <w:rPr>
                <w:sz w:val="20"/>
                <w:szCs w:val="20"/>
                <w:lang w:val="en-US"/>
              </w:rPr>
              <w:t xml:space="preserve"> EUR</w:t>
            </w:r>
          </w:p>
        </w:tc>
      </w:tr>
      <w:tr w:rsidR="00E42497" w14:paraId="1CCDE735" w14:textId="77777777" w:rsidTr="00C63371">
        <w:trPr>
          <w:trHeight w:val="255"/>
          <w:jc w:val="center"/>
        </w:trPr>
        <w:tc>
          <w:tcPr>
            <w:tcW w:w="4042" w:type="dxa"/>
            <w:shd w:val="clear" w:color="auto" w:fill="DBE5F1" w:themeFill="accent1" w:themeFillTint="33"/>
          </w:tcPr>
          <w:p w14:paraId="4EC444EC" w14:textId="77777777" w:rsidR="00E42497" w:rsidRPr="00D75844" w:rsidRDefault="00E42497" w:rsidP="007C1063">
            <w:pPr>
              <w:ind w:left="0"/>
              <w:rPr>
                <w:b/>
                <w:i/>
                <w:sz w:val="20"/>
                <w:szCs w:val="20"/>
              </w:rPr>
            </w:pPr>
            <w:r w:rsidRPr="00D75844">
              <w:rPr>
                <w:b/>
                <w:i/>
                <w:sz w:val="20"/>
                <w:szCs w:val="20"/>
              </w:rPr>
              <w:t>Kategória regiónu pre najvzdialenejšie a</w:t>
            </w:r>
            <w:r w:rsidR="00E041B3">
              <w:rPr>
                <w:b/>
                <w:i/>
                <w:sz w:val="20"/>
                <w:szCs w:val="20"/>
              </w:rPr>
              <w:t> </w:t>
            </w:r>
            <w:r w:rsidRPr="00D75844">
              <w:rPr>
                <w:b/>
                <w:i/>
                <w:sz w:val="20"/>
                <w:szCs w:val="20"/>
              </w:rPr>
              <w:t>severné riedko osídlené regióny (ak je to vhodné)</w:t>
            </w:r>
          </w:p>
        </w:tc>
        <w:tc>
          <w:tcPr>
            <w:tcW w:w="3361" w:type="dxa"/>
            <w:vAlign w:val="center"/>
          </w:tcPr>
          <w:p w14:paraId="5A94E2CE" w14:textId="77777777" w:rsidR="00E42497" w:rsidRPr="00D75844" w:rsidRDefault="00E42497" w:rsidP="00C63371">
            <w:pPr>
              <w:ind w:left="0"/>
              <w:rPr>
                <w:sz w:val="20"/>
                <w:szCs w:val="20"/>
              </w:rPr>
            </w:pPr>
            <w:r w:rsidRPr="00D75844">
              <w:rPr>
                <w:sz w:val="20"/>
                <w:szCs w:val="20"/>
              </w:rPr>
              <w:t>N/A</w:t>
            </w:r>
          </w:p>
        </w:tc>
      </w:tr>
    </w:tbl>
    <w:p w14:paraId="222BA516" w14:textId="77777777" w:rsidR="00307AAF" w:rsidRDefault="00E42497" w:rsidP="002B03EB">
      <w:pPr>
        <w:pStyle w:val="Nadpis3"/>
        <w:tabs>
          <w:tab w:val="clear" w:pos="851"/>
          <w:tab w:val="num" w:pos="709"/>
        </w:tabs>
        <w:ind w:left="709" w:hanging="709"/>
      </w:pPr>
      <w:bookmarkStart w:id="57" w:name="_Toc28951619"/>
      <w:r>
        <w:t xml:space="preserve">INVESTIČNÁ PRIORITA </w:t>
      </w:r>
      <w:r w:rsidR="00E41E26">
        <w:t>7a)</w:t>
      </w:r>
      <w:r>
        <w:t xml:space="preserve">: </w:t>
      </w:r>
      <w:r w:rsidR="00A837FB">
        <w:t>Podpora multimodálneho jednotného európskeho dopravného priestoru pomocou investícií do TEN-T</w:t>
      </w:r>
      <w:bookmarkEnd w:id="57"/>
    </w:p>
    <w:p w14:paraId="7F6905BE" w14:textId="77777777" w:rsidR="00307AAF" w:rsidRDefault="00E42497" w:rsidP="002B03EB">
      <w:pPr>
        <w:pStyle w:val="Nadpis4"/>
      </w:pPr>
      <w:r>
        <w:t>Špecifické ciele investičnej priority a</w:t>
      </w:r>
      <w:r w:rsidR="00E041B3">
        <w:t> </w:t>
      </w:r>
      <w:r>
        <w:t>očakávané výsledky</w:t>
      </w:r>
    </w:p>
    <w:p w14:paraId="7B0E5889" w14:textId="77777777" w:rsidR="00E42497" w:rsidRPr="006B762B" w:rsidRDefault="00E42497" w:rsidP="002E1021">
      <w:pPr>
        <w:shd w:val="clear" w:color="auto" w:fill="FFFFCC"/>
        <w:jc w:val="both"/>
        <w:rPr>
          <w:b/>
          <w:i/>
        </w:rPr>
      </w:pPr>
      <w:r w:rsidRPr="004F0234">
        <w:rPr>
          <w:i/>
        </w:rPr>
        <w:t xml:space="preserve">ŠPECIFICKÝ CIEĽ </w:t>
      </w:r>
      <w:r w:rsidR="00A67013">
        <w:rPr>
          <w:i/>
        </w:rPr>
        <w:t>6.</w:t>
      </w:r>
      <w:r>
        <w:rPr>
          <w:i/>
        </w:rPr>
        <w:t>1</w:t>
      </w:r>
      <w:r w:rsidRPr="004F0234">
        <w:rPr>
          <w:i/>
        </w:rPr>
        <w:t>:</w:t>
      </w:r>
      <w:r>
        <w:rPr>
          <w:i/>
        </w:rPr>
        <w:t xml:space="preserve"> </w:t>
      </w:r>
      <w:r w:rsidR="00A837FB">
        <w:rPr>
          <w:b/>
          <w:i/>
        </w:rPr>
        <w:t>Odstránenie kľúčových úzkych miest na cestnej infraštruktúre TEN-T prostredníctvom výstavby nových</w:t>
      </w:r>
      <w:r w:rsidR="00402E68">
        <w:rPr>
          <w:b/>
          <w:i/>
        </w:rPr>
        <w:t xml:space="preserve"> úsekov</w:t>
      </w:r>
      <w:r w:rsidR="00A837FB">
        <w:rPr>
          <w:b/>
          <w:i/>
        </w:rPr>
        <w:t xml:space="preserve"> rýchlostných ciest</w:t>
      </w:r>
    </w:p>
    <w:p w14:paraId="70676C30" w14:textId="2F261728" w:rsidR="00E42497" w:rsidRDefault="00D75844" w:rsidP="006C1D08">
      <w:pPr>
        <w:spacing w:before="180"/>
        <w:jc w:val="both"/>
        <w:rPr>
          <w:sz w:val="22"/>
          <w:szCs w:val="22"/>
        </w:rPr>
      </w:pPr>
      <w:r>
        <w:rPr>
          <w:sz w:val="22"/>
          <w:szCs w:val="22"/>
        </w:rPr>
        <w:t>Selektívnym d</w:t>
      </w:r>
      <w:r w:rsidR="007F7347" w:rsidRPr="007F7347">
        <w:rPr>
          <w:sz w:val="22"/>
          <w:szCs w:val="22"/>
        </w:rPr>
        <w:t xml:space="preserve">oplnením </w:t>
      </w:r>
      <w:r>
        <w:rPr>
          <w:sz w:val="22"/>
          <w:szCs w:val="22"/>
        </w:rPr>
        <w:t xml:space="preserve">siete </w:t>
      </w:r>
      <w:r w:rsidR="007F7347" w:rsidRPr="007F7347">
        <w:rPr>
          <w:sz w:val="22"/>
          <w:szCs w:val="22"/>
        </w:rPr>
        <w:t xml:space="preserve">diaľnic </w:t>
      </w:r>
      <w:r>
        <w:rPr>
          <w:sz w:val="22"/>
          <w:szCs w:val="22"/>
        </w:rPr>
        <w:t>o</w:t>
      </w:r>
      <w:r w:rsidR="00E041B3">
        <w:rPr>
          <w:sz w:val="22"/>
          <w:szCs w:val="22"/>
        </w:rPr>
        <w:t> </w:t>
      </w:r>
      <w:r>
        <w:rPr>
          <w:sz w:val="22"/>
          <w:szCs w:val="22"/>
        </w:rPr>
        <w:t>vybrané úseky</w:t>
      </w:r>
      <w:r w:rsidR="007F7347" w:rsidRPr="007F7347">
        <w:rPr>
          <w:sz w:val="22"/>
          <w:szCs w:val="22"/>
        </w:rPr>
        <w:t xml:space="preserve"> rýchlostných ciest </w:t>
      </w:r>
      <w:r>
        <w:rPr>
          <w:sz w:val="22"/>
          <w:szCs w:val="22"/>
        </w:rPr>
        <w:t>bude zabezpečené</w:t>
      </w:r>
      <w:r w:rsidR="007F7347" w:rsidRPr="007F7347">
        <w:rPr>
          <w:sz w:val="22"/>
          <w:szCs w:val="22"/>
        </w:rPr>
        <w:t xml:space="preserve"> kvalitné cestné spojenie medzi jednotlivými</w:t>
      </w:r>
      <w:r w:rsidR="007F7347">
        <w:rPr>
          <w:sz w:val="22"/>
          <w:szCs w:val="22"/>
        </w:rPr>
        <w:t xml:space="preserve"> </w:t>
      </w:r>
      <w:r w:rsidR="007F7347" w:rsidRPr="007F7347">
        <w:rPr>
          <w:sz w:val="22"/>
          <w:szCs w:val="22"/>
        </w:rPr>
        <w:t>regiónmi, a</w:t>
      </w:r>
      <w:r>
        <w:rPr>
          <w:sz w:val="22"/>
          <w:szCs w:val="22"/>
        </w:rPr>
        <w:t>ko aj krajskými sídlami.</w:t>
      </w:r>
      <w:r w:rsidR="00044C50">
        <w:rPr>
          <w:sz w:val="22"/>
          <w:szCs w:val="22"/>
        </w:rPr>
        <w:t xml:space="preserve"> Investície</w:t>
      </w:r>
      <w:r w:rsidR="001448ED">
        <w:rPr>
          <w:sz w:val="22"/>
          <w:szCs w:val="22"/>
        </w:rPr>
        <w:t xml:space="preserve"> v</w:t>
      </w:r>
      <w:r w:rsidR="00E041B3">
        <w:rPr>
          <w:sz w:val="22"/>
          <w:szCs w:val="22"/>
        </w:rPr>
        <w:t> </w:t>
      </w:r>
      <w:r w:rsidR="001448ED">
        <w:rPr>
          <w:sz w:val="22"/>
          <w:szCs w:val="22"/>
        </w:rPr>
        <w:t>rámci tejto prioritnej osi</w:t>
      </w:r>
      <w:r w:rsidR="00044C50">
        <w:rPr>
          <w:sz w:val="22"/>
          <w:szCs w:val="22"/>
        </w:rPr>
        <w:t xml:space="preserve"> budú smerovať do výstavby nových úsekov rýchlostných ciest </w:t>
      </w:r>
      <w:r w:rsidR="007D3C25">
        <w:rPr>
          <w:sz w:val="22"/>
          <w:szCs w:val="22"/>
        </w:rPr>
        <w:t>mimo</w:t>
      </w:r>
      <w:r w:rsidR="00044C50">
        <w:rPr>
          <w:sz w:val="22"/>
          <w:szCs w:val="22"/>
        </w:rPr>
        <w:t xml:space="preserve"> TEN-T</w:t>
      </w:r>
      <w:r w:rsidR="007D3C25">
        <w:rPr>
          <w:sz w:val="22"/>
          <w:szCs w:val="22"/>
        </w:rPr>
        <w:t xml:space="preserve"> CORE</w:t>
      </w:r>
      <w:r w:rsidR="00044C50">
        <w:rPr>
          <w:sz w:val="22"/>
          <w:szCs w:val="22"/>
        </w:rPr>
        <w:t>.</w:t>
      </w:r>
      <w:r>
        <w:rPr>
          <w:sz w:val="22"/>
          <w:szCs w:val="22"/>
        </w:rPr>
        <w:t xml:space="preserve"> </w:t>
      </w:r>
      <w:r w:rsidR="00B9132E" w:rsidRPr="00B9132E">
        <w:rPr>
          <w:b/>
          <w:sz w:val="22"/>
          <w:szCs w:val="22"/>
        </w:rPr>
        <w:t>Zámerom je predov</w:t>
      </w:r>
      <w:r w:rsidR="001448ED">
        <w:rPr>
          <w:b/>
          <w:sz w:val="22"/>
          <w:szCs w:val="22"/>
        </w:rPr>
        <w:t>šetkým výstavba nových úsekov rýchlostných ciest</w:t>
      </w:r>
      <w:r w:rsidR="00B9132E" w:rsidRPr="00B9132E">
        <w:rPr>
          <w:b/>
          <w:sz w:val="22"/>
          <w:szCs w:val="22"/>
        </w:rPr>
        <w:t xml:space="preserve"> R2</w:t>
      </w:r>
      <w:r w:rsidR="00B44676">
        <w:rPr>
          <w:b/>
          <w:sz w:val="22"/>
          <w:szCs w:val="22"/>
        </w:rPr>
        <w:t>, R4</w:t>
      </w:r>
      <w:r w:rsidR="00044C50">
        <w:rPr>
          <w:b/>
          <w:sz w:val="22"/>
          <w:szCs w:val="22"/>
        </w:rPr>
        <w:t xml:space="preserve"> a</w:t>
      </w:r>
      <w:r w:rsidR="00E041B3">
        <w:rPr>
          <w:b/>
          <w:sz w:val="22"/>
          <w:szCs w:val="22"/>
        </w:rPr>
        <w:t> </w:t>
      </w:r>
      <w:r w:rsidR="00044C50">
        <w:rPr>
          <w:b/>
          <w:sz w:val="22"/>
          <w:szCs w:val="22"/>
        </w:rPr>
        <w:t>R5</w:t>
      </w:r>
      <w:r w:rsidR="00B9132E" w:rsidRPr="00B9132E">
        <w:rPr>
          <w:b/>
          <w:sz w:val="22"/>
          <w:szCs w:val="22"/>
        </w:rPr>
        <w:t>.</w:t>
      </w:r>
    </w:p>
    <w:p w14:paraId="4AAE6758" w14:textId="77777777" w:rsidR="00852835" w:rsidRDefault="00AA57CB" w:rsidP="006C1D08">
      <w:pPr>
        <w:spacing w:before="180"/>
        <w:jc w:val="both"/>
        <w:rPr>
          <w:sz w:val="22"/>
          <w:szCs w:val="22"/>
        </w:rPr>
      </w:pPr>
      <w:r w:rsidRPr="00AA57CB">
        <w:rPr>
          <w:sz w:val="22"/>
          <w:szCs w:val="22"/>
        </w:rPr>
        <w:t>Vybudovanie rýchlostnej cesty R2 významným spôsobom prispeje k</w:t>
      </w:r>
      <w:r w:rsidR="00E041B3">
        <w:rPr>
          <w:sz w:val="22"/>
          <w:szCs w:val="22"/>
        </w:rPr>
        <w:t> </w:t>
      </w:r>
      <w:r>
        <w:rPr>
          <w:sz w:val="22"/>
          <w:szCs w:val="22"/>
        </w:rPr>
        <w:t xml:space="preserve">zlepšeniu vzájomného prepojenia na trase Trenčín – </w:t>
      </w:r>
      <w:r w:rsidRPr="00E545D5">
        <w:rPr>
          <w:sz w:val="22"/>
          <w:szCs w:val="22"/>
        </w:rPr>
        <w:t>Prievi</w:t>
      </w:r>
      <w:r>
        <w:rPr>
          <w:sz w:val="22"/>
          <w:szCs w:val="22"/>
        </w:rPr>
        <w:t>dza – Zvolen – Lučenec – Košice Šaca – Košické Oľšany</w:t>
      </w:r>
      <w:r w:rsidRPr="00AA57CB">
        <w:rPr>
          <w:sz w:val="22"/>
          <w:szCs w:val="22"/>
        </w:rPr>
        <w:t xml:space="preserve"> a</w:t>
      </w:r>
      <w:r w:rsidR="00E041B3">
        <w:rPr>
          <w:sz w:val="22"/>
          <w:szCs w:val="22"/>
        </w:rPr>
        <w:t> </w:t>
      </w:r>
      <w:r w:rsidRPr="00AA57CB">
        <w:rPr>
          <w:sz w:val="22"/>
          <w:szCs w:val="22"/>
        </w:rPr>
        <w:t>taktiež medziľahlých regiónov postihnutých štrukturálnymi</w:t>
      </w:r>
      <w:r>
        <w:rPr>
          <w:sz w:val="22"/>
          <w:szCs w:val="22"/>
        </w:rPr>
        <w:t xml:space="preserve"> </w:t>
      </w:r>
      <w:r w:rsidRPr="00AA57CB">
        <w:rPr>
          <w:sz w:val="22"/>
          <w:szCs w:val="22"/>
        </w:rPr>
        <w:t>zmenami v</w:t>
      </w:r>
      <w:r w:rsidR="00E041B3">
        <w:rPr>
          <w:sz w:val="22"/>
          <w:szCs w:val="22"/>
        </w:rPr>
        <w:t> </w:t>
      </w:r>
      <w:r w:rsidRPr="00AA57CB">
        <w:rPr>
          <w:sz w:val="22"/>
          <w:szCs w:val="22"/>
        </w:rPr>
        <w:t>ekonomike a</w:t>
      </w:r>
      <w:r w:rsidR="00E041B3">
        <w:rPr>
          <w:sz w:val="22"/>
          <w:szCs w:val="22"/>
        </w:rPr>
        <w:t> </w:t>
      </w:r>
      <w:r w:rsidRPr="00AA57CB">
        <w:rPr>
          <w:sz w:val="22"/>
          <w:szCs w:val="22"/>
        </w:rPr>
        <w:t>vysokou mierou nezamestnanosti. Vybudovanie tejto cestnej osi poskytne</w:t>
      </w:r>
      <w:r>
        <w:rPr>
          <w:sz w:val="22"/>
          <w:szCs w:val="22"/>
        </w:rPr>
        <w:t xml:space="preserve"> </w:t>
      </w:r>
      <w:r w:rsidRPr="00AA57CB">
        <w:rPr>
          <w:sz w:val="22"/>
          <w:szCs w:val="22"/>
        </w:rPr>
        <w:t>potrebnú kapacitu a</w:t>
      </w:r>
      <w:r w:rsidR="00E041B3">
        <w:rPr>
          <w:sz w:val="22"/>
          <w:szCs w:val="22"/>
        </w:rPr>
        <w:t> </w:t>
      </w:r>
      <w:r w:rsidRPr="00AA57CB">
        <w:rPr>
          <w:sz w:val="22"/>
          <w:szCs w:val="22"/>
        </w:rPr>
        <w:t xml:space="preserve">úroveň bezpečnosti, ktorá ja na súčasnej ceste I/50 </w:t>
      </w:r>
      <w:r w:rsidR="00B9132E">
        <w:rPr>
          <w:sz w:val="22"/>
          <w:szCs w:val="22"/>
        </w:rPr>
        <w:t>v</w:t>
      </w:r>
      <w:r w:rsidR="00E041B3">
        <w:rPr>
          <w:sz w:val="22"/>
          <w:szCs w:val="22"/>
        </w:rPr>
        <w:t> </w:t>
      </w:r>
      <w:r w:rsidR="00B9132E">
        <w:rPr>
          <w:sz w:val="22"/>
          <w:szCs w:val="22"/>
        </w:rPr>
        <w:t xml:space="preserve">mnohých prípadoch </w:t>
      </w:r>
      <w:r w:rsidRPr="00AA57CB">
        <w:rPr>
          <w:sz w:val="22"/>
          <w:szCs w:val="22"/>
        </w:rPr>
        <w:t>neúnosná.</w:t>
      </w:r>
      <w:r w:rsidR="00C973A1">
        <w:rPr>
          <w:sz w:val="22"/>
          <w:szCs w:val="22"/>
        </w:rPr>
        <w:t xml:space="preserve"> </w:t>
      </w:r>
      <w:r w:rsidRPr="00AA57CB">
        <w:rPr>
          <w:sz w:val="22"/>
          <w:szCs w:val="22"/>
        </w:rPr>
        <w:t>Trasa</w:t>
      </w:r>
      <w:r w:rsidR="00C973A1">
        <w:rPr>
          <w:sz w:val="22"/>
          <w:szCs w:val="22"/>
        </w:rPr>
        <w:t xml:space="preserve"> R2</w:t>
      </w:r>
      <w:r w:rsidRPr="00AA57CB">
        <w:rPr>
          <w:sz w:val="22"/>
          <w:szCs w:val="22"/>
        </w:rPr>
        <w:t xml:space="preserve"> je súčasťou</w:t>
      </w:r>
      <w:r>
        <w:rPr>
          <w:sz w:val="22"/>
          <w:szCs w:val="22"/>
        </w:rPr>
        <w:t xml:space="preserve"> </w:t>
      </w:r>
      <w:r w:rsidR="009F007F">
        <w:rPr>
          <w:sz w:val="22"/>
          <w:szCs w:val="22"/>
        </w:rPr>
        <w:t>súhrnnej</w:t>
      </w:r>
      <w:r w:rsidRPr="00AA57CB">
        <w:rPr>
          <w:sz w:val="22"/>
          <w:szCs w:val="22"/>
        </w:rPr>
        <w:t xml:space="preserve"> siete TEN-T.</w:t>
      </w:r>
      <w:r>
        <w:rPr>
          <w:sz w:val="22"/>
          <w:szCs w:val="22"/>
        </w:rPr>
        <w:t xml:space="preserve"> </w:t>
      </w:r>
      <w:r w:rsidR="00E545D5" w:rsidRPr="00E545D5">
        <w:rPr>
          <w:sz w:val="22"/>
          <w:szCs w:val="22"/>
        </w:rPr>
        <w:t>Z</w:t>
      </w:r>
      <w:r w:rsidR="00E041B3">
        <w:rPr>
          <w:sz w:val="22"/>
          <w:szCs w:val="22"/>
        </w:rPr>
        <w:t> </w:t>
      </w:r>
      <w:r>
        <w:rPr>
          <w:sz w:val="22"/>
          <w:szCs w:val="22"/>
        </w:rPr>
        <w:t xml:space="preserve">celkového počtu </w:t>
      </w:r>
      <w:r w:rsidR="00E545D5" w:rsidRPr="00E545D5">
        <w:rPr>
          <w:sz w:val="22"/>
          <w:szCs w:val="22"/>
        </w:rPr>
        <w:t>2</w:t>
      </w:r>
      <w:r w:rsidR="00E545D5">
        <w:rPr>
          <w:sz w:val="22"/>
          <w:szCs w:val="22"/>
        </w:rPr>
        <w:t>5</w:t>
      </w:r>
      <w:r w:rsidR="00E545D5" w:rsidRPr="00E545D5">
        <w:rPr>
          <w:sz w:val="22"/>
          <w:szCs w:val="22"/>
        </w:rPr>
        <w:t xml:space="preserve"> úsekov R2 </w:t>
      </w:r>
      <w:r w:rsidR="00E545D5">
        <w:rPr>
          <w:sz w:val="22"/>
          <w:szCs w:val="22"/>
        </w:rPr>
        <w:t>o</w:t>
      </w:r>
      <w:r w:rsidR="00E041B3">
        <w:rPr>
          <w:sz w:val="22"/>
          <w:szCs w:val="22"/>
        </w:rPr>
        <w:t> </w:t>
      </w:r>
      <w:r w:rsidR="00E545D5" w:rsidRPr="00E545D5">
        <w:rPr>
          <w:sz w:val="22"/>
          <w:szCs w:val="22"/>
        </w:rPr>
        <w:t xml:space="preserve">dĺžke </w:t>
      </w:r>
      <w:r w:rsidR="00E545D5">
        <w:rPr>
          <w:sz w:val="22"/>
          <w:szCs w:val="22"/>
        </w:rPr>
        <w:t>314</w:t>
      </w:r>
      <w:r w:rsidR="00E545D5" w:rsidRPr="00E545D5">
        <w:rPr>
          <w:sz w:val="22"/>
          <w:szCs w:val="22"/>
        </w:rPr>
        <w:t xml:space="preserve"> k</w:t>
      </w:r>
      <w:r>
        <w:rPr>
          <w:sz w:val="22"/>
          <w:szCs w:val="22"/>
        </w:rPr>
        <w:t>m</w:t>
      </w:r>
      <w:r w:rsidR="00E545D5" w:rsidRPr="00E545D5">
        <w:rPr>
          <w:sz w:val="22"/>
          <w:szCs w:val="22"/>
        </w:rPr>
        <w:t xml:space="preserve"> boli </w:t>
      </w:r>
      <w:r>
        <w:rPr>
          <w:sz w:val="22"/>
          <w:szCs w:val="22"/>
        </w:rPr>
        <w:t>k</w:t>
      </w:r>
      <w:r w:rsidR="00E041B3">
        <w:rPr>
          <w:sz w:val="22"/>
          <w:szCs w:val="22"/>
        </w:rPr>
        <w:t> </w:t>
      </w:r>
      <w:r>
        <w:rPr>
          <w:sz w:val="22"/>
          <w:szCs w:val="22"/>
        </w:rPr>
        <w:t>31.12.2013</w:t>
      </w:r>
      <w:r w:rsidR="00E545D5" w:rsidRPr="00E545D5">
        <w:rPr>
          <w:sz w:val="22"/>
          <w:szCs w:val="22"/>
        </w:rPr>
        <w:t xml:space="preserve"> odovzdané do prevádzky</w:t>
      </w:r>
      <w:r w:rsidR="00B9132E">
        <w:rPr>
          <w:sz w:val="22"/>
          <w:szCs w:val="22"/>
        </w:rPr>
        <w:t xml:space="preserve"> len</w:t>
      </w:r>
      <w:r w:rsidR="00E545D5" w:rsidRPr="00E545D5">
        <w:rPr>
          <w:sz w:val="22"/>
          <w:szCs w:val="22"/>
        </w:rPr>
        <w:t xml:space="preserve"> </w:t>
      </w:r>
      <w:r>
        <w:rPr>
          <w:sz w:val="22"/>
          <w:szCs w:val="22"/>
        </w:rPr>
        <w:t>tri</w:t>
      </w:r>
      <w:r w:rsidR="00E545D5" w:rsidRPr="00E545D5">
        <w:rPr>
          <w:sz w:val="22"/>
          <w:szCs w:val="22"/>
        </w:rPr>
        <w:t xml:space="preserve"> úseky </w:t>
      </w:r>
      <w:r>
        <w:rPr>
          <w:sz w:val="22"/>
          <w:szCs w:val="22"/>
        </w:rPr>
        <w:t>o</w:t>
      </w:r>
      <w:r w:rsidR="00E041B3">
        <w:rPr>
          <w:sz w:val="22"/>
          <w:szCs w:val="22"/>
        </w:rPr>
        <w:t> </w:t>
      </w:r>
      <w:r w:rsidR="00E545D5" w:rsidRPr="00E545D5">
        <w:rPr>
          <w:sz w:val="22"/>
          <w:szCs w:val="22"/>
        </w:rPr>
        <w:t xml:space="preserve">dĺžke </w:t>
      </w:r>
      <w:r>
        <w:rPr>
          <w:sz w:val="22"/>
          <w:szCs w:val="22"/>
        </w:rPr>
        <w:t>18 </w:t>
      </w:r>
      <w:r w:rsidR="00E545D5" w:rsidRPr="00E545D5">
        <w:rPr>
          <w:sz w:val="22"/>
          <w:szCs w:val="22"/>
        </w:rPr>
        <w:t>km.</w:t>
      </w:r>
      <w:r>
        <w:rPr>
          <w:sz w:val="22"/>
          <w:szCs w:val="22"/>
        </w:rPr>
        <w:t xml:space="preserve"> Ďalších cca 35 km by malo byť dokončených spolufinancovaním z</w:t>
      </w:r>
      <w:r w:rsidR="00E041B3">
        <w:rPr>
          <w:sz w:val="22"/>
          <w:szCs w:val="22"/>
        </w:rPr>
        <w:t> </w:t>
      </w:r>
      <w:r>
        <w:rPr>
          <w:sz w:val="22"/>
          <w:szCs w:val="22"/>
        </w:rPr>
        <w:t>OPD 2007 – 2013.</w:t>
      </w:r>
    </w:p>
    <w:p w14:paraId="1FBF8931" w14:textId="77777777" w:rsidR="00A20CF7" w:rsidRDefault="00A20CF7" w:rsidP="006C1D08">
      <w:pPr>
        <w:spacing w:before="180"/>
        <w:jc w:val="both"/>
        <w:rPr>
          <w:sz w:val="22"/>
          <w:szCs w:val="22"/>
        </w:rPr>
      </w:pPr>
      <w:r w:rsidRPr="00A21DD4">
        <w:rPr>
          <w:sz w:val="22"/>
          <w:szCs w:val="22"/>
        </w:rPr>
        <w:t>Nové úseky rýchlostných ciest budú budované v súlade s platnými environmentálnymi a technickými požiadavkami s cieľom znižovania negatívnych vplyvov z dopravy s dôrazom na zlepšovanie kvality ovzdušia.</w:t>
      </w:r>
    </w:p>
    <w:p w14:paraId="11FED7B3" w14:textId="77777777" w:rsidR="00E42497" w:rsidRPr="001B2070" w:rsidRDefault="00E42497"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78A598A9" w14:textId="77777777" w:rsidR="009E0158" w:rsidRDefault="00D75844" w:rsidP="000F7659">
      <w:pPr>
        <w:pStyle w:val="Odsekzoznamu"/>
        <w:numPr>
          <w:ilvl w:val="0"/>
          <w:numId w:val="49"/>
        </w:numPr>
        <w:autoSpaceDE w:val="0"/>
        <w:autoSpaceDN w:val="0"/>
        <w:adjustRightInd w:val="0"/>
        <w:ind w:hanging="436"/>
        <w:jc w:val="both"/>
        <w:rPr>
          <w:sz w:val="22"/>
          <w:szCs w:val="22"/>
        </w:rPr>
      </w:pPr>
      <w:r w:rsidRPr="00186DB7">
        <w:rPr>
          <w:sz w:val="22"/>
          <w:szCs w:val="22"/>
        </w:rPr>
        <w:t xml:space="preserve">odstránenie kľúčových úzkych miest na </w:t>
      </w:r>
      <w:r w:rsidR="009F007F">
        <w:rPr>
          <w:sz w:val="22"/>
          <w:szCs w:val="22"/>
        </w:rPr>
        <w:t>súhrnnej</w:t>
      </w:r>
      <w:r w:rsidRPr="00186DB7">
        <w:rPr>
          <w:sz w:val="22"/>
          <w:szCs w:val="22"/>
        </w:rPr>
        <w:t xml:space="preserve"> sieti TEN-T</w:t>
      </w:r>
      <w:r>
        <w:rPr>
          <w:sz w:val="22"/>
          <w:szCs w:val="22"/>
        </w:rPr>
        <w:t>,</w:t>
      </w:r>
    </w:p>
    <w:p w14:paraId="03DE72CD"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Pr>
          <w:sz w:val="22"/>
          <w:szCs w:val="22"/>
        </w:rPr>
        <w:t>zvýšenie bezpečnosti cestnej premávky a</w:t>
      </w:r>
      <w:r w:rsidR="00E041B3">
        <w:rPr>
          <w:sz w:val="22"/>
          <w:szCs w:val="22"/>
        </w:rPr>
        <w:t> </w:t>
      </w:r>
      <w:r>
        <w:rPr>
          <w:sz w:val="22"/>
          <w:szCs w:val="22"/>
        </w:rPr>
        <w:t xml:space="preserve">zníženie nehodovosti, </w:t>
      </w:r>
    </w:p>
    <w:p w14:paraId="07E6C911"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Pr>
          <w:sz w:val="22"/>
          <w:szCs w:val="22"/>
        </w:rPr>
        <w:t xml:space="preserve">zníženie negatívnych vplyvov na životné prostredie (zníženie hlukovej záťaže </w:t>
      </w:r>
      <w:r w:rsidR="005864FD">
        <w:rPr>
          <w:sz w:val="22"/>
          <w:szCs w:val="22"/>
        </w:rPr>
        <w:t>a emisií CO</w:t>
      </w:r>
      <w:r w:rsidR="005864FD" w:rsidRPr="00453441">
        <w:rPr>
          <w:sz w:val="22"/>
          <w:szCs w:val="22"/>
          <w:vertAlign w:val="subscript"/>
        </w:rPr>
        <w:t>2</w:t>
      </w:r>
      <w:r w:rsidR="005864FD">
        <w:rPr>
          <w:sz w:val="22"/>
          <w:szCs w:val="22"/>
        </w:rPr>
        <w:t>, NO</w:t>
      </w:r>
      <w:r w:rsidR="005864FD" w:rsidRPr="00453441">
        <w:rPr>
          <w:sz w:val="22"/>
          <w:szCs w:val="22"/>
          <w:vertAlign w:val="subscript"/>
        </w:rPr>
        <w:t>2</w:t>
      </w:r>
      <w:r w:rsidR="005864FD">
        <w:rPr>
          <w:sz w:val="22"/>
          <w:szCs w:val="22"/>
        </w:rPr>
        <w:t xml:space="preserve"> a</w:t>
      </w:r>
      <w:r w:rsidR="00FB648D">
        <w:rPr>
          <w:sz w:val="22"/>
          <w:szCs w:val="22"/>
        </w:rPr>
        <w:t> </w:t>
      </w:r>
      <w:r w:rsidR="005864FD">
        <w:rPr>
          <w:sz w:val="22"/>
          <w:szCs w:val="22"/>
        </w:rPr>
        <w:t>PM</w:t>
      </w:r>
      <w:r w:rsidR="00307AAF" w:rsidRPr="00307AAF">
        <w:rPr>
          <w:sz w:val="22"/>
          <w:szCs w:val="22"/>
          <w:vertAlign w:val="subscript"/>
        </w:rPr>
        <w:t>10</w:t>
      </w:r>
      <w:r w:rsidR="005864FD">
        <w:rPr>
          <w:sz w:val="22"/>
          <w:szCs w:val="22"/>
        </w:rPr>
        <w:t xml:space="preserve"> </w:t>
      </w:r>
      <w:r>
        <w:rPr>
          <w:sz w:val="22"/>
          <w:szCs w:val="22"/>
        </w:rPr>
        <w:t>v</w:t>
      </w:r>
      <w:r w:rsidR="00E041B3">
        <w:rPr>
          <w:sz w:val="22"/>
          <w:szCs w:val="22"/>
        </w:rPr>
        <w:t> </w:t>
      </w:r>
      <w:r>
        <w:rPr>
          <w:sz w:val="22"/>
          <w:szCs w:val="22"/>
        </w:rPr>
        <w:t>intraviláne miest a</w:t>
      </w:r>
      <w:r w:rsidR="00E041B3">
        <w:rPr>
          <w:sz w:val="22"/>
          <w:szCs w:val="22"/>
        </w:rPr>
        <w:t> </w:t>
      </w:r>
      <w:r>
        <w:rPr>
          <w:sz w:val="22"/>
          <w:szCs w:val="22"/>
        </w:rPr>
        <w:t>obcí),</w:t>
      </w:r>
    </w:p>
    <w:p w14:paraId="3BBC3332"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Pr>
          <w:sz w:val="22"/>
          <w:szCs w:val="22"/>
        </w:rPr>
        <w:t>zníženie časových strát a</w:t>
      </w:r>
      <w:r w:rsidR="00E041B3">
        <w:rPr>
          <w:sz w:val="22"/>
          <w:szCs w:val="22"/>
        </w:rPr>
        <w:t> </w:t>
      </w:r>
      <w:r>
        <w:rPr>
          <w:sz w:val="22"/>
          <w:szCs w:val="22"/>
        </w:rPr>
        <w:t>prevádzkových nákladov,</w:t>
      </w:r>
    </w:p>
    <w:p w14:paraId="3E04CA79"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sidRPr="00186DB7">
        <w:rPr>
          <w:sz w:val="22"/>
          <w:szCs w:val="22"/>
        </w:rPr>
        <w:t>zabezpečenie bezpečnej migrácie zveri</w:t>
      </w:r>
      <w:r w:rsidR="00DF263C">
        <w:rPr>
          <w:sz w:val="22"/>
          <w:szCs w:val="22"/>
        </w:rPr>
        <w:t xml:space="preserve"> – </w:t>
      </w:r>
      <w:r w:rsidR="00DF263C" w:rsidRPr="00980699">
        <w:rPr>
          <w:sz w:val="22"/>
          <w:szCs w:val="22"/>
        </w:rPr>
        <w:t>budovanie bezpečných koridorov pre migrác</w:t>
      </w:r>
      <w:r w:rsidR="00DF263C">
        <w:rPr>
          <w:sz w:val="22"/>
          <w:szCs w:val="22"/>
        </w:rPr>
        <w:t>iu zveri (tzv. zelené prechody)</w:t>
      </w:r>
      <w:r w:rsidR="00DF263C" w:rsidRPr="00186DB7">
        <w:rPr>
          <w:sz w:val="22"/>
          <w:szCs w:val="22"/>
        </w:rPr>
        <w:t>,</w:t>
      </w:r>
    </w:p>
    <w:p w14:paraId="58D85E78" w14:textId="77777777" w:rsidR="009E0158" w:rsidRDefault="00D75844" w:rsidP="000F7659">
      <w:pPr>
        <w:pStyle w:val="Odsekzoznamu"/>
        <w:numPr>
          <w:ilvl w:val="0"/>
          <w:numId w:val="49"/>
        </w:numPr>
        <w:autoSpaceDE w:val="0"/>
        <w:autoSpaceDN w:val="0"/>
        <w:adjustRightInd w:val="0"/>
        <w:ind w:left="709" w:hanging="425"/>
        <w:jc w:val="both"/>
        <w:rPr>
          <w:snapToGrid w:val="0"/>
          <w:sz w:val="22"/>
          <w:szCs w:val="23"/>
          <w:lang w:eastAsia="cs-CZ"/>
        </w:rPr>
      </w:pPr>
      <w:r w:rsidRPr="00B715C0">
        <w:rPr>
          <w:sz w:val="22"/>
          <w:szCs w:val="22"/>
        </w:rPr>
        <w:lastRenderedPageBreak/>
        <w:t>vytváranie predpokladov pre zvýšenie konkurencieschopnosti regiónov</w:t>
      </w:r>
      <w:r>
        <w:rPr>
          <w:sz w:val="22"/>
          <w:szCs w:val="22"/>
        </w:rPr>
        <w:t>, zlepšenia mobility obyvateľstva</w:t>
      </w:r>
      <w:r w:rsidRPr="00B715C0">
        <w:rPr>
          <w:sz w:val="22"/>
          <w:szCs w:val="22"/>
        </w:rPr>
        <w:t xml:space="preserve"> a</w:t>
      </w:r>
      <w:r w:rsidR="00E041B3">
        <w:rPr>
          <w:sz w:val="22"/>
          <w:szCs w:val="22"/>
        </w:rPr>
        <w:t> </w:t>
      </w:r>
      <w:r w:rsidRPr="00B715C0">
        <w:rPr>
          <w:sz w:val="22"/>
          <w:szCs w:val="22"/>
        </w:rPr>
        <w:t xml:space="preserve">potenciálu </w:t>
      </w:r>
      <w:r>
        <w:rPr>
          <w:sz w:val="22"/>
          <w:szCs w:val="22"/>
        </w:rPr>
        <w:t xml:space="preserve">rastu zamestnanosti (napr. </w:t>
      </w:r>
      <w:r w:rsidRPr="00B715C0">
        <w:rPr>
          <w:sz w:val="22"/>
          <w:szCs w:val="22"/>
        </w:rPr>
        <w:t>v</w:t>
      </w:r>
      <w:r w:rsidR="00E041B3">
        <w:rPr>
          <w:sz w:val="22"/>
          <w:szCs w:val="22"/>
        </w:rPr>
        <w:t> </w:t>
      </w:r>
      <w:r w:rsidRPr="00B715C0">
        <w:rPr>
          <w:sz w:val="22"/>
          <w:szCs w:val="22"/>
        </w:rPr>
        <w:t xml:space="preserve">cestovnom </w:t>
      </w:r>
      <w:r>
        <w:rPr>
          <w:sz w:val="22"/>
          <w:szCs w:val="22"/>
        </w:rPr>
        <w:t>ruchu, stavebníctve).</w:t>
      </w:r>
    </w:p>
    <w:p w14:paraId="7FAD0B9D" w14:textId="77777777" w:rsidR="00A837FB" w:rsidRDefault="00E42497" w:rsidP="0015658D">
      <w:pPr>
        <w:pStyle w:val="Tab"/>
      </w:pPr>
      <w:r w:rsidRPr="004F0234">
        <w:t>Výsledkové ukazovatele zodpovedajúce špecifickému cieľu</w:t>
      </w:r>
      <w:r w:rsidR="003D6170">
        <w:t xml:space="preserve"> 6.1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304"/>
        <w:gridCol w:w="898"/>
        <w:gridCol w:w="1025"/>
        <w:gridCol w:w="1297"/>
        <w:gridCol w:w="1297"/>
        <w:gridCol w:w="911"/>
        <w:gridCol w:w="789"/>
        <w:gridCol w:w="1210"/>
      </w:tblGrid>
      <w:tr w:rsidR="00A837FB" w:rsidRPr="008C1732" w14:paraId="5435AD49" w14:textId="77777777" w:rsidTr="002E1021">
        <w:trPr>
          <w:trHeight w:val="487"/>
          <w:jc w:val="center"/>
        </w:trPr>
        <w:tc>
          <w:tcPr>
            <w:tcW w:w="556" w:type="dxa"/>
            <w:shd w:val="clear" w:color="auto" w:fill="C6D9F1" w:themeFill="text2" w:themeFillTint="33"/>
            <w:vAlign w:val="center"/>
          </w:tcPr>
          <w:p w14:paraId="2CA38710" w14:textId="77777777" w:rsidR="00A837FB" w:rsidRPr="008C1732" w:rsidRDefault="00A837FB" w:rsidP="00816B1A">
            <w:pPr>
              <w:ind w:left="0"/>
              <w:jc w:val="center"/>
              <w:rPr>
                <w:b/>
                <w:sz w:val="18"/>
                <w:szCs w:val="18"/>
              </w:rPr>
            </w:pPr>
            <w:r>
              <w:rPr>
                <w:b/>
                <w:sz w:val="18"/>
                <w:szCs w:val="18"/>
              </w:rPr>
              <w:t>P. č.</w:t>
            </w:r>
          </w:p>
        </w:tc>
        <w:tc>
          <w:tcPr>
            <w:tcW w:w="1304" w:type="dxa"/>
            <w:shd w:val="clear" w:color="auto" w:fill="C6D9F1" w:themeFill="text2" w:themeFillTint="33"/>
            <w:vAlign w:val="center"/>
          </w:tcPr>
          <w:p w14:paraId="18814290" w14:textId="77777777" w:rsidR="00A837FB" w:rsidRPr="008C1732" w:rsidRDefault="00A837FB" w:rsidP="00816B1A">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31E3484F" w14:textId="77777777" w:rsidR="00A837FB" w:rsidRPr="008C1732" w:rsidRDefault="00A837FB" w:rsidP="00816B1A">
            <w:pPr>
              <w:ind w:left="0"/>
              <w:jc w:val="center"/>
              <w:rPr>
                <w:b/>
                <w:sz w:val="18"/>
                <w:szCs w:val="18"/>
              </w:rPr>
            </w:pPr>
            <w:r w:rsidRPr="008C1732">
              <w:rPr>
                <w:b/>
                <w:sz w:val="18"/>
                <w:szCs w:val="18"/>
              </w:rPr>
              <w:t>Merná jednotka</w:t>
            </w:r>
          </w:p>
        </w:tc>
        <w:tc>
          <w:tcPr>
            <w:tcW w:w="1025" w:type="dxa"/>
            <w:shd w:val="clear" w:color="auto" w:fill="C6D9F1" w:themeFill="text2" w:themeFillTint="33"/>
            <w:vAlign w:val="center"/>
          </w:tcPr>
          <w:p w14:paraId="7759C8CD" w14:textId="77777777" w:rsidR="00A837FB" w:rsidRPr="008C1732" w:rsidRDefault="00A837FB"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4A7952F6" w14:textId="77777777" w:rsidR="00A837FB" w:rsidRPr="008C1732" w:rsidRDefault="00A837FB"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2B709630" w14:textId="77777777" w:rsidR="00A837FB" w:rsidRPr="008C1732" w:rsidRDefault="00A837FB" w:rsidP="00816B1A">
            <w:pPr>
              <w:ind w:left="0"/>
              <w:jc w:val="center"/>
              <w:rPr>
                <w:b/>
                <w:sz w:val="18"/>
                <w:szCs w:val="18"/>
              </w:rPr>
            </w:pPr>
            <w:r>
              <w:rPr>
                <w:b/>
                <w:sz w:val="18"/>
                <w:szCs w:val="18"/>
              </w:rPr>
              <w:t>Východiskový rok</w:t>
            </w:r>
          </w:p>
        </w:tc>
        <w:tc>
          <w:tcPr>
            <w:tcW w:w="911" w:type="dxa"/>
            <w:shd w:val="clear" w:color="auto" w:fill="C6D9F1" w:themeFill="text2" w:themeFillTint="33"/>
            <w:vAlign w:val="center"/>
          </w:tcPr>
          <w:p w14:paraId="193E7BB8" w14:textId="77777777" w:rsidR="00A837FB" w:rsidRPr="008C1732" w:rsidRDefault="00A837FB" w:rsidP="00816B1A">
            <w:pPr>
              <w:ind w:left="0"/>
              <w:jc w:val="center"/>
              <w:rPr>
                <w:b/>
                <w:sz w:val="18"/>
                <w:szCs w:val="18"/>
              </w:rPr>
            </w:pPr>
            <w:r w:rsidRPr="008C1732">
              <w:rPr>
                <w:b/>
                <w:sz w:val="18"/>
                <w:szCs w:val="18"/>
              </w:rPr>
              <w:t>Cieľová hodnota (2023)</w:t>
            </w:r>
          </w:p>
        </w:tc>
        <w:tc>
          <w:tcPr>
            <w:tcW w:w="789" w:type="dxa"/>
            <w:shd w:val="clear" w:color="auto" w:fill="C6D9F1" w:themeFill="text2" w:themeFillTint="33"/>
            <w:vAlign w:val="center"/>
          </w:tcPr>
          <w:p w14:paraId="0D1CF1E0" w14:textId="77777777" w:rsidR="00A837FB" w:rsidRPr="008C1732" w:rsidRDefault="00A837FB" w:rsidP="00816B1A">
            <w:pPr>
              <w:ind w:left="0"/>
              <w:jc w:val="center"/>
              <w:rPr>
                <w:b/>
                <w:sz w:val="18"/>
                <w:szCs w:val="18"/>
              </w:rPr>
            </w:pPr>
            <w:r w:rsidRPr="008C1732">
              <w:rPr>
                <w:b/>
                <w:sz w:val="18"/>
                <w:szCs w:val="18"/>
              </w:rPr>
              <w:t>Zdroj údajov</w:t>
            </w:r>
          </w:p>
        </w:tc>
        <w:tc>
          <w:tcPr>
            <w:tcW w:w="1210" w:type="dxa"/>
            <w:shd w:val="clear" w:color="auto" w:fill="C6D9F1" w:themeFill="text2" w:themeFillTint="33"/>
            <w:vAlign w:val="center"/>
          </w:tcPr>
          <w:p w14:paraId="2A77E269"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B18C1" w14:paraId="7B1C291F" w14:textId="77777777" w:rsidTr="002E1021">
        <w:trPr>
          <w:trHeight w:val="680"/>
          <w:jc w:val="center"/>
        </w:trPr>
        <w:tc>
          <w:tcPr>
            <w:tcW w:w="556" w:type="dxa"/>
            <w:shd w:val="clear" w:color="auto" w:fill="auto"/>
            <w:vAlign w:val="center"/>
          </w:tcPr>
          <w:p w14:paraId="2A45ACE0" w14:textId="77777777" w:rsidR="00A837FB" w:rsidRPr="00336C1F" w:rsidRDefault="00A837FB" w:rsidP="00816B1A">
            <w:pPr>
              <w:ind w:left="0"/>
              <w:jc w:val="center"/>
              <w:rPr>
                <w:sz w:val="20"/>
                <w:szCs w:val="20"/>
              </w:rPr>
            </w:pPr>
            <w:r>
              <w:rPr>
                <w:sz w:val="20"/>
                <w:szCs w:val="20"/>
              </w:rPr>
              <w:t>1.</w:t>
            </w:r>
          </w:p>
        </w:tc>
        <w:tc>
          <w:tcPr>
            <w:tcW w:w="1304" w:type="dxa"/>
            <w:shd w:val="clear" w:color="auto" w:fill="auto"/>
            <w:vAlign w:val="center"/>
          </w:tcPr>
          <w:p w14:paraId="4E05E1AB" w14:textId="77777777" w:rsidR="00A837FB" w:rsidRPr="00A21DD4" w:rsidRDefault="00A837FB" w:rsidP="00816B1A">
            <w:pPr>
              <w:ind w:left="0"/>
              <w:rPr>
                <w:sz w:val="20"/>
                <w:szCs w:val="20"/>
              </w:rPr>
            </w:pPr>
            <w:r w:rsidRPr="00A21DD4">
              <w:rPr>
                <w:sz w:val="20"/>
                <w:szCs w:val="20"/>
              </w:rPr>
              <w:t>Úspora č</w:t>
            </w:r>
            <w:r w:rsidR="00D65B44" w:rsidRPr="00A21DD4">
              <w:rPr>
                <w:sz w:val="20"/>
                <w:szCs w:val="20"/>
              </w:rPr>
              <w:t>asu v</w:t>
            </w:r>
            <w:r w:rsidR="00E041B3" w:rsidRPr="00A21DD4">
              <w:rPr>
                <w:sz w:val="20"/>
                <w:szCs w:val="20"/>
              </w:rPr>
              <w:t> </w:t>
            </w:r>
            <w:r w:rsidR="00D65B44" w:rsidRPr="00A21DD4">
              <w:rPr>
                <w:sz w:val="20"/>
                <w:szCs w:val="20"/>
              </w:rPr>
              <w:t xml:space="preserve">cestnej doprave na </w:t>
            </w:r>
            <w:r w:rsidRPr="00A21DD4">
              <w:rPr>
                <w:sz w:val="20"/>
                <w:szCs w:val="20"/>
              </w:rPr>
              <w:t>rýchlostných cestách</w:t>
            </w:r>
          </w:p>
        </w:tc>
        <w:tc>
          <w:tcPr>
            <w:tcW w:w="898" w:type="dxa"/>
            <w:shd w:val="clear" w:color="auto" w:fill="auto"/>
            <w:vAlign w:val="center"/>
          </w:tcPr>
          <w:p w14:paraId="52AF4439" w14:textId="77777777" w:rsidR="00A837FB" w:rsidRPr="00A21DD4" w:rsidRDefault="00A837FB" w:rsidP="00816B1A">
            <w:pPr>
              <w:ind w:left="0"/>
              <w:jc w:val="center"/>
              <w:rPr>
                <w:sz w:val="20"/>
                <w:szCs w:val="20"/>
              </w:rPr>
            </w:pPr>
            <w:r w:rsidRPr="00A21DD4">
              <w:rPr>
                <w:sz w:val="20"/>
                <w:szCs w:val="20"/>
              </w:rPr>
              <w:t>EUR</w:t>
            </w:r>
          </w:p>
        </w:tc>
        <w:tc>
          <w:tcPr>
            <w:tcW w:w="1025" w:type="dxa"/>
            <w:shd w:val="clear" w:color="auto" w:fill="auto"/>
            <w:vAlign w:val="center"/>
          </w:tcPr>
          <w:p w14:paraId="28D91626" w14:textId="77777777" w:rsidR="00A837FB" w:rsidRPr="00A21DD4" w:rsidRDefault="004648B9" w:rsidP="00816B1A">
            <w:pPr>
              <w:ind w:left="0"/>
              <w:jc w:val="center"/>
              <w:rPr>
                <w:sz w:val="20"/>
                <w:szCs w:val="20"/>
              </w:rPr>
            </w:pPr>
            <w:r w:rsidRPr="00A21DD4">
              <w:rPr>
                <w:sz w:val="20"/>
                <w:szCs w:val="20"/>
              </w:rPr>
              <w:t>Menej rozvinuté</w:t>
            </w:r>
          </w:p>
        </w:tc>
        <w:tc>
          <w:tcPr>
            <w:tcW w:w="1297" w:type="dxa"/>
            <w:vAlign w:val="center"/>
          </w:tcPr>
          <w:p w14:paraId="2B3388AC" w14:textId="77777777" w:rsidR="00A837FB" w:rsidRPr="00A21DD4" w:rsidRDefault="00DD4867" w:rsidP="00E041B3">
            <w:pPr>
              <w:ind w:left="0"/>
              <w:jc w:val="center"/>
              <w:rPr>
                <w:sz w:val="20"/>
                <w:szCs w:val="20"/>
              </w:rPr>
            </w:pPr>
            <w:r w:rsidRPr="00A21DD4">
              <w:rPr>
                <w:sz w:val="20"/>
                <w:szCs w:val="20"/>
              </w:rPr>
              <w:t>66 259 814</w:t>
            </w:r>
          </w:p>
        </w:tc>
        <w:tc>
          <w:tcPr>
            <w:tcW w:w="1297" w:type="dxa"/>
            <w:vAlign w:val="center"/>
          </w:tcPr>
          <w:p w14:paraId="730EF24B" w14:textId="77777777" w:rsidR="00A837FB" w:rsidRPr="00A21DD4" w:rsidRDefault="00A837FB" w:rsidP="00816B1A">
            <w:pPr>
              <w:ind w:left="0"/>
              <w:jc w:val="center"/>
              <w:rPr>
                <w:sz w:val="20"/>
                <w:szCs w:val="20"/>
              </w:rPr>
            </w:pPr>
            <w:r w:rsidRPr="00A21DD4">
              <w:rPr>
                <w:sz w:val="20"/>
                <w:szCs w:val="20"/>
              </w:rPr>
              <w:t>2013</w:t>
            </w:r>
          </w:p>
        </w:tc>
        <w:tc>
          <w:tcPr>
            <w:tcW w:w="911" w:type="dxa"/>
            <w:shd w:val="clear" w:color="auto" w:fill="auto"/>
            <w:vAlign w:val="center"/>
          </w:tcPr>
          <w:p w14:paraId="1F720FD9" w14:textId="77777777" w:rsidR="00A837FB" w:rsidRPr="00A21DD4" w:rsidRDefault="00DD4867" w:rsidP="00816B1A">
            <w:pPr>
              <w:ind w:left="0"/>
              <w:jc w:val="center"/>
              <w:rPr>
                <w:sz w:val="20"/>
                <w:szCs w:val="20"/>
              </w:rPr>
            </w:pPr>
            <w:r w:rsidRPr="00A21DD4">
              <w:rPr>
                <w:sz w:val="20"/>
                <w:szCs w:val="20"/>
              </w:rPr>
              <w:t>38 225 440</w:t>
            </w:r>
          </w:p>
        </w:tc>
        <w:tc>
          <w:tcPr>
            <w:tcW w:w="789" w:type="dxa"/>
            <w:vAlign w:val="center"/>
          </w:tcPr>
          <w:p w14:paraId="75D6C12F" w14:textId="77777777" w:rsidR="00A837FB" w:rsidRPr="00A21DD4" w:rsidRDefault="00A837FB" w:rsidP="00816B1A">
            <w:pPr>
              <w:ind w:left="0"/>
              <w:jc w:val="center"/>
              <w:rPr>
                <w:sz w:val="20"/>
                <w:szCs w:val="20"/>
              </w:rPr>
            </w:pPr>
            <w:r w:rsidRPr="00A21DD4">
              <w:rPr>
                <w:sz w:val="20"/>
                <w:szCs w:val="20"/>
              </w:rPr>
              <w:t>RO OPII</w:t>
            </w:r>
          </w:p>
        </w:tc>
        <w:tc>
          <w:tcPr>
            <w:tcW w:w="1210" w:type="dxa"/>
            <w:vAlign w:val="center"/>
          </w:tcPr>
          <w:p w14:paraId="4ABE219C" w14:textId="77777777" w:rsidR="00A837FB" w:rsidRPr="00A21DD4" w:rsidRDefault="00A837FB" w:rsidP="00816B1A">
            <w:pPr>
              <w:ind w:left="0"/>
              <w:jc w:val="center"/>
              <w:rPr>
                <w:sz w:val="20"/>
                <w:szCs w:val="20"/>
              </w:rPr>
            </w:pPr>
            <w:r w:rsidRPr="00A21DD4">
              <w:rPr>
                <w:sz w:val="20"/>
                <w:szCs w:val="20"/>
              </w:rPr>
              <w:t>Ročne</w:t>
            </w:r>
          </w:p>
        </w:tc>
      </w:tr>
      <w:tr w:rsidR="004648B9" w:rsidRPr="00AB18C1" w14:paraId="22C8E27B" w14:textId="77777777" w:rsidTr="002E1021">
        <w:trPr>
          <w:trHeight w:val="680"/>
          <w:jc w:val="center"/>
        </w:trPr>
        <w:tc>
          <w:tcPr>
            <w:tcW w:w="556" w:type="dxa"/>
            <w:shd w:val="clear" w:color="auto" w:fill="auto"/>
            <w:vAlign w:val="center"/>
          </w:tcPr>
          <w:p w14:paraId="02628719" w14:textId="77777777" w:rsidR="004648B9" w:rsidRDefault="004648B9" w:rsidP="004648B9">
            <w:pPr>
              <w:ind w:left="0"/>
              <w:jc w:val="center"/>
              <w:rPr>
                <w:sz w:val="20"/>
                <w:szCs w:val="20"/>
              </w:rPr>
            </w:pPr>
            <w:r>
              <w:rPr>
                <w:sz w:val="20"/>
                <w:szCs w:val="20"/>
              </w:rPr>
              <w:t>2.</w:t>
            </w:r>
          </w:p>
        </w:tc>
        <w:tc>
          <w:tcPr>
            <w:tcW w:w="1304" w:type="dxa"/>
            <w:shd w:val="clear" w:color="auto" w:fill="auto"/>
            <w:vAlign w:val="center"/>
          </w:tcPr>
          <w:p w14:paraId="18E56EE0" w14:textId="77777777" w:rsidR="004648B9" w:rsidRPr="00A21DD4" w:rsidRDefault="004648B9" w:rsidP="004648B9">
            <w:pPr>
              <w:ind w:left="0"/>
              <w:rPr>
                <w:sz w:val="20"/>
                <w:szCs w:val="20"/>
              </w:rPr>
            </w:pPr>
            <w:r w:rsidRPr="00A21DD4">
              <w:rPr>
                <w:sz w:val="20"/>
                <w:szCs w:val="20"/>
              </w:rPr>
              <w:t>Úspora produkcie emisií PM</w:t>
            </w:r>
            <w:r w:rsidR="001711B1" w:rsidRPr="00A21DD4">
              <w:rPr>
                <w:sz w:val="20"/>
                <w:szCs w:val="20"/>
                <w:vertAlign w:val="subscript"/>
              </w:rPr>
              <w:t>10</w:t>
            </w:r>
            <w:r w:rsidRPr="00A21DD4">
              <w:rPr>
                <w:sz w:val="20"/>
                <w:szCs w:val="20"/>
              </w:rPr>
              <w:t xml:space="preserve"> (vplyvom výstavby rýchlostných ciest)</w:t>
            </w:r>
          </w:p>
        </w:tc>
        <w:tc>
          <w:tcPr>
            <w:tcW w:w="898" w:type="dxa"/>
            <w:shd w:val="clear" w:color="auto" w:fill="auto"/>
            <w:vAlign w:val="center"/>
          </w:tcPr>
          <w:p w14:paraId="34DB41F9" w14:textId="77777777" w:rsidR="004648B9" w:rsidRPr="00A21DD4" w:rsidRDefault="004648B9" w:rsidP="004648B9">
            <w:pPr>
              <w:ind w:left="0"/>
              <w:jc w:val="center"/>
              <w:rPr>
                <w:sz w:val="20"/>
                <w:szCs w:val="20"/>
              </w:rPr>
            </w:pPr>
            <w:r w:rsidRPr="00A21DD4">
              <w:rPr>
                <w:i/>
                <w:sz w:val="20"/>
                <w:szCs w:val="20"/>
              </w:rPr>
              <w:t>tona</w:t>
            </w:r>
          </w:p>
        </w:tc>
        <w:tc>
          <w:tcPr>
            <w:tcW w:w="1025" w:type="dxa"/>
            <w:shd w:val="clear" w:color="auto" w:fill="auto"/>
            <w:vAlign w:val="center"/>
          </w:tcPr>
          <w:p w14:paraId="5A7EB995" w14:textId="77777777" w:rsidR="004648B9" w:rsidRPr="00A21DD4" w:rsidRDefault="004648B9" w:rsidP="004648B9">
            <w:pPr>
              <w:ind w:left="0"/>
              <w:jc w:val="center"/>
              <w:rPr>
                <w:sz w:val="20"/>
                <w:szCs w:val="20"/>
              </w:rPr>
            </w:pPr>
            <w:r w:rsidRPr="00A21DD4">
              <w:rPr>
                <w:i/>
                <w:sz w:val="20"/>
                <w:szCs w:val="20"/>
              </w:rPr>
              <w:t>Menej rozvinuté</w:t>
            </w:r>
          </w:p>
        </w:tc>
        <w:tc>
          <w:tcPr>
            <w:tcW w:w="1297" w:type="dxa"/>
            <w:vAlign w:val="center"/>
          </w:tcPr>
          <w:p w14:paraId="4AA277F3" w14:textId="77777777" w:rsidR="004648B9" w:rsidRPr="00A21DD4" w:rsidDel="00DD4867" w:rsidRDefault="001711B1" w:rsidP="004648B9">
            <w:pPr>
              <w:ind w:left="0"/>
              <w:jc w:val="center"/>
              <w:rPr>
                <w:sz w:val="20"/>
                <w:szCs w:val="20"/>
              </w:rPr>
            </w:pPr>
            <w:r w:rsidRPr="00A21DD4">
              <w:rPr>
                <w:sz w:val="20"/>
                <w:szCs w:val="20"/>
              </w:rPr>
              <w:t>2,89</w:t>
            </w:r>
          </w:p>
        </w:tc>
        <w:tc>
          <w:tcPr>
            <w:tcW w:w="1297" w:type="dxa"/>
            <w:vAlign w:val="center"/>
          </w:tcPr>
          <w:p w14:paraId="55E0718E" w14:textId="77777777" w:rsidR="004648B9" w:rsidRPr="00A21DD4" w:rsidRDefault="004648B9" w:rsidP="004648B9">
            <w:pPr>
              <w:ind w:left="0"/>
              <w:jc w:val="center"/>
              <w:rPr>
                <w:sz w:val="20"/>
                <w:szCs w:val="20"/>
              </w:rPr>
            </w:pPr>
            <w:r w:rsidRPr="00A21DD4">
              <w:rPr>
                <w:i/>
                <w:sz w:val="20"/>
                <w:szCs w:val="20"/>
              </w:rPr>
              <w:t>2013</w:t>
            </w:r>
          </w:p>
        </w:tc>
        <w:tc>
          <w:tcPr>
            <w:tcW w:w="911" w:type="dxa"/>
            <w:shd w:val="clear" w:color="auto" w:fill="auto"/>
            <w:vAlign w:val="center"/>
          </w:tcPr>
          <w:p w14:paraId="1E712AFB" w14:textId="77777777" w:rsidR="004648B9" w:rsidRPr="00A21DD4" w:rsidDel="00DD4867" w:rsidRDefault="001711B1" w:rsidP="004648B9">
            <w:pPr>
              <w:ind w:left="0"/>
              <w:jc w:val="center"/>
              <w:rPr>
                <w:sz w:val="20"/>
                <w:szCs w:val="20"/>
              </w:rPr>
            </w:pPr>
            <w:r w:rsidRPr="00A21DD4">
              <w:rPr>
                <w:sz w:val="20"/>
                <w:szCs w:val="20"/>
              </w:rPr>
              <w:t>0,44</w:t>
            </w:r>
          </w:p>
        </w:tc>
        <w:tc>
          <w:tcPr>
            <w:tcW w:w="789" w:type="dxa"/>
            <w:vAlign w:val="center"/>
          </w:tcPr>
          <w:p w14:paraId="768AA337" w14:textId="77777777" w:rsidR="004648B9" w:rsidRPr="00A21DD4" w:rsidRDefault="004648B9" w:rsidP="004648B9">
            <w:pPr>
              <w:ind w:left="0"/>
              <w:jc w:val="center"/>
              <w:rPr>
                <w:sz w:val="20"/>
                <w:szCs w:val="20"/>
              </w:rPr>
            </w:pPr>
            <w:r w:rsidRPr="00A21DD4">
              <w:rPr>
                <w:sz w:val="20"/>
                <w:szCs w:val="20"/>
              </w:rPr>
              <w:t>RO OPII</w:t>
            </w:r>
          </w:p>
        </w:tc>
        <w:tc>
          <w:tcPr>
            <w:tcW w:w="1210" w:type="dxa"/>
            <w:vAlign w:val="center"/>
          </w:tcPr>
          <w:p w14:paraId="3FA4727C" w14:textId="77777777" w:rsidR="004648B9" w:rsidRPr="00A21DD4" w:rsidRDefault="004648B9" w:rsidP="004648B9">
            <w:pPr>
              <w:ind w:left="0"/>
              <w:jc w:val="center"/>
              <w:rPr>
                <w:sz w:val="20"/>
                <w:szCs w:val="20"/>
              </w:rPr>
            </w:pPr>
            <w:r w:rsidRPr="00A21DD4">
              <w:rPr>
                <w:sz w:val="20"/>
                <w:szCs w:val="20"/>
              </w:rPr>
              <w:t>Ročne</w:t>
            </w:r>
          </w:p>
        </w:tc>
      </w:tr>
      <w:tr w:rsidR="004648B9" w:rsidRPr="00AB18C1" w14:paraId="3B6233E0" w14:textId="77777777" w:rsidTr="002E1021">
        <w:trPr>
          <w:trHeight w:val="680"/>
          <w:jc w:val="center"/>
        </w:trPr>
        <w:tc>
          <w:tcPr>
            <w:tcW w:w="556" w:type="dxa"/>
            <w:shd w:val="clear" w:color="auto" w:fill="auto"/>
            <w:vAlign w:val="center"/>
          </w:tcPr>
          <w:p w14:paraId="0FA53D96" w14:textId="77777777" w:rsidR="004648B9" w:rsidRDefault="004648B9" w:rsidP="004648B9">
            <w:pPr>
              <w:ind w:left="0"/>
              <w:jc w:val="center"/>
              <w:rPr>
                <w:sz w:val="20"/>
                <w:szCs w:val="20"/>
              </w:rPr>
            </w:pPr>
            <w:r>
              <w:rPr>
                <w:sz w:val="20"/>
                <w:szCs w:val="20"/>
              </w:rPr>
              <w:t>3.</w:t>
            </w:r>
          </w:p>
        </w:tc>
        <w:tc>
          <w:tcPr>
            <w:tcW w:w="1304" w:type="dxa"/>
            <w:shd w:val="clear" w:color="auto" w:fill="auto"/>
            <w:vAlign w:val="center"/>
          </w:tcPr>
          <w:p w14:paraId="5138601C" w14:textId="77777777" w:rsidR="004648B9" w:rsidRPr="00A21DD4" w:rsidRDefault="004648B9" w:rsidP="004648B9">
            <w:pPr>
              <w:ind w:left="0"/>
              <w:rPr>
                <w:sz w:val="20"/>
                <w:szCs w:val="20"/>
              </w:rPr>
            </w:pPr>
            <w:r w:rsidRPr="00A21DD4">
              <w:rPr>
                <w:sz w:val="20"/>
                <w:szCs w:val="20"/>
              </w:rPr>
              <w:t>Úspora produkcie emisií NO</w:t>
            </w:r>
            <w:r w:rsidRPr="00A21DD4">
              <w:rPr>
                <w:sz w:val="20"/>
                <w:szCs w:val="20"/>
                <w:vertAlign w:val="subscript"/>
              </w:rPr>
              <w:t>2</w:t>
            </w:r>
            <w:r w:rsidRPr="00A21DD4">
              <w:rPr>
                <w:sz w:val="20"/>
                <w:szCs w:val="20"/>
              </w:rPr>
              <w:t xml:space="preserve"> (vplyvom výstavby rýchlostných ciest)</w:t>
            </w:r>
          </w:p>
        </w:tc>
        <w:tc>
          <w:tcPr>
            <w:tcW w:w="898" w:type="dxa"/>
            <w:shd w:val="clear" w:color="auto" w:fill="auto"/>
            <w:vAlign w:val="center"/>
          </w:tcPr>
          <w:p w14:paraId="7ACBE9FC" w14:textId="77777777" w:rsidR="004648B9" w:rsidRPr="00A21DD4" w:rsidRDefault="004648B9" w:rsidP="004648B9">
            <w:pPr>
              <w:ind w:left="0"/>
              <w:jc w:val="center"/>
              <w:rPr>
                <w:sz w:val="20"/>
                <w:szCs w:val="20"/>
              </w:rPr>
            </w:pPr>
            <w:r w:rsidRPr="00A21DD4">
              <w:rPr>
                <w:i/>
                <w:sz w:val="20"/>
                <w:szCs w:val="20"/>
              </w:rPr>
              <w:t>tona</w:t>
            </w:r>
          </w:p>
        </w:tc>
        <w:tc>
          <w:tcPr>
            <w:tcW w:w="1025" w:type="dxa"/>
            <w:shd w:val="clear" w:color="auto" w:fill="auto"/>
            <w:vAlign w:val="center"/>
          </w:tcPr>
          <w:p w14:paraId="7BDC6440" w14:textId="77777777" w:rsidR="004648B9" w:rsidRPr="00A21DD4" w:rsidRDefault="004648B9" w:rsidP="004648B9">
            <w:pPr>
              <w:ind w:left="0"/>
              <w:jc w:val="center"/>
              <w:rPr>
                <w:sz w:val="20"/>
                <w:szCs w:val="20"/>
              </w:rPr>
            </w:pPr>
            <w:r w:rsidRPr="00A21DD4">
              <w:rPr>
                <w:i/>
                <w:sz w:val="20"/>
                <w:szCs w:val="20"/>
              </w:rPr>
              <w:t>Menej rozvinuté</w:t>
            </w:r>
          </w:p>
        </w:tc>
        <w:tc>
          <w:tcPr>
            <w:tcW w:w="1297" w:type="dxa"/>
            <w:vAlign w:val="center"/>
          </w:tcPr>
          <w:p w14:paraId="50FEE741" w14:textId="77777777" w:rsidR="004648B9" w:rsidRPr="00A21DD4" w:rsidDel="00DD4867" w:rsidRDefault="001711B1" w:rsidP="004648B9">
            <w:pPr>
              <w:ind w:left="0"/>
              <w:jc w:val="center"/>
              <w:rPr>
                <w:sz w:val="20"/>
                <w:szCs w:val="20"/>
              </w:rPr>
            </w:pPr>
            <w:r w:rsidRPr="00A21DD4">
              <w:rPr>
                <w:sz w:val="20"/>
                <w:szCs w:val="20"/>
              </w:rPr>
              <w:t>11,64</w:t>
            </w:r>
          </w:p>
        </w:tc>
        <w:tc>
          <w:tcPr>
            <w:tcW w:w="1297" w:type="dxa"/>
            <w:vAlign w:val="center"/>
          </w:tcPr>
          <w:p w14:paraId="5DFA9A21" w14:textId="77777777" w:rsidR="004648B9" w:rsidRPr="00A21DD4" w:rsidRDefault="004648B9" w:rsidP="004648B9">
            <w:pPr>
              <w:ind w:left="0"/>
              <w:jc w:val="center"/>
              <w:rPr>
                <w:sz w:val="20"/>
                <w:szCs w:val="20"/>
              </w:rPr>
            </w:pPr>
            <w:r w:rsidRPr="00A21DD4">
              <w:rPr>
                <w:i/>
                <w:sz w:val="20"/>
                <w:szCs w:val="20"/>
              </w:rPr>
              <w:t>2013</w:t>
            </w:r>
          </w:p>
        </w:tc>
        <w:tc>
          <w:tcPr>
            <w:tcW w:w="911" w:type="dxa"/>
            <w:shd w:val="clear" w:color="auto" w:fill="auto"/>
            <w:vAlign w:val="center"/>
          </w:tcPr>
          <w:p w14:paraId="71F7C4F1" w14:textId="77777777" w:rsidR="004648B9" w:rsidRPr="00A21DD4" w:rsidDel="00DD4867" w:rsidRDefault="001711B1" w:rsidP="004648B9">
            <w:pPr>
              <w:ind w:left="0"/>
              <w:jc w:val="center"/>
              <w:rPr>
                <w:sz w:val="20"/>
                <w:szCs w:val="20"/>
              </w:rPr>
            </w:pPr>
            <w:r w:rsidRPr="00A21DD4">
              <w:rPr>
                <w:sz w:val="20"/>
                <w:szCs w:val="20"/>
              </w:rPr>
              <w:t>1,92</w:t>
            </w:r>
          </w:p>
        </w:tc>
        <w:tc>
          <w:tcPr>
            <w:tcW w:w="789" w:type="dxa"/>
            <w:vAlign w:val="center"/>
          </w:tcPr>
          <w:p w14:paraId="494B5367" w14:textId="77777777" w:rsidR="004648B9" w:rsidRPr="00A21DD4" w:rsidRDefault="004648B9" w:rsidP="004648B9">
            <w:pPr>
              <w:ind w:left="0"/>
              <w:jc w:val="center"/>
              <w:rPr>
                <w:sz w:val="20"/>
                <w:szCs w:val="20"/>
              </w:rPr>
            </w:pPr>
            <w:r w:rsidRPr="00A21DD4">
              <w:rPr>
                <w:sz w:val="20"/>
                <w:szCs w:val="20"/>
              </w:rPr>
              <w:t>RO OPII</w:t>
            </w:r>
          </w:p>
        </w:tc>
        <w:tc>
          <w:tcPr>
            <w:tcW w:w="1210" w:type="dxa"/>
            <w:vAlign w:val="center"/>
          </w:tcPr>
          <w:p w14:paraId="69CB6803" w14:textId="77777777" w:rsidR="004648B9" w:rsidRPr="00A21DD4" w:rsidRDefault="004648B9" w:rsidP="004648B9">
            <w:pPr>
              <w:ind w:left="0"/>
              <w:jc w:val="center"/>
              <w:rPr>
                <w:sz w:val="20"/>
                <w:szCs w:val="20"/>
              </w:rPr>
            </w:pPr>
            <w:r w:rsidRPr="00A21DD4">
              <w:rPr>
                <w:sz w:val="20"/>
                <w:szCs w:val="20"/>
              </w:rPr>
              <w:t>Ročne</w:t>
            </w:r>
          </w:p>
        </w:tc>
      </w:tr>
    </w:tbl>
    <w:p w14:paraId="416CEAB9" w14:textId="77777777" w:rsidR="00FC115C" w:rsidRPr="00E41E26" w:rsidRDefault="00FC115C" w:rsidP="00FC115C">
      <w:pPr>
        <w:pStyle w:val="Nadpis4"/>
      </w:pPr>
      <w:r>
        <w:t>Opis typu a príklady aktivít</w:t>
      </w:r>
    </w:p>
    <w:p w14:paraId="0A758697" w14:textId="77777777" w:rsidR="00FC115C" w:rsidRPr="00336C1F" w:rsidRDefault="00FC115C" w:rsidP="00FC115C">
      <w:pPr>
        <w:spacing w:before="180" w:after="120"/>
        <w:rPr>
          <w:sz w:val="22"/>
          <w:szCs w:val="22"/>
        </w:rPr>
      </w:pPr>
      <w:r>
        <w:rPr>
          <w:sz w:val="22"/>
          <w:szCs w:val="22"/>
          <w:u w:val="single"/>
        </w:rPr>
        <w:t>Investičná priorita 7a)</w:t>
      </w:r>
      <w:r w:rsidRPr="00D1658B">
        <w:rPr>
          <w:sz w:val="22"/>
          <w:szCs w:val="22"/>
          <w:u w:val="single"/>
        </w:rPr>
        <w:t xml:space="preserve"> bude napĺňan</w:t>
      </w:r>
      <w:r>
        <w:rPr>
          <w:sz w:val="22"/>
          <w:szCs w:val="22"/>
          <w:u w:val="single"/>
        </w:rPr>
        <w:t>á</w:t>
      </w:r>
      <w:r w:rsidRPr="00D1658B">
        <w:rPr>
          <w:sz w:val="22"/>
          <w:szCs w:val="22"/>
          <w:u w:val="single"/>
        </w:rPr>
        <w:t xml:space="preserve"> prostredníctvom nasledujúcich aktivít</w:t>
      </w:r>
      <w:r w:rsidRPr="00336C1F">
        <w:rPr>
          <w:sz w:val="22"/>
          <w:szCs w:val="22"/>
        </w:rPr>
        <w:t>:</w:t>
      </w:r>
    </w:p>
    <w:p w14:paraId="59B8F7FD" w14:textId="77777777" w:rsidR="009E0158" w:rsidRDefault="00FC115C" w:rsidP="000F7659">
      <w:pPr>
        <w:numPr>
          <w:ilvl w:val="2"/>
          <w:numId w:val="34"/>
        </w:numPr>
        <w:shd w:val="clear" w:color="auto" w:fill="E5DFEC" w:themeFill="accent4" w:themeFillTint="33"/>
        <w:ind w:left="426" w:hanging="426"/>
        <w:jc w:val="both"/>
        <w:rPr>
          <w:sz w:val="22"/>
          <w:szCs w:val="22"/>
        </w:rPr>
      </w:pPr>
      <w:r>
        <w:rPr>
          <w:sz w:val="22"/>
          <w:szCs w:val="22"/>
        </w:rPr>
        <w:t>Výstavba rýchlostných ciest (mimo TEN-T CORE)</w:t>
      </w:r>
      <w:r w:rsidRPr="001D3D78">
        <w:rPr>
          <w:sz w:val="22"/>
          <w:szCs w:val="22"/>
        </w:rPr>
        <w:t>,</w:t>
      </w:r>
    </w:p>
    <w:p w14:paraId="5C67CA57" w14:textId="15385CB9" w:rsidR="00CA605E" w:rsidRDefault="00FC115C">
      <w:pPr>
        <w:numPr>
          <w:ilvl w:val="2"/>
          <w:numId w:val="34"/>
        </w:numPr>
        <w:shd w:val="clear" w:color="auto" w:fill="E5DFEC" w:themeFill="accent4" w:themeFillTint="33"/>
        <w:ind w:left="426" w:hanging="426"/>
        <w:jc w:val="both"/>
        <w:rPr>
          <w:sz w:val="22"/>
          <w:szCs w:val="22"/>
        </w:rPr>
      </w:pPr>
      <w:r>
        <w:rPr>
          <w:sz w:val="22"/>
          <w:szCs w:val="22"/>
        </w:rPr>
        <w:t>Projektová príprava</w:t>
      </w:r>
      <w:r w:rsidR="00AB746F">
        <w:rPr>
          <w:sz w:val="22"/>
          <w:szCs w:val="22"/>
        </w:rPr>
        <w:t>,</w:t>
      </w:r>
    </w:p>
    <w:p w14:paraId="6F6A4F0E" w14:textId="0B5B5DA2" w:rsidR="00CA605E" w:rsidRPr="00AB746F" w:rsidRDefault="006A025D" w:rsidP="00AB746F">
      <w:pPr>
        <w:numPr>
          <w:ilvl w:val="2"/>
          <w:numId w:val="34"/>
        </w:numPr>
        <w:shd w:val="clear" w:color="auto" w:fill="E5DFEC" w:themeFill="accent4" w:themeFillTint="33"/>
        <w:ind w:left="426" w:hanging="426"/>
        <w:jc w:val="both"/>
        <w:rPr>
          <w:sz w:val="22"/>
          <w:szCs w:val="22"/>
        </w:rPr>
      </w:pPr>
      <w:r>
        <w:rPr>
          <w:sz w:val="22"/>
          <w:szCs w:val="22"/>
        </w:rPr>
        <w:t>Podpora zavádzania</w:t>
      </w:r>
      <w:r w:rsidR="00AB746F">
        <w:rPr>
          <w:sz w:val="22"/>
          <w:szCs w:val="22"/>
        </w:rPr>
        <w:t xml:space="preserve"> alternatívnych palív v cestnej doprave</w:t>
      </w:r>
    </w:p>
    <w:p w14:paraId="53460DB3" w14:textId="77777777" w:rsidR="009E0158" w:rsidRDefault="00FC115C" w:rsidP="000F7659">
      <w:pPr>
        <w:numPr>
          <w:ilvl w:val="2"/>
          <w:numId w:val="35"/>
        </w:numPr>
        <w:spacing w:before="180" w:after="120"/>
        <w:ind w:left="850" w:hanging="425"/>
        <w:jc w:val="both"/>
        <w:rPr>
          <w:b/>
          <w:i/>
          <w:color w:val="4F81BD" w:themeColor="accent1"/>
          <w:sz w:val="22"/>
          <w:szCs w:val="22"/>
        </w:rPr>
      </w:pPr>
      <w:r w:rsidRPr="005139F6">
        <w:rPr>
          <w:b/>
          <w:i/>
          <w:color w:val="4F81BD" w:themeColor="accent1"/>
          <w:sz w:val="22"/>
          <w:szCs w:val="22"/>
        </w:rPr>
        <w:t>Výstavba rýchlostných ciest (mimo TEN-T CORE)</w:t>
      </w:r>
    </w:p>
    <w:p w14:paraId="41887347" w14:textId="3B5B380D" w:rsidR="00FC115C" w:rsidRDefault="00FC115C" w:rsidP="00FC115C">
      <w:pPr>
        <w:autoSpaceDE w:val="0"/>
        <w:autoSpaceDN w:val="0"/>
        <w:adjustRightInd w:val="0"/>
        <w:spacing w:before="120"/>
        <w:jc w:val="both"/>
        <w:rPr>
          <w:color w:val="000000" w:themeColor="text1"/>
          <w:sz w:val="22"/>
          <w:szCs w:val="22"/>
        </w:rPr>
      </w:pPr>
      <w:r w:rsidRPr="00885C6A">
        <w:rPr>
          <w:b/>
          <w:color w:val="000000" w:themeColor="text1"/>
          <w:sz w:val="22"/>
          <w:szCs w:val="22"/>
        </w:rPr>
        <w:t>V</w:t>
      </w:r>
      <w:r>
        <w:rPr>
          <w:b/>
          <w:color w:val="000000" w:themeColor="text1"/>
          <w:sz w:val="22"/>
          <w:szCs w:val="22"/>
        </w:rPr>
        <w:t> </w:t>
      </w:r>
      <w:r w:rsidRPr="00885C6A">
        <w:rPr>
          <w:b/>
          <w:color w:val="000000" w:themeColor="text1"/>
          <w:sz w:val="22"/>
          <w:szCs w:val="22"/>
        </w:rPr>
        <w:t>oblasti rýchlostných ciest sa v</w:t>
      </w:r>
      <w:r>
        <w:rPr>
          <w:b/>
          <w:color w:val="000000" w:themeColor="text1"/>
          <w:sz w:val="22"/>
          <w:szCs w:val="22"/>
        </w:rPr>
        <w:t> </w:t>
      </w:r>
      <w:r w:rsidRPr="00885C6A">
        <w:rPr>
          <w:b/>
          <w:color w:val="000000" w:themeColor="text1"/>
          <w:sz w:val="22"/>
          <w:szCs w:val="22"/>
        </w:rPr>
        <w:t>nasledujúcom období 2014 – 2020 bude zo zdrojov EFRR preferovať výstavba úsekov ciest na R2</w:t>
      </w:r>
      <w:r w:rsidR="00AB746F">
        <w:rPr>
          <w:b/>
          <w:color w:val="000000" w:themeColor="text1"/>
          <w:sz w:val="22"/>
          <w:szCs w:val="22"/>
        </w:rPr>
        <w:t>, R4</w:t>
      </w:r>
      <w:r w:rsidRPr="00885C6A">
        <w:rPr>
          <w:b/>
          <w:color w:val="000000" w:themeColor="text1"/>
          <w:sz w:val="22"/>
          <w:szCs w:val="22"/>
        </w:rPr>
        <w:t xml:space="preserve"> a</w:t>
      </w:r>
      <w:r>
        <w:rPr>
          <w:b/>
          <w:color w:val="000000" w:themeColor="text1"/>
          <w:sz w:val="22"/>
          <w:szCs w:val="22"/>
        </w:rPr>
        <w:t> </w:t>
      </w:r>
      <w:r w:rsidRPr="00885C6A">
        <w:rPr>
          <w:b/>
          <w:color w:val="000000" w:themeColor="text1"/>
          <w:sz w:val="22"/>
          <w:szCs w:val="22"/>
        </w:rPr>
        <w:t xml:space="preserve">R5. </w:t>
      </w:r>
      <w:r w:rsidRPr="00885C6A">
        <w:rPr>
          <w:color w:val="000000" w:themeColor="text1"/>
          <w:sz w:val="22"/>
          <w:szCs w:val="22"/>
        </w:rPr>
        <w:t>Pri výstavbe nových úsekov rýchlostných ciest bude MDV SR venovať náležitú pozornosť zabezpečeniu nákladovej efektívnosti. Vzhľadom na súčasné intenzity paralelných úsekov ciest I. triedy, ako aj prognózovaný vývoj v</w:t>
      </w:r>
      <w:r>
        <w:rPr>
          <w:color w:val="000000" w:themeColor="text1"/>
          <w:sz w:val="22"/>
          <w:szCs w:val="22"/>
        </w:rPr>
        <w:t> </w:t>
      </w:r>
      <w:r w:rsidRPr="00885C6A">
        <w:rPr>
          <w:color w:val="000000" w:themeColor="text1"/>
          <w:sz w:val="22"/>
          <w:szCs w:val="22"/>
        </w:rPr>
        <w:t>území budú niektoré úseky realizované v</w:t>
      </w:r>
      <w:r>
        <w:rPr>
          <w:color w:val="000000" w:themeColor="text1"/>
          <w:sz w:val="22"/>
          <w:szCs w:val="22"/>
        </w:rPr>
        <w:t> </w:t>
      </w:r>
      <w:r w:rsidRPr="00885C6A">
        <w:rPr>
          <w:color w:val="000000" w:themeColor="text1"/>
          <w:sz w:val="22"/>
          <w:szCs w:val="22"/>
        </w:rPr>
        <w:t>polovičnom profile.</w:t>
      </w:r>
    </w:p>
    <w:p w14:paraId="2ABB502C" w14:textId="77777777" w:rsidR="00FC115C" w:rsidRDefault="00FC115C" w:rsidP="00FC115C">
      <w:pPr>
        <w:pStyle w:val="Default"/>
        <w:spacing w:before="120" w:after="120"/>
        <w:rPr>
          <w:sz w:val="22"/>
          <w:szCs w:val="22"/>
        </w:rPr>
      </w:pPr>
      <w:r>
        <w:rPr>
          <w:sz w:val="22"/>
          <w:szCs w:val="22"/>
        </w:rPr>
        <w:t xml:space="preserve">Zo zdrojov prioritnej osi bude prioritne financovaná projektová príprava a výstavba týchto úsekov: </w:t>
      </w:r>
    </w:p>
    <w:p w14:paraId="6EFF789B" w14:textId="77777777" w:rsidR="009E0158" w:rsidRDefault="006D3A6A" w:rsidP="000F7659">
      <w:pPr>
        <w:pStyle w:val="Odsekzoznamu"/>
        <w:numPr>
          <w:ilvl w:val="0"/>
          <w:numId w:val="27"/>
        </w:numPr>
        <w:autoSpaceDE w:val="0"/>
        <w:autoSpaceDN w:val="0"/>
        <w:adjustRightInd w:val="0"/>
        <w:spacing w:before="120"/>
        <w:jc w:val="both"/>
        <w:rPr>
          <w:sz w:val="22"/>
          <w:szCs w:val="22"/>
        </w:rPr>
      </w:pPr>
      <w:r>
        <w:rPr>
          <w:sz w:val="22"/>
          <w:szCs w:val="22"/>
        </w:rPr>
        <w:t>R2 Zvolen, východ – Pstruša, II. fáza,</w:t>
      </w:r>
    </w:p>
    <w:p w14:paraId="59C2BD3B" w14:textId="55AF1D39" w:rsidR="009E0158" w:rsidRDefault="00FC115C" w:rsidP="000F7659">
      <w:pPr>
        <w:pStyle w:val="Odsekzoznamu"/>
        <w:numPr>
          <w:ilvl w:val="0"/>
          <w:numId w:val="27"/>
        </w:numPr>
        <w:autoSpaceDE w:val="0"/>
        <w:autoSpaceDN w:val="0"/>
        <w:adjustRightInd w:val="0"/>
        <w:spacing w:before="120"/>
        <w:jc w:val="both"/>
        <w:rPr>
          <w:sz w:val="22"/>
          <w:szCs w:val="22"/>
        </w:rPr>
      </w:pPr>
      <w:r>
        <w:rPr>
          <w:sz w:val="22"/>
          <w:szCs w:val="22"/>
        </w:rPr>
        <w:t>R2 Košice Šaca – Košické Oľšany (južný obchvat Košíc),</w:t>
      </w:r>
    </w:p>
    <w:p w14:paraId="1EE26211" w14:textId="77777777" w:rsidR="009E0158" w:rsidRDefault="00FC115C" w:rsidP="000F7659">
      <w:pPr>
        <w:pStyle w:val="Odsekzoznamu"/>
        <w:numPr>
          <w:ilvl w:val="0"/>
          <w:numId w:val="27"/>
        </w:numPr>
        <w:autoSpaceDE w:val="0"/>
        <w:autoSpaceDN w:val="0"/>
        <w:adjustRightInd w:val="0"/>
        <w:jc w:val="both"/>
        <w:rPr>
          <w:sz w:val="22"/>
          <w:szCs w:val="22"/>
        </w:rPr>
      </w:pPr>
      <w:r>
        <w:rPr>
          <w:sz w:val="22"/>
          <w:szCs w:val="22"/>
        </w:rPr>
        <w:t>R2 Mníchova Lehota – Ruskovce,</w:t>
      </w:r>
    </w:p>
    <w:p w14:paraId="6DD8F3A6" w14:textId="55F54860" w:rsidR="009E0158" w:rsidRDefault="00FC115C" w:rsidP="000F7659">
      <w:pPr>
        <w:pStyle w:val="Odsekzoznamu"/>
        <w:numPr>
          <w:ilvl w:val="0"/>
          <w:numId w:val="27"/>
        </w:numPr>
        <w:autoSpaceDE w:val="0"/>
        <w:autoSpaceDN w:val="0"/>
        <w:adjustRightInd w:val="0"/>
        <w:spacing w:before="120"/>
        <w:jc w:val="both"/>
        <w:rPr>
          <w:sz w:val="22"/>
          <w:szCs w:val="22"/>
        </w:rPr>
      </w:pPr>
      <w:r>
        <w:rPr>
          <w:sz w:val="22"/>
          <w:szCs w:val="22"/>
        </w:rPr>
        <w:t>R2 Rožňava – Jablonov nad Turňou (Soroška),</w:t>
      </w:r>
    </w:p>
    <w:p w14:paraId="05A70FF7" w14:textId="77777777" w:rsidR="00AB746F" w:rsidRDefault="00AB746F" w:rsidP="00AB746F">
      <w:pPr>
        <w:pStyle w:val="Odsekzoznamu"/>
        <w:numPr>
          <w:ilvl w:val="0"/>
          <w:numId w:val="27"/>
        </w:numPr>
        <w:autoSpaceDE w:val="0"/>
        <w:autoSpaceDN w:val="0"/>
        <w:adjustRightInd w:val="0"/>
        <w:spacing w:before="120"/>
        <w:jc w:val="both"/>
        <w:rPr>
          <w:sz w:val="22"/>
          <w:szCs w:val="22"/>
        </w:rPr>
      </w:pPr>
      <w:r>
        <w:rPr>
          <w:sz w:val="22"/>
          <w:szCs w:val="22"/>
        </w:rPr>
        <w:t>R2 Kriváň – Mýtna,</w:t>
      </w:r>
    </w:p>
    <w:p w14:paraId="751C22EF" w14:textId="77777777" w:rsidR="00AB746F" w:rsidRDefault="00AB746F" w:rsidP="00AB746F">
      <w:pPr>
        <w:pStyle w:val="Odsekzoznamu"/>
        <w:numPr>
          <w:ilvl w:val="0"/>
          <w:numId w:val="27"/>
        </w:numPr>
        <w:autoSpaceDE w:val="0"/>
        <w:autoSpaceDN w:val="0"/>
        <w:adjustRightInd w:val="0"/>
        <w:spacing w:before="120"/>
        <w:jc w:val="both"/>
        <w:rPr>
          <w:sz w:val="22"/>
          <w:szCs w:val="22"/>
        </w:rPr>
      </w:pPr>
      <w:r>
        <w:rPr>
          <w:sz w:val="22"/>
          <w:szCs w:val="22"/>
        </w:rPr>
        <w:t>R2 Mýtna – Lovinobaňa, Tomášovce</w:t>
      </w:r>
    </w:p>
    <w:p w14:paraId="3DE65FC5" w14:textId="027EF692" w:rsidR="00AB746F" w:rsidRPr="00AB746F" w:rsidRDefault="00AB746F" w:rsidP="00AB746F">
      <w:pPr>
        <w:pStyle w:val="Odsekzoznamu"/>
        <w:numPr>
          <w:ilvl w:val="0"/>
          <w:numId w:val="27"/>
        </w:numPr>
        <w:autoSpaceDE w:val="0"/>
        <w:autoSpaceDN w:val="0"/>
        <w:adjustRightInd w:val="0"/>
        <w:spacing w:before="120"/>
        <w:jc w:val="both"/>
        <w:rPr>
          <w:sz w:val="22"/>
          <w:szCs w:val="22"/>
        </w:rPr>
      </w:pPr>
      <w:r>
        <w:rPr>
          <w:sz w:val="22"/>
          <w:szCs w:val="22"/>
        </w:rPr>
        <w:t>R4 Prešov - severný obchvat,</w:t>
      </w:r>
    </w:p>
    <w:p w14:paraId="168C8A18" w14:textId="77777777" w:rsidR="009E0158" w:rsidRPr="009039C0" w:rsidRDefault="00FC115C" w:rsidP="009039C0">
      <w:pPr>
        <w:pStyle w:val="Odsekzoznamu"/>
        <w:numPr>
          <w:ilvl w:val="0"/>
          <w:numId w:val="27"/>
        </w:numPr>
        <w:autoSpaceDE w:val="0"/>
        <w:autoSpaceDN w:val="0"/>
        <w:adjustRightInd w:val="0"/>
        <w:spacing w:before="120"/>
        <w:jc w:val="both"/>
        <w:rPr>
          <w:sz w:val="22"/>
          <w:szCs w:val="22"/>
        </w:rPr>
      </w:pPr>
      <w:r w:rsidRPr="009039C0">
        <w:rPr>
          <w:sz w:val="22"/>
          <w:szCs w:val="22"/>
        </w:rPr>
        <w:t>R5 Svrčinovec – št. hr. SR/ČR.</w:t>
      </w:r>
    </w:p>
    <w:p w14:paraId="289A87F9" w14:textId="77777777" w:rsidR="00FC115C" w:rsidRDefault="00FC115C" w:rsidP="00FC115C">
      <w:pPr>
        <w:spacing w:before="180"/>
        <w:jc w:val="both"/>
        <w:rPr>
          <w:color w:val="000000" w:themeColor="text1"/>
          <w:sz w:val="22"/>
          <w:szCs w:val="22"/>
        </w:rPr>
      </w:pPr>
      <w:r w:rsidRPr="00AD2EF1">
        <w:rPr>
          <w:sz w:val="22"/>
          <w:szCs w:val="22"/>
        </w:rPr>
        <w:t xml:space="preserve">Konkrétny zoznam úsekov, vrátane </w:t>
      </w:r>
      <w:r>
        <w:rPr>
          <w:sz w:val="22"/>
          <w:szCs w:val="22"/>
        </w:rPr>
        <w:t xml:space="preserve">indikatívneho </w:t>
      </w:r>
      <w:r w:rsidRPr="00AD2EF1">
        <w:rPr>
          <w:sz w:val="22"/>
          <w:szCs w:val="22"/>
        </w:rPr>
        <w:t xml:space="preserve">harmonogramu ich výstavby </w:t>
      </w:r>
      <w:r>
        <w:rPr>
          <w:sz w:val="22"/>
          <w:szCs w:val="22"/>
        </w:rPr>
        <w:t>bol</w:t>
      </w:r>
      <w:r w:rsidRPr="00AD2EF1">
        <w:rPr>
          <w:sz w:val="22"/>
          <w:szCs w:val="22"/>
        </w:rPr>
        <w:t xml:space="preserve"> definovaný </w:t>
      </w:r>
      <w:r>
        <w:rPr>
          <w:sz w:val="22"/>
          <w:szCs w:val="22"/>
        </w:rPr>
        <w:t>v Strategickom pláne.</w:t>
      </w:r>
    </w:p>
    <w:p w14:paraId="4B5F1959" w14:textId="77777777" w:rsidR="00FC115C" w:rsidRDefault="00FC115C" w:rsidP="00FC115C">
      <w:pPr>
        <w:spacing w:before="180"/>
        <w:jc w:val="both"/>
        <w:rPr>
          <w:color w:val="000000" w:themeColor="text1"/>
          <w:sz w:val="22"/>
          <w:szCs w:val="22"/>
        </w:rPr>
      </w:pPr>
      <w:r>
        <w:rPr>
          <w:color w:val="000000" w:themeColor="text1"/>
          <w:sz w:val="22"/>
          <w:szCs w:val="22"/>
        </w:rPr>
        <w:t xml:space="preserve">Medzi jednu z najdôležitejších priorít celej </w:t>
      </w:r>
      <w:r w:rsidRPr="00852835">
        <w:rPr>
          <w:color w:val="000000" w:themeColor="text1"/>
          <w:sz w:val="22"/>
          <w:szCs w:val="22"/>
        </w:rPr>
        <w:t xml:space="preserve">južnej časti </w:t>
      </w:r>
      <w:r>
        <w:rPr>
          <w:color w:val="000000" w:themeColor="text1"/>
          <w:sz w:val="22"/>
          <w:szCs w:val="22"/>
        </w:rPr>
        <w:t>BBSK</w:t>
      </w:r>
      <w:r w:rsidRPr="00852835">
        <w:rPr>
          <w:color w:val="000000" w:themeColor="text1"/>
          <w:sz w:val="22"/>
          <w:szCs w:val="22"/>
        </w:rPr>
        <w:t xml:space="preserve"> </w:t>
      </w:r>
      <w:r>
        <w:rPr>
          <w:color w:val="000000" w:themeColor="text1"/>
          <w:sz w:val="22"/>
          <w:szCs w:val="22"/>
        </w:rPr>
        <w:t>a KSK</w:t>
      </w:r>
      <w:r w:rsidRPr="00852835">
        <w:rPr>
          <w:color w:val="000000" w:themeColor="text1"/>
          <w:sz w:val="22"/>
          <w:szCs w:val="22"/>
        </w:rPr>
        <w:t xml:space="preserve"> je </w:t>
      </w:r>
      <w:r>
        <w:rPr>
          <w:color w:val="000000" w:themeColor="text1"/>
          <w:sz w:val="22"/>
          <w:szCs w:val="22"/>
        </w:rPr>
        <w:t xml:space="preserve">možné zaradiť </w:t>
      </w:r>
      <w:r w:rsidRPr="00852835">
        <w:rPr>
          <w:color w:val="000000" w:themeColor="text1"/>
          <w:sz w:val="22"/>
          <w:szCs w:val="22"/>
        </w:rPr>
        <w:t xml:space="preserve">dobudovanie </w:t>
      </w:r>
      <w:r>
        <w:rPr>
          <w:color w:val="000000" w:themeColor="text1"/>
          <w:sz w:val="22"/>
          <w:szCs w:val="22"/>
        </w:rPr>
        <w:t xml:space="preserve">rýchlostnej cesty </w:t>
      </w:r>
      <w:r w:rsidRPr="00852835">
        <w:rPr>
          <w:color w:val="000000" w:themeColor="text1"/>
          <w:sz w:val="22"/>
          <w:szCs w:val="22"/>
        </w:rPr>
        <w:t>R2</w:t>
      </w:r>
      <w:r>
        <w:rPr>
          <w:color w:val="000000" w:themeColor="text1"/>
          <w:sz w:val="22"/>
          <w:szCs w:val="22"/>
        </w:rPr>
        <w:t xml:space="preserve">. Vybudovaním cesty </w:t>
      </w:r>
      <w:r w:rsidRPr="00852835">
        <w:rPr>
          <w:color w:val="000000" w:themeColor="text1"/>
          <w:sz w:val="22"/>
          <w:szCs w:val="22"/>
        </w:rPr>
        <w:t xml:space="preserve">sa podporí hospodársky rast zvolensko-juhoslovenskej rozvojovej osi: Zvolen </w:t>
      </w:r>
      <w:r w:rsidRPr="009A7904">
        <w:rPr>
          <w:color w:val="000000" w:themeColor="text1"/>
          <w:sz w:val="22"/>
          <w:szCs w:val="22"/>
        </w:rPr>
        <w:t>–</w:t>
      </w:r>
      <w:r w:rsidRPr="00852835">
        <w:rPr>
          <w:color w:val="000000" w:themeColor="text1"/>
          <w:sz w:val="22"/>
          <w:szCs w:val="22"/>
        </w:rPr>
        <w:t xml:space="preserve"> Lučenec </w:t>
      </w:r>
      <w:r w:rsidRPr="009A7904">
        <w:rPr>
          <w:color w:val="000000" w:themeColor="text1"/>
          <w:sz w:val="22"/>
          <w:szCs w:val="22"/>
        </w:rPr>
        <w:t>–</w:t>
      </w:r>
      <w:r w:rsidRPr="00852835">
        <w:rPr>
          <w:color w:val="000000" w:themeColor="text1"/>
          <w:sz w:val="22"/>
          <w:szCs w:val="22"/>
        </w:rPr>
        <w:t xml:space="preserve"> Rimav</w:t>
      </w:r>
      <w:r>
        <w:rPr>
          <w:color w:val="000000" w:themeColor="text1"/>
          <w:sz w:val="22"/>
          <w:szCs w:val="22"/>
        </w:rPr>
        <w:t xml:space="preserve">ská Sobota </w:t>
      </w:r>
      <w:r w:rsidRPr="009A7904">
        <w:rPr>
          <w:color w:val="000000" w:themeColor="text1"/>
          <w:sz w:val="22"/>
          <w:szCs w:val="22"/>
        </w:rPr>
        <w:t>–</w:t>
      </w:r>
      <w:r>
        <w:rPr>
          <w:color w:val="000000" w:themeColor="text1"/>
          <w:sz w:val="22"/>
          <w:szCs w:val="22"/>
        </w:rPr>
        <w:t xml:space="preserve"> Rožňava </w:t>
      </w:r>
      <w:r w:rsidRPr="009A7904">
        <w:rPr>
          <w:color w:val="000000" w:themeColor="text1"/>
          <w:sz w:val="22"/>
          <w:szCs w:val="22"/>
        </w:rPr>
        <w:t>–</w:t>
      </w:r>
      <w:r>
        <w:rPr>
          <w:color w:val="000000" w:themeColor="text1"/>
          <w:sz w:val="22"/>
          <w:szCs w:val="22"/>
        </w:rPr>
        <w:t xml:space="preserve"> Košice a </w:t>
      </w:r>
      <w:r w:rsidRPr="00852835">
        <w:rPr>
          <w:color w:val="000000" w:themeColor="text1"/>
          <w:sz w:val="22"/>
          <w:szCs w:val="22"/>
        </w:rPr>
        <w:t>zabezpečí sa prepojenie medzi západnou a východn</w:t>
      </w:r>
      <w:r>
        <w:rPr>
          <w:color w:val="000000" w:themeColor="text1"/>
          <w:sz w:val="22"/>
          <w:szCs w:val="22"/>
        </w:rPr>
        <w:t>ou časťou Slovenskej republiky. P</w:t>
      </w:r>
      <w:r w:rsidRPr="00E545D5">
        <w:rPr>
          <w:color w:val="000000" w:themeColor="text1"/>
          <w:sz w:val="22"/>
          <w:szCs w:val="22"/>
        </w:rPr>
        <w:t xml:space="preserve">o dobudovaní bude </w:t>
      </w:r>
      <w:r>
        <w:rPr>
          <w:color w:val="000000" w:themeColor="text1"/>
          <w:sz w:val="22"/>
          <w:szCs w:val="22"/>
        </w:rPr>
        <w:t xml:space="preserve">R2 </w:t>
      </w:r>
      <w:r w:rsidRPr="00E545D5">
        <w:rPr>
          <w:color w:val="000000" w:themeColor="text1"/>
          <w:sz w:val="22"/>
          <w:szCs w:val="22"/>
        </w:rPr>
        <w:t xml:space="preserve">zabezpečovať </w:t>
      </w:r>
      <w:r w:rsidRPr="00E545D5">
        <w:rPr>
          <w:color w:val="000000" w:themeColor="text1"/>
          <w:sz w:val="22"/>
          <w:szCs w:val="22"/>
        </w:rPr>
        <w:lastRenderedPageBreak/>
        <w:t>rýchle a kvalitné dopravné prepojenie regiónu s centrálnou oblasťou BBSK, ako aj k rozho</w:t>
      </w:r>
      <w:r>
        <w:rPr>
          <w:color w:val="000000" w:themeColor="text1"/>
          <w:sz w:val="22"/>
          <w:szCs w:val="22"/>
        </w:rPr>
        <w:t>dujúcim ťažiskám osídlenia SR, Bratislavy a Košíc</w:t>
      </w:r>
      <w:r w:rsidRPr="00E545D5">
        <w:rPr>
          <w:color w:val="000000" w:themeColor="text1"/>
          <w:sz w:val="22"/>
          <w:szCs w:val="22"/>
        </w:rPr>
        <w:t>.</w:t>
      </w:r>
    </w:p>
    <w:p w14:paraId="1A5C4686" w14:textId="77777777" w:rsidR="00FC115C" w:rsidRPr="005348B9" w:rsidRDefault="00FC115C" w:rsidP="00FC115C">
      <w:pPr>
        <w:spacing w:before="180"/>
        <w:jc w:val="both"/>
        <w:rPr>
          <w:sz w:val="22"/>
          <w:szCs w:val="22"/>
        </w:rPr>
      </w:pPr>
      <w:r w:rsidRPr="00885C6A">
        <w:rPr>
          <w:color w:val="000000" w:themeColor="text1"/>
          <w:sz w:val="22"/>
          <w:szCs w:val="22"/>
        </w:rPr>
        <w:t>V</w:t>
      </w:r>
      <w:r>
        <w:rPr>
          <w:color w:val="000000" w:themeColor="text1"/>
          <w:sz w:val="22"/>
          <w:szCs w:val="22"/>
        </w:rPr>
        <w:t> </w:t>
      </w:r>
      <w:r w:rsidRPr="00885C6A">
        <w:rPr>
          <w:color w:val="000000" w:themeColor="text1"/>
          <w:sz w:val="22"/>
          <w:szCs w:val="22"/>
        </w:rPr>
        <w:t>prípade, ak to umožní stav technickej pripravenosti niektorých úsekov rýchlostných ciest R1 a</w:t>
      </w:r>
      <w:r>
        <w:rPr>
          <w:color w:val="000000" w:themeColor="text1"/>
          <w:sz w:val="22"/>
          <w:szCs w:val="22"/>
        </w:rPr>
        <w:t> </w:t>
      </w:r>
      <w:r w:rsidRPr="00885C6A">
        <w:rPr>
          <w:color w:val="000000" w:themeColor="text1"/>
          <w:sz w:val="22"/>
          <w:szCs w:val="22"/>
        </w:rPr>
        <w:t>R7 a</w:t>
      </w:r>
      <w:r>
        <w:rPr>
          <w:color w:val="000000" w:themeColor="text1"/>
          <w:sz w:val="22"/>
          <w:szCs w:val="22"/>
        </w:rPr>
        <w:t> </w:t>
      </w:r>
      <w:r w:rsidRPr="00885C6A">
        <w:rPr>
          <w:color w:val="000000" w:themeColor="text1"/>
          <w:sz w:val="22"/>
          <w:szCs w:val="22"/>
        </w:rPr>
        <w:t>zároveň dôjde k</w:t>
      </w:r>
      <w:r>
        <w:rPr>
          <w:color w:val="000000" w:themeColor="text1"/>
          <w:sz w:val="22"/>
          <w:szCs w:val="22"/>
        </w:rPr>
        <w:t> </w:t>
      </w:r>
      <w:r w:rsidRPr="00885C6A">
        <w:rPr>
          <w:color w:val="000000" w:themeColor="text1"/>
          <w:sz w:val="22"/>
          <w:szCs w:val="22"/>
        </w:rPr>
        <w:t>vytvoreniu vhodných podmienok pre ich viaczdrojové financovanie, napr. kombináciou fondov EÚ a</w:t>
      </w:r>
      <w:r>
        <w:rPr>
          <w:color w:val="000000" w:themeColor="text1"/>
          <w:sz w:val="22"/>
          <w:szCs w:val="22"/>
        </w:rPr>
        <w:t> </w:t>
      </w:r>
      <w:r w:rsidRPr="00885C6A">
        <w:rPr>
          <w:color w:val="000000" w:themeColor="text1"/>
          <w:sz w:val="22"/>
          <w:szCs w:val="22"/>
        </w:rPr>
        <w:t>verejno-súkromného partnerstva, MDV SR zváži využitie prostriedkov prioritnej osi taktiež na tieto cestné ťahy.</w:t>
      </w:r>
    </w:p>
    <w:p w14:paraId="610A3854" w14:textId="77777777" w:rsidR="009E0158" w:rsidRDefault="00FC115C" w:rsidP="000F7659">
      <w:pPr>
        <w:numPr>
          <w:ilvl w:val="2"/>
          <w:numId w:val="35"/>
        </w:numPr>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Projektová príprava</w:t>
      </w:r>
    </w:p>
    <w:p w14:paraId="601FCA73" w14:textId="2A0A9D5F" w:rsidR="00670772" w:rsidRDefault="00FC115C" w:rsidP="00FC115C">
      <w:pPr>
        <w:spacing w:after="120"/>
        <w:jc w:val="both"/>
        <w:rPr>
          <w:color w:val="000000" w:themeColor="text1"/>
          <w:sz w:val="22"/>
          <w:szCs w:val="22"/>
        </w:rPr>
      </w:pPr>
      <w:r w:rsidRPr="009A7904">
        <w:rPr>
          <w:sz w:val="22"/>
          <w:szCs w:val="22"/>
        </w:rPr>
        <w:t xml:space="preserve">Zoznam stavieb, na ktoré je potrebné sústrediť pozornosť bol </w:t>
      </w:r>
      <w:r>
        <w:rPr>
          <w:sz w:val="22"/>
          <w:szCs w:val="22"/>
        </w:rPr>
        <w:t>identifikovaný</w:t>
      </w:r>
      <w:r w:rsidRPr="009A7904">
        <w:rPr>
          <w:sz w:val="22"/>
          <w:szCs w:val="22"/>
        </w:rPr>
        <w:t xml:space="preserve"> v Strategickom pláne. </w:t>
      </w:r>
      <w:r w:rsidRPr="009A7904">
        <w:rPr>
          <w:color w:val="000000" w:themeColor="text1"/>
          <w:sz w:val="22"/>
          <w:szCs w:val="22"/>
        </w:rPr>
        <w:t xml:space="preserve">Zoznam obsahuje </w:t>
      </w:r>
      <w:r>
        <w:rPr>
          <w:color w:val="000000" w:themeColor="text1"/>
          <w:sz w:val="22"/>
          <w:szCs w:val="22"/>
        </w:rPr>
        <w:t>priority</w:t>
      </w:r>
      <w:r w:rsidRPr="009A7904">
        <w:rPr>
          <w:color w:val="000000" w:themeColor="text1"/>
          <w:sz w:val="22"/>
          <w:szCs w:val="22"/>
        </w:rPr>
        <w:t xml:space="preserve"> súvisiace s realizačnými projektmi v rámci obdobia 2014 –</w:t>
      </w:r>
      <w:r>
        <w:rPr>
          <w:color w:val="000000" w:themeColor="text1"/>
          <w:sz w:val="22"/>
          <w:szCs w:val="22"/>
        </w:rPr>
        <w:t xml:space="preserve"> </w:t>
      </w:r>
      <w:r w:rsidR="00E70E73">
        <w:rPr>
          <w:color w:val="000000" w:themeColor="text1"/>
          <w:sz w:val="22"/>
          <w:szCs w:val="22"/>
        </w:rPr>
        <w:t>2023, ako aj za </w:t>
      </w:r>
      <w:r w:rsidRPr="009A7904">
        <w:rPr>
          <w:color w:val="000000" w:themeColor="text1"/>
          <w:sz w:val="22"/>
          <w:szCs w:val="22"/>
        </w:rPr>
        <w:t>týmto horizontom.</w:t>
      </w:r>
    </w:p>
    <w:p w14:paraId="2B0505D5" w14:textId="19A2F0B6" w:rsidR="00AB746F" w:rsidRPr="005139F6" w:rsidRDefault="00AB746F" w:rsidP="00AB746F">
      <w:pPr>
        <w:numPr>
          <w:ilvl w:val="2"/>
          <w:numId w:val="35"/>
        </w:numPr>
        <w:autoSpaceDE w:val="0"/>
        <w:autoSpaceDN w:val="0"/>
        <w:adjustRightInd w:val="0"/>
        <w:spacing w:before="180" w:after="120"/>
        <w:ind w:left="851" w:hanging="425"/>
        <w:jc w:val="both"/>
        <w:rPr>
          <w:b/>
          <w:i/>
          <w:color w:val="4F81BD" w:themeColor="accent1"/>
          <w:sz w:val="22"/>
          <w:szCs w:val="22"/>
        </w:rPr>
      </w:pPr>
      <w:r>
        <w:rPr>
          <w:b/>
          <w:i/>
          <w:color w:val="4F81BD" w:themeColor="accent1"/>
          <w:sz w:val="22"/>
          <w:szCs w:val="22"/>
        </w:rPr>
        <w:t>Podpora zavádzania alternatívnych palív v cestnej doprave</w:t>
      </w:r>
    </w:p>
    <w:p w14:paraId="342BE6A1" w14:textId="60F0EC92" w:rsidR="00CA605E" w:rsidRDefault="00AB746F" w:rsidP="00AB746F">
      <w:pPr>
        <w:spacing w:after="240"/>
        <w:jc w:val="both"/>
        <w:rPr>
          <w:color w:val="000000" w:themeColor="text1"/>
          <w:sz w:val="22"/>
          <w:szCs w:val="22"/>
        </w:rPr>
      </w:pPr>
      <w:r w:rsidRPr="00F778AD">
        <w:rPr>
          <w:color w:val="000000" w:themeColor="text1"/>
          <w:sz w:val="22"/>
          <w:szCs w:val="22"/>
        </w:rPr>
        <w:t xml:space="preserve">Cieľom </w:t>
      </w:r>
      <w:r>
        <w:rPr>
          <w:color w:val="000000" w:themeColor="text1"/>
          <w:sz w:val="22"/>
          <w:szCs w:val="22"/>
        </w:rPr>
        <w:t>tejto aktivity</w:t>
      </w:r>
      <w:r w:rsidRPr="00F778AD">
        <w:rPr>
          <w:color w:val="000000" w:themeColor="text1"/>
          <w:sz w:val="22"/>
          <w:szCs w:val="22"/>
        </w:rPr>
        <w:t xml:space="preserve"> je podporiť rozvoj trhu alternatívnych palív v </w:t>
      </w:r>
      <w:r>
        <w:rPr>
          <w:color w:val="000000" w:themeColor="text1"/>
          <w:sz w:val="22"/>
          <w:szCs w:val="22"/>
        </w:rPr>
        <w:t xml:space="preserve">cestnej </w:t>
      </w:r>
      <w:r w:rsidRPr="00F778AD">
        <w:rPr>
          <w:color w:val="000000" w:themeColor="text1"/>
          <w:sz w:val="22"/>
          <w:szCs w:val="22"/>
        </w:rPr>
        <w:t>doprav</w:t>
      </w:r>
      <w:r>
        <w:rPr>
          <w:color w:val="000000" w:themeColor="text1"/>
          <w:sz w:val="22"/>
          <w:szCs w:val="22"/>
        </w:rPr>
        <w:t>e vrátane</w:t>
      </w:r>
      <w:r w:rsidRPr="00F778AD">
        <w:rPr>
          <w:color w:val="000000" w:themeColor="text1"/>
          <w:sz w:val="22"/>
          <w:szCs w:val="22"/>
        </w:rPr>
        <w:t xml:space="preserve"> rozvoj</w:t>
      </w:r>
      <w:r>
        <w:rPr>
          <w:color w:val="000000" w:themeColor="text1"/>
          <w:sz w:val="22"/>
          <w:szCs w:val="22"/>
        </w:rPr>
        <w:t>a príslušnej infraštruktúry. Relevantné opatrenia na podporu alternatívnych palív budú implementované prostredníctvom finančných nástrojov, ktoré sú zriadené na národnej úrovni a súčasťou ktorých je OPII. Vybrané opatrenia budú rešpektovať národný politický rámec a n</w:t>
      </w:r>
      <w:r w:rsidRPr="00157117">
        <w:rPr>
          <w:color w:val="000000" w:themeColor="text1"/>
          <w:sz w:val="22"/>
          <w:szCs w:val="22"/>
        </w:rPr>
        <w:t>árodn</w:t>
      </w:r>
      <w:r>
        <w:rPr>
          <w:color w:val="000000" w:themeColor="text1"/>
          <w:sz w:val="22"/>
          <w:szCs w:val="22"/>
        </w:rPr>
        <w:t>ú</w:t>
      </w:r>
      <w:r w:rsidRPr="00157117">
        <w:rPr>
          <w:color w:val="000000" w:themeColor="text1"/>
          <w:sz w:val="22"/>
          <w:szCs w:val="22"/>
        </w:rPr>
        <w:t xml:space="preserve"> politik</w:t>
      </w:r>
      <w:r>
        <w:rPr>
          <w:color w:val="000000" w:themeColor="text1"/>
          <w:sz w:val="22"/>
          <w:szCs w:val="22"/>
        </w:rPr>
        <w:t>u</w:t>
      </w:r>
      <w:r w:rsidRPr="00157117">
        <w:rPr>
          <w:color w:val="000000" w:themeColor="text1"/>
          <w:sz w:val="22"/>
          <w:szCs w:val="22"/>
        </w:rPr>
        <w:t xml:space="preserve"> zavádzania infraštruktúry pre alternatívne palivá</w:t>
      </w:r>
      <w:r>
        <w:rPr>
          <w:color w:val="000000" w:themeColor="text1"/>
          <w:sz w:val="22"/>
          <w:szCs w:val="22"/>
        </w:rPr>
        <w:t xml:space="preserve">, ktoré boli schválené vládou SR v roku 2016 v nadväznosti na ustanovenia smernice </w:t>
      </w:r>
      <w:r w:rsidRPr="00013FE7">
        <w:rPr>
          <w:color w:val="000000" w:themeColor="text1"/>
          <w:sz w:val="22"/>
          <w:szCs w:val="22"/>
        </w:rPr>
        <w:t>Európskeho parlamentu a Rady 2014/94/EÚ z 22. októbra 2014 o zavádzaní infraštruktúry pre alternatívne palivá</w:t>
      </w:r>
      <w:r>
        <w:rPr>
          <w:color w:val="000000" w:themeColor="text1"/>
          <w:sz w:val="22"/>
          <w:szCs w:val="22"/>
        </w:rPr>
        <w:t>. Najperspektívnejšou oblasťou podpory z OPII sa v súlade s Akčným plánom rozvoja elektromobility v Slovenskej republike javí podpora rozširovania nabíjacej infraštruktúry pre elektromobily.</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FC115C" w:rsidRPr="00CD7A43" w14:paraId="4EAD030E" w14:textId="77777777" w:rsidTr="00B754C0">
        <w:trPr>
          <w:trHeight w:val="340"/>
          <w:jc w:val="center"/>
        </w:trPr>
        <w:tc>
          <w:tcPr>
            <w:tcW w:w="3288" w:type="dxa"/>
            <w:shd w:val="clear" w:color="auto" w:fill="DBE5F1" w:themeFill="accent1" w:themeFillTint="33"/>
            <w:vAlign w:val="center"/>
          </w:tcPr>
          <w:p w14:paraId="3EA6991C" w14:textId="77777777" w:rsidR="00FC115C" w:rsidRPr="009553A0" w:rsidRDefault="00FC115C" w:rsidP="00B754C0">
            <w:pPr>
              <w:autoSpaceDE w:val="0"/>
              <w:autoSpaceDN w:val="0"/>
              <w:adjustRightInd w:val="0"/>
              <w:ind w:left="0"/>
              <w:rPr>
                <w:i/>
                <w:sz w:val="22"/>
                <w:szCs w:val="22"/>
              </w:rPr>
            </w:pPr>
            <w:r w:rsidRPr="009553A0">
              <w:rPr>
                <w:i/>
                <w:sz w:val="22"/>
                <w:szCs w:val="22"/>
              </w:rPr>
              <w:t>Cieľové skupiny:</w:t>
            </w:r>
          </w:p>
        </w:tc>
        <w:tc>
          <w:tcPr>
            <w:tcW w:w="5784" w:type="dxa"/>
            <w:vAlign w:val="center"/>
          </w:tcPr>
          <w:p w14:paraId="184CA044"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FC115C" w14:paraId="73438D74" w14:textId="77777777" w:rsidTr="00B754C0">
        <w:trPr>
          <w:trHeight w:val="340"/>
          <w:jc w:val="center"/>
        </w:trPr>
        <w:tc>
          <w:tcPr>
            <w:tcW w:w="3288" w:type="dxa"/>
            <w:shd w:val="clear" w:color="auto" w:fill="DBE5F1" w:themeFill="accent1" w:themeFillTint="33"/>
            <w:vAlign w:val="center"/>
          </w:tcPr>
          <w:p w14:paraId="5E5B0C52" w14:textId="77777777" w:rsidR="00FC115C" w:rsidRPr="009553A0" w:rsidRDefault="00FC115C" w:rsidP="00B754C0">
            <w:pPr>
              <w:autoSpaceDE w:val="0"/>
              <w:autoSpaceDN w:val="0"/>
              <w:adjustRightInd w:val="0"/>
              <w:ind w:left="0"/>
              <w:rPr>
                <w:i/>
                <w:sz w:val="22"/>
                <w:szCs w:val="22"/>
              </w:rPr>
            </w:pPr>
            <w:r w:rsidRPr="009553A0">
              <w:rPr>
                <w:i/>
                <w:sz w:val="22"/>
                <w:szCs w:val="22"/>
              </w:rPr>
              <w:t>Cieľové územia:</w:t>
            </w:r>
          </w:p>
        </w:tc>
        <w:tc>
          <w:tcPr>
            <w:tcW w:w="5784" w:type="dxa"/>
            <w:vAlign w:val="center"/>
          </w:tcPr>
          <w:p w14:paraId="65F496A1"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NUTS 2 (celé územie SR s výnimkou Bratislavského kraja)</w:t>
            </w:r>
          </w:p>
        </w:tc>
      </w:tr>
      <w:tr w:rsidR="00FC115C" w:rsidRPr="000546B9" w14:paraId="7EA6FA88" w14:textId="77777777" w:rsidTr="00B754C0">
        <w:trPr>
          <w:trHeight w:val="340"/>
          <w:jc w:val="center"/>
        </w:trPr>
        <w:tc>
          <w:tcPr>
            <w:tcW w:w="3288" w:type="dxa"/>
            <w:shd w:val="clear" w:color="auto" w:fill="DBE5F1" w:themeFill="accent1" w:themeFillTint="33"/>
            <w:vAlign w:val="center"/>
          </w:tcPr>
          <w:p w14:paraId="01969BB9" w14:textId="77777777" w:rsidR="00FC115C" w:rsidRPr="009553A0" w:rsidRDefault="00FC115C" w:rsidP="00B754C0">
            <w:pPr>
              <w:autoSpaceDE w:val="0"/>
              <w:autoSpaceDN w:val="0"/>
              <w:adjustRightInd w:val="0"/>
              <w:ind w:left="0"/>
              <w:rPr>
                <w:i/>
                <w:sz w:val="22"/>
                <w:szCs w:val="22"/>
              </w:rPr>
            </w:pPr>
            <w:r w:rsidRPr="009553A0">
              <w:rPr>
                <w:i/>
                <w:sz w:val="22"/>
                <w:szCs w:val="22"/>
              </w:rPr>
              <w:t>Prijímatelia:</w:t>
            </w:r>
          </w:p>
        </w:tc>
        <w:tc>
          <w:tcPr>
            <w:tcW w:w="5784" w:type="dxa"/>
            <w:vAlign w:val="center"/>
          </w:tcPr>
          <w:p w14:paraId="09E0AFFF"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Národná diaľničná spoločnosť, a. s.,</w:t>
            </w:r>
          </w:p>
          <w:p w14:paraId="0BCC8E6D"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MDV SR,</w:t>
            </w:r>
          </w:p>
          <w:p w14:paraId="4180A0D6" w14:textId="77777777" w:rsidR="009E0158" w:rsidRDefault="00FC115C" w:rsidP="000F7659">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66E6322F" w14:textId="77777777" w:rsidR="00FC115C" w:rsidRDefault="00FC115C" w:rsidP="00FC115C">
      <w:pPr>
        <w:pStyle w:val="Nadpis4"/>
        <w:spacing w:before="240"/>
      </w:pPr>
      <w:r>
        <w:t>Hlavné princípy výberu projektov</w:t>
      </w:r>
    </w:p>
    <w:p w14:paraId="28201BCD" w14:textId="77777777" w:rsidR="00FC115C" w:rsidRDefault="00FC115C" w:rsidP="00FC115C">
      <w:pPr>
        <w:tabs>
          <w:tab w:val="left" w:pos="540"/>
        </w:tabs>
        <w:jc w:val="both"/>
        <w:rPr>
          <w:sz w:val="22"/>
          <w:szCs w:val="22"/>
        </w:rPr>
      </w:pPr>
      <w:r w:rsidRPr="00756D41">
        <w:rPr>
          <w:sz w:val="22"/>
          <w:szCs w:val="22"/>
        </w:rPr>
        <w:t xml:space="preserve">Vzhľadom na špecifické postavenie MDV SR vo vzťahu k podporovaným aktivitám budú jednotliví prijímatelia stanovení vopred RO a žiadaní o predkladanie projektových žiadostí.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w:t>
      </w:r>
      <w:r w:rsidR="00A05CA8">
        <w:rPr>
          <w:sz w:val="22"/>
          <w:szCs w:val="22"/>
        </w:rPr>
        <w:t>ých dokumentov spracovaných pre </w:t>
      </w:r>
      <w:r>
        <w:rPr>
          <w:sz w:val="22"/>
          <w:szCs w:val="22"/>
        </w:rPr>
        <w:t>potreby programového obdobia 2014 - 2020, ako aj ich prípadné aktualizácie, ktoré zohľadňujú rezortné potreby v širšom kontexte. Ide predovšetkým o Strategický plán a Stratégiu VOD.</w:t>
      </w:r>
    </w:p>
    <w:p w14:paraId="72D7626F" w14:textId="77777777" w:rsidR="00FC115C" w:rsidRPr="00CF2C83" w:rsidRDefault="00FC115C" w:rsidP="00FC115C">
      <w:pPr>
        <w:tabs>
          <w:tab w:val="left" w:pos="540"/>
        </w:tabs>
        <w:spacing w:before="180"/>
        <w:jc w:val="both"/>
        <w:rPr>
          <w:sz w:val="22"/>
        </w:rPr>
      </w:pPr>
      <w:r w:rsidRPr="00CF2C83">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4BE829CB" w14:textId="77777777" w:rsidR="00DC44F7" w:rsidRDefault="00FC115C" w:rsidP="00DC44F7">
      <w:pPr>
        <w:spacing w:before="180"/>
        <w:jc w:val="both"/>
        <w:rPr>
          <w:sz w:val="22"/>
        </w:rPr>
      </w:pPr>
      <w:r w:rsidRPr="00CF2C83">
        <w:rPr>
          <w:sz w:val="22"/>
        </w:rPr>
        <w:t xml:space="preserve">Všetky plánované cestné projekty a projektové zámery PO 6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DC44F7" w:rsidRPr="00DC44F7">
        <w:rPr>
          <w:sz w:val="22"/>
        </w:rPr>
        <w:t xml:space="preserve">Závery stanoviska SEA OPII nenahrádzajú povinnosti/podmienky vyplývajúce zo smerníc EÚ pre dané plány a jednotlivé projekty. </w:t>
      </w:r>
      <w:r w:rsidR="007D50EA">
        <w:rPr>
          <w:sz w:val="22"/>
        </w:rPr>
        <w:t>Plány a </w:t>
      </w:r>
      <w:r w:rsidR="00DC44F7" w:rsidRPr="00DC44F7">
        <w:rPr>
          <w:sz w:val="22"/>
        </w:rPr>
        <w:t>konkrétne projekty zahrnuté do výsledného indikatívneho zoznamu OPII budú zodpovedať výsledkom všetkých relevantných posúdení v súlade s legislatívou EU</w:t>
      </w:r>
      <w:r w:rsidR="00DC44F7">
        <w:rPr>
          <w:sz w:val="22"/>
        </w:rPr>
        <w:t xml:space="preserve"> a budú predmetom revízie OPII.</w:t>
      </w:r>
    </w:p>
    <w:p w14:paraId="24983920" w14:textId="77777777" w:rsidR="00FC115C" w:rsidRPr="00CF2C83" w:rsidRDefault="00FC115C" w:rsidP="00FC115C">
      <w:pPr>
        <w:pStyle w:val="Nadpis4"/>
        <w:spacing w:before="240"/>
      </w:pPr>
      <w:r w:rsidRPr="00CF2C83">
        <w:lastRenderedPageBreak/>
        <w:t>Plánované využitie finančných nástrojov</w:t>
      </w:r>
    </w:p>
    <w:p w14:paraId="7ED43512" w14:textId="77777777" w:rsidR="00FC115C" w:rsidRPr="00182F14" w:rsidRDefault="00FC115C" w:rsidP="00FC115C">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w:t>
      </w:r>
      <w:r w:rsidR="007D50EA">
        <w:rPr>
          <w:sz w:val="22"/>
          <w:szCs w:val="22"/>
        </w:rPr>
        <w:t xml:space="preserve"> financovanie, pri </w:t>
      </w:r>
      <w:r w:rsidRPr="00203FA1">
        <w:rPr>
          <w:sz w:val="22"/>
          <w:szCs w:val="22"/>
        </w:rPr>
        <w:t>ktorom by ich realizácia bola efektívnou.</w:t>
      </w:r>
    </w:p>
    <w:p w14:paraId="2E04F970" w14:textId="77777777" w:rsidR="00FC115C" w:rsidRPr="00182F14" w:rsidRDefault="00FC115C" w:rsidP="00FC115C">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Pr>
          <w:sz w:val="22"/>
          <w:szCs w:val="22"/>
        </w:rPr>
        <w:t> </w:t>
      </w:r>
      <w:r w:rsidRPr="00182F14">
        <w:rPr>
          <w:sz w:val="22"/>
          <w:szCs w:val="22"/>
        </w:rPr>
        <w:t>pod</w:t>
      </w:r>
      <w:r>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14:paraId="0FE207F2" w14:textId="77777777" w:rsidR="00FC115C" w:rsidRDefault="00FC115C" w:rsidP="00FC115C">
      <w:pPr>
        <w:pStyle w:val="Nadpis4"/>
      </w:pPr>
      <w:r>
        <w:t>Plánované využitie veľkých projektov</w:t>
      </w:r>
    </w:p>
    <w:p w14:paraId="6D57829D" w14:textId="77777777" w:rsidR="00FC115C" w:rsidRPr="007B3B80" w:rsidRDefault="00FC115C" w:rsidP="00FC115C">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12.1</w:t>
      </w:r>
      <w:r w:rsidRPr="00FE75AD">
        <w:rPr>
          <w:sz w:val="22"/>
          <w:szCs w:val="22"/>
        </w:rPr>
        <w:t>.</w:t>
      </w:r>
      <w:r w:rsidR="003A3069">
        <w:rPr>
          <w:sz w:val="22"/>
          <w:szCs w:val="22"/>
        </w:rPr>
        <w:t xml:space="preserve"> </w:t>
      </w:r>
      <w:r w:rsidR="003A3069" w:rsidRPr="00663ADF">
        <w:rPr>
          <w:sz w:val="22"/>
          <w:szCs w:val="22"/>
        </w:rPr>
        <w:t>Grafick</w:t>
      </w:r>
      <w:r w:rsidR="001A6415" w:rsidRPr="00663ADF">
        <w:rPr>
          <w:sz w:val="22"/>
          <w:szCs w:val="22"/>
        </w:rPr>
        <w:t>é zobrazenie rozvoja cestnej</w:t>
      </w:r>
      <w:r w:rsidR="003A3069" w:rsidRPr="00663ADF">
        <w:rPr>
          <w:sz w:val="22"/>
          <w:szCs w:val="22"/>
        </w:rPr>
        <w:t xml:space="preserve"> infraštruktúry na Slovensku zabezpečené realizáciou zadefinovaných veľkých projektov je uvedené v Prílohe 7.</w:t>
      </w:r>
    </w:p>
    <w:p w14:paraId="513AA79C" w14:textId="77777777" w:rsidR="00FC115C" w:rsidRDefault="00FC115C" w:rsidP="00FC115C">
      <w:pPr>
        <w:pStyle w:val="Nadpis4"/>
      </w:pPr>
      <w:r>
        <w:t>Ukazovatele výstupu na úrovni investičnej priority a kategórie regiónu</w:t>
      </w:r>
    </w:p>
    <w:p w14:paraId="523CFF23" w14:textId="77777777" w:rsidR="00FC115C" w:rsidRPr="008C1732" w:rsidRDefault="00FC115C" w:rsidP="00FC115C">
      <w:pPr>
        <w:pStyle w:val="Tab"/>
      </w:pPr>
      <w:r>
        <w:t>Spoločné a špecifické ukazovatele výstupu investičnej priority 7a)</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7"/>
        <w:gridCol w:w="2411"/>
        <w:gridCol w:w="903"/>
        <w:gridCol w:w="656"/>
        <w:gridCol w:w="1225"/>
        <w:gridCol w:w="1246"/>
        <w:gridCol w:w="1010"/>
        <w:gridCol w:w="1384"/>
      </w:tblGrid>
      <w:tr w:rsidR="00FC115C" w14:paraId="2070DE1F" w14:textId="77777777" w:rsidTr="00B754C0">
        <w:trPr>
          <w:trHeight w:val="487"/>
          <w:jc w:val="center"/>
        </w:trPr>
        <w:tc>
          <w:tcPr>
            <w:tcW w:w="577" w:type="dxa"/>
            <w:shd w:val="clear" w:color="auto" w:fill="C6D9F1" w:themeFill="text2" w:themeFillTint="33"/>
            <w:vAlign w:val="center"/>
          </w:tcPr>
          <w:p w14:paraId="0914B809" w14:textId="77777777" w:rsidR="00FC115C" w:rsidRPr="008C1732" w:rsidRDefault="00FC115C" w:rsidP="00B754C0">
            <w:pPr>
              <w:ind w:left="0"/>
              <w:jc w:val="center"/>
              <w:rPr>
                <w:b/>
                <w:sz w:val="18"/>
                <w:szCs w:val="18"/>
              </w:rPr>
            </w:pPr>
            <w:r>
              <w:rPr>
                <w:b/>
                <w:sz w:val="18"/>
                <w:szCs w:val="18"/>
              </w:rPr>
              <w:t>P. č.</w:t>
            </w:r>
          </w:p>
        </w:tc>
        <w:tc>
          <w:tcPr>
            <w:tcW w:w="2411" w:type="dxa"/>
            <w:shd w:val="clear" w:color="auto" w:fill="C6D9F1" w:themeFill="text2" w:themeFillTint="33"/>
            <w:vAlign w:val="center"/>
          </w:tcPr>
          <w:p w14:paraId="7AE4EE55" w14:textId="77777777" w:rsidR="00FC115C" w:rsidRPr="008C1732" w:rsidRDefault="00FC115C" w:rsidP="00B754C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3B983481" w14:textId="77777777" w:rsidR="00FC115C" w:rsidRPr="008C1732" w:rsidRDefault="00FC115C" w:rsidP="00B754C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59231BFE" w14:textId="77777777" w:rsidR="00FC115C" w:rsidRPr="008C1732" w:rsidRDefault="00FC115C" w:rsidP="00B754C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14:paraId="32F5C507" w14:textId="77777777" w:rsidR="00FC115C" w:rsidRPr="008C1732" w:rsidRDefault="00FC115C" w:rsidP="00B754C0">
            <w:pPr>
              <w:ind w:left="0"/>
              <w:jc w:val="center"/>
              <w:rPr>
                <w:b/>
                <w:sz w:val="18"/>
                <w:szCs w:val="18"/>
              </w:rPr>
            </w:pPr>
            <w:r w:rsidRPr="008C1732">
              <w:rPr>
                <w:b/>
                <w:sz w:val="18"/>
                <w:szCs w:val="18"/>
              </w:rPr>
              <w:t>Kategória regiónu</w:t>
            </w:r>
          </w:p>
        </w:tc>
        <w:tc>
          <w:tcPr>
            <w:tcW w:w="1246" w:type="dxa"/>
            <w:shd w:val="clear" w:color="auto" w:fill="C6D9F1" w:themeFill="text2" w:themeFillTint="33"/>
            <w:vAlign w:val="center"/>
          </w:tcPr>
          <w:p w14:paraId="19946AA6" w14:textId="77777777" w:rsidR="00FC115C" w:rsidRPr="008C1732" w:rsidRDefault="00FC115C" w:rsidP="00B754C0">
            <w:pPr>
              <w:ind w:left="0"/>
              <w:jc w:val="center"/>
              <w:rPr>
                <w:b/>
                <w:sz w:val="18"/>
                <w:szCs w:val="18"/>
              </w:rPr>
            </w:pPr>
            <w:r w:rsidRPr="008C1732">
              <w:rPr>
                <w:b/>
                <w:sz w:val="18"/>
                <w:szCs w:val="18"/>
              </w:rPr>
              <w:t>Cieľová hodnota (2023)</w:t>
            </w:r>
          </w:p>
        </w:tc>
        <w:tc>
          <w:tcPr>
            <w:tcW w:w="1010" w:type="dxa"/>
            <w:shd w:val="clear" w:color="auto" w:fill="C6D9F1" w:themeFill="text2" w:themeFillTint="33"/>
            <w:vAlign w:val="center"/>
          </w:tcPr>
          <w:p w14:paraId="6DCC1242" w14:textId="77777777" w:rsidR="00FC115C" w:rsidRPr="008C1732" w:rsidRDefault="00FC115C" w:rsidP="00B754C0">
            <w:pPr>
              <w:ind w:left="0"/>
              <w:jc w:val="center"/>
              <w:rPr>
                <w:b/>
                <w:sz w:val="18"/>
                <w:szCs w:val="18"/>
              </w:rPr>
            </w:pPr>
            <w:r w:rsidRPr="008C1732">
              <w:rPr>
                <w:b/>
                <w:sz w:val="18"/>
                <w:szCs w:val="18"/>
              </w:rPr>
              <w:t>Zdroj údajov</w:t>
            </w:r>
          </w:p>
        </w:tc>
        <w:tc>
          <w:tcPr>
            <w:tcW w:w="1384" w:type="dxa"/>
            <w:shd w:val="clear" w:color="auto" w:fill="C6D9F1" w:themeFill="text2" w:themeFillTint="33"/>
            <w:vAlign w:val="center"/>
          </w:tcPr>
          <w:p w14:paraId="48E55168" w14:textId="77777777" w:rsidR="00FC115C" w:rsidRPr="008C1732" w:rsidRDefault="00FC115C" w:rsidP="00B754C0">
            <w:pPr>
              <w:ind w:left="0"/>
              <w:jc w:val="center"/>
              <w:rPr>
                <w:b/>
                <w:sz w:val="18"/>
                <w:szCs w:val="18"/>
              </w:rPr>
            </w:pPr>
            <w:r w:rsidRPr="008C1732">
              <w:rPr>
                <w:b/>
                <w:sz w:val="18"/>
                <w:szCs w:val="18"/>
              </w:rPr>
              <w:t>Frekvencia vykazovania</w:t>
            </w:r>
          </w:p>
        </w:tc>
      </w:tr>
      <w:tr w:rsidR="00FC115C" w14:paraId="2E796FE6" w14:textId="77777777" w:rsidTr="00B754C0">
        <w:trPr>
          <w:trHeight w:val="680"/>
          <w:jc w:val="center"/>
        </w:trPr>
        <w:tc>
          <w:tcPr>
            <w:tcW w:w="577" w:type="dxa"/>
            <w:shd w:val="clear" w:color="auto" w:fill="auto"/>
            <w:vAlign w:val="center"/>
          </w:tcPr>
          <w:p w14:paraId="25060ED9" w14:textId="77777777" w:rsidR="00FC115C" w:rsidRPr="00737ED2" w:rsidRDefault="00FC115C" w:rsidP="00B754C0">
            <w:pPr>
              <w:ind w:left="0"/>
              <w:jc w:val="center"/>
              <w:rPr>
                <w:sz w:val="18"/>
                <w:szCs w:val="18"/>
              </w:rPr>
            </w:pPr>
            <w:r>
              <w:rPr>
                <w:sz w:val="18"/>
                <w:szCs w:val="18"/>
              </w:rPr>
              <w:t>1</w:t>
            </w:r>
            <w:r w:rsidRPr="00737ED2">
              <w:rPr>
                <w:sz w:val="18"/>
                <w:szCs w:val="18"/>
              </w:rPr>
              <w:t>.</w:t>
            </w:r>
          </w:p>
        </w:tc>
        <w:tc>
          <w:tcPr>
            <w:tcW w:w="2411" w:type="dxa"/>
            <w:shd w:val="clear" w:color="auto" w:fill="auto"/>
            <w:vAlign w:val="center"/>
          </w:tcPr>
          <w:p w14:paraId="74746E86" w14:textId="77777777" w:rsidR="00FC115C" w:rsidRPr="00737ED2" w:rsidRDefault="00FC115C" w:rsidP="00B754C0">
            <w:pPr>
              <w:ind w:left="0"/>
              <w:rPr>
                <w:sz w:val="18"/>
                <w:szCs w:val="18"/>
              </w:rPr>
            </w:pPr>
            <w:r w:rsidRPr="000E02BD">
              <w:rPr>
                <w:sz w:val="18"/>
                <w:szCs w:val="18"/>
              </w:rPr>
              <w:t xml:space="preserve">Celková dĺžka </w:t>
            </w:r>
            <w:r>
              <w:rPr>
                <w:sz w:val="18"/>
                <w:szCs w:val="18"/>
              </w:rPr>
              <w:t>novovybudovaných ciest v sieti TEN-T</w:t>
            </w:r>
          </w:p>
        </w:tc>
        <w:tc>
          <w:tcPr>
            <w:tcW w:w="903" w:type="dxa"/>
            <w:shd w:val="clear" w:color="auto" w:fill="auto"/>
            <w:vAlign w:val="center"/>
          </w:tcPr>
          <w:p w14:paraId="31C106C3" w14:textId="77777777" w:rsidR="00FC115C" w:rsidRPr="004F0234" w:rsidRDefault="00FC115C" w:rsidP="00B754C0">
            <w:pPr>
              <w:ind w:left="0"/>
              <w:jc w:val="center"/>
              <w:rPr>
                <w:i/>
                <w:sz w:val="18"/>
                <w:szCs w:val="18"/>
              </w:rPr>
            </w:pPr>
            <w:r w:rsidRPr="004F0234">
              <w:rPr>
                <w:i/>
                <w:sz w:val="18"/>
                <w:szCs w:val="18"/>
              </w:rPr>
              <w:t>km</w:t>
            </w:r>
          </w:p>
        </w:tc>
        <w:tc>
          <w:tcPr>
            <w:tcW w:w="656" w:type="dxa"/>
            <w:shd w:val="clear" w:color="auto" w:fill="auto"/>
            <w:vAlign w:val="center"/>
          </w:tcPr>
          <w:p w14:paraId="552D38E3" w14:textId="77777777" w:rsidR="00FC115C" w:rsidRPr="004F0234" w:rsidRDefault="00FC115C" w:rsidP="00B754C0">
            <w:pPr>
              <w:ind w:left="0"/>
              <w:jc w:val="center"/>
              <w:rPr>
                <w:i/>
                <w:sz w:val="18"/>
                <w:szCs w:val="18"/>
              </w:rPr>
            </w:pPr>
            <w:r>
              <w:rPr>
                <w:i/>
                <w:sz w:val="18"/>
                <w:szCs w:val="18"/>
              </w:rPr>
              <w:t>EFRR</w:t>
            </w:r>
          </w:p>
        </w:tc>
        <w:tc>
          <w:tcPr>
            <w:tcW w:w="1225" w:type="dxa"/>
            <w:shd w:val="clear" w:color="auto" w:fill="auto"/>
            <w:vAlign w:val="center"/>
          </w:tcPr>
          <w:p w14:paraId="42EC3255" w14:textId="77777777" w:rsidR="00FC115C" w:rsidRPr="004F0234" w:rsidRDefault="00FC115C" w:rsidP="00B754C0">
            <w:pPr>
              <w:ind w:left="0"/>
              <w:jc w:val="center"/>
              <w:rPr>
                <w:i/>
                <w:sz w:val="18"/>
                <w:szCs w:val="18"/>
              </w:rPr>
            </w:pPr>
            <w:r>
              <w:rPr>
                <w:i/>
                <w:sz w:val="18"/>
                <w:szCs w:val="18"/>
              </w:rPr>
              <w:t>Menej rozvinuté regióny</w:t>
            </w:r>
          </w:p>
        </w:tc>
        <w:tc>
          <w:tcPr>
            <w:tcW w:w="1246" w:type="dxa"/>
            <w:shd w:val="clear" w:color="auto" w:fill="auto"/>
            <w:vAlign w:val="center"/>
          </w:tcPr>
          <w:p w14:paraId="7A53C6DC" w14:textId="52170DF0" w:rsidR="00FC115C" w:rsidRPr="004F0234" w:rsidRDefault="00F06149" w:rsidP="00A94935">
            <w:pPr>
              <w:ind w:left="0"/>
              <w:jc w:val="center"/>
              <w:rPr>
                <w:i/>
                <w:sz w:val="18"/>
                <w:szCs w:val="18"/>
              </w:rPr>
            </w:pPr>
            <w:r>
              <w:rPr>
                <w:i/>
                <w:sz w:val="18"/>
                <w:szCs w:val="18"/>
              </w:rPr>
              <w:t>21,5</w:t>
            </w:r>
          </w:p>
        </w:tc>
        <w:tc>
          <w:tcPr>
            <w:tcW w:w="1010" w:type="dxa"/>
            <w:vAlign w:val="center"/>
          </w:tcPr>
          <w:p w14:paraId="7B00D9E8" w14:textId="77777777" w:rsidR="00FC115C" w:rsidRPr="004F0234" w:rsidRDefault="00FC115C" w:rsidP="00B754C0">
            <w:pPr>
              <w:ind w:left="0"/>
              <w:jc w:val="center"/>
              <w:rPr>
                <w:i/>
                <w:sz w:val="18"/>
                <w:szCs w:val="18"/>
              </w:rPr>
            </w:pPr>
            <w:r w:rsidRPr="004F0234">
              <w:rPr>
                <w:i/>
                <w:sz w:val="18"/>
                <w:szCs w:val="18"/>
              </w:rPr>
              <w:t>RO OPII</w:t>
            </w:r>
          </w:p>
        </w:tc>
        <w:tc>
          <w:tcPr>
            <w:tcW w:w="1384" w:type="dxa"/>
            <w:vAlign w:val="center"/>
          </w:tcPr>
          <w:p w14:paraId="6AB4A060" w14:textId="77777777" w:rsidR="00FC115C" w:rsidRPr="004F0234" w:rsidRDefault="00FC115C" w:rsidP="00B754C0">
            <w:pPr>
              <w:ind w:left="0"/>
              <w:jc w:val="center"/>
              <w:rPr>
                <w:i/>
                <w:sz w:val="18"/>
                <w:szCs w:val="18"/>
              </w:rPr>
            </w:pPr>
            <w:r>
              <w:rPr>
                <w:i/>
                <w:sz w:val="18"/>
                <w:szCs w:val="18"/>
              </w:rPr>
              <w:t>Ročne</w:t>
            </w:r>
          </w:p>
        </w:tc>
      </w:tr>
    </w:tbl>
    <w:p w14:paraId="03C6890D" w14:textId="77777777" w:rsidR="00FC115C" w:rsidRDefault="00FC115C" w:rsidP="00FC115C"/>
    <w:p w14:paraId="72845790" w14:textId="77777777" w:rsidR="007F7347" w:rsidRDefault="00FC115C" w:rsidP="007F7347">
      <w:pPr>
        <w:pStyle w:val="Nadpis3"/>
        <w:jc w:val="both"/>
      </w:pPr>
      <w:bookmarkStart w:id="58" w:name="_Toc28951620"/>
      <w:r>
        <w:t>I</w:t>
      </w:r>
      <w:r w:rsidR="007F7347">
        <w:t xml:space="preserve">NVESTIČNÁ PRIORITA </w:t>
      </w:r>
      <w:r w:rsidR="00E41E26">
        <w:t>7b):</w:t>
      </w:r>
      <w:r w:rsidR="007F7347">
        <w:t xml:space="preserve"> </w:t>
      </w:r>
      <w:r w:rsidR="007F7347" w:rsidRPr="007F7347">
        <w:t>Posilnenie regionálnej mobility prepojením sek</w:t>
      </w:r>
      <w:r w:rsidR="00E41E26">
        <w:t>undárnych a </w:t>
      </w:r>
      <w:r w:rsidR="007F7347" w:rsidRPr="007F7347">
        <w:t>terciárny</w:t>
      </w:r>
      <w:r w:rsidR="004A1B95">
        <w:t>ch uzlov s infraštruktúrou TEN-</w:t>
      </w:r>
      <w:r w:rsidR="007F7347" w:rsidRPr="007F7347">
        <w:t>T vrátane multimodálnych uzlov</w:t>
      </w:r>
      <w:bookmarkEnd w:id="58"/>
    </w:p>
    <w:p w14:paraId="5A203715" w14:textId="77777777" w:rsidR="007F7347" w:rsidRDefault="007F7347" w:rsidP="00740654">
      <w:pPr>
        <w:pStyle w:val="Nadpis4"/>
      </w:pPr>
      <w:r>
        <w:t>Špecifické ciele investičnej priority a očakávané výsledky</w:t>
      </w:r>
    </w:p>
    <w:p w14:paraId="20EDFF91" w14:textId="77777777" w:rsidR="007F7347" w:rsidRPr="006B762B" w:rsidRDefault="007F7347" w:rsidP="002E1021">
      <w:pPr>
        <w:shd w:val="clear" w:color="auto" w:fill="FFFFCC"/>
        <w:jc w:val="both"/>
        <w:rPr>
          <w:b/>
          <w:i/>
        </w:rPr>
      </w:pPr>
      <w:r w:rsidRPr="004F0234">
        <w:rPr>
          <w:i/>
        </w:rPr>
        <w:t xml:space="preserve">ŠPECIFICKÝ CIEĽ </w:t>
      </w:r>
      <w:r w:rsidR="00A67013">
        <w:rPr>
          <w:i/>
        </w:rPr>
        <w:t>6.2</w:t>
      </w:r>
      <w:r w:rsidRPr="004F0234">
        <w:rPr>
          <w:i/>
        </w:rPr>
        <w:t>:</w:t>
      </w:r>
      <w:r>
        <w:rPr>
          <w:i/>
        </w:rPr>
        <w:t xml:space="preserve"> </w:t>
      </w:r>
      <w:r w:rsidR="00A837FB">
        <w:rPr>
          <w:b/>
          <w:i/>
        </w:rPr>
        <w:t xml:space="preserve">Zlepšenie </w:t>
      </w:r>
      <w:r w:rsidR="007258CF">
        <w:rPr>
          <w:b/>
          <w:i/>
        </w:rPr>
        <w:t xml:space="preserve">bezpečnosti a </w:t>
      </w:r>
      <w:r w:rsidR="00A837FB">
        <w:rPr>
          <w:b/>
          <w:i/>
        </w:rPr>
        <w:t>dostupnosti cestnej infraštruktúry TEN-T a regionálnej mobility prostredníctvom výstavby a modernizácie ciest I. triedy</w:t>
      </w:r>
    </w:p>
    <w:p w14:paraId="65721678" w14:textId="77777777" w:rsidR="00DF263C" w:rsidRDefault="00DF263C" w:rsidP="00DF263C">
      <w:pPr>
        <w:autoSpaceDE w:val="0"/>
        <w:autoSpaceDN w:val="0"/>
        <w:adjustRightInd w:val="0"/>
        <w:spacing w:before="180"/>
        <w:jc w:val="both"/>
        <w:rPr>
          <w:sz w:val="22"/>
          <w:szCs w:val="22"/>
        </w:rPr>
      </w:pPr>
      <w:r w:rsidRPr="006C1D08">
        <w:rPr>
          <w:sz w:val="22"/>
          <w:szCs w:val="22"/>
        </w:rPr>
        <w:t>Snahou MDV SR je zlepšovať</w:t>
      </w:r>
      <w:r>
        <w:rPr>
          <w:sz w:val="22"/>
          <w:szCs w:val="22"/>
        </w:rPr>
        <w:t xml:space="preserve"> stav všetkých kategórií ciest, nielen diaľnic a rýchlostných ciest. V</w:t>
      </w:r>
      <w:r w:rsidRPr="006C1D08">
        <w:rPr>
          <w:sz w:val="22"/>
          <w:szCs w:val="22"/>
        </w:rPr>
        <w:t xml:space="preserve">ytvorením prioritnej osi </w:t>
      </w:r>
      <w:r>
        <w:rPr>
          <w:sz w:val="22"/>
          <w:szCs w:val="22"/>
        </w:rPr>
        <w:t xml:space="preserve">a stanovením tohto špecifického cieľa </w:t>
      </w:r>
      <w:r w:rsidRPr="006C1D08">
        <w:rPr>
          <w:sz w:val="22"/>
          <w:szCs w:val="22"/>
        </w:rPr>
        <w:t>deklaruje záujem budovať na území SR kvalitný, nákladovo efektívny a vyvážený dopravný systém,</w:t>
      </w:r>
      <w:r>
        <w:rPr>
          <w:sz w:val="22"/>
          <w:szCs w:val="22"/>
        </w:rPr>
        <w:t xml:space="preserve"> ktorý bude schopný reagovať na </w:t>
      </w:r>
      <w:r w:rsidRPr="006C1D08">
        <w:rPr>
          <w:sz w:val="22"/>
          <w:szCs w:val="22"/>
        </w:rPr>
        <w:t>skuto</w:t>
      </w:r>
      <w:r>
        <w:rPr>
          <w:sz w:val="22"/>
          <w:szCs w:val="22"/>
        </w:rPr>
        <w:t>čné potreby cestnej dopravy s dôrazom na znižovanie nehodovosti prostredníctvom prevencie vzniku resp. odstraňovania tzv. kritických nehodových lokalít</w:t>
      </w:r>
      <w:r w:rsidR="00044C50">
        <w:rPr>
          <w:sz w:val="22"/>
          <w:szCs w:val="22"/>
        </w:rPr>
        <w:t>,</w:t>
      </w:r>
      <w:r>
        <w:rPr>
          <w:sz w:val="22"/>
          <w:szCs w:val="22"/>
        </w:rPr>
        <w:t xml:space="preserve"> ako aj redukciu negatívnych vplyvov (emisie, hluk) na obyvateľov. Rozvoj</w:t>
      </w:r>
      <w:r w:rsidRPr="006C1D08">
        <w:rPr>
          <w:sz w:val="22"/>
          <w:szCs w:val="22"/>
        </w:rPr>
        <w:t xml:space="preserve"> diaľnic a rýchlostných ciest </w:t>
      </w:r>
      <w:r>
        <w:rPr>
          <w:sz w:val="22"/>
          <w:szCs w:val="22"/>
        </w:rPr>
        <w:t xml:space="preserve">bude preto </w:t>
      </w:r>
      <w:r w:rsidRPr="006C1D08">
        <w:rPr>
          <w:sz w:val="22"/>
          <w:szCs w:val="22"/>
        </w:rPr>
        <w:t>komplementárne doplnený o investície na zlepšenie stavu ciest I. triedy</w:t>
      </w:r>
      <w:r>
        <w:rPr>
          <w:sz w:val="22"/>
          <w:szCs w:val="22"/>
        </w:rPr>
        <w:t xml:space="preserve"> s cieľom zvýšenia dostupnosti siete diaľnic a </w:t>
      </w:r>
      <w:r w:rsidRPr="006E6A0F">
        <w:rPr>
          <w:sz w:val="22"/>
          <w:szCs w:val="22"/>
        </w:rPr>
        <w:t>rýchlostných komunikácií</w:t>
      </w:r>
      <w:r w:rsidR="00044C50">
        <w:rPr>
          <w:sz w:val="22"/>
          <w:szCs w:val="22"/>
        </w:rPr>
        <w:t>.</w:t>
      </w:r>
      <w:r w:rsidRPr="006E6A0F">
        <w:rPr>
          <w:sz w:val="22"/>
          <w:szCs w:val="22"/>
        </w:rPr>
        <w:t xml:space="preserve"> </w:t>
      </w:r>
      <w:r w:rsidR="00044C50">
        <w:rPr>
          <w:sz w:val="22"/>
          <w:szCs w:val="22"/>
        </w:rPr>
        <w:t xml:space="preserve">Investície v rámci špecifického cieľa budú smerovať </w:t>
      </w:r>
      <w:r w:rsidR="00976C76">
        <w:rPr>
          <w:sz w:val="22"/>
          <w:szCs w:val="22"/>
        </w:rPr>
        <w:t>na</w:t>
      </w:r>
      <w:r w:rsidR="00044C50">
        <w:rPr>
          <w:sz w:val="22"/>
          <w:szCs w:val="22"/>
        </w:rPr>
        <w:t xml:space="preserve"> výstavb</w:t>
      </w:r>
      <w:r w:rsidR="00976C76">
        <w:rPr>
          <w:sz w:val="22"/>
          <w:szCs w:val="22"/>
        </w:rPr>
        <w:t>u</w:t>
      </w:r>
      <w:r w:rsidR="00044C50">
        <w:rPr>
          <w:sz w:val="22"/>
          <w:szCs w:val="22"/>
        </w:rPr>
        <w:t xml:space="preserve"> a modernizáci</w:t>
      </w:r>
      <w:r w:rsidR="00976C76">
        <w:rPr>
          <w:sz w:val="22"/>
          <w:szCs w:val="22"/>
        </w:rPr>
        <w:t>u</w:t>
      </w:r>
      <w:r w:rsidR="00044C50">
        <w:rPr>
          <w:sz w:val="22"/>
          <w:szCs w:val="22"/>
        </w:rPr>
        <w:t xml:space="preserve"> ciest </w:t>
      </w:r>
      <w:r w:rsidR="007D3C25">
        <w:rPr>
          <w:sz w:val="22"/>
          <w:szCs w:val="22"/>
        </w:rPr>
        <w:t>I. triedy spadajúcich mimo siete TEN-T CORE</w:t>
      </w:r>
      <w:r w:rsidR="00044C50">
        <w:rPr>
          <w:sz w:val="22"/>
          <w:szCs w:val="22"/>
        </w:rPr>
        <w:t xml:space="preserve">, ako aj ciest I. triedy mimo TEN-T, a to najmä </w:t>
      </w:r>
      <w:r w:rsidR="00976C76">
        <w:rPr>
          <w:sz w:val="22"/>
          <w:szCs w:val="22"/>
        </w:rPr>
        <w:t>s cieľom</w:t>
      </w:r>
      <w:r w:rsidR="00044C50">
        <w:rPr>
          <w:sz w:val="22"/>
          <w:szCs w:val="22"/>
        </w:rPr>
        <w:t xml:space="preserve"> zlepšenia prístup</w:t>
      </w:r>
      <w:r w:rsidR="00765170">
        <w:rPr>
          <w:sz w:val="22"/>
          <w:szCs w:val="22"/>
        </w:rPr>
        <w:t>u obyvateľstva SR k TEN-T sieti a jednotnému trhu.</w:t>
      </w:r>
    </w:p>
    <w:p w14:paraId="64D4EDA8" w14:textId="77777777" w:rsidR="00DF263C" w:rsidRDefault="000E6C9D" w:rsidP="000E6C9D">
      <w:pPr>
        <w:autoSpaceDE w:val="0"/>
        <w:autoSpaceDN w:val="0"/>
        <w:adjustRightInd w:val="0"/>
        <w:spacing w:before="180"/>
        <w:jc w:val="both"/>
        <w:rPr>
          <w:sz w:val="22"/>
          <w:szCs w:val="22"/>
        </w:rPr>
      </w:pPr>
      <w:r w:rsidRPr="00774794">
        <w:rPr>
          <w:sz w:val="22"/>
          <w:szCs w:val="22"/>
        </w:rPr>
        <w:lastRenderedPageBreak/>
        <w:t>Cesty I. triedy sú dôležité pre medzinárodnú a</w:t>
      </w:r>
      <w:r>
        <w:rPr>
          <w:sz w:val="22"/>
          <w:szCs w:val="22"/>
        </w:rPr>
        <w:t> </w:t>
      </w:r>
      <w:r w:rsidRPr="00774794">
        <w:rPr>
          <w:sz w:val="22"/>
          <w:szCs w:val="22"/>
        </w:rPr>
        <w:t>celoštátnu cestnú dopravu, vzájomné prepojenia regiónov, sídiel samosprávnych krajov, okresov</w:t>
      </w:r>
      <w:r>
        <w:rPr>
          <w:sz w:val="22"/>
          <w:szCs w:val="22"/>
        </w:rPr>
        <w:t xml:space="preserve"> a </w:t>
      </w:r>
      <w:r w:rsidRPr="00774794">
        <w:rPr>
          <w:sz w:val="22"/>
          <w:szCs w:val="22"/>
        </w:rPr>
        <w:t>prepojenia s</w:t>
      </w:r>
      <w:r>
        <w:rPr>
          <w:sz w:val="22"/>
          <w:szCs w:val="22"/>
        </w:rPr>
        <w:t> </w:t>
      </w:r>
      <w:r w:rsidRPr="00774794">
        <w:rPr>
          <w:sz w:val="22"/>
          <w:szCs w:val="22"/>
        </w:rPr>
        <w:t>ce</w:t>
      </w:r>
      <w:r>
        <w:rPr>
          <w:sz w:val="22"/>
          <w:szCs w:val="22"/>
        </w:rPr>
        <w:t>stnou sieťou susedných krajín.</w:t>
      </w:r>
      <w:r w:rsidR="00C57196">
        <w:rPr>
          <w:sz w:val="22"/>
          <w:szCs w:val="22"/>
        </w:rPr>
        <w:t xml:space="preserve"> </w:t>
      </w:r>
      <w:r>
        <w:rPr>
          <w:sz w:val="22"/>
          <w:szCs w:val="22"/>
        </w:rPr>
        <w:t>Dopravný, hospodársky i </w:t>
      </w:r>
      <w:r w:rsidRPr="00774794">
        <w:rPr>
          <w:sz w:val="22"/>
          <w:szCs w:val="22"/>
        </w:rPr>
        <w:t>spoločenský význam ciest I. triedy deklarujú dosahované dopravné výkony, intenzity dopravy, skladba dopravného prúdu a</w:t>
      </w:r>
      <w:r>
        <w:rPr>
          <w:sz w:val="22"/>
          <w:szCs w:val="22"/>
        </w:rPr>
        <w:t> </w:t>
      </w:r>
      <w:r w:rsidRPr="00774794">
        <w:rPr>
          <w:sz w:val="22"/>
          <w:szCs w:val="22"/>
        </w:rPr>
        <w:t>ich podiel z</w:t>
      </w:r>
      <w:r>
        <w:rPr>
          <w:sz w:val="22"/>
          <w:szCs w:val="22"/>
        </w:rPr>
        <w:t> </w:t>
      </w:r>
      <w:r w:rsidRPr="00774794">
        <w:rPr>
          <w:sz w:val="22"/>
          <w:szCs w:val="22"/>
        </w:rPr>
        <w:t>celoštátnych ukazovateľov dosahovaných na celej cestnej sieti. Z</w:t>
      </w:r>
      <w:r>
        <w:rPr>
          <w:sz w:val="22"/>
          <w:szCs w:val="22"/>
        </w:rPr>
        <w:t> </w:t>
      </w:r>
      <w:r w:rsidRPr="00774794">
        <w:rPr>
          <w:sz w:val="22"/>
          <w:szCs w:val="22"/>
        </w:rPr>
        <w:t>doterajšieho vývoja je zrejmé, že cesty I. triedy majú a</w:t>
      </w:r>
      <w:r>
        <w:rPr>
          <w:sz w:val="22"/>
          <w:szCs w:val="22"/>
        </w:rPr>
        <w:t> </w:t>
      </w:r>
      <w:r w:rsidRPr="00774794">
        <w:rPr>
          <w:sz w:val="22"/>
          <w:szCs w:val="22"/>
        </w:rPr>
        <w:t>budú mať i</w:t>
      </w:r>
      <w:r w:rsidR="00DF263C">
        <w:rPr>
          <w:sz w:val="22"/>
          <w:szCs w:val="22"/>
        </w:rPr>
        <w:t> po </w:t>
      </w:r>
      <w:r w:rsidRPr="00774794">
        <w:rPr>
          <w:sz w:val="22"/>
          <w:szCs w:val="22"/>
        </w:rPr>
        <w:t xml:space="preserve">vybudovaní celej plánovanej sieti </w:t>
      </w:r>
      <w:r>
        <w:rPr>
          <w:sz w:val="22"/>
          <w:szCs w:val="22"/>
        </w:rPr>
        <w:t>diaľnic a rýchlostných ciest</w:t>
      </w:r>
      <w:r w:rsidRPr="00774794">
        <w:rPr>
          <w:sz w:val="22"/>
          <w:szCs w:val="22"/>
        </w:rPr>
        <w:t xml:space="preserve"> nezastupiteľnú dopravnú funkciu</w:t>
      </w:r>
      <w:r>
        <w:rPr>
          <w:sz w:val="22"/>
          <w:szCs w:val="22"/>
        </w:rPr>
        <w:t>.</w:t>
      </w:r>
      <w:r w:rsidR="00DF263C">
        <w:rPr>
          <w:sz w:val="22"/>
          <w:szCs w:val="22"/>
        </w:rPr>
        <w:t xml:space="preserve"> Potreba podpory výstavby a modernizácie ciest I. triedy vypl</w:t>
      </w:r>
      <w:r w:rsidR="007E69E9">
        <w:rPr>
          <w:sz w:val="22"/>
          <w:szCs w:val="22"/>
        </w:rPr>
        <w:t>ýva predovšetkým z nedostatočne</w:t>
      </w:r>
      <w:r w:rsidR="00DF263C">
        <w:rPr>
          <w:sz w:val="22"/>
          <w:szCs w:val="22"/>
        </w:rPr>
        <w:t xml:space="preserve">j </w:t>
      </w:r>
      <w:r w:rsidR="007E69E9">
        <w:rPr>
          <w:sz w:val="22"/>
          <w:szCs w:val="22"/>
        </w:rPr>
        <w:t>kapacity cestných ťahov vedúcej k</w:t>
      </w:r>
      <w:r w:rsidR="00DF263C">
        <w:rPr>
          <w:sz w:val="22"/>
          <w:szCs w:val="22"/>
        </w:rPr>
        <w:t xml:space="preserve"> </w:t>
      </w:r>
      <w:r w:rsidR="00DF263C" w:rsidRPr="008327A8">
        <w:rPr>
          <w:sz w:val="22"/>
          <w:szCs w:val="22"/>
        </w:rPr>
        <w:t>pre</w:t>
      </w:r>
      <w:r w:rsidR="007E69E9">
        <w:rPr>
          <w:sz w:val="22"/>
          <w:szCs w:val="22"/>
        </w:rPr>
        <w:t>kračovaniu</w:t>
      </w:r>
      <w:r w:rsidR="00DF263C">
        <w:rPr>
          <w:sz w:val="22"/>
          <w:szCs w:val="22"/>
        </w:rPr>
        <w:t xml:space="preserve"> prípustných intenzít</w:t>
      </w:r>
      <w:r w:rsidR="007E69E9">
        <w:rPr>
          <w:sz w:val="22"/>
          <w:szCs w:val="22"/>
        </w:rPr>
        <w:t>,</w:t>
      </w:r>
      <w:r w:rsidR="00DF263C">
        <w:rPr>
          <w:sz w:val="22"/>
          <w:szCs w:val="22"/>
        </w:rPr>
        <w:t xml:space="preserve"> čím dochádza k</w:t>
      </w:r>
      <w:r w:rsidR="007E69E9">
        <w:rPr>
          <w:sz w:val="22"/>
          <w:szCs w:val="22"/>
        </w:rPr>
        <w:t> </w:t>
      </w:r>
      <w:r w:rsidR="00DF263C">
        <w:rPr>
          <w:sz w:val="22"/>
          <w:szCs w:val="22"/>
        </w:rPr>
        <w:t>ich</w:t>
      </w:r>
      <w:r w:rsidR="007E69E9">
        <w:rPr>
          <w:sz w:val="22"/>
          <w:szCs w:val="22"/>
        </w:rPr>
        <w:t xml:space="preserve"> nadmernej</w:t>
      </w:r>
      <w:r w:rsidR="00DF263C">
        <w:rPr>
          <w:sz w:val="22"/>
          <w:szCs w:val="22"/>
        </w:rPr>
        <w:t xml:space="preserve"> degradácii</w:t>
      </w:r>
      <w:r w:rsidR="00DF263C" w:rsidRPr="008327A8">
        <w:rPr>
          <w:sz w:val="22"/>
          <w:szCs w:val="22"/>
        </w:rPr>
        <w:t xml:space="preserve"> </w:t>
      </w:r>
      <w:r w:rsidR="00DF263C">
        <w:rPr>
          <w:sz w:val="22"/>
          <w:szCs w:val="22"/>
        </w:rPr>
        <w:t>(v</w:t>
      </w:r>
      <w:r w:rsidR="00DF263C" w:rsidRPr="00EE1FCF">
        <w:rPr>
          <w:sz w:val="22"/>
          <w:szCs w:val="22"/>
        </w:rPr>
        <w:t xml:space="preserve"> roku 2012 bola prekročená prípustná intenzita na cestách I. triedy v e</w:t>
      </w:r>
      <w:r w:rsidR="00D57810">
        <w:rPr>
          <w:sz w:val="22"/>
          <w:szCs w:val="22"/>
        </w:rPr>
        <w:t>xtraviláne v </w:t>
      </w:r>
      <w:r w:rsidR="00DF263C">
        <w:rPr>
          <w:sz w:val="22"/>
          <w:szCs w:val="22"/>
        </w:rPr>
        <w:t>rozsahu 358 km, t. </w:t>
      </w:r>
      <w:r w:rsidR="00DF263C" w:rsidRPr="00EE1FCF">
        <w:rPr>
          <w:sz w:val="22"/>
          <w:szCs w:val="22"/>
        </w:rPr>
        <w:t>j. 12,67 % z celkovej sčítanej dĺžk</w:t>
      </w:r>
      <w:r w:rsidR="00DF263C">
        <w:rPr>
          <w:sz w:val="22"/>
          <w:szCs w:val="22"/>
        </w:rPr>
        <w:t xml:space="preserve">y ciest I. triedy v extraviláne) </w:t>
      </w:r>
      <w:r w:rsidR="00DF263C" w:rsidRPr="008327A8">
        <w:rPr>
          <w:sz w:val="22"/>
          <w:szCs w:val="22"/>
        </w:rPr>
        <w:t>a</w:t>
      </w:r>
      <w:r w:rsidR="00DF263C">
        <w:rPr>
          <w:sz w:val="22"/>
          <w:szCs w:val="22"/>
        </w:rPr>
        <w:t>ko aj</w:t>
      </w:r>
      <w:r w:rsidR="00DF263C" w:rsidRPr="008327A8">
        <w:rPr>
          <w:sz w:val="22"/>
          <w:szCs w:val="22"/>
        </w:rPr>
        <w:t xml:space="preserve"> nevyhovujúcich stavebno-technických parametrov</w:t>
      </w:r>
      <w:r w:rsidR="00DF263C">
        <w:rPr>
          <w:sz w:val="22"/>
          <w:szCs w:val="22"/>
        </w:rPr>
        <w:t xml:space="preserve">, ktoré spôsobujú zvýšené riziko v oblasti bezpečnosti cestnej premávky. </w:t>
      </w:r>
      <w:r w:rsidR="002F56BA">
        <w:rPr>
          <w:sz w:val="22"/>
          <w:szCs w:val="22"/>
        </w:rPr>
        <w:t>Na </w:t>
      </w:r>
      <w:r w:rsidR="00DF263C" w:rsidRPr="003F758D">
        <w:rPr>
          <w:sz w:val="22"/>
          <w:szCs w:val="22"/>
        </w:rPr>
        <w:t>cestách I. triedy tvorí počet dopravných nehôd 55,3 % zo všetkých dopravných nehôd na cestných komunikáciách. Aj počet usmrtených osôb je vyšší oproti počtu usmrtených osôb na ostatných cestách a tvorí 54,6 %.</w:t>
      </w:r>
    </w:p>
    <w:p w14:paraId="57AE2DBB" w14:textId="77777777" w:rsidR="00A347B6" w:rsidRPr="00A21DD4" w:rsidRDefault="00A347B6" w:rsidP="00BC7446">
      <w:pPr>
        <w:autoSpaceDE w:val="0"/>
        <w:autoSpaceDN w:val="0"/>
        <w:adjustRightInd w:val="0"/>
        <w:spacing w:before="180"/>
        <w:jc w:val="both"/>
        <w:rPr>
          <w:sz w:val="22"/>
          <w:szCs w:val="22"/>
        </w:rPr>
      </w:pPr>
      <w:r w:rsidRPr="00A21DD4">
        <w:rPr>
          <w:sz w:val="22"/>
          <w:szCs w:val="22"/>
        </w:rPr>
        <w:t>Špecifický cieľ je potrebné chápať taktiež v kontexte snahy o zlepšenie regionálnej mobility</w:t>
      </w:r>
      <w:r w:rsidR="00112B7D" w:rsidRPr="00A21DD4">
        <w:rPr>
          <w:sz w:val="22"/>
          <w:szCs w:val="22"/>
        </w:rPr>
        <w:t xml:space="preserve">, </w:t>
      </w:r>
      <w:r w:rsidR="00657F95" w:rsidRPr="00A21DD4">
        <w:rPr>
          <w:sz w:val="22"/>
          <w:szCs w:val="22"/>
        </w:rPr>
        <w:t>bezpečnosti</w:t>
      </w:r>
      <w:r w:rsidRPr="00A21DD4">
        <w:rPr>
          <w:sz w:val="22"/>
          <w:szCs w:val="22"/>
        </w:rPr>
        <w:t xml:space="preserve"> a</w:t>
      </w:r>
      <w:r w:rsidR="00BC7446" w:rsidRPr="00A21DD4">
        <w:rPr>
          <w:sz w:val="22"/>
          <w:szCs w:val="22"/>
        </w:rPr>
        <w:t xml:space="preserve"> zabezpečenie </w:t>
      </w:r>
      <w:r w:rsidRPr="00A21DD4">
        <w:rPr>
          <w:sz w:val="22"/>
          <w:szCs w:val="22"/>
        </w:rPr>
        <w:t xml:space="preserve">prístupu </w:t>
      </w:r>
      <w:r w:rsidR="002C1CFB" w:rsidRPr="00A21DD4">
        <w:rPr>
          <w:sz w:val="22"/>
          <w:szCs w:val="22"/>
        </w:rPr>
        <w:t xml:space="preserve">obyvateľov SR </w:t>
      </w:r>
      <w:r w:rsidRPr="00A21DD4">
        <w:rPr>
          <w:sz w:val="22"/>
          <w:szCs w:val="22"/>
        </w:rPr>
        <w:t>k TEN-T</w:t>
      </w:r>
      <w:r w:rsidR="00765170" w:rsidRPr="00A21DD4">
        <w:rPr>
          <w:sz w:val="22"/>
          <w:szCs w:val="22"/>
        </w:rPr>
        <w:t xml:space="preserve"> a jednotnému trhu</w:t>
      </w:r>
      <w:r w:rsidRPr="00A21DD4">
        <w:rPr>
          <w:sz w:val="22"/>
          <w:szCs w:val="22"/>
        </w:rPr>
        <w:t>.</w:t>
      </w:r>
      <w:r w:rsidR="00BC7446" w:rsidRPr="00A21DD4">
        <w:t xml:space="preserve"> </w:t>
      </w:r>
      <w:r w:rsidR="00BC7446" w:rsidRPr="00A21DD4">
        <w:rPr>
          <w:sz w:val="22"/>
          <w:szCs w:val="22"/>
        </w:rPr>
        <w:t>Na skrátenie vzájom</w:t>
      </w:r>
      <w:r w:rsidR="002C1CFB" w:rsidRPr="00A21DD4">
        <w:rPr>
          <w:sz w:val="22"/>
          <w:szCs w:val="22"/>
        </w:rPr>
        <w:t>nej časovej dostupnosti miest a </w:t>
      </w:r>
      <w:r w:rsidR="00BC7446" w:rsidRPr="00A21DD4">
        <w:rPr>
          <w:sz w:val="22"/>
          <w:szCs w:val="22"/>
        </w:rPr>
        <w:t>regiónov SR je potrebné budovanie obchvatov a preložiek cie</w:t>
      </w:r>
      <w:r w:rsidR="00765170" w:rsidRPr="00A21DD4">
        <w:rPr>
          <w:sz w:val="22"/>
          <w:szCs w:val="22"/>
        </w:rPr>
        <w:t>st I. triedy, najmä v </w:t>
      </w:r>
      <w:r w:rsidR="002C1CFB" w:rsidRPr="00A21DD4">
        <w:rPr>
          <w:sz w:val="22"/>
          <w:szCs w:val="22"/>
        </w:rPr>
        <w:t>úsekoch s </w:t>
      </w:r>
      <w:r w:rsidR="00BC7446" w:rsidRPr="00A21DD4">
        <w:rPr>
          <w:sz w:val="22"/>
          <w:szCs w:val="22"/>
        </w:rPr>
        <w:t>nevyhovujúcimi technickými a kapacitnými parame</w:t>
      </w:r>
      <w:r w:rsidR="00765170" w:rsidRPr="00A21DD4">
        <w:rPr>
          <w:sz w:val="22"/>
          <w:szCs w:val="22"/>
        </w:rPr>
        <w:t>trami a tam, kde sa neuvažuje s </w:t>
      </w:r>
      <w:r w:rsidR="00BC7446" w:rsidRPr="00A21DD4">
        <w:rPr>
          <w:sz w:val="22"/>
          <w:szCs w:val="22"/>
        </w:rPr>
        <w:t>trasovaním ťahov TEN-T.</w:t>
      </w:r>
    </w:p>
    <w:p w14:paraId="501D47C2" w14:textId="77777777" w:rsidR="00A20CF7" w:rsidRPr="00A21DD4" w:rsidRDefault="00A20CF7" w:rsidP="00BC7446">
      <w:pPr>
        <w:autoSpaceDE w:val="0"/>
        <w:autoSpaceDN w:val="0"/>
        <w:adjustRightInd w:val="0"/>
        <w:spacing w:before="180"/>
        <w:jc w:val="both"/>
        <w:rPr>
          <w:sz w:val="22"/>
          <w:szCs w:val="22"/>
        </w:rPr>
      </w:pPr>
      <w:r w:rsidRPr="00A21DD4">
        <w:rPr>
          <w:sz w:val="22"/>
          <w:szCs w:val="22"/>
        </w:rPr>
        <w:t>Elimináciu negatívnych javov vyplývajúcich z dopravy v mestách a regiónoch je možné dosiahnuť realizáciou opatrení, ktoré boli stanovené v strategických dokumentoch MDV SR, Programoch a Akčných plánoch na zlepšenie kvality ovzdušia, resp. Plánoch udržateľnej mestskej mobility (ak už existujú).</w:t>
      </w:r>
    </w:p>
    <w:p w14:paraId="0E56BBBD" w14:textId="77777777" w:rsidR="007F7347" w:rsidRPr="001B2070" w:rsidRDefault="007F7347" w:rsidP="001B2070">
      <w:pPr>
        <w:spacing w:before="180" w:after="120"/>
        <w:rPr>
          <w:rFonts w:ascii="Arial Narrow" w:hAnsi="Arial Narrow"/>
          <w:b/>
          <w:i/>
          <w:color w:val="548DD4" w:themeColor="text2" w:themeTint="99"/>
          <w:sz w:val="22"/>
          <w:szCs w:val="22"/>
        </w:rPr>
      </w:pPr>
      <w:r w:rsidRPr="00A21DD4">
        <w:rPr>
          <w:rFonts w:ascii="Arial Narrow" w:hAnsi="Arial Narrow"/>
          <w:b/>
          <w:i/>
          <w:color w:val="548DD4" w:themeColor="text2" w:themeTint="99"/>
          <w:sz w:val="22"/>
          <w:szCs w:val="22"/>
        </w:rPr>
        <w:t>VÝSLEDKY</w:t>
      </w:r>
    </w:p>
    <w:p w14:paraId="306D0878" w14:textId="77777777" w:rsidR="009E0158" w:rsidRDefault="001124FB" w:rsidP="00E0226E">
      <w:pPr>
        <w:pStyle w:val="Odsekzoznamu"/>
        <w:numPr>
          <w:ilvl w:val="0"/>
          <w:numId w:val="96"/>
        </w:numPr>
        <w:autoSpaceDE w:val="0"/>
        <w:autoSpaceDN w:val="0"/>
        <w:adjustRightInd w:val="0"/>
        <w:ind w:hanging="436"/>
        <w:jc w:val="both"/>
        <w:rPr>
          <w:sz w:val="22"/>
          <w:szCs w:val="22"/>
        </w:rPr>
      </w:pPr>
      <w:r>
        <w:rPr>
          <w:sz w:val="22"/>
          <w:szCs w:val="22"/>
        </w:rPr>
        <w:t xml:space="preserve">zvýšenie kapacity </w:t>
      </w:r>
      <w:r w:rsidR="0047755C">
        <w:rPr>
          <w:sz w:val="22"/>
          <w:szCs w:val="22"/>
        </w:rPr>
        <w:t>ciest I. triedy na exponovaných úsekoch</w:t>
      </w:r>
      <w:r>
        <w:rPr>
          <w:sz w:val="22"/>
          <w:szCs w:val="22"/>
        </w:rPr>
        <w:t>,</w:t>
      </w:r>
    </w:p>
    <w:p w14:paraId="61EAB005" w14:textId="77777777" w:rsidR="009E0158" w:rsidRDefault="006C1D08" w:rsidP="00E0226E">
      <w:pPr>
        <w:pStyle w:val="Odsekzoznamu"/>
        <w:numPr>
          <w:ilvl w:val="0"/>
          <w:numId w:val="96"/>
        </w:numPr>
        <w:autoSpaceDE w:val="0"/>
        <w:autoSpaceDN w:val="0"/>
        <w:adjustRightInd w:val="0"/>
        <w:ind w:left="709" w:hanging="425"/>
        <w:jc w:val="both"/>
        <w:rPr>
          <w:sz w:val="22"/>
          <w:szCs w:val="22"/>
        </w:rPr>
      </w:pPr>
      <w:r>
        <w:rPr>
          <w:sz w:val="22"/>
          <w:szCs w:val="22"/>
        </w:rPr>
        <w:t>zvýšenie bezpečnosti cestnej premávky a zníženie nehodovosti,</w:t>
      </w:r>
    </w:p>
    <w:p w14:paraId="036F9426" w14:textId="77777777" w:rsidR="009E0158" w:rsidRDefault="006C1D08" w:rsidP="00E0226E">
      <w:pPr>
        <w:pStyle w:val="Odsekzoznamu"/>
        <w:numPr>
          <w:ilvl w:val="0"/>
          <w:numId w:val="96"/>
        </w:numPr>
        <w:autoSpaceDE w:val="0"/>
        <w:autoSpaceDN w:val="0"/>
        <w:adjustRightInd w:val="0"/>
        <w:ind w:left="709" w:hanging="425"/>
        <w:jc w:val="both"/>
        <w:rPr>
          <w:sz w:val="22"/>
          <w:szCs w:val="22"/>
        </w:rPr>
      </w:pPr>
      <w:r>
        <w:rPr>
          <w:sz w:val="22"/>
          <w:szCs w:val="22"/>
        </w:rPr>
        <w:t xml:space="preserve">zníženie negatívnych vplyvov na životné prostredie (zníženie </w:t>
      </w:r>
      <w:r w:rsidR="001124FB">
        <w:rPr>
          <w:sz w:val="22"/>
          <w:szCs w:val="22"/>
        </w:rPr>
        <w:t>hluku, emisií</w:t>
      </w:r>
      <w:r w:rsidR="00453441">
        <w:rPr>
          <w:sz w:val="22"/>
          <w:szCs w:val="22"/>
        </w:rPr>
        <w:t xml:space="preserve"> CO</w:t>
      </w:r>
      <w:r w:rsidR="00453441" w:rsidRPr="00453441">
        <w:rPr>
          <w:sz w:val="22"/>
          <w:szCs w:val="22"/>
          <w:vertAlign w:val="subscript"/>
        </w:rPr>
        <w:t>2</w:t>
      </w:r>
      <w:r w:rsidR="00453441">
        <w:rPr>
          <w:sz w:val="22"/>
          <w:szCs w:val="22"/>
        </w:rPr>
        <w:t>, NO</w:t>
      </w:r>
      <w:r w:rsidR="00453441" w:rsidRPr="00453441">
        <w:rPr>
          <w:sz w:val="22"/>
          <w:szCs w:val="22"/>
          <w:vertAlign w:val="subscript"/>
        </w:rPr>
        <w:t>2</w:t>
      </w:r>
      <w:r w:rsidR="00453441">
        <w:rPr>
          <w:sz w:val="22"/>
          <w:szCs w:val="22"/>
        </w:rPr>
        <w:t xml:space="preserve"> a</w:t>
      </w:r>
      <w:r w:rsidR="00FB648D">
        <w:rPr>
          <w:sz w:val="22"/>
          <w:szCs w:val="22"/>
        </w:rPr>
        <w:t> </w:t>
      </w:r>
      <w:r w:rsidR="00453441">
        <w:rPr>
          <w:sz w:val="22"/>
          <w:szCs w:val="22"/>
        </w:rPr>
        <w:t>PM</w:t>
      </w:r>
      <w:r w:rsidR="00FB648D" w:rsidRPr="00FB648D">
        <w:rPr>
          <w:sz w:val="22"/>
          <w:szCs w:val="22"/>
          <w:vertAlign w:val="subscript"/>
        </w:rPr>
        <w:t>10</w:t>
      </w:r>
      <w:r w:rsidR="001124FB">
        <w:rPr>
          <w:sz w:val="22"/>
          <w:szCs w:val="22"/>
        </w:rPr>
        <w:t>, vibrácií, prašnosti a pod.</w:t>
      </w:r>
      <w:r>
        <w:rPr>
          <w:sz w:val="22"/>
          <w:szCs w:val="22"/>
        </w:rPr>
        <w:t xml:space="preserve"> v intraviláne miest a obcí),</w:t>
      </w:r>
    </w:p>
    <w:p w14:paraId="6A933198" w14:textId="77777777" w:rsidR="009E0158" w:rsidRDefault="006C1D08" w:rsidP="00E0226E">
      <w:pPr>
        <w:pStyle w:val="Odsekzoznamu"/>
        <w:numPr>
          <w:ilvl w:val="0"/>
          <w:numId w:val="96"/>
        </w:numPr>
        <w:autoSpaceDE w:val="0"/>
        <w:autoSpaceDN w:val="0"/>
        <w:adjustRightInd w:val="0"/>
        <w:ind w:left="709" w:hanging="425"/>
        <w:jc w:val="both"/>
        <w:rPr>
          <w:sz w:val="22"/>
          <w:szCs w:val="22"/>
        </w:rPr>
      </w:pPr>
      <w:r>
        <w:rPr>
          <w:sz w:val="22"/>
          <w:szCs w:val="22"/>
        </w:rPr>
        <w:t>zníženie časových strát a prevádzkových nákladov,</w:t>
      </w:r>
    </w:p>
    <w:p w14:paraId="2BE29279" w14:textId="77777777" w:rsidR="009E0158" w:rsidRDefault="006C1D08" w:rsidP="00E0226E">
      <w:pPr>
        <w:pStyle w:val="Odsekzoznamu"/>
        <w:numPr>
          <w:ilvl w:val="0"/>
          <w:numId w:val="96"/>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Pr>
          <w:sz w:val="22"/>
          <w:szCs w:val="22"/>
        </w:rPr>
        <w:t>, zlepšenia mobility obyvateľstva</w:t>
      </w:r>
      <w:r w:rsidRPr="00B715C0">
        <w:rPr>
          <w:sz w:val="22"/>
          <w:szCs w:val="22"/>
        </w:rPr>
        <w:t xml:space="preserve"> a potenciálu </w:t>
      </w:r>
      <w:r w:rsidR="002F56BA">
        <w:rPr>
          <w:sz w:val="22"/>
          <w:szCs w:val="22"/>
        </w:rPr>
        <w:t>rastu zamestnanosti</w:t>
      </w:r>
      <w:r>
        <w:rPr>
          <w:sz w:val="22"/>
          <w:szCs w:val="22"/>
        </w:rPr>
        <w:t>.</w:t>
      </w:r>
    </w:p>
    <w:p w14:paraId="2E1A0845" w14:textId="77777777" w:rsidR="00A837FB" w:rsidRDefault="007F7347" w:rsidP="00A837FB">
      <w:pPr>
        <w:pStyle w:val="Tab"/>
      </w:pPr>
      <w:r w:rsidRPr="004F0234">
        <w:t>Výsledkové ukazovatele zodpovedajúce špecifickému cieľu</w:t>
      </w:r>
      <w:r w:rsidR="003D6170">
        <w:t xml:space="preserve"> 6.2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71"/>
        <w:gridCol w:w="1620"/>
        <w:gridCol w:w="897"/>
        <w:gridCol w:w="1020"/>
        <w:gridCol w:w="1297"/>
        <w:gridCol w:w="1297"/>
        <w:gridCol w:w="861"/>
        <w:gridCol w:w="747"/>
        <w:gridCol w:w="1177"/>
      </w:tblGrid>
      <w:tr w:rsidR="00A837FB" w:rsidRPr="008C1732" w14:paraId="4B8EC8B6" w14:textId="77777777" w:rsidTr="00EC76C1">
        <w:trPr>
          <w:trHeight w:val="487"/>
          <w:jc w:val="center"/>
        </w:trPr>
        <w:tc>
          <w:tcPr>
            <w:tcW w:w="369" w:type="dxa"/>
            <w:shd w:val="clear" w:color="auto" w:fill="C6D9F1" w:themeFill="text2" w:themeFillTint="33"/>
            <w:vAlign w:val="center"/>
          </w:tcPr>
          <w:p w14:paraId="37BC1084" w14:textId="77777777" w:rsidR="00A837FB" w:rsidRPr="008C1732" w:rsidRDefault="00A837FB" w:rsidP="00816B1A">
            <w:pPr>
              <w:ind w:left="0"/>
              <w:jc w:val="center"/>
              <w:rPr>
                <w:b/>
                <w:sz w:val="18"/>
                <w:szCs w:val="18"/>
              </w:rPr>
            </w:pPr>
            <w:r>
              <w:rPr>
                <w:b/>
                <w:sz w:val="18"/>
                <w:szCs w:val="18"/>
              </w:rPr>
              <w:t>P. č.</w:t>
            </w:r>
          </w:p>
        </w:tc>
        <w:tc>
          <w:tcPr>
            <w:tcW w:w="1646" w:type="dxa"/>
            <w:shd w:val="clear" w:color="auto" w:fill="C6D9F1" w:themeFill="text2" w:themeFillTint="33"/>
            <w:vAlign w:val="center"/>
          </w:tcPr>
          <w:p w14:paraId="44D25C70" w14:textId="77777777" w:rsidR="00A837FB" w:rsidRPr="008C1732" w:rsidRDefault="00A837FB" w:rsidP="00816B1A">
            <w:pPr>
              <w:ind w:left="0"/>
              <w:jc w:val="center"/>
              <w:rPr>
                <w:b/>
                <w:sz w:val="18"/>
                <w:szCs w:val="18"/>
              </w:rPr>
            </w:pPr>
            <w:r w:rsidRPr="008C1732">
              <w:rPr>
                <w:b/>
                <w:sz w:val="18"/>
                <w:szCs w:val="18"/>
              </w:rPr>
              <w:t>Ukazovateľ</w:t>
            </w:r>
          </w:p>
        </w:tc>
        <w:tc>
          <w:tcPr>
            <w:tcW w:w="893" w:type="dxa"/>
            <w:shd w:val="clear" w:color="auto" w:fill="C6D9F1" w:themeFill="text2" w:themeFillTint="33"/>
            <w:vAlign w:val="center"/>
          </w:tcPr>
          <w:p w14:paraId="55310F46" w14:textId="77777777" w:rsidR="00A837FB" w:rsidRPr="008C1732" w:rsidRDefault="00A837FB" w:rsidP="00816B1A">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14:paraId="5623E16C" w14:textId="77777777" w:rsidR="00A837FB" w:rsidRPr="008C1732" w:rsidRDefault="00A837FB" w:rsidP="00816B1A">
            <w:pPr>
              <w:ind w:left="0"/>
              <w:jc w:val="center"/>
              <w:rPr>
                <w:b/>
                <w:sz w:val="18"/>
                <w:szCs w:val="18"/>
              </w:rPr>
            </w:pPr>
            <w:r w:rsidRPr="008C1732">
              <w:rPr>
                <w:b/>
                <w:sz w:val="18"/>
                <w:szCs w:val="18"/>
              </w:rPr>
              <w:t>Kategória regiónu</w:t>
            </w:r>
          </w:p>
        </w:tc>
        <w:tc>
          <w:tcPr>
            <w:tcW w:w="1290" w:type="dxa"/>
            <w:shd w:val="clear" w:color="auto" w:fill="C6D9F1" w:themeFill="text2" w:themeFillTint="33"/>
            <w:vAlign w:val="center"/>
          </w:tcPr>
          <w:p w14:paraId="398BC2C7" w14:textId="77777777" w:rsidR="00A837FB" w:rsidRPr="008C1732" w:rsidRDefault="00A837FB" w:rsidP="00816B1A">
            <w:pPr>
              <w:ind w:left="0"/>
              <w:jc w:val="center"/>
              <w:rPr>
                <w:b/>
                <w:sz w:val="18"/>
                <w:szCs w:val="18"/>
              </w:rPr>
            </w:pPr>
            <w:r>
              <w:rPr>
                <w:b/>
                <w:sz w:val="18"/>
                <w:szCs w:val="18"/>
              </w:rPr>
              <w:t>Východisková hodnota</w:t>
            </w:r>
          </w:p>
        </w:tc>
        <w:tc>
          <w:tcPr>
            <w:tcW w:w="1290" w:type="dxa"/>
            <w:shd w:val="clear" w:color="auto" w:fill="C6D9F1" w:themeFill="text2" w:themeFillTint="33"/>
            <w:vAlign w:val="center"/>
          </w:tcPr>
          <w:p w14:paraId="41BC1E44" w14:textId="77777777" w:rsidR="00A837FB" w:rsidRPr="008C1732" w:rsidRDefault="00A837FB" w:rsidP="00816B1A">
            <w:pPr>
              <w:ind w:left="0"/>
              <w:jc w:val="center"/>
              <w:rPr>
                <w:b/>
                <w:sz w:val="18"/>
                <w:szCs w:val="18"/>
              </w:rPr>
            </w:pPr>
            <w:r>
              <w:rPr>
                <w:b/>
                <w:sz w:val="18"/>
                <w:szCs w:val="18"/>
              </w:rPr>
              <w:t>Východiskový rok</w:t>
            </w:r>
          </w:p>
        </w:tc>
        <w:tc>
          <w:tcPr>
            <w:tcW w:w="862" w:type="dxa"/>
            <w:shd w:val="clear" w:color="auto" w:fill="C6D9F1" w:themeFill="text2" w:themeFillTint="33"/>
            <w:vAlign w:val="center"/>
          </w:tcPr>
          <w:p w14:paraId="68E1E59A" w14:textId="77777777" w:rsidR="00A837FB" w:rsidRPr="008C1732" w:rsidRDefault="00A837FB" w:rsidP="00816B1A">
            <w:pPr>
              <w:ind w:left="0"/>
              <w:jc w:val="center"/>
              <w:rPr>
                <w:b/>
                <w:sz w:val="18"/>
                <w:szCs w:val="18"/>
              </w:rPr>
            </w:pPr>
            <w:r w:rsidRPr="008C1732">
              <w:rPr>
                <w:b/>
                <w:sz w:val="18"/>
                <w:szCs w:val="18"/>
              </w:rPr>
              <w:t>Cieľová hodnota (2023)</w:t>
            </w:r>
          </w:p>
        </w:tc>
        <w:tc>
          <w:tcPr>
            <w:tcW w:w="744" w:type="dxa"/>
            <w:shd w:val="clear" w:color="auto" w:fill="C6D9F1" w:themeFill="text2" w:themeFillTint="33"/>
            <w:vAlign w:val="center"/>
          </w:tcPr>
          <w:p w14:paraId="3D32290D" w14:textId="77777777" w:rsidR="00A837FB" w:rsidRPr="008C1732" w:rsidRDefault="00A837FB" w:rsidP="00816B1A">
            <w:pPr>
              <w:ind w:left="0"/>
              <w:jc w:val="center"/>
              <w:rPr>
                <w:b/>
                <w:sz w:val="18"/>
                <w:szCs w:val="18"/>
              </w:rPr>
            </w:pPr>
            <w:r w:rsidRPr="008C1732">
              <w:rPr>
                <w:b/>
                <w:sz w:val="18"/>
                <w:szCs w:val="18"/>
              </w:rPr>
              <w:t>Zdroj údajov</w:t>
            </w:r>
          </w:p>
        </w:tc>
        <w:tc>
          <w:tcPr>
            <w:tcW w:w="1171" w:type="dxa"/>
            <w:shd w:val="clear" w:color="auto" w:fill="C6D9F1" w:themeFill="text2" w:themeFillTint="33"/>
            <w:vAlign w:val="center"/>
          </w:tcPr>
          <w:p w14:paraId="485DA4F9"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B18C1" w14:paraId="72D2CFEF" w14:textId="77777777" w:rsidTr="00EC76C1">
        <w:trPr>
          <w:trHeight w:val="680"/>
          <w:jc w:val="center"/>
        </w:trPr>
        <w:tc>
          <w:tcPr>
            <w:tcW w:w="369" w:type="dxa"/>
            <w:shd w:val="clear" w:color="auto" w:fill="auto"/>
            <w:vAlign w:val="center"/>
          </w:tcPr>
          <w:p w14:paraId="3FB6C94E" w14:textId="77777777" w:rsidR="00A837FB" w:rsidRPr="00336C1F" w:rsidRDefault="00A837FB" w:rsidP="00816B1A">
            <w:pPr>
              <w:ind w:left="0"/>
              <w:jc w:val="center"/>
              <w:rPr>
                <w:sz w:val="20"/>
                <w:szCs w:val="20"/>
              </w:rPr>
            </w:pPr>
            <w:r>
              <w:rPr>
                <w:sz w:val="20"/>
                <w:szCs w:val="20"/>
              </w:rPr>
              <w:t>1.</w:t>
            </w:r>
          </w:p>
        </w:tc>
        <w:tc>
          <w:tcPr>
            <w:tcW w:w="1646" w:type="dxa"/>
            <w:shd w:val="clear" w:color="auto" w:fill="auto"/>
            <w:vAlign w:val="center"/>
          </w:tcPr>
          <w:p w14:paraId="62559159" w14:textId="77777777" w:rsidR="00A837FB" w:rsidRPr="00A21DD4" w:rsidRDefault="00A837FB" w:rsidP="00816B1A">
            <w:pPr>
              <w:ind w:left="0"/>
              <w:rPr>
                <w:sz w:val="20"/>
                <w:szCs w:val="20"/>
              </w:rPr>
            </w:pPr>
            <w:r w:rsidRPr="00A21DD4">
              <w:rPr>
                <w:sz w:val="20"/>
                <w:szCs w:val="20"/>
              </w:rPr>
              <w:t>Úspora času v cestnej doprav</w:t>
            </w:r>
            <w:r w:rsidR="00D65B44" w:rsidRPr="00A21DD4">
              <w:rPr>
                <w:sz w:val="20"/>
                <w:szCs w:val="20"/>
              </w:rPr>
              <w:t xml:space="preserve">e na </w:t>
            </w:r>
            <w:r w:rsidRPr="00A21DD4">
              <w:rPr>
                <w:sz w:val="20"/>
                <w:szCs w:val="20"/>
              </w:rPr>
              <w:t>cestách I. triedy</w:t>
            </w:r>
          </w:p>
        </w:tc>
        <w:tc>
          <w:tcPr>
            <w:tcW w:w="893" w:type="dxa"/>
            <w:shd w:val="clear" w:color="auto" w:fill="auto"/>
            <w:vAlign w:val="center"/>
          </w:tcPr>
          <w:p w14:paraId="07B5DF46" w14:textId="77777777" w:rsidR="00A837FB" w:rsidRPr="00A21DD4" w:rsidRDefault="00A837FB" w:rsidP="00816B1A">
            <w:pPr>
              <w:ind w:left="0"/>
              <w:jc w:val="center"/>
              <w:rPr>
                <w:i/>
                <w:sz w:val="20"/>
                <w:szCs w:val="20"/>
              </w:rPr>
            </w:pPr>
            <w:r w:rsidRPr="00A21DD4">
              <w:rPr>
                <w:i/>
                <w:sz w:val="20"/>
                <w:szCs w:val="20"/>
              </w:rPr>
              <w:t>EUR</w:t>
            </w:r>
          </w:p>
        </w:tc>
        <w:tc>
          <w:tcPr>
            <w:tcW w:w="1022" w:type="dxa"/>
            <w:shd w:val="clear" w:color="auto" w:fill="auto"/>
            <w:vAlign w:val="center"/>
          </w:tcPr>
          <w:p w14:paraId="67432F08" w14:textId="77777777" w:rsidR="00A837FB" w:rsidRPr="00A21DD4" w:rsidRDefault="00EC76C1" w:rsidP="00816B1A">
            <w:pPr>
              <w:ind w:left="0"/>
              <w:jc w:val="center"/>
              <w:rPr>
                <w:i/>
                <w:sz w:val="20"/>
                <w:szCs w:val="20"/>
              </w:rPr>
            </w:pPr>
            <w:r w:rsidRPr="00A21DD4">
              <w:rPr>
                <w:i/>
                <w:sz w:val="20"/>
                <w:szCs w:val="20"/>
              </w:rPr>
              <w:t>Menej rozvinuté</w:t>
            </w:r>
          </w:p>
        </w:tc>
        <w:tc>
          <w:tcPr>
            <w:tcW w:w="1290" w:type="dxa"/>
            <w:vAlign w:val="center"/>
          </w:tcPr>
          <w:p w14:paraId="1770455D" w14:textId="77777777" w:rsidR="00A837FB" w:rsidRPr="00A21DD4" w:rsidRDefault="005F3D53" w:rsidP="00E041B3">
            <w:pPr>
              <w:ind w:left="0"/>
              <w:jc w:val="center"/>
              <w:rPr>
                <w:i/>
                <w:sz w:val="20"/>
                <w:szCs w:val="20"/>
              </w:rPr>
            </w:pPr>
            <w:r w:rsidRPr="00A21DD4">
              <w:rPr>
                <w:i/>
                <w:sz w:val="20"/>
                <w:szCs w:val="20"/>
              </w:rPr>
              <w:t>96 853 141</w:t>
            </w:r>
          </w:p>
        </w:tc>
        <w:tc>
          <w:tcPr>
            <w:tcW w:w="1290" w:type="dxa"/>
            <w:vAlign w:val="center"/>
          </w:tcPr>
          <w:p w14:paraId="4921B323" w14:textId="77777777" w:rsidR="00A837FB" w:rsidRPr="00A21DD4" w:rsidRDefault="00A837FB" w:rsidP="00816B1A">
            <w:pPr>
              <w:ind w:left="0"/>
              <w:jc w:val="center"/>
              <w:rPr>
                <w:i/>
                <w:sz w:val="20"/>
                <w:szCs w:val="20"/>
              </w:rPr>
            </w:pPr>
            <w:r w:rsidRPr="00A21DD4">
              <w:rPr>
                <w:i/>
                <w:sz w:val="20"/>
                <w:szCs w:val="20"/>
              </w:rPr>
              <w:t>2013</w:t>
            </w:r>
          </w:p>
        </w:tc>
        <w:tc>
          <w:tcPr>
            <w:tcW w:w="862" w:type="dxa"/>
            <w:shd w:val="clear" w:color="auto" w:fill="auto"/>
            <w:vAlign w:val="center"/>
          </w:tcPr>
          <w:p w14:paraId="2CE221F4" w14:textId="77777777" w:rsidR="00A837FB" w:rsidRPr="00A21DD4" w:rsidRDefault="005F3D53" w:rsidP="00816B1A">
            <w:pPr>
              <w:ind w:left="0"/>
              <w:jc w:val="center"/>
              <w:rPr>
                <w:i/>
                <w:sz w:val="20"/>
                <w:szCs w:val="20"/>
              </w:rPr>
            </w:pPr>
            <w:r w:rsidRPr="00A21DD4">
              <w:rPr>
                <w:i/>
                <w:sz w:val="20"/>
                <w:szCs w:val="20"/>
              </w:rPr>
              <w:t>69 287 656</w:t>
            </w:r>
          </w:p>
        </w:tc>
        <w:tc>
          <w:tcPr>
            <w:tcW w:w="744" w:type="dxa"/>
            <w:vAlign w:val="center"/>
          </w:tcPr>
          <w:p w14:paraId="7A3D581E" w14:textId="77777777" w:rsidR="00A837FB" w:rsidRPr="00A21DD4" w:rsidRDefault="00A837FB" w:rsidP="00816B1A">
            <w:pPr>
              <w:ind w:left="0"/>
              <w:jc w:val="center"/>
              <w:rPr>
                <w:sz w:val="20"/>
                <w:szCs w:val="20"/>
              </w:rPr>
            </w:pPr>
            <w:r w:rsidRPr="00A21DD4">
              <w:rPr>
                <w:sz w:val="20"/>
                <w:szCs w:val="20"/>
              </w:rPr>
              <w:t>RO OPII</w:t>
            </w:r>
          </w:p>
        </w:tc>
        <w:tc>
          <w:tcPr>
            <w:tcW w:w="1171" w:type="dxa"/>
            <w:vAlign w:val="center"/>
          </w:tcPr>
          <w:p w14:paraId="1E6A65DF" w14:textId="77777777" w:rsidR="00A837FB" w:rsidRPr="00A21DD4" w:rsidRDefault="00A837FB" w:rsidP="00816B1A">
            <w:pPr>
              <w:ind w:left="0"/>
              <w:jc w:val="center"/>
              <w:rPr>
                <w:sz w:val="20"/>
                <w:szCs w:val="20"/>
              </w:rPr>
            </w:pPr>
            <w:r w:rsidRPr="00A21DD4">
              <w:rPr>
                <w:sz w:val="20"/>
                <w:szCs w:val="20"/>
              </w:rPr>
              <w:t>Ročne</w:t>
            </w:r>
          </w:p>
        </w:tc>
      </w:tr>
      <w:tr w:rsidR="00A837FB" w:rsidRPr="00AB18C1" w14:paraId="01EFF2A9" w14:textId="77777777" w:rsidTr="00EC76C1">
        <w:trPr>
          <w:trHeight w:val="680"/>
          <w:jc w:val="center"/>
        </w:trPr>
        <w:tc>
          <w:tcPr>
            <w:tcW w:w="369" w:type="dxa"/>
            <w:shd w:val="clear" w:color="auto" w:fill="auto"/>
            <w:vAlign w:val="center"/>
          </w:tcPr>
          <w:p w14:paraId="1C7FFF4F" w14:textId="77777777" w:rsidR="00A837FB" w:rsidRPr="00336C1F" w:rsidRDefault="00A837FB" w:rsidP="00816B1A">
            <w:pPr>
              <w:ind w:left="0"/>
              <w:jc w:val="center"/>
              <w:rPr>
                <w:sz w:val="20"/>
                <w:szCs w:val="20"/>
              </w:rPr>
            </w:pPr>
            <w:r>
              <w:rPr>
                <w:sz w:val="20"/>
                <w:szCs w:val="20"/>
              </w:rPr>
              <w:t>2.</w:t>
            </w:r>
          </w:p>
        </w:tc>
        <w:tc>
          <w:tcPr>
            <w:tcW w:w="1646" w:type="dxa"/>
            <w:shd w:val="clear" w:color="auto" w:fill="auto"/>
            <w:vAlign w:val="center"/>
          </w:tcPr>
          <w:p w14:paraId="75723A5C" w14:textId="77777777" w:rsidR="00A837FB" w:rsidRPr="00A21DD4" w:rsidRDefault="007258CF" w:rsidP="00A837FB">
            <w:pPr>
              <w:ind w:left="0"/>
              <w:rPr>
                <w:sz w:val="20"/>
                <w:szCs w:val="20"/>
              </w:rPr>
            </w:pPr>
            <w:r w:rsidRPr="00A21DD4">
              <w:rPr>
                <w:sz w:val="20"/>
                <w:szCs w:val="20"/>
              </w:rPr>
              <w:t>Počet usmrtených na cestách I. triedy</w:t>
            </w:r>
          </w:p>
        </w:tc>
        <w:tc>
          <w:tcPr>
            <w:tcW w:w="893" w:type="dxa"/>
            <w:shd w:val="clear" w:color="auto" w:fill="auto"/>
            <w:vAlign w:val="center"/>
          </w:tcPr>
          <w:p w14:paraId="3A35D242" w14:textId="77777777" w:rsidR="00A837FB" w:rsidRPr="00A21DD4" w:rsidRDefault="007258CF" w:rsidP="00A837FB">
            <w:pPr>
              <w:ind w:left="0"/>
              <w:jc w:val="center"/>
              <w:rPr>
                <w:i/>
                <w:sz w:val="20"/>
                <w:szCs w:val="20"/>
              </w:rPr>
            </w:pPr>
            <w:r w:rsidRPr="00A21DD4">
              <w:rPr>
                <w:i/>
                <w:sz w:val="20"/>
                <w:szCs w:val="20"/>
              </w:rPr>
              <w:t>počet</w:t>
            </w:r>
          </w:p>
        </w:tc>
        <w:tc>
          <w:tcPr>
            <w:tcW w:w="1022" w:type="dxa"/>
            <w:shd w:val="clear" w:color="auto" w:fill="auto"/>
            <w:vAlign w:val="center"/>
          </w:tcPr>
          <w:p w14:paraId="3DD00B1D" w14:textId="77777777" w:rsidR="00A837FB" w:rsidRPr="00A21DD4" w:rsidRDefault="00EC76C1" w:rsidP="00816B1A">
            <w:pPr>
              <w:ind w:left="0"/>
              <w:jc w:val="center"/>
              <w:rPr>
                <w:i/>
                <w:sz w:val="20"/>
                <w:szCs w:val="20"/>
              </w:rPr>
            </w:pPr>
            <w:r w:rsidRPr="00A21DD4">
              <w:rPr>
                <w:i/>
                <w:sz w:val="20"/>
                <w:szCs w:val="20"/>
              </w:rPr>
              <w:t>Menej rozvinuté</w:t>
            </w:r>
          </w:p>
        </w:tc>
        <w:tc>
          <w:tcPr>
            <w:tcW w:w="1290" w:type="dxa"/>
            <w:vAlign w:val="center"/>
          </w:tcPr>
          <w:p w14:paraId="714728E8" w14:textId="77777777" w:rsidR="00A837FB" w:rsidRPr="00A21DD4" w:rsidRDefault="007258CF" w:rsidP="00E041B3">
            <w:pPr>
              <w:ind w:left="0"/>
              <w:jc w:val="center"/>
              <w:rPr>
                <w:i/>
                <w:sz w:val="20"/>
                <w:szCs w:val="20"/>
              </w:rPr>
            </w:pPr>
            <w:r w:rsidRPr="00A21DD4">
              <w:rPr>
                <w:i/>
                <w:sz w:val="20"/>
                <w:szCs w:val="20"/>
              </w:rPr>
              <w:t>83</w:t>
            </w:r>
          </w:p>
        </w:tc>
        <w:tc>
          <w:tcPr>
            <w:tcW w:w="1290" w:type="dxa"/>
            <w:vAlign w:val="center"/>
          </w:tcPr>
          <w:p w14:paraId="51F93029" w14:textId="77777777" w:rsidR="00A837FB" w:rsidRPr="00A21DD4" w:rsidRDefault="00A837FB" w:rsidP="00816B1A">
            <w:pPr>
              <w:ind w:left="0"/>
              <w:jc w:val="center"/>
              <w:rPr>
                <w:i/>
                <w:sz w:val="20"/>
                <w:szCs w:val="20"/>
              </w:rPr>
            </w:pPr>
            <w:r w:rsidRPr="00A21DD4">
              <w:rPr>
                <w:i/>
                <w:sz w:val="20"/>
                <w:szCs w:val="20"/>
              </w:rPr>
              <w:t>2013</w:t>
            </w:r>
          </w:p>
        </w:tc>
        <w:tc>
          <w:tcPr>
            <w:tcW w:w="862" w:type="dxa"/>
            <w:shd w:val="clear" w:color="auto" w:fill="auto"/>
            <w:vAlign w:val="center"/>
          </w:tcPr>
          <w:p w14:paraId="5FB973AD" w14:textId="77777777" w:rsidR="00A837FB" w:rsidRPr="00A21DD4" w:rsidRDefault="007258CF" w:rsidP="00816B1A">
            <w:pPr>
              <w:ind w:left="0"/>
              <w:jc w:val="center"/>
              <w:rPr>
                <w:i/>
                <w:sz w:val="20"/>
                <w:szCs w:val="20"/>
              </w:rPr>
            </w:pPr>
            <w:r w:rsidRPr="00A21DD4">
              <w:rPr>
                <w:i/>
                <w:sz w:val="20"/>
                <w:szCs w:val="20"/>
              </w:rPr>
              <w:t>70</w:t>
            </w:r>
          </w:p>
        </w:tc>
        <w:tc>
          <w:tcPr>
            <w:tcW w:w="744" w:type="dxa"/>
            <w:vAlign w:val="center"/>
          </w:tcPr>
          <w:p w14:paraId="6897AB6E" w14:textId="77777777" w:rsidR="00A837FB" w:rsidRPr="00A21DD4" w:rsidRDefault="00A837FB" w:rsidP="00816B1A">
            <w:pPr>
              <w:ind w:left="0"/>
              <w:jc w:val="center"/>
              <w:rPr>
                <w:sz w:val="20"/>
                <w:szCs w:val="20"/>
              </w:rPr>
            </w:pPr>
            <w:r w:rsidRPr="00A21DD4">
              <w:rPr>
                <w:sz w:val="20"/>
                <w:szCs w:val="20"/>
              </w:rPr>
              <w:t>RO OPII</w:t>
            </w:r>
          </w:p>
        </w:tc>
        <w:tc>
          <w:tcPr>
            <w:tcW w:w="1171" w:type="dxa"/>
            <w:vAlign w:val="center"/>
          </w:tcPr>
          <w:p w14:paraId="1D989745" w14:textId="77777777" w:rsidR="00A837FB" w:rsidRPr="00A21DD4" w:rsidRDefault="00A837FB" w:rsidP="00816B1A">
            <w:pPr>
              <w:ind w:left="0"/>
              <w:jc w:val="center"/>
              <w:rPr>
                <w:sz w:val="20"/>
                <w:szCs w:val="20"/>
              </w:rPr>
            </w:pPr>
            <w:r w:rsidRPr="00A21DD4">
              <w:rPr>
                <w:sz w:val="20"/>
                <w:szCs w:val="20"/>
              </w:rPr>
              <w:t>Ročne</w:t>
            </w:r>
          </w:p>
        </w:tc>
      </w:tr>
      <w:tr w:rsidR="00EC76C1" w:rsidRPr="00AB18C1" w14:paraId="21694651" w14:textId="77777777" w:rsidTr="00EC76C1">
        <w:trPr>
          <w:trHeight w:val="680"/>
          <w:jc w:val="center"/>
        </w:trPr>
        <w:tc>
          <w:tcPr>
            <w:tcW w:w="369" w:type="dxa"/>
            <w:shd w:val="clear" w:color="auto" w:fill="auto"/>
            <w:vAlign w:val="center"/>
          </w:tcPr>
          <w:p w14:paraId="6D3CE089" w14:textId="77777777" w:rsidR="00EC76C1" w:rsidRDefault="00EC76C1" w:rsidP="00EC76C1">
            <w:pPr>
              <w:ind w:left="0"/>
              <w:jc w:val="center"/>
              <w:rPr>
                <w:sz w:val="20"/>
                <w:szCs w:val="20"/>
              </w:rPr>
            </w:pPr>
            <w:r>
              <w:rPr>
                <w:sz w:val="20"/>
                <w:szCs w:val="20"/>
              </w:rPr>
              <w:t>3.</w:t>
            </w:r>
          </w:p>
        </w:tc>
        <w:tc>
          <w:tcPr>
            <w:tcW w:w="1646" w:type="dxa"/>
            <w:shd w:val="clear" w:color="auto" w:fill="auto"/>
            <w:vAlign w:val="center"/>
          </w:tcPr>
          <w:p w14:paraId="537EC8E1" w14:textId="77777777" w:rsidR="00EC76C1" w:rsidRPr="00A21DD4" w:rsidDel="007258CF" w:rsidRDefault="00EC76C1" w:rsidP="00EC76C1">
            <w:pPr>
              <w:ind w:left="0"/>
              <w:rPr>
                <w:sz w:val="20"/>
                <w:szCs w:val="20"/>
              </w:rPr>
            </w:pPr>
            <w:r w:rsidRPr="00A21DD4">
              <w:rPr>
                <w:sz w:val="20"/>
                <w:szCs w:val="20"/>
              </w:rPr>
              <w:t>Úspora produkcie emisií PM</w:t>
            </w:r>
            <w:r w:rsidR="001711B1" w:rsidRPr="00A21DD4">
              <w:rPr>
                <w:sz w:val="20"/>
                <w:szCs w:val="20"/>
                <w:vertAlign w:val="subscript"/>
              </w:rPr>
              <w:t>10</w:t>
            </w:r>
            <w:r w:rsidRPr="00A21DD4">
              <w:rPr>
                <w:sz w:val="20"/>
                <w:szCs w:val="20"/>
              </w:rPr>
              <w:t xml:space="preserve"> (vplyvom </w:t>
            </w:r>
            <w:r w:rsidR="00251226" w:rsidRPr="00A21DD4">
              <w:rPr>
                <w:sz w:val="20"/>
                <w:szCs w:val="20"/>
              </w:rPr>
              <w:t>výstavby ciest</w:t>
            </w:r>
            <w:r w:rsidR="00DB2B03" w:rsidRPr="00A21DD4">
              <w:rPr>
                <w:sz w:val="20"/>
                <w:szCs w:val="20"/>
              </w:rPr>
              <w:t xml:space="preserve"> I. triedy</w:t>
            </w:r>
            <w:r w:rsidRPr="00A21DD4">
              <w:rPr>
                <w:sz w:val="20"/>
                <w:szCs w:val="20"/>
              </w:rPr>
              <w:t>)</w:t>
            </w:r>
          </w:p>
        </w:tc>
        <w:tc>
          <w:tcPr>
            <w:tcW w:w="893" w:type="dxa"/>
            <w:shd w:val="clear" w:color="auto" w:fill="auto"/>
            <w:vAlign w:val="center"/>
          </w:tcPr>
          <w:p w14:paraId="41ED39E1" w14:textId="77777777" w:rsidR="00EC76C1" w:rsidRPr="00A21DD4" w:rsidDel="007258CF" w:rsidRDefault="00EC76C1" w:rsidP="00EC76C1">
            <w:pPr>
              <w:ind w:left="0"/>
              <w:jc w:val="center"/>
              <w:rPr>
                <w:i/>
                <w:sz w:val="20"/>
                <w:szCs w:val="20"/>
              </w:rPr>
            </w:pPr>
            <w:r w:rsidRPr="00A21DD4">
              <w:rPr>
                <w:i/>
                <w:sz w:val="20"/>
                <w:szCs w:val="20"/>
              </w:rPr>
              <w:t>tona</w:t>
            </w:r>
          </w:p>
        </w:tc>
        <w:tc>
          <w:tcPr>
            <w:tcW w:w="1022" w:type="dxa"/>
            <w:shd w:val="clear" w:color="auto" w:fill="auto"/>
            <w:vAlign w:val="center"/>
          </w:tcPr>
          <w:p w14:paraId="44D233EC" w14:textId="77777777" w:rsidR="00EC76C1" w:rsidRPr="00A21DD4" w:rsidRDefault="00EC76C1" w:rsidP="00EC76C1">
            <w:pPr>
              <w:ind w:left="0"/>
              <w:jc w:val="center"/>
              <w:rPr>
                <w:i/>
                <w:sz w:val="20"/>
                <w:szCs w:val="20"/>
              </w:rPr>
            </w:pPr>
            <w:r w:rsidRPr="00A21DD4">
              <w:rPr>
                <w:i/>
                <w:sz w:val="20"/>
                <w:szCs w:val="20"/>
              </w:rPr>
              <w:t>Menej rozvinuté</w:t>
            </w:r>
          </w:p>
        </w:tc>
        <w:tc>
          <w:tcPr>
            <w:tcW w:w="1290" w:type="dxa"/>
            <w:vAlign w:val="center"/>
          </w:tcPr>
          <w:p w14:paraId="4F1EADA4" w14:textId="77777777" w:rsidR="00EC76C1" w:rsidRPr="00A21DD4" w:rsidDel="007258CF" w:rsidRDefault="0052108C" w:rsidP="00EC76C1">
            <w:pPr>
              <w:ind w:left="0"/>
              <w:jc w:val="center"/>
              <w:rPr>
                <w:i/>
                <w:sz w:val="20"/>
                <w:szCs w:val="20"/>
              </w:rPr>
            </w:pPr>
            <w:r w:rsidRPr="00A21DD4">
              <w:rPr>
                <w:i/>
                <w:sz w:val="20"/>
                <w:szCs w:val="20"/>
              </w:rPr>
              <w:t>1,16</w:t>
            </w:r>
          </w:p>
        </w:tc>
        <w:tc>
          <w:tcPr>
            <w:tcW w:w="1290" w:type="dxa"/>
            <w:vAlign w:val="center"/>
          </w:tcPr>
          <w:p w14:paraId="66F83C4D" w14:textId="77777777" w:rsidR="00EC76C1" w:rsidRPr="00A21DD4" w:rsidRDefault="00EC76C1" w:rsidP="00EC76C1">
            <w:pPr>
              <w:ind w:left="0"/>
              <w:jc w:val="center"/>
              <w:rPr>
                <w:i/>
                <w:sz w:val="20"/>
                <w:szCs w:val="20"/>
              </w:rPr>
            </w:pPr>
            <w:r w:rsidRPr="00A21DD4">
              <w:rPr>
                <w:i/>
                <w:sz w:val="20"/>
                <w:szCs w:val="20"/>
              </w:rPr>
              <w:t>2013</w:t>
            </w:r>
          </w:p>
        </w:tc>
        <w:tc>
          <w:tcPr>
            <w:tcW w:w="862" w:type="dxa"/>
            <w:shd w:val="clear" w:color="auto" w:fill="auto"/>
            <w:vAlign w:val="center"/>
          </w:tcPr>
          <w:p w14:paraId="5C2E3A00" w14:textId="77777777" w:rsidR="00EC76C1" w:rsidRPr="00A21DD4" w:rsidDel="007258CF" w:rsidRDefault="0052108C" w:rsidP="00EC76C1">
            <w:pPr>
              <w:ind w:left="0"/>
              <w:jc w:val="center"/>
              <w:rPr>
                <w:i/>
                <w:sz w:val="20"/>
                <w:szCs w:val="20"/>
              </w:rPr>
            </w:pPr>
            <w:r w:rsidRPr="00A21DD4">
              <w:rPr>
                <w:i/>
                <w:sz w:val="20"/>
                <w:szCs w:val="20"/>
              </w:rPr>
              <w:t>0,29</w:t>
            </w:r>
          </w:p>
        </w:tc>
        <w:tc>
          <w:tcPr>
            <w:tcW w:w="744" w:type="dxa"/>
            <w:vAlign w:val="center"/>
          </w:tcPr>
          <w:p w14:paraId="7473FEA5" w14:textId="77777777" w:rsidR="00EC76C1" w:rsidRPr="00A21DD4" w:rsidRDefault="00EC76C1" w:rsidP="00EC76C1">
            <w:pPr>
              <w:ind w:left="0"/>
              <w:jc w:val="center"/>
              <w:rPr>
                <w:sz w:val="20"/>
                <w:szCs w:val="20"/>
              </w:rPr>
            </w:pPr>
            <w:r w:rsidRPr="00A21DD4">
              <w:rPr>
                <w:sz w:val="20"/>
                <w:szCs w:val="20"/>
              </w:rPr>
              <w:t>RO OPII</w:t>
            </w:r>
          </w:p>
        </w:tc>
        <w:tc>
          <w:tcPr>
            <w:tcW w:w="1171" w:type="dxa"/>
            <w:vAlign w:val="center"/>
          </w:tcPr>
          <w:p w14:paraId="20FCE852" w14:textId="77777777" w:rsidR="00EC76C1" w:rsidRPr="00A21DD4" w:rsidRDefault="00EC76C1" w:rsidP="00EC76C1">
            <w:pPr>
              <w:ind w:left="0"/>
              <w:jc w:val="center"/>
              <w:rPr>
                <w:sz w:val="20"/>
                <w:szCs w:val="20"/>
              </w:rPr>
            </w:pPr>
            <w:r w:rsidRPr="00A21DD4">
              <w:rPr>
                <w:sz w:val="20"/>
                <w:szCs w:val="20"/>
              </w:rPr>
              <w:t>Ročne</w:t>
            </w:r>
          </w:p>
        </w:tc>
      </w:tr>
      <w:tr w:rsidR="00EC76C1" w:rsidRPr="00AB18C1" w14:paraId="5EBF1DD0" w14:textId="77777777" w:rsidTr="00EC76C1">
        <w:trPr>
          <w:trHeight w:val="680"/>
          <w:jc w:val="center"/>
        </w:trPr>
        <w:tc>
          <w:tcPr>
            <w:tcW w:w="369" w:type="dxa"/>
            <w:shd w:val="clear" w:color="auto" w:fill="auto"/>
            <w:vAlign w:val="center"/>
          </w:tcPr>
          <w:p w14:paraId="5EBB5190" w14:textId="77777777" w:rsidR="00EC76C1" w:rsidRDefault="00EC76C1" w:rsidP="00EC76C1">
            <w:pPr>
              <w:ind w:left="0"/>
              <w:jc w:val="center"/>
              <w:rPr>
                <w:sz w:val="20"/>
                <w:szCs w:val="20"/>
              </w:rPr>
            </w:pPr>
            <w:r>
              <w:rPr>
                <w:sz w:val="20"/>
                <w:szCs w:val="20"/>
              </w:rPr>
              <w:t>4.</w:t>
            </w:r>
          </w:p>
        </w:tc>
        <w:tc>
          <w:tcPr>
            <w:tcW w:w="1646" w:type="dxa"/>
            <w:shd w:val="clear" w:color="auto" w:fill="auto"/>
            <w:vAlign w:val="center"/>
          </w:tcPr>
          <w:p w14:paraId="5334EDBC" w14:textId="77777777" w:rsidR="00EC76C1" w:rsidRPr="00A21DD4" w:rsidDel="007258CF" w:rsidRDefault="00DB2B03" w:rsidP="00EC76C1">
            <w:pPr>
              <w:ind w:left="0"/>
              <w:rPr>
                <w:sz w:val="20"/>
                <w:szCs w:val="20"/>
              </w:rPr>
            </w:pPr>
            <w:r w:rsidRPr="00A21DD4">
              <w:rPr>
                <w:sz w:val="20"/>
                <w:szCs w:val="20"/>
              </w:rPr>
              <w:t xml:space="preserve">Úspora produkcie emisií </w:t>
            </w:r>
            <w:r w:rsidR="001711B1" w:rsidRPr="00A21DD4">
              <w:rPr>
                <w:sz w:val="20"/>
                <w:szCs w:val="20"/>
              </w:rPr>
              <w:t>NO</w:t>
            </w:r>
            <w:r w:rsidR="001711B1" w:rsidRPr="00A21DD4">
              <w:rPr>
                <w:sz w:val="20"/>
                <w:szCs w:val="20"/>
                <w:vertAlign w:val="subscript"/>
              </w:rPr>
              <w:t>2</w:t>
            </w:r>
            <w:r w:rsidR="00251226" w:rsidRPr="00A21DD4">
              <w:rPr>
                <w:sz w:val="20"/>
                <w:szCs w:val="20"/>
              </w:rPr>
              <w:t xml:space="preserve"> (vplyvom výstavby ciest</w:t>
            </w:r>
            <w:r w:rsidRPr="00A21DD4">
              <w:rPr>
                <w:sz w:val="20"/>
                <w:szCs w:val="20"/>
              </w:rPr>
              <w:t xml:space="preserve"> I. triedy)</w:t>
            </w:r>
          </w:p>
        </w:tc>
        <w:tc>
          <w:tcPr>
            <w:tcW w:w="893" w:type="dxa"/>
            <w:shd w:val="clear" w:color="auto" w:fill="auto"/>
            <w:vAlign w:val="center"/>
          </w:tcPr>
          <w:p w14:paraId="309118C5" w14:textId="77777777" w:rsidR="00EC76C1" w:rsidRPr="00A21DD4" w:rsidDel="007258CF" w:rsidRDefault="00EC76C1" w:rsidP="00EC76C1">
            <w:pPr>
              <w:ind w:left="0"/>
              <w:jc w:val="center"/>
              <w:rPr>
                <w:i/>
                <w:sz w:val="20"/>
                <w:szCs w:val="20"/>
              </w:rPr>
            </w:pPr>
            <w:r w:rsidRPr="00A21DD4">
              <w:rPr>
                <w:i/>
                <w:sz w:val="20"/>
                <w:szCs w:val="20"/>
              </w:rPr>
              <w:t>tona</w:t>
            </w:r>
          </w:p>
        </w:tc>
        <w:tc>
          <w:tcPr>
            <w:tcW w:w="1022" w:type="dxa"/>
            <w:shd w:val="clear" w:color="auto" w:fill="auto"/>
            <w:vAlign w:val="center"/>
          </w:tcPr>
          <w:p w14:paraId="496FFE61" w14:textId="77777777" w:rsidR="00EC76C1" w:rsidRPr="00A21DD4" w:rsidRDefault="00EC76C1" w:rsidP="00EC76C1">
            <w:pPr>
              <w:ind w:left="0"/>
              <w:jc w:val="center"/>
              <w:rPr>
                <w:i/>
                <w:sz w:val="20"/>
                <w:szCs w:val="20"/>
              </w:rPr>
            </w:pPr>
            <w:r w:rsidRPr="00A21DD4">
              <w:rPr>
                <w:i/>
                <w:sz w:val="20"/>
                <w:szCs w:val="20"/>
              </w:rPr>
              <w:t>Menej rozvinuté</w:t>
            </w:r>
          </w:p>
        </w:tc>
        <w:tc>
          <w:tcPr>
            <w:tcW w:w="1290" w:type="dxa"/>
            <w:vAlign w:val="center"/>
          </w:tcPr>
          <w:p w14:paraId="687EADA5" w14:textId="77777777" w:rsidR="00EC76C1" w:rsidRPr="00A21DD4" w:rsidDel="007258CF" w:rsidRDefault="0052108C" w:rsidP="00EC76C1">
            <w:pPr>
              <w:ind w:left="0"/>
              <w:jc w:val="center"/>
              <w:rPr>
                <w:i/>
                <w:sz w:val="20"/>
                <w:szCs w:val="20"/>
              </w:rPr>
            </w:pPr>
            <w:r w:rsidRPr="00A21DD4">
              <w:rPr>
                <w:i/>
                <w:sz w:val="20"/>
                <w:szCs w:val="20"/>
              </w:rPr>
              <w:t>4,63</w:t>
            </w:r>
          </w:p>
        </w:tc>
        <w:tc>
          <w:tcPr>
            <w:tcW w:w="1290" w:type="dxa"/>
            <w:vAlign w:val="center"/>
          </w:tcPr>
          <w:p w14:paraId="5ED88E0C" w14:textId="77777777" w:rsidR="00EC76C1" w:rsidRPr="00A21DD4" w:rsidRDefault="00EC76C1" w:rsidP="00EC76C1">
            <w:pPr>
              <w:ind w:left="0"/>
              <w:jc w:val="center"/>
              <w:rPr>
                <w:i/>
                <w:sz w:val="20"/>
                <w:szCs w:val="20"/>
              </w:rPr>
            </w:pPr>
            <w:r w:rsidRPr="00A21DD4">
              <w:rPr>
                <w:i/>
                <w:sz w:val="20"/>
                <w:szCs w:val="20"/>
              </w:rPr>
              <w:t>2013</w:t>
            </w:r>
          </w:p>
        </w:tc>
        <w:tc>
          <w:tcPr>
            <w:tcW w:w="862" w:type="dxa"/>
            <w:shd w:val="clear" w:color="auto" w:fill="auto"/>
            <w:vAlign w:val="center"/>
          </w:tcPr>
          <w:p w14:paraId="34CE4CE9" w14:textId="77777777" w:rsidR="00EC76C1" w:rsidRPr="00A21DD4" w:rsidDel="007258CF" w:rsidRDefault="0052108C" w:rsidP="00EC76C1">
            <w:pPr>
              <w:ind w:left="0"/>
              <w:jc w:val="center"/>
              <w:rPr>
                <w:i/>
                <w:sz w:val="20"/>
                <w:szCs w:val="20"/>
              </w:rPr>
            </w:pPr>
            <w:r w:rsidRPr="00A21DD4">
              <w:rPr>
                <w:i/>
                <w:sz w:val="20"/>
                <w:szCs w:val="20"/>
              </w:rPr>
              <w:t>1,11</w:t>
            </w:r>
          </w:p>
        </w:tc>
        <w:tc>
          <w:tcPr>
            <w:tcW w:w="744" w:type="dxa"/>
            <w:vAlign w:val="center"/>
          </w:tcPr>
          <w:p w14:paraId="6969455B" w14:textId="77777777" w:rsidR="00EC76C1" w:rsidRPr="00A21DD4" w:rsidRDefault="00EC76C1" w:rsidP="00EC76C1">
            <w:pPr>
              <w:ind w:left="0"/>
              <w:jc w:val="center"/>
              <w:rPr>
                <w:sz w:val="20"/>
                <w:szCs w:val="20"/>
              </w:rPr>
            </w:pPr>
            <w:r w:rsidRPr="00A21DD4">
              <w:rPr>
                <w:sz w:val="20"/>
                <w:szCs w:val="20"/>
              </w:rPr>
              <w:t>RO OPII</w:t>
            </w:r>
          </w:p>
        </w:tc>
        <w:tc>
          <w:tcPr>
            <w:tcW w:w="1171" w:type="dxa"/>
            <w:vAlign w:val="center"/>
          </w:tcPr>
          <w:p w14:paraId="0696B58A" w14:textId="77777777" w:rsidR="00EC76C1" w:rsidRPr="00A21DD4" w:rsidRDefault="00EC76C1" w:rsidP="00EC76C1">
            <w:pPr>
              <w:ind w:left="0"/>
              <w:jc w:val="center"/>
              <w:rPr>
                <w:sz w:val="20"/>
                <w:szCs w:val="20"/>
              </w:rPr>
            </w:pPr>
            <w:r w:rsidRPr="00A21DD4">
              <w:rPr>
                <w:sz w:val="20"/>
                <w:szCs w:val="20"/>
              </w:rPr>
              <w:t>Ročne</w:t>
            </w:r>
          </w:p>
        </w:tc>
      </w:tr>
    </w:tbl>
    <w:p w14:paraId="64E7949E" w14:textId="77777777" w:rsidR="00FC115C" w:rsidRPr="00FC115C" w:rsidRDefault="00FC115C" w:rsidP="00FC115C">
      <w:pPr>
        <w:pStyle w:val="Nadpis4"/>
      </w:pPr>
      <w:r>
        <w:lastRenderedPageBreak/>
        <w:t>Opis typu a príklady aktivít</w:t>
      </w:r>
    </w:p>
    <w:p w14:paraId="233D6C5C" w14:textId="77777777" w:rsidR="003A3679" w:rsidRPr="00336C1F" w:rsidRDefault="00E41E26" w:rsidP="003A3679">
      <w:pPr>
        <w:spacing w:before="180" w:after="120"/>
        <w:rPr>
          <w:sz w:val="22"/>
          <w:szCs w:val="22"/>
        </w:rPr>
      </w:pPr>
      <w:r>
        <w:rPr>
          <w:sz w:val="22"/>
          <w:szCs w:val="22"/>
          <w:u w:val="single"/>
        </w:rPr>
        <w:t xml:space="preserve">Investičná priorita 7b) </w:t>
      </w:r>
      <w:r w:rsidR="003A3679" w:rsidRPr="00D1658B">
        <w:rPr>
          <w:sz w:val="22"/>
          <w:szCs w:val="22"/>
          <w:u w:val="single"/>
        </w:rPr>
        <w:t>bude napĺňan</w:t>
      </w:r>
      <w:r>
        <w:rPr>
          <w:sz w:val="22"/>
          <w:szCs w:val="22"/>
          <w:u w:val="single"/>
        </w:rPr>
        <w:t>á</w:t>
      </w:r>
      <w:r w:rsidR="003A3679" w:rsidRPr="00D1658B">
        <w:rPr>
          <w:sz w:val="22"/>
          <w:szCs w:val="22"/>
          <w:u w:val="single"/>
        </w:rPr>
        <w:t xml:space="preserve"> prostredníctvom nasledujúcich aktivít</w:t>
      </w:r>
      <w:r w:rsidR="003A3679" w:rsidRPr="00336C1F">
        <w:rPr>
          <w:sz w:val="22"/>
          <w:szCs w:val="22"/>
        </w:rPr>
        <w:t>:</w:t>
      </w:r>
    </w:p>
    <w:p w14:paraId="0672BBAC" w14:textId="77777777" w:rsidR="009E0158" w:rsidRDefault="003A3679" w:rsidP="007816FC">
      <w:pPr>
        <w:numPr>
          <w:ilvl w:val="2"/>
          <w:numId w:val="36"/>
        </w:numPr>
        <w:shd w:val="clear" w:color="auto" w:fill="E5DFEC" w:themeFill="accent4" w:themeFillTint="33"/>
        <w:tabs>
          <w:tab w:val="clear" w:pos="360"/>
        </w:tabs>
        <w:ind w:left="426" w:hanging="426"/>
        <w:jc w:val="both"/>
        <w:rPr>
          <w:sz w:val="22"/>
          <w:szCs w:val="22"/>
        </w:rPr>
      </w:pPr>
      <w:r>
        <w:rPr>
          <w:sz w:val="22"/>
          <w:szCs w:val="22"/>
        </w:rPr>
        <w:t xml:space="preserve">Výstavba </w:t>
      </w:r>
      <w:r w:rsidR="00305201">
        <w:rPr>
          <w:sz w:val="22"/>
          <w:szCs w:val="22"/>
        </w:rPr>
        <w:t xml:space="preserve">a modernizácia </w:t>
      </w:r>
      <w:r>
        <w:rPr>
          <w:sz w:val="22"/>
          <w:szCs w:val="22"/>
        </w:rPr>
        <w:t>ciest</w:t>
      </w:r>
      <w:r w:rsidR="00086DD6">
        <w:rPr>
          <w:sz w:val="22"/>
          <w:szCs w:val="22"/>
        </w:rPr>
        <w:t xml:space="preserve"> I. triedy</w:t>
      </w:r>
      <w:r w:rsidR="002D4DB4">
        <w:rPr>
          <w:sz w:val="22"/>
          <w:szCs w:val="22"/>
        </w:rPr>
        <w:t xml:space="preserve"> s cieľom zvýšenia</w:t>
      </w:r>
      <w:r w:rsidR="00E524C5">
        <w:rPr>
          <w:sz w:val="22"/>
          <w:szCs w:val="22"/>
        </w:rPr>
        <w:t xml:space="preserve"> bezpečnosti a plynulosti dopravy</w:t>
      </w:r>
      <w:r w:rsidR="007D3C25">
        <w:rPr>
          <w:sz w:val="22"/>
          <w:szCs w:val="22"/>
        </w:rPr>
        <w:t xml:space="preserve"> (mimo TEN-T CORE, mimo TEN-T)</w:t>
      </w:r>
      <w:r w:rsidR="00086DD6">
        <w:rPr>
          <w:sz w:val="22"/>
          <w:szCs w:val="22"/>
        </w:rPr>
        <w:t>,</w:t>
      </w:r>
    </w:p>
    <w:p w14:paraId="7A967C70" w14:textId="77777777" w:rsidR="009E0158" w:rsidRDefault="00086DD6" w:rsidP="007816FC">
      <w:pPr>
        <w:numPr>
          <w:ilvl w:val="2"/>
          <w:numId w:val="36"/>
        </w:numPr>
        <w:shd w:val="clear" w:color="auto" w:fill="E5DFEC" w:themeFill="accent4" w:themeFillTint="33"/>
        <w:tabs>
          <w:tab w:val="clear" w:pos="360"/>
        </w:tabs>
        <w:ind w:left="426" w:hanging="426"/>
        <w:jc w:val="both"/>
        <w:rPr>
          <w:sz w:val="22"/>
          <w:szCs w:val="22"/>
        </w:rPr>
      </w:pPr>
      <w:r>
        <w:rPr>
          <w:sz w:val="22"/>
          <w:szCs w:val="22"/>
        </w:rPr>
        <w:t>Budovanie inteligentných dopravných systémov,</w:t>
      </w:r>
    </w:p>
    <w:p w14:paraId="7A30D569" w14:textId="77777777" w:rsidR="009E0158" w:rsidRDefault="00086DD6" w:rsidP="007816FC">
      <w:pPr>
        <w:numPr>
          <w:ilvl w:val="2"/>
          <w:numId w:val="36"/>
        </w:numPr>
        <w:shd w:val="clear" w:color="auto" w:fill="E5DFEC" w:themeFill="accent4" w:themeFillTint="33"/>
        <w:tabs>
          <w:tab w:val="clear" w:pos="360"/>
        </w:tabs>
        <w:ind w:left="426" w:hanging="426"/>
        <w:jc w:val="both"/>
        <w:rPr>
          <w:sz w:val="22"/>
          <w:szCs w:val="22"/>
        </w:rPr>
      </w:pPr>
      <w:r>
        <w:rPr>
          <w:sz w:val="22"/>
          <w:szCs w:val="22"/>
        </w:rPr>
        <w:t>V</w:t>
      </w:r>
      <w:r w:rsidRPr="00086DD6">
        <w:rPr>
          <w:sz w:val="22"/>
          <w:szCs w:val="22"/>
        </w:rPr>
        <w:t>ýstavba a modernizácia cestnej infraštruktúry v súvislosti so zabezpečením efektívneho colného konania,</w:t>
      </w:r>
    </w:p>
    <w:p w14:paraId="3E781FBF" w14:textId="77777777" w:rsidR="009E0158" w:rsidRDefault="00086DD6" w:rsidP="007816FC">
      <w:pPr>
        <w:numPr>
          <w:ilvl w:val="2"/>
          <w:numId w:val="36"/>
        </w:numPr>
        <w:shd w:val="clear" w:color="auto" w:fill="E5DFEC" w:themeFill="accent4" w:themeFillTint="33"/>
        <w:tabs>
          <w:tab w:val="clear" w:pos="360"/>
        </w:tabs>
        <w:ind w:left="426" w:hanging="426"/>
        <w:jc w:val="both"/>
        <w:rPr>
          <w:sz w:val="22"/>
          <w:szCs w:val="22"/>
        </w:rPr>
      </w:pPr>
      <w:r>
        <w:rPr>
          <w:sz w:val="22"/>
          <w:szCs w:val="22"/>
        </w:rPr>
        <w:t>Projektová príprava.</w:t>
      </w:r>
    </w:p>
    <w:p w14:paraId="2166ACF1" w14:textId="77777777" w:rsidR="009E0158" w:rsidRDefault="003A3679" w:rsidP="00E0226E">
      <w:pPr>
        <w:numPr>
          <w:ilvl w:val="2"/>
          <w:numId w:val="97"/>
        </w:numPr>
        <w:spacing w:before="180" w:after="120"/>
        <w:ind w:left="850" w:hanging="425"/>
        <w:jc w:val="both"/>
        <w:rPr>
          <w:b/>
          <w:i/>
          <w:color w:val="4F81BD" w:themeColor="accent1"/>
          <w:sz w:val="22"/>
          <w:szCs w:val="22"/>
        </w:rPr>
      </w:pPr>
      <w:r w:rsidRPr="005139F6">
        <w:rPr>
          <w:b/>
          <w:i/>
          <w:color w:val="4F81BD" w:themeColor="accent1"/>
          <w:sz w:val="22"/>
          <w:szCs w:val="22"/>
        </w:rPr>
        <w:t xml:space="preserve">Výstavba </w:t>
      </w:r>
      <w:r w:rsidR="00305201" w:rsidRPr="005139F6">
        <w:rPr>
          <w:b/>
          <w:i/>
          <w:color w:val="4F81BD" w:themeColor="accent1"/>
          <w:sz w:val="22"/>
          <w:szCs w:val="22"/>
        </w:rPr>
        <w:t xml:space="preserve">a modernizácia </w:t>
      </w:r>
      <w:r w:rsidR="00086DD6" w:rsidRPr="005139F6">
        <w:rPr>
          <w:b/>
          <w:i/>
          <w:color w:val="4F81BD" w:themeColor="accent1"/>
          <w:sz w:val="22"/>
          <w:szCs w:val="22"/>
        </w:rPr>
        <w:t>ciest I. triedy</w:t>
      </w:r>
      <w:r w:rsidR="00E524C5">
        <w:rPr>
          <w:b/>
          <w:i/>
          <w:color w:val="4F81BD" w:themeColor="accent1"/>
          <w:sz w:val="22"/>
          <w:szCs w:val="22"/>
        </w:rPr>
        <w:t xml:space="preserve"> s cieľom zvýšenia bezpečnosti a plynulosti dopravy</w:t>
      </w:r>
      <w:r w:rsidR="007D3C25">
        <w:rPr>
          <w:b/>
          <w:i/>
          <w:color w:val="4F81BD" w:themeColor="accent1"/>
          <w:sz w:val="22"/>
          <w:szCs w:val="22"/>
        </w:rPr>
        <w:t xml:space="preserve"> (mimo TEN-T CORE, mimo TEN-T)</w:t>
      </w:r>
    </w:p>
    <w:p w14:paraId="7B05691F" w14:textId="77777777" w:rsidR="00762540" w:rsidRDefault="00460562" w:rsidP="00F93BAD">
      <w:pPr>
        <w:autoSpaceDE w:val="0"/>
        <w:autoSpaceDN w:val="0"/>
        <w:adjustRightInd w:val="0"/>
        <w:jc w:val="both"/>
        <w:rPr>
          <w:rStyle w:val="FontStyle51"/>
        </w:rPr>
      </w:pPr>
      <w:r w:rsidRPr="00FD507A">
        <w:rPr>
          <w:sz w:val="22"/>
          <w:szCs w:val="22"/>
        </w:rPr>
        <w:t>Okrem proporcionálneho rozvoja diaľnic a</w:t>
      </w:r>
      <w:r>
        <w:rPr>
          <w:sz w:val="22"/>
          <w:szCs w:val="22"/>
        </w:rPr>
        <w:t> </w:t>
      </w:r>
      <w:r w:rsidRPr="00FD507A">
        <w:rPr>
          <w:sz w:val="22"/>
          <w:szCs w:val="22"/>
        </w:rPr>
        <w:t>rýchlostných ciest bude v</w:t>
      </w:r>
      <w:r>
        <w:rPr>
          <w:sz w:val="22"/>
          <w:szCs w:val="22"/>
        </w:rPr>
        <w:t> </w:t>
      </w:r>
      <w:r w:rsidRPr="00FD507A">
        <w:rPr>
          <w:sz w:val="22"/>
          <w:szCs w:val="22"/>
        </w:rPr>
        <w:t xml:space="preserve">nasledujúcom období zohrávať dôležitú úlohu </w:t>
      </w:r>
      <w:r>
        <w:rPr>
          <w:sz w:val="22"/>
          <w:szCs w:val="22"/>
        </w:rPr>
        <w:t xml:space="preserve">agenda týkajúca sa rozvoja </w:t>
      </w:r>
      <w:r w:rsidRPr="00FD507A">
        <w:rPr>
          <w:sz w:val="22"/>
          <w:szCs w:val="22"/>
        </w:rPr>
        <w:t xml:space="preserve">ciest I. triedy. </w:t>
      </w:r>
      <w:r w:rsidR="00BB4A9F">
        <w:rPr>
          <w:sz w:val="22"/>
          <w:szCs w:val="22"/>
        </w:rPr>
        <w:t>K</w:t>
      </w:r>
      <w:r w:rsidR="00762540">
        <w:rPr>
          <w:sz w:val="22"/>
          <w:szCs w:val="22"/>
        </w:rPr>
        <w:t> 0</w:t>
      </w:r>
      <w:r w:rsidR="00762540" w:rsidRPr="00762540">
        <w:rPr>
          <w:sz w:val="22"/>
          <w:szCs w:val="22"/>
        </w:rPr>
        <w:t>1.</w:t>
      </w:r>
      <w:r w:rsidR="00762540">
        <w:rPr>
          <w:sz w:val="22"/>
          <w:szCs w:val="22"/>
        </w:rPr>
        <w:t xml:space="preserve">01.2013 </w:t>
      </w:r>
      <w:r w:rsidR="00BB4A9F">
        <w:rPr>
          <w:sz w:val="22"/>
          <w:szCs w:val="22"/>
        </w:rPr>
        <w:t>bolo na území SR v prevádzke</w:t>
      </w:r>
      <w:r w:rsidR="00762540">
        <w:rPr>
          <w:sz w:val="22"/>
          <w:szCs w:val="22"/>
        </w:rPr>
        <w:t xml:space="preserve"> 3 184 km</w:t>
      </w:r>
      <w:r w:rsidR="00BB4A9F" w:rsidRPr="00BB4A9F">
        <w:rPr>
          <w:sz w:val="22"/>
          <w:szCs w:val="22"/>
        </w:rPr>
        <w:t xml:space="preserve"> </w:t>
      </w:r>
      <w:r w:rsidR="00BB4A9F">
        <w:rPr>
          <w:sz w:val="22"/>
          <w:szCs w:val="22"/>
        </w:rPr>
        <w:t>ciest I. triedy</w:t>
      </w:r>
      <w:r w:rsidR="00762540">
        <w:rPr>
          <w:sz w:val="22"/>
          <w:szCs w:val="22"/>
        </w:rPr>
        <w:t>. Povinnosťou správ</w:t>
      </w:r>
      <w:r w:rsidR="00765170">
        <w:rPr>
          <w:sz w:val="22"/>
          <w:szCs w:val="22"/>
        </w:rPr>
        <w:t>c</w:t>
      </w:r>
      <w:r w:rsidR="00762540">
        <w:rPr>
          <w:sz w:val="22"/>
          <w:szCs w:val="22"/>
        </w:rPr>
        <w:t>u infraštruktúry, či už ide o cesty I. triedy, resp. diaľnic</w:t>
      </w:r>
      <w:r w:rsidR="007E69E9">
        <w:rPr>
          <w:sz w:val="22"/>
          <w:szCs w:val="22"/>
        </w:rPr>
        <w:t>e a rýchlostné</w:t>
      </w:r>
      <w:r w:rsidR="00762540">
        <w:rPr>
          <w:sz w:val="22"/>
          <w:szCs w:val="22"/>
        </w:rPr>
        <w:t xml:space="preserve"> </w:t>
      </w:r>
      <w:r w:rsidR="007E69E9">
        <w:rPr>
          <w:sz w:val="22"/>
          <w:szCs w:val="22"/>
        </w:rPr>
        <w:t>c</w:t>
      </w:r>
      <w:r w:rsidR="000360AF">
        <w:rPr>
          <w:sz w:val="22"/>
          <w:szCs w:val="22"/>
        </w:rPr>
        <w:t>est</w:t>
      </w:r>
      <w:r w:rsidR="007E69E9">
        <w:rPr>
          <w:sz w:val="22"/>
          <w:szCs w:val="22"/>
        </w:rPr>
        <w:t>y</w:t>
      </w:r>
      <w:r w:rsidR="00762540">
        <w:rPr>
          <w:sz w:val="22"/>
          <w:szCs w:val="22"/>
        </w:rPr>
        <w:t xml:space="preserve"> je k</w:t>
      </w:r>
      <w:r w:rsidR="007E69E9">
        <w:rPr>
          <w:sz w:val="22"/>
          <w:szCs w:val="22"/>
        </w:rPr>
        <w:t>aždoročne zabezpečiť vyhodnotenie</w:t>
      </w:r>
      <w:r w:rsidR="00762540">
        <w:rPr>
          <w:sz w:val="22"/>
          <w:szCs w:val="22"/>
        </w:rPr>
        <w:t xml:space="preserve"> </w:t>
      </w:r>
      <w:r w:rsidR="002D6501">
        <w:rPr>
          <w:sz w:val="22"/>
          <w:szCs w:val="22"/>
        </w:rPr>
        <w:t>stavu kvality vozoviek (</w:t>
      </w:r>
      <w:r w:rsidR="00762540" w:rsidRPr="00762540">
        <w:rPr>
          <w:rStyle w:val="FontStyle51"/>
        </w:rPr>
        <w:t>„</w:t>
      </w:r>
      <w:r w:rsidR="00762540" w:rsidRPr="00762540">
        <w:rPr>
          <w:rStyle w:val="FontStyle51"/>
          <w:i/>
        </w:rPr>
        <w:t>Prehľad stavu cestných komunikácií na základe hlavných prehliadok</w:t>
      </w:r>
      <w:r w:rsidR="00762540">
        <w:rPr>
          <w:rStyle w:val="FontStyle51"/>
        </w:rPr>
        <w:t>“ a </w:t>
      </w:r>
      <w:r w:rsidR="00762540" w:rsidRPr="00762540">
        <w:rPr>
          <w:rStyle w:val="FontStyle51"/>
        </w:rPr>
        <w:t>„</w:t>
      </w:r>
      <w:r w:rsidR="00762540" w:rsidRPr="00762540">
        <w:rPr>
          <w:rStyle w:val="FontStyle51"/>
          <w:i/>
        </w:rPr>
        <w:t>Prehľad stavu cestných komunikácií z hľadiska priečnej a pozdĺžnej nerovnosti</w:t>
      </w:r>
      <w:r w:rsidR="002D6501">
        <w:rPr>
          <w:rStyle w:val="FontStyle51"/>
        </w:rPr>
        <w:t>“).</w:t>
      </w:r>
      <w:r w:rsidR="00762540" w:rsidRPr="00762540">
        <w:rPr>
          <w:rStyle w:val="FontStyle51"/>
        </w:rPr>
        <w:t xml:space="preserve"> Na základe spracovaných výsledkov </w:t>
      </w:r>
      <w:r w:rsidR="007E69E9">
        <w:rPr>
          <w:rStyle w:val="FontStyle51"/>
        </w:rPr>
        <w:t>sa sleduje</w:t>
      </w:r>
      <w:r w:rsidR="00211852">
        <w:rPr>
          <w:rStyle w:val="FontStyle51"/>
        </w:rPr>
        <w:t xml:space="preserve"> </w:t>
      </w:r>
      <w:r w:rsidR="00762540" w:rsidRPr="00762540">
        <w:rPr>
          <w:rStyle w:val="FontStyle51"/>
        </w:rPr>
        <w:t xml:space="preserve">zmena </w:t>
      </w:r>
      <w:r w:rsidR="007E69E9">
        <w:rPr>
          <w:rStyle w:val="FontStyle51"/>
        </w:rPr>
        <w:t xml:space="preserve">stavebno-technického </w:t>
      </w:r>
      <w:r w:rsidR="00762540" w:rsidRPr="00762540">
        <w:rPr>
          <w:rStyle w:val="FontStyle51"/>
        </w:rPr>
        <w:t>stavu vozoviek</w:t>
      </w:r>
      <w:r w:rsidR="00762540">
        <w:rPr>
          <w:rStyle w:val="FontStyle51"/>
        </w:rPr>
        <w:t xml:space="preserve"> </w:t>
      </w:r>
      <w:r w:rsidR="007E69E9">
        <w:rPr>
          <w:rStyle w:val="FontStyle51"/>
        </w:rPr>
        <w:t xml:space="preserve">v čase </w:t>
      </w:r>
      <w:r w:rsidR="00762540">
        <w:rPr>
          <w:rStyle w:val="FontStyle51"/>
        </w:rPr>
        <w:t>a prognózuje sa budúci vývoj</w:t>
      </w:r>
      <w:r w:rsidR="002D6501">
        <w:rPr>
          <w:rStyle w:val="FontStyle51"/>
        </w:rPr>
        <w:t>.</w:t>
      </w:r>
    </w:p>
    <w:p w14:paraId="199EC6B8" w14:textId="77777777" w:rsidR="00890276" w:rsidRDefault="00762540" w:rsidP="00762540">
      <w:pPr>
        <w:autoSpaceDE w:val="0"/>
        <w:autoSpaceDN w:val="0"/>
        <w:adjustRightInd w:val="0"/>
        <w:spacing w:before="180"/>
        <w:jc w:val="both"/>
        <w:rPr>
          <w:b/>
          <w:sz w:val="22"/>
          <w:szCs w:val="22"/>
        </w:rPr>
      </w:pPr>
      <w:r w:rsidRPr="00762540">
        <w:rPr>
          <w:rStyle w:val="FontStyle51"/>
        </w:rPr>
        <w:t xml:space="preserve">Z vyhodnotenia hlavných prehliadok ciest I. triedy v správe SSC, ktoré boli vykonané v roku 2013 vyplýva, že 1 263,5 km ciest I. triedy je v nevyhovujúcom stave, čo predstavuje 38,9 % z celkovej dĺžky 3 248,1 km. V havarijnom stave </w:t>
      </w:r>
      <w:r w:rsidR="00BB4A9F">
        <w:rPr>
          <w:rStyle w:val="FontStyle51"/>
        </w:rPr>
        <w:t>bolo</w:t>
      </w:r>
      <w:r w:rsidRPr="00762540">
        <w:rPr>
          <w:rStyle w:val="FontStyle51"/>
        </w:rPr>
        <w:t xml:space="preserve"> ďalších 267,3 km (8,2 %). </w:t>
      </w:r>
      <w:r w:rsidR="002D09EF">
        <w:rPr>
          <w:rStyle w:val="FontStyle51"/>
        </w:rPr>
        <w:t>S</w:t>
      </w:r>
      <w:r w:rsidRPr="00762540">
        <w:rPr>
          <w:rStyle w:val="FontStyle51"/>
        </w:rPr>
        <w:t>úhr</w:t>
      </w:r>
      <w:r w:rsidR="002D09EF">
        <w:rPr>
          <w:rStyle w:val="FontStyle51"/>
        </w:rPr>
        <w:t>nný podiel úsekov v </w:t>
      </w:r>
      <w:r w:rsidRPr="00762540">
        <w:rPr>
          <w:rStyle w:val="FontStyle51"/>
        </w:rPr>
        <w:t xml:space="preserve">nevyhovujúcom až havarijnom stave stúpol </w:t>
      </w:r>
      <w:r w:rsidR="002D09EF">
        <w:rPr>
          <w:rStyle w:val="FontStyle51"/>
        </w:rPr>
        <w:t xml:space="preserve">od roku 2000 </w:t>
      </w:r>
      <w:r w:rsidRPr="00762540">
        <w:rPr>
          <w:rStyle w:val="FontStyle51"/>
          <w:b/>
        </w:rPr>
        <w:t>až dva a pol násobne</w:t>
      </w:r>
      <w:r w:rsidRPr="00762540">
        <w:rPr>
          <w:rStyle w:val="FontStyle51"/>
        </w:rPr>
        <w:t>.</w:t>
      </w:r>
      <w:r w:rsidR="00BE4F45">
        <w:rPr>
          <w:rStyle w:val="FontStyle51"/>
        </w:rPr>
        <w:t xml:space="preserve"> </w:t>
      </w:r>
      <w:r w:rsidR="00460562" w:rsidRPr="00890276">
        <w:rPr>
          <w:sz w:val="22"/>
          <w:szCs w:val="22"/>
        </w:rPr>
        <w:t xml:space="preserve">Na základe analýz a rozborov vykonaných na cestnej sieti vyplýva, že je nevyhnutné riešiť predovšetkým </w:t>
      </w:r>
      <w:r w:rsidR="00460562">
        <w:rPr>
          <w:b/>
          <w:sz w:val="22"/>
          <w:szCs w:val="22"/>
        </w:rPr>
        <w:t>otázku nedostatočne</w:t>
      </w:r>
      <w:r w:rsidR="00F93BAD">
        <w:rPr>
          <w:b/>
          <w:sz w:val="22"/>
          <w:szCs w:val="22"/>
        </w:rPr>
        <w:t>j kapacity infraštruktúry (</w:t>
      </w:r>
      <w:r w:rsidR="00460562">
        <w:rPr>
          <w:b/>
          <w:sz w:val="22"/>
          <w:szCs w:val="22"/>
        </w:rPr>
        <w:t xml:space="preserve">prekračovanie prípustných </w:t>
      </w:r>
      <w:r w:rsidR="00460562" w:rsidRPr="00FD507A">
        <w:rPr>
          <w:b/>
          <w:sz w:val="22"/>
          <w:szCs w:val="22"/>
        </w:rPr>
        <w:t>intenzít</w:t>
      </w:r>
      <w:r w:rsidR="00F93BAD">
        <w:rPr>
          <w:b/>
          <w:sz w:val="22"/>
          <w:szCs w:val="22"/>
        </w:rPr>
        <w:t>)</w:t>
      </w:r>
      <w:r w:rsidR="00460562">
        <w:rPr>
          <w:b/>
          <w:sz w:val="22"/>
          <w:szCs w:val="22"/>
        </w:rPr>
        <w:t xml:space="preserve"> a nevyhovujúcich stavebno-technických parametrov. Riešením tohto stavu je </w:t>
      </w:r>
      <w:r w:rsidR="00BE4F45">
        <w:rPr>
          <w:b/>
          <w:sz w:val="22"/>
          <w:szCs w:val="22"/>
        </w:rPr>
        <w:t xml:space="preserve">predovšetkým </w:t>
      </w:r>
      <w:r w:rsidR="00460562" w:rsidRPr="00FD507A">
        <w:rPr>
          <w:b/>
          <w:sz w:val="22"/>
          <w:szCs w:val="22"/>
        </w:rPr>
        <w:t>modernizáci</w:t>
      </w:r>
      <w:r w:rsidR="00460562">
        <w:rPr>
          <w:b/>
          <w:sz w:val="22"/>
          <w:szCs w:val="22"/>
        </w:rPr>
        <w:t>a súčasnej siete</w:t>
      </w:r>
      <w:r w:rsidR="00460562" w:rsidRPr="00FD507A">
        <w:rPr>
          <w:b/>
          <w:sz w:val="22"/>
          <w:szCs w:val="22"/>
        </w:rPr>
        <w:t xml:space="preserve"> </w:t>
      </w:r>
      <w:r w:rsidR="00460562">
        <w:rPr>
          <w:b/>
          <w:sz w:val="22"/>
          <w:szCs w:val="22"/>
        </w:rPr>
        <w:t>v kombinácii so selektívnym doplnením siete o nové úseky ciest I. triedy</w:t>
      </w:r>
      <w:r w:rsidR="00460562" w:rsidRPr="00FD507A">
        <w:rPr>
          <w:b/>
          <w:sz w:val="22"/>
          <w:szCs w:val="22"/>
        </w:rPr>
        <w:t>.</w:t>
      </w:r>
    </w:p>
    <w:p w14:paraId="7B3A4F71" w14:textId="77777777" w:rsidR="00BE4F45" w:rsidRDefault="00890276" w:rsidP="00BE4F45">
      <w:pPr>
        <w:autoSpaceDE w:val="0"/>
        <w:autoSpaceDN w:val="0"/>
        <w:adjustRightInd w:val="0"/>
        <w:spacing w:before="180"/>
        <w:jc w:val="both"/>
        <w:rPr>
          <w:rStyle w:val="FontStyle51"/>
        </w:rPr>
      </w:pPr>
      <w:r>
        <w:rPr>
          <w:sz w:val="22"/>
          <w:szCs w:val="22"/>
        </w:rPr>
        <w:t>P</w:t>
      </w:r>
      <w:r w:rsidRPr="00890276">
        <w:rPr>
          <w:rStyle w:val="FontStyle51"/>
        </w:rPr>
        <w:t xml:space="preserve">otrebné </w:t>
      </w:r>
      <w:r>
        <w:rPr>
          <w:rStyle w:val="FontStyle51"/>
        </w:rPr>
        <w:t xml:space="preserve">je </w:t>
      </w:r>
      <w:r w:rsidRPr="00890276">
        <w:rPr>
          <w:rStyle w:val="FontStyle51"/>
        </w:rPr>
        <w:t xml:space="preserve">zamerať sa najmä na </w:t>
      </w:r>
      <w:r w:rsidRPr="00890276">
        <w:rPr>
          <w:rStyle w:val="FontStyle51"/>
          <w:b/>
        </w:rPr>
        <w:t>budovanie obchvatov miest a obcí, výstavbu preložiek, prestavbu križovatiek a mostov a</w:t>
      </w:r>
      <w:r w:rsidR="00F93BAD">
        <w:rPr>
          <w:rStyle w:val="FontStyle51"/>
          <w:b/>
        </w:rPr>
        <w:t xml:space="preserve"> taktiež </w:t>
      </w:r>
      <w:r w:rsidRPr="00890276">
        <w:rPr>
          <w:rStyle w:val="FontStyle51"/>
          <w:b/>
        </w:rPr>
        <w:t>na odstraňo</w:t>
      </w:r>
      <w:r w:rsidR="00F93BAD">
        <w:rPr>
          <w:rStyle w:val="FontStyle51"/>
          <w:b/>
        </w:rPr>
        <w:t xml:space="preserve">vanie nebezpečných miest, tzn. </w:t>
      </w:r>
      <w:r w:rsidRPr="00890276">
        <w:rPr>
          <w:rStyle w:val="FontStyle51"/>
          <w:b/>
        </w:rPr>
        <w:t>kritických nehodových lokalít</w:t>
      </w:r>
      <w:r w:rsidRPr="00890276">
        <w:rPr>
          <w:rStyle w:val="FontStyle51"/>
        </w:rPr>
        <w:t>. Pozornosť je potrebné venovať taktiež úprave šírkových parametrov, polomerom ciest a rozhľadovým pomerom s cieľom dosiahnutia homogenity trasy</w:t>
      </w:r>
      <w:r w:rsidR="00BE4F45">
        <w:rPr>
          <w:rStyle w:val="FontStyle51"/>
        </w:rPr>
        <w:t>.</w:t>
      </w:r>
    </w:p>
    <w:p w14:paraId="070690A6" w14:textId="77777777" w:rsidR="00460562" w:rsidRDefault="00460562" w:rsidP="00460562">
      <w:pPr>
        <w:autoSpaceDE w:val="0"/>
        <w:autoSpaceDN w:val="0"/>
        <w:adjustRightInd w:val="0"/>
        <w:spacing w:before="180"/>
        <w:jc w:val="both"/>
        <w:rPr>
          <w:sz w:val="22"/>
          <w:szCs w:val="22"/>
        </w:rPr>
      </w:pPr>
      <w:r w:rsidRPr="00FD507A">
        <w:rPr>
          <w:sz w:val="22"/>
          <w:szCs w:val="22"/>
        </w:rPr>
        <w:t>Dôležitým aspektom pre rozvoj cestnej siete je intenzita cestnej dopravy a</w:t>
      </w:r>
      <w:r>
        <w:rPr>
          <w:sz w:val="22"/>
          <w:szCs w:val="22"/>
        </w:rPr>
        <w:t> </w:t>
      </w:r>
      <w:r w:rsidRPr="00FD507A">
        <w:rPr>
          <w:sz w:val="22"/>
          <w:szCs w:val="22"/>
        </w:rPr>
        <w:t>s</w:t>
      </w:r>
      <w:r>
        <w:rPr>
          <w:sz w:val="22"/>
          <w:szCs w:val="22"/>
        </w:rPr>
        <w:t> </w:t>
      </w:r>
      <w:r w:rsidRPr="00FD507A">
        <w:rPr>
          <w:sz w:val="22"/>
          <w:szCs w:val="22"/>
        </w:rPr>
        <w:t>tým úzko súvisiaca nehodovosť.</w:t>
      </w:r>
      <w:r w:rsidR="008F0B27">
        <w:rPr>
          <w:sz w:val="22"/>
          <w:szCs w:val="22"/>
        </w:rPr>
        <w:t xml:space="preserve"> </w:t>
      </w:r>
      <w:r w:rsidRPr="00FD507A">
        <w:rPr>
          <w:sz w:val="22"/>
          <w:szCs w:val="22"/>
        </w:rPr>
        <w:t>Aj keď sa v</w:t>
      </w:r>
      <w:r>
        <w:rPr>
          <w:sz w:val="22"/>
          <w:szCs w:val="22"/>
        </w:rPr>
        <w:t> </w:t>
      </w:r>
      <w:r w:rsidRPr="00FD507A">
        <w:rPr>
          <w:sz w:val="22"/>
          <w:szCs w:val="22"/>
        </w:rPr>
        <w:t xml:space="preserve">posledných rokoch dosahuje priaznivý trend, tak vo vývoji počtu dopravných nehôd, ako aj počtu usmrtených osôb, tempo poklesu usmrtených osôb </w:t>
      </w:r>
      <w:r>
        <w:rPr>
          <w:sz w:val="22"/>
          <w:szCs w:val="22"/>
        </w:rPr>
        <w:t xml:space="preserve">je </w:t>
      </w:r>
      <w:r w:rsidRPr="00FD507A">
        <w:rPr>
          <w:sz w:val="22"/>
          <w:szCs w:val="22"/>
        </w:rPr>
        <w:t>nižšie ako miera poklesu dopravných nehôd. Táto skutočnosť mala za následok, že podiel u</w:t>
      </w:r>
      <w:r>
        <w:rPr>
          <w:sz w:val="22"/>
          <w:szCs w:val="22"/>
        </w:rPr>
        <w:t>smrtených osôb na </w:t>
      </w:r>
      <w:r w:rsidRPr="00FD507A">
        <w:rPr>
          <w:sz w:val="22"/>
          <w:szCs w:val="22"/>
        </w:rPr>
        <w:t>celkovom počte dopravných nehôd sa v</w:t>
      </w:r>
      <w:r>
        <w:rPr>
          <w:sz w:val="22"/>
          <w:szCs w:val="22"/>
        </w:rPr>
        <w:t> </w:t>
      </w:r>
      <w:r w:rsidRPr="00FD507A">
        <w:rPr>
          <w:sz w:val="22"/>
          <w:szCs w:val="22"/>
        </w:rPr>
        <w:t xml:space="preserve">rokoch 2009 </w:t>
      </w:r>
      <w:r>
        <w:rPr>
          <w:sz w:val="22"/>
          <w:szCs w:val="22"/>
        </w:rPr>
        <w:t>až</w:t>
      </w:r>
      <w:r w:rsidRPr="00FD507A">
        <w:rPr>
          <w:sz w:val="22"/>
          <w:szCs w:val="22"/>
        </w:rPr>
        <w:t xml:space="preserve"> 2011 zvyšoval a</w:t>
      </w:r>
      <w:r>
        <w:rPr>
          <w:sz w:val="22"/>
          <w:szCs w:val="22"/>
        </w:rPr>
        <w:t> </w:t>
      </w:r>
      <w:r w:rsidRPr="00FD507A">
        <w:rPr>
          <w:sz w:val="22"/>
          <w:szCs w:val="22"/>
        </w:rPr>
        <w:t>v</w:t>
      </w:r>
      <w:r>
        <w:rPr>
          <w:sz w:val="22"/>
          <w:szCs w:val="22"/>
        </w:rPr>
        <w:t> </w:t>
      </w:r>
      <w:r w:rsidRPr="00FD507A">
        <w:rPr>
          <w:sz w:val="22"/>
          <w:szCs w:val="22"/>
        </w:rPr>
        <w:t>roku 2011 dosiahol najvyššiu úroveň za obdobie posledných siedmich rokov.</w:t>
      </w:r>
    </w:p>
    <w:p w14:paraId="21E7E7AE" w14:textId="77777777" w:rsidR="008F0B27" w:rsidRDefault="008F0B27" w:rsidP="008F0B27">
      <w:pPr>
        <w:spacing w:before="180"/>
        <w:jc w:val="both"/>
        <w:rPr>
          <w:sz w:val="22"/>
          <w:szCs w:val="22"/>
        </w:rPr>
      </w:pPr>
      <w:r w:rsidRPr="00657CBE">
        <w:rPr>
          <w:sz w:val="22"/>
          <w:szCs w:val="22"/>
        </w:rPr>
        <w:t>V súvislosti so záväzkami SR</w:t>
      </w:r>
      <w:r>
        <w:rPr>
          <w:sz w:val="22"/>
          <w:szCs w:val="22"/>
        </w:rPr>
        <w:t xml:space="preserve">, ktoré sa týkajú </w:t>
      </w:r>
      <w:r w:rsidRPr="00657CBE">
        <w:rPr>
          <w:sz w:val="22"/>
          <w:szCs w:val="22"/>
        </w:rPr>
        <w:t xml:space="preserve">znižovania počtu </w:t>
      </w:r>
      <w:r w:rsidRPr="00657CBE">
        <w:rPr>
          <w:iCs/>
          <w:sz w:val="22"/>
          <w:szCs w:val="22"/>
        </w:rPr>
        <w:t>usmrtených osôb v dôsledku dopravnej nehody v cestnej doprave</w:t>
      </w:r>
      <w:r w:rsidRPr="00657CBE">
        <w:rPr>
          <w:sz w:val="22"/>
          <w:szCs w:val="22"/>
        </w:rPr>
        <w:t xml:space="preserve"> je možné konštatovať, že stanovené ciele sú priebežne napĺňané a počet usmrtených osôb v dôsledku dopravnej nehody v rámci SR má klesajúcu tendenciu. </w:t>
      </w:r>
    </w:p>
    <w:p w14:paraId="58AFBA9A" w14:textId="77777777" w:rsidR="0056229B" w:rsidRDefault="008F0B27" w:rsidP="0056229B">
      <w:pPr>
        <w:spacing w:before="180"/>
        <w:jc w:val="both"/>
        <w:rPr>
          <w:sz w:val="22"/>
          <w:szCs w:val="22"/>
        </w:rPr>
      </w:pPr>
      <w:r w:rsidRPr="00657CBE">
        <w:rPr>
          <w:sz w:val="22"/>
          <w:szCs w:val="22"/>
        </w:rPr>
        <w:t>Od roku 2007 klesal počet usmrtených na cestác</w:t>
      </w:r>
      <w:r>
        <w:rPr>
          <w:sz w:val="22"/>
          <w:szCs w:val="22"/>
        </w:rPr>
        <w:t xml:space="preserve">h z hodnoty 627 až na 223 osôb </w:t>
      </w:r>
      <w:r w:rsidRPr="00657CBE">
        <w:rPr>
          <w:sz w:val="22"/>
          <w:szCs w:val="22"/>
        </w:rPr>
        <w:t>v roku 2013, č</w:t>
      </w:r>
      <w:r w:rsidRPr="00460562">
        <w:rPr>
          <w:sz w:val="22"/>
          <w:szCs w:val="22"/>
        </w:rPr>
        <w:t>o bola historicky najnižšia hodnota počtu usmrtených na slovenských cestách. To predstavuje 4,1</w:t>
      </w:r>
      <w:r w:rsidRPr="00460562">
        <w:rPr>
          <w:bCs/>
          <w:sz w:val="22"/>
          <w:szCs w:val="22"/>
        </w:rPr>
        <w:t xml:space="preserve"> usmrtených na 100 tis. obyvateľov.</w:t>
      </w:r>
      <w:r w:rsidRPr="00AF7005">
        <w:rPr>
          <w:b/>
          <w:sz w:val="22"/>
          <w:szCs w:val="22"/>
        </w:rPr>
        <w:t xml:space="preserve"> </w:t>
      </w:r>
      <w:r w:rsidR="00876CC2">
        <w:rPr>
          <w:b/>
          <w:sz w:val="22"/>
          <w:szCs w:val="22"/>
        </w:rPr>
        <w:t>Cieľom SR</w:t>
      </w:r>
      <w:r w:rsidRPr="009D2BD5">
        <w:rPr>
          <w:b/>
          <w:sz w:val="22"/>
          <w:szCs w:val="22"/>
        </w:rPr>
        <w:t xml:space="preserve"> je pokračovať v realizácii opatrení na znižovanie počtu </w:t>
      </w:r>
      <w:r w:rsidR="002E1021">
        <w:rPr>
          <w:b/>
          <w:sz w:val="22"/>
          <w:szCs w:val="22"/>
        </w:rPr>
        <w:t>a </w:t>
      </w:r>
      <w:r w:rsidR="007E69E9">
        <w:rPr>
          <w:b/>
          <w:sz w:val="22"/>
          <w:szCs w:val="22"/>
        </w:rPr>
        <w:t>následkov</w:t>
      </w:r>
      <w:r w:rsidRPr="000D7BF3">
        <w:rPr>
          <w:b/>
          <w:sz w:val="22"/>
          <w:szCs w:val="22"/>
        </w:rPr>
        <w:t xml:space="preserve"> dopravných nehôd a znížiť počet usmrtených o 50 % oproti roku 2010.</w:t>
      </w:r>
      <w:r w:rsidRPr="000D7BF3">
        <w:rPr>
          <w:sz w:val="22"/>
          <w:szCs w:val="22"/>
        </w:rPr>
        <w:t xml:space="preserve"> Tento cieľ vychádza z Národného plánu na zvýšenie bezpečnosti cestnej premávky do roku 2020</w:t>
      </w:r>
      <w:r w:rsidR="004C77FC">
        <w:rPr>
          <w:rStyle w:val="Odkaznapoznmkupodiarou"/>
          <w:sz w:val="22"/>
          <w:szCs w:val="22"/>
        </w:rPr>
        <w:footnoteReference w:id="68"/>
      </w:r>
      <w:r w:rsidR="004C77FC">
        <w:rPr>
          <w:sz w:val="22"/>
          <w:szCs w:val="22"/>
        </w:rPr>
        <w:t xml:space="preserve">. </w:t>
      </w:r>
      <w:r w:rsidR="00876CC2">
        <w:rPr>
          <w:sz w:val="22"/>
          <w:szCs w:val="22"/>
        </w:rPr>
        <w:t>Predpokladom dosiahnutia t</w:t>
      </w:r>
      <w:r w:rsidR="00E22A35">
        <w:rPr>
          <w:sz w:val="22"/>
          <w:szCs w:val="22"/>
        </w:rPr>
        <w:t xml:space="preserve">ohto cieľa </w:t>
      </w:r>
      <w:r w:rsidR="005F1B36">
        <w:rPr>
          <w:sz w:val="22"/>
          <w:szCs w:val="22"/>
        </w:rPr>
        <w:t>je </w:t>
      </w:r>
      <w:r w:rsidR="00E22A35">
        <w:rPr>
          <w:sz w:val="22"/>
          <w:szCs w:val="22"/>
        </w:rPr>
        <w:t xml:space="preserve">úzka spolupráca relevantných subjektov a prijímanie opatrení v oblasti legislatívy, infraštruktúry, </w:t>
      </w:r>
      <w:r w:rsidR="0056229B">
        <w:rPr>
          <w:sz w:val="22"/>
          <w:szCs w:val="22"/>
        </w:rPr>
        <w:t xml:space="preserve">prevencie a </w:t>
      </w:r>
      <w:r w:rsidR="00E22A35">
        <w:rPr>
          <w:sz w:val="22"/>
          <w:szCs w:val="22"/>
        </w:rPr>
        <w:t>osvety a pod.</w:t>
      </w:r>
    </w:p>
    <w:p w14:paraId="68968F38" w14:textId="77777777" w:rsidR="00225A80" w:rsidRDefault="008F0B27" w:rsidP="00225A80">
      <w:pPr>
        <w:autoSpaceDE w:val="0"/>
        <w:autoSpaceDN w:val="0"/>
        <w:adjustRightInd w:val="0"/>
        <w:spacing w:before="180"/>
        <w:jc w:val="both"/>
        <w:rPr>
          <w:rStyle w:val="FontStyle51"/>
          <w:b/>
        </w:rPr>
      </w:pPr>
      <w:r>
        <w:rPr>
          <w:sz w:val="22"/>
          <w:szCs w:val="22"/>
        </w:rPr>
        <w:t xml:space="preserve">K znižovaniu </w:t>
      </w:r>
      <w:r w:rsidR="00460562" w:rsidRPr="00DA54CE">
        <w:rPr>
          <w:sz w:val="22"/>
          <w:szCs w:val="22"/>
        </w:rPr>
        <w:t>nehodovos</w:t>
      </w:r>
      <w:r>
        <w:rPr>
          <w:sz w:val="22"/>
          <w:szCs w:val="22"/>
        </w:rPr>
        <w:t>ti</w:t>
      </w:r>
      <w:r w:rsidR="00460562" w:rsidRPr="00DA54CE">
        <w:rPr>
          <w:sz w:val="22"/>
          <w:szCs w:val="22"/>
        </w:rPr>
        <w:t xml:space="preserve"> na pozemných komunikáciách</w:t>
      </w:r>
      <w:r w:rsidR="00F93BAD">
        <w:rPr>
          <w:sz w:val="22"/>
          <w:szCs w:val="22"/>
        </w:rPr>
        <w:t xml:space="preserve"> </w:t>
      </w:r>
      <w:r w:rsidR="00460562" w:rsidRPr="00DA54CE">
        <w:rPr>
          <w:sz w:val="22"/>
          <w:szCs w:val="22"/>
        </w:rPr>
        <w:t>má prispieť aj smernica Európskeho parlamentu a Rady 2008/96/ES o riadení bezpečnosti cestnej infra</w:t>
      </w:r>
      <w:r w:rsidR="00F93BAD">
        <w:rPr>
          <w:sz w:val="22"/>
          <w:szCs w:val="22"/>
        </w:rPr>
        <w:t xml:space="preserve">štruktúry. </w:t>
      </w:r>
      <w:r w:rsidR="00460562" w:rsidRPr="00DA54CE">
        <w:rPr>
          <w:sz w:val="22"/>
          <w:szCs w:val="22"/>
        </w:rPr>
        <w:t xml:space="preserve">V súlade so smernicou </w:t>
      </w:r>
      <w:r w:rsidR="00460562" w:rsidRPr="00DA54CE">
        <w:rPr>
          <w:sz w:val="22"/>
          <w:szCs w:val="22"/>
        </w:rPr>
        <w:lastRenderedPageBreak/>
        <w:t>boli stanovené postupy, ktoré by mali byť významným nástrojom na zlepšenie bez</w:t>
      </w:r>
      <w:r w:rsidR="00E22A35">
        <w:rPr>
          <w:sz w:val="22"/>
          <w:szCs w:val="22"/>
        </w:rPr>
        <w:t>pečnosti cestnej infraštruktúry</w:t>
      </w:r>
      <w:r w:rsidR="001756E5">
        <w:rPr>
          <w:rStyle w:val="Odkaznapoznmkupodiarou"/>
          <w:sz w:val="22"/>
          <w:szCs w:val="22"/>
        </w:rPr>
        <w:footnoteReference w:id="69"/>
      </w:r>
      <w:r w:rsidR="001756E5">
        <w:rPr>
          <w:sz w:val="22"/>
          <w:szCs w:val="22"/>
        </w:rPr>
        <w:t>, a to v rámci celého projektového cyklu – plánovania, prípravy projektovej dokumentácie, výstavby, prevádzky a údržby komunikácie</w:t>
      </w:r>
      <w:r w:rsidR="001756E5" w:rsidRPr="007A461E">
        <w:rPr>
          <w:sz w:val="22"/>
          <w:szCs w:val="22"/>
        </w:rPr>
        <w:t>.</w:t>
      </w:r>
      <w:r w:rsidR="002D1E44">
        <w:rPr>
          <w:sz w:val="22"/>
          <w:szCs w:val="22"/>
        </w:rPr>
        <w:t xml:space="preserve"> </w:t>
      </w:r>
      <w:r w:rsidR="00225A80">
        <w:rPr>
          <w:rStyle w:val="FontStyle51"/>
        </w:rPr>
        <w:t>V nadväznosti na výsledky bezpečnostných auditov a rozborov na cestách I. triedy a s využitím skúseností a poznatkov získaných v prog</w:t>
      </w:r>
      <w:r w:rsidR="002D4DB4">
        <w:rPr>
          <w:rStyle w:val="FontStyle51"/>
        </w:rPr>
        <w:t>ramovom období 2007 – 2013</w:t>
      </w:r>
      <w:r w:rsidR="00225A80">
        <w:rPr>
          <w:rStyle w:val="FontStyle51"/>
        </w:rPr>
        <w:t xml:space="preserve"> je cieľom MDV SR v s</w:t>
      </w:r>
      <w:r w:rsidR="002D1E44">
        <w:rPr>
          <w:rStyle w:val="FontStyle51"/>
        </w:rPr>
        <w:t>polupráci so SSC pripraviť a zo </w:t>
      </w:r>
      <w:r w:rsidR="00225A80">
        <w:rPr>
          <w:rStyle w:val="FontStyle51"/>
        </w:rPr>
        <w:t>zdrojov PO 6 implementovať skupinu ucelených regio</w:t>
      </w:r>
      <w:r w:rsidR="002D1E44">
        <w:rPr>
          <w:rStyle w:val="FontStyle51"/>
        </w:rPr>
        <w:t>nálnych projektov zameraných na </w:t>
      </w:r>
      <w:r w:rsidR="00225A80" w:rsidRPr="00225A80">
        <w:rPr>
          <w:rStyle w:val="FontStyle51"/>
          <w:b/>
        </w:rPr>
        <w:t>elimináciu bezpečnostných rizík na cestách I. triedy</w:t>
      </w:r>
      <w:r w:rsidR="00225A80">
        <w:rPr>
          <w:rStyle w:val="FontStyle51"/>
          <w:b/>
        </w:rPr>
        <w:t xml:space="preserve"> a </w:t>
      </w:r>
      <w:r w:rsidR="00964182">
        <w:rPr>
          <w:rStyle w:val="FontStyle51"/>
          <w:b/>
        </w:rPr>
        <w:t>zlepšenie</w:t>
      </w:r>
      <w:r w:rsidR="00225A80" w:rsidRPr="00225A80">
        <w:rPr>
          <w:rStyle w:val="FontStyle51"/>
          <w:b/>
        </w:rPr>
        <w:t xml:space="preserve"> </w:t>
      </w:r>
      <w:r w:rsidR="00225A80">
        <w:rPr>
          <w:rStyle w:val="FontStyle51"/>
          <w:b/>
        </w:rPr>
        <w:t>stavu mostných objektov a križovatiek.</w:t>
      </w:r>
    </w:p>
    <w:p w14:paraId="7301390C" w14:textId="77777777" w:rsidR="006126AF" w:rsidRDefault="006126AF" w:rsidP="00225A80">
      <w:pPr>
        <w:autoSpaceDE w:val="0"/>
        <w:autoSpaceDN w:val="0"/>
        <w:adjustRightInd w:val="0"/>
        <w:spacing w:before="180"/>
        <w:jc w:val="both"/>
        <w:rPr>
          <w:rStyle w:val="FontStyle51"/>
        </w:rPr>
      </w:pPr>
      <w:r>
        <w:rPr>
          <w:rStyle w:val="FontStyle51"/>
          <w:b/>
        </w:rPr>
        <w:t>Výstavba</w:t>
      </w:r>
      <w:r w:rsidR="00A84B84" w:rsidRPr="006126AF">
        <w:rPr>
          <w:rStyle w:val="FontStyle51"/>
          <w:b/>
        </w:rPr>
        <w:t xml:space="preserve"> nových úsekov </w:t>
      </w:r>
      <w:r>
        <w:rPr>
          <w:rStyle w:val="FontStyle51"/>
          <w:b/>
        </w:rPr>
        <w:t xml:space="preserve">ciest </w:t>
      </w:r>
      <w:r w:rsidR="00A84B84" w:rsidRPr="006126AF">
        <w:rPr>
          <w:rStyle w:val="FontStyle51"/>
          <w:b/>
        </w:rPr>
        <w:t xml:space="preserve">I. triedy </w:t>
      </w:r>
      <w:r w:rsidRPr="006126AF">
        <w:rPr>
          <w:rStyle w:val="FontStyle51"/>
          <w:b/>
        </w:rPr>
        <w:t>(</w:t>
      </w:r>
      <w:r w:rsidR="00A84B84" w:rsidRPr="006126AF">
        <w:rPr>
          <w:rStyle w:val="FontStyle51"/>
          <w:b/>
        </w:rPr>
        <w:t>obchvatov miest a</w:t>
      </w:r>
      <w:r>
        <w:rPr>
          <w:rStyle w:val="FontStyle51"/>
          <w:b/>
        </w:rPr>
        <w:t> </w:t>
      </w:r>
      <w:r w:rsidR="00A84B84" w:rsidRPr="006126AF">
        <w:rPr>
          <w:rStyle w:val="FontStyle51"/>
          <w:b/>
        </w:rPr>
        <w:t>obcí</w:t>
      </w:r>
      <w:r>
        <w:rPr>
          <w:rStyle w:val="FontStyle51"/>
          <w:b/>
        </w:rPr>
        <w:t>,</w:t>
      </w:r>
      <w:r w:rsidRPr="006126AF">
        <w:rPr>
          <w:rStyle w:val="FontStyle51"/>
          <w:b/>
        </w:rPr>
        <w:t> </w:t>
      </w:r>
      <w:r w:rsidR="00A84B84" w:rsidRPr="006126AF">
        <w:rPr>
          <w:rStyle w:val="FontStyle51"/>
          <w:b/>
        </w:rPr>
        <w:t>preložiek</w:t>
      </w:r>
      <w:r w:rsidRPr="006126AF">
        <w:rPr>
          <w:rStyle w:val="FontStyle51"/>
          <w:b/>
        </w:rPr>
        <w:t>)</w:t>
      </w:r>
      <w:r w:rsidR="00A84B84" w:rsidRPr="006126AF">
        <w:rPr>
          <w:rStyle w:val="FontStyle51"/>
          <w:b/>
        </w:rPr>
        <w:t xml:space="preserve"> bude realizovaná na základe zoznamu priorít stanovených odborný</w:t>
      </w:r>
      <w:r w:rsidRPr="006126AF">
        <w:rPr>
          <w:rStyle w:val="FontStyle51"/>
          <w:b/>
        </w:rPr>
        <w:t>m viackriteriálnym hodnotením</w:t>
      </w:r>
      <w:r w:rsidRPr="006126AF">
        <w:rPr>
          <w:rStyle w:val="FontStyle51"/>
        </w:rPr>
        <w:t>, ktoré bolo vykonané v roku 2013 pri tvorbe Strategického plánu</w:t>
      </w:r>
      <w:r>
        <w:rPr>
          <w:rStyle w:val="FontStyle51"/>
        </w:rPr>
        <w:t xml:space="preserve">. </w:t>
      </w:r>
      <w:r w:rsidR="00CA4C45">
        <w:rPr>
          <w:rStyle w:val="FontStyle51"/>
        </w:rPr>
        <w:t xml:space="preserve">Hodnotením boli identifikované priority so zameraním na výstavbu, modernizáciu, dovybavenie dopravnou telematikou a ďalšiu prípravu. </w:t>
      </w:r>
      <w:r w:rsidR="001A2C85">
        <w:rPr>
          <w:rStyle w:val="FontStyle51"/>
        </w:rPr>
        <w:t xml:space="preserve">Predpokladá sa, že </w:t>
      </w:r>
      <w:r w:rsidR="005A2F00" w:rsidRPr="005A2F00">
        <w:rPr>
          <w:rStyle w:val="FontStyle51"/>
          <w:b/>
        </w:rPr>
        <w:t>p</w:t>
      </w:r>
      <w:r w:rsidRPr="005A2F00">
        <w:rPr>
          <w:rStyle w:val="FontStyle51"/>
          <w:b/>
        </w:rPr>
        <w:t xml:space="preserve">o roku 2016 </w:t>
      </w:r>
      <w:r w:rsidR="0083727B">
        <w:rPr>
          <w:rStyle w:val="FontStyle51"/>
          <w:b/>
        </w:rPr>
        <w:t>bude do </w:t>
      </w:r>
      <w:r w:rsidR="005A2F00" w:rsidRPr="005A2F00">
        <w:rPr>
          <w:rStyle w:val="FontStyle51"/>
          <w:b/>
        </w:rPr>
        <w:t xml:space="preserve">prevádzky </w:t>
      </w:r>
      <w:r w:rsidR="001A2C85">
        <w:rPr>
          <w:rStyle w:val="FontStyle51"/>
          <w:b/>
        </w:rPr>
        <w:t>uvedený Dopravný model</w:t>
      </w:r>
      <w:r w:rsidR="005A2F00">
        <w:rPr>
          <w:rStyle w:val="FontStyle51"/>
          <w:b/>
        </w:rPr>
        <w:t xml:space="preserve"> S</w:t>
      </w:r>
      <w:r w:rsidR="0083727B">
        <w:rPr>
          <w:rStyle w:val="FontStyle51"/>
          <w:b/>
        </w:rPr>
        <w:t>lovenskej republiky</w:t>
      </w:r>
      <w:r w:rsidR="005A2F00">
        <w:rPr>
          <w:rStyle w:val="FontStyle51"/>
        </w:rPr>
        <w:t xml:space="preserve">, </w:t>
      </w:r>
      <w:r w:rsidR="0083727B">
        <w:rPr>
          <w:rStyle w:val="FontStyle51"/>
        </w:rPr>
        <w:t xml:space="preserve">prostredníctvom ktorého bude vykonávané modelovanie </w:t>
      </w:r>
      <w:r>
        <w:rPr>
          <w:rStyle w:val="FontStyle51"/>
        </w:rPr>
        <w:t xml:space="preserve">dopravno-prepravných vzťahov </w:t>
      </w:r>
      <w:r w:rsidR="0083727B">
        <w:rPr>
          <w:rStyle w:val="FontStyle51"/>
        </w:rPr>
        <w:t>a</w:t>
      </w:r>
      <w:r w:rsidR="00C45CFB">
        <w:rPr>
          <w:rStyle w:val="FontStyle51"/>
        </w:rPr>
        <w:t> </w:t>
      </w:r>
      <w:r w:rsidR="0083727B">
        <w:rPr>
          <w:rStyle w:val="FontStyle51"/>
        </w:rPr>
        <w:t>definovanie</w:t>
      </w:r>
      <w:r w:rsidR="00C45CFB">
        <w:rPr>
          <w:rStyle w:val="FontStyle51"/>
        </w:rPr>
        <w:t>, resp. prehodnotenie</w:t>
      </w:r>
      <w:r w:rsidR="005A2F00">
        <w:rPr>
          <w:rStyle w:val="FontStyle51"/>
        </w:rPr>
        <w:t xml:space="preserve"> investičných priorít.</w:t>
      </w:r>
    </w:p>
    <w:p w14:paraId="10F67C2C" w14:textId="77777777" w:rsidR="00CF2C83" w:rsidRPr="0056229B" w:rsidRDefault="00C43D5B" w:rsidP="0056229B">
      <w:pPr>
        <w:autoSpaceDE w:val="0"/>
        <w:autoSpaceDN w:val="0"/>
        <w:adjustRightInd w:val="0"/>
        <w:spacing w:before="180"/>
        <w:jc w:val="both"/>
        <w:rPr>
          <w:rStyle w:val="FontStyle51"/>
        </w:rPr>
      </w:pPr>
      <w:r>
        <w:rPr>
          <w:rStyle w:val="FontStyle51"/>
        </w:rPr>
        <w:t xml:space="preserve">Na záver je potrebné zdôrazniť, že </w:t>
      </w:r>
      <w:r w:rsidRPr="00C43D5B">
        <w:rPr>
          <w:rStyle w:val="FontStyle51"/>
        </w:rPr>
        <w:t xml:space="preserve">zachovanie </w:t>
      </w:r>
      <w:r>
        <w:rPr>
          <w:rStyle w:val="FontStyle51"/>
        </w:rPr>
        <w:t xml:space="preserve">udržateľnosti investícií - </w:t>
      </w:r>
      <w:r w:rsidRPr="00C43D5B">
        <w:rPr>
          <w:rStyle w:val="FontStyle51"/>
        </w:rPr>
        <w:t xml:space="preserve">prevádzkovej spôsobilosti </w:t>
      </w:r>
      <w:r>
        <w:rPr>
          <w:rStyle w:val="FontStyle51"/>
        </w:rPr>
        <w:t>ciest</w:t>
      </w:r>
      <w:r w:rsidR="007460B3">
        <w:rPr>
          <w:rStyle w:val="FontStyle51"/>
        </w:rPr>
        <w:t xml:space="preserve"> a cestných objektov</w:t>
      </w:r>
      <w:r>
        <w:rPr>
          <w:rStyle w:val="FontStyle51"/>
        </w:rPr>
        <w:t xml:space="preserve"> je potrebné zabezpečiť p</w:t>
      </w:r>
      <w:r w:rsidRPr="00C43D5B">
        <w:rPr>
          <w:rStyle w:val="FontStyle51"/>
        </w:rPr>
        <w:t xml:space="preserve">rostredníctvom </w:t>
      </w:r>
      <w:r>
        <w:rPr>
          <w:rStyle w:val="FontStyle51"/>
        </w:rPr>
        <w:t xml:space="preserve">systémových zmien a nastavenia </w:t>
      </w:r>
      <w:r w:rsidRPr="00C43D5B">
        <w:rPr>
          <w:rStyle w:val="FontStyle51"/>
        </w:rPr>
        <w:t xml:space="preserve">optimálneho financovania </w:t>
      </w:r>
      <w:r>
        <w:rPr>
          <w:rStyle w:val="FontStyle51"/>
        </w:rPr>
        <w:t>cyklickej údržby a opráv.</w:t>
      </w:r>
      <w:r w:rsidR="001E6860">
        <w:rPr>
          <w:rStyle w:val="FontStyle51"/>
        </w:rPr>
        <w:t xml:space="preserve"> Finančné prostriedky na dosiahnutie cieľa by mal poskytnúť štátny rozpočet (kapitola MDV SR).</w:t>
      </w:r>
    </w:p>
    <w:p w14:paraId="5B064C5F" w14:textId="77777777" w:rsidR="009E0158" w:rsidRDefault="00086DD6" w:rsidP="00E0226E">
      <w:pPr>
        <w:numPr>
          <w:ilvl w:val="2"/>
          <w:numId w:val="98"/>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Budovanie inteligentných dopravných systémov</w:t>
      </w:r>
    </w:p>
    <w:p w14:paraId="1BACAEAF" w14:textId="77777777" w:rsidR="00FD1F7C" w:rsidRPr="00476286" w:rsidRDefault="00DC7716" w:rsidP="00476286">
      <w:pPr>
        <w:autoSpaceDE w:val="0"/>
        <w:autoSpaceDN w:val="0"/>
        <w:adjustRightInd w:val="0"/>
        <w:jc w:val="both"/>
        <w:rPr>
          <w:sz w:val="22"/>
          <w:szCs w:val="22"/>
        </w:rPr>
      </w:pPr>
      <w:r w:rsidRPr="00DC7716">
        <w:rPr>
          <w:sz w:val="22"/>
          <w:szCs w:val="22"/>
        </w:rPr>
        <w:t xml:space="preserve">Súčasný stav </w:t>
      </w:r>
      <w:r>
        <w:rPr>
          <w:sz w:val="22"/>
          <w:szCs w:val="22"/>
        </w:rPr>
        <w:t xml:space="preserve">na Slovensku v oblasti poskytovania </w:t>
      </w:r>
      <w:r w:rsidRPr="00DC7716">
        <w:rPr>
          <w:sz w:val="22"/>
          <w:szCs w:val="22"/>
        </w:rPr>
        <w:t>dopravných informácií a</w:t>
      </w:r>
      <w:r>
        <w:rPr>
          <w:sz w:val="22"/>
          <w:szCs w:val="22"/>
        </w:rPr>
        <w:t xml:space="preserve"> využívania </w:t>
      </w:r>
      <w:r w:rsidRPr="00DC7716">
        <w:rPr>
          <w:sz w:val="22"/>
          <w:szCs w:val="22"/>
        </w:rPr>
        <w:t>dopra</w:t>
      </w:r>
      <w:r>
        <w:rPr>
          <w:sz w:val="22"/>
          <w:szCs w:val="22"/>
        </w:rPr>
        <w:t>vnej telematiky je </w:t>
      </w:r>
      <w:r w:rsidRPr="00DC7716">
        <w:rPr>
          <w:sz w:val="22"/>
          <w:szCs w:val="22"/>
        </w:rPr>
        <w:t>v začiatkoch svojho rozvoja.</w:t>
      </w:r>
      <w:r>
        <w:rPr>
          <w:sz w:val="22"/>
          <w:szCs w:val="22"/>
        </w:rPr>
        <w:t xml:space="preserve"> Na cestách absentuje dopravná telematika a technologické zariadenia</w:t>
      </w:r>
      <w:r w:rsidR="00514805">
        <w:rPr>
          <w:sz w:val="22"/>
          <w:szCs w:val="22"/>
        </w:rPr>
        <w:t>, ktoré by umožnili</w:t>
      </w:r>
      <w:r>
        <w:rPr>
          <w:sz w:val="22"/>
          <w:szCs w:val="22"/>
        </w:rPr>
        <w:t xml:space="preserve"> monitorovanie prevádzkových podmienok</w:t>
      </w:r>
      <w:r w:rsidR="00514805">
        <w:rPr>
          <w:sz w:val="22"/>
          <w:szCs w:val="22"/>
        </w:rPr>
        <w:t xml:space="preserve">, ako aj vykonávanie reálneho </w:t>
      </w:r>
      <w:r>
        <w:rPr>
          <w:sz w:val="22"/>
          <w:szCs w:val="22"/>
        </w:rPr>
        <w:t>manažment</w:t>
      </w:r>
      <w:r w:rsidR="00964182">
        <w:rPr>
          <w:sz w:val="22"/>
          <w:szCs w:val="22"/>
        </w:rPr>
        <w:t>u</w:t>
      </w:r>
      <w:r w:rsidR="00514805">
        <w:rPr>
          <w:sz w:val="22"/>
          <w:szCs w:val="22"/>
        </w:rPr>
        <w:t xml:space="preserve"> dopravy</w:t>
      </w:r>
      <w:r>
        <w:rPr>
          <w:sz w:val="22"/>
          <w:szCs w:val="22"/>
        </w:rPr>
        <w:t>.</w:t>
      </w:r>
      <w:r w:rsidR="00476286">
        <w:rPr>
          <w:sz w:val="22"/>
          <w:szCs w:val="22"/>
        </w:rPr>
        <w:t xml:space="preserve"> </w:t>
      </w:r>
      <w:r w:rsidR="00460562" w:rsidRPr="000907E6">
        <w:rPr>
          <w:sz w:val="22"/>
          <w:szCs w:val="22"/>
        </w:rPr>
        <w:t>Implemen</w:t>
      </w:r>
      <w:r w:rsidR="00476286">
        <w:rPr>
          <w:sz w:val="22"/>
          <w:szCs w:val="22"/>
        </w:rPr>
        <w:t>tácia m</w:t>
      </w:r>
      <w:r w:rsidR="009D309A">
        <w:rPr>
          <w:sz w:val="22"/>
          <w:szCs w:val="22"/>
        </w:rPr>
        <w:t>oderných technológií sa </w:t>
      </w:r>
      <w:r w:rsidR="00476286">
        <w:rPr>
          <w:sz w:val="22"/>
          <w:szCs w:val="22"/>
        </w:rPr>
        <w:t>pritom môže významným spôsobom podieľať na intenzifikácii</w:t>
      </w:r>
      <w:r w:rsidR="00460562" w:rsidRPr="000907E6">
        <w:rPr>
          <w:sz w:val="22"/>
          <w:szCs w:val="22"/>
        </w:rPr>
        <w:t xml:space="preserve"> kap</w:t>
      </w:r>
      <w:r w:rsidR="00460562">
        <w:rPr>
          <w:sz w:val="22"/>
          <w:szCs w:val="22"/>
        </w:rPr>
        <w:t xml:space="preserve">acity existujúcej cestnej siete, </w:t>
      </w:r>
      <w:r w:rsidR="00476286">
        <w:rPr>
          <w:sz w:val="22"/>
          <w:szCs w:val="22"/>
        </w:rPr>
        <w:t xml:space="preserve">zmierniť kongescie a zlepšiť </w:t>
      </w:r>
      <w:r w:rsidR="00460562" w:rsidRPr="000907E6">
        <w:rPr>
          <w:sz w:val="22"/>
          <w:szCs w:val="22"/>
        </w:rPr>
        <w:t>bezpečnos</w:t>
      </w:r>
      <w:r w:rsidR="00476286">
        <w:rPr>
          <w:sz w:val="22"/>
          <w:szCs w:val="22"/>
        </w:rPr>
        <w:t xml:space="preserve">ť a plynulosť </w:t>
      </w:r>
      <w:r w:rsidR="00460562">
        <w:rPr>
          <w:sz w:val="22"/>
          <w:szCs w:val="22"/>
        </w:rPr>
        <w:t>cestnej premávky.</w:t>
      </w:r>
    </w:p>
    <w:p w14:paraId="4AB61EB4" w14:textId="77777777" w:rsidR="009D527D" w:rsidRDefault="00460562" w:rsidP="000F6223">
      <w:pPr>
        <w:autoSpaceDE w:val="0"/>
        <w:autoSpaceDN w:val="0"/>
        <w:adjustRightInd w:val="0"/>
        <w:spacing w:before="180" w:after="120"/>
        <w:jc w:val="both"/>
        <w:rPr>
          <w:sz w:val="22"/>
          <w:szCs w:val="22"/>
        </w:rPr>
      </w:pPr>
      <w:r w:rsidRPr="005348B9">
        <w:rPr>
          <w:sz w:val="22"/>
          <w:szCs w:val="22"/>
        </w:rPr>
        <w:t xml:space="preserve">Dopravná telematika </w:t>
      </w:r>
      <w:r w:rsidR="009D309A">
        <w:rPr>
          <w:sz w:val="22"/>
          <w:szCs w:val="22"/>
        </w:rPr>
        <w:t>(p</w:t>
      </w:r>
      <w:r w:rsidR="009D309A" w:rsidRPr="009D309A">
        <w:rPr>
          <w:sz w:val="22"/>
          <w:szCs w:val="22"/>
        </w:rPr>
        <w:t>remenné dop</w:t>
      </w:r>
      <w:r w:rsidR="009D309A">
        <w:rPr>
          <w:sz w:val="22"/>
          <w:szCs w:val="22"/>
        </w:rPr>
        <w:t xml:space="preserve">ravné značenia, meteo stanice, </w:t>
      </w:r>
      <w:r w:rsidR="009D527D">
        <w:rPr>
          <w:sz w:val="22"/>
          <w:szCs w:val="22"/>
        </w:rPr>
        <w:t xml:space="preserve">CCTV </w:t>
      </w:r>
      <w:r w:rsidR="009D309A">
        <w:rPr>
          <w:sz w:val="22"/>
          <w:szCs w:val="22"/>
        </w:rPr>
        <w:t xml:space="preserve">kamery) </w:t>
      </w:r>
      <w:r w:rsidRPr="005348B9">
        <w:rPr>
          <w:sz w:val="22"/>
          <w:szCs w:val="22"/>
        </w:rPr>
        <w:t>bude nasadzovaná v najzaťaženejších úsekoch a v kritických</w:t>
      </w:r>
      <w:r w:rsidRPr="000907E6">
        <w:rPr>
          <w:sz w:val="22"/>
          <w:szCs w:val="22"/>
        </w:rPr>
        <w:t xml:space="preserve"> </w:t>
      </w:r>
      <w:r>
        <w:rPr>
          <w:sz w:val="22"/>
          <w:szCs w:val="22"/>
        </w:rPr>
        <w:t>nehodových lokalitách, či už na </w:t>
      </w:r>
      <w:r w:rsidRPr="000907E6">
        <w:rPr>
          <w:sz w:val="22"/>
          <w:szCs w:val="22"/>
        </w:rPr>
        <w:t>extravilánových úsekoch, ako aj v</w:t>
      </w:r>
      <w:r>
        <w:rPr>
          <w:sz w:val="22"/>
          <w:szCs w:val="22"/>
        </w:rPr>
        <w:t> </w:t>
      </w:r>
      <w:r w:rsidRPr="000907E6">
        <w:rPr>
          <w:sz w:val="22"/>
          <w:szCs w:val="22"/>
        </w:rPr>
        <w:t>intraviláne miest a</w:t>
      </w:r>
      <w:r w:rsidR="00476286">
        <w:rPr>
          <w:sz w:val="22"/>
          <w:szCs w:val="22"/>
        </w:rPr>
        <w:t> obcí, na ktorých sa zo strednodobého hľadiska nepredpokladá investičná výstavba.</w:t>
      </w:r>
      <w:r w:rsidR="009D527D">
        <w:rPr>
          <w:sz w:val="22"/>
          <w:szCs w:val="22"/>
        </w:rPr>
        <w:t xml:space="preserve"> </w:t>
      </w:r>
      <w:r w:rsidR="000F6223">
        <w:rPr>
          <w:sz w:val="22"/>
          <w:szCs w:val="22"/>
        </w:rPr>
        <w:t xml:space="preserve">Vysoké opodstatnenie má vybavenie </w:t>
      </w:r>
      <w:r w:rsidR="000F6223" w:rsidRPr="000F6223">
        <w:rPr>
          <w:sz w:val="22"/>
          <w:szCs w:val="22"/>
        </w:rPr>
        <w:t>úsekov smerujúcich k horským priechodom, ako napr.</w:t>
      </w:r>
      <w:r w:rsidR="000F6223">
        <w:rPr>
          <w:sz w:val="22"/>
          <w:szCs w:val="22"/>
        </w:rPr>
        <w:t xml:space="preserve"> </w:t>
      </w:r>
      <w:r w:rsidR="000F6223" w:rsidRPr="000F6223">
        <w:rPr>
          <w:sz w:val="22"/>
          <w:szCs w:val="22"/>
        </w:rPr>
        <w:t>Šturec, Donovaly, Čertovica</w:t>
      </w:r>
      <w:r w:rsidR="000F6223">
        <w:rPr>
          <w:sz w:val="22"/>
          <w:szCs w:val="22"/>
        </w:rPr>
        <w:t xml:space="preserve"> tak</w:t>
      </w:r>
      <w:r w:rsidR="000F6223" w:rsidRPr="000F6223">
        <w:rPr>
          <w:sz w:val="22"/>
          <w:szCs w:val="22"/>
        </w:rPr>
        <w:t xml:space="preserve">, aby bolo možné efektívne riadiť dopravu najmä </w:t>
      </w:r>
      <w:r w:rsidR="000F6223">
        <w:rPr>
          <w:sz w:val="22"/>
          <w:szCs w:val="22"/>
        </w:rPr>
        <w:t>v zimnom období, v </w:t>
      </w:r>
      <w:r w:rsidR="000F6223" w:rsidRPr="000F6223">
        <w:rPr>
          <w:sz w:val="22"/>
          <w:szCs w:val="22"/>
        </w:rPr>
        <w:t>prípade kritických situácií,</w:t>
      </w:r>
      <w:r w:rsidR="000F6223">
        <w:rPr>
          <w:sz w:val="22"/>
          <w:szCs w:val="22"/>
        </w:rPr>
        <w:t xml:space="preserve"> </w:t>
      </w:r>
      <w:r w:rsidR="000F6223" w:rsidRPr="000F6223">
        <w:rPr>
          <w:sz w:val="22"/>
          <w:szCs w:val="22"/>
        </w:rPr>
        <w:t>uzávierok, či pri plánovaní trás nadr</w:t>
      </w:r>
      <w:r w:rsidR="000F6223">
        <w:rPr>
          <w:sz w:val="22"/>
          <w:szCs w:val="22"/>
        </w:rPr>
        <w:t>ozmernej a nebezpečnej prepravy.</w:t>
      </w:r>
      <w:r w:rsidR="00B47A1A">
        <w:rPr>
          <w:sz w:val="22"/>
          <w:szCs w:val="22"/>
        </w:rPr>
        <w:t xml:space="preserve"> Prínosom zavedenia IDS môže byť taktiež čiastočná úspora nákladov inak potrebných v intravilánoch miest na budovanie obchvatov a preložiek.</w:t>
      </w:r>
    </w:p>
    <w:p w14:paraId="47C4C2E5" w14:textId="77777777" w:rsidR="00460562" w:rsidRDefault="00460562" w:rsidP="009D527D">
      <w:pPr>
        <w:autoSpaceDE w:val="0"/>
        <w:autoSpaceDN w:val="0"/>
        <w:adjustRightInd w:val="0"/>
        <w:spacing w:before="180" w:after="120"/>
        <w:jc w:val="both"/>
        <w:rPr>
          <w:sz w:val="22"/>
          <w:szCs w:val="22"/>
        </w:rPr>
      </w:pPr>
      <w:r>
        <w:rPr>
          <w:sz w:val="22"/>
          <w:szCs w:val="22"/>
        </w:rPr>
        <w:t>Táto oblasť by mala komplementárne doplniť aktivity spolufinancované z KF v rámci PO 2.</w:t>
      </w:r>
      <w:r w:rsidR="009D527D">
        <w:rPr>
          <w:sz w:val="22"/>
          <w:szCs w:val="22"/>
        </w:rPr>
        <w:t xml:space="preserve"> V tomto prípade bude dodanie a inštalácia inteligentných dopravných systémov </w:t>
      </w:r>
      <w:r w:rsidR="005D74B7">
        <w:rPr>
          <w:sz w:val="22"/>
          <w:szCs w:val="22"/>
        </w:rPr>
        <w:t xml:space="preserve">a súvisiacich riadiacich, dohľadových a komunikačných systémov </w:t>
      </w:r>
      <w:r w:rsidR="009D527D">
        <w:rPr>
          <w:sz w:val="22"/>
          <w:szCs w:val="22"/>
        </w:rPr>
        <w:t>smerovať na už existujúc</w:t>
      </w:r>
      <w:r w:rsidR="00BC169E">
        <w:rPr>
          <w:sz w:val="22"/>
          <w:szCs w:val="22"/>
        </w:rPr>
        <w:t>e diaľnice</w:t>
      </w:r>
      <w:r w:rsidR="005D74B7">
        <w:rPr>
          <w:sz w:val="22"/>
          <w:szCs w:val="22"/>
        </w:rPr>
        <w:t xml:space="preserve">, </w:t>
      </w:r>
      <w:r w:rsidR="00BC169E">
        <w:rPr>
          <w:sz w:val="22"/>
          <w:szCs w:val="22"/>
        </w:rPr>
        <w:t xml:space="preserve">rýchlostné cesty </w:t>
      </w:r>
      <w:r w:rsidR="00DB53FE">
        <w:rPr>
          <w:sz w:val="22"/>
          <w:szCs w:val="22"/>
        </w:rPr>
        <w:t>a cesty nižších kategórií</w:t>
      </w:r>
      <w:r w:rsidR="005D74B7">
        <w:rPr>
          <w:sz w:val="22"/>
          <w:szCs w:val="22"/>
        </w:rPr>
        <w:t xml:space="preserve"> </w:t>
      </w:r>
      <w:r w:rsidR="00BC169E">
        <w:rPr>
          <w:sz w:val="22"/>
          <w:szCs w:val="22"/>
        </w:rPr>
        <w:t>s </w:t>
      </w:r>
      <w:r w:rsidR="009D527D">
        <w:rPr>
          <w:sz w:val="22"/>
          <w:szCs w:val="22"/>
        </w:rPr>
        <w:t>cieľom zlepšenia informovanosti, bezpečnosti a plynulosti cestnej premávky.</w:t>
      </w:r>
    </w:p>
    <w:p w14:paraId="6275AD6C" w14:textId="77777777" w:rsidR="00551EC8" w:rsidRDefault="00551EC8" w:rsidP="009D527D">
      <w:pPr>
        <w:autoSpaceDE w:val="0"/>
        <w:autoSpaceDN w:val="0"/>
        <w:adjustRightInd w:val="0"/>
        <w:spacing w:before="180" w:after="120"/>
        <w:jc w:val="both"/>
        <w:rPr>
          <w:sz w:val="22"/>
          <w:szCs w:val="22"/>
        </w:rPr>
      </w:pPr>
      <w:r>
        <w:rPr>
          <w:sz w:val="22"/>
          <w:szCs w:val="22"/>
        </w:rPr>
        <w:t xml:space="preserve">Aplikáciou inteligentných dopravných systémov je možné prispieť k zlepšeniu kvality ovzdušia, predovšetkým v urbanizovaných oblastiach. </w:t>
      </w:r>
      <w:r w:rsidR="00CA7039">
        <w:rPr>
          <w:sz w:val="22"/>
          <w:szCs w:val="22"/>
        </w:rPr>
        <w:t>Jedným z cieľov zavádzania I</w:t>
      </w:r>
      <w:r w:rsidR="003E16CF">
        <w:rPr>
          <w:sz w:val="22"/>
          <w:szCs w:val="22"/>
        </w:rPr>
        <w:t xml:space="preserve">DS je zabezpečovať </w:t>
      </w:r>
      <w:r w:rsidR="00EF1096">
        <w:rPr>
          <w:sz w:val="22"/>
          <w:szCs w:val="22"/>
        </w:rPr>
        <w:t>riadenie a </w:t>
      </w:r>
      <w:r w:rsidR="003E16CF">
        <w:rPr>
          <w:sz w:val="22"/>
          <w:szCs w:val="22"/>
        </w:rPr>
        <w:t>reguláciu</w:t>
      </w:r>
      <w:r w:rsidR="00EF1096">
        <w:rPr>
          <w:sz w:val="22"/>
          <w:szCs w:val="22"/>
        </w:rPr>
        <w:t xml:space="preserve"> cestnej</w:t>
      </w:r>
      <w:r w:rsidR="003E16CF">
        <w:rPr>
          <w:sz w:val="22"/>
          <w:szCs w:val="22"/>
        </w:rPr>
        <w:t xml:space="preserve"> dopravy, odstraňovanie kongescií a</w:t>
      </w:r>
      <w:r w:rsidR="00EF1096">
        <w:rPr>
          <w:sz w:val="22"/>
          <w:szCs w:val="22"/>
        </w:rPr>
        <w:t> </w:t>
      </w:r>
      <w:r w:rsidR="003E16CF">
        <w:rPr>
          <w:sz w:val="22"/>
          <w:szCs w:val="22"/>
        </w:rPr>
        <w:t>z</w:t>
      </w:r>
      <w:r w:rsidR="00EF1096">
        <w:rPr>
          <w:sz w:val="22"/>
          <w:szCs w:val="22"/>
        </w:rPr>
        <w:t>níženie zaťaženia životného prostredia.</w:t>
      </w:r>
      <w:r w:rsidR="003E16CF">
        <w:rPr>
          <w:sz w:val="22"/>
          <w:szCs w:val="22"/>
        </w:rPr>
        <w:t xml:space="preserve"> </w:t>
      </w:r>
      <w:r w:rsidR="00EF1096">
        <w:rPr>
          <w:sz w:val="22"/>
          <w:szCs w:val="22"/>
        </w:rPr>
        <w:t>P</w:t>
      </w:r>
      <w:r w:rsidR="003E16CF">
        <w:rPr>
          <w:sz w:val="22"/>
          <w:szCs w:val="22"/>
        </w:rPr>
        <w:t>rostredníctvom navádzania a odklonu dopravy na obchádzkové trasy</w:t>
      </w:r>
      <w:r w:rsidR="00BE18C6">
        <w:rPr>
          <w:sz w:val="22"/>
          <w:szCs w:val="22"/>
        </w:rPr>
        <w:t>, či obmedzen</w:t>
      </w:r>
      <w:r w:rsidR="006E3502">
        <w:rPr>
          <w:sz w:val="22"/>
          <w:szCs w:val="22"/>
        </w:rPr>
        <w:t>í</w:t>
      </w:r>
      <w:r w:rsidR="00BE18C6">
        <w:rPr>
          <w:sz w:val="22"/>
          <w:szCs w:val="22"/>
        </w:rPr>
        <w:t>m alebo úplným zákazom vstupu</w:t>
      </w:r>
      <w:r w:rsidR="00885D54">
        <w:rPr>
          <w:sz w:val="22"/>
          <w:szCs w:val="22"/>
        </w:rPr>
        <w:t xml:space="preserve"> motorových vozidiel</w:t>
      </w:r>
      <w:r w:rsidR="00BE18C6">
        <w:rPr>
          <w:sz w:val="22"/>
          <w:szCs w:val="22"/>
        </w:rPr>
        <w:t xml:space="preserve"> do určitých lokalít</w:t>
      </w:r>
      <w:r w:rsidR="00885D54">
        <w:rPr>
          <w:sz w:val="22"/>
          <w:szCs w:val="22"/>
        </w:rPr>
        <w:t xml:space="preserve"> je možné v prípad</w:t>
      </w:r>
      <w:r w:rsidR="00F0589C">
        <w:rPr>
          <w:sz w:val="22"/>
          <w:szCs w:val="22"/>
        </w:rPr>
        <w:t>och</w:t>
      </w:r>
      <w:r w:rsidR="003E16CF">
        <w:rPr>
          <w:sz w:val="22"/>
          <w:szCs w:val="22"/>
        </w:rPr>
        <w:t>, ak</w:t>
      </w:r>
      <w:r w:rsidR="00BE18C6">
        <w:rPr>
          <w:sz w:val="22"/>
          <w:szCs w:val="22"/>
        </w:rPr>
        <w:t xml:space="preserve"> sú</w:t>
      </w:r>
      <w:r w:rsidR="00885D54">
        <w:rPr>
          <w:sz w:val="22"/>
          <w:szCs w:val="22"/>
        </w:rPr>
        <w:t xml:space="preserve"> </w:t>
      </w:r>
      <w:r w:rsidR="00755A42">
        <w:rPr>
          <w:sz w:val="22"/>
          <w:szCs w:val="22"/>
        </w:rPr>
        <w:t xml:space="preserve">prekročené </w:t>
      </w:r>
      <w:r w:rsidR="00885D54">
        <w:rPr>
          <w:sz w:val="22"/>
          <w:szCs w:val="22"/>
        </w:rPr>
        <w:t>limity</w:t>
      </w:r>
      <w:r w:rsidR="003E16CF">
        <w:rPr>
          <w:sz w:val="22"/>
          <w:szCs w:val="22"/>
        </w:rPr>
        <w:t xml:space="preserve"> emisií znečisťujúcich látok</w:t>
      </w:r>
      <w:r w:rsidR="00EF1096">
        <w:rPr>
          <w:sz w:val="22"/>
          <w:szCs w:val="22"/>
        </w:rPr>
        <w:t>, prispieť k zníženiu emisného zaťaženia prostredia</w:t>
      </w:r>
      <w:r w:rsidR="003E16CF">
        <w:rPr>
          <w:sz w:val="22"/>
          <w:szCs w:val="22"/>
        </w:rPr>
        <w:t>.</w:t>
      </w:r>
      <w:r w:rsidR="00CA7039">
        <w:rPr>
          <w:sz w:val="22"/>
          <w:szCs w:val="22"/>
        </w:rPr>
        <w:t xml:space="preserve"> </w:t>
      </w:r>
      <w:r w:rsidR="006E3502">
        <w:rPr>
          <w:sz w:val="22"/>
          <w:szCs w:val="22"/>
        </w:rPr>
        <w:t xml:space="preserve">Zavedením dynamického riadenia dopravy na svetelne riadených križovatkách </w:t>
      </w:r>
      <w:r w:rsidR="009A2183">
        <w:rPr>
          <w:sz w:val="22"/>
          <w:szCs w:val="22"/>
        </w:rPr>
        <w:t>j</w:t>
      </w:r>
      <w:r w:rsidR="00755A42">
        <w:rPr>
          <w:sz w:val="22"/>
          <w:szCs w:val="22"/>
        </w:rPr>
        <w:t>e</w:t>
      </w:r>
      <w:r w:rsidR="006E3502">
        <w:rPr>
          <w:sz w:val="22"/>
          <w:szCs w:val="22"/>
        </w:rPr>
        <w:t xml:space="preserve"> možné dosiahnuť zníženie tvorby kongescií</w:t>
      </w:r>
      <w:r w:rsidR="00755A42">
        <w:rPr>
          <w:sz w:val="22"/>
          <w:szCs w:val="22"/>
        </w:rPr>
        <w:t xml:space="preserve"> a</w:t>
      </w:r>
      <w:r w:rsidR="00B52A89">
        <w:rPr>
          <w:sz w:val="22"/>
          <w:szCs w:val="22"/>
        </w:rPr>
        <w:t xml:space="preserve"> tým</w:t>
      </w:r>
      <w:r w:rsidR="006E3502">
        <w:rPr>
          <w:sz w:val="22"/>
          <w:szCs w:val="22"/>
        </w:rPr>
        <w:t xml:space="preserve"> úsporu pohonných hmôt</w:t>
      </w:r>
      <w:r w:rsidR="00B52A89">
        <w:rPr>
          <w:sz w:val="22"/>
          <w:szCs w:val="22"/>
        </w:rPr>
        <w:t xml:space="preserve"> a</w:t>
      </w:r>
      <w:r w:rsidR="00755A42">
        <w:rPr>
          <w:sz w:val="22"/>
          <w:szCs w:val="22"/>
        </w:rPr>
        <w:t xml:space="preserve"> </w:t>
      </w:r>
      <w:r w:rsidR="00885D54">
        <w:rPr>
          <w:sz w:val="22"/>
          <w:szCs w:val="22"/>
        </w:rPr>
        <w:t>reduk</w:t>
      </w:r>
      <w:r w:rsidR="00755A42">
        <w:rPr>
          <w:sz w:val="22"/>
          <w:szCs w:val="22"/>
        </w:rPr>
        <w:t>ciu</w:t>
      </w:r>
      <w:r w:rsidR="006E3502">
        <w:rPr>
          <w:sz w:val="22"/>
          <w:szCs w:val="22"/>
        </w:rPr>
        <w:t xml:space="preserve"> emisií skleníkových plynov</w:t>
      </w:r>
      <w:r w:rsidR="00EF1096">
        <w:rPr>
          <w:sz w:val="22"/>
          <w:szCs w:val="22"/>
        </w:rPr>
        <w:t xml:space="preserve"> či</w:t>
      </w:r>
      <w:r w:rsidR="006E3502">
        <w:rPr>
          <w:sz w:val="22"/>
          <w:szCs w:val="22"/>
        </w:rPr>
        <w:t> znečisťujúcich látok</w:t>
      </w:r>
      <w:r w:rsidR="00755A42">
        <w:rPr>
          <w:sz w:val="22"/>
          <w:szCs w:val="22"/>
        </w:rPr>
        <w:t xml:space="preserve"> v ovzduší</w:t>
      </w:r>
      <w:r w:rsidR="00885D54">
        <w:rPr>
          <w:sz w:val="22"/>
          <w:szCs w:val="22"/>
        </w:rPr>
        <w:t xml:space="preserve"> a</w:t>
      </w:r>
      <w:r w:rsidR="00F92E57">
        <w:rPr>
          <w:sz w:val="22"/>
          <w:szCs w:val="22"/>
        </w:rPr>
        <w:t xml:space="preserve"> prispieť tak k </w:t>
      </w:r>
      <w:r w:rsidR="00F92E57" w:rsidRPr="00F92E57">
        <w:rPr>
          <w:sz w:val="22"/>
          <w:szCs w:val="22"/>
        </w:rPr>
        <w:t>napĺňaniu cieľov definovaných</w:t>
      </w:r>
      <w:r w:rsidR="002E433C">
        <w:rPr>
          <w:sz w:val="22"/>
          <w:szCs w:val="22"/>
        </w:rPr>
        <w:t xml:space="preserve"> smernicou Európskeho parlamentu a rady 2008/50/ES o kvalite okolitého ovzdušia a čistejšom ovzduší v Európe; v rámci SR transponovanou zákonom č. 137/2010 Z. z. v znení neskorších predpisov a vyhláškou č. </w:t>
      </w:r>
      <w:r w:rsidR="002E433C">
        <w:rPr>
          <w:sz w:val="22"/>
          <w:szCs w:val="22"/>
        </w:rPr>
        <w:lastRenderedPageBreak/>
        <w:t>360/2010 Z. z. Ministerstva pôdohospodárstva, životného prostredia a regionálneho rozvoja Slovenskej republiky o kvalite ovzdušia v znení vyhlášky č. 442/2013 Z. z</w:t>
      </w:r>
    </w:p>
    <w:p w14:paraId="578AE718" w14:textId="4320EC0F" w:rsidR="009E0158" w:rsidRDefault="00460562" w:rsidP="00320341">
      <w:pPr>
        <w:numPr>
          <w:ilvl w:val="2"/>
          <w:numId w:val="99"/>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Výstavba a modernizácia cestnej infraštruktúry v súvislosti so zabezpečením efektívneho colného konania</w:t>
      </w:r>
    </w:p>
    <w:p w14:paraId="06D05BEA" w14:textId="77777777" w:rsidR="00460562" w:rsidRPr="006E637C" w:rsidRDefault="00460562" w:rsidP="00460562">
      <w:pPr>
        <w:pStyle w:val="Default"/>
        <w:spacing w:before="180"/>
        <w:jc w:val="both"/>
        <w:rPr>
          <w:color w:val="auto"/>
          <w:sz w:val="22"/>
          <w:szCs w:val="22"/>
        </w:rPr>
      </w:pPr>
      <w:r w:rsidRPr="006E637C">
        <w:rPr>
          <w:color w:val="auto"/>
          <w:sz w:val="22"/>
          <w:szCs w:val="22"/>
        </w:rPr>
        <w:t>Na základe zákona č. 575/2001 Z. z. o organizácii činnosti vlády a organizácii ústrednej štátnej správy v znení neskorších predpisov patrí štátna správa pre oblasť financií, daní a colníctva</w:t>
      </w:r>
      <w:r w:rsidR="001E09F3">
        <w:rPr>
          <w:rStyle w:val="Odkaznapoznmkupodiarou"/>
          <w:color w:val="auto"/>
          <w:sz w:val="22"/>
          <w:szCs w:val="22"/>
        </w:rPr>
        <w:footnoteReference w:id="70"/>
      </w:r>
      <w:r w:rsidRPr="006E637C">
        <w:rPr>
          <w:color w:val="auto"/>
          <w:sz w:val="22"/>
          <w:szCs w:val="22"/>
        </w:rPr>
        <w:t xml:space="preserve"> do pôsobnosti Ministerstva financií SR. Zlepšenie kvality služieb poskytovaných verejnou správou v týchto oblastiach závisí aj od koordinovanej spolupráce relevantných vnútroštátnych a nadnárodných orgánov.</w:t>
      </w:r>
    </w:p>
    <w:p w14:paraId="0262CB78" w14:textId="77777777" w:rsidR="00460562" w:rsidRPr="006E637C" w:rsidRDefault="00460562" w:rsidP="00460562">
      <w:pPr>
        <w:pStyle w:val="Default"/>
        <w:spacing w:before="180"/>
        <w:jc w:val="both"/>
        <w:rPr>
          <w:color w:val="auto"/>
          <w:sz w:val="22"/>
          <w:szCs w:val="22"/>
        </w:rPr>
      </w:pPr>
      <w:r w:rsidRPr="006E637C">
        <w:rPr>
          <w:color w:val="auto"/>
          <w:sz w:val="22"/>
          <w:szCs w:val="22"/>
        </w:rPr>
        <w:t>Účinná a nákladovo efektívna činnosť colných orgánov má podporovať rozvoj obchodu, napomáhať ekonomickému rastu a súčasne bojovať proti co</w:t>
      </w:r>
      <w:r w:rsidR="00197539">
        <w:rPr>
          <w:color w:val="auto"/>
          <w:sz w:val="22"/>
          <w:szCs w:val="22"/>
        </w:rPr>
        <w:t xml:space="preserve">lným a daňovým podvodom, a tým </w:t>
      </w:r>
      <w:r w:rsidRPr="006E637C">
        <w:rPr>
          <w:color w:val="auto"/>
          <w:sz w:val="22"/>
          <w:szCs w:val="22"/>
        </w:rPr>
        <w:t>priamo ochraňovať vnútorný trh EÚ. Z tohto dôvodu je preto nevyhnutné zabezpečiť existenciu adekvátnej legislatívy, ktorá je základným predpokladom na to, aby sa vytvorili priaznivé podmienky pre obchodné podnikateľské subjekty zamerané na dovoz, vývoz alebo tranzi</w:t>
      </w:r>
      <w:r w:rsidR="00197539">
        <w:rPr>
          <w:color w:val="auto"/>
          <w:sz w:val="22"/>
          <w:szCs w:val="22"/>
        </w:rPr>
        <w:t>t tovaru cez colné územie EÚ so </w:t>
      </w:r>
      <w:r w:rsidRPr="006E637C">
        <w:rPr>
          <w:color w:val="auto"/>
          <w:sz w:val="22"/>
          <w:szCs w:val="22"/>
        </w:rPr>
        <w:t xml:space="preserve">zvláštnym dôrazom na vonkajšiu hranicu EÚ. Ďalším faktorom, na </w:t>
      </w:r>
      <w:r w:rsidR="005139F6">
        <w:rPr>
          <w:color w:val="auto"/>
          <w:sz w:val="22"/>
          <w:szCs w:val="22"/>
        </w:rPr>
        <w:t>ktorý je potrebné sa zamerať je </w:t>
      </w:r>
      <w:r w:rsidR="002D4DB4">
        <w:rPr>
          <w:color w:val="auto"/>
          <w:sz w:val="22"/>
          <w:szCs w:val="22"/>
        </w:rPr>
        <w:t>rozvoj a budovanie</w:t>
      </w:r>
      <w:r w:rsidRPr="006E637C">
        <w:rPr>
          <w:color w:val="auto"/>
          <w:sz w:val="22"/>
          <w:szCs w:val="22"/>
        </w:rPr>
        <w:t xml:space="preserve"> kapacít v colnej oblasti s dôrazom najmä na modernizáciu poskytovaných colných služieb, modernizáciu infraštruktúry, IT systémov, technických zariadení, detekčných technológií, ako aj zvyšovanie profesionálnej úrovne colníkov a civilných zamest</w:t>
      </w:r>
      <w:r>
        <w:rPr>
          <w:color w:val="auto"/>
          <w:sz w:val="22"/>
          <w:szCs w:val="22"/>
        </w:rPr>
        <w:t>nancov finančnej správy, a to s </w:t>
      </w:r>
      <w:r w:rsidRPr="006E637C">
        <w:rPr>
          <w:color w:val="auto"/>
          <w:sz w:val="22"/>
          <w:szCs w:val="22"/>
        </w:rPr>
        <w:t>osobitným zre</w:t>
      </w:r>
      <w:r w:rsidR="00197539">
        <w:rPr>
          <w:color w:val="auto"/>
          <w:sz w:val="22"/>
          <w:szCs w:val="22"/>
        </w:rPr>
        <w:t>teľom na vonkajšiu hranicu EÚ.</w:t>
      </w:r>
    </w:p>
    <w:p w14:paraId="23247B8F" w14:textId="77777777" w:rsidR="00460562" w:rsidRPr="006E637C" w:rsidRDefault="00460562" w:rsidP="00460562">
      <w:pPr>
        <w:pStyle w:val="Default"/>
        <w:spacing w:before="180"/>
        <w:jc w:val="both"/>
        <w:rPr>
          <w:color w:val="auto"/>
          <w:sz w:val="22"/>
          <w:szCs w:val="22"/>
        </w:rPr>
      </w:pPr>
      <w:r w:rsidRPr="006E637C">
        <w:rPr>
          <w:color w:val="auto"/>
          <w:sz w:val="22"/>
          <w:szCs w:val="22"/>
        </w:rPr>
        <w:t>Jednou z</w:t>
      </w:r>
      <w:r w:rsidR="00964182">
        <w:rPr>
          <w:color w:val="auto"/>
          <w:sz w:val="22"/>
          <w:szCs w:val="22"/>
        </w:rPr>
        <w:t xml:space="preserve"> nevyhnutných</w:t>
      </w:r>
      <w:r w:rsidRPr="006E637C">
        <w:rPr>
          <w:color w:val="auto"/>
          <w:sz w:val="22"/>
          <w:szCs w:val="22"/>
        </w:rPr>
        <w:t xml:space="preserve"> podm</w:t>
      </w:r>
      <w:r w:rsidR="00964182">
        <w:rPr>
          <w:color w:val="auto"/>
          <w:sz w:val="22"/>
          <w:szCs w:val="22"/>
        </w:rPr>
        <w:t>ienok</w:t>
      </w:r>
      <w:r w:rsidR="00F671C2">
        <w:rPr>
          <w:color w:val="auto"/>
          <w:sz w:val="22"/>
          <w:szCs w:val="22"/>
        </w:rPr>
        <w:t xml:space="preserve"> pre</w:t>
      </w:r>
      <w:r w:rsidR="00964182">
        <w:rPr>
          <w:color w:val="auto"/>
          <w:sz w:val="22"/>
          <w:szCs w:val="22"/>
        </w:rPr>
        <w:t xml:space="preserve"> využívanie finančných prostriedkov</w:t>
      </w:r>
      <w:r w:rsidRPr="006E637C">
        <w:rPr>
          <w:color w:val="auto"/>
          <w:sz w:val="22"/>
          <w:szCs w:val="22"/>
        </w:rPr>
        <w:t xml:space="preserve"> z fondo</w:t>
      </w:r>
      <w:r w:rsidR="0083727B">
        <w:rPr>
          <w:color w:val="auto"/>
          <w:sz w:val="22"/>
          <w:szCs w:val="22"/>
        </w:rPr>
        <w:t>v EÚ 2014 – 2020 na </w:t>
      </w:r>
      <w:r w:rsidR="00964182">
        <w:rPr>
          <w:color w:val="auto"/>
          <w:sz w:val="22"/>
          <w:szCs w:val="22"/>
        </w:rPr>
        <w:t>túto oblasť</w:t>
      </w:r>
      <w:r w:rsidRPr="006E637C">
        <w:rPr>
          <w:color w:val="auto"/>
          <w:sz w:val="22"/>
          <w:szCs w:val="22"/>
        </w:rPr>
        <w:t xml:space="preserve"> bolo pr</w:t>
      </w:r>
      <w:r w:rsidR="00964182">
        <w:rPr>
          <w:color w:val="auto"/>
          <w:sz w:val="22"/>
          <w:szCs w:val="22"/>
        </w:rPr>
        <w:t>ijatie stratégie zohľadňujúcej</w:t>
      </w:r>
      <w:r w:rsidRPr="006E637C">
        <w:rPr>
          <w:color w:val="auto"/>
          <w:sz w:val="22"/>
          <w:szCs w:val="22"/>
        </w:rPr>
        <w:t xml:space="preserve"> zámery a ciele zamerané na lepšie fungovanie colnej únie EÚ. V nadväznosti na uvedené MF SR vypracovalo materiál „Stratégia modernizácie colných priechodov a budovania kapacít v colníctve na roky 2014 – 2020“. Stratégia obsahuje kľúčové strednodobé ciele na zvýšenie efektívnosti činností zabezpečovaných colnými orgánmi v rámci colnej únie EÚ pri súčasnom zvýšení komfortu poskytovaných služieb pre hospodárske subjekty ako nezanedbateľného prvku podp</w:t>
      </w:r>
      <w:r w:rsidR="002D4DB4">
        <w:rPr>
          <w:color w:val="auto"/>
          <w:sz w:val="22"/>
          <w:szCs w:val="22"/>
        </w:rPr>
        <w:t>ory podnikateľského prostredia.</w:t>
      </w:r>
    </w:p>
    <w:p w14:paraId="49A4E2EF" w14:textId="77777777" w:rsidR="00460562" w:rsidRPr="006E637C" w:rsidRDefault="00460562" w:rsidP="00460562">
      <w:pPr>
        <w:pStyle w:val="Default"/>
        <w:spacing w:before="180"/>
        <w:jc w:val="both"/>
        <w:rPr>
          <w:color w:val="auto"/>
          <w:sz w:val="22"/>
          <w:szCs w:val="22"/>
        </w:rPr>
      </w:pPr>
      <w:r w:rsidRPr="006E637C">
        <w:rPr>
          <w:color w:val="auto"/>
          <w:sz w:val="22"/>
          <w:szCs w:val="22"/>
        </w:rPr>
        <w:t>Zvýšenie úrovne služieb týkajúcich sa colného konania a zvýšenie priepustnosti colných priechodov prispeje k zrýchleniu medzinárodných tovarových tokov, zvýšeniu</w:t>
      </w:r>
      <w:r>
        <w:rPr>
          <w:color w:val="auto"/>
          <w:sz w:val="22"/>
          <w:szCs w:val="22"/>
        </w:rPr>
        <w:t xml:space="preserve"> objemu prepravovaného tovaru a </w:t>
      </w:r>
      <w:r w:rsidRPr="006E637C">
        <w:rPr>
          <w:color w:val="auto"/>
          <w:sz w:val="22"/>
          <w:szCs w:val="22"/>
        </w:rPr>
        <w:t>zle</w:t>
      </w:r>
      <w:r w:rsidR="005A15BC">
        <w:rPr>
          <w:color w:val="auto"/>
          <w:sz w:val="22"/>
          <w:szCs w:val="22"/>
        </w:rPr>
        <w:t>pšeniu dopravnej situácie v SR.</w:t>
      </w:r>
    </w:p>
    <w:p w14:paraId="55A2CE54" w14:textId="77777777" w:rsidR="00460562" w:rsidRPr="006E637C" w:rsidRDefault="00460562" w:rsidP="00460562">
      <w:pPr>
        <w:pStyle w:val="Default"/>
        <w:spacing w:before="180"/>
        <w:jc w:val="both"/>
        <w:rPr>
          <w:color w:val="auto"/>
          <w:sz w:val="22"/>
          <w:szCs w:val="22"/>
        </w:rPr>
      </w:pPr>
      <w:r w:rsidRPr="006E637C">
        <w:rPr>
          <w:color w:val="auto"/>
          <w:sz w:val="22"/>
          <w:szCs w:val="22"/>
        </w:rPr>
        <w:t>Na dosiahnutie uvedených cieľov a vytvorenie potrebných podmienok pre SR, ako dôležitého tranzitného územia najmä z pohľadu transkontinentálnych dopravných smerov, bude mať bezprostredný vplyv modernizácia colných priechodov. V celoeurópskom meradle ide o dosiahnutie zrýchlenia colného konania, zlepšenia infraštruktúry a zvýšenia kom</w:t>
      </w:r>
      <w:r>
        <w:rPr>
          <w:color w:val="auto"/>
          <w:sz w:val="22"/>
          <w:szCs w:val="22"/>
        </w:rPr>
        <w:t>fortu a priepustnosti tovaru na </w:t>
      </w:r>
      <w:r w:rsidRPr="006E637C">
        <w:rPr>
          <w:color w:val="auto"/>
          <w:sz w:val="22"/>
          <w:szCs w:val="22"/>
        </w:rPr>
        <w:t>vonkajšej hranici EÚ, ako v cestnej tak aj v železničnej doprave. Súčasne s budovaním infraštruktúry železničnej dopravy je potrebné vyriešiť aj komplexnú modernizáciu železničných colných priec</w:t>
      </w:r>
      <w:r w:rsidR="005A15BC">
        <w:rPr>
          <w:color w:val="auto"/>
          <w:sz w:val="22"/>
          <w:szCs w:val="22"/>
        </w:rPr>
        <w:t>hodov na vonkajšej hranici EÚ.</w:t>
      </w:r>
    </w:p>
    <w:p w14:paraId="61D24EBF" w14:textId="77777777" w:rsidR="00460562" w:rsidRPr="006E637C" w:rsidRDefault="00460562" w:rsidP="00460562">
      <w:pPr>
        <w:pStyle w:val="Default"/>
        <w:spacing w:before="180"/>
        <w:jc w:val="both"/>
        <w:rPr>
          <w:color w:val="auto"/>
          <w:sz w:val="22"/>
          <w:szCs w:val="22"/>
        </w:rPr>
      </w:pPr>
      <w:r w:rsidRPr="006E637C">
        <w:rPr>
          <w:color w:val="auto"/>
          <w:sz w:val="22"/>
          <w:szCs w:val="22"/>
        </w:rPr>
        <w:t>Pre plnenie strategických cieľov sa rozvoj existujúcej infraštruktúry javí ako nedostatočný</w:t>
      </w:r>
      <w:r w:rsidR="00964182">
        <w:rPr>
          <w:color w:val="auto"/>
          <w:sz w:val="22"/>
          <w:szCs w:val="22"/>
        </w:rPr>
        <w:t>,</w:t>
      </w:r>
      <w:r w:rsidRPr="006E637C">
        <w:rPr>
          <w:color w:val="auto"/>
          <w:sz w:val="22"/>
          <w:szCs w:val="22"/>
        </w:rPr>
        <w:t xml:space="preserve"> a preto bol</w:t>
      </w:r>
      <w:r w:rsidR="00964182">
        <w:rPr>
          <w:color w:val="auto"/>
          <w:sz w:val="22"/>
          <w:szCs w:val="22"/>
        </w:rPr>
        <w:t xml:space="preserve"> v stratégii prijatý</w:t>
      </w:r>
      <w:r w:rsidRPr="006E637C">
        <w:rPr>
          <w:color w:val="auto"/>
          <w:sz w:val="22"/>
          <w:szCs w:val="22"/>
        </w:rPr>
        <w:t xml:space="preserve"> záver</w:t>
      </w:r>
      <w:r w:rsidR="00964182">
        <w:rPr>
          <w:color w:val="auto"/>
          <w:sz w:val="22"/>
          <w:szCs w:val="22"/>
        </w:rPr>
        <w:t xml:space="preserve"> vo forme</w:t>
      </w:r>
      <w:r w:rsidRPr="006E637C">
        <w:rPr>
          <w:color w:val="auto"/>
          <w:sz w:val="22"/>
          <w:szCs w:val="22"/>
        </w:rPr>
        <w:t xml:space="preserve"> vybudovania nového cestného hraničného prie</w:t>
      </w:r>
      <w:r w:rsidR="002E1021">
        <w:rPr>
          <w:color w:val="auto"/>
          <w:sz w:val="22"/>
          <w:szCs w:val="22"/>
        </w:rPr>
        <w:t>chodu, a to aj v </w:t>
      </w:r>
      <w:r>
        <w:rPr>
          <w:color w:val="auto"/>
          <w:sz w:val="22"/>
          <w:szCs w:val="22"/>
        </w:rPr>
        <w:t>nadväznosti na </w:t>
      </w:r>
      <w:r w:rsidRPr="006E637C">
        <w:rPr>
          <w:color w:val="auto"/>
          <w:sz w:val="22"/>
          <w:szCs w:val="22"/>
        </w:rPr>
        <w:t xml:space="preserve">efektívnejšie využívanie terminálu kombinovanej dopravy v Dobrej. </w:t>
      </w:r>
      <w:r w:rsidRPr="005A15BC">
        <w:rPr>
          <w:b/>
          <w:color w:val="auto"/>
          <w:sz w:val="22"/>
          <w:szCs w:val="22"/>
        </w:rPr>
        <w:t>Zámerom je výstavba nového cestného hraničného priechodu Čierna – Solomonovo (vrátan</w:t>
      </w:r>
      <w:r w:rsidR="005A15BC">
        <w:rPr>
          <w:b/>
          <w:color w:val="auto"/>
          <w:sz w:val="22"/>
          <w:szCs w:val="22"/>
        </w:rPr>
        <w:t>e infraštruktúry a </w:t>
      </w:r>
      <w:r w:rsidRPr="005A15BC">
        <w:rPr>
          <w:b/>
          <w:color w:val="auto"/>
          <w:sz w:val="22"/>
          <w:szCs w:val="22"/>
        </w:rPr>
        <w:t>vybavenia) a modernizácia vonkajšej hranice EÚ s Ukrajinou.</w:t>
      </w:r>
      <w:r w:rsidR="00AF7005" w:rsidRPr="005A15BC">
        <w:rPr>
          <w:b/>
          <w:color w:val="auto"/>
          <w:sz w:val="22"/>
          <w:szCs w:val="22"/>
        </w:rPr>
        <w:t xml:space="preserve"> </w:t>
      </w:r>
      <w:r w:rsidRPr="006E637C">
        <w:rPr>
          <w:color w:val="auto"/>
          <w:sz w:val="22"/>
          <w:szCs w:val="22"/>
        </w:rPr>
        <w:t>Rozvoj dopravnej infraštruktúry bez vysokoefektívnych služieb</w:t>
      </w:r>
      <w:r>
        <w:rPr>
          <w:color w:val="auto"/>
          <w:sz w:val="22"/>
          <w:szCs w:val="22"/>
        </w:rPr>
        <w:t xml:space="preserve"> </w:t>
      </w:r>
      <w:r w:rsidRPr="006E637C">
        <w:rPr>
          <w:color w:val="auto"/>
          <w:sz w:val="22"/>
          <w:szCs w:val="22"/>
        </w:rPr>
        <w:t>poskytovaných na colných priechodoch s Ukrajinou by výrazne obmedzil, až brzdil stanovené ciele v oblasti rozvoja dopravy.</w:t>
      </w:r>
    </w:p>
    <w:p w14:paraId="5C23D43F" w14:textId="77777777" w:rsidR="00460562" w:rsidRDefault="00460562" w:rsidP="00460562">
      <w:pPr>
        <w:pStyle w:val="Default"/>
        <w:spacing w:before="180" w:after="120"/>
        <w:jc w:val="both"/>
        <w:rPr>
          <w:b/>
          <w:color w:val="auto"/>
          <w:sz w:val="22"/>
          <w:szCs w:val="22"/>
        </w:rPr>
      </w:pPr>
      <w:r w:rsidRPr="006E637C">
        <w:rPr>
          <w:b/>
          <w:color w:val="auto"/>
          <w:sz w:val="22"/>
          <w:szCs w:val="22"/>
        </w:rPr>
        <w:t>Na základe uvedeného môžu byť zdroje OPII využívané ako prostriedok na podporu budovania novej a modernizáciu existujúcej dopravnej</w:t>
      </w:r>
      <w:r>
        <w:rPr>
          <w:b/>
          <w:color w:val="auto"/>
          <w:sz w:val="22"/>
          <w:szCs w:val="22"/>
        </w:rPr>
        <w:t xml:space="preserve"> infraštruktúry v súvislosti so </w:t>
      </w:r>
      <w:r w:rsidRPr="006E637C">
        <w:rPr>
          <w:b/>
          <w:color w:val="auto"/>
          <w:sz w:val="22"/>
          <w:szCs w:val="22"/>
        </w:rPr>
        <w:t>zabezpečením efektívneho výkonu colného konania na vonkajšej hranici EÚ s Ukrajinou.</w:t>
      </w:r>
    </w:p>
    <w:p w14:paraId="7F955A9B" w14:textId="77777777" w:rsidR="00C45A7C" w:rsidRPr="006E637C" w:rsidRDefault="00C45A7C" w:rsidP="00460562">
      <w:pPr>
        <w:pStyle w:val="Default"/>
        <w:spacing w:before="180" w:after="120"/>
        <w:jc w:val="both"/>
        <w:rPr>
          <w:b/>
          <w:color w:val="auto"/>
          <w:sz w:val="22"/>
          <w:szCs w:val="22"/>
        </w:rPr>
      </w:pPr>
    </w:p>
    <w:p w14:paraId="65924D13" w14:textId="63143016" w:rsidR="009E0158" w:rsidRDefault="00460562" w:rsidP="001863D5">
      <w:pPr>
        <w:numPr>
          <w:ilvl w:val="2"/>
          <w:numId w:val="100"/>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lastRenderedPageBreak/>
        <w:t>Projektová príprava</w:t>
      </w:r>
    </w:p>
    <w:p w14:paraId="38A3CA17" w14:textId="77777777" w:rsidR="00305201" w:rsidRDefault="00305201" w:rsidP="00074FDC">
      <w:pPr>
        <w:spacing w:after="180"/>
        <w:jc w:val="both"/>
        <w:rPr>
          <w:color w:val="000000" w:themeColor="text1"/>
          <w:sz w:val="22"/>
          <w:szCs w:val="22"/>
        </w:rPr>
      </w:pPr>
      <w:r w:rsidRPr="00074FDC">
        <w:rPr>
          <w:sz w:val="22"/>
          <w:szCs w:val="22"/>
        </w:rPr>
        <w:t>Súčasný stav projektovej prípravy investičných stavieb je možné označiť ak</w:t>
      </w:r>
      <w:r w:rsidR="00922519">
        <w:rPr>
          <w:sz w:val="22"/>
          <w:szCs w:val="22"/>
        </w:rPr>
        <w:t>o prierezový problém systémového charakteru</w:t>
      </w:r>
      <w:r w:rsidRPr="00074FDC">
        <w:rPr>
          <w:sz w:val="22"/>
          <w:szCs w:val="22"/>
        </w:rPr>
        <w:t xml:space="preserve">. </w:t>
      </w:r>
      <w:r w:rsidR="00074FDC" w:rsidRPr="00074FDC">
        <w:rPr>
          <w:sz w:val="22"/>
          <w:szCs w:val="22"/>
        </w:rPr>
        <w:t xml:space="preserve">Z tohto dôvodu je potrebné náležitú </w:t>
      </w:r>
      <w:r w:rsidRPr="00074FDC">
        <w:rPr>
          <w:sz w:val="22"/>
          <w:szCs w:val="22"/>
        </w:rPr>
        <w:t xml:space="preserve">pozornosť i zdroje </w:t>
      </w:r>
      <w:r w:rsidR="00074FDC" w:rsidRPr="00074FDC">
        <w:rPr>
          <w:sz w:val="22"/>
          <w:szCs w:val="22"/>
        </w:rPr>
        <w:t>venovať štúdiám,</w:t>
      </w:r>
      <w:r w:rsidRPr="00074FDC">
        <w:rPr>
          <w:sz w:val="22"/>
          <w:szCs w:val="22"/>
        </w:rPr>
        <w:t xml:space="preserve"> predprojektovej a projektovej príprave </w:t>
      </w:r>
      <w:r w:rsidR="00E41E26" w:rsidRPr="00074FDC">
        <w:rPr>
          <w:sz w:val="22"/>
          <w:szCs w:val="22"/>
        </w:rPr>
        <w:t>ciest</w:t>
      </w:r>
      <w:r w:rsidR="002D0D3B">
        <w:rPr>
          <w:sz w:val="22"/>
          <w:szCs w:val="22"/>
        </w:rPr>
        <w:t xml:space="preserve"> I. triedy</w:t>
      </w:r>
      <w:r w:rsidR="00E41E26" w:rsidRPr="00074FDC">
        <w:rPr>
          <w:sz w:val="22"/>
          <w:szCs w:val="22"/>
        </w:rPr>
        <w:t>.</w:t>
      </w:r>
      <w:r w:rsidR="00074FDC" w:rsidRPr="00074FDC">
        <w:rPr>
          <w:sz w:val="22"/>
          <w:szCs w:val="22"/>
        </w:rPr>
        <w:t xml:space="preserve"> </w:t>
      </w:r>
      <w:r w:rsidR="00074FDC">
        <w:rPr>
          <w:sz w:val="22"/>
          <w:szCs w:val="22"/>
        </w:rPr>
        <w:t>Zoznam stavieb, na ktoré je </w:t>
      </w:r>
      <w:r w:rsidRPr="00074FDC">
        <w:rPr>
          <w:sz w:val="22"/>
          <w:szCs w:val="22"/>
        </w:rPr>
        <w:t xml:space="preserve">potrebné sústrediť pozornosť bol </w:t>
      </w:r>
      <w:r w:rsidR="00E41E26" w:rsidRPr="00074FDC">
        <w:rPr>
          <w:sz w:val="22"/>
          <w:szCs w:val="22"/>
        </w:rPr>
        <w:t>identifikovaný</w:t>
      </w:r>
      <w:r w:rsidRPr="00074FDC">
        <w:rPr>
          <w:sz w:val="22"/>
          <w:szCs w:val="22"/>
        </w:rPr>
        <w:t xml:space="preserve"> v Strategickom pláne. </w:t>
      </w:r>
      <w:r w:rsidRPr="00074FDC">
        <w:rPr>
          <w:color w:val="000000" w:themeColor="text1"/>
          <w:sz w:val="22"/>
          <w:szCs w:val="22"/>
        </w:rPr>
        <w:t xml:space="preserve">Zoznam obsahuje </w:t>
      </w:r>
      <w:r w:rsidR="00074FDC">
        <w:rPr>
          <w:color w:val="000000" w:themeColor="text1"/>
          <w:sz w:val="22"/>
          <w:szCs w:val="22"/>
        </w:rPr>
        <w:t>priority</w:t>
      </w:r>
      <w:r w:rsidRPr="00074FDC">
        <w:rPr>
          <w:color w:val="000000" w:themeColor="text1"/>
          <w:sz w:val="22"/>
          <w:szCs w:val="22"/>
        </w:rPr>
        <w:t xml:space="preserve"> súvi</w:t>
      </w:r>
      <w:r w:rsidR="0083727B">
        <w:rPr>
          <w:color w:val="000000" w:themeColor="text1"/>
          <w:sz w:val="22"/>
          <w:szCs w:val="22"/>
        </w:rPr>
        <w:t>siace s </w:t>
      </w:r>
      <w:r w:rsidRPr="00074FDC">
        <w:rPr>
          <w:color w:val="000000" w:themeColor="text1"/>
          <w:sz w:val="22"/>
          <w:szCs w:val="22"/>
        </w:rPr>
        <w:t>realizačnými projektmi v rámci obdobia 2014 – 2023, ako aj za 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625932" w:rsidRPr="00CD7A43" w14:paraId="7CE0E894" w14:textId="77777777" w:rsidTr="000A60F9">
        <w:trPr>
          <w:trHeight w:val="340"/>
          <w:jc w:val="center"/>
        </w:trPr>
        <w:tc>
          <w:tcPr>
            <w:tcW w:w="3288" w:type="dxa"/>
            <w:shd w:val="clear" w:color="auto" w:fill="DBE5F1" w:themeFill="accent1" w:themeFillTint="33"/>
            <w:vAlign w:val="center"/>
          </w:tcPr>
          <w:p w14:paraId="7E8C9551" w14:textId="77777777" w:rsidR="00625932" w:rsidRPr="009553A0" w:rsidRDefault="00625932" w:rsidP="000A60F9">
            <w:pPr>
              <w:autoSpaceDE w:val="0"/>
              <w:autoSpaceDN w:val="0"/>
              <w:adjustRightInd w:val="0"/>
              <w:ind w:left="0"/>
              <w:rPr>
                <w:i/>
                <w:sz w:val="22"/>
                <w:szCs w:val="22"/>
              </w:rPr>
            </w:pPr>
            <w:r w:rsidRPr="009553A0">
              <w:rPr>
                <w:i/>
                <w:sz w:val="22"/>
                <w:szCs w:val="22"/>
              </w:rPr>
              <w:t>Cieľové skupiny:</w:t>
            </w:r>
          </w:p>
        </w:tc>
        <w:tc>
          <w:tcPr>
            <w:tcW w:w="5784" w:type="dxa"/>
            <w:vAlign w:val="center"/>
          </w:tcPr>
          <w:p w14:paraId="724930C5"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625932" w14:paraId="7DC51685" w14:textId="77777777" w:rsidTr="000A60F9">
        <w:trPr>
          <w:trHeight w:val="340"/>
          <w:jc w:val="center"/>
        </w:trPr>
        <w:tc>
          <w:tcPr>
            <w:tcW w:w="3288" w:type="dxa"/>
            <w:shd w:val="clear" w:color="auto" w:fill="DBE5F1" w:themeFill="accent1" w:themeFillTint="33"/>
            <w:vAlign w:val="center"/>
          </w:tcPr>
          <w:p w14:paraId="5B476F13" w14:textId="77777777" w:rsidR="00625932" w:rsidRPr="009553A0" w:rsidRDefault="00625932" w:rsidP="000A60F9">
            <w:pPr>
              <w:autoSpaceDE w:val="0"/>
              <w:autoSpaceDN w:val="0"/>
              <w:adjustRightInd w:val="0"/>
              <w:ind w:left="0"/>
              <w:rPr>
                <w:i/>
                <w:sz w:val="22"/>
                <w:szCs w:val="22"/>
              </w:rPr>
            </w:pPr>
            <w:r w:rsidRPr="009553A0">
              <w:rPr>
                <w:i/>
                <w:sz w:val="22"/>
                <w:szCs w:val="22"/>
              </w:rPr>
              <w:t>Cieľové územia:</w:t>
            </w:r>
          </w:p>
        </w:tc>
        <w:tc>
          <w:tcPr>
            <w:tcW w:w="5784" w:type="dxa"/>
            <w:vAlign w:val="center"/>
          </w:tcPr>
          <w:p w14:paraId="5E7D08BD"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NUTS 2 (celé územie SR s výnimkou Bratislavského kraja)</w:t>
            </w:r>
          </w:p>
        </w:tc>
      </w:tr>
      <w:tr w:rsidR="00625932" w:rsidRPr="000546B9" w14:paraId="407D6318" w14:textId="77777777" w:rsidTr="000A60F9">
        <w:trPr>
          <w:trHeight w:val="340"/>
          <w:jc w:val="center"/>
        </w:trPr>
        <w:tc>
          <w:tcPr>
            <w:tcW w:w="3288" w:type="dxa"/>
            <w:shd w:val="clear" w:color="auto" w:fill="DBE5F1" w:themeFill="accent1" w:themeFillTint="33"/>
            <w:vAlign w:val="center"/>
          </w:tcPr>
          <w:p w14:paraId="0CFDE0AF" w14:textId="77777777" w:rsidR="00625932" w:rsidRPr="009553A0" w:rsidRDefault="00625932" w:rsidP="000A60F9">
            <w:pPr>
              <w:autoSpaceDE w:val="0"/>
              <w:autoSpaceDN w:val="0"/>
              <w:adjustRightInd w:val="0"/>
              <w:ind w:left="0"/>
              <w:rPr>
                <w:i/>
                <w:sz w:val="22"/>
                <w:szCs w:val="22"/>
              </w:rPr>
            </w:pPr>
            <w:r w:rsidRPr="009553A0">
              <w:rPr>
                <w:i/>
                <w:sz w:val="22"/>
                <w:szCs w:val="22"/>
              </w:rPr>
              <w:t>Prijímatelia:</w:t>
            </w:r>
          </w:p>
        </w:tc>
        <w:tc>
          <w:tcPr>
            <w:tcW w:w="5784" w:type="dxa"/>
            <w:vAlign w:val="center"/>
          </w:tcPr>
          <w:p w14:paraId="02A15080"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Slovenská správa ciest,</w:t>
            </w:r>
          </w:p>
          <w:p w14:paraId="0199F773" w14:textId="77777777" w:rsidR="009E0158" w:rsidRDefault="00625932" w:rsidP="00320341">
            <w:pPr>
              <w:pStyle w:val="Odsekzoznamu"/>
              <w:numPr>
                <w:ilvl w:val="0"/>
                <w:numId w:val="27"/>
              </w:numPr>
              <w:autoSpaceDE w:val="0"/>
              <w:autoSpaceDN w:val="0"/>
              <w:adjustRightInd w:val="0"/>
              <w:ind w:left="284" w:hanging="284"/>
              <w:rPr>
                <w:sz w:val="22"/>
                <w:szCs w:val="22"/>
              </w:rPr>
            </w:pPr>
            <w:r w:rsidRPr="00532DA2">
              <w:rPr>
                <w:sz w:val="22"/>
                <w:szCs w:val="22"/>
              </w:rPr>
              <w:t>Finančné riaditeľstvo SR,</w:t>
            </w:r>
          </w:p>
          <w:p w14:paraId="0AB6AC0F"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MDV SR</w:t>
            </w:r>
            <w:r w:rsidR="006472E7">
              <w:rPr>
                <w:sz w:val="22"/>
                <w:szCs w:val="22"/>
              </w:rPr>
              <w:t>,</w:t>
            </w:r>
          </w:p>
          <w:p w14:paraId="1CF3652E" w14:textId="77777777" w:rsidR="009E0158" w:rsidRDefault="006472E7" w:rsidP="00320341">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254F636A" w14:textId="77777777" w:rsidR="00E92F9B" w:rsidRDefault="00E92F9B" w:rsidP="00E92F9B">
      <w:pPr>
        <w:pStyle w:val="Nadpis4"/>
        <w:spacing w:before="240"/>
      </w:pPr>
      <w:r>
        <w:t>Hlavné princípy výberu projektov</w:t>
      </w:r>
    </w:p>
    <w:p w14:paraId="71A5AF39" w14:textId="77777777" w:rsidR="00E92F9B" w:rsidRDefault="007E7491" w:rsidP="00E92F9B">
      <w:pPr>
        <w:tabs>
          <w:tab w:val="left" w:pos="540"/>
        </w:tabs>
        <w:jc w:val="both"/>
        <w:rPr>
          <w:sz w:val="22"/>
          <w:szCs w:val="22"/>
        </w:rPr>
      </w:pPr>
      <w:r w:rsidRPr="00756D41">
        <w:rPr>
          <w:sz w:val="22"/>
          <w:szCs w:val="22"/>
        </w:rPr>
        <w:t xml:space="preserve">Vzhľadom na špecifické postavenie MDV SR vo vzťahu k podporovaným aktivitám budú jednotliví prijímatelia stanovení vopred RO a žiadaní o predkladanie projektových žiadostí. </w:t>
      </w:r>
      <w:r w:rsidR="00E92F9B" w:rsidRPr="00FE75AD">
        <w:rPr>
          <w:sz w:val="22"/>
          <w:szCs w:val="22"/>
        </w:rPr>
        <w:t xml:space="preserve">Výber </w:t>
      </w:r>
      <w:r w:rsidR="00E92F9B">
        <w:rPr>
          <w:sz w:val="22"/>
          <w:szCs w:val="22"/>
        </w:rPr>
        <w:t>projektov na </w:t>
      </w:r>
      <w:r w:rsidR="00E92F9B" w:rsidRPr="00FE75AD">
        <w:rPr>
          <w:sz w:val="22"/>
          <w:szCs w:val="22"/>
        </w:rPr>
        <w:t>implementáci</w:t>
      </w:r>
      <w:r w:rsidR="00E92F9B">
        <w:rPr>
          <w:sz w:val="22"/>
          <w:szCs w:val="22"/>
        </w:rPr>
        <w:t>u bude rešpektovať výstupy strategických dokumentov s</w:t>
      </w:r>
      <w:r w:rsidR="007D50EA">
        <w:rPr>
          <w:sz w:val="22"/>
          <w:szCs w:val="22"/>
        </w:rPr>
        <w:t>pracovaných pre </w:t>
      </w:r>
      <w:r w:rsidR="00E92F9B">
        <w:rPr>
          <w:sz w:val="22"/>
          <w:szCs w:val="22"/>
        </w:rPr>
        <w:t>potreby programového obdobia</w:t>
      </w:r>
      <w:r w:rsidR="00FE57B7">
        <w:rPr>
          <w:sz w:val="22"/>
          <w:szCs w:val="22"/>
        </w:rPr>
        <w:t xml:space="preserve"> 2014 - 2020</w:t>
      </w:r>
      <w:r w:rsidR="00E92F9B">
        <w:rPr>
          <w:sz w:val="22"/>
          <w:szCs w:val="22"/>
        </w:rPr>
        <w:t>, ako aj ich prípad</w:t>
      </w:r>
      <w:r w:rsidR="00964182">
        <w:rPr>
          <w:sz w:val="22"/>
          <w:szCs w:val="22"/>
        </w:rPr>
        <w:t>né aktualizácie, ktoré zohľadňujú</w:t>
      </w:r>
      <w:r w:rsidR="00E92F9B">
        <w:rPr>
          <w:sz w:val="22"/>
          <w:szCs w:val="22"/>
        </w:rPr>
        <w:t xml:space="preserve"> rezortné potreby v širšom kontexte. Ide predov</w:t>
      </w:r>
      <w:r>
        <w:rPr>
          <w:sz w:val="22"/>
          <w:szCs w:val="22"/>
        </w:rPr>
        <w:t>šetkým o </w:t>
      </w:r>
      <w:r w:rsidR="00E92F9B">
        <w:rPr>
          <w:sz w:val="22"/>
          <w:szCs w:val="22"/>
        </w:rPr>
        <w:t xml:space="preserve">Strategický plán a Stratégiu </w:t>
      </w:r>
      <w:r w:rsidR="008F350F">
        <w:rPr>
          <w:sz w:val="22"/>
          <w:szCs w:val="22"/>
        </w:rPr>
        <w:t>VOD</w:t>
      </w:r>
      <w:r w:rsidR="00E92F9B">
        <w:rPr>
          <w:sz w:val="22"/>
          <w:szCs w:val="22"/>
        </w:rPr>
        <w:t>.</w:t>
      </w:r>
    </w:p>
    <w:p w14:paraId="7C40161D" w14:textId="77777777" w:rsidR="00FE57B7" w:rsidRPr="00CF2C83" w:rsidRDefault="00FE57B7" w:rsidP="00FE57B7">
      <w:pPr>
        <w:tabs>
          <w:tab w:val="left" w:pos="540"/>
        </w:tabs>
        <w:spacing w:before="180"/>
        <w:jc w:val="both"/>
        <w:rPr>
          <w:sz w:val="22"/>
        </w:rPr>
      </w:pPr>
      <w:r w:rsidRPr="00CF2C83">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419D52D7" w14:textId="77777777" w:rsidR="003F34AC" w:rsidRDefault="00FE57B7" w:rsidP="003F34AC">
      <w:pPr>
        <w:spacing w:before="180"/>
        <w:jc w:val="both"/>
        <w:rPr>
          <w:sz w:val="22"/>
        </w:rPr>
      </w:pPr>
      <w:r w:rsidRPr="00CF2C83">
        <w:rPr>
          <w:sz w:val="22"/>
        </w:rPr>
        <w:t xml:space="preserve">Všetky plánované </w:t>
      </w:r>
      <w:r w:rsidR="009657D9" w:rsidRPr="00CF2C83">
        <w:rPr>
          <w:sz w:val="22"/>
        </w:rPr>
        <w:t>cestné</w:t>
      </w:r>
      <w:r w:rsidRPr="00CF2C83">
        <w:rPr>
          <w:sz w:val="22"/>
        </w:rPr>
        <w:t xml:space="preserve"> projekty a projektové zámery PO 6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3F34AC" w:rsidRPr="003F34AC">
        <w:rPr>
          <w:sz w:val="22"/>
        </w:rPr>
        <w:t xml:space="preserve">Závery stanoviska SEA OPII nenahrádzajú povinnosti/podmienky vyplývajúce zo smerníc EÚ pre dané plány a jednotlivé projekty. </w:t>
      </w:r>
      <w:r w:rsidR="007D50EA">
        <w:rPr>
          <w:sz w:val="22"/>
        </w:rPr>
        <w:t>Plány a </w:t>
      </w:r>
      <w:r w:rsidR="003F34AC" w:rsidRPr="003F34AC">
        <w:rPr>
          <w:sz w:val="22"/>
        </w:rPr>
        <w:t>konkrétne projekty zahrnuté do výsledného indikatívneho zoznamu OPII budú zodpovedať výsledkom všetkých relevantných posúdení v súlade s legislatívou EU a budú predmetom revízie OPII.</w:t>
      </w:r>
    </w:p>
    <w:p w14:paraId="4B7FE922" w14:textId="77777777" w:rsidR="00E42497" w:rsidRPr="00CF2C83" w:rsidRDefault="00E42497" w:rsidP="00E41E26">
      <w:pPr>
        <w:pStyle w:val="Nadpis4"/>
        <w:spacing w:before="240"/>
      </w:pPr>
      <w:r w:rsidRPr="00CF2C83">
        <w:t>Plánované využitie finančných nástrojov</w:t>
      </w:r>
    </w:p>
    <w:p w14:paraId="051F8DD4"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203FA1">
        <w:rPr>
          <w:sz w:val="22"/>
          <w:szCs w:val="22"/>
        </w:rPr>
        <w:t>ktorom by ich realizácia bola efektívnou.</w:t>
      </w:r>
    </w:p>
    <w:p w14:paraId="2690B4A4" w14:textId="77777777" w:rsidR="00203FA1" w:rsidRPr="00182F14" w:rsidRDefault="00203FA1" w:rsidP="00203FA1">
      <w:pPr>
        <w:autoSpaceDE w:val="0"/>
        <w:autoSpaceDN w:val="0"/>
        <w:spacing w:after="12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w:t>
      </w:r>
      <w:r w:rsidRPr="00182F14">
        <w:rPr>
          <w:sz w:val="22"/>
          <w:szCs w:val="22"/>
        </w:rPr>
        <w:lastRenderedPageBreak/>
        <w:t>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14:paraId="186EBB04" w14:textId="77777777" w:rsidR="00E42497" w:rsidRDefault="00E42497" w:rsidP="00740654">
      <w:pPr>
        <w:pStyle w:val="Nadpis4"/>
      </w:pPr>
      <w:r>
        <w:t>Plánované využitie veľkých projektov</w:t>
      </w:r>
    </w:p>
    <w:p w14:paraId="6B094E36" w14:textId="77777777" w:rsidR="001A6415" w:rsidRDefault="001A6415" w:rsidP="001A6415">
      <w:pPr>
        <w:pStyle w:val="Obyajntext"/>
        <w:jc w:val="both"/>
        <w:rPr>
          <w:rFonts w:ascii="Times New Roman" w:hAnsi="Times New Roman" w:cs="Times New Roman"/>
          <w:sz w:val="22"/>
          <w:szCs w:val="22"/>
        </w:rPr>
      </w:pPr>
      <w:r w:rsidRPr="00663ADF">
        <w:rPr>
          <w:rFonts w:ascii="Times New Roman" w:hAnsi="Times New Roman" w:cs="Times New Roman"/>
          <w:sz w:val="22"/>
          <w:szCs w:val="22"/>
        </w:rPr>
        <w:t>V rámci investi</w:t>
      </w:r>
      <w:r w:rsidR="00584758">
        <w:rPr>
          <w:rFonts w:ascii="Times New Roman" w:hAnsi="Times New Roman" w:cs="Times New Roman"/>
          <w:sz w:val="22"/>
          <w:szCs w:val="22"/>
        </w:rPr>
        <w:t>čnej priority 7b) sa nepredpokladá</w:t>
      </w:r>
      <w:r w:rsidR="00AA5DDB">
        <w:rPr>
          <w:rFonts w:ascii="Times New Roman" w:hAnsi="Times New Roman" w:cs="Times New Roman"/>
          <w:sz w:val="22"/>
          <w:szCs w:val="22"/>
        </w:rPr>
        <w:t xml:space="preserve"> realizáci</w:t>
      </w:r>
      <w:r w:rsidR="00584758">
        <w:rPr>
          <w:rFonts w:ascii="Times New Roman" w:hAnsi="Times New Roman" w:cs="Times New Roman"/>
          <w:sz w:val="22"/>
          <w:szCs w:val="22"/>
        </w:rPr>
        <w:t>a</w:t>
      </w:r>
      <w:r w:rsidRPr="00663ADF">
        <w:rPr>
          <w:rFonts w:ascii="Times New Roman" w:hAnsi="Times New Roman" w:cs="Times New Roman"/>
          <w:sz w:val="22"/>
          <w:szCs w:val="22"/>
        </w:rPr>
        <w:t xml:space="preserve"> veľkých projektov.</w:t>
      </w:r>
    </w:p>
    <w:p w14:paraId="5F0A4B93" w14:textId="77777777" w:rsidR="00E42497" w:rsidRDefault="00E42497" w:rsidP="00740654">
      <w:pPr>
        <w:pStyle w:val="Nadpis4"/>
      </w:pPr>
      <w:r>
        <w:t>Ukazovatele výstupu na úrovni investičnej priority a kategórie regiónu</w:t>
      </w:r>
    </w:p>
    <w:p w14:paraId="29023E37" w14:textId="77777777" w:rsidR="00E41E26" w:rsidRPr="008C1732" w:rsidRDefault="00E41E26" w:rsidP="0015658D">
      <w:pPr>
        <w:pStyle w:val="Tab"/>
      </w:pPr>
      <w:r>
        <w:t>Spoločné a špecifické ukazovatele výstupu investičnej priority 7b)</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7"/>
        <w:gridCol w:w="2411"/>
        <w:gridCol w:w="903"/>
        <w:gridCol w:w="656"/>
        <w:gridCol w:w="1225"/>
        <w:gridCol w:w="1246"/>
        <w:gridCol w:w="1010"/>
        <w:gridCol w:w="1384"/>
      </w:tblGrid>
      <w:tr w:rsidR="00E41E26" w14:paraId="6487387B" w14:textId="77777777" w:rsidTr="003D6170">
        <w:trPr>
          <w:trHeight w:val="487"/>
          <w:jc w:val="center"/>
        </w:trPr>
        <w:tc>
          <w:tcPr>
            <w:tcW w:w="577" w:type="dxa"/>
            <w:shd w:val="clear" w:color="auto" w:fill="C6D9F1" w:themeFill="text2" w:themeFillTint="33"/>
            <w:vAlign w:val="center"/>
          </w:tcPr>
          <w:p w14:paraId="56198877" w14:textId="77777777" w:rsidR="00E41E26" w:rsidRPr="008C1732" w:rsidRDefault="00AF56C3" w:rsidP="003D6170">
            <w:pPr>
              <w:ind w:left="0"/>
              <w:jc w:val="center"/>
              <w:rPr>
                <w:b/>
                <w:sz w:val="18"/>
                <w:szCs w:val="18"/>
              </w:rPr>
            </w:pPr>
            <w:r>
              <w:rPr>
                <w:b/>
                <w:sz w:val="18"/>
                <w:szCs w:val="18"/>
              </w:rPr>
              <w:t>P. č.</w:t>
            </w:r>
          </w:p>
        </w:tc>
        <w:tc>
          <w:tcPr>
            <w:tcW w:w="2411" w:type="dxa"/>
            <w:shd w:val="clear" w:color="auto" w:fill="C6D9F1" w:themeFill="text2" w:themeFillTint="33"/>
            <w:vAlign w:val="center"/>
          </w:tcPr>
          <w:p w14:paraId="2C9517D2" w14:textId="77777777" w:rsidR="00E41E26" w:rsidRPr="008C1732" w:rsidRDefault="00E41E26"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6EBF9DEA" w14:textId="77777777" w:rsidR="00E41E26" w:rsidRPr="008C1732" w:rsidRDefault="00E41E26" w:rsidP="003D617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481A16EA" w14:textId="77777777" w:rsidR="00E41E26" w:rsidRPr="008C1732" w:rsidRDefault="00E41E26" w:rsidP="003D617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14:paraId="2BEDE10E" w14:textId="77777777" w:rsidR="00E41E26" w:rsidRPr="008C1732" w:rsidRDefault="00E41E26" w:rsidP="003D6170">
            <w:pPr>
              <w:ind w:left="0"/>
              <w:jc w:val="center"/>
              <w:rPr>
                <w:b/>
                <w:sz w:val="18"/>
                <w:szCs w:val="18"/>
              </w:rPr>
            </w:pPr>
            <w:r w:rsidRPr="008C1732">
              <w:rPr>
                <w:b/>
                <w:sz w:val="18"/>
                <w:szCs w:val="18"/>
              </w:rPr>
              <w:t>Kategória regiónu</w:t>
            </w:r>
          </w:p>
        </w:tc>
        <w:tc>
          <w:tcPr>
            <w:tcW w:w="1246" w:type="dxa"/>
            <w:shd w:val="clear" w:color="auto" w:fill="C6D9F1" w:themeFill="text2" w:themeFillTint="33"/>
            <w:vAlign w:val="center"/>
          </w:tcPr>
          <w:p w14:paraId="5FDFABF4" w14:textId="77777777" w:rsidR="00E41E26" w:rsidRPr="008C1732" w:rsidRDefault="00E41E26" w:rsidP="003D6170">
            <w:pPr>
              <w:ind w:left="0"/>
              <w:jc w:val="center"/>
              <w:rPr>
                <w:b/>
                <w:sz w:val="18"/>
                <w:szCs w:val="18"/>
              </w:rPr>
            </w:pPr>
            <w:r w:rsidRPr="008C1732">
              <w:rPr>
                <w:b/>
                <w:sz w:val="18"/>
                <w:szCs w:val="18"/>
              </w:rPr>
              <w:t>Cieľová hodnota (2023)</w:t>
            </w:r>
          </w:p>
        </w:tc>
        <w:tc>
          <w:tcPr>
            <w:tcW w:w="1010" w:type="dxa"/>
            <w:shd w:val="clear" w:color="auto" w:fill="C6D9F1" w:themeFill="text2" w:themeFillTint="33"/>
            <w:vAlign w:val="center"/>
          </w:tcPr>
          <w:p w14:paraId="22D48FA0" w14:textId="77777777" w:rsidR="00E41E26" w:rsidRPr="008C1732" w:rsidRDefault="00E41E26" w:rsidP="003D6170">
            <w:pPr>
              <w:ind w:left="0"/>
              <w:jc w:val="center"/>
              <w:rPr>
                <w:b/>
                <w:sz w:val="18"/>
                <w:szCs w:val="18"/>
              </w:rPr>
            </w:pPr>
            <w:r w:rsidRPr="008C1732">
              <w:rPr>
                <w:b/>
                <w:sz w:val="18"/>
                <w:szCs w:val="18"/>
              </w:rPr>
              <w:t>Zdroj údajov</w:t>
            </w:r>
          </w:p>
        </w:tc>
        <w:tc>
          <w:tcPr>
            <w:tcW w:w="1384" w:type="dxa"/>
            <w:shd w:val="clear" w:color="auto" w:fill="C6D9F1" w:themeFill="text2" w:themeFillTint="33"/>
            <w:vAlign w:val="center"/>
          </w:tcPr>
          <w:p w14:paraId="4F96BAC0" w14:textId="77777777" w:rsidR="00E41E26" w:rsidRPr="008C1732" w:rsidRDefault="00E41E26" w:rsidP="003D6170">
            <w:pPr>
              <w:ind w:left="0"/>
              <w:jc w:val="center"/>
              <w:rPr>
                <w:b/>
                <w:sz w:val="18"/>
                <w:szCs w:val="18"/>
              </w:rPr>
            </w:pPr>
            <w:r w:rsidRPr="008C1732">
              <w:rPr>
                <w:b/>
                <w:sz w:val="18"/>
                <w:szCs w:val="18"/>
              </w:rPr>
              <w:t>Frekvencia vykazovania</w:t>
            </w:r>
          </w:p>
        </w:tc>
      </w:tr>
      <w:tr w:rsidR="00E41E26" w14:paraId="5E4DAF24" w14:textId="77777777" w:rsidTr="003D6170">
        <w:trPr>
          <w:trHeight w:val="680"/>
          <w:jc w:val="center"/>
        </w:trPr>
        <w:tc>
          <w:tcPr>
            <w:tcW w:w="577" w:type="dxa"/>
            <w:shd w:val="clear" w:color="auto" w:fill="auto"/>
            <w:vAlign w:val="center"/>
          </w:tcPr>
          <w:p w14:paraId="328EB3A1" w14:textId="77777777" w:rsidR="00E41E26" w:rsidRPr="00737ED2" w:rsidRDefault="00E41E26" w:rsidP="005139F6">
            <w:pPr>
              <w:ind w:left="0"/>
              <w:jc w:val="center"/>
              <w:rPr>
                <w:sz w:val="18"/>
                <w:szCs w:val="18"/>
              </w:rPr>
            </w:pPr>
            <w:r>
              <w:rPr>
                <w:sz w:val="18"/>
                <w:szCs w:val="18"/>
              </w:rPr>
              <w:t>1</w:t>
            </w:r>
            <w:r w:rsidRPr="00737ED2">
              <w:rPr>
                <w:sz w:val="18"/>
                <w:szCs w:val="18"/>
              </w:rPr>
              <w:t>.</w:t>
            </w:r>
          </w:p>
        </w:tc>
        <w:tc>
          <w:tcPr>
            <w:tcW w:w="2411" w:type="dxa"/>
            <w:shd w:val="clear" w:color="auto" w:fill="auto"/>
            <w:vAlign w:val="center"/>
          </w:tcPr>
          <w:p w14:paraId="278E0560" w14:textId="77777777" w:rsidR="004D49A1" w:rsidRDefault="00E41E26">
            <w:pPr>
              <w:ind w:left="0"/>
              <w:rPr>
                <w:sz w:val="18"/>
                <w:szCs w:val="18"/>
              </w:rPr>
            </w:pPr>
            <w:r w:rsidRPr="000E02BD">
              <w:rPr>
                <w:sz w:val="18"/>
                <w:szCs w:val="18"/>
              </w:rPr>
              <w:t xml:space="preserve">Celková dĺžka </w:t>
            </w:r>
            <w:r>
              <w:rPr>
                <w:sz w:val="18"/>
                <w:szCs w:val="18"/>
              </w:rPr>
              <w:t>novovybudovaných ciest</w:t>
            </w:r>
            <w:r w:rsidR="00D65B44">
              <w:rPr>
                <w:sz w:val="18"/>
                <w:szCs w:val="18"/>
              </w:rPr>
              <w:t xml:space="preserve"> </w:t>
            </w:r>
          </w:p>
        </w:tc>
        <w:tc>
          <w:tcPr>
            <w:tcW w:w="903" w:type="dxa"/>
            <w:shd w:val="clear" w:color="auto" w:fill="auto"/>
            <w:vAlign w:val="center"/>
          </w:tcPr>
          <w:p w14:paraId="0E70FE35" w14:textId="77777777" w:rsidR="00E41E26" w:rsidRPr="004F0234" w:rsidRDefault="00E41E26" w:rsidP="00E41E26">
            <w:pPr>
              <w:ind w:left="0"/>
              <w:jc w:val="center"/>
              <w:rPr>
                <w:i/>
                <w:sz w:val="18"/>
                <w:szCs w:val="18"/>
              </w:rPr>
            </w:pPr>
            <w:r w:rsidRPr="004F0234">
              <w:rPr>
                <w:i/>
                <w:sz w:val="18"/>
                <w:szCs w:val="18"/>
              </w:rPr>
              <w:t>km</w:t>
            </w:r>
          </w:p>
        </w:tc>
        <w:tc>
          <w:tcPr>
            <w:tcW w:w="656" w:type="dxa"/>
            <w:shd w:val="clear" w:color="auto" w:fill="auto"/>
            <w:vAlign w:val="center"/>
          </w:tcPr>
          <w:p w14:paraId="1FD4F1ED" w14:textId="77777777" w:rsidR="00E41E26" w:rsidRPr="004F0234" w:rsidRDefault="00E41E26" w:rsidP="00E41E26">
            <w:pPr>
              <w:ind w:left="0"/>
              <w:jc w:val="center"/>
              <w:rPr>
                <w:i/>
                <w:sz w:val="18"/>
                <w:szCs w:val="18"/>
              </w:rPr>
            </w:pPr>
            <w:r>
              <w:rPr>
                <w:i/>
                <w:sz w:val="18"/>
                <w:szCs w:val="18"/>
              </w:rPr>
              <w:t>EFRR</w:t>
            </w:r>
          </w:p>
        </w:tc>
        <w:tc>
          <w:tcPr>
            <w:tcW w:w="1225" w:type="dxa"/>
            <w:shd w:val="clear" w:color="auto" w:fill="auto"/>
            <w:vAlign w:val="center"/>
          </w:tcPr>
          <w:p w14:paraId="4751CD31" w14:textId="77777777" w:rsidR="00E41E26" w:rsidRPr="004F0234"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14:paraId="28399E34" w14:textId="7CEF05EA" w:rsidR="00E41E26" w:rsidRPr="004F0234" w:rsidRDefault="00F06149" w:rsidP="00613584">
            <w:pPr>
              <w:ind w:left="0"/>
              <w:jc w:val="center"/>
              <w:rPr>
                <w:i/>
                <w:sz w:val="18"/>
                <w:szCs w:val="18"/>
              </w:rPr>
            </w:pPr>
            <w:r>
              <w:rPr>
                <w:i/>
                <w:sz w:val="18"/>
                <w:szCs w:val="18"/>
              </w:rPr>
              <w:t>10,25</w:t>
            </w:r>
          </w:p>
        </w:tc>
        <w:tc>
          <w:tcPr>
            <w:tcW w:w="1010" w:type="dxa"/>
            <w:vAlign w:val="center"/>
          </w:tcPr>
          <w:p w14:paraId="4576FCB8" w14:textId="77777777"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14:paraId="00C9F1CB" w14:textId="77777777" w:rsidR="00E41E26" w:rsidRPr="004F0234" w:rsidRDefault="00E41E26" w:rsidP="00E41E26">
            <w:pPr>
              <w:ind w:left="0"/>
              <w:jc w:val="center"/>
              <w:rPr>
                <w:i/>
                <w:sz w:val="18"/>
                <w:szCs w:val="18"/>
              </w:rPr>
            </w:pPr>
            <w:r>
              <w:rPr>
                <w:i/>
                <w:sz w:val="18"/>
                <w:szCs w:val="18"/>
              </w:rPr>
              <w:t>Ročne</w:t>
            </w:r>
          </w:p>
        </w:tc>
      </w:tr>
      <w:tr w:rsidR="00E41E26" w14:paraId="73FB9BA6" w14:textId="77777777" w:rsidTr="003D6170">
        <w:trPr>
          <w:trHeight w:val="680"/>
          <w:jc w:val="center"/>
        </w:trPr>
        <w:tc>
          <w:tcPr>
            <w:tcW w:w="577" w:type="dxa"/>
            <w:shd w:val="clear" w:color="auto" w:fill="auto"/>
            <w:vAlign w:val="center"/>
          </w:tcPr>
          <w:p w14:paraId="6544F356" w14:textId="77777777" w:rsidR="00E41E26" w:rsidRDefault="00E41E26" w:rsidP="005139F6">
            <w:pPr>
              <w:ind w:left="0"/>
              <w:jc w:val="center"/>
              <w:rPr>
                <w:sz w:val="18"/>
                <w:szCs w:val="18"/>
              </w:rPr>
            </w:pPr>
            <w:r>
              <w:rPr>
                <w:sz w:val="18"/>
                <w:szCs w:val="18"/>
              </w:rPr>
              <w:t>2.</w:t>
            </w:r>
          </w:p>
        </w:tc>
        <w:tc>
          <w:tcPr>
            <w:tcW w:w="2411" w:type="dxa"/>
            <w:shd w:val="clear" w:color="auto" w:fill="auto"/>
            <w:vAlign w:val="center"/>
          </w:tcPr>
          <w:p w14:paraId="213807D4" w14:textId="77777777" w:rsidR="004D49A1" w:rsidRDefault="00E41E26">
            <w:pPr>
              <w:ind w:left="0"/>
              <w:rPr>
                <w:sz w:val="18"/>
                <w:szCs w:val="18"/>
              </w:rPr>
            </w:pPr>
            <w:r w:rsidRPr="000E02BD">
              <w:rPr>
                <w:sz w:val="18"/>
                <w:szCs w:val="18"/>
              </w:rPr>
              <w:t>Celková dĺžka rekonštruovaných alebo zrenovovaných ciest</w:t>
            </w:r>
          </w:p>
        </w:tc>
        <w:tc>
          <w:tcPr>
            <w:tcW w:w="903" w:type="dxa"/>
            <w:shd w:val="clear" w:color="auto" w:fill="auto"/>
            <w:vAlign w:val="center"/>
          </w:tcPr>
          <w:p w14:paraId="7D9124D5" w14:textId="77777777" w:rsidR="00E41E26" w:rsidRPr="004F0234" w:rsidRDefault="00E41E26" w:rsidP="00E41E26">
            <w:pPr>
              <w:ind w:left="0"/>
              <w:jc w:val="center"/>
              <w:rPr>
                <w:i/>
                <w:sz w:val="18"/>
                <w:szCs w:val="18"/>
              </w:rPr>
            </w:pPr>
            <w:r>
              <w:rPr>
                <w:i/>
                <w:sz w:val="18"/>
                <w:szCs w:val="18"/>
              </w:rPr>
              <w:t>km</w:t>
            </w:r>
          </w:p>
        </w:tc>
        <w:tc>
          <w:tcPr>
            <w:tcW w:w="656" w:type="dxa"/>
            <w:shd w:val="clear" w:color="auto" w:fill="auto"/>
            <w:vAlign w:val="center"/>
          </w:tcPr>
          <w:p w14:paraId="443EF0E5" w14:textId="77777777" w:rsidR="00E41E26" w:rsidRPr="004F0234" w:rsidRDefault="00E41E26" w:rsidP="00E41E26">
            <w:pPr>
              <w:ind w:left="0"/>
              <w:jc w:val="center"/>
              <w:rPr>
                <w:i/>
                <w:sz w:val="18"/>
                <w:szCs w:val="18"/>
              </w:rPr>
            </w:pPr>
            <w:r>
              <w:rPr>
                <w:i/>
                <w:sz w:val="18"/>
                <w:szCs w:val="18"/>
              </w:rPr>
              <w:t>EFRR</w:t>
            </w:r>
          </w:p>
        </w:tc>
        <w:tc>
          <w:tcPr>
            <w:tcW w:w="1225" w:type="dxa"/>
            <w:shd w:val="clear" w:color="auto" w:fill="auto"/>
            <w:vAlign w:val="center"/>
          </w:tcPr>
          <w:p w14:paraId="3DAC6239" w14:textId="77777777" w:rsidR="00E41E26" w:rsidRPr="004F0234"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14:paraId="1941072A" w14:textId="77777777" w:rsidR="00E41E26" w:rsidRPr="004F0234" w:rsidRDefault="00E041B3" w:rsidP="00E41E26">
            <w:pPr>
              <w:ind w:left="0"/>
              <w:jc w:val="center"/>
              <w:rPr>
                <w:i/>
                <w:sz w:val="18"/>
                <w:szCs w:val="18"/>
              </w:rPr>
            </w:pPr>
            <w:r>
              <w:rPr>
                <w:i/>
                <w:sz w:val="18"/>
                <w:szCs w:val="18"/>
              </w:rPr>
              <w:t>28</w:t>
            </w:r>
            <w:r w:rsidR="006B0FB4">
              <w:rPr>
                <w:i/>
                <w:sz w:val="18"/>
                <w:szCs w:val="18"/>
              </w:rPr>
              <w:t>6,4</w:t>
            </w:r>
          </w:p>
        </w:tc>
        <w:tc>
          <w:tcPr>
            <w:tcW w:w="1010" w:type="dxa"/>
            <w:vAlign w:val="center"/>
          </w:tcPr>
          <w:p w14:paraId="6EBCA3A8" w14:textId="77777777"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14:paraId="55DF5639" w14:textId="77777777" w:rsidR="00E41E26" w:rsidRPr="004F0234" w:rsidRDefault="00E41E26" w:rsidP="00E41E26">
            <w:pPr>
              <w:ind w:left="0"/>
              <w:jc w:val="center"/>
              <w:rPr>
                <w:i/>
                <w:sz w:val="18"/>
                <w:szCs w:val="18"/>
              </w:rPr>
            </w:pPr>
            <w:r>
              <w:rPr>
                <w:i/>
                <w:sz w:val="18"/>
                <w:szCs w:val="18"/>
              </w:rPr>
              <w:t>Ročne</w:t>
            </w:r>
          </w:p>
        </w:tc>
      </w:tr>
      <w:tr w:rsidR="00E41E26" w14:paraId="7CA5B124" w14:textId="77777777" w:rsidTr="003D6170">
        <w:trPr>
          <w:trHeight w:val="680"/>
          <w:jc w:val="center"/>
        </w:trPr>
        <w:tc>
          <w:tcPr>
            <w:tcW w:w="577" w:type="dxa"/>
            <w:shd w:val="clear" w:color="auto" w:fill="auto"/>
            <w:vAlign w:val="center"/>
          </w:tcPr>
          <w:p w14:paraId="168F326F" w14:textId="77777777" w:rsidR="00E41E26" w:rsidRDefault="00536927" w:rsidP="005139F6">
            <w:pPr>
              <w:ind w:left="0"/>
              <w:jc w:val="center"/>
              <w:rPr>
                <w:sz w:val="18"/>
                <w:szCs w:val="18"/>
              </w:rPr>
            </w:pPr>
            <w:r>
              <w:rPr>
                <w:sz w:val="18"/>
                <w:szCs w:val="18"/>
              </w:rPr>
              <w:t>3</w:t>
            </w:r>
            <w:r w:rsidR="00E41E26">
              <w:rPr>
                <w:sz w:val="18"/>
                <w:szCs w:val="18"/>
              </w:rPr>
              <w:t>.</w:t>
            </w:r>
          </w:p>
        </w:tc>
        <w:tc>
          <w:tcPr>
            <w:tcW w:w="2411" w:type="dxa"/>
            <w:shd w:val="clear" w:color="auto" w:fill="auto"/>
            <w:vAlign w:val="center"/>
          </w:tcPr>
          <w:p w14:paraId="0E8E7B02" w14:textId="77777777" w:rsidR="00E41E26" w:rsidRDefault="00E41E26" w:rsidP="005139F6">
            <w:pPr>
              <w:ind w:left="0"/>
              <w:rPr>
                <w:sz w:val="18"/>
                <w:szCs w:val="18"/>
              </w:rPr>
            </w:pPr>
            <w:r w:rsidRPr="00562D40">
              <w:rPr>
                <w:sz w:val="18"/>
                <w:szCs w:val="18"/>
              </w:rPr>
              <w:t>Počet odstránených kritických nehodových</w:t>
            </w:r>
            <w:r>
              <w:rPr>
                <w:sz w:val="18"/>
                <w:szCs w:val="18"/>
              </w:rPr>
              <w:t xml:space="preserve"> lokalít a kolíznych bodov na cestách I. triedy</w:t>
            </w:r>
          </w:p>
        </w:tc>
        <w:tc>
          <w:tcPr>
            <w:tcW w:w="903" w:type="dxa"/>
            <w:shd w:val="clear" w:color="auto" w:fill="auto"/>
            <w:vAlign w:val="center"/>
          </w:tcPr>
          <w:p w14:paraId="0B11B56D" w14:textId="77777777" w:rsidR="00E41E26" w:rsidRDefault="00E41E26" w:rsidP="00E41E26">
            <w:pPr>
              <w:ind w:left="0"/>
              <w:jc w:val="center"/>
              <w:rPr>
                <w:i/>
                <w:sz w:val="18"/>
                <w:szCs w:val="18"/>
              </w:rPr>
            </w:pPr>
            <w:r>
              <w:rPr>
                <w:i/>
                <w:sz w:val="18"/>
                <w:szCs w:val="18"/>
              </w:rPr>
              <w:t>počet</w:t>
            </w:r>
          </w:p>
        </w:tc>
        <w:tc>
          <w:tcPr>
            <w:tcW w:w="656" w:type="dxa"/>
            <w:shd w:val="clear" w:color="auto" w:fill="auto"/>
            <w:vAlign w:val="center"/>
          </w:tcPr>
          <w:p w14:paraId="4169C4D4" w14:textId="77777777" w:rsidR="00E41E26" w:rsidRDefault="00E41E26" w:rsidP="00E41E26">
            <w:pPr>
              <w:ind w:left="0"/>
              <w:jc w:val="center"/>
              <w:rPr>
                <w:i/>
                <w:sz w:val="18"/>
                <w:szCs w:val="18"/>
              </w:rPr>
            </w:pPr>
            <w:r>
              <w:rPr>
                <w:i/>
                <w:sz w:val="18"/>
                <w:szCs w:val="18"/>
              </w:rPr>
              <w:t>EFRR</w:t>
            </w:r>
          </w:p>
        </w:tc>
        <w:tc>
          <w:tcPr>
            <w:tcW w:w="1225" w:type="dxa"/>
            <w:shd w:val="clear" w:color="auto" w:fill="auto"/>
            <w:vAlign w:val="center"/>
          </w:tcPr>
          <w:p w14:paraId="11B0D5A1" w14:textId="77777777" w:rsidR="00E41E26" w:rsidRPr="00F55678"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14:paraId="48004872" w14:textId="77777777" w:rsidR="00E41E26" w:rsidRPr="002E2353" w:rsidRDefault="00E041B3" w:rsidP="00E41E26">
            <w:pPr>
              <w:ind w:left="0"/>
              <w:jc w:val="center"/>
              <w:rPr>
                <w:i/>
                <w:sz w:val="18"/>
                <w:szCs w:val="18"/>
                <w:lang w:val="en-US"/>
              </w:rPr>
            </w:pPr>
            <w:r>
              <w:rPr>
                <w:i/>
                <w:sz w:val="18"/>
                <w:szCs w:val="18"/>
                <w:lang w:val="en-US"/>
              </w:rPr>
              <w:t>40</w:t>
            </w:r>
          </w:p>
        </w:tc>
        <w:tc>
          <w:tcPr>
            <w:tcW w:w="1010" w:type="dxa"/>
            <w:vAlign w:val="center"/>
          </w:tcPr>
          <w:p w14:paraId="4DE817C7" w14:textId="77777777"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14:paraId="5BE50961" w14:textId="77777777" w:rsidR="00E41E26" w:rsidRPr="004F0234" w:rsidRDefault="00E41E26" w:rsidP="00E41E26">
            <w:pPr>
              <w:ind w:left="0"/>
              <w:jc w:val="center"/>
              <w:rPr>
                <w:i/>
                <w:sz w:val="18"/>
                <w:szCs w:val="18"/>
              </w:rPr>
            </w:pPr>
            <w:r>
              <w:rPr>
                <w:i/>
                <w:sz w:val="18"/>
                <w:szCs w:val="18"/>
              </w:rPr>
              <w:t>Ročne</w:t>
            </w:r>
          </w:p>
        </w:tc>
      </w:tr>
    </w:tbl>
    <w:p w14:paraId="7B89A949" w14:textId="77777777" w:rsidR="00E42497" w:rsidRDefault="00E42497" w:rsidP="00E42497">
      <w:pPr>
        <w:pStyle w:val="Nadpis3"/>
      </w:pPr>
      <w:bookmarkStart w:id="59" w:name="_Toc28951621"/>
      <w:r>
        <w:t>Výkonnostný rámec prioritnej osi</w:t>
      </w:r>
      <w:bookmarkEnd w:id="59"/>
    </w:p>
    <w:p w14:paraId="6B30556B" w14:textId="77777777" w:rsidR="00E42497" w:rsidRPr="007B3B80" w:rsidRDefault="00E42497" w:rsidP="0015658D">
      <w:pPr>
        <w:pStyle w:val="Tab"/>
      </w:pPr>
      <w:r>
        <w:t>Vý</w:t>
      </w:r>
      <w:r w:rsidR="002E2353">
        <w:t>konnostný rámec Prioritnej osi 6</w:t>
      </w:r>
    </w:p>
    <w:tbl>
      <w:tblPr>
        <w:tblStyle w:val="Mriekatabuky"/>
        <w:tblW w:w="98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17"/>
        <w:gridCol w:w="1636"/>
        <w:gridCol w:w="897"/>
        <w:gridCol w:w="656"/>
        <w:gridCol w:w="986"/>
        <w:gridCol w:w="987"/>
        <w:gridCol w:w="801"/>
        <w:gridCol w:w="747"/>
        <w:gridCol w:w="1217"/>
      </w:tblGrid>
      <w:tr w:rsidR="00E42497" w14:paraId="11202B91" w14:textId="77777777" w:rsidTr="00F06149">
        <w:trPr>
          <w:trHeight w:val="340"/>
          <w:jc w:val="center"/>
        </w:trPr>
        <w:tc>
          <w:tcPr>
            <w:tcW w:w="1476" w:type="dxa"/>
            <w:shd w:val="clear" w:color="auto" w:fill="C6D9F1" w:themeFill="text2" w:themeFillTint="33"/>
          </w:tcPr>
          <w:p w14:paraId="3849EC79" w14:textId="77777777" w:rsidR="00E42497" w:rsidRPr="008C1732" w:rsidRDefault="00E42497" w:rsidP="007C1063">
            <w:pPr>
              <w:ind w:left="0"/>
              <w:rPr>
                <w:b/>
                <w:sz w:val="18"/>
                <w:szCs w:val="18"/>
              </w:rPr>
            </w:pPr>
            <w:r w:rsidRPr="008C1732">
              <w:rPr>
                <w:b/>
                <w:sz w:val="18"/>
                <w:szCs w:val="18"/>
              </w:rPr>
              <w:t>Typ ukazovateľa</w:t>
            </w:r>
          </w:p>
          <w:p w14:paraId="0701A884" w14:textId="77777777" w:rsidR="00E42497" w:rsidRPr="008C1732" w:rsidRDefault="00E42497" w:rsidP="007C1063">
            <w:pPr>
              <w:ind w:left="0"/>
              <w:rPr>
                <w:b/>
                <w:sz w:val="18"/>
                <w:szCs w:val="18"/>
              </w:rPr>
            </w:pPr>
          </w:p>
          <w:p w14:paraId="65AA7929" w14:textId="77777777" w:rsidR="00E42497" w:rsidRPr="008C1732" w:rsidRDefault="00E42497" w:rsidP="007C1063">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17" w:type="dxa"/>
            <w:shd w:val="clear" w:color="auto" w:fill="C6D9F1" w:themeFill="text2" w:themeFillTint="33"/>
          </w:tcPr>
          <w:p w14:paraId="57F71659" w14:textId="77777777" w:rsidR="00E42497" w:rsidRPr="008C1732" w:rsidRDefault="00E42497" w:rsidP="007C1063">
            <w:pPr>
              <w:ind w:left="0"/>
              <w:rPr>
                <w:b/>
                <w:sz w:val="18"/>
                <w:szCs w:val="18"/>
              </w:rPr>
            </w:pPr>
            <w:r w:rsidRPr="008C1732">
              <w:rPr>
                <w:b/>
                <w:sz w:val="18"/>
                <w:szCs w:val="18"/>
              </w:rPr>
              <w:t>ID</w:t>
            </w:r>
          </w:p>
        </w:tc>
        <w:tc>
          <w:tcPr>
            <w:tcW w:w="1636" w:type="dxa"/>
            <w:shd w:val="clear" w:color="auto" w:fill="C6D9F1" w:themeFill="text2" w:themeFillTint="33"/>
          </w:tcPr>
          <w:p w14:paraId="3D214938" w14:textId="77777777" w:rsidR="00E42497" w:rsidRPr="008C1732" w:rsidRDefault="00E42497" w:rsidP="007C1063">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4102D0F8" w14:textId="77777777" w:rsidR="00E42497" w:rsidRPr="008C1732" w:rsidRDefault="00E42497" w:rsidP="007C1063">
            <w:pPr>
              <w:ind w:left="0"/>
              <w:rPr>
                <w:b/>
                <w:sz w:val="18"/>
                <w:szCs w:val="18"/>
              </w:rPr>
            </w:pPr>
            <w:r w:rsidRPr="008C1732">
              <w:rPr>
                <w:b/>
                <w:sz w:val="18"/>
                <w:szCs w:val="18"/>
              </w:rPr>
              <w:t>Merná jednotka</w:t>
            </w:r>
          </w:p>
        </w:tc>
        <w:tc>
          <w:tcPr>
            <w:tcW w:w="656" w:type="dxa"/>
            <w:shd w:val="clear" w:color="auto" w:fill="C6D9F1" w:themeFill="text2" w:themeFillTint="33"/>
          </w:tcPr>
          <w:p w14:paraId="24179BF4" w14:textId="77777777" w:rsidR="00E42497" w:rsidRPr="008C1732" w:rsidRDefault="00E42497" w:rsidP="007C1063">
            <w:pPr>
              <w:ind w:left="0"/>
              <w:rPr>
                <w:b/>
                <w:sz w:val="18"/>
                <w:szCs w:val="18"/>
              </w:rPr>
            </w:pPr>
            <w:r w:rsidRPr="008C1732">
              <w:rPr>
                <w:b/>
                <w:sz w:val="18"/>
                <w:szCs w:val="18"/>
              </w:rPr>
              <w:t>Fond</w:t>
            </w:r>
          </w:p>
        </w:tc>
        <w:tc>
          <w:tcPr>
            <w:tcW w:w="986" w:type="dxa"/>
            <w:shd w:val="clear" w:color="auto" w:fill="C6D9F1" w:themeFill="text2" w:themeFillTint="33"/>
          </w:tcPr>
          <w:p w14:paraId="38C69BA9" w14:textId="77777777" w:rsidR="00E42497" w:rsidRPr="008C1732" w:rsidRDefault="00E42497" w:rsidP="007C1063">
            <w:pPr>
              <w:ind w:left="0"/>
              <w:rPr>
                <w:b/>
                <w:sz w:val="18"/>
                <w:szCs w:val="18"/>
              </w:rPr>
            </w:pPr>
            <w:r w:rsidRPr="008C1732">
              <w:rPr>
                <w:b/>
                <w:sz w:val="18"/>
                <w:szCs w:val="18"/>
              </w:rPr>
              <w:t>Kategória regiónu</w:t>
            </w:r>
          </w:p>
        </w:tc>
        <w:tc>
          <w:tcPr>
            <w:tcW w:w="987" w:type="dxa"/>
            <w:shd w:val="clear" w:color="auto" w:fill="C6D9F1" w:themeFill="text2" w:themeFillTint="33"/>
          </w:tcPr>
          <w:p w14:paraId="364E68D4" w14:textId="77777777" w:rsidR="00E42497" w:rsidRPr="008C1732" w:rsidRDefault="00E42497" w:rsidP="007C1063">
            <w:pPr>
              <w:ind w:left="0"/>
              <w:rPr>
                <w:b/>
                <w:sz w:val="18"/>
                <w:szCs w:val="18"/>
              </w:rPr>
            </w:pPr>
            <w:r w:rsidRPr="008C1732">
              <w:rPr>
                <w:b/>
                <w:sz w:val="18"/>
                <w:szCs w:val="18"/>
              </w:rPr>
              <w:t>Čiastkový cieľ pre rok 2018</w:t>
            </w:r>
          </w:p>
        </w:tc>
        <w:tc>
          <w:tcPr>
            <w:tcW w:w="801" w:type="dxa"/>
            <w:shd w:val="clear" w:color="auto" w:fill="C6D9F1" w:themeFill="text2" w:themeFillTint="33"/>
          </w:tcPr>
          <w:p w14:paraId="79185CF6" w14:textId="77777777" w:rsidR="00E42497" w:rsidRPr="008C1732" w:rsidRDefault="00E42497" w:rsidP="007C1063">
            <w:pPr>
              <w:ind w:left="0"/>
              <w:rPr>
                <w:b/>
                <w:sz w:val="18"/>
                <w:szCs w:val="18"/>
              </w:rPr>
            </w:pPr>
            <w:r w:rsidRPr="008C1732">
              <w:rPr>
                <w:b/>
                <w:sz w:val="18"/>
                <w:szCs w:val="18"/>
              </w:rPr>
              <w:t>Zámer</w:t>
            </w:r>
          </w:p>
          <w:p w14:paraId="36B3424D" w14:textId="77777777" w:rsidR="00E42497" w:rsidRPr="008C1732" w:rsidRDefault="00E42497" w:rsidP="007C1063">
            <w:pPr>
              <w:ind w:left="0"/>
              <w:rPr>
                <w:b/>
                <w:sz w:val="18"/>
                <w:szCs w:val="18"/>
              </w:rPr>
            </w:pPr>
            <w:r w:rsidRPr="008C1732">
              <w:rPr>
                <w:b/>
                <w:sz w:val="18"/>
                <w:szCs w:val="18"/>
              </w:rPr>
              <w:t>(2023)</w:t>
            </w:r>
          </w:p>
        </w:tc>
        <w:tc>
          <w:tcPr>
            <w:tcW w:w="747" w:type="dxa"/>
            <w:shd w:val="clear" w:color="auto" w:fill="C6D9F1" w:themeFill="text2" w:themeFillTint="33"/>
          </w:tcPr>
          <w:p w14:paraId="16036469" w14:textId="77777777" w:rsidR="00E42497" w:rsidRPr="008C1732" w:rsidRDefault="00E42497" w:rsidP="007C1063">
            <w:pPr>
              <w:ind w:left="0"/>
              <w:rPr>
                <w:b/>
                <w:sz w:val="18"/>
                <w:szCs w:val="18"/>
              </w:rPr>
            </w:pPr>
            <w:r w:rsidRPr="008C1732">
              <w:rPr>
                <w:b/>
                <w:sz w:val="18"/>
                <w:szCs w:val="18"/>
              </w:rPr>
              <w:t>Zdroj údajov</w:t>
            </w:r>
          </w:p>
        </w:tc>
        <w:tc>
          <w:tcPr>
            <w:tcW w:w="1217" w:type="dxa"/>
            <w:shd w:val="clear" w:color="auto" w:fill="C6D9F1" w:themeFill="text2" w:themeFillTint="33"/>
          </w:tcPr>
          <w:p w14:paraId="1B2FBADB" w14:textId="77777777" w:rsidR="00E42497" w:rsidRPr="008C1732" w:rsidRDefault="00E42497" w:rsidP="007C1063">
            <w:pPr>
              <w:ind w:left="0"/>
              <w:rPr>
                <w:b/>
                <w:sz w:val="18"/>
                <w:szCs w:val="18"/>
              </w:rPr>
            </w:pPr>
            <w:r w:rsidRPr="008C1732">
              <w:rPr>
                <w:b/>
                <w:sz w:val="18"/>
                <w:szCs w:val="18"/>
              </w:rPr>
              <w:t>Zdôvodnenie výberu ukazovateľa</w:t>
            </w:r>
          </w:p>
        </w:tc>
      </w:tr>
      <w:tr w:rsidR="00F06149" w14:paraId="47141558" w14:textId="77777777" w:rsidTr="00F06149">
        <w:trPr>
          <w:trHeight w:val="454"/>
          <w:jc w:val="center"/>
        </w:trPr>
        <w:tc>
          <w:tcPr>
            <w:tcW w:w="1476" w:type="dxa"/>
            <w:vAlign w:val="center"/>
          </w:tcPr>
          <w:p w14:paraId="1A342282" w14:textId="77777777" w:rsidR="00F06149" w:rsidRPr="00D9570C" w:rsidRDefault="00F06149" w:rsidP="00F06149">
            <w:pPr>
              <w:ind w:left="0"/>
              <w:rPr>
                <w:i/>
                <w:sz w:val="18"/>
                <w:szCs w:val="18"/>
              </w:rPr>
            </w:pPr>
            <w:r w:rsidRPr="00D9570C">
              <w:rPr>
                <w:i/>
                <w:sz w:val="18"/>
                <w:szCs w:val="18"/>
              </w:rPr>
              <w:t>výstupový ukazovateľ</w:t>
            </w:r>
          </w:p>
        </w:tc>
        <w:tc>
          <w:tcPr>
            <w:tcW w:w="417" w:type="dxa"/>
          </w:tcPr>
          <w:p w14:paraId="5D1C9DFB" w14:textId="77777777" w:rsidR="00F06149" w:rsidRPr="00D9570C" w:rsidRDefault="00F06149" w:rsidP="00F06149">
            <w:pPr>
              <w:rPr>
                <w:sz w:val="18"/>
                <w:szCs w:val="18"/>
              </w:rPr>
            </w:pPr>
          </w:p>
        </w:tc>
        <w:tc>
          <w:tcPr>
            <w:tcW w:w="1636" w:type="dxa"/>
          </w:tcPr>
          <w:p w14:paraId="2DE58E56" w14:textId="77777777" w:rsidR="00F06149" w:rsidRPr="00D9570C" w:rsidRDefault="00F06149" w:rsidP="00F06149">
            <w:pPr>
              <w:ind w:left="0"/>
              <w:rPr>
                <w:sz w:val="18"/>
                <w:szCs w:val="18"/>
              </w:rPr>
            </w:pPr>
            <w:r w:rsidRPr="00DA54CE">
              <w:rPr>
                <w:sz w:val="18"/>
                <w:szCs w:val="18"/>
              </w:rPr>
              <w:t xml:space="preserve">Celková dĺžka </w:t>
            </w:r>
            <w:r>
              <w:rPr>
                <w:sz w:val="18"/>
                <w:szCs w:val="18"/>
              </w:rPr>
              <w:t>novovybudovaných</w:t>
            </w:r>
            <w:r w:rsidRPr="00DA54CE">
              <w:rPr>
                <w:sz w:val="18"/>
                <w:szCs w:val="18"/>
              </w:rPr>
              <w:t xml:space="preserve"> ciest</w:t>
            </w:r>
          </w:p>
        </w:tc>
        <w:tc>
          <w:tcPr>
            <w:tcW w:w="897" w:type="dxa"/>
            <w:vAlign w:val="center"/>
          </w:tcPr>
          <w:p w14:paraId="5A923F26" w14:textId="77777777" w:rsidR="00F06149" w:rsidRPr="00D9570C" w:rsidRDefault="00F06149" w:rsidP="00F06149">
            <w:pPr>
              <w:ind w:left="0"/>
              <w:jc w:val="center"/>
              <w:rPr>
                <w:i/>
                <w:sz w:val="18"/>
                <w:szCs w:val="18"/>
              </w:rPr>
            </w:pPr>
            <w:r>
              <w:rPr>
                <w:i/>
                <w:sz w:val="18"/>
                <w:szCs w:val="18"/>
              </w:rPr>
              <w:t>km</w:t>
            </w:r>
          </w:p>
        </w:tc>
        <w:tc>
          <w:tcPr>
            <w:tcW w:w="656" w:type="dxa"/>
            <w:vAlign w:val="center"/>
          </w:tcPr>
          <w:p w14:paraId="378D80B4" w14:textId="77777777" w:rsidR="00F06149" w:rsidRPr="00D9570C" w:rsidRDefault="00F06149" w:rsidP="00F06149">
            <w:pPr>
              <w:ind w:left="0"/>
              <w:jc w:val="center"/>
              <w:rPr>
                <w:i/>
                <w:sz w:val="18"/>
                <w:szCs w:val="18"/>
              </w:rPr>
            </w:pPr>
            <w:r>
              <w:rPr>
                <w:i/>
                <w:sz w:val="18"/>
                <w:szCs w:val="18"/>
              </w:rPr>
              <w:t>EFRR</w:t>
            </w:r>
          </w:p>
        </w:tc>
        <w:tc>
          <w:tcPr>
            <w:tcW w:w="986" w:type="dxa"/>
            <w:vAlign w:val="center"/>
          </w:tcPr>
          <w:p w14:paraId="4A8F4272" w14:textId="77777777" w:rsidR="00F06149" w:rsidRPr="00D9570C" w:rsidRDefault="00F06149" w:rsidP="00F06149">
            <w:pPr>
              <w:ind w:left="0"/>
              <w:jc w:val="center"/>
              <w:rPr>
                <w:i/>
                <w:sz w:val="18"/>
                <w:szCs w:val="18"/>
              </w:rPr>
            </w:pPr>
            <w:r>
              <w:rPr>
                <w:i/>
                <w:sz w:val="18"/>
                <w:szCs w:val="18"/>
              </w:rPr>
              <w:t>Menej rozvinuté regióny</w:t>
            </w:r>
          </w:p>
        </w:tc>
        <w:tc>
          <w:tcPr>
            <w:tcW w:w="987" w:type="dxa"/>
            <w:vAlign w:val="center"/>
          </w:tcPr>
          <w:p w14:paraId="74F4ED12" w14:textId="1811BF12" w:rsidR="00F06149" w:rsidRPr="00D9570C" w:rsidRDefault="00F06149" w:rsidP="00F06149">
            <w:pPr>
              <w:ind w:left="0"/>
              <w:jc w:val="center"/>
              <w:rPr>
                <w:i/>
                <w:sz w:val="18"/>
                <w:szCs w:val="18"/>
              </w:rPr>
            </w:pPr>
            <w:r>
              <w:rPr>
                <w:i/>
                <w:sz w:val="18"/>
                <w:szCs w:val="18"/>
              </w:rPr>
              <w:t>10,25</w:t>
            </w:r>
          </w:p>
        </w:tc>
        <w:tc>
          <w:tcPr>
            <w:tcW w:w="801" w:type="dxa"/>
            <w:vAlign w:val="center"/>
          </w:tcPr>
          <w:p w14:paraId="7337CDB0" w14:textId="3A11AC3F" w:rsidR="00F06149" w:rsidRPr="00D9570C" w:rsidRDefault="00F06149" w:rsidP="00F06149">
            <w:pPr>
              <w:ind w:left="0"/>
              <w:jc w:val="center"/>
              <w:rPr>
                <w:i/>
                <w:sz w:val="18"/>
                <w:szCs w:val="18"/>
              </w:rPr>
            </w:pPr>
            <w:r>
              <w:rPr>
                <w:i/>
                <w:sz w:val="18"/>
                <w:szCs w:val="18"/>
              </w:rPr>
              <w:t>31,75</w:t>
            </w:r>
          </w:p>
        </w:tc>
        <w:tc>
          <w:tcPr>
            <w:tcW w:w="747" w:type="dxa"/>
            <w:vAlign w:val="center"/>
          </w:tcPr>
          <w:p w14:paraId="3EDAC668" w14:textId="77777777" w:rsidR="00F06149" w:rsidRPr="00D9570C" w:rsidRDefault="00F06149" w:rsidP="00F06149">
            <w:pPr>
              <w:ind w:left="0"/>
              <w:jc w:val="center"/>
              <w:rPr>
                <w:i/>
                <w:sz w:val="18"/>
                <w:szCs w:val="18"/>
              </w:rPr>
            </w:pPr>
            <w:r w:rsidRPr="00D9570C">
              <w:rPr>
                <w:i/>
                <w:sz w:val="18"/>
                <w:szCs w:val="18"/>
              </w:rPr>
              <w:t>RO OPII</w:t>
            </w:r>
          </w:p>
        </w:tc>
        <w:tc>
          <w:tcPr>
            <w:tcW w:w="1217" w:type="dxa"/>
            <w:vAlign w:val="center"/>
          </w:tcPr>
          <w:p w14:paraId="69FA6C27" w14:textId="77777777" w:rsidR="00F06149" w:rsidRPr="00D9570C" w:rsidRDefault="00F06149" w:rsidP="00F06149">
            <w:pPr>
              <w:ind w:left="0"/>
              <w:jc w:val="center"/>
              <w:rPr>
                <w:i/>
                <w:sz w:val="18"/>
                <w:szCs w:val="18"/>
              </w:rPr>
            </w:pPr>
            <w:r>
              <w:rPr>
                <w:i/>
                <w:sz w:val="18"/>
                <w:szCs w:val="18"/>
              </w:rPr>
              <w:t>Nosná investičná aktivita v rámci PO6</w:t>
            </w:r>
          </w:p>
        </w:tc>
      </w:tr>
      <w:tr w:rsidR="00F06149" w14:paraId="4039937C" w14:textId="77777777" w:rsidTr="00F06149">
        <w:trPr>
          <w:trHeight w:val="454"/>
          <w:jc w:val="center"/>
        </w:trPr>
        <w:tc>
          <w:tcPr>
            <w:tcW w:w="1476" w:type="dxa"/>
            <w:vAlign w:val="center"/>
          </w:tcPr>
          <w:p w14:paraId="6883B080" w14:textId="77777777" w:rsidR="00F06149" w:rsidRPr="00D9570C" w:rsidRDefault="00F06149" w:rsidP="00F06149">
            <w:pPr>
              <w:ind w:left="0"/>
              <w:rPr>
                <w:sz w:val="18"/>
                <w:szCs w:val="18"/>
              </w:rPr>
            </w:pPr>
            <w:r w:rsidRPr="00D9570C">
              <w:rPr>
                <w:i/>
                <w:sz w:val="18"/>
                <w:szCs w:val="18"/>
              </w:rPr>
              <w:t xml:space="preserve"> finančný ukazovateľ</w:t>
            </w:r>
          </w:p>
        </w:tc>
        <w:tc>
          <w:tcPr>
            <w:tcW w:w="417" w:type="dxa"/>
          </w:tcPr>
          <w:p w14:paraId="1F170F0B" w14:textId="77777777" w:rsidR="00F06149" w:rsidRPr="00D9570C" w:rsidRDefault="00F06149" w:rsidP="00F06149">
            <w:pPr>
              <w:rPr>
                <w:sz w:val="18"/>
                <w:szCs w:val="18"/>
              </w:rPr>
            </w:pPr>
          </w:p>
        </w:tc>
        <w:tc>
          <w:tcPr>
            <w:tcW w:w="1636" w:type="dxa"/>
          </w:tcPr>
          <w:p w14:paraId="52A8EC17" w14:textId="41DCC0B5" w:rsidR="00F06149" w:rsidRPr="00D9570C" w:rsidRDefault="00F06149" w:rsidP="00F06149">
            <w:pPr>
              <w:ind w:left="0"/>
              <w:rPr>
                <w:sz w:val="18"/>
                <w:szCs w:val="18"/>
              </w:rPr>
            </w:pPr>
            <w:r>
              <w:rPr>
                <w:sz w:val="18"/>
                <w:szCs w:val="18"/>
              </w:rPr>
              <w:t>C</w:t>
            </w:r>
            <w:r w:rsidRPr="00B85027">
              <w:rPr>
                <w:sz w:val="18"/>
                <w:szCs w:val="18"/>
              </w:rPr>
              <w:t>elková suma oprávnených výdavkov po ich certifikácii certifikačným orgánom</w:t>
            </w:r>
            <w:r>
              <w:rPr>
                <w:sz w:val="18"/>
                <w:szCs w:val="18"/>
              </w:rPr>
              <w:t xml:space="preserve"> a predložení žiadostí o platby Európskej komisii</w:t>
            </w:r>
          </w:p>
        </w:tc>
        <w:tc>
          <w:tcPr>
            <w:tcW w:w="897" w:type="dxa"/>
            <w:vAlign w:val="center"/>
          </w:tcPr>
          <w:p w14:paraId="3576190E" w14:textId="77777777" w:rsidR="00F06149" w:rsidRPr="00D9570C" w:rsidRDefault="00F06149" w:rsidP="00F06149">
            <w:pPr>
              <w:ind w:left="0"/>
              <w:jc w:val="center"/>
              <w:rPr>
                <w:i/>
                <w:sz w:val="18"/>
                <w:szCs w:val="18"/>
              </w:rPr>
            </w:pPr>
            <w:r>
              <w:rPr>
                <w:i/>
                <w:sz w:val="18"/>
                <w:szCs w:val="18"/>
              </w:rPr>
              <w:t>EUR</w:t>
            </w:r>
          </w:p>
        </w:tc>
        <w:tc>
          <w:tcPr>
            <w:tcW w:w="656" w:type="dxa"/>
            <w:vAlign w:val="center"/>
          </w:tcPr>
          <w:p w14:paraId="0EABFABE" w14:textId="77777777" w:rsidR="00F06149" w:rsidRPr="00D9570C" w:rsidRDefault="00F06149" w:rsidP="00F06149">
            <w:pPr>
              <w:ind w:left="0"/>
              <w:jc w:val="center"/>
              <w:rPr>
                <w:i/>
                <w:sz w:val="18"/>
                <w:szCs w:val="18"/>
              </w:rPr>
            </w:pPr>
            <w:r>
              <w:rPr>
                <w:i/>
                <w:sz w:val="18"/>
                <w:szCs w:val="18"/>
              </w:rPr>
              <w:t>EFRR</w:t>
            </w:r>
          </w:p>
        </w:tc>
        <w:tc>
          <w:tcPr>
            <w:tcW w:w="986" w:type="dxa"/>
            <w:vAlign w:val="center"/>
          </w:tcPr>
          <w:p w14:paraId="76BEF787" w14:textId="77777777" w:rsidR="00F06149" w:rsidRPr="00D9570C" w:rsidRDefault="00F06149" w:rsidP="00F06149">
            <w:pPr>
              <w:ind w:left="0"/>
              <w:jc w:val="center"/>
              <w:rPr>
                <w:i/>
                <w:sz w:val="18"/>
                <w:szCs w:val="18"/>
              </w:rPr>
            </w:pPr>
            <w:r>
              <w:rPr>
                <w:i/>
                <w:sz w:val="18"/>
                <w:szCs w:val="18"/>
              </w:rPr>
              <w:t>Menej rozvinuté regióny</w:t>
            </w:r>
          </w:p>
        </w:tc>
        <w:tc>
          <w:tcPr>
            <w:tcW w:w="987" w:type="dxa"/>
            <w:vAlign w:val="center"/>
          </w:tcPr>
          <w:p w14:paraId="172AF234" w14:textId="37C0AEC3" w:rsidR="00F06149" w:rsidRPr="00D9570C" w:rsidRDefault="00F06149" w:rsidP="00F06149">
            <w:pPr>
              <w:ind w:left="0"/>
              <w:jc w:val="center"/>
              <w:rPr>
                <w:i/>
                <w:sz w:val="18"/>
                <w:szCs w:val="18"/>
              </w:rPr>
            </w:pPr>
            <w:r>
              <w:rPr>
                <w:i/>
                <w:sz w:val="18"/>
                <w:szCs w:val="18"/>
              </w:rPr>
              <w:t>142 575 656</w:t>
            </w:r>
          </w:p>
        </w:tc>
        <w:tc>
          <w:tcPr>
            <w:tcW w:w="801" w:type="dxa"/>
            <w:vAlign w:val="center"/>
          </w:tcPr>
          <w:p w14:paraId="659A679D" w14:textId="68AD3367" w:rsidR="00F06149" w:rsidRPr="00D9570C" w:rsidRDefault="009D2D07" w:rsidP="009D2D07">
            <w:pPr>
              <w:ind w:left="0"/>
              <w:jc w:val="center"/>
              <w:rPr>
                <w:i/>
                <w:sz w:val="18"/>
                <w:szCs w:val="18"/>
              </w:rPr>
            </w:pPr>
            <w:r>
              <w:rPr>
                <w:i/>
                <w:sz w:val="18"/>
                <w:szCs w:val="18"/>
              </w:rPr>
              <w:t>946 924 744</w:t>
            </w:r>
          </w:p>
        </w:tc>
        <w:tc>
          <w:tcPr>
            <w:tcW w:w="747" w:type="dxa"/>
            <w:vAlign w:val="center"/>
          </w:tcPr>
          <w:p w14:paraId="6F85F11C" w14:textId="77777777" w:rsidR="00F06149" w:rsidRPr="00D9570C" w:rsidRDefault="00F06149" w:rsidP="00F06149">
            <w:pPr>
              <w:ind w:left="0"/>
              <w:jc w:val="center"/>
              <w:rPr>
                <w:i/>
                <w:sz w:val="18"/>
                <w:szCs w:val="18"/>
              </w:rPr>
            </w:pPr>
            <w:r w:rsidRPr="00D9570C">
              <w:rPr>
                <w:i/>
                <w:sz w:val="18"/>
                <w:szCs w:val="18"/>
              </w:rPr>
              <w:t>RO OPII</w:t>
            </w:r>
          </w:p>
        </w:tc>
        <w:tc>
          <w:tcPr>
            <w:tcW w:w="1217" w:type="dxa"/>
            <w:vAlign w:val="center"/>
          </w:tcPr>
          <w:p w14:paraId="007FC1C7" w14:textId="77777777" w:rsidR="00F06149" w:rsidRPr="00D9570C" w:rsidRDefault="00F06149" w:rsidP="00F06149">
            <w:pPr>
              <w:ind w:left="0"/>
              <w:jc w:val="center"/>
              <w:rPr>
                <w:i/>
                <w:sz w:val="18"/>
                <w:szCs w:val="18"/>
              </w:rPr>
            </w:pPr>
            <w:r w:rsidRPr="00D9570C">
              <w:rPr>
                <w:i/>
                <w:sz w:val="18"/>
                <w:szCs w:val="18"/>
              </w:rPr>
              <w:t>Základný finančný ukazovateľ</w:t>
            </w:r>
          </w:p>
        </w:tc>
      </w:tr>
    </w:tbl>
    <w:p w14:paraId="7BDBCB9E" w14:textId="77777777" w:rsidR="00E42497" w:rsidRDefault="00E42497" w:rsidP="00E42497">
      <w:pPr>
        <w:pStyle w:val="Nadpis3"/>
      </w:pPr>
      <w:bookmarkStart w:id="60" w:name="_Toc28951622"/>
      <w:r>
        <w:t>Kategórie intervencií</w:t>
      </w:r>
      <w:bookmarkEnd w:id="60"/>
    </w:p>
    <w:p w14:paraId="3A1F7452" w14:textId="77777777" w:rsidR="00E42497" w:rsidRPr="006579CE" w:rsidRDefault="00E42497" w:rsidP="0015658D">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12EEDE45" w14:textId="77777777" w:rsidTr="007C1063">
        <w:trPr>
          <w:trHeight w:val="284"/>
          <w:jc w:val="center"/>
        </w:trPr>
        <w:tc>
          <w:tcPr>
            <w:tcW w:w="9072" w:type="dxa"/>
            <w:gridSpan w:val="3"/>
            <w:shd w:val="clear" w:color="auto" w:fill="DBE5F1" w:themeFill="accent1" w:themeFillTint="33"/>
            <w:vAlign w:val="center"/>
          </w:tcPr>
          <w:p w14:paraId="63BE3472" w14:textId="77777777" w:rsidR="00E42497" w:rsidRPr="006579CE" w:rsidRDefault="00E42497" w:rsidP="007C1063">
            <w:pPr>
              <w:pStyle w:val="Default"/>
              <w:autoSpaceDE/>
              <w:autoSpaceDN/>
              <w:adjustRightInd/>
              <w:ind w:left="0"/>
              <w:rPr>
                <w:sz w:val="20"/>
                <w:szCs w:val="20"/>
              </w:rPr>
            </w:pPr>
            <w:r>
              <w:rPr>
                <w:b/>
                <w:bCs/>
                <w:sz w:val="20"/>
                <w:szCs w:val="20"/>
              </w:rPr>
              <w:t xml:space="preserve">Rozmer 1 – Oblasť intervencie </w:t>
            </w:r>
          </w:p>
        </w:tc>
      </w:tr>
      <w:tr w:rsidR="00E42497" w14:paraId="594731AD" w14:textId="77777777" w:rsidTr="007C1063">
        <w:trPr>
          <w:trHeight w:val="284"/>
          <w:jc w:val="center"/>
        </w:trPr>
        <w:tc>
          <w:tcPr>
            <w:tcW w:w="4913" w:type="dxa"/>
            <w:shd w:val="clear" w:color="auto" w:fill="DBE5F1" w:themeFill="accent1" w:themeFillTint="33"/>
            <w:vAlign w:val="center"/>
          </w:tcPr>
          <w:p w14:paraId="70D1C346" w14:textId="77777777" w:rsidR="00E42497" w:rsidRPr="006579CE" w:rsidRDefault="00E42497" w:rsidP="007C1063">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3A3D35D6" w14:textId="77777777" w:rsidR="00E42497" w:rsidRPr="006579CE" w:rsidRDefault="002E2353" w:rsidP="007C1063">
            <w:pPr>
              <w:pStyle w:val="Default"/>
              <w:autoSpaceDE/>
              <w:autoSpaceDN/>
              <w:adjustRightInd/>
              <w:ind w:left="0"/>
              <w:rPr>
                <w:bCs/>
                <w:sz w:val="20"/>
                <w:szCs w:val="20"/>
              </w:rPr>
            </w:pPr>
            <w:r>
              <w:rPr>
                <w:bCs/>
                <w:sz w:val="20"/>
                <w:szCs w:val="20"/>
              </w:rPr>
              <w:t>EFRR</w:t>
            </w:r>
          </w:p>
        </w:tc>
      </w:tr>
      <w:tr w:rsidR="00E42497" w14:paraId="4A79D04C" w14:textId="77777777" w:rsidTr="007C1063">
        <w:trPr>
          <w:trHeight w:val="284"/>
          <w:jc w:val="center"/>
        </w:trPr>
        <w:tc>
          <w:tcPr>
            <w:tcW w:w="4913" w:type="dxa"/>
            <w:shd w:val="clear" w:color="auto" w:fill="DBE5F1" w:themeFill="accent1" w:themeFillTint="33"/>
            <w:vAlign w:val="center"/>
          </w:tcPr>
          <w:p w14:paraId="1B499902" w14:textId="77777777" w:rsidR="00E42497" w:rsidRPr="006579CE" w:rsidRDefault="00E42497" w:rsidP="007C1063">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717FAF6D" w14:textId="77777777" w:rsidR="00E42497" w:rsidRPr="006579CE" w:rsidRDefault="002E2353" w:rsidP="007C1063">
            <w:pPr>
              <w:ind w:left="0"/>
              <w:rPr>
                <w:sz w:val="20"/>
                <w:szCs w:val="20"/>
              </w:rPr>
            </w:pPr>
            <w:r>
              <w:rPr>
                <w:sz w:val="20"/>
                <w:szCs w:val="20"/>
              </w:rPr>
              <w:t>Menej rozvinuté regióny</w:t>
            </w:r>
          </w:p>
        </w:tc>
      </w:tr>
      <w:tr w:rsidR="00E42497" w14:paraId="3B32BF66" w14:textId="77777777" w:rsidTr="007C1063">
        <w:trPr>
          <w:trHeight w:val="284"/>
          <w:jc w:val="center"/>
        </w:trPr>
        <w:tc>
          <w:tcPr>
            <w:tcW w:w="4913" w:type="dxa"/>
            <w:vAlign w:val="center"/>
          </w:tcPr>
          <w:p w14:paraId="3E38DC6F" w14:textId="77777777" w:rsidR="00E42497" w:rsidRPr="00D479A4" w:rsidRDefault="00E42497" w:rsidP="007C1063">
            <w:pPr>
              <w:ind w:left="0"/>
              <w:jc w:val="center"/>
              <w:rPr>
                <w:b/>
                <w:sz w:val="20"/>
                <w:szCs w:val="20"/>
              </w:rPr>
            </w:pPr>
            <w:r w:rsidRPr="00D479A4">
              <w:rPr>
                <w:b/>
                <w:sz w:val="20"/>
                <w:szCs w:val="20"/>
              </w:rPr>
              <w:t>Prioritná os</w:t>
            </w:r>
          </w:p>
        </w:tc>
        <w:tc>
          <w:tcPr>
            <w:tcW w:w="2120" w:type="dxa"/>
            <w:vAlign w:val="center"/>
          </w:tcPr>
          <w:p w14:paraId="266D6C96" w14:textId="77777777" w:rsidR="00E42497" w:rsidRPr="00D479A4" w:rsidRDefault="00E42497" w:rsidP="007C1063">
            <w:pPr>
              <w:ind w:left="0"/>
              <w:jc w:val="center"/>
              <w:rPr>
                <w:b/>
                <w:sz w:val="20"/>
                <w:szCs w:val="20"/>
              </w:rPr>
            </w:pPr>
            <w:r w:rsidRPr="00D479A4">
              <w:rPr>
                <w:b/>
                <w:sz w:val="20"/>
                <w:szCs w:val="20"/>
              </w:rPr>
              <w:t>Kód</w:t>
            </w:r>
          </w:p>
        </w:tc>
        <w:tc>
          <w:tcPr>
            <w:tcW w:w="2039" w:type="dxa"/>
            <w:vAlign w:val="center"/>
          </w:tcPr>
          <w:p w14:paraId="4EEB7D4D" w14:textId="77777777" w:rsidR="00E42497" w:rsidRPr="00D479A4" w:rsidRDefault="00E42497" w:rsidP="007C1063">
            <w:pPr>
              <w:ind w:left="0"/>
              <w:jc w:val="center"/>
              <w:rPr>
                <w:b/>
                <w:sz w:val="20"/>
                <w:szCs w:val="20"/>
              </w:rPr>
            </w:pPr>
            <w:r w:rsidRPr="00D479A4">
              <w:rPr>
                <w:b/>
                <w:sz w:val="20"/>
                <w:szCs w:val="20"/>
              </w:rPr>
              <w:t>Suma (v EUR)</w:t>
            </w:r>
          </w:p>
        </w:tc>
      </w:tr>
      <w:tr w:rsidR="002E2353" w14:paraId="44BE9D76" w14:textId="77777777" w:rsidTr="007C1063">
        <w:trPr>
          <w:trHeight w:val="284"/>
          <w:jc w:val="center"/>
        </w:trPr>
        <w:tc>
          <w:tcPr>
            <w:tcW w:w="4913" w:type="dxa"/>
            <w:vMerge w:val="restart"/>
            <w:vAlign w:val="center"/>
          </w:tcPr>
          <w:p w14:paraId="24E59063" w14:textId="77777777" w:rsidR="002E2353" w:rsidRPr="00E572D9" w:rsidRDefault="002E2353" w:rsidP="002E235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0" w:type="dxa"/>
            <w:vAlign w:val="center"/>
          </w:tcPr>
          <w:p w14:paraId="15E0E1C3" w14:textId="77777777" w:rsidR="002E2353" w:rsidRPr="002E2353" w:rsidRDefault="002E2353" w:rsidP="002E2353">
            <w:pPr>
              <w:ind w:left="0"/>
              <w:jc w:val="center"/>
              <w:rPr>
                <w:sz w:val="20"/>
                <w:szCs w:val="20"/>
              </w:rPr>
            </w:pPr>
            <w:r w:rsidRPr="002E2353">
              <w:rPr>
                <w:sz w:val="20"/>
                <w:szCs w:val="20"/>
              </w:rPr>
              <w:t>029</w:t>
            </w:r>
          </w:p>
        </w:tc>
        <w:tc>
          <w:tcPr>
            <w:tcW w:w="2039" w:type="dxa"/>
            <w:vAlign w:val="center"/>
          </w:tcPr>
          <w:p w14:paraId="6F41A75D" w14:textId="77777777" w:rsidR="002E2353" w:rsidRPr="00574D06" w:rsidRDefault="00D0086F" w:rsidP="00574D06">
            <w:pPr>
              <w:ind w:left="0"/>
              <w:jc w:val="center"/>
              <w:rPr>
                <w:sz w:val="20"/>
              </w:rPr>
            </w:pPr>
            <w:r w:rsidRPr="00574D06">
              <w:rPr>
                <w:sz w:val="20"/>
              </w:rPr>
              <w:t>165 423 895</w:t>
            </w:r>
          </w:p>
        </w:tc>
      </w:tr>
      <w:tr w:rsidR="002E2353" w14:paraId="6128656C" w14:textId="77777777" w:rsidTr="007C1063">
        <w:trPr>
          <w:trHeight w:val="284"/>
          <w:jc w:val="center"/>
        </w:trPr>
        <w:tc>
          <w:tcPr>
            <w:tcW w:w="4913" w:type="dxa"/>
            <w:vMerge/>
            <w:vAlign w:val="center"/>
          </w:tcPr>
          <w:p w14:paraId="5FAB8950" w14:textId="77777777" w:rsidR="002E2353" w:rsidRPr="00D479A4" w:rsidRDefault="002E2353" w:rsidP="007C1063">
            <w:pPr>
              <w:ind w:left="0"/>
              <w:rPr>
                <w:sz w:val="20"/>
                <w:szCs w:val="20"/>
              </w:rPr>
            </w:pPr>
          </w:p>
        </w:tc>
        <w:tc>
          <w:tcPr>
            <w:tcW w:w="2120" w:type="dxa"/>
            <w:vAlign w:val="center"/>
          </w:tcPr>
          <w:p w14:paraId="52BFACE9" w14:textId="77777777" w:rsidR="002E2353" w:rsidRPr="002E2353" w:rsidRDefault="002E2353" w:rsidP="002E2353">
            <w:pPr>
              <w:ind w:left="0"/>
              <w:jc w:val="center"/>
              <w:rPr>
                <w:sz w:val="20"/>
                <w:szCs w:val="20"/>
              </w:rPr>
            </w:pPr>
            <w:r w:rsidRPr="002E2353">
              <w:rPr>
                <w:sz w:val="20"/>
                <w:szCs w:val="20"/>
              </w:rPr>
              <w:t>031</w:t>
            </w:r>
          </w:p>
        </w:tc>
        <w:tc>
          <w:tcPr>
            <w:tcW w:w="2039" w:type="dxa"/>
            <w:vAlign w:val="center"/>
          </w:tcPr>
          <w:p w14:paraId="1E59413C" w14:textId="5799F2A6" w:rsidR="002E2353" w:rsidRPr="00574D06" w:rsidRDefault="00D54047" w:rsidP="009D2D07">
            <w:pPr>
              <w:ind w:left="0"/>
              <w:jc w:val="center"/>
              <w:rPr>
                <w:sz w:val="20"/>
              </w:rPr>
            </w:pPr>
            <w:r>
              <w:rPr>
                <w:sz w:val="20"/>
              </w:rPr>
              <w:t>283 381 069</w:t>
            </w:r>
          </w:p>
        </w:tc>
      </w:tr>
      <w:tr w:rsidR="002E2353" w14:paraId="259E54DE" w14:textId="77777777" w:rsidTr="007C1063">
        <w:trPr>
          <w:trHeight w:val="284"/>
          <w:jc w:val="center"/>
        </w:trPr>
        <w:tc>
          <w:tcPr>
            <w:tcW w:w="4913" w:type="dxa"/>
            <w:vMerge/>
            <w:vAlign w:val="center"/>
          </w:tcPr>
          <w:p w14:paraId="65C7DD23" w14:textId="77777777" w:rsidR="002E2353" w:rsidRPr="00D479A4" w:rsidRDefault="002E2353" w:rsidP="007C1063">
            <w:pPr>
              <w:rPr>
                <w:sz w:val="20"/>
                <w:szCs w:val="20"/>
              </w:rPr>
            </w:pPr>
          </w:p>
        </w:tc>
        <w:tc>
          <w:tcPr>
            <w:tcW w:w="2120" w:type="dxa"/>
            <w:vAlign w:val="center"/>
          </w:tcPr>
          <w:p w14:paraId="3F7B800D" w14:textId="77777777" w:rsidR="002E2353" w:rsidRPr="002E2353" w:rsidRDefault="002E2353" w:rsidP="002E2353">
            <w:pPr>
              <w:ind w:left="0"/>
              <w:jc w:val="center"/>
              <w:rPr>
                <w:sz w:val="20"/>
                <w:szCs w:val="20"/>
              </w:rPr>
            </w:pPr>
            <w:r w:rsidRPr="002E2353">
              <w:rPr>
                <w:sz w:val="20"/>
                <w:szCs w:val="20"/>
              </w:rPr>
              <w:t>034</w:t>
            </w:r>
          </w:p>
        </w:tc>
        <w:tc>
          <w:tcPr>
            <w:tcW w:w="2039" w:type="dxa"/>
            <w:vAlign w:val="center"/>
          </w:tcPr>
          <w:p w14:paraId="7FEC419E" w14:textId="47FEAA4A" w:rsidR="002E2353" w:rsidRPr="00574D06" w:rsidRDefault="00D54047" w:rsidP="00574D06">
            <w:pPr>
              <w:ind w:left="0"/>
              <w:jc w:val="center"/>
              <w:rPr>
                <w:sz w:val="20"/>
              </w:rPr>
            </w:pPr>
            <w:r>
              <w:rPr>
                <w:sz w:val="20"/>
              </w:rPr>
              <w:t>346 081 068</w:t>
            </w:r>
          </w:p>
        </w:tc>
      </w:tr>
      <w:tr w:rsidR="002E2353" w14:paraId="22E66E0E" w14:textId="77777777" w:rsidTr="007C1063">
        <w:trPr>
          <w:trHeight w:val="284"/>
          <w:jc w:val="center"/>
        </w:trPr>
        <w:tc>
          <w:tcPr>
            <w:tcW w:w="4913" w:type="dxa"/>
            <w:vMerge/>
            <w:vAlign w:val="center"/>
          </w:tcPr>
          <w:p w14:paraId="462A95E6" w14:textId="77777777" w:rsidR="002E2353" w:rsidRPr="00D479A4" w:rsidRDefault="002E2353" w:rsidP="007C1063">
            <w:pPr>
              <w:rPr>
                <w:sz w:val="20"/>
                <w:szCs w:val="20"/>
              </w:rPr>
            </w:pPr>
          </w:p>
        </w:tc>
        <w:tc>
          <w:tcPr>
            <w:tcW w:w="2120" w:type="dxa"/>
            <w:vAlign w:val="center"/>
          </w:tcPr>
          <w:p w14:paraId="6AC57CCE" w14:textId="77777777" w:rsidR="002E2353" w:rsidRPr="002E2353" w:rsidRDefault="002E2353" w:rsidP="002E2353">
            <w:pPr>
              <w:ind w:left="0"/>
              <w:jc w:val="center"/>
              <w:rPr>
                <w:sz w:val="20"/>
                <w:szCs w:val="20"/>
              </w:rPr>
            </w:pPr>
            <w:r w:rsidRPr="002E2353">
              <w:rPr>
                <w:sz w:val="20"/>
                <w:szCs w:val="20"/>
              </w:rPr>
              <w:t>044</w:t>
            </w:r>
          </w:p>
        </w:tc>
        <w:tc>
          <w:tcPr>
            <w:tcW w:w="2039" w:type="dxa"/>
            <w:vAlign w:val="center"/>
          </w:tcPr>
          <w:p w14:paraId="3551EC63" w14:textId="77777777" w:rsidR="002E2353" w:rsidRPr="00574D06" w:rsidRDefault="002E2353" w:rsidP="00574D06">
            <w:pPr>
              <w:ind w:left="0"/>
              <w:jc w:val="center"/>
              <w:rPr>
                <w:sz w:val="20"/>
              </w:rPr>
            </w:pPr>
            <w:r w:rsidRPr="00574D06">
              <w:rPr>
                <w:sz w:val="20"/>
              </w:rPr>
              <w:t>10 000 000</w:t>
            </w:r>
          </w:p>
        </w:tc>
      </w:tr>
    </w:tbl>
    <w:p w14:paraId="7D18CBA0" w14:textId="77777777" w:rsidR="00E42497" w:rsidRPr="006579CE" w:rsidRDefault="00E42497" w:rsidP="00C53320">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6EA1ACC7" w14:textId="77777777" w:rsidTr="007C1063">
        <w:trPr>
          <w:trHeight w:val="255"/>
          <w:jc w:val="center"/>
        </w:trPr>
        <w:tc>
          <w:tcPr>
            <w:tcW w:w="9098" w:type="dxa"/>
            <w:gridSpan w:val="3"/>
            <w:shd w:val="clear" w:color="auto" w:fill="DBE5F1" w:themeFill="accent1" w:themeFillTint="33"/>
            <w:vAlign w:val="center"/>
          </w:tcPr>
          <w:p w14:paraId="3B48B056" w14:textId="77777777" w:rsidR="00E42497" w:rsidRPr="00304255" w:rsidRDefault="00E42497" w:rsidP="007C1063">
            <w:pPr>
              <w:pStyle w:val="Default"/>
              <w:autoSpaceDE/>
              <w:autoSpaceDN/>
              <w:adjustRightInd/>
              <w:ind w:left="0"/>
              <w:rPr>
                <w:sz w:val="20"/>
                <w:szCs w:val="20"/>
              </w:rPr>
            </w:pPr>
            <w:r w:rsidRPr="00304255">
              <w:rPr>
                <w:b/>
                <w:bCs/>
                <w:sz w:val="20"/>
                <w:szCs w:val="20"/>
              </w:rPr>
              <w:t xml:space="preserve">Rozmer 2 – Forma financovania </w:t>
            </w:r>
          </w:p>
        </w:tc>
      </w:tr>
      <w:tr w:rsidR="00E42497" w14:paraId="65B183F0" w14:textId="77777777" w:rsidTr="007C1063">
        <w:trPr>
          <w:trHeight w:val="255"/>
          <w:jc w:val="center"/>
        </w:trPr>
        <w:tc>
          <w:tcPr>
            <w:tcW w:w="4928" w:type="dxa"/>
            <w:shd w:val="clear" w:color="auto" w:fill="DBE5F1" w:themeFill="accent1" w:themeFillTint="33"/>
            <w:vAlign w:val="center"/>
          </w:tcPr>
          <w:p w14:paraId="4B6E50D1" w14:textId="77777777"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70" w:type="dxa"/>
            <w:gridSpan w:val="2"/>
            <w:shd w:val="clear" w:color="auto" w:fill="DBE5F1" w:themeFill="accent1" w:themeFillTint="33"/>
            <w:vAlign w:val="center"/>
          </w:tcPr>
          <w:p w14:paraId="621F4BF3" w14:textId="77777777" w:rsidR="00E42497" w:rsidRPr="00304255" w:rsidRDefault="002E2353" w:rsidP="007C1063">
            <w:pPr>
              <w:pStyle w:val="Default"/>
              <w:autoSpaceDE/>
              <w:autoSpaceDN/>
              <w:adjustRightInd/>
              <w:ind w:left="0"/>
              <w:rPr>
                <w:bCs/>
                <w:sz w:val="20"/>
                <w:szCs w:val="20"/>
              </w:rPr>
            </w:pPr>
            <w:r>
              <w:rPr>
                <w:bCs/>
                <w:sz w:val="20"/>
                <w:szCs w:val="20"/>
              </w:rPr>
              <w:t>EFRR</w:t>
            </w:r>
          </w:p>
        </w:tc>
      </w:tr>
      <w:tr w:rsidR="00E42497" w14:paraId="1F15AD6B" w14:textId="77777777" w:rsidTr="007C1063">
        <w:trPr>
          <w:trHeight w:val="255"/>
          <w:jc w:val="center"/>
        </w:trPr>
        <w:tc>
          <w:tcPr>
            <w:tcW w:w="4928" w:type="dxa"/>
            <w:shd w:val="clear" w:color="auto" w:fill="DBE5F1" w:themeFill="accent1" w:themeFillTint="33"/>
            <w:vAlign w:val="center"/>
          </w:tcPr>
          <w:p w14:paraId="661F8625" w14:textId="77777777" w:rsidR="00E42497" w:rsidRPr="00304255" w:rsidRDefault="00E42497" w:rsidP="007C1063">
            <w:pPr>
              <w:ind w:left="0"/>
              <w:rPr>
                <w:sz w:val="20"/>
                <w:szCs w:val="20"/>
              </w:rPr>
            </w:pPr>
            <w:r w:rsidRPr="00304255">
              <w:rPr>
                <w:b/>
                <w:bCs/>
                <w:color w:val="000000"/>
                <w:sz w:val="20"/>
                <w:szCs w:val="20"/>
              </w:rPr>
              <w:t>Kategória regiónu</w:t>
            </w:r>
          </w:p>
        </w:tc>
        <w:tc>
          <w:tcPr>
            <w:tcW w:w="4170" w:type="dxa"/>
            <w:gridSpan w:val="2"/>
            <w:shd w:val="clear" w:color="auto" w:fill="DBE5F1" w:themeFill="accent1" w:themeFillTint="33"/>
            <w:vAlign w:val="center"/>
          </w:tcPr>
          <w:p w14:paraId="626A3239" w14:textId="77777777" w:rsidR="00E42497" w:rsidRPr="00304255" w:rsidRDefault="002E2353" w:rsidP="007C1063">
            <w:pPr>
              <w:ind w:left="0"/>
              <w:rPr>
                <w:sz w:val="20"/>
                <w:szCs w:val="20"/>
              </w:rPr>
            </w:pPr>
            <w:r>
              <w:rPr>
                <w:sz w:val="20"/>
                <w:szCs w:val="20"/>
              </w:rPr>
              <w:t>Menej rozvinuté regióny</w:t>
            </w:r>
          </w:p>
        </w:tc>
      </w:tr>
      <w:tr w:rsidR="00E42497" w14:paraId="0FA29F06" w14:textId="77777777" w:rsidTr="007C1063">
        <w:trPr>
          <w:trHeight w:val="255"/>
          <w:jc w:val="center"/>
        </w:trPr>
        <w:tc>
          <w:tcPr>
            <w:tcW w:w="4928" w:type="dxa"/>
            <w:vAlign w:val="center"/>
          </w:tcPr>
          <w:p w14:paraId="1DAAAD40" w14:textId="77777777" w:rsidR="00E42497" w:rsidRPr="00304255" w:rsidRDefault="00E42497" w:rsidP="007C1063">
            <w:pPr>
              <w:ind w:left="0"/>
              <w:jc w:val="center"/>
              <w:rPr>
                <w:b/>
                <w:sz w:val="20"/>
                <w:szCs w:val="20"/>
              </w:rPr>
            </w:pPr>
            <w:r w:rsidRPr="00304255">
              <w:rPr>
                <w:b/>
                <w:sz w:val="20"/>
                <w:szCs w:val="20"/>
              </w:rPr>
              <w:t>Prioritná os</w:t>
            </w:r>
          </w:p>
        </w:tc>
        <w:tc>
          <w:tcPr>
            <w:tcW w:w="2126" w:type="dxa"/>
            <w:vAlign w:val="center"/>
          </w:tcPr>
          <w:p w14:paraId="37C53FC0" w14:textId="77777777" w:rsidR="00E42497" w:rsidRPr="00304255" w:rsidRDefault="00E42497" w:rsidP="007C1063">
            <w:pPr>
              <w:ind w:left="0"/>
              <w:jc w:val="center"/>
              <w:rPr>
                <w:b/>
                <w:sz w:val="20"/>
                <w:szCs w:val="20"/>
              </w:rPr>
            </w:pPr>
            <w:r w:rsidRPr="00304255">
              <w:rPr>
                <w:b/>
                <w:sz w:val="20"/>
                <w:szCs w:val="20"/>
              </w:rPr>
              <w:t>Kód</w:t>
            </w:r>
          </w:p>
        </w:tc>
        <w:tc>
          <w:tcPr>
            <w:tcW w:w="2044" w:type="dxa"/>
            <w:vAlign w:val="center"/>
          </w:tcPr>
          <w:p w14:paraId="252B77E0" w14:textId="77777777" w:rsidR="00E42497" w:rsidRPr="00304255" w:rsidRDefault="00E42497" w:rsidP="007C1063">
            <w:pPr>
              <w:ind w:left="0"/>
              <w:jc w:val="center"/>
              <w:rPr>
                <w:b/>
                <w:sz w:val="20"/>
                <w:szCs w:val="20"/>
              </w:rPr>
            </w:pPr>
            <w:r w:rsidRPr="00304255">
              <w:rPr>
                <w:b/>
                <w:sz w:val="20"/>
                <w:szCs w:val="20"/>
              </w:rPr>
              <w:t>Suma (v EUR)</w:t>
            </w:r>
          </w:p>
        </w:tc>
      </w:tr>
      <w:tr w:rsidR="00E42497" w14:paraId="63103F1F" w14:textId="77777777" w:rsidTr="007C1063">
        <w:trPr>
          <w:trHeight w:val="255"/>
          <w:jc w:val="center"/>
        </w:trPr>
        <w:tc>
          <w:tcPr>
            <w:tcW w:w="4928" w:type="dxa"/>
            <w:vMerge w:val="restart"/>
            <w:vAlign w:val="center"/>
          </w:tcPr>
          <w:p w14:paraId="6CBB6A11" w14:textId="77777777"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6" w:type="dxa"/>
            <w:vAlign w:val="center"/>
          </w:tcPr>
          <w:p w14:paraId="6CE0F38D" w14:textId="77777777" w:rsidR="00E42497" w:rsidRPr="00304255" w:rsidRDefault="00E42497" w:rsidP="007C1063">
            <w:pPr>
              <w:ind w:left="0"/>
              <w:jc w:val="center"/>
              <w:rPr>
                <w:sz w:val="20"/>
                <w:szCs w:val="20"/>
              </w:rPr>
            </w:pPr>
            <w:r w:rsidRPr="00304255">
              <w:rPr>
                <w:sz w:val="20"/>
                <w:szCs w:val="20"/>
              </w:rPr>
              <w:t>01</w:t>
            </w:r>
          </w:p>
        </w:tc>
        <w:tc>
          <w:tcPr>
            <w:tcW w:w="2044" w:type="dxa"/>
            <w:vAlign w:val="center"/>
          </w:tcPr>
          <w:p w14:paraId="0CEC5F4A" w14:textId="0FD7A683" w:rsidR="00E42497" w:rsidRPr="00304255" w:rsidRDefault="009D2D07" w:rsidP="009D2D07">
            <w:pPr>
              <w:ind w:left="0"/>
              <w:jc w:val="center"/>
              <w:rPr>
                <w:sz w:val="20"/>
                <w:szCs w:val="20"/>
              </w:rPr>
            </w:pPr>
            <w:r>
              <w:rPr>
                <w:sz w:val="20"/>
                <w:szCs w:val="20"/>
              </w:rPr>
              <w:t>776 955 563</w:t>
            </w:r>
          </w:p>
        </w:tc>
      </w:tr>
      <w:tr w:rsidR="00E42497" w14:paraId="1DE3AE2A" w14:textId="77777777" w:rsidTr="007C1063">
        <w:trPr>
          <w:trHeight w:val="255"/>
          <w:jc w:val="center"/>
        </w:trPr>
        <w:tc>
          <w:tcPr>
            <w:tcW w:w="4928" w:type="dxa"/>
            <w:vMerge/>
            <w:vAlign w:val="center"/>
          </w:tcPr>
          <w:p w14:paraId="01526CAB" w14:textId="77777777" w:rsidR="00E42497" w:rsidRPr="00304255" w:rsidRDefault="00E42497" w:rsidP="007C1063">
            <w:pPr>
              <w:ind w:left="0"/>
              <w:rPr>
                <w:sz w:val="20"/>
                <w:szCs w:val="20"/>
              </w:rPr>
            </w:pPr>
          </w:p>
        </w:tc>
        <w:tc>
          <w:tcPr>
            <w:tcW w:w="2126" w:type="dxa"/>
            <w:vAlign w:val="center"/>
          </w:tcPr>
          <w:p w14:paraId="521F9EE2" w14:textId="77777777" w:rsidR="00E42497" w:rsidRPr="00304255" w:rsidRDefault="004A7D1A" w:rsidP="007C1063">
            <w:pPr>
              <w:ind w:left="0"/>
              <w:jc w:val="center"/>
              <w:rPr>
                <w:sz w:val="20"/>
                <w:szCs w:val="20"/>
              </w:rPr>
            </w:pPr>
            <w:r>
              <w:rPr>
                <w:sz w:val="20"/>
                <w:szCs w:val="20"/>
              </w:rPr>
              <w:t>03</w:t>
            </w:r>
          </w:p>
        </w:tc>
        <w:tc>
          <w:tcPr>
            <w:tcW w:w="2044" w:type="dxa"/>
            <w:vAlign w:val="center"/>
          </w:tcPr>
          <w:p w14:paraId="221F17E0" w14:textId="77777777" w:rsidR="00E42497" w:rsidRPr="00304255" w:rsidRDefault="004A7D1A" w:rsidP="007C1063">
            <w:pPr>
              <w:ind w:left="0"/>
              <w:jc w:val="center"/>
              <w:rPr>
                <w:sz w:val="20"/>
                <w:szCs w:val="20"/>
              </w:rPr>
            </w:pPr>
            <w:r>
              <w:rPr>
                <w:sz w:val="20"/>
                <w:szCs w:val="20"/>
              </w:rPr>
              <w:t>27 930 469</w:t>
            </w:r>
          </w:p>
        </w:tc>
      </w:tr>
    </w:tbl>
    <w:p w14:paraId="429D472B" w14:textId="77777777" w:rsidR="00C53320" w:rsidRDefault="00C53320" w:rsidP="00C53320">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2F1F8196" w14:textId="77777777" w:rsidTr="007C1063">
        <w:trPr>
          <w:trHeight w:val="255"/>
          <w:jc w:val="center"/>
        </w:trPr>
        <w:tc>
          <w:tcPr>
            <w:tcW w:w="9072" w:type="dxa"/>
            <w:gridSpan w:val="3"/>
            <w:shd w:val="clear" w:color="auto" w:fill="DBE5F1" w:themeFill="accent1" w:themeFillTint="33"/>
            <w:vAlign w:val="center"/>
          </w:tcPr>
          <w:p w14:paraId="26C00228" w14:textId="77777777" w:rsidR="00E42497" w:rsidRPr="00304255" w:rsidRDefault="00E42497" w:rsidP="007C1063">
            <w:pPr>
              <w:pStyle w:val="Default"/>
              <w:autoSpaceDE/>
              <w:autoSpaceDN/>
              <w:adjustRightInd/>
              <w:ind w:left="0"/>
              <w:rPr>
                <w:sz w:val="20"/>
                <w:szCs w:val="20"/>
              </w:rPr>
            </w:pPr>
            <w:r w:rsidRPr="00304255">
              <w:rPr>
                <w:b/>
                <w:bCs/>
                <w:sz w:val="20"/>
                <w:szCs w:val="20"/>
              </w:rPr>
              <w:t xml:space="preserve">Rozmer 3 – Druh územia </w:t>
            </w:r>
          </w:p>
        </w:tc>
      </w:tr>
      <w:tr w:rsidR="00E42497" w14:paraId="21AC220A" w14:textId="77777777" w:rsidTr="007C1063">
        <w:trPr>
          <w:trHeight w:val="255"/>
          <w:jc w:val="center"/>
        </w:trPr>
        <w:tc>
          <w:tcPr>
            <w:tcW w:w="4913" w:type="dxa"/>
            <w:shd w:val="clear" w:color="auto" w:fill="DBE5F1" w:themeFill="accent1" w:themeFillTint="33"/>
            <w:vAlign w:val="center"/>
          </w:tcPr>
          <w:p w14:paraId="66BB3527" w14:textId="77777777"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36F2F4F5" w14:textId="77777777" w:rsidR="00E42497" w:rsidRPr="00304255" w:rsidRDefault="002E2353" w:rsidP="007C1063">
            <w:pPr>
              <w:pStyle w:val="Default"/>
              <w:autoSpaceDE/>
              <w:autoSpaceDN/>
              <w:adjustRightInd/>
              <w:ind w:left="0"/>
              <w:rPr>
                <w:bCs/>
                <w:sz w:val="20"/>
                <w:szCs w:val="20"/>
              </w:rPr>
            </w:pPr>
            <w:r>
              <w:rPr>
                <w:bCs/>
                <w:sz w:val="20"/>
                <w:szCs w:val="20"/>
              </w:rPr>
              <w:t>EFRR</w:t>
            </w:r>
          </w:p>
        </w:tc>
      </w:tr>
      <w:tr w:rsidR="00E42497" w14:paraId="7A0860EC" w14:textId="77777777" w:rsidTr="007C1063">
        <w:trPr>
          <w:trHeight w:val="255"/>
          <w:jc w:val="center"/>
        </w:trPr>
        <w:tc>
          <w:tcPr>
            <w:tcW w:w="4913" w:type="dxa"/>
            <w:shd w:val="clear" w:color="auto" w:fill="DBE5F1" w:themeFill="accent1" w:themeFillTint="33"/>
            <w:vAlign w:val="center"/>
          </w:tcPr>
          <w:p w14:paraId="63A29499" w14:textId="77777777" w:rsidR="00E42497" w:rsidRPr="00304255" w:rsidRDefault="00E42497" w:rsidP="007C1063">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6F2BAFE9" w14:textId="77777777" w:rsidR="00E42497" w:rsidRPr="00304255" w:rsidRDefault="002E2353" w:rsidP="007C1063">
            <w:pPr>
              <w:ind w:left="0"/>
              <w:rPr>
                <w:sz w:val="20"/>
                <w:szCs w:val="20"/>
              </w:rPr>
            </w:pPr>
            <w:r>
              <w:rPr>
                <w:sz w:val="20"/>
                <w:szCs w:val="20"/>
              </w:rPr>
              <w:t>Menej rozvinuté regióny</w:t>
            </w:r>
          </w:p>
        </w:tc>
      </w:tr>
      <w:tr w:rsidR="00E42497" w14:paraId="1E935985" w14:textId="77777777" w:rsidTr="007C1063">
        <w:trPr>
          <w:trHeight w:val="255"/>
          <w:jc w:val="center"/>
        </w:trPr>
        <w:tc>
          <w:tcPr>
            <w:tcW w:w="4913" w:type="dxa"/>
            <w:vAlign w:val="center"/>
          </w:tcPr>
          <w:p w14:paraId="2E7B3180" w14:textId="77777777" w:rsidR="00E42497" w:rsidRPr="00304255" w:rsidRDefault="00E42497" w:rsidP="007C1063">
            <w:pPr>
              <w:ind w:left="0"/>
              <w:jc w:val="center"/>
              <w:rPr>
                <w:b/>
                <w:sz w:val="20"/>
                <w:szCs w:val="20"/>
              </w:rPr>
            </w:pPr>
            <w:r w:rsidRPr="00304255">
              <w:rPr>
                <w:b/>
                <w:sz w:val="20"/>
                <w:szCs w:val="20"/>
              </w:rPr>
              <w:t>Prioritná os</w:t>
            </w:r>
          </w:p>
        </w:tc>
        <w:tc>
          <w:tcPr>
            <w:tcW w:w="2120" w:type="dxa"/>
            <w:vAlign w:val="center"/>
          </w:tcPr>
          <w:p w14:paraId="4726C767" w14:textId="77777777" w:rsidR="00E42497" w:rsidRPr="00304255" w:rsidRDefault="00E42497" w:rsidP="007C1063">
            <w:pPr>
              <w:ind w:left="0"/>
              <w:jc w:val="center"/>
              <w:rPr>
                <w:b/>
                <w:sz w:val="20"/>
                <w:szCs w:val="20"/>
              </w:rPr>
            </w:pPr>
            <w:r w:rsidRPr="00304255">
              <w:rPr>
                <w:b/>
                <w:sz w:val="20"/>
                <w:szCs w:val="20"/>
              </w:rPr>
              <w:t>Kód</w:t>
            </w:r>
          </w:p>
        </w:tc>
        <w:tc>
          <w:tcPr>
            <w:tcW w:w="2039" w:type="dxa"/>
            <w:vAlign w:val="center"/>
          </w:tcPr>
          <w:p w14:paraId="35BC9455" w14:textId="77777777" w:rsidR="00E42497" w:rsidRPr="00304255" w:rsidRDefault="00E42497" w:rsidP="007C1063">
            <w:pPr>
              <w:ind w:left="0"/>
              <w:jc w:val="center"/>
              <w:rPr>
                <w:b/>
                <w:sz w:val="20"/>
                <w:szCs w:val="20"/>
              </w:rPr>
            </w:pPr>
            <w:r w:rsidRPr="00304255">
              <w:rPr>
                <w:b/>
                <w:sz w:val="20"/>
                <w:szCs w:val="20"/>
              </w:rPr>
              <w:t>Suma (v EUR)</w:t>
            </w:r>
          </w:p>
        </w:tc>
      </w:tr>
      <w:tr w:rsidR="00E42497" w14:paraId="6913F103" w14:textId="77777777" w:rsidTr="007C1063">
        <w:trPr>
          <w:trHeight w:val="255"/>
          <w:jc w:val="center"/>
        </w:trPr>
        <w:tc>
          <w:tcPr>
            <w:tcW w:w="4913" w:type="dxa"/>
            <w:vAlign w:val="center"/>
          </w:tcPr>
          <w:p w14:paraId="15DE1896" w14:textId="77777777"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0" w:type="dxa"/>
            <w:vAlign w:val="center"/>
          </w:tcPr>
          <w:p w14:paraId="04620119" w14:textId="77777777" w:rsidR="00E42497" w:rsidRPr="00304255" w:rsidRDefault="00E42497" w:rsidP="007C1063">
            <w:pPr>
              <w:ind w:left="0"/>
              <w:jc w:val="center"/>
              <w:rPr>
                <w:sz w:val="20"/>
                <w:szCs w:val="20"/>
              </w:rPr>
            </w:pPr>
            <w:r w:rsidRPr="00304255">
              <w:rPr>
                <w:sz w:val="20"/>
                <w:szCs w:val="20"/>
              </w:rPr>
              <w:t>0</w:t>
            </w:r>
            <w:r>
              <w:rPr>
                <w:sz w:val="20"/>
                <w:szCs w:val="20"/>
              </w:rPr>
              <w:t>7</w:t>
            </w:r>
          </w:p>
        </w:tc>
        <w:tc>
          <w:tcPr>
            <w:tcW w:w="2039" w:type="dxa"/>
            <w:vAlign w:val="center"/>
          </w:tcPr>
          <w:p w14:paraId="3ED0BDF3" w14:textId="5F1BA9F5" w:rsidR="00E42497" w:rsidRPr="00304255" w:rsidRDefault="009D2D07" w:rsidP="009D2D07">
            <w:pPr>
              <w:ind w:left="0"/>
              <w:jc w:val="center"/>
              <w:rPr>
                <w:sz w:val="20"/>
                <w:szCs w:val="20"/>
                <w:lang w:val="en-US"/>
              </w:rPr>
            </w:pPr>
            <w:r>
              <w:rPr>
                <w:sz w:val="20"/>
                <w:szCs w:val="20"/>
              </w:rPr>
              <w:t>804 886 032</w:t>
            </w:r>
          </w:p>
        </w:tc>
      </w:tr>
    </w:tbl>
    <w:p w14:paraId="3D11E2D9" w14:textId="77777777" w:rsidR="00E42497" w:rsidRPr="006579CE" w:rsidRDefault="00E42497" w:rsidP="0015658D">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780A97BA" w14:textId="77777777" w:rsidTr="007C1063">
        <w:trPr>
          <w:trHeight w:val="255"/>
          <w:jc w:val="center"/>
        </w:trPr>
        <w:tc>
          <w:tcPr>
            <w:tcW w:w="9098" w:type="dxa"/>
            <w:gridSpan w:val="3"/>
            <w:shd w:val="clear" w:color="auto" w:fill="DBE5F1" w:themeFill="accent1" w:themeFillTint="33"/>
            <w:vAlign w:val="center"/>
          </w:tcPr>
          <w:p w14:paraId="723861BE" w14:textId="77777777" w:rsidR="00E42497" w:rsidRPr="00304255" w:rsidRDefault="00E42497" w:rsidP="007C1063">
            <w:pPr>
              <w:pStyle w:val="Default"/>
              <w:autoSpaceDE/>
              <w:autoSpaceDN/>
              <w:adjustRightInd/>
              <w:ind w:left="0"/>
              <w:rPr>
                <w:b/>
                <w:bCs/>
                <w:sz w:val="20"/>
                <w:szCs w:val="20"/>
              </w:rPr>
            </w:pPr>
            <w:r w:rsidRPr="00304255">
              <w:rPr>
                <w:b/>
                <w:bCs/>
                <w:sz w:val="20"/>
                <w:szCs w:val="20"/>
              </w:rPr>
              <w:t>Rozmer 4 – Územné mechanizmy realizácie</w:t>
            </w:r>
          </w:p>
        </w:tc>
      </w:tr>
      <w:tr w:rsidR="00E42497" w14:paraId="383D7814" w14:textId="77777777" w:rsidTr="007C1063">
        <w:trPr>
          <w:trHeight w:val="255"/>
          <w:jc w:val="center"/>
        </w:trPr>
        <w:tc>
          <w:tcPr>
            <w:tcW w:w="4928" w:type="dxa"/>
            <w:shd w:val="clear" w:color="auto" w:fill="DBE5F1" w:themeFill="accent1" w:themeFillTint="33"/>
            <w:vAlign w:val="center"/>
          </w:tcPr>
          <w:p w14:paraId="496BB561" w14:textId="77777777"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70" w:type="dxa"/>
            <w:gridSpan w:val="2"/>
            <w:shd w:val="clear" w:color="auto" w:fill="DBE5F1" w:themeFill="accent1" w:themeFillTint="33"/>
            <w:vAlign w:val="center"/>
          </w:tcPr>
          <w:p w14:paraId="441A18FD" w14:textId="77777777" w:rsidR="00E42497" w:rsidRPr="00304255" w:rsidRDefault="002E2353" w:rsidP="007C1063">
            <w:pPr>
              <w:pStyle w:val="Default"/>
              <w:autoSpaceDE/>
              <w:autoSpaceDN/>
              <w:adjustRightInd/>
              <w:ind w:left="0"/>
              <w:rPr>
                <w:bCs/>
                <w:sz w:val="20"/>
                <w:szCs w:val="20"/>
              </w:rPr>
            </w:pPr>
            <w:r>
              <w:rPr>
                <w:bCs/>
                <w:sz w:val="20"/>
                <w:szCs w:val="20"/>
              </w:rPr>
              <w:t>EFRR</w:t>
            </w:r>
          </w:p>
        </w:tc>
      </w:tr>
      <w:tr w:rsidR="00E42497" w14:paraId="55B34C6A" w14:textId="77777777" w:rsidTr="007C1063">
        <w:trPr>
          <w:trHeight w:val="255"/>
          <w:jc w:val="center"/>
        </w:trPr>
        <w:tc>
          <w:tcPr>
            <w:tcW w:w="4928" w:type="dxa"/>
            <w:shd w:val="clear" w:color="auto" w:fill="DBE5F1" w:themeFill="accent1" w:themeFillTint="33"/>
            <w:vAlign w:val="center"/>
          </w:tcPr>
          <w:p w14:paraId="29346CC3" w14:textId="77777777" w:rsidR="00E42497" w:rsidRPr="00304255" w:rsidRDefault="00E42497" w:rsidP="007C1063">
            <w:pPr>
              <w:ind w:left="0"/>
              <w:rPr>
                <w:sz w:val="20"/>
                <w:szCs w:val="20"/>
              </w:rPr>
            </w:pPr>
            <w:r w:rsidRPr="00304255">
              <w:rPr>
                <w:b/>
                <w:bCs/>
                <w:color w:val="000000"/>
                <w:sz w:val="20"/>
                <w:szCs w:val="20"/>
              </w:rPr>
              <w:t>Kategória regiónu</w:t>
            </w:r>
          </w:p>
        </w:tc>
        <w:tc>
          <w:tcPr>
            <w:tcW w:w="4170" w:type="dxa"/>
            <w:gridSpan w:val="2"/>
            <w:shd w:val="clear" w:color="auto" w:fill="DBE5F1" w:themeFill="accent1" w:themeFillTint="33"/>
            <w:vAlign w:val="center"/>
          </w:tcPr>
          <w:p w14:paraId="5B3D31FB" w14:textId="77777777" w:rsidR="00E42497" w:rsidRPr="00304255" w:rsidRDefault="002E2353" w:rsidP="007C1063">
            <w:pPr>
              <w:ind w:left="0"/>
              <w:rPr>
                <w:sz w:val="20"/>
                <w:szCs w:val="20"/>
              </w:rPr>
            </w:pPr>
            <w:r>
              <w:rPr>
                <w:sz w:val="20"/>
                <w:szCs w:val="20"/>
              </w:rPr>
              <w:t>Menej rozvinuté regióny</w:t>
            </w:r>
          </w:p>
        </w:tc>
      </w:tr>
      <w:tr w:rsidR="00E42497" w14:paraId="322B7AED" w14:textId="77777777" w:rsidTr="007C1063">
        <w:trPr>
          <w:trHeight w:val="255"/>
          <w:jc w:val="center"/>
        </w:trPr>
        <w:tc>
          <w:tcPr>
            <w:tcW w:w="4928" w:type="dxa"/>
            <w:vAlign w:val="center"/>
          </w:tcPr>
          <w:p w14:paraId="5A875D5E" w14:textId="77777777" w:rsidR="00E42497" w:rsidRPr="00304255" w:rsidRDefault="00E42497" w:rsidP="007C1063">
            <w:pPr>
              <w:ind w:left="0"/>
              <w:jc w:val="center"/>
              <w:rPr>
                <w:b/>
                <w:sz w:val="20"/>
                <w:szCs w:val="20"/>
              </w:rPr>
            </w:pPr>
            <w:r w:rsidRPr="00304255">
              <w:rPr>
                <w:b/>
                <w:sz w:val="20"/>
                <w:szCs w:val="20"/>
              </w:rPr>
              <w:t>Prioritná os</w:t>
            </w:r>
          </w:p>
        </w:tc>
        <w:tc>
          <w:tcPr>
            <w:tcW w:w="2126" w:type="dxa"/>
            <w:vAlign w:val="center"/>
          </w:tcPr>
          <w:p w14:paraId="1615B758" w14:textId="77777777" w:rsidR="00E42497" w:rsidRPr="00304255" w:rsidRDefault="00E42497" w:rsidP="007C1063">
            <w:pPr>
              <w:ind w:left="0"/>
              <w:jc w:val="center"/>
              <w:rPr>
                <w:b/>
                <w:sz w:val="20"/>
                <w:szCs w:val="20"/>
              </w:rPr>
            </w:pPr>
            <w:r w:rsidRPr="00304255">
              <w:rPr>
                <w:b/>
                <w:sz w:val="20"/>
                <w:szCs w:val="20"/>
              </w:rPr>
              <w:t>Kód</w:t>
            </w:r>
          </w:p>
        </w:tc>
        <w:tc>
          <w:tcPr>
            <w:tcW w:w="2044" w:type="dxa"/>
            <w:vAlign w:val="center"/>
          </w:tcPr>
          <w:p w14:paraId="5A27566D" w14:textId="77777777" w:rsidR="00E42497" w:rsidRPr="00304255" w:rsidRDefault="00E42497" w:rsidP="007C1063">
            <w:pPr>
              <w:ind w:left="0"/>
              <w:jc w:val="center"/>
              <w:rPr>
                <w:b/>
                <w:sz w:val="20"/>
                <w:szCs w:val="20"/>
              </w:rPr>
            </w:pPr>
            <w:r w:rsidRPr="00304255">
              <w:rPr>
                <w:b/>
                <w:sz w:val="20"/>
                <w:szCs w:val="20"/>
              </w:rPr>
              <w:t>Suma (v EUR)</w:t>
            </w:r>
          </w:p>
        </w:tc>
      </w:tr>
      <w:tr w:rsidR="00E42497" w14:paraId="1DE8258F" w14:textId="77777777" w:rsidTr="007C1063">
        <w:trPr>
          <w:trHeight w:val="255"/>
          <w:jc w:val="center"/>
        </w:trPr>
        <w:tc>
          <w:tcPr>
            <w:tcW w:w="4928" w:type="dxa"/>
            <w:vAlign w:val="center"/>
          </w:tcPr>
          <w:p w14:paraId="49179C15" w14:textId="77777777"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6" w:type="dxa"/>
            <w:vAlign w:val="center"/>
          </w:tcPr>
          <w:p w14:paraId="29CB9E22" w14:textId="77777777" w:rsidR="00E42497" w:rsidRPr="00304255" w:rsidRDefault="00E42497" w:rsidP="007C1063">
            <w:pPr>
              <w:ind w:left="0"/>
              <w:jc w:val="center"/>
              <w:rPr>
                <w:sz w:val="20"/>
                <w:szCs w:val="20"/>
              </w:rPr>
            </w:pPr>
            <w:r w:rsidRPr="00304255">
              <w:rPr>
                <w:sz w:val="20"/>
                <w:szCs w:val="20"/>
              </w:rPr>
              <w:t>0</w:t>
            </w:r>
            <w:r>
              <w:rPr>
                <w:sz w:val="20"/>
                <w:szCs w:val="20"/>
              </w:rPr>
              <w:t>7</w:t>
            </w:r>
          </w:p>
        </w:tc>
        <w:tc>
          <w:tcPr>
            <w:tcW w:w="2044" w:type="dxa"/>
            <w:vAlign w:val="center"/>
          </w:tcPr>
          <w:p w14:paraId="037E434A" w14:textId="435408F3" w:rsidR="00E42497" w:rsidRPr="002E2353" w:rsidRDefault="009D2D07" w:rsidP="009D2D07">
            <w:pPr>
              <w:ind w:left="0"/>
              <w:jc w:val="center"/>
              <w:rPr>
                <w:sz w:val="20"/>
                <w:szCs w:val="20"/>
                <w:lang w:val="en-US"/>
              </w:rPr>
            </w:pPr>
            <w:r>
              <w:rPr>
                <w:sz w:val="20"/>
                <w:szCs w:val="20"/>
              </w:rPr>
              <w:t>804 886 032</w:t>
            </w:r>
          </w:p>
        </w:tc>
      </w:tr>
    </w:tbl>
    <w:p w14:paraId="6DF590D9" w14:textId="77777777" w:rsidR="00E42497" w:rsidRDefault="00E42497" w:rsidP="002D1E44">
      <w:pPr>
        <w:pStyle w:val="Nadpis3"/>
        <w:tabs>
          <w:tab w:val="clear" w:pos="709"/>
        </w:tabs>
        <w:jc w:val="both"/>
      </w:pPr>
      <w:bookmarkStart w:id="61" w:name="_Toc28951623"/>
      <w:r>
        <w:t>Súhrn plánovaného využitia technickej pomoci vrátane, ak je to vhodné, akcií na posilnenie administratívnej kapacity orgánov zapojených do riadenia a kontroly programu a prijímateľov (ak</w:t>
      </w:r>
      <w:r w:rsidR="00631CDB">
        <w:t> </w:t>
      </w:r>
      <w:r>
        <w:t>je to vhodné)</w:t>
      </w:r>
      <w:bookmarkEnd w:id="61"/>
    </w:p>
    <w:p w14:paraId="00C2D3FD" w14:textId="77777777" w:rsidR="005342FD" w:rsidRDefault="005342FD" w:rsidP="005342FD">
      <w:pPr>
        <w:jc w:val="both"/>
        <w:rPr>
          <w:sz w:val="22"/>
          <w:szCs w:val="22"/>
        </w:rPr>
      </w:pPr>
      <w:r w:rsidRPr="00CF2C83">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4D4B4DD4" w14:textId="77777777" w:rsidR="000767A2" w:rsidRDefault="000767A2" w:rsidP="005342FD">
      <w:pPr>
        <w:keepNext/>
        <w:tabs>
          <w:tab w:val="left" w:pos="709"/>
        </w:tabs>
        <w:spacing w:after="180"/>
        <w:outlineLvl w:val="1"/>
        <w:rPr>
          <w:rFonts w:ascii="Arial Narrow" w:hAnsi="Arial Narrow" w:cs="Arial"/>
          <w:b/>
          <w:bCs/>
          <w:iCs/>
          <w:color w:val="4F81BD" w:themeColor="accent1"/>
          <w:sz w:val="23"/>
          <w:szCs w:val="28"/>
        </w:rPr>
        <w:sectPr w:rsidR="000767A2" w:rsidSect="00D1658B">
          <w:headerReference w:type="default" r:id="rId29"/>
          <w:pgSz w:w="11906" w:h="16838"/>
          <w:pgMar w:top="1418" w:right="1361" w:bottom="1304" w:left="1474" w:header="709" w:footer="709" w:gutter="0"/>
          <w:cols w:space="708"/>
          <w:docGrid w:linePitch="360"/>
        </w:sectPr>
      </w:pPr>
    </w:p>
    <w:p w14:paraId="5CF58B57" w14:textId="77777777" w:rsidR="007F1C63" w:rsidRPr="007F1C63" w:rsidRDefault="007F1C63" w:rsidP="003A2893">
      <w:pPr>
        <w:pStyle w:val="Nadpis2"/>
      </w:pPr>
      <w:bookmarkStart w:id="62" w:name="_Toc28951624"/>
      <w:r w:rsidRPr="007F1C63">
        <w:lastRenderedPageBreak/>
        <w:t xml:space="preserve">PRIORITNÁ OS </w:t>
      </w:r>
      <w:r w:rsidR="00B55F34">
        <w:t>7</w:t>
      </w:r>
      <w:r w:rsidRPr="007F1C63">
        <w:t>:</w:t>
      </w:r>
      <w:r w:rsidR="003C15FD">
        <w:t xml:space="preserve"> </w:t>
      </w:r>
      <w:r w:rsidR="00B55F34">
        <w:t>INFORMAČNÁ SPOLOČNOSŤ</w:t>
      </w:r>
      <w:bookmarkEnd w:id="62"/>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7F1C63" w:rsidRPr="007F1C63" w14:paraId="346A424A" w14:textId="77777777" w:rsidTr="002E1021">
        <w:trPr>
          <w:trHeight w:val="284"/>
          <w:jc w:val="center"/>
        </w:trPr>
        <w:tc>
          <w:tcPr>
            <w:tcW w:w="4404" w:type="dxa"/>
            <w:shd w:val="clear" w:color="auto" w:fill="DBE5F1" w:themeFill="accent1" w:themeFillTint="33"/>
            <w:vAlign w:val="center"/>
          </w:tcPr>
          <w:p w14:paraId="52EF7F4B" w14:textId="77777777" w:rsidR="007F1C63" w:rsidRPr="007F1C63" w:rsidRDefault="007F1C63" w:rsidP="007F1C63">
            <w:pPr>
              <w:ind w:left="0"/>
            </w:pPr>
            <w:r w:rsidRPr="007F1C63">
              <w:rPr>
                <w:b/>
                <w:i/>
                <w:sz w:val="20"/>
                <w:szCs w:val="20"/>
              </w:rPr>
              <w:t>ID prioritnej osi</w:t>
            </w:r>
          </w:p>
        </w:tc>
        <w:tc>
          <w:tcPr>
            <w:tcW w:w="3534" w:type="dxa"/>
            <w:vAlign w:val="center"/>
          </w:tcPr>
          <w:p w14:paraId="48F32F4C" w14:textId="77777777" w:rsidR="007F1C63" w:rsidRPr="007F1C63" w:rsidRDefault="00E041B3" w:rsidP="007F1C63">
            <w:pPr>
              <w:keepNext/>
              <w:tabs>
                <w:tab w:val="left" w:pos="709"/>
              </w:tabs>
              <w:ind w:left="0"/>
              <w:rPr>
                <w:rFonts w:ascii="Arial Narrow" w:hAnsi="Arial Narrow" w:cs="Arial"/>
                <w:b/>
                <w:bCs/>
                <w:iCs/>
                <w:color w:val="4F81BD" w:themeColor="accent1"/>
                <w:sz w:val="23"/>
                <w:szCs w:val="28"/>
              </w:rPr>
            </w:pPr>
            <w:r>
              <w:rPr>
                <w:rFonts w:ascii="Arial Narrow" w:hAnsi="Arial Narrow" w:cs="Arial"/>
                <w:b/>
                <w:bCs/>
                <w:iCs/>
                <w:color w:val="4F81BD" w:themeColor="accent1"/>
                <w:sz w:val="23"/>
                <w:szCs w:val="28"/>
              </w:rPr>
              <w:t>7</w:t>
            </w:r>
          </w:p>
        </w:tc>
      </w:tr>
      <w:tr w:rsidR="007F1C63" w:rsidRPr="007F1C63" w14:paraId="2E8C6F86" w14:textId="77777777" w:rsidTr="002E1021">
        <w:trPr>
          <w:trHeight w:val="284"/>
          <w:jc w:val="center"/>
        </w:trPr>
        <w:tc>
          <w:tcPr>
            <w:tcW w:w="4404" w:type="dxa"/>
            <w:shd w:val="clear" w:color="auto" w:fill="DBE5F1" w:themeFill="accent1" w:themeFillTint="33"/>
            <w:vAlign w:val="center"/>
          </w:tcPr>
          <w:p w14:paraId="6B7DD5E4" w14:textId="77777777" w:rsidR="007F1C63" w:rsidRPr="007F1C63" w:rsidRDefault="007F1C63" w:rsidP="007F1C63">
            <w:pPr>
              <w:keepNext/>
              <w:tabs>
                <w:tab w:val="left" w:pos="709"/>
              </w:tabs>
              <w:ind w:left="0"/>
              <w:rPr>
                <w:b/>
                <w:i/>
                <w:sz w:val="20"/>
                <w:szCs w:val="20"/>
              </w:rPr>
            </w:pPr>
            <w:r w:rsidRPr="007F1C63">
              <w:rPr>
                <w:b/>
                <w:i/>
                <w:sz w:val="20"/>
                <w:szCs w:val="20"/>
              </w:rPr>
              <w:t>Názov prioritnej osi</w:t>
            </w:r>
          </w:p>
        </w:tc>
        <w:tc>
          <w:tcPr>
            <w:tcW w:w="3534" w:type="dxa"/>
            <w:vAlign w:val="center"/>
          </w:tcPr>
          <w:p w14:paraId="558370D5" w14:textId="77777777" w:rsidR="007F1C63" w:rsidRPr="007F1C63" w:rsidRDefault="00B55F34" w:rsidP="007F1C63">
            <w:pPr>
              <w:ind w:left="0"/>
              <w:rPr>
                <w:sz w:val="20"/>
                <w:szCs w:val="20"/>
              </w:rPr>
            </w:pPr>
            <w:r>
              <w:rPr>
                <w:sz w:val="20"/>
                <w:szCs w:val="20"/>
              </w:rPr>
              <w:t>Informačná spoločnosť</w:t>
            </w:r>
          </w:p>
        </w:tc>
      </w:tr>
    </w:tbl>
    <w:p w14:paraId="5C9F40D8" w14:textId="77777777" w:rsidR="007F1C63" w:rsidRPr="007F1C63" w:rsidRDefault="007F1C63" w:rsidP="007F1C63">
      <w:pPr>
        <w:keepNext/>
        <w:tabs>
          <w:tab w:val="left" w:pos="709"/>
        </w:tabs>
        <w:jc w:val="both"/>
        <w:outlineLvl w:val="1"/>
        <w:rPr>
          <w:rFonts w:ascii="Arial Narrow" w:hAnsi="Arial Narrow" w:cs="Arial"/>
          <w:b/>
          <w:bCs/>
          <w:iCs/>
          <w:color w:val="4F81BD" w:themeColor="accent1"/>
          <w:sz w:val="23"/>
          <w:szCs w:val="28"/>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7F1C63" w:rsidRPr="007F1C63" w14:paraId="2F699960" w14:textId="77777777" w:rsidTr="002E1021">
        <w:trPr>
          <w:trHeight w:val="255"/>
          <w:jc w:val="center"/>
        </w:trPr>
        <w:tc>
          <w:tcPr>
            <w:tcW w:w="4396" w:type="dxa"/>
            <w:shd w:val="clear" w:color="auto" w:fill="DBE5F1" w:themeFill="accent1" w:themeFillTint="33"/>
            <w:vAlign w:val="center"/>
          </w:tcPr>
          <w:p w14:paraId="64877E26" w14:textId="77777777" w:rsidR="007F1C63" w:rsidRPr="007F1C63" w:rsidRDefault="007F1C63" w:rsidP="007F1C63">
            <w:pPr>
              <w:ind w:left="0"/>
              <w:rPr>
                <w:b/>
                <w:i/>
                <w:sz w:val="20"/>
                <w:szCs w:val="20"/>
              </w:rPr>
            </w:pPr>
            <w:r w:rsidRPr="007F1C63">
              <w:rPr>
                <w:b/>
                <w:i/>
                <w:sz w:val="20"/>
                <w:szCs w:val="20"/>
              </w:rPr>
              <w:t xml:space="preserve">Celá prioritná os bude realizovaná výhradne prostredníctvom finančných nástrojov </w:t>
            </w:r>
          </w:p>
        </w:tc>
        <w:tc>
          <w:tcPr>
            <w:tcW w:w="3542" w:type="dxa"/>
            <w:vAlign w:val="center"/>
          </w:tcPr>
          <w:p w14:paraId="3CFF7649" w14:textId="77777777" w:rsidR="007F1C63" w:rsidRPr="007F1C63" w:rsidRDefault="007F1C63" w:rsidP="007F1C63">
            <w:pPr>
              <w:ind w:left="0"/>
              <w:rPr>
                <w:sz w:val="20"/>
                <w:szCs w:val="20"/>
              </w:rPr>
            </w:pPr>
            <w:r w:rsidRPr="007F1C63">
              <w:rPr>
                <w:sz w:val="20"/>
                <w:szCs w:val="20"/>
              </w:rPr>
              <w:t>Nie</w:t>
            </w:r>
          </w:p>
        </w:tc>
      </w:tr>
      <w:tr w:rsidR="007F1C63" w:rsidRPr="007F1C63" w14:paraId="4EFABCD8" w14:textId="77777777" w:rsidTr="002E1021">
        <w:trPr>
          <w:trHeight w:val="255"/>
          <w:jc w:val="center"/>
        </w:trPr>
        <w:tc>
          <w:tcPr>
            <w:tcW w:w="4396" w:type="dxa"/>
            <w:shd w:val="clear" w:color="auto" w:fill="DBE5F1" w:themeFill="accent1" w:themeFillTint="33"/>
            <w:vAlign w:val="center"/>
          </w:tcPr>
          <w:p w14:paraId="012DBCF7" w14:textId="77777777" w:rsidR="007F1C63" w:rsidRPr="007F1C63" w:rsidRDefault="007F1C63" w:rsidP="007F1C63">
            <w:pPr>
              <w:ind w:left="0"/>
              <w:rPr>
                <w:b/>
                <w:i/>
                <w:sz w:val="20"/>
                <w:szCs w:val="20"/>
              </w:rPr>
            </w:pPr>
            <w:r w:rsidRPr="007F1C63">
              <w:rPr>
                <w:b/>
                <w:i/>
                <w:sz w:val="20"/>
                <w:szCs w:val="20"/>
              </w:rPr>
              <w:t>Celá prioritná os bude realizovaná výhradne prostredníctvom finančných nástrojov vytvorených na úrovni Únie</w:t>
            </w:r>
          </w:p>
        </w:tc>
        <w:tc>
          <w:tcPr>
            <w:tcW w:w="3542" w:type="dxa"/>
            <w:vAlign w:val="center"/>
          </w:tcPr>
          <w:p w14:paraId="52B6EEFA" w14:textId="77777777" w:rsidR="007F1C63" w:rsidRPr="007F1C63" w:rsidRDefault="007F1C63" w:rsidP="007F1C63">
            <w:pPr>
              <w:ind w:left="0"/>
              <w:rPr>
                <w:sz w:val="20"/>
                <w:szCs w:val="20"/>
              </w:rPr>
            </w:pPr>
            <w:r w:rsidRPr="007F1C63">
              <w:rPr>
                <w:sz w:val="20"/>
                <w:szCs w:val="20"/>
              </w:rPr>
              <w:t>Nie</w:t>
            </w:r>
          </w:p>
        </w:tc>
      </w:tr>
      <w:tr w:rsidR="007F1C63" w:rsidRPr="007F1C63" w14:paraId="2D9A639D" w14:textId="77777777" w:rsidTr="002E1021">
        <w:trPr>
          <w:trHeight w:val="70"/>
          <w:jc w:val="center"/>
        </w:trPr>
        <w:tc>
          <w:tcPr>
            <w:tcW w:w="4396" w:type="dxa"/>
            <w:shd w:val="clear" w:color="auto" w:fill="DBE5F1" w:themeFill="accent1" w:themeFillTint="33"/>
            <w:vAlign w:val="center"/>
          </w:tcPr>
          <w:p w14:paraId="042B8F7A" w14:textId="77777777" w:rsidR="007F1C63" w:rsidRPr="007F1C63" w:rsidRDefault="007F1C63" w:rsidP="007F1C63">
            <w:pPr>
              <w:ind w:left="0"/>
              <w:rPr>
                <w:b/>
                <w:i/>
                <w:sz w:val="20"/>
                <w:szCs w:val="20"/>
              </w:rPr>
            </w:pPr>
            <w:r w:rsidRPr="007F1C63">
              <w:rPr>
                <w:b/>
                <w:i/>
                <w:sz w:val="20"/>
                <w:szCs w:val="20"/>
              </w:rPr>
              <w:t>Celá prioritná os bude realizovaná prostredníctvom komunitne vedeného miestneho rozvoja</w:t>
            </w:r>
          </w:p>
        </w:tc>
        <w:tc>
          <w:tcPr>
            <w:tcW w:w="3542" w:type="dxa"/>
            <w:vAlign w:val="center"/>
          </w:tcPr>
          <w:p w14:paraId="162BE91B" w14:textId="77777777" w:rsidR="007F1C63" w:rsidRPr="007F1C63" w:rsidRDefault="007F1C63" w:rsidP="007F1C63">
            <w:pPr>
              <w:ind w:left="0"/>
              <w:rPr>
                <w:sz w:val="20"/>
                <w:szCs w:val="20"/>
              </w:rPr>
            </w:pPr>
            <w:r w:rsidRPr="007F1C63">
              <w:rPr>
                <w:sz w:val="20"/>
                <w:szCs w:val="20"/>
              </w:rPr>
              <w:t>Nie</w:t>
            </w:r>
          </w:p>
        </w:tc>
      </w:tr>
      <w:tr w:rsidR="007F1C63" w:rsidRPr="007F1C63" w14:paraId="4F066733" w14:textId="77777777" w:rsidTr="002E1021">
        <w:trPr>
          <w:jc w:val="center"/>
        </w:trPr>
        <w:tc>
          <w:tcPr>
            <w:tcW w:w="4396" w:type="dxa"/>
            <w:shd w:val="clear" w:color="auto" w:fill="DBE5F1" w:themeFill="accent1" w:themeFillTint="33"/>
          </w:tcPr>
          <w:p w14:paraId="16EC375C" w14:textId="77777777" w:rsidR="007F1C63" w:rsidRPr="007F1C63" w:rsidRDefault="007F1C63" w:rsidP="007F1C63">
            <w:pPr>
              <w:ind w:left="0"/>
              <w:rPr>
                <w:b/>
                <w:i/>
                <w:sz w:val="20"/>
                <w:szCs w:val="20"/>
              </w:rPr>
            </w:pPr>
            <w:r w:rsidRPr="007F1C63">
              <w:rPr>
                <w:b/>
                <w:i/>
                <w:sz w:val="20"/>
                <w:szCs w:val="20"/>
              </w:rPr>
              <w:t>Pre ESF: Celá prioritná os je zameraná na sociálnu inováciu alebo nadnárodnú spoluprácu, alebo oboje</w:t>
            </w:r>
          </w:p>
        </w:tc>
        <w:tc>
          <w:tcPr>
            <w:tcW w:w="3542" w:type="dxa"/>
            <w:vAlign w:val="center"/>
          </w:tcPr>
          <w:p w14:paraId="7F14762C" w14:textId="77777777" w:rsidR="007F1C63" w:rsidRPr="007F1C63" w:rsidRDefault="007F1C63" w:rsidP="007F1C63">
            <w:pPr>
              <w:ind w:left="0"/>
              <w:rPr>
                <w:sz w:val="20"/>
                <w:szCs w:val="20"/>
              </w:rPr>
            </w:pPr>
            <w:r w:rsidRPr="007F1C63">
              <w:rPr>
                <w:sz w:val="20"/>
                <w:szCs w:val="20"/>
              </w:rPr>
              <w:t>N/A</w:t>
            </w:r>
          </w:p>
        </w:tc>
      </w:tr>
    </w:tbl>
    <w:p w14:paraId="43B1FB0D" w14:textId="77777777" w:rsidR="007F1C63" w:rsidRPr="007F1C63" w:rsidRDefault="007F1C63" w:rsidP="000767A2">
      <w:pPr>
        <w:pStyle w:val="Nadpis3"/>
      </w:pPr>
      <w:bookmarkStart w:id="63" w:name="_Toc28951625"/>
      <w:r w:rsidRPr="007F1C63">
        <w:t>Fond, kategória regiónu a základ pre výpočet podpory Únie</w:t>
      </w:r>
      <w:bookmarkEnd w:id="63"/>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7F1C63" w:rsidRPr="007F1C63" w14:paraId="71CC2A49" w14:textId="77777777" w:rsidTr="00C63371">
        <w:trPr>
          <w:trHeight w:val="255"/>
          <w:jc w:val="center"/>
        </w:trPr>
        <w:tc>
          <w:tcPr>
            <w:tcW w:w="4042" w:type="dxa"/>
            <w:shd w:val="clear" w:color="auto" w:fill="DBE5F1" w:themeFill="accent1" w:themeFillTint="33"/>
            <w:vAlign w:val="center"/>
          </w:tcPr>
          <w:p w14:paraId="1DF8EE4D" w14:textId="77777777" w:rsidR="007F1C63" w:rsidRPr="007F1C63" w:rsidRDefault="007F1C63" w:rsidP="007F1C63">
            <w:pPr>
              <w:ind w:left="0"/>
              <w:rPr>
                <w:b/>
                <w:i/>
                <w:sz w:val="20"/>
                <w:szCs w:val="20"/>
              </w:rPr>
            </w:pPr>
            <w:r w:rsidRPr="007F1C63">
              <w:rPr>
                <w:b/>
                <w:i/>
                <w:sz w:val="20"/>
                <w:szCs w:val="20"/>
              </w:rPr>
              <w:t>Fond</w:t>
            </w:r>
          </w:p>
        </w:tc>
        <w:tc>
          <w:tcPr>
            <w:tcW w:w="3361" w:type="dxa"/>
            <w:vAlign w:val="center"/>
          </w:tcPr>
          <w:p w14:paraId="71DACBDF" w14:textId="77777777" w:rsidR="007F1C63" w:rsidRPr="007F1C63" w:rsidRDefault="007F1C63" w:rsidP="007F1C63">
            <w:pPr>
              <w:ind w:left="0"/>
              <w:rPr>
                <w:sz w:val="20"/>
                <w:szCs w:val="20"/>
              </w:rPr>
            </w:pPr>
            <w:r w:rsidRPr="007F1C63">
              <w:rPr>
                <w:sz w:val="20"/>
                <w:szCs w:val="20"/>
              </w:rPr>
              <w:t>EFRR</w:t>
            </w:r>
          </w:p>
        </w:tc>
      </w:tr>
      <w:tr w:rsidR="007F1C63" w:rsidRPr="007F1C63" w14:paraId="72C936BF" w14:textId="77777777" w:rsidTr="00C63371">
        <w:trPr>
          <w:trHeight w:val="255"/>
          <w:jc w:val="center"/>
        </w:trPr>
        <w:tc>
          <w:tcPr>
            <w:tcW w:w="4042" w:type="dxa"/>
            <w:shd w:val="clear" w:color="auto" w:fill="DBE5F1" w:themeFill="accent1" w:themeFillTint="33"/>
            <w:vAlign w:val="center"/>
          </w:tcPr>
          <w:p w14:paraId="407F3186" w14:textId="77777777" w:rsidR="007F1C63" w:rsidRPr="007F1C63" w:rsidRDefault="007F1C63" w:rsidP="007F1C63">
            <w:pPr>
              <w:ind w:left="0"/>
              <w:rPr>
                <w:b/>
                <w:i/>
                <w:sz w:val="20"/>
                <w:szCs w:val="20"/>
              </w:rPr>
            </w:pPr>
            <w:r w:rsidRPr="007F1C63">
              <w:rPr>
                <w:b/>
                <w:i/>
                <w:sz w:val="20"/>
                <w:szCs w:val="20"/>
              </w:rPr>
              <w:t>Kategória regiónu</w:t>
            </w:r>
          </w:p>
        </w:tc>
        <w:tc>
          <w:tcPr>
            <w:tcW w:w="3361" w:type="dxa"/>
            <w:vAlign w:val="center"/>
          </w:tcPr>
          <w:p w14:paraId="6A9BB705" w14:textId="77777777" w:rsidR="007F1C63" w:rsidRPr="007F1C63" w:rsidRDefault="00B55F34" w:rsidP="007F1C63">
            <w:pPr>
              <w:ind w:left="0"/>
              <w:rPr>
                <w:sz w:val="20"/>
                <w:szCs w:val="20"/>
              </w:rPr>
            </w:pPr>
            <w:r>
              <w:rPr>
                <w:sz w:val="20"/>
                <w:szCs w:val="20"/>
              </w:rPr>
              <w:t>Menej rozvinuté regióny</w:t>
            </w:r>
          </w:p>
        </w:tc>
      </w:tr>
      <w:tr w:rsidR="007F1C63" w:rsidRPr="007F1C63" w14:paraId="6F5B4F02" w14:textId="77777777" w:rsidTr="00C63371">
        <w:trPr>
          <w:trHeight w:val="255"/>
          <w:jc w:val="center"/>
        </w:trPr>
        <w:tc>
          <w:tcPr>
            <w:tcW w:w="4042" w:type="dxa"/>
            <w:shd w:val="clear" w:color="auto" w:fill="DBE5F1" w:themeFill="accent1" w:themeFillTint="33"/>
            <w:vAlign w:val="center"/>
          </w:tcPr>
          <w:p w14:paraId="2C4627DD" w14:textId="77777777" w:rsidR="007F1C63" w:rsidRPr="007F1C63" w:rsidRDefault="007F1C63" w:rsidP="007F1C63">
            <w:pPr>
              <w:ind w:left="0"/>
              <w:rPr>
                <w:b/>
                <w:i/>
                <w:sz w:val="20"/>
                <w:szCs w:val="20"/>
              </w:rPr>
            </w:pPr>
            <w:r w:rsidRPr="007F1C63">
              <w:rPr>
                <w:b/>
                <w:i/>
                <w:sz w:val="20"/>
                <w:szCs w:val="20"/>
              </w:rPr>
              <w:t>Základ pre výpočet (celkový príspevok)</w:t>
            </w:r>
          </w:p>
        </w:tc>
        <w:tc>
          <w:tcPr>
            <w:tcW w:w="3361" w:type="dxa"/>
            <w:vAlign w:val="center"/>
          </w:tcPr>
          <w:p w14:paraId="1A74011C" w14:textId="09E8302B" w:rsidR="007F1C63" w:rsidRPr="007F1C63" w:rsidRDefault="009D2D07" w:rsidP="009D2D07">
            <w:pPr>
              <w:ind w:left="0"/>
              <w:rPr>
                <w:sz w:val="20"/>
                <w:szCs w:val="20"/>
                <w:lang w:val="en-US"/>
              </w:rPr>
            </w:pPr>
            <w:r>
              <w:rPr>
                <w:sz w:val="20"/>
                <w:szCs w:val="20"/>
              </w:rPr>
              <w:t>866 988 591</w:t>
            </w:r>
            <w:r w:rsidR="00977694">
              <w:rPr>
                <w:sz w:val="20"/>
                <w:szCs w:val="20"/>
              </w:rPr>
              <w:t xml:space="preserve"> EUR</w:t>
            </w:r>
          </w:p>
        </w:tc>
      </w:tr>
      <w:tr w:rsidR="007F1C63" w:rsidRPr="007F1C63" w14:paraId="260BCA2C" w14:textId="77777777" w:rsidTr="00C63371">
        <w:trPr>
          <w:trHeight w:val="255"/>
          <w:jc w:val="center"/>
        </w:trPr>
        <w:tc>
          <w:tcPr>
            <w:tcW w:w="4042" w:type="dxa"/>
            <w:shd w:val="clear" w:color="auto" w:fill="DBE5F1" w:themeFill="accent1" w:themeFillTint="33"/>
          </w:tcPr>
          <w:p w14:paraId="1CF2F6A4" w14:textId="77777777" w:rsidR="007F1C63" w:rsidRPr="007F1C63" w:rsidRDefault="007F1C63" w:rsidP="007F1C63">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14:paraId="2FECAF3F" w14:textId="77777777" w:rsidR="007F1C63" w:rsidRPr="007F1C63" w:rsidRDefault="007F1C63" w:rsidP="00C63371">
            <w:pPr>
              <w:ind w:left="0"/>
              <w:rPr>
                <w:sz w:val="20"/>
                <w:szCs w:val="20"/>
              </w:rPr>
            </w:pPr>
            <w:r w:rsidRPr="007F1C63">
              <w:rPr>
                <w:sz w:val="20"/>
                <w:szCs w:val="20"/>
              </w:rPr>
              <w:t>N/A</w:t>
            </w:r>
          </w:p>
        </w:tc>
      </w:tr>
    </w:tbl>
    <w:p w14:paraId="2D57BBFF" w14:textId="77777777" w:rsidR="00E92F9B" w:rsidRDefault="007F1C63" w:rsidP="002D1E44">
      <w:pPr>
        <w:pStyle w:val="Nadpis3"/>
        <w:tabs>
          <w:tab w:val="clear" w:pos="709"/>
          <w:tab w:val="clear" w:pos="851"/>
        </w:tabs>
        <w:jc w:val="both"/>
      </w:pPr>
      <w:bookmarkStart w:id="64" w:name="_Toc28951626"/>
      <w:r w:rsidRPr="007F1C63">
        <w:t xml:space="preserve">INVESTIČNÁ PRIORITA </w:t>
      </w:r>
      <w:r w:rsidR="00D90E59">
        <w:t>2</w:t>
      </w:r>
      <w:r w:rsidRPr="007F1C63">
        <w:t xml:space="preserve">a): </w:t>
      </w:r>
      <w:r w:rsidR="00B55F34" w:rsidRPr="00B55F34">
        <w:t>Rozšírenie širokopásmového pripojenia a zavádzanie vy</w:t>
      </w:r>
      <w:r w:rsidR="002E6EFE">
        <w:t>sokorýchlostných sietí a podpory</w:t>
      </w:r>
      <w:r w:rsidR="00B55F34" w:rsidRPr="00B55F34">
        <w:t xml:space="preserve"> zavádzania nastupujúcich technológií a sietí pre digitálne hospodárstvo</w:t>
      </w:r>
      <w:bookmarkEnd w:id="64"/>
    </w:p>
    <w:p w14:paraId="19D40074" w14:textId="20CB6638" w:rsidR="009E0158" w:rsidRPr="002169F8" w:rsidRDefault="007F1C63" w:rsidP="002169F8">
      <w:pPr>
        <w:pStyle w:val="Nadpis4"/>
        <w:numPr>
          <w:ilvl w:val="3"/>
          <w:numId w:val="103"/>
        </w:numPr>
      </w:pPr>
      <w:r w:rsidRPr="002169F8">
        <w:t>Špecifické ciele investičnej priority a očakávané výsledky</w:t>
      </w:r>
    </w:p>
    <w:p w14:paraId="75221B4F" w14:textId="77777777" w:rsidR="007F1C63" w:rsidRPr="007F1C63" w:rsidRDefault="007F1C63" w:rsidP="002E1021">
      <w:pPr>
        <w:shd w:val="clear" w:color="auto" w:fill="FFFFCC"/>
        <w:jc w:val="both"/>
        <w:rPr>
          <w:b/>
          <w:i/>
        </w:rPr>
      </w:pPr>
      <w:r w:rsidRPr="007F1C63">
        <w:rPr>
          <w:i/>
        </w:rPr>
        <w:t xml:space="preserve">ŠPECIFICKÝ CIEĽ </w:t>
      </w:r>
      <w:r w:rsidR="002D5849">
        <w:rPr>
          <w:i/>
        </w:rPr>
        <w:t>7</w:t>
      </w:r>
      <w:r w:rsidRPr="007F1C63">
        <w:rPr>
          <w:i/>
        </w:rPr>
        <w:t xml:space="preserve">.1: </w:t>
      </w:r>
      <w:r w:rsidR="001218A8" w:rsidRPr="001218A8">
        <w:rPr>
          <w:b/>
          <w:i/>
        </w:rPr>
        <w:t>Zvýšenie pokrytia širokopásmovým internetom / NGN</w:t>
      </w:r>
    </w:p>
    <w:p w14:paraId="387E963E" w14:textId="77777777" w:rsidR="002D5849" w:rsidRPr="002D5849" w:rsidRDefault="001218A8" w:rsidP="002D5849">
      <w:pPr>
        <w:spacing w:before="180"/>
        <w:jc w:val="both"/>
        <w:rPr>
          <w:rFonts w:ascii="Arial Narrow" w:hAnsi="Arial Narrow"/>
          <w:b/>
          <w:i/>
          <w:color w:val="548DD4" w:themeColor="text2" w:themeTint="99"/>
          <w:sz w:val="22"/>
          <w:szCs w:val="22"/>
        </w:rPr>
      </w:pPr>
      <w:r w:rsidRPr="001218A8">
        <w:rPr>
          <w:rFonts w:ascii="Arial Narrow" w:hAnsi="Arial Narrow"/>
          <w:b/>
          <w:i/>
          <w:color w:val="548DD4" w:themeColor="text2" w:themeTint="99"/>
          <w:sz w:val="22"/>
          <w:szCs w:val="22"/>
        </w:rPr>
        <w:t>Opis východiskovej situácie</w:t>
      </w:r>
    </w:p>
    <w:p w14:paraId="687ABF8E" w14:textId="77777777" w:rsidR="00B107A1" w:rsidRDefault="00B107A1" w:rsidP="00B107A1">
      <w:pPr>
        <w:spacing w:before="180"/>
        <w:jc w:val="both"/>
        <w:rPr>
          <w:sz w:val="22"/>
          <w:szCs w:val="22"/>
        </w:rPr>
      </w:pPr>
      <w:r w:rsidRPr="007E33A1">
        <w:rPr>
          <w:sz w:val="22"/>
          <w:szCs w:val="22"/>
        </w:rPr>
        <w:t>Penetrácia pevného širokopásmového pripojenia v SR počas dvo</w:t>
      </w:r>
      <w:r>
        <w:rPr>
          <w:sz w:val="22"/>
          <w:szCs w:val="22"/>
        </w:rPr>
        <w:t>ch posledných rokov vzrástla zo </w:t>
      </w:r>
      <w:r w:rsidRPr="007E33A1">
        <w:rPr>
          <w:sz w:val="22"/>
          <w:szCs w:val="22"/>
        </w:rPr>
        <w:t>17.8% v januári 2012 na 20.7% v januári 2014, čo je však stále men</w:t>
      </w:r>
      <w:r>
        <w:rPr>
          <w:sz w:val="22"/>
          <w:szCs w:val="22"/>
        </w:rPr>
        <w:t>ej ako je priemer EÚ (29.9%). V </w:t>
      </w:r>
      <w:r w:rsidRPr="007E33A1">
        <w:rPr>
          <w:sz w:val="22"/>
          <w:szCs w:val="22"/>
        </w:rPr>
        <w:t>januári 2014 55,5% pripojení bolo s rýchlosťou medzi 2 Mb</w:t>
      </w:r>
      <w:r>
        <w:rPr>
          <w:sz w:val="22"/>
          <w:szCs w:val="22"/>
        </w:rPr>
        <w:t>it/s a 10 Mbit/s. Podiel NGN na </w:t>
      </w:r>
      <w:r w:rsidRPr="007E33A1">
        <w:rPr>
          <w:sz w:val="22"/>
          <w:szCs w:val="22"/>
        </w:rPr>
        <w:t>celkovom pokrytí širokopásmovým internetom dosiahol v januári 2014 29% , čo je nad priemerom EÚ (26%).</w:t>
      </w:r>
    </w:p>
    <w:p w14:paraId="48139BF4" w14:textId="77777777" w:rsidR="00B107A1" w:rsidRDefault="00B107A1" w:rsidP="00B107A1">
      <w:pPr>
        <w:spacing w:before="180"/>
        <w:jc w:val="both"/>
        <w:rPr>
          <w:sz w:val="22"/>
          <w:szCs w:val="22"/>
        </w:rPr>
      </w:pPr>
      <w:r w:rsidRPr="002D5849">
        <w:rPr>
          <w:sz w:val="22"/>
          <w:szCs w:val="22"/>
        </w:rPr>
        <w:t>Základným rámcom pr</w:t>
      </w:r>
      <w:r>
        <w:rPr>
          <w:sz w:val="22"/>
          <w:szCs w:val="22"/>
        </w:rPr>
        <w:t>i zavádzaní</w:t>
      </w:r>
      <w:r w:rsidRPr="002D5849">
        <w:rPr>
          <w:sz w:val="22"/>
          <w:szCs w:val="22"/>
        </w:rPr>
        <w:t xml:space="preserve"> a používaní širokopásmového pripojenia je splnenie cieľa Digitálnej agendy pre Európu 100% pokrytia vysokorýchlostným internetom nad 30 Mbit/s a vytvorenie podmienok pre dosiahnutie cieľa</w:t>
      </w:r>
      <w:r>
        <w:rPr>
          <w:sz w:val="22"/>
          <w:szCs w:val="22"/>
        </w:rPr>
        <w:t>, aby 50% alebo viac európskych domácností malo internetové pripojenie rýchlejšie ako 100 Mbit/s.</w:t>
      </w:r>
      <w:r w:rsidRPr="002D5849">
        <w:rPr>
          <w:sz w:val="22"/>
          <w:szCs w:val="22"/>
        </w:rPr>
        <w:t xml:space="preserve"> </w:t>
      </w:r>
      <w:r>
        <w:rPr>
          <w:sz w:val="22"/>
          <w:szCs w:val="22"/>
        </w:rPr>
        <w:t>Na tento rámec bude nadväzovať splnenie cieľov oznámenia Komisie Európskemu parlamentu, Rade, Európskemu hospodárskemu a sociálnemu výboru a Výboru regiónov – Pripojenie pre konkurencieschopný jednotný digitálny trh – smerom k európskej gigabitovej spoločnosti.</w:t>
      </w:r>
    </w:p>
    <w:p w14:paraId="3352B2AA" w14:textId="77777777" w:rsidR="00B107A1" w:rsidRPr="001347CC" w:rsidRDefault="00B107A1" w:rsidP="00B107A1">
      <w:pPr>
        <w:spacing w:before="180"/>
        <w:jc w:val="both"/>
        <w:rPr>
          <w:sz w:val="22"/>
        </w:rPr>
      </w:pPr>
      <w:r w:rsidRPr="002D5849">
        <w:rPr>
          <w:sz w:val="22"/>
          <w:szCs w:val="22"/>
        </w:rPr>
        <w:t>Jednou z aktivít pre zabezpečenie pokrytia širokopásmovým internetom boli opatrenia prioritnej osi 3 Operačného programu Informatizácie spoločnosti (OPIS PO3) smerované na pokrývanie bielych a šedých miest. Opatrenia tejto prioritnej osi sa však nepodarilo úspešne zrealizovať (iba v rozsahu prípravy projektovej dokumentácie).</w:t>
      </w:r>
      <w:r>
        <w:rPr>
          <w:sz w:val="22"/>
          <w:szCs w:val="22"/>
        </w:rPr>
        <w:t xml:space="preserve"> Aktivity tohto špecifického cieľa budú nadväzovať na projektovo inžiniersku dokumentáciu vytvorenú v rámci OPIS PO3, ak relevantné. </w:t>
      </w:r>
      <w:r w:rsidRPr="001347CC">
        <w:rPr>
          <w:sz w:val="22"/>
        </w:rPr>
        <w:t>Podpornými aktivitami</w:t>
      </w:r>
      <w:r>
        <w:rPr>
          <w:sz w:val="22"/>
        </w:rPr>
        <w:t>,</w:t>
      </w:r>
      <w:r w:rsidRPr="001347CC">
        <w:rPr>
          <w:sz w:val="22"/>
        </w:rPr>
        <w:t xml:space="preserve"> ktoré predchádzajú napĺňaniu špecifického cieľa</w:t>
      </w:r>
      <w:r>
        <w:rPr>
          <w:sz w:val="22"/>
        </w:rPr>
        <w:t>,</w:t>
      </w:r>
      <w:r w:rsidRPr="001347CC">
        <w:rPr>
          <w:sz w:val="22"/>
        </w:rPr>
        <w:t xml:space="preserve"> budú aktivity zamerané na meranie</w:t>
      </w:r>
      <w:r>
        <w:rPr>
          <w:sz w:val="22"/>
        </w:rPr>
        <w:t xml:space="preserve"> a</w:t>
      </w:r>
      <w:r w:rsidRPr="001347CC">
        <w:rPr>
          <w:sz w:val="22"/>
        </w:rPr>
        <w:t xml:space="preserve"> monitor</w:t>
      </w:r>
      <w:r>
        <w:rPr>
          <w:sz w:val="22"/>
        </w:rPr>
        <w:t>ovanie</w:t>
      </w:r>
      <w:r w:rsidRPr="001347CC">
        <w:rPr>
          <w:sz w:val="22"/>
        </w:rPr>
        <w:t xml:space="preserve"> pokrytia oblasti SR širokopásmovým internetom.</w:t>
      </w:r>
    </w:p>
    <w:p w14:paraId="069CE121" w14:textId="77777777" w:rsidR="00B107A1" w:rsidRPr="002D5849" w:rsidRDefault="00B107A1" w:rsidP="00B107A1">
      <w:pPr>
        <w:spacing w:before="180"/>
        <w:jc w:val="both"/>
        <w:rPr>
          <w:sz w:val="22"/>
          <w:szCs w:val="22"/>
        </w:rPr>
      </w:pPr>
      <w:r w:rsidRPr="002D5849">
        <w:rPr>
          <w:sz w:val="22"/>
          <w:szCs w:val="22"/>
        </w:rPr>
        <w:t xml:space="preserve">Pre úplné splnenie cieľa širokopásmového pripojenia o rýchlosti minimálne 30 Mbit/s pre všetkých </w:t>
      </w:r>
      <w:r>
        <w:rPr>
          <w:sz w:val="22"/>
          <w:szCs w:val="22"/>
        </w:rPr>
        <w:t>sa sústredíme</w:t>
      </w:r>
      <w:r w:rsidRPr="002D5849">
        <w:rPr>
          <w:sz w:val="22"/>
          <w:szCs w:val="22"/>
        </w:rPr>
        <w:t xml:space="preserve"> na pokrývanie bielych miest, bez dostupnosti takéhoto pripojenia za bežných cenových podmienok. </w:t>
      </w:r>
      <w:r>
        <w:rPr>
          <w:sz w:val="22"/>
          <w:szCs w:val="22"/>
        </w:rPr>
        <w:t xml:space="preserve">Jednou z </w:t>
      </w:r>
      <w:r w:rsidRPr="002D5849">
        <w:rPr>
          <w:sz w:val="22"/>
          <w:szCs w:val="22"/>
        </w:rPr>
        <w:t>prior</w:t>
      </w:r>
      <w:r>
        <w:rPr>
          <w:sz w:val="22"/>
          <w:szCs w:val="22"/>
        </w:rPr>
        <w:t>í</w:t>
      </w:r>
      <w:r w:rsidRPr="002D5849">
        <w:rPr>
          <w:sz w:val="22"/>
          <w:szCs w:val="22"/>
        </w:rPr>
        <w:t xml:space="preserve">t sú </w:t>
      </w:r>
      <w:r>
        <w:rPr>
          <w:sz w:val="22"/>
          <w:szCs w:val="22"/>
        </w:rPr>
        <w:t xml:space="preserve">aj </w:t>
      </w:r>
      <w:r w:rsidRPr="002D5849">
        <w:rPr>
          <w:sz w:val="22"/>
          <w:szCs w:val="22"/>
        </w:rPr>
        <w:t>šedé miesta, v ktorých už je širokopásmové pripojenie v súčasnosti poskytované, ale nie v dostatočne konkurenčnom prostredí alebo v uspokojivej kvalite</w:t>
      </w:r>
      <w:r>
        <w:rPr>
          <w:sz w:val="22"/>
          <w:szCs w:val="22"/>
        </w:rPr>
        <w:t xml:space="preserve">. Po naplnení </w:t>
      </w:r>
      <w:r>
        <w:rPr>
          <w:sz w:val="22"/>
          <w:szCs w:val="22"/>
        </w:rPr>
        <w:lastRenderedPageBreak/>
        <w:t>tohto cieľa plánujeme pokračovať zásadnou zmenou (step change) s cieľom 100 Mbit/s pre všetkých s možnosťou aktualizácie siete až na 1Gbit/s. Vyhláseniu výziev/ vyzvaní bude predchádzať nové mapovanie bielych miest. Následne budú vyhlásené dopytové výzvy pre telekomunikačné podniky alebo obce. V prípade neúspešnosti výziev môže SO pristúpiť k vyhláseniu vyzvania národného projektu. Kritériá na vyhodnotenie výziev budú vytvorené s cieľom pokrytia čo najväčšieho počtu bielych miest.</w:t>
      </w:r>
    </w:p>
    <w:p w14:paraId="4B755966" w14:textId="77777777" w:rsidR="00B107A1" w:rsidRDefault="00B107A1" w:rsidP="00B107A1">
      <w:pPr>
        <w:spacing w:before="180"/>
        <w:jc w:val="both"/>
        <w:rPr>
          <w:sz w:val="22"/>
          <w:szCs w:val="22"/>
        </w:rPr>
      </w:pPr>
      <w:r>
        <w:rPr>
          <w:sz w:val="22"/>
          <w:szCs w:val="22"/>
        </w:rPr>
        <w:t xml:space="preserve">Biele, prípadne šedé miesta pokryjeme </w:t>
      </w:r>
      <w:r w:rsidRPr="002D5849">
        <w:rPr>
          <w:sz w:val="22"/>
          <w:szCs w:val="22"/>
        </w:rPr>
        <w:t>budovan</w:t>
      </w:r>
      <w:r>
        <w:rPr>
          <w:sz w:val="22"/>
          <w:szCs w:val="22"/>
        </w:rPr>
        <w:t>ím</w:t>
      </w:r>
      <w:r w:rsidRPr="002D5849">
        <w:rPr>
          <w:sz w:val="22"/>
          <w:szCs w:val="22"/>
        </w:rPr>
        <w:t xml:space="preserve"> regionálnych </w:t>
      </w:r>
      <w:r>
        <w:rPr>
          <w:sz w:val="22"/>
          <w:szCs w:val="22"/>
        </w:rPr>
        <w:t xml:space="preserve">a prístupových </w:t>
      </w:r>
      <w:r w:rsidRPr="002D5849">
        <w:rPr>
          <w:sz w:val="22"/>
          <w:szCs w:val="22"/>
        </w:rPr>
        <w:t xml:space="preserve">sietí na báze optických káblov, </w:t>
      </w:r>
      <w:r w:rsidRPr="00021EE0">
        <w:rPr>
          <w:sz w:val="22"/>
          <w:szCs w:val="22"/>
        </w:rPr>
        <w:t>resp. ekvivalentnej technológie schopnej zabezpečiť požadovanú rýchlosť</w:t>
      </w:r>
      <w:r w:rsidRPr="002D5849">
        <w:rPr>
          <w:sz w:val="22"/>
          <w:szCs w:val="22"/>
        </w:rPr>
        <w:t>. Prenosová kapacita týchto sietí by mala byť dostatočn</w:t>
      </w:r>
      <w:r>
        <w:rPr>
          <w:sz w:val="22"/>
          <w:szCs w:val="22"/>
        </w:rPr>
        <w:t>á</w:t>
      </w:r>
      <w:r w:rsidRPr="002D5849">
        <w:rPr>
          <w:sz w:val="22"/>
          <w:szCs w:val="22"/>
        </w:rPr>
        <w:t>, a to nie len pre zabezpečenie cieľov do roku 2020, ale tiež pre bezproblémové využívanie širokopásmového pripojenia v dlhom období.</w:t>
      </w:r>
      <w:r w:rsidRPr="003566E5">
        <w:rPr>
          <w:sz w:val="22"/>
          <w:szCs w:val="22"/>
        </w:rPr>
        <w:t xml:space="preserve"> Financovanie zabezpečíme zo zdrojov OPII a Programu rozvoja vidieka 2014 – 2020.</w:t>
      </w:r>
    </w:p>
    <w:p w14:paraId="6931AA89" w14:textId="1477EE79" w:rsidR="00B107A1" w:rsidRPr="002D5849" w:rsidRDefault="00B107A1" w:rsidP="00F46B9E">
      <w:pPr>
        <w:spacing w:before="180"/>
        <w:jc w:val="both"/>
        <w:rPr>
          <w:sz w:val="22"/>
          <w:szCs w:val="22"/>
        </w:rPr>
      </w:pPr>
      <w:r w:rsidRPr="002D5849">
        <w:rPr>
          <w:sz w:val="22"/>
          <w:szCs w:val="22"/>
        </w:rPr>
        <w:t xml:space="preserve">Voľba technologickej platformy </w:t>
      </w:r>
      <w:r w:rsidR="00F46B9E">
        <w:rPr>
          <w:sz w:val="22"/>
          <w:szCs w:val="22"/>
        </w:rPr>
        <w:t>... pozri Prílohu 21</w:t>
      </w:r>
      <w:r w:rsidRPr="000E453C">
        <w:rPr>
          <w:sz w:val="22"/>
          <w:szCs w:val="22"/>
        </w:rPr>
        <w:t>.</w:t>
      </w:r>
    </w:p>
    <w:p w14:paraId="42F164AD" w14:textId="77777777" w:rsidR="007F1C63" w:rsidRPr="007F1C63" w:rsidRDefault="007F1C63" w:rsidP="007F1C63">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41B01DFC" w14:textId="394E832E" w:rsidR="009E0158" w:rsidRDefault="001218A8" w:rsidP="002169F8">
      <w:pPr>
        <w:pStyle w:val="Odsekzoznamu"/>
        <w:numPr>
          <w:ilvl w:val="0"/>
          <w:numId w:val="27"/>
        </w:numPr>
        <w:autoSpaceDE w:val="0"/>
        <w:autoSpaceDN w:val="0"/>
        <w:adjustRightInd w:val="0"/>
        <w:jc w:val="both"/>
        <w:rPr>
          <w:snapToGrid w:val="0"/>
          <w:sz w:val="22"/>
          <w:szCs w:val="23"/>
          <w:lang w:eastAsia="cs-CZ"/>
        </w:rPr>
      </w:pPr>
      <w:r w:rsidRPr="001218A8">
        <w:rPr>
          <w:snapToGrid w:val="0"/>
          <w:sz w:val="22"/>
          <w:szCs w:val="23"/>
          <w:lang w:eastAsia="cs-CZ"/>
        </w:rPr>
        <w:t>Zvýšenie pokrytia všetkých domácností širokopásmovým pripojením s rýchlosťou minimálne 30 Mbit/s</w:t>
      </w:r>
      <w:r w:rsidR="005561E8">
        <w:rPr>
          <w:snapToGrid w:val="0"/>
          <w:sz w:val="22"/>
          <w:szCs w:val="23"/>
          <w:lang w:eastAsia="cs-CZ"/>
        </w:rPr>
        <w:t xml:space="preserve"> a</w:t>
      </w:r>
      <w:r w:rsidR="005D2B99">
        <w:rPr>
          <w:snapToGrid w:val="0"/>
          <w:sz w:val="22"/>
          <w:szCs w:val="23"/>
          <w:lang w:eastAsia="cs-CZ"/>
        </w:rPr>
        <w:t xml:space="preserve"> následné </w:t>
      </w:r>
      <w:r w:rsidR="005561E8">
        <w:rPr>
          <w:snapToGrid w:val="0"/>
          <w:sz w:val="22"/>
          <w:szCs w:val="23"/>
          <w:lang w:eastAsia="cs-CZ"/>
        </w:rPr>
        <w:t>pokrytie domácností s rýchlosťou minimálne 100 Mbit/</w:t>
      </w:r>
      <w:r w:rsidR="0036524F">
        <w:rPr>
          <w:snapToGrid w:val="0"/>
          <w:sz w:val="22"/>
          <w:szCs w:val="23"/>
          <w:lang w:eastAsia="cs-CZ"/>
        </w:rPr>
        <w:t>s</w:t>
      </w:r>
      <w:r w:rsidR="00B107A1">
        <w:rPr>
          <w:snapToGrid w:val="0"/>
          <w:sz w:val="22"/>
          <w:szCs w:val="23"/>
          <w:lang w:eastAsia="cs-CZ"/>
        </w:rPr>
        <w:t xml:space="preserve"> s možnosťou aktualizácie siete na rýchlosť minimálne 1Gbit/s</w:t>
      </w:r>
      <w:r w:rsidRPr="001218A8">
        <w:rPr>
          <w:snapToGrid w:val="0"/>
          <w:sz w:val="22"/>
          <w:szCs w:val="23"/>
          <w:lang w:eastAsia="cs-CZ"/>
        </w:rPr>
        <w:t>;</w:t>
      </w:r>
    </w:p>
    <w:p w14:paraId="1C7B1DEC" w14:textId="77777777" w:rsidR="009E0158" w:rsidRDefault="001218A8" w:rsidP="002169F8">
      <w:pPr>
        <w:pStyle w:val="Odsekzoznamu"/>
        <w:numPr>
          <w:ilvl w:val="0"/>
          <w:numId w:val="27"/>
        </w:numPr>
        <w:autoSpaceDE w:val="0"/>
        <w:autoSpaceDN w:val="0"/>
        <w:adjustRightInd w:val="0"/>
        <w:jc w:val="both"/>
        <w:rPr>
          <w:snapToGrid w:val="0"/>
          <w:sz w:val="22"/>
          <w:szCs w:val="23"/>
          <w:lang w:eastAsia="cs-CZ"/>
        </w:rPr>
      </w:pPr>
      <w:r w:rsidRPr="001218A8">
        <w:rPr>
          <w:snapToGrid w:val="0"/>
          <w:sz w:val="22"/>
          <w:szCs w:val="23"/>
          <w:lang w:eastAsia="cs-CZ"/>
        </w:rPr>
        <w:t>Zvýšenie dopytu po širokopásmovom pripojení s rýchlosťou minimálne 30 Mbit/s, a to ako u občanov, tak aj u podnikateľov a verejných inštitúcií;</w:t>
      </w:r>
    </w:p>
    <w:p w14:paraId="3A37A440" w14:textId="77777777" w:rsidR="009E0158" w:rsidRDefault="001218A8" w:rsidP="002169F8">
      <w:pPr>
        <w:pStyle w:val="Odsekzoznamu"/>
        <w:numPr>
          <w:ilvl w:val="0"/>
          <w:numId w:val="27"/>
        </w:numPr>
        <w:autoSpaceDE w:val="0"/>
        <w:autoSpaceDN w:val="0"/>
        <w:adjustRightInd w:val="0"/>
        <w:jc w:val="both"/>
        <w:rPr>
          <w:snapToGrid w:val="0"/>
          <w:sz w:val="22"/>
          <w:szCs w:val="23"/>
          <w:lang w:eastAsia="cs-CZ"/>
        </w:rPr>
      </w:pPr>
      <w:r w:rsidRPr="001218A8">
        <w:rPr>
          <w:snapToGrid w:val="0"/>
          <w:sz w:val="22"/>
          <w:szCs w:val="23"/>
          <w:lang w:eastAsia="cs-CZ"/>
        </w:rPr>
        <w:t>Zvýšenie nasadenia technologických inovácií v pr</w:t>
      </w:r>
      <w:r w:rsidR="002D1E44">
        <w:rPr>
          <w:snapToGrid w:val="0"/>
          <w:sz w:val="22"/>
          <w:szCs w:val="23"/>
          <w:lang w:eastAsia="cs-CZ"/>
        </w:rPr>
        <w:t>ístupových sieťach (LTE, FTTH a </w:t>
      </w:r>
      <w:r w:rsidRPr="001218A8">
        <w:rPr>
          <w:snapToGrid w:val="0"/>
          <w:sz w:val="22"/>
          <w:szCs w:val="23"/>
          <w:lang w:eastAsia="cs-CZ"/>
        </w:rPr>
        <w:t>podobne)</w:t>
      </w:r>
      <w:r w:rsidR="002D168A">
        <w:rPr>
          <w:snapToGrid w:val="0"/>
          <w:sz w:val="22"/>
          <w:szCs w:val="23"/>
          <w:lang w:eastAsia="cs-CZ"/>
        </w:rPr>
        <w:t>.</w:t>
      </w:r>
    </w:p>
    <w:p w14:paraId="03A509F7" w14:textId="77777777" w:rsidR="00E92F9B" w:rsidRDefault="00BE1DDE">
      <w:pPr>
        <w:pStyle w:val="Tab"/>
      </w:pPr>
      <w:r>
        <w:t xml:space="preserve">Špecifické </w:t>
      </w:r>
      <w:r w:rsidR="007F1C63" w:rsidRPr="007F1C63">
        <w:t>ukazovatele</w:t>
      </w:r>
      <w:r>
        <w:t xml:space="preserve"> výsledkov programu</w:t>
      </w:r>
      <w:r w:rsidR="007F1C63" w:rsidRPr="007F1C63">
        <w:t xml:space="preserve"> zodpovedajúce špecifickému cieľu</w:t>
      </w:r>
      <w:r w:rsidR="00445E30">
        <w:t xml:space="preserve"> 7.1</w:t>
      </w:r>
    </w:p>
    <w:tbl>
      <w:tblPr>
        <w:tblStyle w:val="Mriekatabuky"/>
        <w:tblW w:w="9866" w:type="dxa"/>
        <w:tblLayout w:type="fixed"/>
        <w:tblLook w:val="04A0" w:firstRow="1" w:lastRow="0" w:firstColumn="1" w:lastColumn="0" w:noHBand="0" w:noVBand="1"/>
      </w:tblPr>
      <w:tblGrid>
        <w:gridCol w:w="556"/>
        <w:gridCol w:w="1834"/>
        <w:gridCol w:w="910"/>
        <w:gridCol w:w="994"/>
        <w:gridCol w:w="1330"/>
        <w:gridCol w:w="1301"/>
        <w:gridCol w:w="896"/>
        <w:gridCol w:w="854"/>
        <w:gridCol w:w="1191"/>
      </w:tblGrid>
      <w:tr w:rsidR="002D5849" w:rsidRPr="00B02869" w14:paraId="71C8B4F0" w14:textId="77777777" w:rsidTr="00B80F3A">
        <w:trPr>
          <w:trHeight w:val="454"/>
        </w:trPr>
        <w:tc>
          <w:tcPr>
            <w:tcW w:w="556" w:type="dxa"/>
            <w:shd w:val="clear" w:color="auto" w:fill="C6D9F1" w:themeFill="text2" w:themeFillTint="33"/>
            <w:vAlign w:val="center"/>
          </w:tcPr>
          <w:p w14:paraId="6D7BEC9E" w14:textId="77777777" w:rsidR="002D5849" w:rsidRPr="002D5849" w:rsidRDefault="00BE1DDE" w:rsidP="00D90E59">
            <w:pPr>
              <w:ind w:left="0"/>
              <w:rPr>
                <w:b/>
                <w:sz w:val="18"/>
                <w:szCs w:val="18"/>
              </w:rPr>
            </w:pPr>
            <w:r>
              <w:rPr>
                <w:b/>
                <w:sz w:val="18"/>
                <w:szCs w:val="18"/>
              </w:rPr>
              <w:t>P.</w:t>
            </w:r>
            <w:r w:rsidR="000767A2">
              <w:rPr>
                <w:b/>
                <w:sz w:val="18"/>
                <w:szCs w:val="18"/>
              </w:rPr>
              <w:t xml:space="preserve"> </w:t>
            </w:r>
            <w:r>
              <w:rPr>
                <w:b/>
                <w:sz w:val="18"/>
                <w:szCs w:val="18"/>
              </w:rPr>
              <w:t>č.</w:t>
            </w:r>
          </w:p>
        </w:tc>
        <w:tc>
          <w:tcPr>
            <w:tcW w:w="1834" w:type="dxa"/>
            <w:shd w:val="clear" w:color="auto" w:fill="C6D9F1" w:themeFill="text2" w:themeFillTint="33"/>
            <w:vAlign w:val="center"/>
          </w:tcPr>
          <w:p w14:paraId="463169D3" w14:textId="77777777" w:rsidR="002D5849" w:rsidRPr="002D5849"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14:paraId="70B5AA60" w14:textId="77777777" w:rsidR="002D5849" w:rsidRPr="002D5849"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14:paraId="04562635" w14:textId="77777777" w:rsidR="002D5849" w:rsidRPr="002D5849"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78046025" w14:textId="77777777" w:rsidR="002D5849" w:rsidRPr="002D5849"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5AE961AD" w14:textId="77777777" w:rsidR="002D5849" w:rsidRPr="002D5849"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46551BF7" w14:textId="77777777" w:rsidR="002D5849" w:rsidRDefault="001218A8" w:rsidP="00B80F3A">
            <w:pPr>
              <w:ind w:left="0"/>
              <w:jc w:val="center"/>
              <w:rPr>
                <w:b/>
                <w:sz w:val="18"/>
                <w:szCs w:val="18"/>
              </w:rPr>
            </w:pPr>
            <w:r w:rsidRPr="001218A8">
              <w:rPr>
                <w:b/>
                <w:sz w:val="18"/>
                <w:szCs w:val="18"/>
              </w:rPr>
              <w:t>Cieľová hodnota</w:t>
            </w:r>
          </w:p>
          <w:p w14:paraId="4A1E9EB5" w14:textId="77777777" w:rsidR="002D5849" w:rsidRPr="002D5849" w:rsidRDefault="002D5849" w:rsidP="00B80F3A">
            <w:pPr>
              <w:ind w:left="0"/>
              <w:jc w:val="center"/>
              <w:rPr>
                <w:b/>
                <w:sz w:val="18"/>
                <w:szCs w:val="18"/>
              </w:rPr>
            </w:pPr>
            <w:r>
              <w:rPr>
                <w:b/>
                <w:sz w:val="18"/>
                <w:szCs w:val="18"/>
              </w:rPr>
              <w:t>(2023)</w:t>
            </w:r>
          </w:p>
        </w:tc>
        <w:tc>
          <w:tcPr>
            <w:tcW w:w="854" w:type="dxa"/>
            <w:shd w:val="clear" w:color="auto" w:fill="C6D9F1" w:themeFill="text2" w:themeFillTint="33"/>
            <w:vAlign w:val="center"/>
          </w:tcPr>
          <w:p w14:paraId="13BB66A4" w14:textId="77777777" w:rsidR="002D5849" w:rsidRPr="002D5849" w:rsidRDefault="001218A8" w:rsidP="00B80F3A">
            <w:pPr>
              <w:ind w:left="0"/>
              <w:jc w:val="center"/>
              <w:rPr>
                <w:b/>
                <w:sz w:val="18"/>
                <w:szCs w:val="18"/>
              </w:rPr>
            </w:pPr>
            <w:r w:rsidRPr="001218A8">
              <w:rPr>
                <w:b/>
                <w:sz w:val="18"/>
                <w:szCs w:val="18"/>
              </w:rPr>
              <w:t>Zdroj údajov</w:t>
            </w:r>
          </w:p>
        </w:tc>
        <w:tc>
          <w:tcPr>
            <w:tcW w:w="1191" w:type="dxa"/>
            <w:shd w:val="clear" w:color="auto" w:fill="C6D9F1" w:themeFill="text2" w:themeFillTint="33"/>
            <w:vAlign w:val="center"/>
          </w:tcPr>
          <w:p w14:paraId="175D4FBD" w14:textId="77777777" w:rsidR="002D5849" w:rsidRPr="002D5849" w:rsidRDefault="002D5849" w:rsidP="00B80F3A">
            <w:pPr>
              <w:ind w:left="0"/>
              <w:jc w:val="center"/>
              <w:rPr>
                <w:b/>
                <w:sz w:val="18"/>
                <w:szCs w:val="18"/>
              </w:rPr>
            </w:pPr>
            <w:r>
              <w:rPr>
                <w:b/>
                <w:sz w:val="18"/>
                <w:szCs w:val="18"/>
              </w:rPr>
              <w:t>Frekvencia</w:t>
            </w:r>
            <w:r w:rsidR="001218A8" w:rsidRPr="001218A8">
              <w:rPr>
                <w:b/>
                <w:sz w:val="18"/>
                <w:szCs w:val="18"/>
              </w:rPr>
              <w:t xml:space="preserve"> vykazovania</w:t>
            </w:r>
          </w:p>
        </w:tc>
      </w:tr>
      <w:tr w:rsidR="002D5849" w:rsidRPr="00B02869" w14:paraId="1EFCA651" w14:textId="77777777" w:rsidTr="00B80F3A">
        <w:trPr>
          <w:trHeight w:val="340"/>
        </w:trPr>
        <w:tc>
          <w:tcPr>
            <w:tcW w:w="556" w:type="dxa"/>
            <w:vAlign w:val="center"/>
          </w:tcPr>
          <w:p w14:paraId="3BD24CA1" w14:textId="77777777" w:rsidR="002D5849" w:rsidRPr="00B02869" w:rsidRDefault="002D5849" w:rsidP="00B80F3A">
            <w:pPr>
              <w:ind w:left="0"/>
              <w:rPr>
                <w:sz w:val="18"/>
                <w:szCs w:val="18"/>
              </w:rPr>
            </w:pPr>
            <w:r w:rsidRPr="00B02869">
              <w:rPr>
                <w:sz w:val="18"/>
                <w:szCs w:val="18"/>
              </w:rPr>
              <w:t>1.</w:t>
            </w:r>
          </w:p>
        </w:tc>
        <w:tc>
          <w:tcPr>
            <w:tcW w:w="1834" w:type="dxa"/>
            <w:vAlign w:val="center"/>
          </w:tcPr>
          <w:p w14:paraId="0DD296A1" w14:textId="77777777" w:rsidR="002D5849" w:rsidRPr="00D46C46" w:rsidRDefault="002D5849" w:rsidP="00B80F3A">
            <w:pPr>
              <w:pStyle w:val="18Textvtabulke"/>
              <w:ind w:left="0"/>
            </w:pPr>
            <w:r w:rsidRPr="00C63BEC">
              <w:t>Percento populácie využívajúce mobiln</w:t>
            </w:r>
            <w:r w:rsidR="00B1378F" w:rsidRPr="00C63BEC">
              <w:t>ý</w:t>
            </w:r>
            <w:r w:rsidRPr="00C63BEC">
              <w:t xml:space="preserve"> širokopásmov</w:t>
            </w:r>
            <w:r w:rsidR="00B1378F" w:rsidRPr="00C63BEC">
              <w:t>ý</w:t>
            </w:r>
            <w:r w:rsidRPr="00C63BEC">
              <w:t xml:space="preserve"> </w:t>
            </w:r>
            <w:r w:rsidR="00B1378F" w:rsidRPr="00C63BEC">
              <w:t>prístup</w:t>
            </w:r>
            <w:r w:rsidRPr="00C63BEC">
              <w:t xml:space="preserve"> na internet</w:t>
            </w:r>
          </w:p>
        </w:tc>
        <w:tc>
          <w:tcPr>
            <w:tcW w:w="910" w:type="dxa"/>
            <w:vAlign w:val="center"/>
          </w:tcPr>
          <w:p w14:paraId="62E965AB" w14:textId="77777777" w:rsidR="002D5849" w:rsidRPr="00D46C46" w:rsidRDefault="002D5849" w:rsidP="00B80F3A">
            <w:pPr>
              <w:ind w:left="0"/>
              <w:jc w:val="center"/>
              <w:rPr>
                <w:sz w:val="18"/>
                <w:szCs w:val="18"/>
              </w:rPr>
            </w:pPr>
            <w:r w:rsidRPr="00D46C46">
              <w:rPr>
                <w:sz w:val="18"/>
                <w:szCs w:val="18"/>
              </w:rPr>
              <w:t>%</w:t>
            </w:r>
          </w:p>
        </w:tc>
        <w:tc>
          <w:tcPr>
            <w:tcW w:w="994" w:type="dxa"/>
            <w:vAlign w:val="center"/>
          </w:tcPr>
          <w:p w14:paraId="2EEE4064" w14:textId="77777777" w:rsidR="002D5849" w:rsidRPr="00F22395" w:rsidRDefault="002D5849" w:rsidP="00B80F3A">
            <w:pPr>
              <w:ind w:left="0"/>
              <w:jc w:val="center"/>
              <w:rPr>
                <w:sz w:val="18"/>
                <w:szCs w:val="18"/>
              </w:rPr>
            </w:pPr>
            <w:r w:rsidRPr="006B6BE8">
              <w:rPr>
                <w:sz w:val="18"/>
                <w:szCs w:val="18"/>
              </w:rPr>
              <w:t>Menej rozvinuté regióny</w:t>
            </w:r>
          </w:p>
        </w:tc>
        <w:tc>
          <w:tcPr>
            <w:tcW w:w="1330" w:type="dxa"/>
            <w:vAlign w:val="center"/>
          </w:tcPr>
          <w:p w14:paraId="05290C0E" w14:textId="77777777" w:rsidR="002D5849" w:rsidRPr="00D46C46" w:rsidRDefault="002D5849" w:rsidP="00B80F3A">
            <w:pPr>
              <w:ind w:left="0"/>
              <w:jc w:val="center"/>
              <w:rPr>
                <w:sz w:val="18"/>
                <w:szCs w:val="18"/>
              </w:rPr>
            </w:pPr>
            <w:r w:rsidRPr="00BA6FCB">
              <w:rPr>
                <w:sz w:val="18"/>
                <w:szCs w:val="18"/>
              </w:rPr>
              <w:t>6</w:t>
            </w:r>
            <w:r w:rsidRPr="00D46C46">
              <w:rPr>
                <w:sz w:val="18"/>
                <w:szCs w:val="18"/>
              </w:rPr>
              <w:t>,4</w:t>
            </w:r>
          </w:p>
        </w:tc>
        <w:tc>
          <w:tcPr>
            <w:tcW w:w="1301" w:type="dxa"/>
            <w:vAlign w:val="center"/>
          </w:tcPr>
          <w:p w14:paraId="12C032C1" w14:textId="77777777" w:rsidR="002D5849" w:rsidRPr="00D46C46" w:rsidRDefault="002D5849" w:rsidP="00B80F3A">
            <w:pPr>
              <w:ind w:left="0"/>
              <w:jc w:val="center"/>
              <w:rPr>
                <w:sz w:val="18"/>
                <w:szCs w:val="18"/>
              </w:rPr>
            </w:pPr>
            <w:r w:rsidRPr="00D46C46">
              <w:rPr>
                <w:sz w:val="18"/>
                <w:szCs w:val="18"/>
              </w:rPr>
              <w:t>2012</w:t>
            </w:r>
          </w:p>
        </w:tc>
        <w:tc>
          <w:tcPr>
            <w:tcW w:w="896" w:type="dxa"/>
            <w:vAlign w:val="center"/>
          </w:tcPr>
          <w:p w14:paraId="7267DC65" w14:textId="77777777" w:rsidR="002D5849" w:rsidRPr="00D46C46" w:rsidRDefault="002D5849" w:rsidP="00B80F3A">
            <w:pPr>
              <w:ind w:left="0"/>
              <w:jc w:val="center"/>
              <w:rPr>
                <w:sz w:val="18"/>
                <w:szCs w:val="18"/>
              </w:rPr>
            </w:pPr>
            <w:r w:rsidRPr="00D46C46">
              <w:rPr>
                <w:sz w:val="18"/>
                <w:szCs w:val="18"/>
              </w:rPr>
              <w:t>48</w:t>
            </w:r>
          </w:p>
        </w:tc>
        <w:tc>
          <w:tcPr>
            <w:tcW w:w="854" w:type="dxa"/>
            <w:vAlign w:val="center"/>
          </w:tcPr>
          <w:p w14:paraId="157EF712" w14:textId="77777777" w:rsidR="002D5849" w:rsidRPr="00D46C46" w:rsidRDefault="002D5849" w:rsidP="00B80F3A">
            <w:pPr>
              <w:ind w:left="0"/>
              <w:jc w:val="center"/>
              <w:rPr>
                <w:sz w:val="18"/>
                <w:szCs w:val="18"/>
              </w:rPr>
            </w:pPr>
            <w:r>
              <w:rPr>
                <w:sz w:val="18"/>
                <w:szCs w:val="18"/>
              </w:rPr>
              <w:t>Eurostat</w:t>
            </w:r>
          </w:p>
        </w:tc>
        <w:tc>
          <w:tcPr>
            <w:tcW w:w="1191" w:type="dxa"/>
            <w:vAlign w:val="center"/>
          </w:tcPr>
          <w:p w14:paraId="42D92210" w14:textId="77777777" w:rsidR="002D5849" w:rsidRPr="00D46C46" w:rsidRDefault="002D5849" w:rsidP="00B80F3A">
            <w:pPr>
              <w:ind w:left="0"/>
              <w:jc w:val="center"/>
              <w:rPr>
                <w:sz w:val="18"/>
                <w:szCs w:val="18"/>
              </w:rPr>
            </w:pPr>
            <w:r w:rsidRPr="00D46C46">
              <w:rPr>
                <w:sz w:val="18"/>
                <w:szCs w:val="18"/>
              </w:rPr>
              <w:t>Ročne</w:t>
            </w:r>
          </w:p>
        </w:tc>
      </w:tr>
      <w:tr w:rsidR="002D5849" w:rsidRPr="00B02869" w14:paraId="5525975F" w14:textId="77777777" w:rsidTr="00B80F3A">
        <w:trPr>
          <w:trHeight w:val="340"/>
        </w:trPr>
        <w:tc>
          <w:tcPr>
            <w:tcW w:w="556" w:type="dxa"/>
            <w:vAlign w:val="center"/>
          </w:tcPr>
          <w:p w14:paraId="5D85377B" w14:textId="77777777" w:rsidR="002D5849" w:rsidRPr="00B02869" w:rsidRDefault="002D5849" w:rsidP="00B80F3A">
            <w:pPr>
              <w:ind w:left="0"/>
              <w:rPr>
                <w:sz w:val="18"/>
                <w:szCs w:val="18"/>
              </w:rPr>
            </w:pPr>
            <w:r w:rsidRPr="00B02869">
              <w:rPr>
                <w:sz w:val="18"/>
                <w:szCs w:val="18"/>
              </w:rPr>
              <w:t>2</w:t>
            </w:r>
          </w:p>
        </w:tc>
        <w:tc>
          <w:tcPr>
            <w:tcW w:w="1834" w:type="dxa"/>
            <w:vAlign w:val="center"/>
          </w:tcPr>
          <w:p w14:paraId="5AAE6384" w14:textId="77777777" w:rsidR="002D5849" w:rsidRPr="00D46C46" w:rsidRDefault="002D5849" w:rsidP="00B80F3A">
            <w:pPr>
              <w:pStyle w:val="18Textvtabulke"/>
              <w:ind w:left="0"/>
            </w:pPr>
            <w:r w:rsidRPr="00F22395">
              <w:t>Percento populácie využívajúce</w:t>
            </w:r>
            <w:r w:rsidRPr="00BA6FCB">
              <w:t xml:space="preserve"> širokopásmový</w:t>
            </w:r>
            <w:r w:rsidRPr="00D46C46">
              <w:t xml:space="preserve"> internet pravidelne</w:t>
            </w:r>
          </w:p>
        </w:tc>
        <w:tc>
          <w:tcPr>
            <w:tcW w:w="910" w:type="dxa"/>
            <w:vAlign w:val="center"/>
          </w:tcPr>
          <w:p w14:paraId="6F2CA620" w14:textId="77777777" w:rsidR="002D5849" w:rsidRPr="00D46C46" w:rsidRDefault="002D5849" w:rsidP="00B80F3A">
            <w:pPr>
              <w:ind w:left="0"/>
              <w:jc w:val="center"/>
              <w:rPr>
                <w:sz w:val="18"/>
                <w:szCs w:val="18"/>
              </w:rPr>
            </w:pPr>
            <w:r w:rsidRPr="00D46C46">
              <w:rPr>
                <w:sz w:val="18"/>
                <w:szCs w:val="18"/>
              </w:rPr>
              <w:t>%</w:t>
            </w:r>
          </w:p>
        </w:tc>
        <w:tc>
          <w:tcPr>
            <w:tcW w:w="994" w:type="dxa"/>
            <w:vAlign w:val="center"/>
          </w:tcPr>
          <w:p w14:paraId="1EEE1E66" w14:textId="77777777" w:rsidR="002D5849" w:rsidRPr="00F22395" w:rsidRDefault="002D5849" w:rsidP="00B80F3A">
            <w:pPr>
              <w:ind w:left="0"/>
              <w:jc w:val="center"/>
              <w:rPr>
                <w:sz w:val="18"/>
                <w:szCs w:val="18"/>
              </w:rPr>
            </w:pPr>
            <w:r w:rsidRPr="006B6BE8">
              <w:rPr>
                <w:sz w:val="18"/>
                <w:szCs w:val="18"/>
              </w:rPr>
              <w:t>Menej rozvinuté regióny</w:t>
            </w:r>
          </w:p>
        </w:tc>
        <w:tc>
          <w:tcPr>
            <w:tcW w:w="1330" w:type="dxa"/>
            <w:vAlign w:val="center"/>
          </w:tcPr>
          <w:p w14:paraId="301103CD" w14:textId="77777777" w:rsidR="002D5849" w:rsidRPr="00D46C46" w:rsidRDefault="002D5849" w:rsidP="00B80F3A">
            <w:pPr>
              <w:ind w:left="0"/>
              <w:jc w:val="center"/>
              <w:rPr>
                <w:sz w:val="18"/>
                <w:szCs w:val="18"/>
              </w:rPr>
            </w:pPr>
            <w:r w:rsidRPr="00BA6FCB">
              <w:rPr>
                <w:sz w:val="18"/>
                <w:szCs w:val="18"/>
              </w:rPr>
              <w:t>7</w:t>
            </w:r>
            <w:r w:rsidRPr="00D46C46">
              <w:rPr>
                <w:sz w:val="18"/>
                <w:szCs w:val="18"/>
              </w:rPr>
              <w:t>4</w:t>
            </w:r>
          </w:p>
        </w:tc>
        <w:tc>
          <w:tcPr>
            <w:tcW w:w="1301" w:type="dxa"/>
            <w:vAlign w:val="center"/>
          </w:tcPr>
          <w:p w14:paraId="17CB93A9" w14:textId="77777777" w:rsidR="002D5849" w:rsidRPr="00D46C46" w:rsidRDefault="002D5849" w:rsidP="00B80F3A">
            <w:pPr>
              <w:ind w:left="0"/>
              <w:jc w:val="center"/>
              <w:rPr>
                <w:sz w:val="18"/>
                <w:szCs w:val="18"/>
              </w:rPr>
            </w:pPr>
            <w:r w:rsidRPr="00D46C46">
              <w:rPr>
                <w:sz w:val="18"/>
                <w:szCs w:val="18"/>
              </w:rPr>
              <w:t>2012</w:t>
            </w:r>
          </w:p>
        </w:tc>
        <w:tc>
          <w:tcPr>
            <w:tcW w:w="896" w:type="dxa"/>
            <w:vAlign w:val="center"/>
          </w:tcPr>
          <w:p w14:paraId="77EC791B" w14:textId="77777777" w:rsidR="002D5849" w:rsidRPr="00D46C46" w:rsidRDefault="002D5849" w:rsidP="00B80F3A">
            <w:pPr>
              <w:ind w:left="0"/>
              <w:jc w:val="center"/>
              <w:rPr>
                <w:sz w:val="18"/>
                <w:szCs w:val="18"/>
              </w:rPr>
            </w:pPr>
            <w:r w:rsidRPr="00D46C46">
              <w:rPr>
                <w:sz w:val="18"/>
                <w:szCs w:val="18"/>
              </w:rPr>
              <w:t>90</w:t>
            </w:r>
          </w:p>
        </w:tc>
        <w:tc>
          <w:tcPr>
            <w:tcW w:w="854" w:type="dxa"/>
            <w:vAlign w:val="center"/>
          </w:tcPr>
          <w:p w14:paraId="45EF0249" w14:textId="77777777" w:rsidR="002D5849" w:rsidRPr="00D46C46" w:rsidRDefault="002D5849" w:rsidP="00B80F3A">
            <w:pPr>
              <w:ind w:left="0"/>
              <w:jc w:val="center"/>
              <w:rPr>
                <w:sz w:val="18"/>
                <w:szCs w:val="18"/>
              </w:rPr>
            </w:pPr>
            <w:r>
              <w:rPr>
                <w:sz w:val="18"/>
                <w:szCs w:val="18"/>
              </w:rPr>
              <w:t>Eurostat</w:t>
            </w:r>
          </w:p>
        </w:tc>
        <w:tc>
          <w:tcPr>
            <w:tcW w:w="1191" w:type="dxa"/>
            <w:vAlign w:val="center"/>
          </w:tcPr>
          <w:p w14:paraId="7D377F8F" w14:textId="77777777" w:rsidR="002D5849" w:rsidRPr="00D46C46" w:rsidRDefault="002D5849" w:rsidP="00B80F3A">
            <w:pPr>
              <w:ind w:left="0"/>
              <w:jc w:val="center"/>
              <w:rPr>
                <w:sz w:val="18"/>
                <w:szCs w:val="18"/>
              </w:rPr>
            </w:pPr>
            <w:r w:rsidRPr="00D46C46">
              <w:rPr>
                <w:sz w:val="18"/>
                <w:szCs w:val="18"/>
              </w:rPr>
              <w:t>Ročne</w:t>
            </w:r>
          </w:p>
        </w:tc>
      </w:tr>
    </w:tbl>
    <w:p w14:paraId="1E2CEC42" w14:textId="2423C417" w:rsidR="009E0158" w:rsidRPr="00314DF8" w:rsidRDefault="002169F8" w:rsidP="00314DF8">
      <w:pPr>
        <w:pStyle w:val="Nadpis4"/>
        <w:numPr>
          <w:ilvl w:val="3"/>
          <w:numId w:val="103"/>
        </w:numPr>
      </w:pPr>
      <w:r w:rsidRPr="00314DF8">
        <w:t>Op</w:t>
      </w:r>
      <w:r w:rsidR="007F1C63" w:rsidRPr="00314DF8">
        <w:t>is typu a príklady aktivít</w:t>
      </w:r>
    </w:p>
    <w:p w14:paraId="3C706429" w14:textId="77777777" w:rsidR="007F1C63" w:rsidRPr="007F1C63" w:rsidRDefault="007F1C63" w:rsidP="007F1C63">
      <w:pPr>
        <w:spacing w:before="180" w:after="120"/>
        <w:rPr>
          <w:sz w:val="22"/>
          <w:szCs w:val="22"/>
        </w:rPr>
      </w:pPr>
      <w:r w:rsidRPr="007F1C63">
        <w:rPr>
          <w:sz w:val="22"/>
          <w:szCs w:val="22"/>
          <w:u w:val="single"/>
        </w:rPr>
        <w:t xml:space="preserve">Investičná priorita </w:t>
      </w:r>
      <w:r w:rsidR="003D7DC3">
        <w:rPr>
          <w:sz w:val="22"/>
          <w:szCs w:val="22"/>
          <w:u w:val="single"/>
        </w:rPr>
        <w:t>2</w:t>
      </w:r>
      <w:r w:rsidRPr="007F1C63">
        <w:rPr>
          <w:sz w:val="22"/>
          <w:szCs w:val="22"/>
          <w:u w:val="single"/>
        </w:rPr>
        <w:t>a) bude napĺňaná prostredníctvom nasledujúcich aktivít</w:t>
      </w:r>
      <w:r w:rsidRPr="007F1C63">
        <w:rPr>
          <w:sz w:val="22"/>
          <w:szCs w:val="22"/>
        </w:rPr>
        <w:t>:</w:t>
      </w:r>
    </w:p>
    <w:p w14:paraId="3EBF5DF9" w14:textId="77777777" w:rsidR="009E0158" w:rsidRDefault="003D7DC3" w:rsidP="00314DF8">
      <w:pPr>
        <w:pStyle w:val="Odsekzoznamu"/>
        <w:numPr>
          <w:ilvl w:val="2"/>
          <w:numId w:val="58"/>
        </w:numPr>
        <w:jc w:val="both"/>
        <w:rPr>
          <w:sz w:val="22"/>
          <w:szCs w:val="22"/>
        </w:rPr>
      </w:pPr>
      <w:r w:rsidRPr="003D7DC3">
        <w:rPr>
          <w:sz w:val="22"/>
          <w:szCs w:val="22"/>
        </w:rPr>
        <w:t>Koordinácia budovania širokopásmových sietí:</w:t>
      </w:r>
    </w:p>
    <w:p w14:paraId="4E84F492" w14:textId="77777777" w:rsidR="00E92F9B" w:rsidRDefault="001218A8">
      <w:pPr>
        <w:ind w:firstLine="360"/>
        <w:jc w:val="both"/>
        <w:rPr>
          <w:sz w:val="22"/>
          <w:szCs w:val="22"/>
        </w:rPr>
      </w:pPr>
      <w:r w:rsidRPr="001218A8">
        <w:rPr>
          <w:sz w:val="22"/>
          <w:szCs w:val="22"/>
        </w:rPr>
        <w:t>- Analytické práce pre riešenie širokopásmového pripojenia;</w:t>
      </w:r>
    </w:p>
    <w:p w14:paraId="5DA75A15" w14:textId="77777777" w:rsidR="00E92F9B" w:rsidRDefault="001218A8">
      <w:pPr>
        <w:ind w:firstLine="360"/>
        <w:jc w:val="both"/>
        <w:rPr>
          <w:sz w:val="22"/>
          <w:szCs w:val="22"/>
        </w:rPr>
      </w:pPr>
      <w:r w:rsidRPr="001218A8">
        <w:rPr>
          <w:sz w:val="22"/>
          <w:szCs w:val="22"/>
        </w:rPr>
        <w:t>- Vytvorenie atlasu pasívnej infraštruktúry</w:t>
      </w:r>
      <w:r w:rsidR="00AF27FE">
        <w:rPr>
          <w:sz w:val="22"/>
          <w:szCs w:val="22"/>
        </w:rPr>
        <w:t>.</w:t>
      </w:r>
    </w:p>
    <w:p w14:paraId="7837B7AF" w14:textId="3CA290E7" w:rsidR="009E0158" w:rsidRDefault="003D7DC3" w:rsidP="00314DF8">
      <w:pPr>
        <w:numPr>
          <w:ilvl w:val="2"/>
          <w:numId w:val="58"/>
        </w:numPr>
        <w:jc w:val="both"/>
        <w:rPr>
          <w:sz w:val="22"/>
          <w:szCs w:val="22"/>
        </w:rPr>
      </w:pPr>
      <w:r w:rsidRPr="003D7DC3">
        <w:rPr>
          <w:sz w:val="22"/>
          <w:szCs w:val="22"/>
        </w:rPr>
        <w:t xml:space="preserve">Budovanie </w:t>
      </w:r>
      <w:r w:rsidR="008C424D">
        <w:rPr>
          <w:sz w:val="22"/>
          <w:szCs w:val="22"/>
        </w:rPr>
        <w:t xml:space="preserve">širokopásmových </w:t>
      </w:r>
      <w:r w:rsidRPr="003D7DC3">
        <w:rPr>
          <w:sz w:val="22"/>
          <w:szCs w:val="22"/>
        </w:rPr>
        <w:t xml:space="preserve">sietí </w:t>
      </w:r>
      <w:r w:rsidR="002D168A">
        <w:rPr>
          <w:sz w:val="22"/>
          <w:szCs w:val="22"/>
        </w:rPr>
        <w:t xml:space="preserve">s technologickou neutralitou </w:t>
      </w:r>
      <w:r w:rsidRPr="003D7DC3">
        <w:rPr>
          <w:sz w:val="22"/>
          <w:szCs w:val="22"/>
        </w:rPr>
        <w:t xml:space="preserve">otvorených pre všetkých operátorov s ohľadom na cieľ 100 percentného pokrytia </w:t>
      </w:r>
      <w:r w:rsidR="008C424D">
        <w:rPr>
          <w:sz w:val="22"/>
          <w:szCs w:val="22"/>
        </w:rPr>
        <w:t xml:space="preserve">s rýchlosťou minimálne </w:t>
      </w:r>
      <w:r w:rsidRPr="003D7DC3">
        <w:rPr>
          <w:sz w:val="22"/>
          <w:szCs w:val="22"/>
        </w:rPr>
        <w:t>30 Mbit/s</w:t>
      </w:r>
      <w:r w:rsidR="005D2B99">
        <w:rPr>
          <w:sz w:val="22"/>
          <w:szCs w:val="22"/>
        </w:rPr>
        <w:t xml:space="preserve"> a následne 100 Mbit/s</w:t>
      </w:r>
      <w:r w:rsidR="00B107A1">
        <w:rPr>
          <w:sz w:val="22"/>
          <w:szCs w:val="22"/>
        </w:rPr>
        <w:t xml:space="preserve"> </w:t>
      </w:r>
      <w:r w:rsidR="00B107A1">
        <w:rPr>
          <w:snapToGrid w:val="0"/>
          <w:sz w:val="22"/>
          <w:szCs w:val="23"/>
          <w:lang w:eastAsia="cs-CZ"/>
        </w:rPr>
        <w:t>s možnosťou aktualizácie siete na rýchlosť minimálne 1Gbit/s</w:t>
      </w:r>
      <w:r w:rsidR="00B107A1" w:rsidRPr="003D7DC3">
        <w:rPr>
          <w:sz w:val="22"/>
          <w:szCs w:val="22"/>
        </w:rPr>
        <w:t>:</w:t>
      </w:r>
      <w:r w:rsidRPr="003D7DC3">
        <w:rPr>
          <w:sz w:val="22"/>
          <w:szCs w:val="22"/>
        </w:rPr>
        <w:t>:</w:t>
      </w:r>
    </w:p>
    <w:p w14:paraId="0C8EAF89" w14:textId="1BFAE513" w:rsidR="009E0158" w:rsidRDefault="001218A8" w:rsidP="00314DF8">
      <w:pPr>
        <w:pStyle w:val="Odsekzoznamu"/>
        <w:numPr>
          <w:ilvl w:val="0"/>
          <w:numId w:val="27"/>
        </w:numPr>
        <w:jc w:val="both"/>
        <w:rPr>
          <w:sz w:val="22"/>
          <w:szCs w:val="22"/>
        </w:rPr>
      </w:pPr>
      <w:r w:rsidRPr="001218A8">
        <w:rPr>
          <w:sz w:val="22"/>
          <w:szCs w:val="22"/>
        </w:rPr>
        <w:t>Výstavba optických regionálnych sietí;</w:t>
      </w:r>
    </w:p>
    <w:p w14:paraId="58F0D117" w14:textId="0332BCB5" w:rsidR="009E0158" w:rsidRDefault="001218A8" w:rsidP="00314DF8">
      <w:pPr>
        <w:pStyle w:val="Odsekzoznamu"/>
        <w:numPr>
          <w:ilvl w:val="0"/>
          <w:numId w:val="27"/>
        </w:numPr>
        <w:jc w:val="both"/>
        <w:rPr>
          <w:sz w:val="22"/>
          <w:szCs w:val="22"/>
        </w:rPr>
      </w:pPr>
      <w:r w:rsidRPr="001218A8">
        <w:rPr>
          <w:sz w:val="22"/>
          <w:szCs w:val="22"/>
        </w:rPr>
        <w:t>Výstavba regionálnych sietí založených na rádioreleových spojoch;</w:t>
      </w:r>
    </w:p>
    <w:p w14:paraId="299253A5" w14:textId="459B1952" w:rsidR="009E0158" w:rsidRDefault="001218A8" w:rsidP="00314DF8">
      <w:pPr>
        <w:pStyle w:val="Odsekzoznamu"/>
        <w:numPr>
          <w:ilvl w:val="0"/>
          <w:numId w:val="27"/>
        </w:numPr>
        <w:jc w:val="both"/>
        <w:rPr>
          <w:sz w:val="22"/>
          <w:szCs w:val="22"/>
        </w:rPr>
      </w:pPr>
      <w:r w:rsidRPr="001218A8">
        <w:rPr>
          <w:sz w:val="22"/>
          <w:szCs w:val="22"/>
        </w:rPr>
        <w:t>Podpora zriaďovania prístupových sietí;</w:t>
      </w:r>
    </w:p>
    <w:p w14:paraId="6D9FB72E" w14:textId="77777777" w:rsidR="009E0158" w:rsidRDefault="001218A8" w:rsidP="00314DF8">
      <w:pPr>
        <w:pStyle w:val="Odsekzoznamu"/>
        <w:numPr>
          <w:ilvl w:val="0"/>
          <w:numId w:val="27"/>
        </w:numPr>
        <w:jc w:val="both"/>
        <w:rPr>
          <w:sz w:val="22"/>
          <w:szCs w:val="22"/>
        </w:rPr>
      </w:pPr>
      <w:r w:rsidRPr="001218A8">
        <w:rPr>
          <w:sz w:val="22"/>
          <w:szCs w:val="22"/>
        </w:rPr>
        <w:t>Budovanie prístupových sietí v oblastiach zlyhania trhu.</w:t>
      </w:r>
    </w:p>
    <w:p w14:paraId="2343628A" w14:textId="77777777" w:rsidR="00E92F9B" w:rsidRDefault="00E92F9B">
      <w:pPr>
        <w:pStyle w:val="Odsekzoznamu"/>
        <w:jc w:val="both"/>
        <w:rPr>
          <w:sz w:val="22"/>
          <w:szCs w:val="22"/>
        </w:rPr>
      </w:pPr>
    </w:p>
    <w:p w14:paraId="6B28014D" w14:textId="77777777" w:rsidR="009E0158" w:rsidRDefault="003D7DC3" w:rsidP="00314DF8">
      <w:pPr>
        <w:pStyle w:val="Odsekzoznamu"/>
        <w:numPr>
          <w:ilvl w:val="0"/>
          <w:numId w:val="62"/>
        </w:numPr>
        <w:spacing w:before="180" w:after="120"/>
        <w:jc w:val="both"/>
        <w:rPr>
          <w:b/>
          <w:i/>
          <w:color w:val="4F81BD" w:themeColor="accent1"/>
          <w:sz w:val="22"/>
          <w:szCs w:val="22"/>
        </w:rPr>
      </w:pPr>
      <w:r w:rsidRPr="003D7DC3">
        <w:rPr>
          <w:b/>
          <w:i/>
          <w:color w:val="4F81BD" w:themeColor="accent1"/>
          <w:sz w:val="22"/>
          <w:szCs w:val="22"/>
        </w:rPr>
        <w:t>Koordinácia budovania širokopásmových sietí</w:t>
      </w:r>
    </w:p>
    <w:p w14:paraId="78C6D783" w14:textId="05D4C395" w:rsidR="001A1926" w:rsidRPr="0021226A" w:rsidRDefault="001A1926" w:rsidP="001A1926">
      <w:pPr>
        <w:spacing w:before="180" w:after="120"/>
        <w:jc w:val="both"/>
        <w:rPr>
          <w:sz w:val="22"/>
          <w:szCs w:val="22"/>
        </w:rPr>
      </w:pPr>
      <w:r w:rsidRPr="0021226A">
        <w:rPr>
          <w:sz w:val="22"/>
          <w:szCs w:val="22"/>
        </w:rPr>
        <w:t xml:space="preserve">Príprave </w:t>
      </w:r>
      <w:r w:rsidR="008C424D">
        <w:rPr>
          <w:sz w:val="22"/>
          <w:szCs w:val="22"/>
        </w:rPr>
        <w:t xml:space="preserve">budovania širokopásmových sietí </w:t>
      </w:r>
      <w:r w:rsidRPr="0021226A">
        <w:rPr>
          <w:sz w:val="22"/>
          <w:szCs w:val="22"/>
        </w:rPr>
        <w:t>budú predchádzať nasledujúce akti</w:t>
      </w:r>
      <w:r>
        <w:rPr>
          <w:sz w:val="22"/>
          <w:szCs w:val="22"/>
        </w:rPr>
        <w:t xml:space="preserve">vity, ktoré budú realizované </w:t>
      </w:r>
      <w:r w:rsidR="00F47E92">
        <w:rPr>
          <w:sz w:val="22"/>
          <w:szCs w:val="22"/>
        </w:rPr>
        <w:t>aj</w:t>
      </w:r>
      <w:r w:rsidRPr="0021226A">
        <w:rPr>
          <w:sz w:val="22"/>
          <w:szCs w:val="22"/>
        </w:rPr>
        <w:t xml:space="preserve"> v rámci technickej pomoci a sú nevyhnutné pre zavádzani</w:t>
      </w:r>
      <w:r>
        <w:rPr>
          <w:sz w:val="22"/>
          <w:szCs w:val="22"/>
        </w:rPr>
        <w:t>e širokopásmového pripojenia</w:t>
      </w:r>
      <w:r w:rsidRPr="0021226A">
        <w:rPr>
          <w:sz w:val="22"/>
          <w:szCs w:val="22"/>
        </w:rPr>
        <w:t>:</w:t>
      </w:r>
    </w:p>
    <w:p w14:paraId="7F46B632" w14:textId="77777777" w:rsidR="009E0158" w:rsidRDefault="001218A8" w:rsidP="00314DF8">
      <w:pPr>
        <w:pStyle w:val="Odsekzoznamu"/>
        <w:numPr>
          <w:ilvl w:val="0"/>
          <w:numId w:val="27"/>
        </w:numPr>
        <w:jc w:val="both"/>
        <w:rPr>
          <w:szCs w:val="22"/>
        </w:rPr>
      </w:pPr>
      <w:r w:rsidRPr="001218A8">
        <w:rPr>
          <w:sz w:val="22"/>
          <w:szCs w:val="22"/>
        </w:rPr>
        <w:t>príprava metodiky pre určovania bielych a šedých miest,</w:t>
      </w:r>
    </w:p>
    <w:p w14:paraId="56C894DF" w14:textId="77777777" w:rsidR="009E0158" w:rsidRDefault="001218A8" w:rsidP="00314DF8">
      <w:pPr>
        <w:pStyle w:val="Odsekzoznamu"/>
        <w:numPr>
          <w:ilvl w:val="0"/>
          <w:numId w:val="27"/>
        </w:numPr>
        <w:jc w:val="both"/>
        <w:rPr>
          <w:szCs w:val="22"/>
        </w:rPr>
      </w:pPr>
      <w:r w:rsidRPr="001218A8">
        <w:rPr>
          <w:sz w:val="22"/>
          <w:szCs w:val="22"/>
        </w:rPr>
        <w:t>vytvorenie postupov, prípadne nástrojov na jednoduchú aktualizáciu bielych a šedých miest,</w:t>
      </w:r>
    </w:p>
    <w:p w14:paraId="680420D3" w14:textId="77777777" w:rsidR="009E0158" w:rsidRDefault="001218A8" w:rsidP="00314DF8">
      <w:pPr>
        <w:pStyle w:val="Odsekzoznamu"/>
        <w:numPr>
          <w:ilvl w:val="0"/>
          <w:numId w:val="27"/>
        </w:numPr>
        <w:jc w:val="both"/>
        <w:rPr>
          <w:szCs w:val="22"/>
        </w:rPr>
      </w:pPr>
      <w:r w:rsidRPr="001218A8">
        <w:rPr>
          <w:sz w:val="22"/>
          <w:szCs w:val="22"/>
        </w:rPr>
        <w:lastRenderedPageBreak/>
        <w:t>vytvorenie prevádzkových modelov,</w:t>
      </w:r>
    </w:p>
    <w:p w14:paraId="43CF4B06" w14:textId="77777777" w:rsidR="008C424D" w:rsidRPr="00A36990" w:rsidRDefault="001218A8" w:rsidP="00314DF8">
      <w:pPr>
        <w:pStyle w:val="Odsekzoznamu"/>
        <w:numPr>
          <w:ilvl w:val="0"/>
          <w:numId w:val="27"/>
        </w:numPr>
        <w:jc w:val="both"/>
        <w:rPr>
          <w:szCs w:val="22"/>
        </w:rPr>
      </w:pPr>
      <w:r w:rsidRPr="001218A8">
        <w:rPr>
          <w:sz w:val="22"/>
          <w:szCs w:val="22"/>
        </w:rPr>
        <w:t>aktivity súvisiace so štátnou pomocou</w:t>
      </w:r>
      <w:r w:rsidR="008C424D">
        <w:rPr>
          <w:sz w:val="22"/>
          <w:szCs w:val="22"/>
        </w:rPr>
        <w:t>,</w:t>
      </w:r>
    </w:p>
    <w:p w14:paraId="016C3B7D" w14:textId="4E5FD756" w:rsidR="009E0158" w:rsidRDefault="008C424D" w:rsidP="00314DF8">
      <w:pPr>
        <w:pStyle w:val="Odsekzoznamu"/>
        <w:numPr>
          <w:ilvl w:val="0"/>
          <w:numId w:val="27"/>
        </w:numPr>
        <w:jc w:val="both"/>
        <w:rPr>
          <w:szCs w:val="22"/>
        </w:rPr>
      </w:pPr>
      <w:r>
        <w:rPr>
          <w:sz w:val="22"/>
          <w:szCs w:val="22"/>
        </w:rPr>
        <w:t>aktivity súvisiace s meraním, monitorovaním a mapovaním pokrytia širokopásmovým internetom.</w:t>
      </w:r>
    </w:p>
    <w:p w14:paraId="3032CF0D" w14:textId="77777777" w:rsidR="001A1926" w:rsidRPr="001A1926" w:rsidRDefault="001218A8" w:rsidP="001A1926">
      <w:pPr>
        <w:spacing w:before="120" w:after="60"/>
        <w:rPr>
          <w:sz w:val="22"/>
          <w:szCs w:val="20"/>
          <w:u w:val="single"/>
          <w:lang w:eastAsia="en-US"/>
        </w:rPr>
      </w:pPr>
      <w:r w:rsidRPr="001218A8">
        <w:rPr>
          <w:sz w:val="22"/>
          <w:szCs w:val="20"/>
          <w:u w:val="single"/>
          <w:lang w:eastAsia="en-US"/>
        </w:rPr>
        <w:t>Vytvorenie atlasu pasívnej infraštruktúry</w:t>
      </w:r>
    </w:p>
    <w:p w14:paraId="283DF8BF" w14:textId="55BF9823" w:rsidR="001A1926" w:rsidRPr="0021226A" w:rsidRDefault="001A1926" w:rsidP="001A1926">
      <w:pPr>
        <w:spacing w:before="120" w:after="60"/>
        <w:jc w:val="both"/>
        <w:rPr>
          <w:sz w:val="22"/>
          <w:szCs w:val="20"/>
          <w:lang w:eastAsia="en-US"/>
        </w:rPr>
      </w:pPr>
      <w:r w:rsidRPr="0021226A">
        <w:rPr>
          <w:sz w:val="22"/>
          <w:szCs w:val="20"/>
          <w:lang w:eastAsia="en-US"/>
        </w:rPr>
        <w:t>Základnou podmienkou pre efektívny manažment a plánovanie sietí je vytvorenie centralizovaného atlasu pasívnej infraštruktúry, kde bude možné vidieť jednotlivé prvky súčasnej a plánovanej infraštruktúry a optimalizovať tak investičné rozhodnutia. Podľa</w:t>
      </w:r>
      <w:r>
        <w:rPr>
          <w:sz w:val="22"/>
          <w:szCs w:val="20"/>
          <w:lang w:eastAsia="en-US"/>
        </w:rPr>
        <w:t xml:space="preserve"> smernice</w:t>
      </w:r>
      <w:r w:rsidRPr="0021226A">
        <w:rPr>
          <w:sz w:val="22"/>
          <w:szCs w:val="20"/>
          <w:lang w:eastAsia="en-US"/>
        </w:rPr>
        <w:t xml:space="preserve"> 2002/21/EC majú národní regulátori právo získať relevantné informácie o umiestnení, kapacite a dostupnosti rúr a iných prístupových prvkov infraštruktúry. Zámerom je, aby operátori v tomto smere medzi sebou spolupracovali a táto spolupráca bola zo strany štátu centrálne koordinovaná. Pri zaznamenávaní mapy existujúcej a plánovanej infraštruktúry je vhodné využiť existenciu štandardiz</w:t>
      </w:r>
      <w:r>
        <w:rPr>
          <w:sz w:val="22"/>
          <w:szCs w:val="20"/>
          <w:lang w:eastAsia="en-US"/>
        </w:rPr>
        <w:t>ovaných geografických informácií</w:t>
      </w:r>
      <w:r w:rsidRPr="0021226A">
        <w:rPr>
          <w:sz w:val="22"/>
          <w:szCs w:val="20"/>
          <w:lang w:eastAsia="en-US"/>
        </w:rPr>
        <w:t xml:space="preserve"> vznikajúcich prostredníctvom </w:t>
      </w:r>
      <w:r>
        <w:rPr>
          <w:sz w:val="22"/>
          <w:szCs w:val="20"/>
          <w:lang w:eastAsia="en-US"/>
        </w:rPr>
        <w:t>smernice</w:t>
      </w:r>
      <w:r w:rsidRPr="0021226A">
        <w:rPr>
          <w:sz w:val="22"/>
          <w:szCs w:val="20"/>
          <w:lang w:eastAsia="en-US"/>
        </w:rPr>
        <w:t xml:space="preserve"> INSPIRE, ktorej plná implementácia je vyžadovaná do roku 2019. Aby sa čo najviac využili synergické efekty pri budovaní technických infraštruktúr, bude atlas okrem telekomunikačných vedení (pre mobilné a pevné si</w:t>
      </w:r>
      <w:r>
        <w:rPr>
          <w:sz w:val="22"/>
          <w:szCs w:val="20"/>
          <w:lang w:eastAsia="en-US"/>
        </w:rPr>
        <w:t>ete) obsahovať aktuálne údaje o </w:t>
      </w:r>
      <w:r w:rsidRPr="0021226A">
        <w:rPr>
          <w:sz w:val="22"/>
          <w:szCs w:val="20"/>
          <w:lang w:eastAsia="en-US"/>
        </w:rPr>
        <w:t>ďalších vedeniach a zariadeniach technickej infraštruktúry</w:t>
      </w:r>
      <w:r w:rsidR="008C424D">
        <w:rPr>
          <w:sz w:val="22"/>
          <w:szCs w:val="20"/>
          <w:lang w:eastAsia="en-US"/>
        </w:rPr>
        <w:t>, napr.</w:t>
      </w:r>
      <w:r w:rsidRPr="0021226A">
        <w:rPr>
          <w:sz w:val="22"/>
          <w:szCs w:val="20"/>
          <w:lang w:eastAsia="en-US"/>
        </w:rPr>
        <w:t>:</w:t>
      </w:r>
    </w:p>
    <w:p w14:paraId="6C7C8041" w14:textId="77777777" w:rsidR="001A1926" w:rsidRDefault="001A1926" w:rsidP="001A1926">
      <w:pPr>
        <w:pStyle w:val="08Bullet1"/>
        <w:spacing w:after="0"/>
        <w:ind w:left="567" w:hanging="283"/>
      </w:pPr>
      <w:r w:rsidRPr="0021226A">
        <w:t>dopravných sieťach;</w:t>
      </w:r>
    </w:p>
    <w:p w14:paraId="7F511D08" w14:textId="77777777" w:rsidR="001A1926" w:rsidRDefault="001A1926" w:rsidP="001A1926">
      <w:pPr>
        <w:pStyle w:val="08Bullet1"/>
        <w:spacing w:after="0"/>
        <w:ind w:left="567" w:hanging="283"/>
      </w:pPr>
      <w:r w:rsidRPr="0021226A">
        <w:t>inžinierskych sieťach:</w:t>
      </w:r>
    </w:p>
    <w:p w14:paraId="65D3B537" w14:textId="77777777" w:rsidR="009E0158" w:rsidRDefault="001218A8" w:rsidP="00314DF8">
      <w:pPr>
        <w:pStyle w:val="Odsekzoznamu"/>
        <w:numPr>
          <w:ilvl w:val="0"/>
          <w:numId w:val="27"/>
        </w:numPr>
        <w:jc w:val="both"/>
        <w:rPr>
          <w:szCs w:val="22"/>
        </w:rPr>
      </w:pPr>
      <w:r w:rsidRPr="001218A8">
        <w:rPr>
          <w:sz w:val="22"/>
          <w:szCs w:val="22"/>
        </w:rPr>
        <w:t>vodohospodárskych vedeniach a zariadeniach (vodovody a kanalizácie);</w:t>
      </w:r>
    </w:p>
    <w:p w14:paraId="05DBDBD2" w14:textId="77777777" w:rsidR="009E0158" w:rsidRDefault="001218A8" w:rsidP="00314DF8">
      <w:pPr>
        <w:pStyle w:val="Odsekzoznamu"/>
        <w:numPr>
          <w:ilvl w:val="0"/>
          <w:numId w:val="27"/>
        </w:numPr>
        <w:jc w:val="both"/>
        <w:rPr>
          <w:sz w:val="22"/>
          <w:szCs w:val="22"/>
        </w:rPr>
      </w:pPr>
      <w:r w:rsidRPr="001218A8">
        <w:rPr>
          <w:sz w:val="22"/>
          <w:szCs w:val="22"/>
        </w:rPr>
        <w:t>elektroenergetických zariadeniach;</w:t>
      </w:r>
    </w:p>
    <w:p w14:paraId="5E8CBCC9" w14:textId="77777777" w:rsidR="009E0158" w:rsidRDefault="001218A8" w:rsidP="00314DF8">
      <w:pPr>
        <w:pStyle w:val="Odsekzoznamu"/>
        <w:numPr>
          <w:ilvl w:val="0"/>
          <w:numId w:val="27"/>
        </w:numPr>
        <w:jc w:val="both"/>
        <w:rPr>
          <w:szCs w:val="22"/>
        </w:rPr>
      </w:pPr>
      <w:r w:rsidRPr="001218A8">
        <w:rPr>
          <w:sz w:val="22"/>
          <w:szCs w:val="22"/>
        </w:rPr>
        <w:t>plynárenských zariadeniach (plynovody, prípojky, technické stanice);</w:t>
      </w:r>
    </w:p>
    <w:p w14:paraId="58335F62" w14:textId="77777777" w:rsidR="009E0158" w:rsidRDefault="001218A8" w:rsidP="00314DF8">
      <w:pPr>
        <w:pStyle w:val="Odsekzoznamu"/>
        <w:numPr>
          <w:ilvl w:val="0"/>
          <w:numId w:val="27"/>
        </w:numPr>
        <w:jc w:val="both"/>
        <w:rPr>
          <w:sz w:val="22"/>
          <w:szCs w:val="22"/>
        </w:rPr>
      </w:pPr>
      <w:r w:rsidRPr="001218A8">
        <w:rPr>
          <w:sz w:val="22"/>
          <w:szCs w:val="22"/>
        </w:rPr>
        <w:t>tepelných zariadeniach (rozvody tepla).</w:t>
      </w:r>
    </w:p>
    <w:p w14:paraId="45DF0FD0" w14:textId="77777777" w:rsidR="003970E4" w:rsidRDefault="001A1926" w:rsidP="001A1926">
      <w:pPr>
        <w:spacing w:before="120" w:after="60"/>
        <w:jc w:val="both"/>
        <w:rPr>
          <w:sz w:val="22"/>
          <w:szCs w:val="20"/>
          <w:lang w:eastAsia="en-US"/>
        </w:rPr>
      </w:pPr>
      <w:r w:rsidRPr="0021226A">
        <w:rPr>
          <w:sz w:val="22"/>
          <w:szCs w:val="20"/>
          <w:lang w:eastAsia="en-US"/>
        </w:rPr>
        <w:t>Atlas pasívnej infraštruktúry bude prepojený minimálne s informačným systémom katastra a registrom priestorových informácií</w:t>
      </w:r>
      <w:r w:rsidR="003970E4">
        <w:rPr>
          <w:sz w:val="22"/>
          <w:szCs w:val="20"/>
          <w:lang w:eastAsia="en-US"/>
        </w:rPr>
        <w:t xml:space="preserve"> a tematickými geografickými systémami, ktoré pre zabezpečenie svojej agendy využívajú predmetné údaje.</w:t>
      </w:r>
    </w:p>
    <w:p w14:paraId="196E76E8" w14:textId="77777777" w:rsidR="001A1926" w:rsidRPr="0021226A" w:rsidRDefault="003970E4" w:rsidP="001A1926">
      <w:pPr>
        <w:spacing w:before="120" w:after="60"/>
        <w:jc w:val="both"/>
        <w:rPr>
          <w:sz w:val="22"/>
          <w:szCs w:val="20"/>
          <w:lang w:eastAsia="en-US"/>
        </w:rPr>
      </w:pPr>
      <w:r>
        <w:rPr>
          <w:sz w:val="22"/>
          <w:szCs w:val="20"/>
          <w:lang w:eastAsia="en-US"/>
        </w:rPr>
        <w:t>Vytvorenie atlasu pasívnej infraštruktúry bude vyžadovať legislatívnu zmenu, ktorá jasným spôsobom zadefinuje aké údaje, v akom rozsahu a štruktúre budú musieť ope</w:t>
      </w:r>
      <w:r w:rsidR="00FC24A3">
        <w:rPr>
          <w:sz w:val="22"/>
          <w:szCs w:val="20"/>
          <w:lang w:eastAsia="en-US"/>
        </w:rPr>
        <w:t>rátori poskytovať a aktualizovať</w:t>
      </w:r>
      <w:r w:rsidR="00A05CA8">
        <w:rPr>
          <w:sz w:val="22"/>
          <w:szCs w:val="20"/>
          <w:lang w:eastAsia="en-US"/>
        </w:rPr>
        <w:t xml:space="preserve"> pre </w:t>
      </w:r>
      <w:r w:rsidR="0059698C">
        <w:rPr>
          <w:sz w:val="22"/>
          <w:szCs w:val="20"/>
          <w:lang w:eastAsia="en-US"/>
        </w:rPr>
        <w:t>potreby VS</w:t>
      </w:r>
      <w:r>
        <w:rPr>
          <w:sz w:val="22"/>
          <w:szCs w:val="20"/>
          <w:lang w:eastAsia="en-US"/>
        </w:rPr>
        <w:t xml:space="preserve">. Zároveň bude potrebné zadefinovať licenčné podmienky nakladania s danými </w:t>
      </w:r>
      <w:r w:rsidRPr="003970E4">
        <w:rPr>
          <w:sz w:val="22"/>
          <w:szCs w:val="20"/>
          <w:lang w:eastAsia="en-US"/>
        </w:rPr>
        <w:t>údajmi. V </w:t>
      </w:r>
      <w:r w:rsidRPr="00FC24A3">
        <w:rPr>
          <w:sz w:val="22"/>
          <w:szCs w:val="20"/>
          <w:lang w:eastAsia="en-US"/>
        </w:rPr>
        <w:t xml:space="preserve">súčasnosti to čiastočne rieši </w:t>
      </w:r>
      <w:r w:rsidR="001218A8" w:rsidRPr="001218A8">
        <w:rPr>
          <w:sz w:val="22"/>
          <w:szCs w:val="20"/>
          <w:lang w:eastAsia="en-US"/>
        </w:rPr>
        <w:t>zákon o národnej infraštruktúre pre priestorové informácie</w:t>
      </w:r>
      <w:r w:rsidR="00FC24A3">
        <w:rPr>
          <w:sz w:val="22"/>
          <w:szCs w:val="20"/>
          <w:lang w:eastAsia="en-US"/>
        </w:rPr>
        <w:t>, avšak realita je taká, že väčšina operátoro</w:t>
      </w:r>
      <w:r w:rsidR="0059698C">
        <w:rPr>
          <w:sz w:val="22"/>
          <w:szCs w:val="20"/>
          <w:lang w:eastAsia="en-US"/>
        </w:rPr>
        <w:t>v túto povinnosť</w:t>
      </w:r>
      <w:r w:rsidR="00FC24A3">
        <w:rPr>
          <w:sz w:val="22"/>
          <w:szCs w:val="20"/>
          <w:lang w:eastAsia="en-US"/>
        </w:rPr>
        <w:t xml:space="preserve"> neplní s argumentom, že nespadajú pod subjekty, ktoré sú povinné poskytovať tieto údaje, keďže sú vlastnené aj súkromnými investormi, resp. že ich geopriestorové údaje sú vysoko citlivé a môžu byť zneužité.</w:t>
      </w:r>
    </w:p>
    <w:p w14:paraId="3DD45BAD" w14:textId="0AE8A8A9" w:rsidR="009E0158" w:rsidRDefault="001A1926" w:rsidP="00314DF8">
      <w:pPr>
        <w:pStyle w:val="Odsekzoznamu"/>
        <w:numPr>
          <w:ilvl w:val="0"/>
          <w:numId w:val="62"/>
        </w:numPr>
        <w:autoSpaceDE w:val="0"/>
        <w:autoSpaceDN w:val="0"/>
        <w:adjustRightInd w:val="0"/>
        <w:spacing w:before="180" w:after="120"/>
        <w:jc w:val="both"/>
        <w:rPr>
          <w:b/>
          <w:i/>
          <w:color w:val="4F81BD" w:themeColor="accent1"/>
          <w:sz w:val="22"/>
          <w:szCs w:val="22"/>
        </w:rPr>
      </w:pPr>
      <w:r w:rsidRPr="001A1926">
        <w:rPr>
          <w:b/>
          <w:i/>
          <w:color w:val="4F81BD" w:themeColor="accent1"/>
          <w:sz w:val="22"/>
          <w:szCs w:val="22"/>
        </w:rPr>
        <w:t xml:space="preserve">Budovanie </w:t>
      </w:r>
      <w:r w:rsidR="003D25AC">
        <w:rPr>
          <w:b/>
          <w:i/>
          <w:color w:val="4F81BD" w:themeColor="accent1"/>
          <w:sz w:val="22"/>
          <w:szCs w:val="22"/>
        </w:rPr>
        <w:t xml:space="preserve">širokopásmových </w:t>
      </w:r>
      <w:r w:rsidRPr="001A1926">
        <w:rPr>
          <w:b/>
          <w:i/>
          <w:color w:val="4F81BD" w:themeColor="accent1"/>
          <w:sz w:val="22"/>
          <w:szCs w:val="22"/>
        </w:rPr>
        <w:t>sietí</w:t>
      </w:r>
      <w:r w:rsidR="002D168A">
        <w:rPr>
          <w:b/>
          <w:i/>
          <w:color w:val="4F81BD" w:themeColor="accent1"/>
          <w:sz w:val="22"/>
          <w:szCs w:val="22"/>
        </w:rPr>
        <w:t xml:space="preserve"> s technologickou neutralitou</w:t>
      </w:r>
      <w:r w:rsidRPr="001A1926">
        <w:rPr>
          <w:b/>
          <w:i/>
          <w:color w:val="4F81BD" w:themeColor="accent1"/>
          <w:sz w:val="22"/>
          <w:szCs w:val="22"/>
        </w:rPr>
        <w:t xml:space="preserve"> otvorených pre všetkých operátorov s ohľadom na cieľ 100 percentného pokrytia </w:t>
      </w:r>
      <w:r w:rsidR="008C424D">
        <w:rPr>
          <w:b/>
          <w:i/>
          <w:color w:val="4F81BD" w:themeColor="accent1"/>
          <w:sz w:val="22"/>
          <w:szCs w:val="22"/>
        </w:rPr>
        <w:t xml:space="preserve">s rýchlosťou minimálne </w:t>
      </w:r>
      <w:r w:rsidRPr="001A1926">
        <w:rPr>
          <w:b/>
          <w:i/>
          <w:color w:val="4F81BD" w:themeColor="accent1"/>
          <w:sz w:val="22"/>
          <w:szCs w:val="22"/>
        </w:rPr>
        <w:t>30 Mbit/s</w:t>
      </w:r>
      <w:r w:rsidR="005D2B99">
        <w:rPr>
          <w:b/>
          <w:i/>
          <w:color w:val="4F81BD" w:themeColor="accent1"/>
          <w:sz w:val="22"/>
          <w:szCs w:val="22"/>
        </w:rPr>
        <w:t xml:space="preserve"> a následne 100 Mbit/s</w:t>
      </w:r>
      <w:r w:rsidR="00B107A1">
        <w:rPr>
          <w:b/>
          <w:i/>
          <w:color w:val="4F81BD" w:themeColor="accent1"/>
          <w:sz w:val="22"/>
          <w:szCs w:val="22"/>
        </w:rPr>
        <w:t xml:space="preserve"> </w:t>
      </w:r>
      <w:r w:rsidR="00B107A1" w:rsidRPr="006D21CE">
        <w:rPr>
          <w:b/>
          <w:i/>
          <w:color w:val="4F81BD" w:themeColor="accent1"/>
          <w:sz w:val="22"/>
          <w:szCs w:val="22"/>
        </w:rPr>
        <w:t>s možnosťou aktualizácie siete na rýchlosť minimálne 1Gbit/s</w:t>
      </w:r>
    </w:p>
    <w:p w14:paraId="16CDDAEF" w14:textId="17D36DE7" w:rsidR="001A1926" w:rsidRPr="001A1926" w:rsidRDefault="001A1926" w:rsidP="001A1926">
      <w:pPr>
        <w:spacing w:after="180"/>
        <w:jc w:val="both"/>
        <w:rPr>
          <w:color w:val="000000" w:themeColor="text1"/>
          <w:sz w:val="22"/>
          <w:szCs w:val="22"/>
        </w:rPr>
      </w:pPr>
      <w:r w:rsidRPr="001A1926">
        <w:rPr>
          <w:color w:val="000000" w:themeColor="text1"/>
          <w:sz w:val="22"/>
          <w:szCs w:val="22"/>
        </w:rPr>
        <w:t xml:space="preserve">Oprávnenými oblasťami pre smerovanie štátnej pomoci na podporu budovania </w:t>
      </w:r>
      <w:r w:rsidR="005D2B99">
        <w:rPr>
          <w:color w:val="000000" w:themeColor="text1"/>
          <w:sz w:val="22"/>
          <w:szCs w:val="22"/>
        </w:rPr>
        <w:t>širokopásmových</w:t>
      </w:r>
      <w:r w:rsidR="005D2B99" w:rsidRPr="001A1926">
        <w:rPr>
          <w:color w:val="000000" w:themeColor="text1"/>
          <w:sz w:val="22"/>
          <w:szCs w:val="22"/>
        </w:rPr>
        <w:t xml:space="preserve"> </w:t>
      </w:r>
      <w:r w:rsidRPr="001A1926">
        <w:rPr>
          <w:color w:val="000000" w:themeColor="text1"/>
          <w:sz w:val="22"/>
          <w:szCs w:val="22"/>
        </w:rPr>
        <w:t xml:space="preserve">sietí budú biele miesta s najvyššou prioritou a šedé miesta so strednou prioritou. Štátne zásahy v šedých miestach budú </w:t>
      </w:r>
      <w:r w:rsidR="008C424D">
        <w:rPr>
          <w:color w:val="000000" w:themeColor="text1"/>
          <w:sz w:val="22"/>
          <w:szCs w:val="22"/>
        </w:rPr>
        <w:t xml:space="preserve">realizované až po dôkladnejšom preskúmaní podmienok uvedených v usmerneniach EÚ </w:t>
      </w:r>
      <w:r w:rsidRPr="001A1926">
        <w:rPr>
          <w:color w:val="000000" w:themeColor="text1"/>
          <w:sz w:val="22"/>
          <w:szCs w:val="22"/>
        </w:rPr>
        <w:t>pre uplatňovanie pravidie</w:t>
      </w:r>
      <w:r w:rsidR="002C1444">
        <w:rPr>
          <w:color w:val="000000" w:themeColor="text1"/>
          <w:sz w:val="22"/>
          <w:szCs w:val="22"/>
        </w:rPr>
        <w:t>l štátnej pomoci v súvislosti s </w:t>
      </w:r>
      <w:r w:rsidRPr="001A1926">
        <w:rPr>
          <w:color w:val="000000" w:themeColor="text1"/>
          <w:sz w:val="22"/>
          <w:szCs w:val="22"/>
        </w:rPr>
        <w:t xml:space="preserve">rýchlym zavádzaním širokopásmových sietí </w:t>
      </w:r>
      <w:r w:rsidR="005561E8">
        <w:rPr>
          <w:color w:val="000000" w:themeColor="text1"/>
          <w:sz w:val="22"/>
          <w:szCs w:val="22"/>
        </w:rPr>
        <w:t>2013</w:t>
      </w:r>
      <w:r w:rsidRPr="001A1926">
        <w:rPr>
          <w:color w:val="000000" w:themeColor="text1"/>
          <w:sz w:val="22"/>
          <w:szCs w:val="22"/>
        </w:rPr>
        <w:t>/C 25/0</w:t>
      </w:r>
      <w:r w:rsidR="005561E8">
        <w:rPr>
          <w:color w:val="000000" w:themeColor="text1"/>
          <w:sz w:val="22"/>
          <w:szCs w:val="22"/>
        </w:rPr>
        <w:t>1</w:t>
      </w:r>
      <w:r w:rsidR="008C424D">
        <w:rPr>
          <w:color w:val="000000" w:themeColor="text1"/>
          <w:sz w:val="22"/>
          <w:szCs w:val="22"/>
        </w:rPr>
        <w:t>.</w:t>
      </w:r>
    </w:p>
    <w:p w14:paraId="5E056B38" w14:textId="77777777" w:rsidR="005D2B99" w:rsidRPr="00442ED1" w:rsidRDefault="005D2B99" w:rsidP="005D2B99">
      <w:pPr>
        <w:spacing w:after="180"/>
        <w:jc w:val="both"/>
        <w:rPr>
          <w:color w:val="000000" w:themeColor="text1"/>
          <w:sz w:val="22"/>
          <w:szCs w:val="22"/>
        </w:rPr>
      </w:pPr>
      <w:r w:rsidRPr="00442ED1">
        <w:rPr>
          <w:color w:val="000000" w:themeColor="text1"/>
          <w:sz w:val="22"/>
          <w:szCs w:val="22"/>
        </w:rPr>
        <w:t>Pred poskytnutím pomoci bude vypracovaná schéma štátnej pomoci podľa nariadenia Komisie (E</w:t>
      </w:r>
      <w:r w:rsidRPr="002B0998">
        <w:rPr>
          <w:color w:val="000000" w:themeColor="text1"/>
          <w:sz w:val="22"/>
          <w:szCs w:val="22"/>
        </w:rPr>
        <w:t xml:space="preserve">Ú) č. 651/2014 </w:t>
      </w:r>
      <w:r w:rsidRPr="00442ED1">
        <w:rPr>
          <w:sz w:val="22"/>
          <w:szCs w:val="22"/>
        </w:rPr>
        <w:t xml:space="preserve">zo 17. júna 2014 o vyhlásení určitých kategórií pomoci za zlučiteľné s vnútorným trhom podľa článkov 107 a 108 zmluvy v platnom znení alebo podľa </w:t>
      </w:r>
      <w:r>
        <w:rPr>
          <w:sz w:val="22"/>
          <w:szCs w:val="22"/>
        </w:rPr>
        <w:t xml:space="preserve">usmernení </w:t>
      </w:r>
      <w:r>
        <w:rPr>
          <w:color w:val="000000" w:themeColor="text1"/>
          <w:sz w:val="22"/>
          <w:szCs w:val="22"/>
        </w:rPr>
        <w:t xml:space="preserve">EÚ </w:t>
      </w:r>
      <w:r w:rsidRPr="001A1926">
        <w:rPr>
          <w:color w:val="000000" w:themeColor="text1"/>
          <w:sz w:val="22"/>
          <w:szCs w:val="22"/>
        </w:rPr>
        <w:t>pre uplatňovanie pravidie</w:t>
      </w:r>
      <w:r>
        <w:rPr>
          <w:color w:val="000000" w:themeColor="text1"/>
          <w:sz w:val="22"/>
          <w:szCs w:val="22"/>
        </w:rPr>
        <w:t>l štátnej pomoci v súvislosti s </w:t>
      </w:r>
      <w:r w:rsidRPr="001A1926">
        <w:rPr>
          <w:color w:val="000000" w:themeColor="text1"/>
          <w:sz w:val="22"/>
          <w:szCs w:val="22"/>
        </w:rPr>
        <w:t xml:space="preserve">rýchlym zavádzaním širokopásmových sietí </w:t>
      </w:r>
      <w:r>
        <w:rPr>
          <w:color w:val="000000" w:themeColor="text1"/>
          <w:sz w:val="22"/>
          <w:szCs w:val="22"/>
        </w:rPr>
        <w:t>2013</w:t>
      </w:r>
      <w:r w:rsidRPr="001A1926">
        <w:rPr>
          <w:color w:val="000000" w:themeColor="text1"/>
          <w:sz w:val="22"/>
          <w:szCs w:val="22"/>
        </w:rPr>
        <w:t>/C 25/0</w:t>
      </w:r>
      <w:r>
        <w:rPr>
          <w:color w:val="000000" w:themeColor="text1"/>
          <w:sz w:val="22"/>
          <w:szCs w:val="22"/>
        </w:rPr>
        <w:t>1.</w:t>
      </w:r>
    </w:p>
    <w:p w14:paraId="7254C98E" w14:textId="31DA6DBD" w:rsidR="001A1926" w:rsidRPr="001A1926" w:rsidRDefault="001A1926" w:rsidP="001A1926">
      <w:pPr>
        <w:spacing w:after="180"/>
        <w:jc w:val="both"/>
        <w:rPr>
          <w:color w:val="000000" w:themeColor="text1"/>
          <w:sz w:val="22"/>
          <w:szCs w:val="22"/>
        </w:rPr>
      </w:pPr>
      <w:r w:rsidRPr="001A1926">
        <w:rPr>
          <w:color w:val="000000" w:themeColor="text1"/>
          <w:sz w:val="22"/>
          <w:szCs w:val="22"/>
        </w:rPr>
        <w:t xml:space="preserve">V rámci podporovaných projektov budú budované regionálne </w:t>
      </w:r>
      <w:r w:rsidR="005D2B99">
        <w:rPr>
          <w:color w:val="000000" w:themeColor="text1"/>
          <w:sz w:val="22"/>
          <w:szCs w:val="22"/>
        </w:rPr>
        <w:t xml:space="preserve">a prístupové </w:t>
      </w:r>
      <w:r w:rsidRPr="001A1926">
        <w:rPr>
          <w:color w:val="000000" w:themeColor="text1"/>
          <w:sz w:val="22"/>
          <w:szCs w:val="22"/>
        </w:rPr>
        <w:t xml:space="preserve">siete do bielych a šedých miest. Pri budovaní regionálnej </w:t>
      </w:r>
      <w:r w:rsidR="005D2B99">
        <w:rPr>
          <w:color w:val="000000" w:themeColor="text1"/>
          <w:sz w:val="22"/>
          <w:szCs w:val="22"/>
        </w:rPr>
        <w:t xml:space="preserve">a prístupovej </w:t>
      </w:r>
      <w:r w:rsidRPr="001A1926">
        <w:rPr>
          <w:color w:val="000000" w:themeColor="text1"/>
          <w:sz w:val="22"/>
          <w:szCs w:val="22"/>
        </w:rPr>
        <w:t xml:space="preserve">siete do </w:t>
      </w:r>
      <w:r w:rsidR="005D2B99">
        <w:rPr>
          <w:color w:val="000000" w:themeColor="text1"/>
          <w:sz w:val="22"/>
          <w:szCs w:val="22"/>
        </w:rPr>
        <w:t xml:space="preserve">bielych a šedých miest </w:t>
      </w:r>
      <w:r w:rsidRPr="001A1926">
        <w:rPr>
          <w:color w:val="000000" w:themeColor="text1"/>
          <w:sz w:val="22"/>
          <w:szCs w:val="22"/>
        </w:rPr>
        <w:t xml:space="preserve">budú </w:t>
      </w:r>
      <w:r w:rsidR="005D2B99">
        <w:rPr>
          <w:color w:val="000000" w:themeColor="text1"/>
          <w:sz w:val="22"/>
          <w:szCs w:val="22"/>
        </w:rPr>
        <w:t>pripojené</w:t>
      </w:r>
      <w:r w:rsidR="005D2B99" w:rsidRPr="001A1926">
        <w:rPr>
          <w:color w:val="000000" w:themeColor="text1"/>
          <w:sz w:val="22"/>
          <w:szCs w:val="22"/>
        </w:rPr>
        <w:t xml:space="preserve"> </w:t>
      </w:r>
      <w:r w:rsidRPr="001A1926">
        <w:rPr>
          <w:color w:val="000000" w:themeColor="text1"/>
          <w:sz w:val="22"/>
          <w:szCs w:val="22"/>
        </w:rPr>
        <w:t xml:space="preserve">aj </w:t>
      </w:r>
      <w:r w:rsidR="005D2B99">
        <w:rPr>
          <w:color w:val="000000" w:themeColor="text1"/>
          <w:sz w:val="22"/>
          <w:szCs w:val="22"/>
        </w:rPr>
        <w:t xml:space="preserve">biele prípadne šedé miesta </w:t>
      </w:r>
      <w:r w:rsidRPr="001A1926">
        <w:rPr>
          <w:color w:val="000000" w:themeColor="text1"/>
          <w:sz w:val="22"/>
          <w:szCs w:val="22"/>
        </w:rPr>
        <w:t>ležiace pozdĺž línie trasy. Regionálne siet</w:t>
      </w:r>
      <w:r w:rsidR="00D64980">
        <w:rPr>
          <w:color w:val="000000" w:themeColor="text1"/>
          <w:sz w:val="22"/>
          <w:szCs w:val="22"/>
        </w:rPr>
        <w:t>e budú budované s pripojením do </w:t>
      </w:r>
      <w:r w:rsidRPr="001A1926">
        <w:rPr>
          <w:color w:val="000000" w:themeColor="text1"/>
          <w:sz w:val="22"/>
          <w:szCs w:val="22"/>
        </w:rPr>
        <w:t>chrbticových sietí prevádzkovateľov</w:t>
      </w:r>
      <w:r w:rsidR="008C424D">
        <w:rPr>
          <w:color w:val="000000" w:themeColor="text1"/>
          <w:sz w:val="22"/>
          <w:szCs w:val="22"/>
        </w:rPr>
        <w:t xml:space="preserve"> širokopásmového internetového pripojenia</w:t>
      </w:r>
      <w:r w:rsidRPr="001A1926">
        <w:rPr>
          <w:color w:val="000000" w:themeColor="text1"/>
          <w:sz w:val="22"/>
          <w:szCs w:val="22"/>
        </w:rPr>
        <w:t>.</w:t>
      </w:r>
    </w:p>
    <w:p w14:paraId="39C53869" w14:textId="32D3C797" w:rsidR="001A1926" w:rsidRPr="001A1926" w:rsidRDefault="001A1926" w:rsidP="001A1926">
      <w:pPr>
        <w:spacing w:after="180"/>
        <w:jc w:val="both"/>
        <w:rPr>
          <w:color w:val="000000" w:themeColor="text1"/>
          <w:sz w:val="22"/>
          <w:szCs w:val="22"/>
        </w:rPr>
      </w:pPr>
      <w:r w:rsidRPr="001A1926">
        <w:rPr>
          <w:color w:val="000000" w:themeColor="text1"/>
          <w:sz w:val="22"/>
          <w:szCs w:val="22"/>
        </w:rPr>
        <w:lastRenderedPageBreak/>
        <w:t xml:space="preserve">Investície do budovania regionálnych sietí pre pokrytie bielych miest budú ďalej </w:t>
      </w:r>
      <w:r w:rsidR="007D50EA">
        <w:rPr>
          <w:color w:val="000000" w:themeColor="text1"/>
          <w:sz w:val="22"/>
          <w:szCs w:val="22"/>
        </w:rPr>
        <w:t>podporené krokmi na </w:t>
      </w:r>
      <w:r w:rsidRPr="001A1926">
        <w:rPr>
          <w:color w:val="000000" w:themeColor="text1"/>
          <w:sz w:val="22"/>
          <w:szCs w:val="22"/>
        </w:rPr>
        <w:t>podporu nadväzujúcich prístupových sietí. Pre dosiahnutie rýchlostí nad 30 Mbit/s je nutné budovať prístupové siete na princípe prístupu novej generácie (NGN). Základným predpokladom je existencia chrbticových a regionálnych sietí s dostatočnou kapacitou založenou na optických vláknach</w:t>
      </w:r>
      <w:r w:rsidR="00B56344">
        <w:rPr>
          <w:color w:val="000000" w:themeColor="text1"/>
          <w:sz w:val="22"/>
          <w:szCs w:val="22"/>
        </w:rPr>
        <w:t>, resp. ekvivalentnej technológi</w:t>
      </w:r>
      <w:r w:rsidR="004712AB">
        <w:rPr>
          <w:color w:val="000000" w:themeColor="text1"/>
          <w:sz w:val="22"/>
          <w:szCs w:val="22"/>
        </w:rPr>
        <w:t>i</w:t>
      </w:r>
      <w:r w:rsidR="00B56344">
        <w:rPr>
          <w:color w:val="000000" w:themeColor="text1"/>
          <w:sz w:val="22"/>
          <w:szCs w:val="22"/>
        </w:rPr>
        <w:t xml:space="preserve"> schopnej zabezpečiť požadovanú rýchlosť</w:t>
      </w:r>
      <w:r w:rsidR="0079261E">
        <w:rPr>
          <w:color w:val="000000" w:themeColor="text1"/>
          <w:sz w:val="22"/>
          <w:szCs w:val="22"/>
        </w:rPr>
        <w:t xml:space="preserve"> internetového pripojenia</w:t>
      </w:r>
      <w:r w:rsidRPr="001A1926">
        <w:rPr>
          <w:color w:val="000000" w:themeColor="text1"/>
          <w:sz w:val="22"/>
          <w:szCs w:val="22"/>
        </w:rPr>
        <w:t>.</w:t>
      </w:r>
    </w:p>
    <w:p w14:paraId="5E11D64E" w14:textId="77777777" w:rsidR="001A1926" w:rsidRPr="001A1926" w:rsidRDefault="001A1926" w:rsidP="001A1926">
      <w:pPr>
        <w:spacing w:after="180"/>
        <w:jc w:val="both"/>
        <w:rPr>
          <w:color w:val="000000" w:themeColor="text1"/>
          <w:sz w:val="22"/>
          <w:szCs w:val="22"/>
        </w:rPr>
      </w:pPr>
      <w:r w:rsidRPr="001A1926">
        <w:rPr>
          <w:color w:val="000000" w:themeColor="text1"/>
          <w:sz w:val="22"/>
          <w:szCs w:val="22"/>
        </w:rPr>
        <w:t>Kvôli vysokej investícii a minimálnej návratnosti sa použije v približne 9 % bielych miest technológia bezdrôtového mikrovlnného prenosu pomocou rádioreleových spojov. Toto prepojenie bude uskutočnené dvoma aktívnymi skokmi na preklenutie priemernej vzd</w:t>
      </w:r>
      <w:r w:rsidR="002C1444">
        <w:rPr>
          <w:color w:val="000000" w:themeColor="text1"/>
          <w:sz w:val="22"/>
          <w:szCs w:val="22"/>
        </w:rPr>
        <w:t>ialenosti k obciam v hodnote 50 </w:t>
      </w:r>
      <w:r w:rsidRPr="001A1926">
        <w:rPr>
          <w:color w:val="000000" w:themeColor="text1"/>
          <w:sz w:val="22"/>
          <w:szCs w:val="22"/>
        </w:rPr>
        <w:t>km. Treba spresniť, že sa bude jednať o tzv. reťazenie spojov, kde počet skokov, či už aktívnych alebo pasívnych záleží nielen od vzdialenosti, ale aj od profilu terénu, od požadovaného výkonu, veľkosti parabol a použitej prevádzkovej frekvencie. Týmto spôsobom možno poskytnúť v obciach agregovanú rýchlosť 300 Mbit/s. Pre individuálne domácnosti to predstavuje splnenie cieľa 30 Mbit/s v prípade 10 pripojení, ktoré možno v tak malých obciach očakávať.</w:t>
      </w:r>
    </w:p>
    <w:p w14:paraId="6D575715" w14:textId="0556AF43" w:rsidR="004712AB" w:rsidRDefault="001A1926" w:rsidP="004712AB">
      <w:pPr>
        <w:spacing w:after="180"/>
        <w:jc w:val="both"/>
        <w:rPr>
          <w:color w:val="000000" w:themeColor="text1"/>
          <w:sz w:val="22"/>
          <w:szCs w:val="22"/>
        </w:rPr>
      </w:pPr>
      <w:r w:rsidRPr="001A1926">
        <w:rPr>
          <w:color w:val="000000" w:themeColor="text1"/>
          <w:sz w:val="22"/>
          <w:szCs w:val="22"/>
        </w:rPr>
        <w:t xml:space="preserve">Budovanie </w:t>
      </w:r>
      <w:r w:rsidR="00614692">
        <w:rPr>
          <w:color w:val="000000" w:themeColor="text1"/>
          <w:sz w:val="22"/>
          <w:szCs w:val="22"/>
        </w:rPr>
        <w:t xml:space="preserve">širokopásmových </w:t>
      </w:r>
      <w:r w:rsidRPr="001A1926">
        <w:rPr>
          <w:color w:val="000000" w:themeColor="text1"/>
          <w:sz w:val="22"/>
          <w:szCs w:val="22"/>
        </w:rPr>
        <w:t>sietí</w:t>
      </w:r>
      <w:r w:rsidR="002D168A">
        <w:rPr>
          <w:color w:val="000000" w:themeColor="text1"/>
          <w:sz w:val="22"/>
          <w:szCs w:val="22"/>
        </w:rPr>
        <w:t xml:space="preserve"> prostredníctvom dopytových</w:t>
      </w:r>
      <w:r w:rsidR="00614692">
        <w:rPr>
          <w:color w:val="000000" w:themeColor="text1"/>
          <w:sz w:val="22"/>
          <w:szCs w:val="22"/>
        </w:rPr>
        <w:t>, resp. národných</w:t>
      </w:r>
      <w:r w:rsidR="002D168A">
        <w:rPr>
          <w:color w:val="000000" w:themeColor="text1"/>
          <w:sz w:val="22"/>
          <w:szCs w:val="22"/>
        </w:rPr>
        <w:t xml:space="preserve"> projektov a návratných finančných nástrojov (ak relevantné na základe ex-ante hodnotenia) bude realizované </w:t>
      </w:r>
      <w:r w:rsidR="004712AB">
        <w:rPr>
          <w:color w:val="000000" w:themeColor="text1"/>
          <w:sz w:val="22"/>
          <w:szCs w:val="22"/>
        </w:rPr>
        <w:t>v</w:t>
      </w:r>
      <w:r w:rsidR="004E1090">
        <w:rPr>
          <w:color w:val="000000" w:themeColor="text1"/>
          <w:sz w:val="22"/>
          <w:szCs w:val="22"/>
        </w:rPr>
        <w:t xml:space="preserve"> bielych miestach v </w:t>
      </w:r>
      <w:r w:rsidR="004712AB">
        <w:rPr>
          <w:color w:val="000000" w:themeColor="text1"/>
          <w:sz w:val="22"/>
          <w:szCs w:val="22"/>
        </w:rPr>
        <w:t xml:space="preserve">obciach nad 500 obyvateľov v oblastiach, ktoré nebudú dostatočne atraktívne pre operátorov (súkromné investície). Budovanie </w:t>
      </w:r>
      <w:r w:rsidR="00614692">
        <w:rPr>
          <w:color w:val="000000" w:themeColor="text1"/>
          <w:sz w:val="22"/>
          <w:szCs w:val="22"/>
        </w:rPr>
        <w:t>širokopásmových</w:t>
      </w:r>
      <w:r w:rsidR="004712AB">
        <w:rPr>
          <w:color w:val="000000" w:themeColor="text1"/>
          <w:sz w:val="22"/>
          <w:szCs w:val="22"/>
        </w:rPr>
        <w:t xml:space="preserve"> sietí bude komplementárne k aktivitám podporený</w:t>
      </w:r>
      <w:r w:rsidR="004E1090">
        <w:rPr>
          <w:color w:val="000000" w:themeColor="text1"/>
          <w:sz w:val="22"/>
          <w:szCs w:val="22"/>
        </w:rPr>
        <w:t>m</w:t>
      </w:r>
      <w:r w:rsidR="004712AB">
        <w:rPr>
          <w:color w:val="000000" w:themeColor="text1"/>
          <w:sz w:val="22"/>
          <w:szCs w:val="22"/>
        </w:rPr>
        <w:t xml:space="preserve"> v rámci Programu rozvoja vidieka 2014 – 2020.</w:t>
      </w:r>
    </w:p>
    <w:p w14:paraId="5BDD2E29" w14:textId="38F5814D" w:rsidR="004E1090" w:rsidRPr="001A1926" w:rsidRDefault="004E1090" w:rsidP="004712AB">
      <w:pPr>
        <w:spacing w:after="180"/>
        <w:jc w:val="both"/>
        <w:rPr>
          <w:color w:val="000000" w:themeColor="text1"/>
          <w:sz w:val="22"/>
          <w:szCs w:val="22"/>
        </w:rPr>
      </w:pPr>
      <w:r w:rsidRPr="004E1090">
        <w:rPr>
          <w:color w:val="000000" w:themeColor="text1"/>
          <w:sz w:val="22"/>
          <w:szCs w:val="22"/>
        </w:rPr>
        <w:t xml:space="preserve">Súbežne s týmito aktivitami sa bude </w:t>
      </w:r>
      <w:r>
        <w:rPr>
          <w:color w:val="000000" w:themeColor="text1"/>
          <w:sz w:val="22"/>
          <w:szCs w:val="22"/>
        </w:rPr>
        <w:t>analy</w:t>
      </w:r>
      <w:r w:rsidRPr="004E1090">
        <w:rPr>
          <w:color w:val="000000" w:themeColor="text1"/>
          <w:sz w:val="22"/>
          <w:szCs w:val="22"/>
        </w:rPr>
        <w:t>zovať možnosť</w:t>
      </w:r>
      <w:r w:rsidR="008202E2">
        <w:rPr>
          <w:color w:val="000000" w:themeColor="text1"/>
          <w:sz w:val="22"/>
          <w:szCs w:val="22"/>
        </w:rPr>
        <w:t xml:space="preserve"> pokrývania hlavných cestných a </w:t>
      </w:r>
      <w:r w:rsidRPr="004E1090">
        <w:rPr>
          <w:color w:val="000000" w:themeColor="text1"/>
          <w:sz w:val="22"/>
          <w:szCs w:val="22"/>
        </w:rPr>
        <w:t>železničných ťahov telekomunikačnou infraštruktúrou umožňujúcou ich pokrytie mobilnými dátami (4G a 5G).</w:t>
      </w:r>
    </w:p>
    <w:p w14:paraId="4AB4BE49" w14:textId="77777777" w:rsidR="00E92F9B" w:rsidRDefault="00E92F9B">
      <w:pPr>
        <w:pStyle w:val="Odsekzoznamu"/>
        <w:jc w:val="both"/>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7F1C63" w:rsidRPr="007F1C63" w14:paraId="6C0E2AC1" w14:textId="77777777" w:rsidTr="007F1C63">
        <w:trPr>
          <w:trHeight w:val="340"/>
          <w:jc w:val="center"/>
        </w:trPr>
        <w:tc>
          <w:tcPr>
            <w:tcW w:w="3288" w:type="dxa"/>
            <w:shd w:val="clear" w:color="auto" w:fill="DBE5F1" w:themeFill="accent1" w:themeFillTint="33"/>
            <w:vAlign w:val="center"/>
          </w:tcPr>
          <w:p w14:paraId="12F4C187" w14:textId="77777777" w:rsidR="007F1C63" w:rsidRPr="007F1C63" w:rsidRDefault="007F1C63" w:rsidP="007F1C63">
            <w:pPr>
              <w:autoSpaceDE w:val="0"/>
              <w:autoSpaceDN w:val="0"/>
              <w:adjustRightInd w:val="0"/>
              <w:ind w:left="0"/>
              <w:rPr>
                <w:i/>
                <w:sz w:val="22"/>
                <w:szCs w:val="22"/>
              </w:rPr>
            </w:pPr>
            <w:r w:rsidRPr="007F1C63">
              <w:rPr>
                <w:i/>
                <w:sz w:val="22"/>
                <w:szCs w:val="22"/>
              </w:rPr>
              <w:t>Cieľové skupiny:</w:t>
            </w:r>
          </w:p>
        </w:tc>
        <w:tc>
          <w:tcPr>
            <w:tcW w:w="5784" w:type="dxa"/>
            <w:vAlign w:val="center"/>
          </w:tcPr>
          <w:p w14:paraId="52B104B3" w14:textId="77777777" w:rsidR="009E0158" w:rsidRDefault="007F1C63" w:rsidP="00314DF8">
            <w:pPr>
              <w:numPr>
                <w:ilvl w:val="0"/>
                <w:numId w:val="27"/>
              </w:numPr>
              <w:autoSpaceDE w:val="0"/>
              <w:autoSpaceDN w:val="0"/>
              <w:adjustRightInd w:val="0"/>
              <w:ind w:left="284" w:hanging="284"/>
              <w:contextualSpacing/>
              <w:rPr>
                <w:sz w:val="22"/>
                <w:szCs w:val="22"/>
              </w:rPr>
            </w:pPr>
            <w:r w:rsidRPr="007F1C63">
              <w:rPr>
                <w:sz w:val="22"/>
                <w:szCs w:val="22"/>
              </w:rPr>
              <w:t>široká verejnosť</w:t>
            </w:r>
          </w:p>
        </w:tc>
      </w:tr>
      <w:tr w:rsidR="007F1C63" w:rsidRPr="007F1C63" w14:paraId="2E7A6A85" w14:textId="77777777" w:rsidTr="007F1C63">
        <w:trPr>
          <w:trHeight w:val="340"/>
          <w:jc w:val="center"/>
        </w:trPr>
        <w:tc>
          <w:tcPr>
            <w:tcW w:w="3288" w:type="dxa"/>
            <w:shd w:val="clear" w:color="auto" w:fill="DBE5F1" w:themeFill="accent1" w:themeFillTint="33"/>
            <w:vAlign w:val="center"/>
          </w:tcPr>
          <w:p w14:paraId="768B253F" w14:textId="77777777" w:rsidR="007F1C63" w:rsidRPr="007F1C63" w:rsidRDefault="007F1C63" w:rsidP="007F1C63">
            <w:pPr>
              <w:autoSpaceDE w:val="0"/>
              <w:autoSpaceDN w:val="0"/>
              <w:adjustRightInd w:val="0"/>
              <w:ind w:left="0"/>
              <w:rPr>
                <w:i/>
                <w:sz w:val="22"/>
                <w:szCs w:val="22"/>
              </w:rPr>
            </w:pPr>
            <w:r w:rsidRPr="007F1C63">
              <w:rPr>
                <w:i/>
                <w:sz w:val="22"/>
                <w:szCs w:val="22"/>
              </w:rPr>
              <w:t>Cieľové územia:</w:t>
            </w:r>
          </w:p>
        </w:tc>
        <w:tc>
          <w:tcPr>
            <w:tcW w:w="5784" w:type="dxa"/>
            <w:vAlign w:val="center"/>
          </w:tcPr>
          <w:p w14:paraId="5320DAE5" w14:textId="77777777" w:rsidR="009E0158" w:rsidRDefault="007F1C63" w:rsidP="00314DF8">
            <w:pPr>
              <w:numPr>
                <w:ilvl w:val="0"/>
                <w:numId w:val="27"/>
              </w:numPr>
              <w:autoSpaceDE w:val="0"/>
              <w:autoSpaceDN w:val="0"/>
              <w:adjustRightInd w:val="0"/>
              <w:ind w:left="284" w:hanging="284"/>
              <w:contextualSpacing/>
              <w:rPr>
                <w:sz w:val="22"/>
                <w:szCs w:val="22"/>
              </w:rPr>
            </w:pPr>
            <w:r w:rsidRPr="007F1C63">
              <w:rPr>
                <w:sz w:val="22"/>
                <w:szCs w:val="22"/>
              </w:rPr>
              <w:t xml:space="preserve">NUTS </w:t>
            </w:r>
            <w:r w:rsidR="001A1926">
              <w:rPr>
                <w:sz w:val="22"/>
                <w:szCs w:val="22"/>
              </w:rPr>
              <w:t>1</w:t>
            </w:r>
          </w:p>
        </w:tc>
      </w:tr>
      <w:tr w:rsidR="007F1C63" w:rsidRPr="007F1C63" w14:paraId="367FB141" w14:textId="77777777" w:rsidTr="007F1C63">
        <w:trPr>
          <w:trHeight w:val="340"/>
          <w:jc w:val="center"/>
        </w:trPr>
        <w:tc>
          <w:tcPr>
            <w:tcW w:w="3288" w:type="dxa"/>
            <w:shd w:val="clear" w:color="auto" w:fill="DBE5F1" w:themeFill="accent1" w:themeFillTint="33"/>
            <w:vAlign w:val="center"/>
          </w:tcPr>
          <w:p w14:paraId="2955364D" w14:textId="77777777" w:rsidR="007F1C63" w:rsidRPr="007F1C63" w:rsidRDefault="007F1C63" w:rsidP="007F1C63">
            <w:pPr>
              <w:autoSpaceDE w:val="0"/>
              <w:autoSpaceDN w:val="0"/>
              <w:adjustRightInd w:val="0"/>
              <w:ind w:left="0"/>
              <w:rPr>
                <w:i/>
                <w:sz w:val="22"/>
                <w:szCs w:val="22"/>
              </w:rPr>
            </w:pPr>
            <w:r w:rsidRPr="007F1C63">
              <w:rPr>
                <w:i/>
                <w:sz w:val="22"/>
                <w:szCs w:val="22"/>
              </w:rPr>
              <w:t>Prijímatelia:</w:t>
            </w:r>
          </w:p>
        </w:tc>
        <w:tc>
          <w:tcPr>
            <w:tcW w:w="5784" w:type="dxa"/>
            <w:vAlign w:val="center"/>
          </w:tcPr>
          <w:p w14:paraId="4510F479" w14:textId="650316C2" w:rsidR="009E0158" w:rsidRDefault="001A1926" w:rsidP="00AD5FF0">
            <w:pPr>
              <w:numPr>
                <w:ilvl w:val="0"/>
                <w:numId w:val="27"/>
              </w:numPr>
              <w:autoSpaceDE w:val="0"/>
              <w:autoSpaceDN w:val="0"/>
              <w:adjustRightInd w:val="0"/>
              <w:ind w:left="284" w:hanging="284"/>
              <w:contextualSpacing/>
              <w:rPr>
                <w:sz w:val="22"/>
                <w:szCs w:val="22"/>
              </w:rPr>
            </w:pPr>
            <w:r>
              <w:rPr>
                <w:sz w:val="22"/>
                <w:szCs w:val="22"/>
              </w:rPr>
              <w:t xml:space="preserve">napr. </w:t>
            </w:r>
            <w:r w:rsidR="001218A8" w:rsidRPr="001218A8">
              <w:rPr>
                <w:sz w:val="22"/>
                <w:szCs w:val="22"/>
              </w:rPr>
              <w:t>obec, rozpočtová organizácia, príspevková organizácia</w:t>
            </w:r>
            <w:r w:rsidR="00535AC0">
              <w:rPr>
                <w:sz w:val="22"/>
                <w:szCs w:val="22"/>
              </w:rPr>
              <w:t xml:space="preserve">, </w:t>
            </w:r>
            <w:r w:rsidR="00BD2381">
              <w:rPr>
                <w:sz w:val="22"/>
                <w:szCs w:val="22"/>
              </w:rPr>
              <w:t xml:space="preserve">štátny podnik, </w:t>
            </w:r>
            <w:r w:rsidR="005134EA">
              <w:rPr>
                <w:sz w:val="22"/>
                <w:szCs w:val="22"/>
              </w:rPr>
              <w:t xml:space="preserve">subjekty vykonávajúce hospodársku činnosť, t. j. podniky v zmysle čl. 107 Zmluvy o fungovaní EÚ bez ohľadu na právny status, </w:t>
            </w:r>
            <w:r w:rsidR="00BD2381">
              <w:rPr>
                <w:sz w:val="22"/>
                <w:szCs w:val="22"/>
              </w:rPr>
              <w:t xml:space="preserve">záujmové združenie právnických osôb, </w:t>
            </w:r>
            <w:r w:rsidR="00AD5FF0">
              <w:rPr>
                <w:sz w:val="22"/>
                <w:szCs w:val="22"/>
              </w:rPr>
              <w:t xml:space="preserve">ŽSR, </w:t>
            </w:r>
            <w:r w:rsidR="002D7A28">
              <w:rPr>
                <w:sz w:val="22"/>
                <w:szCs w:val="22"/>
              </w:rPr>
              <w:t>operátori železničnej verejnej osobnej dopravy</w:t>
            </w:r>
            <w:r w:rsidR="004E1090">
              <w:rPr>
                <w:sz w:val="22"/>
                <w:szCs w:val="22"/>
              </w:rPr>
              <w:t>, NDS, SSC.</w:t>
            </w:r>
          </w:p>
        </w:tc>
      </w:tr>
    </w:tbl>
    <w:p w14:paraId="5BBFE8A6" w14:textId="77777777" w:rsidR="009E0158" w:rsidRPr="00314DF8" w:rsidRDefault="00AF27FE" w:rsidP="00314DF8">
      <w:pPr>
        <w:pStyle w:val="Nadpis4"/>
        <w:numPr>
          <w:ilvl w:val="3"/>
          <w:numId w:val="103"/>
        </w:numPr>
      </w:pPr>
      <w:r w:rsidRPr="00314DF8">
        <w:t>Hlavné zásady výberu projektov</w:t>
      </w:r>
    </w:p>
    <w:p w14:paraId="6C4D0091" w14:textId="77777777" w:rsidR="00AF27FE" w:rsidRDefault="00AF27FE" w:rsidP="00AF27FE">
      <w:pPr>
        <w:pStyle w:val="06Normal"/>
      </w:pPr>
      <w:r w:rsidRPr="00B02869">
        <w:t>S</w:t>
      </w:r>
      <w:r>
        <w:t> </w:t>
      </w:r>
      <w:r w:rsidRPr="00B02869">
        <w:t>cieľom zabezpečiť efektívne a</w:t>
      </w:r>
      <w:r>
        <w:t> </w:t>
      </w:r>
      <w:r w:rsidRPr="00B02869">
        <w:t>transparentné čerpanie finančných prostriedkov z</w:t>
      </w:r>
      <w:r>
        <w:t> </w:t>
      </w:r>
      <w:r w:rsidRPr="00B02869">
        <w:t>fondov EÚ, alokovaných pre prioritnú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14:paraId="611BB9D4" w14:textId="3C424786" w:rsidR="005B3236" w:rsidRPr="00CF2C83" w:rsidRDefault="005B3236" w:rsidP="005B3236">
      <w:pPr>
        <w:pStyle w:val="06Normal"/>
      </w:pPr>
      <w:r w:rsidRPr="00CF2C83">
        <w:t>Vo vzťahu k podporovaným aktivitám OPII budú jednotliví prijímate</w:t>
      </w:r>
      <w:r w:rsidR="0089379E">
        <w:t>lia (nezávisle od toho či ide o </w:t>
      </w:r>
      <w:r w:rsidRPr="00CF2C83">
        <w:t>dopytovo orientované projekty alebo národné projekty) určení podľa výberových kritérií schválených Monitorovacím výborom</w:t>
      </w:r>
      <w:r w:rsidR="00377027">
        <w:t xml:space="preserve"> pre OPII</w:t>
      </w:r>
      <w:r w:rsidRPr="00CF2C83">
        <w:t>. V rámci realizácie projektov budovania širokopásmového internetu bude cieľom eliminovať nedostatky z programového obdobia 2007 – 2013, najmä však nedostatočnú spoluprácu relevantných subjektov.</w:t>
      </w:r>
    </w:p>
    <w:p w14:paraId="7FB4DD4B" w14:textId="1255A42E" w:rsidR="005B3236" w:rsidRPr="00CF2C83" w:rsidRDefault="00027D2D" w:rsidP="005B3236">
      <w:pPr>
        <w:pStyle w:val="06Normal"/>
      </w:pPr>
      <w:r>
        <w:t>Oprávnenými p</w:t>
      </w:r>
      <w:r w:rsidR="001E2FEF" w:rsidRPr="00721855">
        <w:t xml:space="preserve">rijímateľmi pomoci na zavádzanie </w:t>
      </w:r>
      <w:r w:rsidR="00377027">
        <w:t xml:space="preserve">regionálnych a prístupových </w:t>
      </w:r>
      <w:r w:rsidR="001E2FEF" w:rsidRPr="00721855">
        <w:t>vysokorýchlostných širokopásmových sietí budú telekom</w:t>
      </w:r>
      <w:r w:rsidR="001E2FEF">
        <w:t>unikačné</w:t>
      </w:r>
      <w:r w:rsidR="001E2FEF" w:rsidRPr="00721855">
        <w:t xml:space="preserve"> podniky alebo obce. V prípade, ak o pokrytie bieleho miesta neprejaví záujem ani jeden z vyššie spomenutých </w:t>
      </w:r>
      <w:r w:rsidR="001E2FEF">
        <w:t>subjektov</w:t>
      </w:r>
      <w:r w:rsidR="001E2FEF" w:rsidRPr="00721855">
        <w:t xml:space="preserve">, NGA siete do danej obce budú vybudované prostredníctvom </w:t>
      </w:r>
      <w:r w:rsidR="001E2FEF">
        <w:t>národného</w:t>
      </w:r>
      <w:r w:rsidR="001E2FEF" w:rsidRPr="00721855">
        <w:t xml:space="preserve"> </w:t>
      </w:r>
      <w:r w:rsidR="00377027">
        <w:t>projektu</w:t>
      </w:r>
      <w:r w:rsidR="001E2FEF" w:rsidRPr="00721855">
        <w:t>.</w:t>
      </w:r>
      <w:r w:rsidR="001E2FEF">
        <w:t xml:space="preserve"> </w:t>
      </w:r>
      <w:r w:rsidR="005B3236" w:rsidRPr="00CF2C83">
        <w:t>Nepriamymi prijímateľmi budú prevádzkovatelia elektronických komunikácií využívajúci nové siete pre poskytovanie maloobchodných služieb koncovým užívateľom a ďalšie podniky, ktoré sú koncovými užívateľmi v relevantnej oblasti.</w:t>
      </w:r>
      <w:r w:rsidR="00377027">
        <w:t xml:space="preserve"> Projekty budovania NGA sietí budú financované na základe </w:t>
      </w:r>
      <w:r w:rsidR="004E1090">
        <w:t xml:space="preserve">transparentného </w:t>
      </w:r>
      <w:r w:rsidR="00377027">
        <w:t>výberového procesu.</w:t>
      </w:r>
      <w:r w:rsidR="005B3236" w:rsidRPr="00CF2C83">
        <w:t xml:space="preserve"> Výstavba (stavebné práce, výstavba potrubia, tmavé vlákna atď.) bude vykonávaná spoločnosťami vybranými na základe verejného obstaráva</w:t>
      </w:r>
      <w:r w:rsidR="002C1444">
        <w:t>nia v súlade s </w:t>
      </w:r>
      <w:r w:rsidR="005B3236" w:rsidRPr="00CF2C83">
        <w:t>rele</w:t>
      </w:r>
      <w:r w:rsidR="0089379E">
        <w:t>vantnou národnou legislatívou a </w:t>
      </w:r>
      <w:r w:rsidR="005B3236" w:rsidRPr="00CF2C83">
        <w:t xml:space="preserve">smernicami EÚ o obstarávaní. Po výstavbe bude prevádzkovateľ novej siete ponúkať </w:t>
      </w:r>
      <w:r w:rsidR="005B3236" w:rsidRPr="00CF2C83">
        <w:lastRenderedPageBreak/>
        <w:t>veľkoobchodný prístup k sieti na otvorenom a nediskriminačnom základe prevádzkovateľom elektronických komunikácií, ktorí majú záujem pripojiť koncových užívateľov.</w:t>
      </w:r>
    </w:p>
    <w:p w14:paraId="3944B10C" w14:textId="6CAD6D12" w:rsidR="00AF27FE" w:rsidRDefault="00AF27FE" w:rsidP="00AF27FE">
      <w:pPr>
        <w:pStyle w:val="06Normal"/>
        <w:spacing w:after="120"/>
      </w:pPr>
      <w:r>
        <w:t>Vo vzťahu k</w:t>
      </w:r>
      <w:r w:rsidR="00A13E85">
        <w:t> </w:t>
      </w:r>
      <w:r>
        <w:t>vyzvaniam</w:t>
      </w:r>
      <w:r w:rsidR="00A13E85">
        <w:t>/výzvam</w:t>
      </w:r>
      <w:r>
        <w:t xml:space="preserve"> budú zohľadnené najmä nasledujúce princípy:</w:t>
      </w:r>
    </w:p>
    <w:p w14:paraId="1B48F06E" w14:textId="77777777" w:rsidR="009E0158" w:rsidRDefault="00AF27FE" w:rsidP="00314DF8">
      <w:pPr>
        <w:pStyle w:val="Odsekzoznamu"/>
        <w:numPr>
          <w:ilvl w:val="0"/>
          <w:numId w:val="27"/>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001E2FEF">
        <w:rPr>
          <w:sz w:val="22"/>
          <w:szCs w:val="20"/>
          <w:lang w:eastAsia="en-US"/>
        </w:rPr>
        <w:t>/výzvy</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001E2FEF">
        <w:rPr>
          <w:sz w:val="22"/>
          <w:szCs w:val="20"/>
          <w:lang w:eastAsia="en-US"/>
        </w:rPr>
        <w:t>/výzve</w:t>
      </w:r>
      <w:r w:rsidRPr="004C2534">
        <w:rPr>
          <w:sz w:val="22"/>
          <w:szCs w:val="20"/>
          <w:lang w:eastAsia="en-US"/>
        </w:rPr>
        <w:t xml:space="preserve"> v súlade s princípmi transparentnosti, nediskriminácie a rovnakého prístupu;</w:t>
      </w:r>
    </w:p>
    <w:p w14:paraId="583C61FC" w14:textId="77777777" w:rsidR="009E0158" w:rsidRDefault="00AF27FE" w:rsidP="00314DF8">
      <w:pPr>
        <w:pStyle w:val="Odsekzoznamu"/>
        <w:numPr>
          <w:ilvl w:val="0"/>
          <w:numId w:val="27"/>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14:paraId="1F87D8F7" w14:textId="77777777" w:rsidR="009E0158" w:rsidRDefault="00AF27FE" w:rsidP="00314DF8">
      <w:pPr>
        <w:pStyle w:val="Odsekzoznamu"/>
        <w:numPr>
          <w:ilvl w:val="0"/>
          <w:numId w:val="27"/>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w:t>
      </w:r>
      <w:r w:rsidR="001E2FEF">
        <w:rPr>
          <w:sz w:val="22"/>
          <w:szCs w:val="20"/>
          <w:lang w:eastAsia="en-US"/>
        </w:rPr>
        <w:t>alebo dopytovo-orientovaných</w:t>
      </w:r>
      <w:r w:rsidR="001E2FEF" w:rsidRPr="004C2534">
        <w:rPr>
          <w:sz w:val="22"/>
          <w:szCs w:val="20"/>
          <w:lang w:eastAsia="en-US"/>
        </w:rPr>
        <w:t xml:space="preserve"> </w:t>
      </w:r>
      <w:r w:rsidRPr="004C2534">
        <w:rPr>
          <w:sz w:val="22"/>
          <w:szCs w:val="20"/>
          <w:lang w:eastAsia="en-US"/>
        </w:rPr>
        <w:t xml:space="preserve">projektov, spolu so zvýšením dôrazu na kvalitnú prípravu takýchto </w:t>
      </w:r>
      <w:r>
        <w:rPr>
          <w:sz w:val="22"/>
          <w:szCs w:val="20"/>
          <w:lang w:eastAsia="en-US"/>
        </w:rPr>
        <w:t>projektov;</w:t>
      </w:r>
    </w:p>
    <w:p w14:paraId="399B3C18" w14:textId="77777777" w:rsidR="009E0158" w:rsidRDefault="002D168A" w:rsidP="00314DF8">
      <w:pPr>
        <w:pStyle w:val="Odsekzoznamu"/>
        <w:numPr>
          <w:ilvl w:val="0"/>
          <w:numId w:val="27"/>
        </w:numPr>
        <w:spacing w:before="120" w:after="120"/>
        <w:jc w:val="both"/>
        <w:rPr>
          <w:sz w:val="22"/>
          <w:szCs w:val="20"/>
          <w:lang w:eastAsia="en-US"/>
        </w:rPr>
      </w:pPr>
      <w:r w:rsidRPr="004A4CB1">
        <w:rPr>
          <w:sz w:val="22"/>
          <w:szCs w:val="20"/>
          <w:lang w:eastAsia="en-US"/>
        </w:rPr>
        <w:t>štúdie realizovateľnosti budú predmetom posúdenia a schválenia zo strany Riadiaceho výboru;</w:t>
      </w:r>
    </w:p>
    <w:p w14:paraId="135D3FAF" w14:textId="77777777" w:rsidR="009E0158" w:rsidRDefault="002D168A" w:rsidP="00314DF8">
      <w:pPr>
        <w:pStyle w:val="Odsekzoznamu"/>
        <w:numPr>
          <w:ilvl w:val="0"/>
          <w:numId w:val="27"/>
        </w:numPr>
        <w:spacing w:before="120" w:after="120"/>
        <w:jc w:val="both"/>
        <w:rPr>
          <w:sz w:val="22"/>
          <w:szCs w:val="20"/>
          <w:lang w:eastAsia="en-US"/>
        </w:rPr>
      </w:pPr>
      <w:r w:rsidRPr="004A4CB1">
        <w:rPr>
          <w:sz w:val="22"/>
          <w:szCs w:val="20"/>
          <w:lang w:eastAsia="en-US"/>
        </w:rPr>
        <w:t>projekty budú riadené v súlade s príslušnými štandardami (</w:t>
      </w:r>
      <w:r w:rsidR="001E2FEF">
        <w:rPr>
          <w:sz w:val="22"/>
          <w:szCs w:val="20"/>
          <w:lang w:eastAsia="en-US"/>
        </w:rPr>
        <w:t xml:space="preserve">napr. </w:t>
      </w:r>
      <w:r w:rsidRPr="004A4CB1">
        <w:rPr>
          <w:sz w:val="22"/>
          <w:szCs w:val="20"/>
          <w:lang w:eastAsia="en-US"/>
        </w:rPr>
        <w:t>riadenie informačno – technologických projektov, stavebný zákon);</w:t>
      </w:r>
    </w:p>
    <w:p w14:paraId="7B60E3AE" w14:textId="543E2AD9" w:rsidR="009E0158" w:rsidRDefault="002D168A" w:rsidP="00314DF8">
      <w:pPr>
        <w:pStyle w:val="Odsekzoznamu"/>
        <w:numPr>
          <w:ilvl w:val="0"/>
          <w:numId w:val="27"/>
        </w:numPr>
        <w:spacing w:before="120" w:after="120"/>
        <w:jc w:val="both"/>
      </w:pPr>
      <w:r w:rsidRPr="004A4CB1">
        <w:rPr>
          <w:sz w:val="22"/>
          <w:szCs w:val="20"/>
          <w:lang w:eastAsia="en-US"/>
        </w:rPr>
        <w:t>projekty budú predmetom posúdenia nezávislými hodnotiteľmi</w:t>
      </w:r>
      <w:r>
        <w:rPr>
          <w:sz w:val="22"/>
          <w:szCs w:val="20"/>
          <w:lang w:eastAsia="en-US"/>
        </w:rPr>
        <w:t>.</w:t>
      </w:r>
    </w:p>
    <w:p w14:paraId="4F0B7283" w14:textId="77777777" w:rsidR="00AF27FE" w:rsidRDefault="00AF27FE" w:rsidP="00AF27FE">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14:paraId="0534DF70" w14:textId="77777777" w:rsidR="009E0158" w:rsidRDefault="00AF27FE" w:rsidP="00314DF8">
      <w:pPr>
        <w:pStyle w:val="Odsekzoznamu"/>
        <w:numPr>
          <w:ilvl w:val="0"/>
          <w:numId w:val="27"/>
        </w:numPr>
        <w:spacing w:before="120" w:after="120"/>
        <w:jc w:val="both"/>
      </w:pPr>
      <w:r w:rsidRPr="004C2534">
        <w:rPr>
          <w:sz w:val="22"/>
          <w:szCs w:val="20"/>
          <w:lang w:eastAsia="en-US"/>
        </w:rPr>
        <w:t>jasne definovaným formátom projektu;</w:t>
      </w:r>
    </w:p>
    <w:p w14:paraId="586C88FA" w14:textId="77777777" w:rsidR="009E0158" w:rsidRDefault="00AF27FE" w:rsidP="00314DF8">
      <w:pPr>
        <w:pStyle w:val="Odsekzoznamu"/>
        <w:numPr>
          <w:ilvl w:val="0"/>
          <w:numId w:val="27"/>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14:paraId="56CFCEFD" w14:textId="77777777" w:rsidR="009E0158" w:rsidRDefault="00AF27FE" w:rsidP="00314DF8">
      <w:pPr>
        <w:pStyle w:val="Odsekzoznamu"/>
        <w:numPr>
          <w:ilvl w:val="0"/>
          <w:numId w:val="27"/>
        </w:numPr>
        <w:spacing w:before="120" w:after="120"/>
        <w:jc w:val="both"/>
      </w:pPr>
      <w:r w:rsidRPr="004C2534">
        <w:rPr>
          <w:sz w:val="22"/>
          <w:szCs w:val="20"/>
          <w:lang w:eastAsia="en-US"/>
        </w:rPr>
        <w:t>systémom opravných prostriedkov.</w:t>
      </w:r>
    </w:p>
    <w:p w14:paraId="7D449686" w14:textId="77777777" w:rsidR="009E0158" w:rsidRPr="00314DF8" w:rsidRDefault="007F1C63" w:rsidP="00314DF8">
      <w:pPr>
        <w:pStyle w:val="Nadpis4"/>
        <w:numPr>
          <w:ilvl w:val="3"/>
          <w:numId w:val="103"/>
        </w:numPr>
      </w:pPr>
      <w:r w:rsidRPr="00314DF8">
        <w:t>Plánované využitie finančných nástrojov</w:t>
      </w:r>
    </w:p>
    <w:p w14:paraId="4B4F91FC" w14:textId="77777777" w:rsidR="005B3236" w:rsidRPr="00CF2C83" w:rsidRDefault="005B3236" w:rsidP="005B3236">
      <w:pPr>
        <w:autoSpaceDE w:val="0"/>
        <w:autoSpaceDN w:val="0"/>
        <w:spacing w:after="120"/>
        <w:jc w:val="both"/>
        <w:rPr>
          <w:sz w:val="22"/>
          <w:szCs w:val="22"/>
        </w:rPr>
      </w:pPr>
      <w:r w:rsidRPr="00CF2C8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w:t>
      </w:r>
      <w:r w:rsidR="007D50EA">
        <w:rPr>
          <w:sz w:val="22"/>
          <w:szCs w:val="22"/>
        </w:rPr>
        <w:t>nancovanie, pri </w:t>
      </w:r>
      <w:r w:rsidRPr="00CF2C83">
        <w:rPr>
          <w:sz w:val="22"/>
          <w:szCs w:val="22"/>
        </w:rPr>
        <w:t>ktorom by ich realizácia bola efektívnou.</w:t>
      </w:r>
    </w:p>
    <w:p w14:paraId="46A03B66" w14:textId="77777777" w:rsidR="005B3236" w:rsidRPr="00182F14" w:rsidRDefault="005B3236" w:rsidP="005B3236">
      <w:pPr>
        <w:autoSpaceDE w:val="0"/>
        <w:autoSpaceDN w:val="0"/>
        <w:jc w:val="both"/>
        <w:rPr>
          <w:sz w:val="22"/>
          <w:szCs w:val="22"/>
        </w:rPr>
      </w:pPr>
      <w:r w:rsidRPr="00CF2C83">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r w:rsidRPr="00182F14">
        <w:rPr>
          <w:sz w:val="22"/>
          <w:szCs w:val="22"/>
        </w:rPr>
        <w:t xml:space="preserve"> </w:t>
      </w:r>
    </w:p>
    <w:p w14:paraId="0C13A381" w14:textId="64459F64" w:rsidR="009E0158" w:rsidRPr="00314DF8" w:rsidRDefault="007F1C63" w:rsidP="00314DF8">
      <w:pPr>
        <w:pStyle w:val="Nadpis4"/>
        <w:numPr>
          <w:ilvl w:val="3"/>
          <w:numId w:val="103"/>
        </w:numPr>
      </w:pPr>
      <w:r w:rsidRPr="00314DF8">
        <w:t>Plánované využitie veľkých projektov</w:t>
      </w:r>
    </w:p>
    <w:p w14:paraId="68745178" w14:textId="19AD2B7C" w:rsidR="007F1C63" w:rsidRPr="007F1C63" w:rsidRDefault="00D911D7" w:rsidP="007F1C63">
      <w:pPr>
        <w:jc w:val="both"/>
        <w:rPr>
          <w:sz w:val="22"/>
          <w:szCs w:val="22"/>
        </w:rPr>
      </w:pPr>
      <w:r>
        <w:rPr>
          <w:sz w:val="22"/>
          <w:szCs w:val="22"/>
        </w:rPr>
        <w:t>V rámci</w:t>
      </w:r>
      <w:r w:rsidR="00AF27FE" w:rsidRPr="00AF27FE">
        <w:rPr>
          <w:sz w:val="22"/>
          <w:szCs w:val="22"/>
        </w:rPr>
        <w:t xml:space="preserve"> </w:t>
      </w:r>
      <w:r>
        <w:rPr>
          <w:sz w:val="22"/>
          <w:szCs w:val="22"/>
        </w:rPr>
        <w:t xml:space="preserve">realizácie </w:t>
      </w:r>
      <w:r w:rsidR="00AF27FE" w:rsidRPr="00AF27FE">
        <w:rPr>
          <w:sz w:val="22"/>
          <w:szCs w:val="22"/>
        </w:rPr>
        <w:t xml:space="preserve">špecifického cieľa Zvýšenie pokrytia širokopásmovým internetom / NGN je </w:t>
      </w:r>
      <w:r>
        <w:rPr>
          <w:sz w:val="22"/>
          <w:szCs w:val="22"/>
        </w:rPr>
        <w:t xml:space="preserve">uvažované s využitím </w:t>
      </w:r>
      <w:r w:rsidR="00AF27FE" w:rsidRPr="00AF27FE">
        <w:rPr>
          <w:sz w:val="22"/>
          <w:szCs w:val="22"/>
        </w:rPr>
        <w:t>Národn</w:t>
      </w:r>
      <w:r>
        <w:rPr>
          <w:sz w:val="22"/>
          <w:szCs w:val="22"/>
        </w:rPr>
        <w:t>ého</w:t>
      </w:r>
      <w:r w:rsidR="00AF27FE" w:rsidRPr="00AF27FE">
        <w:rPr>
          <w:sz w:val="22"/>
          <w:szCs w:val="22"/>
        </w:rPr>
        <w:t xml:space="preserve"> projekt</w:t>
      </w:r>
      <w:r>
        <w:rPr>
          <w:sz w:val="22"/>
          <w:szCs w:val="22"/>
        </w:rPr>
        <w:t>u</w:t>
      </w:r>
      <w:r w:rsidR="00AF27FE" w:rsidRPr="00AF27FE">
        <w:rPr>
          <w:sz w:val="22"/>
          <w:szCs w:val="22"/>
        </w:rPr>
        <w:t xml:space="preserve"> výstavby regionálnych </w:t>
      </w:r>
      <w:r>
        <w:rPr>
          <w:sz w:val="22"/>
          <w:szCs w:val="22"/>
        </w:rPr>
        <w:t xml:space="preserve">širokopásmových </w:t>
      </w:r>
      <w:r w:rsidR="00AF27FE" w:rsidRPr="00AF27FE">
        <w:rPr>
          <w:sz w:val="22"/>
          <w:szCs w:val="22"/>
        </w:rPr>
        <w:t>sietí</w:t>
      </w:r>
      <w:r>
        <w:rPr>
          <w:sz w:val="22"/>
          <w:szCs w:val="22"/>
        </w:rPr>
        <w:t xml:space="preserve"> pre biele miesta, ktoré nebolo možné pokryť na základe dopytovo-orientovaných projektov.</w:t>
      </w:r>
    </w:p>
    <w:p w14:paraId="51665EFB" w14:textId="77777777" w:rsidR="009E0158" w:rsidRPr="009742F9" w:rsidRDefault="007F1C63" w:rsidP="009742F9">
      <w:pPr>
        <w:pStyle w:val="Nadpis4"/>
        <w:numPr>
          <w:ilvl w:val="3"/>
          <w:numId w:val="103"/>
        </w:numPr>
      </w:pPr>
      <w:r w:rsidRPr="007F1C63">
        <w:lastRenderedPageBreak/>
        <w:t>Ukazovatele výstupu na úrovni investičnej priority a kategórie regiónu</w:t>
      </w:r>
    </w:p>
    <w:p w14:paraId="5F569CB9" w14:textId="77777777" w:rsidR="00E92F9B" w:rsidRDefault="00AF27FE" w:rsidP="00976C76">
      <w:pPr>
        <w:pStyle w:val="Tab"/>
        <w:jc w:val="both"/>
      </w:pPr>
      <w:r>
        <w:t>Š</w:t>
      </w:r>
      <w:r w:rsidRPr="007F1C63">
        <w:t>pecifické</w:t>
      </w:r>
      <w:r w:rsidR="007F1C63" w:rsidRPr="007F1C63">
        <w:t xml:space="preserve"> ukazovatele výstupu investičnej priority </w:t>
      </w:r>
      <w:r>
        <w:t>2</w:t>
      </w:r>
      <w:r w:rsidR="007F1C63" w:rsidRPr="007F1C63">
        <w:t>a)</w:t>
      </w:r>
      <w:r>
        <w:t>, ŠC 7.1</w:t>
      </w:r>
      <w:r w:rsidRPr="00AF27FE">
        <w:t xml:space="preserve"> Zvýšenie pokrytia širokopásmovým internetom / NGN</w:t>
      </w:r>
    </w:p>
    <w:tbl>
      <w:tblPr>
        <w:tblStyle w:val="Mriekatabuky"/>
        <w:tblW w:w="9244" w:type="dxa"/>
        <w:jc w:val="center"/>
        <w:tblLayout w:type="fixed"/>
        <w:tblLook w:val="04A0" w:firstRow="1" w:lastRow="0" w:firstColumn="1" w:lastColumn="0" w:noHBand="0" w:noVBand="1"/>
      </w:tblPr>
      <w:tblGrid>
        <w:gridCol w:w="507"/>
        <w:gridCol w:w="3634"/>
        <w:gridCol w:w="850"/>
        <w:gridCol w:w="709"/>
        <w:gridCol w:w="908"/>
        <w:gridCol w:w="935"/>
        <w:gridCol w:w="850"/>
        <w:gridCol w:w="851"/>
      </w:tblGrid>
      <w:tr w:rsidR="00AF27FE" w:rsidRPr="002309F8" w14:paraId="72F75EB3" w14:textId="77777777" w:rsidTr="00B80F3A">
        <w:trPr>
          <w:trHeight w:val="340"/>
          <w:jc w:val="center"/>
        </w:trPr>
        <w:tc>
          <w:tcPr>
            <w:tcW w:w="507" w:type="dxa"/>
            <w:tcBorders>
              <w:bottom w:val="single" w:sz="4" w:space="0" w:color="auto"/>
            </w:tcBorders>
            <w:shd w:val="clear" w:color="auto" w:fill="C6D9F1" w:themeFill="text2" w:themeFillTint="33"/>
            <w:vAlign w:val="center"/>
          </w:tcPr>
          <w:p w14:paraId="18C7415F" w14:textId="77777777" w:rsidR="00AF27FE" w:rsidRPr="00AF27FE" w:rsidRDefault="001218A8" w:rsidP="00B80F3A">
            <w:pPr>
              <w:ind w:left="0"/>
              <w:jc w:val="center"/>
              <w:rPr>
                <w:b/>
                <w:sz w:val="18"/>
                <w:szCs w:val="18"/>
              </w:rPr>
            </w:pPr>
            <w:r w:rsidRPr="001218A8">
              <w:rPr>
                <w:b/>
                <w:sz w:val="18"/>
                <w:szCs w:val="18"/>
              </w:rPr>
              <w:t>P. č.</w:t>
            </w:r>
          </w:p>
        </w:tc>
        <w:tc>
          <w:tcPr>
            <w:tcW w:w="3634" w:type="dxa"/>
            <w:tcBorders>
              <w:bottom w:val="single" w:sz="4" w:space="0" w:color="auto"/>
            </w:tcBorders>
            <w:shd w:val="clear" w:color="auto" w:fill="C6D9F1" w:themeFill="text2" w:themeFillTint="33"/>
            <w:vAlign w:val="center"/>
          </w:tcPr>
          <w:p w14:paraId="2F239D06" w14:textId="77777777" w:rsidR="00AF27FE" w:rsidRPr="00AF27FE" w:rsidRDefault="001218A8" w:rsidP="00B80F3A">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044BBBE9" w14:textId="77777777" w:rsidR="00AF27FE" w:rsidRPr="00AF27FE" w:rsidRDefault="001218A8" w:rsidP="00B80F3A">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68748D1E" w14:textId="77777777" w:rsidR="00AF27FE" w:rsidRPr="00AF27FE" w:rsidRDefault="001218A8" w:rsidP="00B80F3A">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5A56AFEF" w14:textId="77777777" w:rsidR="00AF27FE" w:rsidRPr="00AF27FE" w:rsidRDefault="001218A8" w:rsidP="00B80F3A">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4AA83D37" w14:textId="77777777" w:rsidR="00AF27FE" w:rsidRPr="00AF27FE" w:rsidRDefault="001218A8" w:rsidP="00B80F3A">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33413535" w14:textId="77777777" w:rsidR="00AF27FE" w:rsidRPr="00AF27FE" w:rsidRDefault="001218A8" w:rsidP="00B80F3A">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14:paraId="67A2FE01" w14:textId="77777777" w:rsidR="00AF27FE" w:rsidRPr="00AF27FE" w:rsidRDefault="001218A8" w:rsidP="00445E30">
            <w:pPr>
              <w:ind w:left="0"/>
              <w:jc w:val="center"/>
              <w:rPr>
                <w:b/>
                <w:sz w:val="18"/>
                <w:szCs w:val="18"/>
                <w:highlight w:val="yellow"/>
              </w:rPr>
            </w:pPr>
            <w:r w:rsidRPr="001218A8">
              <w:rPr>
                <w:b/>
                <w:sz w:val="18"/>
                <w:szCs w:val="18"/>
              </w:rPr>
              <w:t>Frekvencia vykazovania</w:t>
            </w:r>
          </w:p>
        </w:tc>
      </w:tr>
      <w:tr w:rsidR="00AF27FE" w:rsidRPr="002309F8" w14:paraId="7A985872" w14:textId="77777777" w:rsidTr="00B1378F">
        <w:trPr>
          <w:trHeight w:val="454"/>
          <w:jc w:val="center"/>
        </w:trPr>
        <w:tc>
          <w:tcPr>
            <w:tcW w:w="507" w:type="dxa"/>
            <w:shd w:val="clear" w:color="auto" w:fill="auto"/>
            <w:vAlign w:val="center"/>
          </w:tcPr>
          <w:p w14:paraId="16F90047" w14:textId="77777777" w:rsidR="00AF27FE" w:rsidRPr="00D46C46" w:rsidRDefault="00AF27FE" w:rsidP="00B80F3A">
            <w:pPr>
              <w:ind w:left="0"/>
              <w:jc w:val="center"/>
              <w:rPr>
                <w:sz w:val="18"/>
                <w:szCs w:val="18"/>
              </w:rPr>
            </w:pPr>
            <w:r w:rsidRPr="00F22395">
              <w:rPr>
                <w:sz w:val="18"/>
                <w:szCs w:val="18"/>
              </w:rPr>
              <w:t>1.</w:t>
            </w:r>
          </w:p>
        </w:tc>
        <w:tc>
          <w:tcPr>
            <w:tcW w:w="3634" w:type="dxa"/>
            <w:shd w:val="clear" w:color="auto" w:fill="auto"/>
            <w:vAlign w:val="center"/>
          </w:tcPr>
          <w:p w14:paraId="698C5206" w14:textId="77777777" w:rsidR="00AF27FE" w:rsidRPr="00D46C46" w:rsidRDefault="00AF27FE" w:rsidP="00B1378F">
            <w:pPr>
              <w:ind w:left="0"/>
              <w:rPr>
                <w:sz w:val="18"/>
                <w:szCs w:val="18"/>
              </w:rPr>
            </w:pPr>
            <w:r w:rsidRPr="00D46C46">
              <w:rPr>
                <w:sz w:val="18"/>
                <w:szCs w:val="18"/>
              </w:rPr>
              <w:t>Dodatočný počet bielych miest pokrytých širokopásmovým internetom</w:t>
            </w:r>
          </w:p>
        </w:tc>
        <w:tc>
          <w:tcPr>
            <w:tcW w:w="850" w:type="dxa"/>
            <w:shd w:val="clear" w:color="auto" w:fill="auto"/>
            <w:vAlign w:val="center"/>
          </w:tcPr>
          <w:p w14:paraId="47338CCA" w14:textId="77777777" w:rsidR="00AF27FE" w:rsidRPr="00D46C46" w:rsidRDefault="00AF27FE" w:rsidP="00B80F3A">
            <w:pPr>
              <w:ind w:left="0"/>
              <w:jc w:val="center"/>
              <w:rPr>
                <w:sz w:val="18"/>
                <w:szCs w:val="18"/>
              </w:rPr>
            </w:pPr>
            <w:r w:rsidRPr="00D46C46">
              <w:rPr>
                <w:sz w:val="18"/>
                <w:szCs w:val="18"/>
              </w:rPr>
              <w:t>Počet</w:t>
            </w:r>
          </w:p>
        </w:tc>
        <w:tc>
          <w:tcPr>
            <w:tcW w:w="709" w:type="dxa"/>
            <w:shd w:val="clear" w:color="auto" w:fill="auto"/>
            <w:vAlign w:val="center"/>
          </w:tcPr>
          <w:p w14:paraId="1FAD0EB5" w14:textId="1E0923BC" w:rsidR="00AF27FE" w:rsidRPr="004C2534" w:rsidRDefault="00AF27FE" w:rsidP="00C715FF">
            <w:pPr>
              <w:tabs>
                <w:tab w:val="left" w:pos="567"/>
                <w:tab w:val="left" w:leader="dot" w:pos="9356"/>
              </w:tabs>
              <w:ind w:left="851" w:hanging="851"/>
              <w:jc w:val="center"/>
              <w:rPr>
                <w:sz w:val="18"/>
                <w:szCs w:val="18"/>
              </w:rPr>
            </w:pPr>
            <w:r w:rsidRPr="006B6BE8">
              <w:rPr>
                <w:sz w:val="18"/>
                <w:szCs w:val="18"/>
              </w:rPr>
              <w:t>EFRR</w:t>
            </w:r>
          </w:p>
        </w:tc>
        <w:tc>
          <w:tcPr>
            <w:tcW w:w="908" w:type="dxa"/>
            <w:shd w:val="clear" w:color="auto" w:fill="auto"/>
            <w:vAlign w:val="center"/>
          </w:tcPr>
          <w:p w14:paraId="4D19E9C1" w14:textId="0D84A779" w:rsidR="00AF27FE" w:rsidRPr="004C2534" w:rsidRDefault="00AF27FE" w:rsidP="00046522">
            <w:pPr>
              <w:tabs>
                <w:tab w:val="left" w:pos="567"/>
                <w:tab w:val="left" w:leader="dot" w:pos="9356"/>
              </w:tabs>
              <w:ind w:left="0"/>
              <w:jc w:val="center"/>
              <w:rPr>
                <w:sz w:val="18"/>
                <w:szCs w:val="18"/>
              </w:rPr>
            </w:pPr>
            <w:r w:rsidRPr="006B6BE8">
              <w:rPr>
                <w:sz w:val="18"/>
                <w:szCs w:val="18"/>
              </w:rPr>
              <w:t>Menej rozvinuté regióny</w:t>
            </w:r>
          </w:p>
        </w:tc>
        <w:tc>
          <w:tcPr>
            <w:tcW w:w="935" w:type="dxa"/>
            <w:shd w:val="clear" w:color="auto" w:fill="auto"/>
            <w:vAlign w:val="center"/>
          </w:tcPr>
          <w:p w14:paraId="76296D32" w14:textId="77777777" w:rsidR="00AF27FE" w:rsidRPr="00D46C46" w:rsidRDefault="00AF27FE" w:rsidP="00B80F3A">
            <w:pPr>
              <w:ind w:left="0"/>
              <w:jc w:val="center"/>
              <w:rPr>
                <w:sz w:val="18"/>
                <w:szCs w:val="18"/>
              </w:rPr>
            </w:pPr>
            <w:r w:rsidRPr="00F22395">
              <w:rPr>
                <w:sz w:val="18"/>
                <w:szCs w:val="18"/>
              </w:rPr>
              <w:t>729</w:t>
            </w:r>
          </w:p>
        </w:tc>
        <w:tc>
          <w:tcPr>
            <w:tcW w:w="850" w:type="dxa"/>
            <w:shd w:val="clear" w:color="auto" w:fill="auto"/>
            <w:vAlign w:val="center"/>
          </w:tcPr>
          <w:p w14:paraId="2E4F206F" w14:textId="439A2209" w:rsidR="00AF27FE" w:rsidRPr="004C2534" w:rsidRDefault="00AF27FE" w:rsidP="00046522">
            <w:pPr>
              <w:tabs>
                <w:tab w:val="left" w:pos="567"/>
                <w:tab w:val="left" w:leader="dot" w:pos="9356"/>
              </w:tabs>
              <w:ind w:left="0"/>
              <w:rPr>
                <w:sz w:val="18"/>
                <w:szCs w:val="18"/>
              </w:rPr>
            </w:pPr>
            <w:r w:rsidRPr="006B6BE8">
              <w:rPr>
                <w:sz w:val="18"/>
                <w:szCs w:val="18"/>
              </w:rPr>
              <w:t>SORO</w:t>
            </w:r>
          </w:p>
        </w:tc>
        <w:tc>
          <w:tcPr>
            <w:tcW w:w="851" w:type="dxa"/>
            <w:shd w:val="clear" w:color="auto" w:fill="auto"/>
            <w:vAlign w:val="center"/>
          </w:tcPr>
          <w:p w14:paraId="2C9C132C" w14:textId="2EA03127" w:rsidR="00AF27FE" w:rsidRPr="004C2534" w:rsidRDefault="00AF27FE" w:rsidP="00046522">
            <w:pPr>
              <w:tabs>
                <w:tab w:val="left" w:pos="567"/>
                <w:tab w:val="left" w:leader="dot" w:pos="9356"/>
              </w:tabs>
              <w:ind w:left="0"/>
              <w:jc w:val="center"/>
              <w:rPr>
                <w:sz w:val="18"/>
                <w:szCs w:val="18"/>
              </w:rPr>
            </w:pPr>
            <w:r w:rsidRPr="006B6BE8">
              <w:rPr>
                <w:sz w:val="18"/>
                <w:szCs w:val="18"/>
              </w:rPr>
              <w:t>Ročne počas trvania projektu</w:t>
            </w:r>
          </w:p>
        </w:tc>
      </w:tr>
      <w:tr w:rsidR="00AF27FE" w:rsidRPr="002309F8" w14:paraId="170E99A0" w14:textId="77777777" w:rsidTr="00B1378F">
        <w:trPr>
          <w:trHeight w:val="454"/>
          <w:jc w:val="center"/>
        </w:trPr>
        <w:tc>
          <w:tcPr>
            <w:tcW w:w="507" w:type="dxa"/>
            <w:shd w:val="clear" w:color="auto" w:fill="auto"/>
          </w:tcPr>
          <w:p w14:paraId="418608F9" w14:textId="77777777" w:rsidR="00AF27FE" w:rsidRPr="00D46C46" w:rsidRDefault="00AF27FE" w:rsidP="00B1378F">
            <w:pPr>
              <w:ind w:left="0"/>
              <w:rPr>
                <w:sz w:val="18"/>
                <w:szCs w:val="18"/>
              </w:rPr>
            </w:pPr>
          </w:p>
          <w:p w14:paraId="4E13002A" w14:textId="77777777" w:rsidR="00AF27FE" w:rsidRPr="00D46C46" w:rsidRDefault="00AF27FE" w:rsidP="00B80F3A">
            <w:pPr>
              <w:ind w:left="0"/>
              <w:jc w:val="center"/>
              <w:rPr>
                <w:sz w:val="18"/>
                <w:szCs w:val="18"/>
              </w:rPr>
            </w:pPr>
          </w:p>
          <w:p w14:paraId="49FA1E94" w14:textId="77777777" w:rsidR="00AF27FE" w:rsidRPr="00D46C46" w:rsidRDefault="00AF27FE" w:rsidP="00B80F3A">
            <w:pPr>
              <w:ind w:left="0"/>
              <w:jc w:val="center"/>
              <w:rPr>
                <w:sz w:val="18"/>
                <w:szCs w:val="18"/>
              </w:rPr>
            </w:pPr>
            <w:r w:rsidRPr="00D46C46">
              <w:rPr>
                <w:sz w:val="18"/>
                <w:szCs w:val="18"/>
              </w:rPr>
              <w:t>2.</w:t>
            </w:r>
          </w:p>
        </w:tc>
        <w:tc>
          <w:tcPr>
            <w:tcW w:w="3634" w:type="dxa"/>
            <w:shd w:val="clear" w:color="auto" w:fill="auto"/>
            <w:vAlign w:val="center"/>
          </w:tcPr>
          <w:p w14:paraId="1B73ED02" w14:textId="77777777" w:rsidR="00AF27FE" w:rsidRPr="00D46C46" w:rsidDel="000657D9" w:rsidRDefault="00B1378F" w:rsidP="00B1378F">
            <w:pPr>
              <w:ind w:left="0"/>
              <w:rPr>
                <w:sz w:val="18"/>
                <w:szCs w:val="18"/>
              </w:rPr>
            </w:pPr>
            <w:r w:rsidRPr="00C63BEC">
              <w:rPr>
                <w:sz w:val="18"/>
                <w:szCs w:val="18"/>
              </w:rPr>
              <w:t>Ďalšie</w:t>
            </w:r>
            <w:r w:rsidR="00AF27FE" w:rsidRPr="00C63BEC">
              <w:rPr>
                <w:sz w:val="18"/>
                <w:szCs w:val="18"/>
              </w:rPr>
              <w:t xml:space="preserve"> domácnosti s</w:t>
            </w:r>
            <w:r w:rsidRPr="00C63BEC">
              <w:rPr>
                <w:sz w:val="18"/>
                <w:szCs w:val="18"/>
              </w:rPr>
              <w:t>o širokopásmovým prístupom s rýchlosťou najmenej</w:t>
            </w:r>
            <w:r w:rsidR="00AF27FE" w:rsidRPr="00C63BEC">
              <w:rPr>
                <w:sz w:val="18"/>
                <w:szCs w:val="18"/>
              </w:rPr>
              <w:t xml:space="preserve"> 30 Mb</w:t>
            </w:r>
            <w:r w:rsidRPr="00C63BEC">
              <w:rPr>
                <w:sz w:val="18"/>
                <w:szCs w:val="18"/>
              </w:rPr>
              <w:t>ps</w:t>
            </w:r>
          </w:p>
        </w:tc>
        <w:tc>
          <w:tcPr>
            <w:tcW w:w="850" w:type="dxa"/>
            <w:shd w:val="clear" w:color="auto" w:fill="auto"/>
            <w:vAlign w:val="center"/>
          </w:tcPr>
          <w:p w14:paraId="49582604" w14:textId="77777777" w:rsidR="00AF27FE" w:rsidRPr="00D46C46" w:rsidDel="000657D9" w:rsidRDefault="00AF27FE" w:rsidP="00B80F3A">
            <w:pPr>
              <w:ind w:left="0"/>
              <w:jc w:val="center"/>
              <w:rPr>
                <w:sz w:val="18"/>
                <w:szCs w:val="18"/>
              </w:rPr>
            </w:pPr>
            <w:r w:rsidRPr="00D46C46">
              <w:rPr>
                <w:sz w:val="18"/>
                <w:szCs w:val="18"/>
              </w:rPr>
              <w:t>%</w:t>
            </w:r>
          </w:p>
        </w:tc>
        <w:tc>
          <w:tcPr>
            <w:tcW w:w="709" w:type="dxa"/>
            <w:shd w:val="clear" w:color="auto" w:fill="auto"/>
            <w:vAlign w:val="center"/>
          </w:tcPr>
          <w:p w14:paraId="55B73B72" w14:textId="3402AC28" w:rsidR="00AF27FE" w:rsidRPr="004C2534" w:rsidRDefault="00C715FF" w:rsidP="00C715FF">
            <w:pPr>
              <w:tabs>
                <w:tab w:val="left" w:pos="567"/>
                <w:tab w:val="left" w:leader="dot" w:pos="9356"/>
              </w:tabs>
              <w:ind w:left="0"/>
              <w:rPr>
                <w:sz w:val="18"/>
                <w:szCs w:val="18"/>
              </w:rPr>
            </w:pPr>
            <w:r w:rsidRPr="006B6BE8">
              <w:rPr>
                <w:sz w:val="18"/>
                <w:szCs w:val="18"/>
              </w:rPr>
              <w:t>EFRR</w:t>
            </w:r>
          </w:p>
        </w:tc>
        <w:tc>
          <w:tcPr>
            <w:tcW w:w="908" w:type="dxa"/>
            <w:shd w:val="clear" w:color="auto" w:fill="auto"/>
            <w:vAlign w:val="center"/>
          </w:tcPr>
          <w:p w14:paraId="71707601" w14:textId="35198215" w:rsidR="00AF27FE" w:rsidRPr="004C2534" w:rsidRDefault="00AF27FE" w:rsidP="00046522">
            <w:pPr>
              <w:tabs>
                <w:tab w:val="left" w:pos="567"/>
                <w:tab w:val="left" w:leader="dot" w:pos="9356"/>
              </w:tabs>
              <w:ind w:left="0"/>
              <w:jc w:val="center"/>
              <w:rPr>
                <w:sz w:val="18"/>
                <w:szCs w:val="18"/>
              </w:rPr>
            </w:pPr>
            <w:r w:rsidRPr="006B6BE8">
              <w:rPr>
                <w:sz w:val="18"/>
                <w:szCs w:val="18"/>
              </w:rPr>
              <w:t>Menej rozvinuté regióny</w:t>
            </w:r>
          </w:p>
        </w:tc>
        <w:tc>
          <w:tcPr>
            <w:tcW w:w="935" w:type="dxa"/>
            <w:shd w:val="clear" w:color="auto" w:fill="auto"/>
            <w:vAlign w:val="center"/>
          </w:tcPr>
          <w:p w14:paraId="026BEC4B" w14:textId="77777777" w:rsidR="00AF27FE" w:rsidRPr="00D46C46" w:rsidRDefault="00AF27FE" w:rsidP="00B80F3A">
            <w:pPr>
              <w:ind w:left="0"/>
              <w:jc w:val="center"/>
              <w:rPr>
                <w:sz w:val="18"/>
                <w:szCs w:val="18"/>
              </w:rPr>
            </w:pPr>
            <w:r w:rsidRPr="00F22395">
              <w:rPr>
                <w:sz w:val="18"/>
                <w:szCs w:val="18"/>
              </w:rPr>
              <w:t>49.9</w:t>
            </w:r>
          </w:p>
        </w:tc>
        <w:tc>
          <w:tcPr>
            <w:tcW w:w="850" w:type="dxa"/>
            <w:shd w:val="clear" w:color="auto" w:fill="auto"/>
            <w:vAlign w:val="center"/>
          </w:tcPr>
          <w:p w14:paraId="0154AA54" w14:textId="240F5A3B" w:rsidR="00AF27FE" w:rsidRPr="004C2534" w:rsidRDefault="00AD06FF" w:rsidP="00AD06FF">
            <w:pPr>
              <w:tabs>
                <w:tab w:val="left" w:pos="567"/>
                <w:tab w:val="left" w:leader="dot" w:pos="9356"/>
              </w:tabs>
              <w:ind w:left="0" w:hanging="851"/>
              <w:jc w:val="center"/>
              <w:rPr>
                <w:sz w:val="18"/>
                <w:szCs w:val="18"/>
              </w:rPr>
            </w:pPr>
            <w:r>
              <w:rPr>
                <w:sz w:val="18"/>
                <w:szCs w:val="18"/>
              </w:rPr>
              <w:br/>
              <w:t>Digital Agenda Scoreboard</w:t>
            </w:r>
          </w:p>
        </w:tc>
        <w:tc>
          <w:tcPr>
            <w:tcW w:w="851" w:type="dxa"/>
            <w:shd w:val="clear" w:color="auto" w:fill="auto"/>
            <w:vAlign w:val="center"/>
          </w:tcPr>
          <w:p w14:paraId="28170B05" w14:textId="528A709F" w:rsidR="00AF27FE" w:rsidRPr="004C2534" w:rsidRDefault="00AF27FE" w:rsidP="00046522">
            <w:pPr>
              <w:tabs>
                <w:tab w:val="left" w:pos="567"/>
                <w:tab w:val="left" w:leader="dot" w:pos="9356"/>
              </w:tabs>
              <w:ind w:left="0"/>
              <w:jc w:val="center"/>
              <w:rPr>
                <w:sz w:val="18"/>
                <w:szCs w:val="18"/>
              </w:rPr>
            </w:pPr>
            <w:r w:rsidRPr="006B6BE8">
              <w:rPr>
                <w:sz w:val="18"/>
                <w:szCs w:val="18"/>
              </w:rPr>
              <w:t>Ročne počas trvania projektu</w:t>
            </w:r>
          </w:p>
        </w:tc>
      </w:tr>
    </w:tbl>
    <w:p w14:paraId="2A5C00EE" w14:textId="77777777" w:rsidR="00E92F9B" w:rsidRDefault="00E92F9B"/>
    <w:p w14:paraId="269C7B2A" w14:textId="77777777" w:rsidR="009E0158" w:rsidRDefault="00D90E59" w:rsidP="007D0C73">
      <w:pPr>
        <w:pStyle w:val="Nadpis3"/>
        <w:tabs>
          <w:tab w:val="clear" w:pos="709"/>
          <w:tab w:val="clear" w:pos="851"/>
        </w:tabs>
        <w:jc w:val="both"/>
      </w:pPr>
      <w:bookmarkStart w:id="65" w:name="_Toc28951627"/>
      <w:r w:rsidRPr="007F1C63">
        <w:t xml:space="preserve">INVESTIČNÁ PRIORITA </w:t>
      </w:r>
      <w:r>
        <w:t>2b</w:t>
      </w:r>
      <w:r w:rsidRPr="007F1C63">
        <w:t xml:space="preserve">): </w:t>
      </w:r>
      <w:r w:rsidRPr="00D90E59">
        <w:t>Vývoj produktov a služieb IKT, elek</w:t>
      </w:r>
      <w:r w:rsidR="00771DCA">
        <w:t xml:space="preserve">tronického obchodu a posilnenia </w:t>
      </w:r>
      <w:r w:rsidRPr="00D90E59">
        <w:t>dopytu po IKT</w:t>
      </w:r>
      <w:bookmarkEnd w:id="65"/>
    </w:p>
    <w:p w14:paraId="5C2DB66D" w14:textId="77777777" w:rsidR="009E0158" w:rsidRPr="00635945" w:rsidRDefault="00D90E59" w:rsidP="00625909">
      <w:pPr>
        <w:pStyle w:val="Odsekzoznamu"/>
        <w:keepNext/>
        <w:numPr>
          <w:ilvl w:val="3"/>
          <w:numId w:val="110"/>
        </w:numPr>
        <w:tabs>
          <w:tab w:val="left" w:pos="709"/>
        </w:tabs>
        <w:spacing w:before="180" w:after="120"/>
        <w:outlineLvl w:val="3"/>
        <w:rPr>
          <w:rFonts w:ascii="Arial Narrow" w:hAnsi="Arial Narrow"/>
          <w:b/>
          <w:bCs/>
          <w:i/>
          <w:color w:val="548DD4" w:themeColor="text2" w:themeTint="99"/>
          <w:sz w:val="22"/>
          <w:szCs w:val="28"/>
        </w:rPr>
      </w:pPr>
      <w:r w:rsidRPr="00635945">
        <w:rPr>
          <w:rFonts w:ascii="Arial Narrow" w:hAnsi="Arial Narrow"/>
          <w:b/>
          <w:bCs/>
          <w:i/>
          <w:color w:val="548DD4" w:themeColor="text2" w:themeTint="99"/>
          <w:sz w:val="22"/>
          <w:szCs w:val="28"/>
        </w:rPr>
        <w:t>Špecifické ciele investičnej priority a očakávané výsledky</w:t>
      </w:r>
    </w:p>
    <w:p w14:paraId="60BC47F7" w14:textId="77777777" w:rsidR="00D90E59" w:rsidRPr="00771DCA" w:rsidRDefault="00D90E59" w:rsidP="002E1021">
      <w:pPr>
        <w:shd w:val="clear" w:color="auto" w:fill="FFFFCC"/>
        <w:jc w:val="both"/>
        <w:rPr>
          <w:b/>
          <w:i/>
        </w:rPr>
      </w:pPr>
      <w:r w:rsidRPr="007F1C63">
        <w:rPr>
          <w:i/>
        </w:rPr>
        <w:t xml:space="preserve">ŠPECIFICKÝ CIEĽ </w:t>
      </w:r>
      <w:r>
        <w:rPr>
          <w:i/>
        </w:rPr>
        <w:t>7</w:t>
      </w:r>
      <w:r w:rsidRPr="007F1C63">
        <w:rPr>
          <w:i/>
        </w:rPr>
        <w:t>.</w:t>
      </w:r>
      <w:r w:rsidR="00771DCA">
        <w:rPr>
          <w:i/>
        </w:rPr>
        <w:t>2</w:t>
      </w:r>
      <w:r w:rsidRPr="007F1C63">
        <w:rPr>
          <w:i/>
        </w:rPr>
        <w:t xml:space="preserve">: </w:t>
      </w:r>
      <w:r w:rsidR="001218A8" w:rsidRPr="001218A8">
        <w:rPr>
          <w:b/>
          <w:i/>
        </w:rPr>
        <w:t>Zvýšenie inovačnej kapacity najmä malých a stredných podnikateľov v digitálnej ekonomike</w:t>
      </w:r>
    </w:p>
    <w:p w14:paraId="3221BCCD" w14:textId="77777777" w:rsidR="00D90E59" w:rsidRPr="00560E77" w:rsidRDefault="00D90E59" w:rsidP="00D90E59">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5354D7CB" w14:textId="77777777" w:rsidR="00771DCA" w:rsidRPr="003E5117" w:rsidRDefault="00771DCA" w:rsidP="00771DCA">
      <w:pPr>
        <w:spacing w:before="120" w:after="60"/>
        <w:jc w:val="both"/>
        <w:rPr>
          <w:sz w:val="22"/>
          <w:szCs w:val="20"/>
          <w:lang w:eastAsia="en-US"/>
        </w:rPr>
      </w:pPr>
      <w:r w:rsidRPr="003E5117">
        <w:rPr>
          <w:sz w:val="22"/>
          <w:szCs w:val="20"/>
          <w:lang w:eastAsia="en-US"/>
        </w:rPr>
        <w:t>Inovačná kapacita slovenskej ekonomiky je stále nedostatočná a ovplyvnená slabým podnikateľským prostredím a nedostatočne rozvinutým systémom výskumu a inovácií. Slovenské hospodárstvo sa musí viac orientovať na poznatkovo-intenzívne ekonomické aktivity a diverzifikovať hlavne do sektora služieb. Digitálna ekonomika je základom vedomostnej spoločnosti, pretože prispieva k rozvoju komunikačných technológii spájajúcich ľudí a k efektívnej výmene informácii, produktov a služieb. Zavádzanie IKT technológii má tiež vysoký potenciál zvyšovania produktivity práce v privátnom aj verejnom sektore a tým pádom aj zlepšovania konkurencieschopnosti.</w:t>
      </w:r>
    </w:p>
    <w:p w14:paraId="78E75FFC" w14:textId="77777777" w:rsidR="00771DCA" w:rsidRPr="003E5117" w:rsidRDefault="00771DCA" w:rsidP="00771DCA">
      <w:pPr>
        <w:spacing w:before="120" w:after="60"/>
        <w:jc w:val="both"/>
        <w:rPr>
          <w:sz w:val="22"/>
          <w:szCs w:val="20"/>
          <w:lang w:eastAsia="en-US"/>
        </w:rPr>
      </w:pPr>
      <w:r w:rsidRPr="003E5117">
        <w:rPr>
          <w:sz w:val="22"/>
          <w:szCs w:val="20"/>
          <w:lang w:eastAsia="en-US"/>
        </w:rPr>
        <w:t>Malí a strední podnikatelia musia inovovať svoje procesy a ponúkať inovatívne riešenia. Identifikovanými problematickými oblasťami, ktoré bránia plnému r</w:t>
      </w:r>
      <w:r w:rsidR="002C1444">
        <w:rPr>
          <w:sz w:val="22"/>
          <w:szCs w:val="20"/>
          <w:lang w:eastAsia="en-US"/>
        </w:rPr>
        <w:t>ozvoju elektronického obchodu a </w:t>
      </w:r>
      <w:r w:rsidRPr="003E5117">
        <w:rPr>
          <w:sz w:val="22"/>
          <w:szCs w:val="20"/>
          <w:lang w:eastAsia="en-US"/>
        </w:rPr>
        <w:t>inovácii a tým pádom aj</w:t>
      </w:r>
      <w:r w:rsidR="001726F5">
        <w:rPr>
          <w:sz w:val="22"/>
          <w:szCs w:val="20"/>
          <w:lang w:eastAsia="en-US"/>
        </w:rPr>
        <w:t xml:space="preserve"> rastu digitálnej ekonomiky sú:</w:t>
      </w:r>
    </w:p>
    <w:p w14:paraId="5F5A2D32"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Nedostatočná dôvera v jednotný digitálny trh (na</w:t>
      </w:r>
      <w:r w:rsidR="002C1444">
        <w:rPr>
          <w:sz w:val="22"/>
          <w:szCs w:val="20"/>
          <w:lang w:eastAsia="cs-CZ"/>
        </w:rPr>
        <w:t>priek zákonu č. 22/2004 Z. z. o </w:t>
      </w:r>
      <w:r w:rsidRPr="001218A8">
        <w:rPr>
          <w:sz w:val="22"/>
          <w:szCs w:val="20"/>
          <w:lang w:eastAsia="cs-CZ"/>
        </w:rPr>
        <w:t>elektronickom obchode a o zmene a doplnení zákona č. 128/2002 Z. z. o štátnej kontrole vnútorného trhu vo veciach ochrany spotrebiteľa, do ktorého bola transponovaná smernica Európskeho parlamentu a rady č. 2000/31/ES o elektronickom obchode);</w:t>
      </w:r>
    </w:p>
    <w:p w14:paraId="2184D1AD"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Zložitý prístup na jednotný digitálny trh;</w:t>
      </w:r>
    </w:p>
    <w:p w14:paraId="7F6C8CA5"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Nedostatočne rozvinuté nástroje pre podporu inovácie;</w:t>
      </w:r>
    </w:p>
    <w:p w14:paraId="025C9BFE"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Chýbajúce možnosti zdieľania existujúcich riešení a technologických platforiem verejnej správy s malými a strednými podnikateľmi.</w:t>
      </w:r>
    </w:p>
    <w:p w14:paraId="35D9111A" w14:textId="77777777" w:rsidR="00771DCA" w:rsidRPr="003E5117" w:rsidRDefault="00771DCA" w:rsidP="00771DCA">
      <w:pPr>
        <w:spacing w:before="120" w:after="60"/>
        <w:jc w:val="both"/>
        <w:rPr>
          <w:sz w:val="22"/>
          <w:szCs w:val="20"/>
          <w:lang w:eastAsia="en-US"/>
        </w:rPr>
      </w:pPr>
      <w:r w:rsidRPr="003E5117">
        <w:rPr>
          <w:sz w:val="22"/>
          <w:szCs w:val="20"/>
          <w:lang w:eastAsia="en-US"/>
        </w:rPr>
        <w:t xml:space="preserve">V období 2014 až 2020 budú systematicky podporované možnosti podnikania </w:t>
      </w:r>
      <w:r>
        <w:rPr>
          <w:sz w:val="22"/>
          <w:szCs w:val="20"/>
          <w:lang w:eastAsia="en-US"/>
        </w:rPr>
        <w:t xml:space="preserve">najmä </w:t>
      </w:r>
      <w:r w:rsidRPr="003E5117">
        <w:rPr>
          <w:sz w:val="22"/>
          <w:szCs w:val="20"/>
          <w:lang w:eastAsia="en-US"/>
        </w:rPr>
        <w:t>MSP:</w:t>
      </w:r>
    </w:p>
    <w:p w14:paraId="6371E444"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Zabezpečí sa, aby elektronický obchod bol jednoduchší a dôveryhodnejší a stal sa tak podmienkou presunu a rozvoju aktivít do digitálnej ekonomiky;</w:t>
      </w:r>
    </w:p>
    <w:p w14:paraId="234F0309"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Podnikatelia získajú prístup k zdieľaným službám budovaným v eGovernmente na komerčné účely (dátové schránky, AAA platforma, cloudové služby a iné);</w:t>
      </w:r>
    </w:p>
    <w:p w14:paraId="29342D30"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Verejná správa vytvorí významný dopyt po inovatívnych riešeniach v oblastiach, ako mobilný government, vizualizácie, dátové analýzy a podobne, ktoré sú vhodné pre riešenie prostredníctvom služieb najmä MSP.</w:t>
      </w:r>
    </w:p>
    <w:p w14:paraId="51B657C3" w14:textId="77777777" w:rsidR="00D90E59" w:rsidRPr="007F1C63" w:rsidRDefault="00D90E59" w:rsidP="00D90E59">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5B51BF10"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lastRenderedPageBreak/>
        <w:t>Zvýšenie integrovanosti Slovenska do jednotného digitálneho trhu - zvýši sa predaj a nákup tovaru a služieb online;</w:t>
      </w:r>
    </w:p>
    <w:p w14:paraId="6A1B9FE0"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Zvýšenie životaschopnosti malých a stredných podnikateľov vďaka možnostiam, ktoré poskytnú zdieľané služby verejnej správy;</w:t>
      </w:r>
    </w:p>
    <w:p w14:paraId="40D15720" w14:textId="77777777" w:rsidR="009E0158" w:rsidRDefault="001218A8" w:rsidP="00635945">
      <w:pPr>
        <w:pStyle w:val="Odsekzoznamu"/>
        <w:numPr>
          <w:ilvl w:val="0"/>
          <w:numId w:val="27"/>
        </w:numPr>
        <w:autoSpaceDE w:val="0"/>
        <w:autoSpaceDN w:val="0"/>
        <w:adjustRightInd w:val="0"/>
        <w:jc w:val="both"/>
        <w:rPr>
          <w:snapToGrid w:val="0"/>
          <w:sz w:val="22"/>
          <w:szCs w:val="23"/>
          <w:lang w:eastAsia="cs-CZ"/>
        </w:rPr>
      </w:pPr>
      <w:r w:rsidRPr="001218A8">
        <w:rPr>
          <w:sz w:val="22"/>
          <w:szCs w:val="20"/>
          <w:lang w:eastAsia="cs-CZ"/>
        </w:rPr>
        <w:t>Zvýšenie dopytu po inovatívnych riešeniach v oblasti informačno-komunikačných technológií vyvolá rast počtu MSP, ktorí sa budú podieľať na vytváraní takýchto riešení</w:t>
      </w:r>
      <w:r w:rsidR="00771DCA">
        <w:rPr>
          <w:sz w:val="22"/>
          <w:szCs w:val="20"/>
          <w:lang w:eastAsia="cs-CZ"/>
        </w:rPr>
        <w:t>.</w:t>
      </w:r>
    </w:p>
    <w:p w14:paraId="3A083F0B" w14:textId="77777777" w:rsidR="00D90E59" w:rsidRDefault="00BE1DDE" w:rsidP="00D90E59">
      <w:pPr>
        <w:pStyle w:val="Tab"/>
      </w:pPr>
      <w:r>
        <w:t xml:space="preserve">Špecifické </w:t>
      </w:r>
      <w:r w:rsidR="00D90E59" w:rsidRPr="007F1C63">
        <w:t>ukazovatele</w:t>
      </w:r>
      <w:r>
        <w:t xml:space="preserve"> výsledkov programu</w:t>
      </w:r>
      <w:r w:rsidR="00D90E59" w:rsidRPr="007F1C63">
        <w:t xml:space="preserve"> zodpovedajúce špecifickému cieľu</w:t>
      </w:r>
      <w:r w:rsidR="00771DCA">
        <w:t xml:space="preserve"> 7.2</w:t>
      </w:r>
    </w:p>
    <w:tbl>
      <w:tblPr>
        <w:tblStyle w:val="Mriekatabuky"/>
        <w:tblW w:w="9866" w:type="dxa"/>
        <w:tblLayout w:type="fixed"/>
        <w:tblLook w:val="04A0" w:firstRow="1" w:lastRow="0" w:firstColumn="1" w:lastColumn="0" w:noHBand="0" w:noVBand="1"/>
      </w:tblPr>
      <w:tblGrid>
        <w:gridCol w:w="556"/>
        <w:gridCol w:w="1820"/>
        <w:gridCol w:w="910"/>
        <w:gridCol w:w="1008"/>
        <w:gridCol w:w="1330"/>
        <w:gridCol w:w="1301"/>
        <w:gridCol w:w="896"/>
        <w:gridCol w:w="858"/>
        <w:gridCol w:w="1187"/>
      </w:tblGrid>
      <w:tr w:rsidR="00771DCA" w:rsidRPr="00C40332" w14:paraId="6E0F1587" w14:textId="77777777" w:rsidTr="00B80F3A">
        <w:trPr>
          <w:trHeight w:val="454"/>
        </w:trPr>
        <w:tc>
          <w:tcPr>
            <w:tcW w:w="556" w:type="dxa"/>
            <w:shd w:val="clear" w:color="auto" w:fill="C6D9F1" w:themeFill="text2" w:themeFillTint="33"/>
            <w:vAlign w:val="center"/>
          </w:tcPr>
          <w:p w14:paraId="6967495B" w14:textId="77777777" w:rsidR="00771DCA" w:rsidRPr="00771DCA" w:rsidRDefault="00BE1DDE" w:rsidP="00B80F3A">
            <w:pPr>
              <w:ind w:left="0"/>
              <w:rPr>
                <w:b/>
                <w:sz w:val="18"/>
                <w:szCs w:val="18"/>
              </w:rPr>
            </w:pPr>
            <w:r>
              <w:rPr>
                <w:b/>
                <w:sz w:val="18"/>
                <w:szCs w:val="18"/>
              </w:rPr>
              <w:t>P. č.</w:t>
            </w:r>
          </w:p>
        </w:tc>
        <w:tc>
          <w:tcPr>
            <w:tcW w:w="1820" w:type="dxa"/>
            <w:shd w:val="clear" w:color="auto" w:fill="C6D9F1" w:themeFill="text2" w:themeFillTint="33"/>
            <w:vAlign w:val="center"/>
          </w:tcPr>
          <w:p w14:paraId="3A762963" w14:textId="77777777" w:rsidR="00771DCA" w:rsidRPr="00771DCA"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14:paraId="621E8212" w14:textId="77777777" w:rsidR="00771DCA" w:rsidRPr="00771DCA" w:rsidRDefault="001218A8" w:rsidP="00B80F3A">
            <w:pPr>
              <w:ind w:left="0"/>
              <w:jc w:val="center"/>
              <w:rPr>
                <w:b/>
                <w:sz w:val="18"/>
                <w:szCs w:val="18"/>
              </w:rPr>
            </w:pPr>
            <w:r w:rsidRPr="001218A8">
              <w:rPr>
                <w:b/>
                <w:sz w:val="18"/>
                <w:szCs w:val="18"/>
              </w:rPr>
              <w:t>Merná jednotka</w:t>
            </w:r>
          </w:p>
        </w:tc>
        <w:tc>
          <w:tcPr>
            <w:tcW w:w="1008" w:type="dxa"/>
            <w:shd w:val="clear" w:color="auto" w:fill="C6D9F1" w:themeFill="text2" w:themeFillTint="33"/>
            <w:vAlign w:val="center"/>
          </w:tcPr>
          <w:p w14:paraId="4770D4D7" w14:textId="77777777" w:rsidR="00771DCA" w:rsidRPr="00771DC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4EA20FF3" w14:textId="77777777" w:rsidR="00771DCA" w:rsidRPr="00771DC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3A4AC0EF" w14:textId="77777777" w:rsidR="00771DCA" w:rsidRPr="00771DC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60D85AA0" w14:textId="77777777" w:rsidR="00771DCA" w:rsidRPr="00771DCA" w:rsidRDefault="001218A8" w:rsidP="00B80F3A">
            <w:pPr>
              <w:ind w:left="0"/>
              <w:jc w:val="center"/>
              <w:rPr>
                <w:b/>
                <w:sz w:val="18"/>
                <w:szCs w:val="18"/>
              </w:rPr>
            </w:pPr>
            <w:r w:rsidRPr="001218A8">
              <w:rPr>
                <w:b/>
                <w:sz w:val="18"/>
                <w:szCs w:val="18"/>
              </w:rPr>
              <w:t>Cieľová hodnota</w:t>
            </w:r>
          </w:p>
        </w:tc>
        <w:tc>
          <w:tcPr>
            <w:tcW w:w="858" w:type="dxa"/>
            <w:shd w:val="clear" w:color="auto" w:fill="C6D9F1" w:themeFill="text2" w:themeFillTint="33"/>
            <w:vAlign w:val="center"/>
          </w:tcPr>
          <w:p w14:paraId="6719A91A" w14:textId="77777777" w:rsidR="00771DCA" w:rsidRPr="00771DCA" w:rsidRDefault="001218A8" w:rsidP="00B80F3A">
            <w:pPr>
              <w:ind w:left="0"/>
              <w:jc w:val="center"/>
              <w:rPr>
                <w:b/>
                <w:sz w:val="18"/>
                <w:szCs w:val="18"/>
              </w:rPr>
            </w:pPr>
            <w:r w:rsidRPr="001218A8">
              <w:rPr>
                <w:b/>
                <w:sz w:val="18"/>
                <w:szCs w:val="18"/>
              </w:rPr>
              <w:t>Zdroj údajov</w:t>
            </w:r>
          </w:p>
        </w:tc>
        <w:tc>
          <w:tcPr>
            <w:tcW w:w="1187" w:type="dxa"/>
            <w:shd w:val="clear" w:color="auto" w:fill="C6D9F1" w:themeFill="text2" w:themeFillTint="33"/>
            <w:vAlign w:val="center"/>
          </w:tcPr>
          <w:p w14:paraId="5E7949BF" w14:textId="77777777" w:rsidR="00771DCA" w:rsidRPr="00771DCA" w:rsidRDefault="00445E30" w:rsidP="00B80F3A">
            <w:pPr>
              <w:ind w:left="0"/>
              <w:jc w:val="center"/>
              <w:rPr>
                <w:b/>
                <w:sz w:val="18"/>
                <w:szCs w:val="18"/>
              </w:rPr>
            </w:pPr>
            <w:r>
              <w:rPr>
                <w:b/>
                <w:sz w:val="18"/>
                <w:szCs w:val="18"/>
              </w:rPr>
              <w:t>Frekvencia</w:t>
            </w:r>
            <w:r w:rsidR="001218A8" w:rsidRPr="001218A8">
              <w:rPr>
                <w:b/>
                <w:sz w:val="18"/>
                <w:szCs w:val="18"/>
              </w:rPr>
              <w:t xml:space="preserve"> vykazovania</w:t>
            </w:r>
          </w:p>
        </w:tc>
      </w:tr>
      <w:tr w:rsidR="00771DCA" w:rsidRPr="00B02869" w14:paraId="12F55222" w14:textId="77777777" w:rsidTr="00B80F3A">
        <w:trPr>
          <w:trHeight w:val="340"/>
        </w:trPr>
        <w:tc>
          <w:tcPr>
            <w:tcW w:w="556" w:type="dxa"/>
            <w:vAlign w:val="center"/>
          </w:tcPr>
          <w:p w14:paraId="53B9C085" w14:textId="77777777" w:rsidR="00771DCA" w:rsidRPr="00B02869" w:rsidRDefault="00771DCA" w:rsidP="00B80F3A">
            <w:pPr>
              <w:ind w:left="0"/>
              <w:rPr>
                <w:sz w:val="18"/>
                <w:szCs w:val="18"/>
              </w:rPr>
            </w:pPr>
            <w:r w:rsidRPr="00B02869">
              <w:rPr>
                <w:sz w:val="18"/>
                <w:szCs w:val="18"/>
              </w:rPr>
              <w:t>1.</w:t>
            </w:r>
          </w:p>
        </w:tc>
        <w:tc>
          <w:tcPr>
            <w:tcW w:w="1820" w:type="dxa"/>
            <w:vAlign w:val="center"/>
          </w:tcPr>
          <w:p w14:paraId="181B9E7D" w14:textId="77777777" w:rsidR="00771DCA" w:rsidRPr="00B02869" w:rsidRDefault="00771DCA" w:rsidP="00B80F3A">
            <w:pPr>
              <w:ind w:left="0"/>
              <w:rPr>
                <w:sz w:val="18"/>
                <w:szCs w:val="18"/>
              </w:rPr>
            </w:pPr>
            <w:r>
              <w:rPr>
                <w:sz w:val="18"/>
                <w:szCs w:val="18"/>
              </w:rPr>
              <w:t>Percento MSP predávajúce tovar a služby online</w:t>
            </w:r>
            <w:r w:rsidRPr="00B02869" w:rsidDel="003E5117">
              <w:rPr>
                <w:sz w:val="18"/>
                <w:szCs w:val="18"/>
              </w:rPr>
              <w:t xml:space="preserve"> </w:t>
            </w:r>
          </w:p>
        </w:tc>
        <w:tc>
          <w:tcPr>
            <w:tcW w:w="910" w:type="dxa"/>
            <w:vAlign w:val="center"/>
          </w:tcPr>
          <w:p w14:paraId="769BD1A9" w14:textId="77777777" w:rsidR="00771DCA" w:rsidRPr="00B02869" w:rsidRDefault="00771DCA" w:rsidP="00B80F3A">
            <w:pPr>
              <w:ind w:left="0"/>
              <w:jc w:val="center"/>
              <w:rPr>
                <w:b/>
                <w:bCs/>
                <w:sz w:val="18"/>
                <w:szCs w:val="18"/>
              </w:rPr>
            </w:pPr>
            <w:r w:rsidRPr="00B02869">
              <w:rPr>
                <w:sz w:val="18"/>
                <w:szCs w:val="18"/>
              </w:rPr>
              <w:t>%</w:t>
            </w:r>
          </w:p>
        </w:tc>
        <w:tc>
          <w:tcPr>
            <w:tcW w:w="1008" w:type="dxa"/>
            <w:vAlign w:val="center"/>
          </w:tcPr>
          <w:p w14:paraId="52C73FB2" w14:textId="77777777" w:rsidR="00771DCA" w:rsidRPr="00284BBB" w:rsidRDefault="00771DCA" w:rsidP="00B80F3A">
            <w:pPr>
              <w:ind w:left="0"/>
              <w:jc w:val="center"/>
              <w:rPr>
                <w:sz w:val="18"/>
                <w:szCs w:val="18"/>
              </w:rPr>
            </w:pPr>
            <w:r w:rsidRPr="00284BBB">
              <w:rPr>
                <w:sz w:val="16"/>
                <w:szCs w:val="16"/>
              </w:rPr>
              <w:t xml:space="preserve">Menej rozvinuté regióny </w:t>
            </w:r>
          </w:p>
        </w:tc>
        <w:tc>
          <w:tcPr>
            <w:tcW w:w="1330" w:type="dxa"/>
            <w:vAlign w:val="center"/>
          </w:tcPr>
          <w:p w14:paraId="40E380E2" w14:textId="77777777" w:rsidR="00771DCA" w:rsidRPr="00B02869" w:rsidRDefault="00771DCA" w:rsidP="00B80F3A">
            <w:pPr>
              <w:ind w:left="0"/>
              <w:jc w:val="center"/>
              <w:rPr>
                <w:sz w:val="18"/>
                <w:szCs w:val="18"/>
              </w:rPr>
            </w:pPr>
            <w:r>
              <w:rPr>
                <w:sz w:val="18"/>
                <w:szCs w:val="18"/>
              </w:rPr>
              <w:t>11,6</w:t>
            </w:r>
          </w:p>
        </w:tc>
        <w:tc>
          <w:tcPr>
            <w:tcW w:w="1301" w:type="dxa"/>
            <w:vAlign w:val="center"/>
          </w:tcPr>
          <w:p w14:paraId="72D4232F" w14:textId="77777777" w:rsidR="00771DCA" w:rsidRPr="00B02869" w:rsidRDefault="00771DCA" w:rsidP="00B80F3A">
            <w:pPr>
              <w:ind w:left="0"/>
              <w:jc w:val="center"/>
              <w:rPr>
                <w:sz w:val="18"/>
                <w:szCs w:val="18"/>
              </w:rPr>
            </w:pPr>
            <w:r w:rsidRPr="00B02869">
              <w:rPr>
                <w:sz w:val="18"/>
                <w:szCs w:val="18"/>
              </w:rPr>
              <w:t>201</w:t>
            </w:r>
            <w:r>
              <w:rPr>
                <w:sz w:val="18"/>
                <w:szCs w:val="18"/>
              </w:rPr>
              <w:t>2</w:t>
            </w:r>
          </w:p>
        </w:tc>
        <w:tc>
          <w:tcPr>
            <w:tcW w:w="896" w:type="dxa"/>
            <w:vAlign w:val="center"/>
          </w:tcPr>
          <w:p w14:paraId="4F56AE0C" w14:textId="77777777" w:rsidR="00771DCA" w:rsidRPr="00B02869" w:rsidRDefault="00771DCA" w:rsidP="00B80F3A">
            <w:pPr>
              <w:ind w:left="0"/>
              <w:jc w:val="center"/>
              <w:rPr>
                <w:sz w:val="18"/>
                <w:szCs w:val="18"/>
              </w:rPr>
            </w:pPr>
            <w:r>
              <w:rPr>
                <w:sz w:val="18"/>
                <w:szCs w:val="18"/>
              </w:rPr>
              <w:t>4</w:t>
            </w:r>
            <w:r w:rsidRPr="00B02869">
              <w:rPr>
                <w:sz w:val="18"/>
                <w:szCs w:val="18"/>
              </w:rPr>
              <w:t>0</w:t>
            </w:r>
          </w:p>
        </w:tc>
        <w:tc>
          <w:tcPr>
            <w:tcW w:w="858" w:type="dxa"/>
            <w:vAlign w:val="center"/>
          </w:tcPr>
          <w:p w14:paraId="4B5FD275" w14:textId="77777777" w:rsidR="00771DCA" w:rsidRPr="00B02869" w:rsidRDefault="00771DCA" w:rsidP="00B80F3A">
            <w:pPr>
              <w:ind w:left="0"/>
              <w:jc w:val="center"/>
              <w:rPr>
                <w:sz w:val="18"/>
                <w:szCs w:val="18"/>
              </w:rPr>
            </w:pPr>
            <w:r>
              <w:rPr>
                <w:sz w:val="18"/>
                <w:szCs w:val="18"/>
              </w:rPr>
              <w:t>Eurostat</w:t>
            </w:r>
          </w:p>
        </w:tc>
        <w:tc>
          <w:tcPr>
            <w:tcW w:w="1187" w:type="dxa"/>
            <w:vAlign w:val="center"/>
          </w:tcPr>
          <w:p w14:paraId="3619B303" w14:textId="77777777" w:rsidR="00771DCA" w:rsidRPr="00B02869" w:rsidRDefault="00771DCA" w:rsidP="00B80F3A">
            <w:pPr>
              <w:ind w:left="0"/>
              <w:jc w:val="center"/>
              <w:rPr>
                <w:sz w:val="18"/>
                <w:szCs w:val="18"/>
              </w:rPr>
            </w:pPr>
            <w:r w:rsidRPr="00B02869">
              <w:rPr>
                <w:sz w:val="18"/>
                <w:szCs w:val="18"/>
              </w:rPr>
              <w:t>Ročne</w:t>
            </w:r>
          </w:p>
        </w:tc>
      </w:tr>
      <w:tr w:rsidR="00771DCA" w:rsidRPr="00B02869" w14:paraId="59AEF80B" w14:textId="77777777" w:rsidTr="00B80F3A">
        <w:trPr>
          <w:trHeight w:val="340"/>
        </w:trPr>
        <w:tc>
          <w:tcPr>
            <w:tcW w:w="556" w:type="dxa"/>
            <w:vAlign w:val="center"/>
          </w:tcPr>
          <w:p w14:paraId="685CA63C" w14:textId="77777777" w:rsidR="00771DCA" w:rsidRPr="00B02869" w:rsidRDefault="00771DCA" w:rsidP="00B80F3A">
            <w:pPr>
              <w:ind w:left="0"/>
              <w:rPr>
                <w:sz w:val="18"/>
                <w:szCs w:val="18"/>
              </w:rPr>
            </w:pPr>
            <w:r w:rsidRPr="00B02869">
              <w:rPr>
                <w:sz w:val="18"/>
                <w:szCs w:val="18"/>
              </w:rPr>
              <w:t>2.</w:t>
            </w:r>
          </w:p>
        </w:tc>
        <w:tc>
          <w:tcPr>
            <w:tcW w:w="1820" w:type="dxa"/>
            <w:vAlign w:val="center"/>
          </w:tcPr>
          <w:p w14:paraId="45623B5D" w14:textId="77777777" w:rsidR="00771DCA" w:rsidRPr="00B02869" w:rsidRDefault="00771DCA" w:rsidP="00B80F3A">
            <w:pPr>
              <w:ind w:left="0"/>
              <w:rPr>
                <w:sz w:val="18"/>
                <w:szCs w:val="18"/>
              </w:rPr>
            </w:pPr>
            <w:r>
              <w:rPr>
                <w:sz w:val="18"/>
                <w:szCs w:val="18"/>
              </w:rPr>
              <w:t>Percento občanov objednávajúcich tovar a služby online</w:t>
            </w:r>
            <w:r w:rsidRPr="00B02869" w:rsidDel="003E5117">
              <w:rPr>
                <w:sz w:val="18"/>
                <w:szCs w:val="18"/>
              </w:rPr>
              <w:t xml:space="preserve"> </w:t>
            </w:r>
          </w:p>
        </w:tc>
        <w:tc>
          <w:tcPr>
            <w:tcW w:w="910" w:type="dxa"/>
            <w:vAlign w:val="center"/>
          </w:tcPr>
          <w:p w14:paraId="648C4A61" w14:textId="77777777" w:rsidR="00771DCA" w:rsidRPr="00B02869" w:rsidRDefault="00771DCA" w:rsidP="00B80F3A">
            <w:pPr>
              <w:ind w:left="0"/>
              <w:jc w:val="center"/>
              <w:rPr>
                <w:sz w:val="18"/>
                <w:szCs w:val="18"/>
              </w:rPr>
            </w:pPr>
            <w:r w:rsidRPr="00B02869">
              <w:rPr>
                <w:sz w:val="18"/>
                <w:szCs w:val="18"/>
              </w:rPr>
              <w:t>%</w:t>
            </w:r>
          </w:p>
        </w:tc>
        <w:tc>
          <w:tcPr>
            <w:tcW w:w="1008" w:type="dxa"/>
            <w:vAlign w:val="center"/>
          </w:tcPr>
          <w:p w14:paraId="750E6525" w14:textId="77777777" w:rsidR="00771DCA" w:rsidRPr="00284BBB" w:rsidRDefault="00771DCA" w:rsidP="00B80F3A">
            <w:pPr>
              <w:ind w:left="0"/>
              <w:jc w:val="center"/>
              <w:rPr>
                <w:sz w:val="18"/>
                <w:szCs w:val="18"/>
              </w:rPr>
            </w:pPr>
            <w:r w:rsidRPr="00284BBB">
              <w:rPr>
                <w:sz w:val="16"/>
                <w:szCs w:val="16"/>
              </w:rPr>
              <w:t>Menej rozvinuté regióny</w:t>
            </w:r>
          </w:p>
        </w:tc>
        <w:tc>
          <w:tcPr>
            <w:tcW w:w="1330" w:type="dxa"/>
            <w:vAlign w:val="center"/>
          </w:tcPr>
          <w:p w14:paraId="444B2A96" w14:textId="77777777" w:rsidR="00771DCA" w:rsidRPr="00B02869" w:rsidRDefault="00771DCA" w:rsidP="00B80F3A">
            <w:pPr>
              <w:ind w:left="0"/>
              <w:jc w:val="center"/>
              <w:rPr>
                <w:sz w:val="18"/>
                <w:szCs w:val="18"/>
              </w:rPr>
            </w:pPr>
            <w:r>
              <w:rPr>
                <w:sz w:val="18"/>
                <w:szCs w:val="18"/>
              </w:rPr>
              <w:t>44,7</w:t>
            </w:r>
          </w:p>
        </w:tc>
        <w:tc>
          <w:tcPr>
            <w:tcW w:w="1301" w:type="dxa"/>
            <w:vAlign w:val="center"/>
          </w:tcPr>
          <w:p w14:paraId="12AD96EF" w14:textId="77777777" w:rsidR="00771DCA" w:rsidRPr="00B02869" w:rsidRDefault="00771DCA" w:rsidP="00B80F3A">
            <w:pPr>
              <w:ind w:left="0"/>
              <w:jc w:val="center"/>
              <w:rPr>
                <w:sz w:val="18"/>
                <w:szCs w:val="18"/>
              </w:rPr>
            </w:pPr>
            <w:r w:rsidRPr="00B02869">
              <w:rPr>
                <w:sz w:val="18"/>
                <w:szCs w:val="18"/>
              </w:rPr>
              <w:t>201</w:t>
            </w:r>
            <w:r>
              <w:rPr>
                <w:sz w:val="18"/>
                <w:szCs w:val="18"/>
              </w:rPr>
              <w:t>2</w:t>
            </w:r>
          </w:p>
        </w:tc>
        <w:tc>
          <w:tcPr>
            <w:tcW w:w="896" w:type="dxa"/>
            <w:vAlign w:val="center"/>
          </w:tcPr>
          <w:p w14:paraId="28840B85" w14:textId="77777777" w:rsidR="00771DCA" w:rsidRPr="00B02869" w:rsidRDefault="00771DCA" w:rsidP="00B80F3A">
            <w:pPr>
              <w:ind w:left="0"/>
              <w:jc w:val="center"/>
              <w:rPr>
                <w:sz w:val="18"/>
                <w:szCs w:val="18"/>
              </w:rPr>
            </w:pPr>
            <w:r>
              <w:rPr>
                <w:sz w:val="18"/>
                <w:szCs w:val="18"/>
              </w:rPr>
              <w:t>70</w:t>
            </w:r>
          </w:p>
        </w:tc>
        <w:tc>
          <w:tcPr>
            <w:tcW w:w="858" w:type="dxa"/>
            <w:vAlign w:val="center"/>
          </w:tcPr>
          <w:p w14:paraId="6CBAA5BC" w14:textId="77777777" w:rsidR="00771DCA" w:rsidRPr="00B02869" w:rsidRDefault="00771DCA" w:rsidP="00B80F3A">
            <w:pPr>
              <w:ind w:left="0"/>
              <w:jc w:val="center"/>
              <w:rPr>
                <w:sz w:val="18"/>
                <w:szCs w:val="18"/>
              </w:rPr>
            </w:pPr>
            <w:r>
              <w:rPr>
                <w:sz w:val="18"/>
                <w:szCs w:val="18"/>
              </w:rPr>
              <w:t>Eurostat</w:t>
            </w:r>
          </w:p>
        </w:tc>
        <w:tc>
          <w:tcPr>
            <w:tcW w:w="1187" w:type="dxa"/>
            <w:vAlign w:val="center"/>
          </w:tcPr>
          <w:p w14:paraId="4F7514E2" w14:textId="77777777" w:rsidR="00771DCA" w:rsidRPr="00B02869" w:rsidRDefault="00771DCA" w:rsidP="00B80F3A">
            <w:pPr>
              <w:ind w:left="0"/>
              <w:jc w:val="center"/>
              <w:rPr>
                <w:sz w:val="18"/>
                <w:szCs w:val="18"/>
              </w:rPr>
            </w:pPr>
            <w:r w:rsidRPr="00B02869">
              <w:rPr>
                <w:sz w:val="18"/>
                <w:szCs w:val="18"/>
              </w:rPr>
              <w:t>Ročne</w:t>
            </w:r>
          </w:p>
        </w:tc>
      </w:tr>
    </w:tbl>
    <w:p w14:paraId="286EA4F3" w14:textId="77777777" w:rsidR="00E92F9B" w:rsidRDefault="00E92F9B"/>
    <w:p w14:paraId="37BAC7C8" w14:textId="77777777" w:rsidR="009E0158" w:rsidRDefault="00D90E59" w:rsidP="00625909">
      <w:pPr>
        <w:pStyle w:val="Odsekzoznamu"/>
        <w:keepNext/>
        <w:numPr>
          <w:ilvl w:val="3"/>
          <w:numId w:val="117"/>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14:paraId="138F24C4" w14:textId="77777777" w:rsidR="00D90E59" w:rsidRPr="007F1C63" w:rsidRDefault="00D90E59" w:rsidP="00D90E59">
      <w:pPr>
        <w:spacing w:before="180" w:after="120"/>
        <w:rPr>
          <w:sz w:val="22"/>
          <w:szCs w:val="22"/>
        </w:rPr>
      </w:pPr>
      <w:r w:rsidRPr="007F1C63">
        <w:rPr>
          <w:sz w:val="22"/>
          <w:szCs w:val="22"/>
          <w:u w:val="single"/>
        </w:rPr>
        <w:t xml:space="preserve">Investičná priorita </w:t>
      </w:r>
      <w:r>
        <w:rPr>
          <w:sz w:val="22"/>
          <w:szCs w:val="22"/>
          <w:u w:val="single"/>
        </w:rPr>
        <w:t>2</w:t>
      </w:r>
      <w:r w:rsidR="00771DCA">
        <w:rPr>
          <w:sz w:val="22"/>
          <w:szCs w:val="22"/>
          <w:u w:val="single"/>
        </w:rPr>
        <w:t>b</w:t>
      </w:r>
      <w:r w:rsidRPr="007F1C63">
        <w:rPr>
          <w:sz w:val="22"/>
          <w:szCs w:val="22"/>
          <w:u w:val="single"/>
        </w:rPr>
        <w:t>) bude napĺňaná prostredníctvom nasledujúcich aktivít</w:t>
      </w:r>
      <w:r w:rsidRPr="007F1C63">
        <w:rPr>
          <w:sz w:val="22"/>
          <w:szCs w:val="22"/>
        </w:rPr>
        <w:t>:</w:t>
      </w:r>
    </w:p>
    <w:p w14:paraId="75823643" w14:textId="77777777" w:rsidR="009E0158" w:rsidRDefault="001218A8" w:rsidP="00635945">
      <w:pPr>
        <w:pStyle w:val="Odsekzoznamu"/>
        <w:numPr>
          <w:ilvl w:val="0"/>
          <w:numId w:val="65"/>
        </w:numPr>
        <w:ind w:left="426" w:hanging="426"/>
        <w:jc w:val="both"/>
        <w:rPr>
          <w:sz w:val="22"/>
          <w:szCs w:val="22"/>
        </w:rPr>
      </w:pPr>
      <w:r w:rsidRPr="001218A8">
        <w:rPr>
          <w:sz w:val="22"/>
          <w:szCs w:val="22"/>
        </w:rPr>
        <w:t>Zavádzanie opatrení pre zvýšenie používania elektronického obchodu:</w:t>
      </w:r>
    </w:p>
    <w:p w14:paraId="1F6897FC" w14:textId="77777777" w:rsidR="009E0158" w:rsidRDefault="00771DCA" w:rsidP="00635945">
      <w:pPr>
        <w:pStyle w:val="Odsekzoznamu"/>
        <w:numPr>
          <w:ilvl w:val="0"/>
          <w:numId w:val="27"/>
        </w:numPr>
        <w:jc w:val="both"/>
        <w:rPr>
          <w:sz w:val="22"/>
          <w:szCs w:val="22"/>
        </w:rPr>
      </w:pPr>
      <w:r w:rsidRPr="00771DCA">
        <w:rPr>
          <w:sz w:val="22"/>
          <w:szCs w:val="22"/>
        </w:rPr>
        <w:t>Zvyšovanie dôveryhodnosti elektronického obchodu (v rámci aktivity sa budú realizovať projekty, vďaka ktorým bude možné overovať pôso</w:t>
      </w:r>
      <w:r w:rsidR="002C1444">
        <w:rPr>
          <w:sz w:val="22"/>
          <w:szCs w:val="22"/>
        </w:rPr>
        <w:t>benie a transakcie subjektov na </w:t>
      </w:r>
      <w:r w:rsidRPr="00771DCA">
        <w:rPr>
          <w:sz w:val="22"/>
          <w:szCs w:val="22"/>
        </w:rPr>
        <w:t>elektronickom trhu, a pod.)</w:t>
      </w:r>
      <w:r w:rsidR="00BE1DDE">
        <w:rPr>
          <w:sz w:val="22"/>
          <w:szCs w:val="22"/>
        </w:rPr>
        <w:t>;</w:t>
      </w:r>
    </w:p>
    <w:p w14:paraId="0A9B6AE7" w14:textId="77777777" w:rsidR="009E0158" w:rsidRDefault="00771DCA" w:rsidP="00635945">
      <w:pPr>
        <w:pStyle w:val="Odsekzoznamu"/>
        <w:numPr>
          <w:ilvl w:val="0"/>
          <w:numId w:val="27"/>
        </w:numPr>
        <w:jc w:val="both"/>
        <w:rPr>
          <w:sz w:val="22"/>
          <w:szCs w:val="22"/>
        </w:rPr>
      </w:pPr>
      <w:r w:rsidRPr="00771DCA">
        <w:rPr>
          <w:sz w:val="22"/>
          <w:szCs w:val="22"/>
        </w:rPr>
        <w:t>Zjednodušovanie elektronického obchodu (v rámci aktivity sa budú realizovať projekty, vďaka ktorým sa znížia transakčné náklady a administratívna záťaž napríklad zjednodušovanie colného konania, zavádzanie elektronických platieb a faktúr. V rámci aktivity sa bude podporovať domáci aj cezhraničný elektronický obchod)</w:t>
      </w:r>
      <w:r>
        <w:rPr>
          <w:sz w:val="22"/>
          <w:szCs w:val="22"/>
        </w:rPr>
        <w:t>.</w:t>
      </w:r>
    </w:p>
    <w:p w14:paraId="0760D6EB" w14:textId="77777777" w:rsidR="009E0158" w:rsidRDefault="00771DCA" w:rsidP="00635945">
      <w:pPr>
        <w:pStyle w:val="Odsekzoznamu"/>
        <w:numPr>
          <w:ilvl w:val="0"/>
          <w:numId w:val="65"/>
        </w:numPr>
        <w:ind w:left="426" w:hanging="426"/>
        <w:jc w:val="both"/>
        <w:rPr>
          <w:sz w:val="22"/>
          <w:szCs w:val="22"/>
        </w:rPr>
      </w:pPr>
      <w:r w:rsidRPr="00771DCA">
        <w:rPr>
          <w:sz w:val="22"/>
          <w:szCs w:val="22"/>
        </w:rPr>
        <w:t>Rozšírenie možností pre elektronickú identifikáciu, autentifikáciu a autorizáciu v jednotnom digitálnom priestore:</w:t>
      </w:r>
    </w:p>
    <w:p w14:paraId="2921B549" w14:textId="77777777" w:rsidR="009E0158" w:rsidRDefault="00771DCA" w:rsidP="00635945">
      <w:pPr>
        <w:pStyle w:val="Odsekzoznamu"/>
        <w:numPr>
          <w:ilvl w:val="0"/>
          <w:numId w:val="27"/>
        </w:numPr>
        <w:jc w:val="both"/>
        <w:rPr>
          <w:sz w:val="22"/>
          <w:szCs w:val="22"/>
        </w:rPr>
      </w:pPr>
      <w:r w:rsidRPr="00771DCA">
        <w:rPr>
          <w:sz w:val="22"/>
          <w:szCs w:val="22"/>
        </w:rPr>
        <w:t>Umožnenie používania identít od súkromných poskytovateľov vo verejnej správe – vhodnosť a bezpečnosť takejto identity bude preverená v štúdii realizovateľnosti</w:t>
      </w:r>
      <w:r w:rsidR="00BE1DDE">
        <w:rPr>
          <w:sz w:val="22"/>
          <w:szCs w:val="22"/>
        </w:rPr>
        <w:t>;</w:t>
      </w:r>
    </w:p>
    <w:p w14:paraId="0D34890A" w14:textId="77777777" w:rsidR="009E0158" w:rsidRDefault="00771DCA" w:rsidP="00635945">
      <w:pPr>
        <w:pStyle w:val="Odsekzoznamu"/>
        <w:numPr>
          <w:ilvl w:val="0"/>
          <w:numId w:val="27"/>
        </w:numPr>
        <w:jc w:val="both"/>
        <w:rPr>
          <w:sz w:val="22"/>
          <w:szCs w:val="22"/>
        </w:rPr>
      </w:pPr>
      <w:r w:rsidRPr="00771DCA">
        <w:rPr>
          <w:sz w:val="22"/>
          <w:szCs w:val="22"/>
        </w:rPr>
        <w:t>Poskytnutie eID identity pre súkromný sektor</w:t>
      </w:r>
      <w:r>
        <w:rPr>
          <w:sz w:val="22"/>
          <w:szCs w:val="22"/>
        </w:rPr>
        <w:t>.</w:t>
      </w:r>
    </w:p>
    <w:p w14:paraId="3379FE1B" w14:textId="77777777" w:rsidR="009E0158" w:rsidRDefault="00771DCA" w:rsidP="00635945">
      <w:pPr>
        <w:pStyle w:val="Odsekzoznamu"/>
        <w:numPr>
          <w:ilvl w:val="0"/>
          <w:numId w:val="65"/>
        </w:numPr>
        <w:ind w:left="426" w:hanging="426"/>
        <w:jc w:val="both"/>
        <w:rPr>
          <w:sz w:val="22"/>
          <w:szCs w:val="22"/>
        </w:rPr>
      </w:pPr>
      <w:r w:rsidRPr="00771DCA">
        <w:rPr>
          <w:sz w:val="22"/>
          <w:szCs w:val="22"/>
        </w:rPr>
        <w:t>Podpora najmä malých a stredných podnikateľov prostredníctvom zdieľaných služieb (Podnikatelia získajú prístup k službám, ktoré boli vyvinuté pôvodne pre potreby verejnej správy. Služby budú vhodne prispôsobené):</w:t>
      </w:r>
    </w:p>
    <w:p w14:paraId="6A16117F" w14:textId="77777777" w:rsidR="009E0158" w:rsidRDefault="00771DCA" w:rsidP="00635945">
      <w:pPr>
        <w:pStyle w:val="Odsekzoznamu"/>
        <w:numPr>
          <w:ilvl w:val="0"/>
          <w:numId w:val="27"/>
        </w:numPr>
        <w:jc w:val="both"/>
        <w:rPr>
          <w:sz w:val="22"/>
          <w:szCs w:val="22"/>
        </w:rPr>
      </w:pPr>
      <w:r w:rsidRPr="00771DCA">
        <w:rPr>
          <w:sz w:val="22"/>
          <w:szCs w:val="22"/>
        </w:rPr>
        <w:t>Poskytovanie komunikačnej platformy a elektronického doručovania;</w:t>
      </w:r>
    </w:p>
    <w:p w14:paraId="6BAA1E1C" w14:textId="77777777" w:rsidR="009E0158" w:rsidRDefault="00771DCA" w:rsidP="00635945">
      <w:pPr>
        <w:pStyle w:val="Odsekzoznamu"/>
        <w:numPr>
          <w:ilvl w:val="0"/>
          <w:numId w:val="27"/>
        </w:numPr>
        <w:jc w:val="both"/>
        <w:rPr>
          <w:sz w:val="22"/>
          <w:szCs w:val="22"/>
        </w:rPr>
      </w:pPr>
      <w:r w:rsidRPr="00771DCA">
        <w:rPr>
          <w:sz w:val="22"/>
          <w:szCs w:val="22"/>
        </w:rPr>
        <w:t>Poskytovanie AAA a PKI infraštruktúry</w:t>
      </w:r>
      <w:r>
        <w:rPr>
          <w:sz w:val="22"/>
          <w:szCs w:val="22"/>
        </w:rPr>
        <w:t>;</w:t>
      </w:r>
    </w:p>
    <w:p w14:paraId="7852045D" w14:textId="77777777" w:rsidR="009E0158" w:rsidRDefault="00771DCA" w:rsidP="00635945">
      <w:pPr>
        <w:pStyle w:val="Odsekzoznamu"/>
        <w:numPr>
          <w:ilvl w:val="0"/>
          <w:numId w:val="27"/>
        </w:numPr>
        <w:jc w:val="both"/>
        <w:rPr>
          <w:sz w:val="22"/>
          <w:szCs w:val="22"/>
        </w:rPr>
      </w:pPr>
      <w:r w:rsidRPr="00771DCA">
        <w:rPr>
          <w:sz w:val="22"/>
          <w:szCs w:val="22"/>
        </w:rPr>
        <w:t>Poskytovanie cloudových služieb najmä MSP</w:t>
      </w:r>
      <w:r>
        <w:rPr>
          <w:sz w:val="22"/>
          <w:szCs w:val="22"/>
        </w:rPr>
        <w:t>;</w:t>
      </w:r>
    </w:p>
    <w:p w14:paraId="7D7E6F13" w14:textId="3A635327" w:rsidR="009E0158" w:rsidRDefault="00771DCA" w:rsidP="00635945">
      <w:pPr>
        <w:pStyle w:val="Odsekzoznamu"/>
        <w:numPr>
          <w:ilvl w:val="0"/>
          <w:numId w:val="27"/>
        </w:numPr>
        <w:jc w:val="both"/>
        <w:rPr>
          <w:sz w:val="22"/>
          <w:szCs w:val="22"/>
        </w:rPr>
      </w:pPr>
      <w:r w:rsidRPr="00771DCA">
        <w:rPr>
          <w:sz w:val="22"/>
          <w:szCs w:val="22"/>
        </w:rPr>
        <w:t>Poskytovanie platformy pre eLearning.</w:t>
      </w:r>
    </w:p>
    <w:p w14:paraId="1F495FFB" w14:textId="77777777" w:rsidR="00AB4F1B" w:rsidRDefault="00AB4F1B" w:rsidP="00AB4F1B">
      <w:pPr>
        <w:pStyle w:val="Odsekzoznamu"/>
        <w:numPr>
          <w:ilvl w:val="0"/>
          <w:numId w:val="65"/>
        </w:numPr>
        <w:ind w:left="426" w:hanging="426"/>
        <w:jc w:val="both"/>
        <w:rPr>
          <w:sz w:val="22"/>
          <w:szCs w:val="22"/>
        </w:rPr>
      </w:pPr>
      <w:r w:rsidRPr="00771DCA">
        <w:rPr>
          <w:sz w:val="22"/>
          <w:szCs w:val="22"/>
        </w:rPr>
        <w:t>Podpora</w:t>
      </w:r>
      <w:r>
        <w:rPr>
          <w:sz w:val="22"/>
          <w:szCs w:val="22"/>
        </w:rPr>
        <w:t xml:space="preserve"> inovatívnych riešení MSP využívajúcich údaje a služby poskytované verejnou správou</w:t>
      </w:r>
      <w:r w:rsidRPr="00771DCA">
        <w:rPr>
          <w:sz w:val="22"/>
          <w:szCs w:val="22"/>
        </w:rPr>
        <w:t>:</w:t>
      </w:r>
    </w:p>
    <w:p w14:paraId="5CF3D5AE" w14:textId="77777777" w:rsidR="00AB4F1B" w:rsidRPr="00AB4F1B" w:rsidRDefault="00AB4F1B" w:rsidP="00AB4F1B">
      <w:pPr>
        <w:pStyle w:val="Odsekzoznamu"/>
        <w:numPr>
          <w:ilvl w:val="0"/>
          <w:numId w:val="27"/>
        </w:numPr>
        <w:jc w:val="both"/>
        <w:rPr>
          <w:sz w:val="22"/>
          <w:szCs w:val="22"/>
        </w:rPr>
      </w:pPr>
      <w:r w:rsidRPr="00EF5DB9">
        <w:rPr>
          <w:sz w:val="22"/>
          <w:szCs w:val="22"/>
        </w:rPr>
        <w:t>Podpora v oblastiach ako využívanie otvorených údajov pre poskytovanie lepších služieb, mobilný government, dátové analýzy a pod., ktoré sú vhodné pre riešenie prostredníctvom služieb MSP (napr. prostredníctvom inovatívnych voucherov)</w:t>
      </w:r>
      <w:r>
        <w:rPr>
          <w:sz w:val="22"/>
          <w:szCs w:val="22"/>
        </w:rPr>
        <w:t>.</w:t>
      </w:r>
    </w:p>
    <w:p w14:paraId="76781F84" w14:textId="77777777" w:rsidR="00E92F9B" w:rsidRDefault="00E92F9B">
      <w:pPr>
        <w:pStyle w:val="Odsekzoznamu"/>
        <w:jc w:val="both"/>
        <w:rPr>
          <w:sz w:val="22"/>
          <w:szCs w:val="22"/>
        </w:rPr>
      </w:pPr>
    </w:p>
    <w:p w14:paraId="795DEF47" w14:textId="77777777" w:rsidR="009E0158" w:rsidRDefault="00771DCA" w:rsidP="00635945">
      <w:pPr>
        <w:pStyle w:val="Odsekzoznamu"/>
        <w:numPr>
          <w:ilvl w:val="0"/>
          <w:numId w:val="64"/>
        </w:numPr>
        <w:spacing w:before="180" w:after="120"/>
        <w:jc w:val="both"/>
        <w:rPr>
          <w:b/>
          <w:i/>
          <w:color w:val="4F81BD" w:themeColor="accent1"/>
          <w:sz w:val="22"/>
          <w:szCs w:val="22"/>
        </w:rPr>
      </w:pPr>
      <w:r w:rsidRPr="00771DCA">
        <w:rPr>
          <w:b/>
          <w:i/>
          <w:color w:val="4F81BD" w:themeColor="accent1"/>
          <w:sz w:val="22"/>
          <w:szCs w:val="22"/>
        </w:rPr>
        <w:t>Zavádzanie opatrení pre zvýšenie používania elektronického obchodu</w:t>
      </w:r>
    </w:p>
    <w:p w14:paraId="23B17F64" w14:textId="71E3E0CC" w:rsidR="00B82DEF" w:rsidRPr="006B680F" w:rsidRDefault="00B82DEF" w:rsidP="00B82DEF">
      <w:pPr>
        <w:spacing w:before="120" w:after="60"/>
        <w:jc w:val="both"/>
        <w:rPr>
          <w:sz w:val="22"/>
          <w:szCs w:val="20"/>
          <w:lang w:eastAsia="en-US"/>
        </w:rPr>
      </w:pPr>
      <w:r w:rsidRPr="006B680F">
        <w:rPr>
          <w:sz w:val="22"/>
          <w:szCs w:val="20"/>
          <w:lang w:eastAsia="en-US"/>
        </w:rPr>
        <w:t xml:space="preserve">Podnikateľské registre </w:t>
      </w:r>
      <w:r>
        <w:rPr>
          <w:sz w:val="22"/>
          <w:szCs w:val="20"/>
          <w:lang w:eastAsia="en-US"/>
        </w:rPr>
        <w:t xml:space="preserve">verejnej správy </w:t>
      </w:r>
      <w:r w:rsidRPr="006B680F">
        <w:rPr>
          <w:sz w:val="22"/>
          <w:szCs w:val="20"/>
          <w:lang w:eastAsia="en-US"/>
        </w:rPr>
        <w:t>sa transformujú do podoby interaktívnych nástrojov, ktoré budú podporovať dôveryhodnosť subjektov a zlepšovať informácie o pro</w:t>
      </w:r>
      <w:r w:rsidR="007B7084">
        <w:rPr>
          <w:sz w:val="22"/>
          <w:szCs w:val="20"/>
          <w:lang w:eastAsia="en-US"/>
        </w:rPr>
        <w:t>duktoch. Zavedú sa nástroje pre </w:t>
      </w:r>
      <w:r w:rsidRPr="006B680F">
        <w:rPr>
          <w:sz w:val="22"/>
          <w:szCs w:val="20"/>
          <w:lang w:eastAsia="en-US"/>
        </w:rPr>
        <w:t>ochranu spotrebiteľa v podmienkach jednotného digitálneho trhu.</w:t>
      </w:r>
    </w:p>
    <w:p w14:paraId="6B70D7E6" w14:textId="77777777" w:rsidR="00B82DEF" w:rsidRPr="006B680F" w:rsidRDefault="00B82DEF" w:rsidP="00B82DEF">
      <w:pPr>
        <w:spacing w:before="120" w:after="60"/>
        <w:jc w:val="both"/>
        <w:rPr>
          <w:sz w:val="22"/>
          <w:szCs w:val="20"/>
          <w:lang w:eastAsia="en-US"/>
        </w:rPr>
      </w:pPr>
      <w:r w:rsidRPr="006B680F">
        <w:rPr>
          <w:sz w:val="22"/>
          <w:szCs w:val="20"/>
          <w:lang w:eastAsia="en-US"/>
        </w:rPr>
        <w:t xml:space="preserve">Odstraňovanie transakčných nákladov a procesných bariér, znižovanie administratívnej záťaže bude realizované prostredníctvom: </w:t>
      </w:r>
    </w:p>
    <w:p w14:paraId="631771B6"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Zapojenie sa do iniciatív jednotného systému platieb a rozvoj elektronických a mobilných platieb v prostredí verejnej správy;</w:t>
      </w:r>
    </w:p>
    <w:p w14:paraId="15724755"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Nasadenie elektronických faktúr vo verejnej správe a odporúčania pre výhradné používanie elektronických faktúr v súkromnom sektore;</w:t>
      </w:r>
    </w:p>
    <w:p w14:paraId="5C275727"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lastRenderedPageBreak/>
        <w:t>Zjednodušovanie colného konania a služieb súvisiacich s dohľadom nad pohybom tovaru a efektívnejšie riešenie únikov a podozrivých operácií v colnej a daňovej oblasti;</w:t>
      </w:r>
    </w:p>
    <w:p w14:paraId="6C4753C0" w14:textId="77777777" w:rsidR="009E0158" w:rsidRDefault="001218A8" w:rsidP="00635945">
      <w:pPr>
        <w:pStyle w:val="Odsekzoznamu"/>
        <w:numPr>
          <w:ilvl w:val="0"/>
          <w:numId w:val="27"/>
        </w:numPr>
        <w:jc w:val="both"/>
        <w:rPr>
          <w:sz w:val="22"/>
          <w:szCs w:val="20"/>
          <w:lang w:eastAsia="en-US"/>
        </w:rPr>
      </w:pPr>
      <w:r w:rsidRPr="001218A8">
        <w:rPr>
          <w:sz w:val="22"/>
          <w:szCs w:val="20"/>
          <w:lang w:eastAsia="cs-CZ"/>
        </w:rPr>
        <w:t>Elektronizácia procesu vymáhania platieb a sťažností.</w:t>
      </w:r>
    </w:p>
    <w:p w14:paraId="0764CBC3" w14:textId="77777777" w:rsidR="00E92F9B" w:rsidRDefault="00E92F9B">
      <w:pPr>
        <w:pStyle w:val="Odsekzoznamu"/>
        <w:jc w:val="both"/>
        <w:rPr>
          <w:sz w:val="22"/>
          <w:szCs w:val="20"/>
          <w:lang w:eastAsia="en-US"/>
        </w:rPr>
      </w:pPr>
    </w:p>
    <w:p w14:paraId="40E9B79B" w14:textId="77777777" w:rsidR="009E0158" w:rsidRDefault="00B82DEF" w:rsidP="00635945">
      <w:pPr>
        <w:pStyle w:val="Odsekzoznamu"/>
        <w:numPr>
          <w:ilvl w:val="0"/>
          <w:numId w:val="64"/>
        </w:numPr>
        <w:autoSpaceDE w:val="0"/>
        <w:autoSpaceDN w:val="0"/>
        <w:adjustRightInd w:val="0"/>
        <w:spacing w:before="180" w:after="120"/>
        <w:jc w:val="both"/>
        <w:rPr>
          <w:b/>
          <w:i/>
          <w:color w:val="4F81BD" w:themeColor="accent1"/>
          <w:sz w:val="22"/>
          <w:szCs w:val="22"/>
        </w:rPr>
      </w:pPr>
      <w:r w:rsidRPr="00B82DEF">
        <w:rPr>
          <w:b/>
          <w:i/>
          <w:color w:val="4F81BD" w:themeColor="accent1"/>
          <w:sz w:val="22"/>
          <w:szCs w:val="22"/>
        </w:rPr>
        <w:t>Rozšírenie možností pre elektronickú identifikáciu,</w:t>
      </w:r>
      <w:r w:rsidR="002C1444">
        <w:rPr>
          <w:b/>
          <w:i/>
          <w:color w:val="4F81BD" w:themeColor="accent1"/>
          <w:sz w:val="22"/>
          <w:szCs w:val="22"/>
        </w:rPr>
        <w:t xml:space="preserve"> autentifikáciu a autorizáciu v </w:t>
      </w:r>
      <w:r w:rsidRPr="00B82DEF">
        <w:rPr>
          <w:b/>
          <w:i/>
          <w:color w:val="4F81BD" w:themeColor="accent1"/>
          <w:sz w:val="22"/>
          <w:szCs w:val="22"/>
        </w:rPr>
        <w:t>jednotnom digitálnom priestore</w:t>
      </w:r>
    </w:p>
    <w:p w14:paraId="61357EE3" w14:textId="77777777" w:rsidR="00244C49" w:rsidRDefault="00B82DEF" w:rsidP="00D90E59">
      <w:pPr>
        <w:spacing w:after="180"/>
        <w:jc w:val="both"/>
        <w:rPr>
          <w:color w:val="000000" w:themeColor="text1"/>
          <w:sz w:val="22"/>
          <w:szCs w:val="22"/>
        </w:rPr>
      </w:pPr>
      <w:r w:rsidRPr="00B82DEF">
        <w:rPr>
          <w:color w:val="000000" w:themeColor="text1"/>
          <w:sz w:val="22"/>
          <w:szCs w:val="22"/>
        </w:rPr>
        <w:t>V otázke samotnej identity sa bude postupovať smerom k využívaniu rôznych typov dôveryhodných identít pre prístup k službám eGovernmentu a eCommerce. Vytvorí sa priestor pre súkromných poskytovateľov identít, aby sa mohli prepojiť s IAM modulom a priniesť inovácie a overené riešenia do verejného sektora. Vhodnosť takéhoto zapojenia súkromníkov bude detailne validovaná štúdiou realizovateľnosti. Vytvorí sa priestor pre umožnenie používania eID, ktorá je akceptovaná pri komunikácií s VS, v súkromnom sektore. Vhodnosť takéhoto využitia eID bude detailne validovaná štúdiou realizovateľnosti.</w:t>
      </w:r>
    </w:p>
    <w:p w14:paraId="5C51B28A" w14:textId="77777777" w:rsidR="009E0158" w:rsidRDefault="001218A8" w:rsidP="00635945">
      <w:pPr>
        <w:pStyle w:val="Odsekzoznamu"/>
        <w:numPr>
          <w:ilvl w:val="0"/>
          <w:numId w:val="64"/>
        </w:numPr>
        <w:spacing w:after="180"/>
        <w:jc w:val="both"/>
        <w:rPr>
          <w:b/>
          <w:i/>
          <w:color w:val="4F81BD" w:themeColor="accent1"/>
          <w:sz w:val="22"/>
          <w:szCs w:val="22"/>
        </w:rPr>
      </w:pPr>
      <w:r w:rsidRPr="001218A8">
        <w:rPr>
          <w:b/>
          <w:i/>
          <w:color w:val="4F81BD" w:themeColor="accent1"/>
          <w:sz w:val="22"/>
          <w:szCs w:val="22"/>
        </w:rPr>
        <w:t>Podpora najmä malých a stredných podnikateľov prostredníctvom zdieľaných služieb</w:t>
      </w:r>
    </w:p>
    <w:p w14:paraId="453B3D70" w14:textId="77777777" w:rsidR="00B82DEF" w:rsidRDefault="00B82DEF" w:rsidP="00B82DEF">
      <w:pPr>
        <w:pStyle w:val="06Normal"/>
      </w:pPr>
      <w:r>
        <w:t xml:space="preserve">Realizujú sa projekty, ktoré umožnia najmä </w:t>
      </w:r>
      <w:r w:rsidRPr="0000206C">
        <w:rPr>
          <w:rStyle w:val="06NormalChar"/>
        </w:rPr>
        <w:t xml:space="preserve">MSP </w:t>
      </w:r>
      <w:r>
        <w:rPr>
          <w:rStyle w:val="06NormalChar"/>
        </w:rPr>
        <w:t>získať</w:t>
      </w:r>
      <w:r w:rsidRPr="0000206C">
        <w:rPr>
          <w:rStyle w:val="06NormalChar"/>
        </w:rPr>
        <w:t xml:space="preserve"> prístup k</w:t>
      </w:r>
      <w:r>
        <w:rPr>
          <w:rStyle w:val="06NormalChar"/>
        </w:rPr>
        <w:t xml:space="preserve"> elektronickým</w:t>
      </w:r>
      <w:r w:rsidRPr="0000206C">
        <w:rPr>
          <w:rStyle w:val="06NormalChar"/>
        </w:rPr>
        <w:t xml:space="preserve"> službám, ktoré boli </w:t>
      </w:r>
      <w:r>
        <w:rPr>
          <w:rStyle w:val="06NormalChar"/>
        </w:rPr>
        <w:t xml:space="preserve">primárne </w:t>
      </w:r>
      <w:r w:rsidRPr="0000206C">
        <w:rPr>
          <w:rStyle w:val="06NormalChar"/>
        </w:rPr>
        <w:t xml:space="preserve">vyvinuté pre potreby verejnej správy. </w:t>
      </w:r>
      <w:r>
        <w:rPr>
          <w:rStyle w:val="06NormalChar"/>
        </w:rPr>
        <w:t>Zabezpečí sa tým efektívne využitie voľnej kapacity a rozširovanie prínosov riešení.</w:t>
      </w:r>
    </w:p>
    <w:p w14:paraId="0CB0BB58" w14:textId="77777777" w:rsidR="00B82DEF" w:rsidRDefault="00B82DEF" w:rsidP="00B82DEF">
      <w:pPr>
        <w:pStyle w:val="06Normal"/>
      </w:pPr>
      <w:r>
        <w:rPr>
          <w:rStyle w:val="06NormalChar"/>
        </w:rPr>
        <w:t>V rámci trendu znižovania nutnosti fyzického doručovania listových zásielok budú k dispozícii tiež riešenia pre elektronické doručovanie firmám a zákazníkom do elektronických dátových schránok s garanciou doručenia.</w:t>
      </w:r>
    </w:p>
    <w:p w14:paraId="730FE7A5" w14:textId="77777777" w:rsidR="00B82DEF" w:rsidRDefault="00B82DEF" w:rsidP="00B82DEF">
      <w:pPr>
        <w:pStyle w:val="06Normal"/>
      </w:pPr>
      <w:r>
        <w:rPr>
          <w:rStyle w:val="06NormalChar"/>
        </w:rPr>
        <w:t>Zároveň p</w:t>
      </w:r>
      <w:r w:rsidRPr="00CE5A27">
        <w:rPr>
          <w:rStyle w:val="06NormalChar"/>
        </w:rPr>
        <w:t xml:space="preserve">ri definovaní jasných pravidiel je možné zdieľať PKI </w:t>
      </w:r>
      <w:r>
        <w:rPr>
          <w:rStyle w:val="06NormalChar"/>
        </w:rPr>
        <w:t>a AAA infraštruktúru s podnikateľmi</w:t>
      </w:r>
      <w:r w:rsidRPr="00CE5A27">
        <w:rPr>
          <w:rStyle w:val="06NormalChar"/>
        </w:rPr>
        <w:t>, ktorí si tak dokážu efektívne</w:t>
      </w:r>
      <w:r>
        <w:rPr>
          <w:rStyle w:val="06NormalChar"/>
        </w:rPr>
        <w:t xml:space="preserve"> </w:t>
      </w:r>
      <w:r w:rsidRPr="00CE5A27">
        <w:rPr>
          <w:rStyle w:val="06NormalChar"/>
        </w:rPr>
        <w:t>vytvoriť bezpečné digitálne prostredie pre svoje podnikanie a služby zákazníkom.</w:t>
      </w:r>
    </w:p>
    <w:p w14:paraId="4436AC7D" w14:textId="77777777" w:rsidR="00B82DEF" w:rsidRDefault="00B82DEF" w:rsidP="00B82DEF">
      <w:pPr>
        <w:pStyle w:val="06Normal"/>
      </w:pPr>
      <w:r>
        <w:rPr>
          <w:rStyle w:val="06NormalChar"/>
        </w:rPr>
        <w:t xml:space="preserve">Prístup k </w:t>
      </w:r>
      <w:r w:rsidRPr="00393AFF">
        <w:rPr>
          <w:rStyle w:val="06NormalChar"/>
        </w:rPr>
        <w:t>služb</w:t>
      </w:r>
      <w:r>
        <w:rPr>
          <w:rStyle w:val="06NormalChar"/>
        </w:rPr>
        <w:t>ám</w:t>
      </w:r>
      <w:r w:rsidRPr="00393AFF">
        <w:rPr>
          <w:rStyle w:val="06NormalChar"/>
        </w:rPr>
        <w:t xml:space="preserve"> cloudu môž</w:t>
      </w:r>
      <w:r>
        <w:rPr>
          <w:rStyle w:val="06NormalChar"/>
        </w:rPr>
        <w:t>e</w:t>
      </w:r>
      <w:r w:rsidRPr="00393AFF">
        <w:rPr>
          <w:rStyle w:val="06NormalChar"/>
        </w:rPr>
        <w:t xml:space="preserve"> podnikateľom slúžiť na pohodlný rozbeh ich podnikania v digitálnej ekonomike, prípadne na zefektívnenie ich fungovania</w:t>
      </w:r>
      <w:r>
        <w:rPr>
          <w:rStyle w:val="06NormalChar"/>
        </w:rPr>
        <w:t>.</w:t>
      </w:r>
      <w:r w:rsidRPr="00393AFF">
        <w:rPr>
          <w:rStyle w:val="06NormalChar"/>
        </w:rPr>
        <w:t xml:space="preserve"> Cloudové služby môžu tiež slúžiť na dočasné potreby vyššieho výpočtového výkonu napríklad v prípade snahy o nárazové spracovanie veľkého množstva dát.</w:t>
      </w:r>
    </w:p>
    <w:p w14:paraId="00840185" w14:textId="77777777" w:rsidR="00E92F9B" w:rsidRDefault="00B82DEF">
      <w:pPr>
        <w:pStyle w:val="06Normal"/>
        <w:spacing w:before="0" w:after="120"/>
      </w:pPr>
      <w:r>
        <w:t>Cieľom je tiež sprístupniť pre podnikateľov platformu pre tvorbu materiálov v rámci eLearningu s možnosťou vzdelávať svojich zamestnancov a učiť sa od top firiem v obore.</w:t>
      </w:r>
    </w:p>
    <w:p w14:paraId="25B177A3" w14:textId="77777777" w:rsidR="00AB4F1B" w:rsidRPr="00C447FB" w:rsidRDefault="00AB4F1B" w:rsidP="00AB4F1B">
      <w:pPr>
        <w:pStyle w:val="Odsekzoznamu"/>
        <w:numPr>
          <w:ilvl w:val="0"/>
          <w:numId w:val="64"/>
        </w:numPr>
        <w:spacing w:after="180"/>
        <w:jc w:val="both"/>
        <w:rPr>
          <w:b/>
          <w:i/>
          <w:color w:val="4F81BD" w:themeColor="accent1"/>
          <w:sz w:val="22"/>
          <w:szCs w:val="22"/>
        </w:rPr>
      </w:pPr>
      <w:r w:rsidRPr="00C447FB">
        <w:rPr>
          <w:b/>
          <w:i/>
          <w:color w:val="4F81BD" w:themeColor="accent1"/>
          <w:sz w:val="22"/>
          <w:szCs w:val="22"/>
        </w:rPr>
        <w:t>Podpora inovatívnych riešení MSP využívajúcich údaje a služby poskytované verejnou správou</w:t>
      </w:r>
    </w:p>
    <w:p w14:paraId="0E22C560" w14:textId="24475EB1" w:rsidR="006948AC" w:rsidRDefault="00AB4F1B" w:rsidP="00AB4F1B">
      <w:pPr>
        <w:pStyle w:val="06Normal"/>
        <w:spacing w:before="0" w:after="120"/>
        <w:rPr>
          <w:rStyle w:val="06NormalChar"/>
          <w:szCs w:val="24"/>
          <w:lang w:eastAsia="sk-SK"/>
        </w:rPr>
      </w:pPr>
      <w:r w:rsidRPr="00C447FB">
        <w:rPr>
          <w:rStyle w:val="06NormalChar"/>
          <w:szCs w:val="24"/>
          <w:lang w:eastAsia="sk-SK"/>
        </w:rPr>
        <w:t>Budú realizované projekty zamerané na priamu podporu MSP v oblastiach ako využívanie otvorených údajov verejnej správy pre poskytovanie lepších služieb, mobilný government, dátové analýzy a pod., ktoré sú vhodné pre riešenie prostredníctvom služieb MSP (napr. prostredníctvom inovatívnych voucherov).</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D90E59" w:rsidRPr="007F1C63" w14:paraId="0961D2BD" w14:textId="77777777" w:rsidTr="00B80F3A">
        <w:trPr>
          <w:trHeight w:val="340"/>
          <w:jc w:val="center"/>
        </w:trPr>
        <w:tc>
          <w:tcPr>
            <w:tcW w:w="3288" w:type="dxa"/>
            <w:shd w:val="clear" w:color="auto" w:fill="DBE5F1" w:themeFill="accent1" w:themeFillTint="33"/>
            <w:vAlign w:val="center"/>
          </w:tcPr>
          <w:p w14:paraId="633AF114" w14:textId="77777777" w:rsidR="00D90E59" w:rsidRPr="007F1C63" w:rsidRDefault="00D90E59" w:rsidP="00B80F3A">
            <w:pPr>
              <w:autoSpaceDE w:val="0"/>
              <w:autoSpaceDN w:val="0"/>
              <w:adjustRightInd w:val="0"/>
              <w:ind w:left="0"/>
              <w:rPr>
                <w:i/>
                <w:sz w:val="22"/>
                <w:szCs w:val="22"/>
              </w:rPr>
            </w:pPr>
            <w:r w:rsidRPr="007F1C63">
              <w:rPr>
                <w:i/>
                <w:sz w:val="22"/>
                <w:szCs w:val="22"/>
              </w:rPr>
              <w:t>Cieľové skupiny:</w:t>
            </w:r>
          </w:p>
        </w:tc>
        <w:tc>
          <w:tcPr>
            <w:tcW w:w="5784" w:type="dxa"/>
            <w:vAlign w:val="center"/>
          </w:tcPr>
          <w:p w14:paraId="673F7B15" w14:textId="77777777" w:rsidR="009E0158" w:rsidRDefault="00B82DEF" w:rsidP="00635945">
            <w:pPr>
              <w:numPr>
                <w:ilvl w:val="0"/>
                <w:numId w:val="27"/>
              </w:numPr>
              <w:autoSpaceDE w:val="0"/>
              <w:autoSpaceDN w:val="0"/>
              <w:adjustRightInd w:val="0"/>
              <w:ind w:left="284" w:hanging="284"/>
              <w:contextualSpacing/>
              <w:rPr>
                <w:sz w:val="22"/>
                <w:szCs w:val="22"/>
              </w:rPr>
            </w:pPr>
            <w:r>
              <w:rPr>
                <w:sz w:val="22"/>
                <w:szCs w:val="22"/>
              </w:rPr>
              <w:t>Podnikatelia (najmä MSP)</w:t>
            </w:r>
          </w:p>
        </w:tc>
      </w:tr>
      <w:tr w:rsidR="00D90E59" w:rsidRPr="007F1C63" w14:paraId="7E930614" w14:textId="77777777" w:rsidTr="00B80F3A">
        <w:trPr>
          <w:trHeight w:val="340"/>
          <w:jc w:val="center"/>
        </w:trPr>
        <w:tc>
          <w:tcPr>
            <w:tcW w:w="3288" w:type="dxa"/>
            <w:shd w:val="clear" w:color="auto" w:fill="DBE5F1" w:themeFill="accent1" w:themeFillTint="33"/>
            <w:vAlign w:val="center"/>
          </w:tcPr>
          <w:p w14:paraId="08DE44AD" w14:textId="77777777" w:rsidR="00D90E59" w:rsidRPr="007F1C63" w:rsidRDefault="00D90E59" w:rsidP="00B80F3A">
            <w:pPr>
              <w:autoSpaceDE w:val="0"/>
              <w:autoSpaceDN w:val="0"/>
              <w:adjustRightInd w:val="0"/>
              <w:ind w:left="0"/>
              <w:rPr>
                <w:i/>
                <w:sz w:val="22"/>
                <w:szCs w:val="22"/>
              </w:rPr>
            </w:pPr>
            <w:r w:rsidRPr="007F1C63">
              <w:rPr>
                <w:i/>
                <w:sz w:val="22"/>
                <w:szCs w:val="22"/>
              </w:rPr>
              <w:t>Cieľové územia:</w:t>
            </w:r>
          </w:p>
        </w:tc>
        <w:tc>
          <w:tcPr>
            <w:tcW w:w="5784" w:type="dxa"/>
            <w:vAlign w:val="center"/>
          </w:tcPr>
          <w:p w14:paraId="51FD542C" w14:textId="77777777" w:rsidR="009E0158" w:rsidRDefault="00D90E59" w:rsidP="00635945">
            <w:pPr>
              <w:numPr>
                <w:ilvl w:val="0"/>
                <w:numId w:val="27"/>
              </w:numPr>
              <w:autoSpaceDE w:val="0"/>
              <w:autoSpaceDN w:val="0"/>
              <w:adjustRightInd w:val="0"/>
              <w:ind w:left="284" w:hanging="284"/>
              <w:contextualSpacing/>
              <w:rPr>
                <w:sz w:val="22"/>
                <w:szCs w:val="22"/>
              </w:rPr>
            </w:pPr>
            <w:r w:rsidRPr="007F1C63">
              <w:rPr>
                <w:sz w:val="22"/>
                <w:szCs w:val="22"/>
              </w:rPr>
              <w:t xml:space="preserve">NUTS </w:t>
            </w:r>
            <w:r>
              <w:rPr>
                <w:sz w:val="22"/>
                <w:szCs w:val="22"/>
              </w:rPr>
              <w:t>1</w:t>
            </w:r>
          </w:p>
        </w:tc>
      </w:tr>
      <w:tr w:rsidR="00D90E59" w:rsidRPr="007F1C63" w14:paraId="6BB4BC97" w14:textId="77777777" w:rsidTr="00B80F3A">
        <w:trPr>
          <w:trHeight w:val="340"/>
          <w:jc w:val="center"/>
        </w:trPr>
        <w:tc>
          <w:tcPr>
            <w:tcW w:w="3288" w:type="dxa"/>
            <w:shd w:val="clear" w:color="auto" w:fill="DBE5F1" w:themeFill="accent1" w:themeFillTint="33"/>
            <w:vAlign w:val="center"/>
          </w:tcPr>
          <w:p w14:paraId="695D3542" w14:textId="77777777" w:rsidR="00D90E59" w:rsidRPr="007F1C63" w:rsidRDefault="00D90E59" w:rsidP="00B80F3A">
            <w:pPr>
              <w:autoSpaceDE w:val="0"/>
              <w:autoSpaceDN w:val="0"/>
              <w:adjustRightInd w:val="0"/>
              <w:ind w:left="0"/>
              <w:rPr>
                <w:i/>
                <w:sz w:val="22"/>
                <w:szCs w:val="22"/>
              </w:rPr>
            </w:pPr>
            <w:r w:rsidRPr="007F1C63">
              <w:rPr>
                <w:i/>
                <w:sz w:val="22"/>
                <w:szCs w:val="22"/>
              </w:rPr>
              <w:t>Prijímatelia:</w:t>
            </w:r>
          </w:p>
        </w:tc>
        <w:tc>
          <w:tcPr>
            <w:tcW w:w="5784" w:type="dxa"/>
            <w:vAlign w:val="center"/>
          </w:tcPr>
          <w:p w14:paraId="37D118E4" w14:textId="510225A6" w:rsidR="009E0158" w:rsidRDefault="00D90E59" w:rsidP="00AB4F1B">
            <w:pPr>
              <w:numPr>
                <w:ilvl w:val="0"/>
                <w:numId w:val="27"/>
              </w:numPr>
              <w:autoSpaceDE w:val="0"/>
              <w:autoSpaceDN w:val="0"/>
              <w:adjustRightInd w:val="0"/>
              <w:ind w:left="284" w:hanging="284"/>
              <w:contextualSpacing/>
              <w:rPr>
                <w:sz w:val="22"/>
                <w:szCs w:val="22"/>
              </w:rPr>
            </w:pPr>
            <w:r>
              <w:rPr>
                <w:sz w:val="22"/>
                <w:szCs w:val="22"/>
              </w:rPr>
              <w:t>napr.</w:t>
            </w:r>
            <w:r w:rsidR="00B82DEF">
              <w:rPr>
                <w:sz w:val="22"/>
                <w:szCs w:val="22"/>
              </w:rPr>
              <w:t xml:space="preserve"> </w:t>
            </w:r>
            <w:r w:rsidRPr="00560E77">
              <w:rPr>
                <w:sz w:val="22"/>
                <w:szCs w:val="22"/>
              </w:rPr>
              <w:t>rozpočtová organizácia, príspevková organizácia</w:t>
            </w:r>
            <w:r w:rsidR="00B82DEF">
              <w:rPr>
                <w:sz w:val="22"/>
                <w:szCs w:val="22"/>
              </w:rPr>
              <w:t>,</w:t>
            </w:r>
            <w:r w:rsidR="00B82DEF" w:rsidRPr="00B82DEF">
              <w:t xml:space="preserve"> </w:t>
            </w:r>
            <w:r w:rsidR="00B82DEF" w:rsidRPr="00B82DEF">
              <w:rPr>
                <w:sz w:val="22"/>
                <w:szCs w:val="22"/>
              </w:rPr>
              <w:t>Sociálna a zdravotné poisťovne, ďalšie subjekty, ktoré sú zapísané v štatistickom registri organizácií sektora verejnej správy,</w:t>
            </w:r>
            <w:r w:rsidR="0059698C">
              <w:rPr>
                <w:sz w:val="22"/>
                <w:szCs w:val="22"/>
              </w:rPr>
              <w:t xml:space="preserve"> obec, vyšší územný celok,</w:t>
            </w:r>
            <w:r w:rsidR="00B82DEF" w:rsidRPr="00B82DEF">
              <w:rPr>
                <w:sz w:val="22"/>
                <w:szCs w:val="22"/>
              </w:rPr>
              <w:t xml:space="preserve"> akciová spoločnosť podľa zákona č. 513/1991 Z.</w:t>
            </w:r>
            <w:r w:rsidR="005A1A06">
              <w:rPr>
                <w:sz w:val="22"/>
                <w:szCs w:val="22"/>
              </w:rPr>
              <w:t xml:space="preserve"> </w:t>
            </w:r>
            <w:r w:rsidR="00B82DEF" w:rsidRPr="00B82DEF">
              <w:rPr>
                <w:sz w:val="22"/>
                <w:szCs w:val="22"/>
              </w:rPr>
              <w:t>z. (mimo schémy štátnej pomoci), združenie (zväz, spolok, spoločnosť, klub ai.) podľa zákona č. 83/1990 Z.</w:t>
            </w:r>
            <w:r w:rsidR="005A1A06">
              <w:rPr>
                <w:sz w:val="22"/>
                <w:szCs w:val="22"/>
              </w:rPr>
              <w:t xml:space="preserve"> </w:t>
            </w:r>
            <w:r w:rsidR="00B82DEF" w:rsidRPr="00B82DEF">
              <w:rPr>
                <w:sz w:val="22"/>
                <w:szCs w:val="22"/>
              </w:rPr>
              <w:t>z., záujmové združenie právnických osôb podľa zákona č. 40/1964 zb., združenie obcí podľa zákona č. 369/1990 Zb., iné subjekty zriadené zákonom</w:t>
            </w:r>
            <w:r w:rsidR="00AB4F1B">
              <w:rPr>
                <w:sz w:val="22"/>
                <w:szCs w:val="22"/>
              </w:rPr>
              <w:t>, fyzické alebo právnické osoby oprávnené na podnikanie spĺňajúce definíciu MSP</w:t>
            </w:r>
          </w:p>
        </w:tc>
      </w:tr>
    </w:tbl>
    <w:p w14:paraId="0FB3DDED" w14:textId="77777777" w:rsidR="009E0158" w:rsidRDefault="00D90E59" w:rsidP="00635945">
      <w:pPr>
        <w:pStyle w:val="Odsekzoznamu"/>
        <w:keepNext/>
        <w:numPr>
          <w:ilvl w:val="3"/>
          <w:numId w:val="113"/>
        </w:numPr>
        <w:tabs>
          <w:tab w:val="left" w:pos="709"/>
        </w:tabs>
        <w:spacing w:before="18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lastRenderedPageBreak/>
        <w:t>Hlavné zásady výberu projektov</w:t>
      </w:r>
    </w:p>
    <w:p w14:paraId="02558453" w14:textId="77777777" w:rsidR="00D90E59" w:rsidRPr="00B02869" w:rsidRDefault="00D90E59" w:rsidP="00D90E59">
      <w:pPr>
        <w:pStyle w:val="06Normal"/>
      </w:pPr>
      <w:r w:rsidRPr="00B02869">
        <w:t>S</w:t>
      </w:r>
      <w:r>
        <w:t> </w:t>
      </w:r>
      <w:r w:rsidRPr="00B02869">
        <w:t>cieľom zabezpečiť efektívne a</w:t>
      </w:r>
      <w:r>
        <w:t> </w:t>
      </w:r>
      <w:r w:rsidRPr="00B02869">
        <w:t>transparentné čerpanie finančných prostriedkov z</w:t>
      </w:r>
      <w:r>
        <w:t> </w:t>
      </w:r>
      <w:r w:rsidRPr="00B02869">
        <w:t xml:space="preserve">fondov EÚ, alokovaných pre </w:t>
      </w:r>
      <w:r w:rsidR="00B82DEF">
        <w:t>P</w:t>
      </w:r>
      <w:r w:rsidRPr="00B02869">
        <w:t>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14:paraId="25C2129C" w14:textId="77777777" w:rsidR="00D90E59" w:rsidRDefault="00D90E59" w:rsidP="00D90E59">
      <w:pPr>
        <w:pStyle w:val="06Normal"/>
      </w:pPr>
      <w:r>
        <w:t>V</w:t>
      </w:r>
      <w:r w:rsidRPr="00B02869">
        <w:t>o vzťahu k</w:t>
      </w:r>
      <w:r>
        <w:t> </w:t>
      </w:r>
      <w:r w:rsidRPr="00B02869">
        <w:t xml:space="preserve">podporovaným aktivitám </w:t>
      </w:r>
      <w:r>
        <w:t>OPII</w:t>
      </w:r>
      <w:r w:rsidRPr="00B02869">
        <w:t xml:space="preserve"> budú jednotliví prijímatelia stanovení buď vopred a</w:t>
      </w:r>
      <w:r>
        <w:t> </w:t>
      </w:r>
      <w:r w:rsidRPr="00B02869">
        <w:t>písomnými vyzvaniami</w:t>
      </w:r>
      <w:r w:rsidRPr="002A4585">
        <w:t xml:space="preserve"> vzhľadom na ich jedinečné postavenie a funkcie</w:t>
      </w:r>
      <w:r>
        <w:t xml:space="preserve"> </w:t>
      </w:r>
      <w:r w:rsidRPr="00B90C78">
        <w:t>(</w:t>
      </w:r>
      <w:r>
        <w:t xml:space="preserve">napr. </w:t>
      </w:r>
      <w:r w:rsidRPr="00B90C78">
        <w:t xml:space="preserve">na základe kompetencií vyplývajúcich im z osobitných predpisov </w:t>
      </w:r>
      <w:r w:rsidR="00AD06FF">
        <w:t>a</w:t>
      </w:r>
      <w:r w:rsidRPr="00B90C78">
        <w:t xml:space="preserve"> na základe schválenia </w:t>
      </w:r>
      <w:r>
        <w:t>M</w:t>
      </w:r>
      <w:r w:rsidRPr="00B90C78">
        <w:t xml:space="preserve">onitorovacím výborom) </w:t>
      </w:r>
      <w:r w:rsidRPr="00B02869">
        <w:t>žiadaní o</w:t>
      </w:r>
      <w:r>
        <w:t> </w:t>
      </w:r>
      <w:r w:rsidRPr="00B02869">
        <w:t>predkladanie projektových žiadostí alebo v</w:t>
      </w:r>
      <w:r>
        <w:t> </w:t>
      </w:r>
      <w:r w:rsidRPr="00B02869">
        <w:t>prípade dopytových projektov určení výberom.</w:t>
      </w:r>
    </w:p>
    <w:p w14:paraId="2150B5D4" w14:textId="77777777" w:rsidR="00D90E59" w:rsidRDefault="00D90E59" w:rsidP="00D90E59">
      <w:pPr>
        <w:pStyle w:val="06Normal"/>
        <w:spacing w:after="120"/>
      </w:pPr>
      <w:r>
        <w:t>Vo vzťahu k písomným vyzvaniam budú zohľadnené najmä nasledujúce princípy:</w:t>
      </w:r>
    </w:p>
    <w:p w14:paraId="305C579D" w14:textId="77777777" w:rsidR="009E0158" w:rsidRDefault="00D90E59" w:rsidP="00635945">
      <w:pPr>
        <w:pStyle w:val="Odsekzoznamu"/>
        <w:numPr>
          <w:ilvl w:val="0"/>
          <w:numId w:val="27"/>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14:paraId="6199F474" w14:textId="77777777" w:rsidR="009E0158" w:rsidRDefault="00D90E59" w:rsidP="00635945">
      <w:pPr>
        <w:pStyle w:val="Odsekzoznamu"/>
        <w:numPr>
          <w:ilvl w:val="0"/>
          <w:numId w:val="27"/>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14:paraId="6A43FED9" w14:textId="77777777" w:rsidR="009E0158" w:rsidRDefault="00D90E59" w:rsidP="00635945">
      <w:pPr>
        <w:pStyle w:val="Odsekzoznamu"/>
        <w:numPr>
          <w:ilvl w:val="0"/>
          <w:numId w:val="27"/>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14:paraId="4D94BC93" w14:textId="443CEF33" w:rsidR="009E0158" w:rsidRDefault="00AD06FF" w:rsidP="00635945">
      <w:pPr>
        <w:pStyle w:val="Odsekzoznamu"/>
        <w:numPr>
          <w:ilvl w:val="0"/>
          <w:numId w:val="27"/>
        </w:numPr>
        <w:spacing w:before="120" w:after="120"/>
        <w:jc w:val="both"/>
        <w:rPr>
          <w:sz w:val="22"/>
          <w:szCs w:val="20"/>
          <w:lang w:eastAsia="en-US"/>
        </w:rPr>
      </w:pPr>
      <w:r w:rsidRPr="0063558D">
        <w:rPr>
          <w:sz w:val="22"/>
          <w:szCs w:val="20"/>
          <w:lang w:eastAsia="en-US"/>
        </w:rPr>
        <w:t>povinnosť prijímateľa vyčleniť 3 % oprávnených výdavkov projektu pre implementáciu štandardov riadenia informačno - technologických projektov, ktoré zabezpečia aktívnu participáciu na riadení projektov a komplexné riadenie budovania informačnej spoločnosti</w:t>
      </w:r>
      <w:r w:rsidR="007761F5">
        <w:rPr>
          <w:sz w:val="22"/>
          <w:szCs w:val="20"/>
          <w:lang w:eastAsia="en-US"/>
        </w:rPr>
        <w:t xml:space="preserve"> a </w:t>
      </w:r>
      <w:r w:rsidR="00370E62">
        <w:rPr>
          <w:sz w:val="22"/>
          <w:szCs w:val="20"/>
          <w:lang w:eastAsia="en-US"/>
        </w:rPr>
        <w:t>publicity</w:t>
      </w:r>
      <w:r w:rsidRPr="0063558D">
        <w:rPr>
          <w:sz w:val="22"/>
          <w:szCs w:val="20"/>
          <w:lang w:eastAsia="en-US"/>
        </w:rPr>
        <w:t>;</w:t>
      </w:r>
    </w:p>
    <w:p w14:paraId="5E1322E6" w14:textId="77777777" w:rsidR="009E0158" w:rsidRDefault="00AD06FF" w:rsidP="00635945">
      <w:pPr>
        <w:pStyle w:val="Odsekzoznamu"/>
        <w:numPr>
          <w:ilvl w:val="0"/>
          <w:numId w:val="27"/>
        </w:numPr>
        <w:spacing w:before="120" w:after="120"/>
        <w:jc w:val="both"/>
        <w:rPr>
          <w:sz w:val="22"/>
          <w:szCs w:val="20"/>
          <w:lang w:eastAsia="en-US"/>
        </w:rPr>
      </w:pPr>
      <w:r w:rsidRPr="008B007C">
        <w:rPr>
          <w:sz w:val="22"/>
          <w:szCs w:val="20"/>
          <w:lang w:eastAsia="en-US"/>
        </w:rPr>
        <w:t>štúdie realizovateľnosti budú predmetom posúdenia a schválenia zo strany Riadiaceho výboru;</w:t>
      </w:r>
    </w:p>
    <w:p w14:paraId="1F2EC70B" w14:textId="77777777" w:rsidR="009E0158" w:rsidRDefault="00AD06FF" w:rsidP="00635945">
      <w:pPr>
        <w:pStyle w:val="Odsekzoznamu"/>
        <w:numPr>
          <w:ilvl w:val="0"/>
          <w:numId w:val="27"/>
        </w:numPr>
        <w:spacing w:before="120" w:after="120"/>
        <w:jc w:val="both"/>
        <w:rPr>
          <w:sz w:val="22"/>
          <w:szCs w:val="20"/>
          <w:lang w:eastAsia="en-US"/>
        </w:rPr>
      </w:pPr>
      <w:r w:rsidRPr="008B007C">
        <w:rPr>
          <w:sz w:val="22"/>
          <w:szCs w:val="20"/>
          <w:lang w:eastAsia="en-US"/>
        </w:rPr>
        <w:t>projekty budú riadené v súlade so štandardami riadenia informačno - technologických projektov;</w:t>
      </w:r>
    </w:p>
    <w:p w14:paraId="6096C3A4" w14:textId="77777777" w:rsidR="009E0158" w:rsidRDefault="00AD06FF" w:rsidP="00635945">
      <w:pPr>
        <w:pStyle w:val="Odsekzoznamu"/>
        <w:numPr>
          <w:ilvl w:val="0"/>
          <w:numId w:val="27"/>
        </w:numPr>
        <w:spacing w:before="120" w:after="120"/>
        <w:jc w:val="both"/>
      </w:pPr>
      <w:r>
        <w:rPr>
          <w:sz w:val="22"/>
          <w:szCs w:val="20"/>
          <w:lang w:eastAsia="en-US"/>
        </w:rPr>
        <w:t>projekty budú predmetom posúdenia dvomi nezávislými hodnotiteľmi.</w:t>
      </w:r>
    </w:p>
    <w:p w14:paraId="12DC51D5" w14:textId="77777777" w:rsidR="00D90E59" w:rsidRDefault="00D90E59" w:rsidP="00D90E59">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14:paraId="293C1765" w14:textId="77777777" w:rsidR="009E0158" w:rsidRDefault="00D90E59" w:rsidP="00635945">
      <w:pPr>
        <w:pStyle w:val="Odsekzoznamu"/>
        <w:numPr>
          <w:ilvl w:val="0"/>
          <w:numId w:val="27"/>
        </w:numPr>
        <w:spacing w:before="120" w:after="120"/>
        <w:jc w:val="both"/>
      </w:pPr>
      <w:r w:rsidRPr="004C2534">
        <w:rPr>
          <w:sz w:val="22"/>
          <w:szCs w:val="20"/>
          <w:lang w:eastAsia="en-US"/>
        </w:rPr>
        <w:t>jasne definovaným formátom projektu;</w:t>
      </w:r>
    </w:p>
    <w:p w14:paraId="015A4E52" w14:textId="77777777" w:rsidR="009E0158" w:rsidRDefault="00D90E59" w:rsidP="00635945">
      <w:pPr>
        <w:pStyle w:val="Odsekzoznamu"/>
        <w:numPr>
          <w:ilvl w:val="0"/>
          <w:numId w:val="27"/>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14:paraId="007B3DFD" w14:textId="77777777" w:rsidR="009E0158" w:rsidRDefault="00D90E59" w:rsidP="00635945">
      <w:pPr>
        <w:pStyle w:val="Odsekzoznamu"/>
        <w:numPr>
          <w:ilvl w:val="0"/>
          <w:numId w:val="27"/>
        </w:numPr>
        <w:spacing w:before="120" w:after="120"/>
        <w:jc w:val="both"/>
      </w:pPr>
      <w:r w:rsidRPr="004C2534">
        <w:rPr>
          <w:sz w:val="22"/>
          <w:szCs w:val="20"/>
          <w:lang w:eastAsia="en-US"/>
        </w:rPr>
        <w:t>systémom opravných prostriedkov.</w:t>
      </w:r>
    </w:p>
    <w:p w14:paraId="1305CE1C" w14:textId="77777777" w:rsidR="009E0158" w:rsidRDefault="00D90E59" w:rsidP="00625909">
      <w:pPr>
        <w:pStyle w:val="Odsekzoznamu"/>
        <w:keepNext/>
        <w:numPr>
          <w:ilvl w:val="3"/>
          <w:numId w:val="114"/>
        </w:numPr>
        <w:tabs>
          <w:tab w:val="left" w:pos="709"/>
        </w:tabs>
        <w:spacing w:before="36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14:paraId="60C0B3D0" w14:textId="77777777" w:rsidR="005B3236" w:rsidRPr="00CF2C83" w:rsidRDefault="005B3236" w:rsidP="005B3236">
      <w:pPr>
        <w:autoSpaceDE w:val="0"/>
        <w:autoSpaceDN w:val="0"/>
        <w:spacing w:after="120"/>
        <w:jc w:val="both"/>
        <w:rPr>
          <w:sz w:val="22"/>
          <w:szCs w:val="22"/>
        </w:rPr>
      </w:pPr>
      <w:r w:rsidRPr="00CF2C8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2C1444">
        <w:rPr>
          <w:sz w:val="22"/>
          <w:szCs w:val="22"/>
        </w:rPr>
        <w:t>ajú adekvátne financovanie, pri </w:t>
      </w:r>
      <w:r w:rsidRPr="00CF2C83">
        <w:rPr>
          <w:sz w:val="22"/>
          <w:szCs w:val="22"/>
        </w:rPr>
        <w:t>ktorom by ich realizácia bola efektívnou.</w:t>
      </w:r>
    </w:p>
    <w:p w14:paraId="5BBF277D" w14:textId="77777777" w:rsidR="00307AAF" w:rsidRDefault="005B3236" w:rsidP="00307AAF">
      <w:pPr>
        <w:autoSpaceDE w:val="0"/>
        <w:autoSpaceDN w:val="0"/>
        <w:jc w:val="both"/>
        <w:rPr>
          <w:sz w:val="22"/>
          <w:szCs w:val="22"/>
        </w:rPr>
      </w:pPr>
      <w:r w:rsidRPr="00CF2C83">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w:t>
      </w:r>
      <w:r w:rsidRPr="00CF2C83">
        <w:rPr>
          <w:sz w:val="22"/>
          <w:szCs w:val="22"/>
        </w:rPr>
        <w:lastRenderedPageBreak/>
        <w:t>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r w:rsidRPr="00182F14">
        <w:rPr>
          <w:sz w:val="22"/>
          <w:szCs w:val="22"/>
        </w:rPr>
        <w:t xml:space="preserve"> </w:t>
      </w:r>
    </w:p>
    <w:p w14:paraId="4F5ABE60" w14:textId="77777777" w:rsidR="009E0158" w:rsidRDefault="00D90E59" w:rsidP="00625909">
      <w:pPr>
        <w:pStyle w:val="Odsekzoznamu"/>
        <w:keepNext/>
        <w:numPr>
          <w:ilvl w:val="3"/>
          <w:numId w:val="115"/>
        </w:numPr>
        <w:tabs>
          <w:tab w:val="left" w:pos="709"/>
        </w:tabs>
        <w:spacing w:before="36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14:paraId="67464C27" w14:textId="77777777" w:rsidR="00D90E59" w:rsidRPr="007F1C63" w:rsidRDefault="00B82DEF" w:rsidP="00D90E59">
      <w:pPr>
        <w:jc w:val="both"/>
        <w:rPr>
          <w:sz w:val="22"/>
          <w:szCs w:val="22"/>
        </w:rPr>
      </w:pPr>
      <w:r w:rsidRPr="00B82DEF">
        <w:rPr>
          <w:sz w:val="22"/>
          <w:szCs w:val="22"/>
        </w:rPr>
        <w:t>V rámci investičnej priority 2b) Vývoj produktov a služieb IKT, elektronického obchodu a posilnenia dopytu po IKT sa neuvažuje o veľkých projektoch.</w:t>
      </w:r>
    </w:p>
    <w:p w14:paraId="0EE467DC" w14:textId="77777777" w:rsidR="009E0158" w:rsidRDefault="00D90E59" w:rsidP="00625909">
      <w:pPr>
        <w:pStyle w:val="Odsekzoznamu"/>
        <w:keepNext/>
        <w:numPr>
          <w:ilvl w:val="3"/>
          <w:numId w:val="116"/>
        </w:numPr>
        <w:tabs>
          <w:tab w:val="left" w:pos="709"/>
        </w:tabs>
        <w:spacing w:before="36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14:paraId="6B7127C7" w14:textId="77777777" w:rsidR="00E92F9B" w:rsidRDefault="00BE1DDE">
      <w:pPr>
        <w:pStyle w:val="Tab"/>
      </w:pPr>
      <w:r>
        <w:t xml:space="preserve"> </w:t>
      </w:r>
      <w:r w:rsidR="00D90E59">
        <w:t>Š</w:t>
      </w:r>
      <w:r w:rsidR="00D90E59" w:rsidRPr="007F1C63">
        <w:t xml:space="preserve">pecifické ukazovatele výstupu investičnej priority </w:t>
      </w:r>
      <w:r w:rsidR="00D90E59">
        <w:t>2</w:t>
      </w:r>
      <w:r w:rsidR="00B82DEF">
        <w:t>b</w:t>
      </w:r>
      <w:r w:rsidR="00D90E59" w:rsidRPr="007F1C63">
        <w:t>)</w:t>
      </w:r>
      <w:r w:rsidR="00D90E59">
        <w:t>, ŠC 7.</w:t>
      </w:r>
      <w:r w:rsidR="00B82DEF">
        <w:t>2</w:t>
      </w:r>
      <w:r w:rsidR="00D90E59" w:rsidRPr="00AF27FE">
        <w:t xml:space="preserve"> </w:t>
      </w:r>
      <w:r w:rsidR="00B82DEF" w:rsidRPr="00D939EA">
        <w:t>Zvýšenie inovačnej kapacity</w:t>
      </w:r>
      <w:r w:rsidR="00B82DEF">
        <w:t xml:space="preserve"> najmä</w:t>
      </w:r>
      <w:r w:rsidR="00B82DEF" w:rsidRPr="00D939EA">
        <w:t xml:space="preserve"> malých a stredných podnikateľov v digitálnej ekonomike</w:t>
      </w:r>
    </w:p>
    <w:tbl>
      <w:tblPr>
        <w:tblStyle w:val="Mriekatabuky"/>
        <w:tblW w:w="9326" w:type="dxa"/>
        <w:jc w:val="center"/>
        <w:tblLayout w:type="fixed"/>
        <w:tblLook w:val="04A0" w:firstRow="1" w:lastRow="0" w:firstColumn="1" w:lastColumn="0" w:noHBand="0" w:noVBand="1"/>
      </w:tblPr>
      <w:tblGrid>
        <w:gridCol w:w="513"/>
        <w:gridCol w:w="3479"/>
        <w:gridCol w:w="910"/>
        <w:gridCol w:w="686"/>
        <w:gridCol w:w="1020"/>
        <w:gridCol w:w="935"/>
        <w:gridCol w:w="850"/>
        <w:gridCol w:w="933"/>
      </w:tblGrid>
      <w:tr w:rsidR="00B82DEF" w:rsidRPr="002309F8" w14:paraId="52EA3CC7" w14:textId="77777777" w:rsidTr="00164D03">
        <w:trPr>
          <w:trHeight w:val="340"/>
          <w:jc w:val="center"/>
        </w:trPr>
        <w:tc>
          <w:tcPr>
            <w:tcW w:w="513" w:type="dxa"/>
            <w:tcBorders>
              <w:bottom w:val="single" w:sz="4" w:space="0" w:color="auto"/>
            </w:tcBorders>
            <w:shd w:val="clear" w:color="auto" w:fill="C6D9F1" w:themeFill="text2" w:themeFillTint="33"/>
            <w:vAlign w:val="center"/>
          </w:tcPr>
          <w:p w14:paraId="6F0FFAB8" w14:textId="77777777" w:rsidR="00B82DEF" w:rsidRPr="00B82DEF" w:rsidRDefault="001218A8" w:rsidP="00B80F3A">
            <w:pPr>
              <w:ind w:left="0"/>
              <w:jc w:val="center"/>
              <w:rPr>
                <w:b/>
                <w:sz w:val="18"/>
                <w:szCs w:val="18"/>
              </w:rPr>
            </w:pPr>
            <w:r w:rsidRPr="001218A8">
              <w:rPr>
                <w:b/>
                <w:sz w:val="18"/>
                <w:szCs w:val="18"/>
              </w:rPr>
              <w:t>P. č.</w:t>
            </w:r>
          </w:p>
        </w:tc>
        <w:tc>
          <w:tcPr>
            <w:tcW w:w="3479" w:type="dxa"/>
            <w:tcBorders>
              <w:bottom w:val="single" w:sz="4" w:space="0" w:color="auto"/>
            </w:tcBorders>
            <w:shd w:val="clear" w:color="auto" w:fill="C6D9F1" w:themeFill="text2" w:themeFillTint="33"/>
            <w:vAlign w:val="center"/>
          </w:tcPr>
          <w:p w14:paraId="531267BE" w14:textId="77777777" w:rsidR="00B82DEF" w:rsidRPr="00B82DEF" w:rsidRDefault="001218A8" w:rsidP="00B80F3A">
            <w:pPr>
              <w:ind w:left="0"/>
              <w:rPr>
                <w:b/>
                <w:sz w:val="18"/>
                <w:szCs w:val="18"/>
              </w:rPr>
            </w:pPr>
            <w:r w:rsidRPr="001218A8">
              <w:rPr>
                <w:b/>
                <w:sz w:val="18"/>
                <w:szCs w:val="18"/>
              </w:rPr>
              <w:t>Ukazovateľ (názov ukazovateľa)</w:t>
            </w:r>
          </w:p>
        </w:tc>
        <w:tc>
          <w:tcPr>
            <w:tcW w:w="910" w:type="dxa"/>
            <w:tcBorders>
              <w:bottom w:val="single" w:sz="4" w:space="0" w:color="auto"/>
            </w:tcBorders>
            <w:shd w:val="clear" w:color="auto" w:fill="C6D9F1" w:themeFill="text2" w:themeFillTint="33"/>
            <w:vAlign w:val="center"/>
          </w:tcPr>
          <w:p w14:paraId="0422CA74" w14:textId="77777777" w:rsidR="00B82DEF" w:rsidRPr="00B82DEF" w:rsidRDefault="001218A8" w:rsidP="00B80F3A">
            <w:pPr>
              <w:ind w:left="0"/>
              <w:jc w:val="center"/>
              <w:rPr>
                <w:b/>
                <w:sz w:val="18"/>
                <w:szCs w:val="18"/>
              </w:rPr>
            </w:pPr>
            <w:r w:rsidRPr="001218A8">
              <w:rPr>
                <w:b/>
                <w:sz w:val="18"/>
                <w:szCs w:val="18"/>
              </w:rPr>
              <w:t>Merná jednotka</w:t>
            </w:r>
          </w:p>
        </w:tc>
        <w:tc>
          <w:tcPr>
            <w:tcW w:w="686" w:type="dxa"/>
            <w:tcBorders>
              <w:bottom w:val="single" w:sz="4" w:space="0" w:color="auto"/>
            </w:tcBorders>
            <w:shd w:val="clear" w:color="auto" w:fill="C6D9F1" w:themeFill="text2" w:themeFillTint="33"/>
            <w:vAlign w:val="center"/>
          </w:tcPr>
          <w:p w14:paraId="45BD833B" w14:textId="77777777" w:rsidR="00B82DEF" w:rsidRPr="00B82DEF" w:rsidRDefault="001218A8" w:rsidP="00B80F3A">
            <w:pPr>
              <w:ind w:left="0"/>
              <w:jc w:val="center"/>
              <w:rPr>
                <w:b/>
                <w:sz w:val="18"/>
                <w:szCs w:val="18"/>
              </w:rPr>
            </w:pPr>
            <w:r w:rsidRPr="001218A8">
              <w:rPr>
                <w:b/>
                <w:sz w:val="18"/>
                <w:szCs w:val="18"/>
              </w:rPr>
              <w:t>Fond</w:t>
            </w:r>
          </w:p>
        </w:tc>
        <w:tc>
          <w:tcPr>
            <w:tcW w:w="1020" w:type="dxa"/>
            <w:tcBorders>
              <w:bottom w:val="single" w:sz="4" w:space="0" w:color="auto"/>
            </w:tcBorders>
            <w:shd w:val="clear" w:color="auto" w:fill="C6D9F1" w:themeFill="text2" w:themeFillTint="33"/>
            <w:vAlign w:val="center"/>
          </w:tcPr>
          <w:p w14:paraId="12604607" w14:textId="77777777" w:rsidR="00B82DEF" w:rsidRPr="00B82DEF" w:rsidRDefault="001218A8" w:rsidP="00B80F3A">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126B3AFC" w14:textId="77777777" w:rsidR="00B82DEF" w:rsidRPr="00B82DEF" w:rsidRDefault="001218A8" w:rsidP="00B80F3A">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36C2911E" w14:textId="77777777" w:rsidR="00B82DEF" w:rsidRPr="00B82DEF" w:rsidRDefault="001218A8" w:rsidP="00B80F3A">
            <w:pPr>
              <w:ind w:left="0"/>
              <w:jc w:val="center"/>
              <w:rPr>
                <w:b/>
                <w:sz w:val="18"/>
                <w:szCs w:val="18"/>
              </w:rPr>
            </w:pPr>
            <w:r w:rsidRPr="001218A8">
              <w:rPr>
                <w:b/>
                <w:sz w:val="18"/>
                <w:szCs w:val="18"/>
              </w:rPr>
              <w:t>Zdroj údajov</w:t>
            </w:r>
          </w:p>
        </w:tc>
        <w:tc>
          <w:tcPr>
            <w:tcW w:w="933" w:type="dxa"/>
            <w:tcBorders>
              <w:bottom w:val="single" w:sz="4" w:space="0" w:color="auto"/>
            </w:tcBorders>
            <w:shd w:val="clear" w:color="auto" w:fill="C6D9F1" w:themeFill="text2" w:themeFillTint="33"/>
          </w:tcPr>
          <w:p w14:paraId="6145EEE2" w14:textId="77777777" w:rsidR="00B82DEF" w:rsidRPr="00B82DEF" w:rsidRDefault="001218A8" w:rsidP="00B80F3A">
            <w:pPr>
              <w:ind w:left="0"/>
              <w:jc w:val="center"/>
              <w:rPr>
                <w:b/>
                <w:sz w:val="18"/>
                <w:szCs w:val="18"/>
                <w:highlight w:val="yellow"/>
              </w:rPr>
            </w:pPr>
            <w:r w:rsidRPr="001218A8">
              <w:rPr>
                <w:b/>
                <w:sz w:val="18"/>
                <w:szCs w:val="18"/>
              </w:rPr>
              <w:t>Frekvencia vykazovania</w:t>
            </w:r>
          </w:p>
        </w:tc>
      </w:tr>
      <w:tr w:rsidR="00B82DEF" w:rsidRPr="002309F8" w14:paraId="75807BBA" w14:textId="77777777" w:rsidTr="00164D03">
        <w:trPr>
          <w:trHeight w:val="454"/>
          <w:jc w:val="center"/>
        </w:trPr>
        <w:tc>
          <w:tcPr>
            <w:tcW w:w="513" w:type="dxa"/>
            <w:shd w:val="clear" w:color="auto" w:fill="auto"/>
            <w:vAlign w:val="center"/>
          </w:tcPr>
          <w:p w14:paraId="7F2A6E9D" w14:textId="77777777" w:rsidR="00B82DEF" w:rsidRPr="00D46C46" w:rsidRDefault="00B82DEF" w:rsidP="00B80F3A">
            <w:pPr>
              <w:ind w:left="0"/>
              <w:jc w:val="center"/>
              <w:rPr>
                <w:sz w:val="18"/>
                <w:szCs w:val="18"/>
              </w:rPr>
            </w:pPr>
            <w:r>
              <w:rPr>
                <w:sz w:val="18"/>
                <w:szCs w:val="18"/>
              </w:rPr>
              <w:t>1</w:t>
            </w:r>
            <w:r w:rsidRPr="00D46C46">
              <w:rPr>
                <w:sz w:val="18"/>
                <w:szCs w:val="18"/>
              </w:rPr>
              <w:t>.</w:t>
            </w:r>
          </w:p>
        </w:tc>
        <w:tc>
          <w:tcPr>
            <w:tcW w:w="3479" w:type="dxa"/>
            <w:shd w:val="clear" w:color="auto" w:fill="auto"/>
            <w:vAlign w:val="center"/>
          </w:tcPr>
          <w:p w14:paraId="19E27273" w14:textId="77777777" w:rsidR="00B82DEF" w:rsidRPr="00D46C46" w:rsidRDefault="00B82DEF" w:rsidP="00AF5171">
            <w:pPr>
              <w:ind w:left="0"/>
              <w:rPr>
                <w:sz w:val="18"/>
                <w:szCs w:val="18"/>
              </w:rPr>
            </w:pPr>
            <w:r w:rsidRPr="00D46C46">
              <w:rPr>
                <w:sz w:val="18"/>
                <w:szCs w:val="18"/>
              </w:rPr>
              <w:t>Počet nových MSP využívajúcich zdieľané služby verejnej správy</w:t>
            </w:r>
            <w:r w:rsidRPr="00D46C46" w:rsidDel="0059322B">
              <w:rPr>
                <w:sz w:val="18"/>
                <w:szCs w:val="18"/>
              </w:rPr>
              <w:t xml:space="preserve"> </w:t>
            </w:r>
          </w:p>
        </w:tc>
        <w:tc>
          <w:tcPr>
            <w:tcW w:w="910" w:type="dxa"/>
            <w:shd w:val="clear" w:color="auto" w:fill="auto"/>
            <w:vAlign w:val="center"/>
          </w:tcPr>
          <w:p w14:paraId="1F4D7188" w14:textId="77777777" w:rsidR="00B82DEF" w:rsidRPr="00D46C46" w:rsidRDefault="00B82DEF" w:rsidP="00B80F3A">
            <w:pPr>
              <w:ind w:left="0"/>
              <w:jc w:val="center"/>
              <w:rPr>
                <w:sz w:val="18"/>
                <w:szCs w:val="18"/>
              </w:rPr>
            </w:pPr>
            <w:r w:rsidRPr="00D46C46">
              <w:rPr>
                <w:sz w:val="18"/>
                <w:szCs w:val="18"/>
              </w:rPr>
              <w:t>Počet</w:t>
            </w:r>
          </w:p>
        </w:tc>
        <w:tc>
          <w:tcPr>
            <w:tcW w:w="686" w:type="dxa"/>
            <w:shd w:val="clear" w:color="auto" w:fill="auto"/>
            <w:vAlign w:val="center"/>
          </w:tcPr>
          <w:p w14:paraId="79093A61" w14:textId="53373F60" w:rsidR="00B82DEF" w:rsidRPr="005949E1" w:rsidRDefault="00B82DEF" w:rsidP="003272B8">
            <w:pPr>
              <w:tabs>
                <w:tab w:val="left" w:pos="567"/>
                <w:tab w:val="left" w:leader="dot" w:pos="9356"/>
              </w:tabs>
              <w:ind w:left="0"/>
              <w:rPr>
                <w:sz w:val="18"/>
                <w:szCs w:val="18"/>
              </w:rPr>
            </w:pPr>
            <w:r w:rsidRPr="006B6BE8">
              <w:rPr>
                <w:sz w:val="18"/>
                <w:szCs w:val="18"/>
              </w:rPr>
              <w:t>EFRR</w:t>
            </w:r>
          </w:p>
        </w:tc>
        <w:tc>
          <w:tcPr>
            <w:tcW w:w="1020" w:type="dxa"/>
            <w:shd w:val="clear" w:color="auto" w:fill="auto"/>
            <w:vAlign w:val="center"/>
          </w:tcPr>
          <w:p w14:paraId="7211A27B" w14:textId="2392D638" w:rsidR="00B82DEF" w:rsidRPr="005949E1" w:rsidRDefault="00B82DEF" w:rsidP="003272B8">
            <w:pPr>
              <w:tabs>
                <w:tab w:val="left" w:pos="567"/>
                <w:tab w:val="left" w:leader="dot" w:pos="9356"/>
              </w:tabs>
              <w:ind w:left="0"/>
              <w:jc w:val="center"/>
              <w:rPr>
                <w:sz w:val="18"/>
                <w:szCs w:val="18"/>
              </w:rPr>
            </w:pPr>
            <w:r w:rsidRPr="006B6BE8">
              <w:rPr>
                <w:sz w:val="18"/>
                <w:szCs w:val="18"/>
              </w:rPr>
              <w:t>Menej rozvinuté regióny</w:t>
            </w:r>
          </w:p>
        </w:tc>
        <w:tc>
          <w:tcPr>
            <w:tcW w:w="935" w:type="dxa"/>
            <w:shd w:val="clear" w:color="auto" w:fill="auto"/>
            <w:vAlign w:val="center"/>
          </w:tcPr>
          <w:p w14:paraId="299343A5" w14:textId="77777777" w:rsidR="00B82DEF" w:rsidRPr="00E06002" w:rsidRDefault="00B82DEF" w:rsidP="00B80F3A">
            <w:pPr>
              <w:ind w:left="0"/>
              <w:jc w:val="center"/>
              <w:rPr>
                <w:sz w:val="18"/>
                <w:szCs w:val="18"/>
              </w:rPr>
            </w:pPr>
            <w:r w:rsidRPr="00D51947">
              <w:rPr>
                <w:sz w:val="18"/>
                <w:szCs w:val="18"/>
              </w:rPr>
              <w:t>6 000</w:t>
            </w:r>
          </w:p>
        </w:tc>
        <w:tc>
          <w:tcPr>
            <w:tcW w:w="850" w:type="dxa"/>
            <w:shd w:val="clear" w:color="auto" w:fill="auto"/>
            <w:vAlign w:val="center"/>
          </w:tcPr>
          <w:p w14:paraId="1196C745" w14:textId="1564D57F" w:rsidR="00B82DEF" w:rsidRPr="005949E1" w:rsidRDefault="00B82DEF" w:rsidP="003272B8">
            <w:pPr>
              <w:tabs>
                <w:tab w:val="left" w:pos="567"/>
                <w:tab w:val="left" w:leader="dot" w:pos="9356"/>
              </w:tabs>
              <w:ind w:left="0"/>
              <w:rPr>
                <w:sz w:val="18"/>
                <w:szCs w:val="18"/>
              </w:rPr>
            </w:pPr>
            <w:r w:rsidRPr="006B6BE8">
              <w:rPr>
                <w:sz w:val="18"/>
                <w:szCs w:val="18"/>
              </w:rPr>
              <w:t>SORO</w:t>
            </w:r>
          </w:p>
        </w:tc>
        <w:tc>
          <w:tcPr>
            <w:tcW w:w="933" w:type="dxa"/>
            <w:shd w:val="clear" w:color="auto" w:fill="auto"/>
            <w:vAlign w:val="center"/>
          </w:tcPr>
          <w:p w14:paraId="606749A0" w14:textId="57A382E3" w:rsidR="00B82DEF" w:rsidRPr="005949E1" w:rsidRDefault="00B82DEF" w:rsidP="003272B8">
            <w:pPr>
              <w:tabs>
                <w:tab w:val="left" w:pos="567"/>
                <w:tab w:val="left" w:leader="dot" w:pos="9356"/>
              </w:tabs>
              <w:ind w:left="0"/>
              <w:jc w:val="center"/>
              <w:rPr>
                <w:sz w:val="18"/>
                <w:szCs w:val="18"/>
              </w:rPr>
            </w:pPr>
            <w:r w:rsidRPr="006B6BE8">
              <w:rPr>
                <w:sz w:val="18"/>
                <w:szCs w:val="18"/>
              </w:rPr>
              <w:t>Ročne počas trvania projektov</w:t>
            </w:r>
          </w:p>
        </w:tc>
      </w:tr>
      <w:tr w:rsidR="00B82DEF" w:rsidRPr="002309F8" w14:paraId="72C7E987" w14:textId="77777777" w:rsidTr="00164D03">
        <w:trPr>
          <w:trHeight w:val="454"/>
          <w:jc w:val="center"/>
        </w:trPr>
        <w:tc>
          <w:tcPr>
            <w:tcW w:w="513" w:type="dxa"/>
            <w:shd w:val="clear" w:color="auto" w:fill="auto"/>
            <w:vAlign w:val="center"/>
          </w:tcPr>
          <w:p w14:paraId="5D179165" w14:textId="77777777" w:rsidR="00B82DEF" w:rsidRPr="00E06002" w:rsidRDefault="00B82DEF" w:rsidP="00B80F3A">
            <w:pPr>
              <w:ind w:left="0"/>
              <w:jc w:val="center"/>
              <w:rPr>
                <w:sz w:val="18"/>
                <w:szCs w:val="18"/>
              </w:rPr>
            </w:pPr>
            <w:r>
              <w:rPr>
                <w:sz w:val="18"/>
                <w:szCs w:val="18"/>
              </w:rPr>
              <w:t>2</w:t>
            </w:r>
            <w:r w:rsidRPr="00E06002">
              <w:rPr>
                <w:sz w:val="18"/>
                <w:szCs w:val="18"/>
              </w:rPr>
              <w:t>.</w:t>
            </w:r>
          </w:p>
        </w:tc>
        <w:tc>
          <w:tcPr>
            <w:tcW w:w="3479" w:type="dxa"/>
            <w:shd w:val="clear" w:color="auto" w:fill="auto"/>
          </w:tcPr>
          <w:p w14:paraId="6C31AF39" w14:textId="77777777" w:rsidR="00B82DEF" w:rsidRPr="00D46C46" w:rsidDel="000657D9" w:rsidRDefault="00B82DEF" w:rsidP="00AF5171">
            <w:pPr>
              <w:ind w:left="0"/>
              <w:rPr>
                <w:sz w:val="18"/>
                <w:szCs w:val="18"/>
              </w:rPr>
            </w:pPr>
            <w:r w:rsidRPr="00F22395">
              <w:rPr>
                <w:sz w:val="18"/>
                <w:szCs w:val="18"/>
              </w:rPr>
              <w:t xml:space="preserve">Počet nových inovatívnych aplikácií nasadených MSP (open data, language resources, ... ) </w:t>
            </w:r>
          </w:p>
        </w:tc>
        <w:tc>
          <w:tcPr>
            <w:tcW w:w="910" w:type="dxa"/>
            <w:shd w:val="clear" w:color="auto" w:fill="auto"/>
            <w:vAlign w:val="center"/>
          </w:tcPr>
          <w:p w14:paraId="491C0E40" w14:textId="77777777" w:rsidR="00B82DEF" w:rsidRPr="00D46C46" w:rsidDel="000657D9" w:rsidRDefault="00B82DEF" w:rsidP="00B80F3A">
            <w:pPr>
              <w:ind w:left="0"/>
              <w:jc w:val="center"/>
              <w:rPr>
                <w:sz w:val="18"/>
                <w:szCs w:val="18"/>
              </w:rPr>
            </w:pPr>
            <w:r w:rsidRPr="00D46C46">
              <w:rPr>
                <w:sz w:val="18"/>
                <w:szCs w:val="18"/>
              </w:rPr>
              <w:t>Počet</w:t>
            </w:r>
          </w:p>
        </w:tc>
        <w:tc>
          <w:tcPr>
            <w:tcW w:w="686" w:type="dxa"/>
            <w:shd w:val="clear" w:color="auto" w:fill="auto"/>
            <w:vAlign w:val="center"/>
          </w:tcPr>
          <w:p w14:paraId="545B807F" w14:textId="09873898" w:rsidR="00B82DEF" w:rsidRPr="005949E1" w:rsidRDefault="00B82DEF" w:rsidP="003272B8">
            <w:pPr>
              <w:tabs>
                <w:tab w:val="left" w:pos="567"/>
                <w:tab w:val="left" w:leader="dot" w:pos="9356"/>
              </w:tabs>
              <w:ind w:left="0"/>
              <w:rPr>
                <w:sz w:val="18"/>
                <w:szCs w:val="18"/>
              </w:rPr>
            </w:pPr>
            <w:r w:rsidRPr="006B6BE8">
              <w:rPr>
                <w:sz w:val="18"/>
                <w:szCs w:val="18"/>
              </w:rPr>
              <w:t>EFRR</w:t>
            </w:r>
          </w:p>
        </w:tc>
        <w:tc>
          <w:tcPr>
            <w:tcW w:w="1020" w:type="dxa"/>
            <w:shd w:val="clear" w:color="auto" w:fill="auto"/>
            <w:vAlign w:val="center"/>
          </w:tcPr>
          <w:p w14:paraId="555D5A68" w14:textId="5330E242" w:rsidR="00B82DEF" w:rsidRPr="005949E1" w:rsidRDefault="00B82DEF" w:rsidP="003272B8">
            <w:pPr>
              <w:tabs>
                <w:tab w:val="left" w:pos="567"/>
                <w:tab w:val="left" w:leader="dot" w:pos="9356"/>
              </w:tabs>
              <w:ind w:left="0"/>
              <w:jc w:val="center"/>
              <w:rPr>
                <w:sz w:val="18"/>
                <w:szCs w:val="18"/>
              </w:rPr>
            </w:pPr>
            <w:r w:rsidRPr="006B6BE8">
              <w:rPr>
                <w:sz w:val="18"/>
                <w:szCs w:val="18"/>
              </w:rPr>
              <w:t>Menej rozvinuté regióny</w:t>
            </w:r>
          </w:p>
        </w:tc>
        <w:tc>
          <w:tcPr>
            <w:tcW w:w="935" w:type="dxa"/>
            <w:shd w:val="clear" w:color="auto" w:fill="auto"/>
            <w:vAlign w:val="center"/>
          </w:tcPr>
          <w:p w14:paraId="7962328D" w14:textId="77777777" w:rsidR="00B82DEF" w:rsidRPr="00E06002" w:rsidRDefault="00B82DEF" w:rsidP="00B80F3A">
            <w:pPr>
              <w:ind w:left="0"/>
              <w:jc w:val="center"/>
              <w:rPr>
                <w:sz w:val="18"/>
                <w:szCs w:val="18"/>
              </w:rPr>
            </w:pPr>
            <w:r w:rsidRPr="00D51947">
              <w:rPr>
                <w:sz w:val="18"/>
                <w:szCs w:val="18"/>
              </w:rPr>
              <w:t>300</w:t>
            </w:r>
          </w:p>
        </w:tc>
        <w:tc>
          <w:tcPr>
            <w:tcW w:w="850" w:type="dxa"/>
            <w:shd w:val="clear" w:color="auto" w:fill="auto"/>
            <w:vAlign w:val="center"/>
          </w:tcPr>
          <w:p w14:paraId="473A4535" w14:textId="585F229B" w:rsidR="00B82DEF" w:rsidRPr="005949E1" w:rsidRDefault="00B82DEF" w:rsidP="003272B8">
            <w:pPr>
              <w:tabs>
                <w:tab w:val="left" w:pos="567"/>
                <w:tab w:val="left" w:leader="dot" w:pos="9356"/>
              </w:tabs>
              <w:ind w:left="0"/>
              <w:rPr>
                <w:sz w:val="18"/>
                <w:szCs w:val="18"/>
              </w:rPr>
            </w:pPr>
            <w:r w:rsidRPr="006B6BE8">
              <w:rPr>
                <w:sz w:val="18"/>
                <w:szCs w:val="18"/>
              </w:rPr>
              <w:t>SORO</w:t>
            </w:r>
          </w:p>
        </w:tc>
        <w:tc>
          <w:tcPr>
            <w:tcW w:w="933" w:type="dxa"/>
            <w:shd w:val="clear" w:color="auto" w:fill="auto"/>
            <w:vAlign w:val="center"/>
          </w:tcPr>
          <w:p w14:paraId="217DD101" w14:textId="54BF7A5C" w:rsidR="00B82DEF" w:rsidRPr="005949E1" w:rsidRDefault="00B82DEF" w:rsidP="003272B8">
            <w:pPr>
              <w:tabs>
                <w:tab w:val="left" w:pos="567"/>
                <w:tab w:val="left" w:leader="dot" w:pos="9356"/>
              </w:tabs>
              <w:ind w:left="0"/>
              <w:jc w:val="center"/>
              <w:rPr>
                <w:sz w:val="18"/>
                <w:szCs w:val="18"/>
              </w:rPr>
            </w:pPr>
            <w:r w:rsidRPr="006B6BE8">
              <w:rPr>
                <w:sz w:val="18"/>
                <w:szCs w:val="18"/>
              </w:rPr>
              <w:t>Ročne počas trvania projektov</w:t>
            </w:r>
          </w:p>
        </w:tc>
      </w:tr>
    </w:tbl>
    <w:p w14:paraId="7A56DBE5" w14:textId="77777777" w:rsidR="00D90E59" w:rsidRDefault="00D90E59" w:rsidP="00D90E59">
      <w:pPr>
        <w:rPr>
          <w:lang w:eastAsia="cs-CZ"/>
        </w:rPr>
      </w:pPr>
    </w:p>
    <w:p w14:paraId="2E4C72B9" w14:textId="6B8EF296" w:rsidR="00E27896" w:rsidRPr="00E27896" w:rsidRDefault="00445E30" w:rsidP="00E27896">
      <w:pPr>
        <w:pStyle w:val="Nadpis3"/>
        <w:tabs>
          <w:tab w:val="clear" w:pos="709"/>
          <w:tab w:val="clear" w:pos="851"/>
        </w:tabs>
        <w:jc w:val="both"/>
      </w:pPr>
      <w:bookmarkStart w:id="66" w:name="_Toc28951628"/>
      <w:r w:rsidRPr="007F1C63">
        <w:t xml:space="preserve">INVESTIČNÁ PRIORITA </w:t>
      </w:r>
      <w:r>
        <w:t>2c</w:t>
      </w:r>
      <w:r w:rsidRPr="007F1C63">
        <w:t xml:space="preserve">): </w:t>
      </w:r>
      <w:r w:rsidRPr="00445E30">
        <w:t>Posilnenie aplikácií IKT v rámci elektronickej štátnej správy, elektronického vzdelávania, elektronickej inklúzie, elektronickej kultúry a elektronického zdravotníctva</w:t>
      </w:r>
      <w:bookmarkEnd w:id="66"/>
    </w:p>
    <w:p w14:paraId="15A903A1" w14:textId="77777777" w:rsidR="009E0158" w:rsidRPr="00E27896" w:rsidRDefault="00445E30" w:rsidP="00E27896">
      <w:pPr>
        <w:pStyle w:val="Odsekzoznamu"/>
        <w:keepNext/>
        <w:numPr>
          <w:ilvl w:val="3"/>
          <w:numId w:val="119"/>
        </w:numPr>
        <w:tabs>
          <w:tab w:val="left" w:pos="709"/>
        </w:tabs>
        <w:spacing w:before="180" w:after="120"/>
        <w:outlineLvl w:val="3"/>
        <w:rPr>
          <w:rFonts w:ascii="Arial Narrow" w:hAnsi="Arial Narrow"/>
          <w:b/>
          <w:bCs/>
          <w:i/>
          <w:color w:val="548DD4" w:themeColor="text2" w:themeTint="99"/>
          <w:sz w:val="22"/>
          <w:szCs w:val="28"/>
        </w:rPr>
      </w:pPr>
      <w:r w:rsidRPr="00E27896">
        <w:rPr>
          <w:rFonts w:ascii="Arial Narrow" w:hAnsi="Arial Narrow"/>
          <w:b/>
          <w:bCs/>
          <w:i/>
          <w:color w:val="548DD4" w:themeColor="text2" w:themeTint="99"/>
          <w:sz w:val="22"/>
          <w:szCs w:val="28"/>
        </w:rPr>
        <w:t>Špecifické ciele investičnej priority a očakávané výsledky</w:t>
      </w:r>
    </w:p>
    <w:p w14:paraId="0FFCF2E9" w14:textId="77777777" w:rsidR="00445E30" w:rsidRPr="00445E30" w:rsidRDefault="00445E30" w:rsidP="002E1021">
      <w:pPr>
        <w:shd w:val="clear" w:color="auto" w:fill="FFFFCC"/>
        <w:jc w:val="both"/>
        <w:rPr>
          <w:b/>
          <w:i/>
        </w:rPr>
      </w:pPr>
      <w:r w:rsidRPr="007F1C63">
        <w:rPr>
          <w:i/>
        </w:rPr>
        <w:t xml:space="preserve">ŠPECIFICKÝ CIEĽ </w:t>
      </w:r>
      <w:r>
        <w:rPr>
          <w:i/>
        </w:rPr>
        <w:t>7</w:t>
      </w:r>
      <w:r w:rsidRPr="007F1C63">
        <w:rPr>
          <w:i/>
        </w:rPr>
        <w:t>.</w:t>
      </w:r>
      <w:r>
        <w:rPr>
          <w:i/>
        </w:rPr>
        <w:t xml:space="preserve">3: </w:t>
      </w:r>
      <w:r w:rsidR="001218A8" w:rsidRPr="001218A8">
        <w:rPr>
          <w:b/>
          <w:i/>
        </w:rPr>
        <w:t>Zvýšenie kvality, štandardu a dost</w:t>
      </w:r>
      <w:r w:rsidR="007D50EA">
        <w:rPr>
          <w:b/>
          <w:i/>
        </w:rPr>
        <w:t>upnosti eGovernment služieb pre </w:t>
      </w:r>
      <w:r w:rsidR="001218A8" w:rsidRPr="001218A8">
        <w:rPr>
          <w:b/>
          <w:i/>
        </w:rPr>
        <w:t>podnikateľov</w:t>
      </w:r>
    </w:p>
    <w:p w14:paraId="75FF89B1" w14:textId="77777777" w:rsidR="00445E30" w:rsidRDefault="00445E30" w:rsidP="00445E30">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67523C37" w14:textId="77777777" w:rsidR="00445E30" w:rsidRPr="00FF09C9" w:rsidRDefault="00445E30" w:rsidP="00445E30">
      <w:pPr>
        <w:spacing w:before="120" w:after="60"/>
        <w:jc w:val="both"/>
        <w:rPr>
          <w:sz w:val="22"/>
          <w:szCs w:val="20"/>
          <w:lang w:eastAsia="en-US"/>
        </w:rPr>
      </w:pPr>
      <w:r w:rsidRPr="00FF09C9">
        <w:rPr>
          <w:sz w:val="22"/>
          <w:szCs w:val="20"/>
          <w:lang w:eastAsia="en-US"/>
        </w:rPr>
        <w:t>Zámerom špecifického cieľa je zlepšenie kvality, štandardu a dostupnosti elektronických služieb verejnej správy pre podnikateľov tak, aby sa výrazne zvýšila konkurencieschopnosť podnikateľského prostredia na Slovensku.</w:t>
      </w:r>
    </w:p>
    <w:p w14:paraId="58DCFFFE" w14:textId="77777777" w:rsidR="00445E30" w:rsidRDefault="00445E30" w:rsidP="00445E30">
      <w:pPr>
        <w:spacing w:before="120" w:after="120"/>
        <w:jc w:val="both"/>
        <w:rPr>
          <w:sz w:val="22"/>
          <w:szCs w:val="20"/>
          <w:lang w:eastAsia="en-US"/>
        </w:rPr>
      </w:pPr>
      <w:r w:rsidRPr="00FF09C9">
        <w:rPr>
          <w:sz w:val="22"/>
          <w:szCs w:val="20"/>
          <w:lang w:eastAsia="en-US"/>
        </w:rPr>
        <w:t xml:space="preserve">Na základe stratégie informatizácie verejnej správy </w:t>
      </w:r>
      <w:r>
        <w:rPr>
          <w:sz w:val="22"/>
          <w:szCs w:val="20"/>
          <w:lang w:eastAsia="en-US"/>
        </w:rPr>
        <w:t>s</w:t>
      </w:r>
      <w:r w:rsidRPr="00FF09C9">
        <w:rPr>
          <w:sz w:val="22"/>
          <w:szCs w:val="20"/>
          <w:lang w:eastAsia="en-US"/>
        </w:rPr>
        <w:t>a v programovom období 2007 až 2013 elektroniz</w:t>
      </w:r>
      <w:r>
        <w:rPr>
          <w:sz w:val="22"/>
          <w:szCs w:val="20"/>
          <w:lang w:eastAsia="en-US"/>
        </w:rPr>
        <w:t>uje</w:t>
      </w:r>
      <w:r w:rsidRPr="00FF09C9">
        <w:rPr>
          <w:sz w:val="22"/>
          <w:szCs w:val="20"/>
          <w:lang w:eastAsia="en-US"/>
        </w:rPr>
        <w:t xml:space="preserve"> vybraná skupina agend verejnej správy (Prioritná os číslo 1 Operačného programu Informatizácia spoločnosti). Nasadzovanie elektronických služieb pre podnikateľov v tomto období prebieha prostredníctvom implementácie informačných systémov verejnej správy:</w:t>
      </w:r>
    </w:p>
    <w:p w14:paraId="31559056" w14:textId="77777777" w:rsidR="009E0158" w:rsidRDefault="001218A8" w:rsidP="00E27896">
      <w:pPr>
        <w:pStyle w:val="Odsekzoznamu"/>
        <w:numPr>
          <w:ilvl w:val="0"/>
          <w:numId w:val="27"/>
        </w:numPr>
        <w:jc w:val="both"/>
        <w:rPr>
          <w:sz w:val="22"/>
          <w:szCs w:val="22"/>
        </w:rPr>
      </w:pPr>
      <w:r w:rsidRPr="001218A8">
        <w:rPr>
          <w:sz w:val="22"/>
          <w:szCs w:val="22"/>
        </w:rPr>
        <w:t>Z celkového počtu 224 úsekov verejnej správy bude 55 percent elektronizovaných;</w:t>
      </w:r>
    </w:p>
    <w:p w14:paraId="3A8EFDA6"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Zavedie sa približne 2000 elektronických služieb, okrem</w:t>
      </w:r>
      <w:r w:rsidR="002C1444">
        <w:rPr>
          <w:sz w:val="22"/>
          <w:szCs w:val="20"/>
          <w:lang w:eastAsia="cs-CZ"/>
        </w:rPr>
        <w:t xml:space="preserve"> iného 6 základných služieb pre </w:t>
      </w:r>
      <w:r w:rsidRPr="001218A8">
        <w:rPr>
          <w:sz w:val="22"/>
          <w:szCs w:val="20"/>
          <w:lang w:eastAsia="cs-CZ"/>
        </w:rPr>
        <w:t>podnikateľov z celkového počtu 8 podľa benchmarku i2010</w:t>
      </w:r>
      <w:r w:rsidR="00445E30">
        <w:rPr>
          <w:rStyle w:val="Odkaznapoznmkupodiarou"/>
          <w:sz w:val="22"/>
          <w:szCs w:val="20"/>
          <w:lang w:eastAsia="cs-CZ"/>
        </w:rPr>
        <w:footnoteReference w:id="71"/>
      </w:r>
      <w:r w:rsidRPr="001218A8">
        <w:rPr>
          <w:sz w:val="22"/>
          <w:szCs w:val="20"/>
          <w:lang w:eastAsia="cs-CZ"/>
        </w:rPr>
        <w:t xml:space="preserve">. </w:t>
      </w:r>
    </w:p>
    <w:p w14:paraId="1AA58AF2" w14:textId="77777777" w:rsidR="00445E30" w:rsidRPr="00FF09C9" w:rsidRDefault="00445E30" w:rsidP="00445E30">
      <w:pPr>
        <w:spacing w:before="120" w:after="120"/>
        <w:jc w:val="both"/>
        <w:rPr>
          <w:sz w:val="22"/>
          <w:szCs w:val="20"/>
          <w:lang w:eastAsia="en-US"/>
        </w:rPr>
      </w:pPr>
      <w:r w:rsidRPr="00FF09C9">
        <w:rPr>
          <w:sz w:val="22"/>
          <w:szCs w:val="20"/>
          <w:lang w:eastAsia="en-US"/>
        </w:rPr>
        <w:t xml:space="preserve">Východiskovou situáciou budú fungujúce transakčné služby pre podnikateľov (úroveň 4), ktoré umožnia podávanie žiadostí a získavanie rozhodnutí elektronickým spôsobom. Pre jednoduchý prístup </w:t>
      </w:r>
      <w:r w:rsidRPr="00FF09C9">
        <w:rPr>
          <w:sz w:val="22"/>
          <w:szCs w:val="20"/>
          <w:lang w:eastAsia="en-US"/>
        </w:rPr>
        <w:lastRenderedPageBreak/>
        <w:t>k týmto službám akceleruje rozvoj ústredného portálu verejnej správy. Pre asistované využívanie tohto portálu sa v 1200 lokalitách vybudujú integrované obslužné miesta.</w:t>
      </w:r>
    </w:p>
    <w:p w14:paraId="5BD01DE2" w14:textId="77777777" w:rsidR="00445E30" w:rsidRDefault="00445E30" w:rsidP="00445E30">
      <w:pPr>
        <w:spacing w:before="120" w:after="120"/>
        <w:jc w:val="both"/>
        <w:rPr>
          <w:sz w:val="22"/>
          <w:szCs w:val="20"/>
          <w:lang w:eastAsia="en-US"/>
        </w:rPr>
      </w:pPr>
      <w:r w:rsidRPr="00FF09C9">
        <w:rPr>
          <w:sz w:val="22"/>
          <w:szCs w:val="20"/>
          <w:lang w:eastAsia="en-US"/>
        </w:rPr>
        <w:t>Za základné oblasti pre ďalší rozvoj je možné považovať:</w:t>
      </w:r>
    </w:p>
    <w:p w14:paraId="5A175B3D"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Pokračovať v elektronizácii úsekov, ktoré neboli elektronizované;</w:t>
      </w:r>
    </w:p>
    <w:p w14:paraId="4D1421D4"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Zaviesť komplexné riešenie životných situácií z dôvodu časových úspor a zvýšenia komfortu pri používaní služieb;</w:t>
      </w:r>
    </w:p>
    <w:p w14:paraId="1862A6B9"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Využiť reformu procesov vo verejnej správe na posun elektronických služieb na proaktívnu úroveň;</w:t>
      </w:r>
    </w:p>
    <w:p w14:paraId="1BA2BF7B" w14:textId="77777777" w:rsidR="009E0158" w:rsidRDefault="001218A8" w:rsidP="00E27896">
      <w:pPr>
        <w:pStyle w:val="Odsekzoznamu"/>
        <w:numPr>
          <w:ilvl w:val="0"/>
          <w:numId w:val="27"/>
        </w:numPr>
        <w:spacing w:after="120"/>
        <w:jc w:val="both"/>
        <w:rPr>
          <w:sz w:val="22"/>
          <w:szCs w:val="20"/>
          <w:lang w:eastAsia="cs-CZ"/>
        </w:rPr>
      </w:pPr>
      <w:r w:rsidRPr="001218A8">
        <w:rPr>
          <w:sz w:val="22"/>
          <w:szCs w:val="20"/>
          <w:lang w:eastAsia="cs-CZ"/>
        </w:rPr>
        <w:t>Výrazne inovovať elektronické služby – elektronizovaná agenda a transakčné služby, ktoré vzniknú v rámci OP IS je možné považovať za solídn</w:t>
      </w:r>
      <w:r w:rsidR="002C1444">
        <w:rPr>
          <w:sz w:val="22"/>
          <w:szCs w:val="20"/>
          <w:lang w:eastAsia="cs-CZ"/>
        </w:rPr>
        <w:t>y základ, ktorý však nestíha za </w:t>
      </w:r>
      <w:r w:rsidRPr="001218A8">
        <w:rPr>
          <w:sz w:val="22"/>
          <w:szCs w:val="20"/>
          <w:lang w:eastAsia="cs-CZ"/>
        </w:rPr>
        <w:t>súčasnými trendmi v informačných technológiách (mobilita, interaktivita, využívanie dát).</w:t>
      </w:r>
    </w:p>
    <w:p w14:paraId="4D9894F8" w14:textId="77777777" w:rsidR="00445E30" w:rsidRPr="007F1C63" w:rsidRDefault="00445E30" w:rsidP="00445E30">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7197CC47" w14:textId="77777777" w:rsidR="0017337B" w:rsidRPr="00FF09C9" w:rsidRDefault="0017337B" w:rsidP="0017337B">
      <w:pPr>
        <w:spacing w:before="120" w:after="60"/>
        <w:jc w:val="both"/>
        <w:rPr>
          <w:sz w:val="22"/>
          <w:szCs w:val="20"/>
          <w:lang w:eastAsia="en-US"/>
        </w:rPr>
      </w:pPr>
      <w:r w:rsidRPr="00FF09C9">
        <w:rPr>
          <w:sz w:val="22"/>
          <w:szCs w:val="20"/>
          <w:lang w:eastAsia="en-US"/>
        </w:rPr>
        <w:t xml:space="preserve">Vďaka rozvoju elektronických služieb dosiahneme: </w:t>
      </w:r>
    </w:p>
    <w:p w14:paraId="6784A5FE"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Používanie služieb eGovernmentu sa stane neoddeliteľnou súčasťou úspešného podnikania;</w:t>
      </w:r>
    </w:p>
    <w:p w14:paraId="66E0F82F"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Nárast konkurencieschopnosti podnikateľského prostredia – komunikácia s verejnou správou bude jednoduchšia, komfortnejšia a transparentnejšia;</w:t>
      </w:r>
    </w:p>
    <w:p w14:paraId="5F9E0707" w14:textId="77777777" w:rsidR="009E0158" w:rsidRDefault="001218A8" w:rsidP="00E27896">
      <w:pPr>
        <w:pStyle w:val="Odsekzoznamu"/>
        <w:numPr>
          <w:ilvl w:val="0"/>
          <w:numId w:val="27"/>
        </w:numPr>
        <w:jc w:val="both"/>
        <w:rPr>
          <w:szCs w:val="20"/>
          <w:lang w:eastAsia="cs-CZ"/>
        </w:rPr>
      </w:pPr>
      <w:r w:rsidRPr="001218A8">
        <w:rPr>
          <w:sz w:val="22"/>
          <w:szCs w:val="20"/>
          <w:lang w:eastAsia="cs-CZ"/>
        </w:rPr>
        <w:t>Výrazné zvýšenie inovačného potenciálu digitálnej ekonomiky vďaka vyvolanému dopytu po moderných riešeniach.</w:t>
      </w:r>
    </w:p>
    <w:p w14:paraId="4C807D38" w14:textId="77777777" w:rsidR="00445E30" w:rsidRDefault="0017337B" w:rsidP="00445E30">
      <w:pPr>
        <w:pStyle w:val="Tab"/>
      </w:pPr>
      <w:r>
        <w:t xml:space="preserve"> </w:t>
      </w:r>
      <w:r w:rsidR="00BE1DDE">
        <w:t xml:space="preserve">Špecifické </w:t>
      </w:r>
      <w:r w:rsidR="00445E30" w:rsidRPr="007F1C63">
        <w:t xml:space="preserve">ukazovatele </w:t>
      </w:r>
      <w:r w:rsidR="00BE1DDE">
        <w:t>v</w:t>
      </w:r>
      <w:r w:rsidR="00BE1DDE" w:rsidRPr="007F1C63">
        <w:t>ýsledk</w:t>
      </w:r>
      <w:r w:rsidR="00BE1DDE">
        <w:t>ov programu</w:t>
      </w:r>
      <w:r w:rsidR="00BE1DDE" w:rsidRPr="007F1C63">
        <w:t xml:space="preserve"> </w:t>
      </w:r>
      <w:r w:rsidR="00445E30" w:rsidRPr="007F1C63">
        <w:t>zodpovedajúce špecifickému cieľu</w:t>
      </w:r>
      <w:r w:rsidR="00445E30">
        <w:t xml:space="preserve"> 7.</w:t>
      </w:r>
      <w:r>
        <w:t>3</w:t>
      </w:r>
    </w:p>
    <w:tbl>
      <w:tblPr>
        <w:tblStyle w:val="Mriekatabuky"/>
        <w:tblW w:w="9752" w:type="dxa"/>
        <w:tblLayout w:type="fixed"/>
        <w:tblLook w:val="04A0" w:firstRow="1" w:lastRow="0" w:firstColumn="1" w:lastColumn="0" w:noHBand="0" w:noVBand="1"/>
      </w:tblPr>
      <w:tblGrid>
        <w:gridCol w:w="552"/>
        <w:gridCol w:w="1810"/>
        <w:gridCol w:w="900"/>
        <w:gridCol w:w="983"/>
        <w:gridCol w:w="1314"/>
        <w:gridCol w:w="1285"/>
        <w:gridCol w:w="886"/>
        <w:gridCol w:w="859"/>
        <w:gridCol w:w="1163"/>
      </w:tblGrid>
      <w:tr w:rsidR="0017337B" w:rsidRPr="00C40332" w14:paraId="7428E34F" w14:textId="77777777" w:rsidTr="008B6D60">
        <w:trPr>
          <w:trHeight w:val="454"/>
        </w:trPr>
        <w:tc>
          <w:tcPr>
            <w:tcW w:w="552" w:type="dxa"/>
            <w:shd w:val="clear" w:color="auto" w:fill="C6D9F1" w:themeFill="text2" w:themeFillTint="33"/>
            <w:vAlign w:val="center"/>
          </w:tcPr>
          <w:p w14:paraId="7850B9D6" w14:textId="77777777" w:rsidR="0017337B" w:rsidRPr="0017337B" w:rsidRDefault="001218A8" w:rsidP="00B80F3A">
            <w:pPr>
              <w:ind w:left="0"/>
              <w:rPr>
                <w:b/>
                <w:sz w:val="18"/>
                <w:szCs w:val="18"/>
              </w:rPr>
            </w:pPr>
            <w:r w:rsidRPr="001218A8">
              <w:rPr>
                <w:b/>
                <w:sz w:val="18"/>
                <w:szCs w:val="18"/>
              </w:rPr>
              <w:t>ID</w:t>
            </w:r>
          </w:p>
        </w:tc>
        <w:tc>
          <w:tcPr>
            <w:tcW w:w="1810" w:type="dxa"/>
            <w:shd w:val="clear" w:color="auto" w:fill="C6D9F1" w:themeFill="text2" w:themeFillTint="33"/>
            <w:vAlign w:val="center"/>
          </w:tcPr>
          <w:p w14:paraId="4BF6478B" w14:textId="77777777" w:rsidR="0017337B" w:rsidRPr="0017337B" w:rsidRDefault="001218A8" w:rsidP="00B80F3A">
            <w:pPr>
              <w:ind w:left="0"/>
              <w:rPr>
                <w:b/>
                <w:sz w:val="18"/>
                <w:szCs w:val="18"/>
              </w:rPr>
            </w:pPr>
            <w:r w:rsidRPr="001218A8">
              <w:rPr>
                <w:b/>
                <w:sz w:val="18"/>
                <w:szCs w:val="18"/>
              </w:rPr>
              <w:t>Ukazovateľ</w:t>
            </w:r>
          </w:p>
        </w:tc>
        <w:tc>
          <w:tcPr>
            <w:tcW w:w="900" w:type="dxa"/>
            <w:shd w:val="clear" w:color="auto" w:fill="C6D9F1" w:themeFill="text2" w:themeFillTint="33"/>
            <w:vAlign w:val="center"/>
          </w:tcPr>
          <w:p w14:paraId="422382A0" w14:textId="77777777" w:rsidR="0017337B" w:rsidRPr="0017337B" w:rsidRDefault="001218A8" w:rsidP="00B80F3A">
            <w:pPr>
              <w:ind w:left="0"/>
              <w:jc w:val="center"/>
              <w:rPr>
                <w:b/>
                <w:sz w:val="18"/>
                <w:szCs w:val="18"/>
              </w:rPr>
            </w:pPr>
            <w:r w:rsidRPr="001218A8">
              <w:rPr>
                <w:b/>
                <w:sz w:val="18"/>
                <w:szCs w:val="18"/>
              </w:rPr>
              <w:t>Merná jednotka</w:t>
            </w:r>
          </w:p>
        </w:tc>
        <w:tc>
          <w:tcPr>
            <w:tcW w:w="983" w:type="dxa"/>
            <w:shd w:val="clear" w:color="auto" w:fill="C6D9F1" w:themeFill="text2" w:themeFillTint="33"/>
            <w:vAlign w:val="center"/>
          </w:tcPr>
          <w:p w14:paraId="675719E0" w14:textId="77777777" w:rsidR="0017337B" w:rsidRPr="0017337B" w:rsidRDefault="001218A8" w:rsidP="00B80F3A">
            <w:pPr>
              <w:ind w:left="0"/>
              <w:jc w:val="center"/>
              <w:rPr>
                <w:b/>
                <w:sz w:val="18"/>
                <w:szCs w:val="18"/>
                <w:highlight w:val="yellow"/>
              </w:rPr>
            </w:pPr>
            <w:r w:rsidRPr="001218A8">
              <w:rPr>
                <w:b/>
                <w:sz w:val="18"/>
                <w:szCs w:val="18"/>
              </w:rPr>
              <w:t>Kategória regiónu</w:t>
            </w:r>
          </w:p>
        </w:tc>
        <w:tc>
          <w:tcPr>
            <w:tcW w:w="1314" w:type="dxa"/>
            <w:shd w:val="clear" w:color="auto" w:fill="C6D9F1" w:themeFill="text2" w:themeFillTint="33"/>
            <w:vAlign w:val="center"/>
          </w:tcPr>
          <w:p w14:paraId="138899D8" w14:textId="77777777" w:rsidR="0017337B" w:rsidRPr="0017337B" w:rsidRDefault="001218A8" w:rsidP="00B80F3A">
            <w:pPr>
              <w:ind w:left="0"/>
              <w:jc w:val="center"/>
              <w:rPr>
                <w:b/>
                <w:sz w:val="18"/>
                <w:szCs w:val="18"/>
              </w:rPr>
            </w:pPr>
            <w:r w:rsidRPr="001218A8">
              <w:rPr>
                <w:b/>
                <w:sz w:val="18"/>
                <w:szCs w:val="18"/>
              </w:rPr>
              <w:t>Východisková hodnota</w:t>
            </w:r>
          </w:p>
        </w:tc>
        <w:tc>
          <w:tcPr>
            <w:tcW w:w="1285" w:type="dxa"/>
            <w:shd w:val="clear" w:color="auto" w:fill="C6D9F1" w:themeFill="text2" w:themeFillTint="33"/>
            <w:vAlign w:val="center"/>
          </w:tcPr>
          <w:p w14:paraId="7A82A36B" w14:textId="77777777" w:rsidR="0017337B" w:rsidRPr="0017337B" w:rsidRDefault="001218A8" w:rsidP="00B80F3A">
            <w:pPr>
              <w:ind w:left="0"/>
              <w:jc w:val="center"/>
              <w:rPr>
                <w:b/>
                <w:sz w:val="18"/>
                <w:szCs w:val="18"/>
              </w:rPr>
            </w:pPr>
            <w:r w:rsidRPr="001218A8">
              <w:rPr>
                <w:b/>
                <w:sz w:val="18"/>
                <w:szCs w:val="18"/>
              </w:rPr>
              <w:t>Východiskový rok</w:t>
            </w:r>
          </w:p>
        </w:tc>
        <w:tc>
          <w:tcPr>
            <w:tcW w:w="886" w:type="dxa"/>
            <w:shd w:val="clear" w:color="auto" w:fill="C6D9F1" w:themeFill="text2" w:themeFillTint="33"/>
            <w:vAlign w:val="center"/>
          </w:tcPr>
          <w:p w14:paraId="00C449AB" w14:textId="77777777" w:rsidR="0017337B" w:rsidRPr="0017337B" w:rsidRDefault="001218A8" w:rsidP="00B80F3A">
            <w:pPr>
              <w:ind w:left="0"/>
              <w:jc w:val="center"/>
              <w:rPr>
                <w:b/>
                <w:sz w:val="18"/>
                <w:szCs w:val="18"/>
              </w:rPr>
            </w:pPr>
            <w:r w:rsidRPr="001218A8">
              <w:rPr>
                <w:b/>
                <w:sz w:val="18"/>
                <w:szCs w:val="18"/>
              </w:rPr>
              <w:t>Cieľová hodnota</w:t>
            </w:r>
          </w:p>
        </w:tc>
        <w:tc>
          <w:tcPr>
            <w:tcW w:w="859" w:type="dxa"/>
            <w:shd w:val="clear" w:color="auto" w:fill="C6D9F1" w:themeFill="text2" w:themeFillTint="33"/>
            <w:vAlign w:val="center"/>
          </w:tcPr>
          <w:p w14:paraId="054ADA19" w14:textId="77777777" w:rsidR="0017337B" w:rsidRPr="0017337B" w:rsidRDefault="001218A8" w:rsidP="00B80F3A">
            <w:pPr>
              <w:ind w:left="0"/>
              <w:jc w:val="center"/>
              <w:rPr>
                <w:b/>
                <w:sz w:val="18"/>
                <w:szCs w:val="18"/>
              </w:rPr>
            </w:pPr>
            <w:r w:rsidRPr="001218A8">
              <w:rPr>
                <w:b/>
                <w:sz w:val="18"/>
                <w:szCs w:val="18"/>
              </w:rPr>
              <w:t>Zdroj údajov</w:t>
            </w:r>
          </w:p>
        </w:tc>
        <w:tc>
          <w:tcPr>
            <w:tcW w:w="1163" w:type="dxa"/>
            <w:shd w:val="clear" w:color="auto" w:fill="C6D9F1" w:themeFill="text2" w:themeFillTint="33"/>
            <w:vAlign w:val="center"/>
          </w:tcPr>
          <w:p w14:paraId="239DB4AC" w14:textId="77777777" w:rsidR="0017337B" w:rsidRPr="0017337B" w:rsidRDefault="001218A8" w:rsidP="00B80F3A">
            <w:pPr>
              <w:ind w:left="0"/>
              <w:jc w:val="center"/>
              <w:rPr>
                <w:b/>
                <w:sz w:val="18"/>
                <w:szCs w:val="18"/>
              </w:rPr>
            </w:pPr>
            <w:r w:rsidRPr="001218A8">
              <w:rPr>
                <w:b/>
                <w:sz w:val="18"/>
                <w:szCs w:val="18"/>
              </w:rPr>
              <w:t>Interval vykazovania</w:t>
            </w:r>
          </w:p>
        </w:tc>
      </w:tr>
      <w:tr w:rsidR="0017337B" w:rsidRPr="00B02869" w14:paraId="7361EA47" w14:textId="77777777" w:rsidTr="008B6D60">
        <w:trPr>
          <w:trHeight w:val="340"/>
        </w:trPr>
        <w:tc>
          <w:tcPr>
            <w:tcW w:w="552" w:type="dxa"/>
            <w:vAlign w:val="center"/>
          </w:tcPr>
          <w:p w14:paraId="5FA550C9" w14:textId="77777777" w:rsidR="0017337B" w:rsidRPr="005C17C4" w:rsidRDefault="0017337B" w:rsidP="00B80F3A">
            <w:pPr>
              <w:ind w:left="0"/>
              <w:rPr>
                <w:sz w:val="16"/>
                <w:szCs w:val="16"/>
              </w:rPr>
            </w:pPr>
            <w:r w:rsidRPr="005C17C4">
              <w:rPr>
                <w:sz w:val="16"/>
                <w:szCs w:val="16"/>
              </w:rPr>
              <w:t>1.</w:t>
            </w:r>
          </w:p>
        </w:tc>
        <w:tc>
          <w:tcPr>
            <w:tcW w:w="1810" w:type="dxa"/>
            <w:vAlign w:val="center"/>
          </w:tcPr>
          <w:p w14:paraId="641913A5" w14:textId="2213BBF4" w:rsidR="0017337B" w:rsidRPr="00C93890" w:rsidRDefault="0017337B" w:rsidP="008B6D60">
            <w:pPr>
              <w:tabs>
                <w:tab w:val="left" w:pos="567"/>
                <w:tab w:val="left" w:leader="dot" w:pos="9356"/>
              </w:tabs>
              <w:ind w:left="0"/>
              <w:rPr>
                <w:sz w:val="18"/>
                <w:szCs w:val="18"/>
              </w:rPr>
            </w:pPr>
            <w:r w:rsidRPr="006B6BE8">
              <w:rPr>
                <w:sz w:val="18"/>
                <w:szCs w:val="18"/>
              </w:rPr>
              <w:t xml:space="preserve">Celková </w:t>
            </w:r>
            <w:r>
              <w:rPr>
                <w:sz w:val="18"/>
                <w:szCs w:val="18"/>
              </w:rPr>
              <w:t>s</w:t>
            </w:r>
            <w:r w:rsidRPr="006B6BE8">
              <w:rPr>
                <w:sz w:val="18"/>
                <w:szCs w:val="18"/>
              </w:rPr>
              <w:t xml:space="preserve">pokojnosť podnikateľov so službami eGovernmentu </w:t>
            </w:r>
          </w:p>
        </w:tc>
        <w:tc>
          <w:tcPr>
            <w:tcW w:w="900" w:type="dxa"/>
            <w:vAlign w:val="center"/>
          </w:tcPr>
          <w:p w14:paraId="31139EF9" w14:textId="77777777" w:rsidR="0017337B" w:rsidRPr="00C93890" w:rsidRDefault="0017337B" w:rsidP="00B80F3A">
            <w:pPr>
              <w:tabs>
                <w:tab w:val="left" w:pos="567"/>
                <w:tab w:val="left" w:leader="dot" w:pos="9356"/>
              </w:tabs>
              <w:ind w:left="0"/>
              <w:jc w:val="center"/>
              <w:rPr>
                <w:sz w:val="18"/>
                <w:szCs w:val="18"/>
              </w:rPr>
            </w:pPr>
            <w:r>
              <w:rPr>
                <w:sz w:val="18"/>
                <w:szCs w:val="18"/>
              </w:rPr>
              <w:t>i</w:t>
            </w:r>
            <w:r w:rsidRPr="006B6BE8">
              <w:rPr>
                <w:sz w:val="18"/>
                <w:szCs w:val="18"/>
              </w:rPr>
              <w:t>ndex</w:t>
            </w:r>
          </w:p>
        </w:tc>
        <w:tc>
          <w:tcPr>
            <w:tcW w:w="983" w:type="dxa"/>
            <w:vAlign w:val="center"/>
          </w:tcPr>
          <w:p w14:paraId="58C67DDD" w14:textId="77777777" w:rsidR="0017337B" w:rsidRPr="005D6722" w:rsidRDefault="0017337B" w:rsidP="00B80F3A">
            <w:pPr>
              <w:tabs>
                <w:tab w:val="left" w:pos="567"/>
                <w:tab w:val="left" w:leader="dot" w:pos="9356"/>
              </w:tabs>
              <w:ind w:left="0"/>
              <w:jc w:val="center"/>
              <w:rPr>
                <w:i/>
                <w:sz w:val="18"/>
                <w:szCs w:val="18"/>
              </w:rPr>
            </w:pPr>
            <w:r w:rsidRPr="005D6722">
              <w:rPr>
                <w:i/>
                <w:sz w:val="18"/>
                <w:szCs w:val="18"/>
              </w:rPr>
              <w:t>Menej rozvinuté regióny</w:t>
            </w:r>
          </w:p>
        </w:tc>
        <w:tc>
          <w:tcPr>
            <w:tcW w:w="1314" w:type="dxa"/>
            <w:vAlign w:val="center"/>
          </w:tcPr>
          <w:p w14:paraId="06185B35" w14:textId="6A1E37AF" w:rsidR="0017337B" w:rsidRPr="00C93890" w:rsidRDefault="0017337B" w:rsidP="008B6D60">
            <w:pPr>
              <w:ind w:left="0"/>
              <w:jc w:val="center"/>
              <w:rPr>
                <w:sz w:val="18"/>
                <w:szCs w:val="18"/>
              </w:rPr>
            </w:pPr>
            <w:r w:rsidRPr="006B6BE8">
              <w:rPr>
                <w:sz w:val="18"/>
                <w:szCs w:val="18"/>
              </w:rPr>
              <w:t>64,2</w:t>
            </w:r>
          </w:p>
        </w:tc>
        <w:tc>
          <w:tcPr>
            <w:tcW w:w="1285" w:type="dxa"/>
            <w:vAlign w:val="center"/>
          </w:tcPr>
          <w:p w14:paraId="6F6FBBF8" w14:textId="77777777" w:rsidR="0017337B" w:rsidRPr="00C93890" w:rsidRDefault="0017337B" w:rsidP="00B80F3A">
            <w:pPr>
              <w:tabs>
                <w:tab w:val="left" w:pos="567"/>
                <w:tab w:val="left" w:leader="dot" w:pos="9356"/>
              </w:tabs>
              <w:ind w:left="0"/>
              <w:jc w:val="center"/>
              <w:rPr>
                <w:sz w:val="18"/>
                <w:szCs w:val="18"/>
              </w:rPr>
            </w:pPr>
            <w:r w:rsidRPr="006B6BE8">
              <w:rPr>
                <w:sz w:val="18"/>
                <w:szCs w:val="18"/>
              </w:rPr>
              <w:t>2012</w:t>
            </w:r>
          </w:p>
        </w:tc>
        <w:tc>
          <w:tcPr>
            <w:tcW w:w="886" w:type="dxa"/>
            <w:vAlign w:val="center"/>
          </w:tcPr>
          <w:p w14:paraId="19B14C8F" w14:textId="244B2FAF" w:rsidR="0017337B" w:rsidRPr="00C93890" w:rsidRDefault="0017337B" w:rsidP="008B6D60">
            <w:pPr>
              <w:ind w:left="0"/>
              <w:jc w:val="center"/>
              <w:rPr>
                <w:sz w:val="18"/>
                <w:szCs w:val="18"/>
              </w:rPr>
            </w:pPr>
            <w:r w:rsidRPr="006B6BE8">
              <w:rPr>
                <w:sz w:val="18"/>
                <w:szCs w:val="18"/>
              </w:rPr>
              <w:t>74</w:t>
            </w:r>
          </w:p>
        </w:tc>
        <w:tc>
          <w:tcPr>
            <w:tcW w:w="859" w:type="dxa"/>
            <w:vAlign w:val="center"/>
          </w:tcPr>
          <w:p w14:paraId="41D2D21B" w14:textId="77777777" w:rsidR="0017337B" w:rsidRPr="00C93890" w:rsidRDefault="0017337B" w:rsidP="00B80F3A">
            <w:pPr>
              <w:tabs>
                <w:tab w:val="left" w:pos="567"/>
                <w:tab w:val="left" w:leader="dot" w:pos="9356"/>
              </w:tabs>
              <w:ind w:left="0"/>
              <w:jc w:val="center"/>
              <w:rPr>
                <w:sz w:val="18"/>
                <w:szCs w:val="18"/>
              </w:rPr>
            </w:pPr>
            <w:r w:rsidRPr="006B6BE8">
              <w:rPr>
                <w:sz w:val="18"/>
                <w:szCs w:val="18"/>
              </w:rPr>
              <w:t>SORO</w:t>
            </w:r>
          </w:p>
        </w:tc>
        <w:tc>
          <w:tcPr>
            <w:tcW w:w="1163" w:type="dxa"/>
            <w:vAlign w:val="center"/>
          </w:tcPr>
          <w:p w14:paraId="4FD32C93" w14:textId="77777777" w:rsidR="0017337B" w:rsidRPr="00C93890" w:rsidRDefault="0017337B" w:rsidP="00B80F3A">
            <w:pPr>
              <w:tabs>
                <w:tab w:val="left" w:pos="567"/>
                <w:tab w:val="left" w:leader="dot" w:pos="9356"/>
              </w:tabs>
              <w:ind w:left="0"/>
              <w:jc w:val="center"/>
              <w:rPr>
                <w:sz w:val="18"/>
                <w:szCs w:val="18"/>
              </w:rPr>
            </w:pPr>
            <w:r w:rsidRPr="006B6BE8">
              <w:rPr>
                <w:sz w:val="18"/>
                <w:szCs w:val="18"/>
              </w:rPr>
              <w:t>Ročne</w:t>
            </w:r>
          </w:p>
        </w:tc>
      </w:tr>
    </w:tbl>
    <w:p w14:paraId="425EA098" w14:textId="77777777" w:rsidR="00E92F9B" w:rsidRDefault="00E92F9B">
      <w:pPr>
        <w:keepNext/>
        <w:tabs>
          <w:tab w:val="left" w:pos="709"/>
        </w:tabs>
        <w:spacing w:after="120"/>
        <w:outlineLvl w:val="2"/>
        <w:rPr>
          <w:rFonts w:ascii="Arial Narrow" w:hAnsi="Arial Narrow" w:cs="Arial"/>
          <w:b/>
          <w:bCs/>
          <w:color w:val="1F497D" w:themeColor="text2"/>
          <w:sz w:val="22"/>
          <w:szCs w:val="26"/>
        </w:rPr>
      </w:pPr>
    </w:p>
    <w:p w14:paraId="4343B63A" w14:textId="77777777" w:rsidR="00B80F3A" w:rsidRPr="00445E30"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4: </w:t>
      </w:r>
      <w:r w:rsidRPr="00560E77">
        <w:rPr>
          <w:b/>
          <w:i/>
        </w:rPr>
        <w:t>Zvýšenie kvality, štandardu a dostupnosti eGov</w:t>
      </w:r>
      <w:r w:rsidR="007D50EA">
        <w:rPr>
          <w:b/>
          <w:i/>
        </w:rPr>
        <w:t>ernment služieb pre </w:t>
      </w:r>
      <w:r>
        <w:rPr>
          <w:b/>
          <w:i/>
        </w:rPr>
        <w:t>občanov</w:t>
      </w:r>
    </w:p>
    <w:p w14:paraId="17B2A2D8"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3B1DEECB" w14:textId="77777777" w:rsidR="00B80F3A" w:rsidRPr="003F7E73" w:rsidRDefault="00B80F3A" w:rsidP="00B80F3A">
      <w:pPr>
        <w:spacing w:before="120" w:after="60"/>
        <w:jc w:val="both"/>
        <w:rPr>
          <w:sz w:val="22"/>
          <w:szCs w:val="20"/>
          <w:lang w:eastAsia="en-US"/>
        </w:rPr>
      </w:pPr>
      <w:r w:rsidRPr="003F7E73">
        <w:rPr>
          <w:sz w:val="22"/>
          <w:szCs w:val="20"/>
          <w:lang w:eastAsia="en-US"/>
        </w:rPr>
        <w:t>Zámerom špecifického cieľa je zlepšenie kvality, štandardu a dostupnosti elektronických služieb verejnej správy pre občanov.</w:t>
      </w:r>
    </w:p>
    <w:p w14:paraId="065EAFAD" w14:textId="77777777" w:rsidR="00B80F3A" w:rsidRDefault="00B80F3A" w:rsidP="00B80F3A">
      <w:pPr>
        <w:spacing w:before="120" w:after="60"/>
        <w:jc w:val="both"/>
        <w:rPr>
          <w:sz w:val="22"/>
          <w:szCs w:val="20"/>
          <w:lang w:eastAsia="en-US"/>
        </w:rPr>
      </w:pPr>
      <w:r w:rsidRPr="003F7E73">
        <w:rPr>
          <w:sz w:val="22"/>
          <w:szCs w:val="20"/>
          <w:lang w:eastAsia="en-US"/>
        </w:rPr>
        <w:t xml:space="preserve">Východisková situácia je obdobná ako pre služby podnikateľom uvedené v špecifickom cieli </w:t>
      </w:r>
      <w:r w:rsidR="00A77C61">
        <w:rPr>
          <w:sz w:val="22"/>
          <w:szCs w:val="20"/>
          <w:lang w:eastAsia="en-US"/>
        </w:rPr>
        <w:t>7.</w:t>
      </w:r>
      <w:r>
        <w:rPr>
          <w:sz w:val="22"/>
          <w:szCs w:val="20"/>
          <w:lang w:eastAsia="en-US"/>
        </w:rPr>
        <w:t>3</w:t>
      </w:r>
      <w:r w:rsidRPr="003F7E73">
        <w:rPr>
          <w:sz w:val="22"/>
          <w:szCs w:val="20"/>
          <w:lang w:eastAsia="en-US"/>
        </w:rPr>
        <w:t xml:space="preserve">. Projekty boli realizované spoločne pre občanov a podnikateľov. </w:t>
      </w:r>
      <w:r w:rsidRPr="005E7CAE">
        <w:rPr>
          <w:sz w:val="22"/>
          <w:szCs w:val="20"/>
          <w:lang w:eastAsia="en-US"/>
        </w:rPr>
        <w:t xml:space="preserve">Pre účely identifikácie a autentifikácie budú občanom postupne vydávané elektronické občianske preukazy eID. </w:t>
      </w:r>
      <w:r w:rsidRPr="003F7E73">
        <w:rPr>
          <w:sz w:val="22"/>
          <w:szCs w:val="20"/>
          <w:lang w:eastAsia="en-US"/>
        </w:rPr>
        <w:t>Z celkového počtu 12 základných služieb pre občanov podľa benchmarku i2010</w:t>
      </w:r>
      <w:r>
        <w:rPr>
          <w:rStyle w:val="Odkaznapoznmkupodiarou"/>
          <w:sz w:val="22"/>
          <w:szCs w:val="20"/>
          <w:lang w:eastAsia="cs-CZ"/>
        </w:rPr>
        <w:footnoteReference w:id="72"/>
      </w:r>
      <w:r w:rsidRPr="003F7E73">
        <w:rPr>
          <w:sz w:val="22"/>
          <w:szCs w:val="20"/>
          <w:lang w:eastAsia="en-US"/>
        </w:rPr>
        <w:t xml:space="preserve"> bude elektronizovaných 9 služieb. V období 2014 až 2020 je možné oblasti ďalšieho rozvoja služieb pre občanov a podnikateľov považovať za rovnaké.</w:t>
      </w:r>
    </w:p>
    <w:p w14:paraId="2A0877A1" w14:textId="77777777" w:rsidR="00AB4F1B" w:rsidRPr="003F7E73" w:rsidRDefault="00AB4F1B" w:rsidP="00AB4F1B">
      <w:pPr>
        <w:spacing w:before="120" w:after="60"/>
        <w:jc w:val="both"/>
        <w:rPr>
          <w:sz w:val="22"/>
          <w:szCs w:val="20"/>
          <w:lang w:eastAsia="en-US"/>
        </w:rPr>
      </w:pPr>
      <w:r w:rsidRPr="00D245F5">
        <w:rPr>
          <w:sz w:val="22"/>
          <w:szCs w:val="20"/>
          <w:lang w:eastAsia="en-US"/>
        </w:rPr>
        <w:t>Zatiaľ</w:t>
      </w:r>
      <w:r>
        <w:rPr>
          <w:sz w:val="22"/>
          <w:szCs w:val="20"/>
          <w:lang w:eastAsia="en-US"/>
        </w:rPr>
        <w:t xml:space="preserve">, </w:t>
      </w:r>
      <w:r w:rsidRPr="00D245F5">
        <w:rPr>
          <w:sz w:val="22"/>
          <w:szCs w:val="20"/>
          <w:lang w:eastAsia="en-US"/>
        </w:rPr>
        <w:t>čo vo svete je transformácia miest a regiónov na inteligentné samosprávy</w:t>
      </w:r>
      <w:r>
        <w:rPr>
          <w:rStyle w:val="Odkaznapoznmkupodiarou"/>
          <w:sz w:val="22"/>
          <w:szCs w:val="20"/>
          <w:lang w:eastAsia="en-US"/>
        </w:rPr>
        <w:footnoteReference w:id="73"/>
      </w:r>
      <w:r>
        <w:rPr>
          <w:sz w:val="22"/>
          <w:szCs w:val="20"/>
          <w:lang w:eastAsia="en-US"/>
        </w:rPr>
        <w:t xml:space="preserve"> (a to nielen v </w:t>
      </w:r>
      <w:r w:rsidRPr="00D245F5">
        <w:rPr>
          <w:sz w:val="22"/>
          <w:szCs w:val="20"/>
          <w:lang w:eastAsia="en-US"/>
        </w:rPr>
        <w:t>zmysle zavádzania digitálnych technológií) už niekoľko rokov v</w:t>
      </w:r>
      <w:r>
        <w:rPr>
          <w:sz w:val="22"/>
          <w:szCs w:val="20"/>
          <w:lang w:eastAsia="en-US"/>
        </w:rPr>
        <w:t>ýznamnou témou, na Slovensku sa </w:t>
      </w:r>
      <w:r w:rsidRPr="00D245F5">
        <w:rPr>
          <w:sz w:val="22"/>
          <w:szCs w:val="20"/>
          <w:lang w:eastAsia="en-US"/>
        </w:rPr>
        <w:t>len postupne dostáva do popredia. S cieľom prekonať počiatočné problémy je dôležité aj pomocou projektov preukázať benefity zo zavádzania inteligentných riešení, ktoré napomôžu premene slovenských miest a regiónov na trvaloudržateľné miesta pre život občanov.</w:t>
      </w:r>
      <w:r>
        <w:rPr>
          <w:sz w:val="22"/>
          <w:szCs w:val="20"/>
          <w:lang w:eastAsia="en-US"/>
        </w:rPr>
        <w:t xml:space="preserve"> Na tieto projekty vzhľadom na ich charakter sa nebude aplikovať koordinačný mechanizmus medzi OPII a OP EVS (príloha č. 3).</w:t>
      </w:r>
    </w:p>
    <w:p w14:paraId="79862FB9"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2BE1CF09" w14:textId="77777777" w:rsidR="00B80F3A" w:rsidRPr="003F7E73" w:rsidRDefault="00B80F3A" w:rsidP="00B80F3A">
      <w:pPr>
        <w:spacing w:before="120" w:after="60"/>
        <w:jc w:val="both"/>
        <w:rPr>
          <w:sz w:val="22"/>
          <w:szCs w:val="20"/>
          <w:lang w:eastAsia="en-US"/>
        </w:rPr>
      </w:pPr>
      <w:r w:rsidRPr="003F7E73">
        <w:rPr>
          <w:sz w:val="22"/>
          <w:szCs w:val="20"/>
          <w:lang w:eastAsia="en-US"/>
        </w:rPr>
        <w:lastRenderedPageBreak/>
        <w:t xml:space="preserve">Vďaka rozvoju elektronických služieb dosiahneme: </w:t>
      </w:r>
    </w:p>
    <w:p w14:paraId="10D04571"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Používanie služieb eGovernmentu sa stane všeobecným štandardom za celkovej vysokej spokojnosti s kvalitou služieb;</w:t>
      </w:r>
    </w:p>
    <w:p w14:paraId="2104CA3B" w14:textId="13827843" w:rsidR="009E0158" w:rsidRDefault="001218A8" w:rsidP="00E27896">
      <w:pPr>
        <w:pStyle w:val="Odsekzoznamu"/>
        <w:numPr>
          <w:ilvl w:val="0"/>
          <w:numId w:val="27"/>
        </w:numPr>
        <w:jc w:val="both"/>
        <w:rPr>
          <w:sz w:val="22"/>
          <w:szCs w:val="20"/>
          <w:lang w:eastAsia="cs-CZ"/>
        </w:rPr>
      </w:pPr>
      <w:r w:rsidRPr="001218A8">
        <w:rPr>
          <w:sz w:val="22"/>
          <w:szCs w:val="20"/>
          <w:lang w:eastAsia="cs-CZ"/>
        </w:rPr>
        <w:t xml:space="preserve">Zvýšenie kvality života občanov </w:t>
      </w:r>
      <w:r w:rsidR="00C02493" w:rsidRPr="001218A8">
        <w:rPr>
          <w:sz w:val="22"/>
          <w:szCs w:val="20"/>
          <w:lang w:eastAsia="cs-CZ"/>
        </w:rPr>
        <w:t xml:space="preserve">- </w:t>
      </w:r>
      <w:r w:rsidR="00C02493">
        <w:rPr>
          <w:sz w:val="22"/>
          <w:szCs w:val="20"/>
          <w:lang w:eastAsia="cs-CZ"/>
        </w:rPr>
        <w:t xml:space="preserve">zvýši sa kvalita života v mestách a regiónoch, </w:t>
      </w:r>
      <w:r w:rsidRPr="001218A8">
        <w:rPr>
          <w:sz w:val="22"/>
          <w:szCs w:val="20"/>
          <w:lang w:eastAsia="cs-CZ"/>
        </w:rPr>
        <w:t>výrazne sa zredukuje čas potrebný na riešenie životných situácií s verejnou správou a zvýšia sa možnosti participácie na správe vecí verejných;</w:t>
      </w:r>
    </w:p>
    <w:p w14:paraId="4FCF0C87" w14:textId="77777777" w:rsidR="009E0158" w:rsidRDefault="001218A8" w:rsidP="00E27896">
      <w:pPr>
        <w:pStyle w:val="Odsekzoznamu"/>
        <w:numPr>
          <w:ilvl w:val="0"/>
          <w:numId w:val="27"/>
        </w:numPr>
        <w:jc w:val="both"/>
        <w:rPr>
          <w:lang w:eastAsia="cs-CZ"/>
        </w:rPr>
      </w:pPr>
      <w:r w:rsidRPr="001218A8">
        <w:rPr>
          <w:sz w:val="22"/>
          <w:szCs w:val="20"/>
          <w:lang w:eastAsia="cs-CZ"/>
        </w:rPr>
        <w:t>Zvýšenie otvorenosti verejnej správy pre občanov.</w:t>
      </w:r>
    </w:p>
    <w:p w14:paraId="552081BD" w14:textId="77777777"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7.4</w:t>
      </w:r>
    </w:p>
    <w:tbl>
      <w:tblPr>
        <w:tblStyle w:val="Mriekatabuky"/>
        <w:tblW w:w="9752" w:type="dxa"/>
        <w:tblLayout w:type="fixed"/>
        <w:tblLook w:val="04A0" w:firstRow="1" w:lastRow="0" w:firstColumn="1" w:lastColumn="0" w:noHBand="0" w:noVBand="1"/>
      </w:tblPr>
      <w:tblGrid>
        <w:gridCol w:w="552"/>
        <w:gridCol w:w="1810"/>
        <w:gridCol w:w="886"/>
        <w:gridCol w:w="997"/>
        <w:gridCol w:w="1314"/>
        <w:gridCol w:w="1285"/>
        <w:gridCol w:w="886"/>
        <w:gridCol w:w="849"/>
        <w:gridCol w:w="1173"/>
      </w:tblGrid>
      <w:tr w:rsidR="00B80F3A" w:rsidRPr="00C40332" w14:paraId="1A6957EB" w14:textId="77777777" w:rsidTr="00B80F3A">
        <w:trPr>
          <w:trHeight w:val="454"/>
        </w:trPr>
        <w:tc>
          <w:tcPr>
            <w:tcW w:w="556" w:type="dxa"/>
            <w:shd w:val="clear" w:color="auto" w:fill="C6D9F1" w:themeFill="text2" w:themeFillTint="33"/>
            <w:vAlign w:val="center"/>
          </w:tcPr>
          <w:p w14:paraId="5B1E22AC" w14:textId="77777777" w:rsidR="00B80F3A" w:rsidRPr="00B80F3A" w:rsidRDefault="001218A8" w:rsidP="00B80F3A">
            <w:pPr>
              <w:ind w:left="0"/>
              <w:rPr>
                <w:b/>
                <w:sz w:val="18"/>
                <w:szCs w:val="18"/>
              </w:rPr>
            </w:pPr>
            <w:r w:rsidRPr="001218A8">
              <w:rPr>
                <w:b/>
                <w:sz w:val="18"/>
                <w:szCs w:val="18"/>
              </w:rPr>
              <w:t>ID</w:t>
            </w:r>
          </w:p>
        </w:tc>
        <w:tc>
          <w:tcPr>
            <w:tcW w:w="1834" w:type="dxa"/>
            <w:shd w:val="clear" w:color="auto" w:fill="C6D9F1" w:themeFill="text2" w:themeFillTint="33"/>
            <w:vAlign w:val="center"/>
          </w:tcPr>
          <w:p w14:paraId="2E2519B8" w14:textId="77777777" w:rsidR="00B80F3A" w:rsidRPr="00B80F3A" w:rsidRDefault="001218A8" w:rsidP="00B80F3A">
            <w:pPr>
              <w:ind w:left="0"/>
              <w:rPr>
                <w:b/>
                <w:sz w:val="18"/>
                <w:szCs w:val="18"/>
              </w:rPr>
            </w:pPr>
            <w:r w:rsidRPr="001218A8">
              <w:rPr>
                <w:b/>
                <w:sz w:val="18"/>
                <w:szCs w:val="18"/>
              </w:rPr>
              <w:t>Ukazovateľ</w:t>
            </w:r>
          </w:p>
        </w:tc>
        <w:tc>
          <w:tcPr>
            <w:tcW w:w="896" w:type="dxa"/>
            <w:shd w:val="clear" w:color="auto" w:fill="C6D9F1" w:themeFill="text2" w:themeFillTint="33"/>
            <w:vAlign w:val="center"/>
          </w:tcPr>
          <w:p w14:paraId="60587DA3" w14:textId="77777777" w:rsidR="00B80F3A" w:rsidRPr="00B80F3A" w:rsidRDefault="001218A8" w:rsidP="00B80F3A">
            <w:pPr>
              <w:ind w:left="0"/>
              <w:jc w:val="center"/>
              <w:rPr>
                <w:b/>
                <w:sz w:val="18"/>
                <w:szCs w:val="18"/>
              </w:rPr>
            </w:pPr>
            <w:r w:rsidRPr="001218A8">
              <w:rPr>
                <w:b/>
                <w:sz w:val="18"/>
                <w:szCs w:val="18"/>
              </w:rPr>
              <w:t>Merná jednotka</w:t>
            </w:r>
          </w:p>
        </w:tc>
        <w:tc>
          <w:tcPr>
            <w:tcW w:w="1008" w:type="dxa"/>
            <w:shd w:val="clear" w:color="auto" w:fill="C6D9F1" w:themeFill="text2" w:themeFillTint="33"/>
            <w:vAlign w:val="center"/>
          </w:tcPr>
          <w:p w14:paraId="3DD8AF3B" w14:textId="77777777"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3CC73C2E" w14:textId="77777777"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425C9112" w14:textId="77777777"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743629A4" w14:textId="77777777" w:rsidR="00B80F3A" w:rsidRPr="00B80F3A" w:rsidRDefault="001218A8" w:rsidP="00B80F3A">
            <w:pPr>
              <w:ind w:left="0"/>
              <w:jc w:val="center"/>
              <w:rPr>
                <w:b/>
                <w:sz w:val="18"/>
                <w:szCs w:val="18"/>
              </w:rPr>
            </w:pPr>
            <w:r w:rsidRPr="001218A8">
              <w:rPr>
                <w:b/>
                <w:sz w:val="18"/>
                <w:szCs w:val="18"/>
              </w:rPr>
              <w:t>Cieľová hodnota</w:t>
            </w:r>
          </w:p>
        </w:tc>
        <w:tc>
          <w:tcPr>
            <w:tcW w:w="858" w:type="dxa"/>
            <w:shd w:val="clear" w:color="auto" w:fill="C6D9F1" w:themeFill="text2" w:themeFillTint="33"/>
            <w:vAlign w:val="center"/>
          </w:tcPr>
          <w:p w14:paraId="5CE86B11" w14:textId="77777777" w:rsidR="00B80F3A" w:rsidRPr="00B80F3A" w:rsidRDefault="001218A8" w:rsidP="00B80F3A">
            <w:pPr>
              <w:ind w:left="0"/>
              <w:jc w:val="center"/>
              <w:rPr>
                <w:b/>
                <w:sz w:val="18"/>
                <w:szCs w:val="18"/>
              </w:rPr>
            </w:pPr>
            <w:r w:rsidRPr="001218A8">
              <w:rPr>
                <w:b/>
                <w:sz w:val="18"/>
                <w:szCs w:val="18"/>
              </w:rPr>
              <w:t>Zdroj údajov</w:t>
            </w:r>
          </w:p>
        </w:tc>
        <w:tc>
          <w:tcPr>
            <w:tcW w:w="1187" w:type="dxa"/>
            <w:shd w:val="clear" w:color="auto" w:fill="C6D9F1" w:themeFill="text2" w:themeFillTint="33"/>
            <w:vAlign w:val="center"/>
          </w:tcPr>
          <w:p w14:paraId="5B6059FE" w14:textId="77777777" w:rsidR="00B80F3A" w:rsidRPr="00B80F3A" w:rsidRDefault="001218A8" w:rsidP="00B80F3A">
            <w:pPr>
              <w:ind w:left="0"/>
              <w:jc w:val="center"/>
              <w:rPr>
                <w:b/>
                <w:sz w:val="18"/>
                <w:szCs w:val="18"/>
              </w:rPr>
            </w:pPr>
            <w:r w:rsidRPr="001218A8">
              <w:rPr>
                <w:b/>
                <w:sz w:val="18"/>
                <w:szCs w:val="18"/>
              </w:rPr>
              <w:t>Frekvencia vykazovania</w:t>
            </w:r>
          </w:p>
        </w:tc>
      </w:tr>
      <w:tr w:rsidR="00B80F3A" w:rsidRPr="00B02869" w14:paraId="524715FC" w14:textId="77777777" w:rsidTr="00B80F3A">
        <w:trPr>
          <w:trHeight w:val="340"/>
        </w:trPr>
        <w:tc>
          <w:tcPr>
            <w:tcW w:w="556" w:type="dxa"/>
            <w:vAlign w:val="center"/>
          </w:tcPr>
          <w:p w14:paraId="565E8266" w14:textId="77777777" w:rsidR="00B80F3A" w:rsidRPr="00B02869" w:rsidRDefault="00B80F3A" w:rsidP="00B80F3A">
            <w:pPr>
              <w:ind w:left="0"/>
              <w:rPr>
                <w:sz w:val="18"/>
                <w:szCs w:val="18"/>
              </w:rPr>
            </w:pPr>
            <w:r w:rsidRPr="00B02869">
              <w:rPr>
                <w:sz w:val="18"/>
                <w:szCs w:val="18"/>
              </w:rPr>
              <w:t>1.</w:t>
            </w:r>
          </w:p>
        </w:tc>
        <w:tc>
          <w:tcPr>
            <w:tcW w:w="1834" w:type="dxa"/>
            <w:vAlign w:val="center"/>
          </w:tcPr>
          <w:p w14:paraId="02BD6D75" w14:textId="77777777" w:rsidR="00B80F3A" w:rsidRPr="00B02869" w:rsidRDefault="00B80F3A" w:rsidP="00B80F3A">
            <w:pPr>
              <w:ind w:left="0"/>
              <w:rPr>
                <w:sz w:val="18"/>
                <w:szCs w:val="18"/>
              </w:rPr>
            </w:pPr>
            <w:r w:rsidRPr="003F7E73">
              <w:rPr>
                <w:sz w:val="18"/>
                <w:szCs w:val="18"/>
              </w:rPr>
              <w:t>Celková spokojnosť občanov so službami eGovernmentu</w:t>
            </w:r>
            <w:r w:rsidRPr="003F7E73" w:rsidDel="003F7E73">
              <w:rPr>
                <w:sz w:val="18"/>
                <w:szCs w:val="18"/>
              </w:rPr>
              <w:t xml:space="preserve"> </w:t>
            </w:r>
          </w:p>
        </w:tc>
        <w:tc>
          <w:tcPr>
            <w:tcW w:w="896" w:type="dxa"/>
            <w:vAlign w:val="center"/>
          </w:tcPr>
          <w:p w14:paraId="381CD248" w14:textId="77777777" w:rsidR="00B80F3A" w:rsidRPr="00B02869" w:rsidRDefault="00B80F3A" w:rsidP="00B80F3A">
            <w:pPr>
              <w:ind w:left="0"/>
              <w:jc w:val="center"/>
              <w:rPr>
                <w:sz w:val="18"/>
                <w:szCs w:val="18"/>
              </w:rPr>
            </w:pPr>
            <w:r>
              <w:rPr>
                <w:sz w:val="18"/>
                <w:szCs w:val="18"/>
              </w:rPr>
              <w:t>index</w:t>
            </w:r>
          </w:p>
        </w:tc>
        <w:tc>
          <w:tcPr>
            <w:tcW w:w="1008" w:type="dxa"/>
            <w:vAlign w:val="center"/>
          </w:tcPr>
          <w:p w14:paraId="44BBF783" w14:textId="77777777" w:rsidR="00B80F3A" w:rsidRPr="005D6722" w:rsidRDefault="00B80F3A" w:rsidP="00B80F3A">
            <w:pPr>
              <w:ind w:left="0"/>
              <w:jc w:val="center"/>
              <w:rPr>
                <w:i/>
                <w:sz w:val="18"/>
                <w:szCs w:val="18"/>
              </w:rPr>
            </w:pPr>
            <w:r w:rsidRPr="005D6722">
              <w:rPr>
                <w:i/>
                <w:sz w:val="16"/>
                <w:szCs w:val="16"/>
              </w:rPr>
              <w:t>Menej rozvinuté regióny</w:t>
            </w:r>
          </w:p>
        </w:tc>
        <w:tc>
          <w:tcPr>
            <w:tcW w:w="1330" w:type="dxa"/>
            <w:vAlign w:val="center"/>
          </w:tcPr>
          <w:p w14:paraId="7A1347E2" w14:textId="77777777" w:rsidR="00B80F3A" w:rsidRPr="00B02869" w:rsidRDefault="00B80F3A" w:rsidP="00B80F3A">
            <w:pPr>
              <w:ind w:left="0"/>
              <w:jc w:val="center"/>
              <w:rPr>
                <w:sz w:val="18"/>
                <w:szCs w:val="18"/>
              </w:rPr>
            </w:pPr>
            <w:r>
              <w:rPr>
                <w:sz w:val="18"/>
                <w:szCs w:val="18"/>
              </w:rPr>
              <w:t>59,9</w:t>
            </w:r>
          </w:p>
        </w:tc>
        <w:tc>
          <w:tcPr>
            <w:tcW w:w="1301" w:type="dxa"/>
            <w:vAlign w:val="center"/>
          </w:tcPr>
          <w:p w14:paraId="50B9AD80" w14:textId="77777777" w:rsidR="00B80F3A" w:rsidRPr="00B02869" w:rsidRDefault="00B80F3A" w:rsidP="00B80F3A">
            <w:pPr>
              <w:ind w:left="0"/>
              <w:jc w:val="center"/>
              <w:rPr>
                <w:sz w:val="18"/>
                <w:szCs w:val="18"/>
              </w:rPr>
            </w:pPr>
            <w:r w:rsidRPr="00B02869">
              <w:rPr>
                <w:sz w:val="18"/>
                <w:szCs w:val="18"/>
              </w:rPr>
              <w:t>201</w:t>
            </w:r>
            <w:r>
              <w:rPr>
                <w:sz w:val="18"/>
                <w:szCs w:val="18"/>
              </w:rPr>
              <w:t>2</w:t>
            </w:r>
          </w:p>
        </w:tc>
        <w:tc>
          <w:tcPr>
            <w:tcW w:w="896" w:type="dxa"/>
            <w:vAlign w:val="center"/>
          </w:tcPr>
          <w:p w14:paraId="7E41DFD6" w14:textId="77777777" w:rsidR="00B80F3A" w:rsidRPr="00B02869" w:rsidRDefault="00B80F3A" w:rsidP="00B80F3A">
            <w:pPr>
              <w:ind w:left="0"/>
              <w:jc w:val="center"/>
              <w:rPr>
                <w:sz w:val="18"/>
                <w:szCs w:val="18"/>
              </w:rPr>
            </w:pPr>
            <w:r>
              <w:rPr>
                <w:sz w:val="18"/>
                <w:szCs w:val="18"/>
              </w:rPr>
              <w:t>73</w:t>
            </w:r>
          </w:p>
        </w:tc>
        <w:tc>
          <w:tcPr>
            <w:tcW w:w="858" w:type="dxa"/>
            <w:vAlign w:val="center"/>
          </w:tcPr>
          <w:p w14:paraId="40351ADD" w14:textId="77777777" w:rsidR="00B80F3A" w:rsidRPr="00B02869" w:rsidRDefault="00B80F3A" w:rsidP="00B80F3A">
            <w:pPr>
              <w:ind w:left="0"/>
              <w:jc w:val="center"/>
              <w:rPr>
                <w:sz w:val="18"/>
                <w:szCs w:val="18"/>
              </w:rPr>
            </w:pPr>
            <w:r w:rsidRPr="00B02869">
              <w:rPr>
                <w:sz w:val="18"/>
                <w:szCs w:val="18"/>
              </w:rPr>
              <w:t>SORO</w:t>
            </w:r>
          </w:p>
        </w:tc>
        <w:tc>
          <w:tcPr>
            <w:tcW w:w="1187" w:type="dxa"/>
            <w:vAlign w:val="center"/>
          </w:tcPr>
          <w:p w14:paraId="50546F85" w14:textId="77777777" w:rsidR="00B80F3A" w:rsidRPr="00B02869" w:rsidRDefault="00B80F3A" w:rsidP="00B80F3A">
            <w:pPr>
              <w:ind w:left="0"/>
              <w:jc w:val="center"/>
              <w:rPr>
                <w:sz w:val="18"/>
                <w:szCs w:val="18"/>
              </w:rPr>
            </w:pPr>
            <w:r w:rsidRPr="00B02869">
              <w:rPr>
                <w:sz w:val="18"/>
                <w:szCs w:val="18"/>
              </w:rPr>
              <w:t>Ročne</w:t>
            </w:r>
          </w:p>
        </w:tc>
      </w:tr>
      <w:tr w:rsidR="00B80F3A" w:rsidRPr="00B02869" w14:paraId="417D68D2" w14:textId="77777777" w:rsidTr="00B80F3A">
        <w:trPr>
          <w:trHeight w:val="340"/>
        </w:trPr>
        <w:tc>
          <w:tcPr>
            <w:tcW w:w="556" w:type="dxa"/>
            <w:vAlign w:val="center"/>
          </w:tcPr>
          <w:p w14:paraId="0C234821" w14:textId="77777777" w:rsidR="00B80F3A" w:rsidRPr="00B02869" w:rsidRDefault="00B80F3A" w:rsidP="00B80F3A">
            <w:pPr>
              <w:ind w:left="0"/>
              <w:rPr>
                <w:sz w:val="18"/>
                <w:szCs w:val="18"/>
              </w:rPr>
            </w:pPr>
            <w:r>
              <w:rPr>
                <w:sz w:val="18"/>
                <w:szCs w:val="18"/>
              </w:rPr>
              <w:t>2</w:t>
            </w:r>
            <w:r w:rsidRPr="00B02869">
              <w:rPr>
                <w:sz w:val="18"/>
                <w:szCs w:val="18"/>
              </w:rPr>
              <w:t>.</w:t>
            </w:r>
          </w:p>
        </w:tc>
        <w:tc>
          <w:tcPr>
            <w:tcW w:w="1834" w:type="dxa"/>
            <w:vAlign w:val="center"/>
          </w:tcPr>
          <w:p w14:paraId="4092DCD3" w14:textId="77777777" w:rsidR="00B80F3A" w:rsidRPr="00B02869" w:rsidRDefault="00B80F3A" w:rsidP="00B80F3A">
            <w:pPr>
              <w:ind w:left="0"/>
              <w:rPr>
                <w:sz w:val="18"/>
                <w:szCs w:val="18"/>
              </w:rPr>
            </w:pPr>
            <w:r w:rsidRPr="003E5117">
              <w:rPr>
                <w:sz w:val="18"/>
                <w:szCs w:val="18"/>
              </w:rPr>
              <w:t>Celkové používanie služieb eGovernmentu občanmi</w:t>
            </w:r>
          </w:p>
        </w:tc>
        <w:tc>
          <w:tcPr>
            <w:tcW w:w="896" w:type="dxa"/>
            <w:vAlign w:val="center"/>
          </w:tcPr>
          <w:p w14:paraId="5D2E6564" w14:textId="77777777" w:rsidR="00B80F3A" w:rsidRPr="00B02869" w:rsidRDefault="00B80F3A" w:rsidP="00B80F3A">
            <w:pPr>
              <w:ind w:left="0"/>
              <w:jc w:val="center"/>
              <w:rPr>
                <w:sz w:val="18"/>
                <w:szCs w:val="18"/>
              </w:rPr>
            </w:pPr>
            <w:r>
              <w:rPr>
                <w:sz w:val="18"/>
                <w:szCs w:val="18"/>
              </w:rPr>
              <w:t>%</w:t>
            </w:r>
          </w:p>
        </w:tc>
        <w:tc>
          <w:tcPr>
            <w:tcW w:w="1008" w:type="dxa"/>
            <w:vAlign w:val="center"/>
          </w:tcPr>
          <w:p w14:paraId="57F485E4" w14:textId="77777777" w:rsidR="00B80F3A" w:rsidRPr="005D6722" w:rsidRDefault="00B80F3A" w:rsidP="00B80F3A">
            <w:pPr>
              <w:ind w:left="0"/>
              <w:jc w:val="center"/>
              <w:rPr>
                <w:i/>
                <w:sz w:val="18"/>
                <w:szCs w:val="18"/>
              </w:rPr>
            </w:pPr>
            <w:r w:rsidRPr="005D6722">
              <w:rPr>
                <w:i/>
                <w:sz w:val="16"/>
                <w:szCs w:val="16"/>
              </w:rPr>
              <w:t>Menej rozvinuté regióny</w:t>
            </w:r>
          </w:p>
        </w:tc>
        <w:tc>
          <w:tcPr>
            <w:tcW w:w="1330" w:type="dxa"/>
            <w:vAlign w:val="center"/>
          </w:tcPr>
          <w:p w14:paraId="5AC1707D" w14:textId="77777777" w:rsidR="00B80F3A" w:rsidRPr="00B02869" w:rsidRDefault="00B80F3A" w:rsidP="00B80F3A">
            <w:pPr>
              <w:ind w:left="0"/>
              <w:jc w:val="center"/>
              <w:rPr>
                <w:sz w:val="18"/>
                <w:szCs w:val="18"/>
              </w:rPr>
            </w:pPr>
            <w:r>
              <w:rPr>
                <w:sz w:val="18"/>
                <w:szCs w:val="18"/>
              </w:rPr>
              <w:t>42,2</w:t>
            </w:r>
          </w:p>
        </w:tc>
        <w:tc>
          <w:tcPr>
            <w:tcW w:w="1301" w:type="dxa"/>
            <w:vAlign w:val="center"/>
          </w:tcPr>
          <w:p w14:paraId="4A05647E" w14:textId="77777777" w:rsidR="00B80F3A" w:rsidRPr="00B02869" w:rsidRDefault="00B80F3A" w:rsidP="00B80F3A">
            <w:pPr>
              <w:ind w:left="0"/>
              <w:jc w:val="center"/>
              <w:rPr>
                <w:sz w:val="18"/>
                <w:szCs w:val="18"/>
              </w:rPr>
            </w:pPr>
            <w:r w:rsidRPr="00B02869">
              <w:rPr>
                <w:sz w:val="18"/>
                <w:szCs w:val="18"/>
              </w:rPr>
              <w:t>201</w:t>
            </w:r>
            <w:r>
              <w:rPr>
                <w:sz w:val="18"/>
                <w:szCs w:val="18"/>
              </w:rPr>
              <w:t>2</w:t>
            </w:r>
          </w:p>
        </w:tc>
        <w:tc>
          <w:tcPr>
            <w:tcW w:w="896" w:type="dxa"/>
            <w:vAlign w:val="center"/>
          </w:tcPr>
          <w:p w14:paraId="4BED23FE" w14:textId="77777777" w:rsidR="00B80F3A" w:rsidRPr="00B02869" w:rsidRDefault="00B80F3A" w:rsidP="00B80F3A">
            <w:pPr>
              <w:ind w:left="0"/>
              <w:jc w:val="center"/>
              <w:rPr>
                <w:sz w:val="18"/>
                <w:szCs w:val="18"/>
              </w:rPr>
            </w:pPr>
            <w:r>
              <w:rPr>
                <w:sz w:val="18"/>
                <w:szCs w:val="18"/>
              </w:rPr>
              <w:t>74</w:t>
            </w:r>
          </w:p>
        </w:tc>
        <w:tc>
          <w:tcPr>
            <w:tcW w:w="858" w:type="dxa"/>
            <w:vAlign w:val="center"/>
          </w:tcPr>
          <w:p w14:paraId="638AA887" w14:textId="77777777" w:rsidR="00B80F3A" w:rsidRPr="00B02869" w:rsidRDefault="00B80F3A" w:rsidP="00B80F3A">
            <w:pPr>
              <w:ind w:left="0"/>
              <w:jc w:val="center"/>
              <w:rPr>
                <w:sz w:val="18"/>
                <w:szCs w:val="18"/>
              </w:rPr>
            </w:pPr>
            <w:r>
              <w:rPr>
                <w:sz w:val="18"/>
                <w:szCs w:val="18"/>
              </w:rPr>
              <w:t>Eurostat</w:t>
            </w:r>
          </w:p>
        </w:tc>
        <w:tc>
          <w:tcPr>
            <w:tcW w:w="1187" w:type="dxa"/>
            <w:vAlign w:val="center"/>
          </w:tcPr>
          <w:p w14:paraId="59703A67" w14:textId="77777777" w:rsidR="00B80F3A" w:rsidRPr="00B02869" w:rsidRDefault="00B80F3A" w:rsidP="00B80F3A">
            <w:pPr>
              <w:ind w:left="0"/>
              <w:jc w:val="center"/>
              <w:rPr>
                <w:sz w:val="18"/>
                <w:szCs w:val="18"/>
              </w:rPr>
            </w:pPr>
            <w:r w:rsidRPr="00B02869">
              <w:rPr>
                <w:sz w:val="18"/>
                <w:szCs w:val="18"/>
              </w:rPr>
              <w:t>Ročne</w:t>
            </w:r>
          </w:p>
        </w:tc>
      </w:tr>
    </w:tbl>
    <w:p w14:paraId="032B0D3F" w14:textId="77777777" w:rsidR="00E92F9B" w:rsidRDefault="00E92F9B"/>
    <w:p w14:paraId="25A7CBE8" w14:textId="527FF891"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5: </w:t>
      </w:r>
      <w:r w:rsidR="001218A8" w:rsidRPr="001218A8">
        <w:rPr>
          <w:b/>
          <w:i/>
          <w:sz w:val="23"/>
          <w:szCs w:val="23"/>
        </w:rPr>
        <w:t xml:space="preserve">Zlepšenie celkovej dostupnosti dát </w:t>
      </w:r>
      <w:r w:rsidR="00370E62">
        <w:rPr>
          <w:b/>
          <w:i/>
          <w:sz w:val="23"/>
          <w:szCs w:val="23"/>
        </w:rPr>
        <w:t xml:space="preserve">vo </w:t>
      </w:r>
      <w:r w:rsidR="001218A8" w:rsidRPr="001218A8">
        <w:rPr>
          <w:b/>
          <w:i/>
          <w:sz w:val="23"/>
          <w:szCs w:val="23"/>
        </w:rPr>
        <w:t>verejnej správ</w:t>
      </w:r>
      <w:r w:rsidR="00370E62">
        <w:rPr>
          <w:b/>
          <w:i/>
          <w:sz w:val="23"/>
          <w:szCs w:val="23"/>
        </w:rPr>
        <w:t>e</w:t>
      </w:r>
      <w:r w:rsidR="001218A8" w:rsidRPr="001218A8">
        <w:rPr>
          <w:b/>
          <w:i/>
          <w:sz w:val="23"/>
          <w:szCs w:val="23"/>
        </w:rPr>
        <w:t xml:space="preserve"> </w:t>
      </w:r>
      <w:r w:rsidR="00370E62">
        <w:rPr>
          <w:b/>
          <w:i/>
          <w:sz w:val="23"/>
          <w:szCs w:val="23"/>
        </w:rPr>
        <w:t>s dôrazom na</w:t>
      </w:r>
      <w:r w:rsidR="001218A8" w:rsidRPr="001218A8">
        <w:rPr>
          <w:b/>
          <w:i/>
          <w:sz w:val="23"/>
          <w:szCs w:val="23"/>
        </w:rPr>
        <w:t xml:space="preserve"> otvoren</w:t>
      </w:r>
      <w:r w:rsidR="00370E62">
        <w:rPr>
          <w:b/>
          <w:i/>
          <w:sz w:val="23"/>
          <w:szCs w:val="23"/>
        </w:rPr>
        <w:t>é</w:t>
      </w:r>
      <w:r w:rsidR="001218A8" w:rsidRPr="001218A8">
        <w:rPr>
          <w:b/>
          <w:i/>
          <w:sz w:val="23"/>
          <w:szCs w:val="23"/>
        </w:rPr>
        <w:t xml:space="preserve"> </w:t>
      </w:r>
      <w:r w:rsidR="00370E62">
        <w:rPr>
          <w:b/>
          <w:i/>
          <w:sz w:val="23"/>
          <w:szCs w:val="23"/>
        </w:rPr>
        <w:t>údaje</w:t>
      </w:r>
    </w:p>
    <w:p w14:paraId="31464898"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705BBA5F" w14:textId="77777777" w:rsidR="00B80F3A" w:rsidRPr="00B80F3A" w:rsidRDefault="00B80F3A" w:rsidP="00B80F3A">
      <w:pPr>
        <w:spacing w:before="120" w:after="60"/>
        <w:jc w:val="both"/>
        <w:rPr>
          <w:sz w:val="22"/>
          <w:szCs w:val="20"/>
          <w:lang w:eastAsia="en-US"/>
        </w:rPr>
      </w:pPr>
      <w:r w:rsidRPr="00B80F3A">
        <w:rPr>
          <w:sz w:val="22"/>
          <w:szCs w:val="20"/>
          <w:lang w:eastAsia="en-US"/>
        </w:rPr>
        <w:t>Na Slovensku momentálne prebieha posun v politike zverejňovani</w:t>
      </w:r>
      <w:r w:rsidR="00EF1ECD">
        <w:rPr>
          <w:sz w:val="22"/>
          <w:szCs w:val="20"/>
          <w:lang w:eastAsia="en-US"/>
        </w:rPr>
        <w:t>a informácii verejnej správy od </w:t>
      </w:r>
      <w:r w:rsidRPr="00B80F3A">
        <w:rPr>
          <w:sz w:val="22"/>
          <w:szCs w:val="20"/>
          <w:lang w:eastAsia="en-US"/>
        </w:rPr>
        <w:t>pasívnej smerom k proaktívnej, založenej na princípoch otvorených dát. Z pohľadov publikovania dát, možností využívania a spôsobu prístupu k dátam patrí S</w:t>
      </w:r>
      <w:r w:rsidR="00EF1ECD">
        <w:rPr>
          <w:sz w:val="22"/>
          <w:szCs w:val="20"/>
          <w:lang w:eastAsia="en-US"/>
        </w:rPr>
        <w:t>lovensko medzi začiatočníkov. V </w:t>
      </w:r>
      <w:r w:rsidRPr="00B80F3A">
        <w:rPr>
          <w:sz w:val="22"/>
          <w:szCs w:val="20"/>
          <w:lang w:eastAsia="en-US"/>
        </w:rPr>
        <w:t>pilotnom katalógu momentálne zverejnilo 11 inštitúcií spolu pribli</w:t>
      </w:r>
      <w:r w:rsidR="00EF1ECD">
        <w:rPr>
          <w:sz w:val="22"/>
          <w:szCs w:val="20"/>
          <w:lang w:eastAsia="en-US"/>
        </w:rPr>
        <w:t>žne 200 datasetov a zámerom je, </w:t>
      </w:r>
      <w:r w:rsidRPr="00B80F3A">
        <w:rPr>
          <w:sz w:val="22"/>
          <w:szCs w:val="20"/>
          <w:lang w:eastAsia="en-US"/>
        </w:rPr>
        <w:t>aby sa tento počet v ďalšom období výrazne zvýšil. Pilotné riešenie má len obmedzenú aplikačnú a</w:t>
      </w:r>
      <w:r w:rsidR="00EF1ECD">
        <w:rPr>
          <w:sz w:val="22"/>
          <w:szCs w:val="20"/>
          <w:lang w:eastAsia="en-US"/>
        </w:rPr>
        <w:t> </w:t>
      </w:r>
      <w:r w:rsidRPr="00B80F3A">
        <w:rPr>
          <w:sz w:val="22"/>
          <w:szCs w:val="20"/>
          <w:lang w:eastAsia="en-US"/>
        </w:rPr>
        <w:t>prezentačnú funkcionalitu a participácia vývojárskej komunity je nízka. V rámci programového obdobia 2007</w:t>
      </w:r>
      <w:r w:rsidR="00EF1ECD">
        <w:rPr>
          <w:sz w:val="22"/>
          <w:szCs w:val="20"/>
          <w:lang w:eastAsia="en-US"/>
        </w:rPr>
        <w:t xml:space="preserve">- </w:t>
      </w:r>
      <w:r w:rsidRPr="00B80F3A">
        <w:rPr>
          <w:sz w:val="22"/>
          <w:szCs w:val="20"/>
          <w:lang w:eastAsia="en-US"/>
        </w:rPr>
        <w:t>2013 sa dá očakávať mierne vylepšenie tohto systému. Postupuje sa tak podľa odporúčaní EK a začína sa malými iniciatívami, ktoré umožnia experimentovanie a rýchlo prinesú prvotné výsledky.</w:t>
      </w:r>
    </w:p>
    <w:p w14:paraId="0A09AF79" w14:textId="5FB05C1E" w:rsidR="00B80F3A" w:rsidRPr="00B80F3A" w:rsidRDefault="00B80F3A" w:rsidP="00B80F3A">
      <w:pPr>
        <w:spacing w:before="120" w:after="60"/>
        <w:jc w:val="both"/>
        <w:rPr>
          <w:sz w:val="22"/>
          <w:szCs w:val="20"/>
          <w:lang w:eastAsia="en-US"/>
        </w:rPr>
      </w:pPr>
      <w:r w:rsidRPr="00B80F3A">
        <w:rPr>
          <w:sz w:val="22"/>
          <w:szCs w:val="20"/>
          <w:lang w:eastAsia="en-US"/>
        </w:rPr>
        <w:t>Komplexné riešenie otvorených dát prináša až OPII. Prebiehajúc</w:t>
      </w:r>
      <w:r w:rsidR="00EF1ECD">
        <w:rPr>
          <w:sz w:val="22"/>
          <w:szCs w:val="20"/>
          <w:lang w:eastAsia="en-US"/>
        </w:rPr>
        <w:t>e iniciatívy sa skonsolidujú so </w:t>
      </w:r>
      <w:r w:rsidRPr="00B80F3A">
        <w:rPr>
          <w:sz w:val="22"/>
          <w:szCs w:val="20"/>
          <w:lang w:eastAsia="en-US"/>
        </w:rPr>
        <w:t xml:space="preserve">zámerom postupného zavedenia rutinného používania otvorených dát vo verejnej správe. Cieľom je, aby jednotlivé inštitúcie verejnej správy zverejňovali údaje, ktoré </w:t>
      </w:r>
      <w:r w:rsidR="00EF1ECD">
        <w:rPr>
          <w:sz w:val="22"/>
          <w:szCs w:val="20"/>
          <w:lang w:eastAsia="en-US"/>
        </w:rPr>
        <w:t>súvisia s výkonom ich agendy vo </w:t>
      </w:r>
      <w:r w:rsidRPr="00B80F3A">
        <w:rPr>
          <w:sz w:val="22"/>
          <w:szCs w:val="20"/>
          <w:lang w:eastAsia="en-US"/>
        </w:rPr>
        <w:t xml:space="preserve">forme otvorených dát s vysokým potenciálom pre znovupoužitie. Znovupoužiteľnosť možno podporiť zavedením otvoreného formátu dát, aplikovaním štandardu pre linked dáta a vytvorením metadát podľa interoperabilného štandardu. Výnimku z pravidla o zverejňovaní dát budú predstavovať utajované skutočnosti, osobné a citlivé údaje. </w:t>
      </w:r>
      <w:r w:rsidR="00370E62" w:rsidRPr="00EF5F6A">
        <w:rPr>
          <w:sz w:val="22"/>
          <w:szCs w:val="20"/>
          <w:lang w:eastAsia="en-US"/>
        </w:rPr>
        <w:t>Príčinou nízkeho</w:t>
      </w:r>
      <w:r w:rsidR="007761F5">
        <w:rPr>
          <w:sz w:val="22"/>
          <w:szCs w:val="20"/>
          <w:lang w:eastAsia="en-US"/>
        </w:rPr>
        <w:t xml:space="preserve"> počtu zverejnených datasetov v </w:t>
      </w:r>
      <w:r w:rsidR="00370E62" w:rsidRPr="00EF5F6A">
        <w:rPr>
          <w:sz w:val="22"/>
          <w:szCs w:val="20"/>
          <w:lang w:eastAsia="en-US"/>
        </w:rPr>
        <w:t>pomere k informáciám, ktorými verejná správa disponuje</w:t>
      </w:r>
      <w:r w:rsidR="004E1090">
        <w:rPr>
          <w:sz w:val="22"/>
          <w:szCs w:val="20"/>
          <w:lang w:eastAsia="en-US"/>
        </w:rPr>
        <w:t>,</w:t>
      </w:r>
      <w:r w:rsidR="00370E62" w:rsidRPr="00EF5F6A">
        <w:rPr>
          <w:sz w:val="22"/>
          <w:szCs w:val="20"/>
          <w:lang w:eastAsia="en-US"/>
        </w:rPr>
        <w:t xml:space="preserve"> je najmä chýbajúce efektívne zabezpečenie mechanizmov zdieľania, integrácie, riadenia kvality údajov a využitie centrálnej platformy integrácie údajov.</w:t>
      </w:r>
    </w:p>
    <w:p w14:paraId="309D6A3B" w14:textId="77777777" w:rsidR="00B80F3A" w:rsidRPr="003F7E73" w:rsidRDefault="00B80F3A" w:rsidP="00B80F3A">
      <w:pPr>
        <w:spacing w:before="120" w:after="60"/>
        <w:jc w:val="both"/>
        <w:rPr>
          <w:sz w:val="22"/>
          <w:szCs w:val="20"/>
          <w:lang w:eastAsia="en-US"/>
        </w:rPr>
      </w:pPr>
      <w:r w:rsidRPr="00B80F3A">
        <w:rPr>
          <w:sz w:val="22"/>
          <w:szCs w:val="20"/>
          <w:lang w:eastAsia="en-US"/>
        </w:rPr>
        <w:t>K dátam vo verejnej správe bude pristupované ako ku vzácnym zdrojom a ich zverejňovanie umožní nájsť ich optimálne použitie. Okrem prezentácie a získaniu prístupu k dátam prostredníctvom rozhraní je dôležitá samotná práca s dátami, ich výmena, interpretácia a tvo</w:t>
      </w:r>
      <w:r w:rsidR="00EF1ECD">
        <w:rPr>
          <w:sz w:val="22"/>
          <w:szCs w:val="20"/>
          <w:lang w:eastAsia="en-US"/>
        </w:rPr>
        <w:t>rba nových dát. Otvorené dáta z </w:t>
      </w:r>
      <w:r w:rsidRPr="00B80F3A">
        <w:rPr>
          <w:sz w:val="22"/>
          <w:szCs w:val="20"/>
          <w:lang w:eastAsia="en-US"/>
        </w:rPr>
        <w:t>verejnej správy budú k dispozícií verejnosti a súkromnému sektoru.</w:t>
      </w:r>
    </w:p>
    <w:p w14:paraId="220138E5"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23F06C67"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Vďaka využívaniu otvorených dát sa výrazne zvýši miera transparentnosti verejnej správy, čím vznikne pozitívny dosah na jej efektivitu;</w:t>
      </w:r>
    </w:p>
    <w:p w14:paraId="597B82A2"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Na Slovensku vznikne dostatočne silné odvetvie pracujúce s otvorenými dátami, pričom vzniknú kompetencie v progresívnych oblastiach informačných technológií, ako sú dátové analýzy;</w:t>
      </w:r>
    </w:p>
    <w:p w14:paraId="724F6B2C" w14:textId="77777777" w:rsidR="009E0158" w:rsidRDefault="00B80F3A" w:rsidP="00E27896">
      <w:pPr>
        <w:pStyle w:val="Odsekzoznamu"/>
        <w:numPr>
          <w:ilvl w:val="0"/>
          <w:numId w:val="27"/>
        </w:numPr>
        <w:jc w:val="both"/>
        <w:rPr>
          <w:lang w:eastAsia="cs-CZ"/>
        </w:rPr>
      </w:pPr>
      <w:r w:rsidRPr="006B6BE8">
        <w:rPr>
          <w:sz w:val="22"/>
          <w:szCs w:val="20"/>
          <w:lang w:eastAsia="cs-CZ"/>
        </w:rPr>
        <w:lastRenderedPageBreak/>
        <w:t>Inovatívne použitie otvorených dát vygeneruje pridanú hodnotu pre používateľov, ktorá sa premietne do ekonomického dopadu.</w:t>
      </w:r>
    </w:p>
    <w:p w14:paraId="6BCF6D85" w14:textId="77777777"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7.5</w:t>
      </w:r>
    </w:p>
    <w:tbl>
      <w:tblPr>
        <w:tblStyle w:val="Mriekatabuky"/>
        <w:tblW w:w="9752" w:type="dxa"/>
        <w:tblLayout w:type="fixed"/>
        <w:tblLook w:val="04A0" w:firstRow="1" w:lastRow="0" w:firstColumn="1" w:lastColumn="0" w:noHBand="0" w:noVBand="1"/>
      </w:tblPr>
      <w:tblGrid>
        <w:gridCol w:w="551"/>
        <w:gridCol w:w="1797"/>
        <w:gridCol w:w="914"/>
        <w:gridCol w:w="983"/>
        <w:gridCol w:w="1314"/>
        <w:gridCol w:w="1285"/>
        <w:gridCol w:w="886"/>
        <w:gridCol w:w="859"/>
        <w:gridCol w:w="1163"/>
      </w:tblGrid>
      <w:tr w:rsidR="00B80F3A" w:rsidRPr="00B02869" w14:paraId="2CBEC2A9" w14:textId="77777777" w:rsidTr="00B80F3A">
        <w:trPr>
          <w:trHeight w:val="454"/>
        </w:trPr>
        <w:tc>
          <w:tcPr>
            <w:tcW w:w="556" w:type="dxa"/>
            <w:shd w:val="clear" w:color="auto" w:fill="C6D9F1" w:themeFill="text2" w:themeFillTint="33"/>
            <w:vAlign w:val="center"/>
          </w:tcPr>
          <w:p w14:paraId="0FA96EF2" w14:textId="77777777" w:rsidR="00B80F3A" w:rsidRPr="00B80F3A" w:rsidRDefault="001218A8" w:rsidP="00B80F3A">
            <w:pPr>
              <w:ind w:left="0"/>
              <w:rPr>
                <w:b/>
                <w:sz w:val="18"/>
                <w:szCs w:val="18"/>
              </w:rPr>
            </w:pPr>
            <w:r w:rsidRPr="001218A8">
              <w:rPr>
                <w:b/>
                <w:sz w:val="18"/>
                <w:szCs w:val="18"/>
              </w:rPr>
              <w:t>ID</w:t>
            </w:r>
          </w:p>
        </w:tc>
        <w:tc>
          <w:tcPr>
            <w:tcW w:w="1820" w:type="dxa"/>
            <w:shd w:val="clear" w:color="auto" w:fill="C6D9F1" w:themeFill="text2" w:themeFillTint="33"/>
            <w:vAlign w:val="center"/>
          </w:tcPr>
          <w:p w14:paraId="7211F57B" w14:textId="77777777" w:rsidR="00B80F3A" w:rsidRPr="00B80F3A" w:rsidRDefault="001218A8" w:rsidP="00B80F3A">
            <w:pPr>
              <w:ind w:left="0"/>
              <w:rPr>
                <w:b/>
                <w:sz w:val="18"/>
                <w:szCs w:val="18"/>
              </w:rPr>
            </w:pPr>
            <w:r w:rsidRPr="001218A8">
              <w:rPr>
                <w:b/>
                <w:sz w:val="18"/>
                <w:szCs w:val="18"/>
              </w:rPr>
              <w:t>Ukazovateľ</w:t>
            </w:r>
          </w:p>
        </w:tc>
        <w:tc>
          <w:tcPr>
            <w:tcW w:w="924" w:type="dxa"/>
            <w:shd w:val="clear" w:color="auto" w:fill="C6D9F1" w:themeFill="text2" w:themeFillTint="33"/>
            <w:vAlign w:val="center"/>
          </w:tcPr>
          <w:p w14:paraId="36035909" w14:textId="77777777" w:rsidR="00B80F3A" w:rsidRPr="00B80F3A"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14:paraId="397B70BB" w14:textId="77777777"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4FA09431" w14:textId="77777777"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5E6208F8" w14:textId="77777777"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71FF04E2" w14:textId="77777777" w:rsidR="00B80F3A" w:rsidRPr="00B80F3A" w:rsidRDefault="001218A8" w:rsidP="00B80F3A">
            <w:pPr>
              <w:ind w:left="0"/>
              <w:jc w:val="center"/>
              <w:rPr>
                <w:b/>
                <w:sz w:val="18"/>
                <w:szCs w:val="18"/>
              </w:rPr>
            </w:pPr>
            <w:r w:rsidRPr="001218A8">
              <w:rPr>
                <w:b/>
                <w:sz w:val="18"/>
                <w:szCs w:val="18"/>
              </w:rPr>
              <w:t>Cieľová hodnota</w:t>
            </w:r>
          </w:p>
        </w:tc>
        <w:tc>
          <w:tcPr>
            <w:tcW w:w="868" w:type="dxa"/>
            <w:shd w:val="clear" w:color="auto" w:fill="C6D9F1" w:themeFill="text2" w:themeFillTint="33"/>
            <w:vAlign w:val="center"/>
          </w:tcPr>
          <w:p w14:paraId="5F6B366E" w14:textId="77777777" w:rsidR="00B80F3A" w:rsidRPr="00B80F3A" w:rsidRDefault="001218A8" w:rsidP="00B80F3A">
            <w:pPr>
              <w:ind w:left="0"/>
              <w:jc w:val="center"/>
              <w:rPr>
                <w:b/>
                <w:sz w:val="18"/>
                <w:szCs w:val="18"/>
              </w:rPr>
            </w:pPr>
            <w:r w:rsidRPr="001218A8">
              <w:rPr>
                <w:b/>
                <w:sz w:val="18"/>
                <w:szCs w:val="18"/>
              </w:rPr>
              <w:t>Zdroj údajov</w:t>
            </w:r>
          </w:p>
        </w:tc>
        <w:tc>
          <w:tcPr>
            <w:tcW w:w="1177" w:type="dxa"/>
            <w:shd w:val="clear" w:color="auto" w:fill="C6D9F1" w:themeFill="text2" w:themeFillTint="33"/>
            <w:vAlign w:val="center"/>
          </w:tcPr>
          <w:p w14:paraId="2F13FC31" w14:textId="77777777" w:rsidR="00B80F3A" w:rsidRPr="00B80F3A" w:rsidRDefault="001218A8" w:rsidP="00B80F3A">
            <w:pPr>
              <w:ind w:left="0"/>
              <w:jc w:val="center"/>
              <w:rPr>
                <w:b/>
                <w:sz w:val="18"/>
                <w:szCs w:val="18"/>
              </w:rPr>
            </w:pPr>
            <w:r w:rsidRPr="001218A8">
              <w:rPr>
                <w:b/>
                <w:sz w:val="18"/>
                <w:szCs w:val="18"/>
              </w:rPr>
              <w:t>Interval vykazovania</w:t>
            </w:r>
          </w:p>
        </w:tc>
      </w:tr>
      <w:tr w:rsidR="00B80F3A" w:rsidRPr="00B02869" w14:paraId="4AF87467" w14:textId="77777777" w:rsidTr="00B80F3A">
        <w:trPr>
          <w:trHeight w:val="340"/>
        </w:trPr>
        <w:tc>
          <w:tcPr>
            <w:tcW w:w="556" w:type="dxa"/>
            <w:vAlign w:val="center"/>
          </w:tcPr>
          <w:p w14:paraId="2D3EA596" w14:textId="77777777" w:rsidR="00B80F3A" w:rsidRPr="00B02869" w:rsidRDefault="00B80F3A" w:rsidP="00B80F3A">
            <w:pPr>
              <w:ind w:left="0"/>
              <w:rPr>
                <w:sz w:val="18"/>
                <w:szCs w:val="18"/>
              </w:rPr>
            </w:pPr>
            <w:r w:rsidRPr="00B02869">
              <w:rPr>
                <w:sz w:val="18"/>
                <w:szCs w:val="18"/>
              </w:rPr>
              <w:t>1.</w:t>
            </w:r>
          </w:p>
        </w:tc>
        <w:tc>
          <w:tcPr>
            <w:tcW w:w="1820" w:type="dxa"/>
            <w:vAlign w:val="center"/>
          </w:tcPr>
          <w:p w14:paraId="57633D50" w14:textId="77777777" w:rsidR="00B80F3A" w:rsidRPr="00B02869" w:rsidRDefault="00B80F3A" w:rsidP="00B80F3A">
            <w:pPr>
              <w:ind w:left="0"/>
              <w:rPr>
                <w:sz w:val="18"/>
                <w:szCs w:val="18"/>
              </w:rPr>
            </w:pPr>
            <w:r w:rsidRPr="003E5117">
              <w:rPr>
                <w:sz w:val="18"/>
                <w:szCs w:val="18"/>
              </w:rPr>
              <w:t>Počet stiahnutí otvorených dát</w:t>
            </w:r>
            <w:r w:rsidRPr="003E5117" w:rsidDel="003E5117">
              <w:rPr>
                <w:sz w:val="18"/>
                <w:szCs w:val="18"/>
              </w:rPr>
              <w:t xml:space="preserve"> </w:t>
            </w:r>
          </w:p>
        </w:tc>
        <w:tc>
          <w:tcPr>
            <w:tcW w:w="924" w:type="dxa"/>
            <w:vAlign w:val="center"/>
          </w:tcPr>
          <w:p w14:paraId="15340D64" w14:textId="77777777" w:rsidR="00B80F3A" w:rsidRPr="00B02869" w:rsidRDefault="00B80F3A" w:rsidP="00B80F3A">
            <w:pPr>
              <w:ind w:left="0"/>
              <w:jc w:val="center"/>
              <w:rPr>
                <w:sz w:val="18"/>
                <w:szCs w:val="18"/>
              </w:rPr>
            </w:pPr>
            <w:r>
              <w:rPr>
                <w:sz w:val="18"/>
                <w:szCs w:val="18"/>
              </w:rPr>
              <w:t>počet</w:t>
            </w:r>
          </w:p>
        </w:tc>
        <w:tc>
          <w:tcPr>
            <w:tcW w:w="994" w:type="dxa"/>
          </w:tcPr>
          <w:p w14:paraId="08F27B51" w14:textId="77777777" w:rsidR="00B80F3A" w:rsidRPr="00284BBB" w:rsidRDefault="00B80F3A" w:rsidP="00B80F3A">
            <w:pPr>
              <w:ind w:left="0"/>
              <w:jc w:val="center"/>
              <w:rPr>
                <w:sz w:val="18"/>
                <w:szCs w:val="18"/>
              </w:rPr>
            </w:pPr>
            <w:r w:rsidRPr="00284BBB">
              <w:rPr>
                <w:sz w:val="16"/>
                <w:szCs w:val="16"/>
              </w:rPr>
              <w:t xml:space="preserve">Menej rozvinuté regióny </w:t>
            </w:r>
          </w:p>
        </w:tc>
        <w:tc>
          <w:tcPr>
            <w:tcW w:w="1330" w:type="dxa"/>
            <w:vAlign w:val="center"/>
          </w:tcPr>
          <w:p w14:paraId="59717890" w14:textId="77777777" w:rsidR="00B80F3A" w:rsidRPr="00B02869" w:rsidRDefault="00B80F3A" w:rsidP="00B80F3A">
            <w:pPr>
              <w:ind w:left="0"/>
              <w:jc w:val="center"/>
              <w:rPr>
                <w:sz w:val="18"/>
                <w:szCs w:val="18"/>
              </w:rPr>
            </w:pPr>
            <w:r>
              <w:rPr>
                <w:sz w:val="18"/>
                <w:szCs w:val="18"/>
              </w:rPr>
              <w:t>5 000</w:t>
            </w:r>
          </w:p>
        </w:tc>
        <w:tc>
          <w:tcPr>
            <w:tcW w:w="1301" w:type="dxa"/>
            <w:vAlign w:val="center"/>
          </w:tcPr>
          <w:p w14:paraId="712B179B" w14:textId="77777777" w:rsidR="00B80F3A" w:rsidRPr="00B02869" w:rsidRDefault="00B80F3A" w:rsidP="00B80F3A">
            <w:pPr>
              <w:ind w:left="0"/>
              <w:jc w:val="center"/>
              <w:rPr>
                <w:sz w:val="18"/>
                <w:szCs w:val="18"/>
              </w:rPr>
            </w:pPr>
            <w:r w:rsidRPr="00B02869">
              <w:rPr>
                <w:sz w:val="18"/>
                <w:szCs w:val="18"/>
              </w:rPr>
              <w:t>201</w:t>
            </w:r>
            <w:r>
              <w:rPr>
                <w:sz w:val="18"/>
                <w:szCs w:val="18"/>
              </w:rPr>
              <w:t>3</w:t>
            </w:r>
          </w:p>
        </w:tc>
        <w:tc>
          <w:tcPr>
            <w:tcW w:w="896" w:type="dxa"/>
            <w:vAlign w:val="center"/>
          </w:tcPr>
          <w:p w14:paraId="1D3599B6" w14:textId="77777777" w:rsidR="00B80F3A" w:rsidRPr="00B02869" w:rsidRDefault="00B80F3A" w:rsidP="00B80F3A">
            <w:pPr>
              <w:ind w:left="0"/>
              <w:jc w:val="center"/>
              <w:rPr>
                <w:sz w:val="18"/>
                <w:szCs w:val="18"/>
              </w:rPr>
            </w:pPr>
            <w:r>
              <w:rPr>
                <w:sz w:val="18"/>
                <w:szCs w:val="18"/>
              </w:rPr>
              <w:t>950 000</w:t>
            </w:r>
          </w:p>
        </w:tc>
        <w:tc>
          <w:tcPr>
            <w:tcW w:w="868" w:type="dxa"/>
            <w:vAlign w:val="center"/>
          </w:tcPr>
          <w:p w14:paraId="2C568D19" w14:textId="77777777" w:rsidR="00B80F3A" w:rsidRPr="00B02869" w:rsidRDefault="00B80F3A" w:rsidP="00B80F3A">
            <w:pPr>
              <w:ind w:left="0"/>
              <w:jc w:val="center"/>
              <w:rPr>
                <w:sz w:val="18"/>
                <w:szCs w:val="18"/>
              </w:rPr>
            </w:pPr>
            <w:r w:rsidRPr="00B02869">
              <w:rPr>
                <w:sz w:val="18"/>
                <w:szCs w:val="18"/>
              </w:rPr>
              <w:t>SORO</w:t>
            </w:r>
          </w:p>
        </w:tc>
        <w:tc>
          <w:tcPr>
            <w:tcW w:w="1177" w:type="dxa"/>
            <w:vAlign w:val="center"/>
          </w:tcPr>
          <w:p w14:paraId="0F6FB17B" w14:textId="77777777" w:rsidR="00B80F3A" w:rsidRPr="00B02869" w:rsidRDefault="00B80F3A" w:rsidP="00B80F3A">
            <w:pPr>
              <w:ind w:left="0"/>
              <w:jc w:val="center"/>
              <w:rPr>
                <w:sz w:val="18"/>
                <w:szCs w:val="18"/>
              </w:rPr>
            </w:pPr>
            <w:r w:rsidRPr="00B02869">
              <w:rPr>
                <w:sz w:val="18"/>
                <w:szCs w:val="18"/>
              </w:rPr>
              <w:t>Ročne</w:t>
            </w:r>
          </w:p>
        </w:tc>
      </w:tr>
    </w:tbl>
    <w:p w14:paraId="7C167029" w14:textId="77777777" w:rsidR="007761F5" w:rsidRPr="00560E77" w:rsidRDefault="007761F5" w:rsidP="00B80F3A">
      <w:pPr>
        <w:rPr>
          <w:lang w:eastAsia="cs-CZ"/>
        </w:rPr>
      </w:pPr>
    </w:p>
    <w:p w14:paraId="00CD0D6A" w14:textId="77777777"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6: </w:t>
      </w:r>
      <w:r w:rsidR="001218A8" w:rsidRPr="001218A8">
        <w:rPr>
          <w:b/>
          <w:bCs/>
          <w:i/>
          <w:iCs/>
        </w:rPr>
        <w:t>Zlepšenie digitálnych zručností a inklúzie znevýhodnených jednotlivcov do digitálneho trhu</w:t>
      </w:r>
    </w:p>
    <w:p w14:paraId="55885D98"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6B7B7200" w14:textId="77777777" w:rsidR="00B80F3A" w:rsidRPr="00B80F3A" w:rsidRDefault="00B80F3A" w:rsidP="00B80F3A">
      <w:pPr>
        <w:spacing w:before="120" w:after="60"/>
        <w:jc w:val="both"/>
        <w:rPr>
          <w:sz w:val="22"/>
          <w:szCs w:val="20"/>
          <w:lang w:eastAsia="en-US"/>
        </w:rPr>
      </w:pPr>
      <w:r w:rsidRPr="00B80F3A">
        <w:rPr>
          <w:sz w:val="22"/>
          <w:szCs w:val="20"/>
          <w:lang w:eastAsia="en-US"/>
        </w:rPr>
        <w:t>Predpokladom zapojenia znevýhodnenej populácie</w:t>
      </w:r>
      <w:r w:rsidRPr="00B80F3A">
        <w:rPr>
          <w:sz w:val="22"/>
          <w:szCs w:val="20"/>
          <w:vertAlign w:val="superscript"/>
          <w:lang w:eastAsia="en-US"/>
        </w:rPr>
        <w:footnoteReference w:id="74"/>
      </w:r>
      <w:r w:rsidRPr="00B80F3A">
        <w:rPr>
          <w:sz w:val="22"/>
          <w:szCs w:val="20"/>
          <w:lang w:eastAsia="en-US"/>
        </w:rPr>
        <w:t xml:space="preserve"> prostredníctvom eInklúzie je na jednej strane vzdelanie občanov v zručnostiach používania nových technológii ako inteligentné telefóny, a na strane druhej dostatočná ponuka služieb pre zapojenie sa do diania v digitálnom svete. Napriek všetkým doterajším snahám pretrvávajú na Slovensku v súčasnosti skupiny, ktoré nemôžu využívať výhody informačnej spoločnosti. Dôvodom je, že znevýhodnení občania:</w:t>
      </w:r>
    </w:p>
    <w:p w14:paraId="79D150E0" w14:textId="77777777" w:rsidR="009E0158" w:rsidRDefault="001218A8" w:rsidP="00E27896">
      <w:pPr>
        <w:pStyle w:val="Odsekzoznamu"/>
        <w:numPr>
          <w:ilvl w:val="0"/>
          <w:numId w:val="27"/>
        </w:numPr>
        <w:spacing w:before="120" w:after="60"/>
        <w:jc w:val="both"/>
        <w:rPr>
          <w:sz w:val="22"/>
          <w:szCs w:val="20"/>
          <w:lang w:eastAsia="en-US"/>
        </w:rPr>
      </w:pPr>
      <w:r w:rsidRPr="001218A8">
        <w:rPr>
          <w:sz w:val="22"/>
          <w:szCs w:val="20"/>
          <w:lang w:eastAsia="en-US"/>
        </w:rPr>
        <w:t>nie sú dostatočne vzdelaní a kompetentní používať nové technológie;</w:t>
      </w:r>
    </w:p>
    <w:p w14:paraId="6E188A59" w14:textId="77777777" w:rsidR="009E0158" w:rsidRDefault="001218A8" w:rsidP="00E27896">
      <w:pPr>
        <w:pStyle w:val="Odsekzoznamu"/>
        <w:numPr>
          <w:ilvl w:val="0"/>
          <w:numId w:val="27"/>
        </w:numPr>
        <w:spacing w:before="120" w:after="60"/>
        <w:jc w:val="both"/>
        <w:rPr>
          <w:sz w:val="22"/>
          <w:szCs w:val="20"/>
          <w:lang w:eastAsia="en-US"/>
        </w:rPr>
      </w:pPr>
      <w:r w:rsidRPr="001218A8">
        <w:rPr>
          <w:sz w:val="22"/>
          <w:szCs w:val="20"/>
          <w:lang w:eastAsia="en-US"/>
        </w:rPr>
        <w:t>nemajú dostatočné finančné zdroje na zaobstaranie a používanie technologických vymožeností;</w:t>
      </w:r>
    </w:p>
    <w:p w14:paraId="3E80649B" w14:textId="77777777" w:rsidR="009E0158" w:rsidRDefault="001218A8" w:rsidP="00E27896">
      <w:pPr>
        <w:pStyle w:val="Odsekzoznamu"/>
        <w:numPr>
          <w:ilvl w:val="0"/>
          <w:numId w:val="27"/>
        </w:numPr>
        <w:spacing w:before="120" w:after="60"/>
        <w:jc w:val="both"/>
        <w:rPr>
          <w:sz w:val="22"/>
          <w:szCs w:val="20"/>
          <w:lang w:eastAsia="en-US"/>
        </w:rPr>
      </w:pPr>
      <w:r w:rsidRPr="001218A8">
        <w:rPr>
          <w:sz w:val="22"/>
          <w:szCs w:val="20"/>
          <w:lang w:eastAsia="en-US"/>
        </w:rPr>
        <w:t>nevidia uspokojivé výhody a zmysel v zapojení sa do digitálneho sveta.</w:t>
      </w:r>
    </w:p>
    <w:p w14:paraId="5EA053EA" w14:textId="77777777" w:rsidR="00B80F3A" w:rsidRPr="00B80F3A" w:rsidRDefault="00B80F3A" w:rsidP="00B80F3A">
      <w:pPr>
        <w:spacing w:before="120" w:after="60"/>
        <w:jc w:val="both"/>
        <w:rPr>
          <w:sz w:val="22"/>
          <w:szCs w:val="20"/>
          <w:lang w:eastAsia="en-US"/>
        </w:rPr>
      </w:pPr>
      <w:r w:rsidRPr="00B80F3A">
        <w:rPr>
          <w:sz w:val="22"/>
          <w:szCs w:val="20"/>
          <w:lang w:eastAsia="en-US"/>
        </w:rPr>
        <w:t>Takáto skupina ľudí si znižuje svoje šance nájsť si prácu a zúčastňovať sa na spoločenskom a verejnom živote. Taktiež prichádza o prístup k veľkému mno</w:t>
      </w:r>
      <w:r w:rsidR="007D50EA">
        <w:rPr>
          <w:sz w:val="22"/>
          <w:szCs w:val="20"/>
          <w:lang w:eastAsia="en-US"/>
        </w:rPr>
        <w:t>žstvu informácii prístupných na </w:t>
      </w:r>
      <w:r w:rsidRPr="00B80F3A">
        <w:rPr>
          <w:sz w:val="22"/>
          <w:szCs w:val="20"/>
          <w:lang w:eastAsia="en-US"/>
        </w:rPr>
        <w:t>internete a tým pádom sa nedokáže adekvátne rozhodovať a utvoriť si názor. Navyše títo občania nemôžu využívať služby eCommerce, eBusiness a eGovernment z pohodlia domova a sú odkázaní na inštitúcie a firmy nachádzajúce sa v blízkosti ich bydliska alebo na dlhé cestovanie, ktoré si tiež často nedokážu dovoliť alebo nemôžu absolvovať. V mnohých situáciách by práve táto skupina občanov dokázala najviac oceniť výhody informačnej spoločnosti.</w:t>
      </w:r>
    </w:p>
    <w:p w14:paraId="47C02E65" w14:textId="5E143606" w:rsidR="00B80F3A" w:rsidRPr="00B80F3A" w:rsidRDefault="00B80F3A" w:rsidP="00B80F3A">
      <w:pPr>
        <w:spacing w:before="120" w:after="60"/>
        <w:jc w:val="both"/>
        <w:rPr>
          <w:sz w:val="22"/>
          <w:szCs w:val="20"/>
          <w:lang w:eastAsia="en-US"/>
        </w:rPr>
      </w:pPr>
      <w:r w:rsidRPr="00B80F3A">
        <w:rPr>
          <w:sz w:val="22"/>
          <w:szCs w:val="20"/>
          <w:lang w:eastAsia="en-US"/>
        </w:rPr>
        <w:t>V rámci špecifického cieľa sa nadväzuje na iniciatívu inkluzívneho eGovernmentu, v ktorom nik nesmie zaostávať. Každý má mať prístup k výhodám eGovernmentu, aj keď nedisponuje najmodernejšími informačnými a komunikačnými technológiami, alebo ich nevie dostatočne využívať. Aplikovaním týchto princípov výrazne znížime digitálnu priepasť a elektronickými prostriedkami zapojíme znevýhodnených občanov do diania vo verejnej správe</w:t>
      </w:r>
      <w:r w:rsidR="00511430">
        <w:rPr>
          <w:sz w:val="22"/>
          <w:szCs w:val="20"/>
          <w:lang w:eastAsia="en-US"/>
        </w:rPr>
        <w:t xml:space="preserve"> a digitálneho trhu</w:t>
      </w:r>
      <w:r w:rsidRPr="00B80F3A">
        <w:rPr>
          <w:sz w:val="22"/>
          <w:szCs w:val="20"/>
          <w:lang w:eastAsia="en-US"/>
        </w:rPr>
        <w:t>. Snahou bude tiež predĺžiť obdobie, počas ktorého môže človek žiť autonómne v preferovanom prostredí, v ktorom sa cíti sebaisto, bezpečne a dostatočne mobilne. Tento zámer možno dosiahnuť technológiami asistovaného života a telemedicíny, ktoré majú ambíciu efektívne využívať zdroje v starnúcich populáciách.</w:t>
      </w:r>
    </w:p>
    <w:p w14:paraId="32C0B23B"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25825D99" w14:textId="77777777" w:rsidR="00B80F3A" w:rsidRPr="008354B1" w:rsidRDefault="00B80F3A" w:rsidP="00B80F3A">
      <w:pPr>
        <w:spacing w:before="120" w:after="60"/>
        <w:jc w:val="both"/>
        <w:rPr>
          <w:sz w:val="22"/>
          <w:szCs w:val="20"/>
          <w:lang w:eastAsia="en-US"/>
        </w:rPr>
      </w:pPr>
      <w:r w:rsidRPr="008354B1">
        <w:rPr>
          <w:sz w:val="22"/>
          <w:szCs w:val="20"/>
          <w:lang w:eastAsia="en-US"/>
        </w:rPr>
        <w:t>Znevýhodnené skupiny:</w:t>
      </w:r>
    </w:p>
    <w:p w14:paraId="154D7A18"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využívania nástrojov pre podporu asistovaného života;</w:t>
      </w:r>
    </w:p>
    <w:p w14:paraId="5851B772"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dostupnosti vzdelávacích materiálov a digitálneho obsahu vo vhodnom formáte;</w:t>
      </w:r>
    </w:p>
    <w:p w14:paraId="51F76A41"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intenzity využívania služieb a vzdelávania sa v digitálnom prostredí;</w:t>
      </w:r>
    </w:p>
    <w:p w14:paraId="1BB4114A"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aktívneho zapojenia do ekonomického a sociálneho diania v svojom okolí.</w:t>
      </w:r>
    </w:p>
    <w:p w14:paraId="6607F6E8" w14:textId="77777777" w:rsidR="00B80F3A" w:rsidRDefault="00BE1DDE" w:rsidP="00B80F3A">
      <w:pPr>
        <w:pStyle w:val="Tab"/>
      </w:pPr>
      <w:r>
        <w:t>Špecifické</w:t>
      </w:r>
      <w:r w:rsidR="00B80F3A" w:rsidRPr="007F1C63">
        <w:t xml:space="preserve"> ukazovatele </w:t>
      </w:r>
      <w:r>
        <w:t xml:space="preserve">výsledkov programu </w:t>
      </w:r>
      <w:r w:rsidR="00B80F3A" w:rsidRPr="007F1C63">
        <w:t>zodpovedajúce špecifickému cieľu</w:t>
      </w:r>
      <w:r w:rsidR="00B80F3A">
        <w:t xml:space="preserve"> 7.6</w:t>
      </w:r>
    </w:p>
    <w:tbl>
      <w:tblPr>
        <w:tblStyle w:val="Mriekatabuky"/>
        <w:tblW w:w="9865" w:type="dxa"/>
        <w:tblLayout w:type="fixed"/>
        <w:tblLook w:val="04A0" w:firstRow="1" w:lastRow="0" w:firstColumn="1" w:lastColumn="0" w:noHBand="0" w:noVBand="1"/>
      </w:tblPr>
      <w:tblGrid>
        <w:gridCol w:w="542"/>
        <w:gridCol w:w="1848"/>
        <w:gridCol w:w="910"/>
        <w:gridCol w:w="994"/>
        <w:gridCol w:w="1330"/>
        <w:gridCol w:w="1301"/>
        <w:gridCol w:w="896"/>
        <w:gridCol w:w="840"/>
        <w:gridCol w:w="1204"/>
      </w:tblGrid>
      <w:tr w:rsidR="00B80F3A" w:rsidRPr="00C40332" w14:paraId="006C4DBE" w14:textId="77777777" w:rsidTr="00B80F3A">
        <w:trPr>
          <w:cantSplit/>
          <w:trHeight w:val="454"/>
        </w:trPr>
        <w:tc>
          <w:tcPr>
            <w:tcW w:w="542" w:type="dxa"/>
            <w:shd w:val="clear" w:color="auto" w:fill="C6D9F1" w:themeFill="text2" w:themeFillTint="33"/>
            <w:vAlign w:val="center"/>
          </w:tcPr>
          <w:p w14:paraId="5A9816DE" w14:textId="77777777" w:rsidR="00B80F3A" w:rsidRPr="00B80F3A" w:rsidRDefault="00B80F3A" w:rsidP="00B80F3A">
            <w:pPr>
              <w:ind w:left="0"/>
              <w:rPr>
                <w:b/>
                <w:sz w:val="18"/>
                <w:szCs w:val="18"/>
              </w:rPr>
            </w:pPr>
            <w:r>
              <w:rPr>
                <w:b/>
                <w:sz w:val="18"/>
                <w:szCs w:val="18"/>
              </w:rPr>
              <w:t>ID</w:t>
            </w:r>
          </w:p>
        </w:tc>
        <w:tc>
          <w:tcPr>
            <w:tcW w:w="1848" w:type="dxa"/>
            <w:shd w:val="clear" w:color="auto" w:fill="C6D9F1" w:themeFill="text2" w:themeFillTint="33"/>
            <w:vAlign w:val="center"/>
          </w:tcPr>
          <w:p w14:paraId="17B234C4" w14:textId="77777777" w:rsidR="00B80F3A" w:rsidRPr="00B80F3A"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14:paraId="2A9F0F2F" w14:textId="77777777" w:rsidR="00B80F3A" w:rsidRPr="00B80F3A"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14:paraId="33163898" w14:textId="77777777"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7685F3BC" w14:textId="77777777"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0BE46F4F" w14:textId="77777777"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558ECE7D" w14:textId="77777777" w:rsidR="00B80F3A" w:rsidRPr="00B80F3A" w:rsidRDefault="001218A8" w:rsidP="00B80F3A">
            <w:pPr>
              <w:ind w:left="0"/>
              <w:jc w:val="center"/>
              <w:rPr>
                <w:b/>
                <w:sz w:val="18"/>
                <w:szCs w:val="18"/>
              </w:rPr>
            </w:pPr>
            <w:r w:rsidRPr="001218A8">
              <w:rPr>
                <w:b/>
                <w:sz w:val="18"/>
                <w:szCs w:val="18"/>
              </w:rPr>
              <w:t>Cieľová hodnota</w:t>
            </w:r>
          </w:p>
        </w:tc>
        <w:tc>
          <w:tcPr>
            <w:tcW w:w="840" w:type="dxa"/>
            <w:shd w:val="clear" w:color="auto" w:fill="C6D9F1" w:themeFill="text2" w:themeFillTint="33"/>
            <w:vAlign w:val="center"/>
          </w:tcPr>
          <w:p w14:paraId="6294725E" w14:textId="77777777" w:rsidR="00B80F3A" w:rsidRPr="00B80F3A" w:rsidRDefault="001218A8" w:rsidP="00B80F3A">
            <w:pPr>
              <w:ind w:left="0"/>
              <w:jc w:val="center"/>
              <w:rPr>
                <w:b/>
                <w:sz w:val="18"/>
                <w:szCs w:val="18"/>
              </w:rPr>
            </w:pPr>
            <w:r w:rsidRPr="001218A8">
              <w:rPr>
                <w:b/>
                <w:sz w:val="18"/>
                <w:szCs w:val="18"/>
              </w:rPr>
              <w:t>Zdroj údajov</w:t>
            </w:r>
          </w:p>
        </w:tc>
        <w:tc>
          <w:tcPr>
            <w:tcW w:w="1204" w:type="dxa"/>
            <w:shd w:val="clear" w:color="auto" w:fill="C6D9F1" w:themeFill="text2" w:themeFillTint="33"/>
            <w:vAlign w:val="center"/>
          </w:tcPr>
          <w:p w14:paraId="73F45BA2" w14:textId="77777777" w:rsidR="00B80F3A" w:rsidRPr="00B80F3A" w:rsidRDefault="001218A8" w:rsidP="00B80F3A">
            <w:pPr>
              <w:ind w:left="0"/>
              <w:jc w:val="center"/>
              <w:rPr>
                <w:b/>
                <w:sz w:val="18"/>
                <w:szCs w:val="18"/>
              </w:rPr>
            </w:pPr>
            <w:r w:rsidRPr="001218A8">
              <w:rPr>
                <w:b/>
                <w:sz w:val="18"/>
                <w:szCs w:val="18"/>
              </w:rPr>
              <w:t>Interval vykazovania</w:t>
            </w:r>
          </w:p>
        </w:tc>
      </w:tr>
      <w:tr w:rsidR="00B80F3A" w:rsidRPr="008354B1" w14:paraId="562CADAB" w14:textId="77777777" w:rsidTr="00B80F3A">
        <w:trPr>
          <w:cantSplit/>
          <w:trHeight w:val="340"/>
        </w:trPr>
        <w:tc>
          <w:tcPr>
            <w:tcW w:w="542" w:type="dxa"/>
            <w:vAlign w:val="center"/>
          </w:tcPr>
          <w:p w14:paraId="55EF171D" w14:textId="77777777" w:rsidR="00B80F3A" w:rsidRPr="00D51947" w:rsidRDefault="00B80F3A" w:rsidP="00B80F3A">
            <w:pPr>
              <w:ind w:left="0"/>
              <w:rPr>
                <w:sz w:val="18"/>
                <w:szCs w:val="18"/>
              </w:rPr>
            </w:pPr>
            <w:r w:rsidRPr="00D51947">
              <w:rPr>
                <w:sz w:val="18"/>
                <w:szCs w:val="18"/>
              </w:rPr>
              <w:lastRenderedPageBreak/>
              <w:t>1.</w:t>
            </w:r>
          </w:p>
        </w:tc>
        <w:tc>
          <w:tcPr>
            <w:tcW w:w="1848" w:type="dxa"/>
            <w:vAlign w:val="center"/>
          </w:tcPr>
          <w:p w14:paraId="50568A01" w14:textId="77777777" w:rsidR="00B80F3A" w:rsidRPr="00E06002" w:rsidRDefault="00B80F3A" w:rsidP="00B80F3A">
            <w:pPr>
              <w:ind w:left="0"/>
              <w:rPr>
                <w:sz w:val="18"/>
                <w:szCs w:val="18"/>
              </w:rPr>
            </w:pPr>
            <w:r w:rsidRPr="00E06002">
              <w:rPr>
                <w:sz w:val="18"/>
                <w:szCs w:val="18"/>
              </w:rPr>
              <w:t>Percento znevýhodnených jednotlivcov používajúcich internet</w:t>
            </w:r>
          </w:p>
        </w:tc>
        <w:tc>
          <w:tcPr>
            <w:tcW w:w="910" w:type="dxa"/>
            <w:vAlign w:val="center"/>
          </w:tcPr>
          <w:p w14:paraId="22F91ED5" w14:textId="77777777" w:rsidR="00B80F3A" w:rsidRPr="00BA6FCB" w:rsidRDefault="00B80F3A" w:rsidP="00B80F3A">
            <w:pPr>
              <w:ind w:left="0"/>
              <w:jc w:val="center"/>
              <w:rPr>
                <w:b/>
                <w:bCs/>
                <w:sz w:val="18"/>
                <w:szCs w:val="18"/>
              </w:rPr>
            </w:pPr>
            <w:r w:rsidRPr="00F22395">
              <w:rPr>
                <w:sz w:val="18"/>
                <w:szCs w:val="18"/>
              </w:rPr>
              <w:t>%</w:t>
            </w:r>
          </w:p>
        </w:tc>
        <w:tc>
          <w:tcPr>
            <w:tcW w:w="994" w:type="dxa"/>
            <w:vAlign w:val="center"/>
          </w:tcPr>
          <w:p w14:paraId="4A209C62" w14:textId="77777777" w:rsidR="00B80F3A" w:rsidRPr="00D51947" w:rsidRDefault="00B80F3A" w:rsidP="00B80F3A">
            <w:pPr>
              <w:ind w:left="0"/>
              <w:jc w:val="center"/>
              <w:rPr>
                <w:sz w:val="18"/>
                <w:szCs w:val="18"/>
              </w:rPr>
            </w:pPr>
            <w:r w:rsidRPr="006B6BE8">
              <w:rPr>
                <w:sz w:val="18"/>
                <w:szCs w:val="18"/>
              </w:rPr>
              <w:t>Menej rozvinuté regióny</w:t>
            </w:r>
          </w:p>
        </w:tc>
        <w:tc>
          <w:tcPr>
            <w:tcW w:w="1330" w:type="dxa"/>
            <w:vAlign w:val="center"/>
          </w:tcPr>
          <w:p w14:paraId="601C2E9F" w14:textId="77777777" w:rsidR="00B80F3A" w:rsidRPr="00E06002" w:rsidRDefault="00B80F3A" w:rsidP="00B80F3A">
            <w:pPr>
              <w:ind w:left="0"/>
              <w:jc w:val="center"/>
              <w:rPr>
                <w:sz w:val="18"/>
                <w:szCs w:val="18"/>
              </w:rPr>
            </w:pPr>
            <w:r w:rsidRPr="00E06002">
              <w:rPr>
                <w:sz w:val="18"/>
                <w:szCs w:val="18"/>
              </w:rPr>
              <w:t>52,8</w:t>
            </w:r>
          </w:p>
        </w:tc>
        <w:tc>
          <w:tcPr>
            <w:tcW w:w="1301" w:type="dxa"/>
            <w:vAlign w:val="center"/>
          </w:tcPr>
          <w:p w14:paraId="34356D7E" w14:textId="77777777" w:rsidR="00B80F3A" w:rsidRPr="00F22395" w:rsidRDefault="00B80F3A" w:rsidP="00B80F3A">
            <w:pPr>
              <w:ind w:left="0"/>
              <w:jc w:val="center"/>
              <w:rPr>
                <w:sz w:val="18"/>
                <w:szCs w:val="18"/>
              </w:rPr>
            </w:pPr>
            <w:r w:rsidRPr="00F22395">
              <w:rPr>
                <w:sz w:val="18"/>
                <w:szCs w:val="18"/>
              </w:rPr>
              <w:t>2012</w:t>
            </w:r>
          </w:p>
        </w:tc>
        <w:tc>
          <w:tcPr>
            <w:tcW w:w="896" w:type="dxa"/>
            <w:vAlign w:val="center"/>
          </w:tcPr>
          <w:p w14:paraId="00B64B8D" w14:textId="77777777" w:rsidR="00B80F3A" w:rsidRPr="00BA6FCB" w:rsidRDefault="00B80F3A" w:rsidP="00B80F3A">
            <w:pPr>
              <w:ind w:left="0"/>
              <w:jc w:val="center"/>
              <w:rPr>
                <w:sz w:val="18"/>
                <w:szCs w:val="18"/>
              </w:rPr>
            </w:pPr>
            <w:r w:rsidRPr="00BA6FCB">
              <w:rPr>
                <w:sz w:val="18"/>
                <w:szCs w:val="18"/>
              </w:rPr>
              <w:t>70</w:t>
            </w:r>
          </w:p>
        </w:tc>
        <w:tc>
          <w:tcPr>
            <w:tcW w:w="840" w:type="dxa"/>
            <w:vAlign w:val="center"/>
          </w:tcPr>
          <w:p w14:paraId="6C7D0C5A" w14:textId="77777777" w:rsidR="00B80F3A" w:rsidRPr="00D46C46" w:rsidRDefault="00B80F3A" w:rsidP="00B80F3A">
            <w:pPr>
              <w:ind w:left="0"/>
              <w:jc w:val="center"/>
              <w:rPr>
                <w:sz w:val="18"/>
                <w:szCs w:val="18"/>
              </w:rPr>
            </w:pPr>
            <w:r>
              <w:rPr>
                <w:sz w:val="18"/>
                <w:szCs w:val="18"/>
              </w:rPr>
              <w:t>Eurostat</w:t>
            </w:r>
          </w:p>
        </w:tc>
        <w:tc>
          <w:tcPr>
            <w:tcW w:w="1204" w:type="dxa"/>
            <w:vAlign w:val="center"/>
          </w:tcPr>
          <w:p w14:paraId="144FD861" w14:textId="77777777" w:rsidR="00B80F3A" w:rsidRPr="00D46C46" w:rsidRDefault="00B80F3A" w:rsidP="00B80F3A">
            <w:pPr>
              <w:ind w:left="0"/>
              <w:jc w:val="center"/>
              <w:rPr>
                <w:sz w:val="18"/>
                <w:szCs w:val="18"/>
              </w:rPr>
            </w:pPr>
            <w:r w:rsidRPr="00D46C46">
              <w:rPr>
                <w:sz w:val="18"/>
                <w:szCs w:val="18"/>
              </w:rPr>
              <w:t>Ročne</w:t>
            </w:r>
          </w:p>
        </w:tc>
      </w:tr>
    </w:tbl>
    <w:p w14:paraId="788A5B61" w14:textId="77777777" w:rsidR="00E92F9B" w:rsidRDefault="00E92F9B">
      <w:pPr>
        <w:keepNext/>
        <w:tabs>
          <w:tab w:val="left" w:pos="709"/>
        </w:tabs>
        <w:spacing w:after="120"/>
        <w:ind w:left="709"/>
        <w:outlineLvl w:val="2"/>
        <w:rPr>
          <w:rFonts w:ascii="Arial Narrow" w:hAnsi="Arial Narrow" w:cs="Arial"/>
          <w:b/>
          <w:bCs/>
          <w:color w:val="1F497D" w:themeColor="text2"/>
          <w:sz w:val="22"/>
          <w:szCs w:val="26"/>
        </w:rPr>
      </w:pPr>
    </w:p>
    <w:p w14:paraId="6EE09272" w14:textId="77777777"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7: </w:t>
      </w:r>
      <w:r w:rsidR="001218A8" w:rsidRPr="001218A8">
        <w:rPr>
          <w:b/>
          <w:i/>
        </w:rPr>
        <w:t>Umožnenie modernizácie a racionalizácie verejnej správy IKT prostriedkami</w:t>
      </w:r>
    </w:p>
    <w:p w14:paraId="385F0325"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3008734A" w14:textId="77777777" w:rsidR="00B80F3A" w:rsidRPr="00A31E37" w:rsidRDefault="00B80F3A" w:rsidP="00B80F3A">
      <w:pPr>
        <w:spacing w:before="120" w:after="60"/>
        <w:jc w:val="both"/>
        <w:rPr>
          <w:sz w:val="22"/>
          <w:szCs w:val="20"/>
          <w:lang w:eastAsia="en-US"/>
        </w:rPr>
      </w:pPr>
      <w:r w:rsidRPr="00A31E37">
        <w:rPr>
          <w:sz w:val="22"/>
          <w:szCs w:val="20"/>
          <w:lang w:eastAsia="en-US"/>
        </w:rPr>
        <w:t>V období 2007 až 2013 bola informatizácia verejnej správy takmer výlučne zameraná na služby občano</w:t>
      </w:r>
      <w:r>
        <w:rPr>
          <w:sz w:val="22"/>
          <w:szCs w:val="20"/>
          <w:lang w:eastAsia="en-US"/>
        </w:rPr>
        <w:t xml:space="preserve">m a podnikateľom </w:t>
      </w:r>
      <w:r w:rsidRPr="00A31E37">
        <w:rPr>
          <w:sz w:val="22"/>
          <w:szCs w:val="20"/>
          <w:lang w:eastAsia="en-US"/>
        </w:rPr>
        <w:t>a elektronizáciu príslušnej agendy a jej procesov. Efektivitu fungovania verejnej správy však výrazne ovplyvňuje aj spôsob vykonávania podporných činností. Tie z pohľadu informatizácie ostávali nepovšimnuté. Výsledkom je, že každá inštitúcia si rieši podporné činnosti vlastným spôsobom, vyskytujú sa časté duplicity a neexistuje konzis</w:t>
      </w:r>
      <w:r w:rsidR="00EF1ECD">
        <w:rPr>
          <w:sz w:val="22"/>
          <w:szCs w:val="20"/>
          <w:lang w:eastAsia="en-US"/>
        </w:rPr>
        <w:t>tencia. Vzniká tak úzke hrdlo a </w:t>
      </w:r>
      <w:r w:rsidRPr="00A31E37">
        <w:rPr>
          <w:sz w:val="22"/>
          <w:szCs w:val="20"/>
          <w:lang w:eastAsia="en-US"/>
        </w:rPr>
        <w:t xml:space="preserve">pre ďalšiu modernizáciu verejnej správy je potrebné jeho odstránenie systematickým úsilím. </w:t>
      </w:r>
    </w:p>
    <w:p w14:paraId="4F3BB759" w14:textId="77777777" w:rsidR="00B80F3A" w:rsidRPr="00A31E37" w:rsidRDefault="00B80F3A" w:rsidP="00B80F3A">
      <w:pPr>
        <w:spacing w:before="120" w:after="60"/>
        <w:jc w:val="both"/>
        <w:rPr>
          <w:sz w:val="22"/>
          <w:szCs w:val="20"/>
          <w:lang w:eastAsia="en-US"/>
        </w:rPr>
      </w:pPr>
      <w:r w:rsidRPr="00A31E37">
        <w:rPr>
          <w:sz w:val="22"/>
          <w:szCs w:val="20"/>
          <w:lang w:eastAsia="en-US"/>
        </w:rPr>
        <w:t xml:space="preserve">Z pohľadu agendových informačných systémov verejnej správy je situácia lepšia. Väčšina agend bude do roku 2015 elektronizovaná na úrovni evidencie s dôrazom na možnosť transakčnej elektronickej komunikácie. Agendové informačné systémy verejnej správy vo väčšine prípadov obsahujú istý spôsob reportovacích nástrojov, ich reálne používanie však nie je systematické a nezhromažďuje patričné znalosti. Podobná situácia je v oblasti procesnej integrácie. </w:t>
      </w:r>
    </w:p>
    <w:p w14:paraId="40F5A687" w14:textId="77777777" w:rsidR="00B80F3A" w:rsidRPr="00A31E37" w:rsidRDefault="00B80F3A" w:rsidP="00B80F3A">
      <w:pPr>
        <w:spacing w:before="120" w:after="60"/>
        <w:jc w:val="both"/>
        <w:rPr>
          <w:sz w:val="22"/>
          <w:szCs w:val="20"/>
          <w:lang w:eastAsia="en-US"/>
        </w:rPr>
      </w:pPr>
      <w:r w:rsidRPr="00A31E37">
        <w:rPr>
          <w:sz w:val="22"/>
          <w:szCs w:val="20"/>
          <w:lang w:eastAsia="en-US"/>
        </w:rPr>
        <w:t>Reforma verejnej správy patrí medzi najvýznamnejšie štrukturálne reformy, ktoré na Slovensku prebiehajú. Samotnému rámcu reformy, príslušnej organizačnej, k</w:t>
      </w:r>
      <w:r w:rsidR="007D50EA">
        <w:rPr>
          <w:sz w:val="22"/>
          <w:szCs w:val="20"/>
          <w:lang w:eastAsia="en-US"/>
        </w:rPr>
        <w:t>ompetenčnej a procesnej zmene a </w:t>
      </w:r>
      <w:r w:rsidRPr="00A31E37">
        <w:rPr>
          <w:sz w:val="22"/>
          <w:szCs w:val="20"/>
          <w:lang w:eastAsia="en-US"/>
        </w:rPr>
        <w:t xml:space="preserve">následným legislatívnym požiadavkám sa venuje samostatný operačný program Efektívna verejná správa v gescii Ministerstva vnútra SR. </w:t>
      </w:r>
    </w:p>
    <w:p w14:paraId="2B0250AD" w14:textId="77777777" w:rsidR="00B80F3A" w:rsidRDefault="00B80F3A" w:rsidP="00B80F3A">
      <w:pPr>
        <w:spacing w:before="180"/>
        <w:jc w:val="both"/>
        <w:rPr>
          <w:rFonts w:ascii="Arial Narrow" w:hAnsi="Arial Narrow"/>
          <w:b/>
          <w:i/>
          <w:color w:val="548DD4" w:themeColor="text2" w:themeTint="99"/>
          <w:sz w:val="22"/>
          <w:szCs w:val="22"/>
        </w:rPr>
      </w:pPr>
      <w:r w:rsidRPr="00A31E37">
        <w:rPr>
          <w:sz w:val="22"/>
          <w:szCs w:val="20"/>
          <w:lang w:eastAsia="en-US"/>
        </w:rPr>
        <w:t>Hlavný zámer tohto špecifického cieľa je podporiť túto reformu modernými informačnými technológiami a zároveň umožniť implementáciu najlepších skúsenosti v tejto oblasti. Zavádzanie systémov s optimalizovanými workflow a elektronizovanými úlohami, analytických systémov, systémov pre zdieľanie znalostí, systémov pre manažment kvality a podporných informačných systémov v cloude ako Software as a Service, bude koordinované s ostatnými aktivitami reformy. Časť projektov v rámci tohto špecifického cieľa tak bude priamo implementovať podporu reforme verejnej správy.</w:t>
      </w:r>
    </w:p>
    <w:p w14:paraId="12DDC934"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617C86E3" w14:textId="77777777" w:rsidR="009E0158" w:rsidRDefault="001218A8" w:rsidP="00E27896">
      <w:pPr>
        <w:pStyle w:val="Odsekzoznamu"/>
        <w:numPr>
          <w:ilvl w:val="0"/>
          <w:numId w:val="27"/>
        </w:numPr>
        <w:jc w:val="both"/>
        <w:rPr>
          <w:lang w:eastAsia="cs-CZ"/>
        </w:rPr>
      </w:pPr>
      <w:r w:rsidRPr="001218A8">
        <w:rPr>
          <w:sz w:val="22"/>
          <w:szCs w:val="20"/>
          <w:lang w:eastAsia="cs-CZ"/>
        </w:rPr>
        <w:t>Do kontaktu a procesu obsluhy občanov budú nasadené moderné IKT riešenia;</w:t>
      </w:r>
    </w:p>
    <w:p w14:paraId="014F98BF" w14:textId="77777777" w:rsidR="009E0158" w:rsidRDefault="001218A8" w:rsidP="00E27896">
      <w:pPr>
        <w:pStyle w:val="Odsekzoznamu"/>
        <w:numPr>
          <w:ilvl w:val="0"/>
          <w:numId w:val="27"/>
        </w:numPr>
        <w:jc w:val="both"/>
        <w:rPr>
          <w:lang w:eastAsia="cs-CZ"/>
        </w:rPr>
      </w:pPr>
      <w:r w:rsidRPr="001218A8">
        <w:rPr>
          <w:sz w:val="22"/>
          <w:szCs w:val="20"/>
          <w:lang w:eastAsia="cs-CZ"/>
        </w:rPr>
        <w:t>Zvýši sa spokojnosť občanov s fungovaním verejnej správy;</w:t>
      </w:r>
    </w:p>
    <w:p w14:paraId="65A3888A" w14:textId="77777777" w:rsidR="009E0158" w:rsidRDefault="001218A8" w:rsidP="00E27896">
      <w:pPr>
        <w:pStyle w:val="Odsekzoznamu"/>
        <w:numPr>
          <w:ilvl w:val="0"/>
          <w:numId w:val="27"/>
        </w:numPr>
        <w:jc w:val="both"/>
        <w:rPr>
          <w:lang w:eastAsia="cs-CZ"/>
        </w:rPr>
      </w:pPr>
      <w:r w:rsidRPr="001218A8">
        <w:rPr>
          <w:sz w:val="22"/>
          <w:szCs w:val="20"/>
          <w:lang w:eastAsia="cs-CZ"/>
        </w:rPr>
        <w:t>Znížia sa vynakladané zdroje občanov, podnikateľov a verejnej správy;</w:t>
      </w:r>
    </w:p>
    <w:p w14:paraId="4DB9F5F7" w14:textId="77777777" w:rsidR="009E0158" w:rsidRDefault="001218A8" w:rsidP="00E27896">
      <w:pPr>
        <w:pStyle w:val="Odsekzoznamu"/>
        <w:numPr>
          <w:ilvl w:val="0"/>
          <w:numId w:val="27"/>
        </w:numPr>
        <w:jc w:val="both"/>
        <w:rPr>
          <w:lang w:eastAsia="cs-CZ"/>
        </w:rPr>
      </w:pPr>
      <w:r w:rsidRPr="001218A8">
        <w:rPr>
          <w:sz w:val="22"/>
          <w:szCs w:val="20"/>
          <w:lang w:eastAsia="cs-CZ"/>
        </w:rPr>
        <w:t>Zvýši sa efektivita zamestnancov verejnej správy;</w:t>
      </w:r>
    </w:p>
    <w:p w14:paraId="721DF63E" w14:textId="77777777" w:rsidR="009E0158" w:rsidRDefault="001218A8" w:rsidP="00E27896">
      <w:pPr>
        <w:pStyle w:val="Odsekzoznamu"/>
        <w:numPr>
          <w:ilvl w:val="0"/>
          <w:numId w:val="27"/>
        </w:numPr>
        <w:jc w:val="both"/>
        <w:rPr>
          <w:lang w:eastAsia="cs-CZ"/>
        </w:rPr>
      </w:pPr>
      <w:r w:rsidRPr="001218A8">
        <w:rPr>
          <w:sz w:val="22"/>
          <w:szCs w:val="20"/>
          <w:lang w:eastAsia="cs-CZ"/>
        </w:rPr>
        <w:t>Zvýši sa rýchlosť prijatia rozhodnutia pre konania;</w:t>
      </w:r>
    </w:p>
    <w:p w14:paraId="027CAFD9" w14:textId="77777777" w:rsidR="009E0158" w:rsidRDefault="001218A8" w:rsidP="00E27896">
      <w:pPr>
        <w:pStyle w:val="Odsekzoznamu"/>
        <w:numPr>
          <w:ilvl w:val="0"/>
          <w:numId w:val="27"/>
        </w:numPr>
        <w:jc w:val="both"/>
        <w:rPr>
          <w:lang w:eastAsia="cs-CZ"/>
        </w:rPr>
      </w:pPr>
      <w:r w:rsidRPr="001218A8">
        <w:rPr>
          <w:sz w:val="22"/>
          <w:szCs w:val="20"/>
          <w:lang w:eastAsia="cs-CZ"/>
        </w:rPr>
        <w:t xml:space="preserve">Zoptimalizuje sa vykonávanie podporných činností verejnej správy; </w:t>
      </w:r>
    </w:p>
    <w:p w14:paraId="0472CD1C" w14:textId="77777777" w:rsidR="009E0158" w:rsidRDefault="001218A8" w:rsidP="00E27896">
      <w:pPr>
        <w:pStyle w:val="Odsekzoznamu"/>
        <w:numPr>
          <w:ilvl w:val="0"/>
          <w:numId w:val="27"/>
        </w:numPr>
        <w:jc w:val="both"/>
      </w:pPr>
      <w:r w:rsidRPr="001218A8">
        <w:rPr>
          <w:sz w:val="22"/>
          <w:szCs w:val="20"/>
          <w:lang w:eastAsia="cs-CZ"/>
        </w:rPr>
        <w:t>Štandardizované podporné procesy a back-office verejnej správy bude možné optimálne podporiť centrálnymi informačnými systémami nasadenými v cloude;</w:t>
      </w:r>
    </w:p>
    <w:p w14:paraId="43336445" w14:textId="77777777" w:rsidR="009E0158" w:rsidRDefault="001218A8" w:rsidP="00E27896">
      <w:pPr>
        <w:pStyle w:val="Odsekzoznamu"/>
        <w:numPr>
          <w:ilvl w:val="0"/>
          <w:numId w:val="27"/>
        </w:numPr>
        <w:jc w:val="both"/>
        <w:rPr>
          <w:lang w:eastAsia="cs-CZ"/>
        </w:rPr>
      </w:pPr>
      <w:r w:rsidRPr="001218A8">
        <w:rPr>
          <w:sz w:val="22"/>
          <w:szCs w:val="20"/>
          <w:lang w:eastAsia="cs-CZ"/>
        </w:rPr>
        <w:t>Zvýši sa využívanie dát v procesoch a pri tvorbe politík.</w:t>
      </w:r>
    </w:p>
    <w:p w14:paraId="259A8546" w14:textId="77777777"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7.7</w:t>
      </w:r>
    </w:p>
    <w:tbl>
      <w:tblPr>
        <w:tblStyle w:val="Mriekatabuky"/>
        <w:tblW w:w="9865" w:type="dxa"/>
        <w:tblLayout w:type="fixed"/>
        <w:tblLook w:val="04A0" w:firstRow="1" w:lastRow="0" w:firstColumn="1" w:lastColumn="0" w:noHBand="0" w:noVBand="1"/>
      </w:tblPr>
      <w:tblGrid>
        <w:gridCol w:w="556"/>
        <w:gridCol w:w="1834"/>
        <w:gridCol w:w="924"/>
        <w:gridCol w:w="980"/>
        <w:gridCol w:w="1330"/>
        <w:gridCol w:w="1301"/>
        <w:gridCol w:w="896"/>
        <w:gridCol w:w="854"/>
        <w:gridCol w:w="1190"/>
      </w:tblGrid>
      <w:tr w:rsidR="00582AB1" w:rsidRPr="00A31E37" w14:paraId="3704E7A7" w14:textId="77777777" w:rsidTr="00B83833">
        <w:trPr>
          <w:trHeight w:val="454"/>
        </w:trPr>
        <w:tc>
          <w:tcPr>
            <w:tcW w:w="556" w:type="dxa"/>
            <w:shd w:val="clear" w:color="auto" w:fill="C6D9F1" w:themeFill="text2" w:themeFillTint="33"/>
            <w:vAlign w:val="center"/>
          </w:tcPr>
          <w:p w14:paraId="33F78D4C" w14:textId="77777777" w:rsidR="00582AB1" w:rsidRPr="00582AB1" w:rsidRDefault="00582AB1" w:rsidP="00B83833">
            <w:pPr>
              <w:ind w:left="0"/>
              <w:rPr>
                <w:b/>
                <w:sz w:val="18"/>
                <w:szCs w:val="18"/>
              </w:rPr>
            </w:pPr>
            <w:r>
              <w:rPr>
                <w:b/>
                <w:sz w:val="18"/>
                <w:szCs w:val="18"/>
              </w:rPr>
              <w:t>P.</w:t>
            </w:r>
            <w:r w:rsidR="005A1A06">
              <w:rPr>
                <w:b/>
                <w:sz w:val="18"/>
                <w:szCs w:val="18"/>
              </w:rPr>
              <w:t xml:space="preserve"> </w:t>
            </w:r>
            <w:r>
              <w:rPr>
                <w:b/>
                <w:sz w:val="18"/>
                <w:szCs w:val="18"/>
              </w:rPr>
              <w:t>č.</w:t>
            </w:r>
          </w:p>
        </w:tc>
        <w:tc>
          <w:tcPr>
            <w:tcW w:w="1834" w:type="dxa"/>
            <w:shd w:val="clear" w:color="auto" w:fill="C6D9F1" w:themeFill="text2" w:themeFillTint="33"/>
            <w:vAlign w:val="center"/>
          </w:tcPr>
          <w:p w14:paraId="3AF45F4C" w14:textId="77777777" w:rsidR="00582AB1" w:rsidRPr="00582AB1" w:rsidRDefault="001218A8" w:rsidP="00B83833">
            <w:pPr>
              <w:ind w:left="0"/>
              <w:rPr>
                <w:b/>
                <w:sz w:val="18"/>
                <w:szCs w:val="18"/>
              </w:rPr>
            </w:pPr>
            <w:r w:rsidRPr="001218A8">
              <w:rPr>
                <w:b/>
                <w:sz w:val="18"/>
                <w:szCs w:val="18"/>
              </w:rPr>
              <w:t>Ukazovateľ</w:t>
            </w:r>
          </w:p>
        </w:tc>
        <w:tc>
          <w:tcPr>
            <w:tcW w:w="924" w:type="dxa"/>
            <w:shd w:val="clear" w:color="auto" w:fill="C6D9F1" w:themeFill="text2" w:themeFillTint="33"/>
            <w:vAlign w:val="center"/>
          </w:tcPr>
          <w:p w14:paraId="4BF8B369" w14:textId="77777777" w:rsidR="00582AB1" w:rsidRPr="00582AB1" w:rsidRDefault="001218A8" w:rsidP="00B83833">
            <w:pPr>
              <w:ind w:left="0"/>
              <w:jc w:val="center"/>
              <w:rPr>
                <w:b/>
                <w:sz w:val="18"/>
                <w:szCs w:val="18"/>
              </w:rPr>
            </w:pPr>
            <w:r w:rsidRPr="001218A8">
              <w:rPr>
                <w:b/>
                <w:sz w:val="18"/>
                <w:szCs w:val="18"/>
              </w:rPr>
              <w:t>Merná jednotka</w:t>
            </w:r>
          </w:p>
        </w:tc>
        <w:tc>
          <w:tcPr>
            <w:tcW w:w="980" w:type="dxa"/>
            <w:shd w:val="clear" w:color="auto" w:fill="C6D9F1" w:themeFill="text2" w:themeFillTint="33"/>
            <w:vAlign w:val="center"/>
          </w:tcPr>
          <w:p w14:paraId="1F07A3F4" w14:textId="77777777" w:rsidR="00582AB1" w:rsidRPr="00582AB1" w:rsidRDefault="001218A8" w:rsidP="00B83833">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03299532" w14:textId="77777777" w:rsidR="00582AB1" w:rsidRPr="00582AB1" w:rsidRDefault="001218A8" w:rsidP="00B83833">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6D4D5290" w14:textId="77777777" w:rsidR="00582AB1" w:rsidRPr="00582AB1" w:rsidRDefault="001218A8" w:rsidP="00B83833">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4A654F62" w14:textId="77777777" w:rsidR="00582AB1" w:rsidRPr="00582AB1" w:rsidRDefault="001218A8" w:rsidP="00B83833">
            <w:pPr>
              <w:ind w:left="0"/>
              <w:jc w:val="center"/>
              <w:rPr>
                <w:b/>
                <w:sz w:val="18"/>
                <w:szCs w:val="18"/>
              </w:rPr>
            </w:pPr>
            <w:r w:rsidRPr="001218A8">
              <w:rPr>
                <w:b/>
                <w:sz w:val="18"/>
                <w:szCs w:val="18"/>
              </w:rPr>
              <w:t>Cieľová hodnota</w:t>
            </w:r>
          </w:p>
        </w:tc>
        <w:tc>
          <w:tcPr>
            <w:tcW w:w="854" w:type="dxa"/>
            <w:shd w:val="clear" w:color="auto" w:fill="C6D9F1" w:themeFill="text2" w:themeFillTint="33"/>
            <w:vAlign w:val="center"/>
          </w:tcPr>
          <w:p w14:paraId="2BA330C1" w14:textId="77777777" w:rsidR="00582AB1" w:rsidRPr="00582AB1" w:rsidRDefault="001218A8" w:rsidP="00B83833">
            <w:pPr>
              <w:ind w:left="0"/>
              <w:jc w:val="center"/>
              <w:rPr>
                <w:b/>
                <w:sz w:val="18"/>
                <w:szCs w:val="18"/>
              </w:rPr>
            </w:pPr>
            <w:r w:rsidRPr="001218A8">
              <w:rPr>
                <w:b/>
                <w:sz w:val="18"/>
                <w:szCs w:val="18"/>
              </w:rPr>
              <w:t>Zdroj údajov</w:t>
            </w:r>
          </w:p>
        </w:tc>
        <w:tc>
          <w:tcPr>
            <w:tcW w:w="1190" w:type="dxa"/>
            <w:shd w:val="clear" w:color="auto" w:fill="C6D9F1" w:themeFill="text2" w:themeFillTint="33"/>
            <w:vAlign w:val="center"/>
          </w:tcPr>
          <w:p w14:paraId="2E9220E6" w14:textId="77777777" w:rsidR="00582AB1" w:rsidRPr="00582AB1" w:rsidRDefault="001218A8" w:rsidP="00B83833">
            <w:pPr>
              <w:ind w:left="0"/>
              <w:jc w:val="center"/>
              <w:rPr>
                <w:b/>
                <w:sz w:val="18"/>
                <w:szCs w:val="18"/>
              </w:rPr>
            </w:pPr>
            <w:r w:rsidRPr="001218A8">
              <w:rPr>
                <w:b/>
                <w:sz w:val="18"/>
                <w:szCs w:val="18"/>
              </w:rPr>
              <w:t>Interval vykazovania</w:t>
            </w:r>
          </w:p>
        </w:tc>
      </w:tr>
      <w:tr w:rsidR="00582AB1" w:rsidRPr="00A31E37" w14:paraId="207C919B" w14:textId="77777777" w:rsidTr="00B83833">
        <w:trPr>
          <w:trHeight w:val="340"/>
        </w:trPr>
        <w:tc>
          <w:tcPr>
            <w:tcW w:w="556" w:type="dxa"/>
            <w:vAlign w:val="center"/>
          </w:tcPr>
          <w:p w14:paraId="5237D22D" w14:textId="77777777" w:rsidR="00582AB1" w:rsidRPr="00A31E37" w:rsidRDefault="00582AB1" w:rsidP="00B83833">
            <w:pPr>
              <w:ind w:left="0"/>
              <w:rPr>
                <w:sz w:val="18"/>
                <w:szCs w:val="18"/>
              </w:rPr>
            </w:pPr>
            <w:r w:rsidRPr="00A31E37">
              <w:rPr>
                <w:sz w:val="18"/>
                <w:szCs w:val="18"/>
              </w:rPr>
              <w:t>1.</w:t>
            </w:r>
          </w:p>
        </w:tc>
        <w:tc>
          <w:tcPr>
            <w:tcW w:w="1834" w:type="dxa"/>
            <w:vAlign w:val="center"/>
          </w:tcPr>
          <w:p w14:paraId="4286E063" w14:textId="77777777" w:rsidR="00582AB1" w:rsidRPr="00A31E37" w:rsidRDefault="00544E5F" w:rsidP="00B83833">
            <w:pPr>
              <w:ind w:left="0"/>
              <w:rPr>
                <w:sz w:val="18"/>
                <w:szCs w:val="18"/>
              </w:rPr>
            </w:pPr>
            <w:r>
              <w:rPr>
                <w:sz w:val="18"/>
                <w:szCs w:val="18"/>
              </w:rPr>
              <w:t>Priemerná doba vybavenia podania v rozhodovacej činnosti</w:t>
            </w:r>
          </w:p>
        </w:tc>
        <w:tc>
          <w:tcPr>
            <w:tcW w:w="924" w:type="dxa"/>
            <w:vAlign w:val="center"/>
          </w:tcPr>
          <w:p w14:paraId="4B5B2036" w14:textId="77777777" w:rsidR="00582AB1" w:rsidRPr="00A31E37" w:rsidRDefault="00544E5F" w:rsidP="00B83833">
            <w:pPr>
              <w:ind w:left="0"/>
              <w:jc w:val="center"/>
              <w:rPr>
                <w:sz w:val="18"/>
                <w:szCs w:val="18"/>
              </w:rPr>
            </w:pPr>
            <w:r>
              <w:rPr>
                <w:sz w:val="18"/>
                <w:szCs w:val="18"/>
              </w:rPr>
              <w:t>%</w:t>
            </w:r>
          </w:p>
        </w:tc>
        <w:tc>
          <w:tcPr>
            <w:tcW w:w="980" w:type="dxa"/>
            <w:vAlign w:val="center"/>
          </w:tcPr>
          <w:p w14:paraId="01EFA731" w14:textId="77777777" w:rsidR="00582AB1" w:rsidRPr="00A31E37" w:rsidRDefault="00582AB1" w:rsidP="00B83833">
            <w:pPr>
              <w:ind w:left="0"/>
              <w:jc w:val="center"/>
              <w:rPr>
                <w:sz w:val="18"/>
                <w:szCs w:val="18"/>
              </w:rPr>
            </w:pPr>
            <w:r w:rsidRPr="00A31E37">
              <w:rPr>
                <w:sz w:val="18"/>
                <w:szCs w:val="18"/>
              </w:rPr>
              <w:t>Menej rozvinuté regióny</w:t>
            </w:r>
          </w:p>
        </w:tc>
        <w:tc>
          <w:tcPr>
            <w:tcW w:w="1330" w:type="dxa"/>
            <w:vAlign w:val="center"/>
          </w:tcPr>
          <w:p w14:paraId="61EDA1AB" w14:textId="77777777" w:rsidR="00582AB1" w:rsidRPr="00A31E37" w:rsidRDefault="00544E5F" w:rsidP="00B83833">
            <w:pPr>
              <w:ind w:left="0"/>
              <w:jc w:val="center"/>
              <w:rPr>
                <w:sz w:val="18"/>
                <w:szCs w:val="18"/>
              </w:rPr>
            </w:pPr>
            <w:r>
              <w:rPr>
                <w:sz w:val="18"/>
                <w:szCs w:val="18"/>
              </w:rPr>
              <w:t>100</w:t>
            </w:r>
          </w:p>
        </w:tc>
        <w:tc>
          <w:tcPr>
            <w:tcW w:w="1301" w:type="dxa"/>
            <w:vAlign w:val="center"/>
          </w:tcPr>
          <w:p w14:paraId="74601707" w14:textId="77777777" w:rsidR="00582AB1" w:rsidRPr="00A31E37" w:rsidRDefault="00582AB1" w:rsidP="00B83833">
            <w:pPr>
              <w:ind w:left="0"/>
              <w:jc w:val="center"/>
              <w:rPr>
                <w:sz w:val="18"/>
                <w:szCs w:val="18"/>
              </w:rPr>
            </w:pPr>
            <w:r w:rsidRPr="00A31E37">
              <w:rPr>
                <w:sz w:val="18"/>
                <w:szCs w:val="18"/>
              </w:rPr>
              <w:t>2013</w:t>
            </w:r>
          </w:p>
        </w:tc>
        <w:tc>
          <w:tcPr>
            <w:tcW w:w="896" w:type="dxa"/>
            <w:vAlign w:val="center"/>
          </w:tcPr>
          <w:p w14:paraId="25606CB1" w14:textId="77777777" w:rsidR="00582AB1" w:rsidRPr="00A31E37" w:rsidRDefault="00544E5F" w:rsidP="00B83833">
            <w:pPr>
              <w:ind w:left="0"/>
              <w:jc w:val="center"/>
              <w:rPr>
                <w:sz w:val="18"/>
                <w:szCs w:val="18"/>
              </w:rPr>
            </w:pPr>
            <w:r>
              <w:rPr>
                <w:sz w:val="18"/>
                <w:szCs w:val="18"/>
              </w:rPr>
              <w:t>7</w:t>
            </w:r>
            <w:r w:rsidR="00582AB1" w:rsidRPr="00A31E37">
              <w:rPr>
                <w:sz w:val="18"/>
                <w:szCs w:val="18"/>
              </w:rPr>
              <w:t>0</w:t>
            </w:r>
          </w:p>
        </w:tc>
        <w:tc>
          <w:tcPr>
            <w:tcW w:w="854" w:type="dxa"/>
            <w:vAlign w:val="center"/>
          </w:tcPr>
          <w:p w14:paraId="7F369398" w14:textId="77777777" w:rsidR="00582AB1" w:rsidRPr="00A31E37" w:rsidRDefault="00582AB1" w:rsidP="00B83833">
            <w:pPr>
              <w:ind w:left="0"/>
              <w:jc w:val="center"/>
              <w:rPr>
                <w:sz w:val="18"/>
                <w:szCs w:val="18"/>
              </w:rPr>
            </w:pPr>
            <w:r w:rsidRPr="00A31E37">
              <w:rPr>
                <w:sz w:val="18"/>
                <w:szCs w:val="18"/>
              </w:rPr>
              <w:t>SORO</w:t>
            </w:r>
          </w:p>
        </w:tc>
        <w:tc>
          <w:tcPr>
            <w:tcW w:w="1190" w:type="dxa"/>
            <w:vAlign w:val="center"/>
          </w:tcPr>
          <w:p w14:paraId="6BC9317E" w14:textId="77777777" w:rsidR="00582AB1" w:rsidRPr="00A31E37" w:rsidRDefault="00582AB1" w:rsidP="00B83833">
            <w:pPr>
              <w:ind w:left="0"/>
              <w:jc w:val="center"/>
              <w:rPr>
                <w:sz w:val="18"/>
                <w:szCs w:val="18"/>
              </w:rPr>
            </w:pPr>
            <w:r w:rsidRPr="00A31E37">
              <w:rPr>
                <w:sz w:val="18"/>
                <w:szCs w:val="18"/>
              </w:rPr>
              <w:t>Ročne</w:t>
            </w:r>
          </w:p>
        </w:tc>
      </w:tr>
    </w:tbl>
    <w:p w14:paraId="65EAB143" w14:textId="77777777" w:rsidR="00E92F9B" w:rsidRDefault="00E92F9B">
      <w:pPr>
        <w:keepNext/>
        <w:tabs>
          <w:tab w:val="left" w:pos="709"/>
        </w:tabs>
        <w:spacing w:after="120"/>
        <w:ind w:left="709"/>
        <w:outlineLvl w:val="2"/>
        <w:rPr>
          <w:rFonts w:ascii="Arial Narrow" w:hAnsi="Arial Narrow" w:cs="Arial"/>
          <w:b/>
          <w:bCs/>
          <w:color w:val="1F497D" w:themeColor="text2"/>
          <w:sz w:val="22"/>
          <w:szCs w:val="26"/>
        </w:rPr>
      </w:pPr>
    </w:p>
    <w:p w14:paraId="779F3BE4" w14:textId="77777777" w:rsidR="00582AB1" w:rsidRPr="00582AB1" w:rsidRDefault="00582AB1" w:rsidP="002E1021">
      <w:pPr>
        <w:shd w:val="clear" w:color="auto" w:fill="FFFFCC"/>
        <w:jc w:val="both"/>
        <w:rPr>
          <w:b/>
          <w:i/>
        </w:rPr>
      </w:pPr>
      <w:r w:rsidRPr="007F1C63">
        <w:rPr>
          <w:i/>
        </w:rPr>
        <w:t xml:space="preserve">ŠPECIFICKÝ CIEĽ </w:t>
      </w:r>
      <w:r>
        <w:rPr>
          <w:i/>
        </w:rPr>
        <w:t>7</w:t>
      </w:r>
      <w:r w:rsidRPr="007F1C63">
        <w:rPr>
          <w:i/>
        </w:rPr>
        <w:t>.</w:t>
      </w:r>
      <w:r>
        <w:rPr>
          <w:i/>
        </w:rPr>
        <w:t xml:space="preserve">8: </w:t>
      </w:r>
      <w:r w:rsidR="001218A8" w:rsidRPr="001218A8">
        <w:rPr>
          <w:b/>
          <w:i/>
        </w:rPr>
        <w:t>Racionalizácia prevádzky informačných systémov pomocou eGovernment cloudu</w:t>
      </w:r>
    </w:p>
    <w:p w14:paraId="32C990E4" w14:textId="77777777" w:rsidR="00582AB1" w:rsidRDefault="00582AB1" w:rsidP="00582AB1">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lastRenderedPageBreak/>
        <w:t>Opis východiskovej situácie</w:t>
      </w:r>
    </w:p>
    <w:p w14:paraId="79C8466D" w14:textId="77777777" w:rsidR="00582AB1" w:rsidRPr="00A31E37" w:rsidRDefault="00582AB1" w:rsidP="00582AB1">
      <w:pPr>
        <w:spacing w:before="120" w:after="60"/>
        <w:jc w:val="both"/>
        <w:rPr>
          <w:sz w:val="22"/>
          <w:szCs w:val="20"/>
          <w:lang w:eastAsia="en-US"/>
        </w:rPr>
      </w:pPr>
      <w:r w:rsidRPr="00A31E37">
        <w:rPr>
          <w:sz w:val="22"/>
          <w:szCs w:val="20"/>
          <w:lang w:eastAsia="en-US"/>
        </w:rPr>
        <w:t>K problematickejším aspektom informatizácie na Slovensku patrí oblasť IKT infraštruktúry, ktorú si doteraz každá inštitúcia budovala svojim spôsobom. Prevádzkové náklady informačných systémov verejnej správy vytvárajú tlak na rozpočet a </w:t>
      </w:r>
      <w:r>
        <w:rPr>
          <w:sz w:val="22"/>
          <w:szCs w:val="20"/>
          <w:lang w:eastAsia="en-US"/>
        </w:rPr>
        <w:t>je potrebné</w:t>
      </w:r>
      <w:r w:rsidRPr="00A31E37">
        <w:rPr>
          <w:sz w:val="22"/>
          <w:szCs w:val="20"/>
          <w:lang w:eastAsia="en-US"/>
        </w:rPr>
        <w:t xml:space="preserve"> riešiť tento problém systematicky. Cieľom je, aby sa IKT infraštruktúra verejnej správy transformovala do podoby zdieľaných služieb na všetkých úrovniach.</w:t>
      </w:r>
    </w:p>
    <w:p w14:paraId="1342CE5E" w14:textId="77777777" w:rsidR="00582AB1" w:rsidRPr="00A31E37" w:rsidRDefault="00582AB1" w:rsidP="00582AB1">
      <w:pPr>
        <w:spacing w:before="120" w:after="60"/>
        <w:jc w:val="both"/>
        <w:rPr>
          <w:sz w:val="22"/>
          <w:szCs w:val="20"/>
          <w:lang w:eastAsia="en-US"/>
        </w:rPr>
      </w:pPr>
      <w:r w:rsidRPr="00A31E37">
        <w:rPr>
          <w:sz w:val="22"/>
          <w:szCs w:val="20"/>
          <w:lang w:eastAsia="en-US"/>
        </w:rPr>
        <w:t>Ide o zásadnú koncepčnú zmenu v spôsobe fungovania prevádzky IKT infraštruktúry verejnej správy. Základnou charakteristikou bude budovanie eGovernment cloudu formou privátneho cloudu, založeného na vybraných inštitúciách verejnej správy so skúsenosťami a istou úrovňou dátových centier.</w:t>
      </w:r>
    </w:p>
    <w:p w14:paraId="04F3AEEA" w14:textId="77777777" w:rsidR="00582AB1" w:rsidRPr="00A31E37" w:rsidRDefault="00582AB1" w:rsidP="00582AB1">
      <w:pPr>
        <w:spacing w:before="120" w:after="60"/>
        <w:jc w:val="both"/>
        <w:rPr>
          <w:sz w:val="22"/>
          <w:szCs w:val="20"/>
          <w:lang w:eastAsia="en-US"/>
        </w:rPr>
      </w:pPr>
      <w:r w:rsidRPr="00A31E37">
        <w:rPr>
          <w:sz w:val="22"/>
          <w:szCs w:val="20"/>
          <w:lang w:eastAsia="en-US"/>
        </w:rPr>
        <w:t>Zámerom je taktiež poskytovať všetky formy cloudových služieb – infraštruktúra, platforma a softvér formou služby, pričom pre zjednodušenie využívania týchto služ</w:t>
      </w:r>
      <w:r w:rsidR="007D50EA">
        <w:rPr>
          <w:sz w:val="22"/>
          <w:szCs w:val="20"/>
          <w:lang w:eastAsia="en-US"/>
        </w:rPr>
        <w:t>ieb ich budú mať používatelia k </w:t>
      </w:r>
      <w:r w:rsidRPr="00A31E37">
        <w:rPr>
          <w:sz w:val="22"/>
          <w:szCs w:val="20"/>
          <w:lang w:eastAsia="en-US"/>
        </w:rPr>
        <w:t>dispozícii vo forme katalógu služieb. Pôjde aj o služby ako centrálne verejné obstarávanie, či správa informačných technológií (PC, tlačiarne, mail, prístup na internet a podobne).</w:t>
      </w:r>
    </w:p>
    <w:p w14:paraId="1389F46B" w14:textId="77777777" w:rsidR="00582AB1" w:rsidRPr="00A31E37" w:rsidRDefault="00582AB1" w:rsidP="00582AB1">
      <w:pPr>
        <w:spacing w:before="120" w:after="60"/>
        <w:jc w:val="both"/>
        <w:rPr>
          <w:sz w:val="22"/>
          <w:szCs w:val="20"/>
          <w:lang w:eastAsia="en-US"/>
        </w:rPr>
      </w:pPr>
      <w:r w:rsidRPr="00A31E37">
        <w:rPr>
          <w:sz w:val="22"/>
          <w:szCs w:val="20"/>
          <w:lang w:eastAsia="en-US"/>
        </w:rPr>
        <w:t>Informačné systémy, ktoré vzniknú v rámci nových projektov budú realizované v rámci platformy eGovernment cloudu (pravidlo cloud only). Vecnú pôsobnosť eGovernment cloudu možno nájsť v Strategickom dokumente pre oblasť rastu digitálnych služieb a oblasť infraštruktúry prístupovej siete novej generácie (2014 – 2020) v kapitole 7.4.3.</w:t>
      </w:r>
      <w:r w:rsidRPr="00A31E37">
        <w:rPr>
          <w:sz w:val="22"/>
          <w:szCs w:val="20"/>
          <w:vertAlign w:val="superscript"/>
          <w:lang w:eastAsia="en-US"/>
        </w:rPr>
        <w:footnoteReference w:id="75"/>
      </w:r>
    </w:p>
    <w:p w14:paraId="2E726332" w14:textId="77777777" w:rsidR="00582AB1" w:rsidRDefault="00582AB1" w:rsidP="00582AB1">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75544316" w14:textId="77777777" w:rsidR="009E0158" w:rsidRDefault="001218A8" w:rsidP="00E27896">
      <w:pPr>
        <w:pStyle w:val="Odsekzoznamu"/>
        <w:numPr>
          <w:ilvl w:val="0"/>
          <w:numId w:val="27"/>
        </w:numPr>
        <w:jc w:val="both"/>
      </w:pPr>
      <w:r w:rsidRPr="001218A8">
        <w:rPr>
          <w:sz w:val="22"/>
          <w:szCs w:val="20"/>
          <w:lang w:eastAsia="cs-CZ"/>
        </w:rPr>
        <w:t>Zvýšenie efektivity vynaložených zdrojov (čas a financie) verejnej správy na obstarávanie, nasadzovanie a prevádzku IKT riešení – zámerom je znížiť celkové náklady na vlastníctvo ISVS minimálne o 10 percent oproti súčasnej východiskovej hodnote. V prípade, že by aktivity neboli realizované</w:t>
      </w:r>
      <w:r w:rsidR="004D2BC1">
        <w:rPr>
          <w:sz w:val="22"/>
          <w:szCs w:val="20"/>
          <w:lang w:eastAsia="cs-CZ"/>
        </w:rPr>
        <w:t>,</w:t>
      </w:r>
      <w:r w:rsidRPr="001218A8">
        <w:rPr>
          <w:sz w:val="22"/>
          <w:szCs w:val="20"/>
          <w:lang w:eastAsia="cs-CZ"/>
        </w:rPr>
        <w:t xml:space="preserve"> bez intervencie by sa náklady navýšili aspoň o 50 </w:t>
      </w:r>
      <w:r w:rsidR="007D50EA">
        <w:rPr>
          <w:sz w:val="22"/>
          <w:szCs w:val="20"/>
          <w:lang w:eastAsia="cs-CZ"/>
        </w:rPr>
        <w:t>%</w:t>
      </w:r>
      <w:r w:rsidRPr="001218A8">
        <w:rPr>
          <w:sz w:val="22"/>
          <w:szCs w:val="20"/>
          <w:lang w:eastAsia="cs-CZ"/>
        </w:rPr>
        <w:t>;</w:t>
      </w:r>
    </w:p>
    <w:p w14:paraId="3C9E9F99" w14:textId="77777777" w:rsidR="009E0158" w:rsidRDefault="001218A8" w:rsidP="00E27896">
      <w:pPr>
        <w:pStyle w:val="Odsekzoznamu"/>
        <w:numPr>
          <w:ilvl w:val="0"/>
          <w:numId w:val="27"/>
        </w:numPr>
        <w:jc w:val="both"/>
      </w:pPr>
      <w:r w:rsidRPr="001218A8">
        <w:rPr>
          <w:sz w:val="22"/>
          <w:szCs w:val="20"/>
          <w:lang w:eastAsia="cs-CZ"/>
        </w:rPr>
        <w:t>Zvýšenie akceptácie cloudových riešení verejným a privátnym sektorom;</w:t>
      </w:r>
    </w:p>
    <w:p w14:paraId="2C5D8D1F" w14:textId="77777777" w:rsidR="009E0158" w:rsidRDefault="001218A8" w:rsidP="00E27896">
      <w:pPr>
        <w:pStyle w:val="Odsekzoznamu"/>
        <w:numPr>
          <w:ilvl w:val="0"/>
          <w:numId w:val="27"/>
        </w:numPr>
        <w:jc w:val="both"/>
      </w:pPr>
      <w:r w:rsidRPr="001218A8">
        <w:rPr>
          <w:sz w:val="22"/>
          <w:szCs w:val="20"/>
          <w:lang w:eastAsia="cs-CZ"/>
        </w:rPr>
        <w:t>Zníženie spotreby elektrickej energie a emisií CO2 dátových centier nasadzovaním zelených informačných a komunikačných technológií.</w:t>
      </w:r>
    </w:p>
    <w:p w14:paraId="1BFB9E41" w14:textId="77777777" w:rsidR="00582AB1" w:rsidRDefault="00BE1DDE" w:rsidP="00582AB1">
      <w:pPr>
        <w:pStyle w:val="Tab"/>
      </w:pPr>
      <w:r>
        <w:t xml:space="preserve">Špecifické </w:t>
      </w:r>
      <w:r w:rsidR="00582AB1" w:rsidRPr="007F1C63">
        <w:t xml:space="preserve">ukazovatele </w:t>
      </w:r>
      <w:r>
        <w:t xml:space="preserve">výsledku programu </w:t>
      </w:r>
      <w:r w:rsidR="00582AB1" w:rsidRPr="007F1C63">
        <w:t>zodpovedajúce špecifickému cieľu</w:t>
      </w:r>
      <w:r w:rsidR="00582AB1">
        <w:t xml:space="preserve"> 7.8</w:t>
      </w:r>
    </w:p>
    <w:tbl>
      <w:tblPr>
        <w:tblStyle w:val="Mriekatabuky"/>
        <w:tblW w:w="9865" w:type="dxa"/>
        <w:tblLayout w:type="fixed"/>
        <w:tblLook w:val="04A0" w:firstRow="1" w:lastRow="0" w:firstColumn="1" w:lastColumn="0" w:noHBand="0" w:noVBand="1"/>
      </w:tblPr>
      <w:tblGrid>
        <w:gridCol w:w="556"/>
        <w:gridCol w:w="1834"/>
        <w:gridCol w:w="910"/>
        <w:gridCol w:w="1008"/>
        <w:gridCol w:w="1316"/>
        <w:gridCol w:w="1301"/>
        <w:gridCol w:w="896"/>
        <w:gridCol w:w="854"/>
        <w:gridCol w:w="1190"/>
      </w:tblGrid>
      <w:tr w:rsidR="00582AB1" w:rsidRPr="00A31E37" w14:paraId="4625F246" w14:textId="77777777" w:rsidTr="00B83833">
        <w:trPr>
          <w:trHeight w:val="454"/>
        </w:trPr>
        <w:tc>
          <w:tcPr>
            <w:tcW w:w="556" w:type="dxa"/>
            <w:shd w:val="clear" w:color="auto" w:fill="C6D9F1" w:themeFill="text2" w:themeFillTint="33"/>
            <w:vAlign w:val="center"/>
          </w:tcPr>
          <w:p w14:paraId="1EF2DBBD" w14:textId="77777777" w:rsidR="00582AB1" w:rsidRPr="00A31E37" w:rsidRDefault="00582AB1" w:rsidP="00B83833">
            <w:pPr>
              <w:ind w:left="0"/>
              <w:rPr>
                <w:b/>
                <w:sz w:val="18"/>
                <w:szCs w:val="18"/>
              </w:rPr>
            </w:pPr>
            <w:r w:rsidRPr="00A31E37">
              <w:rPr>
                <w:b/>
                <w:sz w:val="18"/>
                <w:szCs w:val="18"/>
              </w:rPr>
              <w:t>P. č.</w:t>
            </w:r>
          </w:p>
        </w:tc>
        <w:tc>
          <w:tcPr>
            <w:tcW w:w="1834" w:type="dxa"/>
            <w:shd w:val="clear" w:color="auto" w:fill="C6D9F1" w:themeFill="text2" w:themeFillTint="33"/>
            <w:vAlign w:val="center"/>
          </w:tcPr>
          <w:p w14:paraId="65E49702" w14:textId="77777777" w:rsidR="00582AB1" w:rsidRPr="00A31E37" w:rsidRDefault="00582AB1" w:rsidP="00B83833">
            <w:pPr>
              <w:ind w:left="0"/>
              <w:rPr>
                <w:b/>
                <w:sz w:val="18"/>
                <w:szCs w:val="18"/>
              </w:rPr>
            </w:pPr>
            <w:r w:rsidRPr="00A31E37">
              <w:rPr>
                <w:b/>
                <w:sz w:val="18"/>
                <w:szCs w:val="18"/>
              </w:rPr>
              <w:t>Ukazovateľ</w:t>
            </w:r>
          </w:p>
        </w:tc>
        <w:tc>
          <w:tcPr>
            <w:tcW w:w="910" w:type="dxa"/>
            <w:shd w:val="clear" w:color="auto" w:fill="C6D9F1" w:themeFill="text2" w:themeFillTint="33"/>
            <w:vAlign w:val="center"/>
          </w:tcPr>
          <w:p w14:paraId="0D820E28" w14:textId="77777777" w:rsidR="00582AB1" w:rsidRPr="00A31E37" w:rsidRDefault="00582AB1" w:rsidP="00B83833">
            <w:pPr>
              <w:ind w:left="0"/>
              <w:jc w:val="center"/>
              <w:rPr>
                <w:b/>
                <w:sz w:val="18"/>
                <w:szCs w:val="18"/>
              </w:rPr>
            </w:pPr>
            <w:r w:rsidRPr="00A31E37">
              <w:rPr>
                <w:b/>
                <w:sz w:val="18"/>
                <w:szCs w:val="18"/>
              </w:rPr>
              <w:t>Merná jednotka</w:t>
            </w:r>
          </w:p>
        </w:tc>
        <w:tc>
          <w:tcPr>
            <w:tcW w:w="1008" w:type="dxa"/>
            <w:shd w:val="clear" w:color="auto" w:fill="C6D9F1" w:themeFill="text2" w:themeFillTint="33"/>
            <w:vAlign w:val="center"/>
          </w:tcPr>
          <w:p w14:paraId="5165D39F" w14:textId="77777777" w:rsidR="00582AB1" w:rsidRPr="00A31E37" w:rsidRDefault="00582AB1" w:rsidP="00B83833">
            <w:pPr>
              <w:ind w:left="0"/>
              <w:jc w:val="center"/>
              <w:rPr>
                <w:b/>
                <w:sz w:val="18"/>
                <w:szCs w:val="18"/>
                <w:highlight w:val="yellow"/>
              </w:rPr>
            </w:pPr>
            <w:r w:rsidRPr="00A31E37">
              <w:rPr>
                <w:b/>
                <w:sz w:val="18"/>
                <w:szCs w:val="18"/>
              </w:rPr>
              <w:t>Kategória regiónu</w:t>
            </w:r>
          </w:p>
        </w:tc>
        <w:tc>
          <w:tcPr>
            <w:tcW w:w="1316" w:type="dxa"/>
            <w:shd w:val="clear" w:color="auto" w:fill="C6D9F1" w:themeFill="text2" w:themeFillTint="33"/>
            <w:vAlign w:val="center"/>
          </w:tcPr>
          <w:p w14:paraId="4A74525A" w14:textId="77777777" w:rsidR="00582AB1" w:rsidRPr="00A31E37" w:rsidRDefault="00582AB1" w:rsidP="00B83833">
            <w:pPr>
              <w:ind w:left="0"/>
              <w:jc w:val="center"/>
              <w:rPr>
                <w:b/>
                <w:sz w:val="18"/>
                <w:szCs w:val="18"/>
              </w:rPr>
            </w:pPr>
            <w:r w:rsidRPr="00A31E37">
              <w:rPr>
                <w:b/>
                <w:sz w:val="18"/>
                <w:szCs w:val="18"/>
              </w:rPr>
              <w:t>Východisková hodnota</w:t>
            </w:r>
          </w:p>
        </w:tc>
        <w:tc>
          <w:tcPr>
            <w:tcW w:w="1301" w:type="dxa"/>
            <w:shd w:val="clear" w:color="auto" w:fill="C6D9F1" w:themeFill="text2" w:themeFillTint="33"/>
            <w:vAlign w:val="center"/>
          </w:tcPr>
          <w:p w14:paraId="6B882D7F" w14:textId="77777777" w:rsidR="00582AB1" w:rsidRPr="00A31E37" w:rsidRDefault="00582AB1" w:rsidP="00B83833">
            <w:pPr>
              <w:ind w:left="0"/>
              <w:jc w:val="center"/>
              <w:rPr>
                <w:b/>
                <w:sz w:val="18"/>
                <w:szCs w:val="18"/>
              </w:rPr>
            </w:pPr>
            <w:r w:rsidRPr="00A31E37">
              <w:rPr>
                <w:b/>
                <w:sz w:val="18"/>
                <w:szCs w:val="18"/>
              </w:rPr>
              <w:t>Východiskový rok</w:t>
            </w:r>
          </w:p>
        </w:tc>
        <w:tc>
          <w:tcPr>
            <w:tcW w:w="896" w:type="dxa"/>
            <w:shd w:val="clear" w:color="auto" w:fill="C6D9F1" w:themeFill="text2" w:themeFillTint="33"/>
            <w:vAlign w:val="center"/>
          </w:tcPr>
          <w:p w14:paraId="62464311" w14:textId="77777777" w:rsidR="00582AB1" w:rsidRPr="00A31E37" w:rsidRDefault="00582AB1" w:rsidP="00B83833">
            <w:pPr>
              <w:ind w:left="0"/>
              <w:jc w:val="center"/>
              <w:rPr>
                <w:b/>
                <w:sz w:val="18"/>
                <w:szCs w:val="18"/>
              </w:rPr>
            </w:pPr>
            <w:r w:rsidRPr="00A31E37">
              <w:rPr>
                <w:b/>
                <w:sz w:val="18"/>
                <w:szCs w:val="18"/>
              </w:rPr>
              <w:t>Cieľová hodnota</w:t>
            </w:r>
          </w:p>
        </w:tc>
        <w:tc>
          <w:tcPr>
            <w:tcW w:w="854" w:type="dxa"/>
            <w:shd w:val="clear" w:color="auto" w:fill="C6D9F1" w:themeFill="text2" w:themeFillTint="33"/>
            <w:vAlign w:val="center"/>
          </w:tcPr>
          <w:p w14:paraId="3C87CC9A" w14:textId="77777777" w:rsidR="00582AB1" w:rsidRPr="00A31E37" w:rsidRDefault="00582AB1" w:rsidP="00B83833">
            <w:pPr>
              <w:ind w:left="0"/>
              <w:jc w:val="center"/>
              <w:rPr>
                <w:b/>
                <w:sz w:val="18"/>
                <w:szCs w:val="18"/>
              </w:rPr>
            </w:pPr>
            <w:r w:rsidRPr="00A31E37">
              <w:rPr>
                <w:b/>
                <w:sz w:val="18"/>
                <w:szCs w:val="18"/>
              </w:rPr>
              <w:t>Zdroj údajov</w:t>
            </w:r>
          </w:p>
        </w:tc>
        <w:tc>
          <w:tcPr>
            <w:tcW w:w="1190" w:type="dxa"/>
            <w:shd w:val="clear" w:color="auto" w:fill="C6D9F1" w:themeFill="text2" w:themeFillTint="33"/>
            <w:vAlign w:val="center"/>
          </w:tcPr>
          <w:p w14:paraId="40C0F93A" w14:textId="77777777" w:rsidR="00582AB1" w:rsidRPr="00A31E37" w:rsidRDefault="00582AB1" w:rsidP="00B83833">
            <w:pPr>
              <w:ind w:left="0"/>
              <w:jc w:val="center"/>
              <w:rPr>
                <w:b/>
                <w:sz w:val="18"/>
                <w:szCs w:val="18"/>
              </w:rPr>
            </w:pPr>
            <w:r w:rsidRPr="00A31E37">
              <w:rPr>
                <w:b/>
                <w:sz w:val="18"/>
                <w:szCs w:val="18"/>
              </w:rPr>
              <w:t>Interval vykazovania</w:t>
            </w:r>
          </w:p>
        </w:tc>
      </w:tr>
      <w:tr w:rsidR="00582AB1" w:rsidRPr="00A31E37" w14:paraId="56FA2549" w14:textId="77777777" w:rsidTr="00B83833">
        <w:trPr>
          <w:trHeight w:val="340"/>
        </w:trPr>
        <w:tc>
          <w:tcPr>
            <w:tcW w:w="556" w:type="dxa"/>
            <w:vAlign w:val="center"/>
          </w:tcPr>
          <w:p w14:paraId="38CC36DB" w14:textId="77777777" w:rsidR="00582AB1" w:rsidRPr="00A31E37" w:rsidRDefault="00582AB1" w:rsidP="00B83833">
            <w:pPr>
              <w:ind w:left="0"/>
              <w:rPr>
                <w:sz w:val="18"/>
                <w:szCs w:val="18"/>
              </w:rPr>
            </w:pPr>
            <w:r w:rsidRPr="00A31E37">
              <w:rPr>
                <w:sz w:val="18"/>
                <w:szCs w:val="18"/>
              </w:rPr>
              <w:t>1.</w:t>
            </w:r>
          </w:p>
        </w:tc>
        <w:tc>
          <w:tcPr>
            <w:tcW w:w="1834" w:type="dxa"/>
            <w:vAlign w:val="center"/>
          </w:tcPr>
          <w:p w14:paraId="0D6137B8" w14:textId="77777777" w:rsidR="00582AB1" w:rsidRPr="00A31E37" w:rsidRDefault="00544E5F" w:rsidP="00544E5F">
            <w:pPr>
              <w:ind w:left="0"/>
              <w:rPr>
                <w:sz w:val="18"/>
                <w:szCs w:val="18"/>
              </w:rPr>
            </w:pPr>
            <w:r>
              <w:rPr>
                <w:sz w:val="18"/>
                <w:szCs w:val="18"/>
              </w:rPr>
              <w:t>Celkové náklady na vlastníctvo ISVS</w:t>
            </w:r>
            <w:r>
              <w:rPr>
                <w:sz w:val="18"/>
                <w:szCs w:val="18"/>
              </w:rPr>
              <w:br/>
            </w:r>
          </w:p>
        </w:tc>
        <w:tc>
          <w:tcPr>
            <w:tcW w:w="910" w:type="dxa"/>
            <w:vAlign w:val="center"/>
          </w:tcPr>
          <w:p w14:paraId="65A33E3F" w14:textId="77777777" w:rsidR="00582AB1" w:rsidRPr="00A31E37" w:rsidRDefault="00544E5F" w:rsidP="00B83833">
            <w:pPr>
              <w:ind w:left="0"/>
              <w:jc w:val="center"/>
              <w:rPr>
                <w:sz w:val="18"/>
                <w:szCs w:val="18"/>
              </w:rPr>
            </w:pPr>
            <w:r>
              <w:rPr>
                <w:sz w:val="18"/>
                <w:szCs w:val="18"/>
              </w:rPr>
              <w:t>%</w:t>
            </w:r>
          </w:p>
        </w:tc>
        <w:tc>
          <w:tcPr>
            <w:tcW w:w="1008" w:type="dxa"/>
            <w:vAlign w:val="center"/>
          </w:tcPr>
          <w:p w14:paraId="4297DDC3" w14:textId="77777777" w:rsidR="00582AB1" w:rsidRPr="00A31E37" w:rsidRDefault="00582AB1" w:rsidP="00B83833">
            <w:pPr>
              <w:ind w:left="0"/>
              <w:jc w:val="center"/>
              <w:rPr>
                <w:sz w:val="18"/>
                <w:szCs w:val="18"/>
              </w:rPr>
            </w:pPr>
            <w:r w:rsidRPr="00A31E37">
              <w:rPr>
                <w:sz w:val="18"/>
                <w:szCs w:val="18"/>
              </w:rPr>
              <w:t>Menej rozvinuté regióny</w:t>
            </w:r>
          </w:p>
        </w:tc>
        <w:tc>
          <w:tcPr>
            <w:tcW w:w="1316" w:type="dxa"/>
            <w:vAlign w:val="center"/>
          </w:tcPr>
          <w:p w14:paraId="57236ABD" w14:textId="77777777" w:rsidR="00582AB1" w:rsidRPr="00A31E37" w:rsidRDefault="00544E5F" w:rsidP="00B83833">
            <w:pPr>
              <w:ind w:left="0"/>
              <w:jc w:val="center"/>
              <w:rPr>
                <w:sz w:val="18"/>
                <w:szCs w:val="18"/>
              </w:rPr>
            </w:pPr>
            <w:r>
              <w:rPr>
                <w:sz w:val="18"/>
                <w:szCs w:val="18"/>
              </w:rPr>
              <w:t>100</w:t>
            </w:r>
          </w:p>
        </w:tc>
        <w:tc>
          <w:tcPr>
            <w:tcW w:w="1301" w:type="dxa"/>
            <w:vAlign w:val="center"/>
          </w:tcPr>
          <w:p w14:paraId="04C2B9E4" w14:textId="77777777" w:rsidR="00582AB1" w:rsidRPr="00A31E37" w:rsidRDefault="00582AB1" w:rsidP="00B83833">
            <w:pPr>
              <w:ind w:left="0"/>
              <w:jc w:val="center"/>
              <w:rPr>
                <w:sz w:val="18"/>
                <w:szCs w:val="18"/>
              </w:rPr>
            </w:pPr>
            <w:r w:rsidRPr="00A31E37">
              <w:rPr>
                <w:sz w:val="18"/>
                <w:szCs w:val="18"/>
              </w:rPr>
              <w:t>2013</w:t>
            </w:r>
          </w:p>
        </w:tc>
        <w:tc>
          <w:tcPr>
            <w:tcW w:w="896" w:type="dxa"/>
            <w:vAlign w:val="center"/>
          </w:tcPr>
          <w:p w14:paraId="3D622284" w14:textId="77777777" w:rsidR="00582AB1" w:rsidRPr="00A31E37" w:rsidRDefault="00582AB1" w:rsidP="00B83833">
            <w:pPr>
              <w:ind w:left="0"/>
              <w:jc w:val="center"/>
              <w:rPr>
                <w:sz w:val="18"/>
                <w:szCs w:val="18"/>
              </w:rPr>
            </w:pPr>
            <w:r w:rsidRPr="00A31E37">
              <w:rPr>
                <w:sz w:val="18"/>
                <w:szCs w:val="18"/>
              </w:rPr>
              <w:t>9</w:t>
            </w:r>
            <w:r w:rsidR="00544E5F">
              <w:rPr>
                <w:sz w:val="18"/>
                <w:szCs w:val="18"/>
              </w:rPr>
              <w:t>0</w:t>
            </w:r>
          </w:p>
        </w:tc>
        <w:tc>
          <w:tcPr>
            <w:tcW w:w="854" w:type="dxa"/>
            <w:vAlign w:val="center"/>
          </w:tcPr>
          <w:p w14:paraId="78D2EEC0" w14:textId="77777777" w:rsidR="00582AB1" w:rsidRPr="00A31E37" w:rsidRDefault="00582AB1" w:rsidP="00B83833">
            <w:pPr>
              <w:ind w:left="0"/>
              <w:jc w:val="center"/>
              <w:rPr>
                <w:sz w:val="18"/>
                <w:szCs w:val="18"/>
              </w:rPr>
            </w:pPr>
            <w:r w:rsidRPr="00A31E37">
              <w:rPr>
                <w:sz w:val="18"/>
                <w:szCs w:val="18"/>
              </w:rPr>
              <w:t>SORO</w:t>
            </w:r>
          </w:p>
        </w:tc>
        <w:tc>
          <w:tcPr>
            <w:tcW w:w="1190" w:type="dxa"/>
            <w:vAlign w:val="center"/>
          </w:tcPr>
          <w:p w14:paraId="4F1E42EC" w14:textId="77777777" w:rsidR="00582AB1" w:rsidRPr="00A31E37" w:rsidRDefault="00582AB1" w:rsidP="00B83833">
            <w:pPr>
              <w:ind w:left="0"/>
              <w:jc w:val="center"/>
              <w:rPr>
                <w:sz w:val="18"/>
                <w:szCs w:val="18"/>
              </w:rPr>
            </w:pPr>
            <w:r w:rsidRPr="00A31E37">
              <w:rPr>
                <w:sz w:val="18"/>
                <w:szCs w:val="18"/>
              </w:rPr>
              <w:t>Ročne</w:t>
            </w:r>
          </w:p>
        </w:tc>
      </w:tr>
    </w:tbl>
    <w:p w14:paraId="55753B48" w14:textId="77777777" w:rsidR="00582AB1" w:rsidRPr="00582AB1" w:rsidRDefault="00582AB1" w:rsidP="002E1021">
      <w:pPr>
        <w:shd w:val="clear" w:color="auto" w:fill="FFFFCC"/>
        <w:spacing w:before="240"/>
        <w:jc w:val="both"/>
        <w:rPr>
          <w:b/>
          <w:i/>
        </w:rPr>
      </w:pPr>
      <w:r w:rsidRPr="007F1C63">
        <w:rPr>
          <w:i/>
        </w:rPr>
        <w:t xml:space="preserve">ŠPECIFICKÝ CIEĽ </w:t>
      </w:r>
      <w:r>
        <w:rPr>
          <w:i/>
        </w:rPr>
        <w:t>7</w:t>
      </w:r>
      <w:r w:rsidRPr="007F1C63">
        <w:rPr>
          <w:i/>
        </w:rPr>
        <w:t>.</w:t>
      </w:r>
      <w:r>
        <w:rPr>
          <w:i/>
        </w:rPr>
        <w:t xml:space="preserve">9: </w:t>
      </w:r>
      <w:r w:rsidR="001218A8" w:rsidRPr="001218A8">
        <w:rPr>
          <w:b/>
          <w:i/>
          <w:sz w:val="22"/>
          <w:szCs w:val="22"/>
        </w:rPr>
        <w:t>Zvýšenie kybernetickej bezpečnosti v spoločnosti</w:t>
      </w:r>
    </w:p>
    <w:p w14:paraId="0D702A3A" w14:textId="77777777" w:rsidR="00582AB1" w:rsidRDefault="00582AB1" w:rsidP="00582AB1">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2310AA38" w14:textId="571E8E69" w:rsidR="00582AB1" w:rsidRPr="00A31E37" w:rsidRDefault="00582AB1" w:rsidP="00582AB1">
      <w:pPr>
        <w:spacing w:before="120" w:after="60"/>
        <w:jc w:val="both"/>
        <w:rPr>
          <w:sz w:val="22"/>
          <w:szCs w:val="20"/>
          <w:lang w:eastAsia="en-US"/>
        </w:rPr>
      </w:pPr>
      <w:r w:rsidRPr="00A31E37">
        <w:rPr>
          <w:sz w:val="22"/>
          <w:szCs w:val="20"/>
          <w:lang w:eastAsia="en-US"/>
        </w:rPr>
        <w:t>Základný rámec informa</w:t>
      </w:r>
      <w:r w:rsidRPr="00A31E37">
        <w:rPr>
          <w:rFonts w:ascii="TimesNewRoman" w:hAnsi="TimesNewRoman" w:cs="TimesNewRoman"/>
          <w:sz w:val="22"/>
          <w:szCs w:val="20"/>
          <w:lang w:eastAsia="en-US"/>
        </w:rPr>
        <w:t>č</w:t>
      </w:r>
      <w:r w:rsidRPr="00A31E37">
        <w:rPr>
          <w:sz w:val="22"/>
          <w:szCs w:val="20"/>
          <w:lang w:eastAsia="en-US"/>
        </w:rPr>
        <w:t>nej bezpe</w:t>
      </w:r>
      <w:r w:rsidRPr="00A31E37">
        <w:rPr>
          <w:rFonts w:ascii="TimesNewRoman" w:hAnsi="TimesNewRoman" w:cs="TimesNewRoman"/>
          <w:sz w:val="22"/>
          <w:szCs w:val="20"/>
          <w:lang w:eastAsia="en-US"/>
        </w:rPr>
        <w:t>č</w:t>
      </w:r>
      <w:r w:rsidRPr="00A31E37">
        <w:rPr>
          <w:sz w:val="22"/>
          <w:szCs w:val="20"/>
          <w:lang w:eastAsia="en-US"/>
        </w:rPr>
        <w:t>nosti Slovenskej republiky tvorí dokument „Národná stratégia pre informačnú bezpečnosť v SR“</w:t>
      </w:r>
      <w:r w:rsidRPr="00A31E37">
        <w:rPr>
          <w:sz w:val="22"/>
          <w:szCs w:val="20"/>
          <w:vertAlign w:val="superscript"/>
          <w:lang w:eastAsia="en-US"/>
        </w:rPr>
        <w:footnoteReference w:id="76"/>
      </w:r>
      <w:r w:rsidRPr="00A31E37">
        <w:rPr>
          <w:sz w:val="22"/>
          <w:szCs w:val="20"/>
          <w:lang w:eastAsia="en-US"/>
        </w:rPr>
        <w:t>. V podmienkach digitálneho a kybernetického priestoru SR sú zavádzané opatrenia najmä proti úniku informácií a ich neoprávnenému použitiu, narušeniu integrity údajov, porušeniu práv občanov na ochranu osobných údajov, a na ochranu pred p</w:t>
      </w:r>
      <w:r w:rsidR="007761F5">
        <w:rPr>
          <w:sz w:val="22"/>
          <w:szCs w:val="20"/>
          <w:lang w:eastAsia="en-US"/>
        </w:rPr>
        <w:t>oškodzovaním a </w:t>
      </w:r>
      <w:r w:rsidRPr="00A31E37">
        <w:rPr>
          <w:sz w:val="22"/>
          <w:szCs w:val="20"/>
          <w:lang w:eastAsia="en-US"/>
        </w:rPr>
        <w:t>zneužívaním informačných a komunikačných systémov, ako aj opatrenia na presadzovanie príslušných právnych noriem Slovenska a EÚ.</w:t>
      </w:r>
    </w:p>
    <w:p w14:paraId="3736F1AC" w14:textId="691254AF" w:rsidR="0017468C" w:rsidRPr="00A31E37" w:rsidRDefault="00582AB1" w:rsidP="00582AB1">
      <w:pPr>
        <w:spacing w:before="120" w:after="60"/>
        <w:jc w:val="both"/>
        <w:rPr>
          <w:sz w:val="22"/>
          <w:szCs w:val="20"/>
          <w:lang w:eastAsia="en-US"/>
        </w:rPr>
      </w:pPr>
      <w:r w:rsidRPr="00A31E37">
        <w:rPr>
          <w:sz w:val="22"/>
          <w:szCs w:val="20"/>
          <w:lang w:eastAsia="en-US"/>
        </w:rPr>
        <w:t xml:space="preserve">Informačná a kybernetická bezpečnosť je dynamicky sa vyvíjajúcim odvetvím, ktoré musí neustále reagovať na nové výzvy. V súvislosti s narastajúcou občianskou aj podnikateľskou aktivitou v digitálnom priestore bude nutné postupovať s ohľadom na opatrenia obsiahnuté v Stratégii kybernetickej bezpečnosti EÚ prezentovanej vo februári 2013. Informačné systémy a siete vyvíjané alebo aktualizované v nasledujúcom období budú posudzované z pohľadu naplnenia zadefinovaných bezpečnostných cieľov a súladu s existujúcou aj budúcou legislatívou. Budú sa implementovať </w:t>
      </w:r>
      <w:r w:rsidRPr="00A31E37">
        <w:rPr>
          <w:sz w:val="22"/>
          <w:szCs w:val="20"/>
          <w:lang w:eastAsia="en-US"/>
        </w:rPr>
        <w:lastRenderedPageBreak/>
        <w:t>a vylepšovať opatrenia na riadenie bezpečnostných rizík, predovšetkým pre systémy verejnej správy patriace do kritickej infraštruktúry. Zvýši sa transparentnosť informovania o bezpečnostných incidentoch jednotlivcov, ktorých osobné údaje boli stratené, ukradnuté alebo pozmenené. Celkovo sa zvýši dôvera v digitálny priestor a povedomie o spôsobe riešenia kybernetických útokov. Prispeje k tomu tiež nasadenie platformy pre zber údajov a opatrení a pre posielanie výstrah súvisiacich s kybernetickou bezpečnosťou. Táto platforma bude interoperabilná s európskym riešením a napojená na Európske centrum pre kybernetický zločin.</w:t>
      </w:r>
    </w:p>
    <w:p w14:paraId="42CAF170" w14:textId="77777777" w:rsidR="00582AB1" w:rsidRDefault="00582AB1" w:rsidP="00582AB1">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7E9D3644" w14:textId="77777777" w:rsidR="009E0158" w:rsidRPr="0017468C" w:rsidRDefault="00582AB1" w:rsidP="00E27896">
      <w:pPr>
        <w:pStyle w:val="Odsekzoznamu"/>
        <w:numPr>
          <w:ilvl w:val="0"/>
          <w:numId w:val="27"/>
        </w:numPr>
        <w:jc w:val="both"/>
        <w:rPr>
          <w:sz w:val="22"/>
          <w:szCs w:val="22"/>
        </w:rPr>
      </w:pPr>
      <w:r w:rsidRPr="0017468C">
        <w:rPr>
          <w:sz w:val="22"/>
          <w:szCs w:val="22"/>
        </w:rPr>
        <w:t>Zníženie finančných dopadov a dopadov na činno</w:t>
      </w:r>
      <w:r w:rsidR="007D50EA" w:rsidRPr="0017468C">
        <w:rPr>
          <w:sz w:val="22"/>
          <w:szCs w:val="22"/>
        </w:rPr>
        <w:t>sť firiem a verejnej správy pri </w:t>
      </w:r>
      <w:r w:rsidRPr="0017468C">
        <w:rPr>
          <w:sz w:val="22"/>
          <w:szCs w:val="22"/>
        </w:rPr>
        <w:t>bezpečnostných incidentoch;</w:t>
      </w:r>
    </w:p>
    <w:p w14:paraId="7037D413" w14:textId="77777777" w:rsidR="009E0158" w:rsidRDefault="001218A8" w:rsidP="00E27896">
      <w:pPr>
        <w:pStyle w:val="Odsekzoznamu"/>
        <w:numPr>
          <w:ilvl w:val="0"/>
          <w:numId w:val="27"/>
        </w:numPr>
        <w:jc w:val="both"/>
      </w:pPr>
      <w:r w:rsidRPr="001218A8">
        <w:rPr>
          <w:sz w:val="22"/>
          <w:szCs w:val="20"/>
          <w:lang w:eastAsia="cs-CZ"/>
        </w:rPr>
        <w:t>Zvýšenie vyspelosti trhu s bezpečnostnými riešeniami zvýšením výdavkov na bezpečnosť privátneho aj verejného sektora;</w:t>
      </w:r>
    </w:p>
    <w:p w14:paraId="28CFC308" w14:textId="77777777" w:rsidR="009E0158" w:rsidRDefault="001218A8" w:rsidP="00E27896">
      <w:pPr>
        <w:pStyle w:val="Odsekzoznamu"/>
        <w:numPr>
          <w:ilvl w:val="0"/>
          <w:numId w:val="27"/>
        </w:numPr>
        <w:jc w:val="both"/>
      </w:pPr>
      <w:r w:rsidRPr="001218A8">
        <w:rPr>
          <w:sz w:val="22"/>
          <w:szCs w:val="20"/>
          <w:lang w:eastAsia="cs-CZ"/>
        </w:rPr>
        <w:t>Zvýšenie kybernetickej bezpečnosti a aplikovanie najnovších poznatkov v európskom priestore;</w:t>
      </w:r>
    </w:p>
    <w:p w14:paraId="4579D390" w14:textId="77777777" w:rsidR="009E0158" w:rsidRDefault="001218A8" w:rsidP="00E27896">
      <w:pPr>
        <w:pStyle w:val="Odsekzoznamu"/>
        <w:numPr>
          <w:ilvl w:val="0"/>
          <w:numId w:val="27"/>
        </w:numPr>
        <w:jc w:val="both"/>
      </w:pPr>
      <w:r w:rsidRPr="001218A8">
        <w:rPr>
          <w:sz w:val="22"/>
          <w:szCs w:val="20"/>
          <w:lang w:eastAsia="cs-CZ"/>
        </w:rPr>
        <w:t>Zvýšenie miery inovácie v oblasti bezpečnostných opatrení;</w:t>
      </w:r>
    </w:p>
    <w:p w14:paraId="6DB603FE" w14:textId="77777777" w:rsidR="009E0158" w:rsidRDefault="001218A8" w:rsidP="00E27896">
      <w:pPr>
        <w:pStyle w:val="Odsekzoznamu"/>
        <w:numPr>
          <w:ilvl w:val="0"/>
          <w:numId w:val="27"/>
        </w:numPr>
        <w:jc w:val="both"/>
      </w:pPr>
      <w:r w:rsidRPr="001218A8">
        <w:rPr>
          <w:sz w:val="22"/>
          <w:szCs w:val="20"/>
          <w:lang w:eastAsia="cs-CZ"/>
        </w:rPr>
        <w:t>Zvýšenie dôvery občanov a podnikateľov v digitálny priestor;</w:t>
      </w:r>
    </w:p>
    <w:p w14:paraId="7AC40874" w14:textId="77777777" w:rsidR="009E0158" w:rsidRDefault="001218A8" w:rsidP="00E27896">
      <w:pPr>
        <w:pStyle w:val="Odsekzoznamu"/>
        <w:numPr>
          <w:ilvl w:val="0"/>
          <w:numId w:val="27"/>
        </w:numPr>
        <w:jc w:val="both"/>
      </w:pPr>
      <w:r w:rsidRPr="001218A8">
        <w:rPr>
          <w:sz w:val="22"/>
          <w:szCs w:val="20"/>
          <w:lang w:eastAsia="cs-CZ"/>
        </w:rPr>
        <w:t>Zvýšenie transparentnosti pri riešení bezpečnostných incidentov a kybernetických útokov.</w:t>
      </w:r>
    </w:p>
    <w:p w14:paraId="4D853A9C" w14:textId="77777777" w:rsidR="00582AB1" w:rsidRDefault="00BE1DDE" w:rsidP="00582AB1">
      <w:pPr>
        <w:pStyle w:val="Tab"/>
      </w:pPr>
      <w:r>
        <w:t xml:space="preserve">Špecifické ukazovatele výsledkov programu </w:t>
      </w:r>
      <w:r w:rsidR="00582AB1" w:rsidRPr="007F1C63">
        <w:t>zodpovedajúce špecifickému cieľu</w:t>
      </w:r>
      <w:r w:rsidR="00582AB1">
        <w:t xml:space="preserve"> 7.9</w:t>
      </w:r>
    </w:p>
    <w:tbl>
      <w:tblPr>
        <w:tblStyle w:val="Mriekatabuky"/>
        <w:tblW w:w="9897" w:type="dxa"/>
        <w:tblLayout w:type="fixed"/>
        <w:tblLook w:val="04A0" w:firstRow="1" w:lastRow="0" w:firstColumn="1" w:lastColumn="0" w:noHBand="0" w:noVBand="1"/>
      </w:tblPr>
      <w:tblGrid>
        <w:gridCol w:w="558"/>
        <w:gridCol w:w="1840"/>
        <w:gridCol w:w="913"/>
        <w:gridCol w:w="997"/>
        <w:gridCol w:w="1348"/>
        <w:gridCol w:w="1305"/>
        <w:gridCol w:w="969"/>
        <w:gridCol w:w="776"/>
        <w:gridCol w:w="1191"/>
      </w:tblGrid>
      <w:tr w:rsidR="00582AB1" w:rsidRPr="00A31E37" w14:paraId="35DD1A31" w14:textId="77777777" w:rsidTr="00B83833">
        <w:trPr>
          <w:trHeight w:val="475"/>
        </w:trPr>
        <w:tc>
          <w:tcPr>
            <w:tcW w:w="558" w:type="dxa"/>
            <w:shd w:val="clear" w:color="auto" w:fill="C6D9F1" w:themeFill="text2" w:themeFillTint="33"/>
            <w:vAlign w:val="center"/>
          </w:tcPr>
          <w:p w14:paraId="0B263EE1" w14:textId="77777777" w:rsidR="00582AB1" w:rsidRPr="00A31E37" w:rsidRDefault="00582AB1" w:rsidP="00B83833">
            <w:pPr>
              <w:ind w:left="0"/>
              <w:rPr>
                <w:b/>
                <w:sz w:val="18"/>
                <w:szCs w:val="18"/>
              </w:rPr>
            </w:pPr>
            <w:r w:rsidRPr="00A31E37">
              <w:rPr>
                <w:b/>
                <w:sz w:val="18"/>
                <w:szCs w:val="18"/>
              </w:rPr>
              <w:t>P. č.</w:t>
            </w:r>
          </w:p>
        </w:tc>
        <w:tc>
          <w:tcPr>
            <w:tcW w:w="1840" w:type="dxa"/>
            <w:shd w:val="clear" w:color="auto" w:fill="C6D9F1" w:themeFill="text2" w:themeFillTint="33"/>
            <w:vAlign w:val="center"/>
          </w:tcPr>
          <w:p w14:paraId="5546E6CC" w14:textId="77777777" w:rsidR="00582AB1" w:rsidRPr="00A31E37" w:rsidRDefault="00582AB1" w:rsidP="00B83833">
            <w:pPr>
              <w:ind w:left="0"/>
              <w:rPr>
                <w:b/>
                <w:sz w:val="18"/>
                <w:szCs w:val="18"/>
              </w:rPr>
            </w:pPr>
            <w:r w:rsidRPr="00A31E37">
              <w:rPr>
                <w:b/>
                <w:sz w:val="18"/>
                <w:szCs w:val="18"/>
              </w:rPr>
              <w:t>Názov ukazovateľa</w:t>
            </w:r>
          </w:p>
        </w:tc>
        <w:tc>
          <w:tcPr>
            <w:tcW w:w="913" w:type="dxa"/>
            <w:shd w:val="clear" w:color="auto" w:fill="C6D9F1" w:themeFill="text2" w:themeFillTint="33"/>
            <w:vAlign w:val="center"/>
          </w:tcPr>
          <w:p w14:paraId="1C110EA2" w14:textId="77777777" w:rsidR="00582AB1" w:rsidRPr="00A31E37" w:rsidRDefault="00582AB1" w:rsidP="00B83833">
            <w:pPr>
              <w:ind w:left="0"/>
              <w:jc w:val="center"/>
              <w:rPr>
                <w:b/>
                <w:sz w:val="18"/>
                <w:szCs w:val="18"/>
              </w:rPr>
            </w:pPr>
            <w:r w:rsidRPr="00A31E37">
              <w:rPr>
                <w:b/>
                <w:sz w:val="18"/>
                <w:szCs w:val="18"/>
              </w:rPr>
              <w:t>Merná jednotka</w:t>
            </w:r>
          </w:p>
        </w:tc>
        <w:tc>
          <w:tcPr>
            <w:tcW w:w="997" w:type="dxa"/>
            <w:shd w:val="clear" w:color="auto" w:fill="C6D9F1" w:themeFill="text2" w:themeFillTint="33"/>
            <w:vAlign w:val="center"/>
          </w:tcPr>
          <w:p w14:paraId="556B0D41" w14:textId="77777777" w:rsidR="00582AB1" w:rsidRPr="00A31E37" w:rsidRDefault="00582AB1" w:rsidP="00B83833">
            <w:pPr>
              <w:ind w:left="0"/>
              <w:jc w:val="center"/>
              <w:rPr>
                <w:b/>
                <w:sz w:val="18"/>
                <w:szCs w:val="18"/>
                <w:highlight w:val="yellow"/>
              </w:rPr>
            </w:pPr>
            <w:r w:rsidRPr="00A31E37">
              <w:rPr>
                <w:b/>
                <w:sz w:val="18"/>
                <w:szCs w:val="18"/>
              </w:rPr>
              <w:t>Kategória regiónu</w:t>
            </w:r>
          </w:p>
        </w:tc>
        <w:tc>
          <w:tcPr>
            <w:tcW w:w="1348" w:type="dxa"/>
            <w:shd w:val="clear" w:color="auto" w:fill="C6D9F1" w:themeFill="text2" w:themeFillTint="33"/>
            <w:vAlign w:val="center"/>
          </w:tcPr>
          <w:p w14:paraId="06E85D7E" w14:textId="77777777" w:rsidR="00582AB1" w:rsidRPr="00A31E37" w:rsidRDefault="00582AB1" w:rsidP="00B83833">
            <w:pPr>
              <w:ind w:left="0"/>
              <w:jc w:val="center"/>
              <w:rPr>
                <w:b/>
                <w:sz w:val="18"/>
                <w:szCs w:val="18"/>
              </w:rPr>
            </w:pPr>
            <w:r w:rsidRPr="00A31E37">
              <w:rPr>
                <w:b/>
                <w:sz w:val="18"/>
                <w:szCs w:val="18"/>
              </w:rPr>
              <w:t>Východisková hodnota</w:t>
            </w:r>
          </w:p>
        </w:tc>
        <w:tc>
          <w:tcPr>
            <w:tcW w:w="1305" w:type="dxa"/>
            <w:shd w:val="clear" w:color="auto" w:fill="C6D9F1" w:themeFill="text2" w:themeFillTint="33"/>
            <w:vAlign w:val="center"/>
          </w:tcPr>
          <w:p w14:paraId="1B576D50" w14:textId="77777777" w:rsidR="00582AB1" w:rsidRPr="00A31E37" w:rsidRDefault="00582AB1" w:rsidP="00B83833">
            <w:pPr>
              <w:ind w:left="0"/>
              <w:jc w:val="center"/>
              <w:rPr>
                <w:b/>
                <w:sz w:val="18"/>
                <w:szCs w:val="18"/>
              </w:rPr>
            </w:pPr>
            <w:r w:rsidRPr="00A31E37">
              <w:rPr>
                <w:b/>
                <w:sz w:val="18"/>
                <w:szCs w:val="18"/>
              </w:rPr>
              <w:t>Východiskový rok</w:t>
            </w:r>
          </w:p>
        </w:tc>
        <w:tc>
          <w:tcPr>
            <w:tcW w:w="969" w:type="dxa"/>
            <w:shd w:val="clear" w:color="auto" w:fill="C6D9F1" w:themeFill="text2" w:themeFillTint="33"/>
            <w:vAlign w:val="center"/>
          </w:tcPr>
          <w:p w14:paraId="040954EE" w14:textId="77777777" w:rsidR="00582AB1" w:rsidRPr="00A31E37" w:rsidRDefault="00582AB1" w:rsidP="00B83833">
            <w:pPr>
              <w:ind w:left="0"/>
              <w:jc w:val="center"/>
              <w:rPr>
                <w:b/>
                <w:sz w:val="18"/>
                <w:szCs w:val="18"/>
              </w:rPr>
            </w:pPr>
            <w:r w:rsidRPr="00A31E37">
              <w:rPr>
                <w:b/>
                <w:sz w:val="18"/>
                <w:szCs w:val="18"/>
              </w:rPr>
              <w:t>Cieľová hodnota</w:t>
            </w:r>
          </w:p>
        </w:tc>
        <w:tc>
          <w:tcPr>
            <w:tcW w:w="776" w:type="dxa"/>
            <w:shd w:val="clear" w:color="auto" w:fill="C6D9F1" w:themeFill="text2" w:themeFillTint="33"/>
            <w:vAlign w:val="center"/>
          </w:tcPr>
          <w:p w14:paraId="750BF125" w14:textId="77777777" w:rsidR="00582AB1" w:rsidRPr="00A31E37" w:rsidRDefault="00582AB1" w:rsidP="00B83833">
            <w:pPr>
              <w:ind w:left="0"/>
              <w:jc w:val="center"/>
              <w:rPr>
                <w:b/>
                <w:sz w:val="18"/>
                <w:szCs w:val="18"/>
              </w:rPr>
            </w:pPr>
            <w:r w:rsidRPr="00A31E37">
              <w:rPr>
                <w:b/>
                <w:sz w:val="18"/>
                <w:szCs w:val="18"/>
              </w:rPr>
              <w:t>Zdroj údajov</w:t>
            </w:r>
          </w:p>
        </w:tc>
        <w:tc>
          <w:tcPr>
            <w:tcW w:w="1191" w:type="dxa"/>
            <w:shd w:val="clear" w:color="auto" w:fill="C6D9F1" w:themeFill="text2" w:themeFillTint="33"/>
            <w:vAlign w:val="center"/>
          </w:tcPr>
          <w:p w14:paraId="662F0B9B" w14:textId="77777777" w:rsidR="00582AB1" w:rsidRPr="00A31E37" w:rsidRDefault="00582AB1" w:rsidP="00B83833">
            <w:pPr>
              <w:ind w:left="0"/>
              <w:jc w:val="center"/>
              <w:rPr>
                <w:b/>
                <w:sz w:val="18"/>
                <w:szCs w:val="18"/>
              </w:rPr>
            </w:pPr>
            <w:r w:rsidRPr="00A31E37">
              <w:rPr>
                <w:b/>
                <w:sz w:val="18"/>
                <w:szCs w:val="18"/>
              </w:rPr>
              <w:t>Interval vykazovania</w:t>
            </w:r>
          </w:p>
        </w:tc>
      </w:tr>
      <w:tr w:rsidR="00582AB1" w:rsidRPr="00A31E37" w14:paraId="743DFCD0" w14:textId="77777777" w:rsidTr="00B83833">
        <w:trPr>
          <w:trHeight w:val="356"/>
        </w:trPr>
        <w:tc>
          <w:tcPr>
            <w:tcW w:w="558" w:type="dxa"/>
            <w:vAlign w:val="center"/>
          </w:tcPr>
          <w:p w14:paraId="7E429E51" w14:textId="77777777" w:rsidR="00582AB1" w:rsidRPr="00A31E37" w:rsidRDefault="00582AB1" w:rsidP="00B83833">
            <w:pPr>
              <w:ind w:left="0"/>
              <w:rPr>
                <w:sz w:val="18"/>
                <w:szCs w:val="18"/>
              </w:rPr>
            </w:pPr>
            <w:r w:rsidRPr="00A31E37">
              <w:rPr>
                <w:sz w:val="18"/>
                <w:szCs w:val="18"/>
              </w:rPr>
              <w:t>1.</w:t>
            </w:r>
          </w:p>
        </w:tc>
        <w:tc>
          <w:tcPr>
            <w:tcW w:w="1840" w:type="dxa"/>
            <w:vAlign w:val="center"/>
          </w:tcPr>
          <w:p w14:paraId="5CC0856E" w14:textId="0B4A3B27" w:rsidR="00582AB1" w:rsidRPr="0006525C" w:rsidRDefault="00370E62" w:rsidP="0006525C">
            <w:pPr>
              <w:ind w:left="35"/>
              <w:rPr>
                <w:color w:val="000000"/>
                <w:sz w:val="18"/>
                <w:szCs w:val="18"/>
              </w:rPr>
            </w:pPr>
            <w:r w:rsidRPr="000C0DD4">
              <w:rPr>
                <w:color w:val="000000"/>
                <w:sz w:val="18"/>
                <w:szCs w:val="18"/>
              </w:rPr>
              <w:t>Pomer webových aplikácií verejnej správy bez kritických bezpečnostných nedostatkov na celkovej vzorke web</w:t>
            </w:r>
            <w:r>
              <w:rPr>
                <w:color w:val="000000"/>
                <w:sz w:val="18"/>
                <w:szCs w:val="18"/>
              </w:rPr>
              <w:t>ových aplikácií verejnej správy</w:t>
            </w:r>
          </w:p>
        </w:tc>
        <w:tc>
          <w:tcPr>
            <w:tcW w:w="913" w:type="dxa"/>
            <w:vAlign w:val="center"/>
          </w:tcPr>
          <w:p w14:paraId="60CBBE7A" w14:textId="77777777" w:rsidR="00582AB1" w:rsidRPr="00A31E37" w:rsidRDefault="00017AB5" w:rsidP="00B83833">
            <w:pPr>
              <w:ind w:left="0"/>
              <w:jc w:val="center"/>
              <w:rPr>
                <w:sz w:val="18"/>
                <w:szCs w:val="18"/>
              </w:rPr>
            </w:pPr>
            <w:r>
              <w:rPr>
                <w:sz w:val="18"/>
                <w:szCs w:val="18"/>
              </w:rPr>
              <w:t>%</w:t>
            </w:r>
          </w:p>
        </w:tc>
        <w:tc>
          <w:tcPr>
            <w:tcW w:w="997" w:type="dxa"/>
            <w:vAlign w:val="center"/>
          </w:tcPr>
          <w:p w14:paraId="03572F48" w14:textId="77777777" w:rsidR="00582AB1" w:rsidRPr="00A31E37" w:rsidRDefault="00582AB1" w:rsidP="00B83833">
            <w:pPr>
              <w:ind w:left="0"/>
              <w:jc w:val="center"/>
              <w:rPr>
                <w:sz w:val="18"/>
                <w:szCs w:val="18"/>
              </w:rPr>
            </w:pPr>
            <w:r w:rsidRPr="00A31E37">
              <w:rPr>
                <w:sz w:val="18"/>
                <w:szCs w:val="18"/>
              </w:rPr>
              <w:t>Menej rozvinuté regióny</w:t>
            </w:r>
          </w:p>
        </w:tc>
        <w:tc>
          <w:tcPr>
            <w:tcW w:w="1348" w:type="dxa"/>
            <w:vAlign w:val="center"/>
          </w:tcPr>
          <w:p w14:paraId="42BD9248" w14:textId="4306F8ED" w:rsidR="00582AB1" w:rsidRPr="00A31E37" w:rsidRDefault="00017AB5" w:rsidP="00017AB5">
            <w:pPr>
              <w:ind w:left="0"/>
              <w:jc w:val="center"/>
              <w:rPr>
                <w:sz w:val="18"/>
                <w:szCs w:val="18"/>
              </w:rPr>
            </w:pPr>
            <w:r>
              <w:rPr>
                <w:sz w:val="18"/>
                <w:szCs w:val="18"/>
              </w:rPr>
              <w:t xml:space="preserve"> </w:t>
            </w:r>
            <w:r w:rsidR="004E29EE">
              <w:rPr>
                <w:sz w:val="18"/>
                <w:szCs w:val="18"/>
              </w:rPr>
              <w:t>4</w:t>
            </w:r>
            <w:r w:rsidR="00300439">
              <w:rPr>
                <w:sz w:val="18"/>
                <w:szCs w:val="18"/>
              </w:rPr>
              <w:t> </w:t>
            </w:r>
            <w:r>
              <w:rPr>
                <w:sz w:val="18"/>
                <w:szCs w:val="18"/>
              </w:rPr>
              <w:t>%</w:t>
            </w:r>
          </w:p>
        </w:tc>
        <w:tc>
          <w:tcPr>
            <w:tcW w:w="1305" w:type="dxa"/>
            <w:vAlign w:val="center"/>
          </w:tcPr>
          <w:p w14:paraId="7DA1A5AD" w14:textId="39CBFDF1" w:rsidR="00582AB1" w:rsidRPr="00A31E37" w:rsidRDefault="00582AB1" w:rsidP="00B83833">
            <w:pPr>
              <w:ind w:left="0"/>
              <w:jc w:val="center"/>
              <w:rPr>
                <w:sz w:val="18"/>
                <w:szCs w:val="18"/>
              </w:rPr>
            </w:pPr>
            <w:r w:rsidRPr="00A31E37">
              <w:rPr>
                <w:sz w:val="18"/>
                <w:szCs w:val="18"/>
              </w:rPr>
              <w:t>201</w:t>
            </w:r>
            <w:r w:rsidR="00370E62">
              <w:rPr>
                <w:sz w:val="18"/>
                <w:szCs w:val="18"/>
              </w:rPr>
              <w:t>4</w:t>
            </w:r>
          </w:p>
        </w:tc>
        <w:tc>
          <w:tcPr>
            <w:tcW w:w="969" w:type="dxa"/>
            <w:vAlign w:val="center"/>
          </w:tcPr>
          <w:p w14:paraId="3D5DCFAA" w14:textId="7D886201" w:rsidR="00582AB1" w:rsidRPr="00A31E37" w:rsidRDefault="00017AB5" w:rsidP="00B83833">
            <w:pPr>
              <w:ind w:left="0"/>
              <w:jc w:val="center"/>
              <w:rPr>
                <w:sz w:val="18"/>
                <w:szCs w:val="18"/>
              </w:rPr>
            </w:pPr>
            <w:r>
              <w:rPr>
                <w:sz w:val="18"/>
                <w:szCs w:val="18"/>
              </w:rPr>
              <w:t>40</w:t>
            </w:r>
            <w:r w:rsidR="00300439">
              <w:rPr>
                <w:sz w:val="18"/>
                <w:szCs w:val="18"/>
              </w:rPr>
              <w:t> </w:t>
            </w:r>
            <w:r>
              <w:rPr>
                <w:sz w:val="18"/>
                <w:szCs w:val="18"/>
              </w:rPr>
              <w:t>%</w:t>
            </w:r>
          </w:p>
        </w:tc>
        <w:tc>
          <w:tcPr>
            <w:tcW w:w="776" w:type="dxa"/>
            <w:vAlign w:val="center"/>
          </w:tcPr>
          <w:p w14:paraId="52F4834D" w14:textId="61D9D7EC" w:rsidR="00582AB1" w:rsidRPr="00A31E37" w:rsidRDefault="00370E62" w:rsidP="00370E62">
            <w:pPr>
              <w:ind w:left="0"/>
              <w:jc w:val="center"/>
              <w:rPr>
                <w:sz w:val="18"/>
                <w:szCs w:val="18"/>
              </w:rPr>
            </w:pPr>
            <w:r>
              <w:rPr>
                <w:sz w:val="18"/>
                <w:szCs w:val="18"/>
              </w:rPr>
              <w:t>CSIRT.SK</w:t>
            </w:r>
          </w:p>
        </w:tc>
        <w:tc>
          <w:tcPr>
            <w:tcW w:w="1191" w:type="dxa"/>
            <w:vAlign w:val="center"/>
          </w:tcPr>
          <w:p w14:paraId="095DF2F3" w14:textId="77777777" w:rsidR="00582AB1" w:rsidRPr="00A31E37" w:rsidRDefault="00017AB5" w:rsidP="00B83833">
            <w:pPr>
              <w:ind w:left="0"/>
              <w:jc w:val="center"/>
              <w:rPr>
                <w:sz w:val="18"/>
                <w:szCs w:val="18"/>
              </w:rPr>
            </w:pPr>
            <w:r w:rsidRPr="00017AB5">
              <w:rPr>
                <w:sz w:val="18"/>
                <w:szCs w:val="18"/>
              </w:rPr>
              <w:t>Ročne</w:t>
            </w:r>
          </w:p>
        </w:tc>
      </w:tr>
    </w:tbl>
    <w:p w14:paraId="09189BAC" w14:textId="77777777" w:rsidR="009E0158" w:rsidRDefault="00445E30" w:rsidP="00E27896">
      <w:pPr>
        <w:pStyle w:val="Odsekzoznamu"/>
        <w:keepNext/>
        <w:numPr>
          <w:ilvl w:val="3"/>
          <w:numId w:val="120"/>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14:paraId="1018BC60" w14:textId="77777777" w:rsidR="00445E30" w:rsidRPr="007F1C63" w:rsidRDefault="00445E30" w:rsidP="00445E30">
      <w:pPr>
        <w:spacing w:before="180" w:after="120"/>
        <w:rPr>
          <w:sz w:val="22"/>
          <w:szCs w:val="22"/>
        </w:rPr>
      </w:pPr>
      <w:r w:rsidRPr="007F1C63">
        <w:rPr>
          <w:sz w:val="22"/>
          <w:szCs w:val="22"/>
          <w:u w:val="single"/>
        </w:rPr>
        <w:t xml:space="preserve">Investičná priorita </w:t>
      </w:r>
      <w:r>
        <w:rPr>
          <w:sz w:val="22"/>
          <w:szCs w:val="22"/>
          <w:u w:val="single"/>
        </w:rPr>
        <w:t>2</w:t>
      </w:r>
      <w:r w:rsidR="00582AB1">
        <w:rPr>
          <w:sz w:val="22"/>
          <w:szCs w:val="22"/>
          <w:u w:val="single"/>
        </w:rPr>
        <w:t>c</w:t>
      </w:r>
      <w:r w:rsidRPr="007F1C63">
        <w:rPr>
          <w:sz w:val="22"/>
          <w:szCs w:val="22"/>
          <w:u w:val="single"/>
        </w:rPr>
        <w:t>) bude napĺňaná prostredníctvom aktivít</w:t>
      </w:r>
      <w:r w:rsidRPr="007F1C63">
        <w:rPr>
          <w:sz w:val="22"/>
          <w:szCs w:val="22"/>
        </w:rPr>
        <w:t>:</w:t>
      </w:r>
    </w:p>
    <w:p w14:paraId="1FFF6CC5" w14:textId="77777777" w:rsidR="00E92F9B" w:rsidRDefault="009F75CE">
      <w:pPr>
        <w:jc w:val="both"/>
        <w:rPr>
          <w:sz w:val="22"/>
          <w:szCs w:val="22"/>
        </w:rPr>
      </w:pPr>
      <w:r>
        <w:rPr>
          <w:sz w:val="22"/>
          <w:szCs w:val="22"/>
        </w:rPr>
        <w:t>ŠC</w:t>
      </w:r>
      <w:r w:rsidR="001355D9">
        <w:rPr>
          <w:sz w:val="22"/>
          <w:szCs w:val="22"/>
        </w:rPr>
        <w:t xml:space="preserve"> 7.3,</w:t>
      </w:r>
      <w:r w:rsidR="001218A8" w:rsidRPr="001218A8">
        <w:rPr>
          <w:sz w:val="22"/>
          <w:szCs w:val="22"/>
        </w:rPr>
        <w:t xml:space="preserve"> 7.4 </w:t>
      </w:r>
    </w:p>
    <w:p w14:paraId="24FC7665" w14:textId="77777777" w:rsidR="009E0158" w:rsidRDefault="001218A8" w:rsidP="00E27896">
      <w:pPr>
        <w:pStyle w:val="Odsekzoznamu"/>
        <w:numPr>
          <w:ilvl w:val="0"/>
          <w:numId w:val="66"/>
        </w:numPr>
        <w:jc w:val="both"/>
        <w:rPr>
          <w:sz w:val="22"/>
          <w:szCs w:val="22"/>
        </w:rPr>
      </w:pPr>
      <w:r w:rsidRPr="001218A8">
        <w:rPr>
          <w:sz w:val="22"/>
          <w:szCs w:val="22"/>
        </w:rPr>
        <w:t>Kompozícia elektronických služieb do zjednodušených životných situácií:</w:t>
      </w:r>
    </w:p>
    <w:p w14:paraId="0456B65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Analýza vhodných životných situácií, ktoré majú byť komplexne poskytované elektronicky</w:t>
      </w:r>
    </w:p>
    <w:p w14:paraId="0D9E038C" w14:textId="77777777" w:rsidR="00E92F9B" w:rsidRDefault="00582AB1">
      <w:pPr>
        <w:pStyle w:val="Odsekzoznamu"/>
        <w:ind w:left="1080"/>
        <w:jc w:val="both"/>
        <w:rPr>
          <w:sz w:val="22"/>
          <w:szCs w:val="22"/>
        </w:rPr>
      </w:pPr>
      <w:r w:rsidRPr="00582AB1">
        <w:rPr>
          <w:sz w:val="22"/>
          <w:szCs w:val="22"/>
        </w:rPr>
        <w:t>–</w:t>
      </w:r>
      <w:r w:rsidRPr="00582AB1">
        <w:rPr>
          <w:sz w:val="22"/>
          <w:szCs w:val="22"/>
        </w:rPr>
        <w:tab/>
        <w:t>Implementácia riešení zjednodušených životných situácií</w:t>
      </w:r>
    </w:p>
    <w:p w14:paraId="01FAC078" w14:textId="77777777" w:rsidR="009E0158" w:rsidRDefault="001218A8" w:rsidP="00E27896">
      <w:pPr>
        <w:pStyle w:val="Odsekzoznamu"/>
        <w:numPr>
          <w:ilvl w:val="0"/>
          <w:numId w:val="66"/>
        </w:numPr>
        <w:jc w:val="both"/>
        <w:rPr>
          <w:sz w:val="22"/>
          <w:szCs w:val="22"/>
        </w:rPr>
      </w:pPr>
      <w:r w:rsidRPr="001218A8">
        <w:rPr>
          <w:sz w:val="22"/>
          <w:szCs w:val="22"/>
        </w:rPr>
        <w:t xml:space="preserve">Zavedenie inovatívnych elektronických služieb </w:t>
      </w:r>
      <w:r w:rsidR="00A00DAE">
        <w:rPr>
          <w:sz w:val="22"/>
          <w:szCs w:val="22"/>
        </w:rPr>
        <w:t>VS</w:t>
      </w:r>
      <w:r w:rsidRPr="001218A8">
        <w:rPr>
          <w:sz w:val="22"/>
          <w:szCs w:val="22"/>
        </w:rPr>
        <w:t xml:space="preserve"> pre občanov a podnikateľov:</w:t>
      </w:r>
    </w:p>
    <w:p w14:paraId="0BB66E53"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Analýza oblastí vhodných pre inovácie a</w:t>
      </w:r>
      <w:r>
        <w:rPr>
          <w:sz w:val="22"/>
          <w:szCs w:val="22"/>
        </w:rPr>
        <w:t> </w:t>
      </w:r>
      <w:r w:rsidRPr="00582AB1">
        <w:rPr>
          <w:sz w:val="22"/>
          <w:szCs w:val="22"/>
        </w:rPr>
        <w:t>proaktivitu</w:t>
      </w:r>
    </w:p>
    <w:p w14:paraId="70B31881"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proaktívných elektronických služieb a</w:t>
      </w:r>
      <w:r>
        <w:rPr>
          <w:sz w:val="22"/>
          <w:szCs w:val="22"/>
        </w:rPr>
        <w:t> </w:t>
      </w:r>
      <w:r w:rsidRPr="00582AB1">
        <w:rPr>
          <w:sz w:val="22"/>
          <w:szCs w:val="22"/>
        </w:rPr>
        <w:t>riešení</w:t>
      </w:r>
    </w:p>
    <w:p w14:paraId="21C00019"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služieb s vysokou pridanou hodnotou</w:t>
      </w:r>
      <w:r>
        <w:rPr>
          <w:sz w:val="22"/>
          <w:szCs w:val="22"/>
        </w:rPr>
        <w:t>, vrátane aktivít smerujúcich k podpore kreatívneho pri</w:t>
      </w:r>
      <w:r w:rsidR="00A00DAE">
        <w:rPr>
          <w:sz w:val="22"/>
          <w:szCs w:val="22"/>
        </w:rPr>
        <w:t>e</w:t>
      </w:r>
      <w:r>
        <w:rPr>
          <w:sz w:val="22"/>
          <w:szCs w:val="22"/>
        </w:rPr>
        <w:t>myslu</w:t>
      </w:r>
      <w:r w:rsidR="001355D9">
        <w:rPr>
          <w:sz w:val="22"/>
          <w:szCs w:val="22"/>
        </w:rPr>
        <w:t xml:space="preserve"> a sprístupňovania digitálnych rozmnoženín predmetov kultúrneho dedičstva</w:t>
      </w:r>
    </w:p>
    <w:p w14:paraId="5DD0715C" w14:textId="77777777" w:rsidR="009E0158" w:rsidRDefault="003970E4" w:rsidP="00E27896">
      <w:pPr>
        <w:pStyle w:val="Odsekzoznamu"/>
        <w:numPr>
          <w:ilvl w:val="0"/>
          <w:numId w:val="71"/>
        </w:numPr>
        <w:ind w:left="1418"/>
        <w:jc w:val="both"/>
        <w:rPr>
          <w:sz w:val="22"/>
          <w:szCs w:val="22"/>
        </w:rPr>
      </w:pPr>
      <w:r>
        <w:rPr>
          <w:sz w:val="22"/>
          <w:szCs w:val="22"/>
        </w:rPr>
        <w:t>Implementácia služieb spojenýc</w:t>
      </w:r>
      <w:r w:rsidR="001355D9">
        <w:rPr>
          <w:sz w:val="22"/>
          <w:szCs w:val="22"/>
        </w:rPr>
        <w:t>h s investičnými príležitosťami</w:t>
      </w:r>
    </w:p>
    <w:p w14:paraId="2099ABB1" w14:textId="77777777" w:rsidR="009E0158" w:rsidRDefault="001218A8" w:rsidP="00E27896">
      <w:pPr>
        <w:pStyle w:val="Odsekzoznamu"/>
        <w:numPr>
          <w:ilvl w:val="0"/>
          <w:numId w:val="66"/>
        </w:numPr>
        <w:jc w:val="both"/>
        <w:rPr>
          <w:sz w:val="22"/>
          <w:szCs w:val="22"/>
        </w:rPr>
      </w:pPr>
      <w:r w:rsidRPr="001218A8">
        <w:rPr>
          <w:sz w:val="22"/>
          <w:szCs w:val="22"/>
        </w:rPr>
        <w:t>Zavedenie služieb a aplikácií pre mobilný government:</w:t>
      </w:r>
    </w:p>
    <w:p w14:paraId="425C73E7"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Analýza oblastí vhodných pre mobilné aplikácie a</w:t>
      </w:r>
      <w:r>
        <w:rPr>
          <w:sz w:val="22"/>
          <w:szCs w:val="22"/>
        </w:rPr>
        <w:t> </w:t>
      </w:r>
      <w:r w:rsidRPr="00582AB1">
        <w:rPr>
          <w:sz w:val="22"/>
          <w:szCs w:val="22"/>
        </w:rPr>
        <w:t>služby</w:t>
      </w:r>
    </w:p>
    <w:p w14:paraId="6FD72D25"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Vytvorenie platformy pre tvorbu mobilných služieb a aplikácií</w:t>
      </w:r>
    </w:p>
    <w:p w14:paraId="2CEBE88B"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mobilných služieb a</w:t>
      </w:r>
      <w:r>
        <w:rPr>
          <w:sz w:val="22"/>
          <w:szCs w:val="22"/>
        </w:rPr>
        <w:t> </w:t>
      </w:r>
      <w:r w:rsidRPr="00582AB1">
        <w:rPr>
          <w:sz w:val="22"/>
          <w:szCs w:val="22"/>
        </w:rPr>
        <w:t>aplikácií</w:t>
      </w:r>
    </w:p>
    <w:p w14:paraId="7144D8F6"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Zavedenie mobilnej identity</w:t>
      </w:r>
    </w:p>
    <w:p w14:paraId="7944459B" w14:textId="77777777" w:rsidR="009E0158" w:rsidRDefault="001218A8" w:rsidP="00E27896">
      <w:pPr>
        <w:pStyle w:val="Odsekzoznamu"/>
        <w:numPr>
          <w:ilvl w:val="0"/>
          <w:numId w:val="66"/>
        </w:numPr>
        <w:jc w:val="both"/>
        <w:rPr>
          <w:sz w:val="22"/>
          <w:szCs w:val="22"/>
        </w:rPr>
      </w:pPr>
      <w:r w:rsidRPr="001218A8">
        <w:rPr>
          <w:sz w:val="22"/>
          <w:szCs w:val="22"/>
        </w:rPr>
        <w:t>Riešenie cezhraničnej kompatibility:</w:t>
      </w:r>
    </w:p>
    <w:p w14:paraId="4B2F4F6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riešení cezhraničných životných situácií</w:t>
      </w:r>
    </w:p>
    <w:p w14:paraId="71062B9C" w14:textId="4C6FE2ED" w:rsidR="00E92F9B" w:rsidRDefault="00582AB1">
      <w:pPr>
        <w:pStyle w:val="Odsekzoznamu"/>
        <w:ind w:left="1418" w:hanging="338"/>
        <w:jc w:val="both"/>
        <w:rPr>
          <w:sz w:val="22"/>
          <w:szCs w:val="22"/>
        </w:rPr>
      </w:pPr>
      <w:r w:rsidRPr="00582AB1">
        <w:rPr>
          <w:sz w:val="22"/>
          <w:szCs w:val="22"/>
        </w:rPr>
        <w:t>–</w:t>
      </w:r>
      <w:r w:rsidRPr="00582AB1">
        <w:rPr>
          <w:sz w:val="22"/>
          <w:szCs w:val="22"/>
        </w:rPr>
        <w:tab/>
        <w:t>Implementovanie akceptácie identít z EÚ do iden</w:t>
      </w:r>
      <w:r w:rsidR="001355D9">
        <w:rPr>
          <w:sz w:val="22"/>
          <w:szCs w:val="22"/>
        </w:rPr>
        <w:t>tifikovaných systémov a</w:t>
      </w:r>
      <w:r w:rsidR="00C02493">
        <w:rPr>
          <w:sz w:val="22"/>
          <w:szCs w:val="22"/>
        </w:rPr>
        <w:t> </w:t>
      </w:r>
      <w:r w:rsidR="001355D9">
        <w:rPr>
          <w:sz w:val="22"/>
          <w:szCs w:val="22"/>
        </w:rPr>
        <w:t>služieb</w:t>
      </w:r>
    </w:p>
    <w:p w14:paraId="7AFFFEA8" w14:textId="77777777" w:rsidR="00C02493" w:rsidRDefault="00C02493" w:rsidP="00C02493">
      <w:pPr>
        <w:pStyle w:val="Odsekzoznamu"/>
        <w:numPr>
          <w:ilvl w:val="0"/>
          <w:numId w:val="66"/>
        </w:numPr>
        <w:jc w:val="both"/>
        <w:rPr>
          <w:sz w:val="22"/>
          <w:szCs w:val="22"/>
        </w:rPr>
      </w:pPr>
      <w:r w:rsidRPr="00DC3404">
        <w:rPr>
          <w:sz w:val="22"/>
          <w:szCs w:val="22"/>
        </w:rPr>
        <w:t>Podpora budovania inteligentných miest a regiónov:</w:t>
      </w:r>
    </w:p>
    <w:p w14:paraId="49D979D4" w14:textId="77777777" w:rsidR="00C02493" w:rsidRPr="00DC3404" w:rsidRDefault="00C02493" w:rsidP="00C02493">
      <w:pPr>
        <w:pStyle w:val="Odsekzoznamu"/>
        <w:numPr>
          <w:ilvl w:val="1"/>
          <w:numId w:val="15"/>
        </w:numPr>
        <w:jc w:val="both"/>
        <w:rPr>
          <w:sz w:val="22"/>
          <w:szCs w:val="22"/>
        </w:rPr>
      </w:pPr>
      <w:r w:rsidRPr="00DC3404">
        <w:rPr>
          <w:sz w:val="22"/>
          <w:szCs w:val="22"/>
        </w:rPr>
        <w:t xml:space="preserve">Analýza zavedenia vhodných IKT riešení pre budovanie inteligentného mesta a regiónu </w:t>
      </w:r>
    </w:p>
    <w:p w14:paraId="37238B2A" w14:textId="77777777" w:rsidR="00C02493" w:rsidRPr="003C4B76" w:rsidRDefault="00C02493" w:rsidP="00C02493">
      <w:pPr>
        <w:pStyle w:val="Odsekzoznamu"/>
        <w:numPr>
          <w:ilvl w:val="1"/>
          <w:numId w:val="15"/>
        </w:numPr>
        <w:jc w:val="both"/>
        <w:rPr>
          <w:sz w:val="22"/>
          <w:szCs w:val="22"/>
        </w:rPr>
      </w:pPr>
      <w:r w:rsidRPr="00DC3404">
        <w:rPr>
          <w:sz w:val="22"/>
          <w:szCs w:val="22"/>
        </w:rPr>
        <w:lastRenderedPageBreak/>
        <w:t>Implementácia informačných systémov inteligentného mesta a regiónu</w:t>
      </w:r>
    </w:p>
    <w:p w14:paraId="14C3EFEB" w14:textId="77777777" w:rsidR="00E92F9B" w:rsidRDefault="001218A8">
      <w:pPr>
        <w:jc w:val="both"/>
        <w:rPr>
          <w:sz w:val="22"/>
          <w:szCs w:val="22"/>
        </w:rPr>
      </w:pPr>
      <w:r w:rsidRPr="001218A8">
        <w:rPr>
          <w:sz w:val="22"/>
          <w:szCs w:val="22"/>
        </w:rPr>
        <w:t>ŠC 7.5</w:t>
      </w:r>
    </w:p>
    <w:p w14:paraId="3BD7C1BE" w14:textId="77777777" w:rsidR="009E0158" w:rsidRDefault="00582AB1" w:rsidP="00E27896">
      <w:pPr>
        <w:pStyle w:val="Odsekzoznamu"/>
        <w:numPr>
          <w:ilvl w:val="0"/>
          <w:numId w:val="66"/>
        </w:numPr>
        <w:jc w:val="both"/>
        <w:rPr>
          <w:sz w:val="22"/>
          <w:szCs w:val="22"/>
        </w:rPr>
      </w:pPr>
      <w:r w:rsidRPr="00582AB1">
        <w:rPr>
          <w:sz w:val="22"/>
          <w:szCs w:val="22"/>
        </w:rPr>
        <w:t>Vytvorenie koncepcie pre vytváranie a využívanie otvorených dát:</w:t>
      </w:r>
    </w:p>
    <w:p w14:paraId="5F3078C7"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Návrh konceptu a pravidiel pre používanie otvorených dát</w:t>
      </w:r>
    </w:p>
    <w:p w14:paraId="61965391"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Podpora rozvoja komunity pracujúcej s otvorenými dátami</w:t>
      </w:r>
    </w:p>
    <w:p w14:paraId="5F10C361" w14:textId="397C9B3F" w:rsidR="009E0158" w:rsidRDefault="00582AB1" w:rsidP="00E27896">
      <w:pPr>
        <w:pStyle w:val="Odsekzoznamu"/>
        <w:numPr>
          <w:ilvl w:val="0"/>
          <w:numId w:val="66"/>
        </w:numPr>
        <w:jc w:val="both"/>
        <w:rPr>
          <w:sz w:val="22"/>
          <w:szCs w:val="22"/>
        </w:rPr>
      </w:pPr>
      <w:r w:rsidRPr="00582AB1">
        <w:rPr>
          <w:sz w:val="22"/>
          <w:szCs w:val="22"/>
        </w:rPr>
        <w:t xml:space="preserve">Rozvoj centrálnej platformy pre </w:t>
      </w:r>
      <w:r w:rsidR="00370E62">
        <w:rPr>
          <w:sz w:val="22"/>
          <w:szCs w:val="22"/>
        </w:rPr>
        <w:t>zdieľanie, integráciu a riade</w:t>
      </w:r>
      <w:r w:rsidR="002D0945">
        <w:rPr>
          <w:sz w:val="22"/>
          <w:szCs w:val="22"/>
        </w:rPr>
        <w:t>nie kvality údajov s dôrazom na </w:t>
      </w:r>
      <w:r w:rsidRPr="00582AB1">
        <w:rPr>
          <w:sz w:val="22"/>
          <w:szCs w:val="22"/>
        </w:rPr>
        <w:t>otvorené dáta</w:t>
      </w:r>
    </w:p>
    <w:p w14:paraId="21245B0C" w14:textId="08DB36BA" w:rsidR="009E0158" w:rsidRDefault="001218A8" w:rsidP="00E27896">
      <w:pPr>
        <w:pStyle w:val="Odsekzoznamu"/>
        <w:numPr>
          <w:ilvl w:val="0"/>
          <w:numId w:val="66"/>
        </w:numPr>
        <w:jc w:val="both"/>
        <w:rPr>
          <w:sz w:val="22"/>
          <w:szCs w:val="22"/>
        </w:rPr>
      </w:pPr>
      <w:r w:rsidRPr="001218A8">
        <w:rPr>
          <w:sz w:val="22"/>
          <w:szCs w:val="22"/>
        </w:rPr>
        <w:t xml:space="preserve">Implementácia nástrojov pre </w:t>
      </w:r>
      <w:r w:rsidR="00370E62">
        <w:rPr>
          <w:sz w:val="22"/>
          <w:szCs w:val="22"/>
        </w:rPr>
        <w:t>zdieľanie, integráciu a riadenie kvality dát s dôrazom na</w:t>
      </w:r>
      <w:r w:rsidR="002D0945">
        <w:rPr>
          <w:sz w:val="22"/>
          <w:szCs w:val="22"/>
        </w:rPr>
        <w:t> </w:t>
      </w:r>
      <w:r w:rsidRPr="001218A8">
        <w:rPr>
          <w:sz w:val="22"/>
          <w:szCs w:val="22"/>
        </w:rPr>
        <w:t>otvoren</w:t>
      </w:r>
      <w:r w:rsidR="00370E62">
        <w:rPr>
          <w:sz w:val="22"/>
          <w:szCs w:val="22"/>
        </w:rPr>
        <w:t>é</w:t>
      </w:r>
      <w:r w:rsidRPr="001218A8">
        <w:rPr>
          <w:sz w:val="22"/>
          <w:szCs w:val="22"/>
        </w:rPr>
        <w:t xml:space="preserve"> dát</w:t>
      </w:r>
      <w:r w:rsidR="00370E62">
        <w:rPr>
          <w:sz w:val="22"/>
          <w:szCs w:val="22"/>
        </w:rPr>
        <w:t>a</w:t>
      </w:r>
      <w:r w:rsidRPr="001218A8">
        <w:rPr>
          <w:sz w:val="22"/>
          <w:szCs w:val="22"/>
        </w:rPr>
        <w:t>:</w:t>
      </w:r>
    </w:p>
    <w:p w14:paraId="0AC5AA0A"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Identifikácia zdrojov otvorených dát a ich kvality</w:t>
      </w:r>
    </w:p>
    <w:p w14:paraId="5C18EA78" w14:textId="5DFDABA4" w:rsidR="00E92F9B" w:rsidRDefault="00582AB1">
      <w:pPr>
        <w:pStyle w:val="Odsekzoznamu"/>
        <w:ind w:left="1418" w:hanging="338"/>
        <w:jc w:val="both"/>
        <w:rPr>
          <w:sz w:val="22"/>
          <w:szCs w:val="22"/>
        </w:rPr>
      </w:pPr>
      <w:r w:rsidRPr="00582AB1">
        <w:rPr>
          <w:sz w:val="22"/>
          <w:szCs w:val="22"/>
        </w:rPr>
        <w:t>–</w:t>
      </w:r>
      <w:r w:rsidRPr="00582AB1">
        <w:rPr>
          <w:sz w:val="22"/>
          <w:szCs w:val="22"/>
        </w:rPr>
        <w:tab/>
        <w:t>Automatizácia procesov tvorby</w:t>
      </w:r>
      <w:r w:rsidR="00370E62">
        <w:rPr>
          <w:sz w:val="22"/>
          <w:szCs w:val="22"/>
        </w:rPr>
        <w:t xml:space="preserve">, zdieľania, integrácie a riadenia kvality dát s dôrazom na </w:t>
      </w:r>
      <w:r w:rsidRPr="00582AB1">
        <w:rPr>
          <w:sz w:val="22"/>
          <w:szCs w:val="22"/>
        </w:rPr>
        <w:t>otvoren</w:t>
      </w:r>
      <w:r w:rsidR="00370E62">
        <w:rPr>
          <w:sz w:val="22"/>
          <w:szCs w:val="22"/>
        </w:rPr>
        <w:t>é</w:t>
      </w:r>
      <w:r w:rsidRPr="00582AB1">
        <w:rPr>
          <w:sz w:val="22"/>
          <w:szCs w:val="22"/>
        </w:rPr>
        <w:t xml:space="preserve"> dát</w:t>
      </w:r>
      <w:r w:rsidR="00370E62">
        <w:rPr>
          <w:sz w:val="22"/>
          <w:szCs w:val="22"/>
        </w:rPr>
        <w:t>a</w:t>
      </w:r>
    </w:p>
    <w:p w14:paraId="42E7D735" w14:textId="3036608F"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informačných systémov schopných generovať a</w:t>
      </w:r>
      <w:r w:rsidR="00370E62">
        <w:rPr>
          <w:sz w:val="22"/>
          <w:szCs w:val="22"/>
        </w:rPr>
        <w:t xml:space="preserve"> zdieľať, integrovať a riadiť kvalitu dát s dôrazom na </w:t>
      </w:r>
      <w:r w:rsidRPr="00582AB1">
        <w:rPr>
          <w:sz w:val="22"/>
          <w:szCs w:val="22"/>
        </w:rPr>
        <w:t>otvorené dáta</w:t>
      </w:r>
    </w:p>
    <w:p w14:paraId="5337EF62"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Nasadenie korekčných a analytických nástrojov pre správne zverejňovanie dát</w:t>
      </w:r>
    </w:p>
    <w:p w14:paraId="23E7685B" w14:textId="14DFC085"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rozhraní pre </w:t>
      </w:r>
      <w:r w:rsidR="00370E62">
        <w:rPr>
          <w:sz w:val="22"/>
          <w:szCs w:val="22"/>
        </w:rPr>
        <w:t xml:space="preserve">zdieľanie, integráciu a </w:t>
      </w:r>
      <w:r w:rsidRPr="00582AB1">
        <w:rPr>
          <w:sz w:val="22"/>
          <w:szCs w:val="22"/>
        </w:rPr>
        <w:t>sprístupnenie dát</w:t>
      </w:r>
    </w:p>
    <w:p w14:paraId="7F9B3828" w14:textId="77777777" w:rsidR="00E92F9B" w:rsidRDefault="001218A8">
      <w:pPr>
        <w:jc w:val="both"/>
        <w:rPr>
          <w:sz w:val="22"/>
          <w:szCs w:val="22"/>
        </w:rPr>
      </w:pPr>
      <w:r w:rsidRPr="001218A8">
        <w:rPr>
          <w:sz w:val="22"/>
          <w:szCs w:val="22"/>
        </w:rPr>
        <w:t>ŠC 7.6</w:t>
      </w:r>
    </w:p>
    <w:p w14:paraId="00C65337" w14:textId="31231D4D" w:rsidR="009E0158" w:rsidRDefault="00582AB1" w:rsidP="00E27896">
      <w:pPr>
        <w:pStyle w:val="Odsekzoznamu"/>
        <w:numPr>
          <w:ilvl w:val="0"/>
          <w:numId w:val="66"/>
        </w:numPr>
        <w:jc w:val="both"/>
        <w:rPr>
          <w:sz w:val="22"/>
          <w:szCs w:val="22"/>
        </w:rPr>
      </w:pPr>
      <w:r w:rsidRPr="00582AB1">
        <w:rPr>
          <w:sz w:val="22"/>
          <w:szCs w:val="22"/>
        </w:rPr>
        <w:t xml:space="preserve">Rozvoj </w:t>
      </w:r>
      <w:r w:rsidR="00370E62">
        <w:rPr>
          <w:sz w:val="22"/>
          <w:szCs w:val="22"/>
        </w:rPr>
        <w:t xml:space="preserve">digitálnych zručností, </w:t>
      </w:r>
      <w:r w:rsidRPr="00582AB1">
        <w:rPr>
          <w:sz w:val="22"/>
          <w:szCs w:val="22"/>
        </w:rPr>
        <w:t>zjednodušeného prístupu k</w:t>
      </w:r>
      <w:r w:rsidR="00370E62">
        <w:rPr>
          <w:sz w:val="22"/>
          <w:szCs w:val="22"/>
        </w:rPr>
        <w:t xml:space="preserve"> internetu a k </w:t>
      </w:r>
      <w:r w:rsidRPr="00582AB1">
        <w:rPr>
          <w:sz w:val="22"/>
          <w:szCs w:val="22"/>
        </w:rPr>
        <w:t xml:space="preserve">informáciám a službám </w:t>
      </w:r>
      <w:r w:rsidR="00A00DAE">
        <w:rPr>
          <w:sz w:val="22"/>
          <w:szCs w:val="22"/>
        </w:rPr>
        <w:t>VS</w:t>
      </w:r>
      <w:r w:rsidRPr="00582AB1">
        <w:rPr>
          <w:sz w:val="22"/>
          <w:szCs w:val="22"/>
        </w:rPr>
        <w:t xml:space="preserve"> </w:t>
      </w:r>
      <w:r w:rsidR="00370E62">
        <w:rPr>
          <w:sz w:val="22"/>
          <w:szCs w:val="22"/>
        </w:rPr>
        <w:t xml:space="preserve">ako aj rozvoj participácie na digitálnom trhu </w:t>
      </w:r>
      <w:r w:rsidRPr="00582AB1">
        <w:rPr>
          <w:sz w:val="22"/>
          <w:szCs w:val="22"/>
        </w:rPr>
        <w:t>pre znevýhodnené skupiny:</w:t>
      </w:r>
    </w:p>
    <w:p w14:paraId="5373220C" w14:textId="13DD0922"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Analýza možných úprav existujúceho </w:t>
      </w:r>
      <w:r w:rsidR="00370E62">
        <w:rPr>
          <w:sz w:val="22"/>
          <w:szCs w:val="22"/>
        </w:rPr>
        <w:t xml:space="preserve">prostredia, </w:t>
      </w:r>
      <w:r w:rsidRPr="00582AB1">
        <w:rPr>
          <w:sz w:val="22"/>
          <w:szCs w:val="22"/>
        </w:rPr>
        <w:t>obsahu a</w:t>
      </w:r>
      <w:r>
        <w:rPr>
          <w:sz w:val="22"/>
          <w:szCs w:val="22"/>
        </w:rPr>
        <w:t> </w:t>
      </w:r>
      <w:r w:rsidRPr="00582AB1">
        <w:rPr>
          <w:sz w:val="22"/>
          <w:szCs w:val="22"/>
        </w:rPr>
        <w:t>služieb</w:t>
      </w:r>
    </w:p>
    <w:p w14:paraId="02EE01A1" w14:textId="4DD27561"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jednoduchších služieb pre znevýhodnené skupiny</w:t>
      </w:r>
      <w:r w:rsidR="00370E62">
        <w:rPr>
          <w:sz w:val="22"/>
          <w:szCs w:val="22"/>
        </w:rPr>
        <w:t xml:space="preserve"> a odstránenie bariér ich využívania a dostupnosti</w:t>
      </w:r>
    </w:p>
    <w:p w14:paraId="7FC11F34" w14:textId="77777777" w:rsidR="009E0158" w:rsidRDefault="00582AB1" w:rsidP="00E27896">
      <w:pPr>
        <w:pStyle w:val="Odsekzoznamu"/>
        <w:numPr>
          <w:ilvl w:val="0"/>
          <w:numId w:val="66"/>
        </w:numPr>
        <w:jc w:val="both"/>
        <w:rPr>
          <w:sz w:val="22"/>
          <w:szCs w:val="22"/>
        </w:rPr>
      </w:pPr>
      <w:r w:rsidRPr="00582AB1">
        <w:rPr>
          <w:sz w:val="22"/>
          <w:szCs w:val="22"/>
        </w:rPr>
        <w:t>Zavedenie nástrojov pre podporu asistovaného života a telemedicíny:</w:t>
      </w:r>
    </w:p>
    <w:p w14:paraId="2ED7040E"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Vybavenie domova občanov nástrojmi asistovaného života</w:t>
      </w:r>
    </w:p>
    <w:p w14:paraId="09C368BA"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Vybavenie domova občanov nástrojmi telemedicíny</w:t>
      </w:r>
    </w:p>
    <w:p w14:paraId="289560AB" w14:textId="77777777" w:rsidR="00E92F9B" w:rsidRDefault="001218A8">
      <w:pPr>
        <w:jc w:val="both"/>
        <w:rPr>
          <w:sz w:val="22"/>
          <w:szCs w:val="22"/>
        </w:rPr>
      </w:pPr>
      <w:r w:rsidRPr="001218A8">
        <w:rPr>
          <w:sz w:val="22"/>
          <w:szCs w:val="22"/>
        </w:rPr>
        <w:t>ŠC 7.7</w:t>
      </w:r>
    </w:p>
    <w:p w14:paraId="05AA4356" w14:textId="77777777" w:rsidR="009E0158" w:rsidRDefault="00582AB1" w:rsidP="00E27896">
      <w:pPr>
        <w:pStyle w:val="Odsekzoznamu"/>
        <w:numPr>
          <w:ilvl w:val="0"/>
          <w:numId w:val="66"/>
        </w:numPr>
        <w:jc w:val="both"/>
        <w:rPr>
          <w:sz w:val="22"/>
          <w:szCs w:val="22"/>
        </w:rPr>
      </w:pPr>
      <w:r w:rsidRPr="00582AB1">
        <w:rPr>
          <w:sz w:val="22"/>
          <w:szCs w:val="22"/>
        </w:rPr>
        <w:t xml:space="preserve">Modernizácia fungovania </w:t>
      </w:r>
      <w:r w:rsidR="00A00DAE">
        <w:rPr>
          <w:sz w:val="22"/>
          <w:szCs w:val="22"/>
        </w:rPr>
        <w:t>VS</w:t>
      </w:r>
      <w:r w:rsidRPr="00582AB1">
        <w:rPr>
          <w:sz w:val="22"/>
          <w:szCs w:val="22"/>
        </w:rPr>
        <w:t xml:space="preserve"> pri výkone agendy prostredníctvom </w:t>
      </w:r>
      <w:r w:rsidR="009E17D5">
        <w:rPr>
          <w:sz w:val="22"/>
          <w:szCs w:val="22"/>
        </w:rPr>
        <w:t>IKT</w:t>
      </w:r>
      <w:r w:rsidRPr="00582AB1">
        <w:rPr>
          <w:sz w:val="22"/>
          <w:szCs w:val="22"/>
        </w:rPr>
        <w:t>:</w:t>
      </w:r>
    </w:p>
    <w:p w14:paraId="6FE5EB1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Vybavenie klientskych centier </w:t>
      </w:r>
      <w:r w:rsidR="00AF5171">
        <w:rPr>
          <w:sz w:val="22"/>
          <w:szCs w:val="22"/>
        </w:rPr>
        <w:t>IKT</w:t>
      </w:r>
    </w:p>
    <w:p w14:paraId="6278E20A"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systému pre realizáciu procesov obsluhy občanov a manažment elektronických úloh vo </w:t>
      </w:r>
      <w:r w:rsidR="00A00DAE">
        <w:rPr>
          <w:sz w:val="22"/>
          <w:szCs w:val="22"/>
        </w:rPr>
        <w:t>VS</w:t>
      </w:r>
    </w:p>
    <w:p w14:paraId="5284903E"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optimalizovaných procesov na úsekoch výkonu správy</w:t>
      </w:r>
    </w:p>
    <w:p w14:paraId="429E88F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Podpora manažmentu kvality </w:t>
      </w:r>
      <w:r w:rsidR="00A00DAE">
        <w:rPr>
          <w:sz w:val="22"/>
          <w:szCs w:val="22"/>
        </w:rPr>
        <w:t>VS</w:t>
      </w:r>
    </w:p>
    <w:p w14:paraId="56F961E4"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Dátová integrácia informačných systémov </w:t>
      </w:r>
      <w:r w:rsidR="00A00DAE">
        <w:rPr>
          <w:sz w:val="22"/>
          <w:szCs w:val="22"/>
        </w:rPr>
        <w:t>VS</w:t>
      </w:r>
    </w:p>
    <w:p w14:paraId="382D52D4" w14:textId="77777777" w:rsidR="009E0158" w:rsidRDefault="00582AB1" w:rsidP="00E27896">
      <w:pPr>
        <w:pStyle w:val="Odsekzoznamu"/>
        <w:numPr>
          <w:ilvl w:val="0"/>
          <w:numId w:val="66"/>
        </w:numPr>
        <w:jc w:val="both"/>
        <w:rPr>
          <w:sz w:val="22"/>
          <w:szCs w:val="22"/>
        </w:rPr>
      </w:pPr>
      <w:r w:rsidRPr="00582AB1">
        <w:rPr>
          <w:sz w:val="22"/>
          <w:szCs w:val="22"/>
        </w:rPr>
        <w:t xml:space="preserve">Optimalizácia podporných a administratívnych činností prostredníctvom </w:t>
      </w:r>
      <w:r w:rsidR="00C13ABC">
        <w:rPr>
          <w:sz w:val="22"/>
          <w:szCs w:val="22"/>
        </w:rPr>
        <w:t>IKT</w:t>
      </w:r>
      <w:r w:rsidRPr="00582AB1">
        <w:rPr>
          <w:sz w:val="22"/>
          <w:szCs w:val="22"/>
        </w:rPr>
        <w:t>:</w:t>
      </w:r>
    </w:p>
    <w:p w14:paraId="3DCF512E" w14:textId="77777777" w:rsidR="00E92F9B" w:rsidRDefault="00FF28BC">
      <w:pPr>
        <w:pStyle w:val="Odsekzoznamu"/>
        <w:ind w:left="1418" w:hanging="426"/>
        <w:jc w:val="both"/>
        <w:rPr>
          <w:sz w:val="22"/>
          <w:szCs w:val="22"/>
        </w:rPr>
      </w:pPr>
      <w:r>
        <w:rPr>
          <w:sz w:val="22"/>
          <w:szCs w:val="22"/>
        </w:rPr>
        <w:t xml:space="preserve"> </w:t>
      </w:r>
      <w:r w:rsidR="00582AB1" w:rsidRPr="00582AB1">
        <w:rPr>
          <w:sz w:val="22"/>
          <w:szCs w:val="22"/>
        </w:rPr>
        <w:t>–</w:t>
      </w:r>
      <w:r w:rsidR="00582AB1" w:rsidRPr="00582AB1">
        <w:rPr>
          <w:sz w:val="22"/>
          <w:szCs w:val="22"/>
        </w:rPr>
        <w:tab/>
        <w:t>Nasadenie konsolidovaných podporných a administratívnych informačných systémo</w:t>
      </w:r>
      <w:r w:rsidR="001355D9">
        <w:rPr>
          <w:sz w:val="22"/>
          <w:szCs w:val="22"/>
        </w:rPr>
        <w:t>v verejnej správy (formou SaaS)</w:t>
      </w:r>
    </w:p>
    <w:p w14:paraId="556A1419" w14:textId="77777777" w:rsidR="009E0158" w:rsidRDefault="00582AB1" w:rsidP="00E27896">
      <w:pPr>
        <w:pStyle w:val="Odsekzoznamu"/>
        <w:numPr>
          <w:ilvl w:val="0"/>
          <w:numId w:val="66"/>
        </w:numPr>
        <w:jc w:val="both"/>
        <w:rPr>
          <w:sz w:val="22"/>
          <w:szCs w:val="22"/>
        </w:rPr>
      </w:pPr>
      <w:r w:rsidRPr="00582AB1">
        <w:rPr>
          <w:sz w:val="22"/>
          <w:szCs w:val="22"/>
        </w:rPr>
        <w:t xml:space="preserve">Podpora využívania znalostí vo </w:t>
      </w:r>
      <w:r w:rsidR="00C13ABC">
        <w:rPr>
          <w:sz w:val="22"/>
          <w:szCs w:val="22"/>
        </w:rPr>
        <w:t>VS</w:t>
      </w:r>
      <w:r w:rsidRPr="00582AB1">
        <w:rPr>
          <w:sz w:val="22"/>
          <w:szCs w:val="22"/>
        </w:rPr>
        <w:t>:</w:t>
      </w:r>
    </w:p>
    <w:p w14:paraId="6191DA5F"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analytických informačných systémov</w:t>
      </w:r>
    </w:p>
    <w:p w14:paraId="33735FCE"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systémov </w:t>
      </w:r>
      <w:r w:rsidR="00B55AAD">
        <w:rPr>
          <w:sz w:val="22"/>
          <w:szCs w:val="22"/>
        </w:rPr>
        <w:t>pre tvorbu a zdieľanie znalostí</w:t>
      </w:r>
    </w:p>
    <w:p w14:paraId="6C2F2DE3"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Podpora eLearningu pre zamestnancov </w:t>
      </w:r>
      <w:r w:rsidR="00C13ABC">
        <w:rPr>
          <w:sz w:val="22"/>
          <w:szCs w:val="22"/>
        </w:rPr>
        <w:t>VS</w:t>
      </w:r>
    </w:p>
    <w:p w14:paraId="69004550" w14:textId="77777777" w:rsidR="00307AAF" w:rsidRDefault="001218A8" w:rsidP="00307AAF">
      <w:pPr>
        <w:tabs>
          <w:tab w:val="left" w:pos="8133"/>
        </w:tabs>
        <w:jc w:val="both"/>
        <w:rPr>
          <w:sz w:val="22"/>
          <w:szCs w:val="22"/>
        </w:rPr>
      </w:pPr>
      <w:r w:rsidRPr="001218A8">
        <w:rPr>
          <w:sz w:val="22"/>
          <w:szCs w:val="22"/>
        </w:rPr>
        <w:t>ŠC 7.8</w:t>
      </w:r>
      <w:r w:rsidR="00960F65">
        <w:rPr>
          <w:sz w:val="22"/>
          <w:szCs w:val="22"/>
        </w:rPr>
        <w:tab/>
      </w:r>
    </w:p>
    <w:p w14:paraId="4A7004F9" w14:textId="77777777" w:rsidR="009E0158" w:rsidRDefault="00FF28BC" w:rsidP="00E27896">
      <w:pPr>
        <w:pStyle w:val="Odsekzoznamu"/>
        <w:numPr>
          <w:ilvl w:val="0"/>
          <w:numId w:val="66"/>
        </w:numPr>
        <w:jc w:val="both"/>
        <w:rPr>
          <w:sz w:val="22"/>
          <w:szCs w:val="22"/>
        </w:rPr>
      </w:pPr>
      <w:r w:rsidRPr="00FF28BC">
        <w:rPr>
          <w:sz w:val="22"/>
          <w:szCs w:val="22"/>
        </w:rPr>
        <w:t>Vytvorenie koncepcie na realizáciu a prevádzku eGovernment cloudu:</w:t>
      </w:r>
    </w:p>
    <w:p w14:paraId="467BA869" w14:textId="77777777" w:rsidR="009E0158" w:rsidRDefault="00FF28BC" w:rsidP="00E27896">
      <w:pPr>
        <w:pStyle w:val="Odsekzoznamu"/>
        <w:numPr>
          <w:ilvl w:val="0"/>
          <w:numId w:val="67"/>
        </w:numPr>
        <w:ind w:left="1418" w:hanging="284"/>
        <w:jc w:val="both"/>
        <w:rPr>
          <w:sz w:val="22"/>
          <w:szCs w:val="22"/>
        </w:rPr>
      </w:pPr>
      <w:r w:rsidRPr="00FF28BC">
        <w:rPr>
          <w:sz w:val="22"/>
          <w:szCs w:val="22"/>
        </w:rPr>
        <w:t>Návrh štandardov, legislatívy, finančného mo</w:t>
      </w:r>
      <w:r w:rsidR="00B55AAD">
        <w:rPr>
          <w:sz w:val="22"/>
          <w:szCs w:val="22"/>
        </w:rPr>
        <w:t>delu, zodpovedností a pravidiel</w:t>
      </w:r>
    </w:p>
    <w:p w14:paraId="10F8A9D3" w14:textId="77777777" w:rsidR="009E0158" w:rsidRDefault="00FF28BC" w:rsidP="00E27896">
      <w:pPr>
        <w:pStyle w:val="Odsekzoznamu"/>
        <w:numPr>
          <w:ilvl w:val="0"/>
          <w:numId w:val="67"/>
        </w:numPr>
        <w:ind w:left="1418" w:hanging="284"/>
        <w:jc w:val="both"/>
        <w:rPr>
          <w:sz w:val="22"/>
          <w:szCs w:val="22"/>
        </w:rPr>
      </w:pPr>
      <w:r w:rsidRPr="00FF28BC">
        <w:rPr>
          <w:sz w:val="22"/>
          <w:szCs w:val="22"/>
        </w:rPr>
        <w:t xml:space="preserve">Klasifikácia dát vo </w:t>
      </w:r>
      <w:r w:rsidR="00C13ABC">
        <w:rPr>
          <w:sz w:val="22"/>
          <w:szCs w:val="22"/>
        </w:rPr>
        <w:t>VS</w:t>
      </w:r>
      <w:r w:rsidRPr="00FF28BC">
        <w:rPr>
          <w:sz w:val="22"/>
          <w:szCs w:val="22"/>
        </w:rPr>
        <w:t xml:space="preserve"> a návrh úr</w:t>
      </w:r>
      <w:r w:rsidR="00B55AAD">
        <w:rPr>
          <w:sz w:val="22"/>
          <w:szCs w:val="22"/>
        </w:rPr>
        <w:t>ovní kvality cloudových služieb</w:t>
      </w:r>
    </w:p>
    <w:p w14:paraId="2E97C9C9" w14:textId="77777777" w:rsidR="009E0158" w:rsidRDefault="00FF28BC" w:rsidP="00E27896">
      <w:pPr>
        <w:pStyle w:val="Odsekzoznamu"/>
        <w:numPr>
          <w:ilvl w:val="0"/>
          <w:numId w:val="67"/>
        </w:numPr>
        <w:ind w:left="1418" w:hanging="284"/>
        <w:jc w:val="both"/>
        <w:rPr>
          <w:sz w:val="22"/>
          <w:szCs w:val="22"/>
        </w:rPr>
      </w:pPr>
      <w:r w:rsidRPr="00FF28BC">
        <w:rPr>
          <w:sz w:val="22"/>
          <w:szCs w:val="22"/>
        </w:rPr>
        <w:t>Zriadenie riadia</w:t>
      </w:r>
      <w:r w:rsidR="00B55AAD">
        <w:rPr>
          <w:sz w:val="22"/>
          <w:szCs w:val="22"/>
        </w:rPr>
        <w:t>ceho orgánu pre cloudové služby</w:t>
      </w:r>
    </w:p>
    <w:p w14:paraId="1024FE76" w14:textId="77777777" w:rsidR="009E0158" w:rsidRDefault="00FF28BC" w:rsidP="00E27896">
      <w:pPr>
        <w:pStyle w:val="Odsekzoznamu"/>
        <w:numPr>
          <w:ilvl w:val="0"/>
          <w:numId w:val="67"/>
        </w:numPr>
        <w:ind w:left="1418" w:hanging="284"/>
        <w:jc w:val="both"/>
        <w:rPr>
          <w:sz w:val="22"/>
          <w:szCs w:val="22"/>
        </w:rPr>
      </w:pPr>
      <w:r w:rsidRPr="00FF28BC">
        <w:rPr>
          <w:sz w:val="22"/>
          <w:szCs w:val="22"/>
        </w:rPr>
        <w:t xml:space="preserve">Vytvorenie systému (katalógu) pre </w:t>
      </w:r>
      <w:r w:rsidR="001355D9">
        <w:rPr>
          <w:sz w:val="22"/>
          <w:szCs w:val="22"/>
        </w:rPr>
        <w:t>poskytovanie cloudových služieb</w:t>
      </w:r>
    </w:p>
    <w:p w14:paraId="7642B18E" w14:textId="77777777" w:rsidR="009E0158" w:rsidRDefault="00FF28BC" w:rsidP="00E27896">
      <w:pPr>
        <w:pStyle w:val="Odsekzoznamu"/>
        <w:numPr>
          <w:ilvl w:val="0"/>
          <w:numId w:val="66"/>
        </w:numPr>
        <w:jc w:val="both"/>
        <w:rPr>
          <w:sz w:val="22"/>
          <w:szCs w:val="22"/>
        </w:rPr>
      </w:pPr>
      <w:r w:rsidRPr="00FF28BC">
        <w:rPr>
          <w:sz w:val="22"/>
          <w:szCs w:val="22"/>
        </w:rPr>
        <w:t>Zriadenie prevádzkovateľov cloudových služieb:</w:t>
      </w:r>
    </w:p>
    <w:p w14:paraId="77A299BB" w14:textId="77777777" w:rsidR="009E0158" w:rsidRDefault="00FF28BC" w:rsidP="005B348A">
      <w:pPr>
        <w:pStyle w:val="Odsekzoznamu"/>
        <w:numPr>
          <w:ilvl w:val="0"/>
          <w:numId w:val="67"/>
        </w:numPr>
        <w:ind w:left="1418" w:hanging="284"/>
        <w:jc w:val="both"/>
        <w:rPr>
          <w:sz w:val="22"/>
          <w:szCs w:val="22"/>
        </w:rPr>
      </w:pPr>
      <w:r w:rsidRPr="00FF28BC">
        <w:rPr>
          <w:sz w:val="22"/>
          <w:szCs w:val="22"/>
        </w:rPr>
        <w:t xml:space="preserve">Vybudovanie IKT </w:t>
      </w:r>
      <w:r w:rsidR="00B55AAD">
        <w:rPr>
          <w:sz w:val="22"/>
          <w:szCs w:val="22"/>
        </w:rPr>
        <w:t>infraštruktúry v dátovom centre</w:t>
      </w:r>
    </w:p>
    <w:p w14:paraId="33F09298" w14:textId="77777777" w:rsidR="009E0158" w:rsidRDefault="00FF28BC" w:rsidP="005B348A">
      <w:pPr>
        <w:pStyle w:val="Odsekzoznamu"/>
        <w:numPr>
          <w:ilvl w:val="0"/>
          <w:numId w:val="67"/>
        </w:numPr>
        <w:ind w:left="1418" w:hanging="284"/>
        <w:jc w:val="both"/>
        <w:rPr>
          <w:sz w:val="22"/>
          <w:szCs w:val="22"/>
        </w:rPr>
      </w:pPr>
      <w:r w:rsidRPr="00FF28BC">
        <w:rPr>
          <w:sz w:val="22"/>
          <w:szCs w:val="22"/>
        </w:rPr>
        <w:t>Nasadenie</w:t>
      </w:r>
      <w:r w:rsidR="00B55AAD">
        <w:rPr>
          <w:sz w:val="22"/>
          <w:szCs w:val="22"/>
        </w:rPr>
        <w:t xml:space="preserve"> cloudových služieb IaaS a PaaS</w:t>
      </w:r>
    </w:p>
    <w:p w14:paraId="2F34AE35" w14:textId="77777777" w:rsidR="009E0158" w:rsidRDefault="00FF28BC" w:rsidP="005B348A">
      <w:pPr>
        <w:pStyle w:val="Odsekzoznamu"/>
        <w:numPr>
          <w:ilvl w:val="0"/>
          <w:numId w:val="67"/>
        </w:numPr>
        <w:ind w:left="1418" w:hanging="284"/>
        <w:jc w:val="both"/>
        <w:rPr>
          <w:sz w:val="22"/>
          <w:szCs w:val="22"/>
        </w:rPr>
      </w:pPr>
      <w:r w:rsidRPr="00FF28BC">
        <w:rPr>
          <w:sz w:val="22"/>
          <w:szCs w:val="22"/>
        </w:rPr>
        <w:t>Riešenie bezpečnostných opatrení pre cloudové služby</w:t>
      </w:r>
    </w:p>
    <w:p w14:paraId="130BEAB1" w14:textId="77777777" w:rsidR="009E0158" w:rsidRDefault="003970E4" w:rsidP="005B348A">
      <w:pPr>
        <w:pStyle w:val="Odsekzoznamu"/>
        <w:numPr>
          <w:ilvl w:val="0"/>
          <w:numId w:val="67"/>
        </w:numPr>
        <w:ind w:left="1418" w:hanging="284"/>
        <w:jc w:val="both"/>
        <w:rPr>
          <w:sz w:val="22"/>
          <w:szCs w:val="22"/>
        </w:rPr>
      </w:pPr>
      <w:r>
        <w:rPr>
          <w:sz w:val="22"/>
          <w:szCs w:val="22"/>
        </w:rPr>
        <w:t>Implementácia podporných systémov na zabezpečenie prevádzky podpory cloudového prostredia</w:t>
      </w:r>
    </w:p>
    <w:p w14:paraId="4B374E0F" w14:textId="77777777" w:rsidR="009E0158" w:rsidRDefault="00FF28BC" w:rsidP="005B348A">
      <w:pPr>
        <w:pStyle w:val="Odsekzoznamu"/>
        <w:numPr>
          <w:ilvl w:val="0"/>
          <w:numId w:val="66"/>
        </w:numPr>
        <w:jc w:val="both"/>
        <w:rPr>
          <w:sz w:val="22"/>
          <w:szCs w:val="22"/>
        </w:rPr>
      </w:pPr>
      <w:r w:rsidRPr="00FF28BC">
        <w:rPr>
          <w:sz w:val="22"/>
          <w:szCs w:val="22"/>
        </w:rPr>
        <w:t xml:space="preserve">Prechod prevádzky informačných systémov </w:t>
      </w:r>
      <w:r w:rsidR="00C13ABC">
        <w:rPr>
          <w:sz w:val="22"/>
          <w:szCs w:val="22"/>
        </w:rPr>
        <w:t>VS</w:t>
      </w:r>
      <w:r w:rsidRPr="00FF28BC">
        <w:rPr>
          <w:sz w:val="22"/>
          <w:szCs w:val="22"/>
        </w:rPr>
        <w:t xml:space="preserve"> do eGovernment cloudu:</w:t>
      </w:r>
    </w:p>
    <w:p w14:paraId="23BA7369" w14:textId="77777777" w:rsidR="009E0158" w:rsidRDefault="00FF28BC" w:rsidP="005B348A">
      <w:pPr>
        <w:pStyle w:val="Odsekzoznamu"/>
        <w:numPr>
          <w:ilvl w:val="0"/>
          <w:numId w:val="67"/>
        </w:numPr>
        <w:ind w:left="1418" w:hanging="284"/>
        <w:jc w:val="both"/>
        <w:rPr>
          <w:sz w:val="22"/>
          <w:szCs w:val="22"/>
        </w:rPr>
      </w:pPr>
      <w:r w:rsidRPr="00FF28BC">
        <w:rPr>
          <w:sz w:val="22"/>
          <w:szCs w:val="22"/>
        </w:rPr>
        <w:t xml:space="preserve">Analýza možností migrácie do eGovernment cloudu pre inštitúcie </w:t>
      </w:r>
      <w:r w:rsidR="00C13ABC">
        <w:rPr>
          <w:sz w:val="22"/>
          <w:szCs w:val="22"/>
        </w:rPr>
        <w:t>VS</w:t>
      </w:r>
    </w:p>
    <w:p w14:paraId="42EA5471" w14:textId="77777777" w:rsidR="009E0158" w:rsidRDefault="00FF28BC" w:rsidP="005B348A">
      <w:pPr>
        <w:pStyle w:val="Odsekzoznamu"/>
        <w:numPr>
          <w:ilvl w:val="0"/>
          <w:numId w:val="67"/>
        </w:numPr>
        <w:ind w:left="1418" w:hanging="284"/>
        <w:jc w:val="both"/>
        <w:rPr>
          <w:sz w:val="22"/>
          <w:szCs w:val="22"/>
        </w:rPr>
      </w:pPr>
      <w:r w:rsidRPr="00FF28BC">
        <w:rPr>
          <w:sz w:val="22"/>
          <w:szCs w:val="22"/>
        </w:rPr>
        <w:t xml:space="preserve">Migrácia informačných systémov </w:t>
      </w:r>
      <w:r w:rsidR="00C13ABC">
        <w:rPr>
          <w:sz w:val="22"/>
          <w:szCs w:val="22"/>
        </w:rPr>
        <w:t>VS</w:t>
      </w:r>
      <w:r w:rsidR="00B55AAD">
        <w:rPr>
          <w:sz w:val="22"/>
          <w:szCs w:val="22"/>
        </w:rPr>
        <w:t xml:space="preserve"> do eGovernment cloudu</w:t>
      </w:r>
    </w:p>
    <w:p w14:paraId="32B64FF7" w14:textId="77777777" w:rsidR="009E0158" w:rsidRDefault="00FF28BC" w:rsidP="005B348A">
      <w:pPr>
        <w:pStyle w:val="Odsekzoznamu"/>
        <w:numPr>
          <w:ilvl w:val="0"/>
          <w:numId w:val="67"/>
        </w:numPr>
        <w:ind w:left="1418" w:hanging="284"/>
        <w:jc w:val="both"/>
        <w:rPr>
          <w:sz w:val="22"/>
          <w:szCs w:val="22"/>
        </w:rPr>
      </w:pPr>
      <w:r w:rsidRPr="00304011">
        <w:rPr>
          <w:sz w:val="22"/>
          <w:szCs w:val="22"/>
        </w:rPr>
        <w:lastRenderedPageBreak/>
        <w:t>Zabezpečeni</w:t>
      </w:r>
      <w:r w:rsidR="001355D9">
        <w:rPr>
          <w:sz w:val="22"/>
          <w:szCs w:val="22"/>
        </w:rPr>
        <w:t>e využívania cloudových služieb</w:t>
      </w:r>
    </w:p>
    <w:p w14:paraId="17267333" w14:textId="77777777" w:rsidR="00E92F9B" w:rsidRDefault="001218A8">
      <w:pPr>
        <w:jc w:val="both"/>
        <w:rPr>
          <w:sz w:val="22"/>
          <w:szCs w:val="22"/>
        </w:rPr>
      </w:pPr>
      <w:r w:rsidRPr="001218A8">
        <w:rPr>
          <w:sz w:val="22"/>
          <w:szCs w:val="22"/>
        </w:rPr>
        <w:t>ŠC 7.9</w:t>
      </w:r>
    </w:p>
    <w:p w14:paraId="391E3568" w14:textId="77777777" w:rsidR="009E0158" w:rsidRDefault="00FF28BC" w:rsidP="005B348A">
      <w:pPr>
        <w:pStyle w:val="Odsekzoznamu"/>
        <w:numPr>
          <w:ilvl w:val="0"/>
          <w:numId w:val="66"/>
        </w:numPr>
        <w:jc w:val="both"/>
        <w:rPr>
          <w:sz w:val="22"/>
          <w:szCs w:val="22"/>
        </w:rPr>
      </w:pPr>
      <w:r w:rsidRPr="00FF28BC">
        <w:rPr>
          <w:sz w:val="22"/>
          <w:szCs w:val="22"/>
        </w:rPr>
        <w:t xml:space="preserve">Zabezpečenie komplexnej kybernetickej bezpečnosti </w:t>
      </w:r>
      <w:r w:rsidR="00C13ABC">
        <w:rPr>
          <w:sz w:val="22"/>
          <w:szCs w:val="22"/>
        </w:rPr>
        <w:t>v spoločnosti</w:t>
      </w:r>
      <w:r w:rsidR="00304011">
        <w:rPr>
          <w:sz w:val="22"/>
          <w:szCs w:val="22"/>
        </w:rPr>
        <w:t>:</w:t>
      </w:r>
    </w:p>
    <w:p w14:paraId="56F3B45E" w14:textId="77777777" w:rsidR="009E0158" w:rsidRDefault="00FF28BC" w:rsidP="005B348A">
      <w:pPr>
        <w:pStyle w:val="Odsekzoznamu"/>
        <w:numPr>
          <w:ilvl w:val="0"/>
          <w:numId w:val="67"/>
        </w:numPr>
        <w:ind w:left="1418" w:hanging="284"/>
        <w:jc w:val="both"/>
        <w:rPr>
          <w:sz w:val="22"/>
          <w:szCs w:val="22"/>
        </w:rPr>
      </w:pPr>
      <w:r w:rsidRPr="00FF28BC">
        <w:rPr>
          <w:sz w:val="22"/>
          <w:szCs w:val="22"/>
        </w:rPr>
        <w:t>Vytvorenie nástrojov na rozpoznanie, monitorovanie a riadenie bezpečnostných incidentov</w:t>
      </w:r>
    </w:p>
    <w:p w14:paraId="5E5B4EF7" w14:textId="77777777" w:rsidR="009E0158" w:rsidRDefault="00FF28BC" w:rsidP="005B348A">
      <w:pPr>
        <w:pStyle w:val="Odsekzoznamu"/>
        <w:numPr>
          <w:ilvl w:val="0"/>
          <w:numId w:val="67"/>
        </w:numPr>
        <w:ind w:left="1418" w:hanging="284"/>
        <w:jc w:val="both"/>
        <w:rPr>
          <w:sz w:val="22"/>
          <w:szCs w:val="22"/>
        </w:rPr>
      </w:pPr>
      <w:r w:rsidRPr="00FF28BC">
        <w:rPr>
          <w:sz w:val="22"/>
          <w:szCs w:val="22"/>
        </w:rPr>
        <w:t>Zabezp</w:t>
      </w:r>
      <w:r w:rsidR="00B55AAD">
        <w:rPr>
          <w:sz w:val="22"/>
          <w:szCs w:val="22"/>
        </w:rPr>
        <w:t>ečenie kritickej infraštruktúry</w:t>
      </w:r>
    </w:p>
    <w:p w14:paraId="6FF14B3F" w14:textId="77777777" w:rsidR="009E0158" w:rsidRDefault="00FF28BC" w:rsidP="005B348A">
      <w:pPr>
        <w:pStyle w:val="Odsekzoznamu"/>
        <w:numPr>
          <w:ilvl w:val="0"/>
          <w:numId w:val="67"/>
        </w:numPr>
        <w:ind w:left="1418" w:hanging="284"/>
        <w:jc w:val="both"/>
        <w:rPr>
          <w:sz w:val="22"/>
          <w:szCs w:val="22"/>
        </w:rPr>
      </w:pPr>
      <w:r w:rsidRPr="00FF28BC">
        <w:rPr>
          <w:sz w:val="22"/>
          <w:szCs w:val="22"/>
        </w:rPr>
        <w:t>Zavádzanie európskej stratégie pre kybernetickú bezpečnosť</w:t>
      </w:r>
    </w:p>
    <w:p w14:paraId="4C1EDBD6" w14:textId="144F93CE" w:rsidR="00F37CD2" w:rsidRDefault="00F37CD2" w:rsidP="005B348A">
      <w:pPr>
        <w:pStyle w:val="Odsekzoznamu"/>
        <w:numPr>
          <w:ilvl w:val="0"/>
          <w:numId w:val="67"/>
        </w:numPr>
        <w:ind w:left="1418" w:hanging="284"/>
        <w:jc w:val="both"/>
        <w:rPr>
          <w:sz w:val="22"/>
          <w:szCs w:val="22"/>
        </w:rPr>
      </w:pPr>
      <w:r>
        <w:rPr>
          <w:sz w:val="22"/>
          <w:szCs w:val="22"/>
        </w:rPr>
        <w:t>Zvýšenie celkového povedomia (awareness) o bezpečnosti v kybernetickom priestore a zabezpečenie základnej úrovne vzdelania v kybernetickej bezpečnosti pre zamestnancov VS</w:t>
      </w:r>
    </w:p>
    <w:p w14:paraId="16E090D9" w14:textId="77777777" w:rsidR="00E92F9B" w:rsidRDefault="00E92F9B">
      <w:pPr>
        <w:pStyle w:val="Odsekzoznamu"/>
        <w:jc w:val="both"/>
        <w:rPr>
          <w:sz w:val="22"/>
          <w:szCs w:val="22"/>
        </w:rPr>
      </w:pPr>
    </w:p>
    <w:p w14:paraId="40218A1B" w14:textId="77777777" w:rsidR="009E0158" w:rsidRDefault="00FF28BC" w:rsidP="005B348A">
      <w:pPr>
        <w:pStyle w:val="Odsekzoznamu"/>
        <w:numPr>
          <w:ilvl w:val="0"/>
          <w:numId w:val="68"/>
        </w:numPr>
        <w:spacing w:before="180" w:after="120"/>
        <w:jc w:val="both"/>
        <w:rPr>
          <w:b/>
          <w:i/>
          <w:color w:val="4F81BD" w:themeColor="accent1"/>
          <w:sz w:val="22"/>
          <w:szCs w:val="22"/>
        </w:rPr>
      </w:pPr>
      <w:r w:rsidRPr="00FF28BC">
        <w:rPr>
          <w:b/>
          <w:i/>
          <w:color w:val="4F81BD" w:themeColor="accent1"/>
          <w:sz w:val="22"/>
          <w:szCs w:val="22"/>
        </w:rPr>
        <w:t>Kompozícia elektronických služieb do zjednodušených životných situácií</w:t>
      </w:r>
    </w:p>
    <w:p w14:paraId="61BC0D44" w14:textId="77777777" w:rsidR="00FF28BC" w:rsidRPr="001A513D" w:rsidRDefault="00FF28BC" w:rsidP="001355D9">
      <w:pPr>
        <w:pStyle w:val="06Normal"/>
        <w:spacing w:after="120"/>
      </w:pPr>
      <w:r>
        <w:t xml:space="preserve">Pohodlnejšie používanie eGovernmentu sa docieli identifikovaním vhodných životných situácií, ktoré bude môcť občan vybaviť elektronicky. Cieľom </w:t>
      </w:r>
      <w:r w:rsidR="00BB4AD2">
        <w:t>je</w:t>
      </w:r>
      <w:r>
        <w:t xml:space="preserve"> </w:t>
      </w:r>
      <w:r w:rsidR="00304011">
        <w:t>zjednodušiť</w:t>
      </w:r>
      <w:r>
        <w:t xml:space="preserve"> vybavenie situácie a zautomatizovať procesy obsluhy občana a podnikateľa. Životné situácie budú z pohľadu občana implementované prepojením </w:t>
      </w:r>
      <w:r w:rsidRPr="001A513D">
        <w:t xml:space="preserve">eGov </w:t>
      </w:r>
      <w:r>
        <w:t xml:space="preserve">služieb z jedného alebo viacerých úsekov </w:t>
      </w:r>
      <w:r w:rsidR="00A00DAE">
        <w:t>VS</w:t>
      </w:r>
      <w:r>
        <w:t xml:space="preserve">. </w:t>
      </w:r>
      <w:r w:rsidRPr="001A513D">
        <w:t>Komunikácia bude prebiehať interaktívnou formou</w:t>
      </w:r>
      <w:r w:rsidR="00DE2B09">
        <w:t xml:space="preserve"> a</w:t>
      </w:r>
      <w:r w:rsidR="00BA5FC4">
        <w:t xml:space="preserve"> </w:t>
      </w:r>
      <w:r w:rsidRPr="001A513D">
        <w:t xml:space="preserve">občan bude podávať len nové informácie. </w:t>
      </w:r>
    </w:p>
    <w:p w14:paraId="0655D348" w14:textId="77777777" w:rsidR="009E0158" w:rsidRDefault="00FF28BC" w:rsidP="005B348A">
      <w:pPr>
        <w:pStyle w:val="Odsekzoznamu"/>
        <w:numPr>
          <w:ilvl w:val="0"/>
          <w:numId w:val="68"/>
        </w:numPr>
        <w:autoSpaceDE w:val="0"/>
        <w:autoSpaceDN w:val="0"/>
        <w:adjustRightInd w:val="0"/>
        <w:spacing w:before="180" w:after="120"/>
        <w:jc w:val="both"/>
        <w:rPr>
          <w:b/>
          <w:i/>
          <w:color w:val="4F81BD" w:themeColor="accent1"/>
          <w:sz w:val="22"/>
          <w:szCs w:val="22"/>
        </w:rPr>
      </w:pPr>
      <w:r w:rsidRPr="00FF28BC">
        <w:rPr>
          <w:b/>
          <w:i/>
          <w:color w:val="4F81BD" w:themeColor="accent1"/>
          <w:sz w:val="22"/>
          <w:szCs w:val="22"/>
        </w:rPr>
        <w:t>Zavedenie inovatívnych elektronických služieb verejnej správy pre občanov a podnikateľov</w:t>
      </w:r>
    </w:p>
    <w:p w14:paraId="25972203" w14:textId="77777777" w:rsidR="00445E30" w:rsidRDefault="00FF28BC" w:rsidP="001355D9">
      <w:pPr>
        <w:spacing w:after="120"/>
        <w:jc w:val="both"/>
        <w:rPr>
          <w:color w:val="000000" w:themeColor="text1"/>
          <w:sz w:val="22"/>
          <w:szCs w:val="22"/>
        </w:rPr>
      </w:pPr>
      <w:r w:rsidRPr="00FF28BC">
        <w:rPr>
          <w:color w:val="000000" w:themeColor="text1"/>
          <w:sz w:val="22"/>
          <w:szCs w:val="22"/>
        </w:rPr>
        <w:t>Identifikujú sa služby s pridanou hodnotou založené n</w:t>
      </w:r>
      <w:r w:rsidR="001355D9">
        <w:rPr>
          <w:color w:val="000000" w:themeColor="text1"/>
          <w:sz w:val="22"/>
          <w:szCs w:val="22"/>
        </w:rPr>
        <w:t>a nových dostupných dátach</w:t>
      </w:r>
      <w:r w:rsidRPr="00FF28BC">
        <w:rPr>
          <w:color w:val="000000" w:themeColor="text1"/>
          <w:sz w:val="22"/>
          <w:szCs w:val="22"/>
        </w:rPr>
        <w:t xml:space="preserve"> v oblastiach, ako </w:t>
      </w:r>
      <w:r w:rsidR="00B915D0">
        <w:rPr>
          <w:color w:val="000000" w:themeColor="text1"/>
          <w:sz w:val="22"/>
          <w:szCs w:val="22"/>
        </w:rPr>
        <w:t>napr.</w:t>
      </w:r>
      <w:r w:rsidRPr="00FF28BC">
        <w:rPr>
          <w:color w:val="000000" w:themeColor="text1"/>
          <w:sz w:val="22"/>
          <w:szCs w:val="22"/>
        </w:rPr>
        <w:t xml:space="preserve"> zdravie, zvyšovanie transparentnosti, sociálna starostlivosť, vzdelávanie, zamestnanosť, doprava, bezpečnosť, podpora podnikateľského prostredia a pod. Vykoná sa analýza vhodných eGov služieb, ktoré má zmysel posunúť na proaktívnu úroveň. Na strane informačných systémov </w:t>
      </w:r>
      <w:r w:rsidR="00B915D0">
        <w:rPr>
          <w:color w:val="000000" w:themeColor="text1"/>
          <w:sz w:val="22"/>
          <w:szCs w:val="22"/>
        </w:rPr>
        <w:t>VS</w:t>
      </w:r>
      <w:r w:rsidRPr="00FF28BC">
        <w:rPr>
          <w:color w:val="000000" w:themeColor="text1"/>
          <w:sz w:val="22"/>
          <w:szCs w:val="22"/>
        </w:rPr>
        <w:t xml:space="preserve"> bude realizovaný redizajn služieb s ohľadom na vhodnú úroveň proaktivity. Riešená bude aj oblasť výstrah a varovaní občanov. Vybrané inštitúcie </w:t>
      </w:r>
      <w:r w:rsidR="00B915D0">
        <w:rPr>
          <w:color w:val="000000" w:themeColor="text1"/>
          <w:sz w:val="22"/>
          <w:szCs w:val="22"/>
        </w:rPr>
        <w:t>VS</w:t>
      </w:r>
      <w:r w:rsidRPr="00FF28BC">
        <w:rPr>
          <w:color w:val="000000" w:themeColor="text1"/>
          <w:sz w:val="22"/>
          <w:szCs w:val="22"/>
        </w:rPr>
        <w:t xml:space="preserve"> </w:t>
      </w:r>
      <w:r w:rsidR="00DE2B09">
        <w:rPr>
          <w:color w:val="000000" w:themeColor="text1"/>
          <w:sz w:val="22"/>
          <w:szCs w:val="22"/>
        </w:rPr>
        <w:t>budú</w:t>
      </w:r>
      <w:r w:rsidRPr="00FF28BC">
        <w:rPr>
          <w:color w:val="000000" w:themeColor="text1"/>
          <w:sz w:val="22"/>
          <w:szCs w:val="22"/>
        </w:rPr>
        <w:t xml:space="preserve"> sledovať faktory ovplyvňujúce život v jednotlivých lokalitách a sprístupňovať takéto informácie vo forme výstrah a varovaní. </w:t>
      </w:r>
      <w:r w:rsidR="00FC24A3">
        <w:rPr>
          <w:color w:val="000000" w:themeColor="text1"/>
          <w:sz w:val="22"/>
          <w:szCs w:val="22"/>
        </w:rPr>
        <w:t>Z</w:t>
      </w:r>
      <w:r w:rsidRPr="00FF28BC">
        <w:rPr>
          <w:color w:val="000000" w:themeColor="text1"/>
          <w:sz w:val="22"/>
          <w:szCs w:val="22"/>
        </w:rPr>
        <w:t xml:space="preserve">realizuje </w:t>
      </w:r>
      <w:r w:rsidR="00FC24A3">
        <w:rPr>
          <w:color w:val="000000" w:themeColor="text1"/>
          <w:sz w:val="22"/>
          <w:szCs w:val="22"/>
        </w:rPr>
        <w:t xml:space="preserve">sa </w:t>
      </w:r>
      <w:r w:rsidRPr="00FF28BC">
        <w:rPr>
          <w:color w:val="000000" w:themeColor="text1"/>
          <w:sz w:val="22"/>
          <w:szCs w:val="22"/>
        </w:rPr>
        <w:t>automatizácia procesov zberu údajov a vznikne jednotný systém pre komunikáciu takýchto správ.</w:t>
      </w:r>
      <w:r w:rsidR="00304011">
        <w:rPr>
          <w:color w:val="000000" w:themeColor="text1"/>
          <w:sz w:val="22"/>
          <w:szCs w:val="22"/>
        </w:rPr>
        <w:t xml:space="preserve"> </w:t>
      </w:r>
      <w:r w:rsidRPr="00FF28BC">
        <w:rPr>
          <w:color w:val="000000" w:themeColor="text1"/>
          <w:sz w:val="22"/>
          <w:szCs w:val="22"/>
        </w:rPr>
        <w:t xml:space="preserve">Inštitúcie </w:t>
      </w:r>
      <w:r w:rsidR="00B915D0">
        <w:rPr>
          <w:color w:val="000000" w:themeColor="text1"/>
          <w:sz w:val="22"/>
          <w:szCs w:val="22"/>
        </w:rPr>
        <w:t>VS</w:t>
      </w:r>
      <w:r w:rsidRPr="00FF28BC">
        <w:rPr>
          <w:color w:val="000000" w:themeColor="text1"/>
          <w:sz w:val="22"/>
          <w:szCs w:val="22"/>
        </w:rPr>
        <w:t xml:space="preserve"> budú zavádzať služby postavené na interpretácii priestorových informácií, č</w:t>
      </w:r>
      <w:r w:rsidR="007D50EA">
        <w:rPr>
          <w:color w:val="000000" w:themeColor="text1"/>
          <w:sz w:val="22"/>
          <w:szCs w:val="22"/>
        </w:rPr>
        <w:t>ím sa otvoria nové možnosti pre </w:t>
      </w:r>
      <w:r w:rsidRPr="00FF28BC">
        <w:rPr>
          <w:color w:val="000000" w:themeColor="text1"/>
          <w:sz w:val="22"/>
          <w:szCs w:val="22"/>
        </w:rPr>
        <w:t>inovácie</w:t>
      </w:r>
      <w:r w:rsidR="00FC24A3">
        <w:rPr>
          <w:color w:val="000000" w:themeColor="text1"/>
          <w:sz w:val="22"/>
          <w:szCs w:val="22"/>
        </w:rPr>
        <w:t xml:space="preserve"> a </w:t>
      </w:r>
      <w:r w:rsidRPr="00FF28BC">
        <w:rPr>
          <w:color w:val="000000" w:themeColor="text1"/>
          <w:sz w:val="22"/>
          <w:szCs w:val="22"/>
        </w:rPr>
        <w:t>zjednodušenie života občanov a podnikania.</w:t>
      </w:r>
    </w:p>
    <w:p w14:paraId="3200910D" w14:textId="77777777" w:rsidR="009E0158" w:rsidRDefault="0096656C" w:rsidP="005B348A">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Zavedenie služieb a aplikácií pre mobilný government</w:t>
      </w:r>
    </w:p>
    <w:p w14:paraId="5AC96FE5" w14:textId="2CEEDB61" w:rsidR="00445E30" w:rsidRDefault="0096656C" w:rsidP="0096656C">
      <w:pPr>
        <w:pStyle w:val="06Normal"/>
        <w:spacing w:before="0" w:after="120"/>
        <w:rPr>
          <w:rStyle w:val="06NormalChar"/>
          <w:lang w:eastAsia="sk-SK"/>
        </w:rPr>
      </w:pPr>
      <w:r w:rsidRPr="0096656C">
        <w:rPr>
          <w:rStyle w:val="06NormalChar"/>
          <w:lang w:eastAsia="sk-SK"/>
        </w:rPr>
        <w:t xml:space="preserve">Inteligentné mobilné zariadenia majú už v súčasnosti dostatočný výkon pre náročné úlohy a sú </w:t>
      </w:r>
      <w:r w:rsidR="00DE2B09">
        <w:rPr>
          <w:rStyle w:val="06NormalChar"/>
          <w:lang w:eastAsia="sk-SK"/>
        </w:rPr>
        <w:t>vhodné</w:t>
      </w:r>
      <w:r w:rsidRPr="0096656C">
        <w:rPr>
          <w:rStyle w:val="06NormalChar"/>
          <w:lang w:eastAsia="sk-SK"/>
        </w:rPr>
        <w:t xml:space="preserve"> na prácu s cloudovými aplikáciami. </w:t>
      </w:r>
      <w:r w:rsidR="00E16BAA">
        <w:rPr>
          <w:rStyle w:val="06NormalChar"/>
          <w:lang w:eastAsia="sk-SK"/>
        </w:rPr>
        <w:t>Prvoradé</w:t>
      </w:r>
      <w:r w:rsidRPr="0096656C">
        <w:rPr>
          <w:rStyle w:val="06NormalChar"/>
          <w:lang w:eastAsia="sk-SK"/>
        </w:rPr>
        <w:t xml:space="preserve"> je určenie životných situácií, pre ktoré je vhodné použiť interakciu s občanom cez mobilné zariadenie.</w:t>
      </w:r>
      <w:r w:rsidR="00B915D0">
        <w:rPr>
          <w:rStyle w:val="06NormalChar"/>
          <w:lang w:eastAsia="sk-SK"/>
        </w:rPr>
        <w:t xml:space="preserve"> </w:t>
      </w:r>
      <w:r w:rsidR="00E16BAA">
        <w:rPr>
          <w:rStyle w:val="06NormalChar"/>
          <w:lang w:eastAsia="sk-SK"/>
        </w:rPr>
        <w:t>Ďalej</w:t>
      </w:r>
      <w:r w:rsidRPr="0096656C">
        <w:rPr>
          <w:rStyle w:val="06NormalChar"/>
          <w:lang w:eastAsia="sk-SK"/>
        </w:rPr>
        <w:t xml:space="preserve"> sa vytvorí platforma pre tvorbu a nasadzovanie mobilných aplikácií a služieb. Pri tvorbe služieb pre mobilný government pôjde o zmenu používateľského rozhrania s ohľadom na možnosti mobilných zariadení.</w:t>
      </w:r>
      <w:r w:rsidR="003671C3">
        <w:rPr>
          <w:rStyle w:val="06NormalChar"/>
          <w:lang w:eastAsia="sk-SK"/>
        </w:rPr>
        <w:t xml:space="preserve"> </w:t>
      </w:r>
      <w:r w:rsidR="001218A8" w:rsidRPr="001218A8">
        <w:rPr>
          <w:rStyle w:val="06NormalChar"/>
          <w:lang w:eastAsia="sk-SK"/>
        </w:rPr>
        <w:t>M</w:t>
      </w:r>
      <w:r w:rsidRPr="0096656C">
        <w:rPr>
          <w:rStyle w:val="06NormalChar"/>
          <w:lang w:eastAsia="sk-SK"/>
        </w:rPr>
        <w:t>obilné služby a aplikácie budú podporovať tvorbu obsahu a využívanie určovania polohy</w:t>
      </w:r>
      <w:r w:rsidR="003671C3">
        <w:rPr>
          <w:rStyle w:val="06NormalChar"/>
          <w:lang w:eastAsia="sk-SK"/>
        </w:rPr>
        <w:t>, z</w:t>
      </w:r>
      <w:r w:rsidRPr="0096656C">
        <w:rPr>
          <w:rStyle w:val="06NormalChar"/>
          <w:lang w:eastAsia="sk-SK"/>
        </w:rPr>
        <w:t>avedi</w:t>
      </w:r>
      <w:r w:rsidR="002D0945">
        <w:rPr>
          <w:rStyle w:val="06NormalChar"/>
          <w:lang w:eastAsia="sk-SK"/>
        </w:rPr>
        <w:t>e sa interaktívna komunikácia s </w:t>
      </w:r>
      <w:r w:rsidR="000F57DE">
        <w:rPr>
          <w:rStyle w:val="06NormalChar"/>
          <w:lang w:eastAsia="sk-SK"/>
        </w:rPr>
        <w:t>VS</w:t>
      </w:r>
      <w:r w:rsidRPr="0096656C">
        <w:rPr>
          <w:rStyle w:val="06NormalChar"/>
          <w:lang w:eastAsia="sk-SK"/>
        </w:rPr>
        <w:t>, čím sa výrazne zlepší spôsob udeľovania súhlasov zo strany občana</w:t>
      </w:r>
      <w:r w:rsidR="003671C3">
        <w:rPr>
          <w:rStyle w:val="06NormalChar"/>
          <w:lang w:eastAsia="sk-SK"/>
        </w:rPr>
        <w:t xml:space="preserve"> a z</w:t>
      </w:r>
      <w:r w:rsidRPr="0096656C">
        <w:rPr>
          <w:rStyle w:val="06NormalChar"/>
          <w:lang w:eastAsia="sk-SK"/>
        </w:rPr>
        <w:t xml:space="preserve">avedú sa mobilné platby za služby </w:t>
      </w:r>
      <w:r w:rsidR="000F57DE">
        <w:rPr>
          <w:rStyle w:val="06NormalChar"/>
          <w:lang w:eastAsia="sk-SK"/>
        </w:rPr>
        <w:t>VS</w:t>
      </w:r>
      <w:r w:rsidRPr="0096656C">
        <w:rPr>
          <w:rStyle w:val="06NormalChar"/>
          <w:lang w:eastAsia="sk-SK"/>
        </w:rPr>
        <w:t>.</w:t>
      </w:r>
      <w:r w:rsidR="003671C3">
        <w:rPr>
          <w:rStyle w:val="06NormalChar"/>
          <w:lang w:eastAsia="sk-SK"/>
        </w:rPr>
        <w:t xml:space="preserve"> </w:t>
      </w:r>
      <w:r w:rsidRPr="0096656C">
        <w:rPr>
          <w:rStyle w:val="06NormalChar"/>
          <w:lang w:eastAsia="sk-SK"/>
        </w:rPr>
        <w:t xml:space="preserve">Umožní sa, aby mobilné zariadenie mohlo </w:t>
      </w:r>
      <w:r w:rsidR="002D0945">
        <w:rPr>
          <w:rStyle w:val="06NormalChar"/>
          <w:lang w:eastAsia="sk-SK"/>
        </w:rPr>
        <w:t>byť použité ako identifikačný a </w:t>
      </w:r>
      <w:r w:rsidRPr="0096656C">
        <w:rPr>
          <w:rStyle w:val="06NormalChar"/>
          <w:lang w:eastAsia="sk-SK"/>
        </w:rPr>
        <w:t>autentifikačný prostriedok v eGovernmente.</w:t>
      </w:r>
    </w:p>
    <w:p w14:paraId="7CD68BAA" w14:textId="77777777" w:rsidR="009E0158" w:rsidRDefault="0096656C" w:rsidP="005B348A">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Riešenie cezhraničnej kompatibility</w:t>
      </w:r>
    </w:p>
    <w:p w14:paraId="4DB8F30A" w14:textId="77777777" w:rsidR="00E92F9B" w:rsidRDefault="0096656C">
      <w:pPr>
        <w:pStyle w:val="06Normal"/>
        <w:spacing w:after="120"/>
      </w:pPr>
      <w:r>
        <w:t>Pri implementácii</w:t>
      </w:r>
      <w:r w:rsidRPr="001A513D">
        <w:t xml:space="preserve"> služieb sa </w:t>
      </w:r>
      <w:r>
        <w:t>zohľadní</w:t>
      </w:r>
      <w:r w:rsidRPr="001A513D">
        <w:t xml:space="preserve"> potreba cezhraničnej interoperability, aby vybrané služby boli prístupné pre obyvateľov </w:t>
      </w:r>
      <w:r>
        <w:t>EÚ</w:t>
      </w:r>
      <w:r w:rsidRPr="001A513D">
        <w:t>.</w:t>
      </w:r>
      <w:r>
        <w:t xml:space="preserve"> </w:t>
      </w:r>
      <w:r w:rsidRPr="001A513D">
        <w:t xml:space="preserve">Pri ich implementácii bude kladený dôraz na prekonávanie koncepčných, ekonomických, legislatívnych, technologických a sémantických bariér. Cezhraničné poskytovanie služieb elektronickej </w:t>
      </w:r>
      <w:r w:rsidR="00FC24A3">
        <w:t>VS</w:t>
      </w:r>
      <w:r w:rsidRPr="001A513D">
        <w:t xml:space="preserve"> bude založené na interoperabilnej identifikácii a autentifikácii.</w:t>
      </w:r>
    </w:p>
    <w:p w14:paraId="7B3AFCE4" w14:textId="60345DA9" w:rsidR="00C02493" w:rsidRDefault="00C02493" w:rsidP="009805C6">
      <w:pPr>
        <w:pStyle w:val="Odsekzoznamu"/>
        <w:numPr>
          <w:ilvl w:val="0"/>
          <w:numId w:val="68"/>
        </w:numPr>
        <w:spacing w:after="180"/>
        <w:jc w:val="both"/>
        <w:rPr>
          <w:b/>
          <w:i/>
          <w:color w:val="4F81BD" w:themeColor="accent1"/>
          <w:sz w:val="22"/>
          <w:szCs w:val="22"/>
        </w:rPr>
      </w:pPr>
      <w:r>
        <w:rPr>
          <w:b/>
          <w:i/>
          <w:color w:val="4F81BD" w:themeColor="accent1"/>
          <w:sz w:val="22"/>
          <w:szCs w:val="22"/>
        </w:rPr>
        <w:t>Podpora budovania inteligentných miest a regiónov</w:t>
      </w:r>
    </w:p>
    <w:p w14:paraId="32350197" w14:textId="77777777" w:rsidR="00C02493" w:rsidRPr="003C4B76" w:rsidRDefault="00C02493" w:rsidP="00C02493">
      <w:pPr>
        <w:pStyle w:val="06Normal"/>
        <w:spacing w:after="120"/>
      </w:pPr>
      <w:r w:rsidRPr="00674F8D">
        <w:t>Budovanie komplexných IKT platforiem v rámci miest predstavujúcich prepojenie jednotlivých mestských informačných systémov na rôznych úrovniach, vrátane externých integrácií a vrátane senzorov a zariadení potrebných pre získavanie a poskytovanie dát. Vytvorenie ďalších aplikácií a elektronických služieb pre občanov a podnikateľov využívajúcich dáta, ktoré mesto, resp. jednotlivé mestské systémy produkujú a vytvorenie podmienok pre tvorbu takýchto aplikácií.</w:t>
      </w:r>
    </w:p>
    <w:p w14:paraId="4B50B141" w14:textId="22F0640D" w:rsidR="009E0158" w:rsidRDefault="0096656C" w:rsidP="009805C6">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Vytvorenie koncepcie pre vytváranie a využívanie otvorených dát</w:t>
      </w:r>
    </w:p>
    <w:p w14:paraId="71ACF6A8" w14:textId="77777777" w:rsidR="00E92F9B" w:rsidRDefault="0096656C">
      <w:pPr>
        <w:spacing w:before="120" w:after="60"/>
        <w:jc w:val="both"/>
        <w:rPr>
          <w:sz w:val="22"/>
          <w:szCs w:val="20"/>
          <w:lang w:eastAsia="en-US"/>
        </w:rPr>
      </w:pPr>
      <w:r w:rsidRPr="00775BC0">
        <w:rPr>
          <w:sz w:val="22"/>
          <w:szCs w:val="20"/>
          <w:lang w:eastAsia="en-US"/>
        </w:rPr>
        <w:lastRenderedPageBreak/>
        <w:t xml:space="preserve">Prvým krokom v oblasti otvorených dát bude vytvorenie presného konceptu pre </w:t>
      </w:r>
      <w:r w:rsidR="001B1001">
        <w:rPr>
          <w:sz w:val="22"/>
          <w:szCs w:val="20"/>
          <w:lang w:eastAsia="en-US"/>
        </w:rPr>
        <w:t xml:space="preserve">ich </w:t>
      </w:r>
      <w:r w:rsidRPr="00775BC0">
        <w:rPr>
          <w:sz w:val="22"/>
          <w:szCs w:val="20"/>
          <w:lang w:eastAsia="en-US"/>
        </w:rPr>
        <w:t xml:space="preserve">používanie vo </w:t>
      </w:r>
      <w:r w:rsidR="001B1001">
        <w:rPr>
          <w:sz w:val="22"/>
          <w:szCs w:val="20"/>
          <w:lang w:eastAsia="en-US"/>
        </w:rPr>
        <w:t>VS, ktorý bude pozostávať z</w:t>
      </w:r>
      <w:r w:rsidR="001B1001">
        <w:rPr>
          <w:sz w:val="22"/>
          <w:szCs w:val="20"/>
          <w:lang w:eastAsia="cs-CZ"/>
        </w:rPr>
        <w:t xml:space="preserve"> k</w:t>
      </w:r>
      <w:r w:rsidR="001218A8" w:rsidRPr="001218A8">
        <w:rPr>
          <w:sz w:val="22"/>
          <w:szCs w:val="20"/>
          <w:lang w:eastAsia="cs-CZ"/>
        </w:rPr>
        <w:t>lasifikáci</w:t>
      </w:r>
      <w:r w:rsidR="001B1001">
        <w:rPr>
          <w:sz w:val="22"/>
          <w:szCs w:val="20"/>
          <w:lang w:eastAsia="cs-CZ"/>
        </w:rPr>
        <w:t>e</w:t>
      </w:r>
      <w:r w:rsidR="001218A8" w:rsidRPr="001218A8">
        <w:rPr>
          <w:sz w:val="22"/>
          <w:szCs w:val="20"/>
          <w:lang w:eastAsia="cs-CZ"/>
        </w:rPr>
        <w:t xml:space="preserve"> dát verejnej správy</w:t>
      </w:r>
      <w:r w:rsidR="001B1001">
        <w:rPr>
          <w:sz w:val="22"/>
          <w:szCs w:val="20"/>
          <w:lang w:eastAsia="cs-CZ"/>
        </w:rPr>
        <w:t>, ich a</w:t>
      </w:r>
      <w:r w:rsidR="001218A8" w:rsidRPr="001218A8">
        <w:rPr>
          <w:sz w:val="22"/>
          <w:szCs w:val="20"/>
          <w:lang w:eastAsia="cs-CZ"/>
        </w:rPr>
        <w:t>nalýz</w:t>
      </w:r>
      <w:r w:rsidR="001B1001">
        <w:rPr>
          <w:sz w:val="22"/>
          <w:szCs w:val="20"/>
          <w:lang w:eastAsia="cs-CZ"/>
        </w:rPr>
        <w:t>y</w:t>
      </w:r>
      <w:r w:rsidR="001218A8" w:rsidRPr="001218A8">
        <w:rPr>
          <w:sz w:val="22"/>
          <w:szCs w:val="20"/>
          <w:lang w:eastAsia="cs-CZ"/>
        </w:rPr>
        <w:t xml:space="preserve"> a návrh</w:t>
      </w:r>
      <w:r w:rsidR="001B1001">
        <w:rPr>
          <w:sz w:val="22"/>
          <w:szCs w:val="20"/>
          <w:lang w:eastAsia="cs-CZ"/>
        </w:rPr>
        <w:t>u</w:t>
      </w:r>
      <w:r w:rsidR="001218A8" w:rsidRPr="001218A8">
        <w:rPr>
          <w:sz w:val="22"/>
          <w:szCs w:val="20"/>
          <w:lang w:eastAsia="cs-CZ"/>
        </w:rPr>
        <w:t xml:space="preserve"> možností pre využívanie a tvorbu tak, aby sa postupovalo od dát s najvyšším potenciálom</w:t>
      </w:r>
      <w:r w:rsidR="001B1001">
        <w:rPr>
          <w:sz w:val="22"/>
          <w:szCs w:val="20"/>
          <w:lang w:eastAsia="cs-CZ"/>
        </w:rPr>
        <w:t>. Zadefinuje sa s</w:t>
      </w:r>
      <w:r w:rsidR="001218A8" w:rsidRPr="001218A8">
        <w:rPr>
          <w:sz w:val="22"/>
          <w:szCs w:val="20"/>
          <w:lang w:eastAsia="cs-CZ"/>
        </w:rPr>
        <w:t>pôsob nasadenia do procesov a systémov inštitúcií verejnej správy</w:t>
      </w:r>
      <w:r w:rsidR="001B1001">
        <w:rPr>
          <w:sz w:val="22"/>
          <w:szCs w:val="20"/>
          <w:lang w:eastAsia="cs-CZ"/>
        </w:rPr>
        <w:t>, a následne sa z</w:t>
      </w:r>
      <w:r w:rsidR="001218A8" w:rsidRPr="001218A8">
        <w:rPr>
          <w:sz w:val="22"/>
          <w:szCs w:val="20"/>
          <w:lang w:eastAsia="cs-CZ"/>
        </w:rPr>
        <w:t>aved</w:t>
      </w:r>
      <w:r w:rsidR="001B1001">
        <w:rPr>
          <w:sz w:val="22"/>
          <w:szCs w:val="20"/>
          <w:lang w:eastAsia="cs-CZ"/>
        </w:rPr>
        <w:t>ú</w:t>
      </w:r>
      <w:r w:rsidR="001218A8" w:rsidRPr="001218A8">
        <w:rPr>
          <w:sz w:val="22"/>
          <w:szCs w:val="20"/>
          <w:lang w:eastAsia="cs-CZ"/>
        </w:rPr>
        <w:t xml:space="preserve"> štandard</w:t>
      </w:r>
      <w:r w:rsidR="001B1001">
        <w:rPr>
          <w:sz w:val="22"/>
          <w:szCs w:val="20"/>
          <w:lang w:eastAsia="cs-CZ"/>
        </w:rPr>
        <w:t xml:space="preserve">y, </w:t>
      </w:r>
      <w:r w:rsidR="001218A8" w:rsidRPr="001218A8">
        <w:rPr>
          <w:sz w:val="22"/>
          <w:szCs w:val="20"/>
          <w:lang w:eastAsia="en-US"/>
        </w:rPr>
        <w:t>pravidl</w:t>
      </w:r>
      <w:r w:rsidR="001B1001">
        <w:rPr>
          <w:sz w:val="22"/>
          <w:szCs w:val="20"/>
          <w:lang w:eastAsia="en-US"/>
        </w:rPr>
        <w:t>á</w:t>
      </w:r>
      <w:r w:rsidR="001218A8" w:rsidRPr="001218A8">
        <w:rPr>
          <w:sz w:val="22"/>
          <w:szCs w:val="20"/>
          <w:lang w:eastAsia="en-US"/>
        </w:rPr>
        <w:t xml:space="preserve"> a licenčn</w:t>
      </w:r>
      <w:r w:rsidR="001B1001">
        <w:rPr>
          <w:sz w:val="22"/>
          <w:szCs w:val="20"/>
          <w:lang w:eastAsia="en-US"/>
        </w:rPr>
        <w:t>é</w:t>
      </w:r>
      <w:r w:rsidR="001218A8" w:rsidRPr="001218A8">
        <w:rPr>
          <w:sz w:val="22"/>
          <w:szCs w:val="20"/>
          <w:lang w:eastAsia="en-US"/>
        </w:rPr>
        <w:t xml:space="preserve"> polit</w:t>
      </w:r>
      <w:r w:rsidR="001B1001">
        <w:rPr>
          <w:sz w:val="22"/>
          <w:szCs w:val="20"/>
          <w:lang w:eastAsia="en-US"/>
        </w:rPr>
        <w:t>i</w:t>
      </w:r>
      <w:r w:rsidR="001218A8" w:rsidRPr="001218A8">
        <w:rPr>
          <w:sz w:val="22"/>
          <w:szCs w:val="20"/>
          <w:lang w:eastAsia="en-US"/>
        </w:rPr>
        <w:t>k</w:t>
      </w:r>
      <w:r w:rsidR="001B1001">
        <w:rPr>
          <w:sz w:val="22"/>
          <w:szCs w:val="20"/>
          <w:lang w:eastAsia="en-US"/>
        </w:rPr>
        <w:t>y</w:t>
      </w:r>
      <w:r w:rsidR="001218A8" w:rsidRPr="001218A8">
        <w:rPr>
          <w:sz w:val="22"/>
          <w:szCs w:val="20"/>
          <w:lang w:eastAsia="en-US"/>
        </w:rPr>
        <w:t>.</w:t>
      </w:r>
    </w:p>
    <w:p w14:paraId="137F8864" w14:textId="3B8C4E13" w:rsidR="009E0158" w:rsidRDefault="0096656C" w:rsidP="009805C6">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 xml:space="preserve">Rozvoj centrálnej platformy pre </w:t>
      </w:r>
      <w:r w:rsidR="00D2755E">
        <w:rPr>
          <w:b/>
          <w:i/>
          <w:color w:val="4F81BD" w:themeColor="accent1"/>
          <w:sz w:val="22"/>
          <w:szCs w:val="22"/>
        </w:rPr>
        <w:t xml:space="preserve">zdieľanie, integráciu a riadenie kvality s dôrazom na </w:t>
      </w:r>
      <w:r w:rsidRPr="0096656C">
        <w:rPr>
          <w:b/>
          <w:i/>
          <w:color w:val="4F81BD" w:themeColor="accent1"/>
          <w:sz w:val="22"/>
          <w:szCs w:val="22"/>
        </w:rPr>
        <w:t>otvorené dáta</w:t>
      </w:r>
    </w:p>
    <w:p w14:paraId="1EA01376" w14:textId="77777777" w:rsidR="0096656C" w:rsidRDefault="0096656C" w:rsidP="00AF5171">
      <w:pPr>
        <w:pStyle w:val="06Normal"/>
      </w:pPr>
      <w:r>
        <w:t>Vytvorí sa jednotná centrálna</w:t>
      </w:r>
      <w:r w:rsidRPr="004409EA">
        <w:t xml:space="preserve"> platform</w:t>
      </w:r>
      <w:r>
        <w:t>a</w:t>
      </w:r>
      <w:r w:rsidRPr="004409EA">
        <w:t xml:space="preserve">, </w:t>
      </w:r>
      <w:r w:rsidR="001B1001">
        <w:t xml:space="preserve">kde </w:t>
      </w:r>
      <w:r w:rsidRPr="004409EA">
        <w:t xml:space="preserve">bude k dispozícii katalóg pre všetky otvorené dáta. </w:t>
      </w:r>
      <w:r>
        <w:t>Táto p</w:t>
      </w:r>
      <w:r w:rsidRPr="004409EA">
        <w:t>latforma bude obsahovať rozhrania pre prístup k</w:t>
      </w:r>
      <w:r>
        <w:t> dátam a možnosť ukladania dát.</w:t>
      </w:r>
      <w:r w:rsidR="00B44BC7">
        <w:t xml:space="preserve"> </w:t>
      </w:r>
      <w:r w:rsidRPr="004409EA">
        <w:t xml:space="preserve">Inštitúcie, ktoré budú dáta ukladať centrálne, získajú </w:t>
      </w:r>
      <w:r>
        <w:t>nástroje pre </w:t>
      </w:r>
      <w:r w:rsidRPr="004409EA">
        <w:t>prácu s </w:t>
      </w:r>
      <w:r>
        <w:t>ni</w:t>
      </w:r>
      <w:r w:rsidRPr="004409EA">
        <w:t xml:space="preserve">mi. </w:t>
      </w:r>
      <w:r w:rsidRPr="00DC44EF">
        <w:t xml:space="preserve">Pre používateľov tak bude existovať štandardizovaný postup, ako zverejňovať spôsob prístupu k otvoreným dátam, vrátane </w:t>
      </w:r>
      <w:r>
        <w:t xml:space="preserve">ich </w:t>
      </w:r>
      <w:r w:rsidRPr="00DC44EF">
        <w:t>dátového model</w:t>
      </w:r>
      <w:r>
        <w:t>u</w:t>
      </w:r>
      <w:r w:rsidRPr="00DC44EF">
        <w:t>.</w:t>
      </w:r>
    </w:p>
    <w:p w14:paraId="7E175301" w14:textId="2B27D429" w:rsidR="009E0158" w:rsidRDefault="0096656C" w:rsidP="009805C6">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Implementácia opatrení a nástrojov pre vytváranie</w:t>
      </w:r>
      <w:r w:rsidR="00D2755E">
        <w:rPr>
          <w:b/>
          <w:i/>
          <w:color w:val="4F81BD" w:themeColor="accent1"/>
          <w:sz w:val="22"/>
          <w:szCs w:val="22"/>
        </w:rPr>
        <w:t>, zdieľanie, integráciu a riadenie kvality dát s dôrazom na</w:t>
      </w:r>
      <w:r w:rsidRPr="0096656C">
        <w:rPr>
          <w:b/>
          <w:i/>
          <w:color w:val="4F81BD" w:themeColor="accent1"/>
          <w:sz w:val="22"/>
          <w:szCs w:val="22"/>
        </w:rPr>
        <w:t xml:space="preserve"> otvoren</w:t>
      </w:r>
      <w:r w:rsidR="00D2755E">
        <w:rPr>
          <w:b/>
          <w:i/>
          <w:color w:val="4F81BD" w:themeColor="accent1"/>
          <w:sz w:val="22"/>
          <w:szCs w:val="22"/>
        </w:rPr>
        <w:t>é</w:t>
      </w:r>
      <w:r w:rsidRPr="0096656C">
        <w:rPr>
          <w:b/>
          <w:i/>
          <w:color w:val="4F81BD" w:themeColor="accent1"/>
          <w:sz w:val="22"/>
          <w:szCs w:val="22"/>
        </w:rPr>
        <w:t xml:space="preserve"> dát</w:t>
      </w:r>
      <w:r w:rsidR="00D2755E">
        <w:rPr>
          <w:b/>
          <w:i/>
          <w:color w:val="4F81BD" w:themeColor="accent1"/>
          <w:sz w:val="22"/>
          <w:szCs w:val="22"/>
        </w:rPr>
        <w:t>a</w:t>
      </w:r>
    </w:p>
    <w:p w14:paraId="5FD855F5" w14:textId="77777777" w:rsidR="00E92F9B" w:rsidRDefault="0096656C">
      <w:pPr>
        <w:pStyle w:val="06Normal"/>
        <w:spacing w:after="120"/>
      </w:pPr>
      <w:r>
        <w:t xml:space="preserve">V rámci inštitúcií </w:t>
      </w:r>
      <w:r w:rsidR="001B1001">
        <w:t>VS</w:t>
      </w:r>
      <w:r>
        <w:t xml:space="preserve"> sa prevedie analýza systémov na procesnej, aplikačnej a technologickej úrovni</w:t>
      </w:r>
      <w:r w:rsidR="00E16BAA">
        <w:t xml:space="preserve">, s cieľom </w:t>
      </w:r>
      <w:r>
        <w:t>identifikova</w:t>
      </w:r>
      <w:r w:rsidR="00E16BAA">
        <w:t>ť</w:t>
      </w:r>
      <w:r>
        <w:t>, ktoré dáta bude možné vytvárať a ako to zabezpečiť. Určia sa zdroje dát, ktoré je možné</w:t>
      </w:r>
      <w:r w:rsidR="00B44BC7">
        <w:t xml:space="preserve"> alebo by bolo vhodné</w:t>
      </w:r>
      <w:r>
        <w:t xml:space="preserve"> vytvárať. Zároveň sa identifikuje kvalita, v akej sa dátové zdroje nachádzajú a tiež ich priorita z pohľadu využiteľnosti.</w:t>
      </w:r>
      <w:r w:rsidR="00B44BC7">
        <w:t xml:space="preserve"> </w:t>
      </w:r>
      <w:r>
        <w:t xml:space="preserve">Informačné systémy </w:t>
      </w:r>
      <w:r w:rsidR="001B1001">
        <w:t>VS</w:t>
      </w:r>
      <w:r w:rsidRPr="005E08C1">
        <w:t xml:space="preserve"> budú budované </w:t>
      </w:r>
      <w:r>
        <w:t xml:space="preserve">a modifikované </w:t>
      </w:r>
      <w:r w:rsidRPr="005E08C1">
        <w:t xml:space="preserve">tak, aby boli </w:t>
      </w:r>
      <w:r w:rsidRPr="00711704">
        <w:t>pripravené na otvorené dáta</w:t>
      </w:r>
      <w:r w:rsidRPr="005E08C1">
        <w:t xml:space="preserve"> a </w:t>
      </w:r>
      <w:r>
        <w:t>zverejňovali</w:t>
      </w:r>
      <w:r w:rsidRPr="005E08C1">
        <w:t xml:space="preserve"> informácie o svojich dátach do centrálnej platformy a zároveň poskytova</w:t>
      </w:r>
      <w:r>
        <w:t>li obsah.</w:t>
      </w:r>
      <w:r w:rsidR="003671C3">
        <w:t xml:space="preserve"> </w:t>
      </w:r>
      <w:r w:rsidRPr="005E08C1">
        <w:t xml:space="preserve">Do procesu vytvárania otvorených dát budú nasadené korekčné a analytické nástroje, </w:t>
      </w:r>
      <w:r w:rsidR="00E16BAA">
        <w:t>s cieľom</w:t>
      </w:r>
      <w:r w:rsidRPr="005E08C1">
        <w:t xml:space="preserve"> zaruč</w:t>
      </w:r>
      <w:r w:rsidR="00E16BAA">
        <w:t>iť</w:t>
      </w:r>
      <w:r w:rsidRPr="005E08C1">
        <w:t xml:space="preserve"> správne publikovanie</w:t>
      </w:r>
      <w:r>
        <w:t xml:space="preserve"> dát</w:t>
      </w:r>
      <w:r w:rsidRPr="005E08C1">
        <w:t>.</w:t>
      </w:r>
      <w:r>
        <w:t xml:space="preserve"> Zabezpečí sa dostatočná miera kvality existujúcich dát konsolidáciou dátových zdrojov.</w:t>
      </w:r>
      <w:r w:rsidR="00B44BC7">
        <w:t xml:space="preserve"> </w:t>
      </w:r>
      <w:r>
        <w:t>Zároveň sa implementujú rozhrania, ktoré sprístupnia dáta pre automatizované použitie.</w:t>
      </w:r>
    </w:p>
    <w:p w14:paraId="096676F1" w14:textId="1F5B9A74" w:rsidR="009E0158" w:rsidRDefault="0096656C" w:rsidP="002265FE">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 xml:space="preserve">Rozvoj </w:t>
      </w:r>
      <w:r w:rsidR="00D2755E">
        <w:rPr>
          <w:b/>
          <w:i/>
          <w:color w:val="4F81BD" w:themeColor="accent1"/>
          <w:sz w:val="22"/>
          <w:szCs w:val="22"/>
        </w:rPr>
        <w:t xml:space="preserve">digitálnych zručností, </w:t>
      </w:r>
      <w:r w:rsidRPr="0096656C">
        <w:rPr>
          <w:b/>
          <w:i/>
          <w:color w:val="4F81BD" w:themeColor="accent1"/>
          <w:sz w:val="22"/>
          <w:szCs w:val="22"/>
        </w:rPr>
        <w:t>zjednodušeného prístupu k</w:t>
      </w:r>
      <w:r w:rsidR="00D2755E">
        <w:rPr>
          <w:b/>
          <w:i/>
          <w:color w:val="4F81BD" w:themeColor="accent1"/>
          <w:sz w:val="22"/>
          <w:szCs w:val="22"/>
        </w:rPr>
        <w:t xml:space="preserve"> internetu a k </w:t>
      </w:r>
      <w:r w:rsidR="002D0945">
        <w:rPr>
          <w:b/>
          <w:i/>
          <w:color w:val="4F81BD" w:themeColor="accent1"/>
          <w:sz w:val="22"/>
          <w:szCs w:val="22"/>
        </w:rPr>
        <w:t>informáciám a </w:t>
      </w:r>
      <w:r w:rsidRPr="0096656C">
        <w:rPr>
          <w:b/>
          <w:i/>
          <w:color w:val="4F81BD" w:themeColor="accent1"/>
          <w:sz w:val="22"/>
          <w:szCs w:val="22"/>
        </w:rPr>
        <w:t xml:space="preserve">službám </w:t>
      </w:r>
      <w:r w:rsidR="009E17D5">
        <w:rPr>
          <w:b/>
          <w:i/>
          <w:color w:val="4F81BD" w:themeColor="accent1"/>
          <w:sz w:val="22"/>
          <w:szCs w:val="22"/>
        </w:rPr>
        <w:t>VS</w:t>
      </w:r>
      <w:r w:rsidRPr="0096656C">
        <w:rPr>
          <w:b/>
          <w:i/>
          <w:color w:val="4F81BD" w:themeColor="accent1"/>
          <w:sz w:val="22"/>
          <w:szCs w:val="22"/>
        </w:rPr>
        <w:t xml:space="preserve"> pre znevýhodnené skupiny</w:t>
      </w:r>
    </w:p>
    <w:p w14:paraId="3AEDB459" w14:textId="77777777" w:rsidR="00E92F9B" w:rsidRDefault="001218A8">
      <w:pPr>
        <w:spacing w:after="180"/>
        <w:jc w:val="both"/>
        <w:rPr>
          <w:rFonts w:eastAsia="Arial Unicode MS"/>
          <w:sz w:val="22"/>
          <w:szCs w:val="22"/>
        </w:rPr>
      </w:pPr>
      <w:r w:rsidRPr="001218A8">
        <w:rPr>
          <w:sz w:val="22"/>
          <w:szCs w:val="22"/>
          <w:lang w:eastAsia="en-US"/>
        </w:rPr>
        <w:t xml:space="preserve">V rámci aktivít sa bude monitorovať a analyzovať situácia v oblasti prístupnosti webového prostredia </w:t>
      </w:r>
      <w:r w:rsidR="00285413" w:rsidRPr="00DE2B09">
        <w:rPr>
          <w:sz w:val="22"/>
          <w:szCs w:val="22"/>
          <w:lang w:eastAsia="en-US"/>
        </w:rPr>
        <w:t>VS</w:t>
      </w:r>
      <w:r w:rsidRPr="001218A8">
        <w:rPr>
          <w:sz w:val="22"/>
          <w:szCs w:val="22"/>
          <w:lang w:eastAsia="en-US"/>
        </w:rPr>
        <w:t>, a to najmä za účelom jej zlepšovani</w:t>
      </w:r>
      <w:r w:rsidR="00285413" w:rsidRPr="00DE2B09">
        <w:rPr>
          <w:sz w:val="22"/>
          <w:szCs w:val="22"/>
          <w:lang w:eastAsia="en-US"/>
        </w:rPr>
        <w:t>a</w:t>
      </w:r>
      <w:r w:rsidRPr="001218A8">
        <w:rPr>
          <w:sz w:val="22"/>
          <w:szCs w:val="22"/>
          <w:lang w:eastAsia="en-US"/>
        </w:rPr>
        <w:t xml:space="preserve"> a zosúladeni</w:t>
      </w:r>
      <w:r w:rsidR="00285413" w:rsidRPr="00DE2B09">
        <w:rPr>
          <w:sz w:val="22"/>
          <w:szCs w:val="22"/>
          <w:lang w:eastAsia="en-US"/>
        </w:rPr>
        <w:t>a</w:t>
      </w:r>
      <w:r w:rsidRPr="001218A8">
        <w:rPr>
          <w:sz w:val="22"/>
          <w:szCs w:val="22"/>
          <w:lang w:eastAsia="en-US"/>
        </w:rPr>
        <w:t xml:space="preserve"> v rámci štandardov WCAG 2o.0.</w:t>
      </w:r>
      <w:r w:rsidR="003671C3" w:rsidRPr="00DE2B09">
        <w:rPr>
          <w:sz w:val="22"/>
          <w:szCs w:val="22"/>
          <w:lang w:eastAsia="en-US"/>
        </w:rPr>
        <w:t xml:space="preserve"> </w:t>
      </w:r>
      <w:r w:rsidRPr="001218A8">
        <w:rPr>
          <w:rFonts w:eastAsia="Arial Unicode MS"/>
          <w:sz w:val="22"/>
          <w:szCs w:val="22"/>
        </w:rPr>
        <w:t>Identifikujú sa služby, ktoré bude vhodné implementovať podľa konceptu „Dizajn pre všetkých“. Tento koncept aplikuje princípy</w:t>
      </w:r>
      <w:r w:rsidR="00E16BAA">
        <w:rPr>
          <w:rFonts w:eastAsia="Arial Unicode MS"/>
          <w:sz w:val="22"/>
          <w:szCs w:val="22"/>
        </w:rPr>
        <w:t xml:space="preserve"> </w:t>
      </w:r>
      <w:r w:rsidRPr="001218A8">
        <w:rPr>
          <w:rFonts w:eastAsia="Arial Unicode MS"/>
          <w:sz w:val="22"/>
          <w:szCs w:val="22"/>
        </w:rPr>
        <w:t>a nástroje na vytvorenie univerzálneho dizajnu, ktorý dokáže adresovať celý rozsah ľudských schopností, požiadaviek a preferencií. Následne budú tieto služby prispôsobené, aby spĺňali stanovené požiadavky. Pre jednotlivé kategórie znevýhodnených skupín sa tiež identifikujú vhodné platformy asistovaných sociálnych sietí pre zdieľanie problémov a pre hľadanie návodov ako sa aktívne zapojiť do spoločenského a ekonomického diania.</w:t>
      </w:r>
    </w:p>
    <w:p w14:paraId="676C72D5" w14:textId="77C7163A" w:rsidR="00D2755E" w:rsidRPr="00D2755E" w:rsidRDefault="00D2755E">
      <w:pPr>
        <w:spacing w:after="180"/>
        <w:jc w:val="both"/>
        <w:rPr>
          <w:rFonts w:eastAsia="Arial Unicode MS"/>
          <w:sz w:val="22"/>
          <w:szCs w:val="22"/>
        </w:rPr>
      </w:pPr>
      <w:r w:rsidRPr="00B91A13">
        <w:rPr>
          <w:rFonts w:eastAsia="Arial Unicode MS"/>
          <w:sz w:val="22"/>
          <w:szCs w:val="22"/>
        </w:rPr>
        <w:t>Využívanie zjednodušených služieb je ovplyvnené tak digitálnymi zručnosťami ako aj prostredím znevýhodnených skupín. Pre tento účel budú podporené cieľové skupiny prostredníctvom zavádzania udržateľných modelov asistencie, pomoci a dostupnosti infraštruktúry za účelom nárastu benefitov plynúcich z participácie na digitálnom trhu.</w:t>
      </w:r>
    </w:p>
    <w:p w14:paraId="4C2C8808" w14:textId="77777777" w:rsidR="009E0158" w:rsidRDefault="004459AB" w:rsidP="002265FE">
      <w:pPr>
        <w:pStyle w:val="Odsekzoznamu"/>
        <w:numPr>
          <w:ilvl w:val="0"/>
          <w:numId w:val="68"/>
        </w:numPr>
        <w:spacing w:after="180"/>
        <w:jc w:val="both"/>
        <w:rPr>
          <w:b/>
          <w:i/>
          <w:color w:val="4F81BD" w:themeColor="accent1"/>
          <w:sz w:val="22"/>
          <w:szCs w:val="22"/>
        </w:rPr>
      </w:pPr>
      <w:r w:rsidRPr="004459AB">
        <w:rPr>
          <w:b/>
          <w:i/>
          <w:iCs/>
          <w:color w:val="4F81BD" w:themeColor="accent1"/>
          <w:sz w:val="22"/>
          <w:szCs w:val="22"/>
        </w:rPr>
        <w:t>Zavedenie nástrojov pre podporu asistovaného života a</w:t>
      </w:r>
      <w:r>
        <w:rPr>
          <w:b/>
          <w:i/>
          <w:iCs/>
          <w:color w:val="4F81BD" w:themeColor="accent1"/>
          <w:sz w:val="22"/>
          <w:szCs w:val="22"/>
        </w:rPr>
        <w:t> </w:t>
      </w:r>
      <w:r w:rsidRPr="004459AB">
        <w:rPr>
          <w:b/>
          <w:i/>
          <w:iCs/>
          <w:color w:val="4F81BD" w:themeColor="accent1"/>
          <w:sz w:val="22"/>
          <w:szCs w:val="22"/>
        </w:rPr>
        <w:t>telemedicíny</w:t>
      </w:r>
    </w:p>
    <w:p w14:paraId="636B829B" w14:textId="77777777" w:rsidR="004459AB" w:rsidRDefault="004459AB">
      <w:pPr>
        <w:pStyle w:val="06Normal"/>
        <w:rPr>
          <w:rFonts w:eastAsia="Arial Unicode MS"/>
        </w:rPr>
      </w:pPr>
      <w:r>
        <w:rPr>
          <w:rFonts w:eastAsia="Arial Unicode MS"/>
        </w:rPr>
        <w:t>Vyvinú sa nástroje, ktoré zapoj</w:t>
      </w:r>
      <w:r w:rsidR="001355D9">
        <w:rPr>
          <w:rFonts w:eastAsia="Arial Unicode MS"/>
        </w:rPr>
        <w:t>a znevýhodnené skupiny, príp.</w:t>
      </w:r>
      <w:r>
        <w:rPr>
          <w:rFonts w:eastAsia="Arial Unicode MS"/>
        </w:rPr>
        <w:t xml:space="preserve"> aj ich opatrovateľov do spoločenského a pracovného života. </w:t>
      </w:r>
      <w:r w:rsidRPr="00CE5A27">
        <w:rPr>
          <w:rFonts w:eastAsia="Arial Unicode MS"/>
        </w:rPr>
        <w:t>Vytvoria sa podmienky pre poskytovanie služieb asistovaného života.</w:t>
      </w:r>
      <w:r>
        <w:rPr>
          <w:rFonts w:eastAsia="Arial Unicode MS"/>
        </w:rPr>
        <w:t xml:space="preserve"> Prostredníctvom nasadenia služieb telemedicíny možno</w:t>
      </w:r>
      <w:r w:rsidR="00DE2B09">
        <w:rPr>
          <w:rFonts w:eastAsia="Arial Unicode MS"/>
        </w:rPr>
        <w:t xml:space="preserve"> </w:t>
      </w:r>
      <w:r>
        <w:rPr>
          <w:rFonts w:eastAsia="Arial Unicode MS"/>
        </w:rPr>
        <w:t>časť zdravotnej starostlivosti poskytovať na</w:t>
      </w:r>
      <w:r w:rsidR="007D50EA">
        <w:rPr>
          <w:rFonts w:eastAsia="Arial Unicode MS"/>
        </w:rPr>
        <w:t> </w:t>
      </w:r>
      <w:r>
        <w:rPr>
          <w:rFonts w:eastAsia="Arial Unicode MS"/>
        </w:rPr>
        <w:t>diaľku v domácom prostredí, hlavne monitorovanie pacientov s chronickými ochoreniami. Zavedú sa služby telemedicíny, ktoré budú integrované do procesov zdravotn</w:t>
      </w:r>
      <w:r w:rsidRPr="00CE5A27">
        <w:rPr>
          <w:rFonts w:eastAsia="Arial Unicode MS"/>
        </w:rPr>
        <w:t>ej starostlivosti.</w:t>
      </w:r>
    </w:p>
    <w:p w14:paraId="2E7E5D22"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 xml:space="preserve">Modernizácia fungovania </w:t>
      </w:r>
      <w:r w:rsidR="009E17D5">
        <w:rPr>
          <w:b/>
          <w:i/>
          <w:iCs/>
          <w:color w:val="4F81BD" w:themeColor="accent1"/>
          <w:sz w:val="22"/>
          <w:szCs w:val="22"/>
        </w:rPr>
        <w:t>VS</w:t>
      </w:r>
      <w:r w:rsidRPr="001218A8">
        <w:rPr>
          <w:b/>
          <w:i/>
          <w:iCs/>
          <w:color w:val="4F81BD" w:themeColor="accent1"/>
          <w:sz w:val="22"/>
          <w:szCs w:val="22"/>
        </w:rPr>
        <w:t xml:space="preserve"> pri výkone agendy prostredníctvom </w:t>
      </w:r>
      <w:r w:rsidR="009E17D5">
        <w:rPr>
          <w:b/>
          <w:i/>
          <w:iCs/>
          <w:color w:val="4F81BD" w:themeColor="accent1"/>
          <w:sz w:val="22"/>
          <w:szCs w:val="22"/>
        </w:rPr>
        <w:t>IKT</w:t>
      </w:r>
    </w:p>
    <w:p w14:paraId="40C7BF9D" w14:textId="11C56A76" w:rsidR="004459AB" w:rsidRPr="005E08C1" w:rsidRDefault="004459AB" w:rsidP="004459AB">
      <w:pPr>
        <w:pStyle w:val="06Normal"/>
        <w:rPr>
          <w:rFonts w:eastAsia="Arial Unicode MS"/>
        </w:rPr>
      </w:pPr>
      <w:r>
        <w:rPr>
          <w:rFonts w:eastAsia="Arial Unicode MS"/>
        </w:rPr>
        <w:t xml:space="preserve">V rámci aktivity sa zrealizuje podpora </w:t>
      </w:r>
      <w:r w:rsidR="003671C3">
        <w:rPr>
          <w:rFonts w:eastAsia="Arial Unicode MS"/>
        </w:rPr>
        <w:t>IKT</w:t>
      </w:r>
      <w:r>
        <w:rPr>
          <w:rFonts w:eastAsia="Arial Unicode MS"/>
        </w:rPr>
        <w:t xml:space="preserve"> pre reformu </w:t>
      </w:r>
      <w:r w:rsidR="00285413">
        <w:rPr>
          <w:rFonts w:eastAsia="Arial Unicode MS"/>
        </w:rPr>
        <w:t>VS</w:t>
      </w:r>
      <w:r>
        <w:rPr>
          <w:rFonts w:eastAsia="Arial Unicode MS"/>
        </w:rPr>
        <w:t>.</w:t>
      </w:r>
      <w:r w:rsidR="00B44BC7">
        <w:rPr>
          <w:rFonts w:eastAsia="Arial Unicode MS"/>
        </w:rPr>
        <w:t xml:space="preserve"> </w:t>
      </w:r>
      <w:r>
        <w:rPr>
          <w:rFonts w:eastAsia="Arial Unicode MS"/>
        </w:rPr>
        <w:t>Klientske centrá</w:t>
      </w:r>
      <w:r w:rsidRPr="005E08C1">
        <w:rPr>
          <w:rFonts w:eastAsia="Arial Unicode MS"/>
        </w:rPr>
        <w:t xml:space="preserve"> s kvalifikovaným personálom</w:t>
      </w:r>
      <w:r w:rsidR="003B1DEE">
        <w:rPr>
          <w:rFonts w:eastAsia="Arial Unicode MS"/>
        </w:rPr>
        <w:t>,</w:t>
      </w:r>
      <w:r w:rsidRPr="005E08C1">
        <w:rPr>
          <w:rFonts w:eastAsia="Arial Unicode MS"/>
        </w:rPr>
        <w:t xml:space="preserve"> </w:t>
      </w:r>
      <w:r>
        <w:rPr>
          <w:rFonts w:eastAsia="Arial Unicode MS"/>
        </w:rPr>
        <w:t xml:space="preserve">budú vybavené </w:t>
      </w:r>
      <w:r w:rsidR="00285413">
        <w:rPr>
          <w:rFonts w:eastAsia="Arial Unicode MS"/>
        </w:rPr>
        <w:t>IKT</w:t>
      </w:r>
      <w:r>
        <w:rPr>
          <w:rFonts w:eastAsia="Arial Unicode MS"/>
        </w:rPr>
        <w:t xml:space="preserve"> pre obsluhu zákazníkov a prístup k vzdialeným systémom</w:t>
      </w:r>
      <w:r w:rsidR="002D0945">
        <w:rPr>
          <w:rFonts w:eastAsia="Arial Unicode MS"/>
        </w:rPr>
        <w:t xml:space="preserve"> a </w:t>
      </w:r>
      <w:r>
        <w:rPr>
          <w:rFonts w:eastAsia="Arial Unicode MS"/>
        </w:rPr>
        <w:t xml:space="preserve">databázam. Informačné systémy nasadené v centrách budú implementovať </w:t>
      </w:r>
      <w:r w:rsidRPr="005E08C1">
        <w:rPr>
          <w:rFonts w:eastAsia="Arial Unicode MS"/>
        </w:rPr>
        <w:t xml:space="preserve">jednotný </w:t>
      </w:r>
      <w:r w:rsidRPr="00FE652D">
        <w:rPr>
          <w:rFonts w:eastAsia="Arial Unicode MS"/>
        </w:rPr>
        <w:t>spôsob obsluhy pre služby</w:t>
      </w:r>
      <w:r w:rsidRPr="005E08C1">
        <w:rPr>
          <w:rFonts w:eastAsia="Arial Unicode MS"/>
        </w:rPr>
        <w:t xml:space="preserve"> </w:t>
      </w:r>
      <w:r w:rsidR="00285413">
        <w:rPr>
          <w:rFonts w:eastAsia="Arial Unicode MS"/>
        </w:rPr>
        <w:t>VS</w:t>
      </w:r>
      <w:r w:rsidRPr="005E08C1">
        <w:rPr>
          <w:rFonts w:eastAsia="Arial Unicode MS"/>
        </w:rPr>
        <w:t xml:space="preserve">. </w:t>
      </w:r>
      <w:r w:rsidR="00E16BAA">
        <w:rPr>
          <w:rFonts w:eastAsia="Arial Unicode MS"/>
        </w:rPr>
        <w:t>Cieľom</w:t>
      </w:r>
      <w:r>
        <w:rPr>
          <w:rFonts w:eastAsia="Arial Unicode MS"/>
        </w:rPr>
        <w:t xml:space="preserve"> je, aby v mieste asistovaných služieb bolo možné vybaviť každý problém súvisiaci s </w:t>
      </w:r>
      <w:r w:rsidR="00285413">
        <w:rPr>
          <w:rFonts w:eastAsia="Arial Unicode MS"/>
        </w:rPr>
        <w:t>VS</w:t>
      </w:r>
      <w:r w:rsidR="0096667C">
        <w:rPr>
          <w:rFonts w:eastAsia="Arial Unicode MS"/>
        </w:rPr>
        <w:t>.</w:t>
      </w:r>
    </w:p>
    <w:p w14:paraId="4A0EB0D8" w14:textId="42BAE114" w:rsidR="004459AB" w:rsidRDefault="004459AB" w:rsidP="004459AB">
      <w:pPr>
        <w:pStyle w:val="06Normal"/>
        <w:rPr>
          <w:rFonts w:eastAsia="Arial Unicode MS"/>
        </w:rPr>
      </w:pPr>
      <w:r w:rsidRPr="005E08C1">
        <w:rPr>
          <w:rFonts w:eastAsia="Arial Unicode MS"/>
        </w:rPr>
        <w:lastRenderedPageBreak/>
        <w:t xml:space="preserve">Na riadenie obsluhy zákazníkov budú </w:t>
      </w:r>
      <w:r>
        <w:rPr>
          <w:rFonts w:eastAsia="Arial Unicode MS"/>
        </w:rPr>
        <w:t>nasadené</w:t>
      </w:r>
      <w:r w:rsidRPr="005E08C1">
        <w:rPr>
          <w:rFonts w:eastAsia="Arial Unicode MS"/>
        </w:rPr>
        <w:t xml:space="preserve"> moderné </w:t>
      </w:r>
      <w:r w:rsidR="003B1DEE">
        <w:rPr>
          <w:rFonts w:eastAsia="Arial Unicode MS"/>
        </w:rPr>
        <w:t>IKT</w:t>
      </w:r>
      <w:r w:rsidRPr="005E08C1">
        <w:rPr>
          <w:rFonts w:eastAsia="Arial Unicode MS"/>
        </w:rPr>
        <w:t>, ako vyvolávac</w:t>
      </w:r>
      <w:r>
        <w:rPr>
          <w:rFonts w:eastAsia="Arial Unicode MS"/>
        </w:rPr>
        <w:t>í</w:t>
      </w:r>
      <w:r w:rsidRPr="005E08C1">
        <w:rPr>
          <w:rFonts w:eastAsia="Arial Unicode MS"/>
        </w:rPr>
        <w:t xml:space="preserve"> systém a centralizovaný systém pre manažment vzťahov s občanmi. Ten ponúkne štandardizo</w:t>
      </w:r>
      <w:r w:rsidR="002D0945">
        <w:rPr>
          <w:rFonts w:eastAsia="Arial Unicode MS"/>
        </w:rPr>
        <w:t>vané procesy obsluhy občana pre </w:t>
      </w:r>
      <w:r w:rsidRPr="005E08C1">
        <w:rPr>
          <w:rFonts w:eastAsia="Arial Unicode MS"/>
        </w:rPr>
        <w:t xml:space="preserve">každú životnú situáciu. Počas samotnej obsluhy sa bude podľa potreby </w:t>
      </w:r>
      <w:r w:rsidRPr="00585175">
        <w:rPr>
          <w:rFonts w:eastAsia="Arial Unicode MS"/>
        </w:rPr>
        <w:t xml:space="preserve">automaticky komunikovať s agendovými informačnými systémami </w:t>
      </w:r>
      <w:r w:rsidR="00B44BC7">
        <w:rPr>
          <w:rFonts w:eastAsia="Arial Unicode MS"/>
        </w:rPr>
        <w:t>VS</w:t>
      </w:r>
      <w:r w:rsidRPr="00585175">
        <w:rPr>
          <w:rFonts w:eastAsia="Arial Unicode MS"/>
        </w:rPr>
        <w:t xml:space="preserve"> a generovať elektronické úlohy pre pracovníkov vykonávajúcich na pozadí vecnú agendu.</w:t>
      </w:r>
    </w:p>
    <w:p w14:paraId="30A31AE6" w14:textId="77777777" w:rsidR="004459AB" w:rsidRPr="005E08C1" w:rsidRDefault="004459AB" w:rsidP="004459AB">
      <w:pPr>
        <w:pStyle w:val="06Normal"/>
        <w:rPr>
          <w:rFonts w:eastAsia="Arial Unicode MS"/>
        </w:rPr>
      </w:pPr>
      <w:r w:rsidRPr="00585175">
        <w:rPr>
          <w:rFonts w:eastAsia="Arial Unicode MS"/>
        </w:rPr>
        <w:t>Aby bolo možné efektívne realizovať konania, ktoré boli zadané v procesoch obsluhy na front office (mieste obsluhy), bude potrebn</w:t>
      </w:r>
      <w:r w:rsidR="003B1DEE">
        <w:rPr>
          <w:rFonts w:eastAsia="Arial Unicode MS"/>
        </w:rPr>
        <w:t xml:space="preserve">á </w:t>
      </w:r>
      <w:r w:rsidRPr="00585175">
        <w:rPr>
          <w:rFonts w:eastAsia="Arial Unicode MS"/>
        </w:rPr>
        <w:t>štandardizáci</w:t>
      </w:r>
      <w:r w:rsidR="003B1DEE">
        <w:rPr>
          <w:rFonts w:eastAsia="Arial Unicode MS"/>
        </w:rPr>
        <w:t>a</w:t>
      </w:r>
      <w:r w:rsidRPr="00585175">
        <w:rPr>
          <w:rFonts w:eastAsia="Arial Unicode MS"/>
        </w:rPr>
        <w:t xml:space="preserve"> úloh vo </w:t>
      </w:r>
      <w:r w:rsidR="00285413">
        <w:rPr>
          <w:rFonts w:eastAsia="Arial Unicode MS"/>
        </w:rPr>
        <w:t>VS</w:t>
      </w:r>
      <w:r w:rsidRPr="00585175">
        <w:rPr>
          <w:rFonts w:eastAsia="Arial Unicode MS"/>
        </w:rPr>
        <w:t xml:space="preserve">. Aby bolo možné takéto úlohy efektívne manažovať, zavedú sa procesné mapy pre každú agendu. Informačné systémy </w:t>
      </w:r>
      <w:r w:rsidR="00285413">
        <w:rPr>
          <w:rFonts w:eastAsia="Arial Unicode MS"/>
        </w:rPr>
        <w:t>VS</w:t>
      </w:r>
      <w:r w:rsidRPr="00585175">
        <w:rPr>
          <w:rFonts w:eastAsia="Arial Unicode MS"/>
        </w:rPr>
        <w:t xml:space="preserve"> budú upravené</w:t>
      </w:r>
      <w:r>
        <w:rPr>
          <w:rFonts w:eastAsia="Arial Unicode MS"/>
        </w:rPr>
        <w:t>,</w:t>
      </w:r>
      <w:r w:rsidRPr="00585175">
        <w:rPr>
          <w:rFonts w:eastAsia="Arial Unicode MS"/>
        </w:rPr>
        <w:t xml:space="preserve"> aby takýto beh procesov umožnili.</w:t>
      </w:r>
    </w:p>
    <w:p w14:paraId="7C4BA784" w14:textId="77777777" w:rsidR="004459AB" w:rsidRPr="005E08C1" w:rsidRDefault="004459AB">
      <w:pPr>
        <w:pStyle w:val="06Normal"/>
        <w:rPr>
          <w:rFonts w:eastAsia="Arial Unicode MS"/>
        </w:rPr>
      </w:pPr>
      <w:r>
        <w:rPr>
          <w:rFonts w:eastAsia="Arial Unicode MS"/>
        </w:rPr>
        <w:t>Implementujú sa taktiež informačné systémy</w:t>
      </w:r>
      <w:r w:rsidRPr="005E08C1">
        <w:rPr>
          <w:rFonts w:eastAsia="Arial Unicode MS"/>
        </w:rPr>
        <w:t xml:space="preserve"> pre podporu man</w:t>
      </w:r>
      <w:r>
        <w:rPr>
          <w:rFonts w:eastAsia="Arial Unicode MS"/>
        </w:rPr>
        <w:t xml:space="preserve">ažmentu kvality </w:t>
      </w:r>
      <w:r w:rsidR="00285413">
        <w:rPr>
          <w:rFonts w:eastAsia="Arial Unicode MS"/>
        </w:rPr>
        <w:t>VS</w:t>
      </w:r>
      <w:r>
        <w:rPr>
          <w:rFonts w:eastAsia="Arial Unicode MS"/>
        </w:rPr>
        <w:t xml:space="preserve">. </w:t>
      </w:r>
      <w:r w:rsidRPr="007F62FC">
        <w:rPr>
          <w:rFonts w:eastAsia="Arial Unicode MS"/>
        </w:rPr>
        <w:t xml:space="preserve">Elektronizácia úloh </w:t>
      </w:r>
      <w:r w:rsidR="003B1DEE">
        <w:rPr>
          <w:rFonts w:eastAsia="Arial Unicode MS"/>
        </w:rPr>
        <w:t>umožní získať</w:t>
      </w:r>
      <w:r w:rsidRPr="007F62FC">
        <w:rPr>
          <w:rFonts w:eastAsia="Arial Unicode MS"/>
        </w:rPr>
        <w:t xml:space="preserve"> prehľad o vykonaných aktivitách v rámci konaní </w:t>
      </w:r>
      <w:r w:rsidR="00285413">
        <w:rPr>
          <w:rFonts w:eastAsia="Arial Unicode MS"/>
        </w:rPr>
        <w:t>VS</w:t>
      </w:r>
      <w:r w:rsidR="003671C3">
        <w:rPr>
          <w:rFonts w:eastAsia="Arial Unicode MS"/>
        </w:rPr>
        <w:t xml:space="preserve"> a </w:t>
      </w:r>
      <w:r w:rsidRPr="007F62FC">
        <w:rPr>
          <w:rFonts w:eastAsia="Arial Unicode MS"/>
        </w:rPr>
        <w:t xml:space="preserve">možnosti pre </w:t>
      </w:r>
      <w:r w:rsidR="00634383">
        <w:rPr>
          <w:rFonts w:eastAsia="Arial Unicode MS"/>
        </w:rPr>
        <w:t>s</w:t>
      </w:r>
      <w:r w:rsidRPr="007F62FC">
        <w:rPr>
          <w:rFonts w:eastAsia="Arial Unicode MS"/>
        </w:rPr>
        <w:t>ledovani</w:t>
      </w:r>
      <w:r w:rsidR="00634383">
        <w:rPr>
          <w:rFonts w:eastAsia="Arial Unicode MS"/>
        </w:rPr>
        <w:t>e</w:t>
      </w:r>
      <w:r w:rsidRPr="007F62FC">
        <w:rPr>
          <w:rFonts w:eastAsia="Arial Unicode MS"/>
        </w:rPr>
        <w:t xml:space="preserve"> výkonnostných ukazovateľov pre ekonomické a procesné oblasti.</w:t>
      </w:r>
      <w:r w:rsidR="003B1DEE">
        <w:rPr>
          <w:rFonts w:eastAsia="Arial Unicode MS"/>
        </w:rPr>
        <w:t xml:space="preserve"> </w:t>
      </w:r>
      <w:r>
        <w:rPr>
          <w:rFonts w:eastAsia="Arial Unicode MS"/>
        </w:rPr>
        <w:t>Aby bolo možné efektívne v</w:t>
      </w:r>
      <w:r w:rsidR="001355D9">
        <w:rPr>
          <w:rFonts w:eastAsia="Arial Unicode MS"/>
        </w:rPr>
        <w:t>ybavovať súvisiace agendy</w:t>
      </w:r>
      <w:r>
        <w:rPr>
          <w:rFonts w:eastAsia="Arial Unicode MS"/>
        </w:rPr>
        <w:t xml:space="preserve"> zastrešujú rôzne odbornosti, bude nutná dátová integrácia informačných systémov </w:t>
      </w:r>
      <w:r w:rsidR="00634383">
        <w:rPr>
          <w:rFonts w:eastAsia="Arial Unicode MS"/>
        </w:rPr>
        <w:t>VS</w:t>
      </w:r>
      <w:r>
        <w:rPr>
          <w:rFonts w:eastAsia="Arial Unicode MS"/>
        </w:rPr>
        <w:t xml:space="preserve">. </w:t>
      </w:r>
    </w:p>
    <w:p w14:paraId="7D667B78"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 xml:space="preserve">Optimalizácia podporných a administratívnych činností prostredníctvom </w:t>
      </w:r>
      <w:r w:rsidR="009E17D5">
        <w:rPr>
          <w:b/>
          <w:i/>
          <w:iCs/>
          <w:color w:val="4F81BD" w:themeColor="accent1"/>
          <w:sz w:val="22"/>
          <w:szCs w:val="22"/>
        </w:rPr>
        <w:t>IKT</w:t>
      </w:r>
    </w:p>
    <w:p w14:paraId="5F9BA8FF" w14:textId="77777777" w:rsidR="004459AB" w:rsidRDefault="004459AB" w:rsidP="00AF5171">
      <w:pPr>
        <w:pStyle w:val="06Normal"/>
        <w:rPr>
          <w:rFonts w:eastAsia="Arial Unicode MS"/>
        </w:rPr>
      </w:pPr>
      <w:r w:rsidRPr="009F1D6A">
        <w:rPr>
          <w:rFonts w:eastAsia="Arial Unicode MS"/>
        </w:rPr>
        <w:t xml:space="preserve">V rámci reformy </w:t>
      </w:r>
      <w:r w:rsidR="00634383">
        <w:rPr>
          <w:rFonts w:eastAsia="Arial Unicode MS"/>
        </w:rPr>
        <w:t>VS</w:t>
      </w:r>
      <w:r w:rsidRPr="009F1D6A">
        <w:rPr>
          <w:rFonts w:eastAsia="Arial Unicode MS"/>
        </w:rPr>
        <w:t xml:space="preserve"> dôjde aj k centralizácií podporných procesov a operácii. V rámci organizácií </w:t>
      </w:r>
      <w:r w:rsidR="003F35D1">
        <w:rPr>
          <w:rFonts w:eastAsia="Arial Unicode MS"/>
        </w:rPr>
        <w:t>VS</w:t>
      </w:r>
      <w:r w:rsidRPr="009F1D6A">
        <w:rPr>
          <w:rFonts w:eastAsia="Arial Unicode MS"/>
        </w:rPr>
        <w:t xml:space="preserve"> budú vznikať špecializované organizačné jednotky zamerané na konkrétnu kompetenciu </w:t>
      </w:r>
      <w:r>
        <w:rPr>
          <w:rFonts w:eastAsia="Arial Unicode MS"/>
        </w:rPr>
        <w:t xml:space="preserve">metodicko-procesnej </w:t>
      </w:r>
      <w:r w:rsidRPr="009F1D6A">
        <w:rPr>
          <w:rFonts w:eastAsia="Arial Unicode MS"/>
        </w:rPr>
        <w:t>podpory vybavené informačnými nástrojmi pre riešenie požiadaviek.</w:t>
      </w:r>
      <w:r w:rsidR="00634383">
        <w:rPr>
          <w:rFonts w:eastAsia="Arial Unicode MS"/>
        </w:rPr>
        <w:t xml:space="preserve"> </w:t>
      </w:r>
      <w:r w:rsidRPr="009F1D6A">
        <w:rPr>
          <w:rFonts w:eastAsia="Arial Unicode MS"/>
        </w:rPr>
        <w:t>Zavedú sa konsolidované informačné systémy</w:t>
      </w:r>
      <w:r>
        <w:rPr>
          <w:rFonts w:eastAsia="Arial Unicode MS"/>
        </w:rPr>
        <w:t xml:space="preserve"> pre riešenie podporných a administratívnych činností</w:t>
      </w:r>
      <w:r w:rsidRPr="009F1D6A">
        <w:rPr>
          <w:rFonts w:eastAsia="Arial Unicode MS"/>
        </w:rPr>
        <w:t xml:space="preserve">, ktoré </w:t>
      </w:r>
      <w:r>
        <w:rPr>
          <w:rFonts w:eastAsia="Arial Unicode MS"/>
        </w:rPr>
        <w:t xml:space="preserve">budú </w:t>
      </w:r>
      <w:r w:rsidRPr="009F1D6A">
        <w:rPr>
          <w:rFonts w:eastAsia="Arial Unicode MS"/>
        </w:rPr>
        <w:t xml:space="preserve">poskytované záujemcom vo </w:t>
      </w:r>
      <w:r w:rsidR="00634383">
        <w:rPr>
          <w:rFonts w:eastAsia="Arial Unicode MS"/>
        </w:rPr>
        <w:t>VS</w:t>
      </w:r>
      <w:r w:rsidRPr="009F1D6A">
        <w:rPr>
          <w:rFonts w:eastAsia="Arial Unicode MS"/>
        </w:rPr>
        <w:t xml:space="preserve"> formou </w:t>
      </w:r>
      <w:r w:rsidRPr="009F1D6A">
        <w:rPr>
          <w:rFonts w:eastAsia="Arial Unicode MS"/>
          <w:i/>
        </w:rPr>
        <w:t>Software-as-a-service</w:t>
      </w:r>
      <w:r w:rsidRPr="009F1D6A">
        <w:rPr>
          <w:rFonts w:eastAsia="Arial Unicode MS"/>
        </w:rPr>
        <w:t>.</w:t>
      </w:r>
    </w:p>
    <w:p w14:paraId="71AF28F5"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 xml:space="preserve">Podpora využívania znalostí vo </w:t>
      </w:r>
      <w:r w:rsidR="009E17D5">
        <w:rPr>
          <w:b/>
          <w:i/>
          <w:iCs/>
          <w:color w:val="4F81BD" w:themeColor="accent1"/>
          <w:sz w:val="22"/>
          <w:szCs w:val="22"/>
        </w:rPr>
        <w:t>VS</w:t>
      </w:r>
    </w:p>
    <w:p w14:paraId="67C3358A" w14:textId="77777777" w:rsidR="004459AB" w:rsidRDefault="004459AB" w:rsidP="00AF5171">
      <w:pPr>
        <w:pStyle w:val="06Normal"/>
      </w:pPr>
      <w:r w:rsidRPr="008C5347">
        <w:t>Budú sa implementovať systémy, ktoré umožnia komplexnú prácu s</w:t>
      </w:r>
      <w:r w:rsidR="003F35D1">
        <w:t> </w:t>
      </w:r>
      <w:r w:rsidRPr="008C5347">
        <w:t>informáciami</w:t>
      </w:r>
      <w:r w:rsidR="003F35D1">
        <w:t xml:space="preserve"> a </w:t>
      </w:r>
      <w:r w:rsidRPr="008C5347">
        <w:t>množstvom dát najmä v o</w:t>
      </w:r>
      <w:r>
        <w:t>blasti odhaľovania podvodov</w:t>
      </w:r>
      <w:r w:rsidR="00DE2B09">
        <w:t>,</w:t>
      </w:r>
      <w:r w:rsidR="003B1DEE">
        <w:t xml:space="preserve"> </w:t>
      </w:r>
      <w:r w:rsidRPr="008C5347">
        <w:t>rizikových analýz</w:t>
      </w:r>
      <w:r w:rsidR="001355D9">
        <w:t xml:space="preserve"> a</w:t>
      </w:r>
      <w:r>
        <w:t xml:space="preserve"> simuláci</w:t>
      </w:r>
      <w:r w:rsidR="009E17D5">
        <w:t>e</w:t>
      </w:r>
      <w:r>
        <w:t xml:space="preserve"> dopadov politík</w:t>
      </w:r>
      <w:r w:rsidRPr="008C5347">
        <w:t xml:space="preserve">. </w:t>
      </w:r>
      <w:r w:rsidRPr="005E08C1">
        <w:rPr>
          <w:rFonts w:eastAsia="Arial Unicode MS"/>
        </w:rPr>
        <w:t xml:space="preserve">Všetky vygenerované znalosti vo </w:t>
      </w:r>
      <w:r w:rsidR="00634383">
        <w:rPr>
          <w:rFonts w:eastAsia="Arial Unicode MS"/>
        </w:rPr>
        <w:t>VS</w:t>
      </w:r>
      <w:r w:rsidRPr="005E08C1">
        <w:rPr>
          <w:rFonts w:eastAsia="Arial Unicode MS"/>
        </w:rPr>
        <w:t xml:space="preserve"> </w:t>
      </w:r>
      <w:r>
        <w:rPr>
          <w:rFonts w:eastAsia="Arial Unicode MS"/>
        </w:rPr>
        <w:t>budú prístupné na zdieľanie – vybuduje sa kolaboračná platforma na výmenu znalostí.</w:t>
      </w:r>
      <w:r w:rsidRPr="005E08C1">
        <w:rPr>
          <w:rFonts w:eastAsia="Arial Unicode MS"/>
        </w:rPr>
        <w:t xml:space="preserve"> Zvyšovanie kompetencií </w:t>
      </w:r>
      <w:r w:rsidR="00F8794A">
        <w:rPr>
          <w:rFonts w:eastAsia="Arial Unicode MS"/>
        </w:rPr>
        <w:t>VS</w:t>
      </w:r>
      <w:r w:rsidRPr="005E08C1">
        <w:rPr>
          <w:rFonts w:eastAsia="Arial Unicode MS"/>
        </w:rPr>
        <w:t xml:space="preserve"> </w:t>
      </w:r>
      <w:r>
        <w:rPr>
          <w:rFonts w:eastAsia="Arial Unicode MS"/>
        </w:rPr>
        <w:t>sa dosiahne</w:t>
      </w:r>
      <w:r w:rsidRPr="005E08C1">
        <w:rPr>
          <w:rFonts w:eastAsia="Arial Unicode MS"/>
        </w:rPr>
        <w:t xml:space="preserve"> tiež prostredníctvom </w:t>
      </w:r>
      <w:r w:rsidR="00634383">
        <w:rPr>
          <w:rFonts w:eastAsia="Arial Unicode MS"/>
        </w:rPr>
        <w:t>vybudovania</w:t>
      </w:r>
      <w:r>
        <w:rPr>
          <w:rFonts w:eastAsia="Arial Unicode MS"/>
        </w:rPr>
        <w:t xml:space="preserve"> c</w:t>
      </w:r>
      <w:r w:rsidRPr="005E08C1">
        <w:rPr>
          <w:rFonts w:eastAsia="Arial Unicode MS"/>
        </w:rPr>
        <w:t>entráln</w:t>
      </w:r>
      <w:r w:rsidR="00634383">
        <w:rPr>
          <w:rFonts w:eastAsia="Arial Unicode MS"/>
        </w:rPr>
        <w:t>eho</w:t>
      </w:r>
      <w:r w:rsidRPr="005E08C1">
        <w:rPr>
          <w:rFonts w:eastAsia="Arial Unicode MS"/>
        </w:rPr>
        <w:t xml:space="preserve"> eLearnin</w:t>
      </w:r>
      <w:r>
        <w:rPr>
          <w:rFonts w:eastAsia="Arial Unicode MS"/>
        </w:rPr>
        <w:t>gov</w:t>
      </w:r>
      <w:r w:rsidR="00634383">
        <w:rPr>
          <w:rFonts w:eastAsia="Arial Unicode MS"/>
        </w:rPr>
        <w:t>ého</w:t>
      </w:r>
      <w:r>
        <w:rPr>
          <w:rFonts w:eastAsia="Arial Unicode MS"/>
        </w:rPr>
        <w:t xml:space="preserve"> nástroj</w:t>
      </w:r>
      <w:r w:rsidR="00634383">
        <w:rPr>
          <w:rFonts w:eastAsia="Arial Unicode MS"/>
        </w:rPr>
        <w:t>a</w:t>
      </w:r>
      <w:r>
        <w:rPr>
          <w:rFonts w:eastAsia="Arial Unicode MS"/>
        </w:rPr>
        <w:t>.</w:t>
      </w:r>
    </w:p>
    <w:p w14:paraId="46E9D6C2"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Vytvorenie koncepcie na realizáciu a prevádzku eGovernment cloudu</w:t>
      </w:r>
    </w:p>
    <w:p w14:paraId="13E0B256" w14:textId="77777777" w:rsidR="004459AB" w:rsidRDefault="004459AB" w:rsidP="004459AB">
      <w:pPr>
        <w:pStyle w:val="06Normal"/>
      </w:pPr>
      <w:r>
        <w:t xml:space="preserve">Vypracuje sa stratégia, ktorá definuje konkrétne aktivity vedúce k možnosti poskytovania cloud služieb vo </w:t>
      </w:r>
      <w:r w:rsidR="00F8794A">
        <w:t>VS</w:t>
      </w:r>
      <w:r>
        <w:t>. Vykoná sa úprava legislatívy a definujú sa jednotlivé role a zodpovednosti. Ďalším krokom je návrh štandardov a pravidiel poskytovania služieb: vlastnosti poskytovaných služieb; podmienky poskytovania služieb; spôsob vymáhania práv a povinností a pod.</w:t>
      </w:r>
    </w:p>
    <w:p w14:paraId="2E264943" w14:textId="77777777" w:rsidR="004459AB" w:rsidRDefault="004459AB" w:rsidP="004459AB">
      <w:pPr>
        <w:pStyle w:val="06Normal"/>
      </w:pPr>
      <w:r>
        <w:t xml:space="preserve">Vypracuje sa procesný model fungovania cloud služieb a kompetenčne sa zabezpečí dohľad nad používaním cloudových služieb. </w:t>
      </w:r>
      <w:r w:rsidR="003671C3">
        <w:t>Z</w:t>
      </w:r>
      <w:r>
        <w:t>ámerom</w:t>
      </w:r>
      <w:r w:rsidR="003671C3">
        <w:t xml:space="preserve"> tiež</w:t>
      </w:r>
      <w:r>
        <w:t xml:space="preserve"> je, aby vznikla štandardizovaná klasifikácia služieb podľa úrovne kvality a úrovne bezpečnosti. Jednotlivé informačné systémy </w:t>
      </w:r>
      <w:r w:rsidR="00F8794A">
        <w:t xml:space="preserve">VS </w:t>
      </w:r>
      <w:r>
        <w:t xml:space="preserve">budú klásť rôzne požiadavky na kvalitu služieb a úroveň zabezpečenia. </w:t>
      </w:r>
      <w:r w:rsidRPr="00F74A6F">
        <w:rPr>
          <w:rFonts w:eastAsia="Arial Unicode MS"/>
        </w:rPr>
        <w:t>K</w:t>
      </w:r>
      <w:r>
        <w:rPr>
          <w:rFonts w:eastAsia="Arial Unicode MS"/>
        </w:rPr>
        <w:t>lasifikácia</w:t>
      </w:r>
      <w:r w:rsidRPr="00F74A6F">
        <w:rPr>
          <w:rFonts w:eastAsia="Arial Unicode MS"/>
        </w:rPr>
        <w:t xml:space="preserve"> dát</w:t>
      </w:r>
      <w:r>
        <w:rPr>
          <w:rFonts w:eastAsia="Arial Unicode MS"/>
        </w:rPr>
        <w:t xml:space="preserve"> informačných systémov </w:t>
      </w:r>
      <w:r w:rsidR="00F8794A">
        <w:rPr>
          <w:rFonts w:eastAsia="Arial Unicode MS"/>
        </w:rPr>
        <w:t>VS</w:t>
      </w:r>
      <w:r>
        <w:rPr>
          <w:rFonts w:eastAsia="Arial Unicode MS"/>
        </w:rPr>
        <w:t xml:space="preserve"> sa prevedie z pohľadu ich citlivosti a kritickosti.</w:t>
      </w:r>
    </w:p>
    <w:p w14:paraId="0DD555C7" w14:textId="77777777" w:rsidR="004459AB" w:rsidRDefault="004459AB" w:rsidP="004459AB">
      <w:pPr>
        <w:pStyle w:val="06Normal"/>
      </w:pPr>
      <w:r>
        <w:t xml:space="preserve">V rámci aktivity bude pridelená rola Riadiaceho orgánu pre cloudové služby, ktorého </w:t>
      </w:r>
      <w:r w:rsidRPr="00A6532A">
        <w:t xml:space="preserve">úlohou </w:t>
      </w:r>
      <w:r>
        <w:t>bude</w:t>
      </w:r>
      <w:r w:rsidRPr="00A6532A">
        <w:t xml:space="preserve"> udržiavanie vzťahu medzi </w:t>
      </w:r>
      <w:r>
        <w:t>Prevádzkovateľom</w:t>
      </w:r>
      <w:r w:rsidRPr="00A6532A">
        <w:t xml:space="preserve"> a </w:t>
      </w:r>
      <w:r>
        <w:t>P</w:t>
      </w:r>
      <w:r w:rsidRPr="00A6532A">
        <w:t xml:space="preserve">oužívateľom </w:t>
      </w:r>
      <w:r>
        <w:t>cloudových služieb. Bude mať nástroje na monitorovanie využívania cloudových služieb</w:t>
      </w:r>
      <w:r w:rsidR="009E17D5">
        <w:t>,</w:t>
      </w:r>
      <w:r>
        <w:t xml:space="preserve"> ich</w:t>
      </w:r>
      <w:r w:rsidRPr="00A6532A">
        <w:t xml:space="preserve"> výkon</w:t>
      </w:r>
      <w:r>
        <w:t>u, ako aj na riadenie dodávok</w:t>
      </w:r>
      <w:r w:rsidRPr="00A6532A">
        <w:t>.</w:t>
      </w:r>
    </w:p>
    <w:p w14:paraId="4C485CE1" w14:textId="77777777" w:rsidR="00756D41" w:rsidRDefault="004459AB" w:rsidP="004459AB">
      <w:pPr>
        <w:pStyle w:val="06Normal"/>
      </w:pPr>
      <w:r>
        <w:t>Vytvorí sa tiež katalóg dostupných služieb</w:t>
      </w:r>
      <w:r w:rsidR="00AF5171">
        <w:t>,</w:t>
      </w:r>
      <w:r w:rsidR="009E17D5">
        <w:t xml:space="preserve"> </w:t>
      </w:r>
      <w:r>
        <w:t>ktorý bude slúžiť na získanie prístupu k službám a umožní minimáln</w:t>
      </w:r>
      <w:r w:rsidR="00F8794A">
        <w:t>e</w:t>
      </w:r>
      <w:r>
        <w:t>: oboznámenie sa s ponukou služieb, objedávanie služieb, nahlasovanie problémov, sledovanie množstva spotrebovaných zdrojov, riešenie úhrad za spotrebované zdroje.</w:t>
      </w:r>
      <w:r w:rsidR="00B66271">
        <w:t xml:space="preserve"> </w:t>
      </w:r>
      <w:r w:rsidR="003970E4">
        <w:t>Vypracuje sa jednotný systém na monitorovanie infraštruktúry, dostupnosti a aplikačného výkonu služieb a jednotlivých IS v cloudovom prostredí, ktorý umožní nahlasovanie incidentov, problémov a zmien.</w:t>
      </w:r>
    </w:p>
    <w:p w14:paraId="0F1FF650"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Zriadenie prevádzkovateľov cloudových služieb</w:t>
      </w:r>
    </w:p>
    <w:p w14:paraId="583914FB" w14:textId="77777777" w:rsidR="004459AB" w:rsidRPr="004E54E3" w:rsidRDefault="004459AB" w:rsidP="004459AB">
      <w:pPr>
        <w:spacing w:before="120" w:after="60"/>
        <w:jc w:val="both"/>
        <w:rPr>
          <w:rFonts w:eastAsia="Arial Unicode MS"/>
          <w:sz w:val="22"/>
          <w:szCs w:val="20"/>
          <w:lang w:eastAsia="en-US"/>
        </w:rPr>
      </w:pPr>
      <w:r w:rsidRPr="004E54E3">
        <w:rPr>
          <w:rFonts w:eastAsia="Arial Unicode MS"/>
          <w:sz w:val="22"/>
          <w:szCs w:val="20"/>
          <w:lang w:eastAsia="en-US"/>
        </w:rPr>
        <w:t xml:space="preserve">Do podoby prevádzkovateľov eGovernment cloudových služieb sa transformujú vybrané inštitúcie </w:t>
      </w:r>
      <w:r w:rsidR="00F8794A">
        <w:rPr>
          <w:rFonts w:eastAsia="Arial Unicode MS"/>
          <w:sz w:val="22"/>
          <w:szCs w:val="20"/>
          <w:lang w:eastAsia="en-US"/>
        </w:rPr>
        <w:t>VS</w:t>
      </w:r>
      <w:r w:rsidRPr="004E54E3">
        <w:rPr>
          <w:rFonts w:eastAsia="Arial Unicode MS"/>
          <w:sz w:val="22"/>
          <w:szCs w:val="20"/>
          <w:lang w:eastAsia="en-US"/>
        </w:rPr>
        <w:t>. Prevádzkovatelia cloudových služieb vybudujú datace</w:t>
      </w:r>
      <w:r>
        <w:rPr>
          <w:rFonts w:eastAsia="Arial Unicode MS"/>
          <w:sz w:val="22"/>
          <w:szCs w:val="20"/>
          <w:lang w:eastAsia="en-US"/>
        </w:rPr>
        <w:t>ntrá, vytvoria infraštruktúru a</w:t>
      </w:r>
      <w:r w:rsidR="00667CF1">
        <w:rPr>
          <w:rFonts w:eastAsia="Arial Unicode MS"/>
          <w:sz w:val="22"/>
          <w:szCs w:val="20"/>
          <w:lang w:eastAsia="en-US"/>
        </w:rPr>
        <w:t> </w:t>
      </w:r>
      <w:r w:rsidRPr="004E54E3">
        <w:rPr>
          <w:rFonts w:eastAsia="Arial Unicode MS"/>
          <w:sz w:val="22"/>
          <w:szCs w:val="20"/>
          <w:lang w:eastAsia="en-US"/>
        </w:rPr>
        <w:t>zdroje</w:t>
      </w:r>
      <w:r w:rsidR="00667CF1">
        <w:rPr>
          <w:rFonts w:eastAsia="Arial Unicode MS"/>
          <w:sz w:val="22"/>
          <w:szCs w:val="20"/>
          <w:lang w:eastAsia="en-US"/>
        </w:rPr>
        <w:t>,</w:t>
      </w:r>
      <w:r w:rsidRPr="004E54E3">
        <w:rPr>
          <w:rFonts w:eastAsia="Arial Unicode MS"/>
          <w:sz w:val="22"/>
          <w:szCs w:val="20"/>
          <w:lang w:eastAsia="en-US"/>
        </w:rPr>
        <w:t xml:space="preserve"> aby mohli poskytovať a prevádzkovať cloudové služby.</w:t>
      </w:r>
    </w:p>
    <w:p w14:paraId="20E6CAAF" w14:textId="77777777" w:rsidR="004459AB" w:rsidRPr="004E54E3" w:rsidRDefault="004459AB" w:rsidP="004459AB">
      <w:pPr>
        <w:spacing w:before="120" w:after="60"/>
        <w:jc w:val="both"/>
        <w:rPr>
          <w:rFonts w:eastAsia="Arial Unicode MS"/>
          <w:sz w:val="22"/>
          <w:szCs w:val="20"/>
          <w:lang w:eastAsia="en-US"/>
        </w:rPr>
      </w:pPr>
      <w:r w:rsidRPr="004E54E3">
        <w:rPr>
          <w:rFonts w:eastAsia="Arial Unicode MS"/>
          <w:sz w:val="22"/>
          <w:szCs w:val="20"/>
          <w:lang w:eastAsia="en-US"/>
        </w:rPr>
        <w:lastRenderedPageBreak/>
        <w:t>Zároveň sa nastavia pravidlá pre koordináciu nárastu výpočtových kapacít u jednotlivých prevádzkovateľov, riadenie záťaže medzi nimi a celkový manaž</w:t>
      </w:r>
      <w:r>
        <w:rPr>
          <w:rFonts w:eastAsia="Arial Unicode MS"/>
          <w:sz w:val="22"/>
          <w:szCs w:val="20"/>
          <w:lang w:eastAsia="en-US"/>
        </w:rPr>
        <w:t>ment medzi dopytom a ponukou po </w:t>
      </w:r>
      <w:r w:rsidRPr="004E54E3">
        <w:rPr>
          <w:rFonts w:eastAsia="Arial Unicode MS"/>
          <w:sz w:val="22"/>
          <w:szCs w:val="20"/>
          <w:lang w:eastAsia="en-US"/>
        </w:rPr>
        <w:t>službách infraštruktúry.</w:t>
      </w:r>
    </w:p>
    <w:p w14:paraId="50FA6BD2" w14:textId="77777777" w:rsidR="004459AB" w:rsidRPr="004E54E3" w:rsidRDefault="004459AB" w:rsidP="004459AB">
      <w:pPr>
        <w:spacing w:before="120" w:after="120"/>
        <w:jc w:val="both"/>
        <w:rPr>
          <w:rFonts w:eastAsia="Arial Unicode MS"/>
          <w:sz w:val="22"/>
          <w:szCs w:val="20"/>
          <w:lang w:eastAsia="en-US"/>
        </w:rPr>
      </w:pPr>
      <w:r w:rsidRPr="004E54E3">
        <w:rPr>
          <w:rFonts w:eastAsia="Arial Unicode MS"/>
          <w:sz w:val="22"/>
          <w:szCs w:val="20"/>
          <w:lang w:eastAsia="en-US"/>
        </w:rPr>
        <w:t xml:space="preserve">Na základe klasifikácie dát informačných systémov </w:t>
      </w:r>
      <w:r w:rsidR="00F8794A">
        <w:rPr>
          <w:rFonts w:eastAsia="Arial Unicode MS"/>
          <w:sz w:val="22"/>
          <w:szCs w:val="20"/>
          <w:lang w:eastAsia="en-US"/>
        </w:rPr>
        <w:t>VS</w:t>
      </w:r>
      <w:r w:rsidRPr="004E54E3">
        <w:rPr>
          <w:rFonts w:eastAsia="Arial Unicode MS"/>
          <w:sz w:val="22"/>
          <w:szCs w:val="20"/>
          <w:lang w:eastAsia="en-US"/>
        </w:rPr>
        <w:t xml:space="preserve"> sa navrhnú druhy bezpečnostných úložísk a bezpečnostné požiadavky, ktoré musia takéto úložiská spĺňať.</w:t>
      </w:r>
    </w:p>
    <w:p w14:paraId="320745BC"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Prechod prevádzky informačných systémov verejnej správy do eGovernment cloudu</w:t>
      </w:r>
    </w:p>
    <w:p w14:paraId="2F023CB8" w14:textId="063389E4" w:rsidR="00E92F9B" w:rsidRDefault="004459AB" w:rsidP="00F46B9E">
      <w:pPr>
        <w:pStyle w:val="06Normal"/>
        <w:rPr>
          <w:rFonts w:eastAsia="Arial Unicode MS"/>
        </w:rPr>
      </w:pPr>
      <w:r>
        <w:t xml:space="preserve">Jednotlivé informačné systémy </w:t>
      </w:r>
      <w:r w:rsidR="00AF5171">
        <w:t>VS</w:t>
      </w:r>
      <w:r>
        <w:t xml:space="preserve"> budú migrovať do eGovernment cloudu. V prípadoch, keď </w:t>
      </w:r>
      <w:r w:rsidR="00F46B9E">
        <w:t>... pozri Prílohu 21.</w:t>
      </w:r>
    </w:p>
    <w:p w14:paraId="03E02102" w14:textId="77777777" w:rsidR="009E0158" w:rsidRDefault="001218A8" w:rsidP="002265FE">
      <w:pPr>
        <w:pStyle w:val="Odsekzoznamu"/>
        <w:numPr>
          <w:ilvl w:val="0"/>
          <w:numId w:val="68"/>
        </w:numPr>
        <w:spacing w:after="180"/>
        <w:jc w:val="both"/>
        <w:rPr>
          <w:i/>
          <w:iCs/>
          <w:color w:val="4F81BD" w:themeColor="accent1"/>
        </w:rPr>
      </w:pPr>
      <w:r w:rsidRPr="001218A8">
        <w:rPr>
          <w:b/>
          <w:i/>
          <w:iCs/>
          <w:color w:val="4F81BD" w:themeColor="accent1"/>
          <w:sz w:val="22"/>
          <w:szCs w:val="22"/>
        </w:rPr>
        <w:t>Zabezpečenie komplexnej kybernetickej bezpečnosti v</w:t>
      </w:r>
      <w:r w:rsidR="009E17D5">
        <w:rPr>
          <w:b/>
          <w:i/>
          <w:iCs/>
          <w:color w:val="4F81BD" w:themeColor="accent1"/>
          <w:sz w:val="22"/>
          <w:szCs w:val="22"/>
        </w:rPr>
        <w:t xml:space="preserve"> spoločnosti </w:t>
      </w:r>
    </w:p>
    <w:p w14:paraId="2A575C7A" w14:textId="6DEB37A8" w:rsidR="00D2755E" w:rsidRDefault="00F46B9E">
      <w:pPr>
        <w:pStyle w:val="06Normal"/>
        <w:rPr>
          <w:lang w:eastAsia="cs-CZ"/>
        </w:rPr>
      </w:pPr>
      <w:r>
        <w:rPr>
          <w:rFonts w:eastAsia="Arial Unicode MS"/>
        </w:rPr>
        <w:t>Pozri Prílohu 21.</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445E30" w:rsidRPr="007F1C63" w14:paraId="35486832" w14:textId="77777777" w:rsidTr="00B80F3A">
        <w:trPr>
          <w:trHeight w:val="340"/>
          <w:jc w:val="center"/>
        </w:trPr>
        <w:tc>
          <w:tcPr>
            <w:tcW w:w="3288" w:type="dxa"/>
            <w:shd w:val="clear" w:color="auto" w:fill="DBE5F1" w:themeFill="accent1" w:themeFillTint="33"/>
            <w:vAlign w:val="center"/>
          </w:tcPr>
          <w:p w14:paraId="6FE10EF1" w14:textId="77777777" w:rsidR="00445E30" w:rsidRPr="007F1C63" w:rsidRDefault="00445E30" w:rsidP="00B80F3A">
            <w:pPr>
              <w:autoSpaceDE w:val="0"/>
              <w:autoSpaceDN w:val="0"/>
              <w:adjustRightInd w:val="0"/>
              <w:ind w:left="0"/>
              <w:rPr>
                <w:i/>
                <w:sz w:val="22"/>
                <w:szCs w:val="22"/>
              </w:rPr>
            </w:pPr>
            <w:r w:rsidRPr="007F1C63">
              <w:rPr>
                <w:i/>
                <w:sz w:val="22"/>
                <w:szCs w:val="22"/>
              </w:rPr>
              <w:t>Cieľové skupiny:</w:t>
            </w:r>
          </w:p>
        </w:tc>
        <w:tc>
          <w:tcPr>
            <w:tcW w:w="5784" w:type="dxa"/>
            <w:vAlign w:val="center"/>
          </w:tcPr>
          <w:p w14:paraId="280725F8" w14:textId="77777777" w:rsidR="009E0158" w:rsidRDefault="00177922" w:rsidP="005B348A">
            <w:pPr>
              <w:numPr>
                <w:ilvl w:val="0"/>
                <w:numId w:val="27"/>
              </w:numPr>
              <w:autoSpaceDE w:val="0"/>
              <w:autoSpaceDN w:val="0"/>
              <w:adjustRightInd w:val="0"/>
              <w:ind w:left="284" w:hanging="284"/>
              <w:contextualSpacing/>
              <w:rPr>
                <w:sz w:val="22"/>
                <w:szCs w:val="22"/>
              </w:rPr>
            </w:pPr>
            <w:r>
              <w:rPr>
                <w:sz w:val="22"/>
                <w:szCs w:val="22"/>
              </w:rPr>
              <w:t>Široká verejnosť, znevýhodnené skupiny, organizácie verejnej správy</w:t>
            </w:r>
          </w:p>
        </w:tc>
      </w:tr>
      <w:tr w:rsidR="00445E30" w:rsidRPr="007F1C63" w14:paraId="6041F9CC" w14:textId="77777777" w:rsidTr="00B80F3A">
        <w:trPr>
          <w:trHeight w:val="340"/>
          <w:jc w:val="center"/>
        </w:trPr>
        <w:tc>
          <w:tcPr>
            <w:tcW w:w="3288" w:type="dxa"/>
            <w:shd w:val="clear" w:color="auto" w:fill="DBE5F1" w:themeFill="accent1" w:themeFillTint="33"/>
            <w:vAlign w:val="center"/>
          </w:tcPr>
          <w:p w14:paraId="35D21C7B" w14:textId="77777777" w:rsidR="00445E30" w:rsidRPr="007F1C63" w:rsidRDefault="00445E30" w:rsidP="00B80F3A">
            <w:pPr>
              <w:autoSpaceDE w:val="0"/>
              <w:autoSpaceDN w:val="0"/>
              <w:adjustRightInd w:val="0"/>
              <w:ind w:left="0"/>
              <w:rPr>
                <w:i/>
                <w:sz w:val="22"/>
                <w:szCs w:val="22"/>
              </w:rPr>
            </w:pPr>
            <w:r w:rsidRPr="007F1C63">
              <w:rPr>
                <w:i/>
                <w:sz w:val="22"/>
                <w:szCs w:val="22"/>
              </w:rPr>
              <w:t>Cieľové územia:</w:t>
            </w:r>
          </w:p>
        </w:tc>
        <w:tc>
          <w:tcPr>
            <w:tcW w:w="5784" w:type="dxa"/>
            <w:vAlign w:val="center"/>
          </w:tcPr>
          <w:p w14:paraId="589B7E1D" w14:textId="77777777" w:rsidR="009E0158" w:rsidRDefault="00445E30" w:rsidP="005B348A">
            <w:pPr>
              <w:numPr>
                <w:ilvl w:val="0"/>
                <w:numId w:val="27"/>
              </w:numPr>
              <w:autoSpaceDE w:val="0"/>
              <w:autoSpaceDN w:val="0"/>
              <w:adjustRightInd w:val="0"/>
              <w:ind w:left="284" w:hanging="284"/>
              <w:contextualSpacing/>
              <w:rPr>
                <w:sz w:val="22"/>
                <w:szCs w:val="22"/>
              </w:rPr>
            </w:pPr>
            <w:r w:rsidRPr="007F1C63">
              <w:rPr>
                <w:sz w:val="22"/>
                <w:szCs w:val="22"/>
              </w:rPr>
              <w:t xml:space="preserve">NUTS </w:t>
            </w:r>
            <w:r>
              <w:rPr>
                <w:sz w:val="22"/>
                <w:szCs w:val="22"/>
              </w:rPr>
              <w:t>1</w:t>
            </w:r>
          </w:p>
        </w:tc>
      </w:tr>
      <w:tr w:rsidR="00445E30" w:rsidRPr="007F1C63" w14:paraId="374C0954" w14:textId="77777777" w:rsidTr="00B517A5">
        <w:trPr>
          <w:trHeight w:val="1424"/>
          <w:jc w:val="center"/>
        </w:trPr>
        <w:tc>
          <w:tcPr>
            <w:tcW w:w="3288" w:type="dxa"/>
            <w:shd w:val="clear" w:color="auto" w:fill="DBE5F1" w:themeFill="accent1" w:themeFillTint="33"/>
            <w:vAlign w:val="center"/>
          </w:tcPr>
          <w:p w14:paraId="5E18EA17" w14:textId="77777777" w:rsidR="00445E30" w:rsidRPr="007F1C63" w:rsidRDefault="00445E30" w:rsidP="00B80F3A">
            <w:pPr>
              <w:autoSpaceDE w:val="0"/>
              <w:autoSpaceDN w:val="0"/>
              <w:adjustRightInd w:val="0"/>
              <w:ind w:left="0"/>
              <w:rPr>
                <w:i/>
                <w:sz w:val="22"/>
                <w:szCs w:val="22"/>
              </w:rPr>
            </w:pPr>
            <w:r w:rsidRPr="007F1C63">
              <w:rPr>
                <w:i/>
                <w:sz w:val="22"/>
                <w:szCs w:val="22"/>
              </w:rPr>
              <w:t>Prijímatelia:</w:t>
            </w:r>
          </w:p>
        </w:tc>
        <w:tc>
          <w:tcPr>
            <w:tcW w:w="5784" w:type="dxa"/>
            <w:vAlign w:val="center"/>
          </w:tcPr>
          <w:p w14:paraId="7CD94C2B" w14:textId="218B0AC0" w:rsidR="009E0158" w:rsidRDefault="00445E30">
            <w:pPr>
              <w:numPr>
                <w:ilvl w:val="0"/>
                <w:numId w:val="27"/>
              </w:numPr>
              <w:autoSpaceDE w:val="0"/>
              <w:autoSpaceDN w:val="0"/>
              <w:adjustRightInd w:val="0"/>
              <w:ind w:left="284" w:hanging="284"/>
              <w:contextualSpacing/>
              <w:rPr>
                <w:sz w:val="22"/>
                <w:szCs w:val="22"/>
              </w:rPr>
            </w:pPr>
            <w:r>
              <w:rPr>
                <w:sz w:val="22"/>
                <w:szCs w:val="22"/>
              </w:rPr>
              <w:t xml:space="preserve">napr. </w:t>
            </w:r>
            <w:r w:rsidRPr="00560E77">
              <w:rPr>
                <w:sz w:val="22"/>
                <w:szCs w:val="22"/>
              </w:rPr>
              <w:t>rozpočtová organizácia, príspevková organizácia</w:t>
            </w:r>
            <w:r>
              <w:rPr>
                <w:sz w:val="22"/>
                <w:szCs w:val="22"/>
              </w:rPr>
              <w:t>,</w:t>
            </w:r>
            <w:r w:rsidRPr="00B82DEF">
              <w:t xml:space="preserve"> </w:t>
            </w:r>
            <w:r w:rsidRPr="00B82DEF">
              <w:rPr>
                <w:sz w:val="22"/>
                <w:szCs w:val="22"/>
              </w:rPr>
              <w:t>Sociálna a zdravotné poisťovne, ďalšie subjekty, ktoré sú zapísané v štatistickom registri org</w:t>
            </w:r>
            <w:r w:rsidR="00566091">
              <w:rPr>
                <w:sz w:val="22"/>
                <w:szCs w:val="22"/>
              </w:rPr>
              <w:t>anizácií sektora VS</w:t>
            </w:r>
            <w:r w:rsidRPr="00B82DEF">
              <w:rPr>
                <w:sz w:val="22"/>
                <w:szCs w:val="22"/>
              </w:rPr>
              <w:t>,</w:t>
            </w:r>
            <w:r w:rsidR="00566091">
              <w:rPr>
                <w:sz w:val="22"/>
                <w:szCs w:val="22"/>
              </w:rPr>
              <w:t xml:space="preserve"> obec, VÚC</w:t>
            </w:r>
            <w:r w:rsidR="0059698C">
              <w:rPr>
                <w:sz w:val="22"/>
                <w:szCs w:val="22"/>
              </w:rPr>
              <w:t>,</w:t>
            </w:r>
            <w:r w:rsidRPr="00B82DEF">
              <w:rPr>
                <w:sz w:val="22"/>
                <w:szCs w:val="22"/>
              </w:rPr>
              <w:t xml:space="preserve"> akciová spoločnosť podľa zákona č. 513/1991 Z.</w:t>
            </w:r>
            <w:r w:rsidR="005A1A06">
              <w:rPr>
                <w:sz w:val="22"/>
                <w:szCs w:val="22"/>
              </w:rPr>
              <w:t xml:space="preserve"> </w:t>
            </w:r>
            <w:r w:rsidRPr="00B82DEF">
              <w:rPr>
                <w:sz w:val="22"/>
                <w:szCs w:val="22"/>
              </w:rPr>
              <w:t>z. (mimo schémy štátnej pomoci), združenie (zväz, spolok, spoločnosť, klub ai.) podľa zákona č. 83/1990 Z.</w:t>
            </w:r>
            <w:r w:rsidR="005A1A06">
              <w:rPr>
                <w:sz w:val="22"/>
                <w:szCs w:val="22"/>
              </w:rPr>
              <w:t xml:space="preserve"> </w:t>
            </w:r>
            <w:r w:rsidRPr="00B82DEF">
              <w:rPr>
                <w:sz w:val="22"/>
                <w:szCs w:val="22"/>
              </w:rPr>
              <w:t>z., záujmové združenie právnickýc</w:t>
            </w:r>
            <w:r w:rsidR="00566091">
              <w:rPr>
                <w:sz w:val="22"/>
                <w:szCs w:val="22"/>
              </w:rPr>
              <w:t>h osôb podľa zákona č. 40/1964 Z</w:t>
            </w:r>
            <w:r w:rsidRPr="00B82DEF">
              <w:rPr>
                <w:sz w:val="22"/>
                <w:szCs w:val="22"/>
              </w:rPr>
              <w:t>b., združenie obcí podľa zákona č. 369/1990 Zb.,</w:t>
            </w:r>
            <w:r w:rsidR="00D2755E">
              <w:rPr>
                <w:sz w:val="22"/>
                <w:szCs w:val="22"/>
              </w:rPr>
              <w:t xml:space="preserve"> </w:t>
            </w:r>
            <w:r w:rsidR="000B6067">
              <w:rPr>
                <w:sz w:val="22"/>
                <w:szCs w:val="22"/>
              </w:rPr>
              <w:t>výchovno-vzdelávacie inštitúcie zriadené podľa osobitného predpisu</w:t>
            </w:r>
            <w:r w:rsidR="00D2755E">
              <w:rPr>
                <w:sz w:val="22"/>
                <w:szCs w:val="22"/>
              </w:rPr>
              <w:t>, zariadenia sociálnych služieb,</w:t>
            </w:r>
            <w:r w:rsidRPr="00B82DEF">
              <w:rPr>
                <w:sz w:val="22"/>
                <w:szCs w:val="22"/>
              </w:rPr>
              <w:t xml:space="preserve"> iné subjekty zriadené zákonom</w:t>
            </w:r>
          </w:p>
        </w:tc>
      </w:tr>
    </w:tbl>
    <w:p w14:paraId="7B0EB128" w14:textId="34B4A5BA" w:rsidR="009E0158" w:rsidRDefault="005B348A" w:rsidP="005B348A">
      <w:pPr>
        <w:pStyle w:val="Odsekzoznamu"/>
        <w:keepNext/>
        <w:numPr>
          <w:ilvl w:val="3"/>
          <w:numId w:val="121"/>
        </w:numPr>
        <w:tabs>
          <w:tab w:val="left" w:pos="709"/>
        </w:tabs>
        <w:spacing w:before="18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t>H</w:t>
      </w:r>
      <w:r w:rsidR="00445E30">
        <w:rPr>
          <w:rFonts w:ascii="Arial Narrow" w:hAnsi="Arial Narrow"/>
          <w:b/>
          <w:bCs/>
          <w:i/>
          <w:color w:val="548DD4" w:themeColor="text2" w:themeTint="99"/>
          <w:sz w:val="22"/>
          <w:szCs w:val="28"/>
        </w:rPr>
        <w:t>lavné zásady výberu projektov</w:t>
      </w:r>
    </w:p>
    <w:p w14:paraId="7DAF3CF8" w14:textId="77777777" w:rsidR="00445E30" w:rsidRPr="00B02869" w:rsidRDefault="00445E30" w:rsidP="00445E30">
      <w:pPr>
        <w:pStyle w:val="06Normal"/>
      </w:pPr>
      <w:r w:rsidRPr="00B02869">
        <w:t>S</w:t>
      </w:r>
      <w:r>
        <w:t> </w:t>
      </w:r>
      <w:r w:rsidRPr="00B02869">
        <w:t>cieľom zabezpečiť efektívne a</w:t>
      </w:r>
      <w:r>
        <w:t> </w:t>
      </w:r>
      <w:r w:rsidRPr="00B02869">
        <w:t>transparentné čerpanie finančných prostriedkov z</w:t>
      </w:r>
      <w:r>
        <w:t> </w:t>
      </w:r>
      <w:r w:rsidRPr="00B02869">
        <w:t xml:space="preserve">fondov EÚ, alokovaných pre </w:t>
      </w:r>
      <w:r>
        <w:t>P</w:t>
      </w:r>
      <w:r w:rsidRPr="00B02869">
        <w:t>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14:paraId="16599296" w14:textId="77AE8ACB" w:rsidR="002D0945" w:rsidRDefault="00445E30" w:rsidP="00445E30">
      <w:pPr>
        <w:pStyle w:val="06Normal"/>
      </w:pPr>
      <w:r>
        <w:t>V</w:t>
      </w:r>
      <w:r w:rsidRPr="00B02869">
        <w:t>o vzťahu k</w:t>
      </w:r>
      <w:r>
        <w:t> </w:t>
      </w:r>
      <w:r w:rsidRPr="00B02869">
        <w:t xml:space="preserve">podporovaným aktivitám </w:t>
      </w:r>
      <w:r>
        <w:t>OPII</w:t>
      </w:r>
      <w:r w:rsidRPr="00B02869">
        <w:t xml:space="preserve"> budú jednotliví prijímatelia stanovení buď vopred a</w:t>
      </w:r>
      <w:r>
        <w:t> </w:t>
      </w:r>
      <w:r w:rsidRPr="00B02869">
        <w:t>písomnými vyzvaniami</w:t>
      </w:r>
      <w:r w:rsidRPr="002A4585">
        <w:t xml:space="preserve"> vzhľadom na ich jedinečné postavenie a funkcie</w:t>
      </w:r>
      <w:r>
        <w:t xml:space="preserve"> </w:t>
      </w:r>
      <w:r w:rsidRPr="00B90C78">
        <w:t>(</w:t>
      </w:r>
      <w:r>
        <w:t xml:space="preserve">napr. </w:t>
      </w:r>
      <w:r w:rsidRPr="00B90C78">
        <w:t xml:space="preserve">na základe kompetencií vyplývajúcich im z osobitných predpisov a na základe schválenia </w:t>
      </w:r>
      <w:r>
        <w:t>M</w:t>
      </w:r>
      <w:r w:rsidRPr="00B90C78">
        <w:t xml:space="preserve">onitorovacím výborom) </w:t>
      </w:r>
      <w:r w:rsidRPr="00B02869">
        <w:t>žiadaní o</w:t>
      </w:r>
      <w:r>
        <w:t> </w:t>
      </w:r>
      <w:r w:rsidRPr="00B02869">
        <w:t>predkladanie projektových žiadostí alebo v</w:t>
      </w:r>
      <w:r>
        <w:t> </w:t>
      </w:r>
      <w:r w:rsidRPr="00B02869">
        <w:t>prípade dopytových projektov určení výberom.</w:t>
      </w:r>
    </w:p>
    <w:p w14:paraId="407B12D7" w14:textId="77777777" w:rsidR="00445E30" w:rsidRDefault="00445E30" w:rsidP="00445E30">
      <w:pPr>
        <w:pStyle w:val="06Normal"/>
        <w:spacing w:after="120"/>
      </w:pPr>
      <w:r>
        <w:t>Vo vzťahu k písomným vyzvaniam budú zohľadnené najmä nasledujúce princípy:</w:t>
      </w:r>
    </w:p>
    <w:p w14:paraId="4C8E91FB" w14:textId="77777777" w:rsidR="009E0158" w:rsidRDefault="00445E30" w:rsidP="005B348A">
      <w:pPr>
        <w:pStyle w:val="Odsekzoznamu"/>
        <w:numPr>
          <w:ilvl w:val="0"/>
          <w:numId w:val="27"/>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14:paraId="148315CA" w14:textId="77777777" w:rsidR="009E0158" w:rsidRDefault="00445E30" w:rsidP="005B348A">
      <w:pPr>
        <w:pStyle w:val="Odsekzoznamu"/>
        <w:numPr>
          <w:ilvl w:val="0"/>
          <w:numId w:val="27"/>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14:paraId="03E7A46D" w14:textId="77777777" w:rsidR="009E0158" w:rsidRDefault="00445E30" w:rsidP="005B348A">
      <w:pPr>
        <w:pStyle w:val="Odsekzoznamu"/>
        <w:numPr>
          <w:ilvl w:val="0"/>
          <w:numId w:val="27"/>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14:paraId="689BAC5B" w14:textId="77777777" w:rsidR="009E0158" w:rsidRDefault="00177922" w:rsidP="005B348A">
      <w:pPr>
        <w:pStyle w:val="Odsekzoznamu"/>
        <w:numPr>
          <w:ilvl w:val="0"/>
          <w:numId w:val="27"/>
        </w:numPr>
        <w:spacing w:before="120" w:after="120"/>
        <w:jc w:val="both"/>
      </w:pPr>
      <w:r w:rsidRPr="00D51947">
        <w:rPr>
          <w:sz w:val="22"/>
          <w:szCs w:val="20"/>
          <w:lang w:eastAsia="cs-CZ"/>
        </w:rPr>
        <w:t xml:space="preserve">príprava </w:t>
      </w:r>
      <w:r>
        <w:rPr>
          <w:sz w:val="22"/>
          <w:szCs w:val="20"/>
          <w:lang w:eastAsia="cs-CZ"/>
        </w:rPr>
        <w:t xml:space="preserve">relevantných </w:t>
      </w:r>
      <w:r w:rsidRPr="00D51947">
        <w:rPr>
          <w:sz w:val="22"/>
          <w:szCs w:val="20"/>
          <w:lang w:eastAsia="cs-CZ"/>
        </w:rPr>
        <w:t xml:space="preserve">písomných vyzvaní bude prostredníctvom Interného dozorného monitorovacieho výboru a prostredníctvom Riadiaceho výboru pre štúdie </w:t>
      </w:r>
      <w:r>
        <w:rPr>
          <w:sz w:val="22"/>
          <w:szCs w:val="20"/>
          <w:lang w:eastAsia="cs-CZ"/>
        </w:rPr>
        <w:t>realizovateľnosti</w:t>
      </w:r>
      <w:r w:rsidRPr="00D51947">
        <w:rPr>
          <w:sz w:val="22"/>
          <w:szCs w:val="20"/>
          <w:lang w:eastAsia="cs-CZ"/>
        </w:rPr>
        <w:t xml:space="preserve"> koordinovaná s riadiacim orgánom Operačného programu Efektívna verejná správa tak, aby </w:t>
      </w:r>
      <w:r>
        <w:rPr>
          <w:sz w:val="22"/>
          <w:szCs w:val="20"/>
          <w:lang w:eastAsia="cs-CZ"/>
        </w:rPr>
        <w:t xml:space="preserve">relevantné </w:t>
      </w:r>
      <w:r w:rsidRPr="00D51947">
        <w:rPr>
          <w:sz w:val="22"/>
          <w:szCs w:val="20"/>
          <w:lang w:eastAsia="cs-CZ"/>
        </w:rPr>
        <w:t>písomné vyzvania v rámci tejto investičnej priority nadväzovali na výsledky operácií v rámci Operačného programu Efektívna verejná správa</w:t>
      </w:r>
      <w:r>
        <w:rPr>
          <w:sz w:val="22"/>
          <w:szCs w:val="20"/>
          <w:lang w:eastAsia="cs-CZ"/>
        </w:rPr>
        <w:t>;</w:t>
      </w:r>
    </w:p>
    <w:p w14:paraId="37301931" w14:textId="4C34E636" w:rsidR="009E0158" w:rsidRDefault="009A2645" w:rsidP="005B348A">
      <w:pPr>
        <w:pStyle w:val="Odsekzoznamu"/>
        <w:numPr>
          <w:ilvl w:val="0"/>
          <w:numId w:val="27"/>
        </w:numPr>
        <w:spacing w:before="120" w:after="120"/>
        <w:jc w:val="both"/>
        <w:rPr>
          <w:sz w:val="22"/>
          <w:szCs w:val="20"/>
          <w:lang w:eastAsia="en-US"/>
        </w:rPr>
      </w:pPr>
      <w:r w:rsidRPr="00377BFA">
        <w:rPr>
          <w:sz w:val="22"/>
          <w:szCs w:val="20"/>
          <w:lang w:eastAsia="en-US"/>
        </w:rPr>
        <w:t xml:space="preserve">povinnosť prijímateľa vyčleniť 3 % oprávnených výdavkov projektu pre implementáciu štandardov riadenia informačno - technologických projektov, ktoré zabezpečia aktívnu </w:t>
      </w:r>
      <w:r w:rsidRPr="00377BFA">
        <w:rPr>
          <w:sz w:val="22"/>
          <w:szCs w:val="20"/>
          <w:lang w:eastAsia="en-US"/>
        </w:rPr>
        <w:lastRenderedPageBreak/>
        <w:t>participáciu na riadení projektov a komplexné riadenie budovania informačnej spoločnosti</w:t>
      </w:r>
      <w:r w:rsidR="002D0945">
        <w:rPr>
          <w:sz w:val="22"/>
          <w:szCs w:val="20"/>
          <w:lang w:eastAsia="en-US"/>
        </w:rPr>
        <w:t xml:space="preserve"> a </w:t>
      </w:r>
      <w:r w:rsidR="00D2755E">
        <w:rPr>
          <w:sz w:val="22"/>
          <w:szCs w:val="20"/>
          <w:lang w:eastAsia="en-US"/>
        </w:rPr>
        <w:t>publicity</w:t>
      </w:r>
      <w:r w:rsidRPr="00377BFA">
        <w:rPr>
          <w:sz w:val="22"/>
          <w:szCs w:val="20"/>
          <w:lang w:eastAsia="en-US"/>
        </w:rPr>
        <w:t>;</w:t>
      </w:r>
    </w:p>
    <w:p w14:paraId="4B43497D" w14:textId="77777777" w:rsidR="009E0158" w:rsidRDefault="009A2645" w:rsidP="005B348A">
      <w:pPr>
        <w:pStyle w:val="Odsekzoznamu"/>
        <w:numPr>
          <w:ilvl w:val="0"/>
          <w:numId w:val="27"/>
        </w:numPr>
        <w:spacing w:before="120" w:after="120"/>
        <w:jc w:val="both"/>
        <w:rPr>
          <w:sz w:val="22"/>
          <w:szCs w:val="20"/>
          <w:lang w:eastAsia="en-US"/>
        </w:rPr>
      </w:pPr>
      <w:r w:rsidRPr="00377BFA">
        <w:rPr>
          <w:sz w:val="22"/>
          <w:szCs w:val="20"/>
          <w:lang w:eastAsia="en-US"/>
        </w:rPr>
        <w:t>štúdie realizovateľnosti budú predmetom posúdenia a schválenia zo strany Riadiaceho výboru;</w:t>
      </w:r>
    </w:p>
    <w:p w14:paraId="6F670E55" w14:textId="77777777" w:rsidR="009E0158" w:rsidRDefault="009A2645" w:rsidP="005B348A">
      <w:pPr>
        <w:pStyle w:val="Odsekzoznamu"/>
        <w:numPr>
          <w:ilvl w:val="0"/>
          <w:numId w:val="27"/>
        </w:numPr>
        <w:spacing w:before="120" w:after="120"/>
        <w:jc w:val="both"/>
        <w:rPr>
          <w:sz w:val="22"/>
          <w:szCs w:val="20"/>
          <w:lang w:eastAsia="en-US"/>
        </w:rPr>
      </w:pPr>
      <w:r w:rsidRPr="00377BFA">
        <w:rPr>
          <w:sz w:val="22"/>
          <w:szCs w:val="20"/>
          <w:lang w:eastAsia="en-US"/>
        </w:rPr>
        <w:t>projekty budú riadené v súlade so štandardami riadenia informačno - technologických projektov;</w:t>
      </w:r>
    </w:p>
    <w:p w14:paraId="5F9DCF7C" w14:textId="77777777" w:rsidR="009E0158" w:rsidRDefault="009A2645" w:rsidP="005B348A">
      <w:pPr>
        <w:pStyle w:val="Odsekzoznamu"/>
        <w:numPr>
          <w:ilvl w:val="0"/>
          <w:numId w:val="27"/>
        </w:numPr>
        <w:spacing w:before="120" w:after="120"/>
        <w:jc w:val="both"/>
      </w:pPr>
      <w:r w:rsidRPr="00750C9B">
        <w:rPr>
          <w:sz w:val="22"/>
          <w:szCs w:val="20"/>
          <w:lang w:eastAsia="en-US"/>
        </w:rPr>
        <w:t xml:space="preserve">projekty budú predmetom posúdenia dvomi nezávislými hodnotiteľmi. </w:t>
      </w:r>
    </w:p>
    <w:p w14:paraId="442DA495" w14:textId="77777777" w:rsidR="00445E30" w:rsidRDefault="00445E30" w:rsidP="00445E30">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14:paraId="260FCE7C" w14:textId="77777777" w:rsidR="009E0158" w:rsidRDefault="00445E30" w:rsidP="005B348A">
      <w:pPr>
        <w:pStyle w:val="Odsekzoznamu"/>
        <w:numPr>
          <w:ilvl w:val="0"/>
          <w:numId w:val="27"/>
        </w:numPr>
        <w:spacing w:before="120" w:after="120"/>
        <w:jc w:val="both"/>
      </w:pPr>
      <w:r w:rsidRPr="004C2534">
        <w:rPr>
          <w:sz w:val="22"/>
          <w:szCs w:val="20"/>
          <w:lang w:eastAsia="en-US"/>
        </w:rPr>
        <w:t>jasne definovaným formátom projektu;</w:t>
      </w:r>
    </w:p>
    <w:p w14:paraId="4771232B" w14:textId="77777777" w:rsidR="009E0158" w:rsidRDefault="00445E30" w:rsidP="005B348A">
      <w:pPr>
        <w:pStyle w:val="Odsekzoznamu"/>
        <w:numPr>
          <w:ilvl w:val="0"/>
          <w:numId w:val="27"/>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14:paraId="5A5F0455" w14:textId="77777777" w:rsidR="009E0158" w:rsidRDefault="00445E30" w:rsidP="005B348A">
      <w:pPr>
        <w:pStyle w:val="Odsekzoznamu"/>
        <w:numPr>
          <w:ilvl w:val="0"/>
          <w:numId w:val="27"/>
        </w:numPr>
        <w:spacing w:before="120" w:after="120"/>
        <w:jc w:val="both"/>
      </w:pPr>
      <w:r w:rsidRPr="004C2534">
        <w:rPr>
          <w:sz w:val="22"/>
          <w:szCs w:val="20"/>
          <w:lang w:eastAsia="en-US"/>
        </w:rPr>
        <w:t>systémom opravných prostriedkov.</w:t>
      </w:r>
    </w:p>
    <w:p w14:paraId="0A36174F" w14:textId="77777777" w:rsidR="009E0158" w:rsidRDefault="00445E30" w:rsidP="005B348A">
      <w:pPr>
        <w:pStyle w:val="Odsekzoznamu"/>
        <w:keepNext/>
        <w:numPr>
          <w:ilvl w:val="3"/>
          <w:numId w:val="122"/>
        </w:numPr>
        <w:tabs>
          <w:tab w:val="left" w:pos="709"/>
        </w:tabs>
        <w:spacing w:before="24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14:paraId="5828F0CA" w14:textId="77777777" w:rsidR="005B7B57" w:rsidRPr="005B7B57" w:rsidRDefault="005B7B57" w:rsidP="005B7B57">
      <w:pPr>
        <w:autoSpaceDE w:val="0"/>
        <w:autoSpaceDN w:val="0"/>
        <w:spacing w:after="120"/>
        <w:jc w:val="both"/>
        <w:rPr>
          <w:sz w:val="22"/>
          <w:szCs w:val="22"/>
        </w:rPr>
      </w:pPr>
      <w:r w:rsidRPr="005B7B57">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5B7B57">
        <w:rPr>
          <w:sz w:val="22"/>
          <w:szCs w:val="22"/>
        </w:rPr>
        <w:t>ktorom by ich realizácia bola efektívnou.</w:t>
      </w:r>
    </w:p>
    <w:p w14:paraId="35AA4CFA" w14:textId="77777777" w:rsidR="009A2645" w:rsidRDefault="005B7B57" w:rsidP="00CF2C83">
      <w:pPr>
        <w:autoSpaceDE w:val="0"/>
        <w:autoSpaceDN w:val="0"/>
        <w:spacing w:after="120"/>
        <w:jc w:val="both"/>
        <w:rPr>
          <w:sz w:val="22"/>
          <w:szCs w:val="22"/>
        </w:rPr>
      </w:pPr>
      <w:r w:rsidRPr="005B7B57">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6157D342" w14:textId="77777777" w:rsidR="009E0158" w:rsidRDefault="00445E30" w:rsidP="005B348A">
      <w:pPr>
        <w:pStyle w:val="Odsekzoznamu"/>
        <w:keepNext/>
        <w:numPr>
          <w:ilvl w:val="3"/>
          <w:numId w:val="123"/>
        </w:numPr>
        <w:tabs>
          <w:tab w:val="left" w:pos="709"/>
        </w:tabs>
        <w:spacing w:before="24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14:paraId="469AF667" w14:textId="254F9FEB" w:rsidR="00962C1A" w:rsidRPr="008246A5" w:rsidRDefault="001218A8" w:rsidP="00445E30">
      <w:pPr>
        <w:jc w:val="both"/>
        <w:rPr>
          <w:snapToGrid w:val="0"/>
          <w:sz w:val="22"/>
          <w:szCs w:val="23"/>
          <w:lang w:eastAsia="cs-CZ"/>
        </w:rPr>
      </w:pPr>
      <w:bookmarkStart w:id="67" w:name="OLE_LINK1"/>
      <w:bookmarkStart w:id="68" w:name="OLE_LINK2"/>
      <w:r w:rsidRPr="001218A8">
        <w:rPr>
          <w:snapToGrid w:val="0"/>
          <w:sz w:val="22"/>
          <w:szCs w:val="23"/>
          <w:lang w:eastAsia="cs-CZ"/>
        </w:rPr>
        <w:t>V rámci investičnej priority 2c) Posilnenie aplikácií IKT v rámci elektronickej štátnej správy, elektronického vzdelávania, elektronickej inklúzie, elektronickej kultúry a elektronického zdravotníctva sa neuvažuje o veľkých projektoch.</w:t>
      </w:r>
    </w:p>
    <w:bookmarkEnd w:id="67"/>
    <w:bookmarkEnd w:id="68"/>
    <w:p w14:paraId="056EE9A2" w14:textId="77777777" w:rsidR="009E0158" w:rsidRDefault="00445E30" w:rsidP="005B348A">
      <w:pPr>
        <w:pStyle w:val="Odsekzoznamu"/>
        <w:keepNext/>
        <w:numPr>
          <w:ilvl w:val="3"/>
          <w:numId w:val="124"/>
        </w:numPr>
        <w:tabs>
          <w:tab w:val="left" w:pos="709"/>
        </w:tabs>
        <w:spacing w:before="24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14:paraId="0B05AE2B" w14:textId="77777777" w:rsidR="00445E30" w:rsidRDefault="00445E30" w:rsidP="007D50EA">
      <w:pPr>
        <w:pStyle w:val="Tab"/>
        <w:jc w:val="both"/>
      </w:pPr>
      <w:r>
        <w:t>Š</w:t>
      </w:r>
      <w:r w:rsidRPr="007F1C63">
        <w:t xml:space="preserve">pecifické ukazovatele výstupu investičnej priority </w:t>
      </w:r>
      <w:r>
        <w:t>2</w:t>
      </w:r>
      <w:r w:rsidR="00177922">
        <w:t>c</w:t>
      </w:r>
      <w:r w:rsidRPr="007F1C63">
        <w:t>)</w:t>
      </w:r>
      <w:r>
        <w:t>, ŠC 7.</w:t>
      </w:r>
      <w:r w:rsidR="00177922">
        <w:t>3</w:t>
      </w:r>
      <w:r w:rsidRPr="00AF27FE">
        <w:t xml:space="preserve"> </w:t>
      </w:r>
      <w:r w:rsidR="007D50EA">
        <w:t>Zvýšenie kvality, štandardu a </w:t>
      </w:r>
      <w:r w:rsidR="00177922" w:rsidRPr="00177922">
        <w:t>dostupnosti eGovernment služieb pre podnikateľov</w:t>
      </w:r>
    </w:p>
    <w:tbl>
      <w:tblPr>
        <w:tblStyle w:val="Mriekatabuky"/>
        <w:tblW w:w="9592" w:type="dxa"/>
        <w:jc w:val="center"/>
        <w:tblLayout w:type="fixed"/>
        <w:tblLook w:val="04A0" w:firstRow="1" w:lastRow="0" w:firstColumn="1" w:lastColumn="0" w:noHBand="0" w:noVBand="1"/>
      </w:tblPr>
      <w:tblGrid>
        <w:gridCol w:w="371"/>
        <w:gridCol w:w="3576"/>
        <w:gridCol w:w="906"/>
        <w:gridCol w:w="714"/>
        <w:gridCol w:w="993"/>
        <w:gridCol w:w="1078"/>
        <w:gridCol w:w="770"/>
        <w:gridCol w:w="1184"/>
      </w:tblGrid>
      <w:tr w:rsidR="00177922" w:rsidRPr="002309F8" w14:paraId="1C1D902F" w14:textId="77777777" w:rsidTr="00962C1A">
        <w:trPr>
          <w:trHeight w:val="340"/>
          <w:jc w:val="center"/>
        </w:trPr>
        <w:tc>
          <w:tcPr>
            <w:tcW w:w="371" w:type="dxa"/>
            <w:tcBorders>
              <w:bottom w:val="single" w:sz="4" w:space="0" w:color="auto"/>
            </w:tcBorders>
            <w:shd w:val="clear" w:color="auto" w:fill="C6D9F1" w:themeFill="text2" w:themeFillTint="33"/>
            <w:vAlign w:val="center"/>
          </w:tcPr>
          <w:p w14:paraId="73F75D13" w14:textId="77777777" w:rsidR="00177922" w:rsidRPr="00177922" w:rsidRDefault="001218A8" w:rsidP="00B83833">
            <w:pPr>
              <w:ind w:left="0"/>
              <w:jc w:val="center"/>
              <w:rPr>
                <w:b/>
                <w:sz w:val="18"/>
                <w:szCs w:val="18"/>
              </w:rPr>
            </w:pPr>
            <w:r w:rsidRPr="001218A8">
              <w:rPr>
                <w:b/>
                <w:sz w:val="18"/>
                <w:szCs w:val="18"/>
              </w:rPr>
              <w:t>P. č.</w:t>
            </w:r>
          </w:p>
        </w:tc>
        <w:tc>
          <w:tcPr>
            <w:tcW w:w="3576" w:type="dxa"/>
            <w:tcBorders>
              <w:bottom w:val="single" w:sz="4" w:space="0" w:color="auto"/>
            </w:tcBorders>
            <w:shd w:val="clear" w:color="auto" w:fill="C6D9F1" w:themeFill="text2" w:themeFillTint="33"/>
            <w:vAlign w:val="center"/>
          </w:tcPr>
          <w:p w14:paraId="73BA9E56" w14:textId="77777777" w:rsidR="00177922" w:rsidRPr="00177922" w:rsidRDefault="001218A8" w:rsidP="00B83833">
            <w:pPr>
              <w:ind w:left="0"/>
              <w:rPr>
                <w:b/>
                <w:sz w:val="18"/>
                <w:szCs w:val="18"/>
              </w:rPr>
            </w:pPr>
            <w:r w:rsidRPr="001218A8">
              <w:rPr>
                <w:b/>
                <w:sz w:val="18"/>
                <w:szCs w:val="18"/>
              </w:rPr>
              <w:t>Ukazovateľ (názov ukazovateľa)</w:t>
            </w:r>
          </w:p>
        </w:tc>
        <w:tc>
          <w:tcPr>
            <w:tcW w:w="906" w:type="dxa"/>
            <w:tcBorders>
              <w:bottom w:val="single" w:sz="4" w:space="0" w:color="auto"/>
            </w:tcBorders>
            <w:shd w:val="clear" w:color="auto" w:fill="C6D9F1" w:themeFill="text2" w:themeFillTint="33"/>
            <w:vAlign w:val="center"/>
          </w:tcPr>
          <w:p w14:paraId="595945FF" w14:textId="77777777" w:rsidR="00177922" w:rsidRPr="00177922" w:rsidRDefault="001218A8" w:rsidP="00B83833">
            <w:pPr>
              <w:ind w:left="0"/>
              <w:jc w:val="center"/>
              <w:rPr>
                <w:b/>
                <w:sz w:val="18"/>
                <w:szCs w:val="18"/>
              </w:rPr>
            </w:pPr>
            <w:r w:rsidRPr="001218A8">
              <w:rPr>
                <w:b/>
                <w:sz w:val="18"/>
                <w:szCs w:val="18"/>
              </w:rPr>
              <w:t>Merná jednotka</w:t>
            </w:r>
          </w:p>
        </w:tc>
        <w:tc>
          <w:tcPr>
            <w:tcW w:w="714" w:type="dxa"/>
            <w:tcBorders>
              <w:bottom w:val="single" w:sz="4" w:space="0" w:color="auto"/>
            </w:tcBorders>
            <w:shd w:val="clear" w:color="auto" w:fill="C6D9F1" w:themeFill="text2" w:themeFillTint="33"/>
            <w:vAlign w:val="center"/>
          </w:tcPr>
          <w:p w14:paraId="50DF321C" w14:textId="77777777" w:rsidR="00177922" w:rsidRPr="00177922" w:rsidRDefault="001218A8" w:rsidP="00B83833">
            <w:pPr>
              <w:ind w:left="0"/>
              <w:jc w:val="center"/>
              <w:rPr>
                <w:b/>
                <w:sz w:val="18"/>
                <w:szCs w:val="18"/>
              </w:rPr>
            </w:pPr>
            <w:r w:rsidRPr="001218A8">
              <w:rPr>
                <w:b/>
                <w:sz w:val="18"/>
                <w:szCs w:val="18"/>
              </w:rPr>
              <w:t>Fond</w:t>
            </w:r>
          </w:p>
        </w:tc>
        <w:tc>
          <w:tcPr>
            <w:tcW w:w="993" w:type="dxa"/>
            <w:tcBorders>
              <w:bottom w:val="single" w:sz="4" w:space="0" w:color="auto"/>
            </w:tcBorders>
            <w:shd w:val="clear" w:color="auto" w:fill="C6D9F1" w:themeFill="text2" w:themeFillTint="33"/>
            <w:vAlign w:val="center"/>
          </w:tcPr>
          <w:p w14:paraId="1D923A49" w14:textId="77777777" w:rsidR="00177922" w:rsidRPr="00177922" w:rsidRDefault="001218A8" w:rsidP="00B83833">
            <w:pPr>
              <w:ind w:left="0"/>
              <w:jc w:val="center"/>
              <w:rPr>
                <w:b/>
                <w:sz w:val="18"/>
                <w:szCs w:val="18"/>
                <w:highlight w:val="yellow"/>
              </w:rPr>
            </w:pPr>
            <w:r w:rsidRPr="001218A8">
              <w:rPr>
                <w:b/>
                <w:sz w:val="18"/>
                <w:szCs w:val="18"/>
              </w:rPr>
              <w:t>Kategória regiónu</w:t>
            </w:r>
          </w:p>
        </w:tc>
        <w:tc>
          <w:tcPr>
            <w:tcW w:w="1078" w:type="dxa"/>
            <w:tcBorders>
              <w:bottom w:val="single" w:sz="4" w:space="0" w:color="auto"/>
            </w:tcBorders>
            <w:shd w:val="clear" w:color="auto" w:fill="C6D9F1" w:themeFill="text2" w:themeFillTint="33"/>
            <w:vAlign w:val="center"/>
          </w:tcPr>
          <w:p w14:paraId="0DD2BB65" w14:textId="77777777" w:rsidR="00177922" w:rsidRPr="00177922" w:rsidRDefault="001218A8" w:rsidP="00B83833">
            <w:pPr>
              <w:ind w:left="0"/>
              <w:jc w:val="center"/>
              <w:rPr>
                <w:b/>
                <w:sz w:val="18"/>
                <w:szCs w:val="18"/>
              </w:rPr>
            </w:pPr>
            <w:r w:rsidRPr="001218A8">
              <w:rPr>
                <w:b/>
                <w:sz w:val="18"/>
                <w:szCs w:val="18"/>
              </w:rPr>
              <w:t>Cieľová hodnota (2023)</w:t>
            </w:r>
          </w:p>
        </w:tc>
        <w:tc>
          <w:tcPr>
            <w:tcW w:w="770" w:type="dxa"/>
            <w:tcBorders>
              <w:bottom w:val="single" w:sz="4" w:space="0" w:color="auto"/>
            </w:tcBorders>
            <w:shd w:val="clear" w:color="auto" w:fill="C6D9F1" w:themeFill="text2" w:themeFillTint="33"/>
            <w:vAlign w:val="center"/>
          </w:tcPr>
          <w:p w14:paraId="686BBFFF" w14:textId="77777777" w:rsidR="00177922" w:rsidRPr="00177922" w:rsidRDefault="001218A8" w:rsidP="00B83833">
            <w:pPr>
              <w:ind w:left="0"/>
              <w:jc w:val="center"/>
              <w:rPr>
                <w:b/>
                <w:sz w:val="18"/>
                <w:szCs w:val="18"/>
              </w:rPr>
            </w:pPr>
            <w:r w:rsidRPr="001218A8">
              <w:rPr>
                <w:b/>
                <w:sz w:val="18"/>
                <w:szCs w:val="18"/>
              </w:rPr>
              <w:t>Zdroj údajov</w:t>
            </w:r>
          </w:p>
        </w:tc>
        <w:tc>
          <w:tcPr>
            <w:tcW w:w="1184" w:type="dxa"/>
            <w:tcBorders>
              <w:bottom w:val="single" w:sz="4" w:space="0" w:color="auto"/>
            </w:tcBorders>
            <w:shd w:val="clear" w:color="auto" w:fill="C6D9F1" w:themeFill="text2" w:themeFillTint="33"/>
            <w:vAlign w:val="center"/>
          </w:tcPr>
          <w:p w14:paraId="08B17D38" w14:textId="77777777" w:rsidR="00177922" w:rsidRPr="00177922" w:rsidRDefault="001218A8" w:rsidP="00354629">
            <w:pPr>
              <w:ind w:left="0"/>
              <w:jc w:val="center"/>
              <w:rPr>
                <w:b/>
                <w:sz w:val="18"/>
                <w:szCs w:val="18"/>
                <w:highlight w:val="yellow"/>
              </w:rPr>
            </w:pPr>
            <w:r w:rsidRPr="001218A8">
              <w:rPr>
                <w:b/>
                <w:sz w:val="18"/>
                <w:szCs w:val="18"/>
              </w:rPr>
              <w:t>Frekvencia vykazovania</w:t>
            </w:r>
          </w:p>
        </w:tc>
      </w:tr>
      <w:tr w:rsidR="00177922" w:rsidRPr="002309F8" w14:paraId="0FD7F8E1" w14:textId="77777777" w:rsidTr="00962C1A">
        <w:trPr>
          <w:trHeight w:val="454"/>
          <w:jc w:val="center"/>
        </w:trPr>
        <w:tc>
          <w:tcPr>
            <w:tcW w:w="371" w:type="dxa"/>
            <w:shd w:val="clear" w:color="auto" w:fill="auto"/>
            <w:vAlign w:val="center"/>
          </w:tcPr>
          <w:p w14:paraId="35310F73" w14:textId="77777777" w:rsidR="00177922" w:rsidRPr="00DA54CE" w:rsidRDefault="00177922" w:rsidP="00B83833">
            <w:pPr>
              <w:ind w:left="0"/>
              <w:jc w:val="center"/>
              <w:rPr>
                <w:sz w:val="17"/>
                <w:szCs w:val="17"/>
              </w:rPr>
            </w:pPr>
            <w:r w:rsidRPr="00DA54CE">
              <w:rPr>
                <w:sz w:val="17"/>
                <w:szCs w:val="17"/>
              </w:rPr>
              <w:t>1.</w:t>
            </w:r>
          </w:p>
        </w:tc>
        <w:tc>
          <w:tcPr>
            <w:tcW w:w="3576" w:type="dxa"/>
            <w:shd w:val="clear" w:color="auto" w:fill="auto"/>
            <w:vAlign w:val="center"/>
          </w:tcPr>
          <w:p w14:paraId="362A8758" w14:textId="77777777" w:rsidR="00177922" w:rsidRPr="00DA54CE" w:rsidRDefault="00177922" w:rsidP="007D50EA">
            <w:pPr>
              <w:tabs>
                <w:tab w:val="left" w:leader="dot" w:pos="9356"/>
              </w:tabs>
              <w:ind w:left="0"/>
              <w:rPr>
                <w:sz w:val="17"/>
                <w:szCs w:val="17"/>
              </w:rPr>
            </w:pPr>
            <w:r w:rsidRPr="00CE40F1">
              <w:rPr>
                <w:sz w:val="18"/>
                <w:szCs w:val="18"/>
              </w:rPr>
              <w:t>Počet nových zjednodušených životných situácií pre podnikateľov, realizovaných kombináciou elektronických služieb</w:t>
            </w:r>
            <w:r w:rsidRPr="00DA54CE">
              <w:rPr>
                <w:sz w:val="17"/>
                <w:szCs w:val="17"/>
              </w:rPr>
              <w:t xml:space="preserve"> </w:t>
            </w:r>
          </w:p>
        </w:tc>
        <w:tc>
          <w:tcPr>
            <w:tcW w:w="906" w:type="dxa"/>
            <w:shd w:val="clear" w:color="auto" w:fill="auto"/>
            <w:vAlign w:val="center"/>
          </w:tcPr>
          <w:p w14:paraId="18970946"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Počet</w:t>
            </w:r>
          </w:p>
        </w:tc>
        <w:tc>
          <w:tcPr>
            <w:tcW w:w="714" w:type="dxa"/>
            <w:shd w:val="clear" w:color="auto" w:fill="auto"/>
            <w:vAlign w:val="center"/>
          </w:tcPr>
          <w:p w14:paraId="754B6EC9"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3" w:type="dxa"/>
            <w:shd w:val="clear" w:color="auto" w:fill="auto"/>
            <w:vAlign w:val="center"/>
          </w:tcPr>
          <w:p w14:paraId="69E6033D" w14:textId="2FFDC859" w:rsidR="00177922" w:rsidRPr="00CE40F1" w:rsidRDefault="00177922" w:rsidP="009F659F">
            <w:pPr>
              <w:tabs>
                <w:tab w:val="left" w:pos="567"/>
                <w:tab w:val="left" w:leader="dot" w:pos="9356"/>
              </w:tabs>
              <w:ind w:left="0"/>
              <w:jc w:val="center"/>
              <w:rPr>
                <w:sz w:val="18"/>
                <w:szCs w:val="18"/>
              </w:rPr>
            </w:pPr>
            <w:r w:rsidRPr="00CE40F1">
              <w:rPr>
                <w:sz w:val="18"/>
                <w:szCs w:val="18"/>
              </w:rPr>
              <w:t>Menej rozvinuté regióny</w:t>
            </w:r>
          </w:p>
        </w:tc>
        <w:tc>
          <w:tcPr>
            <w:tcW w:w="1078" w:type="dxa"/>
            <w:shd w:val="clear" w:color="auto" w:fill="auto"/>
            <w:vAlign w:val="center"/>
          </w:tcPr>
          <w:p w14:paraId="38171C7E" w14:textId="74267F83" w:rsidR="00177922" w:rsidRPr="00CE40F1" w:rsidRDefault="00177922" w:rsidP="00962C1A">
            <w:pPr>
              <w:tabs>
                <w:tab w:val="left" w:pos="567"/>
                <w:tab w:val="left" w:leader="dot" w:pos="9356"/>
              </w:tabs>
              <w:ind w:left="0"/>
              <w:jc w:val="center"/>
              <w:rPr>
                <w:sz w:val="18"/>
                <w:szCs w:val="18"/>
              </w:rPr>
            </w:pPr>
            <w:r w:rsidRPr="00CE40F1">
              <w:rPr>
                <w:sz w:val="18"/>
                <w:szCs w:val="18"/>
              </w:rPr>
              <w:t>9</w:t>
            </w:r>
          </w:p>
        </w:tc>
        <w:tc>
          <w:tcPr>
            <w:tcW w:w="770" w:type="dxa"/>
            <w:shd w:val="clear" w:color="auto" w:fill="auto"/>
            <w:vAlign w:val="center"/>
          </w:tcPr>
          <w:p w14:paraId="69ACE5BD" w14:textId="03F6C7DE" w:rsidR="00177922" w:rsidRPr="00CE40F1" w:rsidRDefault="00177922" w:rsidP="00962C1A">
            <w:pPr>
              <w:tabs>
                <w:tab w:val="left" w:pos="567"/>
                <w:tab w:val="left" w:leader="dot" w:pos="9356"/>
              </w:tabs>
              <w:ind w:left="0"/>
              <w:jc w:val="center"/>
              <w:rPr>
                <w:sz w:val="18"/>
                <w:szCs w:val="18"/>
              </w:rPr>
            </w:pPr>
            <w:r w:rsidRPr="00CE40F1">
              <w:rPr>
                <w:sz w:val="18"/>
                <w:szCs w:val="18"/>
              </w:rPr>
              <w:t>SORO</w:t>
            </w:r>
          </w:p>
        </w:tc>
        <w:tc>
          <w:tcPr>
            <w:tcW w:w="1184" w:type="dxa"/>
            <w:shd w:val="clear" w:color="auto" w:fill="auto"/>
            <w:vAlign w:val="center"/>
          </w:tcPr>
          <w:p w14:paraId="28F666F1" w14:textId="3C9B238F" w:rsidR="00177922" w:rsidRPr="00CE40F1" w:rsidRDefault="00177922" w:rsidP="00962C1A">
            <w:pPr>
              <w:tabs>
                <w:tab w:val="left" w:pos="567"/>
                <w:tab w:val="left" w:leader="dot" w:pos="9356"/>
              </w:tabs>
              <w:ind w:left="0"/>
              <w:jc w:val="center"/>
              <w:rPr>
                <w:sz w:val="18"/>
                <w:szCs w:val="18"/>
              </w:rPr>
            </w:pPr>
            <w:r w:rsidRPr="00CE40F1">
              <w:rPr>
                <w:sz w:val="18"/>
                <w:szCs w:val="18"/>
              </w:rPr>
              <w:t>Ročne počas trvania projektov</w:t>
            </w:r>
          </w:p>
        </w:tc>
      </w:tr>
      <w:tr w:rsidR="00177922" w:rsidRPr="002309F8" w14:paraId="49E2534A" w14:textId="77777777" w:rsidTr="00962C1A">
        <w:trPr>
          <w:trHeight w:val="454"/>
          <w:jc w:val="center"/>
        </w:trPr>
        <w:tc>
          <w:tcPr>
            <w:tcW w:w="371" w:type="dxa"/>
            <w:shd w:val="clear" w:color="auto" w:fill="auto"/>
            <w:vAlign w:val="center"/>
          </w:tcPr>
          <w:p w14:paraId="6B739498" w14:textId="77777777" w:rsidR="00177922" w:rsidRPr="00DA54CE" w:rsidRDefault="00177922" w:rsidP="00B83833">
            <w:pPr>
              <w:ind w:left="0"/>
              <w:jc w:val="center"/>
              <w:rPr>
                <w:sz w:val="17"/>
                <w:szCs w:val="17"/>
              </w:rPr>
            </w:pPr>
            <w:r w:rsidRPr="00DA54CE">
              <w:rPr>
                <w:sz w:val="17"/>
                <w:szCs w:val="17"/>
              </w:rPr>
              <w:lastRenderedPageBreak/>
              <w:t>2.</w:t>
            </w:r>
          </w:p>
        </w:tc>
        <w:tc>
          <w:tcPr>
            <w:tcW w:w="3576" w:type="dxa"/>
            <w:shd w:val="clear" w:color="auto" w:fill="auto"/>
            <w:vAlign w:val="center"/>
          </w:tcPr>
          <w:p w14:paraId="4C1888A6" w14:textId="77777777" w:rsidR="00177922" w:rsidRPr="00DA54CE" w:rsidDel="000657D9" w:rsidRDefault="00177922" w:rsidP="007D50EA">
            <w:pPr>
              <w:tabs>
                <w:tab w:val="left" w:leader="dot" w:pos="9356"/>
              </w:tabs>
              <w:ind w:left="0"/>
              <w:rPr>
                <w:sz w:val="17"/>
                <w:szCs w:val="17"/>
              </w:rPr>
            </w:pPr>
            <w:r w:rsidRPr="00CE40F1">
              <w:rPr>
                <w:sz w:val="18"/>
                <w:szCs w:val="18"/>
              </w:rPr>
              <w:t>Počet nových cezhraničných služieb pre podnikateľov</w:t>
            </w:r>
          </w:p>
        </w:tc>
        <w:tc>
          <w:tcPr>
            <w:tcW w:w="906" w:type="dxa"/>
            <w:shd w:val="clear" w:color="auto" w:fill="auto"/>
            <w:vAlign w:val="center"/>
          </w:tcPr>
          <w:p w14:paraId="643F24D7" w14:textId="77777777" w:rsidR="00177922" w:rsidRPr="00CE40F1" w:rsidDel="000657D9" w:rsidRDefault="00177922" w:rsidP="00354629">
            <w:pPr>
              <w:tabs>
                <w:tab w:val="left" w:pos="567"/>
                <w:tab w:val="left" w:leader="dot" w:pos="9356"/>
              </w:tabs>
              <w:ind w:left="0"/>
              <w:jc w:val="center"/>
              <w:rPr>
                <w:sz w:val="18"/>
                <w:szCs w:val="18"/>
              </w:rPr>
            </w:pPr>
            <w:r w:rsidRPr="00CE40F1">
              <w:rPr>
                <w:sz w:val="18"/>
                <w:szCs w:val="18"/>
              </w:rPr>
              <w:t>Počet</w:t>
            </w:r>
          </w:p>
        </w:tc>
        <w:tc>
          <w:tcPr>
            <w:tcW w:w="714" w:type="dxa"/>
            <w:shd w:val="clear" w:color="auto" w:fill="auto"/>
            <w:vAlign w:val="center"/>
          </w:tcPr>
          <w:p w14:paraId="65753275"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3" w:type="dxa"/>
            <w:shd w:val="clear" w:color="auto" w:fill="auto"/>
            <w:vAlign w:val="center"/>
          </w:tcPr>
          <w:p w14:paraId="5C1D90FD" w14:textId="09DAF536" w:rsidR="00177922" w:rsidRPr="00CE40F1" w:rsidRDefault="00177922" w:rsidP="009F659F">
            <w:pPr>
              <w:tabs>
                <w:tab w:val="left" w:pos="567"/>
                <w:tab w:val="left" w:leader="dot" w:pos="9356"/>
              </w:tabs>
              <w:ind w:left="0"/>
              <w:jc w:val="center"/>
              <w:rPr>
                <w:sz w:val="18"/>
                <w:szCs w:val="18"/>
              </w:rPr>
            </w:pPr>
            <w:r w:rsidRPr="00CE40F1">
              <w:rPr>
                <w:sz w:val="18"/>
                <w:szCs w:val="18"/>
              </w:rPr>
              <w:t>Menej rozvinuté regióny</w:t>
            </w:r>
          </w:p>
        </w:tc>
        <w:tc>
          <w:tcPr>
            <w:tcW w:w="1078" w:type="dxa"/>
            <w:shd w:val="clear" w:color="auto" w:fill="auto"/>
            <w:vAlign w:val="center"/>
          </w:tcPr>
          <w:p w14:paraId="7550159F" w14:textId="159AE4C8" w:rsidR="00177922" w:rsidRPr="00CE40F1" w:rsidRDefault="00177922" w:rsidP="00962C1A">
            <w:pPr>
              <w:tabs>
                <w:tab w:val="left" w:pos="567"/>
                <w:tab w:val="left" w:leader="dot" w:pos="9356"/>
              </w:tabs>
              <w:ind w:left="0"/>
              <w:jc w:val="center"/>
              <w:rPr>
                <w:sz w:val="18"/>
                <w:szCs w:val="18"/>
              </w:rPr>
            </w:pPr>
            <w:r w:rsidRPr="00CE40F1">
              <w:rPr>
                <w:sz w:val="18"/>
                <w:szCs w:val="18"/>
              </w:rPr>
              <w:t>12</w:t>
            </w:r>
          </w:p>
        </w:tc>
        <w:tc>
          <w:tcPr>
            <w:tcW w:w="770" w:type="dxa"/>
            <w:shd w:val="clear" w:color="auto" w:fill="auto"/>
            <w:vAlign w:val="center"/>
          </w:tcPr>
          <w:p w14:paraId="1C5A5B31" w14:textId="2D4B2E0A" w:rsidR="00177922" w:rsidRPr="00CE40F1" w:rsidRDefault="00177922" w:rsidP="00962C1A">
            <w:pPr>
              <w:tabs>
                <w:tab w:val="left" w:pos="567"/>
                <w:tab w:val="left" w:leader="dot" w:pos="9356"/>
              </w:tabs>
              <w:ind w:left="0"/>
              <w:jc w:val="center"/>
              <w:rPr>
                <w:sz w:val="18"/>
                <w:szCs w:val="18"/>
              </w:rPr>
            </w:pPr>
            <w:r w:rsidRPr="00CE40F1">
              <w:rPr>
                <w:sz w:val="18"/>
                <w:szCs w:val="18"/>
              </w:rPr>
              <w:t>SORO</w:t>
            </w:r>
          </w:p>
        </w:tc>
        <w:tc>
          <w:tcPr>
            <w:tcW w:w="1184" w:type="dxa"/>
            <w:shd w:val="clear" w:color="auto" w:fill="auto"/>
            <w:vAlign w:val="center"/>
          </w:tcPr>
          <w:p w14:paraId="516925F7" w14:textId="26AFF01B" w:rsidR="00177922" w:rsidRPr="00CE40F1" w:rsidRDefault="00177922" w:rsidP="00962C1A">
            <w:pPr>
              <w:tabs>
                <w:tab w:val="left" w:pos="567"/>
                <w:tab w:val="left" w:leader="dot" w:pos="9356"/>
              </w:tabs>
              <w:ind w:left="0"/>
              <w:jc w:val="center"/>
              <w:rPr>
                <w:sz w:val="18"/>
                <w:szCs w:val="18"/>
              </w:rPr>
            </w:pPr>
            <w:r w:rsidRPr="00CE40F1">
              <w:rPr>
                <w:sz w:val="18"/>
                <w:szCs w:val="18"/>
              </w:rPr>
              <w:t>Ročne počas trvania projektov</w:t>
            </w:r>
          </w:p>
        </w:tc>
      </w:tr>
      <w:tr w:rsidR="00177922" w:rsidRPr="002309F8" w14:paraId="53B0B2DB" w14:textId="77777777" w:rsidTr="00962C1A">
        <w:trPr>
          <w:trHeight w:val="1190"/>
          <w:jc w:val="center"/>
        </w:trPr>
        <w:tc>
          <w:tcPr>
            <w:tcW w:w="371" w:type="dxa"/>
            <w:shd w:val="clear" w:color="auto" w:fill="auto"/>
            <w:vAlign w:val="center"/>
          </w:tcPr>
          <w:p w14:paraId="0AA22091" w14:textId="77777777" w:rsidR="00177922" w:rsidRPr="00DA54CE" w:rsidRDefault="00177922" w:rsidP="00B83833">
            <w:pPr>
              <w:ind w:left="0"/>
              <w:jc w:val="center"/>
              <w:rPr>
                <w:sz w:val="17"/>
                <w:szCs w:val="17"/>
              </w:rPr>
            </w:pPr>
            <w:r w:rsidRPr="00DA54CE">
              <w:rPr>
                <w:sz w:val="17"/>
                <w:szCs w:val="17"/>
              </w:rPr>
              <w:t>3.</w:t>
            </w:r>
          </w:p>
        </w:tc>
        <w:tc>
          <w:tcPr>
            <w:tcW w:w="3576" w:type="dxa"/>
            <w:shd w:val="clear" w:color="auto" w:fill="auto"/>
            <w:vAlign w:val="center"/>
          </w:tcPr>
          <w:p w14:paraId="08C8169F" w14:textId="77777777" w:rsidR="00177922" w:rsidRPr="00DA54CE" w:rsidDel="000657D9" w:rsidRDefault="00177922" w:rsidP="00354629">
            <w:pPr>
              <w:tabs>
                <w:tab w:val="left" w:leader="dot" w:pos="9356"/>
              </w:tabs>
              <w:ind w:left="0"/>
              <w:rPr>
                <w:sz w:val="17"/>
                <w:szCs w:val="17"/>
              </w:rPr>
            </w:pPr>
            <w:r>
              <w:rPr>
                <w:sz w:val="18"/>
                <w:szCs w:val="18"/>
              </w:rPr>
              <w:t xml:space="preserve">Podiel </w:t>
            </w:r>
            <w:r w:rsidRPr="00CE40F1">
              <w:rPr>
                <w:sz w:val="18"/>
                <w:szCs w:val="18"/>
              </w:rPr>
              <w:t>dodatočných elektronických služieb pre</w:t>
            </w:r>
            <w:r>
              <w:rPr>
                <w:sz w:val="18"/>
                <w:szCs w:val="18"/>
              </w:rPr>
              <w:t xml:space="preserve"> </w:t>
            </w:r>
            <w:r w:rsidRPr="00CE40F1">
              <w:rPr>
                <w:sz w:val="18"/>
                <w:szCs w:val="18"/>
              </w:rPr>
              <w:t>podnikateľov, ktoré je možné riešiť mobilnou aplikáciou</w:t>
            </w:r>
          </w:p>
        </w:tc>
        <w:tc>
          <w:tcPr>
            <w:tcW w:w="906" w:type="dxa"/>
            <w:shd w:val="clear" w:color="auto" w:fill="auto"/>
            <w:vAlign w:val="center"/>
          </w:tcPr>
          <w:p w14:paraId="7F189139" w14:textId="77777777" w:rsidR="00177922" w:rsidRPr="00CE40F1" w:rsidDel="000657D9" w:rsidRDefault="00177922" w:rsidP="00354629">
            <w:pPr>
              <w:tabs>
                <w:tab w:val="left" w:pos="567"/>
                <w:tab w:val="left" w:leader="dot" w:pos="9356"/>
              </w:tabs>
              <w:ind w:left="0"/>
              <w:jc w:val="center"/>
              <w:rPr>
                <w:sz w:val="18"/>
                <w:szCs w:val="18"/>
              </w:rPr>
            </w:pPr>
            <w:r w:rsidRPr="007A5A21">
              <w:rPr>
                <w:sz w:val="18"/>
                <w:szCs w:val="18"/>
              </w:rPr>
              <w:t>%</w:t>
            </w:r>
          </w:p>
        </w:tc>
        <w:tc>
          <w:tcPr>
            <w:tcW w:w="714" w:type="dxa"/>
            <w:shd w:val="clear" w:color="auto" w:fill="auto"/>
            <w:vAlign w:val="center"/>
          </w:tcPr>
          <w:p w14:paraId="6C883223"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3" w:type="dxa"/>
            <w:shd w:val="clear" w:color="auto" w:fill="auto"/>
            <w:vAlign w:val="center"/>
          </w:tcPr>
          <w:p w14:paraId="3FF8616D" w14:textId="2BACB1AC" w:rsidR="00177922" w:rsidRPr="00CE40F1" w:rsidRDefault="00177922" w:rsidP="009F659F">
            <w:pPr>
              <w:tabs>
                <w:tab w:val="left" w:pos="567"/>
                <w:tab w:val="left" w:leader="dot" w:pos="9356"/>
              </w:tabs>
              <w:ind w:left="0"/>
              <w:jc w:val="center"/>
              <w:rPr>
                <w:sz w:val="18"/>
                <w:szCs w:val="18"/>
              </w:rPr>
            </w:pPr>
            <w:r w:rsidRPr="00CE40F1">
              <w:rPr>
                <w:sz w:val="18"/>
                <w:szCs w:val="18"/>
              </w:rPr>
              <w:t>Menej rozvinuté regióny</w:t>
            </w:r>
          </w:p>
        </w:tc>
        <w:tc>
          <w:tcPr>
            <w:tcW w:w="1078" w:type="dxa"/>
            <w:shd w:val="clear" w:color="auto" w:fill="auto"/>
            <w:vAlign w:val="center"/>
          </w:tcPr>
          <w:p w14:paraId="36BE5E0D" w14:textId="2D5E4C1E" w:rsidR="00177922" w:rsidRPr="00CE40F1" w:rsidRDefault="00177922" w:rsidP="00962C1A">
            <w:pPr>
              <w:tabs>
                <w:tab w:val="left" w:pos="567"/>
                <w:tab w:val="left" w:leader="dot" w:pos="9356"/>
              </w:tabs>
              <w:ind w:left="0"/>
              <w:jc w:val="center"/>
              <w:rPr>
                <w:sz w:val="18"/>
                <w:szCs w:val="18"/>
              </w:rPr>
            </w:pPr>
            <w:r w:rsidRPr="00CE40F1">
              <w:rPr>
                <w:sz w:val="18"/>
                <w:szCs w:val="18"/>
              </w:rPr>
              <w:t>40 % zo zoznamu eGovernment služieb (s výnimkou služieb ktoré riešia publikovanie informácií)</w:t>
            </w:r>
          </w:p>
        </w:tc>
        <w:tc>
          <w:tcPr>
            <w:tcW w:w="770" w:type="dxa"/>
            <w:shd w:val="clear" w:color="auto" w:fill="auto"/>
            <w:vAlign w:val="center"/>
          </w:tcPr>
          <w:p w14:paraId="402AEF31" w14:textId="5507F4E7" w:rsidR="00177922" w:rsidRPr="00CE40F1" w:rsidRDefault="00177922" w:rsidP="00962C1A">
            <w:pPr>
              <w:tabs>
                <w:tab w:val="left" w:pos="567"/>
                <w:tab w:val="left" w:leader="dot" w:pos="9356"/>
              </w:tabs>
              <w:ind w:left="0"/>
              <w:jc w:val="center"/>
              <w:rPr>
                <w:sz w:val="18"/>
                <w:szCs w:val="18"/>
              </w:rPr>
            </w:pPr>
            <w:r w:rsidRPr="00CE40F1">
              <w:rPr>
                <w:sz w:val="18"/>
                <w:szCs w:val="18"/>
              </w:rPr>
              <w:t>SORO</w:t>
            </w:r>
          </w:p>
        </w:tc>
        <w:tc>
          <w:tcPr>
            <w:tcW w:w="1184" w:type="dxa"/>
            <w:shd w:val="clear" w:color="auto" w:fill="auto"/>
            <w:vAlign w:val="center"/>
          </w:tcPr>
          <w:p w14:paraId="4A26F5CE" w14:textId="77777777" w:rsidR="00177922" w:rsidRPr="00CE40F1" w:rsidRDefault="00177922" w:rsidP="0078628A">
            <w:pPr>
              <w:tabs>
                <w:tab w:val="left" w:pos="567"/>
                <w:tab w:val="left" w:leader="dot" w:pos="9356"/>
              </w:tabs>
              <w:ind w:left="0"/>
              <w:jc w:val="center"/>
              <w:rPr>
                <w:sz w:val="18"/>
                <w:szCs w:val="18"/>
              </w:rPr>
            </w:pPr>
            <w:r w:rsidRPr="00CE40F1">
              <w:rPr>
                <w:sz w:val="18"/>
                <w:szCs w:val="18"/>
              </w:rPr>
              <w:t>Ročne počas trvania projektov</w:t>
            </w:r>
          </w:p>
        </w:tc>
      </w:tr>
    </w:tbl>
    <w:p w14:paraId="3CCA5F4A" w14:textId="7D4CA309" w:rsidR="00E92F9B" w:rsidRDefault="00177922">
      <w:pPr>
        <w:pStyle w:val="Tab"/>
        <w:jc w:val="both"/>
      </w:pPr>
      <w:r w:rsidRPr="00177922">
        <w:t>Špecifické ukazovatele výstupov pre investičnú prioritu 2</w:t>
      </w:r>
      <w:r>
        <w:t>c</w:t>
      </w:r>
      <w:r w:rsidRPr="00177922">
        <w:t xml:space="preserve">), ŠC </w:t>
      </w:r>
      <w:r>
        <w:t>7.4</w:t>
      </w:r>
      <w:r w:rsidRPr="00177922">
        <w:t>: Zvýšenie kvality, štandardu a dostupnosti eGovernment služieb pre občanov</w:t>
      </w:r>
    </w:p>
    <w:tbl>
      <w:tblPr>
        <w:tblStyle w:val="Mriekatabuky"/>
        <w:tblW w:w="9594" w:type="dxa"/>
        <w:jc w:val="center"/>
        <w:shd w:val="clear" w:color="auto" w:fill="DBE5F1" w:themeFill="accent1" w:themeFillTint="33"/>
        <w:tblLayout w:type="fixed"/>
        <w:tblLook w:val="04A0" w:firstRow="1" w:lastRow="0" w:firstColumn="1" w:lastColumn="0" w:noHBand="0" w:noVBand="1"/>
      </w:tblPr>
      <w:tblGrid>
        <w:gridCol w:w="374"/>
        <w:gridCol w:w="3584"/>
        <w:gridCol w:w="980"/>
        <w:gridCol w:w="686"/>
        <w:gridCol w:w="979"/>
        <w:gridCol w:w="938"/>
        <w:gridCol w:w="854"/>
        <w:gridCol w:w="1199"/>
      </w:tblGrid>
      <w:tr w:rsidR="00177922" w:rsidRPr="002309F8" w14:paraId="5F7188A0" w14:textId="77777777" w:rsidTr="00354629">
        <w:trPr>
          <w:trHeight w:val="340"/>
          <w:jc w:val="center"/>
        </w:trPr>
        <w:tc>
          <w:tcPr>
            <w:tcW w:w="374" w:type="dxa"/>
            <w:tcBorders>
              <w:bottom w:val="single" w:sz="4" w:space="0" w:color="auto"/>
            </w:tcBorders>
            <w:shd w:val="clear" w:color="auto" w:fill="C6D9F1" w:themeFill="text2" w:themeFillTint="33"/>
            <w:vAlign w:val="center"/>
          </w:tcPr>
          <w:p w14:paraId="3AB66AA8" w14:textId="77777777" w:rsidR="00177922" w:rsidRPr="00177922" w:rsidRDefault="001218A8" w:rsidP="00B83833">
            <w:pPr>
              <w:ind w:left="0"/>
              <w:jc w:val="center"/>
              <w:rPr>
                <w:b/>
                <w:sz w:val="18"/>
                <w:szCs w:val="18"/>
              </w:rPr>
            </w:pPr>
            <w:r w:rsidRPr="001218A8">
              <w:rPr>
                <w:b/>
                <w:sz w:val="18"/>
                <w:szCs w:val="18"/>
              </w:rPr>
              <w:t>P. č.</w:t>
            </w:r>
          </w:p>
        </w:tc>
        <w:tc>
          <w:tcPr>
            <w:tcW w:w="3584" w:type="dxa"/>
            <w:tcBorders>
              <w:bottom w:val="single" w:sz="4" w:space="0" w:color="auto"/>
            </w:tcBorders>
            <w:shd w:val="clear" w:color="auto" w:fill="C6D9F1" w:themeFill="text2" w:themeFillTint="33"/>
            <w:vAlign w:val="center"/>
          </w:tcPr>
          <w:p w14:paraId="03268188" w14:textId="77777777" w:rsidR="00177922" w:rsidRPr="00177922" w:rsidRDefault="001218A8" w:rsidP="00B83833">
            <w:pPr>
              <w:ind w:left="0"/>
              <w:rPr>
                <w:b/>
                <w:sz w:val="18"/>
                <w:szCs w:val="18"/>
              </w:rPr>
            </w:pPr>
            <w:r w:rsidRPr="001218A8">
              <w:rPr>
                <w:b/>
                <w:sz w:val="18"/>
                <w:szCs w:val="18"/>
              </w:rPr>
              <w:t>Ukazovateľ (názov ukazovateľa)</w:t>
            </w:r>
          </w:p>
        </w:tc>
        <w:tc>
          <w:tcPr>
            <w:tcW w:w="980" w:type="dxa"/>
            <w:tcBorders>
              <w:bottom w:val="single" w:sz="4" w:space="0" w:color="auto"/>
            </w:tcBorders>
            <w:shd w:val="clear" w:color="auto" w:fill="C6D9F1" w:themeFill="text2" w:themeFillTint="33"/>
            <w:vAlign w:val="center"/>
          </w:tcPr>
          <w:p w14:paraId="7743F15B" w14:textId="77777777" w:rsidR="00177922" w:rsidRPr="00177922" w:rsidRDefault="001218A8" w:rsidP="00B83833">
            <w:pPr>
              <w:ind w:left="0"/>
              <w:jc w:val="center"/>
              <w:rPr>
                <w:b/>
                <w:sz w:val="18"/>
                <w:szCs w:val="18"/>
              </w:rPr>
            </w:pPr>
            <w:r w:rsidRPr="001218A8">
              <w:rPr>
                <w:b/>
                <w:sz w:val="18"/>
                <w:szCs w:val="18"/>
              </w:rPr>
              <w:t>Merná jednotka</w:t>
            </w:r>
          </w:p>
        </w:tc>
        <w:tc>
          <w:tcPr>
            <w:tcW w:w="686" w:type="dxa"/>
            <w:tcBorders>
              <w:bottom w:val="single" w:sz="4" w:space="0" w:color="auto"/>
            </w:tcBorders>
            <w:shd w:val="clear" w:color="auto" w:fill="C6D9F1" w:themeFill="text2" w:themeFillTint="33"/>
            <w:vAlign w:val="center"/>
          </w:tcPr>
          <w:p w14:paraId="048F1DAF" w14:textId="77777777" w:rsidR="00177922" w:rsidRPr="00177922" w:rsidRDefault="001218A8" w:rsidP="00B83833">
            <w:pPr>
              <w:ind w:left="0"/>
              <w:jc w:val="center"/>
              <w:rPr>
                <w:b/>
                <w:sz w:val="18"/>
                <w:szCs w:val="18"/>
              </w:rPr>
            </w:pPr>
            <w:r w:rsidRPr="001218A8">
              <w:rPr>
                <w:b/>
                <w:sz w:val="18"/>
                <w:szCs w:val="18"/>
              </w:rPr>
              <w:t>Fond</w:t>
            </w:r>
          </w:p>
        </w:tc>
        <w:tc>
          <w:tcPr>
            <w:tcW w:w="979" w:type="dxa"/>
            <w:tcBorders>
              <w:bottom w:val="single" w:sz="4" w:space="0" w:color="auto"/>
            </w:tcBorders>
            <w:shd w:val="clear" w:color="auto" w:fill="C6D9F1" w:themeFill="text2" w:themeFillTint="33"/>
            <w:vAlign w:val="center"/>
          </w:tcPr>
          <w:p w14:paraId="01728317" w14:textId="77777777" w:rsidR="00177922" w:rsidRPr="00177922" w:rsidRDefault="001218A8" w:rsidP="00B83833">
            <w:pPr>
              <w:ind w:left="0"/>
              <w:jc w:val="center"/>
              <w:rPr>
                <w:b/>
                <w:sz w:val="18"/>
                <w:szCs w:val="18"/>
                <w:highlight w:val="yellow"/>
              </w:rPr>
            </w:pPr>
            <w:r w:rsidRPr="001218A8">
              <w:rPr>
                <w:b/>
                <w:sz w:val="18"/>
                <w:szCs w:val="18"/>
              </w:rPr>
              <w:t>Kategória regiónu</w:t>
            </w:r>
          </w:p>
        </w:tc>
        <w:tc>
          <w:tcPr>
            <w:tcW w:w="938" w:type="dxa"/>
            <w:tcBorders>
              <w:bottom w:val="single" w:sz="4" w:space="0" w:color="auto"/>
            </w:tcBorders>
            <w:shd w:val="clear" w:color="auto" w:fill="C6D9F1" w:themeFill="text2" w:themeFillTint="33"/>
            <w:vAlign w:val="center"/>
          </w:tcPr>
          <w:p w14:paraId="211BCBE5" w14:textId="77777777" w:rsidR="00177922" w:rsidRPr="00177922" w:rsidRDefault="001218A8" w:rsidP="00B83833">
            <w:pPr>
              <w:ind w:left="0"/>
              <w:jc w:val="center"/>
              <w:rPr>
                <w:b/>
                <w:sz w:val="18"/>
                <w:szCs w:val="18"/>
              </w:rPr>
            </w:pPr>
            <w:r w:rsidRPr="001218A8">
              <w:rPr>
                <w:b/>
                <w:sz w:val="18"/>
                <w:szCs w:val="18"/>
              </w:rPr>
              <w:t>Cieľová hodnota (2023)</w:t>
            </w:r>
          </w:p>
        </w:tc>
        <w:tc>
          <w:tcPr>
            <w:tcW w:w="854" w:type="dxa"/>
            <w:tcBorders>
              <w:bottom w:val="single" w:sz="4" w:space="0" w:color="auto"/>
            </w:tcBorders>
            <w:shd w:val="clear" w:color="auto" w:fill="C6D9F1" w:themeFill="text2" w:themeFillTint="33"/>
            <w:vAlign w:val="center"/>
          </w:tcPr>
          <w:p w14:paraId="4269CF0F" w14:textId="77777777" w:rsidR="00177922" w:rsidRPr="00177922" w:rsidRDefault="001218A8" w:rsidP="00B83833">
            <w:pPr>
              <w:ind w:left="0"/>
              <w:jc w:val="center"/>
              <w:rPr>
                <w:b/>
                <w:sz w:val="18"/>
                <w:szCs w:val="18"/>
              </w:rPr>
            </w:pPr>
            <w:r w:rsidRPr="001218A8">
              <w:rPr>
                <w:b/>
                <w:sz w:val="18"/>
                <w:szCs w:val="18"/>
              </w:rPr>
              <w:t>Zdroj údajov</w:t>
            </w:r>
          </w:p>
        </w:tc>
        <w:tc>
          <w:tcPr>
            <w:tcW w:w="1199" w:type="dxa"/>
            <w:tcBorders>
              <w:bottom w:val="single" w:sz="4" w:space="0" w:color="auto"/>
            </w:tcBorders>
            <w:shd w:val="clear" w:color="auto" w:fill="C6D9F1" w:themeFill="text2" w:themeFillTint="33"/>
          </w:tcPr>
          <w:p w14:paraId="703940A2" w14:textId="77777777" w:rsidR="00177922" w:rsidRPr="00177922" w:rsidRDefault="001218A8" w:rsidP="00B83833">
            <w:pPr>
              <w:ind w:left="0"/>
              <w:jc w:val="center"/>
              <w:rPr>
                <w:b/>
                <w:sz w:val="18"/>
                <w:szCs w:val="18"/>
                <w:highlight w:val="yellow"/>
              </w:rPr>
            </w:pPr>
            <w:r w:rsidRPr="001218A8">
              <w:rPr>
                <w:b/>
                <w:sz w:val="18"/>
                <w:szCs w:val="18"/>
              </w:rPr>
              <w:t>Frekvencia vykazovania</w:t>
            </w:r>
          </w:p>
        </w:tc>
      </w:tr>
      <w:tr w:rsidR="00177922" w:rsidRPr="002309F8" w14:paraId="5B2BACB2" w14:textId="77777777" w:rsidTr="00354629">
        <w:trPr>
          <w:trHeight w:val="454"/>
          <w:jc w:val="center"/>
        </w:trPr>
        <w:tc>
          <w:tcPr>
            <w:tcW w:w="374" w:type="dxa"/>
            <w:shd w:val="clear" w:color="auto" w:fill="auto"/>
            <w:vAlign w:val="center"/>
          </w:tcPr>
          <w:p w14:paraId="2193530B" w14:textId="77777777" w:rsidR="00177922" w:rsidRPr="00B02869" w:rsidRDefault="00177922" w:rsidP="00B83833">
            <w:pPr>
              <w:ind w:left="0"/>
              <w:jc w:val="center"/>
              <w:rPr>
                <w:sz w:val="18"/>
                <w:szCs w:val="18"/>
              </w:rPr>
            </w:pPr>
            <w:r>
              <w:rPr>
                <w:sz w:val="18"/>
                <w:szCs w:val="18"/>
              </w:rPr>
              <w:t>4</w:t>
            </w:r>
            <w:r w:rsidRPr="00B02869">
              <w:rPr>
                <w:sz w:val="18"/>
                <w:szCs w:val="18"/>
              </w:rPr>
              <w:t>.</w:t>
            </w:r>
          </w:p>
        </w:tc>
        <w:tc>
          <w:tcPr>
            <w:tcW w:w="3584" w:type="dxa"/>
            <w:shd w:val="clear" w:color="auto" w:fill="auto"/>
          </w:tcPr>
          <w:p w14:paraId="2BE59C92" w14:textId="77777777" w:rsidR="00177922" w:rsidRPr="00D46C46" w:rsidDel="000657D9" w:rsidRDefault="00177922" w:rsidP="00AF5171">
            <w:pPr>
              <w:ind w:left="0"/>
              <w:rPr>
                <w:sz w:val="18"/>
                <w:szCs w:val="18"/>
              </w:rPr>
            </w:pPr>
            <w:r w:rsidRPr="006B6BE8">
              <w:rPr>
                <w:sz w:val="18"/>
                <w:szCs w:val="18"/>
              </w:rPr>
              <w:t>Počet nových zjednodušených životných situáci</w:t>
            </w:r>
            <w:r>
              <w:rPr>
                <w:sz w:val="18"/>
                <w:szCs w:val="18"/>
              </w:rPr>
              <w:t>í</w:t>
            </w:r>
            <w:r w:rsidRPr="006B6BE8">
              <w:rPr>
                <w:sz w:val="18"/>
                <w:szCs w:val="18"/>
              </w:rPr>
              <w:t xml:space="preserve"> pre občanov, realizovaných kombináciou elektronických služieb </w:t>
            </w:r>
          </w:p>
        </w:tc>
        <w:tc>
          <w:tcPr>
            <w:tcW w:w="980" w:type="dxa"/>
            <w:shd w:val="clear" w:color="auto" w:fill="auto"/>
            <w:vAlign w:val="center"/>
          </w:tcPr>
          <w:p w14:paraId="22B46322" w14:textId="77777777" w:rsidR="00177922" w:rsidRPr="00E06002" w:rsidDel="000657D9" w:rsidRDefault="00177922" w:rsidP="00B83833">
            <w:pPr>
              <w:ind w:left="0"/>
              <w:jc w:val="center"/>
              <w:rPr>
                <w:sz w:val="18"/>
                <w:szCs w:val="18"/>
              </w:rPr>
            </w:pPr>
            <w:r w:rsidRPr="006B6BE8">
              <w:rPr>
                <w:sz w:val="18"/>
                <w:szCs w:val="18"/>
              </w:rPr>
              <w:t>Počet</w:t>
            </w:r>
          </w:p>
        </w:tc>
        <w:tc>
          <w:tcPr>
            <w:tcW w:w="686" w:type="dxa"/>
            <w:shd w:val="clear" w:color="auto" w:fill="auto"/>
            <w:vAlign w:val="center"/>
          </w:tcPr>
          <w:p w14:paraId="7D4BDDDF" w14:textId="498D92F1" w:rsidR="00177922" w:rsidRPr="00BC47B7" w:rsidRDefault="00177922" w:rsidP="00962C1A">
            <w:pPr>
              <w:tabs>
                <w:tab w:val="left" w:pos="567"/>
                <w:tab w:val="left" w:leader="dot" w:pos="9356"/>
              </w:tabs>
              <w:ind w:left="0"/>
              <w:rPr>
                <w:sz w:val="18"/>
                <w:szCs w:val="18"/>
              </w:rPr>
            </w:pPr>
            <w:r w:rsidRPr="006B6BE8">
              <w:rPr>
                <w:sz w:val="18"/>
                <w:szCs w:val="18"/>
              </w:rPr>
              <w:t>EFRR</w:t>
            </w:r>
          </w:p>
        </w:tc>
        <w:tc>
          <w:tcPr>
            <w:tcW w:w="979" w:type="dxa"/>
            <w:shd w:val="clear" w:color="auto" w:fill="auto"/>
            <w:vAlign w:val="center"/>
          </w:tcPr>
          <w:p w14:paraId="628BC200" w14:textId="4FF5C900" w:rsidR="00177922" w:rsidRPr="00BC47B7" w:rsidRDefault="00177922" w:rsidP="00746F3A">
            <w:pPr>
              <w:tabs>
                <w:tab w:val="left" w:pos="567"/>
                <w:tab w:val="left" w:leader="dot" w:pos="9356"/>
              </w:tabs>
              <w:ind w:left="0"/>
              <w:jc w:val="center"/>
              <w:rPr>
                <w:sz w:val="18"/>
                <w:szCs w:val="18"/>
              </w:rPr>
            </w:pPr>
            <w:r w:rsidRPr="006B6BE8">
              <w:rPr>
                <w:sz w:val="18"/>
                <w:szCs w:val="18"/>
              </w:rPr>
              <w:t>Menej rozvinuté regióny</w:t>
            </w:r>
          </w:p>
        </w:tc>
        <w:tc>
          <w:tcPr>
            <w:tcW w:w="938" w:type="dxa"/>
            <w:shd w:val="clear" w:color="auto" w:fill="auto"/>
            <w:vAlign w:val="center"/>
          </w:tcPr>
          <w:p w14:paraId="269E5BEF" w14:textId="77777777" w:rsidR="00177922" w:rsidRPr="00E06002" w:rsidRDefault="00177922" w:rsidP="00B83833">
            <w:pPr>
              <w:ind w:left="0"/>
              <w:jc w:val="center"/>
              <w:rPr>
                <w:sz w:val="18"/>
                <w:szCs w:val="18"/>
              </w:rPr>
            </w:pPr>
            <w:r w:rsidRPr="006B6BE8">
              <w:rPr>
                <w:sz w:val="18"/>
                <w:szCs w:val="18"/>
              </w:rPr>
              <w:t>16</w:t>
            </w:r>
          </w:p>
        </w:tc>
        <w:tc>
          <w:tcPr>
            <w:tcW w:w="854" w:type="dxa"/>
            <w:shd w:val="clear" w:color="auto" w:fill="auto"/>
            <w:vAlign w:val="center"/>
          </w:tcPr>
          <w:p w14:paraId="2439A2D0" w14:textId="1FEE1457" w:rsidR="00177922" w:rsidRPr="00BC47B7" w:rsidRDefault="00177922" w:rsidP="00962C1A">
            <w:pPr>
              <w:tabs>
                <w:tab w:val="left" w:pos="567"/>
                <w:tab w:val="left" w:leader="dot" w:pos="9356"/>
              </w:tabs>
              <w:ind w:left="0"/>
              <w:jc w:val="center"/>
              <w:rPr>
                <w:sz w:val="18"/>
                <w:szCs w:val="18"/>
              </w:rPr>
            </w:pPr>
            <w:r w:rsidRPr="006B6BE8">
              <w:rPr>
                <w:sz w:val="18"/>
                <w:szCs w:val="18"/>
              </w:rPr>
              <w:t>SORO</w:t>
            </w:r>
          </w:p>
        </w:tc>
        <w:tc>
          <w:tcPr>
            <w:tcW w:w="1199" w:type="dxa"/>
            <w:shd w:val="clear" w:color="auto" w:fill="auto"/>
            <w:vAlign w:val="center"/>
          </w:tcPr>
          <w:p w14:paraId="5227C7E0" w14:textId="04803FB2" w:rsidR="00177922" w:rsidRPr="00BC47B7" w:rsidRDefault="00177922" w:rsidP="00746F3A">
            <w:pPr>
              <w:tabs>
                <w:tab w:val="left" w:pos="567"/>
                <w:tab w:val="left" w:leader="dot" w:pos="9356"/>
              </w:tabs>
              <w:ind w:left="0"/>
              <w:jc w:val="center"/>
              <w:rPr>
                <w:sz w:val="18"/>
                <w:szCs w:val="18"/>
              </w:rPr>
            </w:pPr>
            <w:r w:rsidRPr="006B6BE8">
              <w:rPr>
                <w:sz w:val="18"/>
                <w:szCs w:val="18"/>
              </w:rPr>
              <w:t>Ročne počas trvania projektov</w:t>
            </w:r>
          </w:p>
        </w:tc>
      </w:tr>
      <w:tr w:rsidR="00177922" w:rsidRPr="002309F8" w14:paraId="0C1BCB70" w14:textId="77777777" w:rsidTr="00354629">
        <w:trPr>
          <w:trHeight w:val="454"/>
          <w:jc w:val="center"/>
        </w:trPr>
        <w:tc>
          <w:tcPr>
            <w:tcW w:w="374" w:type="dxa"/>
            <w:shd w:val="clear" w:color="auto" w:fill="auto"/>
            <w:vAlign w:val="center"/>
          </w:tcPr>
          <w:p w14:paraId="358D1E14" w14:textId="77777777" w:rsidR="00177922" w:rsidRPr="00B02869" w:rsidRDefault="00177922" w:rsidP="00B83833">
            <w:pPr>
              <w:ind w:left="0"/>
              <w:jc w:val="center"/>
              <w:rPr>
                <w:sz w:val="18"/>
                <w:szCs w:val="18"/>
              </w:rPr>
            </w:pPr>
            <w:r>
              <w:rPr>
                <w:sz w:val="18"/>
                <w:szCs w:val="18"/>
              </w:rPr>
              <w:t>5</w:t>
            </w:r>
            <w:r w:rsidRPr="00B02869">
              <w:rPr>
                <w:sz w:val="18"/>
                <w:szCs w:val="18"/>
              </w:rPr>
              <w:t>.</w:t>
            </w:r>
          </w:p>
        </w:tc>
        <w:tc>
          <w:tcPr>
            <w:tcW w:w="3584" w:type="dxa"/>
            <w:shd w:val="clear" w:color="auto" w:fill="auto"/>
            <w:vAlign w:val="center"/>
          </w:tcPr>
          <w:p w14:paraId="01C7B0F3" w14:textId="77777777" w:rsidR="00177922" w:rsidRPr="00D46C46" w:rsidDel="000657D9" w:rsidRDefault="00177922" w:rsidP="00AF5171">
            <w:pPr>
              <w:ind w:left="0"/>
              <w:rPr>
                <w:sz w:val="18"/>
                <w:szCs w:val="18"/>
              </w:rPr>
            </w:pPr>
            <w:r w:rsidRPr="006B6BE8">
              <w:rPr>
                <w:sz w:val="18"/>
                <w:szCs w:val="18"/>
              </w:rPr>
              <w:t xml:space="preserve">Počet nových cezhraničných služieb pre občanov </w:t>
            </w:r>
          </w:p>
        </w:tc>
        <w:tc>
          <w:tcPr>
            <w:tcW w:w="980" w:type="dxa"/>
            <w:shd w:val="clear" w:color="auto" w:fill="auto"/>
            <w:vAlign w:val="center"/>
          </w:tcPr>
          <w:p w14:paraId="64DBF8EC" w14:textId="77777777" w:rsidR="00177922" w:rsidRPr="00E06002" w:rsidDel="000657D9" w:rsidRDefault="00177922" w:rsidP="00B83833">
            <w:pPr>
              <w:ind w:left="0"/>
              <w:jc w:val="center"/>
              <w:rPr>
                <w:sz w:val="18"/>
                <w:szCs w:val="18"/>
              </w:rPr>
            </w:pPr>
            <w:r w:rsidRPr="006B6BE8">
              <w:rPr>
                <w:sz w:val="18"/>
                <w:szCs w:val="18"/>
              </w:rPr>
              <w:t>Počet</w:t>
            </w:r>
          </w:p>
        </w:tc>
        <w:tc>
          <w:tcPr>
            <w:tcW w:w="686" w:type="dxa"/>
            <w:shd w:val="clear" w:color="auto" w:fill="auto"/>
            <w:vAlign w:val="center"/>
          </w:tcPr>
          <w:p w14:paraId="65E95ABD" w14:textId="0EED882B" w:rsidR="00177922" w:rsidRPr="00BC47B7" w:rsidRDefault="00177922" w:rsidP="00962C1A">
            <w:pPr>
              <w:tabs>
                <w:tab w:val="left" w:pos="567"/>
                <w:tab w:val="left" w:leader="dot" w:pos="9356"/>
              </w:tabs>
              <w:ind w:left="0"/>
              <w:rPr>
                <w:sz w:val="18"/>
                <w:szCs w:val="18"/>
              </w:rPr>
            </w:pPr>
            <w:r w:rsidRPr="006B6BE8">
              <w:rPr>
                <w:sz w:val="18"/>
                <w:szCs w:val="18"/>
              </w:rPr>
              <w:t>EFRR</w:t>
            </w:r>
          </w:p>
        </w:tc>
        <w:tc>
          <w:tcPr>
            <w:tcW w:w="979" w:type="dxa"/>
            <w:shd w:val="clear" w:color="auto" w:fill="auto"/>
            <w:vAlign w:val="center"/>
          </w:tcPr>
          <w:p w14:paraId="444AEFCF" w14:textId="66A92F92" w:rsidR="00177922" w:rsidRPr="00BC47B7" w:rsidRDefault="00177922" w:rsidP="00746F3A">
            <w:pPr>
              <w:tabs>
                <w:tab w:val="left" w:pos="567"/>
                <w:tab w:val="left" w:leader="dot" w:pos="9356"/>
              </w:tabs>
              <w:ind w:left="0"/>
              <w:jc w:val="center"/>
              <w:rPr>
                <w:sz w:val="18"/>
                <w:szCs w:val="18"/>
              </w:rPr>
            </w:pPr>
            <w:r>
              <w:rPr>
                <w:sz w:val="18"/>
                <w:szCs w:val="18"/>
              </w:rPr>
              <w:t>M</w:t>
            </w:r>
            <w:r w:rsidRPr="006B6BE8">
              <w:rPr>
                <w:sz w:val="18"/>
                <w:szCs w:val="18"/>
              </w:rPr>
              <w:t>enej rozvinuté regióny</w:t>
            </w:r>
          </w:p>
        </w:tc>
        <w:tc>
          <w:tcPr>
            <w:tcW w:w="938" w:type="dxa"/>
            <w:shd w:val="clear" w:color="auto" w:fill="auto"/>
            <w:vAlign w:val="center"/>
          </w:tcPr>
          <w:p w14:paraId="09DEA84D" w14:textId="77777777" w:rsidR="00177922" w:rsidRPr="00F22395" w:rsidRDefault="00177922" w:rsidP="00B83833">
            <w:pPr>
              <w:ind w:left="0"/>
              <w:jc w:val="center"/>
              <w:rPr>
                <w:sz w:val="18"/>
                <w:szCs w:val="18"/>
              </w:rPr>
            </w:pPr>
            <w:r w:rsidRPr="00D51947">
              <w:rPr>
                <w:sz w:val="18"/>
                <w:szCs w:val="18"/>
              </w:rPr>
              <w:t>10</w:t>
            </w:r>
          </w:p>
        </w:tc>
        <w:tc>
          <w:tcPr>
            <w:tcW w:w="854" w:type="dxa"/>
            <w:shd w:val="clear" w:color="auto" w:fill="auto"/>
            <w:vAlign w:val="center"/>
          </w:tcPr>
          <w:p w14:paraId="3DEB4C1E" w14:textId="70B59BCD" w:rsidR="00177922" w:rsidRPr="00BC47B7" w:rsidRDefault="00177922" w:rsidP="00962C1A">
            <w:pPr>
              <w:tabs>
                <w:tab w:val="left" w:pos="567"/>
                <w:tab w:val="left" w:leader="dot" w:pos="9356"/>
              </w:tabs>
              <w:ind w:left="0"/>
              <w:jc w:val="center"/>
              <w:rPr>
                <w:sz w:val="18"/>
                <w:szCs w:val="18"/>
              </w:rPr>
            </w:pPr>
            <w:r>
              <w:rPr>
                <w:sz w:val="18"/>
                <w:szCs w:val="18"/>
              </w:rPr>
              <w:t>S</w:t>
            </w:r>
            <w:r w:rsidRPr="006B6BE8">
              <w:rPr>
                <w:sz w:val="18"/>
                <w:szCs w:val="18"/>
              </w:rPr>
              <w:t>ORO</w:t>
            </w:r>
          </w:p>
        </w:tc>
        <w:tc>
          <w:tcPr>
            <w:tcW w:w="1199" w:type="dxa"/>
            <w:shd w:val="clear" w:color="auto" w:fill="auto"/>
            <w:vAlign w:val="center"/>
          </w:tcPr>
          <w:p w14:paraId="06D3F2F1" w14:textId="0B8F21C1" w:rsidR="00177922" w:rsidRPr="00BC47B7" w:rsidRDefault="00177922" w:rsidP="00746F3A">
            <w:pPr>
              <w:tabs>
                <w:tab w:val="left" w:pos="567"/>
                <w:tab w:val="left" w:leader="dot" w:pos="9356"/>
              </w:tabs>
              <w:ind w:left="0"/>
              <w:jc w:val="center"/>
              <w:rPr>
                <w:sz w:val="18"/>
                <w:szCs w:val="18"/>
              </w:rPr>
            </w:pPr>
            <w:r w:rsidRPr="006B6BE8">
              <w:rPr>
                <w:sz w:val="18"/>
                <w:szCs w:val="18"/>
              </w:rPr>
              <w:t>Ročne počas trvania projektov</w:t>
            </w:r>
          </w:p>
        </w:tc>
      </w:tr>
      <w:tr w:rsidR="00177922" w:rsidRPr="002309F8" w14:paraId="194C9B15" w14:textId="77777777" w:rsidTr="00354629">
        <w:trPr>
          <w:trHeight w:val="454"/>
          <w:jc w:val="center"/>
        </w:trPr>
        <w:tc>
          <w:tcPr>
            <w:tcW w:w="374" w:type="dxa"/>
            <w:shd w:val="clear" w:color="auto" w:fill="auto"/>
            <w:vAlign w:val="center"/>
          </w:tcPr>
          <w:p w14:paraId="215850E5" w14:textId="77777777" w:rsidR="00177922" w:rsidRPr="00B02869" w:rsidRDefault="00177922" w:rsidP="00B83833">
            <w:pPr>
              <w:ind w:left="0"/>
              <w:jc w:val="center"/>
              <w:rPr>
                <w:sz w:val="18"/>
                <w:szCs w:val="18"/>
              </w:rPr>
            </w:pPr>
            <w:r>
              <w:rPr>
                <w:sz w:val="18"/>
                <w:szCs w:val="18"/>
              </w:rPr>
              <w:t>6</w:t>
            </w:r>
            <w:r w:rsidRPr="00B02869">
              <w:rPr>
                <w:sz w:val="18"/>
                <w:szCs w:val="18"/>
              </w:rPr>
              <w:t>.</w:t>
            </w:r>
          </w:p>
        </w:tc>
        <w:tc>
          <w:tcPr>
            <w:tcW w:w="3584" w:type="dxa"/>
            <w:shd w:val="clear" w:color="auto" w:fill="auto"/>
          </w:tcPr>
          <w:p w14:paraId="5424266D" w14:textId="77777777" w:rsidR="00177922" w:rsidRPr="00D51947" w:rsidDel="000657D9" w:rsidRDefault="00177922" w:rsidP="00AF5171">
            <w:pPr>
              <w:ind w:left="0"/>
              <w:rPr>
                <w:sz w:val="18"/>
                <w:szCs w:val="18"/>
              </w:rPr>
            </w:pPr>
            <w:r w:rsidRPr="00560E77">
              <w:rPr>
                <w:sz w:val="18"/>
                <w:szCs w:val="18"/>
              </w:rPr>
              <w:t xml:space="preserve">Podiel </w:t>
            </w:r>
            <w:r w:rsidRPr="006B6BE8">
              <w:rPr>
                <w:sz w:val="18"/>
                <w:szCs w:val="18"/>
              </w:rPr>
              <w:t>dodatočných elektronických služieb pre občanov, ktoré je možné riešiť mobilnou aplikáciou</w:t>
            </w:r>
          </w:p>
        </w:tc>
        <w:tc>
          <w:tcPr>
            <w:tcW w:w="980" w:type="dxa"/>
            <w:shd w:val="clear" w:color="auto" w:fill="auto"/>
            <w:vAlign w:val="center"/>
          </w:tcPr>
          <w:p w14:paraId="09E2F725" w14:textId="5D139FC7" w:rsidR="00177922" w:rsidRPr="00E06002" w:rsidDel="000657D9" w:rsidRDefault="00177922" w:rsidP="00746F3A">
            <w:pPr>
              <w:ind w:left="0"/>
              <w:jc w:val="center"/>
              <w:rPr>
                <w:sz w:val="18"/>
                <w:szCs w:val="18"/>
              </w:rPr>
            </w:pPr>
            <w:r w:rsidRPr="00560E77">
              <w:rPr>
                <w:sz w:val="18"/>
                <w:szCs w:val="18"/>
              </w:rPr>
              <w:t>%</w:t>
            </w:r>
          </w:p>
        </w:tc>
        <w:tc>
          <w:tcPr>
            <w:tcW w:w="686" w:type="dxa"/>
            <w:shd w:val="clear" w:color="auto" w:fill="auto"/>
            <w:vAlign w:val="center"/>
          </w:tcPr>
          <w:p w14:paraId="63300E39" w14:textId="7045D8B0" w:rsidR="00177922" w:rsidRDefault="00177922" w:rsidP="00746F3A">
            <w:pPr>
              <w:tabs>
                <w:tab w:val="left" w:pos="567"/>
                <w:tab w:val="left" w:leader="dot" w:pos="9356"/>
              </w:tabs>
              <w:ind w:left="0"/>
              <w:rPr>
                <w:sz w:val="18"/>
                <w:szCs w:val="18"/>
              </w:rPr>
            </w:pPr>
            <w:r>
              <w:rPr>
                <w:sz w:val="18"/>
                <w:szCs w:val="18"/>
              </w:rPr>
              <w:t>EFRR</w:t>
            </w:r>
          </w:p>
        </w:tc>
        <w:tc>
          <w:tcPr>
            <w:tcW w:w="979" w:type="dxa"/>
            <w:shd w:val="clear" w:color="auto" w:fill="auto"/>
            <w:vAlign w:val="center"/>
          </w:tcPr>
          <w:p w14:paraId="459E7AFF" w14:textId="0392D107" w:rsidR="00177922" w:rsidRPr="00BC47B7" w:rsidRDefault="00177922" w:rsidP="00746F3A">
            <w:pPr>
              <w:tabs>
                <w:tab w:val="left" w:pos="567"/>
                <w:tab w:val="left" w:leader="dot" w:pos="9356"/>
              </w:tabs>
              <w:ind w:left="0"/>
              <w:jc w:val="center"/>
              <w:rPr>
                <w:sz w:val="18"/>
                <w:szCs w:val="18"/>
              </w:rPr>
            </w:pPr>
            <w:r>
              <w:rPr>
                <w:sz w:val="18"/>
                <w:szCs w:val="18"/>
              </w:rPr>
              <w:t>Menej rozvinuté regióny</w:t>
            </w:r>
          </w:p>
        </w:tc>
        <w:tc>
          <w:tcPr>
            <w:tcW w:w="938" w:type="dxa"/>
            <w:shd w:val="clear" w:color="auto" w:fill="auto"/>
            <w:vAlign w:val="center"/>
          </w:tcPr>
          <w:p w14:paraId="6BE15DC1" w14:textId="08F5922F" w:rsidR="00177922" w:rsidRPr="00D51947" w:rsidRDefault="00177922" w:rsidP="00746F3A">
            <w:pPr>
              <w:ind w:left="0"/>
              <w:jc w:val="center"/>
              <w:rPr>
                <w:sz w:val="18"/>
                <w:szCs w:val="18"/>
              </w:rPr>
            </w:pPr>
            <w:r w:rsidRPr="006B6BE8">
              <w:rPr>
                <w:sz w:val="18"/>
                <w:szCs w:val="18"/>
              </w:rPr>
              <w:t>20 % zo zoznamu eGovernment služieb (s výnimkou služieb ktoré riešia publikovanie informácií)</w:t>
            </w:r>
          </w:p>
        </w:tc>
        <w:tc>
          <w:tcPr>
            <w:tcW w:w="854" w:type="dxa"/>
            <w:shd w:val="clear" w:color="auto" w:fill="auto"/>
            <w:vAlign w:val="center"/>
          </w:tcPr>
          <w:p w14:paraId="3FD69C24" w14:textId="7AC278CC" w:rsidR="00177922" w:rsidRPr="00BC47B7" w:rsidRDefault="00177922" w:rsidP="00962C1A">
            <w:pPr>
              <w:tabs>
                <w:tab w:val="left" w:pos="567"/>
                <w:tab w:val="left" w:leader="dot" w:pos="9356"/>
              </w:tabs>
              <w:ind w:left="0"/>
              <w:jc w:val="center"/>
              <w:rPr>
                <w:sz w:val="18"/>
                <w:szCs w:val="18"/>
              </w:rPr>
            </w:pPr>
            <w:r>
              <w:rPr>
                <w:sz w:val="18"/>
                <w:szCs w:val="18"/>
              </w:rPr>
              <w:t>SORO</w:t>
            </w:r>
          </w:p>
        </w:tc>
        <w:tc>
          <w:tcPr>
            <w:tcW w:w="1199" w:type="dxa"/>
            <w:shd w:val="clear" w:color="auto" w:fill="auto"/>
            <w:vAlign w:val="center"/>
          </w:tcPr>
          <w:p w14:paraId="2730E1A1" w14:textId="733F0DF9" w:rsidR="00177922" w:rsidRPr="00BC47B7" w:rsidRDefault="00177922" w:rsidP="00962C1A">
            <w:pPr>
              <w:tabs>
                <w:tab w:val="left" w:pos="567"/>
                <w:tab w:val="left" w:leader="dot" w:pos="9356"/>
              </w:tabs>
              <w:ind w:left="0"/>
              <w:jc w:val="center"/>
              <w:rPr>
                <w:sz w:val="18"/>
                <w:szCs w:val="18"/>
              </w:rPr>
            </w:pPr>
            <w:r>
              <w:rPr>
                <w:sz w:val="18"/>
                <w:szCs w:val="18"/>
              </w:rPr>
              <w:t>Roč</w:t>
            </w:r>
            <w:r w:rsidRPr="006B6BE8">
              <w:rPr>
                <w:sz w:val="18"/>
                <w:szCs w:val="18"/>
              </w:rPr>
              <w:t>ne počas trvania projektov</w:t>
            </w:r>
          </w:p>
        </w:tc>
      </w:tr>
    </w:tbl>
    <w:p w14:paraId="2AE633F2" w14:textId="77777777" w:rsidR="00E92F9B" w:rsidRDefault="00177922">
      <w:pPr>
        <w:pStyle w:val="Tab"/>
        <w:jc w:val="both"/>
      </w:pPr>
      <w:r w:rsidRPr="00177922">
        <w:t>Špecifické ukazovatele výstupov pre investičnú prioritu 2</w:t>
      </w:r>
      <w:r>
        <w:t>c</w:t>
      </w:r>
      <w:r w:rsidRPr="00177922">
        <w:t xml:space="preserve">), ŠC </w:t>
      </w:r>
      <w:r>
        <w:t>7.5</w:t>
      </w:r>
      <w:r w:rsidRPr="00177922">
        <w:t>: Zlepšenie celkovej dostupnosti dát verejnej správy vo forme otvorených dát</w:t>
      </w:r>
    </w:p>
    <w:tbl>
      <w:tblPr>
        <w:tblStyle w:val="Mriekatabuky"/>
        <w:tblW w:w="9444" w:type="dxa"/>
        <w:jc w:val="center"/>
        <w:shd w:val="clear" w:color="auto" w:fill="8DB3E2" w:themeFill="text2" w:themeFillTint="66"/>
        <w:tblLayout w:type="fixed"/>
        <w:tblLook w:val="04A0" w:firstRow="1" w:lastRow="0" w:firstColumn="1" w:lastColumn="0" w:noHBand="0" w:noVBand="1"/>
      </w:tblPr>
      <w:tblGrid>
        <w:gridCol w:w="513"/>
        <w:gridCol w:w="3444"/>
        <w:gridCol w:w="924"/>
        <w:gridCol w:w="686"/>
        <w:gridCol w:w="1041"/>
        <w:gridCol w:w="850"/>
        <w:gridCol w:w="796"/>
        <w:gridCol w:w="1190"/>
      </w:tblGrid>
      <w:tr w:rsidR="00177922" w:rsidRPr="002309F8" w14:paraId="51C64B31" w14:textId="77777777" w:rsidTr="006717D4">
        <w:trPr>
          <w:trHeight w:val="340"/>
          <w:jc w:val="center"/>
        </w:trPr>
        <w:tc>
          <w:tcPr>
            <w:tcW w:w="513" w:type="dxa"/>
            <w:tcBorders>
              <w:bottom w:val="single" w:sz="4" w:space="0" w:color="auto"/>
            </w:tcBorders>
            <w:shd w:val="clear" w:color="auto" w:fill="C6D9F1" w:themeFill="text2" w:themeFillTint="33"/>
            <w:vAlign w:val="center"/>
          </w:tcPr>
          <w:p w14:paraId="5C63910C" w14:textId="77777777" w:rsidR="00177922" w:rsidRPr="00177922" w:rsidRDefault="001218A8" w:rsidP="00B83833">
            <w:pPr>
              <w:ind w:left="0"/>
              <w:jc w:val="center"/>
              <w:rPr>
                <w:b/>
                <w:sz w:val="18"/>
                <w:szCs w:val="18"/>
              </w:rPr>
            </w:pPr>
            <w:r w:rsidRPr="001218A8">
              <w:rPr>
                <w:b/>
                <w:sz w:val="18"/>
                <w:szCs w:val="18"/>
              </w:rPr>
              <w:t>P. č.</w:t>
            </w:r>
          </w:p>
        </w:tc>
        <w:tc>
          <w:tcPr>
            <w:tcW w:w="3444" w:type="dxa"/>
            <w:tcBorders>
              <w:bottom w:val="single" w:sz="4" w:space="0" w:color="auto"/>
            </w:tcBorders>
            <w:shd w:val="clear" w:color="auto" w:fill="C6D9F1" w:themeFill="text2" w:themeFillTint="33"/>
            <w:vAlign w:val="center"/>
          </w:tcPr>
          <w:p w14:paraId="72C053CC" w14:textId="77777777" w:rsidR="00177922" w:rsidRPr="00177922" w:rsidRDefault="001218A8" w:rsidP="00B83833">
            <w:pPr>
              <w:ind w:left="0"/>
              <w:rPr>
                <w:b/>
                <w:sz w:val="18"/>
                <w:szCs w:val="18"/>
              </w:rPr>
            </w:pPr>
            <w:r w:rsidRPr="001218A8">
              <w:rPr>
                <w:b/>
                <w:sz w:val="18"/>
                <w:szCs w:val="18"/>
              </w:rPr>
              <w:t>Ukazovateľ (názov ukazovateľa)</w:t>
            </w:r>
          </w:p>
        </w:tc>
        <w:tc>
          <w:tcPr>
            <w:tcW w:w="924" w:type="dxa"/>
            <w:tcBorders>
              <w:bottom w:val="single" w:sz="4" w:space="0" w:color="auto"/>
            </w:tcBorders>
            <w:shd w:val="clear" w:color="auto" w:fill="C6D9F1" w:themeFill="text2" w:themeFillTint="33"/>
            <w:vAlign w:val="center"/>
          </w:tcPr>
          <w:p w14:paraId="575B9C2A" w14:textId="77777777" w:rsidR="00177922" w:rsidRPr="00177922" w:rsidRDefault="001218A8" w:rsidP="00B83833">
            <w:pPr>
              <w:ind w:left="0"/>
              <w:jc w:val="center"/>
              <w:rPr>
                <w:b/>
                <w:sz w:val="18"/>
                <w:szCs w:val="18"/>
              </w:rPr>
            </w:pPr>
            <w:r w:rsidRPr="001218A8">
              <w:rPr>
                <w:b/>
                <w:sz w:val="18"/>
                <w:szCs w:val="18"/>
              </w:rPr>
              <w:t>Merná jednotka</w:t>
            </w:r>
          </w:p>
        </w:tc>
        <w:tc>
          <w:tcPr>
            <w:tcW w:w="686" w:type="dxa"/>
            <w:tcBorders>
              <w:bottom w:val="single" w:sz="4" w:space="0" w:color="auto"/>
            </w:tcBorders>
            <w:shd w:val="clear" w:color="auto" w:fill="C6D9F1" w:themeFill="text2" w:themeFillTint="33"/>
            <w:vAlign w:val="center"/>
          </w:tcPr>
          <w:p w14:paraId="7082D630" w14:textId="77777777" w:rsidR="00177922" w:rsidRPr="00177922" w:rsidRDefault="001218A8" w:rsidP="00B83833">
            <w:pPr>
              <w:ind w:left="0"/>
              <w:jc w:val="center"/>
              <w:rPr>
                <w:b/>
                <w:sz w:val="18"/>
                <w:szCs w:val="18"/>
              </w:rPr>
            </w:pPr>
            <w:r w:rsidRPr="001218A8">
              <w:rPr>
                <w:b/>
                <w:sz w:val="18"/>
                <w:szCs w:val="18"/>
              </w:rPr>
              <w:t>Fond</w:t>
            </w:r>
          </w:p>
        </w:tc>
        <w:tc>
          <w:tcPr>
            <w:tcW w:w="1041" w:type="dxa"/>
            <w:tcBorders>
              <w:bottom w:val="single" w:sz="4" w:space="0" w:color="auto"/>
            </w:tcBorders>
            <w:shd w:val="clear" w:color="auto" w:fill="C6D9F1" w:themeFill="text2" w:themeFillTint="33"/>
            <w:vAlign w:val="center"/>
          </w:tcPr>
          <w:p w14:paraId="665FF4F5" w14:textId="77777777" w:rsidR="00177922" w:rsidRPr="00177922" w:rsidRDefault="001218A8" w:rsidP="00B83833">
            <w:pPr>
              <w:ind w:left="0"/>
              <w:jc w:val="center"/>
              <w:rPr>
                <w:b/>
                <w:sz w:val="18"/>
                <w:szCs w:val="18"/>
                <w:highlight w:val="yellow"/>
              </w:rPr>
            </w:pPr>
            <w:r w:rsidRPr="001218A8">
              <w:rPr>
                <w:b/>
                <w:sz w:val="18"/>
                <w:szCs w:val="18"/>
              </w:rPr>
              <w:t>Kategória regiónu</w:t>
            </w:r>
          </w:p>
        </w:tc>
        <w:tc>
          <w:tcPr>
            <w:tcW w:w="850" w:type="dxa"/>
            <w:tcBorders>
              <w:bottom w:val="single" w:sz="4" w:space="0" w:color="auto"/>
            </w:tcBorders>
            <w:shd w:val="clear" w:color="auto" w:fill="C6D9F1" w:themeFill="text2" w:themeFillTint="33"/>
            <w:vAlign w:val="center"/>
          </w:tcPr>
          <w:p w14:paraId="0A454F39" w14:textId="77777777" w:rsidR="00177922" w:rsidRPr="00177922" w:rsidRDefault="001218A8" w:rsidP="00B83833">
            <w:pPr>
              <w:ind w:left="0"/>
              <w:jc w:val="center"/>
              <w:rPr>
                <w:b/>
                <w:sz w:val="18"/>
                <w:szCs w:val="18"/>
              </w:rPr>
            </w:pPr>
            <w:r w:rsidRPr="001218A8">
              <w:rPr>
                <w:b/>
                <w:sz w:val="18"/>
                <w:szCs w:val="18"/>
              </w:rPr>
              <w:t>Cieľová hodnota (2023)</w:t>
            </w:r>
          </w:p>
        </w:tc>
        <w:tc>
          <w:tcPr>
            <w:tcW w:w="796" w:type="dxa"/>
            <w:tcBorders>
              <w:bottom w:val="single" w:sz="4" w:space="0" w:color="auto"/>
            </w:tcBorders>
            <w:shd w:val="clear" w:color="auto" w:fill="C6D9F1" w:themeFill="text2" w:themeFillTint="33"/>
            <w:vAlign w:val="center"/>
          </w:tcPr>
          <w:p w14:paraId="1FFCE69F" w14:textId="77777777" w:rsidR="00177922" w:rsidRPr="00177922" w:rsidRDefault="001218A8" w:rsidP="00B83833">
            <w:pPr>
              <w:ind w:left="0"/>
              <w:jc w:val="center"/>
              <w:rPr>
                <w:b/>
                <w:sz w:val="18"/>
                <w:szCs w:val="18"/>
              </w:rPr>
            </w:pPr>
            <w:r w:rsidRPr="001218A8">
              <w:rPr>
                <w:b/>
                <w:sz w:val="18"/>
                <w:szCs w:val="18"/>
              </w:rPr>
              <w:t>Zdroj údajov</w:t>
            </w:r>
          </w:p>
        </w:tc>
        <w:tc>
          <w:tcPr>
            <w:tcW w:w="1190" w:type="dxa"/>
            <w:tcBorders>
              <w:bottom w:val="single" w:sz="4" w:space="0" w:color="auto"/>
            </w:tcBorders>
            <w:shd w:val="clear" w:color="auto" w:fill="C6D9F1" w:themeFill="text2" w:themeFillTint="33"/>
          </w:tcPr>
          <w:p w14:paraId="44281BFB" w14:textId="77777777" w:rsidR="00177922" w:rsidRPr="00177922" w:rsidRDefault="001218A8" w:rsidP="00B83833">
            <w:pPr>
              <w:ind w:left="0"/>
              <w:jc w:val="center"/>
              <w:rPr>
                <w:b/>
                <w:sz w:val="18"/>
                <w:szCs w:val="18"/>
                <w:highlight w:val="yellow"/>
              </w:rPr>
            </w:pPr>
            <w:r w:rsidRPr="001218A8">
              <w:rPr>
                <w:b/>
                <w:sz w:val="18"/>
                <w:szCs w:val="18"/>
              </w:rPr>
              <w:t>Frekvencia vykazovania</w:t>
            </w:r>
          </w:p>
        </w:tc>
      </w:tr>
      <w:tr w:rsidR="00177922" w:rsidRPr="002309F8" w14:paraId="52A2E9DD" w14:textId="77777777" w:rsidTr="006717D4">
        <w:trPr>
          <w:trHeight w:val="454"/>
          <w:jc w:val="center"/>
        </w:trPr>
        <w:tc>
          <w:tcPr>
            <w:tcW w:w="513" w:type="dxa"/>
            <w:shd w:val="clear" w:color="auto" w:fill="auto"/>
            <w:vAlign w:val="center"/>
          </w:tcPr>
          <w:p w14:paraId="3F3F7CEE" w14:textId="77777777" w:rsidR="00177922" w:rsidRPr="00E06002" w:rsidRDefault="00177922" w:rsidP="00B83833">
            <w:pPr>
              <w:ind w:left="0"/>
              <w:jc w:val="center"/>
              <w:rPr>
                <w:sz w:val="18"/>
                <w:szCs w:val="18"/>
              </w:rPr>
            </w:pPr>
            <w:r w:rsidRPr="00D51947">
              <w:rPr>
                <w:sz w:val="18"/>
                <w:szCs w:val="18"/>
              </w:rPr>
              <w:t>7</w:t>
            </w:r>
            <w:r w:rsidRPr="00E06002">
              <w:rPr>
                <w:sz w:val="18"/>
                <w:szCs w:val="18"/>
              </w:rPr>
              <w:t>.</w:t>
            </w:r>
          </w:p>
        </w:tc>
        <w:tc>
          <w:tcPr>
            <w:tcW w:w="3444" w:type="dxa"/>
            <w:shd w:val="clear" w:color="auto" w:fill="auto"/>
          </w:tcPr>
          <w:p w14:paraId="01A8800B" w14:textId="115448F5" w:rsidR="00177922" w:rsidRPr="00D46C46" w:rsidDel="000657D9" w:rsidRDefault="00177922" w:rsidP="00AF5171">
            <w:pPr>
              <w:ind w:left="0"/>
              <w:rPr>
                <w:sz w:val="18"/>
                <w:szCs w:val="18"/>
              </w:rPr>
            </w:pPr>
            <w:r w:rsidRPr="00F22395">
              <w:rPr>
                <w:sz w:val="18"/>
                <w:szCs w:val="18"/>
              </w:rPr>
              <w:t>Dodatočný podiel inštitúcií verejnej správy prepojených s</w:t>
            </w:r>
            <w:r w:rsidR="00D2755E">
              <w:rPr>
                <w:sz w:val="18"/>
                <w:szCs w:val="18"/>
              </w:rPr>
              <w:t xml:space="preserve"> centrálnou platformou pre integráciu údajov a </w:t>
            </w:r>
            <w:r w:rsidRPr="00F22395">
              <w:rPr>
                <w:sz w:val="18"/>
                <w:szCs w:val="18"/>
              </w:rPr>
              <w:t>centrálnou platformou pre otvorené dáta</w:t>
            </w:r>
          </w:p>
        </w:tc>
        <w:tc>
          <w:tcPr>
            <w:tcW w:w="924" w:type="dxa"/>
            <w:shd w:val="clear" w:color="auto" w:fill="auto"/>
            <w:vAlign w:val="center"/>
          </w:tcPr>
          <w:p w14:paraId="3844E7B6" w14:textId="77777777" w:rsidR="00177922" w:rsidRPr="00B02869" w:rsidDel="000657D9" w:rsidRDefault="00177922" w:rsidP="00B83833">
            <w:pPr>
              <w:ind w:left="0"/>
              <w:jc w:val="center"/>
              <w:rPr>
                <w:sz w:val="18"/>
                <w:szCs w:val="18"/>
              </w:rPr>
            </w:pPr>
            <w:r w:rsidRPr="00B02869">
              <w:rPr>
                <w:sz w:val="18"/>
                <w:szCs w:val="18"/>
              </w:rPr>
              <w:t>%</w:t>
            </w:r>
          </w:p>
        </w:tc>
        <w:tc>
          <w:tcPr>
            <w:tcW w:w="686" w:type="dxa"/>
            <w:shd w:val="clear" w:color="auto" w:fill="auto"/>
            <w:vAlign w:val="center"/>
          </w:tcPr>
          <w:p w14:paraId="4679F00F" w14:textId="559CC4BC" w:rsidR="00177922" w:rsidRPr="00CE40F1" w:rsidRDefault="00177922" w:rsidP="00857474">
            <w:pPr>
              <w:tabs>
                <w:tab w:val="left" w:pos="567"/>
                <w:tab w:val="left" w:leader="dot" w:pos="9356"/>
              </w:tabs>
              <w:ind w:left="0"/>
              <w:jc w:val="center"/>
              <w:rPr>
                <w:sz w:val="18"/>
                <w:szCs w:val="18"/>
              </w:rPr>
            </w:pPr>
            <w:r w:rsidRPr="00CE40F1">
              <w:rPr>
                <w:sz w:val="18"/>
                <w:szCs w:val="18"/>
              </w:rPr>
              <w:t>EFRR</w:t>
            </w:r>
          </w:p>
        </w:tc>
        <w:tc>
          <w:tcPr>
            <w:tcW w:w="1041" w:type="dxa"/>
            <w:shd w:val="clear" w:color="auto" w:fill="auto"/>
            <w:vAlign w:val="center"/>
          </w:tcPr>
          <w:p w14:paraId="4EFB4491" w14:textId="20AD3B0B" w:rsidR="00177922" w:rsidRPr="00CE40F1" w:rsidRDefault="00177922" w:rsidP="005A4951">
            <w:pPr>
              <w:tabs>
                <w:tab w:val="left" w:pos="567"/>
                <w:tab w:val="left" w:leader="dot" w:pos="9356"/>
              </w:tabs>
              <w:ind w:left="0"/>
              <w:jc w:val="center"/>
              <w:rPr>
                <w:sz w:val="18"/>
                <w:szCs w:val="18"/>
              </w:rPr>
            </w:pPr>
            <w:r w:rsidRPr="00CE40F1">
              <w:rPr>
                <w:sz w:val="18"/>
                <w:szCs w:val="18"/>
              </w:rPr>
              <w:t>Menej rozvinuté regióny</w:t>
            </w:r>
          </w:p>
        </w:tc>
        <w:tc>
          <w:tcPr>
            <w:tcW w:w="850" w:type="dxa"/>
            <w:shd w:val="clear" w:color="auto" w:fill="auto"/>
            <w:vAlign w:val="center"/>
          </w:tcPr>
          <w:p w14:paraId="188255B4" w14:textId="77777777" w:rsidR="00177922" w:rsidRPr="00B02869" w:rsidRDefault="00177922" w:rsidP="00B83833">
            <w:pPr>
              <w:ind w:left="0"/>
              <w:jc w:val="center"/>
              <w:rPr>
                <w:sz w:val="18"/>
                <w:szCs w:val="18"/>
              </w:rPr>
            </w:pPr>
            <w:r>
              <w:rPr>
                <w:sz w:val="18"/>
                <w:szCs w:val="18"/>
              </w:rPr>
              <w:t>99.9 % inštitúcií</w:t>
            </w:r>
            <w:r w:rsidRPr="005F0806">
              <w:rPr>
                <w:sz w:val="18"/>
                <w:szCs w:val="18"/>
              </w:rPr>
              <w:t xml:space="preserve"> verejnej správy, ktoré vytvárajú otvorené dáta</w:t>
            </w:r>
            <w:r>
              <w:rPr>
                <w:sz w:val="18"/>
                <w:szCs w:val="18"/>
              </w:rPr>
              <w:t xml:space="preserve"> </w:t>
            </w:r>
          </w:p>
        </w:tc>
        <w:tc>
          <w:tcPr>
            <w:tcW w:w="796" w:type="dxa"/>
            <w:shd w:val="clear" w:color="auto" w:fill="auto"/>
            <w:vAlign w:val="center"/>
          </w:tcPr>
          <w:p w14:paraId="5B1EAADD" w14:textId="3224A44E" w:rsidR="00177922" w:rsidRPr="00CE40F1" w:rsidRDefault="00177922" w:rsidP="005A4951">
            <w:pPr>
              <w:tabs>
                <w:tab w:val="left" w:pos="567"/>
                <w:tab w:val="left" w:leader="dot" w:pos="9356"/>
              </w:tabs>
              <w:ind w:left="0"/>
              <w:jc w:val="center"/>
              <w:rPr>
                <w:sz w:val="18"/>
                <w:szCs w:val="18"/>
              </w:rPr>
            </w:pPr>
            <w:r w:rsidRPr="00CE40F1">
              <w:rPr>
                <w:sz w:val="18"/>
                <w:szCs w:val="18"/>
              </w:rPr>
              <w:t>SO</w:t>
            </w:r>
            <w:r>
              <w:rPr>
                <w:sz w:val="18"/>
                <w:szCs w:val="18"/>
              </w:rPr>
              <w:t>RO</w:t>
            </w:r>
          </w:p>
        </w:tc>
        <w:tc>
          <w:tcPr>
            <w:tcW w:w="1190" w:type="dxa"/>
            <w:shd w:val="clear" w:color="auto" w:fill="auto"/>
            <w:vAlign w:val="center"/>
          </w:tcPr>
          <w:p w14:paraId="428DBD45" w14:textId="6B5CFDB9" w:rsidR="00177922" w:rsidRPr="00CE40F1" w:rsidRDefault="00177922" w:rsidP="005A4951">
            <w:pPr>
              <w:tabs>
                <w:tab w:val="left" w:pos="567"/>
                <w:tab w:val="left" w:leader="dot" w:pos="9356"/>
              </w:tabs>
              <w:ind w:left="0"/>
              <w:jc w:val="center"/>
              <w:rPr>
                <w:sz w:val="18"/>
                <w:szCs w:val="18"/>
              </w:rPr>
            </w:pPr>
            <w:r w:rsidRPr="00CE40F1">
              <w:rPr>
                <w:sz w:val="18"/>
                <w:szCs w:val="18"/>
              </w:rPr>
              <w:t>Ročne počas trvania projektov</w:t>
            </w:r>
          </w:p>
        </w:tc>
      </w:tr>
      <w:tr w:rsidR="00177922" w:rsidRPr="002309F8" w14:paraId="01DD9C39" w14:textId="77777777" w:rsidTr="006717D4">
        <w:trPr>
          <w:trHeight w:val="454"/>
          <w:jc w:val="center"/>
        </w:trPr>
        <w:tc>
          <w:tcPr>
            <w:tcW w:w="513" w:type="dxa"/>
            <w:shd w:val="clear" w:color="auto" w:fill="auto"/>
            <w:vAlign w:val="center"/>
          </w:tcPr>
          <w:p w14:paraId="4EF2AF68" w14:textId="77777777" w:rsidR="00177922" w:rsidRPr="00E06002" w:rsidRDefault="00177922" w:rsidP="00B83833">
            <w:pPr>
              <w:ind w:left="0"/>
              <w:jc w:val="center"/>
              <w:rPr>
                <w:sz w:val="18"/>
                <w:szCs w:val="18"/>
              </w:rPr>
            </w:pPr>
            <w:r w:rsidRPr="00E06002">
              <w:rPr>
                <w:sz w:val="18"/>
                <w:szCs w:val="18"/>
              </w:rPr>
              <w:t>8.</w:t>
            </w:r>
          </w:p>
        </w:tc>
        <w:tc>
          <w:tcPr>
            <w:tcW w:w="3444" w:type="dxa"/>
            <w:shd w:val="clear" w:color="auto" w:fill="auto"/>
          </w:tcPr>
          <w:p w14:paraId="4F4006BE" w14:textId="77777777" w:rsidR="00177922" w:rsidRPr="00D46C46" w:rsidDel="000657D9" w:rsidRDefault="00177922" w:rsidP="00AF5171">
            <w:pPr>
              <w:ind w:left="0"/>
              <w:rPr>
                <w:sz w:val="18"/>
                <w:szCs w:val="18"/>
              </w:rPr>
            </w:pPr>
            <w:r w:rsidRPr="00D46C46">
              <w:rPr>
                <w:sz w:val="18"/>
                <w:szCs w:val="18"/>
              </w:rPr>
              <w:t xml:space="preserve">Počet nových datasetov publikovaných vo formáte s vysokým potenciálom na znovupoužitie </w:t>
            </w:r>
          </w:p>
        </w:tc>
        <w:tc>
          <w:tcPr>
            <w:tcW w:w="924" w:type="dxa"/>
            <w:shd w:val="clear" w:color="auto" w:fill="auto"/>
            <w:vAlign w:val="center"/>
          </w:tcPr>
          <w:p w14:paraId="664F7852" w14:textId="77777777" w:rsidR="00177922" w:rsidRPr="00B02869" w:rsidDel="000657D9" w:rsidRDefault="00177922" w:rsidP="00B83833">
            <w:pPr>
              <w:ind w:left="0"/>
              <w:jc w:val="center"/>
              <w:rPr>
                <w:sz w:val="18"/>
                <w:szCs w:val="18"/>
              </w:rPr>
            </w:pPr>
            <w:r w:rsidRPr="00B02869">
              <w:rPr>
                <w:sz w:val="18"/>
                <w:szCs w:val="18"/>
              </w:rPr>
              <w:t>%</w:t>
            </w:r>
          </w:p>
        </w:tc>
        <w:tc>
          <w:tcPr>
            <w:tcW w:w="686" w:type="dxa"/>
            <w:shd w:val="clear" w:color="auto" w:fill="auto"/>
            <w:vAlign w:val="center"/>
          </w:tcPr>
          <w:p w14:paraId="11C7BEB4" w14:textId="7A3447EB" w:rsidR="00177922" w:rsidRPr="00CE40F1" w:rsidRDefault="00177922" w:rsidP="00857474">
            <w:pPr>
              <w:tabs>
                <w:tab w:val="left" w:pos="567"/>
                <w:tab w:val="left" w:leader="dot" w:pos="9356"/>
              </w:tabs>
              <w:ind w:left="0"/>
              <w:rPr>
                <w:sz w:val="18"/>
                <w:szCs w:val="18"/>
              </w:rPr>
            </w:pPr>
            <w:r w:rsidRPr="00CE40F1">
              <w:rPr>
                <w:sz w:val="18"/>
                <w:szCs w:val="18"/>
              </w:rPr>
              <w:t>EFRR</w:t>
            </w:r>
          </w:p>
        </w:tc>
        <w:tc>
          <w:tcPr>
            <w:tcW w:w="1041" w:type="dxa"/>
            <w:shd w:val="clear" w:color="auto" w:fill="auto"/>
            <w:vAlign w:val="center"/>
          </w:tcPr>
          <w:p w14:paraId="36EBBBDC" w14:textId="30BEDC8E" w:rsidR="00177922" w:rsidRPr="00CE40F1" w:rsidRDefault="00177922" w:rsidP="005A4951">
            <w:pPr>
              <w:tabs>
                <w:tab w:val="left" w:pos="567"/>
                <w:tab w:val="left" w:leader="dot" w:pos="9356"/>
              </w:tabs>
              <w:ind w:left="0"/>
              <w:jc w:val="center"/>
              <w:rPr>
                <w:sz w:val="18"/>
                <w:szCs w:val="18"/>
              </w:rPr>
            </w:pPr>
            <w:r w:rsidRPr="00CE40F1">
              <w:rPr>
                <w:sz w:val="18"/>
                <w:szCs w:val="18"/>
              </w:rPr>
              <w:t>Menej rozvinuté regióny</w:t>
            </w:r>
          </w:p>
        </w:tc>
        <w:tc>
          <w:tcPr>
            <w:tcW w:w="850" w:type="dxa"/>
            <w:shd w:val="clear" w:color="auto" w:fill="auto"/>
            <w:vAlign w:val="center"/>
          </w:tcPr>
          <w:p w14:paraId="0C92B0CE" w14:textId="77777777" w:rsidR="00177922" w:rsidRPr="00B02869" w:rsidRDefault="00177922" w:rsidP="00B83833">
            <w:pPr>
              <w:ind w:left="0"/>
              <w:jc w:val="center"/>
              <w:rPr>
                <w:sz w:val="18"/>
                <w:szCs w:val="18"/>
              </w:rPr>
            </w:pPr>
            <w:r w:rsidRPr="00B02869">
              <w:rPr>
                <w:sz w:val="18"/>
                <w:szCs w:val="18"/>
              </w:rPr>
              <w:t>70 % datasetov</w:t>
            </w:r>
          </w:p>
        </w:tc>
        <w:tc>
          <w:tcPr>
            <w:tcW w:w="796" w:type="dxa"/>
            <w:shd w:val="clear" w:color="auto" w:fill="auto"/>
            <w:vAlign w:val="center"/>
          </w:tcPr>
          <w:p w14:paraId="7295860E" w14:textId="42C01F60" w:rsidR="00177922" w:rsidRPr="00CE40F1" w:rsidRDefault="00177922" w:rsidP="005A4951">
            <w:pPr>
              <w:tabs>
                <w:tab w:val="left" w:pos="567"/>
                <w:tab w:val="left" w:leader="dot" w:pos="9356"/>
              </w:tabs>
              <w:ind w:left="0"/>
              <w:rPr>
                <w:sz w:val="18"/>
                <w:szCs w:val="18"/>
              </w:rPr>
            </w:pPr>
            <w:r w:rsidRPr="00CE40F1">
              <w:rPr>
                <w:sz w:val="18"/>
                <w:szCs w:val="18"/>
              </w:rPr>
              <w:t>SORO</w:t>
            </w:r>
          </w:p>
        </w:tc>
        <w:tc>
          <w:tcPr>
            <w:tcW w:w="1190" w:type="dxa"/>
            <w:shd w:val="clear" w:color="auto" w:fill="auto"/>
            <w:vAlign w:val="center"/>
          </w:tcPr>
          <w:p w14:paraId="6D44C244" w14:textId="5F8073F3" w:rsidR="00177922" w:rsidRPr="00CE40F1" w:rsidRDefault="00177922" w:rsidP="005A4951">
            <w:pPr>
              <w:tabs>
                <w:tab w:val="left" w:pos="567"/>
                <w:tab w:val="left" w:leader="dot" w:pos="9356"/>
              </w:tabs>
              <w:ind w:left="0"/>
              <w:jc w:val="center"/>
              <w:rPr>
                <w:sz w:val="18"/>
                <w:szCs w:val="18"/>
              </w:rPr>
            </w:pPr>
            <w:r w:rsidRPr="00CE40F1">
              <w:rPr>
                <w:sz w:val="18"/>
                <w:szCs w:val="18"/>
              </w:rPr>
              <w:t>Ročne počas trvania projektov</w:t>
            </w:r>
          </w:p>
        </w:tc>
      </w:tr>
    </w:tbl>
    <w:p w14:paraId="2DBEF161" w14:textId="0961E1E9" w:rsidR="00E92F9B" w:rsidRDefault="00177922">
      <w:pPr>
        <w:pStyle w:val="Tab"/>
        <w:jc w:val="both"/>
      </w:pPr>
      <w:r w:rsidRPr="00177922">
        <w:t>Špecifické ukazovatele výstupov pre investičnú prioritu 2</w:t>
      </w:r>
      <w:r>
        <w:t>c</w:t>
      </w:r>
      <w:r w:rsidRPr="00177922">
        <w:t xml:space="preserve">), ŠC </w:t>
      </w:r>
      <w:r>
        <w:t>7.</w:t>
      </w:r>
      <w:r w:rsidRPr="00177922">
        <w:t>6: Zlepšenie digitálnych zručností a inklúzie znevýhodnených jednotlivcov do digitálneho trhu</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14:paraId="7FE38286" w14:textId="77777777" w:rsidTr="00B83833">
        <w:trPr>
          <w:trHeight w:val="340"/>
          <w:jc w:val="center"/>
        </w:trPr>
        <w:tc>
          <w:tcPr>
            <w:tcW w:w="513" w:type="dxa"/>
            <w:tcBorders>
              <w:bottom w:val="single" w:sz="4" w:space="0" w:color="auto"/>
            </w:tcBorders>
            <w:shd w:val="clear" w:color="auto" w:fill="C6D9F1" w:themeFill="text2" w:themeFillTint="33"/>
            <w:vAlign w:val="center"/>
          </w:tcPr>
          <w:p w14:paraId="113ED256" w14:textId="77777777" w:rsidR="00177922" w:rsidRPr="00177922"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14:paraId="3217EB49" w14:textId="77777777" w:rsidR="00177922" w:rsidRPr="00177922"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5AAA1248" w14:textId="77777777" w:rsidR="00177922" w:rsidRPr="00177922"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498C27ED" w14:textId="77777777" w:rsidR="00177922" w:rsidRPr="00177922"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20E48BC9" w14:textId="77777777" w:rsidR="00177922" w:rsidRPr="00177922"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7AD36BF1" w14:textId="77777777" w:rsidR="00177922" w:rsidRPr="00177922"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1BE0F929" w14:textId="77777777" w:rsidR="00177922" w:rsidRPr="00177922"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14:paraId="20C35012" w14:textId="77777777" w:rsidR="00177922" w:rsidRPr="00177922" w:rsidRDefault="001218A8" w:rsidP="00177922">
            <w:pPr>
              <w:ind w:left="0"/>
              <w:jc w:val="center"/>
              <w:rPr>
                <w:b/>
                <w:sz w:val="18"/>
                <w:szCs w:val="18"/>
                <w:highlight w:val="yellow"/>
              </w:rPr>
            </w:pPr>
            <w:r w:rsidRPr="001218A8">
              <w:rPr>
                <w:b/>
                <w:sz w:val="18"/>
                <w:szCs w:val="18"/>
              </w:rPr>
              <w:t>Frekvencia vykazovania</w:t>
            </w:r>
          </w:p>
        </w:tc>
      </w:tr>
      <w:tr w:rsidR="00177922" w:rsidRPr="00177922" w14:paraId="5D78056D" w14:textId="77777777" w:rsidTr="00B83833">
        <w:trPr>
          <w:trHeight w:val="454"/>
          <w:jc w:val="center"/>
        </w:trPr>
        <w:tc>
          <w:tcPr>
            <w:tcW w:w="513" w:type="dxa"/>
            <w:shd w:val="clear" w:color="auto" w:fill="auto"/>
            <w:vAlign w:val="center"/>
          </w:tcPr>
          <w:p w14:paraId="56135387" w14:textId="77777777" w:rsidR="00177922" w:rsidRPr="00177922" w:rsidRDefault="00177922" w:rsidP="00177922">
            <w:pPr>
              <w:ind w:left="0"/>
              <w:jc w:val="center"/>
              <w:rPr>
                <w:sz w:val="18"/>
                <w:szCs w:val="18"/>
              </w:rPr>
            </w:pPr>
            <w:r w:rsidRPr="00177922">
              <w:rPr>
                <w:sz w:val="18"/>
                <w:szCs w:val="18"/>
              </w:rPr>
              <w:t>9.</w:t>
            </w:r>
          </w:p>
        </w:tc>
        <w:tc>
          <w:tcPr>
            <w:tcW w:w="3628" w:type="dxa"/>
            <w:shd w:val="clear" w:color="auto" w:fill="auto"/>
            <w:vAlign w:val="center"/>
          </w:tcPr>
          <w:p w14:paraId="3E783DD5" w14:textId="77777777" w:rsidR="00177922" w:rsidRPr="00177922" w:rsidRDefault="00177922" w:rsidP="00AF5171">
            <w:pPr>
              <w:ind w:left="0"/>
              <w:rPr>
                <w:sz w:val="18"/>
                <w:szCs w:val="18"/>
              </w:rPr>
            </w:pPr>
            <w:r w:rsidRPr="00177922">
              <w:rPr>
                <w:sz w:val="18"/>
                <w:szCs w:val="18"/>
              </w:rPr>
              <w:t>Zvýšenie používania elektronických služieb znevýhodnenými skupinami</w:t>
            </w:r>
          </w:p>
        </w:tc>
        <w:tc>
          <w:tcPr>
            <w:tcW w:w="850" w:type="dxa"/>
            <w:shd w:val="clear" w:color="auto" w:fill="auto"/>
            <w:vAlign w:val="center"/>
          </w:tcPr>
          <w:p w14:paraId="25E8DB6A" w14:textId="77777777" w:rsidR="00177922" w:rsidRPr="00177922" w:rsidRDefault="00177922" w:rsidP="00177922">
            <w:pPr>
              <w:ind w:left="0"/>
              <w:jc w:val="center"/>
              <w:rPr>
                <w:sz w:val="18"/>
                <w:szCs w:val="18"/>
              </w:rPr>
            </w:pPr>
            <w:r w:rsidRPr="00177922">
              <w:rPr>
                <w:sz w:val="18"/>
                <w:szCs w:val="18"/>
              </w:rPr>
              <w:t>%</w:t>
            </w:r>
          </w:p>
        </w:tc>
        <w:tc>
          <w:tcPr>
            <w:tcW w:w="709" w:type="dxa"/>
            <w:shd w:val="clear" w:color="auto" w:fill="auto"/>
            <w:vAlign w:val="center"/>
          </w:tcPr>
          <w:p w14:paraId="71362C79" w14:textId="03CA6CFC" w:rsidR="00177922" w:rsidRPr="00177922" w:rsidRDefault="00177922" w:rsidP="005A4951">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46551C49" w14:textId="448E530E" w:rsidR="00177922" w:rsidRPr="00177922" w:rsidRDefault="00177922" w:rsidP="005112E6">
            <w:pPr>
              <w:tabs>
                <w:tab w:val="left" w:pos="567"/>
                <w:tab w:val="left" w:leader="dot" w:pos="9356"/>
              </w:tabs>
              <w:ind w:left="0"/>
              <w:jc w:val="center"/>
              <w:rPr>
                <w:sz w:val="18"/>
                <w:szCs w:val="18"/>
              </w:rPr>
            </w:pPr>
            <w:r w:rsidRPr="00177922">
              <w:rPr>
                <w:sz w:val="18"/>
                <w:szCs w:val="18"/>
              </w:rPr>
              <w:t xml:space="preserve">Menej rozvinuté </w:t>
            </w:r>
            <w:r w:rsidRPr="00177922">
              <w:rPr>
                <w:sz w:val="18"/>
                <w:szCs w:val="18"/>
              </w:rPr>
              <w:lastRenderedPageBreak/>
              <w:t>regióny</w:t>
            </w:r>
          </w:p>
        </w:tc>
        <w:tc>
          <w:tcPr>
            <w:tcW w:w="935" w:type="dxa"/>
            <w:shd w:val="clear" w:color="auto" w:fill="auto"/>
            <w:vAlign w:val="center"/>
          </w:tcPr>
          <w:p w14:paraId="4A2AFFF3" w14:textId="77777777" w:rsidR="00177922" w:rsidRPr="00177922" w:rsidRDefault="00177922" w:rsidP="00177922">
            <w:pPr>
              <w:ind w:left="0"/>
              <w:jc w:val="center"/>
              <w:rPr>
                <w:sz w:val="18"/>
                <w:szCs w:val="18"/>
              </w:rPr>
            </w:pPr>
            <w:r w:rsidRPr="00177922">
              <w:rPr>
                <w:sz w:val="18"/>
                <w:szCs w:val="18"/>
              </w:rPr>
              <w:lastRenderedPageBreak/>
              <w:t>35 %</w:t>
            </w:r>
          </w:p>
        </w:tc>
        <w:tc>
          <w:tcPr>
            <w:tcW w:w="850" w:type="dxa"/>
            <w:shd w:val="clear" w:color="auto" w:fill="auto"/>
            <w:vAlign w:val="center"/>
          </w:tcPr>
          <w:p w14:paraId="6EA9E88A" w14:textId="697E8256" w:rsidR="00177922" w:rsidRPr="00177922" w:rsidRDefault="00177922" w:rsidP="005A4951">
            <w:pPr>
              <w:tabs>
                <w:tab w:val="left" w:pos="567"/>
                <w:tab w:val="left" w:leader="dot" w:pos="9356"/>
              </w:tabs>
              <w:ind w:left="0"/>
              <w:jc w:val="center"/>
              <w:rPr>
                <w:sz w:val="18"/>
                <w:szCs w:val="18"/>
              </w:rPr>
            </w:pPr>
            <w:r w:rsidRPr="00177922">
              <w:rPr>
                <w:sz w:val="18"/>
                <w:szCs w:val="18"/>
              </w:rPr>
              <w:t>SORO</w:t>
            </w:r>
          </w:p>
        </w:tc>
        <w:tc>
          <w:tcPr>
            <w:tcW w:w="851" w:type="dxa"/>
            <w:shd w:val="clear" w:color="auto" w:fill="auto"/>
            <w:vAlign w:val="center"/>
          </w:tcPr>
          <w:p w14:paraId="074AD91E" w14:textId="281B8B93" w:rsidR="00177922" w:rsidRPr="00177922" w:rsidRDefault="00177922" w:rsidP="005112E6">
            <w:pPr>
              <w:tabs>
                <w:tab w:val="left" w:pos="567"/>
                <w:tab w:val="left" w:leader="dot" w:pos="9356"/>
              </w:tabs>
              <w:ind w:left="0"/>
              <w:jc w:val="center"/>
              <w:rPr>
                <w:sz w:val="18"/>
                <w:szCs w:val="18"/>
              </w:rPr>
            </w:pPr>
            <w:r w:rsidRPr="00177922">
              <w:rPr>
                <w:sz w:val="18"/>
                <w:szCs w:val="18"/>
              </w:rPr>
              <w:t xml:space="preserve">Ročne počas </w:t>
            </w:r>
            <w:r w:rsidRPr="00177922">
              <w:rPr>
                <w:sz w:val="18"/>
                <w:szCs w:val="18"/>
              </w:rPr>
              <w:lastRenderedPageBreak/>
              <w:t>trvania projektov</w:t>
            </w:r>
          </w:p>
        </w:tc>
      </w:tr>
      <w:tr w:rsidR="00177922" w:rsidRPr="00177922" w14:paraId="2AE82A44" w14:textId="77777777" w:rsidTr="00B83833">
        <w:trPr>
          <w:trHeight w:val="454"/>
          <w:jc w:val="center"/>
        </w:trPr>
        <w:tc>
          <w:tcPr>
            <w:tcW w:w="513" w:type="dxa"/>
            <w:shd w:val="clear" w:color="auto" w:fill="auto"/>
            <w:vAlign w:val="center"/>
          </w:tcPr>
          <w:p w14:paraId="607502E8" w14:textId="77777777" w:rsidR="00177922" w:rsidRPr="00177922" w:rsidRDefault="00177922" w:rsidP="00177922">
            <w:pPr>
              <w:ind w:left="0"/>
              <w:jc w:val="center"/>
              <w:rPr>
                <w:sz w:val="18"/>
                <w:szCs w:val="18"/>
              </w:rPr>
            </w:pPr>
            <w:r w:rsidRPr="00177922">
              <w:rPr>
                <w:sz w:val="18"/>
                <w:szCs w:val="18"/>
              </w:rPr>
              <w:lastRenderedPageBreak/>
              <w:t>10.</w:t>
            </w:r>
          </w:p>
        </w:tc>
        <w:tc>
          <w:tcPr>
            <w:tcW w:w="3628" w:type="dxa"/>
            <w:shd w:val="clear" w:color="auto" w:fill="auto"/>
          </w:tcPr>
          <w:p w14:paraId="03FD7618" w14:textId="66ED6BE0" w:rsidR="00177922" w:rsidRPr="00177922" w:rsidDel="000657D9" w:rsidRDefault="00177922" w:rsidP="00AF5171">
            <w:pPr>
              <w:ind w:left="0"/>
              <w:rPr>
                <w:sz w:val="18"/>
                <w:szCs w:val="18"/>
              </w:rPr>
            </w:pPr>
            <w:r w:rsidRPr="00177922">
              <w:rPr>
                <w:sz w:val="18"/>
                <w:szCs w:val="18"/>
              </w:rPr>
              <w:t xml:space="preserve">Zvýšenie </w:t>
            </w:r>
            <w:r w:rsidR="00D2755E">
              <w:rPr>
                <w:sz w:val="18"/>
                <w:szCs w:val="18"/>
              </w:rPr>
              <w:t xml:space="preserve">počtu znevýhodnených jednotlivcov benefitujúcich z </w:t>
            </w:r>
            <w:r w:rsidRPr="00177922">
              <w:rPr>
                <w:sz w:val="18"/>
                <w:szCs w:val="18"/>
              </w:rPr>
              <w:t>používania nástrojov asistovaného života</w:t>
            </w:r>
            <w:r w:rsidR="00D2755E">
              <w:rPr>
                <w:sz w:val="18"/>
                <w:szCs w:val="18"/>
              </w:rPr>
              <w:t>, alebo participácie na digitálnom trhu</w:t>
            </w:r>
          </w:p>
        </w:tc>
        <w:tc>
          <w:tcPr>
            <w:tcW w:w="850" w:type="dxa"/>
            <w:shd w:val="clear" w:color="auto" w:fill="auto"/>
            <w:vAlign w:val="center"/>
          </w:tcPr>
          <w:p w14:paraId="2DA83B34" w14:textId="77777777" w:rsidR="00177922" w:rsidRPr="00177922" w:rsidDel="000657D9" w:rsidRDefault="00177922" w:rsidP="00177922">
            <w:pPr>
              <w:ind w:left="0"/>
              <w:jc w:val="center"/>
              <w:rPr>
                <w:sz w:val="18"/>
                <w:szCs w:val="18"/>
              </w:rPr>
            </w:pPr>
            <w:r w:rsidRPr="00177922">
              <w:rPr>
                <w:sz w:val="18"/>
                <w:szCs w:val="18"/>
              </w:rPr>
              <w:t>Počet</w:t>
            </w:r>
          </w:p>
        </w:tc>
        <w:tc>
          <w:tcPr>
            <w:tcW w:w="709" w:type="dxa"/>
            <w:shd w:val="clear" w:color="auto" w:fill="auto"/>
            <w:vAlign w:val="center"/>
          </w:tcPr>
          <w:p w14:paraId="29F4147B" w14:textId="07C3C2C3" w:rsidR="00177922" w:rsidRPr="00177922" w:rsidRDefault="00177922" w:rsidP="005A4951">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13C27D51" w14:textId="423937B9" w:rsidR="00177922" w:rsidRPr="00177922" w:rsidRDefault="005112E6" w:rsidP="005112E6">
            <w:pPr>
              <w:tabs>
                <w:tab w:val="left" w:pos="567"/>
                <w:tab w:val="left" w:leader="dot" w:pos="9356"/>
              </w:tabs>
              <w:ind w:left="0"/>
              <w:jc w:val="center"/>
              <w:rPr>
                <w:sz w:val="18"/>
                <w:szCs w:val="18"/>
              </w:rPr>
            </w:pPr>
            <w:r w:rsidRPr="00177922">
              <w:rPr>
                <w:sz w:val="18"/>
                <w:szCs w:val="18"/>
              </w:rPr>
              <w:t>Menej rozvinuté regióny</w:t>
            </w:r>
          </w:p>
        </w:tc>
        <w:tc>
          <w:tcPr>
            <w:tcW w:w="935" w:type="dxa"/>
            <w:shd w:val="clear" w:color="auto" w:fill="auto"/>
            <w:vAlign w:val="center"/>
          </w:tcPr>
          <w:p w14:paraId="274E3C9B" w14:textId="77777777" w:rsidR="00177922" w:rsidRPr="00177922" w:rsidRDefault="00177922" w:rsidP="00177922">
            <w:pPr>
              <w:ind w:left="0"/>
              <w:jc w:val="center"/>
              <w:rPr>
                <w:sz w:val="18"/>
                <w:szCs w:val="18"/>
              </w:rPr>
            </w:pPr>
            <w:r w:rsidRPr="00177922">
              <w:rPr>
                <w:sz w:val="18"/>
                <w:szCs w:val="18"/>
              </w:rPr>
              <w:t>25 000</w:t>
            </w:r>
          </w:p>
        </w:tc>
        <w:tc>
          <w:tcPr>
            <w:tcW w:w="850" w:type="dxa"/>
            <w:shd w:val="clear" w:color="auto" w:fill="auto"/>
            <w:vAlign w:val="center"/>
          </w:tcPr>
          <w:p w14:paraId="7F77D847" w14:textId="355B1F3E" w:rsidR="00177922" w:rsidRPr="00177922" w:rsidRDefault="00177922" w:rsidP="005A4951">
            <w:pPr>
              <w:tabs>
                <w:tab w:val="left" w:pos="567"/>
                <w:tab w:val="left" w:leader="dot" w:pos="9356"/>
              </w:tabs>
              <w:ind w:left="0"/>
              <w:jc w:val="center"/>
              <w:rPr>
                <w:sz w:val="18"/>
                <w:szCs w:val="18"/>
              </w:rPr>
            </w:pPr>
            <w:r w:rsidRPr="00177922">
              <w:rPr>
                <w:sz w:val="18"/>
                <w:szCs w:val="18"/>
              </w:rPr>
              <w:t>SORO</w:t>
            </w:r>
          </w:p>
        </w:tc>
        <w:tc>
          <w:tcPr>
            <w:tcW w:w="851" w:type="dxa"/>
            <w:shd w:val="clear" w:color="auto" w:fill="auto"/>
            <w:vAlign w:val="center"/>
          </w:tcPr>
          <w:p w14:paraId="33B1110F" w14:textId="43C6584D" w:rsidR="00177922" w:rsidRPr="00177922" w:rsidRDefault="00177922" w:rsidP="005112E6">
            <w:pPr>
              <w:tabs>
                <w:tab w:val="left" w:pos="567"/>
                <w:tab w:val="left" w:leader="dot" w:pos="9356"/>
              </w:tabs>
              <w:ind w:left="0"/>
              <w:jc w:val="center"/>
              <w:rPr>
                <w:sz w:val="18"/>
                <w:szCs w:val="18"/>
              </w:rPr>
            </w:pPr>
            <w:r w:rsidRPr="00177922">
              <w:rPr>
                <w:sz w:val="18"/>
                <w:szCs w:val="18"/>
              </w:rPr>
              <w:t>Ročne počas trvania projektov</w:t>
            </w:r>
          </w:p>
        </w:tc>
      </w:tr>
    </w:tbl>
    <w:p w14:paraId="27AA46ED" w14:textId="77777777" w:rsidR="00E92F9B" w:rsidRDefault="008246A5">
      <w:pPr>
        <w:pStyle w:val="Tab"/>
        <w:jc w:val="both"/>
      </w:pPr>
      <w:r>
        <w:t xml:space="preserve"> </w:t>
      </w:r>
      <w:r w:rsidR="001218A8" w:rsidRPr="001218A8">
        <w:t>Špecifické ukazovatele výstupov pre investičnú prioritu 2c), ŠC 7.7 Umožnenie modernizácie a racionalizácie verejnej správy IKT prostriedkami</w:t>
      </w:r>
    </w:p>
    <w:tbl>
      <w:tblPr>
        <w:tblStyle w:val="Mriekatabuky"/>
        <w:tblW w:w="9326" w:type="dxa"/>
        <w:jc w:val="center"/>
        <w:tblLayout w:type="fixed"/>
        <w:tblLook w:val="04A0" w:firstRow="1" w:lastRow="0" w:firstColumn="1" w:lastColumn="0" w:noHBand="0" w:noVBand="1"/>
      </w:tblPr>
      <w:tblGrid>
        <w:gridCol w:w="513"/>
        <w:gridCol w:w="3443"/>
        <w:gridCol w:w="1035"/>
        <w:gridCol w:w="709"/>
        <w:gridCol w:w="908"/>
        <w:gridCol w:w="935"/>
        <w:gridCol w:w="850"/>
        <w:gridCol w:w="933"/>
      </w:tblGrid>
      <w:tr w:rsidR="00177922" w:rsidRPr="00177922" w14:paraId="50D8A518" w14:textId="77777777" w:rsidTr="007B6A02">
        <w:trPr>
          <w:trHeight w:val="340"/>
          <w:jc w:val="center"/>
        </w:trPr>
        <w:tc>
          <w:tcPr>
            <w:tcW w:w="513" w:type="dxa"/>
            <w:tcBorders>
              <w:bottom w:val="single" w:sz="4" w:space="0" w:color="auto"/>
            </w:tcBorders>
            <w:shd w:val="clear" w:color="auto" w:fill="C6D9F1" w:themeFill="text2" w:themeFillTint="33"/>
            <w:vAlign w:val="center"/>
          </w:tcPr>
          <w:p w14:paraId="4A6FABDE" w14:textId="77777777" w:rsidR="00177922" w:rsidRPr="008246A5" w:rsidRDefault="001218A8" w:rsidP="00177922">
            <w:pPr>
              <w:ind w:left="0"/>
              <w:jc w:val="center"/>
              <w:rPr>
                <w:b/>
                <w:sz w:val="18"/>
                <w:szCs w:val="18"/>
              </w:rPr>
            </w:pPr>
            <w:r w:rsidRPr="001218A8">
              <w:rPr>
                <w:b/>
                <w:sz w:val="18"/>
                <w:szCs w:val="18"/>
              </w:rPr>
              <w:t>P. č.</w:t>
            </w:r>
          </w:p>
        </w:tc>
        <w:tc>
          <w:tcPr>
            <w:tcW w:w="3443" w:type="dxa"/>
            <w:tcBorders>
              <w:bottom w:val="single" w:sz="4" w:space="0" w:color="auto"/>
            </w:tcBorders>
            <w:shd w:val="clear" w:color="auto" w:fill="C6D9F1" w:themeFill="text2" w:themeFillTint="33"/>
            <w:vAlign w:val="center"/>
          </w:tcPr>
          <w:p w14:paraId="39213F36" w14:textId="77777777" w:rsidR="00177922" w:rsidRPr="008246A5" w:rsidRDefault="001218A8" w:rsidP="00177922">
            <w:pPr>
              <w:ind w:left="0"/>
              <w:rPr>
                <w:b/>
                <w:sz w:val="18"/>
                <w:szCs w:val="18"/>
              </w:rPr>
            </w:pPr>
            <w:r w:rsidRPr="001218A8">
              <w:rPr>
                <w:b/>
                <w:sz w:val="18"/>
                <w:szCs w:val="18"/>
              </w:rPr>
              <w:t>Ukazovateľ (názov ukazovateľa)</w:t>
            </w:r>
          </w:p>
        </w:tc>
        <w:tc>
          <w:tcPr>
            <w:tcW w:w="1035" w:type="dxa"/>
            <w:tcBorders>
              <w:bottom w:val="single" w:sz="4" w:space="0" w:color="auto"/>
            </w:tcBorders>
            <w:shd w:val="clear" w:color="auto" w:fill="C6D9F1" w:themeFill="text2" w:themeFillTint="33"/>
            <w:vAlign w:val="center"/>
          </w:tcPr>
          <w:p w14:paraId="4B82D31B" w14:textId="77777777"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74E9A080" w14:textId="77777777"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41BF4BB5" w14:textId="77777777"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62C8264F" w14:textId="77777777"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33729072" w14:textId="77777777" w:rsidR="00177922" w:rsidRPr="008246A5" w:rsidRDefault="001218A8" w:rsidP="00177922">
            <w:pPr>
              <w:ind w:left="0"/>
              <w:jc w:val="center"/>
              <w:rPr>
                <w:b/>
                <w:sz w:val="18"/>
                <w:szCs w:val="18"/>
              </w:rPr>
            </w:pPr>
            <w:r w:rsidRPr="001218A8">
              <w:rPr>
                <w:b/>
                <w:sz w:val="18"/>
                <w:szCs w:val="18"/>
              </w:rPr>
              <w:t>Zdroj údajov</w:t>
            </w:r>
          </w:p>
        </w:tc>
        <w:tc>
          <w:tcPr>
            <w:tcW w:w="933" w:type="dxa"/>
            <w:tcBorders>
              <w:bottom w:val="single" w:sz="4" w:space="0" w:color="auto"/>
            </w:tcBorders>
            <w:shd w:val="clear" w:color="auto" w:fill="C6D9F1" w:themeFill="text2" w:themeFillTint="33"/>
          </w:tcPr>
          <w:p w14:paraId="4D1C46E5" w14:textId="77777777" w:rsidR="00177922" w:rsidRPr="008246A5" w:rsidRDefault="001218A8" w:rsidP="00177922">
            <w:pPr>
              <w:ind w:left="0"/>
              <w:jc w:val="center"/>
              <w:rPr>
                <w:b/>
                <w:sz w:val="18"/>
                <w:szCs w:val="18"/>
                <w:highlight w:val="yellow"/>
              </w:rPr>
            </w:pPr>
            <w:r w:rsidRPr="001218A8">
              <w:rPr>
                <w:b/>
                <w:sz w:val="18"/>
                <w:szCs w:val="18"/>
              </w:rPr>
              <w:t>Frekvencia vykazovania</w:t>
            </w:r>
          </w:p>
        </w:tc>
      </w:tr>
      <w:tr w:rsidR="005B7B57" w:rsidRPr="00177922" w:rsidDel="00747D38" w14:paraId="7151661F" w14:textId="77777777" w:rsidTr="007B6A02">
        <w:trPr>
          <w:trHeight w:val="454"/>
          <w:jc w:val="center"/>
        </w:trPr>
        <w:tc>
          <w:tcPr>
            <w:tcW w:w="513" w:type="dxa"/>
            <w:shd w:val="clear" w:color="auto" w:fill="auto"/>
            <w:vAlign w:val="center"/>
          </w:tcPr>
          <w:p w14:paraId="224264C2" w14:textId="77777777" w:rsidR="005B7B57" w:rsidRPr="00177922" w:rsidDel="00747D38" w:rsidRDefault="005B7B57" w:rsidP="005B7B57">
            <w:pPr>
              <w:ind w:left="0"/>
              <w:jc w:val="center"/>
              <w:rPr>
                <w:sz w:val="18"/>
                <w:szCs w:val="18"/>
              </w:rPr>
            </w:pPr>
            <w:r>
              <w:rPr>
                <w:sz w:val="18"/>
                <w:szCs w:val="18"/>
              </w:rPr>
              <w:t>11.</w:t>
            </w:r>
          </w:p>
        </w:tc>
        <w:tc>
          <w:tcPr>
            <w:tcW w:w="3443" w:type="dxa"/>
            <w:shd w:val="clear" w:color="auto" w:fill="auto"/>
            <w:vAlign w:val="center"/>
          </w:tcPr>
          <w:p w14:paraId="6820348D" w14:textId="77777777" w:rsidR="005B7B57" w:rsidRPr="005B7B57" w:rsidDel="00747D38" w:rsidRDefault="005B7B57" w:rsidP="005B7B57">
            <w:pPr>
              <w:ind w:left="0"/>
              <w:rPr>
                <w:sz w:val="18"/>
                <w:szCs w:val="18"/>
              </w:rPr>
            </w:pPr>
            <w:r w:rsidRPr="005B7B57">
              <w:rPr>
                <w:sz w:val="18"/>
                <w:szCs w:val="18"/>
              </w:rPr>
              <w:t>Počet nových optimalizovaných úsekov verejnej správy</w:t>
            </w:r>
          </w:p>
        </w:tc>
        <w:tc>
          <w:tcPr>
            <w:tcW w:w="1035" w:type="dxa"/>
            <w:shd w:val="clear" w:color="auto" w:fill="auto"/>
            <w:vAlign w:val="center"/>
          </w:tcPr>
          <w:p w14:paraId="368CE967" w14:textId="77777777" w:rsidR="005B7B57" w:rsidRPr="005B7B57" w:rsidDel="00747D38" w:rsidRDefault="005B7B57" w:rsidP="005B7B57">
            <w:pPr>
              <w:ind w:left="0"/>
              <w:jc w:val="center"/>
              <w:rPr>
                <w:sz w:val="18"/>
                <w:szCs w:val="18"/>
              </w:rPr>
            </w:pPr>
            <w:r w:rsidRPr="005B7B57">
              <w:rPr>
                <w:sz w:val="18"/>
                <w:szCs w:val="18"/>
              </w:rPr>
              <w:t>Počet</w:t>
            </w:r>
          </w:p>
        </w:tc>
        <w:tc>
          <w:tcPr>
            <w:tcW w:w="709" w:type="dxa"/>
            <w:shd w:val="clear" w:color="auto" w:fill="auto"/>
            <w:vAlign w:val="center"/>
          </w:tcPr>
          <w:p w14:paraId="56E2E8A3" w14:textId="42B80A97" w:rsidR="005B7B57" w:rsidRPr="005B7B57" w:rsidDel="00747D38" w:rsidRDefault="005B7B57" w:rsidP="00857474">
            <w:pPr>
              <w:tabs>
                <w:tab w:val="left" w:pos="567"/>
                <w:tab w:val="left" w:leader="dot" w:pos="9356"/>
              </w:tabs>
              <w:ind w:left="0"/>
              <w:jc w:val="center"/>
              <w:rPr>
                <w:sz w:val="18"/>
                <w:szCs w:val="18"/>
              </w:rPr>
            </w:pPr>
            <w:r w:rsidRPr="005B7B57">
              <w:rPr>
                <w:sz w:val="18"/>
                <w:szCs w:val="18"/>
              </w:rPr>
              <w:t>EFRR</w:t>
            </w:r>
          </w:p>
        </w:tc>
        <w:tc>
          <w:tcPr>
            <w:tcW w:w="908" w:type="dxa"/>
            <w:shd w:val="clear" w:color="auto" w:fill="auto"/>
            <w:vAlign w:val="center"/>
          </w:tcPr>
          <w:p w14:paraId="5A039559" w14:textId="2B3649E8" w:rsidR="005B7B57" w:rsidRPr="005B7B57" w:rsidDel="00747D38" w:rsidRDefault="005B7B57" w:rsidP="005112E6">
            <w:pPr>
              <w:tabs>
                <w:tab w:val="left" w:pos="567"/>
                <w:tab w:val="left" w:leader="dot" w:pos="9356"/>
              </w:tabs>
              <w:ind w:left="0"/>
              <w:jc w:val="center"/>
              <w:rPr>
                <w:sz w:val="18"/>
                <w:szCs w:val="18"/>
              </w:rPr>
            </w:pPr>
            <w:r w:rsidRPr="005B7B57">
              <w:rPr>
                <w:sz w:val="18"/>
                <w:szCs w:val="18"/>
              </w:rPr>
              <w:t>Menej rozvinuté regióny</w:t>
            </w:r>
          </w:p>
        </w:tc>
        <w:tc>
          <w:tcPr>
            <w:tcW w:w="935" w:type="dxa"/>
            <w:shd w:val="clear" w:color="auto" w:fill="auto"/>
            <w:vAlign w:val="center"/>
          </w:tcPr>
          <w:p w14:paraId="568552E5" w14:textId="77777777" w:rsidR="005B7B57" w:rsidRPr="005B7B57" w:rsidDel="00747D38" w:rsidRDefault="005B7B57" w:rsidP="005B7B57">
            <w:pPr>
              <w:ind w:left="0"/>
              <w:jc w:val="center"/>
              <w:rPr>
                <w:sz w:val="18"/>
                <w:szCs w:val="18"/>
              </w:rPr>
            </w:pPr>
            <w:r w:rsidRPr="005B7B57">
              <w:rPr>
                <w:sz w:val="18"/>
                <w:szCs w:val="18"/>
              </w:rPr>
              <w:t>60</w:t>
            </w:r>
          </w:p>
        </w:tc>
        <w:tc>
          <w:tcPr>
            <w:tcW w:w="850" w:type="dxa"/>
            <w:shd w:val="clear" w:color="auto" w:fill="auto"/>
            <w:vAlign w:val="center"/>
          </w:tcPr>
          <w:p w14:paraId="53C9F3AE" w14:textId="7E28A633" w:rsidR="005B7B57" w:rsidRPr="005B7B57" w:rsidDel="00747D38" w:rsidRDefault="005B7B57" w:rsidP="005112E6">
            <w:pPr>
              <w:tabs>
                <w:tab w:val="left" w:pos="567"/>
                <w:tab w:val="left" w:leader="dot" w:pos="9356"/>
              </w:tabs>
              <w:ind w:left="0"/>
              <w:jc w:val="center"/>
              <w:rPr>
                <w:sz w:val="18"/>
                <w:szCs w:val="18"/>
              </w:rPr>
            </w:pPr>
            <w:r w:rsidRPr="005B7B57">
              <w:rPr>
                <w:sz w:val="18"/>
                <w:szCs w:val="18"/>
              </w:rPr>
              <w:t>SORO</w:t>
            </w:r>
          </w:p>
        </w:tc>
        <w:tc>
          <w:tcPr>
            <w:tcW w:w="933" w:type="dxa"/>
            <w:shd w:val="clear" w:color="auto" w:fill="auto"/>
            <w:vAlign w:val="center"/>
          </w:tcPr>
          <w:p w14:paraId="059647E9" w14:textId="1CE0F2E3" w:rsidR="005B7B57" w:rsidRPr="005B7B57" w:rsidDel="00747D38" w:rsidRDefault="005B7B57" w:rsidP="007B6A02">
            <w:pPr>
              <w:tabs>
                <w:tab w:val="left" w:pos="567"/>
                <w:tab w:val="left" w:leader="dot" w:pos="9356"/>
              </w:tabs>
              <w:ind w:left="0"/>
              <w:jc w:val="center"/>
              <w:rPr>
                <w:sz w:val="18"/>
                <w:szCs w:val="18"/>
              </w:rPr>
            </w:pPr>
            <w:r w:rsidRPr="005B7B57">
              <w:rPr>
                <w:sz w:val="18"/>
                <w:szCs w:val="18"/>
              </w:rPr>
              <w:t>Ročne počas trvania projektov</w:t>
            </w:r>
          </w:p>
        </w:tc>
      </w:tr>
      <w:tr w:rsidR="005B7B57" w:rsidRPr="00177922" w14:paraId="17A577A5" w14:textId="77777777" w:rsidTr="007B6A02">
        <w:trPr>
          <w:trHeight w:val="454"/>
          <w:jc w:val="center"/>
        </w:trPr>
        <w:tc>
          <w:tcPr>
            <w:tcW w:w="513" w:type="dxa"/>
            <w:shd w:val="clear" w:color="auto" w:fill="auto"/>
            <w:vAlign w:val="center"/>
          </w:tcPr>
          <w:p w14:paraId="5AC7A11B" w14:textId="77777777" w:rsidR="005B7B57" w:rsidRPr="00177922" w:rsidRDefault="005B7B57" w:rsidP="00177922">
            <w:pPr>
              <w:ind w:left="0"/>
              <w:jc w:val="center"/>
              <w:rPr>
                <w:sz w:val="18"/>
                <w:szCs w:val="18"/>
              </w:rPr>
            </w:pPr>
            <w:r>
              <w:rPr>
                <w:sz w:val="18"/>
                <w:szCs w:val="18"/>
              </w:rPr>
              <w:t>12</w:t>
            </w:r>
            <w:r w:rsidRPr="00177922">
              <w:rPr>
                <w:sz w:val="18"/>
                <w:szCs w:val="18"/>
              </w:rPr>
              <w:t>.</w:t>
            </w:r>
          </w:p>
        </w:tc>
        <w:tc>
          <w:tcPr>
            <w:tcW w:w="3443" w:type="dxa"/>
            <w:shd w:val="clear" w:color="auto" w:fill="auto"/>
          </w:tcPr>
          <w:p w14:paraId="377C6DBD" w14:textId="1D00F8D5" w:rsidR="005B7B57" w:rsidRPr="00177922" w:rsidDel="000657D9" w:rsidRDefault="005B7B57" w:rsidP="00AF5171">
            <w:pPr>
              <w:ind w:left="0"/>
              <w:rPr>
                <w:sz w:val="18"/>
                <w:szCs w:val="18"/>
                <w:highlight w:val="yellow"/>
              </w:rPr>
            </w:pPr>
            <w:r w:rsidRPr="00177922">
              <w:rPr>
                <w:sz w:val="18"/>
                <w:szCs w:val="18"/>
              </w:rPr>
              <w:t xml:space="preserve">Dodatočný počet úsekov verejnej </w:t>
            </w:r>
            <w:r w:rsidR="00857474">
              <w:rPr>
                <w:sz w:val="18"/>
                <w:szCs w:val="18"/>
              </w:rPr>
              <w:t>správy, v </w:t>
            </w:r>
            <w:r w:rsidRPr="00177922">
              <w:rPr>
                <w:sz w:val="18"/>
                <w:szCs w:val="18"/>
              </w:rPr>
              <w:t>ktorých je rozhodovanie podporované analytickými systémami (napríklad pre analýzu rizík)</w:t>
            </w:r>
          </w:p>
        </w:tc>
        <w:tc>
          <w:tcPr>
            <w:tcW w:w="1035" w:type="dxa"/>
            <w:shd w:val="clear" w:color="auto" w:fill="auto"/>
            <w:vAlign w:val="center"/>
          </w:tcPr>
          <w:p w14:paraId="3B8AB8D6" w14:textId="77777777" w:rsidR="005B7B57" w:rsidRPr="00177922" w:rsidDel="000657D9" w:rsidRDefault="005B7B57" w:rsidP="00177922">
            <w:pPr>
              <w:ind w:left="0"/>
              <w:jc w:val="center"/>
              <w:rPr>
                <w:sz w:val="18"/>
                <w:szCs w:val="18"/>
              </w:rPr>
            </w:pPr>
            <w:r w:rsidRPr="00177922">
              <w:rPr>
                <w:sz w:val="18"/>
                <w:szCs w:val="18"/>
              </w:rPr>
              <w:t>Počet</w:t>
            </w:r>
          </w:p>
        </w:tc>
        <w:tc>
          <w:tcPr>
            <w:tcW w:w="709" w:type="dxa"/>
            <w:shd w:val="clear" w:color="auto" w:fill="auto"/>
            <w:vAlign w:val="center"/>
          </w:tcPr>
          <w:p w14:paraId="53E1C707" w14:textId="297B2563" w:rsidR="005B7B57" w:rsidRPr="00177922" w:rsidRDefault="005B7B57" w:rsidP="00857474">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179D36DB" w14:textId="5CBE0B24" w:rsidR="005B7B57" w:rsidRPr="00177922" w:rsidRDefault="005B7B57" w:rsidP="005112E6">
            <w:pPr>
              <w:tabs>
                <w:tab w:val="left" w:pos="567"/>
                <w:tab w:val="left" w:leader="dot" w:pos="9356"/>
              </w:tabs>
              <w:ind w:left="0"/>
              <w:jc w:val="center"/>
              <w:rPr>
                <w:sz w:val="18"/>
                <w:szCs w:val="18"/>
              </w:rPr>
            </w:pPr>
            <w:r w:rsidRPr="00177922">
              <w:rPr>
                <w:sz w:val="18"/>
                <w:szCs w:val="18"/>
              </w:rPr>
              <w:t>Menej rozvinuté regióny</w:t>
            </w:r>
          </w:p>
        </w:tc>
        <w:tc>
          <w:tcPr>
            <w:tcW w:w="935" w:type="dxa"/>
            <w:shd w:val="clear" w:color="auto" w:fill="auto"/>
            <w:vAlign w:val="center"/>
          </w:tcPr>
          <w:p w14:paraId="054E24D6" w14:textId="77777777" w:rsidR="005B7B57" w:rsidRPr="00177922" w:rsidRDefault="005B7B57" w:rsidP="00177922">
            <w:pPr>
              <w:ind w:left="0"/>
              <w:jc w:val="center"/>
              <w:rPr>
                <w:sz w:val="18"/>
                <w:szCs w:val="18"/>
              </w:rPr>
            </w:pPr>
            <w:r w:rsidRPr="00177922">
              <w:rPr>
                <w:sz w:val="18"/>
                <w:szCs w:val="18"/>
              </w:rPr>
              <w:t>77</w:t>
            </w:r>
          </w:p>
        </w:tc>
        <w:tc>
          <w:tcPr>
            <w:tcW w:w="850" w:type="dxa"/>
            <w:shd w:val="clear" w:color="auto" w:fill="auto"/>
            <w:vAlign w:val="center"/>
          </w:tcPr>
          <w:p w14:paraId="21E7DED7" w14:textId="2EB8318C" w:rsidR="005B7B57" w:rsidRPr="00177922" w:rsidRDefault="005B7B57" w:rsidP="007B6A02">
            <w:pPr>
              <w:tabs>
                <w:tab w:val="left" w:pos="567"/>
                <w:tab w:val="left" w:leader="dot" w:pos="9356"/>
              </w:tabs>
              <w:ind w:left="0"/>
              <w:jc w:val="center"/>
              <w:rPr>
                <w:sz w:val="18"/>
                <w:szCs w:val="18"/>
              </w:rPr>
            </w:pPr>
            <w:r w:rsidRPr="00177922">
              <w:rPr>
                <w:sz w:val="18"/>
                <w:szCs w:val="18"/>
              </w:rPr>
              <w:t>SORO</w:t>
            </w:r>
          </w:p>
        </w:tc>
        <w:tc>
          <w:tcPr>
            <w:tcW w:w="933" w:type="dxa"/>
            <w:shd w:val="clear" w:color="auto" w:fill="auto"/>
            <w:vAlign w:val="center"/>
          </w:tcPr>
          <w:p w14:paraId="575CA151" w14:textId="7CD2BB0A" w:rsidR="005B7B57" w:rsidRPr="00177922" w:rsidRDefault="005B7B57" w:rsidP="007B6A02">
            <w:pPr>
              <w:tabs>
                <w:tab w:val="left" w:pos="567"/>
                <w:tab w:val="left" w:leader="dot" w:pos="9356"/>
              </w:tabs>
              <w:ind w:left="0"/>
              <w:jc w:val="center"/>
              <w:rPr>
                <w:sz w:val="18"/>
                <w:szCs w:val="18"/>
              </w:rPr>
            </w:pPr>
            <w:r w:rsidRPr="00177922">
              <w:rPr>
                <w:sz w:val="18"/>
                <w:szCs w:val="18"/>
              </w:rPr>
              <w:t>Ročne počas trvania projektov</w:t>
            </w:r>
          </w:p>
        </w:tc>
      </w:tr>
      <w:tr w:rsidR="005B7B57" w:rsidRPr="00177922" w14:paraId="2B62733E" w14:textId="77777777" w:rsidTr="007B6A02">
        <w:trPr>
          <w:trHeight w:val="454"/>
          <w:jc w:val="center"/>
        </w:trPr>
        <w:tc>
          <w:tcPr>
            <w:tcW w:w="513" w:type="dxa"/>
            <w:shd w:val="clear" w:color="auto" w:fill="auto"/>
            <w:vAlign w:val="center"/>
          </w:tcPr>
          <w:p w14:paraId="41EBB8E7" w14:textId="77777777" w:rsidR="005B7B57" w:rsidRPr="00177922" w:rsidRDefault="005B7B57" w:rsidP="00177922">
            <w:pPr>
              <w:ind w:left="0"/>
              <w:jc w:val="center"/>
              <w:rPr>
                <w:sz w:val="18"/>
                <w:szCs w:val="18"/>
              </w:rPr>
            </w:pPr>
            <w:r w:rsidRPr="00177922">
              <w:rPr>
                <w:sz w:val="18"/>
                <w:szCs w:val="18"/>
              </w:rPr>
              <w:t>1</w:t>
            </w:r>
            <w:r>
              <w:rPr>
                <w:sz w:val="18"/>
                <w:szCs w:val="18"/>
              </w:rPr>
              <w:t>3</w:t>
            </w:r>
            <w:r w:rsidRPr="00177922">
              <w:rPr>
                <w:sz w:val="18"/>
                <w:szCs w:val="18"/>
              </w:rPr>
              <w:t>.</w:t>
            </w:r>
          </w:p>
        </w:tc>
        <w:tc>
          <w:tcPr>
            <w:tcW w:w="3443" w:type="dxa"/>
            <w:shd w:val="clear" w:color="auto" w:fill="auto"/>
          </w:tcPr>
          <w:p w14:paraId="0B214618" w14:textId="239FA875" w:rsidR="005B7B57" w:rsidRPr="00177922" w:rsidDel="000657D9" w:rsidRDefault="005B7B57" w:rsidP="00AF5171">
            <w:pPr>
              <w:ind w:left="0"/>
              <w:rPr>
                <w:sz w:val="18"/>
                <w:szCs w:val="18"/>
                <w:highlight w:val="yellow"/>
              </w:rPr>
            </w:pPr>
            <w:r w:rsidRPr="00177922">
              <w:rPr>
                <w:sz w:val="18"/>
                <w:szCs w:val="18"/>
              </w:rPr>
              <w:t>Počet dodatočných centrálne využitých podporn</w:t>
            </w:r>
            <w:r w:rsidR="00857474">
              <w:rPr>
                <w:sz w:val="18"/>
                <w:szCs w:val="18"/>
              </w:rPr>
              <w:t>ých systémov vnútornej správy v </w:t>
            </w:r>
            <w:r w:rsidRPr="00177922">
              <w:rPr>
                <w:sz w:val="18"/>
                <w:szCs w:val="18"/>
              </w:rPr>
              <w:t>rámci ISVS (ako služieb v cloude SaaS)</w:t>
            </w:r>
            <w:r w:rsidRPr="00177922" w:rsidDel="007620FE">
              <w:rPr>
                <w:sz w:val="18"/>
                <w:szCs w:val="18"/>
              </w:rPr>
              <w:t xml:space="preserve"> </w:t>
            </w:r>
          </w:p>
        </w:tc>
        <w:tc>
          <w:tcPr>
            <w:tcW w:w="1035" w:type="dxa"/>
            <w:shd w:val="clear" w:color="auto" w:fill="auto"/>
            <w:vAlign w:val="center"/>
          </w:tcPr>
          <w:p w14:paraId="168AC7D6" w14:textId="77777777" w:rsidR="005B7B57" w:rsidRPr="00177922" w:rsidDel="000657D9" w:rsidRDefault="005B7B57" w:rsidP="00177922">
            <w:pPr>
              <w:ind w:left="0"/>
              <w:jc w:val="center"/>
              <w:rPr>
                <w:sz w:val="18"/>
                <w:szCs w:val="18"/>
              </w:rPr>
            </w:pPr>
            <w:r w:rsidRPr="00177922">
              <w:rPr>
                <w:sz w:val="18"/>
                <w:szCs w:val="18"/>
              </w:rPr>
              <w:t>Počet</w:t>
            </w:r>
          </w:p>
        </w:tc>
        <w:tc>
          <w:tcPr>
            <w:tcW w:w="709" w:type="dxa"/>
            <w:shd w:val="clear" w:color="auto" w:fill="auto"/>
            <w:vAlign w:val="center"/>
          </w:tcPr>
          <w:p w14:paraId="65210A4C" w14:textId="74561B55" w:rsidR="005B7B57" w:rsidRPr="00177922" w:rsidRDefault="005B7B57" w:rsidP="00857474">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3F94F03C" w14:textId="01BE5752" w:rsidR="005B7B57" w:rsidRPr="00177922" w:rsidRDefault="005B7B57" w:rsidP="005112E6">
            <w:pPr>
              <w:tabs>
                <w:tab w:val="left" w:pos="567"/>
                <w:tab w:val="left" w:leader="dot" w:pos="9356"/>
              </w:tabs>
              <w:ind w:left="0"/>
              <w:jc w:val="center"/>
              <w:rPr>
                <w:sz w:val="18"/>
                <w:szCs w:val="18"/>
              </w:rPr>
            </w:pPr>
            <w:r w:rsidRPr="00177922">
              <w:rPr>
                <w:sz w:val="18"/>
                <w:szCs w:val="18"/>
              </w:rPr>
              <w:t>Menej rozvinuté regióny</w:t>
            </w:r>
          </w:p>
        </w:tc>
        <w:tc>
          <w:tcPr>
            <w:tcW w:w="935" w:type="dxa"/>
            <w:shd w:val="clear" w:color="auto" w:fill="auto"/>
            <w:vAlign w:val="center"/>
          </w:tcPr>
          <w:p w14:paraId="4FD0F37B" w14:textId="77777777" w:rsidR="005B7B57" w:rsidRPr="00177922" w:rsidRDefault="005B7B57" w:rsidP="00177922">
            <w:pPr>
              <w:ind w:left="0"/>
              <w:jc w:val="center"/>
              <w:rPr>
                <w:sz w:val="18"/>
                <w:szCs w:val="18"/>
              </w:rPr>
            </w:pPr>
            <w:r w:rsidRPr="00177922">
              <w:rPr>
                <w:sz w:val="18"/>
                <w:szCs w:val="18"/>
              </w:rPr>
              <w:t>7</w:t>
            </w:r>
          </w:p>
        </w:tc>
        <w:tc>
          <w:tcPr>
            <w:tcW w:w="850" w:type="dxa"/>
            <w:shd w:val="clear" w:color="auto" w:fill="auto"/>
            <w:vAlign w:val="center"/>
          </w:tcPr>
          <w:p w14:paraId="1E198CAE" w14:textId="6B51811A" w:rsidR="005B7B57" w:rsidRPr="00177922" w:rsidRDefault="005B7B57" w:rsidP="007B6A02">
            <w:pPr>
              <w:tabs>
                <w:tab w:val="left" w:pos="567"/>
                <w:tab w:val="left" w:leader="dot" w:pos="9356"/>
              </w:tabs>
              <w:ind w:left="0"/>
              <w:jc w:val="center"/>
              <w:rPr>
                <w:sz w:val="18"/>
                <w:szCs w:val="18"/>
              </w:rPr>
            </w:pPr>
            <w:r w:rsidRPr="00177922">
              <w:rPr>
                <w:sz w:val="18"/>
                <w:szCs w:val="18"/>
              </w:rPr>
              <w:t>SORO</w:t>
            </w:r>
          </w:p>
        </w:tc>
        <w:tc>
          <w:tcPr>
            <w:tcW w:w="933" w:type="dxa"/>
            <w:shd w:val="clear" w:color="auto" w:fill="auto"/>
            <w:vAlign w:val="center"/>
          </w:tcPr>
          <w:p w14:paraId="55369E44" w14:textId="3B5E60E6" w:rsidR="005B7B57" w:rsidRPr="00177922" w:rsidRDefault="005B7B57" w:rsidP="007B6A02">
            <w:pPr>
              <w:tabs>
                <w:tab w:val="left" w:pos="567"/>
                <w:tab w:val="left" w:leader="dot" w:pos="9356"/>
              </w:tabs>
              <w:ind w:left="0"/>
              <w:jc w:val="center"/>
              <w:rPr>
                <w:sz w:val="18"/>
                <w:szCs w:val="18"/>
              </w:rPr>
            </w:pPr>
            <w:r w:rsidRPr="00177922">
              <w:rPr>
                <w:sz w:val="18"/>
                <w:szCs w:val="18"/>
              </w:rPr>
              <w:t>Ročne počas trvania projektov</w:t>
            </w:r>
          </w:p>
        </w:tc>
      </w:tr>
    </w:tbl>
    <w:p w14:paraId="7AEBD182" w14:textId="77777777" w:rsidR="00E92F9B" w:rsidRDefault="008246A5">
      <w:pPr>
        <w:pStyle w:val="Tab"/>
        <w:jc w:val="both"/>
      </w:pPr>
      <w:r>
        <w:t xml:space="preserve"> </w:t>
      </w:r>
      <w:r w:rsidR="00177922" w:rsidRPr="00177922">
        <w:t xml:space="preserve">Špecifické ukazovatele výstupov pre investičnú prioritu 2c), ŠC </w:t>
      </w:r>
      <w:r>
        <w:t>7.</w:t>
      </w:r>
      <w:r w:rsidR="00177922" w:rsidRPr="00177922">
        <w:t>8 Racionalizácia prevádzky informačných systémov pomocou eGovernment cloudu</w:t>
      </w:r>
    </w:p>
    <w:tbl>
      <w:tblPr>
        <w:tblStyle w:val="Mriekatabuky"/>
        <w:tblW w:w="9340" w:type="dxa"/>
        <w:jc w:val="center"/>
        <w:tblLayout w:type="fixed"/>
        <w:tblLook w:val="04A0" w:firstRow="1" w:lastRow="0" w:firstColumn="1" w:lastColumn="0" w:noHBand="0" w:noVBand="1"/>
      </w:tblPr>
      <w:tblGrid>
        <w:gridCol w:w="513"/>
        <w:gridCol w:w="3450"/>
        <w:gridCol w:w="1028"/>
        <w:gridCol w:w="709"/>
        <w:gridCol w:w="908"/>
        <w:gridCol w:w="935"/>
        <w:gridCol w:w="850"/>
        <w:gridCol w:w="947"/>
      </w:tblGrid>
      <w:tr w:rsidR="00177922" w:rsidRPr="00177922" w14:paraId="79D54124" w14:textId="77777777" w:rsidTr="007B6A02">
        <w:trPr>
          <w:trHeight w:val="340"/>
          <w:jc w:val="center"/>
        </w:trPr>
        <w:tc>
          <w:tcPr>
            <w:tcW w:w="513" w:type="dxa"/>
            <w:tcBorders>
              <w:bottom w:val="single" w:sz="4" w:space="0" w:color="auto"/>
            </w:tcBorders>
            <w:shd w:val="clear" w:color="auto" w:fill="C6D9F1" w:themeFill="text2" w:themeFillTint="33"/>
            <w:vAlign w:val="center"/>
          </w:tcPr>
          <w:p w14:paraId="43D16D13" w14:textId="77777777" w:rsidR="00177922" w:rsidRPr="008246A5" w:rsidRDefault="001218A8" w:rsidP="00177922">
            <w:pPr>
              <w:ind w:left="0"/>
              <w:jc w:val="center"/>
              <w:rPr>
                <w:b/>
                <w:sz w:val="18"/>
                <w:szCs w:val="18"/>
              </w:rPr>
            </w:pPr>
            <w:r w:rsidRPr="001218A8">
              <w:rPr>
                <w:b/>
                <w:sz w:val="18"/>
                <w:szCs w:val="18"/>
              </w:rPr>
              <w:t>P. č.</w:t>
            </w:r>
          </w:p>
        </w:tc>
        <w:tc>
          <w:tcPr>
            <w:tcW w:w="3450" w:type="dxa"/>
            <w:tcBorders>
              <w:bottom w:val="single" w:sz="4" w:space="0" w:color="auto"/>
            </w:tcBorders>
            <w:shd w:val="clear" w:color="auto" w:fill="C6D9F1" w:themeFill="text2" w:themeFillTint="33"/>
            <w:vAlign w:val="center"/>
          </w:tcPr>
          <w:p w14:paraId="54524DB0" w14:textId="77777777" w:rsidR="00177922" w:rsidRPr="008246A5" w:rsidRDefault="001218A8" w:rsidP="00177922">
            <w:pPr>
              <w:ind w:left="0"/>
              <w:rPr>
                <w:b/>
                <w:sz w:val="18"/>
                <w:szCs w:val="18"/>
              </w:rPr>
            </w:pPr>
            <w:r w:rsidRPr="001218A8">
              <w:rPr>
                <w:b/>
                <w:sz w:val="18"/>
                <w:szCs w:val="18"/>
              </w:rPr>
              <w:t>Ukazovateľ (názov ukazovateľa)</w:t>
            </w:r>
          </w:p>
        </w:tc>
        <w:tc>
          <w:tcPr>
            <w:tcW w:w="1028" w:type="dxa"/>
            <w:tcBorders>
              <w:bottom w:val="single" w:sz="4" w:space="0" w:color="auto"/>
            </w:tcBorders>
            <w:shd w:val="clear" w:color="auto" w:fill="C6D9F1" w:themeFill="text2" w:themeFillTint="33"/>
            <w:vAlign w:val="center"/>
          </w:tcPr>
          <w:p w14:paraId="747B4654" w14:textId="77777777"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38460C36" w14:textId="77777777"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724F4BA8" w14:textId="77777777"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67165647" w14:textId="77777777"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5EF8D182" w14:textId="77777777" w:rsidR="00177922" w:rsidRPr="008246A5" w:rsidRDefault="001218A8" w:rsidP="00177922">
            <w:pPr>
              <w:ind w:left="0"/>
              <w:jc w:val="center"/>
              <w:rPr>
                <w:b/>
                <w:sz w:val="18"/>
                <w:szCs w:val="18"/>
              </w:rPr>
            </w:pPr>
            <w:r w:rsidRPr="001218A8">
              <w:rPr>
                <w:b/>
                <w:sz w:val="18"/>
                <w:szCs w:val="18"/>
              </w:rPr>
              <w:t>Zdroj údajov</w:t>
            </w:r>
          </w:p>
        </w:tc>
        <w:tc>
          <w:tcPr>
            <w:tcW w:w="947" w:type="dxa"/>
            <w:tcBorders>
              <w:bottom w:val="single" w:sz="4" w:space="0" w:color="auto"/>
            </w:tcBorders>
            <w:shd w:val="clear" w:color="auto" w:fill="C6D9F1" w:themeFill="text2" w:themeFillTint="33"/>
          </w:tcPr>
          <w:p w14:paraId="0A8A61C4" w14:textId="77777777" w:rsidR="00177922" w:rsidRPr="008246A5" w:rsidRDefault="001218A8" w:rsidP="00177922">
            <w:pPr>
              <w:ind w:left="0"/>
              <w:jc w:val="center"/>
              <w:rPr>
                <w:b/>
                <w:sz w:val="18"/>
                <w:szCs w:val="18"/>
                <w:highlight w:val="yellow"/>
              </w:rPr>
            </w:pPr>
            <w:r w:rsidRPr="001218A8">
              <w:rPr>
                <w:b/>
                <w:sz w:val="18"/>
                <w:szCs w:val="18"/>
              </w:rPr>
              <w:t>Frekvencia vykazovania</w:t>
            </w:r>
          </w:p>
        </w:tc>
      </w:tr>
      <w:tr w:rsidR="00177922" w:rsidRPr="00177922" w14:paraId="7B13E1D3" w14:textId="77777777" w:rsidTr="007B6A02">
        <w:trPr>
          <w:trHeight w:val="454"/>
          <w:jc w:val="center"/>
        </w:trPr>
        <w:tc>
          <w:tcPr>
            <w:tcW w:w="513" w:type="dxa"/>
            <w:shd w:val="clear" w:color="auto" w:fill="auto"/>
            <w:vAlign w:val="center"/>
          </w:tcPr>
          <w:p w14:paraId="0530F0FA" w14:textId="77777777" w:rsidR="00177922" w:rsidRPr="00177922" w:rsidRDefault="00177922" w:rsidP="00177922">
            <w:pPr>
              <w:ind w:left="0"/>
              <w:jc w:val="center"/>
              <w:rPr>
                <w:sz w:val="18"/>
                <w:szCs w:val="18"/>
              </w:rPr>
            </w:pPr>
            <w:r w:rsidRPr="00177922">
              <w:rPr>
                <w:sz w:val="18"/>
                <w:szCs w:val="18"/>
              </w:rPr>
              <w:t>1</w:t>
            </w:r>
            <w:r w:rsidR="005B7B57">
              <w:rPr>
                <w:sz w:val="18"/>
                <w:szCs w:val="18"/>
              </w:rPr>
              <w:t>4</w:t>
            </w:r>
            <w:r w:rsidRPr="00177922">
              <w:rPr>
                <w:sz w:val="18"/>
                <w:szCs w:val="18"/>
              </w:rPr>
              <w:t>.</w:t>
            </w:r>
          </w:p>
        </w:tc>
        <w:tc>
          <w:tcPr>
            <w:tcW w:w="3450" w:type="dxa"/>
            <w:shd w:val="clear" w:color="auto" w:fill="auto"/>
          </w:tcPr>
          <w:p w14:paraId="419953B4" w14:textId="7B617037" w:rsidR="00177922" w:rsidRPr="00177922" w:rsidDel="000657D9" w:rsidRDefault="00177922" w:rsidP="00F5000D">
            <w:pPr>
              <w:ind w:left="-28" w:firstLine="28"/>
              <w:rPr>
                <w:sz w:val="18"/>
                <w:szCs w:val="18"/>
                <w:highlight w:val="yellow"/>
              </w:rPr>
            </w:pPr>
            <w:r w:rsidRPr="00177922">
              <w:rPr>
                <w:sz w:val="18"/>
                <w:szCs w:val="18"/>
              </w:rPr>
              <w:t xml:space="preserve">Dodatočný pomer </w:t>
            </w:r>
            <w:r w:rsidR="00F5000D">
              <w:rPr>
                <w:sz w:val="18"/>
                <w:szCs w:val="18"/>
              </w:rPr>
              <w:t xml:space="preserve">ústredných orgánov </w:t>
            </w:r>
            <w:r w:rsidRPr="00177922">
              <w:rPr>
                <w:sz w:val="18"/>
                <w:szCs w:val="18"/>
              </w:rPr>
              <w:t>štátnej správy zapojených do eGovernment cloudu</w:t>
            </w:r>
          </w:p>
        </w:tc>
        <w:tc>
          <w:tcPr>
            <w:tcW w:w="1028" w:type="dxa"/>
            <w:shd w:val="clear" w:color="auto" w:fill="auto"/>
            <w:vAlign w:val="center"/>
          </w:tcPr>
          <w:p w14:paraId="322CF2AA" w14:textId="77777777" w:rsidR="00177922" w:rsidRPr="00177922" w:rsidDel="000657D9" w:rsidRDefault="00177922" w:rsidP="00177922">
            <w:pPr>
              <w:ind w:left="0"/>
              <w:jc w:val="center"/>
              <w:rPr>
                <w:sz w:val="18"/>
                <w:szCs w:val="18"/>
              </w:rPr>
            </w:pPr>
            <w:r w:rsidRPr="00177922">
              <w:rPr>
                <w:sz w:val="18"/>
                <w:szCs w:val="18"/>
                <w:lang w:val="en-US"/>
              </w:rPr>
              <w:t>%</w:t>
            </w:r>
          </w:p>
        </w:tc>
        <w:tc>
          <w:tcPr>
            <w:tcW w:w="709" w:type="dxa"/>
            <w:shd w:val="clear" w:color="auto" w:fill="auto"/>
            <w:vAlign w:val="center"/>
          </w:tcPr>
          <w:p w14:paraId="0166282C" w14:textId="1F34BB0E" w:rsidR="00177922" w:rsidRPr="00177922" w:rsidRDefault="00177922" w:rsidP="007B6A02">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471FCD3E" w14:textId="44F8D3C3" w:rsidR="00177922" w:rsidRPr="00177922" w:rsidRDefault="00177922" w:rsidP="007B6A02">
            <w:pPr>
              <w:tabs>
                <w:tab w:val="left" w:pos="567"/>
                <w:tab w:val="left" w:leader="dot" w:pos="9356"/>
              </w:tabs>
              <w:ind w:left="0"/>
              <w:jc w:val="center"/>
              <w:rPr>
                <w:sz w:val="18"/>
                <w:szCs w:val="18"/>
              </w:rPr>
            </w:pPr>
            <w:r w:rsidRPr="00177922">
              <w:rPr>
                <w:sz w:val="18"/>
                <w:szCs w:val="18"/>
              </w:rPr>
              <w:t>Menej rozvinuté regióny</w:t>
            </w:r>
          </w:p>
        </w:tc>
        <w:tc>
          <w:tcPr>
            <w:tcW w:w="935" w:type="dxa"/>
            <w:shd w:val="clear" w:color="auto" w:fill="auto"/>
            <w:vAlign w:val="center"/>
          </w:tcPr>
          <w:p w14:paraId="2A119247" w14:textId="77777777" w:rsidR="00177922" w:rsidRPr="00177922" w:rsidRDefault="00177922" w:rsidP="00177922">
            <w:pPr>
              <w:ind w:left="0"/>
              <w:jc w:val="center"/>
              <w:rPr>
                <w:sz w:val="18"/>
                <w:szCs w:val="18"/>
              </w:rPr>
            </w:pPr>
            <w:r w:rsidRPr="00177922">
              <w:rPr>
                <w:sz w:val="18"/>
                <w:szCs w:val="18"/>
              </w:rPr>
              <w:t>100</w:t>
            </w:r>
          </w:p>
        </w:tc>
        <w:tc>
          <w:tcPr>
            <w:tcW w:w="850" w:type="dxa"/>
            <w:shd w:val="clear" w:color="auto" w:fill="auto"/>
            <w:vAlign w:val="center"/>
          </w:tcPr>
          <w:p w14:paraId="7F25690F" w14:textId="18E0CB37" w:rsidR="00177922" w:rsidRPr="00177922" w:rsidRDefault="00177922" w:rsidP="007B6A02">
            <w:pPr>
              <w:tabs>
                <w:tab w:val="left" w:pos="567"/>
                <w:tab w:val="left" w:leader="dot" w:pos="9356"/>
              </w:tabs>
              <w:ind w:left="0"/>
              <w:jc w:val="center"/>
              <w:rPr>
                <w:sz w:val="18"/>
                <w:szCs w:val="18"/>
              </w:rPr>
            </w:pPr>
            <w:r w:rsidRPr="00177922">
              <w:rPr>
                <w:sz w:val="18"/>
                <w:szCs w:val="18"/>
              </w:rPr>
              <w:t>SORO</w:t>
            </w:r>
          </w:p>
        </w:tc>
        <w:tc>
          <w:tcPr>
            <w:tcW w:w="947" w:type="dxa"/>
            <w:shd w:val="clear" w:color="auto" w:fill="auto"/>
            <w:vAlign w:val="center"/>
          </w:tcPr>
          <w:p w14:paraId="593C584A" w14:textId="02E0BBA0" w:rsidR="00177922" w:rsidRPr="00177922" w:rsidRDefault="00177922" w:rsidP="007B6A02">
            <w:pPr>
              <w:tabs>
                <w:tab w:val="left" w:pos="567"/>
                <w:tab w:val="left" w:leader="dot" w:pos="9356"/>
              </w:tabs>
              <w:ind w:left="0"/>
              <w:jc w:val="center"/>
              <w:rPr>
                <w:sz w:val="18"/>
                <w:szCs w:val="18"/>
              </w:rPr>
            </w:pPr>
            <w:r w:rsidRPr="00177922">
              <w:rPr>
                <w:sz w:val="18"/>
                <w:szCs w:val="18"/>
              </w:rPr>
              <w:t>Ročne počas trvania projektov</w:t>
            </w:r>
          </w:p>
        </w:tc>
      </w:tr>
    </w:tbl>
    <w:p w14:paraId="44CB5EC7" w14:textId="77777777" w:rsidR="00E92F9B" w:rsidRDefault="008246A5">
      <w:pPr>
        <w:pStyle w:val="Tab"/>
        <w:jc w:val="both"/>
      </w:pPr>
      <w:r>
        <w:t xml:space="preserve"> </w:t>
      </w:r>
      <w:r w:rsidR="00177922" w:rsidRPr="00177922">
        <w:t xml:space="preserve">Špecifické ukazovatele výstupov pre investičnú prioritu 2c), ŠC </w:t>
      </w:r>
      <w:r>
        <w:t>7.</w:t>
      </w:r>
      <w:r w:rsidR="00177922" w:rsidRPr="00177922">
        <w:t>9 Zvýšenie kybernetickej bezpečnosti v spoločnosti</w:t>
      </w:r>
    </w:p>
    <w:tbl>
      <w:tblPr>
        <w:tblStyle w:val="Mriekatabuky"/>
        <w:tblW w:w="9340" w:type="dxa"/>
        <w:jc w:val="center"/>
        <w:tblLayout w:type="fixed"/>
        <w:tblLook w:val="04A0" w:firstRow="1" w:lastRow="0" w:firstColumn="1" w:lastColumn="0" w:noHBand="0" w:noVBand="1"/>
      </w:tblPr>
      <w:tblGrid>
        <w:gridCol w:w="513"/>
        <w:gridCol w:w="3450"/>
        <w:gridCol w:w="1028"/>
        <w:gridCol w:w="709"/>
        <w:gridCol w:w="908"/>
        <w:gridCol w:w="935"/>
        <w:gridCol w:w="850"/>
        <w:gridCol w:w="947"/>
      </w:tblGrid>
      <w:tr w:rsidR="00177922" w:rsidRPr="00177922" w14:paraId="44D328BF" w14:textId="77777777" w:rsidTr="007B6A02">
        <w:trPr>
          <w:trHeight w:val="340"/>
          <w:jc w:val="center"/>
        </w:trPr>
        <w:tc>
          <w:tcPr>
            <w:tcW w:w="513" w:type="dxa"/>
            <w:tcBorders>
              <w:bottom w:val="single" w:sz="4" w:space="0" w:color="auto"/>
            </w:tcBorders>
            <w:shd w:val="clear" w:color="auto" w:fill="C6D9F1" w:themeFill="text2" w:themeFillTint="33"/>
            <w:vAlign w:val="center"/>
          </w:tcPr>
          <w:p w14:paraId="48FFCD56" w14:textId="77777777" w:rsidR="00177922" w:rsidRPr="008246A5" w:rsidRDefault="001218A8" w:rsidP="00177922">
            <w:pPr>
              <w:ind w:left="0"/>
              <w:jc w:val="center"/>
              <w:rPr>
                <w:b/>
                <w:sz w:val="18"/>
                <w:szCs w:val="18"/>
              </w:rPr>
            </w:pPr>
            <w:r w:rsidRPr="001218A8">
              <w:rPr>
                <w:b/>
                <w:sz w:val="18"/>
                <w:szCs w:val="18"/>
              </w:rPr>
              <w:t>P. č.</w:t>
            </w:r>
          </w:p>
        </w:tc>
        <w:tc>
          <w:tcPr>
            <w:tcW w:w="3450" w:type="dxa"/>
            <w:tcBorders>
              <w:bottom w:val="single" w:sz="4" w:space="0" w:color="auto"/>
            </w:tcBorders>
            <w:shd w:val="clear" w:color="auto" w:fill="C6D9F1" w:themeFill="text2" w:themeFillTint="33"/>
            <w:vAlign w:val="center"/>
          </w:tcPr>
          <w:p w14:paraId="18753C4E" w14:textId="77777777" w:rsidR="00177922" w:rsidRPr="008246A5" w:rsidRDefault="001218A8" w:rsidP="00177922">
            <w:pPr>
              <w:ind w:left="0"/>
              <w:rPr>
                <w:b/>
                <w:sz w:val="18"/>
                <w:szCs w:val="18"/>
              </w:rPr>
            </w:pPr>
            <w:r w:rsidRPr="001218A8">
              <w:rPr>
                <w:b/>
                <w:sz w:val="18"/>
                <w:szCs w:val="18"/>
              </w:rPr>
              <w:t>Ukazovateľ (názov ukazovateľa)</w:t>
            </w:r>
          </w:p>
        </w:tc>
        <w:tc>
          <w:tcPr>
            <w:tcW w:w="1028" w:type="dxa"/>
            <w:tcBorders>
              <w:bottom w:val="single" w:sz="4" w:space="0" w:color="auto"/>
            </w:tcBorders>
            <w:shd w:val="clear" w:color="auto" w:fill="C6D9F1" w:themeFill="text2" w:themeFillTint="33"/>
            <w:vAlign w:val="center"/>
          </w:tcPr>
          <w:p w14:paraId="64972A91" w14:textId="77777777"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1648D94A" w14:textId="77777777"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03C4B2D8" w14:textId="77777777"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2C0DBC78" w14:textId="77777777"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260423AF" w14:textId="77777777" w:rsidR="00177922" w:rsidRPr="008246A5" w:rsidRDefault="001218A8" w:rsidP="00177922">
            <w:pPr>
              <w:ind w:left="0"/>
              <w:jc w:val="center"/>
              <w:rPr>
                <w:b/>
                <w:sz w:val="18"/>
                <w:szCs w:val="18"/>
              </w:rPr>
            </w:pPr>
            <w:r w:rsidRPr="001218A8">
              <w:rPr>
                <w:b/>
                <w:sz w:val="18"/>
                <w:szCs w:val="18"/>
              </w:rPr>
              <w:t>Zdroj údajov</w:t>
            </w:r>
          </w:p>
        </w:tc>
        <w:tc>
          <w:tcPr>
            <w:tcW w:w="947" w:type="dxa"/>
            <w:tcBorders>
              <w:bottom w:val="single" w:sz="4" w:space="0" w:color="auto"/>
            </w:tcBorders>
            <w:shd w:val="clear" w:color="auto" w:fill="C6D9F1" w:themeFill="text2" w:themeFillTint="33"/>
          </w:tcPr>
          <w:p w14:paraId="07D9AD1F" w14:textId="77777777" w:rsidR="00177922" w:rsidRPr="008246A5" w:rsidRDefault="001218A8" w:rsidP="00177922">
            <w:pPr>
              <w:ind w:left="0"/>
              <w:jc w:val="center"/>
              <w:rPr>
                <w:b/>
                <w:sz w:val="18"/>
                <w:szCs w:val="18"/>
                <w:highlight w:val="yellow"/>
              </w:rPr>
            </w:pPr>
            <w:r w:rsidRPr="001218A8">
              <w:rPr>
                <w:b/>
                <w:sz w:val="18"/>
                <w:szCs w:val="18"/>
              </w:rPr>
              <w:t>Frekvencia vykazovania</w:t>
            </w:r>
          </w:p>
        </w:tc>
      </w:tr>
      <w:tr w:rsidR="00177922" w:rsidRPr="00177922" w14:paraId="52447729" w14:textId="77777777" w:rsidTr="007B6A02">
        <w:trPr>
          <w:trHeight w:val="454"/>
          <w:jc w:val="center"/>
        </w:trPr>
        <w:tc>
          <w:tcPr>
            <w:tcW w:w="513" w:type="dxa"/>
            <w:shd w:val="clear" w:color="auto" w:fill="auto"/>
            <w:vAlign w:val="center"/>
          </w:tcPr>
          <w:p w14:paraId="73CF00D9" w14:textId="77777777" w:rsidR="00177922" w:rsidRPr="00177922" w:rsidRDefault="00177922" w:rsidP="00177922">
            <w:pPr>
              <w:ind w:left="0"/>
              <w:jc w:val="center"/>
              <w:rPr>
                <w:sz w:val="18"/>
                <w:szCs w:val="18"/>
              </w:rPr>
            </w:pPr>
            <w:r w:rsidRPr="00177922">
              <w:rPr>
                <w:sz w:val="18"/>
                <w:szCs w:val="18"/>
              </w:rPr>
              <w:t>1</w:t>
            </w:r>
            <w:r w:rsidR="005B7B57">
              <w:rPr>
                <w:sz w:val="18"/>
                <w:szCs w:val="18"/>
              </w:rPr>
              <w:t>5</w:t>
            </w:r>
            <w:r w:rsidRPr="00177922">
              <w:rPr>
                <w:sz w:val="18"/>
                <w:szCs w:val="18"/>
              </w:rPr>
              <w:t>.</w:t>
            </w:r>
          </w:p>
        </w:tc>
        <w:tc>
          <w:tcPr>
            <w:tcW w:w="3450" w:type="dxa"/>
            <w:shd w:val="clear" w:color="auto" w:fill="auto"/>
          </w:tcPr>
          <w:p w14:paraId="67608063" w14:textId="77777777" w:rsidR="00177922" w:rsidRPr="00177922" w:rsidDel="000657D9" w:rsidRDefault="00177922" w:rsidP="00AF5171">
            <w:pPr>
              <w:ind w:left="0"/>
              <w:rPr>
                <w:sz w:val="18"/>
                <w:szCs w:val="18"/>
              </w:rPr>
            </w:pPr>
            <w:r w:rsidRPr="00177922">
              <w:rPr>
                <w:sz w:val="18"/>
                <w:szCs w:val="18"/>
              </w:rPr>
              <w:t>Dodatočný pomer informačných systémov verejnej správy s implementovaným nástrojom na rozpoznávanie, monitorovanie a riadenie bezpečnostných incidentov</w:t>
            </w:r>
          </w:p>
        </w:tc>
        <w:tc>
          <w:tcPr>
            <w:tcW w:w="1028" w:type="dxa"/>
            <w:shd w:val="clear" w:color="auto" w:fill="auto"/>
            <w:vAlign w:val="center"/>
          </w:tcPr>
          <w:p w14:paraId="7C2A4408" w14:textId="77777777" w:rsidR="00177922" w:rsidRPr="00177922" w:rsidDel="000657D9" w:rsidRDefault="00177922" w:rsidP="00177922">
            <w:pPr>
              <w:ind w:left="0"/>
              <w:jc w:val="center"/>
              <w:rPr>
                <w:sz w:val="18"/>
                <w:szCs w:val="18"/>
              </w:rPr>
            </w:pPr>
            <w:r w:rsidRPr="00177922">
              <w:rPr>
                <w:sz w:val="18"/>
                <w:szCs w:val="18"/>
              </w:rPr>
              <w:t>%</w:t>
            </w:r>
          </w:p>
        </w:tc>
        <w:tc>
          <w:tcPr>
            <w:tcW w:w="709" w:type="dxa"/>
            <w:shd w:val="clear" w:color="auto" w:fill="auto"/>
            <w:vAlign w:val="center"/>
          </w:tcPr>
          <w:p w14:paraId="7C80E096" w14:textId="4645DB19" w:rsidR="00177922" w:rsidRPr="00177922" w:rsidRDefault="00177922" w:rsidP="007B6A02">
            <w:pPr>
              <w:tabs>
                <w:tab w:val="left" w:pos="567"/>
                <w:tab w:val="left" w:leader="dot" w:pos="9356"/>
              </w:tabs>
              <w:ind w:left="0"/>
              <w:jc w:val="center"/>
              <w:rPr>
                <w:sz w:val="18"/>
                <w:szCs w:val="18"/>
              </w:rPr>
            </w:pPr>
            <w:r w:rsidRPr="00177922">
              <w:rPr>
                <w:sz w:val="18"/>
                <w:szCs w:val="18"/>
              </w:rPr>
              <w:t>EFRR</w:t>
            </w:r>
          </w:p>
        </w:tc>
        <w:tc>
          <w:tcPr>
            <w:tcW w:w="908" w:type="dxa"/>
            <w:shd w:val="clear" w:color="auto" w:fill="auto"/>
            <w:vAlign w:val="center"/>
          </w:tcPr>
          <w:p w14:paraId="7734DA18" w14:textId="19CC1B73" w:rsidR="00177922" w:rsidRPr="00177922" w:rsidRDefault="00177922" w:rsidP="007B6A02">
            <w:pPr>
              <w:tabs>
                <w:tab w:val="left" w:pos="567"/>
                <w:tab w:val="left" w:leader="dot" w:pos="9356"/>
              </w:tabs>
              <w:ind w:left="0"/>
              <w:jc w:val="center"/>
              <w:rPr>
                <w:sz w:val="18"/>
                <w:szCs w:val="18"/>
              </w:rPr>
            </w:pPr>
            <w:r w:rsidRPr="00177922">
              <w:rPr>
                <w:sz w:val="18"/>
                <w:szCs w:val="18"/>
              </w:rPr>
              <w:t>Menej rozvinuté regióny</w:t>
            </w:r>
          </w:p>
        </w:tc>
        <w:tc>
          <w:tcPr>
            <w:tcW w:w="935" w:type="dxa"/>
            <w:shd w:val="clear" w:color="auto" w:fill="auto"/>
            <w:vAlign w:val="center"/>
          </w:tcPr>
          <w:p w14:paraId="419FB172" w14:textId="77777777" w:rsidR="00177922" w:rsidRPr="00177922" w:rsidRDefault="00177922" w:rsidP="00177922">
            <w:pPr>
              <w:ind w:left="0"/>
              <w:jc w:val="center"/>
              <w:rPr>
                <w:sz w:val="18"/>
                <w:szCs w:val="18"/>
              </w:rPr>
            </w:pPr>
            <w:r w:rsidRPr="00177922">
              <w:rPr>
                <w:sz w:val="18"/>
                <w:szCs w:val="18"/>
              </w:rPr>
              <w:t>80</w:t>
            </w:r>
          </w:p>
        </w:tc>
        <w:tc>
          <w:tcPr>
            <w:tcW w:w="850" w:type="dxa"/>
            <w:shd w:val="clear" w:color="auto" w:fill="auto"/>
            <w:vAlign w:val="center"/>
          </w:tcPr>
          <w:p w14:paraId="26673D74" w14:textId="028A96E9" w:rsidR="00177922" w:rsidRPr="00177922" w:rsidRDefault="00177922" w:rsidP="007B6A02">
            <w:pPr>
              <w:tabs>
                <w:tab w:val="left" w:pos="567"/>
                <w:tab w:val="left" w:leader="dot" w:pos="9356"/>
              </w:tabs>
              <w:ind w:left="0"/>
              <w:jc w:val="center"/>
              <w:rPr>
                <w:sz w:val="18"/>
                <w:szCs w:val="18"/>
              </w:rPr>
            </w:pPr>
            <w:r w:rsidRPr="00177922">
              <w:rPr>
                <w:sz w:val="18"/>
                <w:szCs w:val="18"/>
              </w:rPr>
              <w:t>SORO</w:t>
            </w:r>
          </w:p>
        </w:tc>
        <w:tc>
          <w:tcPr>
            <w:tcW w:w="947" w:type="dxa"/>
            <w:shd w:val="clear" w:color="auto" w:fill="auto"/>
            <w:vAlign w:val="center"/>
          </w:tcPr>
          <w:p w14:paraId="61AD5937" w14:textId="00F31583" w:rsidR="00177922" w:rsidRPr="00177922" w:rsidRDefault="00177922" w:rsidP="007B6A02">
            <w:pPr>
              <w:tabs>
                <w:tab w:val="left" w:pos="567"/>
                <w:tab w:val="left" w:leader="dot" w:pos="9356"/>
              </w:tabs>
              <w:ind w:left="0"/>
              <w:jc w:val="center"/>
              <w:rPr>
                <w:sz w:val="18"/>
                <w:szCs w:val="18"/>
              </w:rPr>
            </w:pPr>
            <w:r w:rsidRPr="00177922">
              <w:rPr>
                <w:sz w:val="18"/>
                <w:szCs w:val="18"/>
              </w:rPr>
              <w:t>Ročne počas trvania projektov</w:t>
            </w:r>
          </w:p>
        </w:tc>
      </w:tr>
    </w:tbl>
    <w:p w14:paraId="279C341E" w14:textId="77777777" w:rsidR="007F1C63" w:rsidRDefault="007F1C63" w:rsidP="000767A2">
      <w:pPr>
        <w:pStyle w:val="Nadpis3"/>
      </w:pPr>
      <w:bookmarkStart w:id="69" w:name="_Toc28951629"/>
      <w:r w:rsidRPr="007F1C63">
        <w:t>Výkonnostný rámec prioritnej osi</w:t>
      </w:r>
      <w:bookmarkEnd w:id="69"/>
    </w:p>
    <w:p w14:paraId="2E881CAB" w14:textId="77777777" w:rsidR="00E92F9B" w:rsidRDefault="007F1C63">
      <w:pPr>
        <w:pStyle w:val="Tab"/>
        <w:jc w:val="both"/>
      </w:pPr>
      <w:r w:rsidRPr="007F1C63">
        <w:t xml:space="preserve">Výkonnostný rámec Prioritnej osi </w:t>
      </w:r>
      <w:r w:rsidR="008246A5">
        <w:t>7</w:t>
      </w:r>
    </w:p>
    <w:tbl>
      <w:tblPr>
        <w:tblStyle w:val="Mriekatabuky"/>
        <w:tblW w:w="5833" w:type="pct"/>
        <w:jc w:val="center"/>
        <w:tblLayout w:type="fixed"/>
        <w:tblLook w:val="04A0" w:firstRow="1" w:lastRow="0" w:firstColumn="1" w:lastColumn="0" w:noHBand="0" w:noVBand="1"/>
      </w:tblPr>
      <w:tblGrid>
        <w:gridCol w:w="993"/>
        <w:gridCol w:w="1503"/>
        <w:gridCol w:w="569"/>
        <w:gridCol w:w="1688"/>
        <w:gridCol w:w="849"/>
        <w:gridCol w:w="691"/>
        <w:gridCol w:w="771"/>
        <w:gridCol w:w="936"/>
        <w:gridCol w:w="936"/>
        <w:gridCol w:w="769"/>
        <w:gridCol w:w="1129"/>
      </w:tblGrid>
      <w:tr w:rsidR="008246A5" w14:paraId="6C38C033" w14:textId="77777777" w:rsidTr="00627C21">
        <w:trPr>
          <w:trHeight w:val="1246"/>
          <w:tblHeader/>
          <w:jc w:val="center"/>
        </w:trPr>
        <w:tc>
          <w:tcPr>
            <w:tcW w:w="458" w:type="pct"/>
            <w:shd w:val="clear" w:color="auto" w:fill="C6D9F1" w:themeFill="text2" w:themeFillTint="33"/>
            <w:vAlign w:val="center"/>
          </w:tcPr>
          <w:p w14:paraId="36C0A7AF" w14:textId="77777777" w:rsidR="00E92F9B" w:rsidRDefault="001218A8">
            <w:pPr>
              <w:ind w:left="0"/>
              <w:jc w:val="center"/>
              <w:rPr>
                <w:b/>
                <w:sz w:val="18"/>
                <w:szCs w:val="18"/>
              </w:rPr>
            </w:pPr>
            <w:r w:rsidRPr="001218A8">
              <w:rPr>
                <w:b/>
                <w:sz w:val="18"/>
                <w:szCs w:val="18"/>
              </w:rPr>
              <w:t>Prioritná os</w:t>
            </w:r>
          </w:p>
        </w:tc>
        <w:tc>
          <w:tcPr>
            <w:tcW w:w="693" w:type="pct"/>
            <w:shd w:val="clear" w:color="auto" w:fill="C6D9F1" w:themeFill="text2" w:themeFillTint="33"/>
            <w:vAlign w:val="center"/>
          </w:tcPr>
          <w:p w14:paraId="17EDBD11" w14:textId="77777777" w:rsidR="008246A5" w:rsidRPr="008246A5" w:rsidRDefault="001218A8" w:rsidP="00B83833">
            <w:pPr>
              <w:ind w:left="0"/>
              <w:jc w:val="center"/>
              <w:rPr>
                <w:b/>
                <w:sz w:val="18"/>
                <w:szCs w:val="18"/>
              </w:rPr>
            </w:pPr>
            <w:r w:rsidRPr="001218A8">
              <w:rPr>
                <w:b/>
                <w:sz w:val="18"/>
                <w:szCs w:val="18"/>
              </w:rPr>
              <w:t>Implementačný krok, finančný ukazovateľ, ukazovateľ výstupu alebo výsledku</w:t>
            </w:r>
          </w:p>
        </w:tc>
        <w:tc>
          <w:tcPr>
            <w:tcW w:w="262" w:type="pct"/>
            <w:shd w:val="clear" w:color="auto" w:fill="C6D9F1" w:themeFill="text2" w:themeFillTint="33"/>
            <w:vAlign w:val="center"/>
          </w:tcPr>
          <w:p w14:paraId="167AFC83" w14:textId="77777777" w:rsidR="008246A5" w:rsidRPr="008246A5" w:rsidDel="0073354D" w:rsidRDefault="001218A8" w:rsidP="00B83833">
            <w:pPr>
              <w:ind w:left="0" w:right="-170"/>
              <w:rPr>
                <w:b/>
                <w:sz w:val="18"/>
                <w:szCs w:val="18"/>
              </w:rPr>
            </w:pPr>
            <w:r w:rsidRPr="001218A8">
              <w:rPr>
                <w:b/>
                <w:sz w:val="18"/>
                <w:szCs w:val="18"/>
              </w:rPr>
              <w:t>PČ</w:t>
            </w:r>
          </w:p>
        </w:tc>
        <w:tc>
          <w:tcPr>
            <w:tcW w:w="779" w:type="pct"/>
            <w:shd w:val="clear" w:color="auto" w:fill="C6D9F1" w:themeFill="text2" w:themeFillTint="33"/>
            <w:vAlign w:val="center"/>
          </w:tcPr>
          <w:p w14:paraId="0735DE12" w14:textId="77777777" w:rsidR="008246A5" w:rsidRPr="008246A5" w:rsidRDefault="001218A8" w:rsidP="00B83833">
            <w:pPr>
              <w:ind w:left="0" w:right="-170"/>
              <w:jc w:val="center"/>
              <w:rPr>
                <w:b/>
                <w:sz w:val="18"/>
                <w:szCs w:val="18"/>
              </w:rPr>
            </w:pPr>
            <w:r w:rsidRPr="001218A8">
              <w:rPr>
                <w:b/>
                <w:sz w:val="18"/>
                <w:szCs w:val="18"/>
              </w:rPr>
              <w:t>Ukazovateľ alebo implementačný krok</w:t>
            </w:r>
          </w:p>
        </w:tc>
        <w:tc>
          <w:tcPr>
            <w:tcW w:w="392" w:type="pct"/>
            <w:shd w:val="clear" w:color="auto" w:fill="C6D9F1" w:themeFill="text2" w:themeFillTint="33"/>
            <w:vAlign w:val="center"/>
          </w:tcPr>
          <w:p w14:paraId="38952005" w14:textId="77777777" w:rsidR="008246A5" w:rsidRPr="008246A5" w:rsidRDefault="001218A8" w:rsidP="00B83833">
            <w:pPr>
              <w:ind w:left="0"/>
              <w:jc w:val="center"/>
              <w:rPr>
                <w:b/>
                <w:sz w:val="18"/>
                <w:szCs w:val="18"/>
              </w:rPr>
            </w:pPr>
            <w:r w:rsidRPr="001218A8">
              <w:rPr>
                <w:b/>
                <w:sz w:val="18"/>
                <w:szCs w:val="18"/>
              </w:rPr>
              <w:t>Merná jednotka</w:t>
            </w:r>
          </w:p>
        </w:tc>
        <w:tc>
          <w:tcPr>
            <w:tcW w:w="319" w:type="pct"/>
            <w:shd w:val="clear" w:color="auto" w:fill="C6D9F1" w:themeFill="text2" w:themeFillTint="33"/>
            <w:vAlign w:val="center"/>
          </w:tcPr>
          <w:p w14:paraId="4BFA4498" w14:textId="77777777" w:rsidR="008246A5" w:rsidRPr="008246A5" w:rsidRDefault="001218A8" w:rsidP="00B83833">
            <w:pPr>
              <w:ind w:left="0"/>
              <w:jc w:val="center"/>
              <w:rPr>
                <w:b/>
                <w:sz w:val="18"/>
                <w:szCs w:val="18"/>
              </w:rPr>
            </w:pPr>
            <w:r w:rsidRPr="001218A8">
              <w:rPr>
                <w:b/>
                <w:sz w:val="18"/>
                <w:szCs w:val="18"/>
              </w:rPr>
              <w:t>Fond</w:t>
            </w:r>
          </w:p>
        </w:tc>
        <w:tc>
          <w:tcPr>
            <w:tcW w:w="356" w:type="pct"/>
            <w:shd w:val="clear" w:color="auto" w:fill="C6D9F1" w:themeFill="text2" w:themeFillTint="33"/>
            <w:vAlign w:val="center"/>
          </w:tcPr>
          <w:p w14:paraId="5B2660D2" w14:textId="77777777" w:rsidR="008246A5" w:rsidRPr="008246A5" w:rsidRDefault="001218A8" w:rsidP="00B83833">
            <w:pPr>
              <w:ind w:left="0"/>
              <w:jc w:val="center"/>
              <w:rPr>
                <w:b/>
                <w:sz w:val="18"/>
                <w:szCs w:val="18"/>
              </w:rPr>
            </w:pPr>
            <w:r w:rsidRPr="001218A8">
              <w:rPr>
                <w:b/>
                <w:sz w:val="18"/>
                <w:szCs w:val="18"/>
              </w:rPr>
              <w:t>Kategória regiónov</w:t>
            </w:r>
          </w:p>
        </w:tc>
        <w:tc>
          <w:tcPr>
            <w:tcW w:w="432" w:type="pct"/>
            <w:shd w:val="clear" w:color="auto" w:fill="C6D9F1" w:themeFill="text2" w:themeFillTint="33"/>
            <w:vAlign w:val="center"/>
          </w:tcPr>
          <w:p w14:paraId="6A5D3DD1" w14:textId="77777777" w:rsidR="008246A5" w:rsidRPr="008246A5" w:rsidRDefault="001218A8" w:rsidP="00B83833">
            <w:pPr>
              <w:ind w:left="0"/>
              <w:jc w:val="center"/>
              <w:rPr>
                <w:b/>
                <w:sz w:val="18"/>
                <w:szCs w:val="18"/>
              </w:rPr>
            </w:pPr>
            <w:r w:rsidRPr="001218A8">
              <w:rPr>
                <w:b/>
                <w:sz w:val="18"/>
                <w:szCs w:val="18"/>
              </w:rPr>
              <w:t>Čiastkový cieľ pre rok 2018</w:t>
            </w:r>
          </w:p>
        </w:tc>
        <w:tc>
          <w:tcPr>
            <w:tcW w:w="432" w:type="pct"/>
            <w:shd w:val="clear" w:color="auto" w:fill="C6D9F1" w:themeFill="text2" w:themeFillTint="33"/>
            <w:vAlign w:val="center"/>
          </w:tcPr>
          <w:p w14:paraId="1619597D" w14:textId="77777777" w:rsidR="008246A5" w:rsidRPr="008246A5" w:rsidRDefault="001218A8" w:rsidP="00B83833">
            <w:pPr>
              <w:ind w:left="0"/>
              <w:jc w:val="center"/>
              <w:rPr>
                <w:b/>
                <w:sz w:val="18"/>
                <w:szCs w:val="18"/>
              </w:rPr>
            </w:pPr>
            <w:r w:rsidRPr="001218A8">
              <w:rPr>
                <w:b/>
                <w:sz w:val="18"/>
                <w:szCs w:val="18"/>
              </w:rPr>
              <w:t>Konečný cieľ</w:t>
            </w:r>
          </w:p>
        </w:tc>
        <w:tc>
          <w:tcPr>
            <w:tcW w:w="355" w:type="pct"/>
            <w:shd w:val="clear" w:color="auto" w:fill="C6D9F1" w:themeFill="text2" w:themeFillTint="33"/>
            <w:vAlign w:val="center"/>
          </w:tcPr>
          <w:p w14:paraId="658ACCBA" w14:textId="77777777" w:rsidR="008246A5" w:rsidRPr="008246A5" w:rsidRDefault="001218A8" w:rsidP="00B83833">
            <w:pPr>
              <w:ind w:left="0"/>
              <w:jc w:val="center"/>
              <w:rPr>
                <w:b/>
                <w:sz w:val="18"/>
                <w:szCs w:val="18"/>
              </w:rPr>
            </w:pPr>
            <w:r w:rsidRPr="001218A8">
              <w:rPr>
                <w:b/>
                <w:sz w:val="18"/>
                <w:szCs w:val="18"/>
              </w:rPr>
              <w:t>Zdroj údajov</w:t>
            </w:r>
          </w:p>
        </w:tc>
        <w:tc>
          <w:tcPr>
            <w:tcW w:w="521" w:type="pct"/>
            <w:shd w:val="clear" w:color="auto" w:fill="C6D9F1" w:themeFill="text2" w:themeFillTint="33"/>
            <w:vAlign w:val="center"/>
          </w:tcPr>
          <w:p w14:paraId="18DCDDE1" w14:textId="77777777" w:rsidR="008246A5" w:rsidRPr="008246A5" w:rsidRDefault="001218A8" w:rsidP="00B83833">
            <w:pPr>
              <w:ind w:left="0"/>
              <w:jc w:val="center"/>
              <w:rPr>
                <w:b/>
                <w:sz w:val="18"/>
                <w:szCs w:val="18"/>
              </w:rPr>
            </w:pPr>
            <w:r w:rsidRPr="001218A8">
              <w:rPr>
                <w:b/>
                <w:sz w:val="18"/>
                <w:szCs w:val="18"/>
              </w:rPr>
              <w:t>Zdôvodnenie výberu ukazovateľov</w:t>
            </w:r>
          </w:p>
        </w:tc>
      </w:tr>
      <w:tr w:rsidR="008246A5" w14:paraId="0CC93CE3" w14:textId="77777777" w:rsidTr="00627C21">
        <w:trPr>
          <w:trHeight w:val="454"/>
          <w:jc w:val="center"/>
        </w:trPr>
        <w:tc>
          <w:tcPr>
            <w:tcW w:w="458" w:type="pct"/>
            <w:vAlign w:val="center"/>
          </w:tcPr>
          <w:p w14:paraId="58325EF6" w14:textId="77777777" w:rsidR="00E92F9B" w:rsidRDefault="008246A5">
            <w:pPr>
              <w:ind w:left="39"/>
              <w:jc w:val="center"/>
              <w:rPr>
                <w:sz w:val="18"/>
                <w:szCs w:val="18"/>
              </w:rPr>
            </w:pPr>
            <w:r>
              <w:rPr>
                <w:sz w:val="18"/>
                <w:szCs w:val="18"/>
              </w:rPr>
              <w:t>PO7</w:t>
            </w:r>
          </w:p>
        </w:tc>
        <w:tc>
          <w:tcPr>
            <w:tcW w:w="693" w:type="pct"/>
            <w:shd w:val="clear" w:color="auto" w:fill="auto"/>
            <w:vAlign w:val="center"/>
          </w:tcPr>
          <w:p w14:paraId="1F71D5B7" w14:textId="77777777" w:rsidR="008246A5" w:rsidRPr="00A903F2" w:rsidRDefault="009A2645" w:rsidP="00A903F2">
            <w:pPr>
              <w:ind w:left="0"/>
              <w:rPr>
                <w:i/>
                <w:sz w:val="18"/>
                <w:szCs w:val="18"/>
              </w:rPr>
            </w:pPr>
            <w:r w:rsidRPr="00A903F2">
              <w:rPr>
                <w:i/>
                <w:sz w:val="18"/>
                <w:szCs w:val="18"/>
              </w:rPr>
              <w:t>f</w:t>
            </w:r>
            <w:r w:rsidR="008246A5" w:rsidRPr="00A903F2">
              <w:rPr>
                <w:i/>
                <w:sz w:val="18"/>
                <w:szCs w:val="18"/>
              </w:rPr>
              <w:t>inančný ukazovateľ</w:t>
            </w:r>
            <w:r w:rsidR="008246A5" w:rsidRPr="00A903F2" w:rsidDel="00711B41">
              <w:rPr>
                <w:i/>
                <w:sz w:val="18"/>
                <w:szCs w:val="18"/>
              </w:rPr>
              <w:t xml:space="preserve"> </w:t>
            </w:r>
          </w:p>
        </w:tc>
        <w:tc>
          <w:tcPr>
            <w:tcW w:w="262" w:type="pct"/>
            <w:vAlign w:val="center"/>
          </w:tcPr>
          <w:p w14:paraId="6D2098DB" w14:textId="77777777" w:rsidR="00E92F9B" w:rsidRDefault="008246A5" w:rsidP="00A903F2">
            <w:pPr>
              <w:ind w:left="0"/>
              <w:jc w:val="center"/>
              <w:rPr>
                <w:sz w:val="18"/>
                <w:szCs w:val="18"/>
              </w:rPr>
            </w:pPr>
            <w:r>
              <w:rPr>
                <w:sz w:val="18"/>
                <w:szCs w:val="18"/>
              </w:rPr>
              <w:t>1.</w:t>
            </w:r>
          </w:p>
        </w:tc>
        <w:tc>
          <w:tcPr>
            <w:tcW w:w="779" w:type="pct"/>
            <w:vAlign w:val="center"/>
          </w:tcPr>
          <w:p w14:paraId="1694FF6C" w14:textId="33CA9704" w:rsidR="008246A5" w:rsidRDefault="00473F56" w:rsidP="00B17675">
            <w:pPr>
              <w:ind w:left="0"/>
              <w:rPr>
                <w:sz w:val="18"/>
                <w:szCs w:val="18"/>
              </w:rPr>
            </w:pPr>
            <w:r w:rsidRPr="00473F56">
              <w:rPr>
                <w:sz w:val="18"/>
                <w:szCs w:val="18"/>
              </w:rPr>
              <w:t>Celková suma oprávnených výdavkov po ich certifikácii certifikačným orgánom</w:t>
            </w:r>
            <w:r w:rsidR="00B17675">
              <w:rPr>
                <w:sz w:val="18"/>
                <w:szCs w:val="18"/>
              </w:rPr>
              <w:t xml:space="preserve"> a predložení </w:t>
            </w:r>
            <w:r w:rsidR="00B17675">
              <w:rPr>
                <w:sz w:val="18"/>
                <w:szCs w:val="18"/>
              </w:rPr>
              <w:lastRenderedPageBreak/>
              <w:t>žiadostí o platby Európskej komisii</w:t>
            </w:r>
          </w:p>
        </w:tc>
        <w:tc>
          <w:tcPr>
            <w:tcW w:w="392" w:type="pct"/>
            <w:vAlign w:val="center"/>
          </w:tcPr>
          <w:p w14:paraId="6D17A16E" w14:textId="77777777" w:rsidR="008246A5" w:rsidRPr="00020818" w:rsidRDefault="00FE738D" w:rsidP="00B83833">
            <w:pPr>
              <w:ind w:left="0"/>
              <w:jc w:val="center"/>
              <w:rPr>
                <w:sz w:val="18"/>
                <w:szCs w:val="18"/>
              </w:rPr>
            </w:pPr>
            <w:r>
              <w:rPr>
                <w:sz w:val="18"/>
                <w:szCs w:val="18"/>
              </w:rPr>
              <w:lastRenderedPageBreak/>
              <w:t>EUR</w:t>
            </w:r>
          </w:p>
        </w:tc>
        <w:tc>
          <w:tcPr>
            <w:tcW w:w="319" w:type="pct"/>
            <w:vAlign w:val="center"/>
          </w:tcPr>
          <w:p w14:paraId="3E98F8F0" w14:textId="77777777" w:rsidR="008246A5" w:rsidRDefault="008246A5" w:rsidP="00B83833">
            <w:pPr>
              <w:ind w:left="0"/>
              <w:jc w:val="center"/>
              <w:rPr>
                <w:sz w:val="18"/>
                <w:szCs w:val="18"/>
              </w:rPr>
            </w:pPr>
            <w:r>
              <w:rPr>
                <w:sz w:val="18"/>
                <w:szCs w:val="18"/>
              </w:rPr>
              <w:t>EFRR</w:t>
            </w:r>
          </w:p>
        </w:tc>
        <w:tc>
          <w:tcPr>
            <w:tcW w:w="356" w:type="pct"/>
            <w:vAlign w:val="center"/>
          </w:tcPr>
          <w:p w14:paraId="0D92F252" w14:textId="77777777" w:rsidR="008246A5" w:rsidRPr="00F82B4F" w:rsidRDefault="008246A5" w:rsidP="00B83833">
            <w:pPr>
              <w:ind w:left="0"/>
              <w:jc w:val="center"/>
              <w:rPr>
                <w:sz w:val="18"/>
                <w:szCs w:val="18"/>
              </w:rPr>
            </w:pPr>
            <w:r w:rsidRPr="00560E77">
              <w:rPr>
                <w:sz w:val="18"/>
                <w:szCs w:val="18"/>
              </w:rPr>
              <w:t>Menej rozvinuté regióny</w:t>
            </w:r>
          </w:p>
        </w:tc>
        <w:tc>
          <w:tcPr>
            <w:tcW w:w="432" w:type="pct"/>
            <w:vAlign w:val="center"/>
          </w:tcPr>
          <w:p w14:paraId="5966F32D" w14:textId="697F8C1C" w:rsidR="008246A5" w:rsidRPr="00534B8E" w:rsidRDefault="00D2755E" w:rsidP="00904E3F">
            <w:pPr>
              <w:ind w:left="0"/>
              <w:jc w:val="center"/>
              <w:rPr>
                <w:sz w:val="18"/>
                <w:szCs w:val="18"/>
              </w:rPr>
            </w:pPr>
            <w:r>
              <w:rPr>
                <w:sz w:val="18"/>
                <w:szCs w:val="18"/>
              </w:rPr>
              <w:t>132 097 309</w:t>
            </w:r>
          </w:p>
        </w:tc>
        <w:tc>
          <w:tcPr>
            <w:tcW w:w="432" w:type="pct"/>
            <w:vAlign w:val="center"/>
          </w:tcPr>
          <w:p w14:paraId="5D8BF8D0" w14:textId="2B8C8597" w:rsidR="008246A5" w:rsidRPr="00534B8E" w:rsidRDefault="009D2D07" w:rsidP="009D2D07">
            <w:pPr>
              <w:ind w:left="0"/>
              <w:jc w:val="center"/>
              <w:rPr>
                <w:sz w:val="18"/>
                <w:szCs w:val="18"/>
              </w:rPr>
            </w:pPr>
            <w:r>
              <w:rPr>
                <w:sz w:val="18"/>
                <w:szCs w:val="18"/>
                <w:lang w:val="en-US"/>
              </w:rPr>
              <w:t>866</w:t>
            </w:r>
            <w:r w:rsidR="00D60F62">
              <w:rPr>
                <w:sz w:val="18"/>
                <w:szCs w:val="18"/>
                <w:lang w:val="en-US"/>
              </w:rPr>
              <w:t> </w:t>
            </w:r>
            <w:r>
              <w:rPr>
                <w:sz w:val="18"/>
                <w:szCs w:val="18"/>
                <w:lang w:val="en-US"/>
              </w:rPr>
              <w:t>988</w:t>
            </w:r>
            <w:r w:rsidR="00D60F62">
              <w:rPr>
                <w:sz w:val="18"/>
                <w:szCs w:val="18"/>
                <w:lang w:val="en-US"/>
              </w:rPr>
              <w:t xml:space="preserve"> </w:t>
            </w:r>
            <w:r>
              <w:rPr>
                <w:sz w:val="18"/>
                <w:szCs w:val="18"/>
                <w:lang w:val="en-US"/>
              </w:rPr>
              <w:t>591</w:t>
            </w:r>
          </w:p>
        </w:tc>
        <w:tc>
          <w:tcPr>
            <w:tcW w:w="355" w:type="pct"/>
            <w:vAlign w:val="center"/>
          </w:tcPr>
          <w:p w14:paraId="5DD519E1" w14:textId="77777777" w:rsidR="008246A5" w:rsidRPr="00020818" w:rsidRDefault="009A2645" w:rsidP="00B83833">
            <w:pPr>
              <w:ind w:left="0"/>
              <w:jc w:val="center"/>
              <w:rPr>
                <w:sz w:val="18"/>
                <w:szCs w:val="18"/>
              </w:rPr>
            </w:pPr>
            <w:r>
              <w:rPr>
                <w:sz w:val="18"/>
                <w:szCs w:val="18"/>
              </w:rPr>
              <w:t>SO</w:t>
            </w:r>
            <w:r w:rsidR="008246A5" w:rsidRPr="00020818">
              <w:rPr>
                <w:sz w:val="18"/>
                <w:szCs w:val="18"/>
              </w:rPr>
              <w:t xml:space="preserve">RO </w:t>
            </w:r>
            <w:r w:rsidR="008246A5">
              <w:rPr>
                <w:sz w:val="18"/>
                <w:szCs w:val="18"/>
              </w:rPr>
              <w:t>OPII</w:t>
            </w:r>
          </w:p>
        </w:tc>
        <w:tc>
          <w:tcPr>
            <w:tcW w:w="521" w:type="pct"/>
            <w:vAlign w:val="center"/>
          </w:tcPr>
          <w:p w14:paraId="534EB02B" w14:textId="77777777" w:rsidR="008246A5" w:rsidRPr="00020818" w:rsidRDefault="008246A5" w:rsidP="00B83833">
            <w:pPr>
              <w:ind w:left="0"/>
              <w:rPr>
                <w:sz w:val="18"/>
                <w:szCs w:val="18"/>
              </w:rPr>
            </w:pPr>
            <w:r w:rsidRPr="0052221D">
              <w:rPr>
                <w:sz w:val="18"/>
                <w:szCs w:val="18"/>
              </w:rPr>
              <w:t>Základný finančný ukazovateľ pokroku prioritnej osi.</w:t>
            </w:r>
          </w:p>
        </w:tc>
      </w:tr>
      <w:tr w:rsidR="009A2645" w:rsidDel="009A2645" w14:paraId="4378E717" w14:textId="77777777" w:rsidTr="00627C21">
        <w:trPr>
          <w:trHeight w:val="454"/>
          <w:jc w:val="center"/>
        </w:trPr>
        <w:tc>
          <w:tcPr>
            <w:tcW w:w="458" w:type="pct"/>
            <w:vAlign w:val="center"/>
          </w:tcPr>
          <w:p w14:paraId="3F3A500C" w14:textId="4513C4B6" w:rsidR="009A2645" w:rsidDel="009A2645" w:rsidRDefault="009A2645" w:rsidP="00A903F2">
            <w:pPr>
              <w:tabs>
                <w:tab w:val="left" w:pos="567"/>
                <w:tab w:val="left" w:leader="dot" w:pos="9356"/>
              </w:tabs>
              <w:ind w:left="1077" w:hanging="1077"/>
              <w:jc w:val="center"/>
              <w:rPr>
                <w:sz w:val="18"/>
                <w:szCs w:val="18"/>
              </w:rPr>
            </w:pPr>
            <w:r w:rsidRPr="00C36904">
              <w:rPr>
                <w:sz w:val="18"/>
                <w:szCs w:val="18"/>
              </w:rPr>
              <w:t>PO7</w:t>
            </w:r>
          </w:p>
        </w:tc>
        <w:tc>
          <w:tcPr>
            <w:tcW w:w="693" w:type="pct"/>
            <w:shd w:val="clear" w:color="auto" w:fill="auto"/>
            <w:vAlign w:val="center"/>
          </w:tcPr>
          <w:p w14:paraId="07AFC7DF" w14:textId="77777777" w:rsidR="009A2645" w:rsidRPr="00A903F2" w:rsidDel="009A2645" w:rsidRDefault="009A2645" w:rsidP="00A903F2">
            <w:pPr>
              <w:tabs>
                <w:tab w:val="left" w:pos="567"/>
                <w:tab w:val="left" w:leader="dot" w:pos="9356"/>
              </w:tabs>
              <w:ind w:left="0"/>
              <w:rPr>
                <w:i/>
                <w:sz w:val="18"/>
                <w:szCs w:val="18"/>
              </w:rPr>
            </w:pPr>
            <w:r w:rsidRPr="00A903F2">
              <w:rPr>
                <w:i/>
                <w:sz w:val="18"/>
                <w:szCs w:val="18"/>
              </w:rPr>
              <w:t>výstupový ukazovateľ</w:t>
            </w:r>
          </w:p>
        </w:tc>
        <w:tc>
          <w:tcPr>
            <w:tcW w:w="262" w:type="pct"/>
            <w:vAlign w:val="center"/>
          </w:tcPr>
          <w:p w14:paraId="21FBB022" w14:textId="77777777" w:rsidR="009A2645" w:rsidDel="009A2645" w:rsidRDefault="009A2645" w:rsidP="00A903F2">
            <w:pPr>
              <w:ind w:left="0" w:right="-108"/>
              <w:jc w:val="center"/>
              <w:rPr>
                <w:sz w:val="18"/>
                <w:szCs w:val="18"/>
              </w:rPr>
            </w:pPr>
            <w:r>
              <w:rPr>
                <w:sz w:val="18"/>
                <w:szCs w:val="18"/>
              </w:rPr>
              <w:t>2</w:t>
            </w:r>
            <w:r w:rsidRPr="00C36904">
              <w:rPr>
                <w:sz w:val="18"/>
                <w:szCs w:val="18"/>
              </w:rPr>
              <w:t>.</w:t>
            </w:r>
          </w:p>
        </w:tc>
        <w:tc>
          <w:tcPr>
            <w:tcW w:w="779" w:type="pct"/>
          </w:tcPr>
          <w:p w14:paraId="4FA0BDED" w14:textId="77777777" w:rsidR="009A2645" w:rsidRPr="009D4F46" w:rsidDel="009A2645" w:rsidRDefault="009A2645" w:rsidP="009A2645">
            <w:pPr>
              <w:ind w:left="0" w:right="-108"/>
              <w:rPr>
                <w:sz w:val="18"/>
                <w:szCs w:val="18"/>
              </w:rPr>
            </w:pPr>
            <w:r w:rsidRPr="00C36904">
              <w:rPr>
                <w:sz w:val="18"/>
                <w:szCs w:val="18"/>
              </w:rPr>
              <w:t>Počet dodatočných centrálne využitých podporných systémov vnútornej správy v rámci ISVS (ako služieb v cloude SaaS)</w:t>
            </w:r>
          </w:p>
        </w:tc>
        <w:tc>
          <w:tcPr>
            <w:tcW w:w="392" w:type="pct"/>
          </w:tcPr>
          <w:p w14:paraId="64A30210" w14:textId="77777777" w:rsidR="009A2645" w:rsidDel="009A2645" w:rsidRDefault="009A2645" w:rsidP="00627C21">
            <w:pPr>
              <w:ind w:left="0"/>
              <w:jc w:val="center"/>
              <w:rPr>
                <w:sz w:val="18"/>
                <w:szCs w:val="18"/>
              </w:rPr>
            </w:pPr>
            <w:r>
              <w:rPr>
                <w:sz w:val="18"/>
                <w:szCs w:val="18"/>
              </w:rPr>
              <w:t>počet</w:t>
            </w:r>
          </w:p>
        </w:tc>
        <w:tc>
          <w:tcPr>
            <w:tcW w:w="319" w:type="pct"/>
          </w:tcPr>
          <w:p w14:paraId="5C931F44" w14:textId="77777777" w:rsidR="009A2645" w:rsidRPr="009D4F46" w:rsidDel="009A2645" w:rsidRDefault="009A2645" w:rsidP="009A2645">
            <w:pPr>
              <w:ind w:left="0"/>
              <w:jc w:val="center"/>
              <w:rPr>
                <w:sz w:val="18"/>
                <w:szCs w:val="18"/>
              </w:rPr>
            </w:pPr>
            <w:r w:rsidRPr="00C36904">
              <w:rPr>
                <w:sz w:val="18"/>
                <w:szCs w:val="18"/>
              </w:rPr>
              <w:t>EFRR</w:t>
            </w:r>
          </w:p>
        </w:tc>
        <w:tc>
          <w:tcPr>
            <w:tcW w:w="356" w:type="pct"/>
          </w:tcPr>
          <w:p w14:paraId="13234C6C" w14:textId="77777777" w:rsidR="009A2645" w:rsidRPr="00560E77" w:rsidDel="009A2645" w:rsidRDefault="009A2645" w:rsidP="009A2645">
            <w:pPr>
              <w:ind w:left="0"/>
              <w:jc w:val="center"/>
              <w:rPr>
                <w:sz w:val="18"/>
                <w:szCs w:val="18"/>
              </w:rPr>
            </w:pPr>
            <w:r w:rsidRPr="00C36904">
              <w:rPr>
                <w:sz w:val="18"/>
                <w:szCs w:val="18"/>
              </w:rPr>
              <w:t>Menej rozvinuté regióny</w:t>
            </w:r>
          </w:p>
        </w:tc>
        <w:tc>
          <w:tcPr>
            <w:tcW w:w="432" w:type="pct"/>
          </w:tcPr>
          <w:p w14:paraId="4C37811B" w14:textId="77777777" w:rsidR="009A2645" w:rsidDel="009A2645" w:rsidRDefault="009A2645" w:rsidP="00627C21">
            <w:pPr>
              <w:ind w:left="0"/>
              <w:jc w:val="center"/>
              <w:rPr>
                <w:sz w:val="18"/>
                <w:szCs w:val="18"/>
              </w:rPr>
            </w:pPr>
            <w:r w:rsidRPr="00C36904">
              <w:rPr>
                <w:sz w:val="18"/>
                <w:szCs w:val="18"/>
              </w:rPr>
              <w:t>2</w:t>
            </w:r>
          </w:p>
        </w:tc>
        <w:tc>
          <w:tcPr>
            <w:tcW w:w="432" w:type="pct"/>
          </w:tcPr>
          <w:p w14:paraId="0860D9A8" w14:textId="77777777" w:rsidR="009A2645" w:rsidDel="009A2645" w:rsidRDefault="009A2645" w:rsidP="00627C21">
            <w:pPr>
              <w:ind w:left="0"/>
              <w:jc w:val="center"/>
              <w:rPr>
                <w:sz w:val="18"/>
                <w:szCs w:val="18"/>
              </w:rPr>
            </w:pPr>
            <w:r w:rsidRPr="00C36904">
              <w:rPr>
                <w:sz w:val="18"/>
                <w:szCs w:val="18"/>
                <w:lang w:val="en-US"/>
              </w:rPr>
              <w:t>7</w:t>
            </w:r>
          </w:p>
        </w:tc>
        <w:tc>
          <w:tcPr>
            <w:tcW w:w="355" w:type="pct"/>
          </w:tcPr>
          <w:p w14:paraId="068AA447" w14:textId="77777777" w:rsidR="009A2645" w:rsidDel="009A2645" w:rsidRDefault="009A2645" w:rsidP="009A2645">
            <w:pPr>
              <w:ind w:left="0"/>
              <w:rPr>
                <w:sz w:val="18"/>
                <w:szCs w:val="18"/>
              </w:rPr>
            </w:pPr>
            <w:r w:rsidRPr="00C36904">
              <w:rPr>
                <w:sz w:val="18"/>
                <w:szCs w:val="18"/>
              </w:rPr>
              <w:t>SORO OPII</w:t>
            </w:r>
          </w:p>
        </w:tc>
        <w:tc>
          <w:tcPr>
            <w:tcW w:w="521" w:type="pct"/>
          </w:tcPr>
          <w:p w14:paraId="0FCCEBA6" w14:textId="77777777" w:rsidR="009A2645" w:rsidDel="009A2645" w:rsidRDefault="009A2645" w:rsidP="009A2645">
            <w:pPr>
              <w:pStyle w:val="09Table"/>
              <w:ind w:left="0"/>
              <w:jc w:val="left"/>
            </w:pPr>
            <w:r w:rsidRPr="00C36904">
              <w:t>Nosná investičná aktivita v rámci PO7</w:t>
            </w:r>
          </w:p>
        </w:tc>
      </w:tr>
      <w:tr w:rsidR="009A2645" w:rsidDel="009A2645" w14:paraId="372E1A93" w14:textId="77777777" w:rsidTr="00627C21">
        <w:trPr>
          <w:trHeight w:val="454"/>
          <w:jc w:val="center"/>
        </w:trPr>
        <w:tc>
          <w:tcPr>
            <w:tcW w:w="458" w:type="pct"/>
            <w:vAlign w:val="center"/>
          </w:tcPr>
          <w:p w14:paraId="1D8D59E1" w14:textId="72C4AAB0" w:rsidR="009A2645" w:rsidDel="009A2645" w:rsidRDefault="00A903F2" w:rsidP="00A903F2">
            <w:pPr>
              <w:tabs>
                <w:tab w:val="left" w:pos="567"/>
                <w:tab w:val="left" w:leader="dot" w:pos="9356"/>
              </w:tabs>
              <w:ind w:left="1077" w:hanging="1077"/>
              <w:jc w:val="center"/>
              <w:rPr>
                <w:sz w:val="18"/>
                <w:szCs w:val="18"/>
              </w:rPr>
            </w:pPr>
            <w:r>
              <w:rPr>
                <w:sz w:val="18"/>
                <w:szCs w:val="18"/>
              </w:rPr>
              <w:t>PO7</w:t>
            </w:r>
          </w:p>
        </w:tc>
        <w:tc>
          <w:tcPr>
            <w:tcW w:w="693" w:type="pct"/>
            <w:shd w:val="clear" w:color="auto" w:fill="auto"/>
            <w:vAlign w:val="center"/>
          </w:tcPr>
          <w:p w14:paraId="092825AF" w14:textId="77777777" w:rsidR="009A2645" w:rsidRPr="00A903F2" w:rsidDel="009A2645" w:rsidRDefault="009A2645" w:rsidP="00A903F2">
            <w:pPr>
              <w:tabs>
                <w:tab w:val="left" w:pos="567"/>
                <w:tab w:val="left" w:leader="dot" w:pos="9356"/>
              </w:tabs>
              <w:ind w:left="0"/>
              <w:rPr>
                <w:i/>
                <w:sz w:val="18"/>
                <w:szCs w:val="18"/>
              </w:rPr>
            </w:pPr>
            <w:r w:rsidRPr="00A903F2">
              <w:rPr>
                <w:i/>
                <w:sz w:val="18"/>
                <w:szCs w:val="18"/>
              </w:rPr>
              <w:t>výstupový ukazovateľ</w:t>
            </w:r>
          </w:p>
        </w:tc>
        <w:tc>
          <w:tcPr>
            <w:tcW w:w="262" w:type="pct"/>
            <w:vAlign w:val="center"/>
          </w:tcPr>
          <w:p w14:paraId="22FB062C" w14:textId="77777777" w:rsidR="009A2645" w:rsidDel="009A2645" w:rsidRDefault="009A2645" w:rsidP="00A903F2">
            <w:pPr>
              <w:ind w:left="0" w:right="-108"/>
              <w:jc w:val="center"/>
              <w:rPr>
                <w:sz w:val="18"/>
                <w:szCs w:val="18"/>
              </w:rPr>
            </w:pPr>
            <w:r>
              <w:rPr>
                <w:sz w:val="18"/>
                <w:szCs w:val="18"/>
              </w:rPr>
              <w:t>3</w:t>
            </w:r>
            <w:r w:rsidRPr="00C36904">
              <w:rPr>
                <w:sz w:val="18"/>
                <w:szCs w:val="18"/>
              </w:rPr>
              <w:t>.</w:t>
            </w:r>
          </w:p>
        </w:tc>
        <w:tc>
          <w:tcPr>
            <w:tcW w:w="779" w:type="pct"/>
          </w:tcPr>
          <w:p w14:paraId="132879EA" w14:textId="641AF12E" w:rsidR="009A2645" w:rsidRPr="009D4F46" w:rsidDel="009A2645" w:rsidRDefault="009A2645" w:rsidP="008A2589">
            <w:pPr>
              <w:ind w:left="0" w:right="-108"/>
              <w:rPr>
                <w:sz w:val="18"/>
                <w:szCs w:val="18"/>
              </w:rPr>
            </w:pPr>
            <w:r w:rsidRPr="00C36904">
              <w:rPr>
                <w:sz w:val="18"/>
                <w:szCs w:val="18"/>
              </w:rPr>
              <w:t>Dodatočný pomer</w:t>
            </w:r>
            <w:r w:rsidR="008A2589">
              <w:rPr>
                <w:sz w:val="18"/>
                <w:szCs w:val="18"/>
              </w:rPr>
              <w:t xml:space="preserve"> ústredných orgánov</w:t>
            </w:r>
            <w:r w:rsidR="008A2589" w:rsidRPr="00C36904">
              <w:rPr>
                <w:sz w:val="18"/>
                <w:szCs w:val="18"/>
              </w:rPr>
              <w:t xml:space="preserve"> </w:t>
            </w:r>
            <w:r w:rsidRPr="00C36904">
              <w:rPr>
                <w:sz w:val="18"/>
                <w:szCs w:val="18"/>
              </w:rPr>
              <w:t>štátnej správy zapojených do eGovernment cloudu</w:t>
            </w:r>
          </w:p>
        </w:tc>
        <w:tc>
          <w:tcPr>
            <w:tcW w:w="392" w:type="pct"/>
          </w:tcPr>
          <w:p w14:paraId="12D9B4C4" w14:textId="77777777" w:rsidR="009A2645" w:rsidDel="009A2645" w:rsidRDefault="009A2645" w:rsidP="00627C21">
            <w:pPr>
              <w:ind w:left="0"/>
              <w:jc w:val="center"/>
              <w:rPr>
                <w:sz w:val="18"/>
                <w:szCs w:val="18"/>
              </w:rPr>
            </w:pPr>
            <w:r w:rsidRPr="00C36904">
              <w:rPr>
                <w:sz w:val="18"/>
                <w:szCs w:val="18"/>
              </w:rPr>
              <w:t>%</w:t>
            </w:r>
          </w:p>
        </w:tc>
        <w:tc>
          <w:tcPr>
            <w:tcW w:w="319" w:type="pct"/>
          </w:tcPr>
          <w:p w14:paraId="44F883DE" w14:textId="77777777" w:rsidR="009A2645" w:rsidRPr="009D4F46" w:rsidDel="009A2645" w:rsidRDefault="009A2645" w:rsidP="009A2645">
            <w:pPr>
              <w:ind w:left="0"/>
              <w:jc w:val="center"/>
              <w:rPr>
                <w:sz w:val="18"/>
                <w:szCs w:val="18"/>
              </w:rPr>
            </w:pPr>
            <w:r w:rsidRPr="00C36904">
              <w:rPr>
                <w:sz w:val="18"/>
                <w:szCs w:val="18"/>
              </w:rPr>
              <w:t>EFRR</w:t>
            </w:r>
          </w:p>
        </w:tc>
        <w:tc>
          <w:tcPr>
            <w:tcW w:w="356" w:type="pct"/>
          </w:tcPr>
          <w:p w14:paraId="0CE7AC20" w14:textId="77777777" w:rsidR="009A2645" w:rsidRPr="00560E77" w:rsidDel="009A2645" w:rsidRDefault="009A2645" w:rsidP="009A2645">
            <w:pPr>
              <w:ind w:left="0"/>
              <w:jc w:val="center"/>
              <w:rPr>
                <w:sz w:val="18"/>
                <w:szCs w:val="18"/>
              </w:rPr>
            </w:pPr>
            <w:r w:rsidRPr="00C36904">
              <w:rPr>
                <w:sz w:val="18"/>
                <w:szCs w:val="18"/>
              </w:rPr>
              <w:t>Menej rozvinuté regióny</w:t>
            </w:r>
          </w:p>
        </w:tc>
        <w:tc>
          <w:tcPr>
            <w:tcW w:w="432" w:type="pct"/>
          </w:tcPr>
          <w:p w14:paraId="2EC2FE40" w14:textId="77777777" w:rsidR="009A2645" w:rsidDel="009A2645" w:rsidRDefault="009A2645" w:rsidP="00627C21">
            <w:pPr>
              <w:ind w:left="0"/>
              <w:jc w:val="center"/>
              <w:rPr>
                <w:sz w:val="18"/>
                <w:szCs w:val="18"/>
              </w:rPr>
            </w:pPr>
            <w:r w:rsidRPr="00C36904">
              <w:rPr>
                <w:sz w:val="18"/>
                <w:szCs w:val="18"/>
              </w:rPr>
              <w:t>30</w:t>
            </w:r>
          </w:p>
        </w:tc>
        <w:tc>
          <w:tcPr>
            <w:tcW w:w="432" w:type="pct"/>
          </w:tcPr>
          <w:p w14:paraId="09A0A0B0" w14:textId="77777777" w:rsidR="009A2645" w:rsidDel="009A2645" w:rsidRDefault="009A2645" w:rsidP="00627C21">
            <w:pPr>
              <w:ind w:left="0"/>
              <w:jc w:val="center"/>
              <w:rPr>
                <w:sz w:val="18"/>
                <w:szCs w:val="18"/>
              </w:rPr>
            </w:pPr>
            <w:r w:rsidRPr="00C36904">
              <w:rPr>
                <w:sz w:val="18"/>
                <w:szCs w:val="18"/>
                <w:lang w:val="en-US"/>
              </w:rPr>
              <w:t>100</w:t>
            </w:r>
          </w:p>
        </w:tc>
        <w:tc>
          <w:tcPr>
            <w:tcW w:w="355" w:type="pct"/>
          </w:tcPr>
          <w:p w14:paraId="724145B1" w14:textId="77777777" w:rsidR="009A2645" w:rsidDel="009A2645" w:rsidRDefault="009A2645" w:rsidP="009A2645">
            <w:pPr>
              <w:ind w:left="0"/>
              <w:rPr>
                <w:sz w:val="18"/>
                <w:szCs w:val="18"/>
              </w:rPr>
            </w:pPr>
            <w:r w:rsidRPr="00C36904">
              <w:rPr>
                <w:sz w:val="18"/>
                <w:szCs w:val="18"/>
              </w:rPr>
              <w:t>SORO OPII</w:t>
            </w:r>
          </w:p>
        </w:tc>
        <w:tc>
          <w:tcPr>
            <w:tcW w:w="521" w:type="pct"/>
          </w:tcPr>
          <w:p w14:paraId="4D1B9BA0" w14:textId="77777777" w:rsidR="009A2645" w:rsidDel="009A2645" w:rsidRDefault="009A2645" w:rsidP="009A2645">
            <w:pPr>
              <w:pStyle w:val="09Table"/>
              <w:ind w:left="0"/>
              <w:jc w:val="left"/>
            </w:pPr>
            <w:r w:rsidRPr="00C36904">
              <w:t>Nosná investičná aktivita v rámci PO7</w:t>
            </w:r>
          </w:p>
        </w:tc>
      </w:tr>
    </w:tbl>
    <w:p w14:paraId="7EBE3DE2" w14:textId="76213560" w:rsidR="00354629" w:rsidRDefault="00354629">
      <w:pPr>
        <w:rPr>
          <w:rFonts w:ascii="Arial Narrow" w:hAnsi="Arial Narrow" w:cs="Arial"/>
          <w:b/>
          <w:bCs/>
          <w:color w:val="1F497D" w:themeColor="text2"/>
          <w:sz w:val="22"/>
          <w:szCs w:val="26"/>
        </w:rPr>
      </w:pPr>
    </w:p>
    <w:p w14:paraId="6359080D" w14:textId="6BDD4EA4" w:rsidR="007F1C63" w:rsidRPr="007F1C63" w:rsidRDefault="007F1C63" w:rsidP="000767A2">
      <w:pPr>
        <w:pStyle w:val="Nadpis3"/>
      </w:pPr>
      <w:bookmarkStart w:id="70" w:name="_Toc28951630"/>
      <w:r w:rsidRPr="007F1C63">
        <w:t>Kategórie intervencií</w:t>
      </w:r>
      <w:bookmarkEnd w:id="70"/>
    </w:p>
    <w:p w14:paraId="6996CBCA"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112ADC0C" w14:textId="77777777" w:rsidTr="007F1C63">
        <w:trPr>
          <w:trHeight w:val="284"/>
          <w:jc w:val="center"/>
        </w:trPr>
        <w:tc>
          <w:tcPr>
            <w:tcW w:w="9072" w:type="dxa"/>
            <w:gridSpan w:val="3"/>
            <w:shd w:val="clear" w:color="auto" w:fill="DBE5F1" w:themeFill="accent1" w:themeFillTint="33"/>
            <w:vAlign w:val="center"/>
          </w:tcPr>
          <w:p w14:paraId="5914E1E4" w14:textId="77777777" w:rsidR="007F1C63" w:rsidRPr="007F1C63" w:rsidRDefault="007F1C63" w:rsidP="007F1C63">
            <w:pPr>
              <w:ind w:left="0"/>
              <w:rPr>
                <w:color w:val="000000"/>
                <w:sz w:val="20"/>
                <w:szCs w:val="20"/>
              </w:rPr>
            </w:pPr>
            <w:r w:rsidRPr="007F1C63">
              <w:rPr>
                <w:b/>
                <w:bCs/>
                <w:color w:val="000000"/>
                <w:sz w:val="20"/>
                <w:szCs w:val="20"/>
              </w:rPr>
              <w:t xml:space="preserve">Rozmer 1 – Oblasť intervencie </w:t>
            </w:r>
          </w:p>
        </w:tc>
      </w:tr>
      <w:tr w:rsidR="007F1C63" w:rsidRPr="007F1C63" w14:paraId="402FE350" w14:textId="77777777" w:rsidTr="007F1C63">
        <w:trPr>
          <w:trHeight w:val="284"/>
          <w:jc w:val="center"/>
        </w:trPr>
        <w:tc>
          <w:tcPr>
            <w:tcW w:w="4913" w:type="dxa"/>
            <w:shd w:val="clear" w:color="auto" w:fill="DBE5F1" w:themeFill="accent1" w:themeFillTint="33"/>
            <w:vAlign w:val="center"/>
          </w:tcPr>
          <w:p w14:paraId="34486145"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14:paraId="57C874A6"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34BA1851" w14:textId="77777777" w:rsidTr="007F1C63">
        <w:trPr>
          <w:trHeight w:val="284"/>
          <w:jc w:val="center"/>
        </w:trPr>
        <w:tc>
          <w:tcPr>
            <w:tcW w:w="4913" w:type="dxa"/>
            <w:shd w:val="clear" w:color="auto" w:fill="DBE5F1" w:themeFill="accent1" w:themeFillTint="33"/>
            <w:vAlign w:val="center"/>
          </w:tcPr>
          <w:p w14:paraId="08305A32" w14:textId="77777777"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14:paraId="4200D361"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1E246D23" w14:textId="77777777" w:rsidTr="007F1C63">
        <w:trPr>
          <w:trHeight w:val="284"/>
          <w:jc w:val="center"/>
        </w:trPr>
        <w:tc>
          <w:tcPr>
            <w:tcW w:w="4913" w:type="dxa"/>
            <w:vAlign w:val="center"/>
          </w:tcPr>
          <w:p w14:paraId="62439A5D" w14:textId="77777777"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14:paraId="5685D1CD" w14:textId="77777777"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14:paraId="66CE9484" w14:textId="77777777" w:rsidR="007F1C63" w:rsidRPr="007F1C63" w:rsidRDefault="007F1C63" w:rsidP="007F1C63">
            <w:pPr>
              <w:ind w:left="0"/>
              <w:jc w:val="center"/>
              <w:rPr>
                <w:b/>
                <w:sz w:val="20"/>
                <w:szCs w:val="20"/>
              </w:rPr>
            </w:pPr>
            <w:r w:rsidRPr="007F1C63">
              <w:rPr>
                <w:b/>
                <w:sz w:val="20"/>
                <w:szCs w:val="20"/>
              </w:rPr>
              <w:t>Suma (v EUR)</w:t>
            </w:r>
          </w:p>
        </w:tc>
      </w:tr>
      <w:tr w:rsidR="00497902" w:rsidRPr="007F1C63" w14:paraId="1175688A" w14:textId="77777777" w:rsidTr="005A4951">
        <w:trPr>
          <w:trHeight w:val="284"/>
          <w:jc w:val="center"/>
        </w:trPr>
        <w:tc>
          <w:tcPr>
            <w:tcW w:w="4913" w:type="dxa"/>
            <w:vMerge w:val="restart"/>
            <w:vAlign w:val="center"/>
          </w:tcPr>
          <w:p w14:paraId="767BA1BE" w14:textId="77777777" w:rsidR="00497902" w:rsidRPr="007F1C63" w:rsidRDefault="00497902"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14:paraId="7FF8E18B" w14:textId="77777777" w:rsidR="00497902" w:rsidRPr="007F1C63" w:rsidRDefault="00497902" w:rsidP="00497902">
            <w:pPr>
              <w:ind w:left="0"/>
              <w:jc w:val="center"/>
              <w:rPr>
                <w:sz w:val="20"/>
                <w:szCs w:val="20"/>
              </w:rPr>
            </w:pPr>
            <w:r>
              <w:rPr>
                <w:sz w:val="20"/>
                <w:szCs w:val="20"/>
              </w:rPr>
              <w:t>045</w:t>
            </w:r>
          </w:p>
        </w:tc>
        <w:tc>
          <w:tcPr>
            <w:tcW w:w="2039" w:type="dxa"/>
            <w:vAlign w:val="center"/>
          </w:tcPr>
          <w:p w14:paraId="09F18484" w14:textId="48EDAC86" w:rsidR="00497902" w:rsidRPr="007F1C63" w:rsidRDefault="009D2D07" w:rsidP="009D2D07">
            <w:pPr>
              <w:ind w:left="0"/>
              <w:jc w:val="right"/>
              <w:rPr>
                <w:sz w:val="20"/>
                <w:szCs w:val="20"/>
              </w:rPr>
            </w:pPr>
            <w:r>
              <w:rPr>
                <w:sz w:val="18"/>
                <w:szCs w:val="18"/>
              </w:rPr>
              <w:t>20 673 550</w:t>
            </w:r>
          </w:p>
        </w:tc>
      </w:tr>
      <w:tr w:rsidR="00497902" w:rsidRPr="007F1C63" w14:paraId="33FC238E" w14:textId="77777777" w:rsidTr="005A4951">
        <w:trPr>
          <w:trHeight w:val="284"/>
          <w:jc w:val="center"/>
        </w:trPr>
        <w:tc>
          <w:tcPr>
            <w:tcW w:w="4913" w:type="dxa"/>
            <w:vMerge/>
            <w:vAlign w:val="center"/>
          </w:tcPr>
          <w:p w14:paraId="60382C87" w14:textId="77777777" w:rsidR="00497902" w:rsidRPr="007F1C63" w:rsidRDefault="00497902" w:rsidP="007F1C63">
            <w:pPr>
              <w:ind w:left="0"/>
              <w:rPr>
                <w:sz w:val="20"/>
                <w:szCs w:val="20"/>
              </w:rPr>
            </w:pPr>
          </w:p>
        </w:tc>
        <w:tc>
          <w:tcPr>
            <w:tcW w:w="2120" w:type="dxa"/>
            <w:vAlign w:val="center"/>
          </w:tcPr>
          <w:p w14:paraId="6611324C" w14:textId="77777777" w:rsidR="00497902" w:rsidRPr="007F1C63" w:rsidRDefault="00497902" w:rsidP="007F1C63">
            <w:pPr>
              <w:ind w:left="0"/>
              <w:jc w:val="center"/>
              <w:rPr>
                <w:sz w:val="20"/>
                <w:szCs w:val="20"/>
              </w:rPr>
            </w:pPr>
            <w:r>
              <w:rPr>
                <w:sz w:val="20"/>
                <w:szCs w:val="20"/>
              </w:rPr>
              <w:t>046</w:t>
            </w:r>
          </w:p>
        </w:tc>
        <w:tc>
          <w:tcPr>
            <w:tcW w:w="2039" w:type="dxa"/>
            <w:vAlign w:val="center"/>
          </w:tcPr>
          <w:p w14:paraId="3CC38618" w14:textId="3AFF4B12" w:rsidR="00497902" w:rsidRPr="007F1C63" w:rsidRDefault="00497902" w:rsidP="005A4951">
            <w:pPr>
              <w:ind w:left="0"/>
              <w:jc w:val="right"/>
              <w:rPr>
                <w:sz w:val="20"/>
                <w:szCs w:val="20"/>
              </w:rPr>
            </w:pPr>
            <w:r w:rsidRPr="00117C9D">
              <w:rPr>
                <w:sz w:val="18"/>
                <w:szCs w:val="18"/>
              </w:rPr>
              <w:t>8</w:t>
            </w:r>
            <w:r>
              <w:rPr>
                <w:sz w:val="18"/>
                <w:szCs w:val="18"/>
              </w:rPr>
              <w:t> </w:t>
            </w:r>
            <w:r w:rsidRPr="00117C9D">
              <w:rPr>
                <w:sz w:val="18"/>
                <w:szCs w:val="18"/>
              </w:rPr>
              <w:t>500</w:t>
            </w:r>
            <w:r>
              <w:rPr>
                <w:sz w:val="18"/>
                <w:szCs w:val="18"/>
              </w:rPr>
              <w:t> </w:t>
            </w:r>
            <w:r w:rsidRPr="00117C9D">
              <w:rPr>
                <w:sz w:val="18"/>
                <w:szCs w:val="18"/>
              </w:rPr>
              <w:t>000</w:t>
            </w:r>
          </w:p>
        </w:tc>
      </w:tr>
      <w:tr w:rsidR="00497902" w:rsidRPr="007F1C63" w14:paraId="4CC8F313" w14:textId="77777777" w:rsidTr="005A4951">
        <w:trPr>
          <w:trHeight w:val="284"/>
          <w:jc w:val="center"/>
        </w:trPr>
        <w:tc>
          <w:tcPr>
            <w:tcW w:w="4913" w:type="dxa"/>
            <w:vMerge/>
            <w:vAlign w:val="center"/>
          </w:tcPr>
          <w:p w14:paraId="6AECDA72" w14:textId="77777777" w:rsidR="00497902" w:rsidRPr="007F1C63" w:rsidRDefault="00497902" w:rsidP="007F1C63">
            <w:pPr>
              <w:ind w:left="0"/>
              <w:rPr>
                <w:sz w:val="20"/>
                <w:szCs w:val="20"/>
              </w:rPr>
            </w:pPr>
          </w:p>
        </w:tc>
        <w:tc>
          <w:tcPr>
            <w:tcW w:w="2120" w:type="dxa"/>
            <w:vAlign w:val="center"/>
          </w:tcPr>
          <w:p w14:paraId="1B853BC8" w14:textId="77777777" w:rsidR="00497902" w:rsidRPr="007F1C63" w:rsidRDefault="00497902" w:rsidP="007F1C63">
            <w:pPr>
              <w:ind w:left="0"/>
              <w:jc w:val="center"/>
              <w:rPr>
                <w:sz w:val="20"/>
                <w:szCs w:val="20"/>
              </w:rPr>
            </w:pPr>
            <w:r w:rsidRPr="007F1C63">
              <w:rPr>
                <w:sz w:val="20"/>
                <w:szCs w:val="20"/>
              </w:rPr>
              <w:t>0</w:t>
            </w:r>
            <w:r>
              <w:rPr>
                <w:sz w:val="20"/>
                <w:szCs w:val="20"/>
              </w:rPr>
              <w:t>48</w:t>
            </w:r>
          </w:p>
        </w:tc>
        <w:tc>
          <w:tcPr>
            <w:tcW w:w="2039" w:type="dxa"/>
            <w:vAlign w:val="center"/>
          </w:tcPr>
          <w:p w14:paraId="61531E94" w14:textId="77777777" w:rsidR="00497902" w:rsidRPr="007F1C63" w:rsidRDefault="005B7B57" w:rsidP="005A4951">
            <w:pPr>
              <w:ind w:left="0"/>
              <w:jc w:val="right"/>
              <w:rPr>
                <w:sz w:val="20"/>
                <w:szCs w:val="20"/>
              </w:rPr>
            </w:pPr>
            <w:r>
              <w:rPr>
                <w:sz w:val="18"/>
                <w:szCs w:val="18"/>
              </w:rPr>
              <w:t>180 004 581</w:t>
            </w:r>
          </w:p>
        </w:tc>
      </w:tr>
      <w:tr w:rsidR="00497902" w:rsidRPr="007F1C63" w14:paraId="14B5112E" w14:textId="77777777" w:rsidTr="005A4951">
        <w:trPr>
          <w:trHeight w:val="284"/>
          <w:jc w:val="center"/>
        </w:trPr>
        <w:tc>
          <w:tcPr>
            <w:tcW w:w="4913" w:type="dxa"/>
            <w:vMerge/>
            <w:vAlign w:val="center"/>
          </w:tcPr>
          <w:p w14:paraId="5421FB8A" w14:textId="77777777" w:rsidR="00497902" w:rsidRPr="007F1C63" w:rsidRDefault="00497902" w:rsidP="007F1C63">
            <w:pPr>
              <w:ind w:left="0"/>
              <w:rPr>
                <w:sz w:val="20"/>
                <w:szCs w:val="20"/>
              </w:rPr>
            </w:pPr>
          </w:p>
        </w:tc>
        <w:tc>
          <w:tcPr>
            <w:tcW w:w="2120" w:type="dxa"/>
            <w:vAlign w:val="center"/>
          </w:tcPr>
          <w:p w14:paraId="36BBBC98" w14:textId="77777777" w:rsidR="00497902" w:rsidRPr="007F1C63" w:rsidRDefault="00497902" w:rsidP="00F5520F">
            <w:pPr>
              <w:ind w:left="0"/>
              <w:jc w:val="center"/>
              <w:rPr>
                <w:sz w:val="20"/>
                <w:szCs w:val="20"/>
              </w:rPr>
            </w:pPr>
            <w:r>
              <w:rPr>
                <w:sz w:val="20"/>
                <w:szCs w:val="20"/>
              </w:rPr>
              <w:t>07</w:t>
            </w:r>
            <w:r w:rsidR="00F5520F">
              <w:rPr>
                <w:sz w:val="20"/>
                <w:szCs w:val="20"/>
              </w:rPr>
              <w:t>8</w:t>
            </w:r>
          </w:p>
        </w:tc>
        <w:tc>
          <w:tcPr>
            <w:tcW w:w="2039" w:type="dxa"/>
            <w:vAlign w:val="center"/>
          </w:tcPr>
          <w:p w14:paraId="5B3ED66E" w14:textId="77777777" w:rsidR="00497902" w:rsidRPr="007F1C63" w:rsidRDefault="005B7B57" w:rsidP="005A4951">
            <w:pPr>
              <w:ind w:left="0"/>
              <w:jc w:val="right"/>
              <w:rPr>
                <w:sz w:val="20"/>
                <w:szCs w:val="20"/>
              </w:rPr>
            </w:pPr>
            <w:r>
              <w:rPr>
                <w:sz w:val="18"/>
                <w:szCs w:val="18"/>
              </w:rPr>
              <w:t>352 459 516</w:t>
            </w:r>
          </w:p>
        </w:tc>
      </w:tr>
      <w:tr w:rsidR="00497902" w:rsidRPr="007F1C63" w14:paraId="13438DC3" w14:textId="77777777" w:rsidTr="005A4951">
        <w:trPr>
          <w:trHeight w:val="284"/>
          <w:jc w:val="center"/>
        </w:trPr>
        <w:tc>
          <w:tcPr>
            <w:tcW w:w="4913" w:type="dxa"/>
            <w:vMerge/>
            <w:vAlign w:val="center"/>
          </w:tcPr>
          <w:p w14:paraId="0160D5AD" w14:textId="77777777" w:rsidR="00497902" w:rsidRPr="007F1C63" w:rsidRDefault="00497902" w:rsidP="007F1C63">
            <w:pPr>
              <w:rPr>
                <w:sz w:val="20"/>
                <w:szCs w:val="20"/>
              </w:rPr>
            </w:pPr>
          </w:p>
        </w:tc>
        <w:tc>
          <w:tcPr>
            <w:tcW w:w="2120" w:type="dxa"/>
            <w:vAlign w:val="center"/>
          </w:tcPr>
          <w:p w14:paraId="7AF1F7A8" w14:textId="77777777" w:rsidR="00E92F9B" w:rsidRDefault="00F5520F" w:rsidP="0096667C">
            <w:pPr>
              <w:ind w:left="0"/>
              <w:jc w:val="center"/>
              <w:rPr>
                <w:sz w:val="20"/>
                <w:szCs w:val="20"/>
              </w:rPr>
            </w:pPr>
            <w:r>
              <w:rPr>
                <w:sz w:val="20"/>
                <w:szCs w:val="20"/>
              </w:rPr>
              <w:t>079</w:t>
            </w:r>
          </w:p>
        </w:tc>
        <w:tc>
          <w:tcPr>
            <w:tcW w:w="2039" w:type="dxa"/>
            <w:vAlign w:val="center"/>
          </w:tcPr>
          <w:p w14:paraId="2FB6CF82" w14:textId="6EEFB712" w:rsidR="00E92F9B" w:rsidRDefault="005B7B57" w:rsidP="005A4951">
            <w:pPr>
              <w:ind w:left="0"/>
              <w:jc w:val="right"/>
              <w:rPr>
                <w:sz w:val="20"/>
                <w:szCs w:val="20"/>
              </w:rPr>
            </w:pPr>
            <w:r>
              <w:rPr>
                <w:sz w:val="18"/>
                <w:szCs w:val="18"/>
              </w:rPr>
              <w:t>45 301 460</w:t>
            </w:r>
          </w:p>
        </w:tc>
      </w:tr>
      <w:tr w:rsidR="00497902" w:rsidRPr="007F1C63" w14:paraId="20952B9F" w14:textId="77777777" w:rsidTr="005A4951">
        <w:trPr>
          <w:trHeight w:val="284"/>
          <w:jc w:val="center"/>
        </w:trPr>
        <w:tc>
          <w:tcPr>
            <w:tcW w:w="4913" w:type="dxa"/>
            <w:vMerge/>
            <w:vAlign w:val="center"/>
          </w:tcPr>
          <w:p w14:paraId="21A23C05" w14:textId="77777777" w:rsidR="00497902" w:rsidRPr="007F1C63" w:rsidRDefault="00497902" w:rsidP="007F1C63">
            <w:pPr>
              <w:rPr>
                <w:sz w:val="20"/>
                <w:szCs w:val="20"/>
              </w:rPr>
            </w:pPr>
          </w:p>
        </w:tc>
        <w:tc>
          <w:tcPr>
            <w:tcW w:w="2120" w:type="dxa"/>
            <w:vAlign w:val="center"/>
          </w:tcPr>
          <w:p w14:paraId="67E55EE9" w14:textId="77777777" w:rsidR="00E92F9B" w:rsidRDefault="00F5520F" w:rsidP="0096667C">
            <w:pPr>
              <w:ind w:left="0"/>
              <w:jc w:val="center"/>
              <w:rPr>
                <w:sz w:val="20"/>
                <w:szCs w:val="20"/>
              </w:rPr>
            </w:pPr>
            <w:r>
              <w:rPr>
                <w:sz w:val="20"/>
                <w:szCs w:val="20"/>
              </w:rPr>
              <w:t>080</w:t>
            </w:r>
          </w:p>
        </w:tc>
        <w:tc>
          <w:tcPr>
            <w:tcW w:w="2039" w:type="dxa"/>
            <w:vAlign w:val="center"/>
          </w:tcPr>
          <w:p w14:paraId="6576FB57" w14:textId="7D4F1CF4" w:rsidR="00E92F9B" w:rsidRDefault="005B7B57" w:rsidP="005A4951">
            <w:pPr>
              <w:ind w:left="0"/>
              <w:jc w:val="right"/>
              <w:rPr>
                <w:sz w:val="20"/>
                <w:szCs w:val="20"/>
              </w:rPr>
            </w:pPr>
            <w:r>
              <w:rPr>
                <w:sz w:val="18"/>
                <w:szCs w:val="18"/>
              </w:rPr>
              <w:t>50 000 398</w:t>
            </w:r>
          </w:p>
        </w:tc>
      </w:tr>
      <w:tr w:rsidR="00497902" w:rsidRPr="007F1C63" w14:paraId="1ECEE7C1" w14:textId="77777777" w:rsidTr="005A4951">
        <w:trPr>
          <w:trHeight w:val="284"/>
          <w:jc w:val="center"/>
        </w:trPr>
        <w:tc>
          <w:tcPr>
            <w:tcW w:w="4913" w:type="dxa"/>
            <w:vMerge/>
            <w:vAlign w:val="center"/>
          </w:tcPr>
          <w:p w14:paraId="15B745A3" w14:textId="77777777" w:rsidR="00497902" w:rsidRPr="007F1C63" w:rsidRDefault="00497902" w:rsidP="007F1C63">
            <w:pPr>
              <w:rPr>
                <w:sz w:val="20"/>
                <w:szCs w:val="20"/>
              </w:rPr>
            </w:pPr>
          </w:p>
        </w:tc>
        <w:tc>
          <w:tcPr>
            <w:tcW w:w="2120" w:type="dxa"/>
            <w:vAlign w:val="center"/>
          </w:tcPr>
          <w:p w14:paraId="32F72DA5" w14:textId="77777777" w:rsidR="00E92F9B" w:rsidRDefault="00F5520F" w:rsidP="0096667C">
            <w:pPr>
              <w:ind w:left="0"/>
              <w:jc w:val="center"/>
              <w:rPr>
                <w:sz w:val="20"/>
                <w:szCs w:val="20"/>
              </w:rPr>
            </w:pPr>
            <w:r>
              <w:rPr>
                <w:sz w:val="20"/>
                <w:szCs w:val="20"/>
              </w:rPr>
              <w:t>081</w:t>
            </w:r>
          </w:p>
        </w:tc>
        <w:tc>
          <w:tcPr>
            <w:tcW w:w="2039" w:type="dxa"/>
            <w:vAlign w:val="center"/>
          </w:tcPr>
          <w:p w14:paraId="4F9EEBF5" w14:textId="5F16C0BD" w:rsidR="00E92F9B" w:rsidRDefault="005B7B57" w:rsidP="005A4951">
            <w:pPr>
              <w:ind w:left="0"/>
              <w:jc w:val="right"/>
              <w:rPr>
                <w:sz w:val="20"/>
                <w:szCs w:val="20"/>
              </w:rPr>
            </w:pPr>
            <w:r>
              <w:rPr>
                <w:sz w:val="18"/>
                <w:szCs w:val="18"/>
              </w:rPr>
              <w:t>70 000 598</w:t>
            </w:r>
          </w:p>
        </w:tc>
      </w:tr>
      <w:tr w:rsidR="00497902" w:rsidRPr="007F1C63" w14:paraId="64EB4144" w14:textId="77777777" w:rsidTr="005A4951">
        <w:trPr>
          <w:trHeight w:val="284"/>
          <w:jc w:val="center"/>
        </w:trPr>
        <w:tc>
          <w:tcPr>
            <w:tcW w:w="4913" w:type="dxa"/>
            <w:vMerge/>
            <w:vAlign w:val="center"/>
          </w:tcPr>
          <w:p w14:paraId="029D911D" w14:textId="77777777" w:rsidR="00497902" w:rsidRPr="007F1C63" w:rsidRDefault="00497902" w:rsidP="007F1C63">
            <w:pPr>
              <w:rPr>
                <w:sz w:val="20"/>
                <w:szCs w:val="20"/>
              </w:rPr>
            </w:pPr>
          </w:p>
        </w:tc>
        <w:tc>
          <w:tcPr>
            <w:tcW w:w="2120" w:type="dxa"/>
            <w:vAlign w:val="center"/>
          </w:tcPr>
          <w:p w14:paraId="71D4A946" w14:textId="77777777" w:rsidR="00E92F9B" w:rsidRDefault="00F5520F" w:rsidP="0096667C">
            <w:pPr>
              <w:ind w:left="0"/>
              <w:jc w:val="center"/>
              <w:rPr>
                <w:sz w:val="20"/>
                <w:szCs w:val="20"/>
              </w:rPr>
            </w:pPr>
            <w:r>
              <w:rPr>
                <w:sz w:val="20"/>
                <w:szCs w:val="20"/>
              </w:rPr>
              <w:t>082</w:t>
            </w:r>
          </w:p>
        </w:tc>
        <w:tc>
          <w:tcPr>
            <w:tcW w:w="2039" w:type="dxa"/>
            <w:vAlign w:val="center"/>
          </w:tcPr>
          <w:p w14:paraId="066ED4ED" w14:textId="06ECF57F" w:rsidR="00E92F9B" w:rsidRDefault="00497902" w:rsidP="005A4951">
            <w:pPr>
              <w:ind w:left="0"/>
              <w:jc w:val="right"/>
              <w:rPr>
                <w:sz w:val="20"/>
                <w:szCs w:val="20"/>
              </w:rPr>
            </w:pPr>
            <w:r>
              <w:rPr>
                <w:sz w:val="18"/>
                <w:szCs w:val="18"/>
              </w:rPr>
              <w:t>10 000 199</w:t>
            </w:r>
          </w:p>
        </w:tc>
      </w:tr>
    </w:tbl>
    <w:p w14:paraId="570B210C"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0E210CE3" w14:textId="77777777" w:rsidTr="00497902">
        <w:trPr>
          <w:trHeight w:val="255"/>
          <w:jc w:val="center"/>
        </w:trPr>
        <w:tc>
          <w:tcPr>
            <w:tcW w:w="9072" w:type="dxa"/>
            <w:gridSpan w:val="3"/>
            <w:shd w:val="clear" w:color="auto" w:fill="DBE5F1" w:themeFill="accent1" w:themeFillTint="33"/>
            <w:vAlign w:val="center"/>
          </w:tcPr>
          <w:p w14:paraId="4C1649FB" w14:textId="77777777" w:rsidR="007F1C63" w:rsidRPr="007F1C63" w:rsidRDefault="007F1C63" w:rsidP="007F1C63">
            <w:pPr>
              <w:ind w:left="0"/>
              <w:rPr>
                <w:color w:val="000000"/>
                <w:sz w:val="20"/>
                <w:szCs w:val="20"/>
              </w:rPr>
            </w:pPr>
            <w:r w:rsidRPr="007F1C63">
              <w:rPr>
                <w:b/>
                <w:bCs/>
                <w:color w:val="000000"/>
                <w:sz w:val="20"/>
                <w:szCs w:val="20"/>
              </w:rPr>
              <w:t xml:space="preserve">Rozmer 2 – Forma financovania </w:t>
            </w:r>
          </w:p>
        </w:tc>
      </w:tr>
      <w:tr w:rsidR="007F1C63" w:rsidRPr="007F1C63" w14:paraId="48BB5557" w14:textId="77777777" w:rsidTr="00497902">
        <w:trPr>
          <w:trHeight w:val="255"/>
          <w:jc w:val="center"/>
        </w:trPr>
        <w:tc>
          <w:tcPr>
            <w:tcW w:w="4913" w:type="dxa"/>
            <w:shd w:val="clear" w:color="auto" w:fill="DBE5F1" w:themeFill="accent1" w:themeFillTint="33"/>
            <w:vAlign w:val="center"/>
          </w:tcPr>
          <w:p w14:paraId="24F806C1"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14:paraId="5A27ECFC"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3E2B6796" w14:textId="77777777" w:rsidTr="00497902">
        <w:trPr>
          <w:trHeight w:val="255"/>
          <w:jc w:val="center"/>
        </w:trPr>
        <w:tc>
          <w:tcPr>
            <w:tcW w:w="4913" w:type="dxa"/>
            <w:shd w:val="clear" w:color="auto" w:fill="DBE5F1" w:themeFill="accent1" w:themeFillTint="33"/>
            <w:vAlign w:val="center"/>
          </w:tcPr>
          <w:p w14:paraId="55C5C39F" w14:textId="77777777"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14:paraId="1EEE7C83"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591595AE" w14:textId="77777777" w:rsidTr="00497902">
        <w:trPr>
          <w:trHeight w:val="255"/>
          <w:jc w:val="center"/>
        </w:trPr>
        <w:tc>
          <w:tcPr>
            <w:tcW w:w="4913" w:type="dxa"/>
            <w:vAlign w:val="center"/>
          </w:tcPr>
          <w:p w14:paraId="2231AF99" w14:textId="77777777"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14:paraId="672A4CB5" w14:textId="77777777"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14:paraId="5CCDAA92" w14:textId="77777777" w:rsidR="007F1C63" w:rsidRPr="007F1C63" w:rsidRDefault="007F1C63" w:rsidP="007F1C63">
            <w:pPr>
              <w:ind w:left="0"/>
              <w:jc w:val="center"/>
              <w:rPr>
                <w:b/>
                <w:sz w:val="20"/>
                <w:szCs w:val="20"/>
              </w:rPr>
            </w:pPr>
            <w:r w:rsidRPr="007F1C63">
              <w:rPr>
                <w:b/>
                <w:sz w:val="20"/>
                <w:szCs w:val="20"/>
              </w:rPr>
              <w:t>Suma (v EUR)</w:t>
            </w:r>
          </w:p>
        </w:tc>
      </w:tr>
      <w:tr w:rsidR="00AF57EB" w:rsidRPr="007F1C63" w14:paraId="36B44087" w14:textId="77777777" w:rsidTr="00497902">
        <w:trPr>
          <w:trHeight w:val="255"/>
          <w:jc w:val="center"/>
        </w:trPr>
        <w:tc>
          <w:tcPr>
            <w:tcW w:w="4913" w:type="dxa"/>
            <w:vAlign w:val="center"/>
          </w:tcPr>
          <w:p w14:paraId="2C1C0A9B" w14:textId="77777777" w:rsidR="00AF57EB" w:rsidRPr="007F1C63" w:rsidRDefault="00AF57EB"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14:paraId="4ACFA058" w14:textId="77777777" w:rsidR="00AF57EB" w:rsidRPr="007F1C63" w:rsidRDefault="00AF57EB" w:rsidP="007F1C63">
            <w:pPr>
              <w:ind w:left="0"/>
              <w:jc w:val="center"/>
              <w:rPr>
                <w:sz w:val="20"/>
                <w:szCs w:val="20"/>
              </w:rPr>
            </w:pPr>
            <w:r w:rsidRPr="007F1C63">
              <w:rPr>
                <w:sz w:val="20"/>
                <w:szCs w:val="20"/>
              </w:rPr>
              <w:t>01</w:t>
            </w:r>
          </w:p>
        </w:tc>
        <w:tc>
          <w:tcPr>
            <w:tcW w:w="2039" w:type="dxa"/>
            <w:vAlign w:val="center"/>
          </w:tcPr>
          <w:p w14:paraId="1A47271D" w14:textId="61007322" w:rsidR="00AF57EB" w:rsidRPr="007F1C63" w:rsidRDefault="009D2D07" w:rsidP="009D2D07">
            <w:pPr>
              <w:ind w:left="0"/>
              <w:jc w:val="right"/>
              <w:rPr>
                <w:sz w:val="20"/>
                <w:szCs w:val="20"/>
              </w:rPr>
            </w:pPr>
            <w:r>
              <w:rPr>
                <w:sz w:val="18"/>
                <w:szCs w:val="18"/>
              </w:rPr>
              <w:t>736 940 302</w:t>
            </w:r>
          </w:p>
        </w:tc>
      </w:tr>
    </w:tbl>
    <w:p w14:paraId="3C1C4F56"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51017069" w14:textId="77777777" w:rsidTr="007F1C63">
        <w:trPr>
          <w:trHeight w:val="255"/>
          <w:jc w:val="center"/>
        </w:trPr>
        <w:tc>
          <w:tcPr>
            <w:tcW w:w="9072" w:type="dxa"/>
            <w:gridSpan w:val="3"/>
            <w:shd w:val="clear" w:color="auto" w:fill="DBE5F1" w:themeFill="accent1" w:themeFillTint="33"/>
            <w:vAlign w:val="center"/>
          </w:tcPr>
          <w:p w14:paraId="251C7D58" w14:textId="77777777" w:rsidR="007F1C63" w:rsidRPr="007F1C63" w:rsidRDefault="007F1C63" w:rsidP="007F1C63">
            <w:pPr>
              <w:ind w:left="0"/>
              <w:rPr>
                <w:color w:val="000000"/>
                <w:sz w:val="20"/>
                <w:szCs w:val="20"/>
              </w:rPr>
            </w:pPr>
            <w:r w:rsidRPr="007F1C63">
              <w:rPr>
                <w:b/>
                <w:bCs/>
                <w:color w:val="000000"/>
                <w:sz w:val="20"/>
                <w:szCs w:val="20"/>
              </w:rPr>
              <w:t xml:space="preserve">Rozmer 3 – Druh územia </w:t>
            </w:r>
          </w:p>
        </w:tc>
      </w:tr>
      <w:tr w:rsidR="007F1C63" w:rsidRPr="007F1C63" w14:paraId="77F92B27" w14:textId="77777777" w:rsidTr="007F1C63">
        <w:trPr>
          <w:trHeight w:val="255"/>
          <w:jc w:val="center"/>
        </w:trPr>
        <w:tc>
          <w:tcPr>
            <w:tcW w:w="4913" w:type="dxa"/>
            <w:shd w:val="clear" w:color="auto" w:fill="DBE5F1" w:themeFill="accent1" w:themeFillTint="33"/>
            <w:vAlign w:val="center"/>
          </w:tcPr>
          <w:p w14:paraId="3F424503"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14:paraId="6C5E47E6"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79354963" w14:textId="77777777" w:rsidTr="007F1C63">
        <w:trPr>
          <w:trHeight w:val="255"/>
          <w:jc w:val="center"/>
        </w:trPr>
        <w:tc>
          <w:tcPr>
            <w:tcW w:w="4913" w:type="dxa"/>
            <w:shd w:val="clear" w:color="auto" w:fill="DBE5F1" w:themeFill="accent1" w:themeFillTint="33"/>
            <w:vAlign w:val="center"/>
          </w:tcPr>
          <w:p w14:paraId="2CF966E3" w14:textId="77777777"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14:paraId="76ECE5B5"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70F80BBE" w14:textId="77777777" w:rsidTr="007F1C63">
        <w:trPr>
          <w:trHeight w:val="255"/>
          <w:jc w:val="center"/>
        </w:trPr>
        <w:tc>
          <w:tcPr>
            <w:tcW w:w="4913" w:type="dxa"/>
            <w:vAlign w:val="center"/>
          </w:tcPr>
          <w:p w14:paraId="0C4D45E4" w14:textId="77777777"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14:paraId="0B7EF71A" w14:textId="77777777"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14:paraId="20DA478F" w14:textId="77777777" w:rsidR="007F1C63" w:rsidRPr="007F1C63" w:rsidRDefault="007F1C63" w:rsidP="007F1C63">
            <w:pPr>
              <w:ind w:left="0"/>
              <w:jc w:val="center"/>
              <w:rPr>
                <w:b/>
                <w:sz w:val="20"/>
                <w:szCs w:val="20"/>
              </w:rPr>
            </w:pPr>
            <w:r w:rsidRPr="007F1C63">
              <w:rPr>
                <w:b/>
                <w:sz w:val="20"/>
                <w:szCs w:val="20"/>
              </w:rPr>
              <w:t>Suma (v EUR)</w:t>
            </w:r>
          </w:p>
        </w:tc>
      </w:tr>
      <w:tr w:rsidR="00497902" w:rsidRPr="007F1C63" w14:paraId="699EB6CB" w14:textId="77777777" w:rsidTr="007F1C63">
        <w:trPr>
          <w:trHeight w:val="255"/>
          <w:jc w:val="center"/>
        </w:trPr>
        <w:tc>
          <w:tcPr>
            <w:tcW w:w="4913" w:type="dxa"/>
            <w:vMerge w:val="restart"/>
            <w:vAlign w:val="center"/>
          </w:tcPr>
          <w:p w14:paraId="76E76D35" w14:textId="77777777" w:rsidR="00497902" w:rsidRPr="007F1C63" w:rsidRDefault="00497902"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14:paraId="27558DC1" w14:textId="77777777" w:rsidR="00497902" w:rsidRPr="007F1C63" w:rsidRDefault="00497902" w:rsidP="007F1C63">
            <w:pPr>
              <w:ind w:left="0"/>
              <w:jc w:val="center"/>
              <w:rPr>
                <w:sz w:val="20"/>
                <w:szCs w:val="20"/>
              </w:rPr>
            </w:pPr>
            <w:r>
              <w:rPr>
                <w:sz w:val="20"/>
                <w:szCs w:val="20"/>
              </w:rPr>
              <w:t>0</w:t>
            </w:r>
            <w:r w:rsidR="00283128">
              <w:rPr>
                <w:sz w:val="20"/>
                <w:szCs w:val="20"/>
              </w:rPr>
              <w:t>7</w:t>
            </w:r>
          </w:p>
        </w:tc>
        <w:tc>
          <w:tcPr>
            <w:tcW w:w="2039" w:type="dxa"/>
            <w:vAlign w:val="center"/>
          </w:tcPr>
          <w:p w14:paraId="182BF690" w14:textId="77777777" w:rsidR="00497902" w:rsidRPr="007F1C63" w:rsidRDefault="00AF57EB" w:rsidP="005A4951">
            <w:pPr>
              <w:ind w:left="0"/>
              <w:jc w:val="right"/>
              <w:rPr>
                <w:sz w:val="20"/>
                <w:szCs w:val="20"/>
                <w:lang w:val="en-US"/>
              </w:rPr>
            </w:pPr>
            <w:r>
              <w:rPr>
                <w:sz w:val="18"/>
                <w:szCs w:val="18"/>
              </w:rPr>
              <w:t>707 766 752</w:t>
            </w:r>
          </w:p>
        </w:tc>
      </w:tr>
      <w:tr w:rsidR="00497902" w:rsidRPr="007F1C63" w14:paraId="1E6CE760" w14:textId="77777777" w:rsidTr="007F1C63">
        <w:trPr>
          <w:trHeight w:val="255"/>
          <w:jc w:val="center"/>
        </w:trPr>
        <w:tc>
          <w:tcPr>
            <w:tcW w:w="4913" w:type="dxa"/>
            <w:vMerge/>
            <w:vAlign w:val="center"/>
          </w:tcPr>
          <w:p w14:paraId="08D78AB4" w14:textId="77777777" w:rsidR="00497902" w:rsidRPr="007F1C63" w:rsidRDefault="00497902" w:rsidP="00497902">
            <w:pPr>
              <w:rPr>
                <w:sz w:val="20"/>
                <w:szCs w:val="20"/>
              </w:rPr>
            </w:pPr>
          </w:p>
        </w:tc>
        <w:tc>
          <w:tcPr>
            <w:tcW w:w="2120" w:type="dxa"/>
            <w:vAlign w:val="center"/>
          </w:tcPr>
          <w:p w14:paraId="4FF0BFA8" w14:textId="77777777" w:rsidR="00E92F9B" w:rsidRDefault="00283128" w:rsidP="0096667C">
            <w:pPr>
              <w:ind w:left="0"/>
              <w:jc w:val="center"/>
              <w:rPr>
                <w:sz w:val="20"/>
                <w:szCs w:val="20"/>
              </w:rPr>
            </w:pPr>
            <w:r w:rsidRPr="002B39CB">
              <w:rPr>
                <w:sz w:val="20"/>
                <w:szCs w:val="20"/>
              </w:rPr>
              <w:t>0</w:t>
            </w:r>
            <w:r w:rsidR="006F04CA" w:rsidRPr="002B39CB">
              <w:rPr>
                <w:sz w:val="20"/>
                <w:szCs w:val="20"/>
              </w:rPr>
              <w:t>3</w:t>
            </w:r>
          </w:p>
        </w:tc>
        <w:tc>
          <w:tcPr>
            <w:tcW w:w="2039" w:type="dxa"/>
            <w:vAlign w:val="center"/>
          </w:tcPr>
          <w:p w14:paraId="61F56692" w14:textId="694DD31D" w:rsidR="00E92F9B" w:rsidRDefault="009D2D07" w:rsidP="009D2D07">
            <w:pPr>
              <w:ind w:left="0"/>
              <w:jc w:val="right"/>
              <w:rPr>
                <w:sz w:val="18"/>
                <w:szCs w:val="18"/>
              </w:rPr>
            </w:pPr>
            <w:r>
              <w:rPr>
                <w:sz w:val="18"/>
                <w:szCs w:val="18"/>
              </w:rPr>
              <w:t>29 173 550</w:t>
            </w:r>
          </w:p>
        </w:tc>
      </w:tr>
    </w:tbl>
    <w:p w14:paraId="52F51CC6"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47037285" w14:textId="77777777" w:rsidTr="007F1C63">
        <w:trPr>
          <w:trHeight w:val="255"/>
          <w:jc w:val="center"/>
        </w:trPr>
        <w:tc>
          <w:tcPr>
            <w:tcW w:w="9098" w:type="dxa"/>
            <w:gridSpan w:val="3"/>
            <w:shd w:val="clear" w:color="auto" w:fill="DBE5F1" w:themeFill="accent1" w:themeFillTint="33"/>
            <w:vAlign w:val="center"/>
          </w:tcPr>
          <w:p w14:paraId="205DBC09" w14:textId="77777777" w:rsidR="007F1C63" w:rsidRPr="007F1C63" w:rsidRDefault="007F1C63" w:rsidP="007F1C63">
            <w:pPr>
              <w:ind w:left="0"/>
              <w:rPr>
                <w:b/>
                <w:bCs/>
                <w:color w:val="000000"/>
                <w:sz w:val="20"/>
                <w:szCs w:val="20"/>
              </w:rPr>
            </w:pPr>
            <w:r w:rsidRPr="007F1C63">
              <w:rPr>
                <w:b/>
                <w:bCs/>
                <w:color w:val="000000"/>
                <w:sz w:val="20"/>
                <w:szCs w:val="20"/>
              </w:rPr>
              <w:t>Rozmer 4 – Územné mechanizmy realizácie</w:t>
            </w:r>
          </w:p>
        </w:tc>
      </w:tr>
      <w:tr w:rsidR="007F1C63" w:rsidRPr="007F1C63" w14:paraId="5E8BF515" w14:textId="77777777" w:rsidTr="007F1C63">
        <w:trPr>
          <w:trHeight w:val="255"/>
          <w:jc w:val="center"/>
        </w:trPr>
        <w:tc>
          <w:tcPr>
            <w:tcW w:w="4928" w:type="dxa"/>
            <w:shd w:val="clear" w:color="auto" w:fill="DBE5F1" w:themeFill="accent1" w:themeFillTint="33"/>
            <w:vAlign w:val="center"/>
          </w:tcPr>
          <w:p w14:paraId="6A4D3C91"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70" w:type="dxa"/>
            <w:gridSpan w:val="2"/>
            <w:shd w:val="clear" w:color="auto" w:fill="DBE5F1" w:themeFill="accent1" w:themeFillTint="33"/>
            <w:vAlign w:val="center"/>
          </w:tcPr>
          <w:p w14:paraId="3019883A"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065F1809" w14:textId="77777777" w:rsidTr="007F1C63">
        <w:trPr>
          <w:trHeight w:val="255"/>
          <w:jc w:val="center"/>
        </w:trPr>
        <w:tc>
          <w:tcPr>
            <w:tcW w:w="4928" w:type="dxa"/>
            <w:shd w:val="clear" w:color="auto" w:fill="DBE5F1" w:themeFill="accent1" w:themeFillTint="33"/>
            <w:vAlign w:val="center"/>
          </w:tcPr>
          <w:p w14:paraId="3A460291" w14:textId="77777777" w:rsidR="007F1C63" w:rsidRPr="007F1C63" w:rsidRDefault="007F1C63" w:rsidP="007F1C63">
            <w:pPr>
              <w:ind w:left="0"/>
              <w:rPr>
                <w:sz w:val="20"/>
                <w:szCs w:val="20"/>
              </w:rPr>
            </w:pPr>
            <w:r w:rsidRPr="007F1C63">
              <w:rPr>
                <w:b/>
                <w:bCs/>
                <w:color w:val="000000"/>
                <w:sz w:val="20"/>
                <w:szCs w:val="20"/>
              </w:rPr>
              <w:t>Kategória regiónu</w:t>
            </w:r>
          </w:p>
        </w:tc>
        <w:tc>
          <w:tcPr>
            <w:tcW w:w="4170" w:type="dxa"/>
            <w:gridSpan w:val="2"/>
            <w:shd w:val="clear" w:color="auto" w:fill="DBE5F1" w:themeFill="accent1" w:themeFillTint="33"/>
            <w:vAlign w:val="center"/>
          </w:tcPr>
          <w:p w14:paraId="2ADD49A5"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11A7984B" w14:textId="77777777" w:rsidTr="007F1C63">
        <w:trPr>
          <w:trHeight w:val="255"/>
          <w:jc w:val="center"/>
        </w:trPr>
        <w:tc>
          <w:tcPr>
            <w:tcW w:w="4928" w:type="dxa"/>
            <w:vAlign w:val="center"/>
          </w:tcPr>
          <w:p w14:paraId="0929C3A0" w14:textId="77777777" w:rsidR="007F1C63" w:rsidRPr="007F1C63" w:rsidRDefault="007F1C63" w:rsidP="007F1C63">
            <w:pPr>
              <w:ind w:left="0"/>
              <w:jc w:val="center"/>
              <w:rPr>
                <w:b/>
                <w:sz w:val="20"/>
                <w:szCs w:val="20"/>
              </w:rPr>
            </w:pPr>
            <w:r w:rsidRPr="007F1C63">
              <w:rPr>
                <w:b/>
                <w:sz w:val="20"/>
                <w:szCs w:val="20"/>
              </w:rPr>
              <w:t>Prioritná os</w:t>
            </w:r>
          </w:p>
        </w:tc>
        <w:tc>
          <w:tcPr>
            <w:tcW w:w="2126" w:type="dxa"/>
            <w:vAlign w:val="center"/>
          </w:tcPr>
          <w:p w14:paraId="22428700" w14:textId="77777777" w:rsidR="007F1C63" w:rsidRPr="007F1C63" w:rsidRDefault="007F1C63" w:rsidP="007F1C63">
            <w:pPr>
              <w:ind w:left="0"/>
              <w:jc w:val="center"/>
              <w:rPr>
                <w:b/>
                <w:sz w:val="20"/>
                <w:szCs w:val="20"/>
              </w:rPr>
            </w:pPr>
            <w:r w:rsidRPr="007F1C63">
              <w:rPr>
                <w:b/>
                <w:sz w:val="20"/>
                <w:szCs w:val="20"/>
              </w:rPr>
              <w:t>Kód</w:t>
            </w:r>
          </w:p>
        </w:tc>
        <w:tc>
          <w:tcPr>
            <w:tcW w:w="2044" w:type="dxa"/>
            <w:vAlign w:val="center"/>
          </w:tcPr>
          <w:p w14:paraId="6D41D57A" w14:textId="77777777" w:rsidR="007F1C63" w:rsidRPr="007F1C63" w:rsidRDefault="007F1C63" w:rsidP="007F1C63">
            <w:pPr>
              <w:ind w:left="0"/>
              <w:jc w:val="center"/>
              <w:rPr>
                <w:b/>
                <w:sz w:val="20"/>
                <w:szCs w:val="20"/>
              </w:rPr>
            </w:pPr>
            <w:r w:rsidRPr="007F1C63">
              <w:rPr>
                <w:b/>
                <w:sz w:val="20"/>
                <w:szCs w:val="20"/>
              </w:rPr>
              <w:t>Suma (v EUR)</w:t>
            </w:r>
          </w:p>
        </w:tc>
      </w:tr>
      <w:tr w:rsidR="007F1C63" w:rsidRPr="007F1C63" w14:paraId="11F5706F" w14:textId="77777777" w:rsidTr="007F1C63">
        <w:trPr>
          <w:trHeight w:val="255"/>
          <w:jc w:val="center"/>
        </w:trPr>
        <w:tc>
          <w:tcPr>
            <w:tcW w:w="4928" w:type="dxa"/>
            <w:vAlign w:val="center"/>
          </w:tcPr>
          <w:p w14:paraId="658A292B" w14:textId="77777777" w:rsidR="007F1C63" w:rsidRPr="007F1C63" w:rsidRDefault="007F1C63" w:rsidP="00497902">
            <w:pPr>
              <w:ind w:left="0"/>
              <w:rPr>
                <w:sz w:val="20"/>
                <w:szCs w:val="20"/>
              </w:rPr>
            </w:pPr>
            <w:r w:rsidRPr="007F1C63">
              <w:rPr>
                <w:sz w:val="20"/>
                <w:szCs w:val="20"/>
              </w:rPr>
              <w:lastRenderedPageBreak/>
              <w:t xml:space="preserve">Prioritná os </w:t>
            </w:r>
            <w:r w:rsidR="00497902">
              <w:rPr>
                <w:sz w:val="20"/>
                <w:szCs w:val="20"/>
              </w:rPr>
              <w:t>7</w:t>
            </w:r>
            <w:r w:rsidR="00497902" w:rsidRPr="007F1C63">
              <w:rPr>
                <w:sz w:val="20"/>
                <w:szCs w:val="20"/>
              </w:rPr>
              <w:t xml:space="preserve"> – </w:t>
            </w:r>
            <w:r w:rsidR="00497902">
              <w:rPr>
                <w:sz w:val="20"/>
                <w:szCs w:val="20"/>
              </w:rPr>
              <w:t>Informačná spoločnosť</w:t>
            </w:r>
          </w:p>
        </w:tc>
        <w:tc>
          <w:tcPr>
            <w:tcW w:w="2126" w:type="dxa"/>
            <w:vAlign w:val="center"/>
          </w:tcPr>
          <w:p w14:paraId="005A521B" w14:textId="77777777" w:rsidR="007F1C63" w:rsidRPr="007F1C63" w:rsidRDefault="00497902" w:rsidP="007F1C63">
            <w:pPr>
              <w:ind w:left="0"/>
              <w:jc w:val="center"/>
              <w:rPr>
                <w:sz w:val="20"/>
                <w:szCs w:val="20"/>
              </w:rPr>
            </w:pPr>
            <w:r>
              <w:rPr>
                <w:sz w:val="20"/>
                <w:szCs w:val="20"/>
              </w:rPr>
              <w:t>0</w:t>
            </w:r>
            <w:r w:rsidR="00283128">
              <w:rPr>
                <w:sz w:val="20"/>
                <w:szCs w:val="20"/>
              </w:rPr>
              <w:t>7</w:t>
            </w:r>
          </w:p>
        </w:tc>
        <w:tc>
          <w:tcPr>
            <w:tcW w:w="2044" w:type="dxa"/>
            <w:vAlign w:val="center"/>
          </w:tcPr>
          <w:p w14:paraId="240C9679" w14:textId="69A8F1B9" w:rsidR="007F1C63" w:rsidRPr="007F1C63" w:rsidRDefault="009D2D07" w:rsidP="009D2D07">
            <w:pPr>
              <w:ind w:left="0"/>
              <w:jc w:val="right"/>
              <w:rPr>
                <w:sz w:val="20"/>
                <w:szCs w:val="20"/>
                <w:lang w:val="en-US"/>
              </w:rPr>
            </w:pPr>
            <w:r>
              <w:rPr>
                <w:sz w:val="18"/>
                <w:szCs w:val="18"/>
              </w:rPr>
              <w:t>736 940 302</w:t>
            </w:r>
          </w:p>
        </w:tc>
      </w:tr>
    </w:tbl>
    <w:p w14:paraId="0FE71756" w14:textId="77777777" w:rsidR="007F1C63" w:rsidRPr="007F1C63" w:rsidRDefault="007F1C63" w:rsidP="002C1444">
      <w:pPr>
        <w:pStyle w:val="Nadpis3"/>
        <w:tabs>
          <w:tab w:val="clear" w:pos="709"/>
          <w:tab w:val="clear" w:pos="851"/>
        </w:tabs>
        <w:jc w:val="both"/>
      </w:pPr>
      <w:bookmarkStart w:id="71" w:name="_Toc28951631"/>
      <w:r w:rsidRPr="007F1C63">
        <w:t>Súhrn plánovaného využitia technickej pomoci vrátane, ak je to vhodné, akcií na posilnenie administratívnej kapacity orgánov zapojených do riadenia a kontroly programu a prijímateľov (ak je to vhodné)</w:t>
      </w:r>
      <w:bookmarkEnd w:id="71"/>
    </w:p>
    <w:p w14:paraId="2F76FCE2" w14:textId="39A45848" w:rsidR="00E549BB" w:rsidRDefault="005B7B57" w:rsidP="00E549BB">
      <w:pPr>
        <w:jc w:val="both"/>
        <w:rPr>
          <w:sz w:val="22"/>
          <w:szCs w:val="22"/>
        </w:rPr>
      </w:pPr>
      <w:r w:rsidRPr="005B7B57">
        <w:rPr>
          <w:sz w:val="22"/>
          <w:szCs w:val="22"/>
        </w:rPr>
        <w:t>V rámci prípravy písomných vyzvaní a projektových žiadostí bude zo strany SORO definovaná povinnosť pre prijímateľa vyčleniť určitú časť oprávnených výdavkov projektu na zabezpečenie kvalitného riadenia projektov vrátane povinnosti prijímateľa vyčleniť 3 % oprávnených výdavkov projektu pre implementáciu štandardov riadenia informačno - technologických projektov, ktoré zabezpečia aktívnu participáciu na riadení projektov a komplexné riadenie budovania informačnej spoločnosti</w:t>
      </w:r>
      <w:r w:rsidR="00D2755E">
        <w:rPr>
          <w:sz w:val="22"/>
          <w:szCs w:val="22"/>
        </w:rPr>
        <w:t xml:space="preserve"> a publicity</w:t>
      </w:r>
      <w:r w:rsidRPr="005B7B57">
        <w:rPr>
          <w:sz w:val="22"/>
          <w:szCs w:val="22"/>
        </w:rPr>
        <w:t>.</w:t>
      </w:r>
    </w:p>
    <w:p w14:paraId="02D03E40" w14:textId="77777777" w:rsidR="007F1C63" w:rsidRDefault="007F1C63" w:rsidP="007F1C63">
      <w:pPr>
        <w:rPr>
          <w:sz w:val="22"/>
          <w:szCs w:val="22"/>
        </w:rPr>
      </w:pPr>
    </w:p>
    <w:p w14:paraId="09F0D00E" w14:textId="77777777" w:rsidR="0022234B" w:rsidRDefault="0022234B" w:rsidP="007F1C63">
      <w:pPr>
        <w:rPr>
          <w:sz w:val="22"/>
          <w:szCs w:val="22"/>
        </w:rPr>
      </w:pPr>
    </w:p>
    <w:p w14:paraId="766A6268" w14:textId="77777777" w:rsidR="0022234B" w:rsidRDefault="0022234B" w:rsidP="0022234B">
      <w:pPr>
        <w:pStyle w:val="PRIORITNA"/>
        <w:numPr>
          <w:ilvl w:val="0"/>
          <w:numId w:val="0"/>
        </w:numPr>
        <w:rPr>
          <w:iCs w:val="0"/>
          <w:color w:val="1F497D" w:themeColor="text2"/>
          <w:sz w:val="22"/>
          <w:szCs w:val="26"/>
        </w:rPr>
        <w:sectPr w:rsidR="0022234B" w:rsidSect="00D1658B">
          <w:headerReference w:type="default" r:id="rId30"/>
          <w:pgSz w:w="11906" w:h="16838"/>
          <w:pgMar w:top="1418" w:right="1361" w:bottom="1304" w:left="1474" w:header="709" w:footer="709" w:gutter="0"/>
          <w:cols w:space="708"/>
          <w:docGrid w:linePitch="360"/>
        </w:sectPr>
      </w:pPr>
    </w:p>
    <w:p w14:paraId="6A4E1EE3" w14:textId="77777777" w:rsidR="0022234B" w:rsidRPr="008E22E0" w:rsidRDefault="0022234B" w:rsidP="0022234B">
      <w:pPr>
        <w:pStyle w:val="PRIORITNA"/>
        <w:numPr>
          <w:ilvl w:val="0"/>
          <w:numId w:val="0"/>
        </w:numPr>
        <w:rPr>
          <w:iCs w:val="0"/>
          <w:color w:val="1F497D" w:themeColor="text2"/>
          <w:sz w:val="22"/>
          <w:szCs w:val="26"/>
        </w:rPr>
      </w:pPr>
      <w:bookmarkStart w:id="72" w:name="_Toc28951632"/>
      <w:r w:rsidRPr="008E22E0">
        <w:rPr>
          <w:iCs w:val="0"/>
          <w:color w:val="1F497D" w:themeColor="text2"/>
          <w:sz w:val="22"/>
          <w:szCs w:val="26"/>
        </w:rPr>
        <w:lastRenderedPageBreak/>
        <w:t xml:space="preserve">Popis prioritných osí </w:t>
      </w:r>
      <w:r w:rsidR="00262A8A">
        <w:rPr>
          <w:iCs w:val="0"/>
          <w:color w:val="1F497D" w:themeColor="text2"/>
          <w:sz w:val="22"/>
          <w:szCs w:val="26"/>
        </w:rPr>
        <w:t>pre technickú pomoc</w:t>
      </w:r>
      <w:bookmarkEnd w:id="72"/>
    </w:p>
    <w:p w14:paraId="5203E9C4" w14:textId="77777777" w:rsidR="0022234B" w:rsidRDefault="0022234B" w:rsidP="0022234B">
      <w:pPr>
        <w:pStyle w:val="Nadpis2"/>
      </w:pPr>
      <w:bookmarkStart w:id="73" w:name="_Toc28951633"/>
      <w:r>
        <w:t xml:space="preserve">Prioritná os </w:t>
      </w:r>
      <w:r w:rsidR="00441642">
        <w:t>8</w:t>
      </w:r>
      <w:r>
        <w:t xml:space="preserve"> – </w:t>
      </w:r>
      <w:r w:rsidR="00441642">
        <w:t>Technická pomoc</w:t>
      </w:r>
      <w:bookmarkEnd w:id="73"/>
    </w:p>
    <w:tbl>
      <w:tblPr>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960BB9" w:rsidRPr="00B0529F" w14:paraId="46F3A695" w14:textId="77777777" w:rsidTr="00EF2741">
        <w:trPr>
          <w:trHeight w:val="284"/>
          <w:jc w:val="center"/>
        </w:trPr>
        <w:tc>
          <w:tcPr>
            <w:tcW w:w="4396" w:type="dxa"/>
            <w:shd w:val="clear" w:color="auto" w:fill="DBE5F1"/>
            <w:vAlign w:val="center"/>
          </w:tcPr>
          <w:p w14:paraId="7B2BF557" w14:textId="77777777" w:rsidR="00960BB9" w:rsidRPr="00B0529F" w:rsidRDefault="00960BB9" w:rsidP="00EF2741">
            <w:pPr>
              <w:jc w:val="both"/>
            </w:pPr>
            <w:r w:rsidRPr="00B0529F">
              <w:rPr>
                <w:b/>
                <w:i/>
              </w:rPr>
              <w:t>ID prioritnej osi</w:t>
            </w:r>
          </w:p>
        </w:tc>
        <w:tc>
          <w:tcPr>
            <w:tcW w:w="3542" w:type="dxa"/>
            <w:shd w:val="clear" w:color="auto" w:fill="auto"/>
            <w:vAlign w:val="center"/>
          </w:tcPr>
          <w:p w14:paraId="60701572" w14:textId="77777777" w:rsidR="00960BB9" w:rsidRPr="00756D41" w:rsidRDefault="00756D41" w:rsidP="00EF2741">
            <w:pPr>
              <w:jc w:val="both"/>
              <w:rPr>
                <w:b/>
                <w:bCs/>
                <w:iCs/>
                <w:color w:val="4F81BD" w:themeColor="accent1"/>
              </w:rPr>
            </w:pPr>
            <w:r w:rsidRPr="00756D41">
              <w:rPr>
                <w:b/>
                <w:bCs/>
                <w:iCs/>
                <w:color w:val="4F81BD" w:themeColor="accent1"/>
              </w:rPr>
              <w:t>8</w:t>
            </w:r>
          </w:p>
        </w:tc>
      </w:tr>
      <w:tr w:rsidR="00960BB9" w:rsidRPr="00B0529F" w14:paraId="4A0A314B" w14:textId="77777777" w:rsidTr="00EF2741">
        <w:trPr>
          <w:trHeight w:val="284"/>
          <w:jc w:val="center"/>
        </w:trPr>
        <w:tc>
          <w:tcPr>
            <w:tcW w:w="4396" w:type="dxa"/>
            <w:shd w:val="clear" w:color="auto" w:fill="DBE5F1"/>
            <w:vAlign w:val="center"/>
          </w:tcPr>
          <w:p w14:paraId="0C4A78C0" w14:textId="77777777" w:rsidR="00960BB9" w:rsidRPr="00B0529F" w:rsidRDefault="00960BB9" w:rsidP="00EF2741">
            <w:pPr>
              <w:jc w:val="both"/>
              <w:rPr>
                <w:b/>
                <w:i/>
              </w:rPr>
            </w:pPr>
            <w:r w:rsidRPr="00B0529F">
              <w:rPr>
                <w:b/>
                <w:i/>
              </w:rPr>
              <w:t>Názov prioritnej osi</w:t>
            </w:r>
          </w:p>
        </w:tc>
        <w:tc>
          <w:tcPr>
            <w:tcW w:w="3542" w:type="dxa"/>
            <w:shd w:val="clear" w:color="auto" w:fill="auto"/>
            <w:vAlign w:val="center"/>
          </w:tcPr>
          <w:p w14:paraId="20071054" w14:textId="77777777" w:rsidR="00960BB9" w:rsidRPr="00B0529F" w:rsidRDefault="00960BB9" w:rsidP="00EF2741">
            <w:pPr>
              <w:jc w:val="both"/>
            </w:pPr>
            <w:r w:rsidRPr="00B0529F">
              <w:t>Technická pomoc</w:t>
            </w:r>
          </w:p>
        </w:tc>
      </w:tr>
    </w:tbl>
    <w:p w14:paraId="0411EEBB" w14:textId="77777777" w:rsidR="00960BB9" w:rsidRDefault="00960BB9" w:rsidP="00960BB9">
      <w:pPr>
        <w:pStyle w:val="Nadpis3"/>
      </w:pPr>
      <w:bookmarkStart w:id="74" w:name="_Toc383719715"/>
      <w:bookmarkStart w:id="75" w:name="_Toc28951634"/>
      <w:r>
        <w:t>Fond, kategória regiónu a základ pre výpočet podpory Únie</w:t>
      </w:r>
      <w:bookmarkEnd w:id="74"/>
      <w:bookmarkEnd w:id="75"/>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82"/>
        <w:gridCol w:w="3556"/>
      </w:tblGrid>
      <w:tr w:rsidR="00960BB9" w14:paraId="3F2E5CD3" w14:textId="77777777" w:rsidTr="00354629">
        <w:trPr>
          <w:trHeight w:val="255"/>
          <w:jc w:val="center"/>
        </w:trPr>
        <w:tc>
          <w:tcPr>
            <w:tcW w:w="4309" w:type="dxa"/>
            <w:shd w:val="clear" w:color="auto" w:fill="DBE5F1" w:themeFill="accent1" w:themeFillTint="33"/>
            <w:vAlign w:val="center"/>
          </w:tcPr>
          <w:p w14:paraId="3F001F4D" w14:textId="77777777" w:rsidR="00960BB9" w:rsidRPr="00D75844" w:rsidRDefault="00960BB9" w:rsidP="00EF2741">
            <w:pPr>
              <w:ind w:left="0"/>
              <w:rPr>
                <w:b/>
                <w:i/>
                <w:sz w:val="20"/>
                <w:szCs w:val="20"/>
              </w:rPr>
            </w:pPr>
            <w:r w:rsidRPr="00D75844">
              <w:rPr>
                <w:b/>
                <w:i/>
                <w:sz w:val="20"/>
                <w:szCs w:val="20"/>
              </w:rPr>
              <w:t>Fond</w:t>
            </w:r>
          </w:p>
        </w:tc>
        <w:tc>
          <w:tcPr>
            <w:tcW w:w="3496" w:type="dxa"/>
            <w:vAlign w:val="center"/>
          </w:tcPr>
          <w:p w14:paraId="02BD9CA0" w14:textId="77777777" w:rsidR="00960BB9" w:rsidRPr="00D75844" w:rsidRDefault="00960BB9" w:rsidP="00EF2741">
            <w:pPr>
              <w:ind w:left="0"/>
              <w:rPr>
                <w:sz w:val="20"/>
                <w:szCs w:val="20"/>
              </w:rPr>
            </w:pPr>
            <w:r w:rsidRPr="00D75844">
              <w:rPr>
                <w:sz w:val="20"/>
                <w:szCs w:val="20"/>
              </w:rPr>
              <w:t>EFRR</w:t>
            </w:r>
          </w:p>
        </w:tc>
      </w:tr>
      <w:tr w:rsidR="00960BB9" w14:paraId="6B473CB2" w14:textId="77777777" w:rsidTr="00354629">
        <w:trPr>
          <w:trHeight w:val="255"/>
          <w:jc w:val="center"/>
        </w:trPr>
        <w:tc>
          <w:tcPr>
            <w:tcW w:w="4309" w:type="dxa"/>
            <w:shd w:val="clear" w:color="auto" w:fill="DBE5F1" w:themeFill="accent1" w:themeFillTint="33"/>
            <w:vAlign w:val="center"/>
          </w:tcPr>
          <w:p w14:paraId="70ABD50E" w14:textId="77777777" w:rsidR="00960BB9" w:rsidRPr="00D75844" w:rsidRDefault="00960BB9" w:rsidP="00EF2741">
            <w:pPr>
              <w:ind w:left="0"/>
              <w:rPr>
                <w:b/>
                <w:i/>
                <w:sz w:val="20"/>
                <w:szCs w:val="20"/>
              </w:rPr>
            </w:pPr>
            <w:r w:rsidRPr="00D75844">
              <w:rPr>
                <w:b/>
                <w:i/>
                <w:sz w:val="20"/>
                <w:szCs w:val="20"/>
              </w:rPr>
              <w:t>Kategória regiónu</w:t>
            </w:r>
          </w:p>
        </w:tc>
        <w:tc>
          <w:tcPr>
            <w:tcW w:w="3496" w:type="dxa"/>
            <w:vAlign w:val="center"/>
          </w:tcPr>
          <w:p w14:paraId="0B197918" w14:textId="77777777" w:rsidR="00960BB9" w:rsidRPr="00D75844" w:rsidRDefault="00DB6A0D" w:rsidP="00EF2741">
            <w:pPr>
              <w:ind w:left="0"/>
              <w:rPr>
                <w:sz w:val="20"/>
                <w:szCs w:val="20"/>
              </w:rPr>
            </w:pPr>
            <w:r>
              <w:rPr>
                <w:sz w:val="20"/>
                <w:szCs w:val="20"/>
              </w:rPr>
              <w:t>Menej rozvinutý</w:t>
            </w:r>
          </w:p>
        </w:tc>
      </w:tr>
      <w:tr w:rsidR="00960BB9" w14:paraId="67D98526" w14:textId="77777777" w:rsidTr="00354629">
        <w:trPr>
          <w:trHeight w:val="255"/>
          <w:jc w:val="center"/>
        </w:trPr>
        <w:tc>
          <w:tcPr>
            <w:tcW w:w="4309" w:type="dxa"/>
            <w:shd w:val="clear" w:color="auto" w:fill="DBE5F1" w:themeFill="accent1" w:themeFillTint="33"/>
            <w:vAlign w:val="center"/>
          </w:tcPr>
          <w:p w14:paraId="26F07499" w14:textId="77777777" w:rsidR="00960BB9" w:rsidRPr="00D75844" w:rsidRDefault="00960BB9" w:rsidP="00EF2741">
            <w:pPr>
              <w:ind w:left="0"/>
              <w:rPr>
                <w:b/>
                <w:i/>
                <w:sz w:val="20"/>
                <w:szCs w:val="20"/>
              </w:rPr>
            </w:pPr>
            <w:r w:rsidRPr="00D75844">
              <w:rPr>
                <w:b/>
                <w:i/>
                <w:sz w:val="20"/>
                <w:szCs w:val="20"/>
              </w:rPr>
              <w:t>Základ pre výpočet (celkový príspevok)</w:t>
            </w:r>
          </w:p>
        </w:tc>
        <w:tc>
          <w:tcPr>
            <w:tcW w:w="3496" w:type="dxa"/>
            <w:vAlign w:val="center"/>
          </w:tcPr>
          <w:p w14:paraId="71B5D5D7" w14:textId="77777777" w:rsidR="00960BB9" w:rsidRPr="00D75844" w:rsidRDefault="008618A8" w:rsidP="00EF2741">
            <w:pPr>
              <w:ind w:left="0"/>
              <w:rPr>
                <w:sz w:val="20"/>
                <w:szCs w:val="20"/>
                <w:lang w:val="en-US"/>
              </w:rPr>
            </w:pPr>
            <w:r>
              <w:rPr>
                <w:sz w:val="20"/>
                <w:szCs w:val="20"/>
                <w:lang w:val="en-US"/>
              </w:rPr>
              <w:t>102 352 942</w:t>
            </w:r>
            <w:r w:rsidR="00B675C3">
              <w:rPr>
                <w:sz w:val="20"/>
                <w:szCs w:val="20"/>
                <w:lang w:val="en-US"/>
              </w:rPr>
              <w:t xml:space="preserve"> EUR</w:t>
            </w:r>
          </w:p>
        </w:tc>
      </w:tr>
    </w:tbl>
    <w:p w14:paraId="1ED60050" w14:textId="77777777" w:rsidR="00960BB9" w:rsidRDefault="00960BB9" w:rsidP="00960BB9">
      <w:pPr>
        <w:pStyle w:val="Nadpis3"/>
      </w:pPr>
      <w:bookmarkStart w:id="76" w:name="_Toc383719716"/>
      <w:bookmarkStart w:id="77" w:name="_Toc28951635"/>
      <w:r w:rsidRPr="007A5492">
        <w:t>Špecifické ciele pre investičné priority a očakávané výsledky</w:t>
      </w:r>
      <w:bookmarkEnd w:id="76"/>
      <w:bookmarkEnd w:id="77"/>
    </w:p>
    <w:p w14:paraId="12D6BA0F" w14:textId="77777777" w:rsidR="00960BB9" w:rsidRPr="004F0234" w:rsidRDefault="00960BB9" w:rsidP="002E1021">
      <w:pPr>
        <w:shd w:val="clear" w:color="auto" w:fill="FFFFCC"/>
        <w:jc w:val="both"/>
        <w:rPr>
          <w:b/>
          <w:i/>
        </w:rPr>
      </w:pPr>
      <w:r w:rsidRPr="004F0234">
        <w:rPr>
          <w:i/>
        </w:rPr>
        <w:t xml:space="preserve">ŠPECIFICKÝ CIEĽ </w:t>
      </w:r>
      <w:r>
        <w:rPr>
          <w:i/>
        </w:rPr>
        <w:t>8.1</w:t>
      </w:r>
      <w:r w:rsidRPr="004F0234">
        <w:rPr>
          <w:i/>
        </w:rPr>
        <w:t xml:space="preserve">: </w:t>
      </w:r>
      <w:r w:rsidR="00CD60F7" w:rsidRPr="00CD60F7">
        <w:rPr>
          <w:b/>
          <w:i/>
        </w:rPr>
        <w:t>Podpora efektívnej implementácie OP</w:t>
      </w:r>
      <w:r w:rsidR="00CD60F7">
        <w:rPr>
          <w:b/>
          <w:i/>
        </w:rPr>
        <w:t xml:space="preserve"> </w:t>
      </w:r>
    </w:p>
    <w:p w14:paraId="52AC7F61" w14:textId="77777777" w:rsidR="005E1717" w:rsidRPr="004D0123" w:rsidRDefault="005E1717" w:rsidP="00124090">
      <w:pPr>
        <w:spacing w:before="180"/>
        <w:jc w:val="both"/>
        <w:rPr>
          <w:sz w:val="22"/>
          <w:szCs w:val="22"/>
        </w:rPr>
      </w:pPr>
      <w:r w:rsidRPr="004D0123">
        <w:rPr>
          <w:sz w:val="22"/>
          <w:szCs w:val="22"/>
        </w:rPr>
        <w:t xml:space="preserve">Cieľom prioritnej osi 8 je podporiť kvalitu implementácie OP tak, aby boli dosiahnuté všetky ciele </w:t>
      </w:r>
      <w:r w:rsidR="00F8353E">
        <w:rPr>
          <w:sz w:val="22"/>
          <w:szCs w:val="22"/>
        </w:rPr>
        <w:t>stanovené pre dopravu a informačnú spoločnosť.</w:t>
      </w:r>
    </w:p>
    <w:p w14:paraId="3E9F9357" w14:textId="77777777" w:rsidR="005E1717" w:rsidRPr="004D0123" w:rsidRDefault="005E1717" w:rsidP="005E1717">
      <w:pPr>
        <w:spacing w:before="180"/>
        <w:jc w:val="both"/>
        <w:rPr>
          <w:sz w:val="22"/>
          <w:szCs w:val="22"/>
        </w:rPr>
      </w:pPr>
      <w:r w:rsidRPr="004D0123">
        <w:rPr>
          <w:sz w:val="22"/>
          <w:szCs w:val="22"/>
        </w:rPr>
        <w:t>Naplnenie cieľov jednotlivých prioritných osí bude podporené zabezpečením procesov na všet</w:t>
      </w:r>
      <w:r>
        <w:rPr>
          <w:sz w:val="22"/>
          <w:szCs w:val="22"/>
        </w:rPr>
        <w:t>kých úrovniach implementácie OP</w:t>
      </w:r>
      <w:r w:rsidRPr="004D0123">
        <w:rPr>
          <w:sz w:val="22"/>
          <w:szCs w:val="22"/>
        </w:rPr>
        <w:t xml:space="preserve"> (príprava, riadenie, monitorovanie, hodnotenie, informovanie a komunikácia, budovanie sietí, riešenie sťažností, kontrola a audit) a to podporou útvarov</w:t>
      </w:r>
      <w:r>
        <w:rPr>
          <w:sz w:val="22"/>
          <w:szCs w:val="22"/>
        </w:rPr>
        <w:t xml:space="preserve"> zapojených do implementácie OP</w:t>
      </w:r>
      <w:r w:rsidRPr="004D0123">
        <w:rPr>
          <w:sz w:val="22"/>
          <w:szCs w:val="22"/>
        </w:rPr>
        <w:t xml:space="preserve"> na úrovni riadiacich a kontrolných</w:t>
      </w:r>
      <w:r>
        <w:rPr>
          <w:sz w:val="22"/>
          <w:szCs w:val="22"/>
        </w:rPr>
        <w:t xml:space="preserve"> orgánov (Riadiaci orgán pre OPII, SORO, Platobná jednotka RO/SORO pre OPII</w:t>
      </w:r>
      <w:r w:rsidRPr="004D0123">
        <w:rPr>
          <w:sz w:val="22"/>
          <w:szCs w:val="22"/>
        </w:rPr>
        <w:t xml:space="preserve">, </w:t>
      </w:r>
      <w:r>
        <w:rPr>
          <w:sz w:val="22"/>
          <w:szCs w:val="22"/>
        </w:rPr>
        <w:t xml:space="preserve">vnútorná </w:t>
      </w:r>
      <w:r w:rsidRPr="004D0123">
        <w:rPr>
          <w:sz w:val="22"/>
          <w:szCs w:val="22"/>
        </w:rPr>
        <w:t>kontrola a</w:t>
      </w:r>
      <w:r>
        <w:rPr>
          <w:sz w:val="22"/>
          <w:szCs w:val="22"/>
        </w:rPr>
        <w:t xml:space="preserve"> vnútorný</w:t>
      </w:r>
      <w:r w:rsidR="002C1444">
        <w:rPr>
          <w:sz w:val="22"/>
          <w:szCs w:val="22"/>
        </w:rPr>
        <w:t xml:space="preserve"> audit), ako aj podporou na </w:t>
      </w:r>
      <w:r w:rsidRPr="004D0123">
        <w:rPr>
          <w:sz w:val="22"/>
          <w:szCs w:val="22"/>
        </w:rPr>
        <w:t>úrovni oprávnených prijímateľov.</w:t>
      </w:r>
    </w:p>
    <w:p w14:paraId="72ACCD39" w14:textId="210982FC" w:rsidR="007957D3" w:rsidRPr="002B0776" w:rsidRDefault="005E1717" w:rsidP="003D110A">
      <w:pPr>
        <w:spacing w:before="180"/>
        <w:jc w:val="both"/>
        <w:rPr>
          <w:sz w:val="22"/>
          <w:szCs w:val="22"/>
        </w:rPr>
      </w:pPr>
      <w:r w:rsidRPr="004D0123">
        <w:rPr>
          <w:sz w:val="22"/>
          <w:szCs w:val="22"/>
        </w:rPr>
        <w:t>Aktivity spojené s dosahovaním špecifických cieľov prioritnej osi 8 a s nimi súvisiace typy výdavkov budú oprávnené aj pre prípravu budúceho programového obdobia a ukončovanie pomoci programového obdobia 2007 - 2013.</w:t>
      </w:r>
      <w:r w:rsidR="00E23A27">
        <w:rPr>
          <w:sz w:val="22"/>
          <w:szCs w:val="22"/>
        </w:rPr>
        <w:t xml:space="preserve"> </w:t>
      </w:r>
      <w:r w:rsidR="003D110A">
        <w:rPr>
          <w:sz w:val="22"/>
          <w:szCs w:val="22"/>
        </w:rPr>
        <w:t>(pozri Prílohu 21)</w:t>
      </w:r>
    </w:p>
    <w:p w14:paraId="6A49EDE1" w14:textId="77777777" w:rsidR="007D42F2" w:rsidRDefault="005E1717" w:rsidP="005E1717">
      <w:pPr>
        <w:spacing w:before="180"/>
        <w:jc w:val="both"/>
        <w:rPr>
          <w:sz w:val="22"/>
          <w:szCs w:val="22"/>
        </w:rPr>
      </w:pPr>
      <w:r>
        <w:rPr>
          <w:sz w:val="22"/>
          <w:szCs w:val="22"/>
        </w:rPr>
        <w:t>Prioritná os 8 má ambíciu vytvoriť také podmienky v rámci RO pre OPII, ktoré zabezpečia úspešnú implementáciu OPII na dvoch úrovniach. Prvou úrovňou je prispenie k zlepšeniu samotnej prípravy a realizácie investičných projektov a druhou úrovňou je prispenie k zlepšeniu riadiacich a kontrolných procesov v rámci OPII. Špecifikom daného operačného programu je objektívna náročnosť prípravy a realizácie veľkých investičných projektov, pri ktorých musia byť splnené mnohé náročné podmienky z environmentálneho, legislatívneho či strategického hľadiska. Preto Prioritná os 8 kladie veľký dôraz na zabezpečenie kvalitnej a dostatočnej personálnej kapacity, ktorá má k dispozícií potrebné podmienky ku kvalitnému výkonu. Základným predpokladom úspešnej implementácie operačného programu je stabilizácia administratívnych kapacít spolu s adekvátnym technickým a technologických zázemím. Dôležité je aj začlenenie odborných kapacít z externého prostredia- štúdií, analýz, hodnotení, konzultačných služieb čím sa podporí kvalita implementácie OP prostredníctvom výmeny a zdieľania nových informácií a poznatkov.</w:t>
      </w:r>
      <w:r w:rsidR="007D42F2">
        <w:rPr>
          <w:sz w:val="22"/>
          <w:szCs w:val="22"/>
        </w:rPr>
        <w:t xml:space="preserve"> </w:t>
      </w:r>
      <w:r>
        <w:rPr>
          <w:sz w:val="22"/>
          <w:szCs w:val="22"/>
        </w:rPr>
        <w:t xml:space="preserve">Súbor týchto opatrení má prispieť k zvýšeniu celkovej úspešnosti implementácie jednotlivých projektov. </w:t>
      </w:r>
    </w:p>
    <w:p w14:paraId="3137B96A" w14:textId="77777777" w:rsidR="005E1717" w:rsidRDefault="005E1717" w:rsidP="005E1717">
      <w:pPr>
        <w:spacing w:before="180"/>
        <w:jc w:val="both"/>
        <w:rPr>
          <w:sz w:val="22"/>
          <w:szCs w:val="22"/>
        </w:rPr>
      </w:pPr>
      <w:r>
        <w:rPr>
          <w:sz w:val="22"/>
          <w:szCs w:val="22"/>
        </w:rPr>
        <w:t>Na základe skúseností z predošlého programového obdobia bude zvýšená pozornosť venovaná podpore prijímateľa v procese implementácie projektov. Ako kľúčový faktor plynulosti implementácie projektov bol zo strany RO identifikovaný proces spracovávania žiadostí o platbu. V rámci všetkých prioritných osí operačného programu budú sledované termíny</w:t>
      </w:r>
      <w:r w:rsidR="007D42F2">
        <w:rPr>
          <w:sz w:val="22"/>
          <w:szCs w:val="22"/>
        </w:rPr>
        <w:t xml:space="preserve"> schvaľovania žiadostí o platbu.</w:t>
      </w:r>
    </w:p>
    <w:p w14:paraId="41D0E7D5" w14:textId="77777777" w:rsidR="005E1717" w:rsidRPr="001C0F5B" w:rsidRDefault="005E1717" w:rsidP="005E1717">
      <w:pPr>
        <w:spacing w:before="180"/>
        <w:jc w:val="both"/>
        <w:rPr>
          <w:sz w:val="22"/>
          <w:szCs w:val="22"/>
        </w:rPr>
      </w:pPr>
      <w:r w:rsidRPr="009D7D54">
        <w:rPr>
          <w:sz w:val="22"/>
          <w:szCs w:val="22"/>
        </w:rPr>
        <w:t>Protikorupčné opatrenia a opatrenia proti podvodom v súlade s </w:t>
      </w:r>
      <w:r>
        <w:rPr>
          <w:sz w:val="22"/>
          <w:szCs w:val="22"/>
        </w:rPr>
        <w:t>č</w:t>
      </w:r>
      <w:r w:rsidRPr="009D7D54">
        <w:rPr>
          <w:sz w:val="22"/>
          <w:szCs w:val="22"/>
        </w:rPr>
        <w:t xml:space="preserve">lánkom 125 (4)(c) </w:t>
      </w:r>
      <w:r w:rsidRPr="001C0F5B">
        <w:rPr>
          <w:sz w:val="22"/>
          <w:szCs w:val="22"/>
        </w:rPr>
        <w:t xml:space="preserve">CPR budú </w:t>
      </w:r>
      <w:r w:rsidRPr="00CF2C83">
        <w:rPr>
          <w:sz w:val="22"/>
          <w:szCs w:val="22"/>
        </w:rPr>
        <w:t xml:space="preserve">definované CKO. Takisto </w:t>
      </w:r>
      <w:r w:rsidR="007D42F2">
        <w:rPr>
          <w:sz w:val="22"/>
          <w:szCs w:val="22"/>
        </w:rPr>
        <w:t xml:space="preserve">tieto </w:t>
      </w:r>
      <w:r w:rsidRPr="00CF2C83">
        <w:rPr>
          <w:sz w:val="22"/>
          <w:szCs w:val="22"/>
        </w:rPr>
        <w:t xml:space="preserve">opatrenia budú uplatňované v zmysle Akčného plánu na prevenciu </w:t>
      </w:r>
      <w:r w:rsidRPr="001C0F5B">
        <w:rPr>
          <w:sz w:val="22"/>
          <w:szCs w:val="22"/>
        </w:rPr>
        <w:t>proti podvodom</w:t>
      </w:r>
      <w:r>
        <w:rPr>
          <w:sz w:val="22"/>
          <w:szCs w:val="22"/>
        </w:rPr>
        <w:t>, ktorý bol vytvorený pre Operačný program</w:t>
      </w:r>
      <w:r w:rsidRPr="001C0F5B">
        <w:rPr>
          <w:sz w:val="22"/>
          <w:szCs w:val="22"/>
        </w:rPr>
        <w:t xml:space="preserve"> Doprava</w:t>
      </w:r>
      <w:r>
        <w:rPr>
          <w:sz w:val="22"/>
          <w:szCs w:val="22"/>
        </w:rPr>
        <w:t xml:space="preserve"> 2007 – 2013 a</w:t>
      </w:r>
      <w:r w:rsidRPr="001C0F5B">
        <w:rPr>
          <w:sz w:val="22"/>
          <w:szCs w:val="22"/>
        </w:rPr>
        <w:t xml:space="preserve"> vypracovaný ako výstup internej rizikovej analýzy s cieľom eliminovať problémy a</w:t>
      </w:r>
      <w:r>
        <w:rPr>
          <w:sz w:val="22"/>
          <w:szCs w:val="22"/>
        </w:rPr>
        <w:t> </w:t>
      </w:r>
      <w:r w:rsidRPr="001C0F5B">
        <w:rPr>
          <w:sz w:val="22"/>
          <w:szCs w:val="22"/>
        </w:rPr>
        <w:t>nedostatky čerpania alokovaných zdrojov EÚ a celkovo znížiť možné podozrenia z korupcie a podvodov.</w:t>
      </w:r>
      <w:r w:rsidR="007D42F2">
        <w:rPr>
          <w:sz w:val="22"/>
          <w:szCs w:val="22"/>
        </w:rPr>
        <w:t xml:space="preserve"> </w:t>
      </w:r>
      <w:r w:rsidRPr="001C0F5B">
        <w:rPr>
          <w:sz w:val="22"/>
          <w:szCs w:val="22"/>
        </w:rPr>
        <w:t>Tento dokument identifi</w:t>
      </w:r>
      <w:r>
        <w:rPr>
          <w:sz w:val="22"/>
          <w:szCs w:val="22"/>
        </w:rPr>
        <w:t>kuje problémy, ktoré sa vyskytujú v priebehu implementácie</w:t>
      </w:r>
      <w:r w:rsidRPr="001C0F5B">
        <w:rPr>
          <w:sz w:val="22"/>
          <w:szCs w:val="22"/>
        </w:rPr>
        <w:t xml:space="preserve"> a navrhuje adekvátne opatrenia, ktoré pomôžu znižovať korupciu, podvodné konania a nezrovnalosti vo</w:t>
      </w:r>
      <w:r>
        <w:rPr>
          <w:sz w:val="22"/>
          <w:szCs w:val="22"/>
        </w:rPr>
        <w:t> </w:t>
      </w:r>
      <w:r w:rsidRPr="001C0F5B">
        <w:rPr>
          <w:sz w:val="22"/>
          <w:szCs w:val="22"/>
        </w:rPr>
        <w:t>využíva</w:t>
      </w:r>
      <w:r w:rsidR="002C1444">
        <w:rPr>
          <w:sz w:val="22"/>
          <w:szCs w:val="22"/>
        </w:rPr>
        <w:t>ní finančných prostriedkov EÚ a </w:t>
      </w:r>
      <w:r w:rsidRPr="001C0F5B">
        <w:rPr>
          <w:sz w:val="22"/>
          <w:szCs w:val="22"/>
        </w:rPr>
        <w:t>štátneho rozpočtu.</w:t>
      </w:r>
    </w:p>
    <w:p w14:paraId="065AA56F" w14:textId="77777777" w:rsidR="00CD60F7" w:rsidRDefault="00CD60F7" w:rsidP="00CD60F7">
      <w:pPr>
        <w:spacing w:before="180"/>
        <w:jc w:val="both"/>
        <w:rPr>
          <w:sz w:val="22"/>
          <w:szCs w:val="22"/>
        </w:rPr>
      </w:pPr>
      <w:r>
        <w:rPr>
          <w:sz w:val="22"/>
          <w:szCs w:val="22"/>
        </w:rPr>
        <w:lastRenderedPageBreak/>
        <w:t>Špecifickým c</w:t>
      </w:r>
      <w:r w:rsidRPr="00C5736E">
        <w:rPr>
          <w:sz w:val="22"/>
          <w:szCs w:val="22"/>
        </w:rPr>
        <w:t xml:space="preserve">ieľom </w:t>
      </w:r>
      <w:r>
        <w:rPr>
          <w:sz w:val="22"/>
          <w:szCs w:val="22"/>
        </w:rPr>
        <w:t xml:space="preserve">8.1 </w:t>
      </w:r>
      <w:r w:rsidRPr="00C5736E">
        <w:rPr>
          <w:sz w:val="22"/>
          <w:szCs w:val="22"/>
        </w:rPr>
        <w:t>je zabezpeč</w:t>
      </w:r>
      <w:r>
        <w:rPr>
          <w:sz w:val="22"/>
          <w:szCs w:val="22"/>
        </w:rPr>
        <w:t xml:space="preserve">enie efektívnej </w:t>
      </w:r>
      <w:r w:rsidRPr="00C5736E">
        <w:rPr>
          <w:sz w:val="22"/>
          <w:szCs w:val="22"/>
        </w:rPr>
        <w:t xml:space="preserve">implementácie OP </w:t>
      </w:r>
      <w:r>
        <w:rPr>
          <w:sz w:val="22"/>
          <w:szCs w:val="22"/>
        </w:rPr>
        <w:t xml:space="preserve">prostredníctvom 3 kľúčových oblastí: </w:t>
      </w:r>
    </w:p>
    <w:p w14:paraId="5E8938A3" w14:textId="77777777" w:rsidR="009E0158" w:rsidRDefault="002C1444" w:rsidP="005B348A">
      <w:pPr>
        <w:pStyle w:val="Odsekzoznamu"/>
        <w:numPr>
          <w:ilvl w:val="0"/>
          <w:numId w:val="77"/>
        </w:numPr>
        <w:spacing w:before="180"/>
        <w:jc w:val="both"/>
        <w:rPr>
          <w:sz w:val="22"/>
          <w:szCs w:val="22"/>
        </w:rPr>
      </w:pPr>
      <w:r>
        <w:rPr>
          <w:sz w:val="22"/>
          <w:szCs w:val="22"/>
        </w:rPr>
        <w:t>s</w:t>
      </w:r>
      <w:r w:rsidR="00CD60F7" w:rsidRPr="00977544">
        <w:rPr>
          <w:sz w:val="22"/>
          <w:szCs w:val="22"/>
        </w:rPr>
        <w:t>tabilizácia a vzdelávanie administratívnych kapacít</w:t>
      </w:r>
      <w:r>
        <w:rPr>
          <w:sz w:val="22"/>
          <w:szCs w:val="22"/>
        </w:rPr>
        <w:t>,</w:t>
      </w:r>
    </w:p>
    <w:p w14:paraId="514EB096" w14:textId="77777777" w:rsidR="009E0158" w:rsidRDefault="002C1444" w:rsidP="005B348A">
      <w:pPr>
        <w:pStyle w:val="Odsekzoznamu"/>
        <w:numPr>
          <w:ilvl w:val="0"/>
          <w:numId w:val="77"/>
        </w:numPr>
        <w:spacing w:before="180"/>
        <w:jc w:val="both"/>
        <w:rPr>
          <w:sz w:val="22"/>
          <w:szCs w:val="22"/>
        </w:rPr>
      </w:pPr>
      <w:r>
        <w:rPr>
          <w:sz w:val="22"/>
          <w:szCs w:val="22"/>
        </w:rPr>
        <w:t>z</w:t>
      </w:r>
      <w:r w:rsidR="00CD60F7" w:rsidRPr="00977544">
        <w:rPr>
          <w:sz w:val="22"/>
          <w:szCs w:val="22"/>
        </w:rPr>
        <w:t>abezpečenie technického vybavenia a technologicke</w:t>
      </w:r>
      <w:r>
        <w:rPr>
          <w:sz w:val="22"/>
          <w:szCs w:val="22"/>
        </w:rPr>
        <w:t>j podpory útvarov zapojených do implementácie OP,</w:t>
      </w:r>
    </w:p>
    <w:p w14:paraId="52D94F7F" w14:textId="77777777" w:rsidR="009E0158" w:rsidRDefault="002C1444" w:rsidP="005B348A">
      <w:pPr>
        <w:pStyle w:val="Odsekzoznamu"/>
        <w:numPr>
          <w:ilvl w:val="0"/>
          <w:numId w:val="77"/>
        </w:numPr>
        <w:spacing w:before="180"/>
        <w:jc w:val="both"/>
        <w:rPr>
          <w:sz w:val="22"/>
          <w:szCs w:val="22"/>
        </w:rPr>
      </w:pPr>
      <w:r>
        <w:rPr>
          <w:sz w:val="22"/>
          <w:szCs w:val="22"/>
        </w:rPr>
        <w:t>p</w:t>
      </w:r>
      <w:r w:rsidR="00CD60F7" w:rsidRPr="00977544">
        <w:rPr>
          <w:sz w:val="22"/>
          <w:szCs w:val="22"/>
        </w:rPr>
        <w:t>odpora implementácie OP prostredníctvom sieťovania a využitia externých kapacít</w:t>
      </w:r>
      <w:r>
        <w:rPr>
          <w:sz w:val="22"/>
          <w:szCs w:val="22"/>
        </w:rPr>
        <w:t>.</w:t>
      </w:r>
    </w:p>
    <w:p w14:paraId="75CB8F47" w14:textId="77777777" w:rsidR="00960BB9" w:rsidRDefault="00960BB9" w:rsidP="00960BB9">
      <w:pPr>
        <w:pStyle w:val="Tab"/>
      </w:pPr>
      <w:r>
        <w:t>Zoznam ukazovateľov výsledkov vzťahujúcich sa na špecifický cieľ 8.1</w:t>
      </w:r>
    </w:p>
    <w:tbl>
      <w:tblPr>
        <w:tblStyle w:val="Mriekatabuky"/>
        <w:tblW w:w="92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7"/>
        <w:gridCol w:w="1610"/>
        <w:gridCol w:w="964"/>
        <w:gridCol w:w="1392"/>
        <w:gridCol w:w="1392"/>
        <w:gridCol w:w="958"/>
        <w:gridCol w:w="1097"/>
        <w:gridCol w:w="1290"/>
      </w:tblGrid>
      <w:tr w:rsidR="00960BB9" w14:paraId="60E3AE46" w14:textId="77777777" w:rsidTr="00CD60F7">
        <w:trPr>
          <w:trHeight w:val="487"/>
          <w:jc w:val="center"/>
        </w:trPr>
        <w:tc>
          <w:tcPr>
            <w:tcW w:w="527" w:type="dxa"/>
            <w:shd w:val="clear" w:color="auto" w:fill="C6D9F1" w:themeFill="text2" w:themeFillTint="33"/>
            <w:vAlign w:val="center"/>
          </w:tcPr>
          <w:p w14:paraId="1D449653" w14:textId="77777777" w:rsidR="00960BB9" w:rsidRPr="008C1732" w:rsidRDefault="00960BB9" w:rsidP="00EF2741">
            <w:pPr>
              <w:ind w:left="0"/>
              <w:jc w:val="center"/>
              <w:rPr>
                <w:b/>
                <w:sz w:val="18"/>
                <w:szCs w:val="18"/>
              </w:rPr>
            </w:pPr>
            <w:r>
              <w:rPr>
                <w:b/>
                <w:sz w:val="18"/>
                <w:szCs w:val="18"/>
              </w:rPr>
              <w:t>P. č.</w:t>
            </w:r>
          </w:p>
        </w:tc>
        <w:tc>
          <w:tcPr>
            <w:tcW w:w="1610" w:type="dxa"/>
            <w:shd w:val="clear" w:color="auto" w:fill="C6D9F1" w:themeFill="text2" w:themeFillTint="33"/>
            <w:vAlign w:val="center"/>
          </w:tcPr>
          <w:p w14:paraId="6B47A79F" w14:textId="77777777" w:rsidR="00960BB9" w:rsidRPr="008C1732" w:rsidRDefault="00960BB9" w:rsidP="00EF2741">
            <w:pPr>
              <w:ind w:left="0"/>
              <w:jc w:val="center"/>
              <w:rPr>
                <w:b/>
                <w:sz w:val="18"/>
                <w:szCs w:val="18"/>
              </w:rPr>
            </w:pPr>
            <w:r w:rsidRPr="008C1732">
              <w:rPr>
                <w:b/>
                <w:sz w:val="18"/>
                <w:szCs w:val="18"/>
              </w:rPr>
              <w:t>Ukazovateľ</w:t>
            </w:r>
          </w:p>
        </w:tc>
        <w:tc>
          <w:tcPr>
            <w:tcW w:w="964" w:type="dxa"/>
            <w:shd w:val="clear" w:color="auto" w:fill="C6D9F1" w:themeFill="text2" w:themeFillTint="33"/>
            <w:vAlign w:val="center"/>
          </w:tcPr>
          <w:p w14:paraId="36F664D1" w14:textId="77777777" w:rsidR="00960BB9" w:rsidRPr="008C1732" w:rsidRDefault="00960BB9" w:rsidP="00EF2741">
            <w:pPr>
              <w:ind w:left="0"/>
              <w:jc w:val="center"/>
              <w:rPr>
                <w:b/>
                <w:sz w:val="18"/>
                <w:szCs w:val="18"/>
              </w:rPr>
            </w:pPr>
            <w:r w:rsidRPr="008C1732">
              <w:rPr>
                <w:b/>
                <w:sz w:val="18"/>
                <w:szCs w:val="18"/>
              </w:rPr>
              <w:t>Merná jednotka</w:t>
            </w:r>
          </w:p>
        </w:tc>
        <w:tc>
          <w:tcPr>
            <w:tcW w:w="1392" w:type="dxa"/>
            <w:shd w:val="clear" w:color="auto" w:fill="C6D9F1" w:themeFill="text2" w:themeFillTint="33"/>
            <w:vAlign w:val="center"/>
          </w:tcPr>
          <w:p w14:paraId="258668B0" w14:textId="77777777" w:rsidR="00960BB9" w:rsidRPr="008C1732" w:rsidRDefault="00960BB9" w:rsidP="00EF2741">
            <w:pPr>
              <w:ind w:left="0"/>
              <w:jc w:val="center"/>
              <w:rPr>
                <w:b/>
                <w:sz w:val="18"/>
                <w:szCs w:val="18"/>
              </w:rPr>
            </w:pPr>
            <w:r>
              <w:rPr>
                <w:b/>
                <w:sz w:val="18"/>
                <w:szCs w:val="18"/>
              </w:rPr>
              <w:t>Východisková hodnota</w:t>
            </w:r>
          </w:p>
        </w:tc>
        <w:tc>
          <w:tcPr>
            <w:tcW w:w="1392" w:type="dxa"/>
            <w:shd w:val="clear" w:color="auto" w:fill="C6D9F1" w:themeFill="text2" w:themeFillTint="33"/>
            <w:vAlign w:val="center"/>
          </w:tcPr>
          <w:p w14:paraId="306AFBB5" w14:textId="77777777" w:rsidR="00960BB9" w:rsidRPr="008C1732" w:rsidRDefault="00960BB9" w:rsidP="00EF2741">
            <w:pPr>
              <w:ind w:left="0"/>
              <w:jc w:val="center"/>
              <w:rPr>
                <w:b/>
                <w:sz w:val="18"/>
                <w:szCs w:val="18"/>
              </w:rPr>
            </w:pPr>
            <w:r>
              <w:rPr>
                <w:b/>
                <w:sz w:val="18"/>
                <w:szCs w:val="18"/>
              </w:rPr>
              <w:t>Východiskový rok</w:t>
            </w:r>
          </w:p>
        </w:tc>
        <w:tc>
          <w:tcPr>
            <w:tcW w:w="958" w:type="dxa"/>
            <w:shd w:val="clear" w:color="auto" w:fill="C6D9F1" w:themeFill="text2" w:themeFillTint="33"/>
            <w:vAlign w:val="center"/>
          </w:tcPr>
          <w:p w14:paraId="13472B71" w14:textId="77777777" w:rsidR="00960BB9" w:rsidRPr="008C1732" w:rsidRDefault="00960BB9" w:rsidP="00EF2741">
            <w:pPr>
              <w:ind w:left="0"/>
              <w:jc w:val="center"/>
              <w:rPr>
                <w:b/>
                <w:sz w:val="18"/>
                <w:szCs w:val="18"/>
              </w:rPr>
            </w:pPr>
            <w:r w:rsidRPr="008C1732">
              <w:rPr>
                <w:b/>
                <w:sz w:val="18"/>
                <w:szCs w:val="18"/>
              </w:rPr>
              <w:t>Cieľová hodnota (2023)</w:t>
            </w:r>
          </w:p>
        </w:tc>
        <w:tc>
          <w:tcPr>
            <w:tcW w:w="1097" w:type="dxa"/>
            <w:shd w:val="clear" w:color="auto" w:fill="C6D9F1" w:themeFill="text2" w:themeFillTint="33"/>
            <w:vAlign w:val="center"/>
          </w:tcPr>
          <w:p w14:paraId="2C5A5BFA" w14:textId="77777777" w:rsidR="00960BB9" w:rsidRPr="008C1732" w:rsidRDefault="00960BB9" w:rsidP="00EF2741">
            <w:pPr>
              <w:ind w:left="0"/>
              <w:jc w:val="center"/>
              <w:rPr>
                <w:b/>
                <w:sz w:val="18"/>
                <w:szCs w:val="18"/>
              </w:rPr>
            </w:pPr>
            <w:r w:rsidRPr="008C1732">
              <w:rPr>
                <w:b/>
                <w:sz w:val="18"/>
                <w:szCs w:val="18"/>
              </w:rPr>
              <w:t>Zdroj údajov</w:t>
            </w:r>
          </w:p>
        </w:tc>
        <w:tc>
          <w:tcPr>
            <w:tcW w:w="1290" w:type="dxa"/>
            <w:shd w:val="clear" w:color="auto" w:fill="C6D9F1" w:themeFill="text2" w:themeFillTint="33"/>
            <w:vAlign w:val="center"/>
          </w:tcPr>
          <w:p w14:paraId="21875C11" w14:textId="77777777" w:rsidR="00960BB9" w:rsidRPr="008C1732" w:rsidRDefault="00960BB9" w:rsidP="00EF2741">
            <w:pPr>
              <w:ind w:left="0"/>
              <w:jc w:val="center"/>
              <w:rPr>
                <w:b/>
                <w:sz w:val="18"/>
                <w:szCs w:val="18"/>
              </w:rPr>
            </w:pPr>
            <w:r w:rsidRPr="008C1732">
              <w:rPr>
                <w:b/>
                <w:sz w:val="18"/>
                <w:szCs w:val="18"/>
              </w:rPr>
              <w:t>Frekvencia vykazovania</w:t>
            </w:r>
          </w:p>
        </w:tc>
      </w:tr>
      <w:tr w:rsidR="00CD60F7" w14:paraId="5EAE41DB" w14:textId="77777777" w:rsidTr="00CD60F7">
        <w:trPr>
          <w:trHeight w:val="680"/>
          <w:jc w:val="center"/>
        </w:trPr>
        <w:tc>
          <w:tcPr>
            <w:tcW w:w="527" w:type="dxa"/>
            <w:shd w:val="clear" w:color="auto" w:fill="auto"/>
            <w:vAlign w:val="center"/>
          </w:tcPr>
          <w:p w14:paraId="19A192D1" w14:textId="77777777" w:rsidR="00CD60F7" w:rsidRDefault="00CD60F7" w:rsidP="00CD60F7">
            <w:pPr>
              <w:ind w:left="0"/>
              <w:jc w:val="center"/>
              <w:rPr>
                <w:sz w:val="20"/>
                <w:szCs w:val="20"/>
              </w:rPr>
            </w:pPr>
            <w:r>
              <w:rPr>
                <w:sz w:val="20"/>
                <w:szCs w:val="20"/>
              </w:rPr>
              <w:t>1.</w:t>
            </w:r>
          </w:p>
        </w:tc>
        <w:tc>
          <w:tcPr>
            <w:tcW w:w="1610" w:type="dxa"/>
            <w:shd w:val="clear" w:color="auto" w:fill="auto"/>
            <w:vAlign w:val="center"/>
          </w:tcPr>
          <w:p w14:paraId="668A182B" w14:textId="77777777" w:rsidR="00CD60F7" w:rsidRDefault="00CD60F7" w:rsidP="00CD60F7">
            <w:pPr>
              <w:ind w:left="0"/>
              <w:rPr>
                <w:sz w:val="18"/>
              </w:rPr>
            </w:pPr>
            <w:r>
              <w:rPr>
                <w:sz w:val="18"/>
              </w:rPr>
              <w:t>Miera fluktuácie administratívnych kapacít</w:t>
            </w:r>
          </w:p>
        </w:tc>
        <w:tc>
          <w:tcPr>
            <w:tcW w:w="964" w:type="dxa"/>
            <w:shd w:val="clear" w:color="auto" w:fill="auto"/>
            <w:vAlign w:val="center"/>
          </w:tcPr>
          <w:p w14:paraId="5ACE04F5" w14:textId="77777777" w:rsidR="00CD60F7" w:rsidRPr="00D504A0" w:rsidRDefault="00CD60F7" w:rsidP="00CD60F7">
            <w:pPr>
              <w:autoSpaceDE w:val="0"/>
              <w:autoSpaceDN w:val="0"/>
              <w:adjustRightInd w:val="0"/>
              <w:ind w:left="0"/>
              <w:jc w:val="center"/>
              <w:rPr>
                <w:sz w:val="18"/>
              </w:rPr>
            </w:pPr>
            <w:r w:rsidRPr="00D504A0">
              <w:rPr>
                <w:sz w:val="18"/>
              </w:rPr>
              <w:t>%</w:t>
            </w:r>
          </w:p>
        </w:tc>
        <w:tc>
          <w:tcPr>
            <w:tcW w:w="1392" w:type="dxa"/>
            <w:vAlign w:val="center"/>
          </w:tcPr>
          <w:p w14:paraId="2CA114F4" w14:textId="77777777" w:rsidR="00CD60F7" w:rsidRPr="007A5492" w:rsidRDefault="0021450D" w:rsidP="00CD60F7">
            <w:pPr>
              <w:autoSpaceDE w:val="0"/>
              <w:autoSpaceDN w:val="0"/>
              <w:adjustRightInd w:val="0"/>
              <w:ind w:left="0"/>
              <w:jc w:val="center"/>
              <w:rPr>
                <w:sz w:val="18"/>
              </w:rPr>
            </w:pPr>
            <w:r>
              <w:rPr>
                <w:sz w:val="18"/>
              </w:rPr>
              <w:t>12</w:t>
            </w:r>
            <w:r w:rsidR="00CD60F7">
              <w:rPr>
                <w:sz w:val="18"/>
              </w:rPr>
              <w:t>,</w:t>
            </w:r>
            <w:r>
              <w:rPr>
                <w:sz w:val="18"/>
              </w:rPr>
              <w:t>1</w:t>
            </w:r>
          </w:p>
        </w:tc>
        <w:tc>
          <w:tcPr>
            <w:tcW w:w="1392" w:type="dxa"/>
            <w:vAlign w:val="center"/>
          </w:tcPr>
          <w:p w14:paraId="3AADA856" w14:textId="77777777" w:rsidR="00CD60F7" w:rsidRDefault="00CD60F7" w:rsidP="00CD60F7">
            <w:pPr>
              <w:autoSpaceDE w:val="0"/>
              <w:autoSpaceDN w:val="0"/>
              <w:adjustRightInd w:val="0"/>
              <w:ind w:left="0"/>
              <w:jc w:val="center"/>
              <w:rPr>
                <w:sz w:val="18"/>
              </w:rPr>
            </w:pPr>
            <w:r>
              <w:rPr>
                <w:sz w:val="18"/>
              </w:rPr>
              <w:t>2013</w:t>
            </w:r>
          </w:p>
        </w:tc>
        <w:tc>
          <w:tcPr>
            <w:tcW w:w="958" w:type="dxa"/>
            <w:shd w:val="clear" w:color="auto" w:fill="auto"/>
            <w:vAlign w:val="center"/>
          </w:tcPr>
          <w:p w14:paraId="331FC0F6" w14:textId="77777777" w:rsidR="00CD60F7" w:rsidRPr="007A5492" w:rsidRDefault="0021450D" w:rsidP="00CD60F7">
            <w:pPr>
              <w:autoSpaceDE w:val="0"/>
              <w:autoSpaceDN w:val="0"/>
              <w:adjustRightInd w:val="0"/>
              <w:ind w:left="0"/>
              <w:jc w:val="center"/>
              <w:rPr>
                <w:sz w:val="18"/>
              </w:rPr>
            </w:pPr>
            <w:r>
              <w:rPr>
                <w:sz w:val="18"/>
              </w:rPr>
              <w:t>9,07</w:t>
            </w:r>
          </w:p>
        </w:tc>
        <w:tc>
          <w:tcPr>
            <w:tcW w:w="1097" w:type="dxa"/>
            <w:vAlign w:val="center"/>
          </w:tcPr>
          <w:p w14:paraId="643A6F69" w14:textId="77777777" w:rsidR="00CD60F7" w:rsidRPr="007A5492" w:rsidRDefault="00CD60F7" w:rsidP="00CD60F7">
            <w:pPr>
              <w:autoSpaceDE w:val="0"/>
              <w:autoSpaceDN w:val="0"/>
              <w:adjustRightInd w:val="0"/>
              <w:ind w:left="0"/>
              <w:jc w:val="center"/>
              <w:rPr>
                <w:sz w:val="18"/>
              </w:rPr>
            </w:pPr>
            <w:r w:rsidRPr="007A5492">
              <w:rPr>
                <w:sz w:val="18"/>
              </w:rPr>
              <w:t>RO OPII</w:t>
            </w:r>
            <w:r>
              <w:rPr>
                <w:sz w:val="18"/>
              </w:rPr>
              <w:t>/SORO</w:t>
            </w:r>
          </w:p>
        </w:tc>
        <w:tc>
          <w:tcPr>
            <w:tcW w:w="1290" w:type="dxa"/>
            <w:vAlign w:val="center"/>
          </w:tcPr>
          <w:p w14:paraId="30D10B60" w14:textId="77777777" w:rsidR="00CD60F7" w:rsidRPr="00D504A0" w:rsidRDefault="00CD60F7" w:rsidP="00CD60F7">
            <w:pPr>
              <w:autoSpaceDE w:val="0"/>
              <w:autoSpaceDN w:val="0"/>
              <w:adjustRightInd w:val="0"/>
              <w:ind w:left="0"/>
              <w:jc w:val="center"/>
              <w:rPr>
                <w:sz w:val="18"/>
              </w:rPr>
            </w:pPr>
            <w:r w:rsidRPr="00D504A0">
              <w:rPr>
                <w:sz w:val="18"/>
              </w:rPr>
              <w:t>ročne</w:t>
            </w:r>
          </w:p>
        </w:tc>
      </w:tr>
      <w:tr w:rsidR="00CD60F7" w14:paraId="722AA403" w14:textId="77777777" w:rsidTr="00CD60F7">
        <w:trPr>
          <w:trHeight w:val="680"/>
          <w:jc w:val="center"/>
        </w:trPr>
        <w:tc>
          <w:tcPr>
            <w:tcW w:w="527" w:type="dxa"/>
            <w:shd w:val="clear" w:color="auto" w:fill="auto"/>
            <w:vAlign w:val="center"/>
          </w:tcPr>
          <w:p w14:paraId="5E21628C" w14:textId="77777777" w:rsidR="00CD60F7" w:rsidRDefault="00CD60F7" w:rsidP="00CD60F7">
            <w:pPr>
              <w:ind w:left="0"/>
              <w:jc w:val="center"/>
              <w:rPr>
                <w:sz w:val="20"/>
                <w:szCs w:val="20"/>
              </w:rPr>
            </w:pPr>
            <w:r>
              <w:rPr>
                <w:sz w:val="20"/>
                <w:szCs w:val="20"/>
              </w:rPr>
              <w:t>2.</w:t>
            </w:r>
          </w:p>
        </w:tc>
        <w:tc>
          <w:tcPr>
            <w:tcW w:w="1610" w:type="dxa"/>
            <w:shd w:val="clear" w:color="auto" w:fill="auto"/>
            <w:vAlign w:val="center"/>
          </w:tcPr>
          <w:p w14:paraId="41CE7598" w14:textId="77777777" w:rsidR="00CD60F7" w:rsidRPr="0021450D" w:rsidRDefault="00CD60F7" w:rsidP="00CD60F7">
            <w:pPr>
              <w:ind w:left="0"/>
              <w:rPr>
                <w:sz w:val="18"/>
                <w:szCs w:val="18"/>
              </w:rPr>
            </w:pPr>
            <w:r w:rsidRPr="0021450D">
              <w:rPr>
                <w:sz w:val="18"/>
                <w:szCs w:val="18"/>
              </w:rPr>
              <w:t>Miera úspešne ukončených projektov</w:t>
            </w:r>
          </w:p>
        </w:tc>
        <w:tc>
          <w:tcPr>
            <w:tcW w:w="964" w:type="dxa"/>
            <w:shd w:val="clear" w:color="auto" w:fill="auto"/>
            <w:vAlign w:val="center"/>
          </w:tcPr>
          <w:p w14:paraId="28820ECE" w14:textId="77777777" w:rsidR="00CD60F7" w:rsidRPr="0021450D" w:rsidRDefault="00CD60F7" w:rsidP="00CD60F7">
            <w:pPr>
              <w:autoSpaceDE w:val="0"/>
              <w:autoSpaceDN w:val="0"/>
              <w:adjustRightInd w:val="0"/>
              <w:ind w:left="0"/>
              <w:jc w:val="center"/>
              <w:rPr>
                <w:sz w:val="18"/>
                <w:szCs w:val="18"/>
              </w:rPr>
            </w:pPr>
            <w:r w:rsidRPr="0021450D">
              <w:rPr>
                <w:sz w:val="18"/>
                <w:szCs w:val="18"/>
              </w:rPr>
              <w:t>%</w:t>
            </w:r>
          </w:p>
        </w:tc>
        <w:tc>
          <w:tcPr>
            <w:tcW w:w="1392" w:type="dxa"/>
            <w:vAlign w:val="center"/>
          </w:tcPr>
          <w:p w14:paraId="207EAC5C" w14:textId="77777777" w:rsidR="00CD60F7" w:rsidRPr="0021450D" w:rsidRDefault="00CD60F7" w:rsidP="00CD60F7">
            <w:pPr>
              <w:autoSpaceDE w:val="0"/>
              <w:autoSpaceDN w:val="0"/>
              <w:adjustRightInd w:val="0"/>
              <w:ind w:left="0"/>
              <w:jc w:val="center"/>
              <w:rPr>
                <w:sz w:val="18"/>
                <w:szCs w:val="18"/>
              </w:rPr>
            </w:pPr>
            <w:r w:rsidRPr="0021450D">
              <w:rPr>
                <w:sz w:val="18"/>
                <w:szCs w:val="18"/>
              </w:rPr>
              <w:t>84,65</w:t>
            </w:r>
          </w:p>
        </w:tc>
        <w:tc>
          <w:tcPr>
            <w:tcW w:w="1392" w:type="dxa"/>
            <w:vAlign w:val="center"/>
          </w:tcPr>
          <w:p w14:paraId="36A70FC0" w14:textId="77777777" w:rsidR="00CD60F7" w:rsidRPr="0021450D" w:rsidRDefault="00CD60F7" w:rsidP="00CD60F7">
            <w:pPr>
              <w:autoSpaceDE w:val="0"/>
              <w:autoSpaceDN w:val="0"/>
              <w:adjustRightInd w:val="0"/>
              <w:ind w:left="0"/>
              <w:jc w:val="center"/>
              <w:rPr>
                <w:sz w:val="18"/>
                <w:szCs w:val="18"/>
              </w:rPr>
            </w:pPr>
            <w:r w:rsidRPr="0021450D">
              <w:rPr>
                <w:sz w:val="18"/>
                <w:szCs w:val="18"/>
              </w:rPr>
              <w:t>2013</w:t>
            </w:r>
          </w:p>
        </w:tc>
        <w:tc>
          <w:tcPr>
            <w:tcW w:w="958" w:type="dxa"/>
            <w:shd w:val="clear" w:color="auto" w:fill="auto"/>
            <w:vAlign w:val="center"/>
          </w:tcPr>
          <w:p w14:paraId="421419C8" w14:textId="77777777" w:rsidR="00CD60F7" w:rsidRPr="0021450D" w:rsidRDefault="00CD60F7" w:rsidP="00CD60F7">
            <w:pPr>
              <w:autoSpaceDE w:val="0"/>
              <w:autoSpaceDN w:val="0"/>
              <w:adjustRightInd w:val="0"/>
              <w:ind w:left="0"/>
              <w:jc w:val="center"/>
              <w:rPr>
                <w:sz w:val="18"/>
                <w:szCs w:val="18"/>
              </w:rPr>
            </w:pPr>
            <w:r w:rsidRPr="0021450D">
              <w:rPr>
                <w:sz w:val="18"/>
                <w:szCs w:val="18"/>
              </w:rPr>
              <w:t>90</w:t>
            </w:r>
          </w:p>
        </w:tc>
        <w:tc>
          <w:tcPr>
            <w:tcW w:w="1097" w:type="dxa"/>
            <w:vAlign w:val="center"/>
          </w:tcPr>
          <w:p w14:paraId="182DF01D" w14:textId="77777777" w:rsidR="00CD60F7" w:rsidRPr="0021450D" w:rsidRDefault="00CD60F7" w:rsidP="00CD60F7">
            <w:pPr>
              <w:autoSpaceDE w:val="0"/>
              <w:autoSpaceDN w:val="0"/>
              <w:adjustRightInd w:val="0"/>
              <w:ind w:left="0"/>
              <w:jc w:val="center"/>
              <w:rPr>
                <w:sz w:val="18"/>
                <w:szCs w:val="18"/>
              </w:rPr>
            </w:pPr>
            <w:r w:rsidRPr="0021450D">
              <w:rPr>
                <w:sz w:val="18"/>
                <w:szCs w:val="18"/>
              </w:rPr>
              <w:t>RO OPII/SORO</w:t>
            </w:r>
          </w:p>
        </w:tc>
        <w:tc>
          <w:tcPr>
            <w:tcW w:w="1290" w:type="dxa"/>
            <w:vAlign w:val="center"/>
          </w:tcPr>
          <w:p w14:paraId="356155F0" w14:textId="77777777" w:rsidR="00CD60F7" w:rsidRPr="0021450D" w:rsidRDefault="00CD60F7" w:rsidP="00CD60F7">
            <w:pPr>
              <w:autoSpaceDE w:val="0"/>
              <w:autoSpaceDN w:val="0"/>
              <w:adjustRightInd w:val="0"/>
              <w:ind w:left="0"/>
              <w:jc w:val="center"/>
              <w:rPr>
                <w:sz w:val="18"/>
                <w:szCs w:val="18"/>
              </w:rPr>
            </w:pPr>
            <w:r w:rsidRPr="0021450D">
              <w:rPr>
                <w:sz w:val="18"/>
                <w:szCs w:val="18"/>
              </w:rPr>
              <w:t>ročne</w:t>
            </w:r>
          </w:p>
        </w:tc>
      </w:tr>
    </w:tbl>
    <w:p w14:paraId="68E30066" w14:textId="77777777" w:rsidR="00960BB9" w:rsidRDefault="00960BB9" w:rsidP="00960BB9">
      <w:pPr>
        <w:pStyle w:val="Nadpis3"/>
      </w:pPr>
      <w:bookmarkStart w:id="78" w:name="_Toc383719717"/>
      <w:bookmarkStart w:id="79" w:name="_Toc28951636"/>
      <w:r w:rsidRPr="00027A15">
        <w:t>Aktivity</w:t>
      </w:r>
      <w:r>
        <w:t>, ktoré budú podporené a ich očakávaný prínos k špecifickému cieľu</w:t>
      </w:r>
      <w:bookmarkEnd w:id="78"/>
      <w:bookmarkEnd w:id="79"/>
    </w:p>
    <w:p w14:paraId="679325E4" w14:textId="77777777" w:rsidR="009E0158" w:rsidRDefault="009C5ABA" w:rsidP="005B348A">
      <w:pPr>
        <w:numPr>
          <w:ilvl w:val="2"/>
          <w:numId w:val="73"/>
        </w:numPr>
        <w:tabs>
          <w:tab w:val="clear" w:pos="360"/>
        </w:tabs>
        <w:ind w:left="426" w:hanging="426"/>
        <w:jc w:val="both"/>
        <w:rPr>
          <w:sz w:val="22"/>
          <w:szCs w:val="22"/>
        </w:rPr>
      </w:pPr>
      <w:r>
        <w:rPr>
          <w:sz w:val="22"/>
          <w:szCs w:val="22"/>
        </w:rPr>
        <w:t xml:space="preserve">Refundácia miezd </w:t>
      </w:r>
      <w:r w:rsidR="00CD60F7" w:rsidRPr="00246FE6">
        <w:rPr>
          <w:sz w:val="22"/>
          <w:szCs w:val="22"/>
        </w:rPr>
        <w:t xml:space="preserve">administratívnych kapacít </w:t>
      </w:r>
      <w:r w:rsidR="00CD60F7">
        <w:rPr>
          <w:sz w:val="22"/>
          <w:szCs w:val="22"/>
        </w:rPr>
        <w:t xml:space="preserve">zapojených </w:t>
      </w:r>
      <w:r w:rsidR="00CD60F7" w:rsidRPr="00246FE6">
        <w:rPr>
          <w:sz w:val="22"/>
          <w:szCs w:val="22"/>
        </w:rPr>
        <w:t>do implementácie OP</w:t>
      </w:r>
      <w:r w:rsidR="00CD60F7">
        <w:rPr>
          <w:sz w:val="22"/>
          <w:szCs w:val="22"/>
        </w:rPr>
        <w:t>,</w:t>
      </w:r>
    </w:p>
    <w:p w14:paraId="132177B1" w14:textId="77777777" w:rsidR="009E0158" w:rsidRDefault="00CD60F7" w:rsidP="005B348A">
      <w:pPr>
        <w:numPr>
          <w:ilvl w:val="2"/>
          <w:numId w:val="73"/>
        </w:numPr>
        <w:tabs>
          <w:tab w:val="clear" w:pos="360"/>
        </w:tabs>
        <w:ind w:left="426" w:hanging="426"/>
        <w:jc w:val="both"/>
        <w:rPr>
          <w:sz w:val="22"/>
          <w:szCs w:val="22"/>
        </w:rPr>
      </w:pPr>
      <w:r>
        <w:rPr>
          <w:sz w:val="22"/>
          <w:szCs w:val="22"/>
        </w:rPr>
        <w:t>Zvyšovanie odborných a jazykových zručností administ</w:t>
      </w:r>
      <w:r w:rsidR="002C1444">
        <w:rPr>
          <w:sz w:val="22"/>
          <w:szCs w:val="22"/>
        </w:rPr>
        <w:t>ratívnych kapacít zapojených do </w:t>
      </w:r>
      <w:r>
        <w:rPr>
          <w:sz w:val="22"/>
          <w:szCs w:val="22"/>
        </w:rPr>
        <w:t>implementácie OP</w:t>
      </w:r>
      <w:r w:rsidR="00E23A27">
        <w:rPr>
          <w:sz w:val="22"/>
          <w:szCs w:val="22"/>
        </w:rPr>
        <w:t>,</w:t>
      </w:r>
    </w:p>
    <w:p w14:paraId="05F98F4E" w14:textId="77777777" w:rsidR="009E0158" w:rsidRDefault="00CD60F7" w:rsidP="005B348A">
      <w:pPr>
        <w:numPr>
          <w:ilvl w:val="2"/>
          <w:numId w:val="73"/>
        </w:numPr>
        <w:tabs>
          <w:tab w:val="clear" w:pos="360"/>
        </w:tabs>
        <w:ind w:left="426" w:hanging="426"/>
        <w:jc w:val="both"/>
        <w:rPr>
          <w:sz w:val="22"/>
          <w:szCs w:val="22"/>
        </w:rPr>
      </w:pPr>
      <w:r>
        <w:rPr>
          <w:sz w:val="22"/>
          <w:szCs w:val="22"/>
        </w:rPr>
        <w:t>Zabezpečenie technického vybavenia a technologicke</w:t>
      </w:r>
      <w:r w:rsidR="002C1444">
        <w:rPr>
          <w:sz w:val="22"/>
          <w:szCs w:val="22"/>
        </w:rPr>
        <w:t>j podpory útvarov zapojených do </w:t>
      </w:r>
      <w:r>
        <w:rPr>
          <w:sz w:val="22"/>
          <w:szCs w:val="22"/>
        </w:rPr>
        <w:t>implementácie OP</w:t>
      </w:r>
      <w:r w:rsidR="00E23A27">
        <w:rPr>
          <w:sz w:val="22"/>
          <w:szCs w:val="22"/>
        </w:rPr>
        <w:t>,</w:t>
      </w:r>
    </w:p>
    <w:p w14:paraId="51FB5A2F" w14:textId="77777777" w:rsidR="009E0158" w:rsidRDefault="00CD60F7" w:rsidP="005B348A">
      <w:pPr>
        <w:numPr>
          <w:ilvl w:val="2"/>
          <w:numId w:val="73"/>
        </w:numPr>
        <w:tabs>
          <w:tab w:val="clear" w:pos="360"/>
        </w:tabs>
        <w:ind w:left="426" w:hanging="426"/>
        <w:jc w:val="both"/>
        <w:rPr>
          <w:sz w:val="22"/>
          <w:szCs w:val="22"/>
        </w:rPr>
      </w:pPr>
      <w:r w:rsidRPr="002D011B">
        <w:rPr>
          <w:sz w:val="22"/>
          <w:szCs w:val="22"/>
        </w:rPr>
        <w:t>Zabezpečenie výmeny informácií na úrovni útvarov a organizácií zapojených do implementácie</w:t>
      </w:r>
      <w:r w:rsidR="00FB464C">
        <w:rPr>
          <w:sz w:val="22"/>
          <w:szCs w:val="22"/>
        </w:rPr>
        <w:t xml:space="preserve"> OP</w:t>
      </w:r>
      <w:r w:rsidRPr="002D011B">
        <w:rPr>
          <w:sz w:val="22"/>
          <w:szCs w:val="22"/>
        </w:rPr>
        <w:t xml:space="preserve"> , problematiky fondov EÚ a problematiky v oblasti dopravy a </w:t>
      </w:r>
      <w:r>
        <w:rPr>
          <w:sz w:val="22"/>
          <w:szCs w:val="22"/>
        </w:rPr>
        <w:t>informačnej</w:t>
      </w:r>
      <w:r w:rsidRPr="002D011B">
        <w:rPr>
          <w:sz w:val="22"/>
          <w:szCs w:val="22"/>
        </w:rPr>
        <w:t xml:space="preserve"> spoločnosti</w:t>
      </w:r>
      <w:r>
        <w:rPr>
          <w:sz w:val="22"/>
          <w:szCs w:val="22"/>
        </w:rPr>
        <w:t>,</w:t>
      </w:r>
    </w:p>
    <w:p w14:paraId="32BF956A" w14:textId="77777777" w:rsidR="009E0158" w:rsidRDefault="00CD60F7" w:rsidP="005B348A">
      <w:pPr>
        <w:numPr>
          <w:ilvl w:val="2"/>
          <w:numId w:val="73"/>
        </w:numPr>
        <w:tabs>
          <w:tab w:val="clear" w:pos="360"/>
        </w:tabs>
        <w:ind w:left="426" w:hanging="426"/>
        <w:jc w:val="both"/>
        <w:rPr>
          <w:sz w:val="22"/>
          <w:szCs w:val="22"/>
        </w:rPr>
      </w:pPr>
      <w:r w:rsidRPr="002C1444">
        <w:rPr>
          <w:sz w:val="22"/>
          <w:szCs w:val="22"/>
        </w:rPr>
        <w:t>Externá podpora implementácie OP.</w:t>
      </w:r>
    </w:p>
    <w:p w14:paraId="7AD3E343" w14:textId="77777777" w:rsidR="009E0158" w:rsidRDefault="001726F5" w:rsidP="005B348A">
      <w:pPr>
        <w:numPr>
          <w:ilvl w:val="2"/>
          <w:numId w:val="74"/>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Refundácia miezd</w:t>
      </w:r>
      <w:r w:rsidR="00CD60F7">
        <w:rPr>
          <w:b/>
          <w:i/>
          <w:color w:val="548DD4" w:themeColor="text2" w:themeTint="99"/>
          <w:sz w:val="22"/>
          <w:szCs w:val="22"/>
        </w:rPr>
        <w:t xml:space="preserve"> </w:t>
      </w:r>
      <w:r w:rsidR="00CD60F7" w:rsidRPr="00246FE6">
        <w:rPr>
          <w:b/>
          <w:i/>
          <w:color w:val="548DD4" w:themeColor="text2" w:themeTint="99"/>
          <w:sz w:val="22"/>
          <w:szCs w:val="22"/>
        </w:rPr>
        <w:t>administratívnych kapacít</w:t>
      </w:r>
      <w:r w:rsidR="00CD60F7">
        <w:rPr>
          <w:b/>
          <w:i/>
          <w:color w:val="548DD4" w:themeColor="text2" w:themeTint="99"/>
          <w:sz w:val="22"/>
          <w:szCs w:val="22"/>
        </w:rPr>
        <w:t xml:space="preserve"> zapojených</w:t>
      </w:r>
      <w:r w:rsidR="00CD60F7" w:rsidRPr="00246FE6">
        <w:rPr>
          <w:b/>
          <w:i/>
          <w:color w:val="548DD4" w:themeColor="text2" w:themeTint="99"/>
          <w:sz w:val="22"/>
          <w:szCs w:val="22"/>
        </w:rPr>
        <w:t xml:space="preserve"> do implementácie OP</w:t>
      </w:r>
    </w:p>
    <w:p w14:paraId="2DC286CA" w14:textId="77777777" w:rsidR="00CD60F7" w:rsidRPr="00246FE6" w:rsidRDefault="00CD60F7" w:rsidP="00CD60F7">
      <w:pPr>
        <w:autoSpaceDE w:val="0"/>
        <w:autoSpaceDN w:val="0"/>
        <w:adjustRightInd w:val="0"/>
        <w:spacing w:before="120" w:after="120"/>
        <w:jc w:val="both"/>
        <w:rPr>
          <w:sz w:val="22"/>
          <w:szCs w:val="22"/>
        </w:rPr>
      </w:pPr>
      <w:r w:rsidRPr="00246FE6">
        <w:rPr>
          <w:b/>
          <w:sz w:val="22"/>
          <w:szCs w:val="22"/>
        </w:rPr>
        <w:t>formou:</w:t>
      </w:r>
      <w:r w:rsidRPr="00246FE6">
        <w:rPr>
          <w:sz w:val="22"/>
          <w:szCs w:val="22"/>
        </w:rPr>
        <w:t xml:space="preserve"> finančného ohodnotenia administratívnych kapacít konkurujúcim súkromnej sfére </w:t>
      </w:r>
      <w:r>
        <w:rPr>
          <w:sz w:val="22"/>
          <w:szCs w:val="22"/>
        </w:rPr>
        <w:t xml:space="preserve">zabezpečením refundácie miezd pracovníkov zapojených do implementácie OP </w:t>
      </w:r>
      <w:r w:rsidRPr="00246FE6">
        <w:rPr>
          <w:sz w:val="22"/>
          <w:szCs w:val="22"/>
        </w:rPr>
        <w:t>(mzdové náklady, odmeny, odvody zamestnávateľa, dohody mimo pracovného pomeru)</w:t>
      </w:r>
    </w:p>
    <w:p w14:paraId="1AB9BA31" w14:textId="77777777" w:rsidR="00CD60F7" w:rsidRPr="00246FE6" w:rsidRDefault="00CD60F7" w:rsidP="00CD60F7">
      <w:pPr>
        <w:autoSpaceDE w:val="0"/>
        <w:autoSpaceDN w:val="0"/>
        <w:adjustRightInd w:val="0"/>
        <w:spacing w:after="120" w:line="240" w:lineRule="exact"/>
        <w:jc w:val="both"/>
        <w:rPr>
          <w:sz w:val="22"/>
          <w:szCs w:val="22"/>
        </w:rPr>
      </w:pPr>
      <w:r w:rsidRPr="00246FE6">
        <w:rPr>
          <w:b/>
          <w:sz w:val="22"/>
          <w:szCs w:val="22"/>
        </w:rPr>
        <w:t>s cieľom:</w:t>
      </w:r>
      <w:r w:rsidRPr="00246FE6">
        <w:rPr>
          <w:sz w:val="22"/>
          <w:szCs w:val="22"/>
        </w:rPr>
        <w:t xml:space="preserve"> zapojenia odborníkov do implementácie OP a tým zvýšenia kvality jeho implementácie, ktorá priamo súvisí s kvalitným ľudským kapitálom; výsledkom budú stabilizované a erudované administratívne kapacity</w:t>
      </w:r>
    </w:p>
    <w:p w14:paraId="6228B63A" w14:textId="77777777" w:rsidR="00CD60F7" w:rsidRDefault="00CD60F7" w:rsidP="00CD60F7">
      <w:pPr>
        <w:autoSpaceDE w:val="0"/>
        <w:autoSpaceDN w:val="0"/>
        <w:adjustRightInd w:val="0"/>
        <w:spacing w:after="120" w:line="240" w:lineRule="exact"/>
        <w:jc w:val="both"/>
        <w:rPr>
          <w:sz w:val="22"/>
          <w:szCs w:val="22"/>
        </w:rPr>
      </w:pPr>
      <w:r w:rsidRPr="00246FE6">
        <w:rPr>
          <w:sz w:val="22"/>
          <w:szCs w:val="22"/>
        </w:rPr>
        <w:t>Pri výbere administratívnych kapacít bude zabezpečená zásada rodovej rovnosti, rovnosti príležitostí a zásada predchádzania diskriminácie.</w:t>
      </w:r>
      <w:r>
        <w:rPr>
          <w:sz w:val="22"/>
          <w:szCs w:val="22"/>
        </w:rPr>
        <w:t xml:space="preserve"> </w:t>
      </w:r>
    </w:p>
    <w:p w14:paraId="4EE3B366" w14:textId="77777777" w:rsidR="009E0158" w:rsidRDefault="00CD60F7" w:rsidP="005B348A">
      <w:pPr>
        <w:numPr>
          <w:ilvl w:val="2"/>
          <w:numId w:val="74"/>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Zvyšovanie odborných a jazykových zručností administ</w:t>
      </w:r>
      <w:r w:rsidR="002C1444">
        <w:rPr>
          <w:b/>
          <w:i/>
          <w:color w:val="548DD4" w:themeColor="text2" w:themeTint="99"/>
          <w:sz w:val="22"/>
          <w:szCs w:val="22"/>
        </w:rPr>
        <w:t>ratívnych kapacít zapojených do </w:t>
      </w:r>
      <w:r>
        <w:rPr>
          <w:b/>
          <w:i/>
          <w:color w:val="548DD4" w:themeColor="text2" w:themeTint="99"/>
          <w:sz w:val="22"/>
          <w:szCs w:val="22"/>
        </w:rPr>
        <w:t>implementácie OP</w:t>
      </w:r>
    </w:p>
    <w:p w14:paraId="10663237" w14:textId="77777777" w:rsidR="00CD60F7" w:rsidRPr="00246FE6" w:rsidRDefault="00CD60F7" w:rsidP="00CD60F7">
      <w:pPr>
        <w:autoSpaceDE w:val="0"/>
        <w:autoSpaceDN w:val="0"/>
        <w:adjustRightInd w:val="0"/>
        <w:spacing w:before="120" w:after="120"/>
        <w:jc w:val="both"/>
        <w:rPr>
          <w:b/>
          <w:sz w:val="22"/>
          <w:szCs w:val="22"/>
        </w:rPr>
      </w:pPr>
      <w:r w:rsidRPr="00246FE6">
        <w:rPr>
          <w:b/>
          <w:sz w:val="22"/>
          <w:szCs w:val="22"/>
        </w:rPr>
        <w:t xml:space="preserve">formou: </w:t>
      </w:r>
      <w:r w:rsidRPr="00246FE6">
        <w:rPr>
          <w:sz w:val="22"/>
          <w:szCs w:val="22"/>
        </w:rPr>
        <w:t>tuzemských a zahraničných školení, kurzov, seminárov, w</w:t>
      </w:r>
      <w:r>
        <w:rPr>
          <w:sz w:val="22"/>
          <w:szCs w:val="22"/>
        </w:rPr>
        <w:t>orkshopov a stáží zameraných na </w:t>
      </w:r>
      <w:r w:rsidRPr="00246FE6">
        <w:rPr>
          <w:sz w:val="22"/>
          <w:szCs w:val="22"/>
        </w:rPr>
        <w:t>odbornú tematiku spojenú s fondmi EÚ a s oblasťou dopravy a informatizácie, ako aj na zvyšovanie zručností v úradných jazykoch EÚ</w:t>
      </w:r>
    </w:p>
    <w:p w14:paraId="3BA11982" w14:textId="77777777" w:rsidR="00CD60F7" w:rsidRDefault="00CD60F7" w:rsidP="00CD60F7">
      <w:pPr>
        <w:autoSpaceDE w:val="0"/>
        <w:autoSpaceDN w:val="0"/>
        <w:adjustRightInd w:val="0"/>
        <w:spacing w:before="120" w:after="120"/>
        <w:jc w:val="both"/>
        <w:rPr>
          <w:sz w:val="22"/>
          <w:szCs w:val="22"/>
        </w:rPr>
      </w:pPr>
      <w:r w:rsidRPr="00246FE6">
        <w:rPr>
          <w:b/>
          <w:sz w:val="22"/>
          <w:szCs w:val="22"/>
        </w:rPr>
        <w:t xml:space="preserve">s cieľom: </w:t>
      </w:r>
      <w:r w:rsidRPr="00246FE6">
        <w:rPr>
          <w:sz w:val="22"/>
          <w:szCs w:val="22"/>
        </w:rPr>
        <w:t xml:space="preserve">zvýšenia odbornosti administratívnych kapacít vedúcej </w:t>
      </w:r>
      <w:r>
        <w:rPr>
          <w:sz w:val="22"/>
          <w:szCs w:val="22"/>
        </w:rPr>
        <w:t>k efektívnejšiemu reagovaniu na </w:t>
      </w:r>
      <w:r w:rsidRPr="00246FE6">
        <w:rPr>
          <w:sz w:val="22"/>
          <w:szCs w:val="22"/>
        </w:rPr>
        <w:t>situácie v implementácii OP a s cieľom zlepšenia komunikácie administratívnych kapacít voči európskym inštitúciám a partnerom z ďalších členských štátov EÚ</w:t>
      </w:r>
    </w:p>
    <w:p w14:paraId="2E5C6C8A" w14:textId="77777777" w:rsidR="009E0158" w:rsidRDefault="00CD60F7" w:rsidP="005B348A">
      <w:pPr>
        <w:pStyle w:val="Odsekzoznamu"/>
        <w:numPr>
          <w:ilvl w:val="2"/>
          <w:numId w:val="74"/>
        </w:numPr>
        <w:tabs>
          <w:tab w:val="clear" w:pos="360"/>
          <w:tab w:val="num" w:pos="851"/>
        </w:tabs>
        <w:spacing w:before="180" w:after="120"/>
        <w:ind w:left="851" w:hanging="425"/>
        <w:jc w:val="both"/>
        <w:rPr>
          <w:b/>
          <w:i/>
          <w:color w:val="548DD4" w:themeColor="text2" w:themeTint="99"/>
          <w:sz w:val="22"/>
          <w:szCs w:val="22"/>
        </w:rPr>
      </w:pPr>
      <w:r w:rsidRPr="003A4E84">
        <w:rPr>
          <w:b/>
          <w:i/>
          <w:color w:val="548DD4" w:themeColor="text2" w:themeTint="99"/>
          <w:sz w:val="22"/>
          <w:szCs w:val="22"/>
        </w:rPr>
        <w:t xml:space="preserve"> </w:t>
      </w:r>
      <w:r>
        <w:rPr>
          <w:b/>
          <w:i/>
          <w:color w:val="548DD4" w:themeColor="text2" w:themeTint="99"/>
          <w:sz w:val="22"/>
          <w:szCs w:val="22"/>
        </w:rPr>
        <w:t>Zabezpečenie technického vybavenia a technologicke</w:t>
      </w:r>
      <w:r w:rsidR="002C1444">
        <w:rPr>
          <w:b/>
          <w:i/>
          <w:color w:val="548DD4" w:themeColor="text2" w:themeTint="99"/>
          <w:sz w:val="22"/>
          <w:szCs w:val="22"/>
        </w:rPr>
        <w:t>j podpory útvarov zapojených do </w:t>
      </w:r>
      <w:r>
        <w:rPr>
          <w:b/>
          <w:i/>
          <w:color w:val="548DD4" w:themeColor="text2" w:themeTint="99"/>
          <w:sz w:val="22"/>
          <w:szCs w:val="22"/>
        </w:rPr>
        <w:t>implementácie OP</w:t>
      </w:r>
    </w:p>
    <w:p w14:paraId="2ABCBB95" w14:textId="77777777" w:rsidR="00CD60F7" w:rsidRPr="003A7F56" w:rsidRDefault="00CD60F7" w:rsidP="00CD60F7">
      <w:pPr>
        <w:autoSpaceDE w:val="0"/>
        <w:autoSpaceDN w:val="0"/>
        <w:adjustRightInd w:val="0"/>
        <w:spacing w:after="120" w:line="240" w:lineRule="exact"/>
        <w:jc w:val="both"/>
        <w:rPr>
          <w:sz w:val="22"/>
          <w:szCs w:val="22"/>
        </w:rPr>
      </w:pPr>
      <w:r w:rsidRPr="003A7F56">
        <w:rPr>
          <w:b/>
          <w:sz w:val="22"/>
          <w:szCs w:val="22"/>
        </w:rPr>
        <w:t>formou:</w:t>
      </w:r>
      <w:r w:rsidRPr="003A7F56">
        <w:rPr>
          <w:sz w:val="22"/>
          <w:szCs w:val="22"/>
        </w:rPr>
        <w:t xml:space="preserve"> materiálno-technického a prevádzkového zabezpečenia v podobe</w:t>
      </w:r>
      <w:r>
        <w:rPr>
          <w:sz w:val="22"/>
          <w:szCs w:val="22"/>
        </w:rPr>
        <w:t xml:space="preserve"> výpočtovej a </w:t>
      </w:r>
      <w:r w:rsidRPr="003A7F56">
        <w:rPr>
          <w:sz w:val="22"/>
          <w:szCs w:val="22"/>
        </w:rPr>
        <w:t xml:space="preserve">telekomunikačnej techniky, mobiliárneho vybavenia, dopravných prostriedkov, kancelárskych potrieb a ďalších pomôcok </w:t>
      </w:r>
      <w:r>
        <w:rPr>
          <w:sz w:val="22"/>
          <w:szCs w:val="22"/>
        </w:rPr>
        <w:t xml:space="preserve">na </w:t>
      </w:r>
      <w:r w:rsidRPr="003A7F56">
        <w:rPr>
          <w:sz w:val="22"/>
          <w:szCs w:val="22"/>
        </w:rPr>
        <w:t>podpor</w:t>
      </w:r>
      <w:r>
        <w:rPr>
          <w:sz w:val="22"/>
          <w:szCs w:val="22"/>
        </w:rPr>
        <w:t xml:space="preserve">u projektového riadenia pre útvary </w:t>
      </w:r>
      <w:r w:rsidRPr="003A7F56">
        <w:rPr>
          <w:sz w:val="22"/>
          <w:szCs w:val="22"/>
        </w:rPr>
        <w:t>z</w:t>
      </w:r>
      <w:r>
        <w:rPr>
          <w:sz w:val="22"/>
          <w:szCs w:val="22"/>
        </w:rPr>
        <w:t>apojené do implementácie OPII</w:t>
      </w:r>
    </w:p>
    <w:p w14:paraId="2575079E" w14:textId="77777777" w:rsidR="00CD60F7" w:rsidRPr="003A7F56" w:rsidRDefault="00CD60F7" w:rsidP="00CD60F7">
      <w:pPr>
        <w:autoSpaceDE w:val="0"/>
        <w:autoSpaceDN w:val="0"/>
        <w:adjustRightInd w:val="0"/>
        <w:spacing w:after="120" w:line="240" w:lineRule="exact"/>
        <w:jc w:val="both"/>
        <w:rPr>
          <w:sz w:val="22"/>
          <w:szCs w:val="22"/>
        </w:rPr>
      </w:pPr>
      <w:r w:rsidRPr="003A7F56">
        <w:rPr>
          <w:b/>
          <w:sz w:val="22"/>
          <w:szCs w:val="22"/>
        </w:rPr>
        <w:lastRenderedPageBreak/>
        <w:t>s cieľom:</w:t>
      </w:r>
      <w:r w:rsidRPr="003A7F56">
        <w:rPr>
          <w:sz w:val="22"/>
          <w:szCs w:val="22"/>
        </w:rPr>
        <w:t xml:space="preserve"> zlepšenia pracovných podmienok a zvýšenia kvality a rýchlosti vykonávania úloh </w:t>
      </w:r>
      <w:r>
        <w:rPr>
          <w:sz w:val="22"/>
          <w:szCs w:val="22"/>
        </w:rPr>
        <w:t>spojených s implementáciou OP</w:t>
      </w:r>
      <w:r w:rsidRPr="003A7F56">
        <w:rPr>
          <w:sz w:val="22"/>
          <w:szCs w:val="22"/>
        </w:rPr>
        <w:t xml:space="preserve"> tým zvýšenia efektívnos</w:t>
      </w:r>
      <w:r>
        <w:rPr>
          <w:sz w:val="22"/>
          <w:szCs w:val="22"/>
        </w:rPr>
        <w:t>ti implementácie</w:t>
      </w:r>
      <w:r w:rsidRPr="003A7F56">
        <w:rPr>
          <w:sz w:val="22"/>
          <w:szCs w:val="22"/>
        </w:rPr>
        <w:t xml:space="preserve"> OP</w:t>
      </w:r>
    </w:p>
    <w:p w14:paraId="15B1ECA0" w14:textId="77777777" w:rsidR="009E0158" w:rsidRDefault="00CD60F7" w:rsidP="005B348A">
      <w:pPr>
        <w:numPr>
          <w:ilvl w:val="2"/>
          <w:numId w:val="74"/>
        </w:numPr>
        <w:tabs>
          <w:tab w:val="clear" w:pos="360"/>
          <w:tab w:val="num" w:pos="993"/>
        </w:tabs>
        <w:spacing w:before="180" w:after="120"/>
        <w:ind w:left="851" w:hanging="425"/>
        <w:jc w:val="both"/>
        <w:rPr>
          <w:b/>
          <w:i/>
          <w:color w:val="548DD4" w:themeColor="text2" w:themeTint="99"/>
          <w:sz w:val="22"/>
          <w:szCs w:val="22"/>
        </w:rPr>
      </w:pPr>
      <w:r>
        <w:rPr>
          <w:b/>
          <w:i/>
          <w:color w:val="548DD4" w:themeColor="text2" w:themeTint="99"/>
          <w:sz w:val="22"/>
          <w:szCs w:val="22"/>
        </w:rPr>
        <w:t xml:space="preserve">Zabezpečenie výmeny informácií na úrovni útvarov a organizácií zapojených do implementácie OP, </w:t>
      </w:r>
      <w:r w:rsidRPr="00CF2C83">
        <w:rPr>
          <w:b/>
          <w:i/>
          <w:color w:val="548DD4" w:themeColor="text2" w:themeTint="99"/>
          <w:sz w:val="22"/>
          <w:szCs w:val="22"/>
        </w:rPr>
        <w:t>problematiky</w:t>
      </w:r>
      <w:r w:rsidR="006D4B6E" w:rsidRPr="00CF2C83">
        <w:rPr>
          <w:b/>
          <w:i/>
          <w:color w:val="548DD4" w:themeColor="text2" w:themeTint="99"/>
          <w:sz w:val="22"/>
          <w:szCs w:val="22"/>
        </w:rPr>
        <w:t xml:space="preserve"> fondov</w:t>
      </w:r>
      <w:r w:rsidRPr="00CF2C83">
        <w:rPr>
          <w:b/>
          <w:i/>
          <w:color w:val="548DD4" w:themeColor="text2" w:themeTint="99"/>
          <w:sz w:val="22"/>
          <w:szCs w:val="22"/>
        </w:rPr>
        <w:t xml:space="preserve"> EÚ</w:t>
      </w:r>
      <w:r>
        <w:rPr>
          <w:b/>
          <w:i/>
          <w:color w:val="548DD4" w:themeColor="text2" w:themeTint="99"/>
          <w:sz w:val="22"/>
          <w:szCs w:val="22"/>
        </w:rPr>
        <w:t xml:space="preserve"> a problematiky v oblasti dopravy a informačnej spoločnosti</w:t>
      </w:r>
    </w:p>
    <w:p w14:paraId="65CF80C0" w14:textId="77777777"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formou:</w:t>
      </w:r>
      <w:r w:rsidRPr="002D011B">
        <w:rPr>
          <w:sz w:val="22"/>
          <w:szCs w:val="22"/>
        </w:rPr>
        <w:t xml:space="preserve"> monitorovacích výborov OP, koordinačných porád, konferencií, seminárov, tuzemských a zahraničných rokovaní, pracovných ciest </w:t>
      </w:r>
      <w:r>
        <w:rPr>
          <w:sz w:val="22"/>
          <w:szCs w:val="22"/>
        </w:rPr>
        <w:t>spojených s kontrolou projektov</w:t>
      </w:r>
    </w:p>
    <w:p w14:paraId="648B42A7" w14:textId="77777777"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s cieľom:</w:t>
      </w:r>
      <w:r w:rsidRPr="002D011B">
        <w:rPr>
          <w:sz w:val="22"/>
          <w:szCs w:val="22"/>
        </w:rPr>
        <w:t xml:space="preserve"> zlepšenia a zrýchlenia komunikácie OP na úrovni útvarov a organizácií podporujúcich implementáciu OP a tým zlepšenia spôsobu a urýchlenia riešenia situácií ohľadom implementácie OP</w:t>
      </w:r>
    </w:p>
    <w:p w14:paraId="4D88F901" w14:textId="77777777" w:rsidR="009E0158" w:rsidRDefault="00CD60F7" w:rsidP="005B348A">
      <w:pPr>
        <w:numPr>
          <w:ilvl w:val="2"/>
          <w:numId w:val="74"/>
        </w:numPr>
        <w:tabs>
          <w:tab w:val="clear" w:pos="360"/>
          <w:tab w:val="num" w:pos="993"/>
        </w:tabs>
        <w:spacing w:before="180" w:after="120"/>
        <w:ind w:left="851" w:hanging="425"/>
        <w:jc w:val="both"/>
        <w:rPr>
          <w:b/>
          <w:i/>
          <w:color w:val="548DD4" w:themeColor="text2" w:themeTint="99"/>
          <w:sz w:val="22"/>
          <w:szCs w:val="22"/>
        </w:rPr>
      </w:pPr>
      <w:r w:rsidRPr="00EF1FFE">
        <w:rPr>
          <w:b/>
          <w:i/>
          <w:color w:val="548DD4" w:themeColor="text2" w:themeTint="99"/>
          <w:sz w:val="22"/>
          <w:szCs w:val="22"/>
        </w:rPr>
        <w:t>Externá podpora implementácie OP</w:t>
      </w:r>
    </w:p>
    <w:p w14:paraId="1AC56A44" w14:textId="77777777"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formou:</w:t>
      </w:r>
      <w:r w:rsidRPr="002D011B">
        <w:rPr>
          <w:sz w:val="22"/>
          <w:szCs w:val="22"/>
        </w:rPr>
        <w:t xml:space="preserve"> spracovania štúdií, hodnotení, posudkov, stanovísk, analýz, strategických a metodických dokumentov a ďalších podkladov</w:t>
      </w:r>
      <w:r>
        <w:rPr>
          <w:sz w:val="22"/>
          <w:szCs w:val="22"/>
        </w:rPr>
        <w:t xml:space="preserve"> podporujúcich implementáciu OP</w:t>
      </w:r>
      <w:r w:rsidRPr="002D011B">
        <w:rPr>
          <w:sz w:val="22"/>
          <w:szCs w:val="22"/>
        </w:rPr>
        <w:t>; odborné a právne poradenstvo podporujúce implementáciu OP; prekladateľské a tlmočnícke služby vzťahujúce sa na implementáciu OP</w:t>
      </w:r>
    </w:p>
    <w:p w14:paraId="228A7072" w14:textId="77777777" w:rsidR="00CF2C83" w:rsidRPr="005E1717" w:rsidRDefault="00CD60F7" w:rsidP="005E1717">
      <w:pPr>
        <w:autoSpaceDE w:val="0"/>
        <w:autoSpaceDN w:val="0"/>
        <w:adjustRightInd w:val="0"/>
        <w:spacing w:after="120" w:line="240" w:lineRule="exact"/>
        <w:jc w:val="both"/>
        <w:rPr>
          <w:sz w:val="22"/>
          <w:szCs w:val="22"/>
        </w:rPr>
      </w:pPr>
      <w:r w:rsidRPr="002D011B">
        <w:rPr>
          <w:b/>
          <w:sz w:val="22"/>
          <w:szCs w:val="22"/>
        </w:rPr>
        <w:t>s cieľom:</w:t>
      </w:r>
      <w:r w:rsidRPr="002D011B">
        <w:rPr>
          <w:sz w:val="22"/>
          <w:szCs w:val="22"/>
        </w:rPr>
        <w:t xml:space="preserve"> zvýšiť kvalitu spracovávaných podkladov a procesov prípr</w:t>
      </w:r>
      <w:r>
        <w:rPr>
          <w:sz w:val="22"/>
          <w:szCs w:val="22"/>
        </w:rPr>
        <w:t>avy a implementácie projektov a </w:t>
      </w:r>
      <w:r w:rsidRPr="002D011B">
        <w:rPr>
          <w:sz w:val="22"/>
          <w:szCs w:val="22"/>
        </w:rPr>
        <w:t>tým zabezpečenie rýchlejšieho schvaľovania projektov a úspešnosti ich realizácie, čím sa dosiahnu ciele príslušných prioritných osí; zvýšenie kvality podkladov a procesov zapojením externých odborníkov do implementácie OP</w:t>
      </w:r>
    </w:p>
    <w:p w14:paraId="340892AB" w14:textId="77777777" w:rsidR="00960BB9" w:rsidRPr="004F0234" w:rsidRDefault="00960BB9" w:rsidP="002E1021">
      <w:pPr>
        <w:shd w:val="clear" w:color="auto" w:fill="FFFFCC"/>
        <w:spacing w:before="240"/>
        <w:jc w:val="both"/>
        <w:rPr>
          <w:b/>
          <w:i/>
        </w:rPr>
      </w:pPr>
      <w:r w:rsidRPr="004F0234">
        <w:rPr>
          <w:i/>
        </w:rPr>
        <w:t xml:space="preserve">ŠPECIFICKÝ CIEĽ </w:t>
      </w:r>
      <w:r>
        <w:rPr>
          <w:i/>
        </w:rPr>
        <w:t>8.</w:t>
      </w:r>
      <w:r w:rsidR="00F232AF">
        <w:rPr>
          <w:i/>
        </w:rPr>
        <w:t>2</w:t>
      </w:r>
      <w:r w:rsidRPr="004F0234">
        <w:rPr>
          <w:i/>
        </w:rPr>
        <w:t xml:space="preserve">: </w:t>
      </w:r>
      <w:r>
        <w:rPr>
          <w:b/>
          <w:i/>
        </w:rPr>
        <w:t>Z</w:t>
      </w:r>
      <w:r w:rsidR="00EF2741">
        <w:rPr>
          <w:b/>
          <w:i/>
        </w:rPr>
        <w:t>výšenie povedomia</w:t>
      </w:r>
      <w:r w:rsidR="00F232AF">
        <w:rPr>
          <w:b/>
          <w:i/>
        </w:rPr>
        <w:t xml:space="preserve"> verejnosti</w:t>
      </w:r>
      <w:r w:rsidR="00EF2741">
        <w:rPr>
          <w:b/>
          <w:i/>
        </w:rPr>
        <w:t xml:space="preserve"> o podpore EÚ pre OP prostredníctvom zabezpečenia efektívnej </w:t>
      </w:r>
      <w:r>
        <w:rPr>
          <w:b/>
          <w:i/>
        </w:rPr>
        <w:t>komunikácie OP</w:t>
      </w:r>
    </w:p>
    <w:p w14:paraId="47EF6803" w14:textId="196E6DD4" w:rsidR="005E1717" w:rsidRPr="004D0123" w:rsidRDefault="005E1717" w:rsidP="005E1717">
      <w:pPr>
        <w:spacing w:before="180"/>
        <w:jc w:val="both"/>
        <w:rPr>
          <w:sz w:val="22"/>
          <w:szCs w:val="22"/>
        </w:rPr>
      </w:pPr>
      <w:r w:rsidRPr="004D0123">
        <w:rPr>
          <w:sz w:val="22"/>
          <w:szCs w:val="22"/>
        </w:rPr>
        <w:t>Ďalším cieľom technickej pomoci je zabezpečenie efektívnej komunikácie OP</w:t>
      </w:r>
      <w:r>
        <w:rPr>
          <w:sz w:val="22"/>
          <w:szCs w:val="22"/>
        </w:rPr>
        <w:t xml:space="preserve"> smerom k verejnosti</w:t>
      </w:r>
      <w:r w:rsidR="00070C6D">
        <w:rPr>
          <w:sz w:val="22"/>
          <w:szCs w:val="22"/>
        </w:rPr>
        <w:t>, t. </w:t>
      </w:r>
      <w:r w:rsidRPr="004D0123">
        <w:rPr>
          <w:sz w:val="22"/>
          <w:szCs w:val="22"/>
        </w:rPr>
        <w:t>j. prostriedky technickej pomoci budú taktiež vynakladané na šírenie povedomia o podpore EÚ, s pomocou ktorej SR implementuje projekty zamerané na rozvoj dopravy a informačnej spoločnosti.</w:t>
      </w:r>
    </w:p>
    <w:p w14:paraId="46761647" w14:textId="77777777" w:rsidR="005E1717" w:rsidRDefault="005E1717" w:rsidP="00960BB9">
      <w:pPr>
        <w:spacing w:before="180"/>
        <w:jc w:val="both"/>
        <w:rPr>
          <w:sz w:val="22"/>
          <w:szCs w:val="22"/>
        </w:rPr>
      </w:pPr>
      <w:r w:rsidRPr="004D0123">
        <w:rPr>
          <w:sz w:val="22"/>
          <w:szCs w:val="22"/>
        </w:rPr>
        <w:t>Aktivity spojené s dosahovaním špecifických cieľov prioritnej osi 8 a s nimi súvisiace typy výdavkov budú oprávnené aj pre prípravu budúceho programového obdobia a ukončovanie pomoci programového obdobia 2007 - 2013.</w:t>
      </w:r>
    </w:p>
    <w:p w14:paraId="3B417DCE" w14:textId="77777777" w:rsidR="0075315D" w:rsidRDefault="00960BB9" w:rsidP="00960BB9">
      <w:pPr>
        <w:spacing w:before="180"/>
        <w:jc w:val="both"/>
        <w:rPr>
          <w:sz w:val="22"/>
          <w:szCs w:val="22"/>
        </w:rPr>
      </w:pPr>
      <w:r w:rsidRPr="002D011B">
        <w:rPr>
          <w:sz w:val="22"/>
          <w:szCs w:val="22"/>
        </w:rPr>
        <w:t>Časť prostriedkov technickej pomoci bude vynaložená na zabezpečen</w:t>
      </w:r>
      <w:r>
        <w:rPr>
          <w:sz w:val="22"/>
          <w:szCs w:val="22"/>
        </w:rPr>
        <w:t xml:space="preserve">ie efektívnej komunikácie OP </w:t>
      </w:r>
      <w:r w:rsidR="00E23A27">
        <w:rPr>
          <w:sz w:val="22"/>
          <w:szCs w:val="22"/>
        </w:rPr>
        <w:t>na </w:t>
      </w:r>
      <w:r w:rsidRPr="002D011B">
        <w:rPr>
          <w:sz w:val="22"/>
          <w:szCs w:val="22"/>
        </w:rPr>
        <w:t>úrovni RO, SORO a oprávnených prijímateľov s cieľom zaistenia</w:t>
      </w:r>
      <w:r w:rsidRPr="002D011B">
        <w:rPr>
          <w:color w:val="FF0000"/>
          <w:sz w:val="22"/>
          <w:szCs w:val="22"/>
        </w:rPr>
        <w:t xml:space="preserve"> </w:t>
      </w:r>
      <w:r w:rsidRPr="002D011B">
        <w:rPr>
          <w:sz w:val="22"/>
          <w:szCs w:val="22"/>
        </w:rPr>
        <w:t>publicity a</w:t>
      </w:r>
      <w:r>
        <w:rPr>
          <w:sz w:val="22"/>
          <w:szCs w:val="22"/>
        </w:rPr>
        <w:t xml:space="preserve"> znalosti u </w:t>
      </w:r>
      <w:r w:rsidRPr="002D011B">
        <w:rPr>
          <w:sz w:val="22"/>
          <w:szCs w:val="22"/>
        </w:rPr>
        <w:t>obyvateľov o prínosoch EÚ v oblasti rozvoja dopravného systému</w:t>
      </w:r>
      <w:r>
        <w:rPr>
          <w:sz w:val="22"/>
          <w:szCs w:val="22"/>
        </w:rPr>
        <w:t xml:space="preserve"> a informatizácie spoločnosti v </w:t>
      </w:r>
      <w:r w:rsidRPr="002D011B">
        <w:rPr>
          <w:sz w:val="22"/>
          <w:szCs w:val="22"/>
        </w:rPr>
        <w:t>SR. Zabezpečenie informovanosti verejnosti o podpore EÚ vytvorí predpoklad zvýšenia pozitívneho prístupu a občianskeho cítenia k EÚ.</w:t>
      </w:r>
    </w:p>
    <w:p w14:paraId="5A8423C6" w14:textId="77777777" w:rsidR="00960BB9" w:rsidRDefault="00960BB9" w:rsidP="00960BB9">
      <w:pPr>
        <w:pStyle w:val="Tab"/>
      </w:pPr>
      <w:r>
        <w:t>Zoznam ukazovateľov výsledkov vzťahujúcich sa na špecifický cieľ 8.</w:t>
      </w:r>
      <w:r w:rsidR="00784C4C">
        <w:t>2</w:t>
      </w:r>
    </w:p>
    <w:tbl>
      <w:tblPr>
        <w:tblStyle w:val="Mriekatabuky"/>
        <w:tblW w:w="92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552"/>
        <w:gridCol w:w="959"/>
        <w:gridCol w:w="1384"/>
        <w:gridCol w:w="1384"/>
        <w:gridCol w:w="949"/>
        <w:gridCol w:w="1166"/>
        <w:gridCol w:w="1280"/>
      </w:tblGrid>
      <w:tr w:rsidR="00960BB9" w14:paraId="68214559" w14:textId="77777777" w:rsidTr="00EF2741">
        <w:trPr>
          <w:trHeight w:val="487"/>
          <w:jc w:val="center"/>
        </w:trPr>
        <w:tc>
          <w:tcPr>
            <w:tcW w:w="556" w:type="dxa"/>
            <w:shd w:val="clear" w:color="auto" w:fill="C6D9F1" w:themeFill="text2" w:themeFillTint="33"/>
            <w:vAlign w:val="center"/>
          </w:tcPr>
          <w:p w14:paraId="1A5D37E7" w14:textId="77777777" w:rsidR="00960BB9" w:rsidRPr="008C1732" w:rsidRDefault="00960BB9" w:rsidP="00EF2741">
            <w:pPr>
              <w:ind w:left="0"/>
              <w:jc w:val="center"/>
              <w:rPr>
                <w:b/>
                <w:sz w:val="18"/>
                <w:szCs w:val="18"/>
              </w:rPr>
            </w:pPr>
            <w:r>
              <w:rPr>
                <w:b/>
                <w:sz w:val="18"/>
                <w:szCs w:val="18"/>
              </w:rPr>
              <w:t>P. č.</w:t>
            </w:r>
          </w:p>
        </w:tc>
        <w:tc>
          <w:tcPr>
            <w:tcW w:w="1552" w:type="dxa"/>
            <w:shd w:val="clear" w:color="auto" w:fill="C6D9F1" w:themeFill="text2" w:themeFillTint="33"/>
            <w:vAlign w:val="center"/>
          </w:tcPr>
          <w:p w14:paraId="05364BA6" w14:textId="77777777" w:rsidR="00960BB9" w:rsidRPr="008C1732" w:rsidRDefault="00960BB9" w:rsidP="00EF2741">
            <w:pPr>
              <w:ind w:left="0"/>
              <w:jc w:val="center"/>
              <w:rPr>
                <w:b/>
                <w:sz w:val="18"/>
                <w:szCs w:val="18"/>
              </w:rPr>
            </w:pPr>
            <w:r w:rsidRPr="008C1732">
              <w:rPr>
                <w:b/>
                <w:sz w:val="18"/>
                <w:szCs w:val="18"/>
              </w:rPr>
              <w:t>Ukazovateľ</w:t>
            </w:r>
          </w:p>
        </w:tc>
        <w:tc>
          <w:tcPr>
            <w:tcW w:w="959" w:type="dxa"/>
            <w:shd w:val="clear" w:color="auto" w:fill="C6D9F1" w:themeFill="text2" w:themeFillTint="33"/>
            <w:vAlign w:val="center"/>
          </w:tcPr>
          <w:p w14:paraId="0F00D1A9" w14:textId="77777777" w:rsidR="00960BB9" w:rsidRPr="008C1732" w:rsidRDefault="00960BB9" w:rsidP="00EF2741">
            <w:pPr>
              <w:ind w:left="0"/>
              <w:jc w:val="center"/>
              <w:rPr>
                <w:b/>
                <w:sz w:val="18"/>
                <w:szCs w:val="18"/>
              </w:rPr>
            </w:pPr>
            <w:r w:rsidRPr="008C1732">
              <w:rPr>
                <w:b/>
                <w:sz w:val="18"/>
                <w:szCs w:val="18"/>
              </w:rPr>
              <w:t>Merná jednotka</w:t>
            </w:r>
          </w:p>
        </w:tc>
        <w:tc>
          <w:tcPr>
            <w:tcW w:w="1384" w:type="dxa"/>
            <w:shd w:val="clear" w:color="auto" w:fill="C6D9F1" w:themeFill="text2" w:themeFillTint="33"/>
            <w:vAlign w:val="center"/>
          </w:tcPr>
          <w:p w14:paraId="2D77F645" w14:textId="77777777" w:rsidR="00960BB9" w:rsidRPr="008C1732" w:rsidRDefault="00960BB9" w:rsidP="00EF2741">
            <w:pPr>
              <w:ind w:left="0"/>
              <w:jc w:val="center"/>
              <w:rPr>
                <w:b/>
                <w:sz w:val="18"/>
                <w:szCs w:val="18"/>
              </w:rPr>
            </w:pPr>
            <w:r>
              <w:rPr>
                <w:b/>
                <w:sz w:val="18"/>
                <w:szCs w:val="18"/>
              </w:rPr>
              <w:t>Východisková hodnota</w:t>
            </w:r>
          </w:p>
        </w:tc>
        <w:tc>
          <w:tcPr>
            <w:tcW w:w="1384" w:type="dxa"/>
            <w:shd w:val="clear" w:color="auto" w:fill="C6D9F1" w:themeFill="text2" w:themeFillTint="33"/>
            <w:vAlign w:val="center"/>
          </w:tcPr>
          <w:p w14:paraId="6E2F7F8B" w14:textId="77777777" w:rsidR="00960BB9" w:rsidRPr="008C1732" w:rsidRDefault="00960BB9" w:rsidP="00EF2741">
            <w:pPr>
              <w:ind w:left="0"/>
              <w:jc w:val="center"/>
              <w:rPr>
                <w:b/>
                <w:sz w:val="18"/>
                <w:szCs w:val="18"/>
              </w:rPr>
            </w:pPr>
            <w:r>
              <w:rPr>
                <w:b/>
                <w:sz w:val="18"/>
                <w:szCs w:val="18"/>
              </w:rPr>
              <w:t>Východiskový rok</w:t>
            </w:r>
          </w:p>
        </w:tc>
        <w:tc>
          <w:tcPr>
            <w:tcW w:w="949" w:type="dxa"/>
            <w:shd w:val="clear" w:color="auto" w:fill="C6D9F1" w:themeFill="text2" w:themeFillTint="33"/>
            <w:vAlign w:val="center"/>
          </w:tcPr>
          <w:p w14:paraId="2F3CE677" w14:textId="77777777" w:rsidR="00960BB9" w:rsidRPr="008C1732" w:rsidRDefault="00960BB9" w:rsidP="00EF2741">
            <w:pPr>
              <w:ind w:left="0"/>
              <w:jc w:val="center"/>
              <w:rPr>
                <w:b/>
                <w:sz w:val="18"/>
                <w:szCs w:val="18"/>
              </w:rPr>
            </w:pPr>
            <w:r w:rsidRPr="008C1732">
              <w:rPr>
                <w:b/>
                <w:sz w:val="18"/>
                <w:szCs w:val="18"/>
              </w:rPr>
              <w:t>Cieľová hodnota (2023)</w:t>
            </w:r>
          </w:p>
        </w:tc>
        <w:tc>
          <w:tcPr>
            <w:tcW w:w="1166" w:type="dxa"/>
            <w:shd w:val="clear" w:color="auto" w:fill="C6D9F1" w:themeFill="text2" w:themeFillTint="33"/>
            <w:vAlign w:val="center"/>
          </w:tcPr>
          <w:p w14:paraId="4E623D85" w14:textId="77777777" w:rsidR="00960BB9" w:rsidRPr="008C1732" w:rsidRDefault="00960BB9" w:rsidP="00EF2741">
            <w:pPr>
              <w:ind w:left="0"/>
              <w:jc w:val="center"/>
              <w:rPr>
                <w:b/>
                <w:sz w:val="18"/>
                <w:szCs w:val="18"/>
              </w:rPr>
            </w:pPr>
            <w:r w:rsidRPr="008C1732">
              <w:rPr>
                <w:b/>
                <w:sz w:val="18"/>
                <w:szCs w:val="18"/>
              </w:rPr>
              <w:t>Zdroj údajov</w:t>
            </w:r>
          </w:p>
        </w:tc>
        <w:tc>
          <w:tcPr>
            <w:tcW w:w="1280" w:type="dxa"/>
            <w:shd w:val="clear" w:color="auto" w:fill="C6D9F1" w:themeFill="text2" w:themeFillTint="33"/>
            <w:vAlign w:val="center"/>
          </w:tcPr>
          <w:p w14:paraId="29DEEC70" w14:textId="77777777" w:rsidR="00960BB9" w:rsidRPr="008C1732" w:rsidRDefault="00960BB9" w:rsidP="00EF2741">
            <w:pPr>
              <w:ind w:left="0"/>
              <w:jc w:val="center"/>
              <w:rPr>
                <w:b/>
                <w:sz w:val="18"/>
                <w:szCs w:val="18"/>
              </w:rPr>
            </w:pPr>
            <w:r w:rsidRPr="008C1732">
              <w:rPr>
                <w:b/>
                <w:sz w:val="18"/>
                <w:szCs w:val="18"/>
              </w:rPr>
              <w:t>Frekvencia vykazovania</w:t>
            </w:r>
          </w:p>
        </w:tc>
      </w:tr>
      <w:tr w:rsidR="00960BB9" w14:paraId="4A1A44DB" w14:textId="77777777" w:rsidTr="00EF2741">
        <w:trPr>
          <w:trHeight w:val="680"/>
          <w:jc w:val="center"/>
        </w:trPr>
        <w:tc>
          <w:tcPr>
            <w:tcW w:w="556" w:type="dxa"/>
            <w:shd w:val="clear" w:color="auto" w:fill="auto"/>
            <w:vAlign w:val="center"/>
          </w:tcPr>
          <w:p w14:paraId="5F6E5E2B" w14:textId="77777777" w:rsidR="00960BB9" w:rsidRPr="00336C1F" w:rsidRDefault="00960BB9" w:rsidP="00EF2741">
            <w:pPr>
              <w:ind w:left="0"/>
              <w:jc w:val="center"/>
              <w:rPr>
                <w:sz w:val="20"/>
                <w:szCs w:val="20"/>
              </w:rPr>
            </w:pPr>
            <w:r>
              <w:rPr>
                <w:sz w:val="20"/>
                <w:szCs w:val="20"/>
              </w:rPr>
              <w:t>1.</w:t>
            </w:r>
          </w:p>
        </w:tc>
        <w:tc>
          <w:tcPr>
            <w:tcW w:w="1552" w:type="dxa"/>
            <w:shd w:val="clear" w:color="auto" w:fill="auto"/>
            <w:vAlign w:val="center"/>
          </w:tcPr>
          <w:p w14:paraId="281F749C" w14:textId="77777777" w:rsidR="00960BB9" w:rsidRPr="00D504A0" w:rsidRDefault="0021450D" w:rsidP="00EF2741">
            <w:pPr>
              <w:autoSpaceDE w:val="0"/>
              <w:autoSpaceDN w:val="0"/>
              <w:adjustRightInd w:val="0"/>
              <w:ind w:left="0"/>
              <w:rPr>
                <w:sz w:val="18"/>
              </w:rPr>
            </w:pPr>
            <w:r>
              <w:rPr>
                <w:sz w:val="18"/>
              </w:rPr>
              <w:t>Miera informovanosti o možnostiach podpory z OP</w:t>
            </w:r>
          </w:p>
        </w:tc>
        <w:tc>
          <w:tcPr>
            <w:tcW w:w="959" w:type="dxa"/>
            <w:shd w:val="clear" w:color="auto" w:fill="auto"/>
            <w:vAlign w:val="center"/>
          </w:tcPr>
          <w:p w14:paraId="59C9481B" w14:textId="77777777" w:rsidR="00960BB9" w:rsidRPr="00D504A0" w:rsidRDefault="00960BB9" w:rsidP="00EF2741">
            <w:pPr>
              <w:autoSpaceDE w:val="0"/>
              <w:autoSpaceDN w:val="0"/>
              <w:adjustRightInd w:val="0"/>
              <w:ind w:left="0"/>
              <w:jc w:val="center"/>
              <w:rPr>
                <w:sz w:val="18"/>
              </w:rPr>
            </w:pPr>
            <w:r w:rsidRPr="00D504A0">
              <w:rPr>
                <w:sz w:val="18"/>
              </w:rPr>
              <w:t>%</w:t>
            </w:r>
          </w:p>
        </w:tc>
        <w:tc>
          <w:tcPr>
            <w:tcW w:w="1384" w:type="dxa"/>
            <w:vAlign w:val="center"/>
          </w:tcPr>
          <w:p w14:paraId="19E01FEF" w14:textId="77777777" w:rsidR="00960BB9" w:rsidRPr="00D504A0" w:rsidRDefault="00EF2741" w:rsidP="00EF2741">
            <w:pPr>
              <w:autoSpaceDE w:val="0"/>
              <w:autoSpaceDN w:val="0"/>
              <w:adjustRightInd w:val="0"/>
              <w:ind w:left="0"/>
              <w:jc w:val="center"/>
              <w:rPr>
                <w:sz w:val="18"/>
              </w:rPr>
            </w:pPr>
            <w:r w:rsidRPr="005E1717">
              <w:rPr>
                <w:sz w:val="18"/>
              </w:rPr>
              <w:t>27,8</w:t>
            </w:r>
          </w:p>
        </w:tc>
        <w:tc>
          <w:tcPr>
            <w:tcW w:w="1384" w:type="dxa"/>
            <w:vAlign w:val="center"/>
          </w:tcPr>
          <w:p w14:paraId="4635CB6C" w14:textId="77777777" w:rsidR="00960BB9" w:rsidRPr="00D504A0" w:rsidRDefault="005E1717" w:rsidP="00EF2741">
            <w:pPr>
              <w:autoSpaceDE w:val="0"/>
              <w:autoSpaceDN w:val="0"/>
              <w:adjustRightInd w:val="0"/>
              <w:ind w:left="0"/>
              <w:jc w:val="center"/>
              <w:rPr>
                <w:sz w:val="18"/>
              </w:rPr>
            </w:pPr>
            <w:r>
              <w:rPr>
                <w:sz w:val="18"/>
              </w:rPr>
              <w:t>2013</w:t>
            </w:r>
          </w:p>
        </w:tc>
        <w:tc>
          <w:tcPr>
            <w:tcW w:w="949" w:type="dxa"/>
            <w:shd w:val="clear" w:color="auto" w:fill="auto"/>
            <w:vAlign w:val="center"/>
          </w:tcPr>
          <w:p w14:paraId="18C9BF89" w14:textId="77777777" w:rsidR="00960BB9" w:rsidRPr="00D504A0" w:rsidRDefault="00F232AF" w:rsidP="00EF2741">
            <w:pPr>
              <w:autoSpaceDE w:val="0"/>
              <w:autoSpaceDN w:val="0"/>
              <w:adjustRightInd w:val="0"/>
              <w:ind w:left="0"/>
              <w:jc w:val="center"/>
              <w:rPr>
                <w:sz w:val="18"/>
              </w:rPr>
            </w:pPr>
            <w:r>
              <w:rPr>
                <w:sz w:val="18"/>
              </w:rPr>
              <w:t>33</w:t>
            </w:r>
          </w:p>
        </w:tc>
        <w:tc>
          <w:tcPr>
            <w:tcW w:w="1166" w:type="dxa"/>
            <w:vAlign w:val="center"/>
          </w:tcPr>
          <w:p w14:paraId="0EC5A152" w14:textId="77777777" w:rsidR="00960BB9" w:rsidRPr="00D504A0" w:rsidRDefault="00960BB9" w:rsidP="00EF2741">
            <w:pPr>
              <w:autoSpaceDE w:val="0"/>
              <w:autoSpaceDN w:val="0"/>
              <w:adjustRightInd w:val="0"/>
              <w:ind w:left="0"/>
              <w:jc w:val="center"/>
              <w:rPr>
                <w:sz w:val="18"/>
              </w:rPr>
            </w:pPr>
            <w:r>
              <w:rPr>
                <w:sz w:val="18"/>
              </w:rPr>
              <w:t>Sociologický prieskum</w:t>
            </w:r>
          </w:p>
        </w:tc>
        <w:tc>
          <w:tcPr>
            <w:tcW w:w="1280" w:type="dxa"/>
            <w:vAlign w:val="center"/>
          </w:tcPr>
          <w:p w14:paraId="4ECA8341" w14:textId="77777777" w:rsidR="00960BB9" w:rsidRPr="00D504A0" w:rsidRDefault="00EF2741" w:rsidP="00EF2741">
            <w:pPr>
              <w:autoSpaceDE w:val="0"/>
              <w:autoSpaceDN w:val="0"/>
              <w:adjustRightInd w:val="0"/>
              <w:ind w:left="0"/>
              <w:jc w:val="center"/>
              <w:rPr>
                <w:sz w:val="18"/>
              </w:rPr>
            </w:pPr>
            <w:r>
              <w:rPr>
                <w:sz w:val="18"/>
              </w:rPr>
              <w:t>dvoj</w:t>
            </w:r>
            <w:r w:rsidR="00960BB9" w:rsidRPr="00D504A0">
              <w:rPr>
                <w:sz w:val="18"/>
              </w:rPr>
              <w:t>ročne</w:t>
            </w:r>
          </w:p>
        </w:tc>
      </w:tr>
    </w:tbl>
    <w:p w14:paraId="6CD06324" w14:textId="77777777" w:rsidR="00F232AF" w:rsidRPr="00574D06" w:rsidRDefault="00157AAC" w:rsidP="002C1444">
      <w:pPr>
        <w:jc w:val="both"/>
        <w:rPr>
          <w:sz w:val="20"/>
        </w:rPr>
      </w:pPr>
      <w:bookmarkStart w:id="80" w:name="_Toc383719720"/>
      <w:r w:rsidRPr="005E1717">
        <w:rPr>
          <w:sz w:val="20"/>
        </w:rPr>
        <w:t>Po</w:t>
      </w:r>
      <w:r w:rsidR="0021450D" w:rsidRPr="005E1717">
        <w:rPr>
          <w:sz w:val="20"/>
        </w:rPr>
        <w:t xml:space="preserve">zn.: Východisková hodnota bola </w:t>
      </w:r>
      <w:r w:rsidRPr="005E1717">
        <w:rPr>
          <w:sz w:val="20"/>
        </w:rPr>
        <w:t>u</w:t>
      </w:r>
      <w:r w:rsidR="0021450D" w:rsidRPr="005E1717">
        <w:rPr>
          <w:sz w:val="20"/>
        </w:rPr>
        <w:t>r</w:t>
      </w:r>
      <w:r w:rsidRPr="005E1717">
        <w:rPr>
          <w:sz w:val="20"/>
        </w:rPr>
        <w:t>čená na základe kvantitatívneho prieskumu o znalosti Operačného programu Doprava, realizovaného v roku 2013 (podporená znalosť)</w:t>
      </w:r>
    </w:p>
    <w:p w14:paraId="11785743" w14:textId="77777777" w:rsidR="00960BB9" w:rsidRDefault="00960BB9" w:rsidP="00960BB9">
      <w:pPr>
        <w:pStyle w:val="Nadpis3"/>
      </w:pPr>
      <w:bookmarkStart w:id="81" w:name="_Toc28951637"/>
      <w:r w:rsidRPr="00027A15">
        <w:t>Aktivity</w:t>
      </w:r>
      <w:r>
        <w:t>, ktoré budú podporené a ich očakávaný prínos k špecifickému cieľu</w:t>
      </w:r>
      <w:bookmarkEnd w:id="80"/>
      <w:bookmarkEnd w:id="81"/>
    </w:p>
    <w:p w14:paraId="50B8707E" w14:textId="77777777" w:rsidR="009E0158" w:rsidRDefault="00960BB9" w:rsidP="005B348A">
      <w:pPr>
        <w:numPr>
          <w:ilvl w:val="0"/>
          <w:numId w:val="21"/>
        </w:numPr>
        <w:ind w:left="426" w:hanging="283"/>
        <w:jc w:val="both"/>
        <w:outlineLvl w:val="3"/>
        <w:rPr>
          <w:sz w:val="22"/>
          <w:szCs w:val="22"/>
        </w:rPr>
      </w:pPr>
      <w:r>
        <w:rPr>
          <w:sz w:val="22"/>
          <w:szCs w:val="22"/>
        </w:rPr>
        <w:t>z</w:t>
      </w:r>
      <w:r w:rsidRPr="002D011B">
        <w:rPr>
          <w:sz w:val="22"/>
          <w:szCs w:val="22"/>
        </w:rPr>
        <w:t>abezpečenie webového portálu o</w:t>
      </w:r>
      <w:r>
        <w:rPr>
          <w:sz w:val="22"/>
          <w:szCs w:val="22"/>
        </w:rPr>
        <w:t> </w:t>
      </w:r>
      <w:r w:rsidRPr="002D011B">
        <w:rPr>
          <w:sz w:val="22"/>
          <w:szCs w:val="22"/>
        </w:rPr>
        <w:t>OP</w:t>
      </w:r>
      <w:r>
        <w:rPr>
          <w:sz w:val="22"/>
          <w:szCs w:val="22"/>
        </w:rPr>
        <w:t>,</w:t>
      </w:r>
    </w:p>
    <w:p w14:paraId="4EC072BB" w14:textId="77777777" w:rsidR="009E0158" w:rsidRDefault="00960BB9" w:rsidP="005B348A">
      <w:pPr>
        <w:numPr>
          <w:ilvl w:val="0"/>
          <w:numId w:val="21"/>
        </w:numPr>
        <w:ind w:left="426" w:hanging="283"/>
        <w:jc w:val="both"/>
        <w:outlineLvl w:val="3"/>
        <w:rPr>
          <w:sz w:val="22"/>
          <w:szCs w:val="22"/>
        </w:rPr>
      </w:pPr>
      <w:r>
        <w:rPr>
          <w:sz w:val="22"/>
          <w:szCs w:val="22"/>
        </w:rPr>
        <w:t>p</w:t>
      </w:r>
      <w:r w:rsidRPr="002D011B">
        <w:rPr>
          <w:sz w:val="22"/>
          <w:szCs w:val="22"/>
        </w:rPr>
        <w:t>rodukcia a realizácia informačnej kampane zameranej na širokú verejnosť (nadlinková, podlinková komunikácia, analýza východiskového stavu, monitoring účinnosti kampane)</w:t>
      </w:r>
      <w:r>
        <w:rPr>
          <w:sz w:val="22"/>
          <w:szCs w:val="22"/>
        </w:rPr>
        <w:t>,</w:t>
      </w:r>
    </w:p>
    <w:p w14:paraId="47FE4B6C" w14:textId="77777777" w:rsidR="009E0158" w:rsidRDefault="00960BB9" w:rsidP="005B348A">
      <w:pPr>
        <w:numPr>
          <w:ilvl w:val="0"/>
          <w:numId w:val="21"/>
        </w:numPr>
        <w:ind w:left="426" w:hanging="283"/>
        <w:jc w:val="both"/>
        <w:outlineLvl w:val="3"/>
        <w:rPr>
          <w:sz w:val="22"/>
          <w:szCs w:val="22"/>
        </w:rPr>
      </w:pPr>
      <w:r>
        <w:rPr>
          <w:sz w:val="22"/>
          <w:szCs w:val="22"/>
        </w:rPr>
        <w:t>p</w:t>
      </w:r>
      <w:r w:rsidRPr="002D011B">
        <w:rPr>
          <w:sz w:val="22"/>
          <w:szCs w:val="22"/>
        </w:rPr>
        <w:t>ravidelná komunikácia so zástupcami médií prostredníctvom tlačových správ, tlačových konferencií</w:t>
      </w:r>
      <w:r>
        <w:rPr>
          <w:sz w:val="22"/>
          <w:szCs w:val="22"/>
        </w:rPr>
        <w:t>,</w:t>
      </w:r>
    </w:p>
    <w:p w14:paraId="01A03FC3" w14:textId="77777777" w:rsidR="009E0158" w:rsidRDefault="00960BB9" w:rsidP="005B348A">
      <w:pPr>
        <w:numPr>
          <w:ilvl w:val="0"/>
          <w:numId w:val="21"/>
        </w:numPr>
        <w:ind w:left="426" w:hanging="283"/>
        <w:jc w:val="both"/>
        <w:outlineLvl w:val="3"/>
        <w:rPr>
          <w:sz w:val="22"/>
          <w:szCs w:val="22"/>
        </w:rPr>
      </w:pPr>
      <w:r>
        <w:rPr>
          <w:sz w:val="22"/>
          <w:szCs w:val="22"/>
        </w:rPr>
        <w:t>k</w:t>
      </w:r>
      <w:r w:rsidRPr="002D011B">
        <w:rPr>
          <w:sz w:val="22"/>
          <w:szCs w:val="22"/>
        </w:rPr>
        <w:t>omunikácia zameraná na odbornú verejnosť (propagácia OP na odborných konferenciách a v odborných publikáciách)</w:t>
      </w:r>
      <w:r>
        <w:rPr>
          <w:sz w:val="22"/>
          <w:szCs w:val="22"/>
        </w:rPr>
        <w:t>,</w:t>
      </w:r>
    </w:p>
    <w:p w14:paraId="7BBAC0ED" w14:textId="77777777" w:rsidR="009E0158" w:rsidRDefault="00960BB9" w:rsidP="005B348A">
      <w:pPr>
        <w:numPr>
          <w:ilvl w:val="0"/>
          <w:numId w:val="21"/>
        </w:numPr>
        <w:ind w:left="426" w:hanging="283"/>
        <w:jc w:val="both"/>
        <w:outlineLvl w:val="3"/>
        <w:rPr>
          <w:sz w:val="22"/>
          <w:szCs w:val="22"/>
        </w:rPr>
      </w:pPr>
      <w:r>
        <w:rPr>
          <w:sz w:val="22"/>
          <w:szCs w:val="22"/>
        </w:rPr>
        <w:lastRenderedPageBreak/>
        <w:t>a</w:t>
      </w:r>
      <w:r w:rsidRPr="002D011B">
        <w:rPr>
          <w:sz w:val="22"/>
          <w:szCs w:val="22"/>
        </w:rPr>
        <w:t>ktivity týkajúce sa minimálnych opatrení v oblasti informov</w:t>
      </w:r>
      <w:r>
        <w:rPr>
          <w:sz w:val="22"/>
          <w:szCs w:val="22"/>
        </w:rPr>
        <w:t>ania a publicity definovaných v </w:t>
      </w:r>
      <w:r w:rsidRPr="002D011B">
        <w:rPr>
          <w:sz w:val="22"/>
          <w:szCs w:val="22"/>
        </w:rPr>
        <w:t>prílohe VI všeobecného nariadenia na úrovni r</w:t>
      </w:r>
      <w:r>
        <w:rPr>
          <w:sz w:val="22"/>
          <w:szCs w:val="22"/>
        </w:rPr>
        <w:t>iadiaceho orgánu a prijímateľov.</w:t>
      </w:r>
    </w:p>
    <w:p w14:paraId="468840EE" w14:textId="77777777" w:rsidR="00960BB9" w:rsidRPr="002D011B" w:rsidRDefault="00960BB9" w:rsidP="00960BB9">
      <w:pPr>
        <w:spacing w:before="180" w:after="120"/>
        <w:jc w:val="both"/>
        <w:outlineLvl w:val="3"/>
        <w:rPr>
          <w:sz w:val="22"/>
          <w:szCs w:val="22"/>
        </w:rPr>
      </w:pPr>
      <w:r w:rsidRPr="002D011B">
        <w:rPr>
          <w:sz w:val="22"/>
          <w:szCs w:val="22"/>
        </w:rPr>
        <w:t xml:space="preserve">Komplexný návrh komunikačných aktivít zameraných na dosiahnutie </w:t>
      </w:r>
      <w:r>
        <w:rPr>
          <w:sz w:val="22"/>
          <w:szCs w:val="22"/>
        </w:rPr>
        <w:t>špecifického cieľa 8.</w:t>
      </w:r>
      <w:r w:rsidR="00C1095D">
        <w:rPr>
          <w:sz w:val="22"/>
          <w:szCs w:val="22"/>
        </w:rPr>
        <w:t>2</w:t>
      </w:r>
      <w:r w:rsidRPr="002D011B">
        <w:rPr>
          <w:sz w:val="22"/>
          <w:szCs w:val="22"/>
        </w:rPr>
        <w:t xml:space="preserve"> bude definovaný v </w:t>
      </w:r>
      <w:r w:rsidRPr="002D011B">
        <w:rPr>
          <w:b/>
          <w:sz w:val="22"/>
          <w:szCs w:val="22"/>
        </w:rPr>
        <w:t>Komunikačnej stratégii OPII 2014 -</w:t>
      </w:r>
      <w:r>
        <w:rPr>
          <w:b/>
          <w:sz w:val="22"/>
          <w:szCs w:val="22"/>
        </w:rPr>
        <w:t xml:space="preserve"> </w:t>
      </w:r>
      <w:r w:rsidRPr="002D011B">
        <w:rPr>
          <w:b/>
          <w:sz w:val="22"/>
          <w:szCs w:val="22"/>
        </w:rPr>
        <w:t>2020</w:t>
      </w:r>
      <w:r w:rsidRPr="002D011B">
        <w:rPr>
          <w:sz w:val="22"/>
          <w:szCs w:val="22"/>
        </w:rPr>
        <w:t>.</w:t>
      </w:r>
    </w:p>
    <w:p w14:paraId="742FC100" w14:textId="77777777" w:rsidR="00960BB9" w:rsidRDefault="00960BB9" w:rsidP="00960BB9">
      <w:pPr>
        <w:pStyle w:val="Tab"/>
      </w:pPr>
      <w:r>
        <w:t>Výstupové ukazovatele pre PO 8 – Technická pomoc</w:t>
      </w:r>
    </w:p>
    <w:tbl>
      <w:tblPr>
        <w:tblW w:w="9242"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4A0" w:firstRow="1" w:lastRow="0" w:firstColumn="1" w:lastColumn="0" w:noHBand="0" w:noVBand="1"/>
      </w:tblPr>
      <w:tblGrid>
        <w:gridCol w:w="559"/>
        <w:gridCol w:w="3282"/>
        <w:gridCol w:w="1535"/>
        <w:gridCol w:w="1847"/>
        <w:gridCol w:w="2019"/>
      </w:tblGrid>
      <w:tr w:rsidR="00960BB9" w14:paraId="25AD320E" w14:textId="77777777" w:rsidTr="00CF2C83">
        <w:trPr>
          <w:trHeight w:val="591"/>
        </w:trPr>
        <w:tc>
          <w:tcPr>
            <w:tcW w:w="559" w:type="dxa"/>
            <w:shd w:val="clear" w:color="auto" w:fill="C6D9F1" w:themeFill="text2" w:themeFillTint="33"/>
            <w:vAlign w:val="center"/>
            <w:hideMark/>
          </w:tcPr>
          <w:p w14:paraId="670C1555" w14:textId="77777777" w:rsidR="00960BB9" w:rsidRPr="00D504A0" w:rsidRDefault="00960BB9" w:rsidP="00EF2741">
            <w:pPr>
              <w:autoSpaceDE w:val="0"/>
              <w:autoSpaceDN w:val="0"/>
              <w:adjustRightInd w:val="0"/>
              <w:jc w:val="center"/>
              <w:rPr>
                <w:b/>
                <w:sz w:val="18"/>
              </w:rPr>
            </w:pPr>
            <w:r>
              <w:rPr>
                <w:b/>
                <w:sz w:val="18"/>
              </w:rPr>
              <w:t>P. č.</w:t>
            </w:r>
          </w:p>
        </w:tc>
        <w:tc>
          <w:tcPr>
            <w:tcW w:w="3282" w:type="dxa"/>
            <w:shd w:val="clear" w:color="auto" w:fill="C6D9F1" w:themeFill="text2" w:themeFillTint="33"/>
            <w:vAlign w:val="center"/>
            <w:hideMark/>
          </w:tcPr>
          <w:p w14:paraId="559B534A" w14:textId="77777777" w:rsidR="00960BB9" w:rsidRPr="00D504A0" w:rsidRDefault="00960BB9" w:rsidP="00EF2741">
            <w:pPr>
              <w:autoSpaceDE w:val="0"/>
              <w:autoSpaceDN w:val="0"/>
              <w:adjustRightInd w:val="0"/>
              <w:jc w:val="center"/>
              <w:rPr>
                <w:b/>
                <w:sz w:val="18"/>
              </w:rPr>
            </w:pPr>
            <w:r w:rsidRPr="00D504A0">
              <w:rPr>
                <w:b/>
                <w:sz w:val="18"/>
              </w:rPr>
              <w:t>Ukazovateľ</w:t>
            </w:r>
            <w:r>
              <w:rPr>
                <w:b/>
                <w:sz w:val="18"/>
              </w:rPr>
              <w:t xml:space="preserve"> výstupu</w:t>
            </w:r>
          </w:p>
        </w:tc>
        <w:tc>
          <w:tcPr>
            <w:tcW w:w="1535" w:type="dxa"/>
            <w:shd w:val="clear" w:color="auto" w:fill="C6D9F1" w:themeFill="text2" w:themeFillTint="33"/>
            <w:vAlign w:val="center"/>
            <w:hideMark/>
          </w:tcPr>
          <w:p w14:paraId="42D72FEC" w14:textId="77777777" w:rsidR="00960BB9" w:rsidRPr="00D504A0" w:rsidRDefault="00960BB9" w:rsidP="00EF2741">
            <w:pPr>
              <w:autoSpaceDE w:val="0"/>
              <w:autoSpaceDN w:val="0"/>
              <w:adjustRightInd w:val="0"/>
              <w:spacing w:line="211" w:lineRule="exact"/>
              <w:jc w:val="center"/>
              <w:rPr>
                <w:b/>
                <w:sz w:val="18"/>
              </w:rPr>
            </w:pPr>
            <w:r w:rsidRPr="00D504A0">
              <w:rPr>
                <w:b/>
                <w:sz w:val="18"/>
              </w:rPr>
              <w:t>Merná jednotka</w:t>
            </w:r>
          </w:p>
        </w:tc>
        <w:tc>
          <w:tcPr>
            <w:tcW w:w="1847" w:type="dxa"/>
            <w:shd w:val="clear" w:color="auto" w:fill="C6D9F1" w:themeFill="text2" w:themeFillTint="33"/>
            <w:vAlign w:val="center"/>
            <w:hideMark/>
          </w:tcPr>
          <w:p w14:paraId="54565C1B" w14:textId="77777777" w:rsidR="00960BB9" w:rsidRDefault="00960BB9" w:rsidP="00EF2741">
            <w:pPr>
              <w:autoSpaceDE w:val="0"/>
              <w:autoSpaceDN w:val="0"/>
              <w:adjustRightInd w:val="0"/>
              <w:spacing w:line="211" w:lineRule="exact"/>
              <w:jc w:val="center"/>
              <w:rPr>
                <w:b/>
                <w:sz w:val="18"/>
              </w:rPr>
            </w:pPr>
            <w:r w:rsidRPr="00D504A0">
              <w:rPr>
                <w:b/>
                <w:sz w:val="18"/>
              </w:rPr>
              <w:t>Cieľová hodnota</w:t>
            </w:r>
          </w:p>
          <w:p w14:paraId="10185CD1" w14:textId="77777777" w:rsidR="00960BB9" w:rsidRDefault="00960BB9" w:rsidP="00EF2741">
            <w:pPr>
              <w:autoSpaceDE w:val="0"/>
              <w:autoSpaceDN w:val="0"/>
              <w:adjustRightInd w:val="0"/>
              <w:spacing w:line="211" w:lineRule="exact"/>
              <w:jc w:val="center"/>
              <w:rPr>
                <w:b/>
                <w:sz w:val="18"/>
              </w:rPr>
            </w:pPr>
            <w:r w:rsidRPr="00D504A0">
              <w:rPr>
                <w:b/>
                <w:sz w:val="18"/>
              </w:rPr>
              <w:t>(202</w:t>
            </w:r>
            <w:r>
              <w:rPr>
                <w:b/>
                <w:sz w:val="18"/>
              </w:rPr>
              <w:t>3</w:t>
            </w:r>
            <w:r w:rsidRPr="00D504A0">
              <w:rPr>
                <w:b/>
                <w:sz w:val="18"/>
              </w:rPr>
              <w:t>)</w:t>
            </w:r>
          </w:p>
          <w:p w14:paraId="11AD6BB6" w14:textId="77777777" w:rsidR="00960BB9" w:rsidRPr="00DF4C7C" w:rsidRDefault="00960BB9" w:rsidP="00EF2741">
            <w:pPr>
              <w:autoSpaceDE w:val="0"/>
              <w:autoSpaceDN w:val="0"/>
              <w:adjustRightInd w:val="0"/>
              <w:spacing w:line="211" w:lineRule="exact"/>
              <w:jc w:val="center"/>
              <w:rPr>
                <w:sz w:val="18"/>
              </w:rPr>
            </w:pPr>
            <w:r w:rsidRPr="00DF4C7C">
              <w:rPr>
                <w:sz w:val="18"/>
              </w:rPr>
              <w:t>nepovinné</w:t>
            </w:r>
          </w:p>
        </w:tc>
        <w:tc>
          <w:tcPr>
            <w:tcW w:w="2019" w:type="dxa"/>
            <w:shd w:val="clear" w:color="auto" w:fill="C6D9F1" w:themeFill="text2" w:themeFillTint="33"/>
            <w:vAlign w:val="center"/>
            <w:hideMark/>
          </w:tcPr>
          <w:p w14:paraId="4509D7EB" w14:textId="77777777" w:rsidR="00960BB9" w:rsidRPr="00D504A0" w:rsidRDefault="00960BB9" w:rsidP="00EF2741">
            <w:pPr>
              <w:autoSpaceDE w:val="0"/>
              <w:autoSpaceDN w:val="0"/>
              <w:adjustRightInd w:val="0"/>
              <w:spacing w:line="211" w:lineRule="exact"/>
              <w:jc w:val="center"/>
              <w:rPr>
                <w:b/>
                <w:sz w:val="18"/>
              </w:rPr>
            </w:pPr>
            <w:r w:rsidRPr="00D504A0">
              <w:rPr>
                <w:b/>
                <w:sz w:val="18"/>
              </w:rPr>
              <w:t>Zdroj údajov</w:t>
            </w:r>
          </w:p>
        </w:tc>
      </w:tr>
      <w:tr w:rsidR="00960BB9" w14:paraId="42D83093" w14:textId="77777777" w:rsidTr="00CF2C83">
        <w:trPr>
          <w:trHeight w:val="785"/>
        </w:trPr>
        <w:tc>
          <w:tcPr>
            <w:tcW w:w="559" w:type="dxa"/>
            <w:vAlign w:val="center"/>
          </w:tcPr>
          <w:p w14:paraId="00661B35" w14:textId="77777777" w:rsidR="00960BB9" w:rsidRPr="00D504A0" w:rsidRDefault="00960BB9" w:rsidP="00EF2741">
            <w:pPr>
              <w:autoSpaceDE w:val="0"/>
              <w:autoSpaceDN w:val="0"/>
              <w:adjustRightInd w:val="0"/>
              <w:jc w:val="center"/>
              <w:rPr>
                <w:sz w:val="18"/>
              </w:rPr>
            </w:pPr>
            <w:r w:rsidRPr="00D504A0">
              <w:rPr>
                <w:sz w:val="18"/>
              </w:rPr>
              <w:t>1</w:t>
            </w:r>
            <w:r w:rsidRPr="00BA235F">
              <w:rPr>
                <w:color w:val="FF0000"/>
                <w:sz w:val="18"/>
              </w:rPr>
              <w:t>.</w:t>
            </w:r>
          </w:p>
        </w:tc>
        <w:tc>
          <w:tcPr>
            <w:tcW w:w="3282" w:type="dxa"/>
            <w:vAlign w:val="center"/>
          </w:tcPr>
          <w:p w14:paraId="682E64BE" w14:textId="77777777" w:rsidR="00960BB9" w:rsidRPr="00D504A0" w:rsidRDefault="00960BB9" w:rsidP="0021450D">
            <w:pPr>
              <w:autoSpaceDE w:val="0"/>
              <w:autoSpaceDN w:val="0"/>
              <w:adjustRightInd w:val="0"/>
              <w:rPr>
                <w:sz w:val="18"/>
              </w:rPr>
            </w:pPr>
            <w:r>
              <w:rPr>
                <w:sz w:val="18"/>
              </w:rPr>
              <w:t xml:space="preserve">Počet </w:t>
            </w:r>
            <w:r w:rsidR="0021450D">
              <w:rPr>
                <w:sz w:val="18"/>
              </w:rPr>
              <w:t>administratívnych kapacít financovaných z TP</w:t>
            </w:r>
            <w:r>
              <w:rPr>
                <w:sz w:val="18"/>
              </w:rPr>
              <w:t xml:space="preserve"> </w:t>
            </w:r>
          </w:p>
        </w:tc>
        <w:tc>
          <w:tcPr>
            <w:tcW w:w="1535" w:type="dxa"/>
            <w:vAlign w:val="center"/>
          </w:tcPr>
          <w:p w14:paraId="56DBB879" w14:textId="77777777" w:rsidR="00960BB9" w:rsidRPr="00D504A0" w:rsidRDefault="005E1717" w:rsidP="00EF2741">
            <w:pPr>
              <w:autoSpaceDE w:val="0"/>
              <w:autoSpaceDN w:val="0"/>
              <w:adjustRightInd w:val="0"/>
              <w:jc w:val="center"/>
              <w:rPr>
                <w:sz w:val="18"/>
              </w:rPr>
            </w:pPr>
            <w:r>
              <w:rPr>
                <w:sz w:val="18"/>
              </w:rPr>
              <w:t>FTE</w:t>
            </w:r>
          </w:p>
        </w:tc>
        <w:tc>
          <w:tcPr>
            <w:tcW w:w="1847" w:type="dxa"/>
            <w:vAlign w:val="center"/>
          </w:tcPr>
          <w:p w14:paraId="4640CDF4" w14:textId="77777777" w:rsidR="00960BB9" w:rsidRPr="00D504A0" w:rsidRDefault="00960BB9" w:rsidP="00EF2741">
            <w:pPr>
              <w:autoSpaceDE w:val="0"/>
              <w:autoSpaceDN w:val="0"/>
              <w:adjustRightInd w:val="0"/>
              <w:jc w:val="center"/>
              <w:rPr>
                <w:sz w:val="18"/>
              </w:rPr>
            </w:pPr>
            <w:r>
              <w:rPr>
                <w:sz w:val="18"/>
              </w:rPr>
              <w:t>N/A</w:t>
            </w:r>
          </w:p>
        </w:tc>
        <w:tc>
          <w:tcPr>
            <w:tcW w:w="2019" w:type="dxa"/>
            <w:vAlign w:val="center"/>
          </w:tcPr>
          <w:p w14:paraId="3F29D4DE"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3C6E63B2" w14:textId="77777777" w:rsidTr="00CF2C83">
        <w:trPr>
          <w:trHeight w:val="441"/>
        </w:trPr>
        <w:tc>
          <w:tcPr>
            <w:tcW w:w="559" w:type="dxa"/>
            <w:vAlign w:val="center"/>
          </w:tcPr>
          <w:p w14:paraId="7ACC4EC4" w14:textId="77777777" w:rsidR="00960BB9" w:rsidRPr="00D504A0" w:rsidRDefault="00960BB9" w:rsidP="00EF2741">
            <w:pPr>
              <w:autoSpaceDE w:val="0"/>
              <w:autoSpaceDN w:val="0"/>
              <w:adjustRightInd w:val="0"/>
              <w:jc w:val="center"/>
              <w:rPr>
                <w:sz w:val="18"/>
              </w:rPr>
            </w:pPr>
            <w:r>
              <w:rPr>
                <w:sz w:val="18"/>
              </w:rPr>
              <w:t>2.</w:t>
            </w:r>
          </w:p>
        </w:tc>
        <w:tc>
          <w:tcPr>
            <w:tcW w:w="3282" w:type="dxa"/>
            <w:vAlign w:val="center"/>
          </w:tcPr>
          <w:p w14:paraId="0AF6AD77" w14:textId="77777777" w:rsidR="00960BB9" w:rsidRDefault="00960BB9" w:rsidP="00FC3515">
            <w:pPr>
              <w:autoSpaceDE w:val="0"/>
              <w:autoSpaceDN w:val="0"/>
              <w:adjustRightInd w:val="0"/>
              <w:rPr>
                <w:sz w:val="18"/>
              </w:rPr>
            </w:pPr>
            <w:r w:rsidRPr="00FC3515">
              <w:rPr>
                <w:sz w:val="18"/>
              </w:rPr>
              <w:t xml:space="preserve">Počet absolvovaných školení, kurzov, seminárov </w:t>
            </w:r>
            <w:r w:rsidR="00FC3515" w:rsidRPr="00FC3515">
              <w:rPr>
                <w:sz w:val="18"/>
              </w:rPr>
              <w:t>v priemere na 1 zamestnanca</w:t>
            </w:r>
            <w:r>
              <w:rPr>
                <w:sz w:val="18"/>
              </w:rPr>
              <w:t xml:space="preserve"> </w:t>
            </w:r>
          </w:p>
        </w:tc>
        <w:tc>
          <w:tcPr>
            <w:tcW w:w="1535" w:type="dxa"/>
            <w:vAlign w:val="center"/>
          </w:tcPr>
          <w:p w14:paraId="3469763D" w14:textId="77777777"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14:paraId="4CE9CAFD"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401D3B07"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005E5C52" w14:textId="77777777" w:rsidTr="00CF2C83">
        <w:trPr>
          <w:trHeight w:val="441"/>
        </w:trPr>
        <w:tc>
          <w:tcPr>
            <w:tcW w:w="559" w:type="dxa"/>
            <w:vAlign w:val="center"/>
          </w:tcPr>
          <w:p w14:paraId="71F36992" w14:textId="77777777" w:rsidR="00960BB9" w:rsidRDefault="00960BB9" w:rsidP="00EF2741">
            <w:pPr>
              <w:autoSpaceDE w:val="0"/>
              <w:autoSpaceDN w:val="0"/>
              <w:adjustRightInd w:val="0"/>
              <w:jc w:val="center"/>
              <w:rPr>
                <w:sz w:val="18"/>
              </w:rPr>
            </w:pPr>
            <w:r>
              <w:rPr>
                <w:sz w:val="18"/>
              </w:rPr>
              <w:t>3.</w:t>
            </w:r>
          </w:p>
        </w:tc>
        <w:tc>
          <w:tcPr>
            <w:tcW w:w="3282" w:type="dxa"/>
            <w:vAlign w:val="center"/>
          </w:tcPr>
          <w:p w14:paraId="2225F1F0" w14:textId="77777777" w:rsidR="00960BB9" w:rsidRDefault="00960BB9" w:rsidP="00EF2741">
            <w:pPr>
              <w:autoSpaceDE w:val="0"/>
              <w:autoSpaceDN w:val="0"/>
              <w:adjustRightInd w:val="0"/>
              <w:rPr>
                <w:sz w:val="18"/>
              </w:rPr>
            </w:pPr>
            <w:r>
              <w:rPr>
                <w:sz w:val="18"/>
              </w:rPr>
              <w:t>Počet koordinačných porád, konferencií seminárov súvisiacich s OP</w:t>
            </w:r>
          </w:p>
        </w:tc>
        <w:tc>
          <w:tcPr>
            <w:tcW w:w="1535" w:type="dxa"/>
            <w:vAlign w:val="center"/>
          </w:tcPr>
          <w:p w14:paraId="24BF4D3F" w14:textId="77777777"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14:paraId="5A03212F"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451CE3DD"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76D9A288" w14:textId="77777777" w:rsidTr="00CF2C83">
        <w:trPr>
          <w:trHeight w:val="441"/>
        </w:trPr>
        <w:tc>
          <w:tcPr>
            <w:tcW w:w="559" w:type="dxa"/>
            <w:vAlign w:val="center"/>
          </w:tcPr>
          <w:p w14:paraId="3F0870C2" w14:textId="77777777" w:rsidR="00960BB9" w:rsidRPr="00D504A0" w:rsidRDefault="00960BB9" w:rsidP="00EF2741">
            <w:pPr>
              <w:autoSpaceDE w:val="0"/>
              <w:autoSpaceDN w:val="0"/>
              <w:adjustRightInd w:val="0"/>
              <w:jc w:val="center"/>
              <w:rPr>
                <w:sz w:val="18"/>
              </w:rPr>
            </w:pPr>
            <w:r>
              <w:rPr>
                <w:sz w:val="18"/>
              </w:rPr>
              <w:t>4.</w:t>
            </w:r>
          </w:p>
        </w:tc>
        <w:tc>
          <w:tcPr>
            <w:tcW w:w="3282" w:type="dxa"/>
            <w:vAlign w:val="center"/>
          </w:tcPr>
          <w:p w14:paraId="41DA9A72" w14:textId="77777777" w:rsidR="00960BB9" w:rsidRDefault="00960BB9" w:rsidP="00124090">
            <w:pPr>
              <w:autoSpaceDE w:val="0"/>
              <w:autoSpaceDN w:val="0"/>
              <w:adjustRightInd w:val="0"/>
              <w:rPr>
                <w:sz w:val="18"/>
              </w:rPr>
            </w:pPr>
            <w:r>
              <w:rPr>
                <w:sz w:val="18"/>
              </w:rPr>
              <w:t>Po</w:t>
            </w:r>
            <w:r w:rsidR="00124090">
              <w:rPr>
                <w:sz w:val="18"/>
              </w:rPr>
              <w:t>diel administratívnych kapacít vybavených materiálno-technickým vybavením z TP</w:t>
            </w:r>
          </w:p>
        </w:tc>
        <w:tc>
          <w:tcPr>
            <w:tcW w:w="1535" w:type="dxa"/>
            <w:vAlign w:val="center"/>
          </w:tcPr>
          <w:p w14:paraId="7A63D2B7" w14:textId="77777777" w:rsidR="00960BB9" w:rsidRPr="00D504A0" w:rsidRDefault="00124090" w:rsidP="00EF2741">
            <w:pPr>
              <w:autoSpaceDE w:val="0"/>
              <w:autoSpaceDN w:val="0"/>
              <w:adjustRightInd w:val="0"/>
              <w:jc w:val="center"/>
              <w:rPr>
                <w:sz w:val="18"/>
              </w:rPr>
            </w:pPr>
            <w:r>
              <w:rPr>
                <w:sz w:val="18"/>
              </w:rPr>
              <w:t>%</w:t>
            </w:r>
          </w:p>
        </w:tc>
        <w:tc>
          <w:tcPr>
            <w:tcW w:w="1847" w:type="dxa"/>
            <w:vAlign w:val="center"/>
          </w:tcPr>
          <w:p w14:paraId="6297A55F"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6EB0271E"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4109525E" w14:textId="77777777" w:rsidTr="00CF2C83">
        <w:trPr>
          <w:trHeight w:val="133"/>
        </w:trPr>
        <w:tc>
          <w:tcPr>
            <w:tcW w:w="559" w:type="dxa"/>
            <w:vAlign w:val="center"/>
          </w:tcPr>
          <w:p w14:paraId="163D2655" w14:textId="77777777" w:rsidR="00960BB9" w:rsidRPr="00CF2C83" w:rsidRDefault="00307AAF" w:rsidP="00CF2C83">
            <w:pPr>
              <w:tabs>
                <w:tab w:val="left" w:pos="1418"/>
                <w:tab w:val="left" w:pos="9072"/>
              </w:tabs>
              <w:autoSpaceDE w:val="0"/>
              <w:autoSpaceDN w:val="0"/>
              <w:adjustRightInd w:val="0"/>
              <w:jc w:val="center"/>
              <w:rPr>
                <w:sz w:val="18"/>
              </w:rPr>
            </w:pPr>
            <w:r w:rsidRPr="00CF2C83">
              <w:rPr>
                <w:sz w:val="18"/>
              </w:rPr>
              <w:t>5.</w:t>
            </w:r>
          </w:p>
        </w:tc>
        <w:tc>
          <w:tcPr>
            <w:tcW w:w="3282" w:type="dxa"/>
            <w:vAlign w:val="center"/>
          </w:tcPr>
          <w:p w14:paraId="42F44626" w14:textId="77777777" w:rsidR="00960BB9" w:rsidRDefault="00960BB9" w:rsidP="00124090">
            <w:pPr>
              <w:autoSpaceDE w:val="0"/>
              <w:autoSpaceDN w:val="0"/>
              <w:adjustRightInd w:val="0"/>
              <w:rPr>
                <w:sz w:val="18"/>
              </w:rPr>
            </w:pPr>
            <w:r>
              <w:rPr>
                <w:sz w:val="18"/>
              </w:rPr>
              <w:t xml:space="preserve">Počet </w:t>
            </w:r>
            <w:r w:rsidR="00124090">
              <w:rPr>
                <w:sz w:val="18"/>
              </w:rPr>
              <w:t xml:space="preserve">zrealizovaných </w:t>
            </w:r>
            <w:r>
              <w:rPr>
                <w:sz w:val="18"/>
              </w:rPr>
              <w:t>hodnotení</w:t>
            </w:r>
            <w:r w:rsidR="00124090">
              <w:rPr>
                <w:sz w:val="18"/>
              </w:rPr>
              <w:t>, analýz</w:t>
            </w:r>
            <w:r>
              <w:rPr>
                <w:sz w:val="18"/>
              </w:rPr>
              <w:t xml:space="preserve"> a štúdií </w:t>
            </w:r>
          </w:p>
        </w:tc>
        <w:tc>
          <w:tcPr>
            <w:tcW w:w="1535" w:type="dxa"/>
            <w:vAlign w:val="center"/>
          </w:tcPr>
          <w:p w14:paraId="3033ED48" w14:textId="77777777"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14:paraId="5322B5F3"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75AB2076"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724BAAB4" w14:textId="77777777" w:rsidTr="00CF2C83">
        <w:trPr>
          <w:trHeight w:val="133"/>
        </w:trPr>
        <w:tc>
          <w:tcPr>
            <w:tcW w:w="559" w:type="dxa"/>
            <w:vAlign w:val="center"/>
          </w:tcPr>
          <w:p w14:paraId="1DA9B199" w14:textId="77777777" w:rsidR="00960BB9" w:rsidRPr="00CF2C83" w:rsidRDefault="005E1717" w:rsidP="00EF2741">
            <w:pPr>
              <w:autoSpaceDE w:val="0"/>
              <w:autoSpaceDN w:val="0"/>
              <w:adjustRightInd w:val="0"/>
              <w:jc w:val="center"/>
              <w:rPr>
                <w:sz w:val="18"/>
              </w:rPr>
            </w:pPr>
            <w:r>
              <w:rPr>
                <w:sz w:val="18"/>
              </w:rPr>
              <w:t>6.</w:t>
            </w:r>
          </w:p>
        </w:tc>
        <w:tc>
          <w:tcPr>
            <w:tcW w:w="3282" w:type="dxa"/>
            <w:vAlign w:val="center"/>
          </w:tcPr>
          <w:p w14:paraId="120EFF12" w14:textId="77777777" w:rsidR="00960BB9" w:rsidRDefault="005E1717" w:rsidP="00EF2741">
            <w:pPr>
              <w:autoSpaceDE w:val="0"/>
              <w:autoSpaceDN w:val="0"/>
              <w:adjustRightInd w:val="0"/>
              <w:rPr>
                <w:sz w:val="18"/>
              </w:rPr>
            </w:pPr>
            <w:r>
              <w:rPr>
                <w:sz w:val="18"/>
              </w:rPr>
              <w:t>Počet zrealizovaných informačných aktivít</w:t>
            </w:r>
          </w:p>
        </w:tc>
        <w:tc>
          <w:tcPr>
            <w:tcW w:w="1535" w:type="dxa"/>
            <w:vAlign w:val="center"/>
          </w:tcPr>
          <w:p w14:paraId="645C09C3" w14:textId="77777777" w:rsidR="00960BB9" w:rsidRPr="00D504A0" w:rsidRDefault="005E1717" w:rsidP="00EF2741">
            <w:pPr>
              <w:autoSpaceDE w:val="0"/>
              <w:autoSpaceDN w:val="0"/>
              <w:adjustRightInd w:val="0"/>
              <w:jc w:val="center"/>
              <w:rPr>
                <w:sz w:val="18"/>
              </w:rPr>
            </w:pPr>
            <w:r>
              <w:rPr>
                <w:sz w:val="18"/>
              </w:rPr>
              <w:t>počet</w:t>
            </w:r>
          </w:p>
        </w:tc>
        <w:tc>
          <w:tcPr>
            <w:tcW w:w="1847" w:type="dxa"/>
            <w:vAlign w:val="center"/>
          </w:tcPr>
          <w:p w14:paraId="39EF6ED5" w14:textId="77777777" w:rsidR="00960BB9" w:rsidRPr="00CE0495" w:rsidRDefault="005E1717" w:rsidP="00EF2741">
            <w:pPr>
              <w:autoSpaceDE w:val="0"/>
              <w:autoSpaceDN w:val="0"/>
              <w:adjustRightInd w:val="0"/>
              <w:jc w:val="center"/>
              <w:rPr>
                <w:sz w:val="18"/>
              </w:rPr>
            </w:pPr>
            <w:r>
              <w:rPr>
                <w:sz w:val="18"/>
              </w:rPr>
              <w:t>N/A</w:t>
            </w:r>
          </w:p>
        </w:tc>
        <w:tc>
          <w:tcPr>
            <w:tcW w:w="2019" w:type="dxa"/>
            <w:vAlign w:val="center"/>
          </w:tcPr>
          <w:p w14:paraId="317BB7EC" w14:textId="77777777" w:rsidR="00960BB9" w:rsidRPr="00D504A0" w:rsidRDefault="005E1717" w:rsidP="00EF2741">
            <w:pPr>
              <w:autoSpaceDE w:val="0"/>
              <w:autoSpaceDN w:val="0"/>
              <w:adjustRightInd w:val="0"/>
              <w:jc w:val="center"/>
              <w:rPr>
                <w:sz w:val="18"/>
              </w:rPr>
            </w:pPr>
            <w:r>
              <w:rPr>
                <w:sz w:val="18"/>
              </w:rPr>
              <w:t>RO OPII/SORO</w:t>
            </w:r>
          </w:p>
        </w:tc>
      </w:tr>
      <w:tr w:rsidR="00157AAC" w14:paraId="4BCECFB2" w14:textId="77777777" w:rsidTr="00CF2C83">
        <w:trPr>
          <w:trHeight w:val="133"/>
        </w:trPr>
        <w:tc>
          <w:tcPr>
            <w:tcW w:w="559" w:type="dxa"/>
            <w:vAlign w:val="center"/>
          </w:tcPr>
          <w:p w14:paraId="5BE0B0A7" w14:textId="77777777" w:rsidR="00157AAC" w:rsidRPr="00CF2C83" w:rsidRDefault="005E1717" w:rsidP="00EF2741">
            <w:pPr>
              <w:autoSpaceDE w:val="0"/>
              <w:autoSpaceDN w:val="0"/>
              <w:adjustRightInd w:val="0"/>
              <w:jc w:val="center"/>
              <w:rPr>
                <w:sz w:val="18"/>
              </w:rPr>
            </w:pPr>
            <w:r>
              <w:rPr>
                <w:sz w:val="18"/>
              </w:rPr>
              <w:t>7</w:t>
            </w:r>
            <w:r w:rsidR="00307AAF" w:rsidRPr="00CF2C83">
              <w:rPr>
                <w:sz w:val="18"/>
              </w:rPr>
              <w:t>.</w:t>
            </w:r>
          </w:p>
        </w:tc>
        <w:tc>
          <w:tcPr>
            <w:tcW w:w="3282" w:type="dxa"/>
            <w:vAlign w:val="center"/>
          </w:tcPr>
          <w:p w14:paraId="55E5DAD9" w14:textId="77777777" w:rsidR="00157AAC" w:rsidRDefault="00157AAC" w:rsidP="00EF2741">
            <w:pPr>
              <w:autoSpaceDE w:val="0"/>
              <w:autoSpaceDN w:val="0"/>
              <w:adjustRightInd w:val="0"/>
              <w:rPr>
                <w:sz w:val="18"/>
              </w:rPr>
            </w:pPr>
            <w:r>
              <w:rPr>
                <w:sz w:val="18"/>
              </w:rPr>
              <w:t>Miera včas zrealizovaných kľúčových administratívnych úkonov v procese implementácie projektov</w:t>
            </w:r>
          </w:p>
        </w:tc>
        <w:tc>
          <w:tcPr>
            <w:tcW w:w="1535" w:type="dxa"/>
            <w:vAlign w:val="center"/>
          </w:tcPr>
          <w:p w14:paraId="6E098B0D" w14:textId="77777777" w:rsidR="00157AAC" w:rsidRDefault="00157AAC" w:rsidP="00EF2741">
            <w:pPr>
              <w:autoSpaceDE w:val="0"/>
              <w:autoSpaceDN w:val="0"/>
              <w:adjustRightInd w:val="0"/>
              <w:jc w:val="center"/>
              <w:rPr>
                <w:sz w:val="18"/>
              </w:rPr>
            </w:pPr>
            <w:r>
              <w:rPr>
                <w:sz w:val="18"/>
              </w:rPr>
              <w:t>%</w:t>
            </w:r>
          </w:p>
        </w:tc>
        <w:tc>
          <w:tcPr>
            <w:tcW w:w="1847" w:type="dxa"/>
            <w:vAlign w:val="center"/>
          </w:tcPr>
          <w:p w14:paraId="7F2851DA" w14:textId="77777777" w:rsidR="00157AAC" w:rsidRPr="00CE0495" w:rsidRDefault="005E1717" w:rsidP="00EF2741">
            <w:pPr>
              <w:autoSpaceDE w:val="0"/>
              <w:autoSpaceDN w:val="0"/>
              <w:adjustRightInd w:val="0"/>
              <w:jc w:val="center"/>
              <w:rPr>
                <w:sz w:val="18"/>
              </w:rPr>
            </w:pPr>
            <w:r w:rsidRPr="00E30A7F">
              <w:rPr>
                <w:sz w:val="18"/>
              </w:rPr>
              <w:t>N/A</w:t>
            </w:r>
          </w:p>
        </w:tc>
        <w:tc>
          <w:tcPr>
            <w:tcW w:w="2019" w:type="dxa"/>
            <w:vAlign w:val="center"/>
          </w:tcPr>
          <w:p w14:paraId="48D91A32" w14:textId="77777777" w:rsidR="00157AAC" w:rsidRDefault="00157AAC" w:rsidP="00EF2741">
            <w:pPr>
              <w:autoSpaceDE w:val="0"/>
              <w:autoSpaceDN w:val="0"/>
              <w:adjustRightInd w:val="0"/>
              <w:jc w:val="center"/>
              <w:rPr>
                <w:sz w:val="18"/>
              </w:rPr>
            </w:pPr>
            <w:r>
              <w:rPr>
                <w:sz w:val="18"/>
              </w:rPr>
              <w:t>RO OPII/SORO</w:t>
            </w:r>
          </w:p>
        </w:tc>
      </w:tr>
    </w:tbl>
    <w:p w14:paraId="5802D035" w14:textId="77777777" w:rsidR="007C0E65" w:rsidRPr="00AF51CC" w:rsidRDefault="007C0E65" w:rsidP="007C0E65">
      <w:pPr>
        <w:pStyle w:val="Nadpis3"/>
      </w:pPr>
      <w:bookmarkStart w:id="82" w:name="_Toc383520787"/>
      <w:bookmarkStart w:id="83" w:name="_Toc28951638"/>
      <w:r w:rsidRPr="00AF51CC">
        <w:t>Kategórie intervencií</w:t>
      </w:r>
      <w:bookmarkEnd w:id="82"/>
      <w:bookmarkEnd w:id="83"/>
    </w:p>
    <w:p w14:paraId="7EFA5459" w14:textId="77777777" w:rsidR="007C0E65" w:rsidRPr="00DE5C39" w:rsidRDefault="007C0E65" w:rsidP="007C0E65">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7C0E65" w:rsidRPr="003A7F56" w14:paraId="07CD9090" w14:textId="77777777" w:rsidTr="007C0E65">
        <w:trPr>
          <w:trHeight w:val="255"/>
          <w:jc w:val="center"/>
        </w:trPr>
        <w:tc>
          <w:tcPr>
            <w:tcW w:w="9098" w:type="dxa"/>
            <w:gridSpan w:val="3"/>
            <w:shd w:val="clear" w:color="auto" w:fill="DBE5F1"/>
            <w:vAlign w:val="center"/>
          </w:tcPr>
          <w:p w14:paraId="6482C507"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7C0E65" w:rsidRPr="003A7F56" w14:paraId="546464B8" w14:textId="77777777" w:rsidTr="007C0E65">
        <w:trPr>
          <w:trHeight w:val="255"/>
          <w:jc w:val="center"/>
        </w:trPr>
        <w:tc>
          <w:tcPr>
            <w:tcW w:w="4928" w:type="dxa"/>
            <w:shd w:val="clear" w:color="auto" w:fill="DBE5F1"/>
            <w:vAlign w:val="center"/>
          </w:tcPr>
          <w:p w14:paraId="742F90D1" w14:textId="77777777"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70" w:type="dxa"/>
            <w:gridSpan w:val="2"/>
            <w:shd w:val="clear" w:color="auto" w:fill="DBE5F1"/>
            <w:vAlign w:val="center"/>
          </w:tcPr>
          <w:p w14:paraId="5FD39E15" w14:textId="77777777"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3A7F56" w14:paraId="0C55D4EB" w14:textId="77777777" w:rsidTr="007C0E65">
        <w:trPr>
          <w:trHeight w:val="255"/>
          <w:jc w:val="center"/>
        </w:trPr>
        <w:tc>
          <w:tcPr>
            <w:tcW w:w="4928" w:type="dxa"/>
            <w:shd w:val="clear" w:color="auto" w:fill="DBE5F1"/>
            <w:vAlign w:val="center"/>
          </w:tcPr>
          <w:p w14:paraId="2A78BF8F"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70" w:type="dxa"/>
            <w:gridSpan w:val="2"/>
            <w:shd w:val="clear" w:color="auto" w:fill="DBE5F1"/>
            <w:vAlign w:val="center"/>
          </w:tcPr>
          <w:p w14:paraId="7559AD2F" w14:textId="77777777"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3A7F56" w14:paraId="4D78676C" w14:textId="77777777" w:rsidTr="007C0E65">
        <w:trPr>
          <w:trHeight w:val="255"/>
          <w:jc w:val="center"/>
        </w:trPr>
        <w:tc>
          <w:tcPr>
            <w:tcW w:w="4928" w:type="dxa"/>
            <w:shd w:val="clear" w:color="auto" w:fill="auto"/>
            <w:vAlign w:val="center"/>
          </w:tcPr>
          <w:p w14:paraId="53D60420" w14:textId="77777777"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6" w:type="dxa"/>
            <w:shd w:val="clear" w:color="auto" w:fill="auto"/>
            <w:vAlign w:val="center"/>
          </w:tcPr>
          <w:p w14:paraId="546927C6"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4" w:type="dxa"/>
            <w:shd w:val="clear" w:color="auto" w:fill="auto"/>
            <w:vAlign w:val="center"/>
          </w:tcPr>
          <w:p w14:paraId="6127C333"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3A7F56" w14:paraId="3215925E" w14:textId="77777777" w:rsidTr="007C0E65">
        <w:trPr>
          <w:trHeight w:val="255"/>
          <w:jc w:val="center"/>
        </w:trPr>
        <w:tc>
          <w:tcPr>
            <w:tcW w:w="4928" w:type="dxa"/>
            <w:vMerge w:val="restart"/>
            <w:shd w:val="clear" w:color="auto" w:fill="auto"/>
            <w:vAlign w:val="center"/>
          </w:tcPr>
          <w:p w14:paraId="1F2489A8"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6" w:type="dxa"/>
            <w:shd w:val="clear" w:color="auto" w:fill="auto"/>
            <w:vAlign w:val="center"/>
          </w:tcPr>
          <w:p w14:paraId="57C1A954" w14:textId="77777777"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1</w:t>
            </w:r>
          </w:p>
        </w:tc>
        <w:tc>
          <w:tcPr>
            <w:tcW w:w="2044" w:type="dxa"/>
            <w:shd w:val="clear" w:color="auto" w:fill="auto"/>
            <w:vAlign w:val="center"/>
          </w:tcPr>
          <w:p w14:paraId="3B89D74E" w14:textId="77777777" w:rsidR="007C0E65" w:rsidRPr="003A7F56" w:rsidRDefault="00362287" w:rsidP="003A7F56">
            <w:pPr>
              <w:autoSpaceDE w:val="0"/>
              <w:autoSpaceDN w:val="0"/>
              <w:adjustRightInd w:val="0"/>
              <w:jc w:val="center"/>
              <w:rPr>
                <w:rFonts w:ascii="TimesNewRoman" w:hAnsi="TimesNewRoman" w:cs="TimesNewRoman"/>
                <w:sz w:val="20"/>
                <w:szCs w:val="20"/>
              </w:rPr>
            </w:pPr>
            <w:r w:rsidRPr="00362287">
              <w:rPr>
                <w:rFonts w:ascii="TimesNewRoman" w:hAnsi="TimesNewRoman" w:cs="TimesNewRoman"/>
                <w:sz w:val="20"/>
                <w:szCs w:val="20"/>
              </w:rPr>
              <w:t>45 716 666</w:t>
            </w:r>
          </w:p>
        </w:tc>
      </w:tr>
      <w:tr w:rsidR="007C0E65" w:rsidRPr="003A7F56" w14:paraId="2DE22552" w14:textId="77777777" w:rsidTr="007C0E65">
        <w:trPr>
          <w:trHeight w:val="255"/>
          <w:jc w:val="center"/>
        </w:trPr>
        <w:tc>
          <w:tcPr>
            <w:tcW w:w="4928" w:type="dxa"/>
            <w:vMerge/>
            <w:shd w:val="clear" w:color="auto" w:fill="auto"/>
            <w:vAlign w:val="center"/>
          </w:tcPr>
          <w:p w14:paraId="009D017C" w14:textId="77777777" w:rsidR="007C0E65" w:rsidRPr="003A7F56" w:rsidRDefault="007C0E65" w:rsidP="007C0E65">
            <w:pPr>
              <w:autoSpaceDE w:val="0"/>
              <w:autoSpaceDN w:val="0"/>
              <w:adjustRightInd w:val="0"/>
              <w:rPr>
                <w:rFonts w:ascii="TimesNewRoman" w:hAnsi="TimesNewRoman" w:cs="TimesNewRoman"/>
                <w:sz w:val="20"/>
                <w:szCs w:val="20"/>
              </w:rPr>
            </w:pPr>
          </w:p>
        </w:tc>
        <w:tc>
          <w:tcPr>
            <w:tcW w:w="2126" w:type="dxa"/>
            <w:shd w:val="clear" w:color="auto" w:fill="auto"/>
            <w:vAlign w:val="center"/>
          </w:tcPr>
          <w:p w14:paraId="224EA3A7" w14:textId="77777777"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2</w:t>
            </w:r>
          </w:p>
        </w:tc>
        <w:tc>
          <w:tcPr>
            <w:tcW w:w="2044" w:type="dxa"/>
            <w:shd w:val="clear" w:color="auto" w:fill="auto"/>
            <w:vAlign w:val="center"/>
          </w:tcPr>
          <w:p w14:paraId="3DE8FA96" w14:textId="77777777" w:rsidR="007C0E65" w:rsidRPr="003A7F56" w:rsidRDefault="00362287" w:rsidP="00E24742">
            <w:pPr>
              <w:autoSpaceDE w:val="0"/>
              <w:autoSpaceDN w:val="0"/>
              <w:adjustRightInd w:val="0"/>
              <w:jc w:val="center"/>
              <w:rPr>
                <w:rFonts w:ascii="TimesNewRoman" w:hAnsi="TimesNewRoman" w:cs="TimesNewRoman"/>
                <w:sz w:val="20"/>
                <w:szCs w:val="20"/>
                <w:lang w:val="en-US"/>
              </w:rPr>
            </w:pPr>
            <w:r w:rsidRPr="00362287">
              <w:rPr>
                <w:rFonts w:ascii="TimesNewRoman" w:hAnsi="TimesNewRoman" w:cs="TimesNewRoman"/>
                <w:sz w:val="20"/>
                <w:szCs w:val="20"/>
              </w:rPr>
              <w:t>19 366 66</w:t>
            </w:r>
            <w:r w:rsidR="00E24742">
              <w:rPr>
                <w:rFonts w:ascii="TimesNewRoman" w:hAnsi="TimesNewRoman" w:cs="TimesNewRoman"/>
                <w:sz w:val="20"/>
                <w:szCs w:val="20"/>
              </w:rPr>
              <w:t>7</w:t>
            </w:r>
          </w:p>
        </w:tc>
      </w:tr>
      <w:tr w:rsidR="007C0E65" w:rsidRPr="003A7F56" w14:paraId="65604982" w14:textId="77777777" w:rsidTr="007C0E65">
        <w:trPr>
          <w:trHeight w:val="255"/>
          <w:jc w:val="center"/>
        </w:trPr>
        <w:tc>
          <w:tcPr>
            <w:tcW w:w="4928" w:type="dxa"/>
            <w:vMerge/>
            <w:shd w:val="clear" w:color="auto" w:fill="auto"/>
            <w:vAlign w:val="center"/>
          </w:tcPr>
          <w:p w14:paraId="57BE8E42" w14:textId="77777777" w:rsidR="007C0E65" w:rsidRPr="003A7F56" w:rsidRDefault="007C0E65" w:rsidP="007C0E65">
            <w:pPr>
              <w:autoSpaceDE w:val="0"/>
              <w:autoSpaceDN w:val="0"/>
              <w:adjustRightInd w:val="0"/>
              <w:rPr>
                <w:rFonts w:ascii="TimesNewRoman" w:hAnsi="TimesNewRoman" w:cs="TimesNewRoman"/>
                <w:sz w:val="20"/>
                <w:szCs w:val="20"/>
              </w:rPr>
            </w:pPr>
          </w:p>
        </w:tc>
        <w:tc>
          <w:tcPr>
            <w:tcW w:w="2126" w:type="dxa"/>
            <w:shd w:val="clear" w:color="auto" w:fill="auto"/>
            <w:vAlign w:val="center"/>
          </w:tcPr>
          <w:p w14:paraId="44646127" w14:textId="77777777"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3</w:t>
            </w:r>
          </w:p>
        </w:tc>
        <w:tc>
          <w:tcPr>
            <w:tcW w:w="2044" w:type="dxa"/>
            <w:shd w:val="clear" w:color="auto" w:fill="auto"/>
            <w:vAlign w:val="center"/>
          </w:tcPr>
          <w:p w14:paraId="59EFF394" w14:textId="77777777" w:rsidR="007C0E65" w:rsidRPr="003A7F56" w:rsidRDefault="00362287" w:rsidP="003A7F56">
            <w:pPr>
              <w:autoSpaceDE w:val="0"/>
              <w:autoSpaceDN w:val="0"/>
              <w:adjustRightInd w:val="0"/>
              <w:jc w:val="center"/>
              <w:rPr>
                <w:rFonts w:ascii="TimesNewRoman" w:hAnsi="TimesNewRoman" w:cs="TimesNewRoman"/>
                <w:sz w:val="20"/>
                <w:szCs w:val="20"/>
                <w:lang w:val="en-US"/>
              </w:rPr>
            </w:pPr>
            <w:r w:rsidRPr="00362287">
              <w:rPr>
                <w:rFonts w:ascii="TimesNewRoman" w:hAnsi="TimesNewRoman" w:cs="TimesNewRoman"/>
                <w:sz w:val="20"/>
                <w:szCs w:val="20"/>
              </w:rPr>
              <w:t>21 916 667</w:t>
            </w:r>
          </w:p>
        </w:tc>
      </w:tr>
    </w:tbl>
    <w:p w14:paraId="39F0EAC6" w14:textId="77777777" w:rsidR="007C0E65" w:rsidRPr="00DE5C39" w:rsidRDefault="007C0E65" w:rsidP="007C0E65">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C0E65" w:rsidRPr="003A7F56" w14:paraId="3BF38ED7" w14:textId="77777777" w:rsidTr="007C0E65">
        <w:trPr>
          <w:trHeight w:val="255"/>
          <w:jc w:val="center"/>
        </w:trPr>
        <w:tc>
          <w:tcPr>
            <w:tcW w:w="9072" w:type="dxa"/>
            <w:gridSpan w:val="3"/>
            <w:shd w:val="clear" w:color="auto" w:fill="DBE5F1"/>
            <w:vAlign w:val="center"/>
          </w:tcPr>
          <w:p w14:paraId="6A6B9301"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2 – Forma financovania </w:t>
            </w:r>
          </w:p>
        </w:tc>
      </w:tr>
      <w:tr w:rsidR="007C0E65" w:rsidRPr="003A7F56" w14:paraId="7B1C9AE0" w14:textId="77777777" w:rsidTr="007C0E65">
        <w:trPr>
          <w:trHeight w:val="255"/>
          <w:jc w:val="center"/>
        </w:trPr>
        <w:tc>
          <w:tcPr>
            <w:tcW w:w="4913" w:type="dxa"/>
            <w:shd w:val="clear" w:color="auto" w:fill="DBE5F1"/>
            <w:vAlign w:val="center"/>
          </w:tcPr>
          <w:p w14:paraId="09BBA327" w14:textId="77777777"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59" w:type="dxa"/>
            <w:gridSpan w:val="2"/>
            <w:shd w:val="clear" w:color="auto" w:fill="DBE5F1"/>
            <w:vAlign w:val="center"/>
          </w:tcPr>
          <w:p w14:paraId="7E6EC8DC" w14:textId="77777777"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3A7F56" w14:paraId="1CA0B7CC" w14:textId="77777777" w:rsidTr="007C0E65">
        <w:trPr>
          <w:trHeight w:val="255"/>
          <w:jc w:val="center"/>
        </w:trPr>
        <w:tc>
          <w:tcPr>
            <w:tcW w:w="4913" w:type="dxa"/>
            <w:shd w:val="clear" w:color="auto" w:fill="DBE5F1"/>
            <w:vAlign w:val="center"/>
          </w:tcPr>
          <w:p w14:paraId="136E866D"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59" w:type="dxa"/>
            <w:gridSpan w:val="2"/>
            <w:shd w:val="clear" w:color="auto" w:fill="DBE5F1"/>
            <w:vAlign w:val="center"/>
          </w:tcPr>
          <w:p w14:paraId="1227D19A" w14:textId="77777777"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3A7F56" w14:paraId="35E4EA7A" w14:textId="77777777" w:rsidTr="007C0E65">
        <w:trPr>
          <w:trHeight w:val="255"/>
          <w:jc w:val="center"/>
        </w:trPr>
        <w:tc>
          <w:tcPr>
            <w:tcW w:w="4913" w:type="dxa"/>
            <w:shd w:val="clear" w:color="auto" w:fill="auto"/>
            <w:vAlign w:val="center"/>
          </w:tcPr>
          <w:p w14:paraId="5CB7BF16" w14:textId="77777777"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102A8EC1"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39" w:type="dxa"/>
            <w:shd w:val="clear" w:color="auto" w:fill="auto"/>
            <w:vAlign w:val="center"/>
          </w:tcPr>
          <w:p w14:paraId="4BB33AD5"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3A7F56" w14:paraId="1D37C153" w14:textId="77777777" w:rsidTr="007C0E65">
        <w:trPr>
          <w:trHeight w:val="255"/>
          <w:jc w:val="center"/>
        </w:trPr>
        <w:tc>
          <w:tcPr>
            <w:tcW w:w="4913" w:type="dxa"/>
            <w:shd w:val="clear" w:color="auto" w:fill="auto"/>
            <w:vAlign w:val="center"/>
          </w:tcPr>
          <w:p w14:paraId="2A040FC8"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0" w:type="dxa"/>
            <w:shd w:val="clear" w:color="auto" w:fill="auto"/>
            <w:vAlign w:val="center"/>
          </w:tcPr>
          <w:p w14:paraId="78DE2DBD" w14:textId="77777777" w:rsidR="007C0E65" w:rsidRPr="003A7F56" w:rsidRDefault="0028524B"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01</w:t>
            </w:r>
          </w:p>
        </w:tc>
        <w:tc>
          <w:tcPr>
            <w:tcW w:w="2039" w:type="dxa"/>
            <w:shd w:val="clear" w:color="auto" w:fill="auto"/>
            <w:vAlign w:val="center"/>
          </w:tcPr>
          <w:p w14:paraId="7E8DB3CD" w14:textId="77777777" w:rsidR="007C0E65" w:rsidRPr="003A7F56" w:rsidRDefault="00B675C3"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87 000 000</w:t>
            </w:r>
          </w:p>
        </w:tc>
      </w:tr>
    </w:tbl>
    <w:p w14:paraId="7F005EBF" w14:textId="51C0C3CF" w:rsidR="008F0746" w:rsidRDefault="008F0746" w:rsidP="00A73A69">
      <w:pPr>
        <w:pStyle w:val="Tab"/>
      </w:pPr>
      <w:r>
        <w:br w:type="page"/>
      </w:r>
    </w:p>
    <w:p w14:paraId="6B24B729" w14:textId="77777777" w:rsidR="00A73A69" w:rsidRDefault="00A73A69" w:rsidP="00A73A69">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C0E65" w:rsidRPr="00B0529F" w14:paraId="446F7055" w14:textId="77777777" w:rsidTr="007C0E65">
        <w:trPr>
          <w:trHeight w:val="255"/>
          <w:jc w:val="center"/>
        </w:trPr>
        <w:tc>
          <w:tcPr>
            <w:tcW w:w="9098" w:type="dxa"/>
            <w:gridSpan w:val="3"/>
            <w:shd w:val="clear" w:color="auto" w:fill="DBE5F1"/>
            <w:vAlign w:val="center"/>
          </w:tcPr>
          <w:p w14:paraId="4C3FBE2C"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3 – Druh územia </w:t>
            </w:r>
          </w:p>
        </w:tc>
      </w:tr>
      <w:tr w:rsidR="007C0E65" w:rsidRPr="00B0529F" w14:paraId="1F111673" w14:textId="77777777" w:rsidTr="007C0E65">
        <w:trPr>
          <w:trHeight w:val="255"/>
          <w:jc w:val="center"/>
        </w:trPr>
        <w:tc>
          <w:tcPr>
            <w:tcW w:w="4928" w:type="dxa"/>
            <w:shd w:val="clear" w:color="auto" w:fill="DBE5F1"/>
            <w:vAlign w:val="center"/>
          </w:tcPr>
          <w:p w14:paraId="02353843" w14:textId="77777777"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70" w:type="dxa"/>
            <w:gridSpan w:val="2"/>
            <w:shd w:val="clear" w:color="auto" w:fill="DBE5F1"/>
            <w:vAlign w:val="center"/>
          </w:tcPr>
          <w:p w14:paraId="4EBC0B7A" w14:textId="77777777"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B0529F" w14:paraId="7B0618E9" w14:textId="77777777" w:rsidTr="007C0E65">
        <w:trPr>
          <w:trHeight w:val="255"/>
          <w:jc w:val="center"/>
        </w:trPr>
        <w:tc>
          <w:tcPr>
            <w:tcW w:w="4928" w:type="dxa"/>
            <w:shd w:val="clear" w:color="auto" w:fill="DBE5F1"/>
            <w:vAlign w:val="center"/>
          </w:tcPr>
          <w:p w14:paraId="6D96FD0F"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70" w:type="dxa"/>
            <w:gridSpan w:val="2"/>
            <w:shd w:val="clear" w:color="auto" w:fill="DBE5F1"/>
            <w:vAlign w:val="center"/>
          </w:tcPr>
          <w:p w14:paraId="54772CFF" w14:textId="77777777"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B0529F" w14:paraId="07D53B8E" w14:textId="77777777" w:rsidTr="007C0E65">
        <w:trPr>
          <w:trHeight w:val="255"/>
          <w:jc w:val="center"/>
        </w:trPr>
        <w:tc>
          <w:tcPr>
            <w:tcW w:w="4928" w:type="dxa"/>
            <w:shd w:val="clear" w:color="auto" w:fill="auto"/>
            <w:vAlign w:val="center"/>
          </w:tcPr>
          <w:p w14:paraId="33F6A086" w14:textId="77777777"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6" w:type="dxa"/>
            <w:shd w:val="clear" w:color="auto" w:fill="auto"/>
            <w:vAlign w:val="center"/>
          </w:tcPr>
          <w:p w14:paraId="17791484"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4" w:type="dxa"/>
            <w:shd w:val="clear" w:color="auto" w:fill="auto"/>
            <w:vAlign w:val="center"/>
          </w:tcPr>
          <w:p w14:paraId="1B14CBA5"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B0529F" w14:paraId="50068F97" w14:textId="77777777" w:rsidTr="007C0E65">
        <w:trPr>
          <w:trHeight w:val="255"/>
          <w:jc w:val="center"/>
        </w:trPr>
        <w:tc>
          <w:tcPr>
            <w:tcW w:w="4928" w:type="dxa"/>
            <w:shd w:val="clear" w:color="auto" w:fill="auto"/>
            <w:vAlign w:val="center"/>
          </w:tcPr>
          <w:p w14:paraId="1A5A7C6C"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6" w:type="dxa"/>
            <w:shd w:val="clear" w:color="auto" w:fill="auto"/>
            <w:vAlign w:val="center"/>
          </w:tcPr>
          <w:p w14:paraId="1C63F9CD" w14:textId="77777777" w:rsidR="007C0E65" w:rsidRPr="003A7F56" w:rsidRDefault="0028524B"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07</w:t>
            </w:r>
          </w:p>
        </w:tc>
        <w:tc>
          <w:tcPr>
            <w:tcW w:w="2044" w:type="dxa"/>
            <w:shd w:val="clear" w:color="auto" w:fill="auto"/>
            <w:vAlign w:val="center"/>
          </w:tcPr>
          <w:p w14:paraId="4272FAA6" w14:textId="77777777" w:rsidR="007C0E65" w:rsidRPr="003A7F56" w:rsidRDefault="00B675C3" w:rsidP="003A7F56">
            <w:pPr>
              <w:autoSpaceDE w:val="0"/>
              <w:autoSpaceDN w:val="0"/>
              <w:adjustRightInd w:val="0"/>
              <w:jc w:val="center"/>
              <w:rPr>
                <w:rFonts w:ascii="TimesNewRoman" w:hAnsi="TimesNewRoman" w:cs="TimesNewRoman"/>
                <w:sz w:val="20"/>
                <w:szCs w:val="20"/>
                <w:lang w:val="en-US"/>
              </w:rPr>
            </w:pPr>
            <w:r>
              <w:rPr>
                <w:rFonts w:ascii="TimesNewRoman" w:hAnsi="TimesNewRoman" w:cs="TimesNewRoman"/>
                <w:sz w:val="20"/>
                <w:szCs w:val="20"/>
              </w:rPr>
              <w:t>87 000 000</w:t>
            </w:r>
          </w:p>
        </w:tc>
      </w:tr>
    </w:tbl>
    <w:p w14:paraId="26BF732B" w14:textId="77777777" w:rsidR="0022234B" w:rsidRPr="007F1C63" w:rsidRDefault="0022234B" w:rsidP="007F1C63">
      <w:pPr>
        <w:rPr>
          <w:sz w:val="22"/>
          <w:szCs w:val="22"/>
        </w:rPr>
      </w:pPr>
    </w:p>
    <w:p w14:paraId="6557BCDA" w14:textId="77777777" w:rsidR="00E10737" w:rsidRDefault="00E10737" w:rsidP="006B762B">
      <w:pPr>
        <w:spacing w:before="180"/>
        <w:sectPr w:rsidR="00E10737" w:rsidSect="00D1658B">
          <w:headerReference w:type="default" r:id="rId31"/>
          <w:pgSz w:w="11906" w:h="16838"/>
          <w:pgMar w:top="1418" w:right="1361" w:bottom="1304" w:left="1474" w:header="709" w:footer="709" w:gutter="0"/>
          <w:cols w:space="708"/>
          <w:docGrid w:linePitch="360"/>
        </w:sectPr>
      </w:pPr>
    </w:p>
    <w:p w14:paraId="2EA934A3" w14:textId="77205D92" w:rsidR="00E10737" w:rsidRPr="008E22E0" w:rsidRDefault="00E10737" w:rsidP="00E10737">
      <w:pPr>
        <w:pStyle w:val="PRIORITNA"/>
        <w:numPr>
          <w:ilvl w:val="0"/>
          <w:numId w:val="0"/>
        </w:numPr>
        <w:rPr>
          <w:iCs w:val="0"/>
          <w:color w:val="1F497D" w:themeColor="text2"/>
          <w:sz w:val="22"/>
          <w:szCs w:val="26"/>
        </w:rPr>
      </w:pPr>
      <w:bookmarkStart w:id="84" w:name="_Toc21945906"/>
      <w:bookmarkStart w:id="85" w:name="_Toc28951639"/>
      <w:r w:rsidRPr="008E22E0">
        <w:rPr>
          <w:iCs w:val="0"/>
          <w:color w:val="1F497D" w:themeColor="text2"/>
          <w:sz w:val="22"/>
          <w:szCs w:val="26"/>
        </w:rPr>
        <w:lastRenderedPageBreak/>
        <w:t>Popis prioritných osí okrem technickej pomoci</w:t>
      </w:r>
      <w:bookmarkEnd w:id="84"/>
      <w:bookmarkEnd w:id="85"/>
    </w:p>
    <w:p w14:paraId="2C552057" w14:textId="77777777" w:rsidR="00E10737" w:rsidRPr="008E22E0" w:rsidRDefault="00E10737" w:rsidP="00E10737">
      <w:pPr>
        <w:pStyle w:val="Nadpis2"/>
        <w:tabs>
          <w:tab w:val="clear" w:pos="709"/>
          <w:tab w:val="clear" w:pos="851"/>
        </w:tabs>
      </w:pPr>
      <w:bookmarkStart w:id="86" w:name="_Toc21945907"/>
      <w:bookmarkStart w:id="87" w:name="_Toc28951640"/>
      <w:r>
        <w:t>PRIORITNÁ OS 9: PODPORA VÝSKUMU, VÝVOJA A INOVÁCIÍ</w:t>
      </w:r>
      <w:bookmarkEnd w:id="86"/>
      <w:bookmarkEnd w:id="87"/>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9"/>
        <w:gridCol w:w="6803"/>
      </w:tblGrid>
      <w:tr w:rsidR="00E10737" w14:paraId="0A6335E2" w14:textId="77777777" w:rsidTr="004179DE">
        <w:trPr>
          <w:trHeight w:val="284"/>
          <w:jc w:val="center"/>
        </w:trPr>
        <w:tc>
          <w:tcPr>
            <w:tcW w:w="2269" w:type="dxa"/>
            <w:shd w:val="clear" w:color="auto" w:fill="DBE5F1" w:themeFill="accent1" w:themeFillTint="33"/>
            <w:vAlign w:val="center"/>
          </w:tcPr>
          <w:p w14:paraId="58C67C40" w14:textId="77777777" w:rsidR="00E10737" w:rsidRDefault="00E10737" w:rsidP="004179DE">
            <w:pPr>
              <w:ind w:left="0"/>
            </w:pPr>
            <w:r w:rsidRPr="00863337">
              <w:rPr>
                <w:b/>
                <w:i/>
                <w:sz w:val="20"/>
                <w:szCs w:val="20"/>
              </w:rPr>
              <w:t>ID prioritnej osi</w:t>
            </w:r>
          </w:p>
        </w:tc>
        <w:tc>
          <w:tcPr>
            <w:tcW w:w="6803" w:type="dxa"/>
            <w:vAlign w:val="center"/>
          </w:tcPr>
          <w:p w14:paraId="51998A80" w14:textId="77777777" w:rsidR="00E10737" w:rsidRDefault="00E10737" w:rsidP="004179DE">
            <w:pPr>
              <w:pStyle w:val="PRIORITNA"/>
              <w:numPr>
                <w:ilvl w:val="0"/>
                <w:numId w:val="0"/>
              </w:numPr>
              <w:spacing w:after="0"/>
              <w:jc w:val="left"/>
            </w:pPr>
            <w:r>
              <w:t>9</w:t>
            </w:r>
          </w:p>
        </w:tc>
      </w:tr>
      <w:tr w:rsidR="00E10737" w14:paraId="78CE4686" w14:textId="77777777" w:rsidTr="004179DE">
        <w:trPr>
          <w:trHeight w:val="284"/>
          <w:jc w:val="center"/>
        </w:trPr>
        <w:tc>
          <w:tcPr>
            <w:tcW w:w="2269" w:type="dxa"/>
            <w:shd w:val="clear" w:color="auto" w:fill="DBE5F1" w:themeFill="accent1" w:themeFillTint="33"/>
            <w:vAlign w:val="center"/>
          </w:tcPr>
          <w:p w14:paraId="1B16C95D" w14:textId="77777777" w:rsidR="00E10737" w:rsidRPr="003D6170" w:rsidRDefault="00E10737" w:rsidP="004179DE">
            <w:pPr>
              <w:ind w:left="0"/>
            </w:pPr>
            <w:r w:rsidRPr="003D6170">
              <w:rPr>
                <w:b/>
                <w:i/>
                <w:sz w:val="20"/>
                <w:szCs w:val="20"/>
              </w:rPr>
              <w:t>Názov prioritnej osi</w:t>
            </w:r>
          </w:p>
        </w:tc>
        <w:tc>
          <w:tcPr>
            <w:tcW w:w="6803" w:type="dxa"/>
            <w:vAlign w:val="center"/>
          </w:tcPr>
          <w:p w14:paraId="5437B958" w14:textId="77777777" w:rsidR="00E10737" w:rsidRPr="00750A42" w:rsidRDefault="00E10737" w:rsidP="004179DE">
            <w:pPr>
              <w:ind w:left="0"/>
              <w:rPr>
                <w:sz w:val="20"/>
                <w:szCs w:val="20"/>
              </w:rPr>
            </w:pPr>
            <w:r>
              <w:rPr>
                <w:sz w:val="20"/>
                <w:szCs w:val="20"/>
              </w:rPr>
              <w:t>Podpora výskumu, vývoja a inovácií</w:t>
            </w:r>
          </w:p>
        </w:tc>
      </w:tr>
    </w:tbl>
    <w:p w14:paraId="1C746F8E" w14:textId="77777777" w:rsidR="00E10737" w:rsidRDefault="00E10737" w:rsidP="00E10737">
      <w:pPr>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10737" w:rsidRPr="00765DFA" w14:paraId="7E57EF96" w14:textId="77777777" w:rsidTr="004179DE">
        <w:trPr>
          <w:trHeight w:val="255"/>
          <w:jc w:val="center"/>
        </w:trPr>
        <w:tc>
          <w:tcPr>
            <w:tcW w:w="5024" w:type="dxa"/>
            <w:shd w:val="clear" w:color="auto" w:fill="DBE5F1" w:themeFill="accent1" w:themeFillTint="33"/>
            <w:vAlign w:val="center"/>
          </w:tcPr>
          <w:p w14:paraId="39E84B37" w14:textId="77777777" w:rsidR="00E10737" w:rsidRPr="00765DFA" w:rsidRDefault="00E10737" w:rsidP="004179DE">
            <w:pPr>
              <w:ind w:left="0"/>
              <w:rPr>
                <w:b/>
                <w:i/>
                <w:sz w:val="20"/>
                <w:szCs w:val="20"/>
              </w:rPr>
            </w:pPr>
            <w:r>
              <w:rPr>
                <w:b/>
                <w:i/>
                <w:sz w:val="20"/>
                <w:szCs w:val="20"/>
              </w:rPr>
              <w:t xml:space="preserve">Celá prioritná os bude realizovaná výhradne prostredníctvom finančných nástrojov </w:t>
            </w:r>
          </w:p>
        </w:tc>
        <w:tc>
          <w:tcPr>
            <w:tcW w:w="4048" w:type="dxa"/>
            <w:vAlign w:val="center"/>
          </w:tcPr>
          <w:p w14:paraId="1F9A5267" w14:textId="77777777" w:rsidR="00E10737" w:rsidRPr="00765DFA" w:rsidRDefault="00E10737" w:rsidP="004179DE">
            <w:pPr>
              <w:ind w:left="0"/>
              <w:rPr>
                <w:sz w:val="20"/>
                <w:szCs w:val="20"/>
              </w:rPr>
            </w:pPr>
            <w:r>
              <w:rPr>
                <w:sz w:val="20"/>
                <w:szCs w:val="20"/>
              </w:rPr>
              <w:t>N/A</w:t>
            </w:r>
          </w:p>
        </w:tc>
      </w:tr>
      <w:tr w:rsidR="00E10737" w:rsidRPr="00765DFA" w14:paraId="7277CB1C" w14:textId="77777777" w:rsidTr="004179DE">
        <w:trPr>
          <w:trHeight w:val="255"/>
          <w:jc w:val="center"/>
        </w:trPr>
        <w:tc>
          <w:tcPr>
            <w:tcW w:w="5024" w:type="dxa"/>
            <w:shd w:val="clear" w:color="auto" w:fill="DBE5F1" w:themeFill="accent1" w:themeFillTint="33"/>
            <w:vAlign w:val="center"/>
          </w:tcPr>
          <w:p w14:paraId="0E8F5A36" w14:textId="77777777" w:rsidR="00E10737" w:rsidRPr="00765DFA" w:rsidRDefault="00E10737" w:rsidP="004179DE">
            <w:pPr>
              <w:ind w:left="0"/>
              <w:rPr>
                <w:b/>
                <w:i/>
                <w:sz w:val="20"/>
                <w:szCs w:val="20"/>
              </w:rPr>
            </w:pPr>
            <w:r>
              <w:rPr>
                <w:b/>
                <w:i/>
                <w:sz w:val="20"/>
                <w:szCs w:val="20"/>
              </w:rPr>
              <w:t>Celá prioritná os bude realizovaná výhradne prostredníctvom finančných nástrojov vytvorených na úrovni Únie</w:t>
            </w:r>
          </w:p>
        </w:tc>
        <w:tc>
          <w:tcPr>
            <w:tcW w:w="4048" w:type="dxa"/>
            <w:vAlign w:val="center"/>
          </w:tcPr>
          <w:p w14:paraId="2C8481E4" w14:textId="77777777" w:rsidR="00E10737" w:rsidRPr="00765DFA" w:rsidRDefault="00E10737" w:rsidP="004179DE">
            <w:pPr>
              <w:ind w:left="0"/>
              <w:rPr>
                <w:sz w:val="20"/>
                <w:szCs w:val="20"/>
              </w:rPr>
            </w:pPr>
            <w:r>
              <w:rPr>
                <w:sz w:val="20"/>
                <w:szCs w:val="20"/>
              </w:rPr>
              <w:t>N/A</w:t>
            </w:r>
          </w:p>
        </w:tc>
      </w:tr>
      <w:tr w:rsidR="00E10737" w:rsidRPr="00750A42" w14:paraId="5E0BCEDA" w14:textId="77777777" w:rsidTr="004179DE">
        <w:trPr>
          <w:trHeight w:val="70"/>
          <w:jc w:val="center"/>
        </w:trPr>
        <w:tc>
          <w:tcPr>
            <w:tcW w:w="5024" w:type="dxa"/>
            <w:shd w:val="clear" w:color="auto" w:fill="DBE5F1" w:themeFill="accent1" w:themeFillTint="33"/>
            <w:vAlign w:val="center"/>
          </w:tcPr>
          <w:p w14:paraId="78B7F5B8" w14:textId="77777777" w:rsidR="00E10737" w:rsidRPr="00765DFA" w:rsidRDefault="00E10737" w:rsidP="004179DE">
            <w:pPr>
              <w:ind w:left="0"/>
              <w:rPr>
                <w:b/>
                <w:i/>
                <w:sz w:val="20"/>
                <w:szCs w:val="20"/>
              </w:rPr>
            </w:pPr>
            <w:r>
              <w:rPr>
                <w:b/>
                <w:i/>
                <w:sz w:val="20"/>
                <w:szCs w:val="20"/>
              </w:rPr>
              <w:t>Celá prioritná os bude realizovaná prostredníctvom komunitne vedeného miestneho rozvoja</w:t>
            </w:r>
          </w:p>
        </w:tc>
        <w:tc>
          <w:tcPr>
            <w:tcW w:w="4048" w:type="dxa"/>
            <w:vAlign w:val="center"/>
          </w:tcPr>
          <w:p w14:paraId="445A7A1F" w14:textId="77777777" w:rsidR="00E10737" w:rsidRPr="00750A42" w:rsidRDefault="00E10737" w:rsidP="004179DE">
            <w:pPr>
              <w:ind w:left="0"/>
              <w:rPr>
                <w:sz w:val="20"/>
                <w:szCs w:val="20"/>
              </w:rPr>
            </w:pPr>
            <w:r>
              <w:rPr>
                <w:sz w:val="20"/>
                <w:szCs w:val="20"/>
              </w:rPr>
              <w:t>Nie</w:t>
            </w:r>
          </w:p>
        </w:tc>
      </w:tr>
      <w:tr w:rsidR="00E10737" w:rsidRPr="00765DFA" w14:paraId="15413B07" w14:textId="77777777" w:rsidTr="004179DE">
        <w:trPr>
          <w:jc w:val="center"/>
        </w:trPr>
        <w:tc>
          <w:tcPr>
            <w:tcW w:w="5024" w:type="dxa"/>
            <w:shd w:val="clear" w:color="auto" w:fill="DBE5F1" w:themeFill="accent1" w:themeFillTint="33"/>
          </w:tcPr>
          <w:p w14:paraId="060B6800" w14:textId="77777777" w:rsidR="00E10737" w:rsidRPr="00765DFA" w:rsidRDefault="00E10737" w:rsidP="004179DE">
            <w:pPr>
              <w:ind w:left="0"/>
              <w:rPr>
                <w:b/>
                <w:i/>
                <w:sz w:val="20"/>
                <w:szCs w:val="20"/>
              </w:rPr>
            </w:pPr>
            <w:r>
              <w:rPr>
                <w:b/>
                <w:i/>
                <w:sz w:val="20"/>
                <w:szCs w:val="20"/>
              </w:rPr>
              <w:t>Pre ESF: Celá prioritná os je zameraná na sociálnu inováciu alebo nadnárodnú spoluprácu, alebo oboje</w:t>
            </w:r>
          </w:p>
        </w:tc>
        <w:tc>
          <w:tcPr>
            <w:tcW w:w="4048" w:type="dxa"/>
            <w:vAlign w:val="center"/>
          </w:tcPr>
          <w:p w14:paraId="7EA18391" w14:textId="77777777" w:rsidR="00E10737" w:rsidRPr="00765DFA" w:rsidRDefault="00E10737" w:rsidP="004179DE">
            <w:pPr>
              <w:ind w:left="0"/>
              <w:rPr>
                <w:sz w:val="20"/>
                <w:szCs w:val="20"/>
              </w:rPr>
            </w:pPr>
            <w:r>
              <w:rPr>
                <w:sz w:val="20"/>
                <w:szCs w:val="20"/>
              </w:rPr>
              <w:t>N/A</w:t>
            </w:r>
          </w:p>
        </w:tc>
      </w:tr>
    </w:tbl>
    <w:p w14:paraId="02823E02" w14:textId="77777777" w:rsidR="00E10737" w:rsidRPr="007F1C63" w:rsidRDefault="00E10737" w:rsidP="00E10737">
      <w:pPr>
        <w:pStyle w:val="Nadpis3"/>
      </w:pPr>
      <w:bookmarkStart w:id="88" w:name="_Toc21945908"/>
      <w:bookmarkStart w:id="89" w:name="_Toc28951641"/>
      <w:r w:rsidRPr="007F1C63">
        <w:t>Fond, kategória regiónu a základ pre výpočet podpory Únie</w:t>
      </w:r>
      <w:bookmarkEnd w:id="88"/>
      <w:bookmarkEnd w:id="89"/>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10737" w:rsidRPr="007F1C63" w14:paraId="2831CE41" w14:textId="77777777" w:rsidTr="004179DE">
        <w:trPr>
          <w:trHeight w:val="255"/>
          <w:jc w:val="center"/>
        </w:trPr>
        <w:tc>
          <w:tcPr>
            <w:tcW w:w="4042" w:type="dxa"/>
            <w:shd w:val="clear" w:color="auto" w:fill="DBE5F1" w:themeFill="accent1" w:themeFillTint="33"/>
            <w:vAlign w:val="center"/>
          </w:tcPr>
          <w:p w14:paraId="59918A9F" w14:textId="77777777" w:rsidR="00E10737" w:rsidRPr="007F1C63" w:rsidRDefault="00E10737" w:rsidP="004179DE">
            <w:pPr>
              <w:ind w:left="0"/>
              <w:rPr>
                <w:b/>
                <w:i/>
                <w:sz w:val="20"/>
                <w:szCs w:val="20"/>
              </w:rPr>
            </w:pPr>
            <w:r w:rsidRPr="007F1C63">
              <w:rPr>
                <w:b/>
                <w:i/>
                <w:sz w:val="20"/>
                <w:szCs w:val="20"/>
              </w:rPr>
              <w:t>Fond</w:t>
            </w:r>
          </w:p>
        </w:tc>
        <w:tc>
          <w:tcPr>
            <w:tcW w:w="3361" w:type="dxa"/>
            <w:vAlign w:val="center"/>
          </w:tcPr>
          <w:p w14:paraId="3F7FE2EF" w14:textId="77777777" w:rsidR="00E10737" w:rsidRPr="007F1C63" w:rsidRDefault="00E10737" w:rsidP="004179DE">
            <w:pPr>
              <w:ind w:left="0"/>
              <w:rPr>
                <w:sz w:val="20"/>
                <w:szCs w:val="20"/>
              </w:rPr>
            </w:pPr>
            <w:r w:rsidRPr="007F1C63">
              <w:rPr>
                <w:sz w:val="20"/>
                <w:szCs w:val="20"/>
              </w:rPr>
              <w:t>EFRR</w:t>
            </w:r>
          </w:p>
        </w:tc>
      </w:tr>
      <w:tr w:rsidR="00E10737" w:rsidRPr="007F1C63" w14:paraId="3710FCE0" w14:textId="77777777" w:rsidTr="004179DE">
        <w:trPr>
          <w:trHeight w:val="255"/>
          <w:jc w:val="center"/>
        </w:trPr>
        <w:tc>
          <w:tcPr>
            <w:tcW w:w="4042" w:type="dxa"/>
            <w:shd w:val="clear" w:color="auto" w:fill="DBE5F1" w:themeFill="accent1" w:themeFillTint="33"/>
            <w:vAlign w:val="center"/>
          </w:tcPr>
          <w:p w14:paraId="19C26EE1" w14:textId="77777777" w:rsidR="00E10737" w:rsidRPr="007F1C63" w:rsidRDefault="00E10737" w:rsidP="004179DE">
            <w:pPr>
              <w:ind w:left="0"/>
              <w:rPr>
                <w:b/>
                <w:i/>
                <w:sz w:val="20"/>
                <w:szCs w:val="20"/>
              </w:rPr>
            </w:pPr>
            <w:r w:rsidRPr="007F1C63">
              <w:rPr>
                <w:b/>
                <w:i/>
                <w:sz w:val="20"/>
                <w:szCs w:val="20"/>
              </w:rPr>
              <w:t>Kategória regiónu</w:t>
            </w:r>
          </w:p>
        </w:tc>
        <w:tc>
          <w:tcPr>
            <w:tcW w:w="3361" w:type="dxa"/>
            <w:vAlign w:val="center"/>
          </w:tcPr>
          <w:p w14:paraId="53246A5B" w14:textId="77777777" w:rsidR="00E10737" w:rsidRPr="007F1C63" w:rsidRDefault="00E10737" w:rsidP="004179DE">
            <w:pPr>
              <w:ind w:left="0"/>
              <w:rPr>
                <w:sz w:val="20"/>
                <w:szCs w:val="20"/>
              </w:rPr>
            </w:pPr>
            <w:r>
              <w:rPr>
                <w:sz w:val="20"/>
                <w:szCs w:val="20"/>
              </w:rPr>
              <w:t>Menej rozvinuté regióny</w:t>
            </w:r>
          </w:p>
        </w:tc>
      </w:tr>
      <w:tr w:rsidR="00E10737" w:rsidRPr="007F1C63" w14:paraId="372B709E" w14:textId="77777777" w:rsidTr="004179DE">
        <w:trPr>
          <w:trHeight w:val="255"/>
          <w:jc w:val="center"/>
        </w:trPr>
        <w:tc>
          <w:tcPr>
            <w:tcW w:w="4042" w:type="dxa"/>
            <w:shd w:val="clear" w:color="auto" w:fill="DBE5F1" w:themeFill="accent1" w:themeFillTint="33"/>
            <w:vAlign w:val="center"/>
          </w:tcPr>
          <w:p w14:paraId="21C1F2B8" w14:textId="77777777" w:rsidR="00E10737" w:rsidRPr="007F1C63" w:rsidRDefault="00E10737" w:rsidP="004179DE">
            <w:pPr>
              <w:ind w:left="0"/>
              <w:rPr>
                <w:b/>
                <w:i/>
                <w:sz w:val="20"/>
                <w:szCs w:val="20"/>
              </w:rPr>
            </w:pPr>
            <w:r w:rsidRPr="007F1C63">
              <w:rPr>
                <w:b/>
                <w:i/>
                <w:sz w:val="20"/>
                <w:szCs w:val="20"/>
              </w:rPr>
              <w:t>Základ pre výpočet (celkový príspevok)</w:t>
            </w:r>
          </w:p>
        </w:tc>
        <w:tc>
          <w:tcPr>
            <w:tcW w:w="3361" w:type="dxa"/>
            <w:vAlign w:val="center"/>
          </w:tcPr>
          <w:p w14:paraId="2889526A" w14:textId="01E787B8" w:rsidR="00E10737" w:rsidRPr="007F1C63" w:rsidRDefault="002D1464" w:rsidP="002D1464">
            <w:pPr>
              <w:ind w:left="0"/>
              <w:rPr>
                <w:sz w:val="20"/>
                <w:szCs w:val="20"/>
                <w:lang w:val="en-US"/>
              </w:rPr>
            </w:pPr>
            <w:r>
              <w:rPr>
                <w:sz w:val="20"/>
                <w:szCs w:val="20"/>
              </w:rPr>
              <w:t>1 307 683 946</w:t>
            </w:r>
            <w:r w:rsidR="00E10737">
              <w:rPr>
                <w:sz w:val="20"/>
                <w:szCs w:val="20"/>
              </w:rPr>
              <w:t xml:space="preserve"> EUR</w:t>
            </w:r>
          </w:p>
        </w:tc>
      </w:tr>
      <w:tr w:rsidR="00E10737" w:rsidRPr="007F1C63" w14:paraId="15E4888A" w14:textId="77777777" w:rsidTr="004179DE">
        <w:trPr>
          <w:trHeight w:val="255"/>
          <w:jc w:val="center"/>
        </w:trPr>
        <w:tc>
          <w:tcPr>
            <w:tcW w:w="4042" w:type="dxa"/>
            <w:shd w:val="clear" w:color="auto" w:fill="DBE5F1" w:themeFill="accent1" w:themeFillTint="33"/>
          </w:tcPr>
          <w:p w14:paraId="188C3B83" w14:textId="77777777" w:rsidR="00E10737" w:rsidRPr="007F1C63" w:rsidRDefault="00E10737" w:rsidP="004179DE">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14:paraId="56D3C976" w14:textId="77777777" w:rsidR="00E10737" w:rsidRPr="007F1C63" w:rsidRDefault="00E10737" w:rsidP="004179DE">
            <w:pPr>
              <w:ind w:left="0"/>
              <w:rPr>
                <w:sz w:val="20"/>
                <w:szCs w:val="20"/>
              </w:rPr>
            </w:pPr>
            <w:r w:rsidRPr="007F1C63">
              <w:rPr>
                <w:sz w:val="20"/>
                <w:szCs w:val="20"/>
              </w:rPr>
              <w:t>N/A</w:t>
            </w:r>
          </w:p>
        </w:tc>
      </w:tr>
    </w:tbl>
    <w:p w14:paraId="7B56D359" w14:textId="77777777" w:rsidR="00E10737" w:rsidRPr="007F1C63" w:rsidRDefault="00E10737" w:rsidP="00E10737">
      <w:pPr>
        <w:rPr>
          <w:sz w:val="22"/>
          <w:szCs w:val="22"/>
        </w:rPr>
      </w:pPr>
    </w:p>
    <w:p w14:paraId="4CF6E688" w14:textId="548A2777" w:rsidR="00E10737" w:rsidRDefault="00E10737" w:rsidP="00E10737">
      <w:pPr>
        <w:pStyle w:val="Nadpis3"/>
        <w:tabs>
          <w:tab w:val="clear" w:pos="709"/>
          <w:tab w:val="clear" w:pos="851"/>
        </w:tabs>
        <w:jc w:val="both"/>
      </w:pPr>
      <w:bookmarkStart w:id="90" w:name="_Toc21945909"/>
      <w:bookmarkStart w:id="91" w:name="_Toc28951642"/>
      <w:r>
        <w:t>INVESTIČNÁ PRIORITA 1</w:t>
      </w:r>
      <w:r w:rsidR="00F55C93">
        <w:t>a)</w:t>
      </w:r>
      <w:r>
        <w:t xml:space="preserve">: </w:t>
      </w:r>
      <w:r w:rsidRPr="001C41FF">
        <w:t>Rozšírenie výskumnej a inovačnej infraštruktúry a kapacít na</w:t>
      </w:r>
      <w:r>
        <w:t> </w:t>
      </w:r>
      <w:r w:rsidRPr="001C41FF">
        <w:t>rozvoj excelentnosti v oblasti výskumu a inovácií a podpora kompetenčných centier, najmä takýchto centier európskeho záujmu</w:t>
      </w:r>
      <w:bookmarkEnd w:id="90"/>
      <w:bookmarkEnd w:id="91"/>
    </w:p>
    <w:p w14:paraId="36F6CA25" w14:textId="77777777" w:rsidR="00E10737" w:rsidRDefault="00E10737" w:rsidP="00E10737">
      <w:pPr>
        <w:pStyle w:val="Nadpis4"/>
        <w:tabs>
          <w:tab w:val="clear" w:pos="709"/>
          <w:tab w:val="clear" w:pos="864"/>
        </w:tabs>
        <w:ind w:left="851" w:hanging="851"/>
      </w:pPr>
      <w:r w:rsidRPr="002B03EB">
        <w:t>Špecifické</w:t>
      </w:r>
      <w:r>
        <w:t xml:space="preserve"> ciele investičnej priority a očakávané výsledky</w:t>
      </w:r>
    </w:p>
    <w:p w14:paraId="34B5C602" w14:textId="16DB03ED" w:rsidR="00E10737" w:rsidRDefault="00E10737" w:rsidP="00E10737">
      <w:pPr>
        <w:shd w:val="clear" w:color="auto" w:fill="FFFFCC"/>
        <w:jc w:val="both"/>
        <w:rPr>
          <w:b/>
          <w:i/>
        </w:rPr>
      </w:pPr>
      <w:r w:rsidRPr="004F0234">
        <w:rPr>
          <w:i/>
        </w:rPr>
        <w:t xml:space="preserve">ŠPECIFICKÝ CIEĽ </w:t>
      </w:r>
      <w:r>
        <w:rPr>
          <w:i/>
        </w:rPr>
        <w:t>9.1</w:t>
      </w:r>
      <w:r w:rsidRPr="004F0234">
        <w:rPr>
          <w:i/>
        </w:rPr>
        <w:t>:</w:t>
      </w:r>
      <w:r>
        <w:rPr>
          <w:i/>
        </w:rPr>
        <w:t xml:space="preserve"> </w:t>
      </w:r>
      <w:r w:rsidRPr="001C41FF">
        <w:rPr>
          <w:b/>
          <w:i/>
        </w:rPr>
        <w:t>Zvýšenie výkonnosti systému VaV prostredníctvom horizontálnej podpory technologického transferu a</w:t>
      </w:r>
      <w:r>
        <w:rPr>
          <w:b/>
          <w:i/>
        </w:rPr>
        <w:t> </w:t>
      </w:r>
      <w:r w:rsidRPr="001C41FF">
        <w:rPr>
          <w:b/>
          <w:i/>
        </w:rPr>
        <w:t>IKT</w:t>
      </w:r>
    </w:p>
    <w:p w14:paraId="3C7A0907" w14:textId="77777777" w:rsidR="00E10737" w:rsidRDefault="00E10737" w:rsidP="00E10737">
      <w:pPr>
        <w:jc w:val="both"/>
        <w:rPr>
          <w:w w:val="105"/>
        </w:rPr>
      </w:pPr>
    </w:p>
    <w:p w14:paraId="30B92444" w14:textId="4FCC75ED" w:rsidR="00E10737" w:rsidRPr="00B34953" w:rsidRDefault="00E10737" w:rsidP="00E10737">
      <w:pPr>
        <w:jc w:val="both"/>
        <w:rPr>
          <w:b/>
          <w:i/>
          <w:sz w:val="22"/>
          <w:szCs w:val="22"/>
        </w:rPr>
      </w:pPr>
      <w:r w:rsidRPr="00CF79E0">
        <w:rPr>
          <w:sz w:val="22"/>
          <w:szCs w:val="22"/>
        </w:rPr>
        <w:t>Medzi kľúčové potreby systémového charakteru</w:t>
      </w:r>
      <w:r w:rsidR="00DB1B27">
        <w:rPr>
          <w:rStyle w:val="Odkaznapoznmkupodiarou"/>
          <w:sz w:val="22"/>
          <w:szCs w:val="22"/>
        </w:rPr>
        <w:footnoteReference w:id="77"/>
      </w:r>
      <w:r w:rsidRPr="00CF79E0">
        <w:rPr>
          <w:sz w:val="22"/>
          <w:szCs w:val="22"/>
        </w:rPr>
        <w:t>, ktoré si vyžadujú zlepšenie, patria ochrana duševného vlastníctva výskumných inštitúcií, informačnej a informatickej podpory VaV a infraštruktúry pre propagáciu a popularizáciu výsledkov VaV v podobe centier vedy typu Experimentarium (www.experimentarium.dk).</w:t>
      </w:r>
    </w:p>
    <w:p w14:paraId="49B10C8F"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83BAB35" w14:textId="77777777" w:rsidR="00E10737" w:rsidRDefault="00E10737" w:rsidP="00E10737">
      <w:pPr>
        <w:autoSpaceDE w:val="0"/>
        <w:autoSpaceDN w:val="0"/>
        <w:adjustRightInd w:val="0"/>
        <w:jc w:val="both"/>
        <w:rPr>
          <w:sz w:val="22"/>
          <w:szCs w:val="22"/>
        </w:rPr>
      </w:pPr>
      <w:r w:rsidRPr="001C41FF">
        <w:rPr>
          <w:sz w:val="22"/>
          <w:szCs w:val="22"/>
        </w:rPr>
        <w:t>V rámci tohto špecifického cieľa budú podporované aktivity systémového charakteru a preto aj očakávané priame výsledky a prínosy podporených aktivít budú systémového charakteru. Pôjde najmä o:</w:t>
      </w:r>
    </w:p>
    <w:p w14:paraId="1423E141" w14:textId="77777777" w:rsidR="00E10737" w:rsidRPr="00BE4E38" w:rsidRDefault="00E10737" w:rsidP="007C7881">
      <w:pPr>
        <w:pStyle w:val="Odsekzoznamu"/>
        <w:numPr>
          <w:ilvl w:val="0"/>
          <w:numId w:val="133"/>
        </w:numPr>
        <w:ind w:left="709" w:hanging="425"/>
        <w:jc w:val="both"/>
        <w:rPr>
          <w:sz w:val="22"/>
          <w:szCs w:val="22"/>
        </w:rPr>
      </w:pPr>
      <w:r w:rsidRPr="00BE4E38">
        <w:rPr>
          <w:sz w:val="22"/>
          <w:szCs w:val="22"/>
        </w:rPr>
        <w:t>celkové zvýšenie výkonnosti systému VaV, prostredníctvom zvýšeného využívania inštitútov ochrany duševného vlastníctva (patentovanie, licencovanie, vzni</w:t>
      </w:r>
      <w:r>
        <w:rPr>
          <w:sz w:val="22"/>
          <w:szCs w:val="22"/>
        </w:rPr>
        <w:t>k spin-off a start-up efektov v </w:t>
      </w:r>
      <w:r w:rsidRPr="00BE4E38">
        <w:rPr>
          <w:sz w:val="22"/>
          <w:szCs w:val="22"/>
        </w:rPr>
        <w:t>štátnom a verejnom sektore VaV);</w:t>
      </w:r>
    </w:p>
    <w:p w14:paraId="3F853BA7" w14:textId="77777777" w:rsidR="00E10737" w:rsidRPr="00BE4E38" w:rsidRDefault="00E10737" w:rsidP="007C7881">
      <w:pPr>
        <w:pStyle w:val="Odsekzoznamu"/>
        <w:numPr>
          <w:ilvl w:val="0"/>
          <w:numId w:val="133"/>
        </w:numPr>
        <w:ind w:left="709" w:hanging="425"/>
        <w:jc w:val="both"/>
        <w:rPr>
          <w:sz w:val="22"/>
          <w:szCs w:val="22"/>
        </w:rPr>
      </w:pPr>
      <w:r w:rsidRPr="00BE4E38">
        <w:rPr>
          <w:sz w:val="22"/>
          <w:szCs w:val="22"/>
        </w:rPr>
        <w:t>zvýšenie záujmu mladej generácie o štúdium technických a prírodovedných smerov a kariéru výskumníka;</w:t>
      </w:r>
    </w:p>
    <w:p w14:paraId="754E429E" w14:textId="1B3DCEDF" w:rsidR="00E10737" w:rsidRDefault="00E10737" w:rsidP="007C7881">
      <w:pPr>
        <w:pStyle w:val="Odsekzoznamu"/>
        <w:numPr>
          <w:ilvl w:val="0"/>
          <w:numId w:val="133"/>
        </w:numPr>
        <w:ind w:left="709" w:hanging="425"/>
        <w:jc w:val="both"/>
        <w:rPr>
          <w:sz w:val="22"/>
          <w:szCs w:val="22"/>
        </w:rPr>
      </w:pPr>
      <w:r w:rsidRPr="00BE4E38">
        <w:rPr>
          <w:sz w:val="22"/>
          <w:szCs w:val="22"/>
        </w:rPr>
        <w:t>zvýšenie počtu výstupov aktivít verejných a štátnych VaV inštitúcií pre priemysel a</w:t>
      </w:r>
      <w:r w:rsidR="007C7881">
        <w:rPr>
          <w:sz w:val="22"/>
          <w:szCs w:val="22"/>
        </w:rPr>
        <w:t> </w:t>
      </w:r>
      <w:r w:rsidRPr="00BE4E38">
        <w:rPr>
          <w:sz w:val="22"/>
          <w:szCs w:val="22"/>
        </w:rPr>
        <w:t>spoločnosť v nadväznosti na realizovanie aktivít súvisiacich s podporou národného systému pre transfer technológií.</w:t>
      </w:r>
    </w:p>
    <w:p w14:paraId="565E9624" w14:textId="77777777" w:rsidR="00E10737" w:rsidRDefault="00E10737" w:rsidP="00E10737">
      <w:pPr>
        <w:rPr>
          <w:sz w:val="22"/>
          <w:szCs w:val="22"/>
        </w:rPr>
      </w:pPr>
    </w:p>
    <w:p w14:paraId="05B2CEE7" w14:textId="77777777" w:rsidR="00E10737" w:rsidRDefault="00E10737" w:rsidP="00E10737">
      <w:pPr>
        <w:jc w:val="both"/>
        <w:rPr>
          <w:sz w:val="22"/>
          <w:szCs w:val="22"/>
        </w:rPr>
      </w:pPr>
      <w:r w:rsidRPr="00BE4E38">
        <w:rPr>
          <w:sz w:val="22"/>
          <w:szCs w:val="22"/>
        </w:rPr>
        <w:lastRenderedPageBreak/>
        <w:t>Tieto výsledky budú mať multiplikačné efekty s pozitívnym vplyvom na zamestnanosť a hospodársky rast.</w:t>
      </w:r>
    </w:p>
    <w:p w14:paraId="677EB4DA" w14:textId="7C8DCDCD" w:rsidR="00E10737" w:rsidRDefault="00E10737" w:rsidP="00C31A97">
      <w:pPr>
        <w:pStyle w:val="Tab"/>
        <w:tabs>
          <w:tab w:val="clear" w:pos="0"/>
          <w:tab w:val="clear" w:pos="851"/>
        </w:tabs>
        <w:ind w:left="851" w:hanging="851"/>
      </w:pPr>
      <w:r w:rsidRPr="00BE4E38">
        <w:t xml:space="preserve">Špecifické ukazovatele výsledkov programu zodpovedajúce špecifickému cieľu </w:t>
      </w:r>
      <w:r>
        <w:t>9</w:t>
      </w:r>
      <w:r w:rsidRPr="00BE4E38">
        <w:t>.1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5CE296A7" w14:textId="77777777" w:rsidTr="004179DE">
        <w:trPr>
          <w:trHeight w:val="487"/>
          <w:jc w:val="center"/>
        </w:trPr>
        <w:tc>
          <w:tcPr>
            <w:tcW w:w="598" w:type="dxa"/>
            <w:shd w:val="clear" w:color="auto" w:fill="C6D9F1" w:themeFill="text2" w:themeFillTint="33"/>
            <w:vAlign w:val="center"/>
          </w:tcPr>
          <w:p w14:paraId="02ED001E"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592A281C"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41519044"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7118663A"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5016C3FE"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1469CA1B"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397B37B0"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47143886"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DC9417F"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691E20A6" w14:textId="77777777" w:rsidTr="004179DE">
        <w:trPr>
          <w:cantSplit/>
          <w:trHeight w:val="1134"/>
          <w:jc w:val="center"/>
        </w:trPr>
        <w:tc>
          <w:tcPr>
            <w:tcW w:w="598" w:type="dxa"/>
            <w:shd w:val="clear" w:color="auto" w:fill="auto"/>
            <w:textDirection w:val="btLr"/>
            <w:vAlign w:val="center"/>
          </w:tcPr>
          <w:p w14:paraId="7BBA65B2" w14:textId="77777777" w:rsidR="00E10737" w:rsidRPr="00CF79E0" w:rsidRDefault="00E10737" w:rsidP="004179DE">
            <w:pPr>
              <w:ind w:left="113" w:right="113"/>
              <w:jc w:val="center"/>
              <w:rPr>
                <w:sz w:val="18"/>
                <w:szCs w:val="18"/>
              </w:rPr>
            </w:pPr>
            <w:r>
              <w:rPr>
                <w:sz w:val="18"/>
                <w:szCs w:val="18"/>
              </w:rPr>
              <w:t>R0126</w:t>
            </w:r>
          </w:p>
        </w:tc>
        <w:tc>
          <w:tcPr>
            <w:tcW w:w="1391" w:type="dxa"/>
            <w:shd w:val="clear" w:color="auto" w:fill="auto"/>
            <w:vAlign w:val="center"/>
          </w:tcPr>
          <w:p w14:paraId="38DC667C" w14:textId="77777777" w:rsidR="00E10737" w:rsidRPr="00CF79E0" w:rsidRDefault="00E10737" w:rsidP="004179DE">
            <w:pPr>
              <w:ind w:left="0"/>
              <w:rPr>
                <w:sz w:val="18"/>
                <w:szCs w:val="18"/>
              </w:rPr>
            </w:pPr>
            <w:r w:rsidRPr="00CF79E0">
              <w:rPr>
                <w:sz w:val="18"/>
                <w:szCs w:val="18"/>
              </w:rPr>
              <w:t>Počet podaných patentových prihlášok v SR okrem Bratislavského kraja</w:t>
            </w:r>
          </w:p>
        </w:tc>
        <w:tc>
          <w:tcPr>
            <w:tcW w:w="897" w:type="dxa"/>
            <w:shd w:val="clear" w:color="auto" w:fill="auto"/>
            <w:vAlign w:val="center"/>
          </w:tcPr>
          <w:p w14:paraId="7A547098" w14:textId="77777777" w:rsidR="00E10737" w:rsidRPr="00CF79E0" w:rsidRDefault="00E10737" w:rsidP="004179DE">
            <w:pPr>
              <w:ind w:left="0"/>
              <w:jc w:val="center"/>
              <w:rPr>
                <w:i/>
                <w:sz w:val="18"/>
                <w:szCs w:val="18"/>
              </w:rPr>
            </w:pPr>
            <w:r w:rsidRPr="00CF79E0">
              <w:rPr>
                <w:i/>
                <w:sz w:val="18"/>
                <w:szCs w:val="18"/>
              </w:rPr>
              <w:t>počet</w:t>
            </w:r>
          </w:p>
        </w:tc>
        <w:tc>
          <w:tcPr>
            <w:tcW w:w="997" w:type="dxa"/>
            <w:shd w:val="clear" w:color="auto" w:fill="auto"/>
            <w:vAlign w:val="center"/>
          </w:tcPr>
          <w:p w14:paraId="14707759" w14:textId="77777777" w:rsidR="00E10737" w:rsidRPr="00CF79E0" w:rsidRDefault="00E10737" w:rsidP="004179DE">
            <w:pPr>
              <w:ind w:left="0"/>
              <w:jc w:val="center"/>
              <w:rPr>
                <w:i/>
                <w:sz w:val="18"/>
                <w:szCs w:val="18"/>
              </w:rPr>
            </w:pPr>
            <w:r w:rsidRPr="00CF79E0">
              <w:rPr>
                <w:i/>
                <w:sz w:val="18"/>
                <w:szCs w:val="18"/>
              </w:rPr>
              <w:t>Menej rozvinutý región</w:t>
            </w:r>
          </w:p>
        </w:tc>
        <w:tc>
          <w:tcPr>
            <w:tcW w:w="1297" w:type="dxa"/>
            <w:vAlign w:val="center"/>
          </w:tcPr>
          <w:p w14:paraId="399F5C30" w14:textId="77777777" w:rsidR="00E10737" w:rsidRPr="00CF79E0" w:rsidRDefault="00E10737" w:rsidP="004179DE">
            <w:pPr>
              <w:ind w:left="0"/>
              <w:jc w:val="center"/>
              <w:rPr>
                <w:i/>
                <w:sz w:val="18"/>
                <w:szCs w:val="18"/>
              </w:rPr>
            </w:pPr>
            <w:r w:rsidRPr="00CF79E0">
              <w:rPr>
                <w:i/>
                <w:sz w:val="18"/>
                <w:szCs w:val="18"/>
              </w:rPr>
              <w:t>13</w:t>
            </w:r>
          </w:p>
        </w:tc>
        <w:tc>
          <w:tcPr>
            <w:tcW w:w="1297" w:type="dxa"/>
            <w:vAlign w:val="center"/>
          </w:tcPr>
          <w:p w14:paraId="31A06286" w14:textId="77777777" w:rsidR="00E10737" w:rsidRPr="00CF79E0" w:rsidRDefault="00E10737" w:rsidP="004179DE">
            <w:pPr>
              <w:ind w:left="0"/>
              <w:jc w:val="center"/>
              <w:rPr>
                <w:i/>
                <w:sz w:val="18"/>
                <w:szCs w:val="18"/>
              </w:rPr>
            </w:pPr>
            <w:r w:rsidRPr="00CF79E0">
              <w:rPr>
                <w:i/>
                <w:sz w:val="18"/>
                <w:szCs w:val="18"/>
              </w:rPr>
              <w:t>2013</w:t>
            </w:r>
          </w:p>
        </w:tc>
        <w:tc>
          <w:tcPr>
            <w:tcW w:w="865" w:type="dxa"/>
            <w:shd w:val="clear" w:color="auto" w:fill="auto"/>
            <w:vAlign w:val="center"/>
          </w:tcPr>
          <w:p w14:paraId="70F07449" w14:textId="77777777" w:rsidR="00E10737" w:rsidRPr="00CF79E0" w:rsidRDefault="00E10737" w:rsidP="004179DE">
            <w:pPr>
              <w:ind w:left="0"/>
              <w:jc w:val="center"/>
              <w:rPr>
                <w:i/>
                <w:sz w:val="18"/>
                <w:szCs w:val="18"/>
              </w:rPr>
            </w:pPr>
            <w:r w:rsidRPr="00CF79E0">
              <w:rPr>
                <w:i/>
                <w:sz w:val="18"/>
                <w:szCs w:val="18"/>
              </w:rPr>
              <w:t>47</w:t>
            </w:r>
          </w:p>
        </w:tc>
        <w:tc>
          <w:tcPr>
            <w:tcW w:w="759" w:type="dxa"/>
            <w:vAlign w:val="center"/>
          </w:tcPr>
          <w:p w14:paraId="53AA0AE8" w14:textId="77777777" w:rsidR="00E10737" w:rsidRPr="00CF79E0" w:rsidRDefault="00E10737" w:rsidP="004179DE">
            <w:pPr>
              <w:ind w:left="0"/>
              <w:jc w:val="center"/>
              <w:rPr>
                <w:i/>
                <w:sz w:val="18"/>
                <w:szCs w:val="18"/>
              </w:rPr>
            </w:pPr>
            <w:r w:rsidRPr="00CF79E0">
              <w:rPr>
                <w:i/>
                <w:sz w:val="18"/>
                <w:szCs w:val="18"/>
              </w:rPr>
              <w:t>EPO</w:t>
            </w:r>
          </w:p>
          <w:p w14:paraId="3D713FD2" w14:textId="77777777" w:rsidR="00E10737" w:rsidRPr="00CF79E0" w:rsidRDefault="00E10737" w:rsidP="004179DE">
            <w:pPr>
              <w:ind w:left="0"/>
              <w:jc w:val="center"/>
              <w:rPr>
                <w:i/>
                <w:sz w:val="18"/>
                <w:szCs w:val="18"/>
              </w:rPr>
            </w:pPr>
            <w:r w:rsidRPr="00CF79E0">
              <w:rPr>
                <w:i/>
                <w:sz w:val="18"/>
                <w:szCs w:val="18"/>
              </w:rPr>
              <w:t>ŠÚ SR</w:t>
            </w:r>
          </w:p>
        </w:tc>
        <w:tc>
          <w:tcPr>
            <w:tcW w:w="1186" w:type="dxa"/>
            <w:vAlign w:val="center"/>
          </w:tcPr>
          <w:p w14:paraId="3CAA3774" w14:textId="77777777" w:rsidR="00E10737" w:rsidRPr="00CF79E0" w:rsidRDefault="00E10737" w:rsidP="004179DE">
            <w:pPr>
              <w:ind w:left="0"/>
              <w:jc w:val="center"/>
              <w:rPr>
                <w:i/>
                <w:sz w:val="18"/>
                <w:szCs w:val="18"/>
              </w:rPr>
            </w:pPr>
            <w:r w:rsidRPr="00CF79E0">
              <w:rPr>
                <w:i/>
                <w:sz w:val="18"/>
                <w:szCs w:val="18"/>
              </w:rPr>
              <w:t>Ročne</w:t>
            </w:r>
          </w:p>
        </w:tc>
      </w:tr>
    </w:tbl>
    <w:p w14:paraId="43D77365" w14:textId="77777777" w:rsidR="00E10737" w:rsidRDefault="00E10737" w:rsidP="00E10737">
      <w:pPr>
        <w:autoSpaceDE w:val="0"/>
        <w:autoSpaceDN w:val="0"/>
        <w:adjustRightInd w:val="0"/>
        <w:jc w:val="both"/>
        <w:rPr>
          <w:sz w:val="22"/>
          <w:szCs w:val="22"/>
        </w:rPr>
      </w:pPr>
    </w:p>
    <w:p w14:paraId="3B72C388" w14:textId="77777777" w:rsidR="00E10737" w:rsidRDefault="00E10737" w:rsidP="00E10737">
      <w:pPr>
        <w:autoSpaceDE w:val="0"/>
        <w:autoSpaceDN w:val="0"/>
        <w:adjustRightInd w:val="0"/>
        <w:jc w:val="both"/>
        <w:rPr>
          <w:sz w:val="22"/>
          <w:szCs w:val="22"/>
        </w:rPr>
      </w:pPr>
    </w:p>
    <w:p w14:paraId="3CC40A14" w14:textId="18F45493" w:rsidR="00E10737" w:rsidRDefault="00E10737" w:rsidP="00E10737">
      <w:pPr>
        <w:shd w:val="clear" w:color="auto" w:fill="FFFFCC"/>
        <w:jc w:val="both"/>
        <w:rPr>
          <w:b/>
          <w:i/>
        </w:rPr>
      </w:pPr>
      <w:r w:rsidRPr="004F0234">
        <w:rPr>
          <w:i/>
        </w:rPr>
        <w:t xml:space="preserve">ŠPECIFICKÝ CIEĽ </w:t>
      </w:r>
      <w:r>
        <w:rPr>
          <w:i/>
        </w:rPr>
        <w:t>9.2</w:t>
      </w:r>
      <w:r w:rsidRPr="004F0234">
        <w:rPr>
          <w:i/>
        </w:rPr>
        <w:t>:</w:t>
      </w:r>
      <w:r>
        <w:rPr>
          <w:i/>
        </w:rPr>
        <w:t xml:space="preserve"> </w:t>
      </w:r>
      <w:r w:rsidRPr="00757B39">
        <w:rPr>
          <w:b/>
          <w:i/>
        </w:rPr>
        <w:t>Zvýšenie účasti SR v projektoch medzinárodnej spolupráce</w:t>
      </w:r>
    </w:p>
    <w:p w14:paraId="47C37AA8" w14:textId="77777777" w:rsidR="00E10737" w:rsidRDefault="00E10737" w:rsidP="00E10737">
      <w:pPr>
        <w:autoSpaceDE w:val="0"/>
        <w:autoSpaceDN w:val="0"/>
        <w:adjustRightInd w:val="0"/>
        <w:jc w:val="both"/>
        <w:rPr>
          <w:sz w:val="22"/>
          <w:szCs w:val="22"/>
        </w:rPr>
      </w:pPr>
    </w:p>
    <w:p w14:paraId="31454D42" w14:textId="04B66334" w:rsidR="00E10737" w:rsidRPr="00757B39" w:rsidRDefault="00E10737" w:rsidP="00E10737">
      <w:pPr>
        <w:autoSpaceDE w:val="0"/>
        <w:autoSpaceDN w:val="0"/>
        <w:adjustRightInd w:val="0"/>
        <w:jc w:val="both"/>
        <w:rPr>
          <w:sz w:val="22"/>
          <w:szCs w:val="22"/>
        </w:rPr>
      </w:pPr>
      <w:r w:rsidRPr="00757B39">
        <w:rPr>
          <w:sz w:val="22"/>
          <w:szCs w:val="22"/>
        </w:rPr>
        <w:t>Špecifický cieľ je zameraný na podporu účasti slovenských subjektov v projektoch a iniciatívach ERA – či už ide o Horizont 2020, alebo konkrétne európske aktivity, ako sú Európske technologické platformy/Spoločné technologické iniciatívy, Eureka, COST, Eurostars2, Eranety, Stratégia EÚ pre dunajský región a pod.</w:t>
      </w:r>
    </w:p>
    <w:p w14:paraId="4AB1A8BB"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1CA2D9EA" w14:textId="77777777" w:rsidR="00E10737" w:rsidRDefault="00E10737" w:rsidP="0056625F">
      <w:pPr>
        <w:autoSpaceDE w:val="0"/>
        <w:autoSpaceDN w:val="0"/>
        <w:adjustRightInd w:val="0"/>
        <w:spacing w:after="120"/>
        <w:jc w:val="both"/>
        <w:rPr>
          <w:sz w:val="22"/>
          <w:szCs w:val="22"/>
        </w:rPr>
      </w:pPr>
      <w:r w:rsidRPr="00757B39">
        <w:rPr>
          <w:sz w:val="22"/>
          <w:szCs w:val="22"/>
        </w:rPr>
        <w:t>V rámci tohto špecifického cieľa budú podporované všetky aktivity, ktoré budú súvisieť s účasťou SR a jej subjektov v aktivitách ERA. Aktivitami v rámci tohto špecifického cieľa sa očakáva:</w:t>
      </w:r>
    </w:p>
    <w:p w14:paraId="30B12F90" w14:textId="77777777" w:rsidR="00E10737" w:rsidRPr="00757B39" w:rsidRDefault="00E10737" w:rsidP="0056625F">
      <w:pPr>
        <w:pStyle w:val="Odsekzoznamu"/>
        <w:numPr>
          <w:ilvl w:val="0"/>
          <w:numId w:val="134"/>
        </w:numPr>
        <w:ind w:left="709" w:hanging="425"/>
        <w:rPr>
          <w:sz w:val="22"/>
          <w:szCs w:val="22"/>
        </w:rPr>
      </w:pPr>
      <w:r w:rsidRPr="00757B39">
        <w:rPr>
          <w:sz w:val="22"/>
          <w:szCs w:val="22"/>
        </w:rPr>
        <w:t>zvýšenie miery excelentnosti slovenského výskumu;</w:t>
      </w:r>
    </w:p>
    <w:p w14:paraId="187A7CF5" w14:textId="77777777" w:rsidR="00E10737" w:rsidRPr="00BE4E38" w:rsidRDefault="00E10737" w:rsidP="0056625F">
      <w:pPr>
        <w:pStyle w:val="Odsekzoznamu"/>
        <w:numPr>
          <w:ilvl w:val="0"/>
          <w:numId w:val="134"/>
        </w:numPr>
        <w:ind w:left="709" w:hanging="425"/>
        <w:jc w:val="both"/>
        <w:rPr>
          <w:sz w:val="22"/>
          <w:szCs w:val="22"/>
        </w:rPr>
      </w:pPr>
      <w:r w:rsidRPr="00757B39">
        <w:rPr>
          <w:sz w:val="22"/>
          <w:szCs w:val="22"/>
        </w:rPr>
        <w:t>celkové zvýšenie podaných projektov s účasťou subjektov zo SR vo výzvach Horizontu 2020</w:t>
      </w:r>
      <w:r>
        <w:rPr>
          <w:sz w:val="22"/>
          <w:szCs w:val="22"/>
        </w:rPr>
        <w:t>;</w:t>
      </w:r>
    </w:p>
    <w:p w14:paraId="2E188E15" w14:textId="77777777" w:rsidR="00E10737" w:rsidRPr="00BE4E38" w:rsidRDefault="00E10737" w:rsidP="0056625F">
      <w:pPr>
        <w:pStyle w:val="Odsekzoznamu"/>
        <w:numPr>
          <w:ilvl w:val="0"/>
          <w:numId w:val="134"/>
        </w:numPr>
        <w:ind w:left="709" w:hanging="425"/>
        <w:jc w:val="both"/>
        <w:rPr>
          <w:sz w:val="22"/>
          <w:szCs w:val="22"/>
        </w:rPr>
      </w:pPr>
      <w:r w:rsidRPr="00757B39">
        <w:rPr>
          <w:sz w:val="22"/>
          <w:szCs w:val="22"/>
        </w:rPr>
        <w:t>zvýšený počet úspešných projektových účastí</w:t>
      </w:r>
      <w:r w:rsidRPr="00BE4E38">
        <w:rPr>
          <w:sz w:val="22"/>
          <w:szCs w:val="22"/>
        </w:rPr>
        <w:t>;</w:t>
      </w:r>
    </w:p>
    <w:p w14:paraId="7F0F959D" w14:textId="77777777" w:rsidR="00E10737" w:rsidRDefault="00E10737" w:rsidP="0056625F">
      <w:pPr>
        <w:pStyle w:val="Odsekzoznamu"/>
        <w:numPr>
          <w:ilvl w:val="0"/>
          <w:numId w:val="134"/>
        </w:numPr>
        <w:ind w:left="709" w:hanging="425"/>
        <w:jc w:val="both"/>
        <w:rPr>
          <w:sz w:val="22"/>
          <w:szCs w:val="22"/>
        </w:rPr>
      </w:pPr>
      <w:r w:rsidRPr="00757B39">
        <w:rPr>
          <w:sz w:val="22"/>
          <w:szCs w:val="22"/>
        </w:rPr>
        <w:t>zvýšená účasť v medzinárodných aktivitách, najmä v rámci medzinárodných a európskych programov</w:t>
      </w:r>
      <w:r>
        <w:rPr>
          <w:sz w:val="22"/>
          <w:szCs w:val="22"/>
        </w:rPr>
        <w:t>;</w:t>
      </w:r>
    </w:p>
    <w:p w14:paraId="13EBAE03" w14:textId="77777777" w:rsidR="00E10737" w:rsidRPr="00757B39" w:rsidRDefault="00E10737" w:rsidP="0056625F">
      <w:pPr>
        <w:pStyle w:val="Odsekzoznamu"/>
        <w:numPr>
          <w:ilvl w:val="0"/>
          <w:numId w:val="134"/>
        </w:numPr>
        <w:ind w:left="709" w:hanging="425"/>
        <w:jc w:val="both"/>
        <w:rPr>
          <w:sz w:val="22"/>
          <w:szCs w:val="22"/>
        </w:rPr>
      </w:pPr>
      <w:r w:rsidRPr="00757B39">
        <w:rPr>
          <w:sz w:val="22"/>
          <w:szCs w:val="22"/>
        </w:rPr>
        <w:t>celkové zvýšenie získaného príspevku zo zdrojov EÚ prostredníctvom vyššieho počtu úspešných projektoch.</w:t>
      </w:r>
    </w:p>
    <w:p w14:paraId="537F53DF" w14:textId="77777777" w:rsidR="00E10737" w:rsidRPr="00757B39" w:rsidRDefault="00E10737" w:rsidP="00C31A97">
      <w:pPr>
        <w:pStyle w:val="Zkladntext"/>
        <w:spacing w:before="240"/>
        <w:jc w:val="both"/>
        <w:rPr>
          <w:sz w:val="22"/>
          <w:szCs w:val="22"/>
        </w:rPr>
      </w:pPr>
      <w:r w:rsidRPr="00757B39">
        <w:rPr>
          <w:sz w:val="22"/>
          <w:szCs w:val="22"/>
        </w:rPr>
        <w:t>V ERA sa v rámci podporených projektov kladie dôraz na špičkový výskum, ktorý vytvára bázu pre budúce unikátne technológie a pokročilé aplikácie – účasť v takýchto projektov bude mať multiplikačné efekty s pozitívnym vplyvom na zamestnanosť a hospodársky rast.</w:t>
      </w:r>
    </w:p>
    <w:p w14:paraId="56C18759" w14:textId="3621DB8A" w:rsidR="00E10737" w:rsidRDefault="00E10737" w:rsidP="00C31A97">
      <w:pPr>
        <w:pStyle w:val="Tab"/>
        <w:tabs>
          <w:tab w:val="clear" w:pos="0"/>
          <w:tab w:val="clear" w:pos="851"/>
        </w:tabs>
        <w:ind w:left="851" w:hanging="851"/>
      </w:pPr>
      <w:r w:rsidRPr="00BE4E38">
        <w:t xml:space="preserve">Špecifické ukazovatele výsledkov programu zodpovedajúce špecifickému cieľu </w:t>
      </w:r>
      <w:r w:rsidR="000625B5">
        <w:t>9</w:t>
      </w:r>
      <w:r w:rsidRPr="00BE4E38">
        <w:t>.</w:t>
      </w:r>
      <w:r>
        <w:t>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1C7ADE15" w14:textId="77777777" w:rsidTr="004179DE">
        <w:trPr>
          <w:trHeight w:val="487"/>
          <w:jc w:val="center"/>
        </w:trPr>
        <w:tc>
          <w:tcPr>
            <w:tcW w:w="598" w:type="dxa"/>
            <w:shd w:val="clear" w:color="auto" w:fill="C6D9F1" w:themeFill="text2" w:themeFillTint="33"/>
            <w:vAlign w:val="center"/>
          </w:tcPr>
          <w:p w14:paraId="59724C67"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10E9FAEA"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7B4BA145"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1F76D219"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2C66D0A4"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7F5EE8F5"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771C06D9"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093F98D0"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7D61F47"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66EE76D9" w14:textId="77777777" w:rsidTr="004179DE">
        <w:trPr>
          <w:cantSplit/>
          <w:trHeight w:val="1134"/>
          <w:jc w:val="center"/>
        </w:trPr>
        <w:tc>
          <w:tcPr>
            <w:tcW w:w="598" w:type="dxa"/>
            <w:shd w:val="clear" w:color="auto" w:fill="auto"/>
            <w:textDirection w:val="btLr"/>
            <w:vAlign w:val="center"/>
          </w:tcPr>
          <w:p w14:paraId="30A685B3" w14:textId="77777777" w:rsidR="00E10737" w:rsidRPr="00CF79E0" w:rsidRDefault="00E10737" w:rsidP="004179DE">
            <w:pPr>
              <w:ind w:left="113" w:right="113"/>
              <w:jc w:val="center"/>
              <w:rPr>
                <w:sz w:val="18"/>
                <w:szCs w:val="18"/>
              </w:rPr>
            </w:pPr>
            <w:r>
              <w:rPr>
                <w:sz w:val="18"/>
                <w:szCs w:val="18"/>
              </w:rPr>
              <w:t>R0042</w:t>
            </w:r>
          </w:p>
        </w:tc>
        <w:tc>
          <w:tcPr>
            <w:tcW w:w="1391" w:type="dxa"/>
            <w:shd w:val="clear" w:color="auto" w:fill="auto"/>
            <w:vAlign w:val="center"/>
          </w:tcPr>
          <w:p w14:paraId="7F63F519" w14:textId="77777777" w:rsidR="00E10737" w:rsidRPr="00CF79E0" w:rsidRDefault="00E10737" w:rsidP="004179DE">
            <w:pPr>
              <w:ind w:left="0"/>
              <w:rPr>
                <w:sz w:val="18"/>
                <w:szCs w:val="18"/>
              </w:rPr>
            </w:pPr>
            <w:r w:rsidRPr="00CF79E0">
              <w:rPr>
                <w:sz w:val="18"/>
                <w:szCs w:val="18"/>
              </w:rPr>
              <w:t>Počet účastí na projektoch s medzinárodnou spoluprácou</w:t>
            </w:r>
          </w:p>
        </w:tc>
        <w:tc>
          <w:tcPr>
            <w:tcW w:w="897" w:type="dxa"/>
            <w:shd w:val="clear" w:color="auto" w:fill="auto"/>
            <w:vAlign w:val="center"/>
          </w:tcPr>
          <w:p w14:paraId="38BEAE74" w14:textId="77777777" w:rsidR="00E10737" w:rsidRPr="00CF79E0" w:rsidRDefault="00E10737" w:rsidP="004179DE">
            <w:pPr>
              <w:ind w:left="0"/>
              <w:jc w:val="center"/>
              <w:rPr>
                <w:i/>
                <w:sz w:val="18"/>
                <w:szCs w:val="18"/>
              </w:rPr>
            </w:pPr>
            <w:r w:rsidRPr="00CF79E0">
              <w:rPr>
                <w:i/>
                <w:sz w:val="18"/>
                <w:szCs w:val="18"/>
              </w:rPr>
              <w:t>počet</w:t>
            </w:r>
          </w:p>
        </w:tc>
        <w:tc>
          <w:tcPr>
            <w:tcW w:w="997" w:type="dxa"/>
            <w:shd w:val="clear" w:color="auto" w:fill="auto"/>
            <w:vAlign w:val="center"/>
          </w:tcPr>
          <w:p w14:paraId="0637610D" w14:textId="77777777" w:rsidR="00E10737" w:rsidRPr="00CF79E0" w:rsidRDefault="00E10737" w:rsidP="004179DE">
            <w:pPr>
              <w:ind w:left="0"/>
              <w:jc w:val="center"/>
              <w:rPr>
                <w:i/>
                <w:sz w:val="18"/>
                <w:szCs w:val="18"/>
              </w:rPr>
            </w:pPr>
            <w:r w:rsidRPr="00CF79E0">
              <w:rPr>
                <w:i/>
                <w:sz w:val="18"/>
                <w:szCs w:val="18"/>
              </w:rPr>
              <w:t>Menej rozvinutý región</w:t>
            </w:r>
          </w:p>
        </w:tc>
        <w:tc>
          <w:tcPr>
            <w:tcW w:w="1297" w:type="dxa"/>
            <w:vAlign w:val="center"/>
          </w:tcPr>
          <w:p w14:paraId="1592D916" w14:textId="77777777" w:rsidR="00E10737" w:rsidRPr="00CF79E0" w:rsidRDefault="00E10737" w:rsidP="004179DE">
            <w:pPr>
              <w:ind w:left="0"/>
              <w:jc w:val="center"/>
              <w:rPr>
                <w:i/>
                <w:sz w:val="18"/>
                <w:szCs w:val="18"/>
              </w:rPr>
            </w:pPr>
            <w:r w:rsidRPr="00CF79E0">
              <w:rPr>
                <w:i/>
                <w:sz w:val="18"/>
                <w:szCs w:val="18"/>
              </w:rPr>
              <w:t>45</w:t>
            </w:r>
          </w:p>
        </w:tc>
        <w:tc>
          <w:tcPr>
            <w:tcW w:w="1297" w:type="dxa"/>
            <w:vAlign w:val="center"/>
          </w:tcPr>
          <w:p w14:paraId="3D9EDEA9" w14:textId="77777777" w:rsidR="00E10737" w:rsidRPr="00CF79E0" w:rsidRDefault="00E10737" w:rsidP="004179DE">
            <w:pPr>
              <w:ind w:left="0"/>
              <w:jc w:val="center"/>
              <w:rPr>
                <w:i/>
                <w:sz w:val="18"/>
                <w:szCs w:val="18"/>
              </w:rPr>
            </w:pPr>
            <w:r w:rsidRPr="00CF79E0">
              <w:rPr>
                <w:i/>
                <w:sz w:val="18"/>
                <w:szCs w:val="18"/>
              </w:rPr>
              <w:t>2012</w:t>
            </w:r>
          </w:p>
        </w:tc>
        <w:tc>
          <w:tcPr>
            <w:tcW w:w="865" w:type="dxa"/>
            <w:shd w:val="clear" w:color="auto" w:fill="auto"/>
            <w:vAlign w:val="center"/>
          </w:tcPr>
          <w:p w14:paraId="12D0BFAE" w14:textId="77777777" w:rsidR="00E10737" w:rsidRPr="00CF79E0" w:rsidRDefault="00E10737" w:rsidP="004179DE">
            <w:pPr>
              <w:ind w:left="0"/>
              <w:jc w:val="center"/>
              <w:rPr>
                <w:i/>
                <w:sz w:val="18"/>
                <w:szCs w:val="18"/>
              </w:rPr>
            </w:pPr>
            <w:r w:rsidRPr="00CF79E0">
              <w:rPr>
                <w:i/>
                <w:sz w:val="18"/>
                <w:szCs w:val="18"/>
              </w:rPr>
              <w:t>80</w:t>
            </w:r>
          </w:p>
        </w:tc>
        <w:tc>
          <w:tcPr>
            <w:tcW w:w="759" w:type="dxa"/>
            <w:vAlign w:val="center"/>
          </w:tcPr>
          <w:p w14:paraId="6D563838" w14:textId="77777777" w:rsidR="00E10737" w:rsidRPr="00CF79E0" w:rsidRDefault="00E10737" w:rsidP="004179DE">
            <w:pPr>
              <w:ind w:left="0"/>
              <w:jc w:val="center"/>
              <w:rPr>
                <w:i/>
                <w:sz w:val="18"/>
                <w:szCs w:val="18"/>
              </w:rPr>
            </w:pPr>
            <w:r w:rsidRPr="00CF79E0">
              <w:rPr>
                <w:i/>
                <w:sz w:val="18"/>
                <w:szCs w:val="18"/>
              </w:rPr>
              <w:t>IS VVP</w:t>
            </w:r>
          </w:p>
        </w:tc>
        <w:tc>
          <w:tcPr>
            <w:tcW w:w="1186" w:type="dxa"/>
            <w:vAlign w:val="center"/>
          </w:tcPr>
          <w:p w14:paraId="1FB7BD86" w14:textId="77777777" w:rsidR="00E10737" w:rsidRPr="00CF79E0" w:rsidRDefault="00E10737" w:rsidP="004179DE">
            <w:pPr>
              <w:ind w:left="0"/>
              <w:jc w:val="center"/>
              <w:rPr>
                <w:i/>
                <w:sz w:val="18"/>
                <w:szCs w:val="18"/>
              </w:rPr>
            </w:pPr>
            <w:r w:rsidRPr="00CF79E0">
              <w:rPr>
                <w:i/>
                <w:sz w:val="18"/>
                <w:szCs w:val="18"/>
              </w:rPr>
              <w:t>Ročne</w:t>
            </w:r>
          </w:p>
        </w:tc>
      </w:tr>
    </w:tbl>
    <w:p w14:paraId="6552535F" w14:textId="77777777" w:rsidR="00E10737" w:rsidRDefault="00E10737" w:rsidP="00E10737">
      <w:pPr>
        <w:autoSpaceDE w:val="0"/>
        <w:autoSpaceDN w:val="0"/>
        <w:adjustRightInd w:val="0"/>
        <w:jc w:val="both"/>
        <w:rPr>
          <w:b/>
          <w:i/>
        </w:rPr>
      </w:pPr>
    </w:p>
    <w:p w14:paraId="22555CF9" w14:textId="18FB7EBD" w:rsidR="00E10737" w:rsidRDefault="00E10737" w:rsidP="00E10737">
      <w:pPr>
        <w:shd w:val="clear" w:color="auto" w:fill="FFFFCC"/>
        <w:jc w:val="both"/>
        <w:rPr>
          <w:b/>
          <w:i/>
        </w:rPr>
      </w:pPr>
      <w:r w:rsidRPr="004F0234">
        <w:rPr>
          <w:i/>
        </w:rPr>
        <w:t xml:space="preserve">ŠPECIFICKÝ CIEĽ </w:t>
      </w:r>
      <w:r>
        <w:rPr>
          <w:i/>
        </w:rPr>
        <w:t>9.3</w:t>
      </w:r>
      <w:r w:rsidRPr="004F0234">
        <w:rPr>
          <w:i/>
        </w:rPr>
        <w:t>:</w:t>
      </w:r>
      <w:r>
        <w:rPr>
          <w:i/>
        </w:rPr>
        <w:t xml:space="preserve"> </w:t>
      </w:r>
      <w:r w:rsidRPr="006012A2">
        <w:rPr>
          <w:b/>
          <w:i/>
        </w:rPr>
        <w:t>Zvýšenie výskumnej aktivity prostredníctvom zlepšenia koordinácie a konsolidácie VaV potenciálu výskumných inštitúcií</w:t>
      </w:r>
    </w:p>
    <w:p w14:paraId="3FDC80CB" w14:textId="77777777" w:rsidR="00E10737" w:rsidRDefault="00E10737" w:rsidP="00E10737">
      <w:pPr>
        <w:autoSpaceDE w:val="0"/>
        <w:autoSpaceDN w:val="0"/>
        <w:adjustRightInd w:val="0"/>
        <w:jc w:val="both"/>
        <w:rPr>
          <w:sz w:val="22"/>
          <w:szCs w:val="22"/>
        </w:rPr>
      </w:pPr>
    </w:p>
    <w:p w14:paraId="0945B867" w14:textId="77777777" w:rsidR="00E10737" w:rsidRDefault="00E10737" w:rsidP="00E10737">
      <w:pPr>
        <w:autoSpaceDE w:val="0"/>
        <w:autoSpaceDN w:val="0"/>
        <w:adjustRightInd w:val="0"/>
        <w:jc w:val="both"/>
        <w:rPr>
          <w:sz w:val="22"/>
          <w:szCs w:val="22"/>
        </w:rPr>
      </w:pPr>
      <w:r w:rsidRPr="006012A2">
        <w:rPr>
          <w:sz w:val="22"/>
          <w:szCs w:val="22"/>
        </w:rPr>
        <w:t>Špecifický cieľ je zameraný na pokračovanie v odstraňovaní „technologickej“ medzery</w:t>
      </w:r>
      <w:r>
        <w:rPr>
          <w:sz w:val="22"/>
          <w:szCs w:val="22"/>
        </w:rPr>
        <w:t xml:space="preserve"> </w:t>
      </w:r>
      <w:r w:rsidRPr="006012A2">
        <w:rPr>
          <w:sz w:val="22"/>
          <w:szCs w:val="22"/>
        </w:rPr>
        <w:t>vo vybavení výskumných inštitúcií (zariadenia laboratórií, unikátne prístroje, nevyhovujúce a energeticky neefektívne priestory zo 60-70 rokov minulého storočia). V tomto kontexte je doteraz poskytnutú podporu potrebné vnímať ako prvú etapu riešenia problému, na ktorú je potrebné nadviazať.</w:t>
      </w:r>
    </w:p>
    <w:p w14:paraId="67A870F6" w14:textId="77777777" w:rsidR="00043882" w:rsidRDefault="00043882" w:rsidP="00E10737">
      <w:pPr>
        <w:autoSpaceDE w:val="0"/>
        <w:autoSpaceDN w:val="0"/>
        <w:adjustRightInd w:val="0"/>
        <w:jc w:val="both"/>
        <w:rPr>
          <w:sz w:val="22"/>
          <w:szCs w:val="22"/>
        </w:rPr>
      </w:pPr>
    </w:p>
    <w:p w14:paraId="440284CE" w14:textId="77777777" w:rsidR="00043882" w:rsidRDefault="00043882" w:rsidP="00E10737">
      <w:pPr>
        <w:autoSpaceDE w:val="0"/>
        <w:autoSpaceDN w:val="0"/>
        <w:adjustRightInd w:val="0"/>
        <w:jc w:val="both"/>
        <w:rPr>
          <w:sz w:val="22"/>
          <w:szCs w:val="22"/>
        </w:rPr>
      </w:pPr>
    </w:p>
    <w:p w14:paraId="2FAD9AD8" w14:textId="77777777" w:rsidR="00043882" w:rsidRPr="00757B39" w:rsidRDefault="00043882" w:rsidP="00E10737">
      <w:pPr>
        <w:autoSpaceDE w:val="0"/>
        <w:autoSpaceDN w:val="0"/>
        <w:adjustRightInd w:val="0"/>
        <w:jc w:val="both"/>
        <w:rPr>
          <w:sz w:val="22"/>
          <w:szCs w:val="22"/>
        </w:rPr>
      </w:pPr>
    </w:p>
    <w:p w14:paraId="713F070D" w14:textId="77777777" w:rsidR="00C31A97" w:rsidRDefault="00E10737" w:rsidP="00351D17">
      <w:pPr>
        <w:spacing w:before="180" w:after="120"/>
        <w:jc w:val="both"/>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lastRenderedPageBreak/>
        <w:t>VÝSLEDKY</w:t>
      </w:r>
    </w:p>
    <w:p w14:paraId="3D309182" w14:textId="19FE7BD5" w:rsidR="00B078E0" w:rsidRPr="00351D17" w:rsidRDefault="00B078E0" w:rsidP="00351D17">
      <w:pPr>
        <w:spacing w:before="180" w:after="120"/>
        <w:jc w:val="both"/>
        <w:rPr>
          <w:sz w:val="22"/>
          <w:szCs w:val="22"/>
        </w:rPr>
      </w:pPr>
      <w:r w:rsidRPr="00351D17">
        <w:rPr>
          <w:sz w:val="22"/>
          <w:szCs w:val="22"/>
        </w:rPr>
        <w:t>V rámci tohto špecifického cieľa budú podporované vysokokvalitné projekty zamerané na excelentný výskum v rámci štátnych a verejných výskumných inštitúcií, ako aj na návrat špičkových slovenských vedcov.</w:t>
      </w:r>
    </w:p>
    <w:p w14:paraId="28FDA0E4" w14:textId="49B4EE8E" w:rsidR="00E10737" w:rsidRDefault="00E10737" w:rsidP="00E10737">
      <w:pPr>
        <w:spacing w:before="180" w:after="120"/>
        <w:rPr>
          <w:sz w:val="22"/>
          <w:szCs w:val="22"/>
        </w:rPr>
      </w:pPr>
      <w:r w:rsidRPr="006012A2">
        <w:rPr>
          <w:sz w:val="22"/>
          <w:szCs w:val="22"/>
        </w:rPr>
        <w:t>Výsledkom plánovaných aktivít bude:</w:t>
      </w:r>
    </w:p>
    <w:p w14:paraId="5D7D4030" w14:textId="77777777" w:rsidR="00B078E0" w:rsidRPr="00351D17" w:rsidRDefault="00B078E0" w:rsidP="00351D17">
      <w:pPr>
        <w:pStyle w:val="Odsekzoznamu"/>
        <w:numPr>
          <w:ilvl w:val="0"/>
          <w:numId w:val="135"/>
        </w:numPr>
        <w:ind w:left="709" w:hanging="425"/>
        <w:jc w:val="both"/>
        <w:rPr>
          <w:sz w:val="22"/>
          <w:szCs w:val="22"/>
        </w:rPr>
      </w:pPr>
      <w:r w:rsidRPr="00351D17">
        <w:rPr>
          <w:sz w:val="22"/>
          <w:szCs w:val="22"/>
        </w:rPr>
        <w:t>zvýšenie výskumnej aktivity štátnych a verejných výskumných inštitúcií;</w:t>
      </w:r>
    </w:p>
    <w:p w14:paraId="29145877" w14:textId="77777777" w:rsidR="00B078E0" w:rsidRPr="00351D17" w:rsidRDefault="00B078E0" w:rsidP="00351D17">
      <w:pPr>
        <w:pStyle w:val="Odsekzoznamu"/>
        <w:numPr>
          <w:ilvl w:val="0"/>
          <w:numId w:val="135"/>
        </w:numPr>
        <w:ind w:left="709" w:hanging="425"/>
        <w:jc w:val="both"/>
        <w:rPr>
          <w:sz w:val="22"/>
          <w:szCs w:val="22"/>
        </w:rPr>
      </w:pPr>
      <w:r w:rsidRPr="00351D17">
        <w:rPr>
          <w:sz w:val="22"/>
          <w:szCs w:val="22"/>
        </w:rPr>
        <w:t>zlepšenie koordinácie výskumného potenciálu štátnych a verejných výskumných inštitúcií;</w:t>
      </w:r>
    </w:p>
    <w:p w14:paraId="0C929DB5" w14:textId="77777777" w:rsidR="00B078E0" w:rsidRPr="00351D17" w:rsidRDefault="00B078E0" w:rsidP="00351D17">
      <w:pPr>
        <w:pStyle w:val="Odsekzoznamu"/>
        <w:numPr>
          <w:ilvl w:val="0"/>
          <w:numId w:val="135"/>
        </w:numPr>
        <w:ind w:left="709" w:hanging="425"/>
        <w:jc w:val="both"/>
        <w:rPr>
          <w:sz w:val="22"/>
          <w:szCs w:val="22"/>
        </w:rPr>
      </w:pPr>
      <w:r w:rsidRPr="00351D17">
        <w:rPr>
          <w:sz w:val="22"/>
          <w:szCs w:val="22"/>
        </w:rPr>
        <w:t>konsolidácia a ďalší rozvoj už existujúcej infraštruktúry v oblastiach identifikovaných RIS3 SK;</w:t>
      </w:r>
    </w:p>
    <w:p w14:paraId="6FB8DF60" w14:textId="77777777" w:rsidR="00B078E0" w:rsidRPr="00351D17" w:rsidRDefault="00B078E0" w:rsidP="00351D17">
      <w:pPr>
        <w:pStyle w:val="Odsekzoznamu"/>
        <w:numPr>
          <w:ilvl w:val="0"/>
          <w:numId w:val="135"/>
        </w:numPr>
        <w:ind w:left="709" w:hanging="425"/>
        <w:jc w:val="both"/>
        <w:rPr>
          <w:sz w:val="22"/>
          <w:szCs w:val="22"/>
        </w:rPr>
      </w:pPr>
      <w:r w:rsidRPr="00351D17">
        <w:rPr>
          <w:sz w:val="22"/>
          <w:szCs w:val="22"/>
        </w:rPr>
        <w:t>integrácia vytvorenej existujúcej infraštruktúry VaV;</w:t>
      </w:r>
    </w:p>
    <w:p w14:paraId="1281100D" w14:textId="1B12D5CE" w:rsidR="00B078E0" w:rsidRPr="00351D17" w:rsidRDefault="00B078E0" w:rsidP="0071574C">
      <w:pPr>
        <w:pStyle w:val="Odsekzoznamu"/>
        <w:numPr>
          <w:ilvl w:val="0"/>
          <w:numId w:val="135"/>
        </w:numPr>
        <w:ind w:left="709" w:hanging="425"/>
        <w:jc w:val="both"/>
        <w:rPr>
          <w:sz w:val="22"/>
          <w:szCs w:val="22"/>
        </w:rPr>
      </w:pPr>
      <w:r w:rsidRPr="00351D17">
        <w:rPr>
          <w:sz w:val="22"/>
          <w:szCs w:val="22"/>
        </w:rPr>
        <w:t>vytvorenie kritickej masy infraštruktúry schopnej riešiť zásadné zadania od odberateľskej praxe, ako aj vo zvýšenej miere účasti na medzinárodných aktivitách.</w:t>
      </w:r>
    </w:p>
    <w:p w14:paraId="0F564B40" w14:textId="77777777" w:rsidR="00E10737" w:rsidRDefault="00E10737" w:rsidP="00E10737">
      <w:pPr>
        <w:autoSpaceDE w:val="0"/>
        <w:autoSpaceDN w:val="0"/>
        <w:adjustRightInd w:val="0"/>
        <w:rPr>
          <w:sz w:val="22"/>
          <w:szCs w:val="22"/>
        </w:rPr>
      </w:pPr>
      <w:r w:rsidRPr="002F4E6A">
        <w:rPr>
          <w:sz w:val="22"/>
          <w:szCs w:val="22"/>
        </w:rPr>
        <w:t>Dôležitým aspektom podporených projektov bude silná interakcia aj s hospodárskou praxou.</w:t>
      </w:r>
    </w:p>
    <w:p w14:paraId="7C918647" w14:textId="16C3EEBD" w:rsidR="00E10737" w:rsidRDefault="00E10737" w:rsidP="00C31A97">
      <w:pPr>
        <w:pStyle w:val="Tab"/>
        <w:tabs>
          <w:tab w:val="clear" w:pos="0"/>
          <w:tab w:val="clear" w:pos="851"/>
        </w:tabs>
        <w:ind w:left="851" w:hanging="851"/>
      </w:pPr>
      <w:r w:rsidRPr="00BE4E38">
        <w:t>Špecifické ukazovatele výsledkov programu zodpovedajúce špecifickému cieľ</w:t>
      </w:r>
      <w:r w:rsidR="00F03354">
        <w:t>u 9</w:t>
      </w:r>
      <w:r w:rsidRPr="00BE4E38">
        <w:t>.</w:t>
      </w:r>
      <w:r>
        <w:t>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11"/>
        <w:gridCol w:w="993"/>
        <w:gridCol w:w="1081"/>
        <w:gridCol w:w="1297"/>
        <w:gridCol w:w="1024"/>
        <w:gridCol w:w="850"/>
        <w:gridCol w:w="1033"/>
        <w:gridCol w:w="1200"/>
      </w:tblGrid>
      <w:tr w:rsidR="00E10737" w:rsidRPr="008C1732" w14:paraId="165604C5" w14:textId="77777777" w:rsidTr="004179DE">
        <w:trPr>
          <w:trHeight w:val="487"/>
          <w:jc w:val="center"/>
        </w:trPr>
        <w:tc>
          <w:tcPr>
            <w:tcW w:w="598" w:type="dxa"/>
            <w:shd w:val="clear" w:color="auto" w:fill="C6D9F1" w:themeFill="text2" w:themeFillTint="33"/>
            <w:vAlign w:val="center"/>
          </w:tcPr>
          <w:p w14:paraId="75D93C30" w14:textId="77777777" w:rsidR="00E10737" w:rsidRPr="008C1732" w:rsidRDefault="00E10737" w:rsidP="004179DE">
            <w:pPr>
              <w:ind w:left="0"/>
              <w:jc w:val="center"/>
              <w:rPr>
                <w:b/>
                <w:sz w:val="18"/>
                <w:szCs w:val="18"/>
              </w:rPr>
            </w:pPr>
            <w:r>
              <w:rPr>
                <w:b/>
                <w:sz w:val="18"/>
                <w:szCs w:val="18"/>
              </w:rPr>
              <w:t>ID</w:t>
            </w:r>
          </w:p>
        </w:tc>
        <w:tc>
          <w:tcPr>
            <w:tcW w:w="1211" w:type="dxa"/>
            <w:shd w:val="clear" w:color="auto" w:fill="C6D9F1" w:themeFill="text2" w:themeFillTint="33"/>
            <w:vAlign w:val="center"/>
          </w:tcPr>
          <w:p w14:paraId="29E6FAF2" w14:textId="77777777" w:rsidR="00E10737" w:rsidRPr="008C1732" w:rsidRDefault="00E10737" w:rsidP="004179DE">
            <w:pPr>
              <w:ind w:left="0"/>
              <w:jc w:val="center"/>
              <w:rPr>
                <w:b/>
                <w:sz w:val="18"/>
                <w:szCs w:val="18"/>
              </w:rPr>
            </w:pPr>
            <w:r w:rsidRPr="008C1732">
              <w:rPr>
                <w:b/>
                <w:sz w:val="18"/>
                <w:szCs w:val="18"/>
              </w:rPr>
              <w:t>Ukazovateľ</w:t>
            </w:r>
          </w:p>
        </w:tc>
        <w:tc>
          <w:tcPr>
            <w:tcW w:w="993" w:type="dxa"/>
            <w:shd w:val="clear" w:color="auto" w:fill="C6D9F1" w:themeFill="text2" w:themeFillTint="33"/>
            <w:vAlign w:val="center"/>
          </w:tcPr>
          <w:p w14:paraId="1D35D2FC" w14:textId="77777777" w:rsidR="00E10737" w:rsidRPr="008C1732" w:rsidRDefault="00E10737" w:rsidP="004179DE">
            <w:pPr>
              <w:ind w:left="0"/>
              <w:jc w:val="center"/>
              <w:rPr>
                <w:b/>
                <w:sz w:val="18"/>
                <w:szCs w:val="18"/>
              </w:rPr>
            </w:pPr>
            <w:r w:rsidRPr="008C1732">
              <w:rPr>
                <w:b/>
                <w:sz w:val="18"/>
                <w:szCs w:val="18"/>
              </w:rPr>
              <w:t>Merná jednotka</w:t>
            </w:r>
          </w:p>
        </w:tc>
        <w:tc>
          <w:tcPr>
            <w:tcW w:w="1081" w:type="dxa"/>
            <w:shd w:val="clear" w:color="auto" w:fill="C6D9F1" w:themeFill="text2" w:themeFillTint="33"/>
            <w:vAlign w:val="center"/>
          </w:tcPr>
          <w:p w14:paraId="34EBC272"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538F7265" w14:textId="77777777" w:rsidR="00E10737" w:rsidRPr="008C1732" w:rsidRDefault="00E10737" w:rsidP="004179DE">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41246482" w14:textId="77777777" w:rsidR="00E10737" w:rsidRPr="008C1732" w:rsidRDefault="00E10737" w:rsidP="004179DE">
            <w:pPr>
              <w:ind w:left="0"/>
              <w:jc w:val="center"/>
              <w:rPr>
                <w:b/>
                <w:sz w:val="18"/>
                <w:szCs w:val="18"/>
              </w:rPr>
            </w:pPr>
            <w:r>
              <w:rPr>
                <w:b/>
                <w:sz w:val="18"/>
                <w:szCs w:val="18"/>
              </w:rPr>
              <w:t>Východiskový rok</w:t>
            </w:r>
          </w:p>
        </w:tc>
        <w:tc>
          <w:tcPr>
            <w:tcW w:w="850" w:type="dxa"/>
            <w:shd w:val="clear" w:color="auto" w:fill="C6D9F1" w:themeFill="text2" w:themeFillTint="33"/>
            <w:vAlign w:val="center"/>
          </w:tcPr>
          <w:p w14:paraId="2C30A492" w14:textId="77777777" w:rsidR="00E10737" w:rsidRPr="008C1732" w:rsidRDefault="00E10737" w:rsidP="004179DE">
            <w:pPr>
              <w:ind w:left="0"/>
              <w:jc w:val="center"/>
              <w:rPr>
                <w:b/>
                <w:sz w:val="18"/>
                <w:szCs w:val="18"/>
              </w:rPr>
            </w:pPr>
            <w:r w:rsidRPr="008C1732">
              <w:rPr>
                <w:b/>
                <w:sz w:val="18"/>
                <w:szCs w:val="18"/>
              </w:rPr>
              <w:t>Cieľová hodnota (2023)</w:t>
            </w:r>
          </w:p>
        </w:tc>
        <w:tc>
          <w:tcPr>
            <w:tcW w:w="1033" w:type="dxa"/>
            <w:shd w:val="clear" w:color="auto" w:fill="C6D9F1" w:themeFill="text2" w:themeFillTint="33"/>
            <w:vAlign w:val="center"/>
          </w:tcPr>
          <w:p w14:paraId="61264A9B" w14:textId="77777777" w:rsidR="00E10737" w:rsidRPr="008C1732" w:rsidRDefault="00E10737" w:rsidP="004179DE">
            <w:pPr>
              <w:ind w:left="0"/>
              <w:jc w:val="center"/>
              <w:rPr>
                <w:b/>
                <w:sz w:val="18"/>
                <w:szCs w:val="18"/>
              </w:rPr>
            </w:pPr>
            <w:r w:rsidRPr="008C1732">
              <w:rPr>
                <w:b/>
                <w:sz w:val="18"/>
                <w:szCs w:val="18"/>
              </w:rPr>
              <w:t>Zdroj údajov</w:t>
            </w:r>
          </w:p>
        </w:tc>
        <w:tc>
          <w:tcPr>
            <w:tcW w:w="1200" w:type="dxa"/>
            <w:shd w:val="clear" w:color="auto" w:fill="C6D9F1" w:themeFill="text2" w:themeFillTint="33"/>
            <w:vAlign w:val="center"/>
          </w:tcPr>
          <w:p w14:paraId="150906C9"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0C478964" w14:textId="77777777" w:rsidTr="004179DE">
        <w:trPr>
          <w:cantSplit/>
          <w:trHeight w:val="1134"/>
          <w:jc w:val="center"/>
        </w:trPr>
        <w:tc>
          <w:tcPr>
            <w:tcW w:w="598" w:type="dxa"/>
            <w:shd w:val="clear" w:color="auto" w:fill="auto"/>
            <w:textDirection w:val="btLr"/>
            <w:vAlign w:val="center"/>
          </w:tcPr>
          <w:p w14:paraId="7D01B26F" w14:textId="77777777" w:rsidR="00E10737" w:rsidRPr="00DF77C5" w:rsidRDefault="00E10737" w:rsidP="004179DE">
            <w:pPr>
              <w:ind w:left="113" w:right="113"/>
              <w:jc w:val="center"/>
              <w:rPr>
                <w:sz w:val="18"/>
                <w:szCs w:val="18"/>
              </w:rPr>
            </w:pPr>
            <w:r>
              <w:rPr>
                <w:sz w:val="18"/>
                <w:szCs w:val="18"/>
              </w:rPr>
              <w:t>R0128</w:t>
            </w:r>
          </w:p>
        </w:tc>
        <w:tc>
          <w:tcPr>
            <w:tcW w:w="1211" w:type="dxa"/>
            <w:shd w:val="clear" w:color="auto" w:fill="auto"/>
            <w:vAlign w:val="center"/>
          </w:tcPr>
          <w:p w14:paraId="4527475B" w14:textId="77777777" w:rsidR="00E10737" w:rsidRPr="00DF77C5" w:rsidRDefault="00E10737" w:rsidP="004179DE">
            <w:pPr>
              <w:ind w:left="0"/>
              <w:rPr>
                <w:sz w:val="18"/>
                <w:szCs w:val="18"/>
              </w:rPr>
            </w:pPr>
            <w:r w:rsidRPr="00DF77C5">
              <w:rPr>
                <w:sz w:val="18"/>
                <w:szCs w:val="18"/>
              </w:rPr>
              <w:t xml:space="preserve">Počet publikácií subjektov zo SR v databázach Web of Science Core Collection a SCOPUS </w:t>
            </w:r>
          </w:p>
        </w:tc>
        <w:tc>
          <w:tcPr>
            <w:tcW w:w="993" w:type="dxa"/>
            <w:shd w:val="clear" w:color="auto" w:fill="auto"/>
            <w:vAlign w:val="center"/>
          </w:tcPr>
          <w:p w14:paraId="0EE951CB" w14:textId="77777777" w:rsidR="00E10737" w:rsidRPr="009B48A1" w:rsidRDefault="00E10737" w:rsidP="004179DE">
            <w:pPr>
              <w:ind w:left="0"/>
              <w:jc w:val="center"/>
              <w:rPr>
                <w:i/>
                <w:sz w:val="18"/>
                <w:szCs w:val="18"/>
              </w:rPr>
            </w:pPr>
            <w:r w:rsidRPr="009B48A1">
              <w:rPr>
                <w:i/>
                <w:sz w:val="18"/>
                <w:szCs w:val="18"/>
              </w:rPr>
              <w:t>počet</w:t>
            </w:r>
          </w:p>
        </w:tc>
        <w:tc>
          <w:tcPr>
            <w:tcW w:w="1081" w:type="dxa"/>
            <w:shd w:val="clear" w:color="auto" w:fill="auto"/>
            <w:vAlign w:val="center"/>
          </w:tcPr>
          <w:p w14:paraId="27F38328" w14:textId="77777777" w:rsidR="00E10737" w:rsidRPr="009B48A1" w:rsidRDefault="00E10737" w:rsidP="004179DE">
            <w:pPr>
              <w:ind w:left="0"/>
              <w:jc w:val="center"/>
              <w:rPr>
                <w:i/>
                <w:sz w:val="18"/>
                <w:szCs w:val="18"/>
              </w:rPr>
            </w:pPr>
            <w:r w:rsidRPr="009B48A1">
              <w:rPr>
                <w:i/>
                <w:sz w:val="18"/>
                <w:szCs w:val="18"/>
              </w:rPr>
              <w:t>Menej rozvinutý región</w:t>
            </w:r>
          </w:p>
        </w:tc>
        <w:tc>
          <w:tcPr>
            <w:tcW w:w="1297" w:type="dxa"/>
            <w:vAlign w:val="center"/>
          </w:tcPr>
          <w:p w14:paraId="43FB6807" w14:textId="77777777" w:rsidR="00E10737" w:rsidRPr="009B48A1" w:rsidRDefault="00E10737" w:rsidP="004179DE">
            <w:pPr>
              <w:ind w:left="0"/>
              <w:jc w:val="center"/>
              <w:rPr>
                <w:i/>
                <w:sz w:val="18"/>
                <w:szCs w:val="18"/>
              </w:rPr>
            </w:pPr>
            <w:r w:rsidRPr="009B48A1">
              <w:rPr>
                <w:i/>
                <w:sz w:val="18"/>
                <w:szCs w:val="18"/>
              </w:rPr>
              <w:t>10 477</w:t>
            </w:r>
          </w:p>
        </w:tc>
        <w:tc>
          <w:tcPr>
            <w:tcW w:w="1024" w:type="dxa"/>
            <w:vAlign w:val="center"/>
          </w:tcPr>
          <w:p w14:paraId="1ED2ADDC" w14:textId="77777777" w:rsidR="00E10737" w:rsidRPr="009B48A1" w:rsidRDefault="00E10737" w:rsidP="004179DE">
            <w:pPr>
              <w:ind w:left="0"/>
              <w:jc w:val="center"/>
              <w:rPr>
                <w:i/>
                <w:sz w:val="18"/>
                <w:szCs w:val="18"/>
              </w:rPr>
            </w:pPr>
            <w:r w:rsidRPr="009B48A1">
              <w:rPr>
                <w:i/>
                <w:sz w:val="18"/>
                <w:szCs w:val="18"/>
              </w:rPr>
              <w:t>2012</w:t>
            </w:r>
          </w:p>
        </w:tc>
        <w:tc>
          <w:tcPr>
            <w:tcW w:w="850" w:type="dxa"/>
            <w:shd w:val="clear" w:color="auto" w:fill="auto"/>
            <w:vAlign w:val="center"/>
          </w:tcPr>
          <w:p w14:paraId="1364982F" w14:textId="77777777" w:rsidR="00E10737" w:rsidRPr="009B48A1" w:rsidRDefault="00E10737" w:rsidP="004179DE">
            <w:pPr>
              <w:ind w:left="0"/>
              <w:jc w:val="center"/>
              <w:rPr>
                <w:i/>
                <w:sz w:val="18"/>
                <w:szCs w:val="18"/>
              </w:rPr>
            </w:pPr>
            <w:r w:rsidRPr="009B48A1">
              <w:rPr>
                <w:i/>
                <w:sz w:val="18"/>
                <w:szCs w:val="18"/>
              </w:rPr>
              <w:t>12 500</w:t>
            </w:r>
          </w:p>
        </w:tc>
        <w:tc>
          <w:tcPr>
            <w:tcW w:w="1033" w:type="dxa"/>
            <w:vAlign w:val="center"/>
          </w:tcPr>
          <w:p w14:paraId="152EEC96" w14:textId="77777777" w:rsidR="00E10737" w:rsidRPr="009B48A1" w:rsidRDefault="00E10737" w:rsidP="004179DE">
            <w:pPr>
              <w:pStyle w:val="TableParagraph"/>
              <w:ind w:left="0"/>
              <w:jc w:val="center"/>
              <w:rPr>
                <w:rFonts w:ascii="Times New Roman" w:eastAsia="Lucida Sans" w:hAnsi="Times New Roman" w:cs="Times New Roman"/>
                <w:i/>
                <w:sz w:val="18"/>
                <w:szCs w:val="18"/>
              </w:rPr>
            </w:pPr>
            <w:r w:rsidRPr="009B48A1">
              <w:rPr>
                <w:rFonts w:ascii="Times New Roman" w:hAnsi="Times New Roman" w:cs="Times New Roman"/>
                <w:i/>
                <w:spacing w:val="-2"/>
                <w:w w:val="105"/>
                <w:sz w:val="18"/>
                <w:szCs w:val="18"/>
              </w:rPr>
              <w:t>W</w:t>
            </w:r>
            <w:r w:rsidRPr="009B48A1">
              <w:rPr>
                <w:rFonts w:ascii="Times New Roman" w:hAnsi="Times New Roman" w:cs="Times New Roman"/>
                <w:i/>
                <w:spacing w:val="-1"/>
                <w:w w:val="105"/>
                <w:sz w:val="18"/>
                <w:szCs w:val="18"/>
              </w:rPr>
              <w:t>eb</w:t>
            </w:r>
            <w:r w:rsidRPr="009B48A1">
              <w:rPr>
                <w:rFonts w:ascii="Times New Roman" w:hAnsi="Times New Roman" w:cs="Times New Roman"/>
                <w:i/>
                <w:spacing w:val="11"/>
                <w:w w:val="105"/>
                <w:sz w:val="18"/>
                <w:szCs w:val="18"/>
              </w:rPr>
              <w:t xml:space="preserve"> </w:t>
            </w:r>
            <w:r w:rsidRPr="009B48A1">
              <w:rPr>
                <w:rFonts w:ascii="Times New Roman" w:hAnsi="Times New Roman" w:cs="Times New Roman"/>
                <w:i/>
                <w:w w:val="105"/>
                <w:sz w:val="18"/>
                <w:szCs w:val="18"/>
              </w:rPr>
              <w:t>of</w:t>
            </w:r>
            <w:r w:rsidRPr="009B48A1">
              <w:rPr>
                <w:rFonts w:ascii="Times New Roman" w:hAnsi="Times New Roman" w:cs="Times New Roman"/>
                <w:i/>
                <w:spacing w:val="11"/>
                <w:w w:val="105"/>
                <w:sz w:val="18"/>
                <w:szCs w:val="18"/>
              </w:rPr>
              <w:t xml:space="preserve"> </w:t>
            </w:r>
            <w:r w:rsidRPr="009B48A1">
              <w:rPr>
                <w:rFonts w:ascii="Times New Roman" w:hAnsi="Times New Roman" w:cs="Times New Roman"/>
                <w:i/>
                <w:w w:val="105"/>
                <w:sz w:val="18"/>
                <w:szCs w:val="18"/>
              </w:rPr>
              <w:t>Science</w:t>
            </w:r>
            <w:r w:rsidRPr="009B48A1">
              <w:rPr>
                <w:rFonts w:ascii="Times New Roman" w:hAnsi="Times New Roman" w:cs="Times New Roman"/>
                <w:i/>
                <w:spacing w:val="20"/>
                <w:w w:val="116"/>
                <w:sz w:val="18"/>
                <w:szCs w:val="18"/>
              </w:rPr>
              <w:t xml:space="preserve"> </w:t>
            </w:r>
            <w:r w:rsidRPr="009B48A1">
              <w:rPr>
                <w:rFonts w:ascii="Times New Roman" w:hAnsi="Times New Roman" w:cs="Times New Roman"/>
                <w:i/>
                <w:spacing w:val="-2"/>
                <w:w w:val="105"/>
                <w:sz w:val="18"/>
                <w:szCs w:val="18"/>
              </w:rPr>
              <w:t>Cor</w:t>
            </w:r>
            <w:r w:rsidRPr="009B48A1">
              <w:rPr>
                <w:rFonts w:ascii="Times New Roman" w:hAnsi="Times New Roman" w:cs="Times New Roman"/>
                <w:i/>
                <w:spacing w:val="-1"/>
                <w:w w:val="105"/>
                <w:sz w:val="18"/>
                <w:szCs w:val="18"/>
              </w:rPr>
              <w:t>e</w:t>
            </w:r>
            <w:r w:rsidRPr="009B48A1">
              <w:rPr>
                <w:rFonts w:ascii="Times New Roman" w:hAnsi="Times New Roman" w:cs="Times New Roman"/>
                <w:i/>
                <w:spacing w:val="-27"/>
                <w:w w:val="105"/>
                <w:sz w:val="18"/>
                <w:szCs w:val="18"/>
              </w:rPr>
              <w:t xml:space="preserve"> </w:t>
            </w:r>
            <w:r w:rsidRPr="009B48A1">
              <w:rPr>
                <w:rFonts w:ascii="Times New Roman" w:hAnsi="Times New Roman" w:cs="Times New Roman"/>
                <w:i/>
                <w:w w:val="105"/>
                <w:sz w:val="18"/>
                <w:szCs w:val="18"/>
              </w:rPr>
              <w:t>Collection</w:t>
            </w:r>
            <w:r w:rsidRPr="009B48A1">
              <w:rPr>
                <w:rFonts w:ascii="Times New Roman" w:hAnsi="Times New Roman" w:cs="Times New Roman"/>
                <w:i/>
                <w:spacing w:val="22"/>
                <w:w w:val="105"/>
                <w:sz w:val="18"/>
                <w:szCs w:val="18"/>
              </w:rPr>
              <w:t xml:space="preserve"> </w:t>
            </w:r>
            <w:r w:rsidRPr="009B48A1">
              <w:rPr>
                <w:rFonts w:ascii="Times New Roman" w:hAnsi="Times New Roman" w:cs="Times New Roman"/>
                <w:i/>
                <w:w w:val="105"/>
                <w:sz w:val="18"/>
                <w:szCs w:val="18"/>
              </w:rPr>
              <w:t>(Thomson</w:t>
            </w:r>
            <w:r w:rsidRPr="009B48A1">
              <w:rPr>
                <w:rFonts w:ascii="Times New Roman" w:hAnsi="Times New Roman" w:cs="Times New Roman"/>
                <w:i/>
                <w:w w:val="109"/>
                <w:sz w:val="18"/>
                <w:szCs w:val="18"/>
              </w:rPr>
              <w:t xml:space="preserve"> </w:t>
            </w:r>
            <w:r w:rsidRPr="009B48A1">
              <w:rPr>
                <w:rFonts w:ascii="Times New Roman" w:hAnsi="Times New Roman" w:cs="Times New Roman"/>
                <w:i/>
                <w:w w:val="105"/>
                <w:sz w:val="18"/>
                <w:szCs w:val="18"/>
              </w:rPr>
              <w:t>Reuters);</w:t>
            </w:r>
            <w:r w:rsidRPr="009B48A1">
              <w:rPr>
                <w:rFonts w:ascii="Times New Roman" w:hAnsi="Times New Roman" w:cs="Times New Roman"/>
                <w:i/>
                <w:w w:val="92"/>
                <w:sz w:val="18"/>
                <w:szCs w:val="18"/>
              </w:rPr>
              <w:t xml:space="preserve"> </w:t>
            </w:r>
            <w:r w:rsidRPr="009B48A1">
              <w:rPr>
                <w:rFonts w:ascii="Times New Roman" w:hAnsi="Times New Roman" w:cs="Times New Roman"/>
                <w:i/>
                <w:spacing w:val="-2"/>
                <w:w w:val="105"/>
                <w:sz w:val="18"/>
                <w:szCs w:val="18"/>
              </w:rPr>
              <w:t>SCOPUS</w:t>
            </w:r>
          </w:p>
          <w:p w14:paraId="44370218" w14:textId="77777777" w:rsidR="00E10737" w:rsidRPr="009B48A1" w:rsidRDefault="00E10737" w:rsidP="004179DE">
            <w:pPr>
              <w:ind w:left="0"/>
              <w:jc w:val="center"/>
              <w:rPr>
                <w:i/>
                <w:sz w:val="18"/>
                <w:szCs w:val="18"/>
              </w:rPr>
            </w:pPr>
            <w:r w:rsidRPr="009B48A1">
              <w:rPr>
                <w:i/>
                <w:spacing w:val="-1"/>
                <w:sz w:val="18"/>
                <w:szCs w:val="18"/>
              </w:rPr>
              <w:t>(Else</w:t>
            </w:r>
            <w:r w:rsidRPr="009B48A1">
              <w:rPr>
                <w:i/>
                <w:spacing w:val="-2"/>
                <w:sz w:val="18"/>
                <w:szCs w:val="18"/>
              </w:rPr>
              <w:t>vier)</w:t>
            </w:r>
          </w:p>
        </w:tc>
        <w:tc>
          <w:tcPr>
            <w:tcW w:w="1200" w:type="dxa"/>
            <w:vAlign w:val="center"/>
          </w:tcPr>
          <w:p w14:paraId="0D583720" w14:textId="77777777" w:rsidR="00E10737" w:rsidRPr="009B48A1" w:rsidRDefault="00E10737" w:rsidP="004179DE">
            <w:pPr>
              <w:ind w:left="0"/>
              <w:jc w:val="center"/>
              <w:rPr>
                <w:i/>
                <w:sz w:val="18"/>
                <w:szCs w:val="18"/>
              </w:rPr>
            </w:pPr>
            <w:r w:rsidRPr="009B48A1">
              <w:rPr>
                <w:i/>
                <w:sz w:val="18"/>
                <w:szCs w:val="18"/>
              </w:rPr>
              <w:t>Ročne</w:t>
            </w:r>
          </w:p>
        </w:tc>
      </w:tr>
    </w:tbl>
    <w:p w14:paraId="2F6E6EBC" w14:textId="77777777" w:rsidR="00E10737" w:rsidRDefault="00E10737" w:rsidP="00E10737">
      <w:pPr>
        <w:autoSpaceDE w:val="0"/>
        <w:autoSpaceDN w:val="0"/>
        <w:adjustRightInd w:val="0"/>
        <w:rPr>
          <w:sz w:val="22"/>
          <w:szCs w:val="22"/>
        </w:rPr>
      </w:pPr>
    </w:p>
    <w:p w14:paraId="3A9AFEFC" w14:textId="77777777" w:rsidR="00E10737" w:rsidRPr="00151195" w:rsidRDefault="00E10737" w:rsidP="00E10737">
      <w:pPr>
        <w:pStyle w:val="tl3"/>
        <w:tabs>
          <w:tab w:val="clear" w:pos="709"/>
          <w:tab w:val="clear" w:pos="864"/>
        </w:tabs>
        <w:ind w:left="851" w:hanging="851"/>
      </w:pPr>
      <w:r w:rsidRPr="00151195">
        <w:t>Opis typu a príklady aktivít</w:t>
      </w:r>
    </w:p>
    <w:p w14:paraId="6734D778" w14:textId="168999BD" w:rsidR="00E10737" w:rsidRPr="00CF79E0" w:rsidRDefault="00E10737" w:rsidP="00E10737">
      <w:pPr>
        <w:autoSpaceDE w:val="0"/>
        <w:autoSpaceDN w:val="0"/>
        <w:adjustRightInd w:val="0"/>
        <w:rPr>
          <w:i/>
          <w:sz w:val="22"/>
          <w:szCs w:val="22"/>
        </w:rPr>
      </w:pPr>
      <w:r w:rsidRPr="00726573">
        <w:rPr>
          <w:i/>
          <w:sz w:val="22"/>
          <w:szCs w:val="22"/>
          <w:u w:val="single"/>
        </w:rPr>
        <w:t>Príklady aktivít pre špecifický cieľ 9.1</w:t>
      </w:r>
      <w:r w:rsidRPr="00CF79E0">
        <w:rPr>
          <w:i/>
          <w:sz w:val="22"/>
          <w:szCs w:val="22"/>
        </w:rPr>
        <w:t>:</w:t>
      </w:r>
    </w:p>
    <w:p w14:paraId="713B1332" w14:textId="77777777" w:rsidR="00E10737" w:rsidRPr="00DF77C5" w:rsidRDefault="00E10737" w:rsidP="00726573">
      <w:pPr>
        <w:autoSpaceDE w:val="0"/>
        <w:autoSpaceDN w:val="0"/>
        <w:adjustRightInd w:val="0"/>
        <w:spacing w:before="120"/>
        <w:jc w:val="both"/>
        <w:rPr>
          <w:sz w:val="22"/>
          <w:szCs w:val="22"/>
        </w:rPr>
      </w:pPr>
      <w:r w:rsidRPr="00DF77C5">
        <w:rPr>
          <w:sz w:val="22"/>
          <w:szCs w:val="22"/>
        </w:rPr>
        <w:t>Mobilizácia transferu poznatkov a technológií do praxe z výskumných inštitúcií do praxe (pokračujúca aktivita z programového obdobia 2007 – 2013):</w:t>
      </w:r>
    </w:p>
    <w:p w14:paraId="025C67FE"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koordinácia, komunikácia a zabezpečenie efektívneho fungovania lokálnych centier transferu technológií zriadených pri jednotlivých výskumných inštitúciách;</w:t>
      </w:r>
    </w:p>
    <w:p w14:paraId="2E0E3472"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koordinácia aktivít univerzitných vedeckých parkov a výskumných centier v oblasti transferu technológií, budovania a prevádzky inkubátorov a ďalších činností súvisiacich s touto oblasťou;</w:t>
      </w:r>
    </w:p>
    <w:p w14:paraId="71FEC398"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budovanie prototypovej a overovacej infraštruktúry v doménach inteligentnej špecializácie RIS3 SK;</w:t>
      </w:r>
    </w:p>
    <w:p w14:paraId="55A28851"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finančné krytie expertných podporných služieb špičkových domácich i zahraničných expertov na transfer technológií a ohodnotenie komerčného potenciálu výsledkov VaV, ktorí výskumným inštitúciám pomáhajú zabezpečiť ochranu vytvoreného duševného vlastníctva;</w:t>
      </w:r>
    </w:p>
    <w:p w14:paraId="57546D0E"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zaplatenie potrebných expertov (patentových zástupcov, prekladateľov, licenčných expertov) ako aj prihlasovacích a udržiavacích poplatkov na medzinárodné patenty;</w:t>
      </w:r>
    </w:p>
    <w:p w14:paraId="5CE8A5EC"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financovanie podujatí na zvyšovanie povedomia vedeckej komunity o dôležitosti ochrany duševného vlastníctva a celého procesu transferu technológií;</w:t>
      </w:r>
    </w:p>
    <w:p w14:paraId="643247E4"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vyhľadávanie a aktívna propagácia vynálezov, technológií a inovatívnych myšlienok smerom do zahraničia;</w:t>
      </w:r>
    </w:p>
    <w:p w14:paraId="77FCEB03"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systematické sprístupňovanie výpočtových a úložných kapacít a špecializovaného aplikačného programového vybavenia Centra vedecko-technických informácií SR (ďalej len „CVTI SR“) výskumným inštitúciám pre účely efektívnej realizácie procesov transferu technológií;</w:t>
      </w:r>
    </w:p>
    <w:p w14:paraId="3CD0D597" w14:textId="77777777" w:rsidR="00E10737" w:rsidRPr="00DF77C5" w:rsidRDefault="00E10737" w:rsidP="00E10737">
      <w:pPr>
        <w:pStyle w:val="Odsekzoznamu"/>
        <w:numPr>
          <w:ilvl w:val="0"/>
          <w:numId w:val="159"/>
        </w:numPr>
        <w:autoSpaceDE w:val="0"/>
        <w:autoSpaceDN w:val="0"/>
        <w:adjustRightInd w:val="0"/>
        <w:jc w:val="both"/>
        <w:rPr>
          <w:sz w:val="22"/>
          <w:szCs w:val="22"/>
        </w:rPr>
      </w:pPr>
      <w:r w:rsidRPr="00DF77C5">
        <w:rPr>
          <w:sz w:val="22"/>
          <w:szCs w:val="22"/>
        </w:rPr>
        <w:t>zvyšovanie povedomia o potrebe ochrany a komercializácie duševného vlastníctva</w:t>
      </w:r>
      <w:r>
        <w:rPr>
          <w:sz w:val="22"/>
          <w:szCs w:val="22"/>
        </w:rPr>
        <w:t xml:space="preserve"> a </w:t>
      </w:r>
      <w:r w:rsidRPr="00DF77C5">
        <w:rPr>
          <w:sz w:val="22"/>
          <w:szCs w:val="22"/>
        </w:rPr>
        <w:t xml:space="preserve">vytváranie odborného zázemia kapacít venujúcich sa realizácii transferu technológií v SR, </w:t>
      </w:r>
      <w:r w:rsidRPr="00DF77C5">
        <w:rPr>
          <w:sz w:val="22"/>
          <w:szCs w:val="22"/>
        </w:rPr>
        <w:lastRenderedPageBreak/>
        <w:t>najmä prostredníctvom organizovania kvalitných podujatí a budovaním priestoru pre výmenu názorov a skúseností v tejto oblasti.</w:t>
      </w:r>
    </w:p>
    <w:p w14:paraId="121D1BD3" w14:textId="4A932CD9" w:rsidR="00E10737" w:rsidRDefault="00E10737" w:rsidP="00E10737">
      <w:pPr>
        <w:autoSpaceDE w:val="0"/>
        <w:autoSpaceDN w:val="0"/>
        <w:adjustRightInd w:val="0"/>
        <w:jc w:val="both"/>
        <w:rPr>
          <w:sz w:val="22"/>
          <w:szCs w:val="22"/>
        </w:rPr>
      </w:pPr>
    </w:p>
    <w:p w14:paraId="01C121E2" w14:textId="77777777" w:rsidR="00E10737" w:rsidRPr="00DF77C5" w:rsidRDefault="00E10737" w:rsidP="00E10737">
      <w:pPr>
        <w:autoSpaceDE w:val="0"/>
        <w:autoSpaceDN w:val="0"/>
        <w:adjustRightInd w:val="0"/>
        <w:jc w:val="both"/>
        <w:rPr>
          <w:sz w:val="22"/>
          <w:szCs w:val="22"/>
        </w:rPr>
      </w:pPr>
      <w:r w:rsidRPr="00DF77C5">
        <w:rPr>
          <w:sz w:val="22"/>
          <w:szCs w:val="22"/>
        </w:rPr>
        <w:t>Informačný systém výskumu a vývoja/prístupy do databáz pre potreby výskumných inštitúcií (pokračujúca aktivita z programového obdobia 2007 – 2013):</w:t>
      </w:r>
    </w:p>
    <w:p w14:paraId="693D7F5D"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koordinovaný</w:t>
      </w:r>
      <w:r>
        <w:rPr>
          <w:sz w:val="22"/>
          <w:szCs w:val="22"/>
        </w:rPr>
        <w:t xml:space="preserve"> </w:t>
      </w:r>
      <w:r w:rsidRPr="00DF77C5">
        <w:rPr>
          <w:sz w:val="22"/>
          <w:szCs w:val="22"/>
        </w:rPr>
        <w:t>prístup k</w:t>
      </w:r>
      <w:r>
        <w:rPr>
          <w:sz w:val="22"/>
          <w:szCs w:val="22"/>
        </w:rPr>
        <w:t xml:space="preserve"> </w:t>
      </w:r>
      <w:r w:rsidRPr="00DF77C5">
        <w:rPr>
          <w:sz w:val="22"/>
          <w:szCs w:val="22"/>
        </w:rPr>
        <w:t>špecializovaným, bibliometrickým, scientometrickým a</w:t>
      </w:r>
      <w:r>
        <w:rPr>
          <w:sz w:val="22"/>
          <w:szCs w:val="22"/>
        </w:rPr>
        <w:t> </w:t>
      </w:r>
      <w:r w:rsidRPr="00DF77C5">
        <w:rPr>
          <w:sz w:val="22"/>
          <w:szCs w:val="22"/>
        </w:rPr>
        <w:t>vedecky</w:t>
      </w:r>
      <w:r>
        <w:rPr>
          <w:sz w:val="22"/>
          <w:szCs w:val="22"/>
        </w:rPr>
        <w:t xml:space="preserve"> </w:t>
      </w:r>
      <w:r w:rsidRPr="00DF77C5">
        <w:rPr>
          <w:sz w:val="22"/>
          <w:szCs w:val="22"/>
        </w:rPr>
        <w:t>zameraným</w:t>
      </w:r>
      <w:r>
        <w:rPr>
          <w:sz w:val="22"/>
          <w:szCs w:val="22"/>
        </w:rPr>
        <w:t xml:space="preserve"> </w:t>
      </w:r>
      <w:r w:rsidRPr="00DF77C5">
        <w:rPr>
          <w:sz w:val="22"/>
          <w:szCs w:val="22"/>
        </w:rPr>
        <w:t>elektronickým informačným zdrojom pre potreby výskumných inštitúcií.</w:t>
      </w:r>
    </w:p>
    <w:p w14:paraId="774C0FB1" w14:textId="77777777" w:rsidR="00E10737" w:rsidRPr="00DF77C5" w:rsidRDefault="00E10737" w:rsidP="00E10737">
      <w:pPr>
        <w:autoSpaceDE w:val="0"/>
        <w:autoSpaceDN w:val="0"/>
        <w:adjustRightInd w:val="0"/>
        <w:spacing w:before="120"/>
        <w:jc w:val="both"/>
        <w:rPr>
          <w:sz w:val="22"/>
          <w:szCs w:val="22"/>
        </w:rPr>
      </w:pPr>
      <w:r w:rsidRPr="00DF77C5">
        <w:rPr>
          <w:sz w:val="22"/>
          <w:szCs w:val="22"/>
        </w:rPr>
        <w:t>Horizontálna IKT podpora a centrálna infraštruktúra pre inštitú</w:t>
      </w:r>
      <w:r>
        <w:rPr>
          <w:sz w:val="22"/>
          <w:szCs w:val="22"/>
        </w:rPr>
        <w:t>cie VaV (pokračujúca aktivita z </w:t>
      </w:r>
      <w:r w:rsidRPr="00DF77C5">
        <w:rPr>
          <w:sz w:val="22"/>
          <w:szCs w:val="22"/>
        </w:rPr>
        <w:t>programového obdobia 2007 – 2013), ďalší rozvoj a modernizácia/rozšírenie aj obsahového zamerania dátového centra VaV:</w:t>
      </w:r>
    </w:p>
    <w:p w14:paraId="3C02E247"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centrálny experimentálny cloud, ktorý bude slúžiť na IKT výskum v oblasti cloudových aplikácií, bezpečnosti systémov a ďalších súvisiacich tém;</w:t>
      </w:r>
    </w:p>
    <w:p w14:paraId="55AF83B3"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výpočtové kapacity a vysokovýkonné počítanie v rámci výskumných projektov;</w:t>
      </w:r>
    </w:p>
    <w:p w14:paraId="76592E26" w14:textId="2F4ACE78" w:rsidR="00E10737" w:rsidRPr="005D3DC0" w:rsidRDefault="00E10737" w:rsidP="005D3DC0">
      <w:pPr>
        <w:pStyle w:val="Odsekzoznamu"/>
        <w:numPr>
          <w:ilvl w:val="0"/>
          <w:numId w:val="159"/>
        </w:numPr>
        <w:autoSpaceDE w:val="0"/>
        <w:autoSpaceDN w:val="0"/>
        <w:adjustRightInd w:val="0"/>
        <w:spacing w:before="120"/>
        <w:jc w:val="both"/>
        <w:rPr>
          <w:sz w:val="22"/>
          <w:szCs w:val="22"/>
        </w:rPr>
      </w:pPr>
      <w:r w:rsidRPr="00DF77C5">
        <w:rPr>
          <w:sz w:val="22"/>
          <w:szCs w:val="22"/>
        </w:rPr>
        <w:t>komplementárna konsolidácia širšieho využitia slovenskej infraštruktúry pre vysokovýkonné počítanie (ďalej len</w:t>
      </w:r>
      <w:r w:rsidR="005D3DC0">
        <w:rPr>
          <w:sz w:val="22"/>
          <w:szCs w:val="22"/>
        </w:rPr>
        <w:t xml:space="preserve"> </w:t>
      </w:r>
      <w:r w:rsidRPr="005D3DC0">
        <w:rPr>
          <w:sz w:val="22"/>
          <w:szCs w:val="22"/>
        </w:rPr>
        <w:t>„SIVVP“) na úrovni aplikačných a obslužných SW;</w:t>
      </w:r>
    </w:p>
    <w:p w14:paraId="564C6BD4"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zabezpečenie dostatočného vysokorýchlostného dátového prepojenia medzi výskumnými inštitúciami;</w:t>
      </w:r>
    </w:p>
    <w:p w14:paraId="4CD17FF4"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dobudovanie a ďalší rozvoj integrovaného systému služieb, v rámci ktorého sú jednotlivé aplikácie dátového centra a prístupy k nim zo strany vedeckej komunity manažované;</w:t>
      </w:r>
    </w:p>
    <w:p w14:paraId="1C26889D"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vstupu do medzinárodných sietí obdobných inštitúcií, ktoré združujú národné výskumné IKT infraštruktúry.</w:t>
      </w:r>
    </w:p>
    <w:p w14:paraId="0D53A1C4" w14:textId="77777777" w:rsidR="00E10737" w:rsidRDefault="00E10737" w:rsidP="00E10737">
      <w:pPr>
        <w:autoSpaceDE w:val="0"/>
        <w:autoSpaceDN w:val="0"/>
        <w:adjustRightInd w:val="0"/>
        <w:rPr>
          <w:sz w:val="22"/>
          <w:szCs w:val="22"/>
        </w:rPr>
      </w:pPr>
    </w:p>
    <w:p w14:paraId="5C718E8E" w14:textId="77777777" w:rsidR="00E10737" w:rsidRPr="00DF77C5" w:rsidRDefault="00E10737" w:rsidP="00E10737">
      <w:pPr>
        <w:autoSpaceDE w:val="0"/>
        <w:autoSpaceDN w:val="0"/>
        <w:adjustRightInd w:val="0"/>
        <w:jc w:val="both"/>
        <w:rPr>
          <w:sz w:val="22"/>
          <w:szCs w:val="22"/>
        </w:rPr>
      </w:pPr>
      <w:r w:rsidRPr="00DF77C5">
        <w:rPr>
          <w:sz w:val="22"/>
          <w:szCs w:val="22"/>
        </w:rPr>
        <w:t>Podpora národného systému pre popularizáciu VaV (pokračujúca aktivita z programového obdobia 2007 – 2013):</w:t>
      </w:r>
    </w:p>
    <w:p w14:paraId="0B76B9D4"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budovania centier VaV infraštruktúry v obla</w:t>
      </w:r>
      <w:r>
        <w:rPr>
          <w:sz w:val="22"/>
          <w:szCs w:val="22"/>
        </w:rPr>
        <w:t>stiach špecializácie RIS3 SK vo </w:t>
      </w:r>
      <w:r w:rsidRPr="00DF77C5">
        <w:rPr>
          <w:sz w:val="22"/>
          <w:szCs w:val="22"/>
        </w:rPr>
        <w:t>vybraných oblastiach – najmä Košice, Žilina, Nitra, prípadne menšie centrá aj v iných geografických oblastiach za predpokladu využitia aj vlastných zdrojov partnerských inštitúcií;</w:t>
      </w:r>
    </w:p>
    <w:p w14:paraId="64C39E21"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realizácie demonštračných aktivít za využitia moderných technológií v oblastiach špecializácie RIS3 SK;</w:t>
      </w:r>
    </w:p>
    <w:p w14:paraId="3F9646F5"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realizácie koordinovaných národných festivalov vedy a techniky, odborných podujatí týkajúcich sa vzťahu vedy, výskumu, vývoja a spoločnosti;</w:t>
      </w:r>
    </w:p>
    <w:p w14:paraId="032CFF39"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cielené opatrenia na pritiahnutie záujmu verejnosti a najmä mladej generácie – o kariéru výskumníka, resp. pracovníkov pre kľúčové priemyselné odvetvia identifikované RIS3 SK.</w:t>
      </w:r>
    </w:p>
    <w:p w14:paraId="7047D57E" w14:textId="77777777" w:rsidR="00E10737" w:rsidRDefault="00E10737" w:rsidP="00E10737">
      <w:pPr>
        <w:autoSpaceDE w:val="0"/>
        <w:autoSpaceDN w:val="0"/>
        <w:adjustRightInd w:val="0"/>
        <w:rPr>
          <w:sz w:val="22"/>
          <w:szCs w:val="22"/>
        </w:rPr>
      </w:pPr>
    </w:p>
    <w:p w14:paraId="0ED62DED" w14:textId="77777777" w:rsidR="00E10737" w:rsidRPr="00DF77C5" w:rsidRDefault="00E10737" w:rsidP="00E10737">
      <w:pPr>
        <w:autoSpaceDE w:val="0"/>
        <w:autoSpaceDN w:val="0"/>
        <w:adjustRightInd w:val="0"/>
        <w:jc w:val="both"/>
        <w:rPr>
          <w:sz w:val="22"/>
          <w:szCs w:val="22"/>
        </w:rPr>
      </w:pPr>
      <w:r w:rsidRPr="00DF77C5">
        <w:rPr>
          <w:sz w:val="22"/>
          <w:szCs w:val="22"/>
        </w:rPr>
        <w:t>V tejto oblasti SR mimoriadne zaostáva za ostatnými štátmi EÚ a úplne tú chýba akákoľvek moderná infraštruktúra v podobe centier vedy tak, ako tomu je v zahraničí. V rámci Európy patria medzi najznámejšie Experimentarium v Kodani (www.experimentarium.dk), Technopolis vo flámskom Mechelene (www.technopolis.be), fínska Heureka (www.heureka. fi) či francúzske Cité des Sciences v Paríži (www.cite-sciences.fr). Popularizácia vedy a výskumu bude realizovaná s priamou involvenciou samotných vedeckých pracovníkov. V oblasti popularizácie bude v ďalšom programovom období potrebné nadviazať na vybudovanú popularizačnú infraštruktúru v rámci programového obdobia 2007 – 2013 a intenzívne pokračovať v nastavených popularizačných mechanizmoch a využívaní vytvorených popularizačných nástrojoch.</w:t>
      </w:r>
    </w:p>
    <w:p w14:paraId="49AC9DE9" w14:textId="77777777" w:rsidR="00E10737" w:rsidRDefault="00E10737" w:rsidP="00E10737">
      <w:pPr>
        <w:autoSpaceDE w:val="0"/>
        <w:autoSpaceDN w:val="0"/>
        <w:adjustRightInd w:val="0"/>
        <w:rPr>
          <w:sz w:val="22"/>
          <w:szCs w:val="22"/>
        </w:rPr>
      </w:pPr>
    </w:p>
    <w:p w14:paraId="7E32D20D" w14:textId="69D64E41" w:rsidR="00E10737" w:rsidRPr="00DF77C5" w:rsidRDefault="00E10737" w:rsidP="00E10737">
      <w:pPr>
        <w:autoSpaceDE w:val="0"/>
        <w:autoSpaceDN w:val="0"/>
        <w:adjustRightInd w:val="0"/>
        <w:rPr>
          <w:sz w:val="22"/>
          <w:szCs w:val="22"/>
        </w:rPr>
      </w:pPr>
      <w:r w:rsidRPr="00DF77C5">
        <w:rPr>
          <w:sz w:val="22"/>
          <w:szCs w:val="22"/>
        </w:rPr>
        <w:t xml:space="preserve">Aktivity v rámci špecifického cieľa </w:t>
      </w:r>
      <w:r w:rsidR="00F03354">
        <w:rPr>
          <w:sz w:val="22"/>
          <w:szCs w:val="22"/>
        </w:rPr>
        <w:t>9</w:t>
      </w:r>
      <w:r w:rsidRPr="00DF77C5">
        <w:rPr>
          <w:sz w:val="22"/>
          <w:szCs w:val="22"/>
        </w:rPr>
        <w:t>.1 budú realizované prostredníctvom národných projektov.</w:t>
      </w:r>
    </w:p>
    <w:p w14:paraId="7EB137D4" w14:textId="77777777" w:rsidR="00E10737" w:rsidRPr="00DF77C5" w:rsidRDefault="00E10737" w:rsidP="00E10737">
      <w:pPr>
        <w:autoSpaceDE w:val="0"/>
        <w:autoSpaceDN w:val="0"/>
        <w:adjustRightInd w:val="0"/>
        <w:rPr>
          <w:sz w:val="22"/>
          <w:szCs w:val="22"/>
        </w:rPr>
      </w:pPr>
    </w:p>
    <w:p w14:paraId="6FB7AAA3" w14:textId="3966B017" w:rsidR="00E10737" w:rsidRPr="00CF79E0" w:rsidRDefault="00E10737" w:rsidP="00E10737">
      <w:pPr>
        <w:autoSpaceDE w:val="0"/>
        <w:autoSpaceDN w:val="0"/>
        <w:adjustRightInd w:val="0"/>
        <w:rPr>
          <w:i/>
          <w:sz w:val="22"/>
          <w:szCs w:val="22"/>
        </w:rPr>
      </w:pPr>
      <w:r w:rsidRPr="00726573">
        <w:rPr>
          <w:i/>
          <w:sz w:val="22"/>
          <w:szCs w:val="22"/>
          <w:u w:val="single"/>
        </w:rPr>
        <w:t>Príklady aktivít pre špecifický cieľ 9.2</w:t>
      </w:r>
      <w:r w:rsidR="00726573">
        <w:rPr>
          <w:i/>
          <w:sz w:val="22"/>
          <w:szCs w:val="22"/>
        </w:rPr>
        <w:t>:</w:t>
      </w:r>
    </w:p>
    <w:p w14:paraId="741A1B55" w14:textId="3FC9F7A6" w:rsidR="00E10737" w:rsidRDefault="00E10737" w:rsidP="00726573">
      <w:pPr>
        <w:autoSpaceDE w:val="0"/>
        <w:autoSpaceDN w:val="0"/>
        <w:adjustRightInd w:val="0"/>
        <w:spacing w:before="120"/>
        <w:jc w:val="both"/>
        <w:rPr>
          <w:sz w:val="22"/>
          <w:szCs w:val="22"/>
        </w:rPr>
      </w:pPr>
      <w:r w:rsidRPr="00DF77C5">
        <w:rPr>
          <w:sz w:val="22"/>
          <w:szCs w:val="22"/>
        </w:rPr>
        <w:t>Synergické a komplementárne financovanie projektov schválených v rámci Horizontu 2020, Stratégie EÚ pre dunajský región, EITI, Eureky, Eurostars2, Erazmus+, resp. ďalších medzinárodných programov a iniciatív v doménach inteligentnej špecializácie RIS3 SK</w:t>
      </w:r>
    </w:p>
    <w:p w14:paraId="28979047" w14:textId="77777777" w:rsidR="00E10737" w:rsidRDefault="00E10737" w:rsidP="00E10737">
      <w:pPr>
        <w:autoSpaceDE w:val="0"/>
        <w:autoSpaceDN w:val="0"/>
        <w:adjustRightInd w:val="0"/>
        <w:rPr>
          <w:sz w:val="22"/>
          <w:szCs w:val="22"/>
        </w:rPr>
      </w:pPr>
    </w:p>
    <w:p w14:paraId="5986CC22" w14:textId="54C8B117" w:rsidR="00E10737" w:rsidRPr="00DF77C5" w:rsidRDefault="00E10737" w:rsidP="00E10737">
      <w:pPr>
        <w:autoSpaceDE w:val="0"/>
        <w:autoSpaceDN w:val="0"/>
        <w:adjustRightInd w:val="0"/>
        <w:jc w:val="both"/>
        <w:rPr>
          <w:sz w:val="22"/>
          <w:szCs w:val="22"/>
        </w:rPr>
      </w:pPr>
      <w:r w:rsidRPr="00DF77C5">
        <w:rPr>
          <w:sz w:val="22"/>
          <w:szCs w:val="22"/>
        </w:rPr>
        <w:lastRenderedPageBreak/>
        <w:t>Realizácia schválených projektov v rámci európskych výskumných/mobilitných programov a iniciatív si často môže vyžadovať ďalšie výdavky na to, aby sa cieľ projektu naplnil v maximálne možnej miere. Komplementárne financovanie schválených projektov na medzinárodnej úrovni nebude umožňovať pokrytie povinného financovania. Ale bude umožňovať pokrytie dodatočných výdavkov v</w:t>
      </w:r>
      <w:r w:rsidR="00F03354">
        <w:rPr>
          <w:sz w:val="22"/>
          <w:szCs w:val="22"/>
        </w:rPr>
        <w:t> </w:t>
      </w:r>
      <w:r w:rsidRPr="00DF77C5">
        <w:rPr>
          <w:sz w:val="22"/>
          <w:szCs w:val="22"/>
        </w:rPr>
        <w:t>rámci schválených projektov na medzinárodnej úrovni – ako napríklad prístroje/ zariadenia, ktoré umožnia riešiť schválený projekt kvalitnejšie a s lepšími výsledkami, resp. umožnia rozšíriť využitie jeho výsledkov/ďalší výskum. Obsahové hodnotenie projektov bude zabezpečené v rámci samotných medzinárodných iniciatív a programov, v rámci OP</w:t>
      </w:r>
      <w:r w:rsidR="00533DA4">
        <w:rPr>
          <w:sz w:val="22"/>
          <w:szCs w:val="22"/>
        </w:rPr>
        <w:t>I</w:t>
      </w:r>
      <w:r w:rsidRPr="00DF77C5">
        <w:rPr>
          <w:sz w:val="22"/>
          <w:szCs w:val="22"/>
        </w:rPr>
        <w:t xml:space="preserve">I </w:t>
      </w:r>
      <w:r w:rsidR="00533DA4">
        <w:rPr>
          <w:sz w:val="22"/>
          <w:szCs w:val="22"/>
        </w:rPr>
        <w:t xml:space="preserve">(časť VaI) </w:t>
      </w:r>
      <w:r w:rsidRPr="00DF77C5">
        <w:rPr>
          <w:sz w:val="22"/>
          <w:szCs w:val="22"/>
        </w:rPr>
        <w:t>pri žiadosti o komplementárne financovanie bude prebiehať len formálna stránka procesu ukončená zmluvou o príspevok.</w:t>
      </w:r>
    </w:p>
    <w:p w14:paraId="2352141D" w14:textId="77777777" w:rsidR="00E10737" w:rsidRDefault="00E10737" w:rsidP="00E10737">
      <w:pPr>
        <w:autoSpaceDE w:val="0"/>
        <w:autoSpaceDN w:val="0"/>
        <w:adjustRightInd w:val="0"/>
        <w:rPr>
          <w:sz w:val="22"/>
          <w:szCs w:val="22"/>
        </w:rPr>
      </w:pPr>
    </w:p>
    <w:p w14:paraId="1EDA5542" w14:textId="6B32CF3A" w:rsidR="00E10737" w:rsidRPr="00DF77C5" w:rsidRDefault="00E10737" w:rsidP="00E10737">
      <w:pPr>
        <w:autoSpaceDE w:val="0"/>
        <w:autoSpaceDN w:val="0"/>
        <w:adjustRightInd w:val="0"/>
        <w:jc w:val="both"/>
        <w:rPr>
          <w:sz w:val="22"/>
          <w:szCs w:val="22"/>
        </w:rPr>
      </w:pPr>
      <w:r w:rsidRPr="00DF77C5">
        <w:rPr>
          <w:sz w:val="22"/>
          <w:szCs w:val="22"/>
        </w:rPr>
        <w:t>Financovanie tzv. „shortlisted“ projektov z Horizontu 2020 v doménach inteligentnej špecializácie RIS3 SK</w:t>
      </w:r>
    </w:p>
    <w:p w14:paraId="39058BB6" w14:textId="77777777" w:rsidR="00E10737" w:rsidRDefault="00E10737" w:rsidP="00E10737">
      <w:pPr>
        <w:autoSpaceDE w:val="0"/>
        <w:autoSpaceDN w:val="0"/>
        <w:adjustRightInd w:val="0"/>
        <w:rPr>
          <w:sz w:val="22"/>
          <w:szCs w:val="22"/>
        </w:rPr>
      </w:pPr>
    </w:p>
    <w:p w14:paraId="24CD8A94" w14:textId="3E7B2140" w:rsidR="00E10737" w:rsidRPr="00DF77C5" w:rsidRDefault="00E10737" w:rsidP="00E10737">
      <w:pPr>
        <w:autoSpaceDE w:val="0"/>
        <w:autoSpaceDN w:val="0"/>
        <w:adjustRightInd w:val="0"/>
        <w:jc w:val="both"/>
        <w:rPr>
          <w:sz w:val="22"/>
          <w:szCs w:val="22"/>
        </w:rPr>
      </w:pPr>
      <w:r w:rsidRPr="00DF77C5">
        <w:rPr>
          <w:sz w:val="22"/>
          <w:szCs w:val="22"/>
        </w:rPr>
        <w:t>SR patrí medzi najmenej úspešné štáty EÚ v počte účastí/objeme</w:t>
      </w:r>
      <w:r w:rsidR="00F03354">
        <w:rPr>
          <w:sz w:val="22"/>
          <w:szCs w:val="22"/>
        </w:rPr>
        <w:t xml:space="preserve"> získaných finančných zdrojov z </w:t>
      </w:r>
      <w:r w:rsidRPr="00DF77C5">
        <w:rPr>
          <w:sz w:val="22"/>
          <w:szCs w:val="22"/>
        </w:rPr>
        <w:t>Rámcových programov EÚ pre VaV. Jednou z príčin je aj nízka miera aktivity a málo podaných projektov so slovenskou účasťou. Cieľom tejto aktivity bude mobilizovať slovenské inštitúcie ohľadom účasti v medzinárodných konzorciách Horizontu 2020, resp. podávaniu projektov excelentného výskumu/priemyselného VaV, ktoré si nevyžadujú medzinárodných partnerov (napríklad projekty Európskej výskumnej rady; MSP nástroj Horizontu 2</w:t>
      </w:r>
      <w:r w:rsidR="002471F7">
        <w:rPr>
          <w:sz w:val="22"/>
          <w:szCs w:val="22"/>
        </w:rPr>
        <w:t>020). V prípade, že projekty so </w:t>
      </w:r>
      <w:r w:rsidRPr="00DF77C5">
        <w:rPr>
          <w:sz w:val="22"/>
          <w:szCs w:val="22"/>
        </w:rPr>
        <w:t>slovenskou účasťou budú hodnotené, ako kvalitné, ale nebudú financované z dôvodu nedostatku finančných zdrojov EÚ (tzv. shortlisted projekty), tieto bude možne reorientovať smerom k</w:t>
      </w:r>
      <w:r w:rsidR="002471F7">
        <w:rPr>
          <w:sz w:val="22"/>
          <w:szCs w:val="22"/>
        </w:rPr>
        <w:t> </w:t>
      </w:r>
      <w:r w:rsidRPr="00DF77C5">
        <w:rPr>
          <w:sz w:val="22"/>
          <w:szCs w:val="22"/>
        </w:rPr>
        <w:t>OP</w:t>
      </w:r>
      <w:r w:rsidR="002471F7">
        <w:rPr>
          <w:sz w:val="22"/>
          <w:szCs w:val="22"/>
        </w:rPr>
        <w:t>II (časť</w:t>
      </w:r>
      <w:r w:rsidRPr="00DF77C5">
        <w:rPr>
          <w:sz w:val="22"/>
          <w:szCs w:val="22"/>
        </w:rPr>
        <w:t xml:space="preserve"> VaI</w:t>
      </w:r>
      <w:r w:rsidR="002471F7">
        <w:rPr>
          <w:sz w:val="22"/>
          <w:szCs w:val="22"/>
        </w:rPr>
        <w:t>)</w:t>
      </w:r>
      <w:r w:rsidRPr="00DF77C5">
        <w:rPr>
          <w:sz w:val="22"/>
          <w:szCs w:val="22"/>
        </w:rPr>
        <w:t xml:space="preserve"> a financovať v zmysle pravidiel OP</w:t>
      </w:r>
      <w:r w:rsidR="002471F7">
        <w:rPr>
          <w:sz w:val="22"/>
          <w:szCs w:val="22"/>
        </w:rPr>
        <w:t>I</w:t>
      </w:r>
      <w:r w:rsidRPr="00DF77C5">
        <w:rPr>
          <w:sz w:val="22"/>
          <w:szCs w:val="22"/>
        </w:rPr>
        <w:t>I</w:t>
      </w:r>
      <w:r w:rsidR="002471F7">
        <w:rPr>
          <w:sz w:val="22"/>
          <w:szCs w:val="22"/>
        </w:rPr>
        <w:t xml:space="preserve"> (časť VaI)</w:t>
      </w:r>
      <w:r w:rsidRPr="00DF77C5">
        <w:rPr>
          <w:sz w:val="22"/>
          <w:szCs w:val="22"/>
        </w:rPr>
        <w:t>. V prípade projektov s medzinárodnou účasťou bude potrebné z takéhoto projektu zadefinovať slovenskú účasť, ktorá</w:t>
      </w:r>
      <w:r w:rsidR="002471F7">
        <w:rPr>
          <w:sz w:val="22"/>
          <w:szCs w:val="22"/>
        </w:rPr>
        <w:t xml:space="preserve"> bude tvoriť obsahovo ucelený a </w:t>
      </w:r>
      <w:r w:rsidRPr="00DF77C5">
        <w:rPr>
          <w:sz w:val="22"/>
          <w:szCs w:val="22"/>
        </w:rPr>
        <w:t xml:space="preserve">samostatný celok, v zmysle </w:t>
      </w:r>
      <w:r w:rsidRPr="005C5FCF">
        <w:rPr>
          <w:sz w:val="22"/>
          <w:szCs w:val="22"/>
        </w:rPr>
        <w:t>prílohy č. 1</w:t>
      </w:r>
      <w:r w:rsidR="005C5FCF" w:rsidRPr="005C5FCF">
        <w:rPr>
          <w:sz w:val="22"/>
          <w:szCs w:val="22"/>
        </w:rPr>
        <w:t>7</w:t>
      </w:r>
      <w:r w:rsidRPr="005C5FCF">
        <w:rPr>
          <w:sz w:val="22"/>
          <w:szCs w:val="22"/>
        </w:rPr>
        <w:t xml:space="preserve"> k</w:t>
      </w:r>
      <w:r w:rsidRPr="00DF77C5">
        <w:rPr>
          <w:sz w:val="22"/>
          <w:szCs w:val="22"/>
        </w:rPr>
        <w:t xml:space="preserve"> OP</w:t>
      </w:r>
      <w:r w:rsidR="002471F7">
        <w:rPr>
          <w:sz w:val="22"/>
          <w:szCs w:val="22"/>
        </w:rPr>
        <w:t>I</w:t>
      </w:r>
      <w:r w:rsidRPr="00DF77C5">
        <w:rPr>
          <w:sz w:val="22"/>
          <w:szCs w:val="22"/>
        </w:rPr>
        <w:t>I bude možné realizovať aj medzinárodný rozmer projektu. Po obsahovej stránke budú projekty vyhodnotené v rámci Horizontu 2020, čo bude znamenať, že v rámci OP</w:t>
      </w:r>
      <w:r w:rsidR="002471F7">
        <w:rPr>
          <w:sz w:val="22"/>
          <w:szCs w:val="22"/>
        </w:rPr>
        <w:t>I</w:t>
      </w:r>
      <w:r w:rsidRPr="00DF77C5">
        <w:rPr>
          <w:sz w:val="22"/>
          <w:szCs w:val="22"/>
        </w:rPr>
        <w:t>I</w:t>
      </w:r>
      <w:r w:rsidR="002471F7">
        <w:rPr>
          <w:sz w:val="22"/>
          <w:szCs w:val="22"/>
        </w:rPr>
        <w:t xml:space="preserve"> (časť VaI)</w:t>
      </w:r>
      <w:r w:rsidRPr="00DF77C5">
        <w:rPr>
          <w:sz w:val="22"/>
          <w:szCs w:val="22"/>
        </w:rPr>
        <w:t xml:space="preserve"> budú musieť prejsť už len formálnymi procedúrami.</w:t>
      </w:r>
    </w:p>
    <w:p w14:paraId="7C4A11D9" w14:textId="77777777" w:rsidR="00E10737" w:rsidRDefault="00E10737" w:rsidP="00E10737">
      <w:pPr>
        <w:autoSpaceDE w:val="0"/>
        <w:autoSpaceDN w:val="0"/>
        <w:adjustRightInd w:val="0"/>
        <w:rPr>
          <w:sz w:val="22"/>
          <w:szCs w:val="22"/>
        </w:rPr>
      </w:pPr>
    </w:p>
    <w:p w14:paraId="409BB9FA" w14:textId="77777777" w:rsidR="00E10737" w:rsidRPr="00DF77C5" w:rsidRDefault="00E10737" w:rsidP="00E10737">
      <w:pPr>
        <w:autoSpaceDE w:val="0"/>
        <w:autoSpaceDN w:val="0"/>
        <w:adjustRightInd w:val="0"/>
        <w:jc w:val="both"/>
        <w:rPr>
          <w:sz w:val="22"/>
          <w:szCs w:val="22"/>
        </w:rPr>
      </w:pPr>
      <w:r w:rsidRPr="00DF77C5">
        <w:rPr>
          <w:sz w:val="22"/>
          <w:szCs w:val="22"/>
        </w:rPr>
        <w:t>Horizontálna podpora účasti SR v ERA/internacionalizácia VaV SR, podpora aktivít styčnej kancelárie SR pre VaV v Bruseli, vrátane podpory zintenzívnenia aktivít podporných štruktúr (národné kontaktné body)</w:t>
      </w:r>
    </w:p>
    <w:p w14:paraId="313A874F" w14:textId="77777777" w:rsidR="00E10737" w:rsidRDefault="00E10737" w:rsidP="00E10737">
      <w:pPr>
        <w:autoSpaceDE w:val="0"/>
        <w:autoSpaceDN w:val="0"/>
        <w:adjustRightInd w:val="0"/>
        <w:rPr>
          <w:sz w:val="22"/>
          <w:szCs w:val="22"/>
        </w:rPr>
      </w:pPr>
    </w:p>
    <w:p w14:paraId="2D65B339" w14:textId="77777777" w:rsidR="00E10737" w:rsidRPr="00DF77C5" w:rsidRDefault="00E10737" w:rsidP="00E10737">
      <w:pPr>
        <w:autoSpaceDE w:val="0"/>
        <w:autoSpaceDN w:val="0"/>
        <w:adjustRightInd w:val="0"/>
        <w:jc w:val="both"/>
        <w:rPr>
          <w:sz w:val="22"/>
          <w:szCs w:val="22"/>
        </w:rPr>
      </w:pPr>
      <w:r w:rsidRPr="00DF77C5">
        <w:rPr>
          <w:sz w:val="22"/>
          <w:szCs w:val="22"/>
        </w:rPr>
        <w:t>Cieľom tejto aktivity bude koordinované riadenie medzinárodného networkingu, ktorého výsledkom by mala byť zvýšená účasť všetkých typov slovenských výskumných inštitúcií – v medzinárodných výskumných konzorciách v doménach inteligentnej špecializácie RIS3 SK. Podujatia budú realizované aj na území SR – pričom pôjde o podporu všetkých typov podujatí (informačné dni, tzv. match-makingové podujatia) a súvisiacich hodnotiacich a analytických činností, ktorých cieľom bude zvýšiť účasť výskumných inštitúcií SR v ERA. Podporované budú aj podujatia organizované prostredníctvom aktivít styčnej kancelárie SR v Bruseli, pričom budú podporované networkingové podujatia, ktorých cieľom bude viac integrovať slovenské výskumné inštitúcie do konzorcií, ktoré majú dobré šance byť úspešnými v projektoch Horizontu 2020. Aktivita bude realizovaná prostredníctvom národného projektu.</w:t>
      </w:r>
    </w:p>
    <w:p w14:paraId="31995D29" w14:textId="77777777" w:rsidR="00E10737" w:rsidRDefault="00E10737" w:rsidP="00E10737">
      <w:pPr>
        <w:autoSpaceDE w:val="0"/>
        <w:autoSpaceDN w:val="0"/>
        <w:adjustRightInd w:val="0"/>
        <w:rPr>
          <w:sz w:val="22"/>
          <w:szCs w:val="22"/>
        </w:rPr>
      </w:pPr>
    </w:p>
    <w:p w14:paraId="6397C45C" w14:textId="77777777" w:rsidR="00E10737" w:rsidRPr="00DF77C5" w:rsidRDefault="00E10737" w:rsidP="00E10737">
      <w:pPr>
        <w:autoSpaceDE w:val="0"/>
        <w:autoSpaceDN w:val="0"/>
        <w:adjustRightInd w:val="0"/>
        <w:jc w:val="both"/>
        <w:rPr>
          <w:sz w:val="22"/>
          <w:szCs w:val="22"/>
        </w:rPr>
      </w:pPr>
      <w:r w:rsidRPr="00DF77C5">
        <w:rPr>
          <w:sz w:val="22"/>
          <w:szCs w:val="22"/>
        </w:rPr>
        <w:t>Podpora účasti v ostatných medzinárodných iniciatívach, ako napr. ERA-NET, Európske technologické platformy, EURAXESS</w:t>
      </w:r>
    </w:p>
    <w:p w14:paraId="5054EECA" w14:textId="77777777" w:rsidR="00E10737" w:rsidRDefault="00E10737" w:rsidP="00E10737">
      <w:pPr>
        <w:autoSpaceDE w:val="0"/>
        <w:autoSpaceDN w:val="0"/>
        <w:adjustRightInd w:val="0"/>
        <w:rPr>
          <w:sz w:val="22"/>
          <w:szCs w:val="22"/>
        </w:rPr>
      </w:pPr>
    </w:p>
    <w:p w14:paraId="65598E67" w14:textId="38014661" w:rsidR="00E10737" w:rsidRDefault="00E10737" w:rsidP="00E10737">
      <w:pPr>
        <w:autoSpaceDE w:val="0"/>
        <w:autoSpaceDN w:val="0"/>
        <w:adjustRightInd w:val="0"/>
        <w:jc w:val="both"/>
        <w:rPr>
          <w:sz w:val="22"/>
          <w:szCs w:val="22"/>
        </w:rPr>
      </w:pPr>
      <w:r w:rsidRPr="00DF77C5">
        <w:rPr>
          <w:sz w:val="22"/>
          <w:szCs w:val="22"/>
        </w:rPr>
        <w:t>Presný model synergického financovania v rámci ostatných iniciatív (mimo konkrétnych projektov, ktoré sú riešené v prvej aktivite tohto cieľa) bude v súlade s dokumentom EK „Synergies between European Structural and Investment Funds, Horizon 2020 and</w:t>
      </w:r>
      <w:r w:rsidR="002471F7">
        <w:rPr>
          <w:sz w:val="22"/>
          <w:szCs w:val="22"/>
        </w:rPr>
        <w:t xml:space="preserve"> other EU programmes related to </w:t>
      </w:r>
      <w:r w:rsidRPr="00DF77C5">
        <w:rPr>
          <w:sz w:val="22"/>
          <w:szCs w:val="22"/>
        </w:rPr>
        <w:t>innovation Guide for policy-designers and implementers“ na úrovni implementačných dokumentov OP</w:t>
      </w:r>
      <w:r w:rsidR="002471F7">
        <w:rPr>
          <w:sz w:val="22"/>
          <w:szCs w:val="22"/>
        </w:rPr>
        <w:t>I</w:t>
      </w:r>
      <w:r w:rsidRPr="00DF77C5">
        <w:rPr>
          <w:sz w:val="22"/>
          <w:szCs w:val="22"/>
        </w:rPr>
        <w:t>I</w:t>
      </w:r>
      <w:r w:rsidR="002471F7">
        <w:rPr>
          <w:sz w:val="22"/>
          <w:szCs w:val="22"/>
        </w:rPr>
        <w:t xml:space="preserve"> (časť VaI)</w:t>
      </w:r>
      <w:r w:rsidRPr="00DF77C5">
        <w:rPr>
          <w:sz w:val="22"/>
          <w:szCs w:val="22"/>
        </w:rPr>
        <w:t>.</w:t>
      </w:r>
    </w:p>
    <w:p w14:paraId="37B8E926" w14:textId="77777777" w:rsidR="00E10737" w:rsidRPr="00DF77C5" w:rsidRDefault="00E10737" w:rsidP="00E10737">
      <w:pPr>
        <w:autoSpaceDE w:val="0"/>
        <w:autoSpaceDN w:val="0"/>
        <w:adjustRightInd w:val="0"/>
        <w:rPr>
          <w:sz w:val="22"/>
          <w:szCs w:val="22"/>
        </w:rPr>
      </w:pPr>
    </w:p>
    <w:p w14:paraId="4BD52794" w14:textId="23935BA8" w:rsidR="00E10737" w:rsidRPr="00CF79E0" w:rsidRDefault="00E10737" w:rsidP="00E10737">
      <w:pPr>
        <w:autoSpaceDE w:val="0"/>
        <w:autoSpaceDN w:val="0"/>
        <w:adjustRightInd w:val="0"/>
        <w:rPr>
          <w:i/>
          <w:sz w:val="22"/>
          <w:szCs w:val="22"/>
        </w:rPr>
      </w:pPr>
      <w:r w:rsidRPr="00726573">
        <w:rPr>
          <w:i/>
          <w:sz w:val="22"/>
          <w:szCs w:val="22"/>
          <w:u w:val="single"/>
        </w:rPr>
        <w:t>Príklady aktivít pre špecifický cieľ 9.3</w:t>
      </w:r>
      <w:r w:rsidR="00726573">
        <w:rPr>
          <w:i/>
          <w:sz w:val="22"/>
          <w:szCs w:val="22"/>
        </w:rPr>
        <w:t>:</w:t>
      </w:r>
    </w:p>
    <w:p w14:paraId="4B5C2B43" w14:textId="77777777" w:rsidR="00E10737" w:rsidRDefault="00E10737" w:rsidP="00726573">
      <w:pPr>
        <w:autoSpaceDE w:val="0"/>
        <w:autoSpaceDN w:val="0"/>
        <w:adjustRightInd w:val="0"/>
        <w:spacing w:before="120"/>
        <w:jc w:val="both"/>
        <w:rPr>
          <w:sz w:val="22"/>
          <w:szCs w:val="22"/>
        </w:rPr>
      </w:pPr>
      <w:r w:rsidRPr="00DF77C5">
        <w:rPr>
          <w:sz w:val="22"/>
          <w:szCs w:val="22"/>
        </w:rPr>
        <w:t>Modernizácia a ďalší rozvoj infraštruktúry a technologického zázemia výskumných inštitúcií mimo podnikateľského sektora v doménach inteligentnej špecializácie RIS3 SK</w:t>
      </w:r>
    </w:p>
    <w:p w14:paraId="29F482A8"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lastRenderedPageBreak/>
        <w:t>podpora vysokokvalitných projektov zameraných na integráciu, optimalizáciu, modernizáciu a</w:t>
      </w:r>
      <w:r>
        <w:rPr>
          <w:sz w:val="22"/>
          <w:szCs w:val="22"/>
        </w:rPr>
        <w:t> </w:t>
      </w:r>
      <w:r w:rsidRPr="00DF77C5">
        <w:rPr>
          <w:sz w:val="22"/>
          <w:szCs w:val="22"/>
        </w:rPr>
        <w:t>ďalší rozvoj výskumnej infraštruktúry;</w:t>
      </w:r>
    </w:p>
    <w:p w14:paraId="24452E4A"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medzinárodnej vedecko-technickej spolupráce (napríklad teaming, twinning, ERA Chair - schválené, resp. „shortlisted“) a prepájania na výskumné infraštruktúry v rámci ERA.</w:t>
      </w:r>
    </w:p>
    <w:p w14:paraId="0D0D9CC3" w14:textId="77777777" w:rsidR="00E10737" w:rsidRPr="00DF77C5" w:rsidRDefault="00E10737" w:rsidP="005C5FCF">
      <w:pPr>
        <w:autoSpaceDE w:val="0"/>
        <w:autoSpaceDN w:val="0"/>
        <w:adjustRightInd w:val="0"/>
        <w:spacing w:before="180"/>
        <w:jc w:val="both"/>
        <w:rPr>
          <w:sz w:val="22"/>
          <w:szCs w:val="22"/>
        </w:rPr>
      </w:pPr>
      <w:r w:rsidRPr="00DF77C5">
        <w:rPr>
          <w:sz w:val="22"/>
          <w:szCs w:val="22"/>
        </w:rPr>
        <w:t>V rámci programového obdobia 2007 – 2013 bolo podporených niekoľko stoviek nasledovných typov projektov na podporu výskumných centier a výskumných infraštruktúr v rámci výskumných inštitúcií mimo podnikateľského sektora:</w:t>
      </w:r>
    </w:p>
    <w:p w14:paraId="5E438A14"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centrá excelentnosti (menšie projekty zamerané na modernizáciu individuálnych laboratórií);</w:t>
      </w:r>
    </w:p>
    <w:p w14:paraId="601505AB" w14:textId="287B3E05"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excelentné RIS3 tímy (výskumné centrá v menších výskumných inštitúciách mimo univerzitných vedeckých parkov a výskumných centier)</w:t>
      </w:r>
      <w:r w:rsidR="004C63A8">
        <w:rPr>
          <w:sz w:val="22"/>
          <w:szCs w:val="22"/>
        </w:rPr>
        <w:t>;</w:t>
      </w:r>
    </w:p>
    <w:p w14:paraId="21875A3F"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projekty podporujúce vzdelávaciu infraštruktúru univerzít a SAV;</w:t>
      </w:r>
    </w:p>
    <w:p w14:paraId="609DF6A8"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Slovenská infraštruktúra pre vysokovýkonné počítanie (ďalej len „SIVVP“) – celoslovenský projekt, ktorý koordinovala SAV;</w:t>
      </w:r>
    </w:p>
    <w:p w14:paraId="270C67B8"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univerzitné vedecké parky – koncentrovaný priestor (územie) vo fyzickej blízkosti vysokej školy alebo SAV (resp. v blízkosti ich výskumných pracovísk), v ktorom sú vytvorené podmienky excelentného VaV a zabezpečujúce interakciu s praxou;</w:t>
      </w:r>
    </w:p>
    <w:p w14:paraId="21F3CBC5"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výskumné centrá – menej komplexné, ako univerzitný vedecký park – virtuálnejšie združenie inštitúcií, ktoré sa priamo nenachádzajú fyzicky v úplnej blízkosti jednej k druhému – ako napr. skupinu špičkových laboratórií budovaných v konkrétnej vednej oblasti pre najlepšie výskumné inštitúcie.</w:t>
      </w:r>
    </w:p>
    <w:p w14:paraId="20DD1AD0" w14:textId="77777777" w:rsidR="00E10737" w:rsidRPr="00DF77C5" w:rsidRDefault="00E10737" w:rsidP="00E10737">
      <w:pPr>
        <w:autoSpaceDE w:val="0"/>
        <w:autoSpaceDN w:val="0"/>
        <w:adjustRightInd w:val="0"/>
        <w:rPr>
          <w:sz w:val="22"/>
          <w:szCs w:val="22"/>
        </w:rPr>
      </w:pPr>
      <w:r w:rsidRPr="00DF77C5">
        <w:rPr>
          <w:sz w:val="22"/>
          <w:szCs w:val="22"/>
        </w:rPr>
        <w:t xml:space="preserve"> </w:t>
      </w:r>
    </w:p>
    <w:p w14:paraId="5D5A53A9" w14:textId="1D79A9A1" w:rsidR="00E10737" w:rsidRPr="00DF77C5" w:rsidRDefault="00E10737" w:rsidP="00E10737">
      <w:pPr>
        <w:autoSpaceDE w:val="0"/>
        <w:autoSpaceDN w:val="0"/>
        <w:adjustRightInd w:val="0"/>
        <w:jc w:val="both"/>
        <w:rPr>
          <w:sz w:val="22"/>
          <w:szCs w:val="22"/>
        </w:rPr>
      </w:pPr>
      <w:r w:rsidRPr="00DF77C5">
        <w:rPr>
          <w:sz w:val="22"/>
          <w:szCs w:val="22"/>
        </w:rPr>
        <w:t xml:space="preserve">V rámci podporených projektov sa bude realizovať nevyhnutný upgrade a modernizácia vyššie uvedených typov výskumných centier/infraštruktúr podporených v rokoch 2007 – 2013, v ktorých je príslušná organizácia koordinátorom, resp. partnerom, ako aj vzdelávacej infraštruktúry/vybavenia výskumne orientovaných študijných programov pre potreby praxe. Vytvorenie novej infraštruktúry/nových výskumných centier bude možné v segmentoch, v ktorých neboli doposiaľ realizované žiadne investície do VaV, pokiaľ bude uvedená investícia v súlade s doménami inteligentnej špecializácie definovanými RIS3 SK a súčasne bude využívať komplementárne/synergické investície do výskumnej infraštruktúry zrealizované v programovom období 2007 – 2013, ak to bude vhodné a možné. Tento prístup zabráni ďalšej fragmentácii výskumného potenciálu SR, ako aj duplicitám vo vybavení novou infraštruktúrou. Táto aktivita sa bude realizovať v zmysle zásad </w:t>
      </w:r>
      <w:r w:rsidRPr="00FA1427">
        <w:rPr>
          <w:sz w:val="22"/>
          <w:szCs w:val="22"/>
        </w:rPr>
        <w:t xml:space="preserve">uvedených v prílohe č. </w:t>
      </w:r>
      <w:r w:rsidR="005C5FCF" w:rsidRPr="00FA1427">
        <w:rPr>
          <w:sz w:val="22"/>
          <w:szCs w:val="22"/>
        </w:rPr>
        <w:t>14</w:t>
      </w:r>
      <w:r w:rsidRPr="00DF77C5">
        <w:rPr>
          <w:sz w:val="22"/>
          <w:szCs w:val="22"/>
        </w:rPr>
        <w:t xml:space="preserve"> OP</w:t>
      </w:r>
      <w:r w:rsidR="003732B3">
        <w:rPr>
          <w:sz w:val="22"/>
          <w:szCs w:val="22"/>
        </w:rPr>
        <w:t>I</w:t>
      </w:r>
      <w:r w:rsidRPr="00DF77C5">
        <w:rPr>
          <w:sz w:val="22"/>
          <w:szCs w:val="22"/>
        </w:rPr>
        <w:t>I, ktorá predstavuje základ pre cestovnú mapu výskumných infraštruktúr.</w:t>
      </w:r>
    </w:p>
    <w:p w14:paraId="6D4859C7" w14:textId="53135A47" w:rsidR="00E10737" w:rsidRPr="00DF77C5" w:rsidRDefault="00E10737" w:rsidP="00E10737">
      <w:pPr>
        <w:autoSpaceDE w:val="0"/>
        <w:autoSpaceDN w:val="0"/>
        <w:adjustRightInd w:val="0"/>
        <w:spacing w:before="120"/>
        <w:jc w:val="both"/>
        <w:rPr>
          <w:sz w:val="22"/>
          <w:szCs w:val="22"/>
        </w:rPr>
      </w:pPr>
      <w:r w:rsidRPr="00DF77C5">
        <w:rPr>
          <w:sz w:val="22"/>
          <w:szCs w:val="22"/>
        </w:rPr>
        <w:t>Pre tento typ projektov bude využívané fázované predkladanie projektov a hodnotenie výskumnej stratégie zahraničnými expertmi pre zabezpečenie odborného posudku. Predloženie plnohodnotného projektu bude podmienené existenciou kvalitnej výskumnej stratégie (presný názov dokumentu bude určený v konkrétnej výzve) . Tá bude musieť vychádzať z toho, čo bolo v danej inštitúcii/v rámci danej infraštruktúry vybudované v rámci programového obdobia 2007 – 2013 a bude musieť jasne definovať potreby pre modernizáciu a optimalizáciu prioritnej infraštruktúry</w:t>
      </w:r>
      <w:r w:rsidR="00DE54AF">
        <w:rPr>
          <w:rStyle w:val="Odkaznapoznmkupodiarou"/>
          <w:sz w:val="22"/>
          <w:szCs w:val="22"/>
        </w:rPr>
        <w:footnoteReference w:id="78"/>
      </w:r>
      <w:r w:rsidRPr="00DF77C5">
        <w:rPr>
          <w:sz w:val="22"/>
          <w:szCs w:val="22"/>
        </w:rPr>
        <w:t xml:space="preserve"> danej inštitúcie/danej infraštruktúry v prípade SIVVP pre celé programové obdobie 2014 – 2020. Pri zohľadnení odborného posudku zahraničného experta bude možné vypracovať a predložiť plnohodnotný projekt, ktorý bude musieť byť v súlade s posudzovanou výskumnou stratégiou. Výnimku z toho postupu budú tvoriť projekty v rámci špecifickej podpory medzinárodnej spolupráce (napríklad teaming/twinning/ERA Chair a pod.) – ktoré už prešli posúdením zahraničnými expertami v rámci príslušných výziev programu Horizont 2020 (resp. v rámci pilotných výziev tohto typu aj v rámci 7. Rámcového programu EÚ pre výskum a vývoj) a preto zahraniční experti nebudú využívaní v rámci procesov v</w:t>
      </w:r>
      <w:r w:rsidR="004C63A8">
        <w:rPr>
          <w:sz w:val="22"/>
          <w:szCs w:val="22"/>
        </w:rPr>
        <w:t> </w:t>
      </w:r>
      <w:r w:rsidRPr="00DF77C5">
        <w:rPr>
          <w:sz w:val="22"/>
          <w:szCs w:val="22"/>
        </w:rPr>
        <w:t>OP</w:t>
      </w:r>
      <w:r w:rsidR="00EB7D93">
        <w:rPr>
          <w:sz w:val="22"/>
          <w:szCs w:val="22"/>
        </w:rPr>
        <w:t>I</w:t>
      </w:r>
      <w:r w:rsidRPr="00DF77C5">
        <w:rPr>
          <w:sz w:val="22"/>
          <w:szCs w:val="22"/>
        </w:rPr>
        <w:t xml:space="preserve">I </w:t>
      </w:r>
      <w:r w:rsidR="00EB7D93">
        <w:rPr>
          <w:sz w:val="22"/>
          <w:szCs w:val="22"/>
        </w:rPr>
        <w:t xml:space="preserve">(časť VaI) </w:t>
      </w:r>
      <w:r w:rsidRPr="00DF77C5">
        <w:rPr>
          <w:sz w:val="22"/>
          <w:szCs w:val="22"/>
        </w:rPr>
        <w:t>pri tomto type projektov.</w:t>
      </w:r>
    </w:p>
    <w:p w14:paraId="0BA909E7" w14:textId="77777777" w:rsidR="00E10737" w:rsidRPr="00DF77C5" w:rsidRDefault="00E10737" w:rsidP="00E10737">
      <w:pPr>
        <w:autoSpaceDE w:val="0"/>
        <w:autoSpaceDN w:val="0"/>
        <w:adjustRightInd w:val="0"/>
        <w:spacing w:before="120"/>
        <w:jc w:val="both"/>
        <w:rPr>
          <w:sz w:val="22"/>
          <w:szCs w:val="22"/>
        </w:rPr>
      </w:pPr>
      <w:r w:rsidRPr="00DF77C5">
        <w:rPr>
          <w:sz w:val="22"/>
          <w:szCs w:val="22"/>
        </w:rPr>
        <w:t>V rámci tohto typu projektov budú môcť byť oprávnenými prijímateľmi len inštitúcie štátneho, vysokoškolského, verejno-výskumného a neziskového sektora VaV. Podnikateľské subjekty, resp. ďalšie typy inštitúcií budú môcť vystupovať v pozícii partnerov projektov podporených v rámci tejto aktivity. Túto aktivitu bude možné realizovať aj formou národného projektu.</w:t>
      </w:r>
    </w:p>
    <w:p w14:paraId="6EED97E4" w14:textId="269F723E" w:rsidR="00E10737" w:rsidRPr="00DF77C5" w:rsidRDefault="00E10737" w:rsidP="00E10737">
      <w:pPr>
        <w:autoSpaceDE w:val="0"/>
        <w:autoSpaceDN w:val="0"/>
        <w:adjustRightInd w:val="0"/>
        <w:spacing w:before="120"/>
        <w:jc w:val="both"/>
        <w:rPr>
          <w:sz w:val="22"/>
          <w:szCs w:val="22"/>
        </w:rPr>
      </w:pPr>
      <w:r w:rsidRPr="00DF77C5">
        <w:rPr>
          <w:sz w:val="22"/>
          <w:szCs w:val="22"/>
        </w:rPr>
        <w:lastRenderedPageBreak/>
        <w:t>Podpora návratu špičkových slovenských vedcov pôsobiacich v zahraničí, resp. pritiahnutie zahraničných špičkových vedcov/resp. odborníkov z aplikačnej sfé</w:t>
      </w:r>
      <w:r w:rsidR="002471F7">
        <w:rPr>
          <w:sz w:val="22"/>
          <w:szCs w:val="22"/>
        </w:rPr>
        <w:t>ry pre dlhodobejšie pôsobenie v </w:t>
      </w:r>
      <w:r w:rsidRPr="00DF77C5">
        <w:rPr>
          <w:sz w:val="22"/>
          <w:szCs w:val="22"/>
        </w:rPr>
        <w:t>rámci slovenských inštitúcií VaV v doménach inteligentnej špecializácie RIS3 SK – možnosť kombinovať aj s Marie Skłodowska-Curie COFUND/ERA Chairs</w:t>
      </w:r>
    </w:p>
    <w:p w14:paraId="2BE8EFC7"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návratu kvalitných slovenských výskumníkov, resp. perspektívnych mladých slovenských vedeckých pracovníkov zo zahraničia;</w:t>
      </w:r>
    </w:p>
    <w:p w14:paraId="22437924" w14:textId="77777777" w:rsidR="00E10737" w:rsidRPr="00DF77C5" w:rsidRDefault="00E10737" w:rsidP="00E10737">
      <w:pPr>
        <w:pStyle w:val="Odsekzoznamu"/>
        <w:numPr>
          <w:ilvl w:val="0"/>
          <w:numId w:val="159"/>
        </w:numPr>
        <w:autoSpaceDE w:val="0"/>
        <w:autoSpaceDN w:val="0"/>
        <w:adjustRightInd w:val="0"/>
        <w:spacing w:before="120"/>
        <w:jc w:val="both"/>
        <w:rPr>
          <w:sz w:val="22"/>
          <w:szCs w:val="22"/>
        </w:rPr>
      </w:pPr>
      <w:r w:rsidRPr="00DF77C5">
        <w:rPr>
          <w:sz w:val="22"/>
          <w:szCs w:val="22"/>
        </w:rPr>
        <w:t>podpora účasti špičkových zahraničných výskumníkov, ktorí by mali pôsobiť v rámci konkrétnych výskumných projektových aktivít slovenskej výskumnej inštitúcie.</w:t>
      </w:r>
    </w:p>
    <w:p w14:paraId="118B175F" w14:textId="77777777" w:rsidR="00E10737" w:rsidRPr="00DF77C5" w:rsidRDefault="00E10737" w:rsidP="00E10737">
      <w:pPr>
        <w:autoSpaceDE w:val="0"/>
        <w:autoSpaceDN w:val="0"/>
        <w:adjustRightInd w:val="0"/>
        <w:spacing w:before="120"/>
        <w:jc w:val="both"/>
        <w:rPr>
          <w:sz w:val="22"/>
          <w:szCs w:val="22"/>
        </w:rPr>
      </w:pPr>
      <w:r w:rsidRPr="00DF77C5">
        <w:rPr>
          <w:sz w:val="22"/>
          <w:szCs w:val="22"/>
        </w:rPr>
        <w:t>V rámci tejto aktivity sa môžu financovať nevyhnutné prístroje/zariadenie, prípadne aj mzdové náklady, ktoré by mali vytvoriť dostatočne kvalitné zázemie a podmienky na prácu pre takýchto vedeckých pracovníkov. Súčasťou podporených projektov bude aj podmienka, aby takýto výskumníci mali vytvorený tím študentov, doktorandov a mladých vedeckých pracovníkov na kvalifikačnom stupni R1, R2, R3 v zmysle európskeho kvalifikačného rámca alebo skúsených výskumných pracovníkov s max. 15 rokmi výskumnej praxe od získania titulu z 2. Stupňa vysokoškolského vzdelávania, s ktorými bude vedec prichádzajúci zo zahraničia, pracovať na konkrétnej výskumnej úlohe.</w:t>
      </w:r>
    </w:p>
    <w:p w14:paraId="200C6152" w14:textId="3E7FC4EE" w:rsidR="00E10737" w:rsidRPr="00DF77C5" w:rsidRDefault="00E10737" w:rsidP="004C63A8">
      <w:pPr>
        <w:autoSpaceDE w:val="0"/>
        <w:autoSpaceDN w:val="0"/>
        <w:adjustRightInd w:val="0"/>
        <w:spacing w:before="120"/>
        <w:jc w:val="both"/>
        <w:rPr>
          <w:sz w:val="22"/>
          <w:szCs w:val="22"/>
        </w:rPr>
      </w:pPr>
      <w:r w:rsidRPr="00DF77C5">
        <w:rPr>
          <w:sz w:val="22"/>
          <w:szCs w:val="22"/>
        </w:rPr>
        <w:t xml:space="preserve">V rámci prioritnej osi </w:t>
      </w:r>
      <w:r>
        <w:rPr>
          <w:sz w:val="22"/>
          <w:szCs w:val="22"/>
        </w:rPr>
        <w:t>9</w:t>
      </w:r>
      <w:r w:rsidRPr="00DF77C5">
        <w:rPr>
          <w:sz w:val="22"/>
          <w:szCs w:val="22"/>
        </w:rPr>
        <w:t>, v investičnej priorite 1</w:t>
      </w:r>
      <w:r w:rsidR="004C63A8">
        <w:rPr>
          <w:sz w:val="22"/>
          <w:szCs w:val="22"/>
        </w:rPr>
        <w:t>a)</w:t>
      </w:r>
      <w:r w:rsidRPr="00DF77C5">
        <w:rPr>
          <w:sz w:val="22"/>
          <w:szCs w:val="22"/>
        </w:rPr>
        <w:t xml:space="preserve"> bude využitá aj schéma štátnej pomoci, resp. schémy štátnej pomoci, keďže v rámci plánovaných aktivít budú oprávnenými prijímateľmi, resp. oprávnenými partnermi aj subjekty, vykonávajúce hospodársku činnosť.</w:t>
      </w:r>
    </w:p>
    <w:p w14:paraId="15FE370C" w14:textId="7F5103F9" w:rsidR="00E10737" w:rsidRPr="00DF77C5" w:rsidRDefault="00E10737" w:rsidP="00E10737">
      <w:pPr>
        <w:autoSpaceDE w:val="0"/>
        <w:autoSpaceDN w:val="0"/>
        <w:adjustRightInd w:val="0"/>
        <w:spacing w:before="120"/>
        <w:jc w:val="both"/>
        <w:rPr>
          <w:sz w:val="22"/>
          <w:szCs w:val="22"/>
        </w:rPr>
      </w:pPr>
      <w:r w:rsidRPr="00DF77C5">
        <w:rPr>
          <w:sz w:val="22"/>
          <w:szCs w:val="22"/>
        </w:rPr>
        <w:t>V súlade s platnou legislatívou je zámerom umožniť zapojenie sa výskumno-vývojových kapacít z</w:t>
      </w:r>
      <w:r>
        <w:rPr>
          <w:sz w:val="22"/>
          <w:szCs w:val="22"/>
        </w:rPr>
        <w:t> </w:t>
      </w:r>
      <w:r w:rsidRPr="00DF77C5">
        <w:rPr>
          <w:sz w:val="22"/>
          <w:szCs w:val="22"/>
        </w:rPr>
        <w:t>BSK na úrovni časti operácie do aktivít, ktorých realizácia bude mať prínos pre oblasti mimo BSK</w:t>
      </w:r>
      <w:r w:rsidR="004D0303">
        <w:rPr>
          <w:rStyle w:val="Odkaznapoznmkupodiarou"/>
          <w:sz w:val="22"/>
          <w:szCs w:val="22"/>
        </w:rPr>
        <w:footnoteReference w:id="79"/>
      </w:r>
      <w:r w:rsidRPr="00DF77C5">
        <w:rPr>
          <w:sz w:val="22"/>
          <w:szCs w:val="22"/>
        </w:rPr>
        <w:t>. Cieľom je, aby partneri, ktorí majú výskumnú infraštruktúru v BSK, mohli túto infraštruktúru využívať pri riešení konkrétnych projektov.</w:t>
      </w:r>
    </w:p>
    <w:p w14:paraId="549279EF" w14:textId="77777777" w:rsidR="00E10737" w:rsidRPr="00DF77C5" w:rsidRDefault="00E10737" w:rsidP="00E10737">
      <w:pPr>
        <w:autoSpaceDE w:val="0"/>
        <w:autoSpaceDN w:val="0"/>
        <w:adjustRightInd w:val="0"/>
        <w:spacing w:before="120"/>
        <w:jc w:val="both"/>
        <w:rPr>
          <w:sz w:val="22"/>
          <w:szCs w:val="22"/>
        </w:rPr>
      </w:pPr>
      <w:r w:rsidRPr="00DF77C5">
        <w:rPr>
          <w:sz w:val="22"/>
          <w:szCs w:val="22"/>
        </w:rPr>
        <w:t>S orientáciou na zabezpečenie maximálnej synergie a komplementarity s Horizontom 2020 a</w:t>
      </w:r>
      <w:r>
        <w:rPr>
          <w:sz w:val="22"/>
          <w:szCs w:val="22"/>
        </w:rPr>
        <w:t> </w:t>
      </w:r>
      <w:r w:rsidRPr="00DF77C5">
        <w:rPr>
          <w:sz w:val="22"/>
          <w:szCs w:val="22"/>
        </w:rPr>
        <w:t xml:space="preserve">stimuláciu VaV aktivít v podnikateľskej sfére, bude snaha – po vzore Horizontu 2020 – uplatniť </w:t>
      </w:r>
      <w:r>
        <w:rPr>
          <w:sz w:val="22"/>
          <w:szCs w:val="22"/>
        </w:rPr>
        <w:t>v </w:t>
      </w:r>
      <w:r w:rsidRPr="00DF77C5">
        <w:rPr>
          <w:sz w:val="22"/>
          <w:szCs w:val="22"/>
        </w:rPr>
        <w:t>maximálnej možnej miere rovnaké miery financovania pre všetky zúčastnené subjekty v rozsahu definovanom príslušnou legislatívou EÚ.</w:t>
      </w:r>
    </w:p>
    <w:p w14:paraId="125CB6F8" w14:textId="77777777" w:rsidR="00E10737" w:rsidRPr="00DF77C5" w:rsidRDefault="00E10737" w:rsidP="00E10737">
      <w:pPr>
        <w:autoSpaceDE w:val="0"/>
        <w:autoSpaceDN w:val="0"/>
        <w:adjustRightInd w:val="0"/>
        <w:rPr>
          <w:sz w:val="22"/>
          <w:szCs w:val="22"/>
        </w:rPr>
      </w:pPr>
    </w:p>
    <w:p w14:paraId="09E40637" w14:textId="7298E5E6" w:rsidR="00E10737" w:rsidRDefault="00E10737" w:rsidP="00E10737">
      <w:pPr>
        <w:autoSpaceDE w:val="0"/>
        <w:autoSpaceDN w:val="0"/>
        <w:adjustRightInd w:val="0"/>
        <w:rPr>
          <w:sz w:val="22"/>
          <w:szCs w:val="22"/>
        </w:rPr>
      </w:pPr>
      <w:r w:rsidRPr="00DF77C5">
        <w:rPr>
          <w:sz w:val="22"/>
          <w:szCs w:val="22"/>
        </w:rPr>
        <w:t>Oprávnení prijímatelia</w:t>
      </w:r>
      <w:r w:rsidR="002471F7">
        <w:rPr>
          <w:rStyle w:val="Odkaznapoznmkupodiarou"/>
          <w:sz w:val="22"/>
          <w:szCs w:val="22"/>
        </w:rPr>
        <w:footnoteReference w:id="80"/>
      </w:r>
      <w:r w:rsidRPr="00DF77C5">
        <w:rPr>
          <w:sz w:val="22"/>
          <w:szCs w:val="22"/>
        </w:rPr>
        <w:t>, cieľové skupiny a cieľové územie v rámci investičnej priority 1</w:t>
      </w:r>
      <w:r w:rsidR="002F6CE8">
        <w:rPr>
          <w:sz w:val="22"/>
          <w:szCs w:val="22"/>
        </w:rPr>
        <w:t>a)</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29D5B23F" w14:textId="77777777" w:rsidTr="004179DE">
        <w:trPr>
          <w:trHeight w:val="284"/>
          <w:jc w:val="center"/>
        </w:trPr>
        <w:tc>
          <w:tcPr>
            <w:tcW w:w="3289" w:type="dxa"/>
            <w:shd w:val="clear" w:color="auto" w:fill="DBE5F1" w:themeFill="accent1" w:themeFillTint="33"/>
            <w:vAlign w:val="center"/>
          </w:tcPr>
          <w:p w14:paraId="0BCF0F5A"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218C98FC" w14:textId="77777777" w:rsidR="00E10737" w:rsidRDefault="00E10737" w:rsidP="00E10737">
            <w:pPr>
              <w:pStyle w:val="Odsekzoznamu"/>
              <w:numPr>
                <w:ilvl w:val="0"/>
                <w:numId w:val="27"/>
              </w:numPr>
              <w:autoSpaceDE w:val="0"/>
              <w:autoSpaceDN w:val="0"/>
              <w:adjustRightInd w:val="0"/>
              <w:ind w:left="284" w:hanging="284"/>
              <w:rPr>
                <w:sz w:val="22"/>
                <w:szCs w:val="22"/>
              </w:rPr>
            </w:pPr>
            <w:r w:rsidRPr="00614038">
              <w:rPr>
                <w:sz w:val="22"/>
                <w:szCs w:val="22"/>
              </w:rPr>
              <w:t>Všetky typy výskumných inštitúcií – pri rešpektovaní pravidiel štátnej pomoci – ako aj najširšia verejnosť</w:t>
            </w:r>
          </w:p>
        </w:tc>
      </w:tr>
      <w:tr w:rsidR="00E10737" w14:paraId="2FD9CF70" w14:textId="77777777" w:rsidTr="004179DE">
        <w:trPr>
          <w:trHeight w:val="284"/>
          <w:jc w:val="center"/>
        </w:trPr>
        <w:tc>
          <w:tcPr>
            <w:tcW w:w="3289" w:type="dxa"/>
            <w:shd w:val="clear" w:color="auto" w:fill="DBE5F1" w:themeFill="accent1" w:themeFillTint="33"/>
            <w:vAlign w:val="center"/>
          </w:tcPr>
          <w:p w14:paraId="0623E54B"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2A202FE3"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Menej rozvinuté regióny</w:t>
            </w:r>
          </w:p>
        </w:tc>
      </w:tr>
      <w:tr w:rsidR="00E10737" w14:paraId="5CD60A38" w14:textId="77777777" w:rsidTr="004179DE">
        <w:trPr>
          <w:trHeight w:val="284"/>
          <w:jc w:val="center"/>
        </w:trPr>
        <w:tc>
          <w:tcPr>
            <w:tcW w:w="3289" w:type="dxa"/>
            <w:shd w:val="clear" w:color="auto" w:fill="DBE5F1" w:themeFill="accent1" w:themeFillTint="33"/>
            <w:vAlign w:val="center"/>
          </w:tcPr>
          <w:p w14:paraId="51F7C976"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29F8A28A"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CVTI SR (v prípade národných projektov)</w:t>
            </w:r>
          </w:p>
          <w:p w14:paraId="42804679"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4E1C6E97"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33CB8081" w14:textId="305DC0A2"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bookmarkStart w:id="92" w:name="_Ref22306225"/>
            <w:r w:rsidR="00EF474C">
              <w:rPr>
                <w:rStyle w:val="Odkaznapoznmkupodiarou"/>
                <w:sz w:val="22"/>
                <w:szCs w:val="22"/>
              </w:rPr>
              <w:footnoteReference w:id="81"/>
            </w:r>
            <w:bookmarkEnd w:id="92"/>
            <w:r>
              <w:rPr>
                <w:sz w:val="22"/>
                <w:szCs w:val="22"/>
              </w:rPr>
              <w:t>,</w:t>
            </w:r>
          </w:p>
          <w:p w14:paraId="210DB30D"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259AB990"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3BCD99DC" w14:textId="77777777" w:rsidR="00E10737" w:rsidRDefault="00E10737" w:rsidP="004179DE">
            <w:pPr>
              <w:pStyle w:val="Odsekzoznamu"/>
              <w:autoSpaceDE w:val="0"/>
              <w:autoSpaceDN w:val="0"/>
              <w:adjustRightInd w:val="0"/>
              <w:ind w:left="290"/>
              <w:rPr>
                <w:sz w:val="22"/>
                <w:szCs w:val="22"/>
              </w:rPr>
            </w:pPr>
            <w:r>
              <w:rPr>
                <w:sz w:val="22"/>
                <w:szCs w:val="22"/>
              </w:rPr>
              <w:t>- podnikateľský sektor.</w:t>
            </w:r>
          </w:p>
          <w:p w14:paraId="599470E0" w14:textId="77777777" w:rsidR="00E10737"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p w14:paraId="2EBB270E" w14:textId="77777777" w:rsidR="00E10737" w:rsidRPr="00F74ECA"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Výskumné organizácie z členských krajín EÚ</w:t>
            </w:r>
          </w:p>
        </w:tc>
      </w:tr>
    </w:tbl>
    <w:p w14:paraId="1A52E0C9" w14:textId="77777777" w:rsidR="00E10737" w:rsidRDefault="00E10737" w:rsidP="00E10737">
      <w:pPr>
        <w:autoSpaceDE w:val="0"/>
        <w:autoSpaceDN w:val="0"/>
        <w:adjustRightInd w:val="0"/>
        <w:rPr>
          <w:sz w:val="22"/>
          <w:szCs w:val="22"/>
        </w:rPr>
      </w:pPr>
    </w:p>
    <w:p w14:paraId="78863BB5" w14:textId="63C64D36" w:rsidR="00E10737" w:rsidRPr="00F74ECA" w:rsidRDefault="00E10737" w:rsidP="00E10737">
      <w:pPr>
        <w:tabs>
          <w:tab w:val="left" w:pos="540"/>
        </w:tabs>
        <w:jc w:val="both"/>
        <w:rPr>
          <w:sz w:val="22"/>
          <w:szCs w:val="22"/>
        </w:rPr>
      </w:pPr>
      <w:r w:rsidRPr="00F74ECA">
        <w:rPr>
          <w:sz w:val="22"/>
          <w:szCs w:val="22"/>
        </w:rPr>
        <w:t>V projektoch podporujúcich synergie s Horizontom 2020 bude rozsah oprávnených prijímateľov totožný s rozsahom oprávnených prijímateľov z Horizontu 2020 (t.</w:t>
      </w:r>
      <w:r w:rsidR="002471F7">
        <w:rPr>
          <w:sz w:val="22"/>
          <w:szCs w:val="22"/>
        </w:rPr>
        <w:t> </w:t>
      </w:r>
      <w:r w:rsidRPr="00F74ECA">
        <w:rPr>
          <w:sz w:val="22"/>
          <w:szCs w:val="22"/>
        </w:rPr>
        <w:t>j. bude možná výnimka z</w:t>
      </w:r>
      <w:r w:rsidR="002471F7">
        <w:rPr>
          <w:sz w:val="22"/>
          <w:szCs w:val="22"/>
        </w:rPr>
        <w:t> </w:t>
      </w:r>
      <w:r w:rsidRPr="00F74ECA">
        <w:rPr>
          <w:sz w:val="22"/>
          <w:szCs w:val="22"/>
        </w:rPr>
        <w:t xml:space="preserve">podrobného popisu oprávnených prijímateľov </w:t>
      </w:r>
      <w:r w:rsidRPr="009D3367">
        <w:rPr>
          <w:sz w:val="22"/>
          <w:szCs w:val="22"/>
        </w:rPr>
        <w:t xml:space="preserve">v </w:t>
      </w:r>
      <w:r w:rsidRPr="0095656C">
        <w:rPr>
          <w:sz w:val="22"/>
          <w:szCs w:val="22"/>
        </w:rPr>
        <w:t xml:space="preserve">prílohe č. </w:t>
      </w:r>
      <w:r w:rsidR="009D3367" w:rsidRPr="0095656C">
        <w:rPr>
          <w:sz w:val="22"/>
          <w:szCs w:val="22"/>
        </w:rPr>
        <w:t>10</w:t>
      </w:r>
      <w:r w:rsidRPr="00F74ECA">
        <w:rPr>
          <w:sz w:val="22"/>
          <w:szCs w:val="22"/>
        </w:rPr>
        <w:t>), aby sa v dôsledku administratívneho obmedzenia nestalo, že bude z podpory vylúčený projekt, ktorý by v opačnom prípade bol financovaný z</w:t>
      </w:r>
      <w:r w:rsidR="002471F7">
        <w:rPr>
          <w:sz w:val="22"/>
          <w:szCs w:val="22"/>
        </w:rPr>
        <w:t> </w:t>
      </w:r>
      <w:r w:rsidRPr="00F74ECA">
        <w:rPr>
          <w:sz w:val="22"/>
          <w:szCs w:val="22"/>
        </w:rPr>
        <w:t>OP</w:t>
      </w:r>
      <w:r w:rsidR="002471F7">
        <w:rPr>
          <w:sz w:val="22"/>
          <w:szCs w:val="22"/>
        </w:rPr>
        <w:t>II (časť</w:t>
      </w:r>
      <w:r w:rsidRPr="00F74ECA">
        <w:rPr>
          <w:sz w:val="22"/>
          <w:szCs w:val="22"/>
        </w:rPr>
        <w:t xml:space="preserve"> VaI</w:t>
      </w:r>
      <w:r w:rsidR="002471F7">
        <w:rPr>
          <w:sz w:val="22"/>
          <w:szCs w:val="22"/>
        </w:rPr>
        <w:t>)</w:t>
      </w:r>
      <w:r w:rsidRPr="00F74ECA">
        <w:rPr>
          <w:sz w:val="22"/>
          <w:szCs w:val="22"/>
        </w:rPr>
        <w:t>.</w:t>
      </w:r>
    </w:p>
    <w:p w14:paraId="50AD93E7" w14:textId="77777777" w:rsidR="00E10737" w:rsidRPr="00F74ECA" w:rsidRDefault="00E10737" w:rsidP="00351D17">
      <w:pPr>
        <w:tabs>
          <w:tab w:val="left" w:pos="540"/>
        </w:tabs>
        <w:spacing w:before="120"/>
        <w:jc w:val="both"/>
        <w:rPr>
          <w:sz w:val="22"/>
          <w:szCs w:val="22"/>
        </w:rPr>
      </w:pPr>
      <w:r w:rsidRPr="00F74ECA">
        <w:rPr>
          <w:sz w:val="22"/>
          <w:szCs w:val="22"/>
        </w:rPr>
        <w:t>V rámci aktivít uplatňovaný inštitút partnerstva, v ktorom každá z participujúcich inštitúcií v projekte má pridelené konkrétne úlohy aj finančné prostriedky.</w:t>
      </w:r>
    </w:p>
    <w:p w14:paraId="2E0FD637" w14:textId="04DBC1E6" w:rsidR="00E10737" w:rsidRDefault="00E10737" w:rsidP="00351D17">
      <w:pPr>
        <w:tabs>
          <w:tab w:val="left" w:pos="540"/>
        </w:tabs>
        <w:spacing w:before="120"/>
        <w:jc w:val="both"/>
        <w:rPr>
          <w:sz w:val="22"/>
          <w:szCs w:val="22"/>
        </w:rPr>
      </w:pPr>
      <w:r w:rsidRPr="00F74ECA">
        <w:rPr>
          <w:sz w:val="22"/>
          <w:szCs w:val="22"/>
        </w:rPr>
        <w:lastRenderedPageBreak/>
        <w:t xml:space="preserve">V rámci prioritnej osi </w:t>
      </w:r>
      <w:r w:rsidRPr="00351D17">
        <w:rPr>
          <w:sz w:val="22"/>
          <w:szCs w:val="22"/>
        </w:rPr>
        <w:t>9</w:t>
      </w:r>
      <w:r w:rsidRPr="002471F7">
        <w:rPr>
          <w:sz w:val="22"/>
          <w:szCs w:val="22"/>
        </w:rPr>
        <w:t>,</w:t>
      </w:r>
      <w:r w:rsidRPr="00F74ECA">
        <w:rPr>
          <w:sz w:val="22"/>
          <w:szCs w:val="22"/>
        </w:rPr>
        <w:t xml:space="preserve"> v investičnej priorite 1</w:t>
      </w:r>
      <w:r w:rsidR="002F6CE8">
        <w:rPr>
          <w:sz w:val="22"/>
          <w:szCs w:val="22"/>
        </w:rPr>
        <w:t>a)</w:t>
      </w:r>
      <w:r w:rsidRPr="00F74ECA">
        <w:rPr>
          <w:sz w:val="22"/>
          <w:szCs w:val="22"/>
        </w:rPr>
        <w:t xml:space="preserve"> nebude výskumným inštitúciám poskytovaný finančný príspevok na IKT infraštruktúru, ktorá bude dostupná v CVTI SR. Uvedené platí pre prípady, v ktorých bude CVTI SR schopné (kapacitne/legislatívne) pokryť potreby výskumných inštitúcií.</w:t>
      </w:r>
    </w:p>
    <w:p w14:paraId="3099D8E5" w14:textId="77777777" w:rsidR="00E10737" w:rsidRDefault="00E10737" w:rsidP="00E10737">
      <w:pPr>
        <w:autoSpaceDE w:val="0"/>
        <w:autoSpaceDN w:val="0"/>
        <w:adjustRightInd w:val="0"/>
        <w:rPr>
          <w:sz w:val="22"/>
          <w:szCs w:val="22"/>
        </w:rPr>
      </w:pPr>
    </w:p>
    <w:p w14:paraId="192285A9" w14:textId="77777777" w:rsidR="00E10737" w:rsidRDefault="00E10737" w:rsidP="00E10737">
      <w:pPr>
        <w:pStyle w:val="Nadpis4"/>
        <w:tabs>
          <w:tab w:val="clear" w:pos="709"/>
          <w:tab w:val="clear" w:pos="864"/>
        </w:tabs>
        <w:ind w:left="851" w:hanging="851"/>
      </w:pPr>
      <w:r>
        <w:t>Hlavné princípy výberu projektov</w:t>
      </w:r>
    </w:p>
    <w:p w14:paraId="5C6E6E46" w14:textId="77777777" w:rsidR="00E10737" w:rsidRPr="00F74ECA" w:rsidRDefault="00E10737" w:rsidP="00E10737">
      <w:pPr>
        <w:tabs>
          <w:tab w:val="left" w:pos="540"/>
        </w:tabs>
        <w:jc w:val="both"/>
        <w:rPr>
          <w:sz w:val="22"/>
        </w:rPr>
      </w:pPr>
      <w:r w:rsidRPr="00F74ECA">
        <w:rPr>
          <w:sz w:val="22"/>
        </w:rPr>
        <w:t>Kľúčovou úlohou výberu projektov je zadefinovanie jasných a objektívnych kritérií výberu operácií umožňujúcich objektívne posúdiť a vyhodnotiť mieru prínosu projektu k naplneniu cieľov a výsledkov OP.</w:t>
      </w:r>
    </w:p>
    <w:p w14:paraId="13895105" w14:textId="77777777" w:rsidR="00E10737" w:rsidRPr="00F74ECA" w:rsidRDefault="00E10737" w:rsidP="00351D17">
      <w:pPr>
        <w:tabs>
          <w:tab w:val="left" w:pos="540"/>
        </w:tabs>
        <w:spacing w:before="120"/>
        <w:jc w:val="both"/>
        <w:rPr>
          <w:sz w:val="22"/>
        </w:rPr>
      </w:pPr>
      <w:r w:rsidRPr="00F74ECA">
        <w:rPr>
          <w:sz w:val="22"/>
        </w:rPr>
        <w:t>Vo vzťahu k výzvam na predkladanie žiadostí o príspevok budú zohľadnené najmä nasledujúce všeobecné zásady výberu projektov pre tematický cieľ 1:</w:t>
      </w:r>
    </w:p>
    <w:p w14:paraId="15F5DB46" w14:textId="77777777" w:rsidR="00E10737" w:rsidRPr="00F74ECA" w:rsidRDefault="00E10737" w:rsidP="00E10737">
      <w:pPr>
        <w:tabs>
          <w:tab w:val="left" w:pos="540"/>
        </w:tabs>
        <w:jc w:val="both"/>
        <w:rPr>
          <w:sz w:val="22"/>
        </w:rPr>
      </w:pPr>
      <w:r w:rsidRPr="00F74ECA">
        <w:rPr>
          <w:sz w:val="22"/>
        </w:rPr>
        <w:t>-</w:t>
      </w:r>
      <w:r w:rsidRPr="00F74ECA">
        <w:rPr>
          <w:sz w:val="22"/>
        </w:rPr>
        <w:tab/>
        <w:t>využitie možnosti vyhlasovania výziev na predkladanie projektových zámerov pri vybraných výzvach predpokladajúcich veľký záujem verejnosti a/alebo pri výzvach, kde bude zavedenie tohto systému znamenať zníženie administratívnej a finančnej náročnosti pre potenciálnych žiadateľov, a to na báze ,,projektový zámer – žiadosť o príspevok“, s cieľom zvýšiť kvalitu predkladaných projektov, znížiť administratívne a finančné nároky spojené s predkladaním kompletnej žiadosti o príspevok, vrátane obmedzenia počtu neúspešných projektov iba z dôvodov nedostatočného množstva finančných prostriedkov vyčlenených na výzvu. Výzva na predkladanie zámerov takto zabezpečí, že poskytovateľ pomoci bude môcť vo výzve na predkladanie žiadostí o príspevok vyčleniť zodpovedajúcu alokáciu vzhľadom na aktuálne možnosti OP a dopyt po pomoci prejavený na základe prvého stupňa výberu;</w:t>
      </w:r>
    </w:p>
    <w:p w14:paraId="13E9D796" w14:textId="77777777" w:rsidR="00E10737" w:rsidRPr="00F74ECA" w:rsidRDefault="00E10737" w:rsidP="00E10737">
      <w:pPr>
        <w:tabs>
          <w:tab w:val="left" w:pos="540"/>
        </w:tabs>
        <w:jc w:val="both"/>
        <w:rPr>
          <w:sz w:val="22"/>
        </w:rPr>
      </w:pPr>
      <w:r w:rsidRPr="00F74ECA">
        <w:rPr>
          <w:sz w:val="22"/>
        </w:rPr>
        <w:t>-</w:t>
      </w:r>
      <w:r w:rsidRPr="00F74ECA">
        <w:rPr>
          <w:sz w:val="22"/>
        </w:rPr>
        <w:tab/>
        <w:t>využitie zahraničných expertov pri dvojfázovej príprave žiadostí o NFP, kde zahraniční experti vypracujú odporúčania na základe výskumnej stratégie pripravovanej žiadosti o NFP a tieto sa zapracujú do finálnej žiadosti o NFP,</w:t>
      </w:r>
    </w:p>
    <w:p w14:paraId="0D005017" w14:textId="77777777" w:rsidR="00E10737" w:rsidRPr="00F74ECA" w:rsidRDefault="00E10737" w:rsidP="00E10737">
      <w:pPr>
        <w:tabs>
          <w:tab w:val="left" w:pos="540"/>
        </w:tabs>
        <w:jc w:val="both"/>
        <w:rPr>
          <w:sz w:val="22"/>
        </w:rPr>
      </w:pPr>
      <w:r w:rsidRPr="00F74ECA">
        <w:rPr>
          <w:sz w:val="22"/>
        </w:rPr>
        <w:t>-</w:t>
      </w:r>
      <w:r w:rsidRPr="00F74ECA">
        <w:rPr>
          <w:sz w:val="22"/>
        </w:rPr>
        <w:tab/>
        <w:t>v prípade projektov podporených z iných nástrojov podpory EÚ bude fázované hodnotenie zabezpečené v rámci hodnotenia projektov predložených a schválených v rámci výzvy z nástroja podpory EÚ (napr. Horizont 2020);</w:t>
      </w:r>
    </w:p>
    <w:p w14:paraId="600D377A" w14:textId="77777777" w:rsidR="00E10737" w:rsidRPr="00F74ECA" w:rsidRDefault="00E10737" w:rsidP="00E10737">
      <w:pPr>
        <w:tabs>
          <w:tab w:val="left" w:pos="540"/>
        </w:tabs>
        <w:jc w:val="both"/>
        <w:rPr>
          <w:sz w:val="22"/>
        </w:rPr>
      </w:pPr>
      <w:r w:rsidRPr="00F74ECA">
        <w:rPr>
          <w:sz w:val="22"/>
        </w:rPr>
        <w:t>-</w:t>
      </w:r>
      <w:r w:rsidRPr="00F74ECA">
        <w:rPr>
          <w:sz w:val="22"/>
        </w:rPr>
        <w:tab/>
        <w:t>nastavenie transparentných a objektívnych podmienok, k</w:t>
      </w:r>
      <w:r>
        <w:rPr>
          <w:sz w:val="22"/>
        </w:rPr>
        <w:t>torých overenie je potrebné pre </w:t>
      </w:r>
      <w:r w:rsidRPr="00F74ECA">
        <w:rPr>
          <w:sz w:val="22"/>
        </w:rPr>
        <w:t>financovanie národných projektov, spolu so zvýšením dôrazu na kvalitnú prípravu takýchto projektov;</w:t>
      </w:r>
    </w:p>
    <w:p w14:paraId="76163B34" w14:textId="2275E4E8" w:rsidR="00E10737" w:rsidRPr="00F74ECA" w:rsidRDefault="00E10737" w:rsidP="00E10737">
      <w:pPr>
        <w:tabs>
          <w:tab w:val="left" w:pos="540"/>
        </w:tabs>
        <w:jc w:val="both"/>
        <w:rPr>
          <w:sz w:val="22"/>
        </w:rPr>
      </w:pPr>
      <w:r w:rsidRPr="00F74ECA">
        <w:rPr>
          <w:sz w:val="22"/>
        </w:rPr>
        <w:t>-</w:t>
      </w:r>
      <w:r w:rsidRPr="00F74ECA">
        <w:rPr>
          <w:sz w:val="22"/>
        </w:rPr>
        <w:tab/>
        <w:t>podporované budú projekty výhradne prispievajúce k pl</w:t>
      </w:r>
      <w:r>
        <w:rPr>
          <w:sz w:val="22"/>
        </w:rPr>
        <w:t>neniu cieľov RIS3 SK, pričom v </w:t>
      </w:r>
      <w:r w:rsidRPr="00F74ECA">
        <w:rPr>
          <w:sz w:val="22"/>
        </w:rPr>
        <w:t>prípade horizontálnych opatrení na rozvoj výskumného a/alebo inovačného systému a opatrení relevantných nástrojov návratnej pomoci budú prioritne podporované projekty, k</w:t>
      </w:r>
      <w:r>
        <w:rPr>
          <w:sz w:val="22"/>
        </w:rPr>
        <w:t>toré prispievajú k </w:t>
      </w:r>
      <w:r w:rsidRPr="00F74ECA">
        <w:rPr>
          <w:sz w:val="22"/>
        </w:rPr>
        <w:t>plneniu cieľov RIS3 SK;</w:t>
      </w:r>
    </w:p>
    <w:p w14:paraId="4DEA2BB5" w14:textId="6C2A7425" w:rsidR="00E10737" w:rsidRPr="00F74ECA" w:rsidRDefault="00E10737" w:rsidP="00E10737">
      <w:pPr>
        <w:tabs>
          <w:tab w:val="left" w:pos="540"/>
        </w:tabs>
        <w:jc w:val="both"/>
        <w:rPr>
          <w:sz w:val="22"/>
        </w:rPr>
      </w:pPr>
      <w:r w:rsidRPr="00F74ECA">
        <w:rPr>
          <w:sz w:val="22"/>
        </w:rPr>
        <w:t>-</w:t>
      </w:r>
      <w:r w:rsidRPr="00F74ECA">
        <w:rPr>
          <w:sz w:val="22"/>
        </w:rPr>
        <w:tab/>
        <w:t>dôraz bude kladený na kvalitu projektu, t. j. odborné posúdenie stupňa riešenej výskumno-vývojovej alebo inovačnej infraštruktúry/aktivity</w:t>
      </w:r>
      <w:r w:rsidR="00447E23">
        <w:rPr>
          <w:rStyle w:val="Odkaznapoznmkupodiarou"/>
          <w:sz w:val="22"/>
        </w:rPr>
        <w:footnoteReference w:id="82"/>
      </w:r>
      <w:r w:rsidRPr="00F74ECA">
        <w:rPr>
          <w:sz w:val="22"/>
        </w:rPr>
        <w:t xml:space="preserve"> s posúdením pote</w:t>
      </w:r>
      <w:r>
        <w:rPr>
          <w:sz w:val="22"/>
        </w:rPr>
        <w:t>nciálneho príspevku projektu na </w:t>
      </w:r>
      <w:r w:rsidRPr="00F74ECA">
        <w:rPr>
          <w:sz w:val="22"/>
        </w:rPr>
        <w:t>zlepšenie konkurencieschopnosti podnikov v regionálnom, ná</w:t>
      </w:r>
      <w:r>
        <w:rPr>
          <w:sz w:val="22"/>
        </w:rPr>
        <w:t>rodnom a európskom priestore, a </w:t>
      </w:r>
      <w:r w:rsidRPr="00F74ECA">
        <w:rPr>
          <w:sz w:val="22"/>
        </w:rPr>
        <w:t>pravdepodobnosti dosiahnutia stanovených cieľov;</w:t>
      </w:r>
    </w:p>
    <w:p w14:paraId="2B9B954C" w14:textId="77777777" w:rsidR="00E10737" w:rsidRPr="00F74ECA" w:rsidRDefault="00E10737" w:rsidP="00E10737">
      <w:pPr>
        <w:tabs>
          <w:tab w:val="left" w:pos="540"/>
        </w:tabs>
        <w:jc w:val="both"/>
        <w:rPr>
          <w:sz w:val="22"/>
        </w:rPr>
      </w:pPr>
      <w:r w:rsidRPr="00F74ECA">
        <w:rPr>
          <w:sz w:val="22"/>
        </w:rPr>
        <w:t>-</w:t>
      </w:r>
      <w:r w:rsidRPr="00F74ECA">
        <w:rPr>
          <w:sz w:val="22"/>
        </w:rPr>
        <w:tab/>
        <w:t>v prípade podpory veľkých podnikov z fondov, riadiaci orgán zabezpečí, že finančný príspevok z fondov nebude mať vplyv na zníženie zamestnanosti v rámci Únie;</w:t>
      </w:r>
    </w:p>
    <w:p w14:paraId="0ABB5696" w14:textId="52541FC1" w:rsidR="00E10737" w:rsidRPr="00F74ECA" w:rsidRDefault="00E10737" w:rsidP="00E10737">
      <w:pPr>
        <w:tabs>
          <w:tab w:val="left" w:pos="540"/>
        </w:tabs>
        <w:jc w:val="both"/>
        <w:rPr>
          <w:sz w:val="22"/>
        </w:rPr>
      </w:pPr>
      <w:r w:rsidRPr="00F74ECA">
        <w:rPr>
          <w:sz w:val="22"/>
        </w:rPr>
        <w:t>-</w:t>
      </w:r>
      <w:r w:rsidRPr="00F74ECA">
        <w:rPr>
          <w:sz w:val="22"/>
        </w:rPr>
        <w:tab/>
        <w:t>v prípade obnovy budov budú podporované projekty pres</w:t>
      </w:r>
      <w:r>
        <w:rPr>
          <w:sz w:val="22"/>
        </w:rPr>
        <w:t>ahujúce minimálne požiadavky na </w:t>
      </w:r>
      <w:r w:rsidRPr="00F74ECA">
        <w:rPr>
          <w:sz w:val="22"/>
        </w:rPr>
        <w:t>energetickú hospodárnosť, definované v rámci smernice o energetickej hospodárnosti budov</w:t>
      </w:r>
      <w:r w:rsidR="00447E23">
        <w:rPr>
          <w:rStyle w:val="Odkaznapoznmkupodiarou"/>
          <w:sz w:val="22"/>
        </w:rPr>
        <w:footnoteReference w:id="83"/>
      </w:r>
      <w:r w:rsidRPr="00F74ECA">
        <w:rPr>
          <w:sz w:val="22"/>
        </w:rPr>
        <w:t>, ktorá bola transponovaná do slovenskej legislatívy prostredníctvom právneho predpisu - zákona č.</w:t>
      </w:r>
      <w:r>
        <w:rPr>
          <w:sz w:val="22"/>
        </w:rPr>
        <w:t> </w:t>
      </w:r>
      <w:r w:rsidRPr="00F74ECA">
        <w:rPr>
          <w:sz w:val="22"/>
        </w:rPr>
        <w:t xml:space="preserve">555/2005 Z. z. o energetickej hospodárnosti budov a o zmene </w:t>
      </w:r>
      <w:r>
        <w:rPr>
          <w:sz w:val="22"/>
        </w:rPr>
        <w:t>a doplnení niektorých zákonov v </w:t>
      </w:r>
      <w:r w:rsidRPr="00F74ECA">
        <w:rPr>
          <w:sz w:val="22"/>
        </w:rPr>
        <w:t>znení neskorších predpisov, a maximalizujúce energetické úspory, pričom investície budú podmienené energetickým auditom.</w:t>
      </w:r>
    </w:p>
    <w:p w14:paraId="4FF56107" w14:textId="0032DC96" w:rsidR="00E10737" w:rsidRPr="00F74ECA" w:rsidRDefault="00E10737" w:rsidP="00121BA8">
      <w:pPr>
        <w:tabs>
          <w:tab w:val="left" w:pos="540"/>
        </w:tabs>
        <w:spacing w:before="240"/>
        <w:jc w:val="both"/>
        <w:rPr>
          <w:sz w:val="22"/>
        </w:rPr>
      </w:pPr>
      <w:r w:rsidRPr="00F74ECA">
        <w:rPr>
          <w:sz w:val="22"/>
        </w:rPr>
        <w:t xml:space="preserve">Špecifické zásady výberu projektov v rámci investičnej priority </w:t>
      </w:r>
      <w:r w:rsidR="004D0303">
        <w:rPr>
          <w:sz w:val="22"/>
        </w:rPr>
        <w:t>1</w:t>
      </w:r>
      <w:r w:rsidR="002F6CE8">
        <w:rPr>
          <w:sz w:val="22"/>
        </w:rPr>
        <w:t>a)</w:t>
      </w:r>
      <w:r w:rsidRPr="00F74ECA">
        <w:rPr>
          <w:sz w:val="22"/>
        </w:rPr>
        <w:t>:</w:t>
      </w:r>
    </w:p>
    <w:p w14:paraId="13982DA6" w14:textId="77777777" w:rsidR="00E10737" w:rsidRPr="00F74ECA" w:rsidRDefault="00E10737" w:rsidP="00E10737">
      <w:pPr>
        <w:jc w:val="both"/>
        <w:rPr>
          <w:sz w:val="22"/>
        </w:rPr>
      </w:pPr>
      <w:r>
        <w:rPr>
          <w:sz w:val="22"/>
        </w:rPr>
        <w:t xml:space="preserve">- </w:t>
      </w:r>
      <w:r w:rsidRPr="00F74ECA">
        <w:rPr>
          <w:sz w:val="22"/>
        </w:rPr>
        <w:t>zabezpečenie špecifického výberového procesu pre projekty, resp. časti projektov v kontexte podpory účasti v medzinárodných aktivitách v rámci ERA, vrátane využitia priebežnej uzávierky predkladania projektov a optimalizácie trvania výberového procesu;</w:t>
      </w:r>
    </w:p>
    <w:p w14:paraId="501C068E" w14:textId="77777777" w:rsidR="00E10737" w:rsidRPr="00F74ECA" w:rsidRDefault="00E10737" w:rsidP="00E10737">
      <w:pPr>
        <w:tabs>
          <w:tab w:val="left" w:pos="540"/>
        </w:tabs>
        <w:jc w:val="both"/>
        <w:rPr>
          <w:sz w:val="22"/>
        </w:rPr>
      </w:pPr>
      <w:r w:rsidRPr="00F74ECA">
        <w:rPr>
          <w:sz w:val="22"/>
        </w:rPr>
        <w:lastRenderedPageBreak/>
        <w:t>- zvýšený dôraz bude kladený na obsahovú stránku projektov v zmysle nasledovných zásad:</w:t>
      </w:r>
    </w:p>
    <w:p w14:paraId="5E3459D7" w14:textId="77777777" w:rsidR="00E10737" w:rsidRPr="00F74ECA" w:rsidRDefault="00E10737" w:rsidP="00E10737">
      <w:pPr>
        <w:ind w:left="567" w:hanging="283"/>
        <w:jc w:val="both"/>
        <w:rPr>
          <w:sz w:val="22"/>
        </w:rPr>
      </w:pPr>
      <w:r w:rsidRPr="00F74ECA">
        <w:rPr>
          <w:sz w:val="22"/>
        </w:rPr>
        <w:t>•</w:t>
      </w:r>
      <w:r w:rsidRPr="00F74ECA">
        <w:rPr>
          <w:sz w:val="22"/>
        </w:rPr>
        <w:tab/>
        <w:t>zvýšenie štandardov výberu projektov na základe štyroch skupín kritérií:</w:t>
      </w:r>
    </w:p>
    <w:p w14:paraId="1967684C" w14:textId="77777777" w:rsidR="00E10737" w:rsidRPr="00F74ECA" w:rsidRDefault="00E10737" w:rsidP="00E10737">
      <w:pPr>
        <w:ind w:left="567"/>
        <w:jc w:val="both"/>
        <w:rPr>
          <w:sz w:val="22"/>
        </w:rPr>
      </w:pPr>
      <w:r w:rsidRPr="00F74ECA">
        <w:rPr>
          <w:sz w:val="22"/>
        </w:rPr>
        <w:t>-</w:t>
      </w:r>
      <w:r w:rsidRPr="00F74ECA">
        <w:rPr>
          <w:sz w:val="22"/>
        </w:rPr>
        <w:tab/>
        <w:t>kvalita zámeru – vedecká excelentnosť, resp. príspevok k nej,</w:t>
      </w:r>
    </w:p>
    <w:p w14:paraId="2F18E142" w14:textId="77777777" w:rsidR="00E10737" w:rsidRPr="00F74ECA" w:rsidRDefault="00E10737" w:rsidP="00E10737">
      <w:pPr>
        <w:ind w:left="567"/>
        <w:jc w:val="both"/>
        <w:rPr>
          <w:sz w:val="22"/>
        </w:rPr>
      </w:pPr>
      <w:r w:rsidRPr="00F74ECA">
        <w:rPr>
          <w:sz w:val="22"/>
        </w:rPr>
        <w:t>-</w:t>
      </w:r>
      <w:r w:rsidRPr="00F74ECA">
        <w:rPr>
          <w:sz w:val="22"/>
        </w:rPr>
        <w:tab/>
        <w:t>kvalita manažmentu projektu,</w:t>
      </w:r>
    </w:p>
    <w:p w14:paraId="68867CE9" w14:textId="77777777" w:rsidR="00E10737" w:rsidRPr="00F74ECA" w:rsidRDefault="00E10737" w:rsidP="00E10737">
      <w:pPr>
        <w:ind w:left="567"/>
        <w:jc w:val="both"/>
        <w:rPr>
          <w:sz w:val="22"/>
        </w:rPr>
      </w:pPr>
      <w:r w:rsidRPr="00F74ECA">
        <w:rPr>
          <w:sz w:val="22"/>
        </w:rPr>
        <w:t>-</w:t>
      </w:r>
      <w:r w:rsidRPr="00F74ECA">
        <w:rPr>
          <w:sz w:val="22"/>
        </w:rPr>
        <w:tab/>
        <w:t>potenciálny účinok realizácie projektu,</w:t>
      </w:r>
    </w:p>
    <w:p w14:paraId="0A72F1FB" w14:textId="77777777" w:rsidR="00E10737" w:rsidRPr="00F74ECA" w:rsidRDefault="00E10737" w:rsidP="00E10737">
      <w:pPr>
        <w:ind w:left="567"/>
        <w:jc w:val="both"/>
        <w:rPr>
          <w:sz w:val="22"/>
        </w:rPr>
      </w:pPr>
      <w:r w:rsidRPr="00F74ECA">
        <w:rPr>
          <w:sz w:val="22"/>
        </w:rPr>
        <w:t>-</w:t>
      </w:r>
      <w:r w:rsidRPr="00F74ECA">
        <w:rPr>
          <w:sz w:val="22"/>
        </w:rPr>
        <w:tab/>
        <w:t>preukázanie spillover efektu na územie regiónu, na jeho hodnotový reťazec.</w:t>
      </w:r>
    </w:p>
    <w:p w14:paraId="76B9DCE8" w14:textId="77777777" w:rsidR="00E10737" w:rsidRPr="00F74ECA" w:rsidRDefault="00E10737" w:rsidP="00E10737">
      <w:pPr>
        <w:ind w:left="567" w:hanging="283"/>
        <w:jc w:val="both"/>
        <w:rPr>
          <w:sz w:val="22"/>
        </w:rPr>
      </w:pPr>
      <w:r w:rsidRPr="00F74ECA">
        <w:rPr>
          <w:sz w:val="22"/>
        </w:rPr>
        <w:t>•</w:t>
      </w:r>
      <w:r w:rsidRPr="00F74ECA">
        <w:rPr>
          <w:sz w:val="22"/>
        </w:rPr>
        <w:tab/>
        <w:t>zintenzívnenie fakultatívnej formy využívania zahraničných expertov pri hodnotení projektov,</w:t>
      </w:r>
    </w:p>
    <w:p w14:paraId="535CAF5C" w14:textId="77777777" w:rsidR="00E10737" w:rsidRPr="00F74ECA" w:rsidRDefault="00E10737" w:rsidP="00E10737">
      <w:pPr>
        <w:ind w:left="567" w:hanging="283"/>
        <w:jc w:val="both"/>
        <w:rPr>
          <w:sz w:val="22"/>
        </w:rPr>
      </w:pPr>
      <w:r w:rsidRPr="00F74ECA">
        <w:rPr>
          <w:sz w:val="22"/>
        </w:rPr>
        <w:t>•</w:t>
      </w:r>
      <w:r w:rsidRPr="00F74ECA">
        <w:rPr>
          <w:sz w:val="22"/>
        </w:rPr>
        <w:tab/>
        <w:t>zavedenie priebežných a/alebo záverečných verejných obsah</w:t>
      </w:r>
      <w:r>
        <w:rPr>
          <w:sz w:val="22"/>
        </w:rPr>
        <w:t>ových oponentúr projektov aj za </w:t>
      </w:r>
      <w:r w:rsidRPr="00F74ECA">
        <w:rPr>
          <w:sz w:val="22"/>
        </w:rPr>
        <w:t>fakultatívnej účasti zahraničných expertov,</w:t>
      </w:r>
    </w:p>
    <w:p w14:paraId="25C038A9" w14:textId="77777777" w:rsidR="00E10737" w:rsidRPr="00F74ECA" w:rsidRDefault="00E10737" w:rsidP="00E10737">
      <w:pPr>
        <w:ind w:left="567" w:hanging="283"/>
        <w:jc w:val="both"/>
        <w:rPr>
          <w:sz w:val="22"/>
        </w:rPr>
      </w:pPr>
      <w:r w:rsidRPr="00F74ECA">
        <w:rPr>
          <w:sz w:val="22"/>
        </w:rPr>
        <w:t>•</w:t>
      </w:r>
      <w:r w:rsidRPr="00F74ECA">
        <w:rPr>
          <w:sz w:val="22"/>
        </w:rPr>
        <w:tab/>
        <w:t>pri všetkých výskumných projektoch bude možné počas hodnotenia projektového zámeru/výskumnej stratégie využiť inštitút verejného hodnotiaceho panelu, ktorého účastníkmi budú odborní hodnotitelia, vrátane zahraničných hodnotiteľov, predkladateľ projektového zámeru a panelová diskusia bude verejná.</w:t>
      </w:r>
    </w:p>
    <w:p w14:paraId="5A4A75DF" w14:textId="77777777" w:rsidR="00E10737" w:rsidRDefault="00E10737" w:rsidP="00E10737">
      <w:pPr>
        <w:tabs>
          <w:tab w:val="left" w:pos="540"/>
        </w:tabs>
        <w:jc w:val="both"/>
        <w:rPr>
          <w:sz w:val="22"/>
        </w:rPr>
      </w:pPr>
      <w:r>
        <w:rPr>
          <w:sz w:val="22"/>
        </w:rPr>
        <w:t xml:space="preserve">- </w:t>
      </w:r>
      <w:r w:rsidRPr="00F74ECA">
        <w:rPr>
          <w:sz w:val="22"/>
        </w:rPr>
        <w:t>v projektoch spolupráce akademického sektora s podnikmi budú zvýhodňované projekty v rámci ktorých budú zastúpené MSP.</w:t>
      </w:r>
    </w:p>
    <w:p w14:paraId="7598DAFA" w14:textId="77777777" w:rsidR="00E10737" w:rsidRPr="00CF2C83" w:rsidRDefault="00E10737" w:rsidP="00E10737">
      <w:pPr>
        <w:pStyle w:val="Nadpis4"/>
        <w:tabs>
          <w:tab w:val="clear" w:pos="709"/>
          <w:tab w:val="clear" w:pos="864"/>
        </w:tabs>
        <w:spacing w:before="240"/>
        <w:ind w:left="851" w:hanging="851"/>
      </w:pPr>
      <w:r w:rsidRPr="00CF2C83">
        <w:t>Plánované využitie finančných nástrojov</w:t>
      </w:r>
    </w:p>
    <w:p w14:paraId="0415A967" w14:textId="441E321C" w:rsidR="00E10737" w:rsidRPr="00EB61DF" w:rsidRDefault="00E10737" w:rsidP="00E10737">
      <w:pPr>
        <w:autoSpaceDE w:val="0"/>
        <w:autoSpaceDN w:val="0"/>
        <w:spacing w:after="120"/>
        <w:jc w:val="both"/>
        <w:rPr>
          <w:sz w:val="22"/>
          <w:szCs w:val="22"/>
        </w:rPr>
      </w:pPr>
      <w:r w:rsidRPr="00EB61DF">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w:t>
      </w:r>
      <w:r w:rsidR="004528E4">
        <w:rPr>
          <w:sz w:val="22"/>
          <w:szCs w:val="22"/>
        </w:rPr>
        <w:t>ančné nástroje budú zamerané na </w:t>
      </w:r>
      <w:r w:rsidRPr="00EB61DF">
        <w:rPr>
          <w:sz w:val="22"/>
          <w:szCs w:val="22"/>
        </w:rPr>
        <w:t xml:space="preserve">podporu tých aktivít, ktoré nenachádzajú financovanie na trhu, prípadne nenachádzajú adekvátne financovanie, pri ktorom by </w:t>
      </w:r>
      <w:r>
        <w:rPr>
          <w:sz w:val="22"/>
          <w:szCs w:val="22"/>
        </w:rPr>
        <w:t>ich realizácia bola efektívnou.</w:t>
      </w:r>
    </w:p>
    <w:p w14:paraId="4E107C34" w14:textId="77777777" w:rsidR="00E10737" w:rsidRPr="00EB61DF" w:rsidRDefault="00E10737" w:rsidP="00E10737">
      <w:pPr>
        <w:autoSpaceDE w:val="0"/>
        <w:autoSpaceDN w:val="0"/>
        <w:spacing w:after="120"/>
        <w:jc w:val="both"/>
        <w:rPr>
          <w:sz w:val="22"/>
          <w:szCs w:val="22"/>
        </w:rPr>
      </w:pPr>
      <w:r w:rsidRPr="00EB61DF">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Pr>
          <w:sz w:val="22"/>
          <w:szCs w:val="22"/>
        </w:rPr>
        <w:t>tálu je potrebné aj vzhľadom na </w:t>
      </w:r>
      <w:r w:rsidRPr="00EB61DF">
        <w:rPr>
          <w:sz w:val="22"/>
          <w:szCs w:val="22"/>
        </w:rPr>
        <w:t>nedostatočný objem prostriedkov z EŠIF na pokrytie všetkých investičných potrieb v príslušných oblastiach. Účasť súkromných investorov môže prispieť aj ku skvalitn</w:t>
      </w:r>
      <w:r>
        <w:rPr>
          <w:sz w:val="22"/>
          <w:szCs w:val="22"/>
        </w:rPr>
        <w:t>eniu implementácie projektov, a </w:t>
      </w:r>
      <w:r w:rsidRPr="00EB61DF">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w:t>
      </w:r>
      <w:r>
        <w:rPr>
          <w:sz w:val="22"/>
          <w:szCs w:val="22"/>
        </w:rPr>
        <w:t>ty, vhodný objem prostriedkov a </w:t>
      </w:r>
      <w:r w:rsidRPr="00EB61DF">
        <w:rPr>
          <w:sz w:val="22"/>
          <w:szCs w:val="22"/>
        </w:rPr>
        <w:t xml:space="preserve">podmienky implementácie konkrétnych finančných nástrojov, vrátane očakávaného znásobenia alokovaných prostriedkov EŠIF a ich kombinácie s inými formami </w:t>
      </w:r>
      <w:r>
        <w:rPr>
          <w:sz w:val="22"/>
          <w:szCs w:val="22"/>
        </w:rPr>
        <w:t>podpory, budú vychádzať z </w:t>
      </w:r>
      <w:r w:rsidRPr="00EB61DF">
        <w:rPr>
          <w:sz w:val="22"/>
          <w:szCs w:val="22"/>
        </w:rPr>
        <w:t>výsledkov ex ante hodnotenia pre finančné nástroje, vyžadovaného podľa čl. 37 ods. 2 všeobecného nariadenia pre finančné nástroje na programové obdobie 2014 – 2020.</w:t>
      </w:r>
    </w:p>
    <w:p w14:paraId="6979C209" w14:textId="3762BA7A" w:rsidR="00E10737" w:rsidRPr="00182F14" w:rsidRDefault="00E10737" w:rsidP="00454E5F">
      <w:pPr>
        <w:autoSpaceDE w:val="0"/>
        <w:autoSpaceDN w:val="0"/>
        <w:spacing w:after="120"/>
        <w:jc w:val="both"/>
        <w:rPr>
          <w:sz w:val="22"/>
          <w:szCs w:val="22"/>
        </w:rPr>
      </w:pPr>
      <w:r w:rsidRPr="00EB61DF">
        <w:rPr>
          <w:sz w:val="22"/>
          <w:szCs w:val="22"/>
        </w:rPr>
        <w:t>V období september 2017 – jún 2018 bolo vykonané ex ante hodnotenie pre využitie finančných nástrojov v oblastiach výskumu, vývoja a</w:t>
      </w:r>
      <w:r w:rsidR="00454E5F">
        <w:rPr>
          <w:sz w:val="22"/>
          <w:szCs w:val="22"/>
        </w:rPr>
        <w:t> </w:t>
      </w:r>
      <w:r w:rsidRPr="00EB61DF">
        <w:rPr>
          <w:sz w:val="22"/>
          <w:szCs w:val="22"/>
        </w:rPr>
        <w:t>inovácií</w:t>
      </w:r>
      <w:r w:rsidR="00454E5F">
        <w:rPr>
          <w:sz w:val="22"/>
          <w:szCs w:val="22"/>
        </w:rPr>
        <w:t xml:space="preserve"> a v období december 2018 – jú</w:t>
      </w:r>
      <w:r w:rsidR="00454E5F" w:rsidRPr="00454E5F">
        <w:rPr>
          <w:sz w:val="22"/>
          <w:szCs w:val="22"/>
        </w:rPr>
        <w:t>n 2019 Doplňujúce ex ante hodnotenie pre</w:t>
      </w:r>
      <w:r w:rsidR="00454E5F">
        <w:rPr>
          <w:sz w:val="22"/>
          <w:szCs w:val="22"/>
        </w:rPr>
        <w:t xml:space="preserve"> </w:t>
      </w:r>
      <w:r w:rsidR="00454E5F" w:rsidRPr="00454E5F">
        <w:rPr>
          <w:sz w:val="22"/>
          <w:szCs w:val="22"/>
        </w:rPr>
        <w:t>využitie finančných nástrojov v rámci OP VaI na podporu verejných subjektov výskumu a vývoja</w:t>
      </w:r>
      <w:r w:rsidRPr="00EB61DF">
        <w:rPr>
          <w:sz w:val="22"/>
          <w:szCs w:val="22"/>
        </w:rPr>
        <w:t xml:space="preserve">, ktoré sú podporované v rámci prioritných osí </w:t>
      </w:r>
      <w:r>
        <w:rPr>
          <w:sz w:val="22"/>
          <w:szCs w:val="22"/>
        </w:rPr>
        <w:t>9 a 10</w:t>
      </w:r>
      <w:r w:rsidRPr="00EB61DF">
        <w:rPr>
          <w:sz w:val="22"/>
          <w:szCs w:val="22"/>
        </w:rPr>
        <w:t xml:space="preserve"> OP</w:t>
      </w:r>
      <w:r>
        <w:rPr>
          <w:sz w:val="22"/>
          <w:szCs w:val="22"/>
        </w:rPr>
        <w:t>I</w:t>
      </w:r>
      <w:r w:rsidRPr="00EB61DF">
        <w:rPr>
          <w:sz w:val="22"/>
          <w:szCs w:val="22"/>
        </w:rPr>
        <w:t xml:space="preserve">I. V rámci ex ante </w:t>
      </w:r>
      <w:r w:rsidR="00454E5F">
        <w:rPr>
          <w:sz w:val="22"/>
          <w:szCs w:val="22"/>
        </w:rPr>
        <w:t>hodnotení</w:t>
      </w:r>
      <w:r w:rsidR="00454E5F" w:rsidRPr="00EB61DF">
        <w:rPr>
          <w:sz w:val="22"/>
          <w:szCs w:val="22"/>
        </w:rPr>
        <w:t xml:space="preserve"> </w:t>
      </w:r>
      <w:r w:rsidRPr="00EB61DF">
        <w:rPr>
          <w:sz w:val="22"/>
          <w:szCs w:val="22"/>
        </w:rPr>
        <w:t>boli identifikované finančné medzery a navrhnuté finančné nástroje zamerané na rôzne skupiny prijímateľov. Konkrétne využitie finančných nástrojov v rámci aktivít OP</w:t>
      </w:r>
      <w:r>
        <w:rPr>
          <w:sz w:val="22"/>
          <w:szCs w:val="22"/>
        </w:rPr>
        <w:t>I</w:t>
      </w:r>
      <w:r w:rsidRPr="00EB61DF">
        <w:rPr>
          <w:sz w:val="22"/>
          <w:szCs w:val="22"/>
        </w:rPr>
        <w:t>I bude určené v závislosti od aktuálnej situácie v oblasti</w:t>
      </w:r>
      <w:r>
        <w:rPr>
          <w:sz w:val="22"/>
          <w:szCs w:val="22"/>
        </w:rPr>
        <w:t xml:space="preserve"> implementácie OPII, ako aj s </w:t>
      </w:r>
      <w:r w:rsidRPr="00EB61DF">
        <w:rPr>
          <w:sz w:val="22"/>
          <w:szCs w:val="22"/>
        </w:rPr>
        <w:t>ohľadom na vývoj prostredia výskumu a inovácií v podmienkach SR.</w:t>
      </w:r>
    </w:p>
    <w:p w14:paraId="7F15C9BA" w14:textId="77777777" w:rsidR="00E10737" w:rsidRDefault="00E10737" w:rsidP="00E10737">
      <w:pPr>
        <w:pStyle w:val="Nadpis4"/>
        <w:tabs>
          <w:tab w:val="clear" w:pos="709"/>
          <w:tab w:val="clear" w:pos="864"/>
        </w:tabs>
        <w:ind w:left="851" w:hanging="862"/>
      </w:pPr>
      <w:r>
        <w:t>Plánované využitie veľkých projektov</w:t>
      </w:r>
    </w:p>
    <w:p w14:paraId="01E8EB72" w14:textId="06109399" w:rsidR="00E10737" w:rsidRDefault="00E10737" w:rsidP="00E10737">
      <w:pPr>
        <w:pStyle w:val="Obyajntext"/>
        <w:jc w:val="both"/>
        <w:rPr>
          <w:rFonts w:ascii="Times New Roman" w:hAnsi="Times New Roman" w:cs="Times New Roman"/>
          <w:sz w:val="22"/>
          <w:szCs w:val="22"/>
        </w:rPr>
      </w:pPr>
      <w:r w:rsidRPr="00CE18A8">
        <w:rPr>
          <w:rFonts w:ascii="Times New Roman" w:hAnsi="Times New Roman" w:cs="Times New Roman"/>
          <w:sz w:val="22"/>
          <w:szCs w:val="22"/>
        </w:rPr>
        <w:t>Aktuálne sa v rámci investičnej priority 1</w:t>
      </w:r>
      <w:r w:rsidR="002F6CE8">
        <w:rPr>
          <w:rFonts w:ascii="Times New Roman" w:hAnsi="Times New Roman" w:cs="Times New Roman"/>
          <w:sz w:val="22"/>
          <w:szCs w:val="22"/>
        </w:rPr>
        <w:t>a)</w:t>
      </w:r>
      <w:r w:rsidRPr="00CE18A8">
        <w:rPr>
          <w:rFonts w:ascii="Times New Roman" w:hAnsi="Times New Roman" w:cs="Times New Roman"/>
          <w:sz w:val="22"/>
          <w:szCs w:val="22"/>
        </w:rPr>
        <w:t xml:space="preserve"> neplánuje realizovanie veľkých projektov. V rámci jednotlivých špecifických</w:t>
      </w:r>
      <w:r w:rsidR="002D7909">
        <w:rPr>
          <w:rFonts w:ascii="Times New Roman" w:hAnsi="Times New Roman" w:cs="Times New Roman"/>
          <w:sz w:val="22"/>
          <w:szCs w:val="22"/>
        </w:rPr>
        <w:t xml:space="preserve"> cieľov investičnej priority 1a)</w:t>
      </w:r>
      <w:r w:rsidRPr="00CE18A8">
        <w:rPr>
          <w:rFonts w:ascii="Times New Roman" w:hAnsi="Times New Roman" w:cs="Times New Roman"/>
          <w:sz w:val="22"/>
          <w:szCs w:val="22"/>
        </w:rPr>
        <w:t xml:space="preserve"> je potenciálny priestor na realizáciu veľkého projektu </w:t>
      </w:r>
      <w:r>
        <w:rPr>
          <w:rFonts w:ascii="Times New Roman" w:hAnsi="Times New Roman" w:cs="Times New Roman"/>
          <w:sz w:val="22"/>
          <w:szCs w:val="22"/>
        </w:rPr>
        <w:t>len v rámci špecifického cieľa 9</w:t>
      </w:r>
      <w:r w:rsidRPr="00CE18A8">
        <w:rPr>
          <w:rFonts w:ascii="Times New Roman" w:hAnsi="Times New Roman" w:cs="Times New Roman"/>
          <w:sz w:val="22"/>
          <w:szCs w:val="22"/>
        </w:rPr>
        <w:t>.3 Zvýšenie výskumnej aktivity prostredníctvom zlepšenia koordinácie a konsolidácie VaV potenciálu výskumných inštitúcií. Realizácia veľkého projektu bude identifikovaná v pripravovanej národnej mape výskumnej infraštruktúry.</w:t>
      </w:r>
    </w:p>
    <w:p w14:paraId="5F9D2617" w14:textId="77777777" w:rsidR="00E10737" w:rsidRDefault="00E10737" w:rsidP="00E10737">
      <w:pPr>
        <w:pStyle w:val="Nadpis4"/>
        <w:tabs>
          <w:tab w:val="clear" w:pos="709"/>
          <w:tab w:val="clear" w:pos="864"/>
        </w:tabs>
        <w:ind w:left="851" w:hanging="851"/>
      </w:pPr>
      <w:r>
        <w:lastRenderedPageBreak/>
        <w:t>Ukazovatele výstupu na úrovni investičnej priority a kategórie regiónu</w:t>
      </w:r>
    </w:p>
    <w:p w14:paraId="2ACB2A9C" w14:textId="6FA7856F" w:rsidR="00E10737" w:rsidRDefault="00E10737" w:rsidP="00E10737">
      <w:pPr>
        <w:pStyle w:val="Tab"/>
        <w:tabs>
          <w:tab w:val="clear" w:pos="0"/>
          <w:tab w:val="clear" w:pos="851"/>
        </w:tabs>
      </w:pPr>
      <w:r>
        <w:t>Spoločné a špecifické ukazovatele výstupu investičnej priority 1</w:t>
      </w:r>
      <w:r w:rsidR="002F6CE8">
        <w:t>a)</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2342"/>
        <w:gridCol w:w="903"/>
        <w:gridCol w:w="656"/>
        <w:gridCol w:w="1212"/>
        <w:gridCol w:w="1224"/>
        <w:gridCol w:w="996"/>
        <w:gridCol w:w="1373"/>
      </w:tblGrid>
      <w:tr w:rsidR="00E10737" w14:paraId="76F30EF4" w14:textId="77777777" w:rsidTr="004179DE">
        <w:trPr>
          <w:trHeight w:val="487"/>
          <w:jc w:val="center"/>
        </w:trPr>
        <w:tc>
          <w:tcPr>
            <w:tcW w:w="647" w:type="dxa"/>
            <w:shd w:val="clear" w:color="auto" w:fill="C6D9F1" w:themeFill="text2" w:themeFillTint="33"/>
            <w:vAlign w:val="center"/>
          </w:tcPr>
          <w:p w14:paraId="4F2E5C84" w14:textId="77777777" w:rsidR="00E10737" w:rsidRPr="008C1732" w:rsidRDefault="00E10737" w:rsidP="004179DE">
            <w:pPr>
              <w:ind w:left="0"/>
              <w:jc w:val="center"/>
              <w:rPr>
                <w:b/>
                <w:sz w:val="18"/>
                <w:szCs w:val="18"/>
              </w:rPr>
            </w:pPr>
            <w:r>
              <w:rPr>
                <w:b/>
                <w:sz w:val="18"/>
                <w:szCs w:val="18"/>
              </w:rPr>
              <w:t>ID</w:t>
            </w:r>
          </w:p>
        </w:tc>
        <w:tc>
          <w:tcPr>
            <w:tcW w:w="2368" w:type="dxa"/>
            <w:shd w:val="clear" w:color="auto" w:fill="C6D9F1" w:themeFill="text2" w:themeFillTint="33"/>
            <w:vAlign w:val="center"/>
          </w:tcPr>
          <w:p w14:paraId="40A0167C" w14:textId="77777777" w:rsidR="00E10737" w:rsidRPr="008C1732" w:rsidRDefault="00E10737" w:rsidP="004179DE">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588B676A" w14:textId="77777777" w:rsidR="00E10737" w:rsidRPr="008C1732" w:rsidRDefault="00E10737" w:rsidP="004179DE">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770B3B93" w14:textId="77777777" w:rsidR="00E10737" w:rsidRPr="008C1732" w:rsidRDefault="00E10737" w:rsidP="004179DE">
            <w:pPr>
              <w:ind w:left="0"/>
              <w:jc w:val="center"/>
              <w:rPr>
                <w:b/>
                <w:sz w:val="18"/>
                <w:szCs w:val="18"/>
              </w:rPr>
            </w:pPr>
            <w:r w:rsidRPr="008C1732">
              <w:rPr>
                <w:b/>
                <w:sz w:val="18"/>
                <w:szCs w:val="18"/>
              </w:rPr>
              <w:t>Fond</w:t>
            </w:r>
          </w:p>
        </w:tc>
        <w:tc>
          <w:tcPr>
            <w:tcW w:w="1219" w:type="dxa"/>
            <w:shd w:val="clear" w:color="auto" w:fill="C6D9F1" w:themeFill="text2" w:themeFillTint="33"/>
            <w:vAlign w:val="center"/>
          </w:tcPr>
          <w:p w14:paraId="04F97017" w14:textId="77777777" w:rsidR="00E10737" w:rsidRPr="008C1732" w:rsidRDefault="00E10737" w:rsidP="004179DE">
            <w:pPr>
              <w:ind w:left="0"/>
              <w:jc w:val="center"/>
              <w:rPr>
                <w:b/>
                <w:sz w:val="18"/>
                <w:szCs w:val="18"/>
              </w:rPr>
            </w:pPr>
            <w:r w:rsidRPr="008C1732">
              <w:rPr>
                <w:b/>
                <w:sz w:val="18"/>
                <w:szCs w:val="18"/>
              </w:rPr>
              <w:t>Kategória regiónu</w:t>
            </w:r>
          </w:p>
        </w:tc>
        <w:tc>
          <w:tcPr>
            <w:tcW w:w="1236" w:type="dxa"/>
            <w:shd w:val="clear" w:color="auto" w:fill="C6D9F1" w:themeFill="text2" w:themeFillTint="33"/>
            <w:vAlign w:val="center"/>
          </w:tcPr>
          <w:p w14:paraId="704DD53B" w14:textId="77777777" w:rsidR="00E10737" w:rsidRPr="008C1732" w:rsidRDefault="00E10737" w:rsidP="004179DE">
            <w:pPr>
              <w:ind w:left="0"/>
              <w:jc w:val="center"/>
              <w:rPr>
                <w:b/>
                <w:sz w:val="18"/>
                <w:szCs w:val="18"/>
              </w:rPr>
            </w:pPr>
            <w:r w:rsidRPr="008C1732">
              <w:rPr>
                <w:b/>
                <w:sz w:val="18"/>
                <w:szCs w:val="18"/>
              </w:rPr>
              <w:t>Cieľová hodnota (2023)</w:t>
            </w:r>
          </w:p>
        </w:tc>
        <w:tc>
          <w:tcPr>
            <w:tcW w:w="1004" w:type="dxa"/>
            <w:shd w:val="clear" w:color="auto" w:fill="C6D9F1" w:themeFill="text2" w:themeFillTint="33"/>
            <w:vAlign w:val="center"/>
          </w:tcPr>
          <w:p w14:paraId="74FA1F15" w14:textId="77777777" w:rsidR="00E10737" w:rsidRPr="008C1732" w:rsidRDefault="00E10737" w:rsidP="004179DE">
            <w:pPr>
              <w:ind w:left="0"/>
              <w:jc w:val="center"/>
              <w:rPr>
                <w:b/>
                <w:sz w:val="18"/>
                <w:szCs w:val="18"/>
              </w:rPr>
            </w:pPr>
            <w:r w:rsidRPr="008C1732">
              <w:rPr>
                <w:b/>
                <w:sz w:val="18"/>
                <w:szCs w:val="18"/>
              </w:rPr>
              <w:t>Zdroj údajov</w:t>
            </w:r>
          </w:p>
        </w:tc>
        <w:tc>
          <w:tcPr>
            <w:tcW w:w="1379" w:type="dxa"/>
            <w:shd w:val="clear" w:color="auto" w:fill="C6D9F1" w:themeFill="text2" w:themeFillTint="33"/>
            <w:vAlign w:val="center"/>
          </w:tcPr>
          <w:p w14:paraId="3A876323"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14:paraId="05850A6D" w14:textId="77777777" w:rsidTr="004179DE">
        <w:trPr>
          <w:trHeight w:val="680"/>
          <w:jc w:val="center"/>
        </w:trPr>
        <w:tc>
          <w:tcPr>
            <w:tcW w:w="647" w:type="dxa"/>
            <w:shd w:val="clear" w:color="auto" w:fill="auto"/>
            <w:vAlign w:val="center"/>
          </w:tcPr>
          <w:p w14:paraId="65918D4A" w14:textId="77777777" w:rsidR="00E10737" w:rsidRPr="00737ED2" w:rsidRDefault="00E10737" w:rsidP="004179DE">
            <w:pPr>
              <w:ind w:left="0"/>
              <w:jc w:val="center"/>
              <w:rPr>
                <w:sz w:val="18"/>
                <w:szCs w:val="18"/>
              </w:rPr>
            </w:pPr>
            <w:r>
              <w:rPr>
                <w:sz w:val="18"/>
                <w:szCs w:val="18"/>
              </w:rPr>
              <w:t>CO01</w:t>
            </w:r>
          </w:p>
        </w:tc>
        <w:tc>
          <w:tcPr>
            <w:tcW w:w="2368" w:type="dxa"/>
            <w:shd w:val="clear" w:color="auto" w:fill="auto"/>
            <w:vAlign w:val="center"/>
          </w:tcPr>
          <w:p w14:paraId="1BE64A65" w14:textId="77777777" w:rsidR="00E10737" w:rsidRPr="00737ED2" w:rsidRDefault="00E10737" w:rsidP="004179DE">
            <w:pPr>
              <w:ind w:left="0"/>
              <w:rPr>
                <w:sz w:val="18"/>
                <w:szCs w:val="18"/>
              </w:rPr>
            </w:pPr>
            <w:r w:rsidRPr="002243AF">
              <w:rPr>
                <w:sz w:val="18"/>
                <w:szCs w:val="18"/>
              </w:rPr>
              <w:t>Počet podnikov, ktorým sa poskytuje podpora (spoločný)</w:t>
            </w:r>
          </w:p>
        </w:tc>
        <w:tc>
          <w:tcPr>
            <w:tcW w:w="903" w:type="dxa"/>
            <w:shd w:val="clear" w:color="auto" w:fill="auto"/>
            <w:vAlign w:val="center"/>
          </w:tcPr>
          <w:p w14:paraId="6CC0B77E"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384C3C75"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5FB82CB1"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37977A7D" w14:textId="6198AD1D" w:rsidR="00E10737" w:rsidRPr="009B48A1" w:rsidRDefault="002D1464" w:rsidP="002D1464">
            <w:pPr>
              <w:ind w:left="0"/>
              <w:jc w:val="center"/>
              <w:rPr>
                <w:i/>
                <w:sz w:val="18"/>
                <w:szCs w:val="18"/>
              </w:rPr>
            </w:pPr>
            <w:r>
              <w:rPr>
                <w:i/>
                <w:sz w:val="18"/>
                <w:szCs w:val="18"/>
              </w:rPr>
              <w:t>27</w:t>
            </w:r>
          </w:p>
        </w:tc>
        <w:tc>
          <w:tcPr>
            <w:tcW w:w="1004" w:type="dxa"/>
            <w:vAlign w:val="center"/>
          </w:tcPr>
          <w:p w14:paraId="4942CE5F"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22F3FEDC" w14:textId="77777777" w:rsidR="00E10737" w:rsidRPr="009B48A1" w:rsidRDefault="00E10737" w:rsidP="004179DE">
            <w:pPr>
              <w:ind w:left="0"/>
              <w:jc w:val="center"/>
              <w:rPr>
                <w:i/>
                <w:sz w:val="18"/>
                <w:szCs w:val="18"/>
              </w:rPr>
            </w:pPr>
            <w:r w:rsidRPr="009B48A1">
              <w:rPr>
                <w:i/>
                <w:sz w:val="18"/>
                <w:szCs w:val="18"/>
              </w:rPr>
              <w:t>Ročne</w:t>
            </w:r>
          </w:p>
        </w:tc>
      </w:tr>
      <w:tr w:rsidR="00E10737" w14:paraId="3A0395BB" w14:textId="77777777" w:rsidTr="004179DE">
        <w:trPr>
          <w:trHeight w:val="680"/>
          <w:jc w:val="center"/>
        </w:trPr>
        <w:tc>
          <w:tcPr>
            <w:tcW w:w="647" w:type="dxa"/>
            <w:shd w:val="clear" w:color="auto" w:fill="auto"/>
            <w:vAlign w:val="center"/>
          </w:tcPr>
          <w:p w14:paraId="5BEDBC88" w14:textId="77777777" w:rsidR="00E10737" w:rsidRDefault="00E10737" w:rsidP="004179DE">
            <w:pPr>
              <w:ind w:left="0"/>
              <w:jc w:val="center"/>
              <w:rPr>
                <w:sz w:val="18"/>
                <w:szCs w:val="18"/>
              </w:rPr>
            </w:pPr>
            <w:r>
              <w:rPr>
                <w:sz w:val="18"/>
                <w:szCs w:val="18"/>
              </w:rPr>
              <w:t>CO02</w:t>
            </w:r>
          </w:p>
        </w:tc>
        <w:tc>
          <w:tcPr>
            <w:tcW w:w="2368" w:type="dxa"/>
            <w:shd w:val="clear" w:color="auto" w:fill="auto"/>
            <w:vAlign w:val="center"/>
          </w:tcPr>
          <w:p w14:paraId="4A668B71" w14:textId="77777777" w:rsidR="00E10737" w:rsidRPr="00737ED2" w:rsidRDefault="00E10737" w:rsidP="004179DE">
            <w:pPr>
              <w:ind w:left="0"/>
              <w:rPr>
                <w:sz w:val="18"/>
                <w:szCs w:val="18"/>
              </w:rPr>
            </w:pPr>
            <w:r w:rsidRPr="000331A8">
              <w:rPr>
                <w:sz w:val="18"/>
                <w:szCs w:val="18"/>
              </w:rPr>
              <w:t>Počet podnikov, ktoré dostávajú granty (spoločný)</w:t>
            </w:r>
          </w:p>
        </w:tc>
        <w:tc>
          <w:tcPr>
            <w:tcW w:w="903" w:type="dxa"/>
            <w:shd w:val="clear" w:color="auto" w:fill="auto"/>
            <w:vAlign w:val="center"/>
          </w:tcPr>
          <w:p w14:paraId="5B004651"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34966A38"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0975A330"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01022ECD" w14:textId="393626B9" w:rsidR="00E10737" w:rsidRPr="009B48A1" w:rsidRDefault="002D1464" w:rsidP="002D1464">
            <w:pPr>
              <w:ind w:left="0"/>
              <w:jc w:val="center"/>
              <w:rPr>
                <w:i/>
                <w:sz w:val="18"/>
                <w:szCs w:val="18"/>
              </w:rPr>
            </w:pPr>
            <w:r>
              <w:rPr>
                <w:i/>
                <w:sz w:val="18"/>
                <w:szCs w:val="18"/>
              </w:rPr>
              <w:t>27</w:t>
            </w:r>
          </w:p>
        </w:tc>
        <w:tc>
          <w:tcPr>
            <w:tcW w:w="1004" w:type="dxa"/>
            <w:vAlign w:val="center"/>
          </w:tcPr>
          <w:p w14:paraId="4BCA1117"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21FE760D" w14:textId="77777777" w:rsidR="00E10737" w:rsidRPr="009B48A1" w:rsidRDefault="00E10737" w:rsidP="004179DE">
            <w:pPr>
              <w:ind w:left="0"/>
              <w:jc w:val="center"/>
              <w:rPr>
                <w:i/>
                <w:sz w:val="18"/>
                <w:szCs w:val="18"/>
              </w:rPr>
            </w:pPr>
            <w:r w:rsidRPr="009B48A1">
              <w:rPr>
                <w:i/>
                <w:sz w:val="18"/>
                <w:szCs w:val="18"/>
              </w:rPr>
              <w:t>Ročne</w:t>
            </w:r>
          </w:p>
        </w:tc>
      </w:tr>
      <w:tr w:rsidR="00E10737" w14:paraId="0EAE10D4" w14:textId="77777777" w:rsidTr="004179DE">
        <w:trPr>
          <w:trHeight w:val="680"/>
          <w:jc w:val="center"/>
        </w:trPr>
        <w:tc>
          <w:tcPr>
            <w:tcW w:w="647" w:type="dxa"/>
            <w:shd w:val="clear" w:color="auto" w:fill="auto"/>
            <w:vAlign w:val="center"/>
          </w:tcPr>
          <w:p w14:paraId="36940BF0" w14:textId="77777777" w:rsidR="00E10737" w:rsidRDefault="00E10737" w:rsidP="004179DE">
            <w:pPr>
              <w:ind w:left="0"/>
              <w:jc w:val="center"/>
              <w:rPr>
                <w:sz w:val="18"/>
                <w:szCs w:val="18"/>
              </w:rPr>
            </w:pPr>
            <w:r>
              <w:rPr>
                <w:sz w:val="18"/>
                <w:szCs w:val="18"/>
              </w:rPr>
              <w:t>CO05</w:t>
            </w:r>
          </w:p>
        </w:tc>
        <w:tc>
          <w:tcPr>
            <w:tcW w:w="2368" w:type="dxa"/>
            <w:shd w:val="clear" w:color="auto" w:fill="auto"/>
            <w:vAlign w:val="center"/>
          </w:tcPr>
          <w:p w14:paraId="689ACA54" w14:textId="77777777" w:rsidR="00E10737" w:rsidRPr="000331A8" w:rsidRDefault="00E10737" w:rsidP="004179DE">
            <w:pPr>
              <w:ind w:left="0"/>
              <w:rPr>
                <w:sz w:val="18"/>
                <w:szCs w:val="18"/>
              </w:rPr>
            </w:pPr>
            <w:r w:rsidRPr="000A417B">
              <w:rPr>
                <w:sz w:val="18"/>
                <w:szCs w:val="18"/>
              </w:rPr>
              <w:t>Počet podporených nových podnikov</w:t>
            </w:r>
          </w:p>
        </w:tc>
        <w:tc>
          <w:tcPr>
            <w:tcW w:w="903" w:type="dxa"/>
            <w:shd w:val="clear" w:color="auto" w:fill="auto"/>
            <w:vAlign w:val="center"/>
          </w:tcPr>
          <w:p w14:paraId="1550F80C"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5E489DAE"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22D5F454"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050B055F" w14:textId="6D786457" w:rsidR="00E10737" w:rsidRPr="009B48A1" w:rsidRDefault="002D1464" w:rsidP="002D1464">
            <w:pPr>
              <w:ind w:left="0"/>
              <w:jc w:val="center"/>
              <w:rPr>
                <w:i/>
                <w:sz w:val="18"/>
                <w:szCs w:val="18"/>
              </w:rPr>
            </w:pPr>
            <w:r>
              <w:rPr>
                <w:i/>
                <w:sz w:val="18"/>
                <w:szCs w:val="18"/>
              </w:rPr>
              <w:t>14</w:t>
            </w:r>
          </w:p>
        </w:tc>
        <w:tc>
          <w:tcPr>
            <w:tcW w:w="1004" w:type="dxa"/>
            <w:vAlign w:val="center"/>
          </w:tcPr>
          <w:p w14:paraId="12D9D299"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4970FD31" w14:textId="77777777" w:rsidR="00E10737" w:rsidRPr="009B48A1" w:rsidRDefault="00E10737" w:rsidP="004179DE">
            <w:pPr>
              <w:ind w:left="0"/>
              <w:jc w:val="center"/>
              <w:rPr>
                <w:i/>
                <w:sz w:val="18"/>
                <w:szCs w:val="18"/>
              </w:rPr>
            </w:pPr>
            <w:r w:rsidRPr="009B48A1">
              <w:rPr>
                <w:i/>
                <w:sz w:val="18"/>
                <w:szCs w:val="18"/>
              </w:rPr>
              <w:t>Ročne</w:t>
            </w:r>
          </w:p>
        </w:tc>
      </w:tr>
      <w:tr w:rsidR="00E10737" w14:paraId="06F78CDA" w14:textId="77777777" w:rsidTr="004179DE">
        <w:trPr>
          <w:trHeight w:val="680"/>
          <w:jc w:val="center"/>
        </w:trPr>
        <w:tc>
          <w:tcPr>
            <w:tcW w:w="647" w:type="dxa"/>
            <w:shd w:val="clear" w:color="auto" w:fill="auto"/>
            <w:vAlign w:val="center"/>
          </w:tcPr>
          <w:p w14:paraId="46C84831" w14:textId="77777777" w:rsidR="00E10737" w:rsidRDefault="00E10737" w:rsidP="004179DE">
            <w:pPr>
              <w:ind w:left="0"/>
              <w:jc w:val="center"/>
              <w:rPr>
                <w:sz w:val="18"/>
                <w:szCs w:val="18"/>
              </w:rPr>
            </w:pPr>
            <w:r>
              <w:rPr>
                <w:sz w:val="18"/>
                <w:szCs w:val="18"/>
              </w:rPr>
              <w:t>CO24</w:t>
            </w:r>
          </w:p>
        </w:tc>
        <w:tc>
          <w:tcPr>
            <w:tcW w:w="2368" w:type="dxa"/>
            <w:shd w:val="clear" w:color="auto" w:fill="auto"/>
            <w:vAlign w:val="center"/>
          </w:tcPr>
          <w:p w14:paraId="0C865BF7" w14:textId="77777777" w:rsidR="00E10737" w:rsidRPr="000A417B" w:rsidRDefault="00E10737" w:rsidP="004179DE">
            <w:pPr>
              <w:ind w:left="0"/>
              <w:rPr>
                <w:sz w:val="18"/>
                <w:szCs w:val="18"/>
              </w:rPr>
            </w:pPr>
            <w:r w:rsidRPr="00972FA1">
              <w:rPr>
                <w:sz w:val="18"/>
                <w:szCs w:val="18"/>
              </w:rPr>
              <w:t>Počet nových výskumných pracovníkov v podporovaných podnikoch (spoločný)</w:t>
            </w:r>
          </w:p>
        </w:tc>
        <w:tc>
          <w:tcPr>
            <w:tcW w:w="903" w:type="dxa"/>
            <w:shd w:val="clear" w:color="auto" w:fill="auto"/>
            <w:vAlign w:val="center"/>
          </w:tcPr>
          <w:p w14:paraId="1982D63E" w14:textId="77777777" w:rsidR="00E10737" w:rsidRPr="009B48A1" w:rsidRDefault="00E10737" w:rsidP="004179DE">
            <w:pPr>
              <w:ind w:left="0"/>
              <w:jc w:val="center"/>
              <w:rPr>
                <w:i/>
                <w:sz w:val="18"/>
                <w:szCs w:val="18"/>
              </w:rPr>
            </w:pPr>
            <w:r w:rsidRPr="009B48A1">
              <w:rPr>
                <w:i/>
                <w:sz w:val="18"/>
                <w:szCs w:val="18"/>
              </w:rPr>
              <w:t>FTE</w:t>
            </w:r>
          </w:p>
        </w:tc>
        <w:tc>
          <w:tcPr>
            <w:tcW w:w="656" w:type="dxa"/>
            <w:shd w:val="clear" w:color="auto" w:fill="auto"/>
            <w:vAlign w:val="center"/>
          </w:tcPr>
          <w:p w14:paraId="4B61D540"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033ED218"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1C0E8E08" w14:textId="3EAE5557" w:rsidR="00E10737" w:rsidRPr="009B48A1" w:rsidRDefault="002D1464" w:rsidP="002D1464">
            <w:pPr>
              <w:ind w:left="0"/>
              <w:jc w:val="center"/>
              <w:rPr>
                <w:i/>
                <w:sz w:val="18"/>
                <w:szCs w:val="18"/>
              </w:rPr>
            </w:pPr>
            <w:r>
              <w:rPr>
                <w:i/>
                <w:sz w:val="18"/>
                <w:szCs w:val="18"/>
              </w:rPr>
              <w:t>204</w:t>
            </w:r>
          </w:p>
        </w:tc>
        <w:tc>
          <w:tcPr>
            <w:tcW w:w="1004" w:type="dxa"/>
            <w:vAlign w:val="center"/>
          </w:tcPr>
          <w:p w14:paraId="756B7BEF"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377E650E" w14:textId="77777777" w:rsidR="00E10737" w:rsidRPr="009B48A1" w:rsidRDefault="00E10737" w:rsidP="004179DE">
            <w:pPr>
              <w:ind w:left="0"/>
              <w:jc w:val="center"/>
              <w:rPr>
                <w:i/>
                <w:sz w:val="18"/>
                <w:szCs w:val="18"/>
              </w:rPr>
            </w:pPr>
            <w:r w:rsidRPr="009B48A1">
              <w:rPr>
                <w:i/>
                <w:sz w:val="18"/>
                <w:szCs w:val="18"/>
              </w:rPr>
              <w:t>Ročne</w:t>
            </w:r>
          </w:p>
        </w:tc>
      </w:tr>
      <w:tr w:rsidR="00E10737" w14:paraId="60EB2F31" w14:textId="77777777" w:rsidTr="004179DE">
        <w:trPr>
          <w:trHeight w:val="680"/>
          <w:jc w:val="center"/>
        </w:trPr>
        <w:tc>
          <w:tcPr>
            <w:tcW w:w="647" w:type="dxa"/>
            <w:shd w:val="clear" w:color="auto" w:fill="auto"/>
            <w:vAlign w:val="center"/>
          </w:tcPr>
          <w:p w14:paraId="61E3349A" w14:textId="77777777" w:rsidR="00E10737" w:rsidRDefault="00E10737" w:rsidP="004179DE">
            <w:pPr>
              <w:ind w:left="0"/>
              <w:jc w:val="center"/>
              <w:rPr>
                <w:sz w:val="18"/>
                <w:szCs w:val="18"/>
              </w:rPr>
            </w:pPr>
            <w:r>
              <w:rPr>
                <w:sz w:val="18"/>
                <w:szCs w:val="18"/>
              </w:rPr>
              <w:t>CO25</w:t>
            </w:r>
          </w:p>
        </w:tc>
        <w:tc>
          <w:tcPr>
            <w:tcW w:w="2368" w:type="dxa"/>
            <w:shd w:val="clear" w:color="auto" w:fill="auto"/>
            <w:vAlign w:val="center"/>
          </w:tcPr>
          <w:p w14:paraId="6465D4A1" w14:textId="77777777" w:rsidR="00E10737" w:rsidRPr="00972FA1" w:rsidRDefault="00E10737" w:rsidP="004179DE">
            <w:pPr>
              <w:ind w:left="0"/>
              <w:rPr>
                <w:sz w:val="18"/>
                <w:szCs w:val="18"/>
              </w:rPr>
            </w:pPr>
            <w:r w:rsidRPr="00972FA1">
              <w:rPr>
                <w:sz w:val="18"/>
                <w:szCs w:val="18"/>
              </w:rPr>
              <w:t>Počet výskumných pracovníkov pracujúcich v zrekonštruovaných zariadeniach výskumnej infraštruktúry</w:t>
            </w:r>
          </w:p>
          <w:p w14:paraId="319B18C7" w14:textId="77777777" w:rsidR="00E10737" w:rsidRPr="000A417B" w:rsidRDefault="00E10737" w:rsidP="004179DE">
            <w:pPr>
              <w:ind w:left="0"/>
              <w:rPr>
                <w:sz w:val="18"/>
                <w:szCs w:val="18"/>
              </w:rPr>
            </w:pPr>
            <w:r w:rsidRPr="00972FA1">
              <w:rPr>
                <w:sz w:val="18"/>
                <w:szCs w:val="18"/>
              </w:rPr>
              <w:t>(spoločný)</w:t>
            </w:r>
          </w:p>
        </w:tc>
        <w:tc>
          <w:tcPr>
            <w:tcW w:w="903" w:type="dxa"/>
            <w:shd w:val="clear" w:color="auto" w:fill="auto"/>
            <w:vAlign w:val="center"/>
          </w:tcPr>
          <w:p w14:paraId="2612608A" w14:textId="77777777" w:rsidR="00E10737" w:rsidRPr="009B48A1" w:rsidRDefault="00E10737" w:rsidP="004179DE">
            <w:pPr>
              <w:ind w:left="0"/>
              <w:jc w:val="center"/>
              <w:rPr>
                <w:i/>
                <w:sz w:val="18"/>
                <w:szCs w:val="18"/>
              </w:rPr>
            </w:pPr>
            <w:r w:rsidRPr="009B48A1">
              <w:rPr>
                <w:i/>
                <w:sz w:val="18"/>
                <w:szCs w:val="18"/>
              </w:rPr>
              <w:t>FTE</w:t>
            </w:r>
          </w:p>
        </w:tc>
        <w:tc>
          <w:tcPr>
            <w:tcW w:w="656" w:type="dxa"/>
            <w:shd w:val="clear" w:color="auto" w:fill="auto"/>
            <w:vAlign w:val="center"/>
          </w:tcPr>
          <w:p w14:paraId="2A0E443C"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005C6AD2"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747AB687" w14:textId="410CCEA3" w:rsidR="00E10737" w:rsidRPr="009B48A1" w:rsidRDefault="002D1464" w:rsidP="002D1464">
            <w:pPr>
              <w:ind w:left="0"/>
              <w:jc w:val="center"/>
              <w:rPr>
                <w:i/>
                <w:sz w:val="18"/>
                <w:szCs w:val="18"/>
              </w:rPr>
            </w:pPr>
            <w:r>
              <w:rPr>
                <w:i/>
                <w:sz w:val="18"/>
                <w:szCs w:val="18"/>
              </w:rPr>
              <w:t>3 182</w:t>
            </w:r>
          </w:p>
        </w:tc>
        <w:tc>
          <w:tcPr>
            <w:tcW w:w="1004" w:type="dxa"/>
            <w:vAlign w:val="center"/>
          </w:tcPr>
          <w:p w14:paraId="22B95ABF"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3BDB236F" w14:textId="77777777" w:rsidR="00E10737" w:rsidRPr="009B48A1" w:rsidRDefault="00E10737" w:rsidP="004179DE">
            <w:pPr>
              <w:ind w:left="0"/>
              <w:jc w:val="center"/>
              <w:rPr>
                <w:i/>
                <w:sz w:val="18"/>
                <w:szCs w:val="18"/>
              </w:rPr>
            </w:pPr>
            <w:r w:rsidRPr="009B48A1">
              <w:rPr>
                <w:i/>
                <w:sz w:val="18"/>
                <w:szCs w:val="18"/>
              </w:rPr>
              <w:t>Ročne</w:t>
            </w:r>
          </w:p>
        </w:tc>
      </w:tr>
      <w:tr w:rsidR="00E10737" w14:paraId="37B1E9EE" w14:textId="77777777" w:rsidTr="004179DE">
        <w:trPr>
          <w:trHeight w:val="680"/>
          <w:jc w:val="center"/>
        </w:trPr>
        <w:tc>
          <w:tcPr>
            <w:tcW w:w="647" w:type="dxa"/>
            <w:shd w:val="clear" w:color="auto" w:fill="auto"/>
            <w:vAlign w:val="center"/>
          </w:tcPr>
          <w:p w14:paraId="397E4AC9" w14:textId="77777777" w:rsidR="00E10737" w:rsidRDefault="00E10737" w:rsidP="004179DE">
            <w:pPr>
              <w:ind w:left="0"/>
              <w:jc w:val="center"/>
              <w:rPr>
                <w:sz w:val="18"/>
                <w:szCs w:val="18"/>
              </w:rPr>
            </w:pPr>
            <w:r>
              <w:rPr>
                <w:sz w:val="18"/>
                <w:szCs w:val="18"/>
              </w:rPr>
              <w:t>CO27</w:t>
            </w:r>
          </w:p>
        </w:tc>
        <w:tc>
          <w:tcPr>
            <w:tcW w:w="2368" w:type="dxa"/>
            <w:shd w:val="clear" w:color="auto" w:fill="auto"/>
            <w:vAlign w:val="center"/>
          </w:tcPr>
          <w:p w14:paraId="3D07CEA5" w14:textId="77777777" w:rsidR="00E10737" w:rsidRPr="000A417B" w:rsidRDefault="00E10737" w:rsidP="004179DE">
            <w:pPr>
              <w:ind w:left="0"/>
              <w:rPr>
                <w:sz w:val="18"/>
                <w:szCs w:val="18"/>
              </w:rPr>
            </w:pPr>
            <w:r w:rsidRPr="00972FA1">
              <w:rPr>
                <w:sz w:val="18"/>
                <w:szCs w:val="18"/>
              </w:rPr>
              <w:t>Súkromné investície spojené s verejnou podporou v inovačných projektoch alebo projektoch výskumu a vývoja (spoločný)</w:t>
            </w:r>
          </w:p>
        </w:tc>
        <w:tc>
          <w:tcPr>
            <w:tcW w:w="903" w:type="dxa"/>
            <w:shd w:val="clear" w:color="auto" w:fill="auto"/>
            <w:vAlign w:val="center"/>
          </w:tcPr>
          <w:p w14:paraId="6F8F70AC" w14:textId="77777777" w:rsidR="00E10737" w:rsidRPr="009B48A1" w:rsidRDefault="00E10737" w:rsidP="004179DE">
            <w:pPr>
              <w:ind w:left="0"/>
              <w:jc w:val="center"/>
              <w:rPr>
                <w:i/>
                <w:sz w:val="18"/>
                <w:szCs w:val="18"/>
              </w:rPr>
            </w:pPr>
            <w:r w:rsidRPr="009B48A1">
              <w:rPr>
                <w:i/>
                <w:sz w:val="18"/>
                <w:szCs w:val="18"/>
              </w:rPr>
              <w:t>EUR</w:t>
            </w:r>
          </w:p>
        </w:tc>
        <w:tc>
          <w:tcPr>
            <w:tcW w:w="656" w:type="dxa"/>
            <w:shd w:val="clear" w:color="auto" w:fill="auto"/>
            <w:vAlign w:val="center"/>
          </w:tcPr>
          <w:p w14:paraId="6CE2636D"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440D50FF"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4DE91EFA" w14:textId="23600980" w:rsidR="00E10737" w:rsidRPr="009B48A1" w:rsidRDefault="002D1464" w:rsidP="002D1464">
            <w:pPr>
              <w:ind w:left="0"/>
              <w:jc w:val="center"/>
              <w:rPr>
                <w:i/>
                <w:sz w:val="18"/>
                <w:szCs w:val="18"/>
              </w:rPr>
            </w:pPr>
            <w:r>
              <w:rPr>
                <w:i/>
                <w:sz w:val="18"/>
                <w:szCs w:val="18"/>
              </w:rPr>
              <w:t>3 920 000</w:t>
            </w:r>
          </w:p>
        </w:tc>
        <w:tc>
          <w:tcPr>
            <w:tcW w:w="1004" w:type="dxa"/>
            <w:vAlign w:val="center"/>
          </w:tcPr>
          <w:p w14:paraId="03563C95"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1E5ED8DA" w14:textId="77777777" w:rsidR="00E10737" w:rsidRPr="009B48A1" w:rsidRDefault="00E10737" w:rsidP="004179DE">
            <w:pPr>
              <w:ind w:left="0"/>
              <w:jc w:val="center"/>
              <w:rPr>
                <w:i/>
                <w:sz w:val="18"/>
                <w:szCs w:val="18"/>
              </w:rPr>
            </w:pPr>
            <w:r w:rsidRPr="009B48A1">
              <w:rPr>
                <w:i/>
                <w:sz w:val="18"/>
                <w:szCs w:val="18"/>
              </w:rPr>
              <w:t>Ročne</w:t>
            </w:r>
          </w:p>
        </w:tc>
      </w:tr>
      <w:tr w:rsidR="00E10737" w14:paraId="7D768CD6" w14:textId="77777777" w:rsidTr="004179DE">
        <w:trPr>
          <w:trHeight w:val="680"/>
          <w:jc w:val="center"/>
        </w:trPr>
        <w:tc>
          <w:tcPr>
            <w:tcW w:w="647" w:type="dxa"/>
            <w:shd w:val="clear" w:color="auto" w:fill="auto"/>
            <w:vAlign w:val="center"/>
          </w:tcPr>
          <w:p w14:paraId="3F6814EB" w14:textId="77777777" w:rsidR="00E10737" w:rsidRDefault="00E10737" w:rsidP="004179DE">
            <w:pPr>
              <w:ind w:left="0"/>
              <w:jc w:val="center"/>
              <w:rPr>
                <w:sz w:val="18"/>
                <w:szCs w:val="18"/>
              </w:rPr>
            </w:pPr>
            <w:r>
              <w:rPr>
                <w:sz w:val="18"/>
                <w:szCs w:val="18"/>
              </w:rPr>
              <w:t>O0069</w:t>
            </w:r>
          </w:p>
        </w:tc>
        <w:tc>
          <w:tcPr>
            <w:tcW w:w="2368" w:type="dxa"/>
            <w:shd w:val="clear" w:color="auto" w:fill="auto"/>
            <w:vAlign w:val="center"/>
          </w:tcPr>
          <w:p w14:paraId="16F763D3" w14:textId="77777777" w:rsidR="00E10737" w:rsidRPr="000A417B" w:rsidRDefault="00E10737" w:rsidP="004179DE">
            <w:pPr>
              <w:ind w:left="0"/>
              <w:rPr>
                <w:sz w:val="18"/>
                <w:szCs w:val="18"/>
              </w:rPr>
            </w:pPr>
            <w:r w:rsidRPr="00972FA1">
              <w:rPr>
                <w:sz w:val="18"/>
                <w:szCs w:val="18"/>
              </w:rPr>
              <w:t>Počet podporených výskumných inštitúcií (špecifický)</w:t>
            </w:r>
          </w:p>
        </w:tc>
        <w:tc>
          <w:tcPr>
            <w:tcW w:w="903" w:type="dxa"/>
            <w:shd w:val="clear" w:color="auto" w:fill="auto"/>
            <w:vAlign w:val="center"/>
          </w:tcPr>
          <w:p w14:paraId="2BBD5112"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18DBFAF4"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4A372D32"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41CDA6BD" w14:textId="36593583" w:rsidR="00E10737" w:rsidRPr="009B48A1" w:rsidRDefault="002D1464" w:rsidP="002D1464">
            <w:pPr>
              <w:ind w:left="0"/>
              <w:jc w:val="center"/>
              <w:rPr>
                <w:i/>
                <w:sz w:val="18"/>
                <w:szCs w:val="18"/>
              </w:rPr>
            </w:pPr>
            <w:r>
              <w:rPr>
                <w:i/>
                <w:sz w:val="18"/>
                <w:szCs w:val="18"/>
              </w:rPr>
              <w:t>60</w:t>
            </w:r>
          </w:p>
        </w:tc>
        <w:tc>
          <w:tcPr>
            <w:tcW w:w="1004" w:type="dxa"/>
            <w:vAlign w:val="center"/>
          </w:tcPr>
          <w:p w14:paraId="098276C2"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6D1298A3" w14:textId="77777777" w:rsidR="00E10737" w:rsidRPr="009B48A1" w:rsidRDefault="00E10737" w:rsidP="004179DE">
            <w:pPr>
              <w:ind w:left="0"/>
              <w:jc w:val="center"/>
              <w:rPr>
                <w:i/>
                <w:sz w:val="18"/>
                <w:szCs w:val="18"/>
              </w:rPr>
            </w:pPr>
            <w:r w:rsidRPr="009B48A1">
              <w:rPr>
                <w:i/>
                <w:sz w:val="18"/>
                <w:szCs w:val="18"/>
              </w:rPr>
              <w:t>Ročne</w:t>
            </w:r>
          </w:p>
        </w:tc>
      </w:tr>
      <w:tr w:rsidR="00E10737" w14:paraId="53EC38B5" w14:textId="77777777" w:rsidTr="004179DE">
        <w:trPr>
          <w:trHeight w:val="680"/>
          <w:jc w:val="center"/>
        </w:trPr>
        <w:tc>
          <w:tcPr>
            <w:tcW w:w="647" w:type="dxa"/>
            <w:shd w:val="clear" w:color="auto" w:fill="auto"/>
            <w:vAlign w:val="center"/>
          </w:tcPr>
          <w:p w14:paraId="4805F609" w14:textId="77777777" w:rsidR="00E10737" w:rsidRDefault="00E10737" w:rsidP="004179DE">
            <w:pPr>
              <w:ind w:left="0"/>
              <w:jc w:val="center"/>
              <w:rPr>
                <w:sz w:val="18"/>
                <w:szCs w:val="18"/>
              </w:rPr>
            </w:pPr>
            <w:r w:rsidRPr="00926711">
              <w:rPr>
                <w:sz w:val="18"/>
                <w:szCs w:val="18"/>
              </w:rPr>
              <w:t>O0070</w:t>
            </w:r>
          </w:p>
        </w:tc>
        <w:tc>
          <w:tcPr>
            <w:tcW w:w="2368" w:type="dxa"/>
            <w:shd w:val="clear" w:color="auto" w:fill="auto"/>
            <w:vAlign w:val="center"/>
          </w:tcPr>
          <w:p w14:paraId="27BCA0B2" w14:textId="77777777" w:rsidR="00E10737" w:rsidRPr="00972FA1" w:rsidRDefault="00E10737" w:rsidP="004179DE">
            <w:pPr>
              <w:ind w:left="0"/>
              <w:rPr>
                <w:sz w:val="18"/>
                <w:szCs w:val="18"/>
              </w:rPr>
            </w:pPr>
            <w:r w:rsidRPr="00926711">
              <w:rPr>
                <w:sz w:val="18"/>
                <w:szCs w:val="18"/>
              </w:rPr>
              <w:t>Počet podporených výskumných inštitúcií spolupracujúcich s podnikmi (špecifický)</w:t>
            </w:r>
          </w:p>
        </w:tc>
        <w:tc>
          <w:tcPr>
            <w:tcW w:w="903" w:type="dxa"/>
            <w:shd w:val="clear" w:color="auto" w:fill="auto"/>
            <w:vAlign w:val="center"/>
          </w:tcPr>
          <w:p w14:paraId="0A6D95F3"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291E311E"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064F1B54"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23D8074F" w14:textId="77777777" w:rsidR="00E10737" w:rsidRPr="009B48A1" w:rsidRDefault="00E10737" w:rsidP="004179DE">
            <w:pPr>
              <w:ind w:left="0"/>
              <w:jc w:val="center"/>
              <w:rPr>
                <w:i/>
                <w:sz w:val="18"/>
                <w:szCs w:val="18"/>
              </w:rPr>
            </w:pPr>
            <w:r w:rsidRPr="009B48A1">
              <w:rPr>
                <w:i/>
                <w:sz w:val="18"/>
                <w:szCs w:val="18"/>
              </w:rPr>
              <w:t>15</w:t>
            </w:r>
          </w:p>
        </w:tc>
        <w:tc>
          <w:tcPr>
            <w:tcW w:w="1004" w:type="dxa"/>
            <w:vAlign w:val="center"/>
          </w:tcPr>
          <w:p w14:paraId="319D3878"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778C141B" w14:textId="77777777" w:rsidR="00E10737" w:rsidRPr="009B48A1" w:rsidRDefault="00E10737" w:rsidP="004179DE">
            <w:pPr>
              <w:ind w:left="0"/>
              <w:jc w:val="center"/>
              <w:rPr>
                <w:i/>
                <w:sz w:val="18"/>
                <w:szCs w:val="18"/>
              </w:rPr>
            </w:pPr>
            <w:r w:rsidRPr="009B48A1">
              <w:rPr>
                <w:i/>
                <w:sz w:val="18"/>
                <w:szCs w:val="18"/>
              </w:rPr>
              <w:t>Ročne</w:t>
            </w:r>
          </w:p>
        </w:tc>
      </w:tr>
      <w:tr w:rsidR="00E10737" w14:paraId="4DC50945" w14:textId="77777777" w:rsidTr="004179DE">
        <w:trPr>
          <w:trHeight w:val="680"/>
          <w:jc w:val="center"/>
        </w:trPr>
        <w:tc>
          <w:tcPr>
            <w:tcW w:w="647" w:type="dxa"/>
            <w:shd w:val="clear" w:color="auto" w:fill="auto"/>
            <w:vAlign w:val="center"/>
          </w:tcPr>
          <w:p w14:paraId="28485CFC" w14:textId="77777777" w:rsidR="00E10737" w:rsidRDefault="00E10737" w:rsidP="004179DE">
            <w:pPr>
              <w:ind w:left="0"/>
              <w:jc w:val="center"/>
              <w:rPr>
                <w:sz w:val="18"/>
                <w:szCs w:val="18"/>
              </w:rPr>
            </w:pPr>
            <w:r w:rsidRPr="00926711">
              <w:rPr>
                <w:sz w:val="18"/>
                <w:szCs w:val="18"/>
              </w:rPr>
              <w:t>O0071</w:t>
            </w:r>
          </w:p>
        </w:tc>
        <w:tc>
          <w:tcPr>
            <w:tcW w:w="2368" w:type="dxa"/>
            <w:shd w:val="clear" w:color="auto" w:fill="auto"/>
            <w:vAlign w:val="center"/>
          </w:tcPr>
          <w:p w14:paraId="7B23F23B" w14:textId="77777777" w:rsidR="00E10737" w:rsidRPr="00972FA1" w:rsidRDefault="00E10737" w:rsidP="004179DE">
            <w:pPr>
              <w:ind w:left="0"/>
              <w:rPr>
                <w:sz w:val="18"/>
                <w:szCs w:val="18"/>
              </w:rPr>
            </w:pPr>
            <w:r w:rsidRPr="00926711">
              <w:rPr>
                <w:sz w:val="18"/>
                <w:szCs w:val="18"/>
              </w:rPr>
              <w:t>Počet zrekonštruovaných zariadení výskumnej infraštruktúry (špecifický)</w:t>
            </w:r>
          </w:p>
        </w:tc>
        <w:tc>
          <w:tcPr>
            <w:tcW w:w="903" w:type="dxa"/>
            <w:shd w:val="clear" w:color="auto" w:fill="auto"/>
            <w:vAlign w:val="center"/>
          </w:tcPr>
          <w:p w14:paraId="2D10B49A"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74ED3276"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4AB5D3C0"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3C894265" w14:textId="1766BD68" w:rsidR="00E10737" w:rsidRPr="009B48A1" w:rsidRDefault="002D1464" w:rsidP="002D1464">
            <w:pPr>
              <w:ind w:left="0"/>
              <w:jc w:val="center"/>
              <w:rPr>
                <w:i/>
                <w:sz w:val="18"/>
                <w:szCs w:val="18"/>
              </w:rPr>
            </w:pPr>
            <w:r>
              <w:rPr>
                <w:i/>
                <w:sz w:val="18"/>
                <w:szCs w:val="18"/>
              </w:rPr>
              <w:t>35</w:t>
            </w:r>
          </w:p>
        </w:tc>
        <w:tc>
          <w:tcPr>
            <w:tcW w:w="1004" w:type="dxa"/>
            <w:vAlign w:val="center"/>
          </w:tcPr>
          <w:p w14:paraId="78C4E7C4"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34FC4A8E" w14:textId="77777777" w:rsidR="00E10737" w:rsidRPr="009B48A1" w:rsidRDefault="00E10737" w:rsidP="004179DE">
            <w:pPr>
              <w:ind w:left="0"/>
              <w:jc w:val="center"/>
              <w:rPr>
                <w:i/>
                <w:sz w:val="18"/>
                <w:szCs w:val="18"/>
              </w:rPr>
            </w:pPr>
            <w:r w:rsidRPr="009B48A1">
              <w:rPr>
                <w:i/>
                <w:sz w:val="18"/>
                <w:szCs w:val="18"/>
              </w:rPr>
              <w:t>Ročne</w:t>
            </w:r>
          </w:p>
        </w:tc>
      </w:tr>
      <w:tr w:rsidR="00E10737" w14:paraId="0AC6C5BA" w14:textId="77777777" w:rsidTr="004179DE">
        <w:trPr>
          <w:trHeight w:val="680"/>
          <w:jc w:val="center"/>
        </w:trPr>
        <w:tc>
          <w:tcPr>
            <w:tcW w:w="647" w:type="dxa"/>
            <w:shd w:val="clear" w:color="auto" w:fill="auto"/>
            <w:vAlign w:val="center"/>
          </w:tcPr>
          <w:p w14:paraId="1B01742F" w14:textId="77777777" w:rsidR="00E10737" w:rsidRDefault="00E10737" w:rsidP="004179DE">
            <w:pPr>
              <w:ind w:left="0"/>
              <w:jc w:val="center"/>
              <w:rPr>
                <w:sz w:val="18"/>
                <w:szCs w:val="18"/>
              </w:rPr>
            </w:pPr>
            <w:r w:rsidRPr="00926711">
              <w:rPr>
                <w:sz w:val="18"/>
                <w:szCs w:val="18"/>
              </w:rPr>
              <w:t>O0073</w:t>
            </w:r>
          </w:p>
        </w:tc>
        <w:tc>
          <w:tcPr>
            <w:tcW w:w="2368" w:type="dxa"/>
            <w:shd w:val="clear" w:color="auto" w:fill="auto"/>
            <w:vAlign w:val="center"/>
          </w:tcPr>
          <w:p w14:paraId="21D2F9EE" w14:textId="77777777" w:rsidR="00E10737" w:rsidRPr="00972FA1" w:rsidRDefault="00E10737" w:rsidP="004179DE">
            <w:pPr>
              <w:ind w:left="0"/>
              <w:rPr>
                <w:sz w:val="18"/>
                <w:szCs w:val="18"/>
              </w:rPr>
            </w:pPr>
            <w:r w:rsidRPr="00926711">
              <w:rPr>
                <w:sz w:val="18"/>
                <w:szCs w:val="18"/>
              </w:rPr>
              <w:t>Počet podaných patentových prihlášok (špecifický)</w:t>
            </w:r>
          </w:p>
        </w:tc>
        <w:tc>
          <w:tcPr>
            <w:tcW w:w="903" w:type="dxa"/>
            <w:shd w:val="clear" w:color="auto" w:fill="auto"/>
            <w:vAlign w:val="center"/>
          </w:tcPr>
          <w:p w14:paraId="35CAE48C"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43AE9478"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1B828F9F"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7ACC79EF" w14:textId="77777777" w:rsidR="00E10737" w:rsidRPr="009B48A1" w:rsidRDefault="00E10737" w:rsidP="004179DE">
            <w:pPr>
              <w:ind w:left="0"/>
              <w:jc w:val="center"/>
              <w:rPr>
                <w:i/>
                <w:sz w:val="18"/>
                <w:szCs w:val="18"/>
              </w:rPr>
            </w:pPr>
            <w:r w:rsidRPr="009B48A1">
              <w:rPr>
                <w:i/>
                <w:sz w:val="18"/>
                <w:szCs w:val="18"/>
              </w:rPr>
              <w:t>10</w:t>
            </w:r>
          </w:p>
        </w:tc>
        <w:tc>
          <w:tcPr>
            <w:tcW w:w="1004" w:type="dxa"/>
            <w:vAlign w:val="center"/>
          </w:tcPr>
          <w:p w14:paraId="116EC85A"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6208E85B" w14:textId="77777777" w:rsidR="00E10737" w:rsidRPr="009B48A1" w:rsidRDefault="00E10737" w:rsidP="004179DE">
            <w:pPr>
              <w:ind w:left="0"/>
              <w:jc w:val="center"/>
              <w:rPr>
                <w:i/>
                <w:sz w:val="18"/>
                <w:szCs w:val="18"/>
              </w:rPr>
            </w:pPr>
            <w:r w:rsidRPr="009B48A1">
              <w:rPr>
                <w:i/>
                <w:sz w:val="18"/>
                <w:szCs w:val="18"/>
              </w:rPr>
              <w:t>Ročne</w:t>
            </w:r>
          </w:p>
        </w:tc>
      </w:tr>
      <w:tr w:rsidR="00E10737" w14:paraId="58E8D235" w14:textId="77777777" w:rsidTr="004179DE">
        <w:trPr>
          <w:trHeight w:val="680"/>
          <w:jc w:val="center"/>
        </w:trPr>
        <w:tc>
          <w:tcPr>
            <w:tcW w:w="647" w:type="dxa"/>
            <w:shd w:val="clear" w:color="auto" w:fill="auto"/>
            <w:vAlign w:val="center"/>
          </w:tcPr>
          <w:p w14:paraId="069C1BCF" w14:textId="77777777" w:rsidR="00E10737" w:rsidRDefault="00E10737" w:rsidP="004179DE">
            <w:pPr>
              <w:ind w:left="0"/>
              <w:jc w:val="center"/>
              <w:rPr>
                <w:sz w:val="18"/>
                <w:szCs w:val="18"/>
              </w:rPr>
            </w:pPr>
            <w:r w:rsidRPr="00926711">
              <w:rPr>
                <w:sz w:val="18"/>
                <w:szCs w:val="18"/>
              </w:rPr>
              <w:t>O0074</w:t>
            </w:r>
          </w:p>
        </w:tc>
        <w:tc>
          <w:tcPr>
            <w:tcW w:w="2368" w:type="dxa"/>
            <w:shd w:val="clear" w:color="auto" w:fill="auto"/>
            <w:vAlign w:val="center"/>
          </w:tcPr>
          <w:p w14:paraId="2DE38042" w14:textId="09B71E03" w:rsidR="00E10737" w:rsidRPr="00972FA1" w:rsidRDefault="00E10737" w:rsidP="009B48A1">
            <w:pPr>
              <w:ind w:left="0"/>
              <w:rPr>
                <w:sz w:val="18"/>
                <w:szCs w:val="18"/>
              </w:rPr>
            </w:pPr>
            <w:r w:rsidRPr="00926711">
              <w:rPr>
                <w:sz w:val="18"/>
                <w:szCs w:val="18"/>
              </w:rPr>
              <w:t>Počet vzniknutých start-up a spin-off podnikov (špecifický)</w:t>
            </w:r>
          </w:p>
        </w:tc>
        <w:tc>
          <w:tcPr>
            <w:tcW w:w="903" w:type="dxa"/>
            <w:shd w:val="clear" w:color="auto" w:fill="auto"/>
            <w:vAlign w:val="center"/>
          </w:tcPr>
          <w:p w14:paraId="0BBC3654"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4E7CD988" w14:textId="77777777" w:rsidR="00E10737" w:rsidRPr="009B48A1" w:rsidRDefault="00E10737" w:rsidP="004179DE">
            <w:pPr>
              <w:ind w:left="0"/>
              <w:jc w:val="center"/>
              <w:rPr>
                <w:i/>
                <w:sz w:val="18"/>
                <w:szCs w:val="18"/>
              </w:rPr>
            </w:pPr>
            <w:r w:rsidRPr="009B48A1">
              <w:rPr>
                <w:i/>
                <w:sz w:val="18"/>
                <w:szCs w:val="18"/>
              </w:rPr>
              <w:t>EFRR</w:t>
            </w:r>
          </w:p>
        </w:tc>
        <w:tc>
          <w:tcPr>
            <w:tcW w:w="1219" w:type="dxa"/>
            <w:shd w:val="clear" w:color="auto" w:fill="auto"/>
            <w:vAlign w:val="center"/>
          </w:tcPr>
          <w:p w14:paraId="26B205E8" w14:textId="77777777" w:rsidR="00E10737" w:rsidRPr="009B48A1" w:rsidRDefault="00E10737" w:rsidP="004179DE">
            <w:pPr>
              <w:ind w:left="0"/>
              <w:jc w:val="center"/>
              <w:rPr>
                <w:i/>
                <w:sz w:val="18"/>
                <w:szCs w:val="18"/>
              </w:rPr>
            </w:pPr>
            <w:r w:rsidRPr="009B48A1">
              <w:rPr>
                <w:i/>
                <w:sz w:val="18"/>
                <w:szCs w:val="18"/>
              </w:rPr>
              <w:t>Menej rozvinutý región</w:t>
            </w:r>
          </w:p>
        </w:tc>
        <w:tc>
          <w:tcPr>
            <w:tcW w:w="1236" w:type="dxa"/>
            <w:shd w:val="clear" w:color="auto" w:fill="auto"/>
            <w:vAlign w:val="center"/>
          </w:tcPr>
          <w:p w14:paraId="16996469" w14:textId="5B7CF7F3" w:rsidR="00E10737" w:rsidRPr="009B48A1" w:rsidRDefault="002D1464" w:rsidP="002D1464">
            <w:pPr>
              <w:ind w:left="0"/>
              <w:jc w:val="center"/>
              <w:rPr>
                <w:i/>
                <w:sz w:val="18"/>
                <w:szCs w:val="18"/>
              </w:rPr>
            </w:pPr>
            <w:r>
              <w:rPr>
                <w:i/>
                <w:sz w:val="18"/>
                <w:szCs w:val="18"/>
              </w:rPr>
              <w:t>15</w:t>
            </w:r>
          </w:p>
        </w:tc>
        <w:tc>
          <w:tcPr>
            <w:tcW w:w="1004" w:type="dxa"/>
            <w:vAlign w:val="center"/>
          </w:tcPr>
          <w:p w14:paraId="15ADBC6E" w14:textId="77777777" w:rsidR="00E10737" w:rsidRPr="009B48A1" w:rsidRDefault="00E10737" w:rsidP="004179DE">
            <w:pPr>
              <w:ind w:left="0"/>
              <w:jc w:val="center"/>
              <w:rPr>
                <w:i/>
                <w:sz w:val="18"/>
                <w:szCs w:val="18"/>
              </w:rPr>
            </w:pPr>
            <w:r w:rsidRPr="009B48A1">
              <w:rPr>
                <w:i/>
                <w:sz w:val="18"/>
                <w:szCs w:val="18"/>
              </w:rPr>
              <w:t>ITMS</w:t>
            </w:r>
          </w:p>
        </w:tc>
        <w:tc>
          <w:tcPr>
            <w:tcW w:w="1379" w:type="dxa"/>
            <w:vAlign w:val="center"/>
          </w:tcPr>
          <w:p w14:paraId="452288D9" w14:textId="77777777" w:rsidR="00E10737" w:rsidRPr="009B48A1" w:rsidRDefault="00E10737" w:rsidP="004179DE">
            <w:pPr>
              <w:ind w:left="0"/>
              <w:jc w:val="center"/>
              <w:rPr>
                <w:i/>
                <w:sz w:val="18"/>
                <w:szCs w:val="18"/>
              </w:rPr>
            </w:pPr>
            <w:r w:rsidRPr="009B48A1">
              <w:rPr>
                <w:i/>
                <w:sz w:val="18"/>
                <w:szCs w:val="18"/>
              </w:rPr>
              <w:t>Ročne</w:t>
            </w:r>
          </w:p>
        </w:tc>
      </w:tr>
    </w:tbl>
    <w:p w14:paraId="76D5323D" w14:textId="77777777" w:rsidR="00E10737" w:rsidRPr="000331A8" w:rsidRDefault="00E10737" w:rsidP="00E10737">
      <w:pPr>
        <w:rPr>
          <w:lang w:eastAsia="cs-CZ"/>
        </w:rPr>
      </w:pPr>
    </w:p>
    <w:p w14:paraId="6BF53915" w14:textId="77A45938" w:rsidR="00E10737" w:rsidRPr="00C151D7" w:rsidRDefault="00E10737" w:rsidP="00E10737">
      <w:pPr>
        <w:pStyle w:val="Nadpis3"/>
        <w:tabs>
          <w:tab w:val="clear" w:pos="709"/>
          <w:tab w:val="clear" w:pos="851"/>
        </w:tabs>
        <w:ind w:left="709" w:hanging="709"/>
        <w:jc w:val="both"/>
      </w:pPr>
      <w:bookmarkStart w:id="93" w:name="_Toc21945910"/>
      <w:bookmarkStart w:id="94" w:name="_Toc28951643"/>
      <w:r>
        <w:t xml:space="preserve">INVESTIČNÁ PRIORITA </w:t>
      </w:r>
      <w:r w:rsidR="0095656C">
        <w:t>1</w:t>
      </w:r>
      <w:r w:rsidR="002F6CE8">
        <w:t>b)</w:t>
      </w:r>
      <w:r>
        <w:t xml:space="preserve">: </w:t>
      </w:r>
      <w:r w:rsidRPr="00CD5E32">
        <w:t>Podpora investovania podnikov do výskumu a inovácie a vytvárania prepojení a synergií medzi podnikmi, centrami výskumu a vývoja a vysokoškolským vzdelávacím prostredím, najmä podpory investovania do vývoja produktov a služieb, prenosu technológií, sociálnej inovácie, ekologických inovácií, aplikácií verejných služieb, stimulácie dopytu, vytvárania sietí, zoskupení a otvorenej inovácie prostredníctvom inteligentnej špecializácie za</w:t>
      </w:r>
      <w:r>
        <w:t> </w:t>
      </w:r>
      <w:r w:rsidRPr="00CD5E32">
        <w:t>podpory technologického a aplikovaného výskumu, pilotných projektov, opatrení skorého overovania výrobkov, rozšírených výrobných kapacít, prvej výroby, najmä v základných podporných technológiách, a šírenia technológií na všeobecný účel</w:t>
      </w:r>
      <w:bookmarkEnd w:id="93"/>
      <w:bookmarkEnd w:id="94"/>
    </w:p>
    <w:p w14:paraId="399BBC43" w14:textId="77777777" w:rsidR="00E10737" w:rsidRDefault="00E10737" w:rsidP="00E10737">
      <w:pPr>
        <w:pStyle w:val="Nadpis4"/>
        <w:tabs>
          <w:tab w:val="clear" w:pos="709"/>
          <w:tab w:val="clear" w:pos="864"/>
        </w:tabs>
        <w:ind w:left="851" w:hanging="851"/>
      </w:pPr>
      <w:r w:rsidRPr="002B03EB">
        <w:t>Špecifické</w:t>
      </w:r>
      <w:r>
        <w:t xml:space="preserve"> ciele investičnej priority a očakávané výsledky</w:t>
      </w:r>
    </w:p>
    <w:p w14:paraId="269223E4" w14:textId="4BB9F193" w:rsidR="00E10737" w:rsidRDefault="00E10737" w:rsidP="00E10737">
      <w:pPr>
        <w:shd w:val="clear" w:color="auto" w:fill="FFFFCC"/>
        <w:jc w:val="both"/>
        <w:rPr>
          <w:b/>
          <w:i/>
        </w:rPr>
      </w:pPr>
      <w:r w:rsidRPr="004F0234">
        <w:rPr>
          <w:i/>
        </w:rPr>
        <w:t xml:space="preserve">ŠPECIFICKÝ CIEĽ </w:t>
      </w:r>
      <w:r>
        <w:rPr>
          <w:i/>
        </w:rPr>
        <w:t>9.</w:t>
      </w:r>
      <w:r w:rsidR="00A1452D">
        <w:rPr>
          <w:i/>
        </w:rPr>
        <w:t>4</w:t>
      </w:r>
      <w:r w:rsidRPr="004F0234">
        <w:rPr>
          <w:i/>
        </w:rPr>
        <w:t>:</w:t>
      </w:r>
      <w:r>
        <w:rPr>
          <w:i/>
        </w:rPr>
        <w:t xml:space="preserve"> </w:t>
      </w:r>
      <w:r w:rsidRPr="00CD5E32">
        <w:rPr>
          <w:b/>
          <w:i/>
        </w:rPr>
        <w:t>Zvýšenie súkromných investícií prostredníctvom spolupráce výskumných inštitúcií a podnikateľskej sféry</w:t>
      </w:r>
    </w:p>
    <w:p w14:paraId="4F77BB97" w14:textId="77777777" w:rsidR="00E10737" w:rsidRDefault="00E10737" w:rsidP="00E10737">
      <w:pPr>
        <w:rPr>
          <w:b/>
          <w:i/>
        </w:rPr>
      </w:pPr>
    </w:p>
    <w:p w14:paraId="3F6480EC" w14:textId="77777777" w:rsidR="00E10737" w:rsidRDefault="00E10737" w:rsidP="00E10737">
      <w:pPr>
        <w:jc w:val="both"/>
        <w:rPr>
          <w:sz w:val="22"/>
          <w:szCs w:val="22"/>
        </w:rPr>
      </w:pPr>
      <w:r w:rsidRPr="00CF79E0">
        <w:rPr>
          <w:sz w:val="22"/>
          <w:szCs w:val="22"/>
        </w:rPr>
        <w:lastRenderedPageBreak/>
        <w:t>Špecifický cieľ je zameraný na podporu spoločného kolaboratívneho VaV a partnerstiev podnikateľského sektora a výskumných inštitúcii formou dlhodobých projektov strategického výskumu individuálnych výskumno-vývojových centier v doménach i</w:t>
      </w:r>
      <w:r>
        <w:rPr>
          <w:sz w:val="22"/>
          <w:szCs w:val="22"/>
        </w:rPr>
        <w:t xml:space="preserve">nteligentnej špecializácie RIS3 </w:t>
      </w:r>
      <w:r w:rsidRPr="00CF79E0">
        <w:rPr>
          <w:sz w:val="22"/>
          <w:szCs w:val="22"/>
        </w:rPr>
        <w:t>SK, ktoré sú kľúčovým prvkom pre zvýšenie kvality a kvantity výs</w:t>
      </w:r>
      <w:r>
        <w:rPr>
          <w:sz w:val="22"/>
          <w:szCs w:val="22"/>
        </w:rPr>
        <w:t>tupov v oblasti príspevku VaV k </w:t>
      </w:r>
      <w:r w:rsidRPr="00CF79E0">
        <w:rPr>
          <w:sz w:val="22"/>
          <w:szCs w:val="22"/>
        </w:rPr>
        <w:t>hospodárskemu rastu SR.</w:t>
      </w:r>
    </w:p>
    <w:p w14:paraId="0DB2BB40" w14:textId="77777777" w:rsidR="00E10737"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1CC62DBD" w14:textId="77777777" w:rsidR="00E10737" w:rsidRDefault="00E10737" w:rsidP="00E10737">
      <w:pPr>
        <w:spacing w:before="180" w:after="120"/>
        <w:jc w:val="both"/>
        <w:rPr>
          <w:sz w:val="22"/>
          <w:szCs w:val="22"/>
        </w:rPr>
      </w:pPr>
      <w:r w:rsidRPr="00D01B24">
        <w:rPr>
          <w:sz w:val="22"/>
          <w:szCs w:val="22"/>
        </w:rPr>
        <w:t>Vzhľadom na povahu podporených projektov – t. j. rôznych foriem partnerstiev medzi vedecko- výskumnou sférou a priemyslom, v rámci ktorých bude realizovaný VaV sa očakáva/jú:</w:t>
      </w:r>
    </w:p>
    <w:p w14:paraId="79D57AEE" w14:textId="77777777" w:rsidR="00E10737" w:rsidRPr="00D01B24" w:rsidRDefault="00E10737" w:rsidP="00FA2C7D">
      <w:pPr>
        <w:pStyle w:val="Odsekzoznamu"/>
        <w:numPr>
          <w:ilvl w:val="0"/>
          <w:numId w:val="136"/>
        </w:numPr>
        <w:ind w:left="709" w:hanging="425"/>
        <w:jc w:val="both"/>
        <w:rPr>
          <w:sz w:val="22"/>
          <w:szCs w:val="22"/>
        </w:rPr>
      </w:pPr>
      <w:r w:rsidRPr="00D01B24">
        <w:rPr>
          <w:sz w:val="22"/>
          <w:szCs w:val="22"/>
        </w:rPr>
        <w:t>zvýšený objem súkromných investícií do VaV;</w:t>
      </w:r>
    </w:p>
    <w:p w14:paraId="0DDA0369" w14:textId="77777777" w:rsidR="00E10737" w:rsidRPr="00D01B24" w:rsidRDefault="00E10737" w:rsidP="00FA2C7D">
      <w:pPr>
        <w:pStyle w:val="Odsekzoznamu"/>
        <w:numPr>
          <w:ilvl w:val="0"/>
          <w:numId w:val="136"/>
        </w:numPr>
        <w:ind w:left="709" w:hanging="425"/>
        <w:jc w:val="both"/>
        <w:rPr>
          <w:sz w:val="22"/>
          <w:szCs w:val="22"/>
        </w:rPr>
      </w:pPr>
      <w:r w:rsidRPr="00D01B24">
        <w:rPr>
          <w:sz w:val="22"/>
          <w:szCs w:val="22"/>
        </w:rPr>
        <w:t>výstupy projektov následne využiteľné v rámci technologických inovácií v priemysle, ktoré vyústia do nových výrobkov a služieb;</w:t>
      </w:r>
    </w:p>
    <w:p w14:paraId="7FC18BDD" w14:textId="77777777" w:rsidR="00E10737" w:rsidRPr="00D01B24" w:rsidRDefault="00E10737" w:rsidP="00FA2C7D">
      <w:pPr>
        <w:pStyle w:val="Odsekzoznamu"/>
        <w:numPr>
          <w:ilvl w:val="0"/>
          <w:numId w:val="136"/>
        </w:numPr>
        <w:ind w:left="709" w:hanging="425"/>
        <w:jc w:val="both"/>
        <w:rPr>
          <w:sz w:val="22"/>
          <w:szCs w:val="22"/>
        </w:rPr>
      </w:pPr>
      <w:r w:rsidRPr="00D01B24">
        <w:rPr>
          <w:sz w:val="22"/>
          <w:szCs w:val="22"/>
        </w:rPr>
        <w:t>kreovania nových firiem aj prostredníctvom inkubátorov v prostredí univerzitných vedeckých parkov</w:t>
      </w:r>
      <w:r>
        <w:rPr>
          <w:sz w:val="22"/>
          <w:szCs w:val="22"/>
        </w:rPr>
        <w:t>;</w:t>
      </w:r>
    </w:p>
    <w:p w14:paraId="3F1F8A62" w14:textId="77777777" w:rsidR="00E10737" w:rsidRPr="00CF79E0" w:rsidRDefault="00E10737" w:rsidP="00FA2C7D">
      <w:pPr>
        <w:pStyle w:val="Odsekzoznamu"/>
        <w:numPr>
          <w:ilvl w:val="0"/>
          <w:numId w:val="136"/>
        </w:numPr>
        <w:ind w:left="709" w:hanging="425"/>
        <w:jc w:val="both"/>
        <w:rPr>
          <w:sz w:val="22"/>
          <w:szCs w:val="22"/>
        </w:rPr>
      </w:pPr>
      <w:r w:rsidRPr="00D01B24">
        <w:rPr>
          <w:sz w:val="22"/>
          <w:szCs w:val="22"/>
        </w:rPr>
        <w:t>vytváranie nových pracovných miest vo vedeckých parkoch.</w:t>
      </w:r>
    </w:p>
    <w:p w14:paraId="380C9710" w14:textId="3C9CBA87" w:rsidR="00E10737" w:rsidRDefault="00E10737" w:rsidP="00E10737">
      <w:pPr>
        <w:pStyle w:val="Tab"/>
        <w:tabs>
          <w:tab w:val="clear" w:pos="0"/>
          <w:tab w:val="clear" w:pos="851"/>
        </w:tabs>
      </w:pPr>
      <w:r w:rsidRPr="00BE4E38">
        <w:t xml:space="preserve">Špecifické ukazovatele výsledkov programu zodpovedajúce špecifickému cieľu </w:t>
      </w:r>
      <w:r>
        <w:t>9</w:t>
      </w:r>
      <w:r w:rsidRPr="00BE4E38">
        <w:t>.</w:t>
      </w:r>
      <w:r w:rsidR="00A1452D">
        <w:t>4</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11"/>
        <w:gridCol w:w="993"/>
        <w:gridCol w:w="1081"/>
        <w:gridCol w:w="1297"/>
        <w:gridCol w:w="1024"/>
        <w:gridCol w:w="850"/>
        <w:gridCol w:w="992"/>
        <w:gridCol w:w="1241"/>
      </w:tblGrid>
      <w:tr w:rsidR="00E10737" w:rsidRPr="008C1732" w14:paraId="1481906C" w14:textId="77777777" w:rsidTr="004179DE">
        <w:trPr>
          <w:trHeight w:val="487"/>
          <w:jc w:val="center"/>
        </w:trPr>
        <w:tc>
          <w:tcPr>
            <w:tcW w:w="598" w:type="dxa"/>
            <w:shd w:val="clear" w:color="auto" w:fill="C6D9F1" w:themeFill="text2" w:themeFillTint="33"/>
            <w:vAlign w:val="center"/>
          </w:tcPr>
          <w:p w14:paraId="560C02E6" w14:textId="77777777" w:rsidR="00E10737" w:rsidRPr="008C1732" w:rsidRDefault="00E10737" w:rsidP="004179DE">
            <w:pPr>
              <w:ind w:left="0"/>
              <w:jc w:val="center"/>
              <w:rPr>
                <w:b/>
                <w:sz w:val="18"/>
                <w:szCs w:val="18"/>
              </w:rPr>
            </w:pPr>
            <w:r>
              <w:rPr>
                <w:b/>
                <w:sz w:val="18"/>
                <w:szCs w:val="18"/>
              </w:rPr>
              <w:t>ID</w:t>
            </w:r>
          </w:p>
        </w:tc>
        <w:tc>
          <w:tcPr>
            <w:tcW w:w="1211" w:type="dxa"/>
            <w:shd w:val="clear" w:color="auto" w:fill="C6D9F1" w:themeFill="text2" w:themeFillTint="33"/>
            <w:vAlign w:val="center"/>
          </w:tcPr>
          <w:p w14:paraId="25D81357" w14:textId="77777777" w:rsidR="00E10737" w:rsidRPr="008C1732" w:rsidRDefault="00E10737" w:rsidP="004179DE">
            <w:pPr>
              <w:ind w:left="0"/>
              <w:jc w:val="center"/>
              <w:rPr>
                <w:b/>
                <w:sz w:val="18"/>
                <w:szCs w:val="18"/>
              </w:rPr>
            </w:pPr>
            <w:r w:rsidRPr="008C1732">
              <w:rPr>
                <w:b/>
                <w:sz w:val="18"/>
                <w:szCs w:val="18"/>
              </w:rPr>
              <w:t>Ukazovateľ</w:t>
            </w:r>
          </w:p>
        </w:tc>
        <w:tc>
          <w:tcPr>
            <w:tcW w:w="993" w:type="dxa"/>
            <w:shd w:val="clear" w:color="auto" w:fill="C6D9F1" w:themeFill="text2" w:themeFillTint="33"/>
            <w:vAlign w:val="center"/>
          </w:tcPr>
          <w:p w14:paraId="6D6AA5A7" w14:textId="77777777" w:rsidR="00E10737" w:rsidRPr="008C1732" w:rsidRDefault="00E10737" w:rsidP="004179DE">
            <w:pPr>
              <w:ind w:left="0"/>
              <w:jc w:val="center"/>
              <w:rPr>
                <w:b/>
                <w:sz w:val="18"/>
                <w:szCs w:val="18"/>
              </w:rPr>
            </w:pPr>
            <w:r w:rsidRPr="008C1732">
              <w:rPr>
                <w:b/>
                <w:sz w:val="18"/>
                <w:szCs w:val="18"/>
              </w:rPr>
              <w:t>Merná jednotka</w:t>
            </w:r>
          </w:p>
        </w:tc>
        <w:tc>
          <w:tcPr>
            <w:tcW w:w="1081" w:type="dxa"/>
            <w:shd w:val="clear" w:color="auto" w:fill="C6D9F1" w:themeFill="text2" w:themeFillTint="33"/>
            <w:vAlign w:val="center"/>
          </w:tcPr>
          <w:p w14:paraId="2F61E896"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5A249224" w14:textId="77777777" w:rsidR="00E10737" w:rsidRPr="008C1732" w:rsidRDefault="00E10737" w:rsidP="004179DE">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48074C24" w14:textId="77777777" w:rsidR="00E10737" w:rsidRPr="008C1732" w:rsidRDefault="00E10737" w:rsidP="004179DE">
            <w:pPr>
              <w:ind w:left="0"/>
              <w:jc w:val="center"/>
              <w:rPr>
                <w:b/>
                <w:sz w:val="18"/>
                <w:szCs w:val="18"/>
              </w:rPr>
            </w:pPr>
            <w:r>
              <w:rPr>
                <w:b/>
                <w:sz w:val="18"/>
                <w:szCs w:val="18"/>
              </w:rPr>
              <w:t>Východiskový rok</w:t>
            </w:r>
          </w:p>
        </w:tc>
        <w:tc>
          <w:tcPr>
            <w:tcW w:w="850" w:type="dxa"/>
            <w:shd w:val="clear" w:color="auto" w:fill="C6D9F1" w:themeFill="text2" w:themeFillTint="33"/>
            <w:vAlign w:val="center"/>
          </w:tcPr>
          <w:p w14:paraId="5B00CB7B" w14:textId="77777777" w:rsidR="00E10737" w:rsidRPr="008C1732" w:rsidRDefault="00E10737" w:rsidP="004179DE">
            <w:pPr>
              <w:ind w:left="0"/>
              <w:jc w:val="center"/>
              <w:rPr>
                <w:b/>
                <w:sz w:val="18"/>
                <w:szCs w:val="18"/>
              </w:rPr>
            </w:pPr>
            <w:r w:rsidRPr="008C1732">
              <w:rPr>
                <w:b/>
                <w:sz w:val="18"/>
                <w:szCs w:val="18"/>
              </w:rPr>
              <w:t>Cieľová hodnota (2023)</w:t>
            </w:r>
          </w:p>
        </w:tc>
        <w:tc>
          <w:tcPr>
            <w:tcW w:w="992" w:type="dxa"/>
            <w:shd w:val="clear" w:color="auto" w:fill="C6D9F1" w:themeFill="text2" w:themeFillTint="33"/>
            <w:vAlign w:val="center"/>
          </w:tcPr>
          <w:p w14:paraId="488B15AF" w14:textId="77777777" w:rsidR="00E10737" w:rsidRPr="008C1732" w:rsidRDefault="00E10737" w:rsidP="004179DE">
            <w:pPr>
              <w:ind w:left="0"/>
              <w:jc w:val="center"/>
              <w:rPr>
                <w:b/>
                <w:sz w:val="18"/>
                <w:szCs w:val="18"/>
              </w:rPr>
            </w:pPr>
            <w:r w:rsidRPr="008C1732">
              <w:rPr>
                <w:b/>
                <w:sz w:val="18"/>
                <w:szCs w:val="18"/>
              </w:rPr>
              <w:t>Zdroj údajov</w:t>
            </w:r>
          </w:p>
        </w:tc>
        <w:tc>
          <w:tcPr>
            <w:tcW w:w="1241" w:type="dxa"/>
            <w:shd w:val="clear" w:color="auto" w:fill="C6D9F1" w:themeFill="text2" w:themeFillTint="33"/>
            <w:vAlign w:val="center"/>
          </w:tcPr>
          <w:p w14:paraId="1ACBB8E9"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2EC2D3BC" w14:textId="77777777" w:rsidTr="004179DE">
        <w:trPr>
          <w:cantSplit/>
          <w:trHeight w:val="1134"/>
          <w:jc w:val="center"/>
        </w:trPr>
        <w:tc>
          <w:tcPr>
            <w:tcW w:w="598" w:type="dxa"/>
            <w:shd w:val="clear" w:color="auto" w:fill="auto"/>
            <w:textDirection w:val="btLr"/>
            <w:vAlign w:val="center"/>
          </w:tcPr>
          <w:p w14:paraId="498E478A" w14:textId="77777777" w:rsidR="00E10737" w:rsidRPr="00774BE9" w:rsidRDefault="00E10737" w:rsidP="004179DE">
            <w:pPr>
              <w:ind w:left="113" w:right="113"/>
              <w:jc w:val="center"/>
              <w:rPr>
                <w:sz w:val="18"/>
                <w:szCs w:val="18"/>
              </w:rPr>
            </w:pPr>
            <w:r w:rsidRPr="00774BE9">
              <w:rPr>
                <w:sz w:val="18"/>
                <w:szCs w:val="18"/>
              </w:rPr>
              <w:t>R0044</w:t>
            </w:r>
          </w:p>
        </w:tc>
        <w:tc>
          <w:tcPr>
            <w:tcW w:w="1211" w:type="dxa"/>
            <w:shd w:val="clear" w:color="auto" w:fill="auto"/>
            <w:vAlign w:val="center"/>
          </w:tcPr>
          <w:p w14:paraId="725B5DD5" w14:textId="77777777" w:rsidR="00E10737" w:rsidRPr="00774BE9" w:rsidRDefault="00E10737" w:rsidP="004179DE">
            <w:pPr>
              <w:ind w:left="0"/>
              <w:rPr>
                <w:sz w:val="18"/>
                <w:szCs w:val="18"/>
              </w:rPr>
            </w:pPr>
            <w:r w:rsidRPr="00774BE9">
              <w:rPr>
                <w:sz w:val="18"/>
                <w:szCs w:val="18"/>
              </w:rPr>
              <w:t>Výška súkromných investícií na výskum a vývoj v SR okrem Bratislavského kraja</w:t>
            </w:r>
          </w:p>
        </w:tc>
        <w:tc>
          <w:tcPr>
            <w:tcW w:w="993" w:type="dxa"/>
            <w:shd w:val="clear" w:color="auto" w:fill="auto"/>
            <w:vAlign w:val="center"/>
          </w:tcPr>
          <w:p w14:paraId="362BB961" w14:textId="77777777" w:rsidR="00E10737" w:rsidRPr="009B48A1" w:rsidRDefault="00E10737" w:rsidP="004179DE">
            <w:pPr>
              <w:ind w:left="0"/>
              <w:jc w:val="center"/>
              <w:rPr>
                <w:i/>
                <w:sz w:val="18"/>
                <w:szCs w:val="18"/>
              </w:rPr>
            </w:pPr>
            <w:r w:rsidRPr="009B48A1">
              <w:rPr>
                <w:i/>
                <w:sz w:val="18"/>
                <w:szCs w:val="18"/>
              </w:rPr>
              <w:t>EUR</w:t>
            </w:r>
          </w:p>
        </w:tc>
        <w:tc>
          <w:tcPr>
            <w:tcW w:w="1081" w:type="dxa"/>
            <w:shd w:val="clear" w:color="auto" w:fill="auto"/>
            <w:vAlign w:val="center"/>
          </w:tcPr>
          <w:p w14:paraId="46738199" w14:textId="77777777" w:rsidR="00E10737" w:rsidRPr="009B48A1" w:rsidRDefault="00E10737" w:rsidP="004179DE">
            <w:pPr>
              <w:ind w:left="0"/>
              <w:jc w:val="center"/>
              <w:rPr>
                <w:i/>
                <w:sz w:val="18"/>
                <w:szCs w:val="18"/>
              </w:rPr>
            </w:pPr>
            <w:r w:rsidRPr="009B48A1">
              <w:rPr>
                <w:i/>
                <w:sz w:val="18"/>
                <w:szCs w:val="18"/>
              </w:rPr>
              <w:t>Menej rozvinutý región</w:t>
            </w:r>
          </w:p>
        </w:tc>
        <w:tc>
          <w:tcPr>
            <w:tcW w:w="1297" w:type="dxa"/>
            <w:vAlign w:val="center"/>
          </w:tcPr>
          <w:p w14:paraId="583FAFBC" w14:textId="77777777" w:rsidR="00E10737" w:rsidRPr="009B48A1" w:rsidRDefault="00E10737" w:rsidP="004179DE">
            <w:pPr>
              <w:ind w:left="0"/>
              <w:jc w:val="center"/>
              <w:rPr>
                <w:i/>
                <w:sz w:val="18"/>
                <w:szCs w:val="18"/>
              </w:rPr>
            </w:pPr>
            <w:r w:rsidRPr="009B48A1">
              <w:rPr>
                <w:i/>
                <w:sz w:val="18"/>
                <w:szCs w:val="18"/>
              </w:rPr>
              <w:t>100 835 000</w:t>
            </w:r>
          </w:p>
        </w:tc>
        <w:tc>
          <w:tcPr>
            <w:tcW w:w="1024" w:type="dxa"/>
            <w:vAlign w:val="center"/>
          </w:tcPr>
          <w:p w14:paraId="1E45A161" w14:textId="77777777" w:rsidR="00E10737" w:rsidRPr="009B48A1" w:rsidRDefault="00E10737" w:rsidP="004179DE">
            <w:pPr>
              <w:ind w:left="0"/>
              <w:jc w:val="center"/>
              <w:rPr>
                <w:i/>
                <w:sz w:val="18"/>
                <w:szCs w:val="18"/>
              </w:rPr>
            </w:pPr>
            <w:r w:rsidRPr="009B48A1">
              <w:rPr>
                <w:i/>
                <w:sz w:val="18"/>
                <w:szCs w:val="18"/>
              </w:rPr>
              <w:t>2012</w:t>
            </w:r>
          </w:p>
        </w:tc>
        <w:tc>
          <w:tcPr>
            <w:tcW w:w="850" w:type="dxa"/>
            <w:shd w:val="clear" w:color="auto" w:fill="auto"/>
            <w:vAlign w:val="center"/>
          </w:tcPr>
          <w:p w14:paraId="704CD729" w14:textId="77777777" w:rsidR="00E10737" w:rsidRPr="009B48A1" w:rsidRDefault="00E10737" w:rsidP="004179DE">
            <w:pPr>
              <w:ind w:left="0"/>
              <w:jc w:val="center"/>
              <w:rPr>
                <w:i/>
                <w:sz w:val="18"/>
                <w:szCs w:val="18"/>
              </w:rPr>
            </w:pPr>
            <w:r w:rsidRPr="009B48A1">
              <w:rPr>
                <w:i/>
                <w:sz w:val="18"/>
                <w:szCs w:val="18"/>
              </w:rPr>
              <w:t>150 000 000</w:t>
            </w:r>
          </w:p>
        </w:tc>
        <w:tc>
          <w:tcPr>
            <w:tcW w:w="992" w:type="dxa"/>
            <w:vAlign w:val="center"/>
          </w:tcPr>
          <w:p w14:paraId="4EE72054" w14:textId="77777777" w:rsidR="00E10737" w:rsidRPr="009B48A1" w:rsidRDefault="00E10737" w:rsidP="00351D17">
            <w:pPr>
              <w:pStyle w:val="TableParagraph"/>
              <w:ind w:left="0"/>
              <w:jc w:val="center"/>
              <w:rPr>
                <w:i/>
                <w:sz w:val="18"/>
                <w:szCs w:val="18"/>
              </w:rPr>
            </w:pPr>
            <w:r w:rsidRPr="009B48A1">
              <w:rPr>
                <w:rFonts w:ascii="Times New Roman" w:hAnsi="Times New Roman" w:cs="Times New Roman"/>
                <w:i/>
                <w:spacing w:val="-2"/>
                <w:w w:val="105"/>
                <w:sz w:val="18"/>
                <w:szCs w:val="18"/>
              </w:rPr>
              <w:t>ŠÚ SR</w:t>
            </w:r>
          </w:p>
        </w:tc>
        <w:tc>
          <w:tcPr>
            <w:tcW w:w="1241" w:type="dxa"/>
            <w:vAlign w:val="center"/>
          </w:tcPr>
          <w:p w14:paraId="13D007AA" w14:textId="77777777" w:rsidR="00E10737" w:rsidRPr="009B48A1" w:rsidRDefault="00E10737" w:rsidP="004179DE">
            <w:pPr>
              <w:ind w:left="0"/>
              <w:jc w:val="center"/>
              <w:rPr>
                <w:i/>
                <w:sz w:val="18"/>
                <w:szCs w:val="18"/>
              </w:rPr>
            </w:pPr>
            <w:r w:rsidRPr="009B48A1">
              <w:rPr>
                <w:i/>
                <w:sz w:val="18"/>
                <w:szCs w:val="18"/>
              </w:rPr>
              <w:t>Ročne</w:t>
            </w:r>
          </w:p>
        </w:tc>
      </w:tr>
    </w:tbl>
    <w:p w14:paraId="03419803" w14:textId="77777777" w:rsidR="00E10737" w:rsidRDefault="00E10737" w:rsidP="00E10737">
      <w:pPr>
        <w:rPr>
          <w:sz w:val="22"/>
          <w:szCs w:val="22"/>
        </w:rPr>
      </w:pPr>
    </w:p>
    <w:p w14:paraId="06714DDC" w14:textId="4D663F23" w:rsidR="00E10737" w:rsidRDefault="00E10737" w:rsidP="00E10737">
      <w:pPr>
        <w:shd w:val="clear" w:color="auto" w:fill="FFFFCC"/>
        <w:jc w:val="both"/>
        <w:rPr>
          <w:b/>
          <w:i/>
        </w:rPr>
      </w:pPr>
      <w:r w:rsidRPr="004F0234">
        <w:rPr>
          <w:i/>
        </w:rPr>
        <w:t xml:space="preserve">ŠPECIFICKÝ CIEĽ </w:t>
      </w:r>
      <w:r>
        <w:rPr>
          <w:i/>
        </w:rPr>
        <w:t>9.</w:t>
      </w:r>
      <w:r w:rsidR="00A1452D">
        <w:rPr>
          <w:i/>
        </w:rPr>
        <w:t>5</w:t>
      </w:r>
      <w:r>
        <w:rPr>
          <w:i/>
        </w:rPr>
        <w:t xml:space="preserve">: </w:t>
      </w:r>
      <w:r w:rsidRPr="00C151D7">
        <w:rPr>
          <w:b/>
          <w:i/>
        </w:rPr>
        <w:t>Rast výskumno-vývojových a i</w:t>
      </w:r>
      <w:r>
        <w:rPr>
          <w:b/>
          <w:i/>
        </w:rPr>
        <w:t>novačných kapacít v priemysle a </w:t>
      </w:r>
      <w:r w:rsidRPr="00C151D7">
        <w:rPr>
          <w:b/>
          <w:i/>
        </w:rPr>
        <w:t>službách</w:t>
      </w:r>
    </w:p>
    <w:p w14:paraId="43C4AF31" w14:textId="77777777" w:rsidR="00E10737" w:rsidRDefault="00E10737" w:rsidP="00E10737">
      <w:pPr>
        <w:rPr>
          <w:b/>
          <w:i/>
        </w:rPr>
      </w:pPr>
    </w:p>
    <w:p w14:paraId="6B81B318" w14:textId="77777777" w:rsidR="00E10737" w:rsidRDefault="00E10737" w:rsidP="00E10737">
      <w:pPr>
        <w:jc w:val="both"/>
        <w:rPr>
          <w:sz w:val="22"/>
          <w:szCs w:val="22"/>
        </w:rPr>
      </w:pPr>
      <w:r w:rsidRPr="00C151D7">
        <w:rPr>
          <w:sz w:val="22"/>
          <w:szCs w:val="22"/>
        </w:rPr>
        <w:t>Špecifický cieľ je zameraný na podporu výskumno-vývojových a</w:t>
      </w:r>
      <w:r>
        <w:rPr>
          <w:sz w:val="22"/>
          <w:szCs w:val="22"/>
        </w:rPr>
        <w:t xml:space="preserve"> inovačných aktivít podnikov, s </w:t>
      </w:r>
      <w:r w:rsidRPr="00C151D7">
        <w:rPr>
          <w:sz w:val="22"/>
          <w:szCs w:val="22"/>
        </w:rPr>
        <w:t>cieľom zvýšiť ich konkurencieschopnosť v medzinárodnom/globálnom meradle. V rámci špecifického cieľa budú podporované aktivity zamerané na budovanie a rozvoj výskumno-vývojových a inovačných kapacít v podnikoch, ako aj projekty s inovačným potenciálom. Podporované budú MSP, ale aj veľké podniky. Prioritnou je však podpora MSP.</w:t>
      </w:r>
    </w:p>
    <w:p w14:paraId="69C09B80" w14:textId="77777777" w:rsidR="00E10737"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1D1A5A0A" w14:textId="77777777" w:rsidR="00E10737" w:rsidRPr="00CF79E0" w:rsidRDefault="00E10737" w:rsidP="00E10737">
      <w:pPr>
        <w:pStyle w:val="Odsekzoznamu"/>
        <w:numPr>
          <w:ilvl w:val="0"/>
          <w:numId w:val="155"/>
        </w:numPr>
        <w:rPr>
          <w:sz w:val="22"/>
          <w:szCs w:val="22"/>
        </w:rPr>
      </w:pPr>
      <w:r w:rsidRPr="00CF79E0">
        <w:rPr>
          <w:sz w:val="22"/>
          <w:szCs w:val="22"/>
        </w:rPr>
        <w:t>zvýšenie podielu podnikov uplatňujúcich výskum, vývoj a inovácie;</w:t>
      </w:r>
    </w:p>
    <w:p w14:paraId="16FCF1A0" w14:textId="77777777" w:rsidR="00E10737" w:rsidRPr="00CF79E0" w:rsidRDefault="00E10737" w:rsidP="00E10737">
      <w:pPr>
        <w:pStyle w:val="Odsekzoznamu"/>
        <w:numPr>
          <w:ilvl w:val="0"/>
          <w:numId w:val="155"/>
        </w:numPr>
        <w:rPr>
          <w:sz w:val="22"/>
          <w:szCs w:val="22"/>
        </w:rPr>
      </w:pPr>
      <w:r w:rsidRPr="00CF79E0">
        <w:rPr>
          <w:sz w:val="22"/>
          <w:szCs w:val="22"/>
        </w:rPr>
        <w:t>zvýšenie miery konkurencieschopnosti podnikov;</w:t>
      </w:r>
    </w:p>
    <w:p w14:paraId="00CE3F40" w14:textId="77777777" w:rsidR="00E10737" w:rsidRPr="00CF79E0" w:rsidRDefault="00E10737" w:rsidP="00E10737">
      <w:pPr>
        <w:pStyle w:val="Odsekzoznamu"/>
        <w:numPr>
          <w:ilvl w:val="0"/>
          <w:numId w:val="155"/>
        </w:numPr>
        <w:rPr>
          <w:sz w:val="22"/>
          <w:szCs w:val="22"/>
        </w:rPr>
      </w:pPr>
      <w:r w:rsidRPr="00CF79E0">
        <w:rPr>
          <w:sz w:val="22"/>
          <w:szCs w:val="22"/>
        </w:rPr>
        <w:t>zníženie miery nezamestnanosti v regiónoch SR;</w:t>
      </w:r>
    </w:p>
    <w:p w14:paraId="035D2F9A" w14:textId="77777777" w:rsidR="00E10737" w:rsidRPr="00CF79E0" w:rsidRDefault="00E10737" w:rsidP="00E10737">
      <w:pPr>
        <w:pStyle w:val="Odsekzoznamu"/>
        <w:numPr>
          <w:ilvl w:val="0"/>
          <w:numId w:val="155"/>
        </w:numPr>
        <w:rPr>
          <w:sz w:val="22"/>
          <w:szCs w:val="22"/>
        </w:rPr>
      </w:pPr>
      <w:r w:rsidRPr="00CF79E0">
        <w:rPr>
          <w:sz w:val="22"/>
          <w:szCs w:val="22"/>
        </w:rPr>
        <w:t>zvýšenie využívania ochrany práv duševného vlastníctva podnikmi;</w:t>
      </w:r>
    </w:p>
    <w:p w14:paraId="28F7E703" w14:textId="77777777" w:rsidR="00E10737" w:rsidRPr="00CF79E0" w:rsidRDefault="00E10737" w:rsidP="00E10737">
      <w:pPr>
        <w:pStyle w:val="Odsekzoznamu"/>
        <w:numPr>
          <w:ilvl w:val="0"/>
          <w:numId w:val="155"/>
        </w:numPr>
        <w:rPr>
          <w:sz w:val="22"/>
          <w:szCs w:val="22"/>
        </w:rPr>
      </w:pPr>
      <w:r w:rsidRPr="00CF79E0">
        <w:rPr>
          <w:sz w:val="22"/>
          <w:szCs w:val="22"/>
        </w:rPr>
        <w:t>zvýšenie využívania nových biznis modelov.</w:t>
      </w:r>
    </w:p>
    <w:p w14:paraId="496628AD" w14:textId="0D15963D" w:rsidR="00E10737" w:rsidRDefault="00E10737" w:rsidP="00E10737">
      <w:pPr>
        <w:pStyle w:val="Tab"/>
        <w:tabs>
          <w:tab w:val="clear" w:pos="0"/>
          <w:tab w:val="clear" w:pos="851"/>
        </w:tabs>
      </w:pPr>
      <w:r w:rsidRPr="00BE4E38">
        <w:t xml:space="preserve">Špecifické ukazovatele výsledkov programu zodpovedajúce špecifickému cieľu </w:t>
      </w:r>
      <w:r>
        <w:t>9</w:t>
      </w:r>
      <w:r w:rsidRPr="00BE4E38">
        <w:t>.</w:t>
      </w:r>
      <w:r w:rsidR="00A1452D">
        <w:t>5</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11"/>
        <w:gridCol w:w="993"/>
        <w:gridCol w:w="1081"/>
        <w:gridCol w:w="1297"/>
        <w:gridCol w:w="1024"/>
        <w:gridCol w:w="850"/>
        <w:gridCol w:w="1134"/>
        <w:gridCol w:w="1099"/>
      </w:tblGrid>
      <w:tr w:rsidR="00E10737" w:rsidRPr="008C1732" w14:paraId="3E48C312" w14:textId="77777777" w:rsidTr="004179DE">
        <w:trPr>
          <w:trHeight w:val="487"/>
          <w:jc w:val="center"/>
        </w:trPr>
        <w:tc>
          <w:tcPr>
            <w:tcW w:w="598" w:type="dxa"/>
            <w:shd w:val="clear" w:color="auto" w:fill="C6D9F1" w:themeFill="text2" w:themeFillTint="33"/>
            <w:vAlign w:val="center"/>
          </w:tcPr>
          <w:p w14:paraId="6F335371" w14:textId="77777777" w:rsidR="00E10737" w:rsidRPr="008C1732" w:rsidRDefault="00E10737" w:rsidP="004179DE">
            <w:pPr>
              <w:ind w:left="0"/>
              <w:jc w:val="center"/>
              <w:rPr>
                <w:b/>
                <w:sz w:val="18"/>
                <w:szCs w:val="18"/>
              </w:rPr>
            </w:pPr>
            <w:r>
              <w:rPr>
                <w:b/>
                <w:sz w:val="18"/>
                <w:szCs w:val="18"/>
              </w:rPr>
              <w:t>ID</w:t>
            </w:r>
          </w:p>
        </w:tc>
        <w:tc>
          <w:tcPr>
            <w:tcW w:w="1211" w:type="dxa"/>
            <w:shd w:val="clear" w:color="auto" w:fill="C6D9F1" w:themeFill="text2" w:themeFillTint="33"/>
            <w:vAlign w:val="center"/>
          </w:tcPr>
          <w:p w14:paraId="1F150F70" w14:textId="77777777" w:rsidR="00E10737" w:rsidRPr="008C1732" w:rsidRDefault="00E10737" w:rsidP="004179DE">
            <w:pPr>
              <w:ind w:left="0"/>
              <w:jc w:val="center"/>
              <w:rPr>
                <w:b/>
                <w:sz w:val="18"/>
                <w:szCs w:val="18"/>
              </w:rPr>
            </w:pPr>
            <w:r w:rsidRPr="008C1732">
              <w:rPr>
                <w:b/>
                <w:sz w:val="18"/>
                <w:szCs w:val="18"/>
              </w:rPr>
              <w:t>Ukazovateľ</w:t>
            </w:r>
          </w:p>
        </w:tc>
        <w:tc>
          <w:tcPr>
            <w:tcW w:w="993" w:type="dxa"/>
            <w:shd w:val="clear" w:color="auto" w:fill="C6D9F1" w:themeFill="text2" w:themeFillTint="33"/>
            <w:vAlign w:val="center"/>
          </w:tcPr>
          <w:p w14:paraId="05FDF90F" w14:textId="77777777" w:rsidR="00E10737" w:rsidRPr="008C1732" w:rsidRDefault="00E10737" w:rsidP="004179DE">
            <w:pPr>
              <w:ind w:left="0"/>
              <w:jc w:val="center"/>
              <w:rPr>
                <w:b/>
                <w:sz w:val="18"/>
                <w:szCs w:val="18"/>
              </w:rPr>
            </w:pPr>
            <w:r w:rsidRPr="008C1732">
              <w:rPr>
                <w:b/>
                <w:sz w:val="18"/>
                <w:szCs w:val="18"/>
              </w:rPr>
              <w:t>Merná jednotka</w:t>
            </w:r>
          </w:p>
        </w:tc>
        <w:tc>
          <w:tcPr>
            <w:tcW w:w="1081" w:type="dxa"/>
            <w:shd w:val="clear" w:color="auto" w:fill="C6D9F1" w:themeFill="text2" w:themeFillTint="33"/>
            <w:vAlign w:val="center"/>
          </w:tcPr>
          <w:p w14:paraId="7B485EDB"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226BF06C" w14:textId="77777777" w:rsidR="00E10737" w:rsidRPr="008C1732" w:rsidRDefault="00E10737" w:rsidP="004179DE">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21F31243" w14:textId="77777777" w:rsidR="00E10737" w:rsidRPr="008C1732" w:rsidRDefault="00E10737" w:rsidP="004179DE">
            <w:pPr>
              <w:ind w:left="0"/>
              <w:jc w:val="center"/>
              <w:rPr>
                <w:b/>
                <w:sz w:val="18"/>
                <w:szCs w:val="18"/>
              </w:rPr>
            </w:pPr>
            <w:r>
              <w:rPr>
                <w:b/>
                <w:sz w:val="18"/>
                <w:szCs w:val="18"/>
              </w:rPr>
              <w:t>Východiskový rok</w:t>
            </w:r>
          </w:p>
        </w:tc>
        <w:tc>
          <w:tcPr>
            <w:tcW w:w="850" w:type="dxa"/>
            <w:shd w:val="clear" w:color="auto" w:fill="C6D9F1" w:themeFill="text2" w:themeFillTint="33"/>
            <w:vAlign w:val="center"/>
          </w:tcPr>
          <w:p w14:paraId="05106292" w14:textId="77777777" w:rsidR="00E10737" w:rsidRPr="008C1732" w:rsidRDefault="00E10737" w:rsidP="004179DE">
            <w:pPr>
              <w:ind w:left="0"/>
              <w:jc w:val="center"/>
              <w:rPr>
                <w:b/>
                <w:sz w:val="18"/>
                <w:szCs w:val="18"/>
              </w:rPr>
            </w:pPr>
            <w:r w:rsidRPr="008C1732">
              <w:rPr>
                <w:b/>
                <w:sz w:val="18"/>
                <w:szCs w:val="18"/>
              </w:rPr>
              <w:t>Cieľová hodnota (2023)</w:t>
            </w:r>
          </w:p>
        </w:tc>
        <w:tc>
          <w:tcPr>
            <w:tcW w:w="1134" w:type="dxa"/>
            <w:shd w:val="clear" w:color="auto" w:fill="C6D9F1" w:themeFill="text2" w:themeFillTint="33"/>
            <w:vAlign w:val="center"/>
          </w:tcPr>
          <w:p w14:paraId="60A2206D" w14:textId="77777777" w:rsidR="00E10737" w:rsidRPr="008C1732" w:rsidRDefault="00E10737" w:rsidP="004179DE">
            <w:pPr>
              <w:ind w:left="0"/>
              <w:jc w:val="center"/>
              <w:rPr>
                <w:b/>
                <w:sz w:val="18"/>
                <w:szCs w:val="18"/>
              </w:rPr>
            </w:pPr>
            <w:r w:rsidRPr="008C1732">
              <w:rPr>
                <w:b/>
                <w:sz w:val="18"/>
                <w:szCs w:val="18"/>
              </w:rPr>
              <w:t>Zdroj údajov</w:t>
            </w:r>
          </w:p>
        </w:tc>
        <w:tc>
          <w:tcPr>
            <w:tcW w:w="1099" w:type="dxa"/>
            <w:shd w:val="clear" w:color="auto" w:fill="C6D9F1" w:themeFill="text2" w:themeFillTint="33"/>
            <w:vAlign w:val="center"/>
          </w:tcPr>
          <w:p w14:paraId="46C2E7F0"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7CF5BD48" w14:textId="77777777" w:rsidTr="00351D17">
        <w:trPr>
          <w:cantSplit/>
          <w:trHeight w:val="1134"/>
          <w:jc w:val="center"/>
        </w:trPr>
        <w:tc>
          <w:tcPr>
            <w:tcW w:w="598" w:type="dxa"/>
            <w:shd w:val="clear" w:color="auto" w:fill="auto"/>
            <w:textDirection w:val="btLr"/>
            <w:vAlign w:val="center"/>
          </w:tcPr>
          <w:p w14:paraId="08705E10" w14:textId="77777777" w:rsidR="00E10737" w:rsidRPr="00351D17" w:rsidRDefault="00E10737" w:rsidP="00351D17">
            <w:pPr>
              <w:ind w:left="113" w:right="113"/>
              <w:jc w:val="center"/>
              <w:rPr>
                <w:sz w:val="18"/>
                <w:szCs w:val="18"/>
              </w:rPr>
            </w:pPr>
            <w:r w:rsidRPr="00351D17">
              <w:rPr>
                <w:sz w:val="18"/>
                <w:szCs w:val="18"/>
              </w:rPr>
              <w:t>R0046</w:t>
            </w:r>
          </w:p>
        </w:tc>
        <w:tc>
          <w:tcPr>
            <w:tcW w:w="1211" w:type="dxa"/>
            <w:shd w:val="clear" w:color="auto" w:fill="auto"/>
            <w:vAlign w:val="center"/>
          </w:tcPr>
          <w:p w14:paraId="59D53B17" w14:textId="77777777" w:rsidR="00E10737" w:rsidRPr="00351D17" w:rsidRDefault="00E10737" w:rsidP="004179DE">
            <w:pPr>
              <w:ind w:left="0"/>
              <w:rPr>
                <w:sz w:val="18"/>
                <w:szCs w:val="18"/>
              </w:rPr>
            </w:pPr>
            <w:r w:rsidRPr="00351D17">
              <w:rPr>
                <w:sz w:val="18"/>
                <w:szCs w:val="18"/>
              </w:rPr>
              <w:t>Podiel podnikov uplatňujúcich výskum, vývoj a inovácie</w:t>
            </w:r>
          </w:p>
        </w:tc>
        <w:tc>
          <w:tcPr>
            <w:tcW w:w="993" w:type="dxa"/>
            <w:shd w:val="clear" w:color="auto" w:fill="auto"/>
            <w:vAlign w:val="center"/>
          </w:tcPr>
          <w:p w14:paraId="6448D2CC" w14:textId="77777777" w:rsidR="00E10737" w:rsidRPr="009B48A1" w:rsidRDefault="00E10737" w:rsidP="004179DE">
            <w:pPr>
              <w:ind w:left="0"/>
              <w:jc w:val="center"/>
              <w:rPr>
                <w:i/>
                <w:sz w:val="18"/>
                <w:szCs w:val="18"/>
              </w:rPr>
            </w:pPr>
            <w:r w:rsidRPr="009B48A1">
              <w:rPr>
                <w:i/>
                <w:sz w:val="18"/>
                <w:szCs w:val="18"/>
              </w:rPr>
              <w:t>%</w:t>
            </w:r>
          </w:p>
        </w:tc>
        <w:tc>
          <w:tcPr>
            <w:tcW w:w="1081" w:type="dxa"/>
            <w:shd w:val="clear" w:color="auto" w:fill="auto"/>
            <w:vAlign w:val="center"/>
          </w:tcPr>
          <w:p w14:paraId="58CBB619" w14:textId="77777777" w:rsidR="00E10737" w:rsidRPr="009B48A1" w:rsidRDefault="00E10737" w:rsidP="004179DE">
            <w:pPr>
              <w:ind w:left="0"/>
              <w:jc w:val="center"/>
              <w:rPr>
                <w:i/>
                <w:sz w:val="18"/>
                <w:szCs w:val="18"/>
              </w:rPr>
            </w:pPr>
            <w:r w:rsidRPr="009B48A1">
              <w:rPr>
                <w:i/>
                <w:sz w:val="18"/>
                <w:szCs w:val="18"/>
              </w:rPr>
              <w:t>Menej rozvinutý región</w:t>
            </w:r>
          </w:p>
        </w:tc>
        <w:tc>
          <w:tcPr>
            <w:tcW w:w="1297" w:type="dxa"/>
            <w:vAlign w:val="center"/>
          </w:tcPr>
          <w:p w14:paraId="1A15BCB1" w14:textId="77777777" w:rsidR="00E10737" w:rsidRPr="009B48A1" w:rsidRDefault="00E10737" w:rsidP="004179DE">
            <w:pPr>
              <w:ind w:left="0"/>
              <w:jc w:val="center"/>
              <w:rPr>
                <w:i/>
                <w:sz w:val="18"/>
                <w:szCs w:val="18"/>
              </w:rPr>
            </w:pPr>
            <w:r w:rsidRPr="009B48A1">
              <w:rPr>
                <w:i/>
                <w:sz w:val="18"/>
                <w:szCs w:val="18"/>
              </w:rPr>
              <w:t>26,02</w:t>
            </w:r>
          </w:p>
        </w:tc>
        <w:tc>
          <w:tcPr>
            <w:tcW w:w="1024" w:type="dxa"/>
            <w:vAlign w:val="center"/>
          </w:tcPr>
          <w:p w14:paraId="4EF4A373" w14:textId="77777777" w:rsidR="00E10737" w:rsidRPr="009B48A1" w:rsidRDefault="00E10737" w:rsidP="004179DE">
            <w:pPr>
              <w:ind w:left="0"/>
              <w:jc w:val="center"/>
              <w:rPr>
                <w:i/>
                <w:sz w:val="18"/>
                <w:szCs w:val="18"/>
              </w:rPr>
            </w:pPr>
            <w:r w:rsidRPr="009B48A1">
              <w:rPr>
                <w:i/>
                <w:sz w:val="18"/>
                <w:szCs w:val="18"/>
              </w:rPr>
              <w:t>2013</w:t>
            </w:r>
          </w:p>
        </w:tc>
        <w:tc>
          <w:tcPr>
            <w:tcW w:w="850" w:type="dxa"/>
            <w:shd w:val="clear" w:color="auto" w:fill="auto"/>
            <w:vAlign w:val="center"/>
          </w:tcPr>
          <w:p w14:paraId="1A2F41C1" w14:textId="77777777" w:rsidR="00E10737" w:rsidRPr="009B48A1" w:rsidRDefault="00E10737" w:rsidP="004179DE">
            <w:pPr>
              <w:ind w:left="0"/>
              <w:jc w:val="center"/>
              <w:rPr>
                <w:i/>
                <w:sz w:val="18"/>
                <w:szCs w:val="18"/>
              </w:rPr>
            </w:pPr>
            <w:r w:rsidRPr="009B48A1">
              <w:rPr>
                <w:i/>
                <w:sz w:val="18"/>
                <w:szCs w:val="18"/>
              </w:rPr>
              <w:t>36</w:t>
            </w:r>
          </w:p>
        </w:tc>
        <w:tc>
          <w:tcPr>
            <w:tcW w:w="1134" w:type="dxa"/>
            <w:vAlign w:val="center"/>
          </w:tcPr>
          <w:p w14:paraId="21FA4DD3" w14:textId="77777777" w:rsidR="00E10737" w:rsidRPr="009B48A1" w:rsidRDefault="00E10737" w:rsidP="004179DE">
            <w:pPr>
              <w:pStyle w:val="TableParagraph"/>
              <w:ind w:left="0"/>
              <w:jc w:val="center"/>
              <w:rPr>
                <w:i/>
                <w:sz w:val="18"/>
                <w:szCs w:val="18"/>
              </w:rPr>
            </w:pPr>
            <w:r w:rsidRPr="009B48A1">
              <w:rPr>
                <w:rFonts w:ascii="Times New Roman" w:hAnsi="Times New Roman" w:cs="Times New Roman"/>
                <w:i/>
                <w:spacing w:val="-2"/>
                <w:w w:val="105"/>
                <w:sz w:val="18"/>
                <w:szCs w:val="18"/>
              </w:rPr>
              <w:t>Innovation Union Scoreboard</w:t>
            </w:r>
          </w:p>
        </w:tc>
        <w:tc>
          <w:tcPr>
            <w:tcW w:w="1099" w:type="dxa"/>
            <w:vAlign w:val="center"/>
          </w:tcPr>
          <w:p w14:paraId="1A8860C9" w14:textId="77777777" w:rsidR="00E10737" w:rsidRPr="009B48A1" w:rsidRDefault="00E10737" w:rsidP="004179DE">
            <w:pPr>
              <w:ind w:left="0"/>
              <w:jc w:val="center"/>
              <w:rPr>
                <w:i/>
                <w:sz w:val="18"/>
                <w:szCs w:val="18"/>
              </w:rPr>
            </w:pPr>
            <w:r w:rsidRPr="009B48A1">
              <w:rPr>
                <w:i/>
                <w:sz w:val="18"/>
                <w:szCs w:val="18"/>
              </w:rPr>
              <w:t>Ročne</w:t>
            </w:r>
          </w:p>
        </w:tc>
      </w:tr>
    </w:tbl>
    <w:p w14:paraId="7A6B712F" w14:textId="77777777" w:rsidR="00E10737" w:rsidRDefault="00E10737" w:rsidP="00E10737">
      <w:pPr>
        <w:pStyle w:val="tl3"/>
        <w:tabs>
          <w:tab w:val="clear" w:pos="709"/>
          <w:tab w:val="clear" w:pos="864"/>
        </w:tabs>
        <w:ind w:left="851" w:hanging="851"/>
      </w:pPr>
      <w:r w:rsidRPr="00151195">
        <w:t>Opis typu a príklady aktivít</w:t>
      </w:r>
    </w:p>
    <w:p w14:paraId="06E205FF" w14:textId="5B1F0DB9" w:rsidR="00E10737" w:rsidRPr="00CF79E0" w:rsidRDefault="00E10737" w:rsidP="00E10737">
      <w:pPr>
        <w:jc w:val="both"/>
        <w:rPr>
          <w:i/>
          <w:sz w:val="22"/>
          <w:szCs w:val="22"/>
        </w:rPr>
      </w:pPr>
      <w:r w:rsidRPr="00726573">
        <w:rPr>
          <w:i/>
          <w:sz w:val="22"/>
          <w:szCs w:val="22"/>
          <w:u w:val="single"/>
        </w:rPr>
        <w:t>Príklady aktivít pre špecifický cieľ 9.</w:t>
      </w:r>
      <w:r w:rsidR="00A1452D" w:rsidRPr="00726573">
        <w:rPr>
          <w:i/>
          <w:sz w:val="22"/>
          <w:szCs w:val="22"/>
          <w:u w:val="single"/>
        </w:rPr>
        <w:t>4</w:t>
      </w:r>
      <w:r w:rsidR="00726573">
        <w:rPr>
          <w:i/>
          <w:sz w:val="22"/>
          <w:szCs w:val="22"/>
        </w:rPr>
        <w:t>:</w:t>
      </w:r>
    </w:p>
    <w:p w14:paraId="280CCD19" w14:textId="77777777" w:rsidR="00E10737" w:rsidRPr="00F229BB" w:rsidRDefault="00E10737" w:rsidP="00726573">
      <w:pPr>
        <w:spacing w:before="120"/>
        <w:jc w:val="both"/>
        <w:rPr>
          <w:sz w:val="22"/>
          <w:szCs w:val="22"/>
        </w:rPr>
      </w:pPr>
      <w:r w:rsidRPr="00F229BB">
        <w:rPr>
          <w:sz w:val="22"/>
          <w:szCs w:val="22"/>
        </w:rPr>
        <w:lastRenderedPageBreak/>
        <w:t>Podpora VaV v rámci individuálnych priemyselných výskumno-vývojových centier (podnik priamy príjemca príspevku) v doménach inteligentnej špecializácie RIS3 SK</w:t>
      </w:r>
    </w:p>
    <w:p w14:paraId="3B9E2567" w14:textId="77777777" w:rsidR="00E10737" w:rsidRPr="00F229BB" w:rsidRDefault="00E10737" w:rsidP="00726573">
      <w:pPr>
        <w:spacing w:before="120"/>
        <w:jc w:val="both"/>
        <w:rPr>
          <w:sz w:val="22"/>
          <w:szCs w:val="22"/>
        </w:rPr>
      </w:pPr>
      <w:r w:rsidRPr="00F229BB">
        <w:rPr>
          <w:sz w:val="22"/>
          <w:szCs w:val="22"/>
        </w:rPr>
        <w:t>V rámci programového obdobia 2007 – 2013 bolo podporených cca. 60 výskumných centier s účasťou priemyslu. Koordinátorom a zriaďovateľom výskumného centra bol podnik, pričom ako jeho partneri boli subjekty zo sektora MSP a/ alebo výskumné inštitúcie, ktoré z pohľadu pravidiel štátnej pomoci nevykonávajú hospodársku činnosť (univerzity, SAV, rezortné výskumné inštitúcie, neziskové organizácie VaV). Záujem podnikov 4-násobne prevyšoval možnosti alokácie.</w:t>
      </w:r>
    </w:p>
    <w:p w14:paraId="3D0DBBD5" w14:textId="77777777" w:rsidR="00E10737" w:rsidRPr="00F229BB" w:rsidRDefault="00E10737" w:rsidP="00351D17">
      <w:pPr>
        <w:spacing w:before="120"/>
        <w:jc w:val="both"/>
        <w:rPr>
          <w:sz w:val="22"/>
          <w:szCs w:val="22"/>
        </w:rPr>
      </w:pPr>
      <w:r w:rsidRPr="00F229BB">
        <w:rPr>
          <w:sz w:val="22"/>
          <w:szCs w:val="22"/>
        </w:rPr>
        <w:t>Bude podporovaná aj účasť zahraničných špičkových vedcov/odborníkov z praxe, resp. návrat slovenských vedcov pôsobiacich v zahraničí do prostredia takýchto priemyselných výskumno-vývojových centier, ako aj medzinárodná výskumno-vývojová spolupráca s renomovanými zahraničnými inštitúciami.</w:t>
      </w:r>
    </w:p>
    <w:p w14:paraId="52EBA4EF" w14:textId="77777777" w:rsidR="00E10737" w:rsidRPr="00F229BB" w:rsidRDefault="00E10737" w:rsidP="00351D17">
      <w:pPr>
        <w:spacing w:before="120"/>
        <w:jc w:val="both"/>
        <w:rPr>
          <w:sz w:val="22"/>
          <w:szCs w:val="22"/>
        </w:rPr>
      </w:pPr>
      <w:r w:rsidRPr="00F229BB">
        <w:rPr>
          <w:sz w:val="22"/>
          <w:szCs w:val="22"/>
        </w:rPr>
        <w:t>Cieľom je vytvoriť dlhodobé partnerstvo podniku a kvalitných výskumných inštitúcií. V rámci takýchto výskumných centier bude podporovaná celá škála činnosti pokrývajúca excelentný výskum a</w:t>
      </w:r>
      <w:r>
        <w:rPr>
          <w:sz w:val="22"/>
          <w:szCs w:val="22"/>
        </w:rPr>
        <w:t> </w:t>
      </w:r>
      <w:r w:rsidRPr="00F229BB">
        <w:rPr>
          <w:sz w:val="22"/>
          <w:szCs w:val="22"/>
        </w:rPr>
        <w:t>experimentálny vývoj v rámci jedného projektu tak, ako budú prirodzene potrebné pre konkrétny projekt. Podporené budú ak aktivity pred-komerčnej povahy (pre- competitive) – výskum s vyšším rizikom, ale súčasne s vysokým následným potenciálom na dosiahnutie prelomových/ unikátnych výsledkov.</w:t>
      </w:r>
    </w:p>
    <w:p w14:paraId="35233466" w14:textId="77777777" w:rsidR="00E10737" w:rsidRPr="00F229BB" w:rsidRDefault="00E10737" w:rsidP="00351D17">
      <w:pPr>
        <w:spacing w:before="120"/>
        <w:jc w:val="both"/>
        <w:rPr>
          <w:sz w:val="22"/>
          <w:szCs w:val="22"/>
        </w:rPr>
      </w:pPr>
      <w:r w:rsidRPr="00F229BB">
        <w:rPr>
          <w:sz w:val="22"/>
          <w:szCs w:val="22"/>
        </w:rPr>
        <w:t>Ide o schému kolaboratívneho výskumu, kde tému výskumu/vývoja určuje podnik, ako nositeľ výskumného centra. Pôjde o partnerské projekty, kde ako partneri musia byť ďalšie podnikateľské subjekty a/alebo výskumné inštitúcie nevykonávajúce hospodársku činnosť. Cieľom každého projektu je vytvoriť konkrétne výsledky, následne využiteľné v praxi (prototyp/patentovateľné duševné vlastníctvo/nový postup/metóda a pod.).</w:t>
      </w:r>
    </w:p>
    <w:p w14:paraId="229E0326" w14:textId="54233857" w:rsidR="00E10737" w:rsidRPr="00F229BB" w:rsidRDefault="00E10737" w:rsidP="00351D17">
      <w:pPr>
        <w:spacing w:before="120"/>
        <w:jc w:val="both"/>
        <w:rPr>
          <w:sz w:val="22"/>
          <w:szCs w:val="22"/>
        </w:rPr>
      </w:pPr>
      <w:r w:rsidRPr="00F229BB">
        <w:rPr>
          <w:sz w:val="22"/>
          <w:szCs w:val="22"/>
        </w:rPr>
        <w:t>V rámci tejto aktivity bude v súlade s platnou legislatívou zásadou aj umožniť zapojenie sa výskumno-vývojových kapacít z BSK na úrovni časti operácie do aktivít, ktorých</w:t>
      </w:r>
      <w:r w:rsidR="00447E23">
        <w:rPr>
          <w:sz w:val="22"/>
          <w:szCs w:val="22"/>
        </w:rPr>
        <w:t xml:space="preserve"> realizácia bude mať prínos pre </w:t>
      </w:r>
      <w:r w:rsidRPr="00F229BB">
        <w:rPr>
          <w:sz w:val="22"/>
          <w:szCs w:val="22"/>
        </w:rPr>
        <w:t>oblasti mimo BSK</w:t>
      </w:r>
      <w:r w:rsidR="00447E23">
        <w:rPr>
          <w:rStyle w:val="Odkaznapoznmkupodiarou"/>
          <w:sz w:val="22"/>
          <w:szCs w:val="22"/>
        </w:rPr>
        <w:footnoteReference w:id="84"/>
      </w:r>
      <w:r w:rsidRPr="00F229BB">
        <w:rPr>
          <w:sz w:val="22"/>
          <w:szCs w:val="22"/>
        </w:rPr>
        <w:t>. Cieľom je, aby partneri, ktorí majú výskumnú infraštruktúru v BSK, mohli túto infraštruktúru využívať pri riešení konkrétnych projektov.</w:t>
      </w:r>
    </w:p>
    <w:p w14:paraId="22EB9755" w14:textId="77777777" w:rsidR="00E10737" w:rsidRPr="00F229BB" w:rsidRDefault="00E10737" w:rsidP="00351D17">
      <w:pPr>
        <w:spacing w:before="120"/>
        <w:jc w:val="both"/>
        <w:rPr>
          <w:sz w:val="22"/>
          <w:szCs w:val="22"/>
        </w:rPr>
      </w:pPr>
      <w:r w:rsidRPr="00F229BB">
        <w:rPr>
          <w:sz w:val="22"/>
          <w:szCs w:val="22"/>
        </w:rPr>
        <w:t>Podpora dlhodobého strategického výskumu v doménach inteligentnej špecializácie RIS3 SK</w:t>
      </w:r>
    </w:p>
    <w:p w14:paraId="43195924" w14:textId="77777777" w:rsidR="00E10737" w:rsidRPr="00F229BB" w:rsidRDefault="00E10737" w:rsidP="00351D17">
      <w:pPr>
        <w:spacing w:before="120"/>
        <w:jc w:val="both"/>
        <w:rPr>
          <w:sz w:val="22"/>
          <w:szCs w:val="22"/>
        </w:rPr>
      </w:pPr>
      <w:r w:rsidRPr="00F229BB">
        <w:rPr>
          <w:sz w:val="22"/>
          <w:szCs w:val="22"/>
        </w:rPr>
        <w:t xml:space="preserve">V rámci implementačného plánu RIS3 SK boli zadefinované domény inteligentnej špecializácie, ktoré priorizujú technologické priority na úrovni konkrétnych produktových línií s potenciálom ekonomického zhodnotenia a optimalizácie infraštruktúry verejných VaV organizácií. V rámci každej domény sú definované produktové línie, ktoré predstavujú tému výskumu a vývoja, vrátane stanovenia alokačného kritériá pre každú z domén. </w:t>
      </w:r>
    </w:p>
    <w:p w14:paraId="3E7D9BEF" w14:textId="73A2FC0D" w:rsidR="00E10737" w:rsidRPr="00F229BB" w:rsidRDefault="00E10737" w:rsidP="00351D17">
      <w:pPr>
        <w:spacing w:before="120"/>
        <w:jc w:val="both"/>
        <w:rPr>
          <w:sz w:val="22"/>
          <w:szCs w:val="22"/>
        </w:rPr>
      </w:pPr>
      <w:r w:rsidRPr="00F229BB">
        <w:rPr>
          <w:sz w:val="22"/>
          <w:szCs w:val="22"/>
        </w:rPr>
        <w:t>Pre dlhodobé strategické výskumné projekty bude preferovaná aj priama väzba na pracovný program obdobnej témy v rámci Horizontu 2020/alebo realizácia aktívnej medzinárodnej vedecko-technickej spolupráce s renomovanými výskumnými inštitúciami v rámci ERA. V tomto kontexte bude možné v</w:t>
      </w:r>
      <w:r>
        <w:rPr>
          <w:sz w:val="22"/>
          <w:szCs w:val="22"/>
        </w:rPr>
        <w:t> </w:t>
      </w:r>
      <w:r w:rsidRPr="00F229BB">
        <w:rPr>
          <w:sz w:val="22"/>
          <w:szCs w:val="22"/>
        </w:rPr>
        <w:t>rámci tejto aktivity podporiť aj projekty teamingu a twinningu zamerané na domény inteligentnej špecializácie RIS3 SK v zmysle zásad podpory medzinárodných projektov v rámci OP</w:t>
      </w:r>
      <w:r w:rsidR="009856D5">
        <w:rPr>
          <w:sz w:val="22"/>
          <w:szCs w:val="22"/>
        </w:rPr>
        <w:t>I</w:t>
      </w:r>
      <w:r w:rsidRPr="00F229BB">
        <w:rPr>
          <w:sz w:val="22"/>
          <w:szCs w:val="22"/>
        </w:rPr>
        <w:t xml:space="preserve">I </w:t>
      </w:r>
      <w:r w:rsidR="009856D5">
        <w:rPr>
          <w:sz w:val="22"/>
          <w:szCs w:val="22"/>
        </w:rPr>
        <w:t xml:space="preserve">(časť VaI) </w:t>
      </w:r>
      <w:r w:rsidRPr="00F229BB">
        <w:rPr>
          <w:sz w:val="22"/>
          <w:szCs w:val="22"/>
        </w:rPr>
        <w:t>tak, ako je to uvedené aj v rámci investičnej priority 1</w:t>
      </w:r>
      <w:r w:rsidR="002F6CE8">
        <w:rPr>
          <w:sz w:val="22"/>
          <w:szCs w:val="22"/>
        </w:rPr>
        <w:t>a)</w:t>
      </w:r>
      <w:r w:rsidRPr="00F229BB">
        <w:rPr>
          <w:sz w:val="22"/>
          <w:szCs w:val="22"/>
        </w:rPr>
        <w:t>.</w:t>
      </w:r>
    </w:p>
    <w:p w14:paraId="73D40234" w14:textId="77777777" w:rsidR="00E10737" w:rsidRPr="00F229BB" w:rsidRDefault="00E10737" w:rsidP="00351D17">
      <w:pPr>
        <w:spacing w:before="120"/>
        <w:jc w:val="both"/>
        <w:rPr>
          <w:sz w:val="22"/>
          <w:szCs w:val="22"/>
        </w:rPr>
      </w:pPr>
      <w:r w:rsidRPr="00F229BB">
        <w:rPr>
          <w:sz w:val="22"/>
          <w:szCs w:val="22"/>
        </w:rPr>
        <w:t>Na projekty strategického výskumu bude aplikovaný fázovaný spôsob prípravy projektov. V rámci prvej fázy bude predložená výskumná stratégia pre potreby posúdenia zahraničnými expertmi (zámerom je využívať expertov z databázy EK pre Horizont 2020, príp. expertov JRC). Úlohou expertov je posúdiť, či je/sú výskumná stratégia/plánované výskumné aktivity inovatívne, excelentné a</w:t>
      </w:r>
      <w:r>
        <w:rPr>
          <w:sz w:val="22"/>
          <w:szCs w:val="22"/>
        </w:rPr>
        <w:t> </w:t>
      </w:r>
      <w:r w:rsidRPr="00F229BB">
        <w:rPr>
          <w:sz w:val="22"/>
          <w:szCs w:val="22"/>
        </w:rPr>
        <w:t>zodpovedajú medzinárodným trendom. Zahraničný expert odporučí možné zlepšenia a úpravy. Po</w:t>
      </w:r>
      <w:r>
        <w:rPr>
          <w:sz w:val="22"/>
          <w:szCs w:val="22"/>
        </w:rPr>
        <w:t> </w:t>
      </w:r>
      <w:r w:rsidRPr="00F229BB">
        <w:rPr>
          <w:sz w:val="22"/>
          <w:szCs w:val="22"/>
        </w:rPr>
        <w:t>zapracovaní odporúčaní zo strany zahraničného experta bude možné predložiť v rámci druhej fázy finálnu žiadosť o NFP.</w:t>
      </w:r>
    </w:p>
    <w:p w14:paraId="276571B0" w14:textId="77777777" w:rsidR="00E10737" w:rsidRPr="00F229BB" w:rsidRDefault="00E10737" w:rsidP="00351D17">
      <w:pPr>
        <w:spacing w:before="120"/>
        <w:jc w:val="both"/>
        <w:rPr>
          <w:sz w:val="22"/>
          <w:szCs w:val="22"/>
        </w:rPr>
      </w:pPr>
      <w:r w:rsidRPr="00F229BB">
        <w:rPr>
          <w:sz w:val="22"/>
          <w:szCs w:val="22"/>
        </w:rPr>
        <w:t>Projekty budú realizovať zmiešané konzorciá priemyselných subjektov a výskumných inštitúcií, za</w:t>
      </w:r>
      <w:r>
        <w:rPr>
          <w:sz w:val="22"/>
          <w:szCs w:val="22"/>
        </w:rPr>
        <w:t> </w:t>
      </w:r>
      <w:r w:rsidRPr="00F229BB">
        <w:rPr>
          <w:sz w:val="22"/>
          <w:szCs w:val="22"/>
        </w:rPr>
        <w:t xml:space="preserve">využitia národného potenciálu najkvalitnejších inštitúcií a individualít v danej téme. Dôraz sa bude klásť aj na to, aby v nich aktívne participovali kapacity univerzitných vedeckých parkov, výskumných centier podporených v rámci programového obdobia 2007 – 2013. Dôraz bude kladený na podporu </w:t>
      </w:r>
      <w:r w:rsidRPr="00F229BB">
        <w:rPr>
          <w:sz w:val="22"/>
          <w:szCs w:val="22"/>
        </w:rPr>
        <w:lastRenderedPageBreak/>
        <w:t>VaV s reálnymi výsledkami pre prax (podpora ľudských zdrojov, spotrebného materiálu a pod. – štruktúra výdavkov podobná štruktúre výdavkov v projektoch Horizontu 2020), menší dôraz bude kladený na infraštruktúru, ktorá sa bude financovať len v nevyhnutnej miere ako potrebný upgrade existujúcich zariadení, resp. budovanie unikátnych zariadení, ktoré budú potrebné pre strategický výskum a v SR neexistujú, resp. existujúce ale v nevyhovujúcom stave a z kapacitného hľadiska (počet výskumníkov, ktorí by tieto zariadenia využívali) sú odôvodnené.</w:t>
      </w:r>
    </w:p>
    <w:p w14:paraId="79C73CE2" w14:textId="792F21D7" w:rsidR="00E10737" w:rsidRPr="00F229BB" w:rsidRDefault="00E10737" w:rsidP="00351D17">
      <w:pPr>
        <w:spacing w:before="120"/>
        <w:jc w:val="both"/>
        <w:rPr>
          <w:sz w:val="22"/>
          <w:szCs w:val="22"/>
        </w:rPr>
      </w:pPr>
      <w:r w:rsidRPr="00F229BB">
        <w:rPr>
          <w:sz w:val="22"/>
          <w:szCs w:val="22"/>
        </w:rPr>
        <w:t xml:space="preserve">V rámci špecifického cieľa </w:t>
      </w:r>
      <w:r w:rsidR="00801B01">
        <w:rPr>
          <w:sz w:val="22"/>
          <w:szCs w:val="22"/>
        </w:rPr>
        <w:t>9</w:t>
      </w:r>
      <w:r w:rsidRPr="00F229BB">
        <w:rPr>
          <w:sz w:val="22"/>
          <w:szCs w:val="22"/>
        </w:rPr>
        <w:t>.</w:t>
      </w:r>
      <w:r w:rsidR="00A1452D">
        <w:rPr>
          <w:sz w:val="22"/>
          <w:szCs w:val="22"/>
        </w:rPr>
        <w:t>4</w:t>
      </w:r>
      <w:r w:rsidRPr="00F229BB">
        <w:rPr>
          <w:sz w:val="22"/>
          <w:szCs w:val="22"/>
        </w:rPr>
        <w:t xml:space="preserve"> bude využitá aj schéma štátnej pomoci, resp. schémy štátnej pomoci, keďže vo väčšine plánovaných aktivít budú oprávnenými prijímateľmi, resp. oprávnenými partnermi aj priemyselné subjekty.</w:t>
      </w:r>
    </w:p>
    <w:p w14:paraId="6B77A309" w14:textId="5330259A" w:rsidR="00E10737" w:rsidRPr="00F229BB" w:rsidRDefault="00E10737" w:rsidP="00351D17">
      <w:pPr>
        <w:spacing w:before="120"/>
        <w:jc w:val="both"/>
        <w:rPr>
          <w:sz w:val="22"/>
          <w:szCs w:val="22"/>
        </w:rPr>
      </w:pPr>
      <w:r w:rsidRPr="00F229BB">
        <w:rPr>
          <w:sz w:val="22"/>
          <w:szCs w:val="22"/>
        </w:rPr>
        <w:t>V rámci tejto aktivity bude v súlade s platnou legislatívou zásadou aj umožniť zapojenie sa výskumno-vývojových kapacít z BSK na úrovni časti operácie do aktivít, ktorých realizácia bude mať prínos pre oblasti mimo BSK</w:t>
      </w:r>
      <w:r w:rsidR="00801B01">
        <w:rPr>
          <w:rStyle w:val="Odkaznapoznmkupodiarou"/>
          <w:sz w:val="22"/>
          <w:szCs w:val="22"/>
        </w:rPr>
        <w:footnoteReference w:id="85"/>
      </w:r>
      <w:r w:rsidRPr="00F229BB">
        <w:rPr>
          <w:sz w:val="22"/>
          <w:szCs w:val="22"/>
        </w:rPr>
        <w:t>. Cieľom je, aby partneri, ktorí majú výskumnú infraštruktúru v BSK, mohli túto infraštruktúru využívať pri riešení konkrétnych projektov. Túto aktivitu bude možné realizovať aj formou národného projektu.</w:t>
      </w:r>
    </w:p>
    <w:p w14:paraId="67B670B3" w14:textId="77777777" w:rsidR="00E10737" w:rsidRPr="00F229BB" w:rsidRDefault="00E10737" w:rsidP="00E10737">
      <w:pPr>
        <w:jc w:val="both"/>
        <w:rPr>
          <w:sz w:val="22"/>
          <w:szCs w:val="22"/>
        </w:rPr>
      </w:pPr>
      <w:r w:rsidRPr="00F229BB">
        <w:rPr>
          <w:sz w:val="22"/>
          <w:szCs w:val="22"/>
        </w:rPr>
        <w:t xml:space="preserve"> </w:t>
      </w:r>
    </w:p>
    <w:p w14:paraId="5D0E7A89" w14:textId="7E84337D" w:rsidR="00E10737" w:rsidRPr="00CF79E0" w:rsidRDefault="00E10737" w:rsidP="00E10737">
      <w:pPr>
        <w:jc w:val="both"/>
        <w:rPr>
          <w:i/>
          <w:sz w:val="22"/>
          <w:szCs w:val="22"/>
        </w:rPr>
      </w:pPr>
      <w:r w:rsidRPr="00726573">
        <w:rPr>
          <w:i/>
          <w:sz w:val="22"/>
          <w:szCs w:val="22"/>
          <w:u w:val="single"/>
        </w:rPr>
        <w:t>Príklady aktivít pre špecifický cieľ 9.</w:t>
      </w:r>
      <w:r w:rsidR="00A1452D" w:rsidRPr="00726573">
        <w:rPr>
          <w:i/>
          <w:sz w:val="22"/>
          <w:szCs w:val="22"/>
          <w:u w:val="single"/>
        </w:rPr>
        <w:t>5</w:t>
      </w:r>
      <w:r w:rsidR="00726573">
        <w:rPr>
          <w:i/>
          <w:sz w:val="22"/>
          <w:szCs w:val="22"/>
        </w:rPr>
        <w:t>:</w:t>
      </w:r>
    </w:p>
    <w:p w14:paraId="0F7FCF1C" w14:textId="5E06C450" w:rsidR="00E10737" w:rsidRPr="00F229BB" w:rsidRDefault="00E10737" w:rsidP="00351D17">
      <w:pPr>
        <w:spacing w:before="120"/>
        <w:jc w:val="both"/>
        <w:rPr>
          <w:sz w:val="22"/>
          <w:szCs w:val="22"/>
        </w:rPr>
      </w:pPr>
      <w:r w:rsidRPr="00F229BB">
        <w:rPr>
          <w:sz w:val="22"/>
          <w:szCs w:val="22"/>
        </w:rPr>
        <w:t>Aktivity sú zamerané na zvýšenie konkurencieschopnosti podnikateľského sektora zvýšením podnikových výdavkov na aplikovaný VVaI, a to najmä prostredníctvom realizácie opatrení definovaných v RIS3 SK. Prioritou je vlastný VaV, ochrana práv duševného vlastníctva a ich komercionalizácia, transfer technológií s vysokou pridanou hodnotou a realizácia inovácií. Podporované budú inovácie technologického aj netechnologického charakteru, t.</w:t>
      </w:r>
      <w:r>
        <w:rPr>
          <w:sz w:val="22"/>
          <w:szCs w:val="22"/>
        </w:rPr>
        <w:t> </w:t>
      </w:r>
      <w:r w:rsidRPr="00F229BB">
        <w:rPr>
          <w:sz w:val="22"/>
          <w:szCs w:val="22"/>
        </w:rPr>
        <w:t xml:space="preserve">j. inovácie produktov, procesov, organizačné, analyticko–informačné, marketingové, sociálne a environmentálne inovácie. Aktivity prispievajú k rozvoju spolupráce jednotlivých aktérov inovačného procesu. Špecifický cieľ </w:t>
      </w:r>
      <w:r w:rsidR="003808CA">
        <w:rPr>
          <w:sz w:val="22"/>
          <w:szCs w:val="22"/>
        </w:rPr>
        <w:t>9</w:t>
      </w:r>
      <w:r w:rsidRPr="00F229BB">
        <w:rPr>
          <w:sz w:val="22"/>
          <w:szCs w:val="22"/>
        </w:rPr>
        <w:t>.</w:t>
      </w:r>
      <w:r w:rsidR="00A1452D">
        <w:rPr>
          <w:sz w:val="22"/>
          <w:szCs w:val="22"/>
        </w:rPr>
        <w:t>5</w:t>
      </w:r>
      <w:r w:rsidRPr="00F229BB">
        <w:rPr>
          <w:sz w:val="22"/>
          <w:szCs w:val="22"/>
        </w:rPr>
        <w:t xml:space="preserve"> bude napĺňaný prostredníctvom nasledujúcich typov aktivít:</w:t>
      </w:r>
    </w:p>
    <w:p w14:paraId="353929E2" w14:textId="5DE56242" w:rsidR="00E10737" w:rsidRPr="00F229BB" w:rsidRDefault="00E10737" w:rsidP="00351D17">
      <w:pPr>
        <w:spacing w:before="120"/>
        <w:jc w:val="both"/>
        <w:rPr>
          <w:sz w:val="22"/>
          <w:szCs w:val="22"/>
        </w:rPr>
      </w:pPr>
      <w:r w:rsidRPr="00F229BB">
        <w:rPr>
          <w:sz w:val="22"/>
          <w:szCs w:val="22"/>
        </w:rPr>
        <w:t>Budovanie nových a podpora existujúcich VVaI kapacít v podnikoch a/alebo zoskupeniach podnikov (najmä v klastroch) za účelom realizácie projektov s inovačným potenciálom. Pre efektívnu realizáciu VVaI aktivít nie sú v súčasnej dobe vytvorené dostatočné podmienky z hľadiska disponibility potrebných kapacít v podnikoch, bez ohľadu na ich veľkosť. To znamená, že ani veľké slovenské podniky nemajú k dispozícii vytvorené dostatočné odborné kapacity (z hľadiska inovačnej schopnosti) pre zabezpečenie udržateľnej konkurencieschopnosti na globálnych trhoch. Preto bude podporovaný vznik nových a rozvoj existujúcich VVaI kapacít v podnikoch v prostredí MSP, ako aj veľkých podnikov. Aktivity budú smerovať aj k budovaniu spoločnej infraštruktúry, čo v prípade domén inteligentnej špecializácie definovaných v RIS3 SK prispeje k efektívnejšiemu ukotveniu nadnárodných spoločností v domácej ekonomike. Aktivita bude realizovaná formou schém pomoci a</w:t>
      </w:r>
      <w:r>
        <w:rPr>
          <w:sz w:val="22"/>
          <w:szCs w:val="22"/>
        </w:rPr>
        <w:t> </w:t>
      </w:r>
      <w:r w:rsidRPr="00F229BB">
        <w:rPr>
          <w:sz w:val="22"/>
          <w:szCs w:val="22"/>
        </w:rPr>
        <w:t>finančných nástrojov</w:t>
      </w:r>
      <w:bookmarkStart w:id="95" w:name="_Ref22305521"/>
      <w:r w:rsidR="00F71A6E">
        <w:rPr>
          <w:rStyle w:val="Odkaznapoznmkupodiarou"/>
          <w:sz w:val="22"/>
          <w:szCs w:val="22"/>
        </w:rPr>
        <w:footnoteReference w:id="86"/>
      </w:r>
      <w:bookmarkEnd w:id="95"/>
      <w:r w:rsidRPr="00F229BB">
        <w:rPr>
          <w:sz w:val="22"/>
          <w:szCs w:val="22"/>
        </w:rPr>
        <w:t>.</w:t>
      </w:r>
    </w:p>
    <w:p w14:paraId="6D088C3B" w14:textId="076B8F3C" w:rsidR="00E10737" w:rsidRPr="00F229BB" w:rsidRDefault="00E10737" w:rsidP="00351D17">
      <w:pPr>
        <w:spacing w:before="120"/>
        <w:jc w:val="both"/>
        <w:rPr>
          <w:sz w:val="22"/>
          <w:szCs w:val="22"/>
        </w:rPr>
      </w:pPr>
      <w:r w:rsidRPr="00F229BB">
        <w:rPr>
          <w:sz w:val="22"/>
          <w:szCs w:val="22"/>
        </w:rPr>
        <w:t>Podpora výskumných, vývojových a inovačných aktivít (technologických a netechnologických) v</w:t>
      </w:r>
      <w:r>
        <w:rPr>
          <w:sz w:val="22"/>
          <w:szCs w:val="22"/>
        </w:rPr>
        <w:t> </w:t>
      </w:r>
      <w:r w:rsidRPr="00F229BB">
        <w:rPr>
          <w:sz w:val="22"/>
          <w:szCs w:val="22"/>
        </w:rPr>
        <w:t>podnikoch a/alebo zoskupeniach podnikov (najmä v klastroch). Úroveň investícií podnikateľských subjektov do VVaI projektov je v SR dlhodobo nízka, preto bude intervencia smerovať do činností, ktoré podporia realizáciu VVaI projektov</w:t>
      </w:r>
      <w:r w:rsidR="000468FB">
        <w:rPr>
          <w:sz w:val="22"/>
          <w:szCs w:val="22"/>
        </w:rPr>
        <w:t xml:space="preserve"> </w:t>
      </w:r>
      <w:r w:rsidR="000468FB" w:rsidRPr="000468FB">
        <w:rPr>
          <w:sz w:val="22"/>
          <w:szCs w:val="22"/>
        </w:rPr>
        <w:t>vrátane podpory VVaI projektov identifikovaných v rámci iniciatívy Európskej komisie zameranej na uhoľné regióny v transformácii</w:t>
      </w:r>
      <w:r w:rsidRPr="00F229BB">
        <w:rPr>
          <w:sz w:val="22"/>
          <w:szCs w:val="22"/>
        </w:rPr>
        <w:t>. Cieľom aktivity bude umožnenie realizácie takýchto projektov na podnikovej úrovni, ako aj na úrovni klastrových organizácií. Aktivita bude realizovaná formou schém pomoci a finančných nástrojov</w:t>
      </w:r>
      <w:r w:rsidR="009F4311" w:rsidRPr="009F4311">
        <w:rPr>
          <w:sz w:val="22"/>
          <w:szCs w:val="22"/>
          <w:vertAlign w:val="superscript"/>
        </w:rPr>
        <w:t>117</w:t>
      </w:r>
      <w:r w:rsidRPr="00F229BB">
        <w:rPr>
          <w:sz w:val="22"/>
          <w:szCs w:val="22"/>
        </w:rPr>
        <w:t>.</w:t>
      </w:r>
    </w:p>
    <w:p w14:paraId="7BF8980F" w14:textId="0C4AE52A" w:rsidR="00E10737" w:rsidRPr="00F229BB" w:rsidRDefault="00E10737" w:rsidP="00351D17">
      <w:pPr>
        <w:spacing w:before="120"/>
        <w:jc w:val="both"/>
        <w:rPr>
          <w:sz w:val="22"/>
          <w:szCs w:val="22"/>
        </w:rPr>
      </w:pPr>
      <w:r w:rsidRPr="00F229BB">
        <w:rPr>
          <w:sz w:val="22"/>
          <w:szCs w:val="22"/>
        </w:rPr>
        <w:t>Podpora sieťovania podnikov, vrátane klastrov a technologických platforiem, zapojených do VVaI aktivít. Aktivity podnikateľských subjektov, nie len inovačné, sa reali</w:t>
      </w:r>
      <w:r w:rsidR="003808CA">
        <w:rPr>
          <w:sz w:val="22"/>
          <w:szCs w:val="22"/>
        </w:rPr>
        <w:t>zujú na individuálnej báze aj v </w:t>
      </w:r>
      <w:r w:rsidRPr="00F229BB">
        <w:rPr>
          <w:sz w:val="22"/>
          <w:szCs w:val="22"/>
        </w:rPr>
        <w:t>rámci spolupráce. Cieľom aktivity bude podporiť sieťovanie subjektov, najmä prostredníctvom podpory klastrovej spolupráce a rozvoja klastrových organizácií, ktoré poskytujú činnosti v prospech svojich členov aj realizáciou spoločných, najmä VVaI projektov s cieľom zvyšovať konkurencieschopnosť jednotlivých členov. V rámci tohto mechanizmu bude podporovaný aj vznik a</w:t>
      </w:r>
      <w:r>
        <w:rPr>
          <w:sz w:val="22"/>
          <w:szCs w:val="22"/>
        </w:rPr>
        <w:t> </w:t>
      </w:r>
      <w:r w:rsidRPr="00F229BB">
        <w:rPr>
          <w:sz w:val="22"/>
          <w:szCs w:val="22"/>
        </w:rPr>
        <w:t xml:space="preserve">rozvoj klastrov v nových perspektívnych odvetviach. Podpora bude stimulovať klastre pri hľadaní </w:t>
      </w:r>
      <w:r w:rsidRPr="00F229BB">
        <w:rPr>
          <w:sz w:val="22"/>
          <w:szCs w:val="22"/>
        </w:rPr>
        <w:lastRenderedPageBreak/>
        <w:t>nových strategických segmentov a implementácií rozvojových stratégií. Aktivita bude realizovaná formou schém pomoci.</w:t>
      </w:r>
    </w:p>
    <w:p w14:paraId="0AEE758F" w14:textId="77777777" w:rsidR="00E10737" w:rsidRPr="00F229BB" w:rsidRDefault="00E10737" w:rsidP="00351D17">
      <w:pPr>
        <w:spacing w:before="120"/>
        <w:jc w:val="both"/>
        <w:rPr>
          <w:sz w:val="22"/>
          <w:szCs w:val="22"/>
        </w:rPr>
      </w:pPr>
      <w:r w:rsidRPr="00F229BB">
        <w:rPr>
          <w:sz w:val="22"/>
          <w:szCs w:val="22"/>
        </w:rPr>
        <w:t>Podpora medzisektorových partnerstiev a spolupráce podnikov a výskumných inštitúcií. Medzisektorová spolupráca inovačných aktérov je dlhodobo nedostatočná, pričom spájanie aktérov inovačného procesu je kľúčovou výzvou pre rozvoj inovačnej výkonnosti ekonomiky a významnou úlohou, ktorej nositeľom bude technologická agentúra. Cieľom aktivity bude iniciovať a podporovať medzisektorovú výmenu znalostí a ľudských zdrojov najmä medzi podnikateľským sektorom, vzdelávacími a VaV organizáciami (napr. prostredníctvom inovačných voucherov). Medzisektorové partnerstvá budú podporované v rámci oprávnených teritórií EÚ, napr. podporou pobytov expertov z</w:t>
      </w:r>
      <w:r>
        <w:rPr>
          <w:sz w:val="22"/>
          <w:szCs w:val="22"/>
        </w:rPr>
        <w:t> </w:t>
      </w:r>
      <w:r w:rsidRPr="00F229BB">
        <w:rPr>
          <w:sz w:val="22"/>
          <w:szCs w:val="22"/>
        </w:rPr>
        <w:t>praxe v renomovaných zahraničných organizáciách. Budú realizované aktivity zamerané na spájanie škôl a podnikov s cieľom najmä prehlbovať kvalitu a úroveň vzájomného transferu a tým prispievať k</w:t>
      </w:r>
      <w:r>
        <w:rPr>
          <w:sz w:val="22"/>
          <w:szCs w:val="22"/>
        </w:rPr>
        <w:t> </w:t>
      </w:r>
      <w:r w:rsidRPr="00F229BB">
        <w:rPr>
          <w:sz w:val="22"/>
          <w:szCs w:val="22"/>
        </w:rPr>
        <w:t>rozvoju najperspektívnejších odborov v odvetviach definovaných v RIS3 SK a v súlade s potrebami praxe. V rámci aktivity budú realizované aj konferencie, workshopy, matchmaking roadshows, výstavy, diskusné fóra, B2B, B2C, veľtrhy a súťaže podporujúce rozvoj kreativity a vzájomnú spoluprácu všetkých relevantných aktérov. Taktiež bude podporovaný vznik inovačných platforiem a</w:t>
      </w:r>
      <w:r>
        <w:rPr>
          <w:sz w:val="22"/>
          <w:szCs w:val="22"/>
        </w:rPr>
        <w:t> </w:t>
      </w:r>
      <w:r w:rsidRPr="00F229BB">
        <w:rPr>
          <w:sz w:val="22"/>
          <w:szCs w:val="22"/>
        </w:rPr>
        <w:t>cielené mobility aktérov VVaI procesov zameraných na zvyšovanie odborných vedomostí, technických zručností, kreativity s cieľom prenosu poznatkov medzi oblasťou výskumu a praxou. Aktivity budú orientované na potreby podnikov. Aktivita bude realizovaná formou národného projektu a schém štátnej pomoci.</w:t>
      </w:r>
    </w:p>
    <w:p w14:paraId="79209708" w14:textId="77777777" w:rsidR="00E10737" w:rsidRPr="00F229BB" w:rsidRDefault="00E10737" w:rsidP="00351D17">
      <w:pPr>
        <w:spacing w:before="120"/>
        <w:jc w:val="both"/>
        <w:rPr>
          <w:sz w:val="22"/>
          <w:szCs w:val="22"/>
        </w:rPr>
      </w:pPr>
      <w:r w:rsidRPr="00F229BB">
        <w:rPr>
          <w:sz w:val="22"/>
          <w:szCs w:val="22"/>
        </w:rPr>
        <w:t>Podpora aktivít zameraných na ochranu práv duševného vlastníctva. Ochrana práv duševného vlastníctva, najmä v prípade výsledkov tvorivej činnosti osobitne v perspektívnych oblastiach priemyslu a VVaI projektov, nie je dostatočne využívaná. Z tohto dôvodu budú vytvorené mechanizmy zvyšovania celkového povedomia spoločnosti (napr. informačné dni, semináre, poradenstvo, kampane, tréningy, školenia, súťaže) o potrebe ochrany práv duševného vlastníctva, ako aj priame mechanizmy ochrany v rámci Európskeho patentového úradu. Aktivity budú zamerané, okrem zvyšovania povedomia a zintenzívnenia znalostí pri ochrane práv duševného vlastníctva, aj na</w:t>
      </w:r>
      <w:r>
        <w:rPr>
          <w:sz w:val="22"/>
          <w:szCs w:val="22"/>
        </w:rPr>
        <w:t> </w:t>
      </w:r>
      <w:r w:rsidRPr="00F229BB">
        <w:rPr>
          <w:sz w:val="22"/>
          <w:szCs w:val="22"/>
        </w:rPr>
        <w:t>celkové zvyšovanie a realizáciu ochrany práv duševného vlastníctva na strane podnikateľov. Aktivita počíta s osobitným zapojením technologickej agentúry, Úradu priemyselného vlastníctva a</w:t>
      </w:r>
      <w:r>
        <w:rPr>
          <w:sz w:val="22"/>
          <w:szCs w:val="22"/>
        </w:rPr>
        <w:t> </w:t>
      </w:r>
      <w:r w:rsidRPr="00F229BB">
        <w:rPr>
          <w:sz w:val="22"/>
          <w:szCs w:val="22"/>
        </w:rPr>
        <w:t>Slovak Business Agency. Aktivita bude realizovaná formou národného projektu a schém pomoci.</w:t>
      </w:r>
    </w:p>
    <w:p w14:paraId="724F14ED" w14:textId="1E0C86E3" w:rsidR="00E10737" w:rsidRPr="00F229BB" w:rsidRDefault="00E10737" w:rsidP="00351D17">
      <w:pPr>
        <w:spacing w:before="120"/>
        <w:jc w:val="both"/>
        <w:rPr>
          <w:sz w:val="22"/>
          <w:szCs w:val="22"/>
        </w:rPr>
      </w:pPr>
      <w:r w:rsidRPr="00F229BB">
        <w:rPr>
          <w:sz w:val="22"/>
          <w:szCs w:val="22"/>
        </w:rPr>
        <w:t>Podpora zvyšovania kvality a efektivity výrobných a technologických procesov prostredníctvom zvyšovania technologickej a inovačnej úrovne v podnikoch. Technologická úroveň podnikov významne determinuje ich konkurencieschopnosť. Slovenské podniky v porovnaní s podnikmi z</w:t>
      </w:r>
      <w:r>
        <w:rPr>
          <w:sz w:val="22"/>
          <w:szCs w:val="22"/>
        </w:rPr>
        <w:t> </w:t>
      </w:r>
      <w:r w:rsidRPr="00F229BB">
        <w:rPr>
          <w:sz w:val="22"/>
          <w:szCs w:val="22"/>
        </w:rPr>
        <w:t>vyspelých ekonomík stále trpia tzv. technologickou medzerou. V snahe zvýšiť inovačnú úroveň podnikov budú podporované aktivity, ktoré prostredníctvom zníženia technologickej medzery umožnia realizáciu produktových a procesných inovácií. Cieľom aktivity bude aj realizácia efektívneho technologického transferu s cieľom zvyšovania technologickej úrovne firiem a ich konkurencieschopnosti</w:t>
      </w:r>
      <w:r w:rsidR="000468FB">
        <w:rPr>
          <w:sz w:val="22"/>
          <w:szCs w:val="22"/>
        </w:rPr>
        <w:t xml:space="preserve"> </w:t>
      </w:r>
      <w:r w:rsidR="000468FB" w:rsidRPr="000468FB">
        <w:rPr>
          <w:sz w:val="22"/>
          <w:szCs w:val="22"/>
        </w:rPr>
        <w:t>a podpora projektov identifikovaných v rámci iniciatívy Európskej komisie zameranej na uhoľné regióny v transformácii</w:t>
      </w:r>
      <w:r w:rsidRPr="00F229BB">
        <w:rPr>
          <w:sz w:val="22"/>
          <w:szCs w:val="22"/>
        </w:rPr>
        <w:t>. Získané technológie budú ďalej rozvíjané, adaptované alebo integrované s inými technológiami alebo službami. Prioritná podpora bude orientovaná na</w:t>
      </w:r>
      <w:r>
        <w:rPr>
          <w:sz w:val="22"/>
          <w:szCs w:val="22"/>
        </w:rPr>
        <w:t> </w:t>
      </w:r>
      <w:r w:rsidRPr="00F229BB">
        <w:rPr>
          <w:sz w:val="22"/>
          <w:szCs w:val="22"/>
        </w:rPr>
        <w:t>podporu technologického transferu z prostredia vedecko-výskumných organizácií. Aktivita bude realizovaná formou schém pomoci a finančných nástrojov</w:t>
      </w:r>
      <w:r w:rsidR="009F4311" w:rsidRPr="009F4311">
        <w:rPr>
          <w:sz w:val="22"/>
          <w:szCs w:val="22"/>
          <w:vertAlign w:val="superscript"/>
        </w:rPr>
        <w:t>117</w:t>
      </w:r>
      <w:r w:rsidRPr="00F229BB">
        <w:rPr>
          <w:sz w:val="22"/>
          <w:szCs w:val="22"/>
        </w:rPr>
        <w:t>.</w:t>
      </w:r>
    </w:p>
    <w:p w14:paraId="5EE2AE39" w14:textId="20501C24" w:rsidR="00E10737" w:rsidRPr="00F229BB" w:rsidRDefault="00E10737" w:rsidP="00351D17">
      <w:pPr>
        <w:spacing w:before="120"/>
        <w:jc w:val="both"/>
        <w:rPr>
          <w:sz w:val="22"/>
          <w:szCs w:val="22"/>
        </w:rPr>
      </w:pPr>
      <w:r w:rsidRPr="00F229BB">
        <w:rPr>
          <w:sz w:val="22"/>
          <w:szCs w:val="22"/>
        </w:rPr>
        <w:t>Podpora zavádzania inovatívnych výrobkov a služieb na trh. Výsledky VVaI procesov je potrebné presadiť na trhoch. Cieľom aktivity bude podpora technickej spôsobilosti produktov a riešení ich následnej komercionalizácie. Aktivitou bude podporený vznik, napr. poloprevádzok, tvorby prototypov, pilotných aktivít, pilotného testovania a rozširovania na trhoch. Aktivita bude realizovaná formou schém pomoci a finančných nástrojov</w:t>
      </w:r>
      <w:r w:rsidR="009F4311" w:rsidRPr="009F4311">
        <w:rPr>
          <w:sz w:val="22"/>
          <w:szCs w:val="22"/>
          <w:vertAlign w:val="superscript"/>
        </w:rPr>
        <w:t>117</w:t>
      </w:r>
      <w:r w:rsidRPr="00F229BB">
        <w:rPr>
          <w:sz w:val="22"/>
          <w:szCs w:val="22"/>
        </w:rPr>
        <w:t>.</w:t>
      </w:r>
    </w:p>
    <w:p w14:paraId="3942B0BA" w14:textId="77777777" w:rsidR="00E10737" w:rsidRPr="00F229BB" w:rsidRDefault="00E10737" w:rsidP="00351D17">
      <w:pPr>
        <w:spacing w:before="120"/>
        <w:jc w:val="both"/>
        <w:rPr>
          <w:szCs w:val="22"/>
        </w:rPr>
      </w:pPr>
      <w:r w:rsidRPr="00F229BB">
        <w:rPr>
          <w:sz w:val="22"/>
          <w:szCs w:val="22"/>
        </w:rPr>
        <w:t>Podpora zvyšovania inovačnej výkonnosti formou špecializovaného poradenstva a technologického predvídania. Rozvoj podnikateľských subjektov, najmä MSP je limitovaný nedostatkom kvalitných a</w:t>
      </w:r>
      <w:r>
        <w:rPr>
          <w:sz w:val="22"/>
          <w:szCs w:val="22"/>
        </w:rPr>
        <w:t> </w:t>
      </w:r>
      <w:r w:rsidRPr="00F229BB">
        <w:rPr>
          <w:sz w:val="22"/>
          <w:szCs w:val="22"/>
        </w:rPr>
        <w:t>včasných informácií. Tento stav bude prekonaný realizáciou cieleného predvídania trendov najmä v</w:t>
      </w:r>
      <w:r>
        <w:rPr>
          <w:sz w:val="22"/>
          <w:szCs w:val="22"/>
        </w:rPr>
        <w:t> </w:t>
      </w:r>
      <w:r w:rsidRPr="00F229BB">
        <w:rPr>
          <w:sz w:val="22"/>
          <w:szCs w:val="22"/>
        </w:rPr>
        <w:t xml:space="preserve">oblasti rozvoja technológií, ale aj kľúčových globálnych výziev a odhadu dopadov. Pozornosť bude venovaná aj oblasti sociálnych a environmentálnych inovácií s cieľom zachytenia výziev v týchto oblastiach. Inovačná úroveň podnikov bude zvyšovaná poskytovaním informačného a odborného poradenstva v oblasti inovácií a technológií a ich komercionalizácie a internacionalizácie </w:t>
      </w:r>
      <w:r w:rsidRPr="00F229BB">
        <w:rPr>
          <w:sz w:val="22"/>
          <w:szCs w:val="22"/>
        </w:rPr>
        <w:lastRenderedPageBreak/>
        <w:t>prostredníctvom siete konzultačných pracovísk technologickej agentúry a zapojením zahraničných renomovaných expertov. Experti pôsobiaci v sieti konzultačných pracovísk budú pravidelne školení doma aj v zahraničí s cieľom poskytovať služby s vysokou pridanou hodnotou. Inovačné poradenstvo a špecializované školenia budú poskytované aj klastrovým organizáciám s cieľom zefektívnenia ich činností. Cielene bude zvyšované inovačné povedomie podnikov a ich uvedomenie si dôležitosti vlastných inovačných aktivít, prostredníctvom realizácie prezentačných a propagačných aktivít (napr. Národné inovačné a technologické dni, mediálne kampane, súťaže, diskusné fóra, konferencie, workshopy). Aktivity budú komplementárne k propagácii VaV realizovaného v prostredí VVaI organizácií. Taktiež bude realizované pravidelné hodnotenie inovačnej výkonnosti a potrieb slovenskej ekonomiky. Aktivita bude realizovaná formou národného projektu a schém pomoci.</w:t>
      </w:r>
    </w:p>
    <w:p w14:paraId="4E829840" w14:textId="77777777" w:rsidR="00E10737" w:rsidRDefault="00E10737" w:rsidP="00E10737">
      <w:pPr>
        <w:jc w:val="both"/>
      </w:pPr>
    </w:p>
    <w:p w14:paraId="0317B070" w14:textId="645AF209" w:rsidR="00E10737" w:rsidRPr="00F229BB" w:rsidRDefault="00E10737" w:rsidP="00E10737">
      <w:pPr>
        <w:jc w:val="both"/>
        <w:rPr>
          <w:sz w:val="22"/>
          <w:szCs w:val="22"/>
        </w:rPr>
      </w:pPr>
      <w:r w:rsidRPr="00F229BB">
        <w:rPr>
          <w:sz w:val="22"/>
          <w:szCs w:val="22"/>
        </w:rPr>
        <w:t>Oprávnení prijímatelia</w:t>
      </w:r>
      <w:bookmarkStart w:id="96" w:name="_Ref22305947"/>
      <w:r w:rsidR="00EF474C">
        <w:rPr>
          <w:rStyle w:val="Odkaznapoznmkupodiarou"/>
          <w:sz w:val="22"/>
          <w:szCs w:val="22"/>
        </w:rPr>
        <w:footnoteReference w:id="87"/>
      </w:r>
      <w:bookmarkEnd w:id="96"/>
      <w:r w:rsidRPr="00F229BB">
        <w:rPr>
          <w:sz w:val="22"/>
          <w:szCs w:val="22"/>
        </w:rPr>
        <w:t>, cieľové skupiny a cieľové územie v rámci investičnej priority 1</w:t>
      </w:r>
      <w:r w:rsidR="002F6CE8">
        <w:rPr>
          <w:sz w:val="22"/>
          <w:szCs w:val="22"/>
        </w:rPr>
        <w:t>b)</w:t>
      </w:r>
    </w:p>
    <w:p w14:paraId="3ED85C5B" w14:textId="7E01D8A5" w:rsidR="00E10737" w:rsidRPr="00F229BB" w:rsidRDefault="00E10737" w:rsidP="00E10737">
      <w:pPr>
        <w:jc w:val="both"/>
        <w:rPr>
          <w:szCs w:val="22"/>
        </w:rPr>
      </w:pPr>
      <w:r w:rsidRPr="00F229BB">
        <w:rPr>
          <w:sz w:val="22"/>
          <w:szCs w:val="22"/>
        </w:rPr>
        <w:t>-</w:t>
      </w:r>
      <w:r w:rsidRPr="00F229BB">
        <w:rPr>
          <w:sz w:val="22"/>
          <w:szCs w:val="22"/>
        </w:rPr>
        <w:tab/>
        <w:t>pre špecifický cieľ 9.</w:t>
      </w:r>
      <w:r w:rsidR="00A1452D">
        <w:rPr>
          <w:sz w:val="22"/>
          <w:szCs w:val="22"/>
        </w:rPr>
        <w:t>4</w:t>
      </w:r>
      <w:r w:rsidRPr="00F229BB">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0F1285F0" w14:textId="77777777" w:rsidTr="004179DE">
        <w:trPr>
          <w:trHeight w:val="284"/>
          <w:jc w:val="center"/>
        </w:trPr>
        <w:tc>
          <w:tcPr>
            <w:tcW w:w="3289" w:type="dxa"/>
            <w:shd w:val="clear" w:color="auto" w:fill="DBE5F1" w:themeFill="accent1" w:themeFillTint="33"/>
            <w:vAlign w:val="center"/>
          </w:tcPr>
          <w:p w14:paraId="0D5BD439"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16E94BED"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Podnikateľské subjekty, zahraničné organizácie VaV, zahraničné podnikateľské subjekty, samospráva, neziskový sektor</w:t>
            </w:r>
          </w:p>
        </w:tc>
      </w:tr>
      <w:tr w:rsidR="00E10737" w14:paraId="51719E0A" w14:textId="77777777" w:rsidTr="004179DE">
        <w:trPr>
          <w:trHeight w:val="284"/>
          <w:jc w:val="center"/>
        </w:trPr>
        <w:tc>
          <w:tcPr>
            <w:tcW w:w="3289" w:type="dxa"/>
            <w:shd w:val="clear" w:color="auto" w:fill="DBE5F1" w:themeFill="accent1" w:themeFillTint="33"/>
            <w:vAlign w:val="center"/>
          </w:tcPr>
          <w:p w14:paraId="54A8FC90"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71EDF8E0"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Menej rozvinuté regióny</w:t>
            </w:r>
          </w:p>
        </w:tc>
      </w:tr>
      <w:tr w:rsidR="00E10737" w14:paraId="2143D3AC" w14:textId="77777777" w:rsidTr="004179DE">
        <w:trPr>
          <w:trHeight w:val="284"/>
          <w:jc w:val="center"/>
        </w:trPr>
        <w:tc>
          <w:tcPr>
            <w:tcW w:w="3289" w:type="dxa"/>
            <w:shd w:val="clear" w:color="auto" w:fill="DBE5F1" w:themeFill="accent1" w:themeFillTint="33"/>
            <w:vAlign w:val="center"/>
          </w:tcPr>
          <w:p w14:paraId="0EC8B86F"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455822C9"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CVTI SR (v prípade národných projektov)</w:t>
            </w:r>
          </w:p>
          <w:p w14:paraId="613B5627"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3C650DE7"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0BD33ACD" w14:textId="5CA7E21B"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r w:rsidR="00EF474C">
              <w:rPr>
                <w:sz w:val="22"/>
                <w:szCs w:val="22"/>
              </w:rPr>
              <w:fldChar w:fldCharType="begin"/>
            </w:r>
            <w:r w:rsidR="00EF474C">
              <w:rPr>
                <w:sz w:val="22"/>
                <w:szCs w:val="22"/>
              </w:rPr>
              <w:instrText xml:space="preserve"> NOTEREF _Ref22306225 \f \h </w:instrText>
            </w:r>
            <w:r w:rsidR="00EF474C">
              <w:rPr>
                <w:sz w:val="22"/>
                <w:szCs w:val="22"/>
              </w:rPr>
            </w:r>
            <w:r w:rsidR="00EF474C">
              <w:rPr>
                <w:sz w:val="22"/>
                <w:szCs w:val="22"/>
              </w:rPr>
              <w:fldChar w:fldCharType="separate"/>
            </w:r>
            <w:r w:rsidR="00F25146" w:rsidRPr="00F25146">
              <w:rPr>
                <w:rStyle w:val="Odkaznapoznmkupodiarou"/>
              </w:rPr>
              <w:t>112</w:t>
            </w:r>
            <w:r w:rsidR="00EF474C">
              <w:rPr>
                <w:sz w:val="22"/>
                <w:szCs w:val="22"/>
              </w:rPr>
              <w:fldChar w:fldCharType="end"/>
            </w:r>
            <w:r>
              <w:rPr>
                <w:sz w:val="22"/>
                <w:szCs w:val="22"/>
              </w:rPr>
              <w:t>,</w:t>
            </w:r>
          </w:p>
          <w:p w14:paraId="418382D2"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6D3E7C8A"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113CBA90" w14:textId="77777777" w:rsidR="00E10737" w:rsidRDefault="00E10737" w:rsidP="004179DE">
            <w:pPr>
              <w:pStyle w:val="Odsekzoznamu"/>
              <w:autoSpaceDE w:val="0"/>
              <w:autoSpaceDN w:val="0"/>
              <w:adjustRightInd w:val="0"/>
              <w:ind w:left="290"/>
              <w:rPr>
                <w:sz w:val="22"/>
                <w:szCs w:val="22"/>
              </w:rPr>
            </w:pPr>
            <w:r>
              <w:rPr>
                <w:sz w:val="22"/>
                <w:szCs w:val="22"/>
              </w:rPr>
              <w:t>- podnikateľský sektor.</w:t>
            </w:r>
          </w:p>
          <w:p w14:paraId="61CDE6AD" w14:textId="77777777" w:rsidR="00E10737"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p w14:paraId="331755D0" w14:textId="77777777" w:rsidR="00E10737" w:rsidRPr="00F74ECA"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Výskumné organizácie z členských krajín EÚ</w:t>
            </w:r>
          </w:p>
        </w:tc>
      </w:tr>
    </w:tbl>
    <w:p w14:paraId="421C2F6C" w14:textId="77777777" w:rsidR="00E10737" w:rsidRPr="00CF79E0" w:rsidRDefault="00E10737" w:rsidP="00E10737">
      <w:pPr>
        <w:rPr>
          <w:sz w:val="22"/>
          <w:szCs w:val="22"/>
        </w:rPr>
      </w:pPr>
    </w:p>
    <w:p w14:paraId="4E541614" w14:textId="49980240" w:rsidR="00E10737" w:rsidRPr="00F229BB" w:rsidRDefault="00E10737" w:rsidP="00E10737">
      <w:pPr>
        <w:jc w:val="both"/>
        <w:rPr>
          <w:szCs w:val="22"/>
        </w:rPr>
      </w:pPr>
      <w:r w:rsidRPr="00F229BB">
        <w:rPr>
          <w:sz w:val="22"/>
          <w:szCs w:val="22"/>
        </w:rPr>
        <w:t>V nadväznosti na pozitívne skúsenosti z programového obdobia 2007 – 2013 bude v rámci aktivít špecifického cieľa 9.</w:t>
      </w:r>
      <w:r w:rsidR="00A1452D">
        <w:rPr>
          <w:sz w:val="22"/>
          <w:szCs w:val="22"/>
        </w:rPr>
        <w:t>4</w:t>
      </w:r>
      <w:r w:rsidRPr="00F229BB">
        <w:rPr>
          <w:sz w:val="22"/>
          <w:szCs w:val="22"/>
        </w:rPr>
        <w:t xml:space="preserve"> uplatňovaný inštitút partnerstva – t. j. predpokladom podporenia projektu je vznik konzorcia výskumných inštitúcií, pričom každá z participujúcich inštitúcií v projekte má pridelené konkrétne úlohy aj finančné prostriedky.</w:t>
      </w:r>
    </w:p>
    <w:p w14:paraId="0ADFE0EC" w14:textId="77777777" w:rsidR="00E10737" w:rsidRDefault="00E10737" w:rsidP="00E10737">
      <w:pPr>
        <w:jc w:val="both"/>
      </w:pPr>
    </w:p>
    <w:p w14:paraId="49C4878A" w14:textId="71FF9CF9" w:rsidR="00E10737" w:rsidRPr="00F229BB" w:rsidRDefault="00E10737" w:rsidP="00E10737">
      <w:pPr>
        <w:jc w:val="both"/>
        <w:rPr>
          <w:sz w:val="22"/>
          <w:szCs w:val="22"/>
        </w:rPr>
      </w:pPr>
      <w:r w:rsidRPr="00F229BB">
        <w:rPr>
          <w:sz w:val="22"/>
          <w:szCs w:val="22"/>
        </w:rPr>
        <w:t>-</w:t>
      </w:r>
      <w:r w:rsidRPr="00F229BB">
        <w:rPr>
          <w:sz w:val="22"/>
          <w:szCs w:val="22"/>
        </w:rPr>
        <w:tab/>
        <w:t>pre špecifický cieľ 9.</w:t>
      </w:r>
      <w:r w:rsidR="00A1452D">
        <w:rPr>
          <w:sz w:val="22"/>
          <w:szCs w:val="22"/>
        </w:rPr>
        <w:t>5</w:t>
      </w:r>
      <w:r w:rsidRPr="00F229BB">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6DCCFE14" w14:textId="77777777" w:rsidTr="004179DE">
        <w:trPr>
          <w:trHeight w:val="284"/>
          <w:jc w:val="center"/>
        </w:trPr>
        <w:tc>
          <w:tcPr>
            <w:tcW w:w="3289" w:type="dxa"/>
            <w:shd w:val="clear" w:color="auto" w:fill="DBE5F1" w:themeFill="accent1" w:themeFillTint="33"/>
            <w:vAlign w:val="center"/>
          </w:tcPr>
          <w:p w14:paraId="13908FC1"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2BE791B1"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Podnikateľské subjekty, akademická sféra, vedecko-výskumné inštitúcie, samospráva, neziskový sektor</w:t>
            </w:r>
          </w:p>
        </w:tc>
      </w:tr>
      <w:tr w:rsidR="00E10737" w14:paraId="1B36847F" w14:textId="77777777" w:rsidTr="004179DE">
        <w:trPr>
          <w:trHeight w:val="284"/>
          <w:jc w:val="center"/>
        </w:trPr>
        <w:tc>
          <w:tcPr>
            <w:tcW w:w="3289" w:type="dxa"/>
            <w:shd w:val="clear" w:color="auto" w:fill="DBE5F1" w:themeFill="accent1" w:themeFillTint="33"/>
            <w:vAlign w:val="center"/>
          </w:tcPr>
          <w:p w14:paraId="6C3C29BE"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5B1A4E31"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Menej rozvinuté regióny</w:t>
            </w:r>
          </w:p>
        </w:tc>
      </w:tr>
      <w:tr w:rsidR="00E10737" w14:paraId="382106BE" w14:textId="77777777" w:rsidTr="004179DE">
        <w:trPr>
          <w:trHeight w:val="284"/>
          <w:jc w:val="center"/>
        </w:trPr>
        <w:tc>
          <w:tcPr>
            <w:tcW w:w="3289" w:type="dxa"/>
            <w:shd w:val="clear" w:color="auto" w:fill="DBE5F1" w:themeFill="accent1" w:themeFillTint="33"/>
            <w:vAlign w:val="center"/>
          </w:tcPr>
          <w:p w14:paraId="1585B5AF"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4597C13B"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Štátne rozpočtové organizácie alebo štátne príspevkové organizácie v pôsobnosti MH SR</w:t>
            </w:r>
            <w:r>
              <w:rPr>
                <w:sz w:val="22"/>
                <w:szCs w:val="22"/>
              </w:rPr>
              <w:t>,</w:t>
            </w:r>
          </w:p>
          <w:p w14:paraId="69DCD949" w14:textId="41B4F7B1"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Fyzické alebo právnické osoby oprávnené na podnikanie</w:t>
            </w:r>
            <w:r w:rsidR="00EF474C">
              <w:rPr>
                <w:sz w:val="22"/>
                <w:szCs w:val="22"/>
              </w:rPr>
              <w:fldChar w:fldCharType="begin"/>
            </w:r>
            <w:r w:rsidR="00EF474C">
              <w:rPr>
                <w:sz w:val="22"/>
                <w:szCs w:val="22"/>
              </w:rPr>
              <w:instrText xml:space="preserve"> NOTEREF _Ref22305947 \f \h </w:instrText>
            </w:r>
            <w:r w:rsidR="00EF474C">
              <w:rPr>
                <w:sz w:val="22"/>
                <w:szCs w:val="22"/>
              </w:rPr>
            </w:r>
            <w:r w:rsidR="00EF474C">
              <w:rPr>
                <w:sz w:val="22"/>
                <w:szCs w:val="22"/>
              </w:rPr>
              <w:fldChar w:fldCharType="separate"/>
            </w:r>
            <w:r w:rsidR="00F25146" w:rsidRPr="00F25146">
              <w:rPr>
                <w:rStyle w:val="Odkaznapoznmkupodiarou"/>
              </w:rPr>
              <w:t>118</w:t>
            </w:r>
            <w:r w:rsidR="00EF474C">
              <w:rPr>
                <w:sz w:val="22"/>
                <w:szCs w:val="22"/>
              </w:rPr>
              <w:fldChar w:fldCharType="end"/>
            </w:r>
            <w:r w:rsidRPr="00446048">
              <w:rPr>
                <w:sz w:val="22"/>
                <w:szCs w:val="22"/>
              </w:rPr>
              <w:t>;</w:t>
            </w:r>
          </w:p>
          <w:p w14:paraId="5888B217"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Združenia fyzických alebo právnických osôb;</w:t>
            </w:r>
          </w:p>
          <w:p w14:paraId="0F24FDC4"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Neziskový sektor</w:t>
            </w:r>
          </w:p>
          <w:p w14:paraId="192800C7"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2EB28B17"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128EBF0F" w14:textId="4C785595"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r w:rsidR="00EF474C">
              <w:rPr>
                <w:sz w:val="22"/>
                <w:szCs w:val="22"/>
              </w:rPr>
              <w:fldChar w:fldCharType="begin"/>
            </w:r>
            <w:r w:rsidR="00EF474C">
              <w:rPr>
                <w:sz w:val="22"/>
                <w:szCs w:val="22"/>
              </w:rPr>
              <w:instrText xml:space="preserve"> NOTEREF _Ref22306225 \f \h </w:instrText>
            </w:r>
            <w:r w:rsidR="00EF474C">
              <w:rPr>
                <w:sz w:val="22"/>
                <w:szCs w:val="22"/>
              </w:rPr>
            </w:r>
            <w:r w:rsidR="00EF474C">
              <w:rPr>
                <w:sz w:val="22"/>
                <w:szCs w:val="22"/>
              </w:rPr>
              <w:fldChar w:fldCharType="separate"/>
            </w:r>
            <w:r w:rsidR="00F25146" w:rsidRPr="00F25146">
              <w:rPr>
                <w:rStyle w:val="Odkaznapoznmkupodiarou"/>
              </w:rPr>
              <w:t>112</w:t>
            </w:r>
            <w:r w:rsidR="00EF474C">
              <w:rPr>
                <w:sz w:val="22"/>
                <w:szCs w:val="22"/>
              </w:rPr>
              <w:fldChar w:fldCharType="end"/>
            </w:r>
            <w:r>
              <w:rPr>
                <w:sz w:val="22"/>
                <w:szCs w:val="22"/>
              </w:rPr>
              <w:t>,</w:t>
            </w:r>
          </w:p>
          <w:p w14:paraId="094463CA"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1FB4FED9"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7DA182BA"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tc>
      </w:tr>
    </w:tbl>
    <w:p w14:paraId="660C7386" w14:textId="77777777" w:rsidR="00E10737" w:rsidRDefault="00E10737" w:rsidP="00E10737">
      <w:pPr>
        <w:jc w:val="both"/>
      </w:pPr>
    </w:p>
    <w:p w14:paraId="06B8C6FB" w14:textId="77777777" w:rsidR="00E10737" w:rsidRDefault="00E10737" w:rsidP="00E10737">
      <w:pPr>
        <w:pStyle w:val="Nadpis4"/>
        <w:tabs>
          <w:tab w:val="clear" w:pos="709"/>
          <w:tab w:val="clear" w:pos="864"/>
        </w:tabs>
        <w:ind w:left="851" w:hanging="851"/>
      </w:pPr>
      <w:r>
        <w:lastRenderedPageBreak/>
        <w:t>Hlavné princípy výberu projektov</w:t>
      </w:r>
    </w:p>
    <w:p w14:paraId="79B642DA" w14:textId="1BDB9919" w:rsidR="00E10737" w:rsidRPr="002917DD" w:rsidRDefault="00E10737" w:rsidP="00E10737">
      <w:pPr>
        <w:tabs>
          <w:tab w:val="left" w:pos="540"/>
        </w:tabs>
        <w:jc w:val="both"/>
        <w:rPr>
          <w:sz w:val="22"/>
          <w:szCs w:val="22"/>
        </w:rPr>
      </w:pPr>
      <w:r w:rsidRPr="002917DD">
        <w:rPr>
          <w:sz w:val="22"/>
          <w:szCs w:val="22"/>
        </w:rPr>
        <w:t>Kľúčovou úlohou výberu projektov je zadefinovane jasných a objektívnych kritérií výberu operácií umožňujúcich objektívne posúdiť a vyhodnotiť mieru prínosu projektu k naplneniu cieľov a výsledkov OP</w:t>
      </w:r>
      <w:r w:rsidR="00F71A6E">
        <w:rPr>
          <w:sz w:val="22"/>
          <w:szCs w:val="22"/>
        </w:rPr>
        <w:t>I</w:t>
      </w:r>
      <w:r w:rsidRPr="002917DD">
        <w:rPr>
          <w:sz w:val="22"/>
          <w:szCs w:val="22"/>
        </w:rPr>
        <w:t>I</w:t>
      </w:r>
      <w:r w:rsidR="00F71A6E">
        <w:rPr>
          <w:sz w:val="22"/>
          <w:szCs w:val="22"/>
        </w:rPr>
        <w:t xml:space="preserve"> (časť VaI)</w:t>
      </w:r>
      <w:r w:rsidRPr="002917DD">
        <w:rPr>
          <w:sz w:val="22"/>
          <w:szCs w:val="22"/>
        </w:rPr>
        <w:t xml:space="preserve">. Vo vzťahu k výzvam na predkladanie žiadostí o príspevok, budú zohľadnené všeobecné zásady výberu projektov pre tematický cieľ 1 uvedené v kapitole </w:t>
      </w:r>
      <w:r w:rsidRPr="00870367">
        <w:rPr>
          <w:sz w:val="22"/>
          <w:szCs w:val="22"/>
        </w:rPr>
        <w:t>2.</w:t>
      </w:r>
      <w:r w:rsidR="004528E4" w:rsidRPr="00870367">
        <w:rPr>
          <w:sz w:val="22"/>
          <w:szCs w:val="22"/>
        </w:rPr>
        <w:t>9</w:t>
      </w:r>
      <w:r w:rsidRPr="00870367">
        <w:rPr>
          <w:sz w:val="22"/>
          <w:szCs w:val="22"/>
        </w:rPr>
        <w:t>.2.</w:t>
      </w:r>
      <w:r w:rsidR="002A1E4C" w:rsidRPr="00870367">
        <w:rPr>
          <w:sz w:val="22"/>
          <w:szCs w:val="22"/>
        </w:rPr>
        <w:t>3</w:t>
      </w:r>
      <w:r w:rsidRPr="00870367">
        <w:rPr>
          <w:sz w:val="22"/>
          <w:szCs w:val="22"/>
        </w:rPr>
        <w:t>.</w:t>
      </w:r>
    </w:p>
    <w:p w14:paraId="602FA3D3" w14:textId="77777777" w:rsidR="00E10737" w:rsidRPr="008A714B" w:rsidRDefault="00E10737" w:rsidP="00E10737">
      <w:pPr>
        <w:jc w:val="both"/>
        <w:rPr>
          <w:szCs w:val="22"/>
        </w:rPr>
      </w:pPr>
    </w:p>
    <w:p w14:paraId="1EACAE98" w14:textId="693103FD" w:rsidR="00E10737" w:rsidRPr="00CF79E0" w:rsidRDefault="00E10737" w:rsidP="00E10737">
      <w:pPr>
        <w:jc w:val="both"/>
        <w:rPr>
          <w:sz w:val="22"/>
          <w:szCs w:val="22"/>
        </w:rPr>
      </w:pPr>
      <w:r w:rsidRPr="00CF79E0">
        <w:rPr>
          <w:sz w:val="22"/>
          <w:szCs w:val="22"/>
        </w:rPr>
        <w:t>Špecifické zásady výberu projektov v rámci investičnej priority 1</w:t>
      </w:r>
      <w:r w:rsidR="00AA2984">
        <w:rPr>
          <w:sz w:val="22"/>
          <w:szCs w:val="22"/>
        </w:rPr>
        <w:t>b)</w:t>
      </w:r>
      <w:r w:rsidRPr="00CF79E0">
        <w:rPr>
          <w:sz w:val="22"/>
          <w:szCs w:val="22"/>
        </w:rPr>
        <w:t>:</w:t>
      </w:r>
    </w:p>
    <w:p w14:paraId="61B2C7FF" w14:textId="26BEDB9A" w:rsidR="00E10737" w:rsidRPr="00CF79E0" w:rsidRDefault="00E10737" w:rsidP="00E10737">
      <w:pPr>
        <w:jc w:val="both"/>
        <w:rPr>
          <w:sz w:val="22"/>
          <w:szCs w:val="22"/>
        </w:rPr>
      </w:pPr>
      <w:r w:rsidRPr="00CF79E0">
        <w:rPr>
          <w:sz w:val="22"/>
          <w:szCs w:val="22"/>
        </w:rPr>
        <w:t>Na výber projektov v rámci špecifického cieľa 9.</w:t>
      </w:r>
      <w:r w:rsidR="00A1452D">
        <w:rPr>
          <w:sz w:val="22"/>
          <w:szCs w:val="22"/>
        </w:rPr>
        <w:t>4</w:t>
      </w:r>
      <w:r w:rsidRPr="00CF79E0">
        <w:rPr>
          <w:sz w:val="22"/>
          <w:szCs w:val="22"/>
        </w:rPr>
        <w:t xml:space="preserve"> budú aplikované nasledovné špecifické zásady výberu projektov:</w:t>
      </w:r>
    </w:p>
    <w:p w14:paraId="22AF661E"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zabezpečenie špecifického výberového procesu pre projekty, resp. časti projektov v kontexte podpory účasti v medzinárodných aktivitách v rámci ERA, vrátane využitia priebežnej uzávierky predkladania projektov a optimalizácie trvania výberového procesu;</w:t>
      </w:r>
    </w:p>
    <w:p w14:paraId="3DED56A1"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zvýšený dôraz bude kladený na obsahovú stránku projektov v zmysle nasledovných zásad:</w:t>
      </w:r>
    </w:p>
    <w:p w14:paraId="55212E23"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zvýšenie štandardov výberu projektov na základe štyroch skupín kritérií:</w:t>
      </w:r>
    </w:p>
    <w:p w14:paraId="74F3D1C6" w14:textId="77777777" w:rsidR="00E10737" w:rsidRPr="00CF79E0" w:rsidRDefault="00E10737" w:rsidP="00E10737">
      <w:pPr>
        <w:ind w:left="1134" w:hanging="283"/>
        <w:jc w:val="both"/>
        <w:rPr>
          <w:sz w:val="22"/>
          <w:szCs w:val="22"/>
        </w:rPr>
      </w:pPr>
      <w:r w:rsidRPr="00CF79E0">
        <w:rPr>
          <w:sz w:val="22"/>
          <w:szCs w:val="22"/>
        </w:rPr>
        <w:t>-</w:t>
      </w:r>
      <w:r w:rsidRPr="00CF79E0">
        <w:rPr>
          <w:sz w:val="22"/>
          <w:szCs w:val="22"/>
        </w:rPr>
        <w:tab/>
        <w:t>kvalita zámeru – vedecká excelentnosť, resp. príspevok k nej,</w:t>
      </w:r>
    </w:p>
    <w:p w14:paraId="48C389B2" w14:textId="77777777" w:rsidR="00E10737" w:rsidRPr="00CF79E0" w:rsidRDefault="00E10737" w:rsidP="00E10737">
      <w:pPr>
        <w:ind w:left="1134" w:hanging="283"/>
        <w:jc w:val="both"/>
        <w:rPr>
          <w:sz w:val="22"/>
          <w:szCs w:val="22"/>
        </w:rPr>
      </w:pPr>
      <w:r w:rsidRPr="00CF79E0">
        <w:rPr>
          <w:sz w:val="22"/>
          <w:szCs w:val="22"/>
        </w:rPr>
        <w:t>-</w:t>
      </w:r>
      <w:r w:rsidRPr="00CF79E0">
        <w:rPr>
          <w:sz w:val="22"/>
          <w:szCs w:val="22"/>
        </w:rPr>
        <w:tab/>
        <w:t>kvalita manažmentu projektu,</w:t>
      </w:r>
    </w:p>
    <w:p w14:paraId="108659BE" w14:textId="77777777" w:rsidR="00E10737" w:rsidRPr="00CF79E0" w:rsidRDefault="00E10737" w:rsidP="00E10737">
      <w:pPr>
        <w:ind w:left="1134" w:hanging="283"/>
        <w:jc w:val="both"/>
        <w:rPr>
          <w:sz w:val="22"/>
          <w:szCs w:val="22"/>
        </w:rPr>
      </w:pPr>
      <w:r w:rsidRPr="00CF79E0">
        <w:rPr>
          <w:sz w:val="22"/>
          <w:szCs w:val="22"/>
        </w:rPr>
        <w:t>-</w:t>
      </w:r>
      <w:r w:rsidRPr="00CF79E0">
        <w:rPr>
          <w:sz w:val="22"/>
          <w:szCs w:val="22"/>
        </w:rPr>
        <w:tab/>
        <w:t>potenciálny účinok realizácie projektu,</w:t>
      </w:r>
    </w:p>
    <w:p w14:paraId="0D2D8CF7" w14:textId="77777777" w:rsidR="00E10737" w:rsidRPr="00CF79E0" w:rsidRDefault="00E10737" w:rsidP="00E10737">
      <w:pPr>
        <w:ind w:left="1134" w:hanging="283"/>
        <w:jc w:val="both"/>
        <w:rPr>
          <w:sz w:val="22"/>
          <w:szCs w:val="22"/>
        </w:rPr>
      </w:pPr>
      <w:r w:rsidRPr="00CF79E0">
        <w:rPr>
          <w:sz w:val="22"/>
          <w:szCs w:val="22"/>
        </w:rPr>
        <w:t>-</w:t>
      </w:r>
      <w:r w:rsidRPr="00CF79E0">
        <w:rPr>
          <w:sz w:val="22"/>
          <w:szCs w:val="22"/>
        </w:rPr>
        <w:tab/>
        <w:t>preukázanie spillover efektu na územie regiónu, na jeho hodnotový reťazec.</w:t>
      </w:r>
    </w:p>
    <w:p w14:paraId="2785A963"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zintenzívnenie fakultatívnej formy využívania zahraničných expertov pri hodnotení projektov,</w:t>
      </w:r>
    </w:p>
    <w:p w14:paraId="4DC003A5"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zavedenie priebežných a/alebo záverečných verejných obsahových oponentúr projektov aj za</w:t>
      </w:r>
      <w:r>
        <w:rPr>
          <w:sz w:val="22"/>
          <w:szCs w:val="22"/>
        </w:rPr>
        <w:t> </w:t>
      </w:r>
      <w:r w:rsidRPr="00CF79E0">
        <w:rPr>
          <w:sz w:val="22"/>
          <w:szCs w:val="22"/>
        </w:rPr>
        <w:t>fakultatívnej účasti zahraničných expertov.</w:t>
      </w:r>
    </w:p>
    <w:p w14:paraId="5A58B21F"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v projektoch spolupráce akademického sektora s podnikmi budú zvýhodňované projekty v rámci ktorých budú zastúpené MSP.</w:t>
      </w:r>
    </w:p>
    <w:p w14:paraId="17B63FA8" w14:textId="77777777" w:rsidR="00E10737" w:rsidRPr="00CF79E0" w:rsidRDefault="00E10737" w:rsidP="00E10737">
      <w:pPr>
        <w:jc w:val="both"/>
        <w:rPr>
          <w:sz w:val="22"/>
          <w:szCs w:val="22"/>
        </w:rPr>
      </w:pPr>
      <w:r w:rsidRPr="00CF79E0">
        <w:rPr>
          <w:sz w:val="22"/>
          <w:szCs w:val="22"/>
        </w:rPr>
        <w:t xml:space="preserve"> </w:t>
      </w:r>
    </w:p>
    <w:p w14:paraId="45B4D531" w14:textId="6D9352CC" w:rsidR="00E10737" w:rsidRPr="00CF79E0" w:rsidRDefault="00E10737" w:rsidP="00E10737">
      <w:pPr>
        <w:jc w:val="both"/>
        <w:rPr>
          <w:sz w:val="22"/>
          <w:szCs w:val="22"/>
        </w:rPr>
      </w:pPr>
      <w:r w:rsidRPr="00CF79E0">
        <w:rPr>
          <w:sz w:val="22"/>
          <w:szCs w:val="22"/>
        </w:rPr>
        <w:t>Na výber projektov v rámci špecifického cieľa 9.</w:t>
      </w:r>
      <w:r w:rsidR="00A1452D">
        <w:rPr>
          <w:sz w:val="22"/>
          <w:szCs w:val="22"/>
        </w:rPr>
        <w:t>5</w:t>
      </w:r>
      <w:r w:rsidRPr="00CF79E0">
        <w:rPr>
          <w:sz w:val="22"/>
          <w:szCs w:val="22"/>
        </w:rPr>
        <w:t xml:space="preserve"> budú aplikované nasledovné špecifické zásady výberu projektov:</w:t>
      </w:r>
    </w:p>
    <w:p w14:paraId="45638561"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v prípade podpory smerovanej do oblasti budovania nových a podpory existujúcich VVaI kapacít a podpory sieťovania podnikov budú predmetom výberu projekty, ktoré zabezpečia prístup k</w:t>
      </w:r>
      <w:r>
        <w:rPr>
          <w:sz w:val="22"/>
          <w:szCs w:val="22"/>
        </w:rPr>
        <w:t> </w:t>
      </w:r>
      <w:r w:rsidRPr="00CF79E0">
        <w:rPr>
          <w:sz w:val="22"/>
          <w:szCs w:val="22"/>
        </w:rPr>
        <w:t>vybudovanej infraštruktúre a činnostiam zoskupenia pre viacero používateľov, na základe transparentného a nediskriminačného základu za trhové ceny;</w:t>
      </w:r>
    </w:p>
    <w:p w14:paraId="1600A625"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pri vypracovaní odborných posudkov pre posúdenie kvality projektu budú vyberaní odborní hodnotitelia z jednotlivých profesijných oblastí,</w:t>
      </w:r>
    </w:p>
    <w:p w14:paraId="31F28CFE"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zvýhodnené budú projekty, ktoré deklarujú spoluprácu s:</w:t>
      </w:r>
    </w:p>
    <w:p w14:paraId="4117C4EA"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VaV inštitúciami,</w:t>
      </w:r>
    </w:p>
    <w:p w14:paraId="47EA1A47"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zahraničnými partnermi,</w:t>
      </w:r>
    </w:p>
    <w:p w14:paraId="7AFEE464"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MSP.</w:t>
      </w:r>
    </w:p>
    <w:p w14:paraId="1F8CBEED"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zvýhodnené budú projekty, ktoré majú potenciál, vytvoriť viac významnejších výstupov – viac patentov, prototypov a pod. (na základe záverov odborného posudku),</w:t>
      </w:r>
    </w:p>
    <w:p w14:paraId="75854177"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zvýhodňované budú také projekty, ktorých výsledkom bude zavádzanie produktov nových pre</w:t>
      </w:r>
      <w:r>
        <w:rPr>
          <w:sz w:val="22"/>
          <w:szCs w:val="22"/>
        </w:rPr>
        <w:t> </w:t>
      </w:r>
      <w:r w:rsidRPr="00CF79E0">
        <w:rPr>
          <w:sz w:val="22"/>
          <w:szCs w:val="22"/>
        </w:rPr>
        <w:t>trh;</w:t>
      </w:r>
    </w:p>
    <w:p w14:paraId="142D7B5A"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v prípade projektov zameraných na zníženie technologickej medzery sa okrem stupňa riešenej inovácie výrobného procesu v podniku (na základe záverov odborného posudku) bude prihliadať tiež na:</w:t>
      </w:r>
    </w:p>
    <w:p w14:paraId="2FE1EEC2"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cenu vytvoreného pracovného miesta, ktoré bude vytvorené v priamej súvislosti s realizáciou projektu,</w:t>
      </w:r>
    </w:p>
    <w:p w14:paraId="099151C3" w14:textId="77777777" w:rsidR="00E10737" w:rsidRPr="00CF79E0" w:rsidRDefault="00E10737" w:rsidP="00E10737">
      <w:pPr>
        <w:pStyle w:val="Odsekzoznamu"/>
        <w:numPr>
          <w:ilvl w:val="1"/>
          <w:numId w:val="157"/>
        </w:numPr>
        <w:ind w:left="851" w:hanging="425"/>
        <w:jc w:val="both"/>
        <w:rPr>
          <w:sz w:val="22"/>
          <w:szCs w:val="22"/>
        </w:rPr>
      </w:pPr>
      <w:r w:rsidRPr="00CF79E0">
        <w:rPr>
          <w:sz w:val="22"/>
          <w:szCs w:val="22"/>
        </w:rPr>
        <w:t>cenu vytvoreného pracovného miesta pre znevýhodnené skupiny ktoré bude vytvorené v</w:t>
      </w:r>
      <w:r>
        <w:rPr>
          <w:sz w:val="22"/>
          <w:szCs w:val="22"/>
        </w:rPr>
        <w:t> </w:t>
      </w:r>
      <w:r w:rsidRPr="00CF79E0">
        <w:rPr>
          <w:sz w:val="22"/>
          <w:szCs w:val="22"/>
        </w:rPr>
        <w:t>priamej súvislosti s realizáciou projektu,</w:t>
      </w:r>
    </w:p>
    <w:p w14:paraId="26FA4BAE" w14:textId="3185FC5E" w:rsidR="00E10737" w:rsidRPr="00CF79E0" w:rsidRDefault="00E10737" w:rsidP="00E10737">
      <w:pPr>
        <w:pStyle w:val="Odsekzoznamu"/>
        <w:numPr>
          <w:ilvl w:val="1"/>
          <w:numId w:val="157"/>
        </w:numPr>
        <w:ind w:left="851" w:hanging="425"/>
        <w:jc w:val="both"/>
        <w:rPr>
          <w:sz w:val="22"/>
          <w:szCs w:val="22"/>
        </w:rPr>
      </w:pPr>
      <w:r w:rsidRPr="00CF79E0">
        <w:rPr>
          <w:sz w:val="22"/>
          <w:szCs w:val="22"/>
        </w:rPr>
        <w:t>zvýhodnené budú projekty realizované v regiónoch s horšou sociálno-ekonomickej situáciou konkrétneho regiónu vo vzťahu k sociálno-ekonomickej situácii celej SR</w:t>
      </w:r>
      <w:r w:rsidR="00DD4C48">
        <w:rPr>
          <w:rStyle w:val="Odkaznapoznmkupodiarou"/>
          <w:sz w:val="22"/>
          <w:szCs w:val="22"/>
        </w:rPr>
        <w:footnoteReference w:id="88"/>
      </w:r>
      <w:r w:rsidRPr="00CF79E0">
        <w:rPr>
          <w:sz w:val="22"/>
          <w:szCs w:val="22"/>
        </w:rPr>
        <w:t>.</w:t>
      </w:r>
    </w:p>
    <w:p w14:paraId="6B3621A2" w14:textId="77777777" w:rsidR="00E10737" w:rsidRPr="00CF79E0" w:rsidRDefault="00E10737" w:rsidP="00E10737">
      <w:pPr>
        <w:pStyle w:val="Odsekzoznamu"/>
        <w:numPr>
          <w:ilvl w:val="0"/>
          <w:numId w:val="157"/>
        </w:numPr>
        <w:ind w:left="426" w:hanging="426"/>
        <w:jc w:val="both"/>
        <w:rPr>
          <w:sz w:val="22"/>
          <w:szCs w:val="22"/>
        </w:rPr>
      </w:pPr>
      <w:r w:rsidRPr="00CF79E0">
        <w:rPr>
          <w:sz w:val="22"/>
          <w:szCs w:val="22"/>
        </w:rPr>
        <w:t>v prípade schém pomoci budú prioritne financované projekty zamerané na obstaranie špičkových technológií s cieľom a perspektívou ďalšej inovácie,</w:t>
      </w:r>
    </w:p>
    <w:p w14:paraId="405A3D5B" w14:textId="5FE4BDB5" w:rsidR="00E10737" w:rsidRPr="003E1B91" w:rsidRDefault="00E10737" w:rsidP="00351D17">
      <w:pPr>
        <w:pStyle w:val="Odsekzoznamu"/>
        <w:numPr>
          <w:ilvl w:val="0"/>
          <w:numId w:val="157"/>
        </w:numPr>
        <w:ind w:left="426" w:hanging="426"/>
        <w:jc w:val="both"/>
        <w:rPr>
          <w:szCs w:val="22"/>
        </w:rPr>
      </w:pPr>
      <w:r w:rsidRPr="00CF79E0">
        <w:rPr>
          <w:sz w:val="22"/>
          <w:szCs w:val="22"/>
        </w:rPr>
        <w:t>zvýhodňované budú najmä MSP.</w:t>
      </w:r>
    </w:p>
    <w:p w14:paraId="60F0938A" w14:textId="77777777" w:rsidR="00E10737" w:rsidRPr="00CF2C83" w:rsidRDefault="00E10737" w:rsidP="00E10737">
      <w:pPr>
        <w:pStyle w:val="Nadpis4"/>
        <w:tabs>
          <w:tab w:val="clear" w:pos="709"/>
          <w:tab w:val="clear" w:pos="864"/>
        </w:tabs>
        <w:spacing w:before="240"/>
        <w:ind w:left="851" w:hanging="851"/>
      </w:pPr>
      <w:r w:rsidRPr="00CF2C83">
        <w:lastRenderedPageBreak/>
        <w:t>Plánované využitie finančných nástrojov</w:t>
      </w:r>
    </w:p>
    <w:p w14:paraId="0858F9EA" w14:textId="77777777" w:rsidR="00E10737" w:rsidRPr="002738C0" w:rsidRDefault="00E10737" w:rsidP="00E10737">
      <w:pPr>
        <w:autoSpaceDE w:val="0"/>
        <w:autoSpaceDN w:val="0"/>
        <w:spacing w:after="120"/>
        <w:jc w:val="both"/>
        <w:rPr>
          <w:sz w:val="22"/>
          <w:szCs w:val="22"/>
        </w:rPr>
      </w:pPr>
      <w:r w:rsidRPr="002738C0">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Finančné nástroje budú zamerané na</w:t>
      </w:r>
      <w:r>
        <w:rPr>
          <w:sz w:val="22"/>
          <w:szCs w:val="22"/>
        </w:rPr>
        <w:t> </w:t>
      </w:r>
      <w:r w:rsidRPr="002738C0">
        <w:rPr>
          <w:sz w:val="22"/>
          <w:szCs w:val="22"/>
        </w:rPr>
        <w:t>podporu tých aktivít, ktoré nenachádzajú financovanie na trhu, prípadne nenachádzajú adekvátne financovanie, pri ktorom by ich realizácia bola efektívnou.</w:t>
      </w:r>
    </w:p>
    <w:p w14:paraId="5878453F" w14:textId="77777777" w:rsidR="00E10737" w:rsidRPr="002738C0" w:rsidRDefault="00E10737" w:rsidP="00E10737">
      <w:pPr>
        <w:autoSpaceDE w:val="0"/>
        <w:autoSpaceDN w:val="0"/>
        <w:spacing w:after="120"/>
        <w:jc w:val="both"/>
        <w:rPr>
          <w:sz w:val="22"/>
          <w:szCs w:val="22"/>
        </w:rPr>
      </w:pPr>
      <w:r w:rsidRPr="002738C0">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kapitálu je potrebné aj vzhľadom na</w:t>
      </w:r>
      <w:r>
        <w:rPr>
          <w:sz w:val="22"/>
          <w:szCs w:val="22"/>
        </w:rPr>
        <w:t> </w:t>
      </w:r>
      <w:r w:rsidRPr="002738C0">
        <w:rPr>
          <w:sz w:val="22"/>
          <w:szCs w:val="22"/>
        </w:rPr>
        <w:t>nedostatočný objem prostriedkov z EŠIF na pokrytie všetkých investičných potrieb v príslušných oblastiach. Účasť súkromných investorov môže prispieť aj ku skvalitneniu implementácie projektov, a</w:t>
      </w:r>
      <w:r>
        <w:rPr>
          <w:sz w:val="22"/>
          <w:szCs w:val="22"/>
        </w:rPr>
        <w:t> </w:t>
      </w:r>
      <w:r w:rsidRPr="002738C0">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aktivity, vhodný objem prostriedkov a</w:t>
      </w:r>
      <w:r>
        <w:rPr>
          <w:sz w:val="22"/>
          <w:szCs w:val="22"/>
        </w:rPr>
        <w:t> </w:t>
      </w:r>
      <w:r w:rsidRPr="002738C0">
        <w:rPr>
          <w:sz w:val="22"/>
          <w:szCs w:val="22"/>
        </w:rPr>
        <w:t>podmienky implementácie konkrétnych finančných nástrojov, vrátane očakávaného znásobenia alokovaných prostriedkov EŠIF a ich kombinácie s inými fo</w:t>
      </w:r>
      <w:r>
        <w:rPr>
          <w:sz w:val="22"/>
          <w:szCs w:val="22"/>
        </w:rPr>
        <w:t>rmami podpory, budú vychádzať z </w:t>
      </w:r>
      <w:r w:rsidRPr="002738C0">
        <w:rPr>
          <w:sz w:val="22"/>
          <w:szCs w:val="22"/>
        </w:rPr>
        <w:t>výsledkov ex ante hodnotenia pre finančné nástroje, vyžadovaného podľa čl. 37 ods. 2 všeobecného nariadenia pre finančné nástroje na programové obdobie 2014 – 2020.</w:t>
      </w:r>
    </w:p>
    <w:p w14:paraId="1905676B" w14:textId="7BEF564C" w:rsidR="00E10737" w:rsidRPr="008A714B" w:rsidRDefault="00E10737" w:rsidP="00454E5F">
      <w:pPr>
        <w:autoSpaceDE w:val="0"/>
        <w:autoSpaceDN w:val="0"/>
        <w:spacing w:after="120"/>
        <w:jc w:val="both"/>
        <w:rPr>
          <w:szCs w:val="22"/>
        </w:rPr>
      </w:pPr>
      <w:r w:rsidRPr="002738C0">
        <w:rPr>
          <w:sz w:val="22"/>
          <w:szCs w:val="22"/>
        </w:rPr>
        <w:t>V období september 2017 – jún 2018 bolo vykonané ex ante hodnotenie pre využitie finančných nástrojov v oblastiach výskumu, vývoja a</w:t>
      </w:r>
      <w:r w:rsidR="00454E5F">
        <w:rPr>
          <w:sz w:val="22"/>
          <w:szCs w:val="22"/>
        </w:rPr>
        <w:t> </w:t>
      </w:r>
      <w:r w:rsidRPr="002738C0">
        <w:rPr>
          <w:sz w:val="22"/>
          <w:szCs w:val="22"/>
        </w:rPr>
        <w:t>inovácií</w:t>
      </w:r>
      <w:r w:rsidR="00454E5F">
        <w:rPr>
          <w:sz w:val="22"/>
          <w:szCs w:val="22"/>
        </w:rPr>
        <w:t xml:space="preserve"> a v období december 2018 – jú</w:t>
      </w:r>
      <w:r w:rsidR="00454E5F" w:rsidRPr="00454E5F">
        <w:rPr>
          <w:sz w:val="22"/>
          <w:szCs w:val="22"/>
        </w:rPr>
        <w:t>n 2019 Doplňujúce ex ante hodnotenie pre využitie</w:t>
      </w:r>
      <w:r w:rsidR="00454E5F">
        <w:rPr>
          <w:sz w:val="22"/>
          <w:szCs w:val="22"/>
        </w:rPr>
        <w:t xml:space="preserve"> </w:t>
      </w:r>
      <w:r w:rsidR="00454E5F" w:rsidRPr="00454E5F">
        <w:rPr>
          <w:sz w:val="22"/>
          <w:szCs w:val="22"/>
        </w:rPr>
        <w:t>finančných nástrojov v rámci OP VaI na podporu verejných subjektov výskumu a vývoja</w:t>
      </w:r>
      <w:r w:rsidRPr="002738C0">
        <w:rPr>
          <w:sz w:val="22"/>
          <w:szCs w:val="22"/>
        </w:rPr>
        <w:t xml:space="preserve">, ktoré sú podporované v rámci prioritných osí </w:t>
      </w:r>
      <w:r>
        <w:rPr>
          <w:sz w:val="22"/>
          <w:szCs w:val="22"/>
        </w:rPr>
        <w:t>9</w:t>
      </w:r>
      <w:r w:rsidRPr="002738C0">
        <w:rPr>
          <w:sz w:val="22"/>
          <w:szCs w:val="22"/>
        </w:rPr>
        <w:t xml:space="preserve"> a</w:t>
      </w:r>
      <w:r>
        <w:rPr>
          <w:sz w:val="22"/>
          <w:szCs w:val="22"/>
        </w:rPr>
        <w:t> 10</w:t>
      </w:r>
      <w:r w:rsidRPr="002738C0">
        <w:rPr>
          <w:sz w:val="22"/>
          <w:szCs w:val="22"/>
        </w:rPr>
        <w:t xml:space="preserve"> OP</w:t>
      </w:r>
      <w:r>
        <w:rPr>
          <w:sz w:val="22"/>
          <w:szCs w:val="22"/>
        </w:rPr>
        <w:t>I</w:t>
      </w:r>
      <w:r w:rsidRPr="002738C0">
        <w:rPr>
          <w:sz w:val="22"/>
          <w:szCs w:val="22"/>
        </w:rPr>
        <w:t xml:space="preserve">I. V rámci ex ante </w:t>
      </w:r>
      <w:r w:rsidR="00454E5F">
        <w:rPr>
          <w:sz w:val="22"/>
          <w:szCs w:val="22"/>
        </w:rPr>
        <w:t>hodnotení</w:t>
      </w:r>
      <w:r w:rsidR="00454E5F" w:rsidRPr="002738C0">
        <w:rPr>
          <w:sz w:val="22"/>
          <w:szCs w:val="22"/>
        </w:rPr>
        <w:t xml:space="preserve"> </w:t>
      </w:r>
      <w:r w:rsidRPr="002738C0">
        <w:rPr>
          <w:sz w:val="22"/>
          <w:szCs w:val="22"/>
        </w:rPr>
        <w:t>boli id</w:t>
      </w:r>
      <w:r>
        <w:rPr>
          <w:sz w:val="22"/>
          <w:szCs w:val="22"/>
        </w:rPr>
        <w:t>entifikované finančné medzery a </w:t>
      </w:r>
      <w:r w:rsidRPr="002738C0">
        <w:rPr>
          <w:sz w:val="22"/>
          <w:szCs w:val="22"/>
        </w:rPr>
        <w:t>navrhnuté finančné nástroje zamerané na rôzne skupiny prijímateľov. Konkrétne využitie finančných nástrojov v rámci aktivít OP</w:t>
      </w:r>
      <w:r>
        <w:rPr>
          <w:sz w:val="22"/>
          <w:szCs w:val="22"/>
        </w:rPr>
        <w:t>I</w:t>
      </w:r>
      <w:r w:rsidRPr="002738C0">
        <w:rPr>
          <w:sz w:val="22"/>
          <w:szCs w:val="22"/>
        </w:rPr>
        <w:t>I bude určené v závislosti od aktuálnej situácie v oblasti implementácie OP</w:t>
      </w:r>
      <w:r>
        <w:rPr>
          <w:sz w:val="22"/>
          <w:szCs w:val="22"/>
        </w:rPr>
        <w:t>II, ako aj s </w:t>
      </w:r>
      <w:r w:rsidRPr="002738C0">
        <w:rPr>
          <w:sz w:val="22"/>
          <w:szCs w:val="22"/>
        </w:rPr>
        <w:t>ohľadom na vývoj prostredia výskumu a inovácií v podmienkach SR.</w:t>
      </w:r>
    </w:p>
    <w:p w14:paraId="7F5D2C10" w14:textId="77777777" w:rsidR="00E10737" w:rsidRDefault="00E10737" w:rsidP="00E10737">
      <w:pPr>
        <w:pStyle w:val="Nadpis4"/>
        <w:tabs>
          <w:tab w:val="clear" w:pos="709"/>
          <w:tab w:val="clear" w:pos="864"/>
        </w:tabs>
        <w:ind w:left="851" w:hanging="862"/>
      </w:pPr>
      <w:r>
        <w:t>Plánované využitie veľkých projektov</w:t>
      </w:r>
    </w:p>
    <w:p w14:paraId="34706ADB" w14:textId="756F09C5" w:rsidR="00E10737" w:rsidRPr="00CF79E0" w:rsidRDefault="00E10737" w:rsidP="00E10737">
      <w:pPr>
        <w:pStyle w:val="Obyajntext"/>
        <w:jc w:val="both"/>
        <w:rPr>
          <w:rFonts w:ascii="Times New Roman" w:hAnsi="Times New Roman"/>
          <w:szCs w:val="22"/>
        </w:rPr>
      </w:pPr>
      <w:r w:rsidRPr="002738C0">
        <w:rPr>
          <w:rFonts w:ascii="Times New Roman" w:hAnsi="Times New Roman" w:cs="Times New Roman"/>
          <w:sz w:val="22"/>
          <w:szCs w:val="22"/>
        </w:rPr>
        <w:t>Aktuálne sa v rámci investičnej priority 1</w:t>
      </w:r>
      <w:r w:rsidR="002F6CE8">
        <w:rPr>
          <w:rFonts w:ascii="Times New Roman" w:hAnsi="Times New Roman" w:cs="Times New Roman"/>
          <w:sz w:val="22"/>
          <w:szCs w:val="22"/>
        </w:rPr>
        <w:t>b)</w:t>
      </w:r>
      <w:r w:rsidRPr="002738C0">
        <w:rPr>
          <w:rFonts w:ascii="Times New Roman" w:hAnsi="Times New Roman" w:cs="Times New Roman"/>
          <w:sz w:val="22"/>
          <w:szCs w:val="22"/>
        </w:rPr>
        <w:t xml:space="preserve"> neplánuje realizovanie veľkých projektov, avšak v rámci jednotlivých špecifických cieľov investičnej priority 1</w:t>
      </w:r>
      <w:r w:rsidR="00684048">
        <w:rPr>
          <w:rFonts w:ascii="Times New Roman" w:hAnsi="Times New Roman" w:cs="Times New Roman"/>
          <w:sz w:val="22"/>
          <w:szCs w:val="22"/>
        </w:rPr>
        <w:t>b)</w:t>
      </w:r>
      <w:r w:rsidRPr="002738C0">
        <w:rPr>
          <w:rFonts w:ascii="Times New Roman" w:hAnsi="Times New Roman" w:cs="Times New Roman"/>
          <w:sz w:val="22"/>
          <w:szCs w:val="22"/>
        </w:rPr>
        <w:t xml:space="preserve"> je potenciálny priestor na realizáciu veľkého projektu.</w:t>
      </w:r>
    </w:p>
    <w:p w14:paraId="57C035F0" w14:textId="77777777" w:rsidR="00E10737" w:rsidRDefault="00E10737" w:rsidP="00E10737">
      <w:pPr>
        <w:pStyle w:val="Nadpis4"/>
        <w:tabs>
          <w:tab w:val="clear" w:pos="709"/>
          <w:tab w:val="clear" w:pos="864"/>
        </w:tabs>
        <w:ind w:left="851" w:hanging="851"/>
      </w:pPr>
      <w:r>
        <w:t>Ukazovatele výstupu na úrovni investičnej priority a kategórie regiónu</w:t>
      </w:r>
    </w:p>
    <w:p w14:paraId="03E224FD" w14:textId="1E5138B0" w:rsidR="00E10737" w:rsidRDefault="00E10737" w:rsidP="00E10737">
      <w:pPr>
        <w:pStyle w:val="Tab"/>
        <w:tabs>
          <w:tab w:val="clear" w:pos="0"/>
          <w:tab w:val="clear" w:pos="851"/>
        </w:tabs>
      </w:pPr>
      <w:r>
        <w:t>Spoločné a špecifické ukazovatele výstupu investičnej priority 1</w:t>
      </w:r>
      <w:r w:rsidR="00684048">
        <w:t>b)</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2342"/>
        <w:gridCol w:w="903"/>
        <w:gridCol w:w="656"/>
        <w:gridCol w:w="1212"/>
        <w:gridCol w:w="1224"/>
        <w:gridCol w:w="996"/>
        <w:gridCol w:w="1373"/>
      </w:tblGrid>
      <w:tr w:rsidR="00E10737" w14:paraId="18FB5E60" w14:textId="77777777" w:rsidTr="004179DE">
        <w:trPr>
          <w:trHeight w:val="487"/>
          <w:jc w:val="center"/>
        </w:trPr>
        <w:tc>
          <w:tcPr>
            <w:tcW w:w="706" w:type="dxa"/>
            <w:shd w:val="clear" w:color="auto" w:fill="C6D9F1" w:themeFill="text2" w:themeFillTint="33"/>
            <w:vAlign w:val="center"/>
          </w:tcPr>
          <w:p w14:paraId="15B1A780" w14:textId="77777777" w:rsidR="00E10737" w:rsidRPr="008C1732" w:rsidRDefault="00E10737" w:rsidP="004179DE">
            <w:pPr>
              <w:ind w:left="0"/>
              <w:jc w:val="center"/>
              <w:rPr>
                <w:b/>
                <w:sz w:val="18"/>
                <w:szCs w:val="18"/>
              </w:rPr>
            </w:pPr>
            <w:r>
              <w:rPr>
                <w:b/>
                <w:sz w:val="18"/>
                <w:szCs w:val="18"/>
              </w:rPr>
              <w:t>ID</w:t>
            </w:r>
          </w:p>
        </w:tc>
        <w:tc>
          <w:tcPr>
            <w:tcW w:w="2342" w:type="dxa"/>
            <w:shd w:val="clear" w:color="auto" w:fill="C6D9F1" w:themeFill="text2" w:themeFillTint="33"/>
            <w:vAlign w:val="center"/>
          </w:tcPr>
          <w:p w14:paraId="5B7385B5" w14:textId="77777777" w:rsidR="00E10737" w:rsidRPr="008C1732" w:rsidRDefault="00E10737" w:rsidP="004179DE">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79DD5109" w14:textId="77777777" w:rsidR="00E10737" w:rsidRPr="008C1732" w:rsidRDefault="00E10737" w:rsidP="004179DE">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3A7AAFC5" w14:textId="77777777" w:rsidR="00E10737" w:rsidRPr="008C1732" w:rsidRDefault="00E10737" w:rsidP="004179DE">
            <w:pPr>
              <w:ind w:left="0"/>
              <w:jc w:val="center"/>
              <w:rPr>
                <w:b/>
                <w:sz w:val="18"/>
                <w:szCs w:val="18"/>
              </w:rPr>
            </w:pPr>
            <w:r w:rsidRPr="008C1732">
              <w:rPr>
                <w:b/>
                <w:sz w:val="18"/>
                <w:szCs w:val="18"/>
              </w:rPr>
              <w:t>Fond</w:t>
            </w:r>
          </w:p>
        </w:tc>
        <w:tc>
          <w:tcPr>
            <w:tcW w:w="1212" w:type="dxa"/>
            <w:shd w:val="clear" w:color="auto" w:fill="C6D9F1" w:themeFill="text2" w:themeFillTint="33"/>
            <w:vAlign w:val="center"/>
          </w:tcPr>
          <w:p w14:paraId="0FB5E8D1" w14:textId="77777777" w:rsidR="00E10737" w:rsidRPr="008C1732" w:rsidRDefault="00E10737" w:rsidP="004179DE">
            <w:pPr>
              <w:ind w:left="0"/>
              <w:jc w:val="center"/>
              <w:rPr>
                <w:b/>
                <w:sz w:val="18"/>
                <w:szCs w:val="18"/>
              </w:rPr>
            </w:pPr>
            <w:r w:rsidRPr="008C1732">
              <w:rPr>
                <w:b/>
                <w:sz w:val="18"/>
                <w:szCs w:val="18"/>
              </w:rPr>
              <w:t>Kategória regiónu</w:t>
            </w:r>
          </w:p>
        </w:tc>
        <w:tc>
          <w:tcPr>
            <w:tcW w:w="1224" w:type="dxa"/>
            <w:shd w:val="clear" w:color="auto" w:fill="C6D9F1" w:themeFill="text2" w:themeFillTint="33"/>
            <w:vAlign w:val="center"/>
          </w:tcPr>
          <w:p w14:paraId="50B16202" w14:textId="77777777" w:rsidR="00E10737" w:rsidRPr="008C1732" w:rsidRDefault="00E10737" w:rsidP="004179DE">
            <w:pPr>
              <w:ind w:left="0"/>
              <w:jc w:val="center"/>
              <w:rPr>
                <w:b/>
                <w:sz w:val="18"/>
                <w:szCs w:val="18"/>
              </w:rPr>
            </w:pPr>
            <w:r w:rsidRPr="008C1732">
              <w:rPr>
                <w:b/>
                <w:sz w:val="18"/>
                <w:szCs w:val="18"/>
              </w:rPr>
              <w:t>Cieľová hodnota (2023)</w:t>
            </w:r>
          </w:p>
        </w:tc>
        <w:tc>
          <w:tcPr>
            <w:tcW w:w="996" w:type="dxa"/>
            <w:shd w:val="clear" w:color="auto" w:fill="C6D9F1" w:themeFill="text2" w:themeFillTint="33"/>
            <w:vAlign w:val="center"/>
          </w:tcPr>
          <w:p w14:paraId="4009B687" w14:textId="77777777" w:rsidR="00E10737" w:rsidRPr="008C1732" w:rsidRDefault="00E10737" w:rsidP="004179DE">
            <w:pPr>
              <w:ind w:left="0"/>
              <w:jc w:val="center"/>
              <w:rPr>
                <w:b/>
                <w:sz w:val="18"/>
                <w:szCs w:val="18"/>
              </w:rPr>
            </w:pPr>
            <w:r w:rsidRPr="008C1732">
              <w:rPr>
                <w:b/>
                <w:sz w:val="18"/>
                <w:szCs w:val="18"/>
              </w:rPr>
              <w:t>Zdroj údajov</w:t>
            </w:r>
          </w:p>
        </w:tc>
        <w:tc>
          <w:tcPr>
            <w:tcW w:w="1373" w:type="dxa"/>
            <w:shd w:val="clear" w:color="auto" w:fill="C6D9F1" w:themeFill="text2" w:themeFillTint="33"/>
            <w:vAlign w:val="center"/>
          </w:tcPr>
          <w:p w14:paraId="4FAC1DAD"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14:paraId="68120AF2" w14:textId="77777777" w:rsidTr="004179DE">
        <w:trPr>
          <w:trHeight w:val="680"/>
          <w:jc w:val="center"/>
        </w:trPr>
        <w:tc>
          <w:tcPr>
            <w:tcW w:w="706" w:type="dxa"/>
            <w:shd w:val="clear" w:color="auto" w:fill="auto"/>
            <w:vAlign w:val="center"/>
          </w:tcPr>
          <w:p w14:paraId="7E604B42" w14:textId="77777777" w:rsidR="00E10737" w:rsidRPr="00737ED2" w:rsidRDefault="00E10737" w:rsidP="004179DE">
            <w:pPr>
              <w:ind w:left="0"/>
              <w:jc w:val="center"/>
              <w:rPr>
                <w:sz w:val="18"/>
                <w:szCs w:val="18"/>
              </w:rPr>
            </w:pPr>
            <w:r>
              <w:rPr>
                <w:sz w:val="18"/>
                <w:szCs w:val="18"/>
              </w:rPr>
              <w:t>CO01</w:t>
            </w:r>
          </w:p>
        </w:tc>
        <w:tc>
          <w:tcPr>
            <w:tcW w:w="2342" w:type="dxa"/>
            <w:shd w:val="clear" w:color="auto" w:fill="auto"/>
            <w:vAlign w:val="center"/>
          </w:tcPr>
          <w:p w14:paraId="4F3420A1" w14:textId="77777777" w:rsidR="00E10737" w:rsidRPr="00737ED2" w:rsidRDefault="00E10737" w:rsidP="004179DE">
            <w:pPr>
              <w:ind w:left="0"/>
              <w:rPr>
                <w:sz w:val="18"/>
                <w:szCs w:val="18"/>
              </w:rPr>
            </w:pPr>
            <w:r w:rsidRPr="002243AF">
              <w:rPr>
                <w:sz w:val="18"/>
                <w:szCs w:val="18"/>
              </w:rPr>
              <w:t>Počet podnikov, ktorým sa poskytuje podpora (spoločný)</w:t>
            </w:r>
          </w:p>
        </w:tc>
        <w:tc>
          <w:tcPr>
            <w:tcW w:w="903" w:type="dxa"/>
            <w:shd w:val="clear" w:color="auto" w:fill="auto"/>
            <w:vAlign w:val="center"/>
          </w:tcPr>
          <w:p w14:paraId="1DD4B1DB"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03B7F195"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42BB9E7F"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32BC3EE9" w14:textId="3B289112" w:rsidR="00E10737" w:rsidRPr="009B48A1" w:rsidRDefault="000468FB" w:rsidP="000468FB">
            <w:pPr>
              <w:ind w:left="0"/>
              <w:jc w:val="center"/>
              <w:rPr>
                <w:i/>
                <w:sz w:val="18"/>
                <w:szCs w:val="18"/>
              </w:rPr>
            </w:pPr>
            <w:r>
              <w:rPr>
                <w:i/>
                <w:sz w:val="18"/>
                <w:szCs w:val="18"/>
              </w:rPr>
              <w:t>1 444</w:t>
            </w:r>
          </w:p>
        </w:tc>
        <w:tc>
          <w:tcPr>
            <w:tcW w:w="996" w:type="dxa"/>
            <w:vAlign w:val="center"/>
          </w:tcPr>
          <w:p w14:paraId="7AC64323"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230A9565" w14:textId="77777777" w:rsidR="00E10737" w:rsidRPr="009B48A1" w:rsidRDefault="00E10737" w:rsidP="004179DE">
            <w:pPr>
              <w:ind w:left="0"/>
              <w:jc w:val="center"/>
              <w:rPr>
                <w:i/>
                <w:sz w:val="18"/>
                <w:szCs w:val="18"/>
              </w:rPr>
            </w:pPr>
            <w:r w:rsidRPr="009B48A1">
              <w:rPr>
                <w:i/>
                <w:sz w:val="18"/>
                <w:szCs w:val="18"/>
              </w:rPr>
              <w:t>Ročne</w:t>
            </w:r>
          </w:p>
        </w:tc>
      </w:tr>
      <w:tr w:rsidR="00E10737" w14:paraId="24AFD413" w14:textId="77777777" w:rsidTr="004179DE">
        <w:trPr>
          <w:trHeight w:val="680"/>
          <w:jc w:val="center"/>
        </w:trPr>
        <w:tc>
          <w:tcPr>
            <w:tcW w:w="706" w:type="dxa"/>
            <w:shd w:val="clear" w:color="auto" w:fill="auto"/>
            <w:vAlign w:val="center"/>
          </w:tcPr>
          <w:p w14:paraId="173ADC27" w14:textId="77777777" w:rsidR="00E10737" w:rsidRDefault="00E10737" w:rsidP="004179DE">
            <w:pPr>
              <w:ind w:left="0"/>
              <w:jc w:val="center"/>
              <w:rPr>
                <w:sz w:val="18"/>
                <w:szCs w:val="18"/>
              </w:rPr>
            </w:pPr>
            <w:r>
              <w:rPr>
                <w:sz w:val="18"/>
                <w:szCs w:val="18"/>
              </w:rPr>
              <w:t>CO02</w:t>
            </w:r>
          </w:p>
        </w:tc>
        <w:tc>
          <w:tcPr>
            <w:tcW w:w="2342" w:type="dxa"/>
            <w:shd w:val="clear" w:color="auto" w:fill="auto"/>
            <w:vAlign w:val="center"/>
          </w:tcPr>
          <w:p w14:paraId="481C8FC5" w14:textId="77777777" w:rsidR="00E10737" w:rsidRPr="00737ED2" w:rsidRDefault="00E10737" w:rsidP="004179DE">
            <w:pPr>
              <w:ind w:left="0"/>
              <w:rPr>
                <w:sz w:val="18"/>
                <w:szCs w:val="18"/>
              </w:rPr>
            </w:pPr>
            <w:r w:rsidRPr="000331A8">
              <w:rPr>
                <w:sz w:val="18"/>
                <w:szCs w:val="18"/>
              </w:rPr>
              <w:t>Počet podnikov, ktoré dostávajú granty (spoločný)</w:t>
            </w:r>
          </w:p>
        </w:tc>
        <w:tc>
          <w:tcPr>
            <w:tcW w:w="903" w:type="dxa"/>
            <w:shd w:val="clear" w:color="auto" w:fill="auto"/>
            <w:vAlign w:val="center"/>
          </w:tcPr>
          <w:p w14:paraId="0AC45CF9"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2A2F7F38"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7B305B1C"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0924443A" w14:textId="53E02ADE" w:rsidR="00E10737" w:rsidRPr="009B48A1" w:rsidRDefault="000468FB" w:rsidP="000468FB">
            <w:pPr>
              <w:ind w:left="0"/>
              <w:jc w:val="center"/>
              <w:rPr>
                <w:i/>
                <w:sz w:val="18"/>
                <w:szCs w:val="18"/>
              </w:rPr>
            </w:pPr>
            <w:r>
              <w:rPr>
                <w:i/>
                <w:sz w:val="18"/>
                <w:szCs w:val="18"/>
              </w:rPr>
              <w:t>1 164</w:t>
            </w:r>
          </w:p>
        </w:tc>
        <w:tc>
          <w:tcPr>
            <w:tcW w:w="996" w:type="dxa"/>
            <w:vAlign w:val="center"/>
          </w:tcPr>
          <w:p w14:paraId="4F5A0CB5"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4CA658F7" w14:textId="77777777" w:rsidR="00E10737" w:rsidRPr="009B48A1" w:rsidRDefault="00E10737" w:rsidP="004179DE">
            <w:pPr>
              <w:ind w:left="0"/>
              <w:jc w:val="center"/>
              <w:rPr>
                <w:i/>
                <w:sz w:val="18"/>
                <w:szCs w:val="18"/>
              </w:rPr>
            </w:pPr>
            <w:r w:rsidRPr="009B48A1">
              <w:rPr>
                <w:i/>
                <w:sz w:val="18"/>
                <w:szCs w:val="18"/>
              </w:rPr>
              <w:t>Ročne</w:t>
            </w:r>
          </w:p>
        </w:tc>
      </w:tr>
      <w:tr w:rsidR="00E10737" w14:paraId="14FAF3F1" w14:textId="77777777" w:rsidTr="004179DE">
        <w:trPr>
          <w:trHeight w:val="680"/>
          <w:jc w:val="center"/>
        </w:trPr>
        <w:tc>
          <w:tcPr>
            <w:tcW w:w="706" w:type="dxa"/>
            <w:shd w:val="clear" w:color="auto" w:fill="auto"/>
            <w:vAlign w:val="center"/>
          </w:tcPr>
          <w:p w14:paraId="0867964D" w14:textId="77777777" w:rsidR="00E10737" w:rsidRDefault="00E10737" w:rsidP="004179DE">
            <w:pPr>
              <w:ind w:left="0"/>
              <w:jc w:val="center"/>
              <w:rPr>
                <w:sz w:val="18"/>
                <w:szCs w:val="18"/>
              </w:rPr>
            </w:pPr>
            <w:r>
              <w:rPr>
                <w:sz w:val="18"/>
                <w:szCs w:val="18"/>
              </w:rPr>
              <w:t>CO03</w:t>
            </w:r>
          </w:p>
        </w:tc>
        <w:tc>
          <w:tcPr>
            <w:tcW w:w="2342" w:type="dxa"/>
            <w:shd w:val="clear" w:color="auto" w:fill="auto"/>
            <w:vAlign w:val="center"/>
          </w:tcPr>
          <w:p w14:paraId="08FDC0B2" w14:textId="77777777" w:rsidR="00E10737" w:rsidRPr="000331A8" w:rsidRDefault="00E10737" w:rsidP="004179DE">
            <w:pPr>
              <w:ind w:left="0"/>
              <w:rPr>
                <w:sz w:val="18"/>
                <w:szCs w:val="18"/>
              </w:rPr>
            </w:pPr>
            <w:r w:rsidRPr="002917DD">
              <w:rPr>
                <w:sz w:val="18"/>
                <w:szCs w:val="18"/>
              </w:rPr>
              <w:t>Počet podnikov, ktoré dostávajú finančnú podporu inú ako granty (spoločný)</w:t>
            </w:r>
          </w:p>
        </w:tc>
        <w:tc>
          <w:tcPr>
            <w:tcW w:w="903" w:type="dxa"/>
            <w:shd w:val="clear" w:color="auto" w:fill="auto"/>
            <w:vAlign w:val="center"/>
          </w:tcPr>
          <w:p w14:paraId="09D63366"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797E9583"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083AAB0B"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4DC08090" w14:textId="77777777" w:rsidR="00E10737" w:rsidRPr="009B48A1" w:rsidRDefault="00E10737" w:rsidP="004179DE">
            <w:pPr>
              <w:ind w:left="0"/>
              <w:jc w:val="center"/>
              <w:rPr>
                <w:i/>
                <w:sz w:val="18"/>
                <w:szCs w:val="18"/>
              </w:rPr>
            </w:pPr>
            <w:r w:rsidRPr="009B48A1">
              <w:rPr>
                <w:i/>
                <w:sz w:val="18"/>
                <w:szCs w:val="18"/>
              </w:rPr>
              <w:t>120</w:t>
            </w:r>
          </w:p>
        </w:tc>
        <w:tc>
          <w:tcPr>
            <w:tcW w:w="996" w:type="dxa"/>
            <w:vAlign w:val="center"/>
          </w:tcPr>
          <w:p w14:paraId="6D10FDA9"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3FE02512" w14:textId="77777777" w:rsidR="00E10737" w:rsidRPr="009B48A1" w:rsidRDefault="00E10737" w:rsidP="004179DE">
            <w:pPr>
              <w:ind w:left="0"/>
              <w:jc w:val="center"/>
              <w:rPr>
                <w:i/>
                <w:sz w:val="18"/>
                <w:szCs w:val="18"/>
              </w:rPr>
            </w:pPr>
            <w:r w:rsidRPr="009B48A1">
              <w:rPr>
                <w:i/>
                <w:sz w:val="18"/>
                <w:szCs w:val="18"/>
              </w:rPr>
              <w:t>Ročne</w:t>
            </w:r>
          </w:p>
        </w:tc>
      </w:tr>
      <w:tr w:rsidR="00E10737" w14:paraId="503B117E" w14:textId="77777777" w:rsidTr="004179DE">
        <w:trPr>
          <w:trHeight w:val="680"/>
          <w:jc w:val="center"/>
        </w:trPr>
        <w:tc>
          <w:tcPr>
            <w:tcW w:w="706" w:type="dxa"/>
            <w:shd w:val="clear" w:color="auto" w:fill="auto"/>
            <w:vAlign w:val="center"/>
          </w:tcPr>
          <w:p w14:paraId="7A6D1434" w14:textId="77777777" w:rsidR="00E10737" w:rsidRDefault="00E10737" w:rsidP="004179DE">
            <w:pPr>
              <w:ind w:left="0"/>
              <w:jc w:val="center"/>
              <w:rPr>
                <w:sz w:val="18"/>
                <w:szCs w:val="18"/>
              </w:rPr>
            </w:pPr>
            <w:r>
              <w:rPr>
                <w:sz w:val="18"/>
                <w:szCs w:val="18"/>
              </w:rPr>
              <w:t>CO04</w:t>
            </w:r>
          </w:p>
        </w:tc>
        <w:tc>
          <w:tcPr>
            <w:tcW w:w="2342" w:type="dxa"/>
            <w:shd w:val="clear" w:color="auto" w:fill="auto"/>
            <w:vAlign w:val="center"/>
          </w:tcPr>
          <w:p w14:paraId="45ACFCCF" w14:textId="77777777" w:rsidR="00E10737" w:rsidRPr="002917DD" w:rsidRDefault="00E10737" w:rsidP="004179DE">
            <w:pPr>
              <w:ind w:left="0"/>
              <w:rPr>
                <w:sz w:val="18"/>
                <w:szCs w:val="18"/>
              </w:rPr>
            </w:pPr>
            <w:r w:rsidRPr="002917DD">
              <w:rPr>
                <w:sz w:val="18"/>
                <w:szCs w:val="18"/>
              </w:rPr>
              <w:t>Počet podnikov, ktoré dostávajú nefinančnú podporu (spoločný)</w:t>
            </w:r>
          </w:p>
        </w:tc>
        <w:tc>
          <w:tcPr>
            <w:tcW w:w="903" w:type="dxa"/>
            <w:shd w:val="clear" w:color="auto" w:fill="auto"/>
            <w:vAlign w:val="center"/>
          </w:tcPr>
          <w:p w14:paraId="186B7D06"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6EA81144"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40AB3F7C"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04AF538A" w14:textId="59D958C5" w:rsidR="00E10737" w:rsidRPr="009B48A1" w:rsidRDefault="000468FB" w:rsidP="000468FB">
            <w:pPr>
              <w:ind w:left="0"/>
              <w:jc w:val="center"/>
              <w:rPr>
                <w:i/>
                <w:sz w:val="18"/>
                <w:szCs w:val="18"/>
              </w:rPr>
            </w:pPr>
            <w:r>
              <w:rPr>
                <w:i/>
                <w:sz w:val="18"/>
                <w:szCs w:val="18"/>
              </w:rPr>
              <w:t>778</w:t>
            </w:r>
          </w:p>
        </w:tc>
        <w:tc>
          <w:tcPr>
            <w:tcW w:w="996" w:type="dxa"/>
            <w:vAlign w:val="center"/>
          </w:tcPr>
          <w:p w14:paraId="5524804A"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745A88B2" w14:textId="77777777" w:rsidR="00E10737" w:rsidRPr="009B48A1" w:rsidRDefault="00E10737" w:rsidP="004179DE">
            <w:pPr>
              <w:ind w:left="0"/>
              <w:jc w:val="center"/>
              <w:rPr>
                <w:i/>
                <w:sz w:val="18"/>
                <w:szCs w:val="18"/>
              </w:rPr>
            </w:pPr>
            <w:r w:rsidRPr="009B48A1">
              <w:rPr>
                <w:i/>
                <w:sz w:val="18"/>
                <w:szCs w:val="18"/>
              </w:rPr>
              <w:t>Ročne</w:t>
            </w:r>
          </w:p>
        </w:tc>
      </w:tr>
      <w:tr w:rsidR="00E10737" w14:paraId="1B83498E" w14:textId="77777777" w:rsidTr="004179DE">
        <w:trPr>
          <w:trHeight w:val="680"/>
          <w:jc w:val="center"/>
        </w:trPr>
        <w:tc>
          <w:tcPr>
            <w:tcW w:w="706" w:type="dxa"/>
            <w:shd w:val="clear" w:color="auto" w:fill="auto"/>
            <w:vAlign w:val="center"/>
          </w:tcPr>
          <w:p w14:paraId="051B004B" w14:textId="77777777" w:rsidR="00E10737" w:rsidRDefault="00E10737" w:rsidP="004179DE">
            <w:pPr>
              <w:ind w:left="0"/>
              <w:jc w:val="center"/>
              <w:rPr>
                <w:sz w:val="18"/>
                <w:szCs w:val="18"/>
              </w:rPr>
            </w:pPr>
            <w:r>
              <w:rPr>
                <w:sz w:val="18"/>
                <w:szCs w:val="18"/>
              </w:rPr>
              <w:lastRenderedPageBreak/>
              <w:t>CO05</w:t>
            </w:r>
          </w:p>
        </w:tc>
        <w:tc>
          <w:tcPr>
            <w:tcW w:w="2342" w:type="dxa"/>
            <w:shd w:val="clear" w:color="auto" w:fill="auto"/>
            <w:vAlign w:val="center"/>
          </w:tcPr>
          <w:p w14:paraId="77E6F7D6" w14:textId="77777777" w:rsidR="00E10737" w:rsidRPr="000331A8" w:rsidRDefault="00E10737" w:rsidP="004179DE">
            <w:pPr>
              <w:ind w:left="0"/>
              <w:rPr>
                <w:sz w:val="18"/>
                <w:szCs w:val="18"/>
              </w:rPr>
            </w:pPr>
            <w:r w:rsidRPr="000A417B">
              <w:rPr>
                <w:sz w:val="18"/>
                <w:szCs w:val="18"/>
              </w:rPr>
              <w:t>Počet podporených nových podnikov</w:t>
            </w:r>
            <w:r>
              <w:rPr>
                <w:sz w:val="18"/>
                <w:szCs w:val="18"/>
              </w:rPr>
              <w:t xml:space="preserve"> (spoločný)</w:t>
            </w:r>
          </w:p>
        </w:tc>
        <w:tc>
          <w:tcPr>
            <w:tcW w:w="903" w:type="dxa"/>
            <w:shd w:val="clear" w:color="auto" w:fill="auto"/>
            <w:vAlign w:val="center"/>
          </w:tcPr>
          <w:p w14:paraId="72BECE97"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1D086ED1"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67901A6B"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1E527A8D" w14:textId="022F5A68" w:rsidR="00E10737" w:rsidRPr="009B48A1" w:rsidRDefault="000468FB" w:rsidP="000468FB">
            <w:pPr>
              <w:ind w:left="0"/>
              <w:jc w:val="center"/>
              <w:rPr>
                <w:i/>
                <w:sz w:val="18"/>
                <w:szCs w:val="18"/>
              </w:rPr>
            </w:pPr>
            <w:r>
              <w:rPr>
                <w:i/>
                <w:sz w:val="18"/>
                <w:szCs w:val="18"/>
              </w:rPr>
              <w:t>120</w:t>
            </w:r>
          </w:p>
        </w:tc>
        <w:tc>
          <w:tcPr>
            <w:tcW w:w="996" w:type="dxa"/>
            <w:vAlign w:val="center"/>
          </w:tcPr>
          <w:p w14:paraId="5D343A7A"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37B4508F" w14:textId="77777777" w:rsidR="00E10737" w:rsidRPr="009B48A1" w:rsidRDefault="00E10737" w:rsidP="004179DE">
            <w:pPr>
              <w:ind w:left="0"/>
              <w:jc w:val="center"/>
              <w:rPr>
                <w:i/>
                <w:sz w:val="18"/>
                <w:szCs w:val="18"/>
              </w:rPr>
            </w:pPr>
            <w:r w:rsidRPr="009B48A1">
              <w:rPr>
                <w:i/>
                <w:sz w:val="18"/>
                <w:szCs w:val="18"/>
              </w:rPr>
              <w:t>Ročne</w:t>
            </w:r>
          </w:p>
        </w:tc>
      </w:tr>
      <w:tr w:rsidR="00E10737" w14:paraId="098D1771" w14:textId="77777777" w:rsidTr="004179DE">
        <w:trPr>
          <w:trHeight w:val="680"/>
          <w:jc w:val="center"/>
        </w:trPr>
        <w:tc>
          <w:tcPr>
            <w:tcW w:w="706" w:type="dxa"/>
            <w:shd w:val="clear" w:color="auto" w:fill="auto"/>
            <w:vAlign w:val="center"/>
          </w:tcPr>
          <w:p w14:paraId="16A98AA1" w14:textId="77777777" w:rsidR="00E10737" w:rsidRDefault="00E10737" w:rsidP="004179DE">
            <w:pPr>
              <w:ind w:left="0"/>
              <w:jc w:val="center"/>
              <w:rPr>
                <w:sz w:val="18"/>
                <w:szCs w:val="18"/>
              </w:rPr>
            </w:pPr>
            <w:r>
              <w:rPr>
                <w:sz w:val="18"/>
                <w:szCs w:val="18"/>
              </w:rPr>
              <w:t>CO08</w:t>
            </w:r>
          </w:p>
        </w:tc>
        <w:tc>
          <w:tcPr>
            <w:tcW w:w="2342" w:type="dxa"/>
            <w:shd w:val="clear" w:color="auto" w:fill="auto"/>
            <w:vAlign w:val="center"/>
          </w:tcPr>
          <w:p w14:paraId="01380541" w14:textId="77777777" w:rsidR="00E10737" w:rsidRPr="000A417B" w:rsidRDefault="00E10737" w:rsidP="004179DE">
            <w:pPr>
              <w:ind w:left="0"/>
              <w:rPr>
                <w:sz w:val="18"/>
                <w:szCs w:val="18"/>
              </w:rPr>
            </w:pPr>
            <w:r w:rsidRPr="00726D78">
              <w:rPr>
                <w:sz w:val="18"/>
                <w:szCs w:val="18"/>
              </w:rPr>
              <w:t>Nárast zamestnanosti v</w:t>
            </w:r>
            <w:r>
              <w:rPr>
                <w:sz w:val="18"/>
                <w:szCs w:val="18"/>
              </w:rPr>
              <w:t> </w:t>
            </w:r>
            <w:r w:rsidRPr="00726D78">
              <w:rPr>
                <w:sz w:val="18"/>
                <w:szCs w:val="18"/>
              </w:rPr>
              <w:t>podporovaných</w:t>
            </w:r>
            <w:r>
              <w:rPr>
                <w:sz w:val="18"/>
                <w:szCs w:val="18"/>
              </w:rPr>
              <w:t xml:space="preserve"> </w:t>
            </w:r>
            <w:r w:rsidRPr="00726D78">
              <w:rPr>
                <w:sz w:val="18"/>
                <w:szCs w:val="18"/>
              </w:rPr>
              <w:t>podnikoch (spoločný)</w:t>
            </w:r>
          </w:p>
        </w:tc>
        <w:tc>
          <w:tcPr>
            <w:tcW w:w="903" w:type="dxa"/>
            <w:shd w:val="clear" w:color="auto" w:fill="auto"/>
            <w:vAlign w:val="center"/>
          </w:tcPr>
          <w:p w14:paraId="5D2E3C05" w14:textId="77777777" w:rsidR="00E10737" w:rsidRPr="009B48A1" w:rsidRDefault="00E10737" w:rsidP="004179DE">
            <w:pPr>
              <w:ind w:left="0"/>
              <w:jc w:val="center"/>
              <w:rPr>
                <w:i/>
                <w:sz w:val="18"/>
                <w:szCs w:val="18"/>
              </w:rPr>
            </w:pPr>
            <w:r w:rsidRPr="009B48A1">
              <w:rPr>
                <w:i/>
                <w:sz w:val="18"/>
                <w:szCs w:val="18"/>
              </w:rPr>
              <w:t>FTE</w:t>
            </w:r>
          </w:p>
        </w:tc>
        <w:tc>
          <w:tcPr>
            <w:tcW w:w="656" w:type="dxa"/>
            <w:shd w:val="clear" w:color="auto" w:fill="auto"/>
            <w:vAlign w:val="center"/>
          </w:tcPr>
          <w:p w14:paraId="51C16881"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03D2F642"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4F3DE9D6" w14:textId="6DABFD47" w:rsidR="00E10737" w:rsidRPr="009B48A1" w:rsidRDefault="000468FB" w:rsidP="000468FB">
            <w:pPr>
              <w:ind w:left="0"/>
              <w:jc w:val="center"/>
              <w:rPr>
                <w:i/>
                <w:sz w:val="18"/>
                <w:szCs w:val="18"/>
              </w:rPr>
            </w:pPr>
            <w:r>
              <w:rPr>
                <w:i/>
                <w:sz w:val="18"/>
                <w:szCs w:val="18"/>
              </w:rPr>
              <w:t>2 341</w:t>
            </w:r>
          </w:p>
        </w:tc>
        <w:tc>
          <w:tcPr>
            <w:tcW w:w="996" w:type="dxa"/>
            <w:vAlign w:val="center"/>
          </w:tcPr>
          <w:p w14:paraId="1540A8DC"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6C9ACBE6" w14:textId="77777777" w:rsidR="00E10737" w:rsidRPr="009B48A1" w:rsidRDefault="00E10737" w:rsidP="004179DE">
            <w:pPr>
              <w:ind w:left="0"/>
              <w:jc w:val="center"/>
              <w:rPr>
                <w:i/>
                <w:sz w:val="18"/>
                <w:szCs w:val="18"/>
              </w:rPr>
            </w:pPr>
            <w:r w:rsidRPr="009B48A1">
              <w:rPr>
                <w:i/>
                <w:sz w:val="18"/>
                <w:szCs w:val="18"/>
              </w:rPr>
              <w:t>Ročne</w:t>
            </w:r>
          </w:p>
        </w:tc>
      </w:tr>
      <w:tr w:rsidR="00E10737" w14:paraId="59E4487A" w14:textId="77777777" w:rsidTr="004179DE">
        <w:trPr>
          <w:trHeight w:val="680"/>
          <w:jc w:val="center"/>
        </w:trPr>
        <w:tc>
          <w:tcPr>
            <w:tcW w:w="706" w:type="dxa"/>
            <w:shd w:val="clear" w:color="auto" w:fill="auto"/>
            <w:vAlign w:val="center"/>
          </w:tcPr>
          <w:p w14:paraId="04C8F849" w14:textId="77777777" w:rsidR="00E10737" w:rsidRDefault="00E10737" w:rsidP="004179DE">
            <w:pPr>
              <w:ind w:left="0"/>
              <w:jc w:val="center"/>
              <w:rPr>
                <w:sz w:val="18"/>
                <w:szCs w:val="18"/>
              </w:rPr>
            </w:pPr>
            <w:r>
              <w:rPr>
                <w:sz w:val="18"/>
                <w:szCs w:val="18"/>
              </w:rPr>
              <w:t>CO24</w:t>
            </w:r>
          </w:p>
        </w:tc>
        <w:tc>
          <w:tcPr>
            <w:tcW w:w="2342" w:type="dxa"/>
            <w:shd w:val="clear" w:color="auto" w:fill="auto"/>
            <w:vAlign w:val="center"/>
          </w:tcPr>
          <w:p w14:paraId="2CE9BEC5" w14:textId="77777777" w:rsidR="00E10737" w:rsidRPr="000A417B" w:rsidRDefault="00E10737" w:rsidP="004179DE">
            <w:pPr>
              <w:ind w:left="0"/>
              <w:rPr>
                <w:sz w:val="18"/>
                <w:szCs w:val="18"/>
              </w:rPr>
            </w:pPr>
            <w:r w:rsidRPr="00972FA1">
              <w:rPr>
                <w:sz w:val="18"/>
                <w:szCs w:val="18"/>
              </w:rPr>
              <w:t>Počet nových výskumných pracovníkov v podporovaných podnikoch (spoločný)</w:t>
            </w:r>
          </w:p>
        </w:tc>
        <w:tc>
          <w:tcPr>
            <w:tcW w:w="903" w:type="dxa"/>
            <w:shd w:val="clear" w:color="auto" w:fill="auto"/>
            <w:vAlign w:val="center"/>
          </w:tcPr>
          <w:p w14:paraId="1E485287" w14:textId="77777777" w:rsidR="00E10737" w:rsidRPr="009B48A1" w:rsidRDefault="00E10737" w:rsidP="004179DE">
            <w:pPr>
              <w:ind w:left="0"/>
              <w:jc w:val="center"/>
              <w:rPr>
                <w:i/>
                <w:sz w:val="18"/>
                <w:szCs w:val="18"/>
              </w:rPr>
            </w:pPr>
            <w:r w:rsidRPr="009B48A1">
              <w:rPr>
                <w:i/>
                <w:sz w:val="18"/>
                <w:szCs w:val="18"/>
              </w:rPr>
              <w:t>FTE</w:t>
            </w:r>
          </w:p>
        </w:tc>
        <w:tc>
          <w:tcPr>
            <w:tcW w:w="656" w:type="dxa"/>
            <w:shd w:val="clear" w:color="auto" w:fill="auto"/>
            <w:vAlign w:val="center"/>
          </w:tcPr>
          <w:p w14:paraId="5792B90B"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32D1B716"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32698389" w14:textId="7A208128" w:rsidR="00E10737" w:rsidRPr="009B48A1" w:rsidRDefault="000468FB" w:rsidP="000468FB">
            <w:pPr>
              <w:ind w:left="0"/>
              <w:jc w:val="center"/>
              <w:rPr>
                <w:i/>
                <w:sz w:val="18"/>
                <w:szCs w:val="18"/>
              </w:rPr>
            </w:pPr>
            <w:r>
              <w:rPr>
                <w:i/>
                <w:sz w:val="18"/>
                <w:szCs w:val="18"/>
              </w:rPr>
              <w:t>577</w:t>
            </w:r>
          </w:p>
        </w:tc>
        <w:tc>
          <w:tcPr>
            <w:tcW w:w="996" w:type="dxa"/>
            <w:vAlign w:val="center"/>
          </w:tcPr>
          <w:p w14:paraId="14E7EF9F"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20E059DD" w14:textId="77777777" w:rsidR="00E10737" w:rsidRPr="009B48A1" w:rsidRDefault="00E10737" w:rsidP="004179DE">
            <w:pPr>
              <w:ind w:left="0"/>
              <w:jc w:val="center"/>
              <w:rPr>
                <w:i/>
                <w:sz w:val="18"/>
                <w:szCs w:val="18"/>
              </w:rPr>
            </w:pPr>
            <w:r w:rsidRPr="009B48A1">
              <w:rPr>
                <w:i/>
                <w:sz w:val="18"/>
                <w:szCs w:val="18"/>
              </w:rPr>
              <w:t>Ročne</w:t>
            </w:r>
          </w:p>
        </w:tc>
      </w:tr>
      <w:tr w:rsidR="00E10737" w14:paraId="2077EDA1" w14:textId="77777777" w:rsidTr="004179DE">
        <w:trPr>
          <w:trHeight w:val="680"/>
          <w:jc w:val="center"/>
        </w:trPr>
        <w:tc>
          <w:tcPr>
            <w:tcW w:w="706" w:type="dxa"/>
            <w:shd w:val="clear" w:color="auto" w:fill="auto"/>
            <w:vAlign w:val="center"/>
          </w:tcPr>
          <w:p w14:paraId="25BD5E51" w14:textId="77777777" w:rsidR="00E10737" w:rsidRDefault="00E10737" w:rsidP="004179DE">
            <w:pPr>
              <w:ind w:left="0"/>
              <w:jc w:val="center"/>
              <w:rPr>
                <w:sz w:val="18"/>
                <w:szCs w:val="18"/>
              </w:rPr>
            </w:pPr>
            <w:r>
              <w:rPr>
                <w:sz w:val="18"/>
                <w:szCs w:val="18"/>
              </w:rPr>
              <w:t>CO25</w:t>
            </w:r>
          </w:p>
        </w:tc>
        <w:tc>
          <w:tcPr>
            <w:tcW w:w="2342" w:type="dxa"/>
            <w:shd w:val="clear" w:color="auto" w:fill="auto"/>
            <w:vAlign w:val="center"/>
          </w:tcPr>
          <w:p w14:paraId="6CD815C6" w14:textId="77777777" w:rsidR="00E10737" w:rsidRPr="00972FA1" w:rsidRDefault="00E10737" w:rsidP="004179DE">
            <w:pPr>
              <w:ind w:left="0"/>
              <w:rPr>
                <w:sz w:val="18"/>
                <w:szCs w:val="18"/>
              </w:rPr>
            </w:pPr>
            <w:r w:rsidRPr="00972FA1">
              <w:rPr>
                <w:sz w:val="18"/>
                <w:szCs w:val="18"/>
              </w:rPr>
              <w:t>Počet výskumných pracovníkov pracujúcich v zrekonštruovaných zariadeniach výskumnej infraštruktúry</w:t>
            </w:r>
          </w:p>
          <w:p w14:paraId="38C850A8" w14:textId="77777777" w:rsidR="00E10737" w:rsidRPr="000A417B" w:rsidRDefault="00E10737" w:rsidP="004179DE">
            <w:pPr>
              <w:ind w:left="0"/>
              <w:rPr>
                <w:sz w:val="18"/>
                <w:szCs w:val="18"/>
              </w:rPr>
            </w:pPr>
            <w:r w:rsidRPr="00972FA1">
              <w:rPr>
                <w:sz w:val="18"/>
                <w:szCs w:val="18"/>
              </w:rPr>
              <w:t>(spoločný)</w:t>
            </w:r>
          </w:p>
        </w:tc>
        <w:tc>
          <w:tcPr>
            <w:tcW w:w="903" w:type="dxa"/>
            <w:shd w:val="clear" w:color="auto" w:fill="auto"/>
            <w:vAlign w:val="center"/>
          </w:tcPr>
          <w:p w14:paraId="77CAFD18" w14:textId="77777777" w:rsidR="00E10737" w:rsidRPr="009B48A1" w:rsidRDefault="00E10737" w:rsidP="004179DE">
            <w:pPr>
              <w:ind w:left="0"/>
              <w:jc w:val="center"/>
              <w:rPr>
                <w:i/>
                <w:sz w:val="18"/>
                <w:szCs w:val="18"/>
              </w:rPr>
            </w:pPr>
            <w:r w:rsidRPr="009B48A1">
              <w:rPr>
                <w:i/>
                <w:sz w:val="18"/>
                <w:szCs w:val="18"/>
              </w:rPr>
              <w:t>FTE</w:t>
            </w:r>
          </w:p>
        </w:tc>
        <w:tc>
          <w:tcPr>
            <w:tcW w:w="656" w:type="dxa"/>
            <w:shd w:val="clear" w:color="auto" w:fill="auto"/>
            <w:vAlign w:val="center"/>
          </w:tcPr>
          <w:p w14:paraId="415C672C"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10EEDABB"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3649DFF2" w14:textId="4C07CFBF" w:rsidR="00E10737" w:rsidRPr="009B48A1" w:rsidRDefault="000468FB" w:rsidP="000468FB">
            <w:pPr>
              <w:ind w:left="0"/>
              <w:jc w:val="center"/>
              <w:rPr>
                <w:i/>
                <w:sz w:val="18"/>
                <w:szCs w:val="18"/>
              </w:rPr>
            </w:pPr>
            <w:r>
              <w:rPr>
                <w:i/>
                <w:sz w:val="18"/>
                <w:szCs w:val="18"/>
              </w:rPr>
              <w:t>5 425</w:t>
            </w:r>
          </w:p>
        </w:tc>
        <w:tc>
          <w:tcPr>
            <w:tcW w:w="996" w:type="dxa"/>
            <w:vAlign w:val="center"/>
          </w:tcPr>
          <w:p w14:paraId="4B21209A"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50EC9E0B" w14:textId="77777777" w:rsidR="00E10737" w:rsidRPr="009B48A1" w:rsidRDefault="00E10737" w:rsidP="004179DE">
            <w:pPr>
              <w:ind w:left="0"/>
              <w:jc w:val="center"/>
              <w:rPr>
                <w:i/>
                <w:sz w:val="18"/>
                <w:szCs w:val="18"/>
              </w:rPr>
            </w:pPr>
            <w:r w:rsidRPr="009B48A1">
              <w:rPr>
                <w:i/>
                <w:sz w:val="18"/>
                <w:szCs w:val="18"/>
              </w:rPr>
              <w:t>Ročne</w:t>
            </w:r>
          </w:p>
        </w:tc>
      </w:tr>
      <w:tr w:rsidR="00E10737" w14:paraId="144B5AC4" w14:textId="77777777" w:rsidTr="004179DE">
        <w:trPr>
          <w:trHeight w:val="680"/>
          <w:jc w:val="center"/>
        </w:trPr>
        <w:tc>
          <w:tcPr>
            <w:tcW w:w="706" w:type="dxa"/>
            <w:shd w:val="clear" w:color="auto" w:fill="auto"/>
            <w:vAlign w:val="center"/>
          </w:tcPr>
          <w:p w14:paraId="33E406F7" w14:textId="77777777" w:rsidR="00E10737" w:rsidRDefault="00E10737" w:rsidP="004179DE">
            <w:pPr>
              <w:ind w:left="0"/>
              <w:jc w:val="center"/>
              <w:rPr>
                <w:sz w:val="18"/>
                <w:szCs w:val="18"/>
              </w:rPr>
            </w:pPr>
            <w:r>
              <w:rPr>
                <w:sz w:val="18"/>
                <w:szCs w:val="18"/>
              </w:rPr>
              <w:t>CO26</w:t>
            </w:r>
          </w:p>
        </w:tc>
        <w:tc>
          <w:tcPr>
            <w:tcW w:w="2342" w:type="dxa"/>
            <w:shd w:val="clear" w:color="auto" w:fill="auto"/>
            <w:vAlign w:val="center"/>
          </w:tcPr>
          <w:p w14:paraId="4DEC0487" w14:textId="77777777" w:rsidR="00E10737" w:rsidRPr="00972FA1" w:rsidRDefault="00E10737" w:rsidP="004179DE">
            <w:pPr>
              <w:ind w:left="0"/>
              <w:rPr>
                <w:sz w:val="18"/>
                <w:szCs w:val="18"/>
              </w:rPr>
            </w:pPr>
            <w:r w:rsidRPr="00265F58">
              <w:rPr>
                <w:sz w:val="18"/>
                <w:szCs w:val="18"/>
              </w:rPr>
              <w:t>Počet podnikov spolupracujúcich s výskumnými inštitúciami (spoločný)</w:t>
            </w:r>
          </w:p>
        </w:tc>
        <w:tc>
          <w:tcPr>
            <w:tcW w:w="903" w:type="dxa"/>
            <w:shd w:val="clear" w:color="auto" w:fill="auto"/>
            <w:vAlign w:val="center"/>
          </w:tcPr>
          <w:p w14:paraId="72767DDD"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46C78AC9"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70241277"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32E54A14" w14:textId="62B9A1BC" w:rsidR="00E10737" w:rsidRPr="009B48A1" w:rsidRDefault="000468FB" w:rsidP="000468FB">
            <w:pPr>
              <w:ind w:left="0"/>
              <w:jc w:val="center"/>
              <w:rPr>
                <w:i/>
                <w:sz w:val="18"/>
                <w:szCs w:val="18"/>
              </w:rPr>
            </w:pPr>
            <w:r>
              <w:rPr>
                <w:i/>
                <w:sz w:val="18"/>
                <w:szCs w:val="18"/>
              </w:rPr>
              <w:t>415</w:t>
            </w:r>
          </w:p>
        </w:tc>
        <w:tc>
          <w:tcPr>
            <w:tcW w:w="996" w:type="dxa"/>
            <w:vAlign w:val="center"/>
          </w:tcPr>
          <w:p w14:paraId="2157BC02"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3DD44AEE" w14:textId="77777777" w:rsidR="00E10737" w:rsidRPr="009B48A1" w:rsidRDefault="00E10737" w:rsidP="004179DE">
            <w:pPr>
              <w:ind w:left="0"/>
              <w:jc w:val="center"/>
              <w:rPr>
                <w:i/>
                <w:sz w:val="18"/>
                <w:szCs w:val="18"/>
              </w:rPr>
            </w:pPr>
            <w:r w:rsidRPr="009B48A1">
              <w:rPr>
                <w:i/>
                <w:sz w:val="18"/>
                <w:szCs w:val="18"/>
              </w:rPr>
              <w:t>Ročne</w:t>
            </w:r>
          </w:p>
        </w:tc>
      </w:tr>
      <w:tr w:rsidR="00E10737" w14:paraId="1E4F84E0" w14:textId="77777777" w:rsidTr="004179DE">
        <w:trPr>
          <w:trHeight w:val="680"/>
          <w:jc w:val="center"/>
        </w:trPr>
        <w:tc>
          <w:tcPr>
            <w:tcW w:w="706" w:type="dxa"/>
            <w:shd w:val="clear" w:color="auto" w:fill="auto"/>
            <w:vAlign w:val="center"/>
          </w:tcPr>
          <w:p w14:paraId="29E5BD90" w14:textId="77777777" w:rsidR="00E10737" w:rsidRDefault="00E10737" w:rsidP="004179DE">
            <w:pPr>
              <w:ind w:left="0"/>
              <w:jc w:val="center"/>
              <w:rPr>
                <w:sz w:val="18"/>
                <w:szCs w:val="18"/>
              </w:rPr>
            </w:pPr>
            <w:r>
              <w:rPr>
                <w:sz w:val="18"/>
                <w:szCs w:val="18"/>
              </w:rPr>
              <w:t>CO27</w:t>
            </w:r>
          </w:p>
        </w:tc>
        <w:tc>
          <w:tcPr>
            <w:tcW w:w="2342" w:type="dxa"/>
            <w:shd w:val="clear" w:color="auto" w:fill="auto"/>
            <w:vAlign w:val="center"/>
          </w:tcPr>
          <w:p w14:paraId="6DA6052B" w14:textId="77777777" w:rsidR="00E10737" w:rsidRPr="000A417B" w:rsidRDefault="00E10737" w:rsidP="004179DE">
            <w:pPr>
              <w:ind w:left="0"/>
              <w:rPr>
                <w:sz w:val="18"/>
                <w:szCs w:val="18"/>
              </w:rPr>
            </w:pPr>
            <w:r w:rsidRPr="00972FA1">
              <w:rPr>
                <w:sz w:val="18"/>
                <w:szCs w:val="18"/>
              </w:rPr>
              <w:t>Súkromné investície spojené s verejnou podporou v inovačných projektoch alebo projektoch výskumu a vývoja (spoločný)</w:t>
            </w:r>
          </w:p>
        </w:tc>
        <w:tc>
          <w:tcPr>
            <w:tcW w:w="903" w:type="dxa"/>
            <w:shd w:val="clear" w:color="auto" w:fill="auto"/>
            <w:vAlign w:val="center"/>
          </w:tcPr>
          <w:p w14:paraId="152123E2" w14:textId="77777777" w:rsidR="00E10737" w:rsidRPr="009B48A1" w:rsidRDefault="00E10737" w:rsidP="004179DE">
            <w:pPr>
              <w:ind w:left="0"/>
              <w:jc w:val="center"/>
              <w:rPr>
                <w:i/>
                <w:sz w:val="18"/>
                <w:szCs w:val="18"/>
              </w:rPr>
            </w:pPr>
            <w:r w:rsidRPr="009B48A1">
              <w:rPr>
                <w:i/>
                <w:sz w:val="18"/>
                <w:szCs w:val="18"/>
              </w:rPr>
              <w:t>EUR</w:t>
            </w:r>
          </w:p>
        </w:tc>
        <w:tc>
          <w:tcPr>
            <w:tcW w:w="656" w:type="dxa"/>
            <w:shd w:val="clear" w:color="auto" w:fill="auto"/>
            <w:vAlign w:val="center"/>
          </w:tcPr>
          <w:p w14:paraId="336A3FE3"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0E21B671"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3E60D1C3" w14:textId="067E90DA" w:rsidR="00E10737" w:rsidRPr="009B48A1" w:rsidRDefault="000468FB" w:rsidP="000468FB">
            <w:pPr>
              <w:ind w:left="0"/>
              <w:jc w:val="center"/>
              <w:rPr>
                <w:i/>
                <w:sz w:val="18"/>
                <w:szCs w:val="18"/>
              </w:rPr>
            </w:pPr>
            <w:r>
              <w:rPr>
                <w:i/>
                <w:sz w:val="18"/>
                <w:szCs w:val="18"/>
              </w:rPr>
              <w:t>332 710 296</w:t>
            </w:r>
          </w:p>
        </w:tc>
        <w:tc>
          <w:tcPr>
            <w:tcW w:w="996" w:type="dxa"/>
            <w:vAlign w:val="center"/>
          </w:tcPr>
          <w:p w14:paraId="235BEEF9"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18EB84BA" w14:textId="77777777" w:rsidR="00E10737" w:rsidRPr="009B48A1" w:rsidRDefault="00E10737" w:rsidP="004179DE">
            <w:pPr>
              <w:ind w:left="0"/>
              <w:jc w:val="center"/>
              <w:rPr>
                <w:i/>
                <w:sz w:val="18"/>
                <w:szCs w:val="18"/>
              </w:rPr>
            </w:pPr>
            <w:r w:rsidRPr="009B48A1">
              <w:rPr>
                <w:i/>
                <w:sz w:val="18"/>
                <w:szCs w:val="18"/>
              </w:rPr>
              <w:t>Ročne</w:t>
            </w:r>
          </w:p>
        </w:tc>
      </w:tr>
      <w:tr w:rsidR="00E10737" w14:paraId="65C03BBF" w14:textId="77777777" w:rsidTr="004179DE">
        <w:trPr>
          <w:trHeight w:val="680"/>
          <w:jc w:val="center"/>
        </w:trPr>
        <w:tc>
          <w:tcPr>
            <w:tcW w:w="706" w:type="dxa"/>
            <w:shd w:val="clear" w:color="auto" w:fill="auto"/>
            <w:vAlign w:val="center"/>
          </w:tcPr>
          <w:p w14:paraId="6BA94CC8" w14:textId="77777777" w:rsidR="00E10737" w:rsidRDefault="00E10737" w:rsidP="004179DE">
            <w:pPr>
              <w:ind w:left="0"/>
              <w:jc w:val="center"/>
              <w:rPr>
                <w:sz w:val="18"/>
                <w:szCs w:val="18"/>
              </w:rPr>
            </w:pPr>
            <w:r>
              <w:rPr>
                <w:sz w:val="18"/>
                <w:szCs w:val="18"/>
              </w:rPr>
              <w:t>CO28</w:t>
            </w:r>
          </w:p>
        </w:tc>
        <w:tc>
          <w:tcPr>
            <w:tcW w:w="2342" w:type="dxa"/>
            <w:shd w:val="clear" w:color="auto" w:fill="auto"/>
            <w:vAlign w:val="center"/>
          </w:tcPr>
          <w:p w14:paraId="58F37277" w14:textId="77777777" w:rsidR="00E10737" w:rsidRPr="00972FA1" w:rsidRDefault="00E10737" w:rsidP="004179DE">
            <w:pPr>
              <w:ind w:left="0"/>
              <w:rPr>
                <w:sz w:val="18"/>
                <w:szCs w:val="18"/>
              </w:rPr>
            </w:pPr>
            <w:r w:rsidRPr="00BA77B0">
              <w:rPr>
                <w:sz w:val="18"/>
                <w:szCs w:val="18"/>
              </w:rPr>
              <w:t>Počet podnikov, ktoré dostávajú podporu s cieľom predstaviť výrobky, ktoré sú pre trh nové (spoločný)</w:t>
            </w:r>
          </w:p>
        </w:tc>
        <w:tc>
          <w:tcPr>
            <w:tcW w:w="903" w:type="dxa"/>
            <w:shd w:val="clear" w:color="auto" w:fill="auto"/>
            <w:vAlign w:val="center"/>
          </w:tcPr>
          <w:p w14:paraId="0E7B28F5"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25DEFDCC"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76BB36D3"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073333F1" w14:textId="4087AFB8" w:rsidR="00E10737" w:rsidRPr="009B48A1" w:rsidRDefault="000468FB" w:rsidP="000468FB">
            <w:pPr>
              <w:ind w:left="0"/>
              <w:jc w:val="center"/>
              <w:rPr>
                <w:i/>
                <w:sz w:val="18"/>
                <w:szCs w:val="18"/>
              </w:rPr>
            </w:pPr>
            <w:r>
              <w:rPr>
                <w:i/>
                <w:sz w:val="18"/>
                <w:szCs w:val="18"/>
              </w:rPr>
              <w:t>626</w:t>
            </w:r>
          </w:p>
        </w:tc>
        <w:tc>
          <w:tcPr>
            <w:tcW w:w="996" w:type="dxa"/>
            <w:vAlign w:val="center"/>
          </w:tcPr>
          <w:p w14:paraId="525C5E9F"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3CA6CAD6" w14:textId="77777777" w:rsidR="00E10737" w:rsidRPr="009B48A1" w:rsidRDefault="00E10737" w:rsidP="004179DE">
            <w:pPr>
              <w:ind w:left="0"/>
              <w:jc w:val="center"/>
              <w:rPr>
                <w:i/>
                <w:sz w:val="18"/>
                <w:szCs w:val="18"/>
              </w:rPr>
            </w:pPr>
            <w:r w:rsidRPr="009B48A1">
              <w:rPr>
                <w:i/>
                <w:sz w:val="18"/>
                <w:szCs w:val="18"/>
              </w:rPr>
              <w:t>Ročne</w:t>
            </w:r>
          </w:p>
        </w:tc>
      </w:tr>
      <w:tr w:rsidR="00E10737" w14:paraId="7E50F276" w14:textId="77777777" w:rsidTr="004179DE">
        <w:trPr>
          <w:trHeight w:val="680"/>
          <w:jc w:val="center"/>
        </w:trPr>
        <w:tc>
          <w:tcPr>
            <w:tcW w:w="706" w:type="dxa"/>
            <w:shd w:val="clear" w:color="auto" w:fill="auto"/>
            <w:vAlign w:val="center"/>
          </w:tcPr>
          <w:p w14:paraId="1AC0FD95" w14:textId="3C5A21FE" w:rsidR="00E10737" w:rsidRDefault="00510E08" w:rsidP="004179DE">
            <w:pPr>
              <w:ind w:left="0"/>
              <w:jc w:val="center"/>
              <w:rPr>
                <w:sz w:val="18"/>
                <w:szCs w:val="18"/>
              </w:rPr>
            </w:pPr>
            <w:r>
              <w:rPr>
                <w:sz w:val="18"/>
                <w:szCs w:val="18"/>
              </w:rPr>
              <w:t>CO29</w:t>
            </w:r>
          </w:p>
        </w:tc>
        <w:tc>
          <w:tcPr>
            <w:tcW w:w="2342" w:type="dxa"/>
            <w:shd w:val="clear" w:color="auto" w:fill="auto"/>
            <w:vAlign w:val="center"/>
          </w:tcPr>
          <w:p w14:paraId="78CD05E2" w14:textId="77777777" w:rsidR="00E10737" w:rsidRPr="00972FA1" w:rsidRDefault="00E10737" w:rsidP="004179DE">
            <w:pPr>
              <w:ind w:left="0"/>
              <w:rPr>
                <w:sz w:val="18"/>
                <w:szCs w:val="18"/>
              </w:rPr>
            </w:pPr>
            <w:r w:rsidRPr="00BA77B0">
              <w:rPr>
                <w:sz w:val="18"/>
                <w:szCs w:val="18"/>
              </w:rPr>
              <w:t>Počet podnikov, ktoré dostávajú podporu s cieľom predstaviť výrobky, ktoré sú pre firmu nové (spoločný)</w:t>
            </w:r>
          </w:p>
        </w:tc>
        <w:tc>
          <w:tcPr>
            <w:tcW w:w="903" w:type="dxa"/>
            <w:shd w:val="clear" w:color="auto" w:fill="auto"/>
            <w:vAlign w:val="center"/>
          </w:tcPr>
          <w:p w14:paraId="6C679740" w14:textId="77777777" w:rsidR="00E10737" w:rsidRPr="009B48A1" w:rsidRDefault="00E10737" w:rsidP="004179DE">
            <w:pPr>
              <w:ind w:left="0"/>
              <w:jc w:val="center"/>
              <w:rPr>
                <w:i/>
                <w:sz w:val="18"/>
                <w:szCs w:val="18"/>
              </w:rPr>
            </w:pPr>
            <w:r w:rsidRPr="009B48A1">
              <w:rPr>
                <w:i/>
                <w:sz w:val="18"/>
                <w:szCs w:val="18"/>
              </w:rPr>
              <w:t>podniky</w:t>
            </w:r>
          </w:p>
        </w:tc>
        <w:tc>
          <w:tcPr>
            <w:tcW w:w="656" w:type="dxa"/>
            <w:shd w:val="clear" w:color="auto" w:fill="auto"/>
            <w:vAlign w:val="center"/>
          </w:tcPr>
          <w:p w14:paraId="5D225EAB"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0A96C008"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5451BAB0" w14:textId="627F7863" w:rsidR="00E10737" w:rsidRPr="009B48A1" w:rsidRDefault="000468FB" w:rsidP="000468FB">
            <w:pPr>
              <w:ind w:left="0"/>
              <w:jc w:val="center"/>
              <w:rPr>
                <w:i/>
                <w:sz w:val="18"/>
                <w:szCs w:val="18"/>
              </w:rPr>
            </w:pPr>
            <w:r>
              <w:rPr>
                <w:i/>
                <w:sz w:val="18"/>
                <w:szCs w:val="18"/>
              </w:rPr>
              <w:t>1 106</w:t>
            </w:r>
          </w:p>
        </w:tc>
        <w:tc>
          <w:tcPr>
            <w:tcW w:w="996" w:type="dxa"/>
            <w:vAlign w:val="center"/>
          </w:tcPr>
          <w:p w14:paraId="5E73CC39"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1B6EA231" w14:textId="77777777" w:rsidR="00E10737" w:rsidRPr="009B48A1" w:rsidRDefault="00E10737" w:rsidP="004179DE">
            <w:pPr>
              <w:ind w:left="0"/>
              <w:jc w:val="center"/>
              <w:rPr>
                <w:i/>
                <w:sz w:val="18"/>
                <w:szCs w:val="18"/>
              </w:rPr>
            </w:pPr>
            <w:r w:rsidRPr="009B48A1">
              <w:rPr>
                <w:i/>
                <w:sz w:val="18"/>
                <w:szCs w:val="18"/>
              </w:rPr>
              <w:t>Ročne</w:t>
            </w:r>
          </w:p>
        </w:tc>
      </w:tr>
      <w:tr w:rsidR="00E10737" w14:paraId="5A51DD0B" w14:textId="77777777" w:rsidTr="004179DE">
        <w:trPr>
          <w:trHeight w:val="680"/>
          <w:jc w:val="center"/>
        </w:trPr>
        <w:tc>
          <w:tcPr>
            <w:tcW w:w="706" w:type="dxa"/>
            <w:shd w:val="clear" w:color="auto" w:fill="auto"/>
            <w:vAlign w:val="center"/>
          </w:tcPr>
          <w:p w14:paraId="02728FB5" w14:textId="77777777" w:rsidR="00E10737" w:rsidRDefault="00E10737" w:rsidP="004179DE">
            <w:pPr>
              <w:ind w:left="0"/>
              <w:jc w:val="center"/>
              <w:rPr>
                <w:sz w:val="18"/>
                <w:szCs w:val="18"/>
              </w:rPr>
            </w:pPr>
            <w:r>
              <w:rPr>
                <w:sz w:val="18"/>
                <w:szCs w:val="18"/>
              </w:rPr>
              <w:t>O0069</w:t>
            </w:r>
          </w:p>
        </w:tc>
        <w:tc>
          <w:tcPr>
            <w:tcW w:w="2342" w:type="dxa"/>
            <w:shd w:val="clear" w:color="auto" w:fill="auto"/>
            <w:vAlign w:val="center"/>
          </w:tcPr>
          <w:p w14:paraId="7FFFC986" w14:textId="77777777" w:rsidR="00E10737" w:rsidRPr="000A417B" w:rsidRDefault="00E10737" w:rsidP="004179DE">
            <w:pPr>
              <w:ind w:left="0"/>
              <w:rPr>
                <w:sz w:val="18"/>
                <w:szCs w:val="18"/>
              </w:rPr>
            </w:pPr>
            <w:r w:rsidRPr="00972FA1">
              <w:rPr>
                <w:sz w:val="18"/>
                <w:szCs w:val="18"/>
              </w:rPr>
              <w:t>Počet podporených výskumných inštitúcií (špecifický)</w:t>
            </w:r>
          </w:p>
        </w:tc>
        <w:tc>
          <w:tcPr>
            <w:tcW w:w="903" w:type="dxa"/>
            <w:shd w:val="clear" w:color="auto" w:fill="auto"/>
            <w:vAlign w:val="center"/>
          </w:tcPr>
          <w:p w14:paraId="12E3116C"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2C200A77"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643E53D7"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46234C6D" w14:textId="77777777" w:rsidR="00E10737" w:rsidRPr="009B48A1" w:rsidRDefault="00E10737" w:rsidP="004179DE">
            <w:pPr>
              <w:ind w:left="0"/>
              <w:jc w:val="center"/>
              <w:rPr>
                <w:i/>
                <w:sz w:val="18"/>
                <w:szCs w:val="18"/>
              </w:rPr>
            </w:pPr>
            <w:r w:rsidRPr="009B48A1">
              <w:rPr>
                <w:i/>
                <w:sz w:val="18"/>
                <w:szCs w:val="18"/>
              </w:rPr>
              <w:t>100</w:t>
            </w:r>
          </w:p>
        </w:tc>
        <w:tc>
          <w:tcPr>
            <w:tcW w:w="996" w:type="dxa"/>
            <w:vAlign w:val="center"/>
          </w:tcPr>
          <w:p w14:paraId="5337CBF6"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1E987875" w14:textId="77777777" w:rsidR="00E10737" w:rsidRPr="009B48A1" w:rsidRDefault="00E10737" w:rsidP="004179DE">
            <w:pPr>
              <w:ind w:left="0"/>
              <w:jc w:val="center"/>
              <w:rPr>
                <w:i/>
                <w:sz w:val="18"/>
                <w:szCs w:val="18"/>
              </w:rPr>
            </w:pPr>
            <w:r w:rsidRPr="009B48A1">
              <w:rPr>
                <w:i/>
                <w:sz w:val="18"/>
                <w:szCs w:val="18"/>
              </w:rPr>
              <w:t>Ročne</w:t>
            </w:r>
          </w:p>
        </w:tc>
      </w:tr>
      <w:tr w:rsidR="00E10737" w14:paraId="4F28D3F6" w14:textId="77777777" w:rsidTr="004179DE">
        <w:trPr>
          <w:trHeight w:val="680"/>
          <w:jc w:val="center"/>
        </w:trPr>
        <w:tc>
          <w:tcPr>
            <w:tcW w:w="706" w:type="dxa"/>
            <w:shd w:val="clear" w:color="auto" w:fill="auto"/>
            <w:vAlign w:val="center"/>
          </w:tcPr>
          <w:p w14:paraId="1199E636" w14:textId="77777777" w:rsidR="00E10737" w:rsidRDefault="00E10737" w:rsidP="004179DE">
            <w:pPr>
              <w:ind w:left="0"/>
              <w:jc w:val="center"/>
              <w:rPr>
                <w:sz w:val="18"/>
                <w:szCs w:val="18"/>
              </w:rPr>
            </w:pPr>
            <w:r w:rsidRPr="00926711">
              <w:rPr>
                <w:sz w:val="18"/>
                <w:szCs w:val="18"/>
              </w:rPr>
              <w:t>O0070</w:t>
            </w:r>
          </w:p>
        </w:tc>
        <w:tc>
          <w:tcPr>
            <w:tcW w:w="2342" w:type="dxa"/>
            <w:shd w:val="clear" w:color="auto" w:fill="auto"/>
            <w:vAlign w:val="center"/>
          </w:tcPr>
          <w:p w14:paraId="582158B8" w14:textId="77777777" w:rsidR="00E10737" w:rsidRPr="00972FA1" w:rsidRDefault="00E10737" w:rsidP="004179DE">
            <w:pPr>
              <w:ind w:left="0"/>
              <w:rPr>
                <w:sz w:val="18"/>
                <w:szCs w:val="18"/>
              </w:rPr>
            </w:pPr>
            <w:r w:rsidRPr="00926711">
              <w:rPr>
                <w:sz w:val="18"/>
                <w:szCs w:val="18"/>
              </w:rPr>
              <w:t>Počet podporených výskumných inštitúcií spolupracujúcich s podnikmi (špecifický)</w:t>
            </w:r>
          </w:p>
        </w:tc>
        <w:tc>
          <w:tcPr>
            <w:tcW w:w="903" w:type="dxa"/>
            <w:shd w:val="clear" w:color="auto" w:fill="auto"/>
            <w:vAlign w:val="center"/>
          </w:tcPr>
          <w:p w14:paraId="1255600A"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70522743"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1AB9280F"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4C427E85" w14:textId="77777777" w:rsidR="00E10737" w:rsidRPr="009B48A1" w:rsidRDefault="00E10737" w:rsidP="004179DE">
            <w:pPr>
              <w:ind w:left="0"/>
              <w:jc w:val="center"/>
              <w:rPr>
                <w:i/>
                <w:sz w:val="18"/>
                <w:szCs w:val="18"/>
              </w:rPr>
            </w:pPr>
            <w:r w:rsidRPr="009B48A1">
              <w:rPr>
                <w:i/>
                <w:sz w:val="18"/>
                <w:szCs w:val="18"/>
              </w:rPr>
              <w:t>24</w:t>
            </w:r>
          </w:p>
        </w:tc>
        <w:tc>
          <w:tcPr>
            <w:tcW w:w="996" w:type="dxa"/>
            <w:vAlign w:val="center"/>
          </w:tcPr>
          <w:p w14:paraId="2DFCA190"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4FCEE4B5" w14:textId="77777777" w:rsidR="00E10737" w:rsidRPr="009B48A1" w:rsidRDefault="00E10737" w:rsidP="004179DE">
            <w:pPr>
              <w:ind w:left="0"/>
              <w:jc w:val="center"/>
              <w:rPr>
                <w:i/>
                <w:sz w:val="18"/>
                <w:szCs w:val="18"/>
              </w:rPr>
            </w:pPr>
            <w:r w:rsidRPr="009B48A1">
              <w:rPr>
                <w:i/>
                <w:sz w:val="18"/>
                <w:szCs w:val="18"/>
              </w:rPr>
              <w:t>Ročne</w:t>
            </w:r>
          </w:p>
        </w:tc>
      </w:tr>
      <w:tr w:rsidR="00E10737" w14:paraId="5A0B0B5A" w14:textId="77777777" w:rsidTr="004179DE">
        <w:trPr>
          <w:trHeight w:val="680"/>
          <w:jc w:val="center"/>
        </w:trPr>
        <w:tc>
          <w:tcPr>
            <w:tcW w:w="706" w:type="dxa"/>
            <w:shd w:val="clear" w:color="auto" w:fill="auto"/>
            <w:vAlign w:val="center"/>
          </w:tcPr>
          <w:p w14:paraId="6C5866E5" w14:textId="77777777" w:rsidR="00E10737" w:rsidRDefault="00E10737" w:rsidP="004179DE">
            <w:pPr>
              <w:ind w:left="0"/>
              <w:jc w:val="center"/>
              <w:rPr>
                <w:sz w:val="18"/>
                <w:szCs w:val="18"/>
              </w:rPr>
            </w:pPr>
            <w:r w:rsidRPr="00926711">
              <w:rPr>
                <w:sz w:val="18"/>
                <w:szCs w:val="18"/>
              </w:rPr>
              <w:t>O007</w:t>
            </w:r>
            <w:r>
              <w:rPr>
                <w:sz w:val="18"/>
                <w:szCs w:val="18"/>
              </w:rPr>
              <w:t>2</w:t>
            </w:r>
          </w:p>
        </w:tc>
        <w:tc>
          <w:tcPr>
            <w:tcW w:w="2342" w:type="dxa"/>
            <w:shd w:val="clear" w:color="auto" w:fill="auto"/>
            <w:vAlign w:val="center"/>
          </w:tcPr>
          <w:p w14:paraId="167059ED" w14:textId="77777777" w:rsidR="00E10737" w:rsidRPr="00972FA1" w:rsidRDefault="00E10737" w:rsidP="004179DE">
            <w:pPr>
              <w:ind w:left="0"/>
              <w:rPr>
                <w:sz w:val="18"/>
                <w:szCs w:val="18"/>
              </w:rPr>
            </w:pPr>
            <w:r w:rsidRPr="00BA77B0">
              <w:rPr>
                <w:sz w:val="18"/>
                <w:szCs w:val="18"/>
              </w:rPr>
              <w:t>Počet prihlášok registrácie práv duševného vlastníctva (špecifický)</w:t>
            </w:r>
          </w:p>
        </w:tc>
        <w:tc>
          <w:tcPr>
            <w:tcW w:w="903" w:type="dxa"/>
            <w:shd w:val="clear" w:color="auto" w:fill="auto"/>
            <w:vAlign w:val="center"/>
          </w:tcPr>
          <w:p w14:paraId="6F36A0F4"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1DC991E6"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58EEF5B3"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6254C95D" w14:textId="4F3A67CC" w:rsidR="00E10737" w:rsidRPr="009B48A1" w:rsidRDefault="000468FB" w:rsidP="000468FB">
            <w:pPr>
              <w:ind w:left="0"/>
              <w:jc w:val="center"/>
              <w:rPr>
                <w:i/>
                <w:sz w:val="18"/>
                <w:szCs w:val="18"/>
              </w:rPr>
            </w:pPr>
            <w:r>
              <w:rPr>
                <w:i/>
                <w:sz w:val="18"/>
                <w:szCs w:val="18"/>
              </w:rPr>
              <w:t>358</w:t>
            </w:r>
          </w:p>
        </w:tc>
        <w:tc>
          <w:tcPr>
            <w:tcW w:w="996" w:type="dxa"/>
            <w:vAlign w:val="center"/>
          </w:tcPr>
          <w:p w14:paraId="69BDDFDB"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3441C40E" w14:textId="77777777" w:rsidR="00E10737" w:rsidRPr="009B48A1" w:rsidRDefault="00E10737" w:rsidP="004179DE">
            <w:pPr>
              <w:ind w:left="0"/>
              <w:jc w:val="center"/>
              <w:rPr>
                <w:i/>
                <w:sz w:val="18"/>
                <w:szCs w:val="18"/>
              </w:rPr>
            </w:pPr>
            <w:r w:rsidRPr="009B48A1">
              <w:rPr>
                <w:i/>
                <w:sz w:val="18"/>
                <w:szCs w:val="18"/>
              </w:rPr>
              <w:t>Ročne</w:t>
            </w:r>
          </w:p>
        </w:tc>
      </w:tr>
      <w:tr w:rsidR="00E10737" w14:paraId="1F212283" w14:textId="77777777" w:rsidTr="004179DE">
        <w:trPr>
          <w:trHeight w:val="680"/>
          <w:jc w:val="center"/>
        </w:trPr>
        <w:tc>
          <w:tcPr>
            <w:tcW w:w="706" w:type="dxa"/>
            <w:shd w:val="clear" w:color="auto" w:fill="auto"/>
            <w:vAlign w:val="center"/>
          </w:tcPr>
          <w:p w14:paraId="74BF535C" w14:textId="77777777" w:rsidR="00E10737" w:rsidRDefault="00E10737" w:rsidP="004179DE">
            <w:pPr>
              <w:ind w:left="0"/>
              <w:jc w:val="center"/>
              <w:rPr>
                <w:sz w:val="18"/>
                <w:szCs w:val="18"/>
              </w:rPr>
            </w:pPr>
            <w:r w:rsidRPr="00926711">
              <w:rPr>
                <w:sz w:val="18"/>
                <w:szCs w:val="18"/>
              </w:rPr>
              <w:t>O0073</w:t>
            </w:r>
          </w:p>
        </w:tc>
        <w:tc>
          <w:tcPr>
            <w:tcW w:w="2342" w:type="dxa"/>
            <w:shd w:val="clear" w:color="auto" w:fill="auto"/>
            <w:vAlign w:val="center"/>
          </w:tcPr>
          <w:p w14:paraId="6AEDDE31" w14:textId="77777777" w:rsidR="00E10737" w:rsidRPr="00972FA1" w:rsidRDefault="00E10737" w:rsidP="004179DE">
            <w:pPr>
              <w:ind w:left="0"/>
              <w:rPr>
                <w:sz w:val="18"/>
                <w:szCs w:val="18"/>
              </w:rPr>
            </w:pPr>
            <w:r w:rsidRPr="00926711">
              <w:rPr>
                <w:sz w:val="18"/>
                <w:szCs w:val="18"/>
              </w:rPr>
              <w:t>Počet podaných patentových prihlášok (špecifický)</w:t>
            </w:r>
          </w:p>
        </w:tc>
        <w:tc>
          <w:tcPr>
            <w:tcW w:w="903" w:type="dxa"/>
            <w:shd w:val="clear" w:color="auto" w:fill="auto"/>
            <w:vAlign w:val="center"/>
          </w:tcPr>
          <w:p w14:paraId="4271DBB0"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2505B958"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67A4269B"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1F69E6A5" w14:textId="77777777" w:rsidR="00E10737" w:rsidRPr="009B48A1" w:rsidRDefault="00E10737" w:rsidP="004179DE">
            <w:pPr>
              <w:ind w:left="0"/>
              <w:jc w:val="center"/>
              <w:rPr>
                <w:i/>
                <w:sz w:val="18"/>
                <w:szCs w:val="18"/>
              </w:rPr>
            </w:pPr>
            <w:r w:rsidRPr="009B48A1">
              <w:rPr>
                <w:i/>
                <w:sz w:val="18"/>
                <w:szCs w:val="18"/>
              </w:rPr>
              <w:t>10</w:t>
            </w:r>
          </w:p>
        </w:tc>
        <w:tc>
          <w:tcPr>
            <w:tcW w:w="996" w:type="dxa"/>
            <w:vAlign w:val="center"/>
          </w:tcPr>
          <w:p w14:paraId="3CC215B8"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7CC7FC25" w14:textId="77777777" w:rsidR="00E10737" w:rsidRPr="009B48A1" w:rsidRDefault="00E10737" w:rsidP="004179DE">
            <w:pPr>
              <w:ind w:left="0"/>
              <w:jc w:val="center"/>
              <w:rPr>
                <w:i/>
                <w:sz w:val="18"/>
                <w:szCs w:val="18"/>
              </w:rPr>
            </w:pPr>
            <w:r w:rsidRPr="009B48A1">
              <w:rPr>
                <w:i/>
                <w:sz w:val="18"/>
                <w:szCs w:val="18"/>
              </w:rPr>
              <w:t>Ročne</w:t>
            </w:r>
          </w:p>
        </w:tc>
      </w:tr>
      <w:tr w:rsidR="00E10737" w14:paraId="30337CF6" w14:textId="77777777" w:rsidTr="004179DE">
        <w:trPr>
          <w:trHeight w:val="680"/>
          <w:jc w:val="center"/>
        </w:trPr>
        <w:tc>
          <w:tcPr>
            <w:tcW w:w="706" w:type="dxa"/>
            <w:shd w:val="clear" w:color="auto" w:fill="auto"/>
            <w:vAlign w:val="center"/>
          </w:tcPr>
          <w:p w14:paraId="5535B3DC" w14:textId="77777777" w:rsidR="00E10737" w:rsidRDefault="00E10737" w:rsidP="004179DE">
            <w:pPr>
              <w:ind w:left="0"/>
              <w:jc w:val="center"/>
              <w:rPr>
                <w:sz w:val="18"/>
                <w:szCs w:val="18"/>
              </w:rPr>
            </w:pPr>
            <w:r w:rsidRPr="00926711">
              <w:rPr>
                <w:sz w:val="18"/>
                <w:szCs w:val="18"/>
              </w:rPr>
              <w:t>O0074</w:t>
            </w:r>
          </w:p>
        </w:tc>
        <w:tc>
          <w:tcPr>
            <w:tcW w:w="2342" w:type="dxa"/>
            <w:shd w:val="clear" w:color="auto" w:fill="auto"/>
            <w:vAlign w:val="center"/>
          </w:tcPr>
          <w:p w14:paraId="0841E893" w14:textId="77777777" w:rsidR="00E10737" w:rsidRPr="00972FA1" w:rsidRDefault="00E10737" w:rsidP="004179DE">
            <w:pPr>
              <w:ind w:left="0"/>
              <w:rPr>
                <w:sz w:val="18"/>
                <w:szCs w:val="18"/>
              </w:rPr>
            </w:pPr>
            <w:r w:rsidRPr="00926711">
              <w:rPr>
                <w:sz w:val="18"/>
                <w:szCs w:val="18"/>
              </w:rPr>
              <w:t>Počet vzniknutých start- up a spin-off podnikov (špecifický)</w:t>
            </w:r>
          </w:p>
        </w:tc>
        <w:tc>
          <w:tcPr>
            <w:tcW w:w="903" w:type="dxa"/>
            <w:shd w:val="clear" w:color="auto" w:fill="auto"/>
            <w:vAlign w:val="center"/>
          </w:tcPr>
          <w:p w14:paraId="63840739"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5B15FBE8"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756DEA31"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14BE3DC2" w14:textId="19BEA2EF" w:rsidR="00E10737" w:rsidRPr="009B48A1" w:rsidRDefault="000468FB" w:rsidP="000468FB">
            <w:pPr>
              <w:ind w:left="0"/>
              <w:jc w:val="center"/>
              <w:rPr>
                <w:i/>
                <w:sz w:val="18"/>
                <w:szCs w:val="18"/>
              </w:rPr>
            </w:pPr>
            <w:r>
              <w:rPr>
                <w:i/>
                <w:sz w:val="18"/>
                <w:szCs w:val="18"/>
              </w:rPr>
              <w:t>102</w:t>
            </w:r>
          </w:p>
        </w:tc>
        <w:tc>
          <w:tcPr>
            <w:tcW w:w="996" w:type="dxa"/>
            <w:vAlign w:val="center"/>
          </w:tcPr>
          <w:p w14:paraId="6153FAF0"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6DCEC39E" w14:textId="77777777" w:rsidR="00E10737" w:rsidRPr="009B48A1" w:rsidRDefault="00E10737" w:rsidP="004179DE">
            <w:pPr>
              <w:ind w:left="0"/>
              <w:jc w:val="center"/>
              <w:rPr>
                <w:i/>
                <w:sz w:val="18"/>
                <w:szCs w:val="18"/>
              </w:rPr>
            </w:pPr>
            <w:r w:rsidRPr="009B48A1">
              <w:rPr>
                <w:i/>
                <w:sz w:val="18"/>
                <w:szCs w:val="18"/>
              </w:rPr>
              <w:t>Ročne</w:t>
            </w:r>
          </w:p>
        </w:tc>
      </w:tr>
      <w:tr w:rsidR="00E10737" w14:paraId="0CE8F12E" w14:textId="77777777" w:rsidTr="004179DE">
        <w:trPr>
          <w:trHeight w:val="680"/>
          <w:jc w:val="center"/>
        </w:trPr>
        <w:tc>
          <w:tcPr>
            <w:tcW w:w="706" w:type="dxa"/>
            <w:shd w:val="clear" w:color="auto" w:fill="auto"/>
            <w:vAlign w:val="center"/>
          </w:tcPr>
          <w:p w14:paraId="424DA6E2" w14:textId="77777777" w:rsidR="00E10737" w:rsidRPr="00926711" w:rsidRDefault="00E10737" w:rsidP="004179DE">
            <w:pPr>
              <w:ind w:left="0"/>
              <w:jc w:val="center"/>
              <w:rPr>
                <w:sz w:val="18"/>
                <w:szCs w:val="18"/>
              </w:rPr>
            </w:pPr>
            <w:r w:rsidRPr="00926711">
              <w:rPr>
                <w:sz w:val="18"/>
                <w:szCs w:val="18"/>
              </w:rPr>
              <w:t>O007</w:t>
            </w:r>
            <w:r>
              <w:rPr>
                <w:sz w:val="18"/>
                <w:szCs w:val="18"/>
              </w:rPr>
              <w:t>6</w:t>
            </w:r>
          </w:p>
        </w:tc>
        <w:tc>
          <w:tcPr>
            <w:tcW w:w="2342" w:type="dxa"/>
            <w:shd w:val="clear" w:color="auto" w:fill="auto"/>
            <w:vAlign w:val="center"/>
          </w:tcPr>
          <w:p w14:paraId="38080AD0" w14:textId="77777777" w:rsidR="00E10737" w:rsidRPr="00926711" w:rsidRDefault="00E10737" w:rsidP="004179DE">
            <w:pPr>
              <w:ind w:left="0"/>
              <w:rPr>
                <w:sz w:val="18"/>
                <w:szCs w:val="18"/>
              </w:rPr>
            </w:pPr>
            <w:r w:rsidRPr="00BA77B0">
              <w:rPr>
                <w:sz w:val="18"/>
                <w:szCs w:val="18"/>
              </w:rPr>
              <w:t>Počet podporených klastrových organizácií (špecifický)</w:t>
            </w:r>
          </w:p>
        </w:tc>
        <w:tc>
          <w:tcPr>
            <w:tcW w:w="903" w:type="dxa"/>
            <w:shd w:val="clear" w:color="auto" w:fill="auto"/>
            <w:vAlign w:val="center"/>
          </w:tcPr>
          <w:p w14:paraId="279397D1" w14:textId="77777777" w:rsidR="00E10737" w:rsidRPr="009B48A1" w:rsidRDefault="00E10737" w:rsidP="004179DE">
            <w:pPr>
              <w:ind w:left="0"/>
              <w:jc w:val="center"/>
              <w:rPr>
                <w:i/>
                <w:sz w:val="18"/>
                <w:szCs w:val="18"/>
              </w:rPr>
            </w:pPr>
            <w:r w:rsidRPr="009B48A1">
              <w:rPr>
                <w:i/>
                <w:sz w:val="18"/>
                <w:szCs w:val="18"/>
              </w:rPr>
              <w:t>počet</w:t>
            </w:r>
          </w:p>
        </w:tc>
        <w:tc>
          <w:tcPr>
            <w:tcW w:w="656" w:type="dxa"/>
            <w:shd w:val="clear" w:color="auto" w:fill="auto"/>
            <w:vAlign w:val="center"/>
          </w:tcPr>
          <w:p w14:paraId="643406FD" w14:textId="77777777" w:rsidR="00E10737" w:rsidRPr="009B48A1" w:rsidRDefault="00E10737" w:rsidP="004179DE">
            <w:pPr>
              <w:ind w:left="0"/>
              <w:jc w:val="center"/>
              <w:rPr>
                <w:i/>
                <w:sz w:val="18"/>
                <w:szCs w:val="18"/>
              </w:rPr>
            </w:pPr>
            <w:r w:rsidRPr="009B48A1">
              <w:rPr>
                <w:i/>
                <w:sz w:val="18"/>
                <w:szCs w:val="18"/>
              </w:rPr>
              <w:t>EFRR</w:t>
            </w:r>
          </w:p>
        </w:tc>
        <w:tc>
          <w:tcPr>
            <w:tcW w:w="1212" w:type="dxa"/>
            <w:shd w:val="clear" w:color="auto" w:fill="auto"/>
            <w:vAlign w:val="center"/>
          </w:tcPr>
          <w:p w14:paraId="3AFCFE7D" w14:textId="77777777" w:rsidR="00E10737" w:rsidRPr="009B48A1" w:rsidRDefault="00E10737" w:rsidP="004179DE">
            <w:pPr>
              <w:ind w:left="0"/>
              <w:jc w:val="center"/>
              <w:rPr>
                <w:i/>
                <w:sz w:val="18"/>
                <w:szCs w:val="18"/>
              </w:rPr>
            </w:pPr>
            <w:r w:rsidRPr="009B48A1">
              <w:rPr>
                <w:i/>
                <w:sz w:val="18"/>
                <w:szCs w:val="18"/>
              </w:rPr>
              <w:t>Menej rozvinutý región</w:t>
            </w:r>
          </w:p>
        </w:tc>
        <w:tc>
          <w:tcPr>
            <w:tcW w:w="1224" w:type="dxa"/>
            <w:shd w:val="clear" w:color="auto" w:fill="auto"/>
            <w:vAlign w:val="center"/>
          </w:tcPr>
          <w:p w14:paraId="16BBCE70" w14:textId="417D5934" w:rsidR="00E10737" w:rsidRPr="009B48A1" w:rsidRDefault="000468FB" w:rsidP="000468FB">
            <w:pPr>
              <w:ind w:left="0"/>
              <w:jc w:val="center"/>
              <w:rPr>
                <w:i/>
                <w:sz w:val="18"/>
                <w:szCs w:val="18"/>
              </w:rPr>
            </w:pPr>
            <w:r>
              <w:rPr>
                <w:i/>
                <w:sz w:val="18"/>
                <w:szCs w:val="18"/>
              </w:rPr>
              <w:t>15</w:t>
            </w:r>
          </w:p>
        </w:tc>
        <w:tc>
          <w:tcPr>
            <w:tcW w:w="996" w:type="dxa"/>
            <w:vAlign w:val="center"/>
          </w:tcPr>
          <w:p w14:paraId="3DEB6E09" w14:textId="77777777" w:rsidR="00E10737" w:rsidRPr="009B48A1" w:rsidRDefault="00E10737" w:rsidP="004179DE">
            <w:pPr>
              <w:ind w:left="0"/>
              <w:jc w:val="center"/>
              <w:rPr>
                <w:i/>
                <w:sz w:val="18"/>
                <w:szCs w:val="18"/>
              </w:rPr>
            </w:pPr>
            <w:r w:rsidRPr="009B48A1">
              <w:rPr>
                <w:i/>
                <w:sz w:val="18"/>
                <w:szCs w:val="18"/>
              </w:rPr>
              <w:t>ITMS</w:t>
            </w:r>
          </w:p>
        </w:tc>
        <w:tc>
          <w:tcPr>
            <w:tcW w:w="1373" w:type="dxa"/>
            <w:vAlign w:val="center"/>
          </w:tcPr>
          <w:p w14:paraId="0BE936D3" w14:textId="77777777" w:rsidR="00E10737" w:rsidRPr="009B48A1" w:rsidRDefault="00E10737" w:rsidP="004179DE">
            <w:pPr>
              <w:ind w:left="0"/>
              <w:jc w:val="center"/>
              <w:rPr>
                <w:i/>
                <w:sz w:val="18"/>
                <w:szCs w:val="18"/>
              </w:rPr>
            </w:pPr>
            <w:r w:rsidRPr="009B48A1">
              <w:rPr>
                <w:i/>
                <w:sz w:val="18"/>
                <w:szCs w:val="18"/>
              </w:rPr>
              <w:t>Ročne</w:t>
            </w:r>
          </w:p>
        </w:tc>
      </w:tr>
    </w:tbl>
    <w:p w14:paraId="5F7931D9" w14:textId="77777777" w:rsidR="00E10737" w:rsidRDefault="00E10737" w:rsidP="00E10737">
      <w:pPr>
        <w:pStyle w:val="Nadpis3"/>
      </w:pPr>
      <w:bookmarkStart w:id="97" w:name="_Toc21945911"/>
      <w:bookmarkStart w:id="98" w:name="_Toc28951644"/>
      <w:r>
        <w:t>Výkonnostný rámec prioritnej osi</w:t>
      </w:r>
      <w:bookmarkEnd w:id="97"/>
      <w:bookmarkEnd w:id="98"/>
    </w:p>
    <w:p w14:paraId="477A3E41" w14:textId="77777777" w:rsidR="00E10737" w:rsidRPr="007B3B80" w:rsidRDefault="00E10737" w:rsidP="00E10737">
      <w:pPr>
        <w:pStyle w:val="Tab"/>
        <w:ind w:left="502"/>
      </w:pPr>
      <w:r>
        <w:t>Výkonnostný rámec Prioritnej osi 9</w:t>
      </w:r>
    </w:p>
    <w:tbl>
      <w:tblPr>
        <w:tblStyle w:val="Mriekatabuky"/>
        <w:tblW w:w="100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29"/>
        <w:gridCol w:w="1576"/>
        <w:gridCol w:w="897"/>
        <w:gridCol w:w="656"/>
        <w:gridCol w:w="986"/>
        <w:gridCol w:w="987"/>
        <w:gridCol w:w="1045"/>
        <w:gridCol w:w="747"/>
        <w:gridCol w:w="1217"/>
      </w:tblGrid>
      <w:tr w:rsidR="00E10737" w14:paraId="757F97E2" w14:textId="77777777" w:rsidTr="004179DE">
        <w:trPr>
          <w:trHeight w:val="340"/>
          <w:jc w:val="center"/>
        </w:trPr>
        <w:tc>
          <w:tcPr>
            <w:tcW w:w="1476" w:type="dxa"/>
            <w:shd w:val="clear" w:color="auto" w:fill="C6D9F1" w:themeFill="text2" w:themeFillTint="33"/>
          </w:tcPr>
          <w:p w14:paraId="37B31716" w14:textId="77777777" w:rsidR="00E10737" w:rsidRPr="008C1732" w:rsidRDefault="00E10737" w:rsidP="004179DE">
            <w:pPr>
              <w:ind w:left="0"/>
              <w:rPr>
                <w:b/>
                <w:sz w:val="18"/>
                <w:szCs w:val="18"/>
              </w:rPr>
            </w:pPr>
            <w:r w:rsidRPr="008C1732">
              <w:rPr>
                <w:b/>
                <w:sz w:val="18"/>
                <w:szCs w:val="18"/>
              </w:rPr>
              <w:t>Typ ukazovateľa</w:t>
            </w:r>
          </w:p>
          <w:p w14:paraId="6C8967CE" w14:textId="77777777" w:rsidR="00E10737" w:rsidRPr="008C1732" w:rsidRDefault="00E10737" w:rsidP="004179DE">
            <w:pPr>
              <w:ind w:left="0"/>
              <w:rPr>
                <w:b/>
                <w:sz w:val="18"/>
                <w:szCs w:val="18"/>
              </w:rPr>
            </w:pPr>
          </w:p>
          <w:p w14:paraId="6E60283E" w14:textId="77777777" w:rsidR="00E10737" w:rsidRPr="008C1732" w:rsidRDefault="00E10737" w:rsidP="004179DE">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29" w:type="dxa"/>
            <w:shd w:val="clear" w:color="auto" w:fill="C6D9F1" w:themeFill="text2" w:themeFillTint="33"/>
          </w:tcPr>
          <w:p w14:paraId="79F4CDA1" w14:textId="77777777" w:rsidR="00E10737" w:rsidRPr="008C1732" w:rsidRDefault="00E10737" w:rsidP="004179DE">
            <w:pPr>
              <w:ind w:left="0"/>
              <w:rPr>
                <w:b/>
                <w:sz w:val="18"/>
                <w:szCs w:val="18"/>
              </w:rPr>
            </w:pPr>
            <w:r>
              <w:rPr>
                <w:b/>
                <w:sz w:val="18"/>
                <w:szCs w:val="18"/>
              </w:rPr>
              <w:t>ID</w:t>
            </w:r>
          </w:p>
        </w:tc>
        <w:tc>
          <w:tcPr>
            <w:tcW w:w="1576" w:type="dxa"/>
            <w:shd w:val="clear" w:color="auto" w:fill="C6D9F1" w:themeFill="text2" w:themeFillTint="33"/>
          </w:tcPr>
          <w:p w14:paraId="3F81841D" w14:textId="77777777" w:rsidR="00E10737" w:rsidRPr="008C1732" w:rsidRDefault="00E10737" w:rsidP="004179DE">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66B6124B" w14:textId="77777777" w:rsidR="00E10737" w:rsidRPr="008C1732" w:rsidRDefault="00E10737" w:rsidP="004179DE">
            <w:pPr>
              <w:ind w:left="0"/>
              <w:rPr>
                <w:b/>
                <w:sz w:val="18"/>
                <w:szCs w:val="18"/>
              </w:rPr>
            </w:pPr>
            <w:r w:rsidRPr="008C1732">
              <w:rPr>
                <w:b/>
                <w:sz w:val="18"/>
                <w:szCs w:val="18"/>
              </w:rPr>
              <w:t>Merná jednotka</w:t>
            </w:r>
          </w:p>
        </w:tc>
        <w:tc>
          <w:tcPr>
            <w:tcW w:w="656" w:type="dxa"/>
            <w:shd w:val="clear" w:color="auto" w:fill="C6D9F1" w:themeFill="text2" w:themeFillTint="33"/>
          </w:tcPr>
          <w:p w14:paraId="71E8A534" w14:textId="77777777" w:rsidR="00E10737" w:rsidRPr="008C1732" w:rsidRDefault="00E10737" w:rsidP="004179DE">
            <w:pPr>
              <w:ind w:left="0"/>
              <w:rPr>
                <w:b/>
                <w:sz w:val="18"/>
                <w:szCs w:val="18"/>
              </w:rPr>
            </w:pPr>
            <w:r w:rsidRPr="008C1732">
              <w:rPr>
                <w:b/>
                <w:sz w:val="18"/>
                <w:szCs w:val="18"/>
              </w:rPr>
              <w:t>Fond</w:t>
            </w:r>
          </w:p>
        </w:tc>
        <w:tc>
          <w:tcPr>
            <w:tcW w:w="986" w:type="dxa"/>
            <w:shd w:val="clear" w:color="auto" w:fill="C6D9F1" w:themeFill="text2" w:themeFillTint="33"/>
          </w:tcPr>
          <w:p w14:paraId="0516B38E" w14:textId="77777777" w:rsidR="00E10737" w:rsidRPr="008C1732" w:rsidRDefault="00E10737" w:rsidP="004179DE">
            <w:pPr>
              <w:ind w:left="0"/>
              <w:rPr>
                <w:b/>
                <w:sz w:val="18"/>
                <w:szCs w:val="18"/>
              </w:rPr>
            </w:pPr>
            <w:r w:rsidRPr="008C1732">
              <w:rPr>
                <w:b/>
                <w:sz w:val="18"/>
                <w:szCs w:val="18"/>
              </w:rPr>
              <w:t>Kategória regiónu</w:t>
            </w:r>
          </w:p>
        </w:tc>
        <w:tc>
          <w:tcPr>
            <w:tcW w:w="987" w:type="dxa"/>
            <w:shd w:val="clear" w:color="auto" w:fill="C6D9F1" w:themeFill="text2" w:themeFillTint="33"/>
          </w:tcPr>
          <w:p w14:paraId="52F30535" w14:textId="77777777" w:rsidR="00E10737" w:rsidRPr="008C1732" w:rsidRDefault="00E10737" w:rsidP="004179DE">
            <w:pPr>
              <w:ind w:left="0"/>
              <w:rPr>
                <w:b/>
                <w:sz w:val="18"/>
                <w:szCs w:val="18"/>
              </w:rPr>
            </w:pPr>
            <w:r w:rsidRPr="008C1732">
              <w:rPr>
                <w:b/>
                <w:sz w:val="18"/>
                <w:szCs w:val="18"/>
              </w:rPr>
              <w:t>Čiastkový cieľ pre rok 2018</w:t>
            </w:r>
          </w:p>
        </w:tc>
        <w:tc>
          <w:tcPr>
            <w:tcW w:w="1045" w:type="dxa"/>
            <w:shd w:val="clear" w:color="auto" w:fill="C6D9F1" w:themeFill="text2" w:themeFillTint="33"/>
          </w:tcPr>
          <w:p w14:paraId="501BAC0D" w14:textId="77777777" w:rsidR="00E10737" w:rsidRPr="008C1732" w:rsidRDefault="00E10737" w:rsidP="004179DE">
            <w:pPr>
              <w:ind w:left="0"/>
              <w:rPr>
                <w:b/>
                <w:sz w:val="18"/>
                <w:szCs w:val="18"/>
              </w:rPr>
            </w:pPr>
            <w:r w:rsidRPr="008C1732">
              <w:rPr>
                <w:b/>
                <w:sz w:val="18"/>
                <w:szCs w:val="18"/>
              </w:rPr>
              <w:t>Zámer</w:t>
            </w:r>
          </w:p>
          <w:p w14:paraId="50A45AD8" w14:textId="77777777" w:rsidR="00E10737" w:rsidRPr="008C1732" w:rsidRDefault="00E10737" w:rsidP="004179DE">
            <w:pPr>
              <w:ind w:left="0"/>
              <w:rPr>
                <w:b/>
                <w:sz w:val="18"/>
                <w:szCs w:val="18"/>
              </w:rPr>
            </w:pPr>
            <w:r w:rsidRPr="008C1732">
              <w:rPr>
                <w:b/>
                <w:sz w:val="18"/>
                <w:szCs w:val="18"/>
              </w:rPr>
              <w:t>(2023)</w:t>
            </w:r>
          </w:p>
        </w:tc>
        <w:tc>
          <w:tcPr>
            <w:tcW w:w="747" w:type="dxa"/>
            <w:shd w:val="clear" w:color="auto" w:fill="C6D9F1" w:themeFill="text2" w:themeFillTint="33"/>
          </w:tcPr>
          <w:p w14:paraId="4C3DEE6E" w14:textId="77777777" w:rsidR="00E10737" w:rsidRPr="008C1732" w:rsidRDefault="00E10737" w:rsidP="004179DE">
            <w:pPr>
              <w:ind w:left="0"/>
              <w:rPr>
                <w:b/>
                <w:sz w:val="18"/>
                <w:szCs w:val="18"/>
              </w:rPr>
            </w:pPr>
            <w:r w:rsidRPr="008C1732">
              <w:rPr>
                <w:b/>
                <w:sz w:val="18"/>
                <w:szCs w:val="18"/>
              </w:rPr>
              <w:t>Zdroj údajov</w:t>
            </w:r>
          </w:p>
        </w:tc>
        <w:tc>
          <w:tcPr>
            <w:tcW w:w="1217" w:type="dxa"/>
            <w:shd w:val="clear" w:color="auto" w:fill="C6D9F1" w:themeFill="text2" w:themeFillTint="33"/>
          </w:tcPr>
          <w:p w14:paraId="7EF0C341" w14:textId="77777777" w:rsidR="00E10737" w:rsidRPr="008C1732" w:rsidRDefault="00E10737" w:rsidP="004179DE">
            <w:pPr>
              <w:ind w:left="0"/>
              <w:rPr>
                <w:b/>
                <w:sz w:val="18"/>
                <w:szCs w:val="18"/>
              </w:rPr>
            </w:pPr>
            <w:r w:rsidRPr="008C1732">
              <w:rPr>
                <w:b/>
                <w:sz w:val="18"/>
                <w:szCs w:val="18"/>
              </w:rPr>
              <w:t>Zdôvodnenie výberu ukazovateľa</w:t>
            </w:r>
          </w:p>
        </w:tc>
      </w:tr>
      <w:tr w:rsidR="00E10737" w14:paraId="7806FCB3" w14:textId="77777777" w:rsidTr="004179DE">
        <w:trPr>
          <w:cantSplit/>
          <w:trHeight w:val="1134"/>
          <w:jc w:val="center"/>
        </w:trPr>
        <w:tc>
          <w:tcPr>
            <w:tcW w:w="1476" w:type="dxa"/>
            <w:vAlign w:val="center"/>
          </w:tcPr>
          <w:p w14:paraId="3AF2C24C" w14:textId="77777777" w:rsidR="00E10737" w:rsidRPr="00D9570C" w:rsidRDefault="00E10737" w:rsidP="004179DE">
            <w:pPr>
              <w:ind w:left="0"/>
              <w:rPr>
                <w:i/>
                <w:sz w:val="18"/>
                <w:szCs w:val="18"/>
              </w:rPr>
            </w:pPr>
            <w:r>
              <w:rPr>
                <w:i/>
                <w:sz w:val="18"/>
                <w:szCs w:val="18"/>
              </w:rPr>
              <w:lastRenderedPageBreak/>
              <w:t>kľúčový vykonávací krok</w:t>
            </w:r>
          </w:p>
        </w:tc>
        <w:tc>
          <w:tcPr>
            <w:tcW w:w="429" w:type="dxa"/>
            <w:textDirection w:val="btLr"/>
          </w:tcPr>
          <w:p w14:paraId="0E14A791" w14:textId="77777777" w:rsidR="00E10737" w:rsidRPr="00D9570C" w:rsidRDefault="00E10737" w:rsidP="004179DE">
            <w:pPr>
              <w:ind w:left="113" w:right="113"/>
              <w:jc w:val="center"/>
              <w:rPr>
                <w:sz w:val="18"/>
                <w:szCs w:val="18"/>
              </w:rPr>
            </w:pPr>
            <w:r>
              <w:rPr>
                <w:sz w:val="18"/>
                <w:szCs w:val="18"/>
              </w:rPr>
              <w:t>K0003</w:t>
            </w:r>
          </w:p>
        </w:tc>
        <w:tc>
          <w:tcPr>
            <w:tcW w:w="1576" w:type="dxa"/>
            <w:vAlign w:val="center"/>
          </w:tcPr>
          <w:p w14:paraId="496D23DE" w14:textId="77777777" w:rsidR="00E10737" w:rsidRPr="00D9570C" w:rsidRDefault="00E10737" w:rsidP="004179DE">
            <w:pPr>
              <w:ind w:left="0"/>
              <w:rPr>
                <w:sz w:val="18"/>
                <w:szCs w:val="18"/>
              </w:rPr>
            </w:pPr>
            <w:r w:rsidRPr="00B53EA0">
              <w:rPr>
                <w:sz w:val="18"/>
                <w:szCs w:val="18"/>
              </w:rPr>
              <w:t>Počet zazmluvnených výskumných inštitúcií</w:t>
            </w:r>
          </w:p>
        </w:tc>
        <w:tc>
          <w:tcPr>
            <w:tcW w:w="897" w:type="dxa"/>
            <w:vAlign w:val="center"/>
          </w:tcPr>
          <w:p w14:paraId="7B05CC58" w14:textId="77777777" w:rsidR="00E10737" w:rsidRPr="00D9570C" w:rsidRDefault="00E10737" w:rsidP="004179DE">
            <w:pPr>
              <w:ind w:left="0"/>
              <w:jc w:val="center"/>
              <w:rPr>
                <w:i/>
                <w:sz w:val="18"/>
                <w:szCs w:val="18"/>
              </w:rPr>
            </w:pPr>
            <w:r>
              <w:rPr>
                <w:i/>
                <w:sz w:val="18"/>
                <w:szCs w:val="18"/>
              </w:rPr>
              <w:t>počet</w:t>
            </w:r>
          </w:p>
        </w:tc>
        <w:tc>
          <w:tcPr>
            <w:tcW w:w="656" w:type="dxa"/>
            <w:vAlign w:val="center"/>
          </w:tcPr>
          <w:p w14:paraId="287D3DDD" w14:textId="77777777" w:rsidR="00E10737" w:rsidRPr="00D9570C" w:rsidRDefault="00E10737" w:rsidP="004179DE">
            <w:pPr>
              <w:ind w:left="0"/>
              <w:jc w:val="center"/>
              <w:rPr>
                <w:i/>
                <w:sz w:val="18"/>
                <w:szCs w:val="18"/>
              </w:rPr>
            </w:pPr>
            <w:r>
              <w:rPr>
                <w:i/>
                <w:sz w:val="18"/>
                <w:szCs w:val="18"/>
              </w:rPr>
              <w:t>EFRR</w:t>
            </w:r>
          </w:p>
        </w:tc>
        <w:tc>
          <w:tcPr>
            <w:tcW w:w="986" w:type="dxa"/>
            <w:vAlign w:val="center"/>
          </w:tcPr>
          <w:p w14:paraId="67BAFE5B" w14:textId="77777777" w:rsidR="00E10737" w:rsidRPr="00D9570C" w:rsidRDefault="00E10737" w:rsidP="004179DE">
            <w:pPr>
              <w:ind w:left="0"/>
              <w:jc w:val="center"/>
              <w:rPr>
                <w:i/>
                <w:sz w:val="18"/>
                <w:szCs w:val="18"/>
              </w:rPr>
            </w:pPr>
            <w:r>
              <w:rPr>
                <w:i/>
                <w:sz w:val="18"/>
                <w:szCs w:val="18"/>
              </w:rPr>
              <w:t>Menej rozvinuté regióny</w:t>
            </w:r>
          </w:p>
        </w:tc>
        <w:tc>
          <w:tcPr>
            <w:tcW w:w="987" w:type="dxa"/>
            <w:vAlign w:val="center"/>
          </w:tcPr>
          <w:p w14:paraId="0BBCD64F" w14:textId="77777777" w:rsidR="00E10737" w:rsidRPr="00D9570C" w:rsidRDefault="00E10737" w:rsidP="004179DE">
            <w:pPr>
              <w:ind w:left="0"/>
              <w:jc w:val="center"/>
              <w:rPr>
                <w:i/>
                <w:sz w:val="18"/>
                <w:szCs w:val="18"/>
              </w:rPr>
            </w:pPr>
            <w:r>
              <w:rPr>
                <w:i/>
                <w:sz w:val="18"/>
                <w:szCs w:val="18"/>
              </w:rPr>
              <w:t>120</w:t>
            </w:r>
          </w:p>
        </w:tc>
        <w:tc>
          <w:tcPr>
            <w:tcW w:w="1045" w:type="dxa"/>
            <w:vAlign w:val="center"/>
          </w:tcPr>
          <w:p w14:paraId="667641BB" w14:textId="77777777" w:rsidR="00E10737" w:rsidRPr="00D9570C" w:rsidRDefault="00E10737" w:rsidP="004179DE">
            <w:pPr>
              <w:ind w:left="0"/>
              <w:jc w:val="center"/>
              <w:rPr>
                <w:i/>
                <w:sz w:val="18"/>
                <w:szCs w:val="18"/>
              </w:rPr>
            </w:pPr>
            <w:r>
              <w:rPr>
                <w:i/>
                <w:sz w:val="18"/>
                <w:szCs w:val="18"/>
              </w:rPr>
              <w:t>170</w:t>
            </w:r>
          </w:p>
        </w:tc>
        <w:tc>
          <w:tcPr>
            <w:tcW w:w="747" w:type="dxa"/>
            <w:vAlign w:val="center"/>
          </w:tcPr>
          <w:p w14:paraId="61C48324" w14:textId="77777777" w:rsidR="00E10737" w:rsidRPr="00D9570C" w:rsidRDefault="00E10737" w:rsidP="004179DE">
            <w:pPr>
              <w:ind w:left="0"/>
              <w:jc w:val="center"/>
              <w:rPr>
                <w:i/>
                <w:sz w:val="18"/>
                <w:szCs w:val="18"/>
              </w:rPr>
            </w:pPr>
            <w:r>
              <w:rPr>
                <w:i/>
                <w:sz w:val="18"/>
                <w:szCs w:val="18"/>
              </w:rPr>
              <w:t>ITMS</w:t>
            </w:r>
          </w:p>
        </w:tc>
        <w:tc>
          <w:tcPr>
            <w:tcW w:w="1217" w:type="dxa"/>
            <w:vAlign w:val="center"/>
          </w:tcPr>
          <w:p w14:paraId="4AE7DE9C" w14:textId="77777777" w:rsidR="00E10737" w:rsidRPr="00CF79E0" w:rsidRDefault="00E10737" w:rsidP="004179DE">
            <w:pPr>
              <w:pStyle w:val="TableParagraph"/>
              <w:ind w:left="0"/>
              <w:rPr>
                <w:rFonts w:ascii="Times New Roman" w:eastAsia="Times New Roman" w:hAnsi="Times New Roman" w:cs="Times New Roman"/>
                <w:i/>
                <w:sz w:val="14"/>
                <w:szCs w:val="14"/>
                <w:lang w:val="sk-SK" w:eastAsia="sk-SK"/>
              </w:rPr>
            </w:pPr>
            <w:r w:rsidRPr="00CF79E0">
              <w:rPr>
                <w:rFonts w:ascii="Times New Roman" w:eastAsia="Times New Roman" w:hAnsi="Times New Roman" w:cs="Times New Roman"/>
                <w:i/>
                <w:sz w:val="14"/>
                <w:szCs w:val="14"/>
                <w:lang w:val="sk-SK" w:eastAsia="sk-SK"/>
              </w:rPr>
              <w:t>Keďže hodnoty zámeru, ako aj čiastkového cieľa sú stanovené na ukončené operácie a dĺžka realizácie projektov sa predpokladá 3 – 5</w:t>
            </w:r>
            <w:r>
              <w:rPr>
                <w:rFonts w:ascii="Times New Roman" w:eastAsia="Times New Roman" w:hAnsi="Times New Roman" w:cs="Times New Roman"/>
                <w:i/>
                <w:sz w:val="14"/>
                <w:szCs w:val="14"/>
                <w:lang w:val="sk-SK" w:eastAsia="sk-SK"/>
              </w:rPr>
              <w:t xml:space="preserve"> </w:t>
            </w:r>
            <w:r w:rsidRPr="00CF79E0">
              <w:rPr>
                <w:rFonts w:ascii="Times New Roman" w:eastAsia="Times New Roman" w:hAnsi="Times New Roman" w:cs="Times New Roman"/>
                <w:i/>
                <w:sz w:val="14"/>
                <w:szCs w:val="14"/>
                <w:lang w:val="sk-SK" w:eastAsia="sk-SK"/>
              </w:rPr>
              <w:t>roky, k 31.12.2018 sa nepredpokladajú ukončené operácie resp. iba minimum, z tohto dôvodu bol na určenie čiastkového cieľa zvolený kľúčový</w:t>
            </w:r>
          </w:p>
          <w:p w14:paraId="3C53DB0B" w14:textId="77777777" w:rsidR="00E10737" w:rsidRPr="00D9570C" w:rsidRDefault="00E10737" w:rsidP="004179DE">
            <w:pPr>
              <w:ind w:left="0"/>
              <w:rPr>
                <w:i/>
                <w:sz w:val="18"/>
                <w:szCs w:val="18"/>
              </w:rPr>
            </w:pPr>
            <w:r w:rsidRPr="00CF79E0">
              <w:rPr>
                <w:i/>
                <w:sz w:val="14"/>
                <w:szCs w:val="14"/>
              </w:rPr>
              <w:t>vykonávací krok, ktorý zahŕňa 53,04 % alokácie prioritnej osi</w:t>
            </w:r>
          </w:p>
        </w:tc>
      </w:tr>
      <w:tr w:rsidR="00E10737" w14:paraId="13FFC526" w14:textId="77777777" w:rsidTr="004179DE">
        <w:trPr>
          <w:trHeight w:val="454"/>
          <w:jc w:val="center"/>
        </w:trPr>
        <w:tc>
          <w:tcPr>
            <w:tcW w:w="1476" w:type="dxa"/>
            <w:vAlign w:val="center"/>
          </w:tcPr>
          <w:p w14:paraId="3F1958B6" w14:textId="77777777" w:rsidR="00E10737" w:rsidRPr="00D9570C" w:rsidRDefault="00E10737" w:rsidP="004179DE">
            <w:pPr>
              <w:ind w:left="0"/>
              <w:rPr>
                <w:i/>
                <w:sz w:val="18"/>
                <w:szCs w:val="18"/>
              </w:rPr>
            </w:pPr>
            <w:r>
              <w:rPr>
                <w:i/>
                <w:sz w:val="18"/>
                <w:szCs w:val="18"/>
              </w:rPr>
              <w:t>u</w:t>
            </w:r>
            <w:r w:rsidRPr="00D9570C">
              <w:rPr>
                <w:i/>
                <w:sz w:val="18"/>
                <w:szCs w:val="18"/>
              </w:rPr>
              <w:t>kazovateľ</w:t>
            </w:r>
            <w:r>
              <w:rPr>
                <w:i/>
                <w:sz w:val="18"/>
                <w:szCs w:val="18"/>
              </w:rPr>
              <w:t xml:space="preserve"> výstupu</w:t>
            </w:r>
          </w:p>
        </w:tc>
        <w:tc>
          <w:tcPr>
            <w:tcW w:w="429" w:type="dxa"/>
            <w:textDirection w:val="btLr"/>
          </w:tcPr>
          <w:p w14:paraId="4A6D175B" w14:textId="77777777" w:rsidR="00E10737" w:rsidRPr="00D9570C" w:rsidRDefault="00E10737" w:rsidP="004179DE">
            <w:pPr>
              <w:ind w:left="0"/>
              <w:jc w:val="center"/>
              <w:rPr>
                <w:sz w:val="18"/>
                <w:szCs w:val="18"/>
              </w:rPr>
            </w:pPr>
            <w:r w:rsidRPr="003D0898">
              <w:rPr>
                <w:sz w:val="18"/>
                <w:szCs w:val="18"/>
              </w:rPr>
              <w:t>O0069</w:t>
            </w:r>
          </w:p>
        </w:tc>
        <w:tc>
          <w:tcPr>
            <w:tcW w:w="1576" w:type="dxa"/>
          </w:tcPr>
          <w:p w14:paraId="5625E4B6" w14:textId="77777777" w:rsidR="00E10737" w:rsidRPr="00DA54CE" w:rsidRDefault="00E10737" w:rsidP="004179DE">
            <w:pPr>
              <w:ind w:left="0"/>
              <w:rPr>
                <w:sz w:val="18"/>
                <w:szCs w:val="18"/>
              </w:rPr>
            </w:pPr>
            <w:r w:rsidRPr="00B53EA0">
              <w:rPr>
                <w:sz w:val="18"/>
                <w:szCs w:val="18"/>
              </w:rPr>
              <w:t>Počet podporených výskumných inštitúcií</w:t>
            </w:r>
          </w:p>
        </w:tc>
        <w:tc>
          <w:tcPr>
            <w:tcW w:w="897" w:type="dxa"/>
            <w:vAlign w:val="center"/>
          </w:tcPr>
          <w:p w14:paraId="06C3EE1E" w14:textId="77777777" w:rsidR="00E10737" w:rsidRDefault="00E10737" w:rsidP="004179DE">
            <w:pPr>
              <w:ind w:left="0"/>
              <w:jc w:val="center"/>
              <w:rPr>
                <w:i/>
                <w:sz w:val="18"/>
                <w:szCs w:val="18"/>
              </w:rPr>
            </w:pPr>
            <w:r>
              <w:rPr>
                <w:i/>
                <w:sz w:val="18"/>
                <w:szCs w:val="18"/>
              </w:rPr>
              <w:t>počet</w:t>
            </w:r>
          </w:p>
        </w:tc>
        <w:tc>
          <w:tcPr>
            <w:tcW w:w="656" w:type="dxa"/>
            <w:vAlign w:val="center"/>
          </w:tcPr>
          <w:p w14:paraId="259299C4" w14:textId="77777777" w:rsidR="00E10737" w:rsidRDefault="00E10737" w:rsidP="004179DE">
            <w:pPr>
              <w:ind w:left="0"/>
              <w:jc w:val="center"/>
              <w:rPr>
                <w:i/>
                <w:sz w:val="18"/>
                <w:szCs w:val="18"/>
              </w:rPr>
            </w:pPr>
            <w:r>
              <w:rPr>
                <w:i/>
                <w:sz w:val="18"/>
                <w:szCs w:val="18"/>
              </w:rPr>
              <w:t>EFRR</w:t>
            </w:r>
          </w:p>
        </w:tc>
        <w:tc>
          <w:tcPr>
            <w:tcW w:w="986" w:type="dxa"/>
            <w:vAlign w:val="center"/>
          </w:tcPr>
          <w:p w14:paraId="0421B5C5" w14:textId="77777777" w:rsidR="00E10737" w:rsidRDefault="00E10737" w:rsidP="004179DE">
            <w:pPr>
              <w:ind w:left="0"/>
              <w:jc w:val="center"/>
              <w:rPr>
                <w:i/>
                <w:sz w:val="18"/>
                <w:szCs w:val="18"/>
              </w:rPr>
            </w:pPr>
            <w:r>
              <w:rPr>
                <w:i/>
                <w:sz w:val="18"/>
                <w:szCs w:val="18"/>
              </w:rPr>
              <w:t>Menej rozvinuté regióny</w:t>
            </w:r>
          </w:p>
        </w:tc>
        <w:tc>
          <w:tcPr>
            <w:tcW w:w="987" w:type="dxa"/>
            <w:vAlign w:val="center"/>
          </w:tcPr>
          <w:p w14:paraId="1C46F792" w14:textId="77777777" w:rsidR="00E10737" w:rsidRDefault="00E10737" w:rsidP="004179DE">
            <w:pPr>
              <w:ind w:left="0"/>
              <w:jc w:val="center"/>
              <w:rPr>
                <w:i/>
                <w:sz w:val="18"/>
                <w:szCs w:val="18"/>
              </w:rPr>
            </w:pPr>
            <w:r>
              <w:rPr>
                <w:i/>
                <w:sz w:val="18"/>
                <w:szCs w:val="18"/>
              </w:rPr>
              <w:t>0</w:t>
            </w:r>
          </w:p>
        </w:tc>
        <w:tc>
          <w:tcPr>
            <w:tcW w:w="1045" w:type="dxa"/>
            <w:vAlign w:val="center"/>
          </w:tcPr>
          <w:p w14:paraId="69946DEF" w14:textId="77777777" w:rsidR="00E10737" w:rsidRDefault="00E10737" w:rsidP="004179DE">
            <w:pPr>
              <w:ind w:left="0"/>
              <w:jc w:val="center"/>
              <w:rPr>
                <w:i/>
                <w:sz w:val="18"/>
                <w:szCs w:val="18"/>
              </w:rPr>
            </w:pPr>
            <w:r>
              <w:rPr>
                <w:i/>
                <w:sz w:val="18"/>
                <w:szCs w:val="18"/>
              </w:rPr>
              <w:t>170</w:t>
            </w:r>
          </w:p>
        </w:tc>
        <w:tc>
          <w:tcPr>
            <w:tcW w:w="747" w:type="dxa"/>
            <w:vAlign w:val="center"/>
          </w:tcPr>
          <w:p w14:paraId="7E4A581D" w14:textId="77777777" w:rsidR="00E10737" w:rsidRPr="00D9570C" w:rsidRDefault="00E10737" w:rsidP="004179DE">
            <w:pPr>
              <w:ind w:left="0"/>
              <w:jc w:val="center"/>
              <w:rPr>
                <w:i/>
                <w:sz w:val="18"/>
                <w:szCs w:val="18"/>
              </w:rPr>
            </w:pPr>
            <w:r>
              <w:rPr>
                <w:i/>
                <w:sz w:val="18"/>
                <w:szCs w:val="18"/>
              </w:rPr>
              <w:t>ITMS</w:t>
            </w:r>
          </w:p>
        </w:tc>
        <w:tc>
          <w:tcPr>
            <w:tcW w:w="1217" w:type="dxa"/>
            <w:vAlign w:val="center"/>
          </w:tcPr>
          <w:p w14:paraId="05235F21" w14:textId="77777777" w:rsidR="00E10737" w:rsidRPr="00CF79E0" w:rsidRDefault="00E10737" w:rsidP="004179DE">
            <w:pPr>
              <w:pStyle w:val="TableParagraph"/>
              <w:ind w:left="0"/>
              <w:rPr>
                <w:rFonts w:ascii="Times New Roman" w:eastAsia="Times New Roman" w:hAnsi="Times New Roman" w:cs="Times New Roman"/>
                <w:i/>
                <w:sz w:val="14"/>
                <w:szCs w:val="14"/>
                <w:lang w:val="sk-SK" w:eastAsia="sk-SK"/>
              </w:rPr>
            </w:pPr>
            <w:r w:rsidRPr="00CF79E0">
              <w:rPr>
                <w:rFonts w:ascii="Times New Roman" w:eastAsia="Times New Roman" w:hAnsi="Times New Roman" w:cs="Times New Roman"/>
                <w:i/>
                <w:sz w:val="14"/>
                <w:szCs w:val="14"/>
                <w:lang w:val="sk-SK" w:eastAsia="sk-SK"/>
              </w:rPr>
              <w:t>V rámci väčšiny aktivít tejto prioritnej osi sú podporené</w:t>
            </w:r>
          </w:p>
          <w:p w14:paraId="39051B94" w14:textId="7DB08F16" w:rsidR="00E10737" w:rsidRDefault="00870367" w:rsidP="00870367">
            <w:pPr>
              <w:pStyle w:val="TableParagraph"/>
              <w:ind w:left="0"/>
              <w:rPr>
                <w:i/>
                <w:sz w:val="18"/>
                <w:szCs w:val="18"/>
              </w:rPr>
            </w:pPr>
            <w:r>
              <w:rPr>
                <w:rFonts w:ascii="Times New Roman" w:eastAsia="Times New Roman" w:hAnsi="Times New Roman" w:cs="Times New Roman"/>
                <w:i/>
                <w:sz w:val="14"/>
                <w:szCs w:val="14"/>
                <w:lang w:val="sk-SK" w:eastAsia="sk-SK"/>
              </w:rPr>
              <w:t>v</w:t>
            </w:r>
            <w:r w:rsidR="00E10737" w:rsidRPr="00CF79E0">
              <w:rPr>
                <w:rFonts w:ascii="Times New Roman" w:eastAsia="Times New Roman" w:hAnsi="Times New Roman" w:cs="Times New Roman"/>
                <w:i/>
                <w:sz w:val="14"/>
                <w:szCs w:val="14"/>
                <w:lang w:val="sk-SK" w:eastAsia="sk-SK"/>
              </w:rPr>
              <w:t>ýskumné</w:t>
            </w:r>
            <w:r w:rsidR="00E10737">
              <w:rPr>
                <w:rFonts w:ascii="Times New Roman" w:eastAsia="Times New Roman" w:hAnsi="Times New Roman" w:cs="Times New Roman"/>
                <w:i/>
                <w:sz w:val="14"/>
                <w:szCs w:val="14"/>
                <w:lang w:val="sk-SK" w:eastAsia="sk-SK"/>
              </w:rPr>
              <w:t xml:space="preserve"> </w:t>
            </w:r>
            <w:r w:rsidR="00E10737" w:rsidRPr="00CF79E0">
              <w:rPr>
                <w:rFonts w:ascii="Times New Roman" w:eastAsia="Times New Roman" w:hAnsi="Times New Roman" w:cs="Times New Roman"/>
                <w:i/>
                <w:sz w:val="14"/>
                <w:szCs w:val="14"/>
                <w:lang w:val="sk-SK" w:eastAsia="sk-SK"/>
              </w:rPr>
              <w:t>inštitúcie</w:t>
            </w:r>
          </w:p>
        </w:tc>
      </w:tr>
      <w:tr w:rsidR="00E10737" w14:paraId="5A61B608" w14:textId="77777777" w:rsidTr="004179DE">
        <w:trPr>
          <w:cantSplit/>
          <w:trHeight w:val="1134"/>
          <w:jc w:val="center"/>
        </w:trPr>
        <w:tc>
          <w:tcPr>
            <w:tcW w:w="1476" w:type="dxa"/>
            <w:vAlign w:val="center"/>
          </w:tcPr>
          <w:p w14:paraId="563B081D" w14:textId="77777777" w:rsidR="00E10737" w:rsidRPr="00D9570C" w:rsidRDefault="00E10737" w:rsidP="004179DE">
            <w:pPr>
              <w:ind w:left="0"/>
              <w:rPr>
                <w:sz w:val="18"/>
                <w:szCs w:val="18"/>
              </w:rPr>
            </w:pPr>
            <w:r w:rsidRPr="00D9570C">
              <w:rPr>
                <w:i/>
                <w:sz w:val="18"/>
                <w:szCs w:val="18"/>
              </w:rPr>
              <w:t xml:space="preserve"> finančný ukazovateľ</w:t>
            </w:r>
          </w:p>
        </w:tc>
        <w:tc>
          <w:tcPr>
            <w:tcW w:w="429" w:type="dxa"/>
            <w:textDirection w:val="btLr"/>
          </w:tcPr>
          <w:p w14:paraId="31B31B0D" w14:textId="77777777" w:rsidR="00E10737" w:rsidRPr="00D9570C" w:rsidRDefault="00E10737" w:rsidP="004179DE">
            <w:pPr>
              <w:ind w:left="113" w:right="113"/>
              <w:jc w:val="center"/>
              <w:rPr>
                <w:sz w:val="18"/>
                <w:szCs w:val="18"/>
              </w:rPr>
            </w:pPr>
            <w:r>
              <w:rPr>
                <w:sz w:val="18"/>
                <w:szCs w:val="18"/>
              </w:rPr>
              <w:t>F0002</w:t>
            </w:r>
          </w:p>
        </w:tc>
        <w:tc>
          <w:tcPr>
            <w:tcW w:w="1576" w:type="dxa"/>
          </w:tcPr>
          <w:p w14:paraId="3F218562" w14:textId="77777777" w:rsidR="00E10737" w:rsidRPr="00D9570C" w:rsidRDefault="00E10737" w:rsidP="004179DE">
            <w:pPr>
              <w:ind w:left="0"/>
              <w:rPr>
                <w:sz w:val="18"/>
                <w:szCs w:val="18"/>
              </w:rPr>
            </w:pPr>
            <w:r w:rsidRPr="00652A11">
              <w:rPr>
                <w:sz w:val="18"/>
                <w:szCs w:val="18"/>
              </w:rPr>
              <w:t>Celková suma oprávnených výdavkov po ich certifikácii certifikačným orgánom</w:t>
            </w:r>
            <w:r>
              <w:rPr>
                <w:sz w:val="18"/>
                <w:szCs w:val="18"/>
              </w:rPr>
              <w:t xml:space="preserve"> a predložení žiadostí o platby Európskej komisii</w:t>
            </w:r>
          </w:p>
        </w:tc>
        <w:tc>
          <w:tcPr>
            <w:tcW w:w="897" w:type="dxa"/>
            <w:vAlign w:val="center"/>
          </w:tcPr>
          <w:p w14:paraId="0406DB45" w14:textId="77777777" w:rsidR="00E10737" w:rsidRPr="00D9570C" w:rsidRDefault="00E10737" w:rsidP="004179DE">
            <w:pPr>
              <w:ind w:left="0"/>
              <w:jc w:val="center"/>
              <w:rPr>
                <w:i/>
                <w:sz w:val="18"/>
                <w:szCs w:val="18"/>
              </w:rPr>
            </w:pPr>
            <w:r>
              <w:rPr>
                <w:i/>
                <w:sz w:val="18"/>
                <w:szCs w:val="18"/>
              </w:rPr>
              <w:t>EUR</w:t>
            </w:r>
          </w:p>
        </w:tc>
        <w:tc>
          <w:tcPr>
            <w:tcW w:w="656" w:type="dxa"/>
            <w:vAlign w:val="center"/>
          </w:tcPr>
          <w:p w14:paraId="1616914E" w14:textId="77777777" w:rsidR="00E10737" w:rsidRPr="00D9570C" w:rsidRDefault="00E10737" w:rsidP="004179DE">
            <w:pPr>
              <w:ind w:left="0"/>
              <w:jc w:val="center"/>
              <w:rPr>
                <w:i/>
                <w:sz w:val="18"/>
                <w:szCs w:val="18"/>
              </w:rPr>
            </w:pPr>
            <w:r>
              <w:rPr>
                <w:i/>
                <w:sz w:val="18"/>
                <w:szCs w:val="18"/>
              </w:rPr>
              <w:t>EFRR</w:t>
            </w:r>
          </w:p>
        </w:tc>
        <w:tc>
          <w:tcPr>
            <w:tcW w:w="986" w:type="dxa"/>
            <w:vAlign w:val="center"/>
          </w:tcPr>
          <w:p w14:paraId="7AD10964" w14:textId="77777777" w:rsidR="00E10737" w:rsidRPr="00D9570C" w:rsidRDefault="00E10737" w:rsidP="004179DE">
            <w:pPr>
              <w:ind w:left="0"/>
              <w:jc w:val="center"/>
              <w:rPr>
                <w:i/>
                <w:sz w:val="18"/>
                <w:szCs w:val="18"/>
              </w:rPr>
            </w:pPr>
            <w:r>
              <w:rPr>
                <w:i/>
                <w:sz w:val="18"/>
                <w:szCs w:val="18"/>
              </w:rPr>
              <w:t>Menej rozvinuté regióny</w:t>
            </w:r>
          </w:p>
        </w:tc>
        <w:tc>
          <w:tcPr>
            <w:tcW w:w="987" w:type="dxa"/>
            <w:vAlign w:val="center"/>
          </w:tcPr>
          <w:p w14:paraId="40623A0A" w14:textId="77777777" w:rsidR="00E10737" w:rsidRPr="00D9570C" w:rsidRDefault="00E10737" w:rsidP="004179DE">
            <w:pPr>
              <w:ind w:left="0"/>
              <w:jc w:val="center"/>
              <w:rPr>
                <w:i/>
                <w:sz w:val="18"/>
                <w:szCs w:val="18"/>
              </w:rPr>
            </w:pPr>
            <w:r w:rsidRPr="00B53EA0">
              <w:rPr>
                <w:i/>
                <w:sz w:val="18"/>
                <w:szCs w:val="18"/>
              </w:rPr>
              <w:t>691 586 749</w:t>
            </w:r>
          </w:p>
        </w:tc>
        <w:tc>
          <w:tcPr>
            <w:tcW w:w="1045" w:type="dxa"/>
            <w:vAlign w:val="center"/>
          </w:tcPr>
          <w:p w14:paraId="13595D17" w14:textId="61A14FC4" w:rsidR="00E10737" w:rsidRPr="00D9570C" w:rsidRDefault="000468FB" w:rsidP="000468FB">
            <w:pPr>
              <w:ind w:left="0"/>
              <w:jc w:val="center"/>
              <w:rPr>
                <w:i/>
                <w:sz w:val="18"/>
                <w:szCs w:val="18"/>
              </w:rPr>
            </w:pPr>
            <w:r>
              <w:rPr>
                <w:i/>
                <w:sz w:val="18"/>
                <w:szCs w:val="18"/>
              </w:rPr>
              <w:t>2 156 200 368</w:t>
            </w:r>
          </w:p>
        </w:tc>
        <w:tc>
          <w:tcPr>
            <w:tcW w:w="747" w:type="dxa"/>
            <w:vAlign w:val="center"/>
          </w:tcPr>
          <w:p w14:paraId="6654EB75" w14:textId="77777777" w:rsidR="00E10737" w:rsidRPr="00D9570C" w:rsidRDefault="00E10737" w:rsidP="004179DE">
            <w:pPr>
              <w:ind w:left="0"/>
              <w:jc w:val="center"/>
              <w:rPr>
                <w:i/>
                <w:sz w:val="18"/>
                <w:szCs w:val="18"/>
              </w:rPr>
            </w:pPr>
            <w:r w:rsidRPr="00B53EA0">
              <w:rPr>
                <w:i/>
                <w:sz w:val="18"/>
                <w:szCs w:val="18"/>
              </w:rPr>
              <w:t>ITMS/ CO (MF</w:t>
            </w:r>
            <w:r>
              <w:rPr>
                <w:i/>
                <w:sz w:val="18"/>
                <w:szCs w:val="18"/>
              </w:rPr>
              <w:t xml:space="preserve"> </w:t>
            </w:r>
            <w:r w:rsidRPr="00B53EA0">
              <w:rPr>
                <w:i/>
                <w:sz w:val="18"/>
                <w:szCs w:val="18"/>
              </w:rPr>
              <w:t>SR)</w:t>
            </w:r>
          </w:p>
        </w:tc>
        <w:tc>
          <w:tcPr>
            <w:tcW w:w="1217" w:type="dxa"/>
            <w:vAlign w:val="center"/>
          </w:tcPr>
          <w:p w14:paraId="62D9D8DE" w14:textId="77777777" w:rsidR="00E10737" w:rsidRPr="00D9570C" w:rsidRDefault="00E10737" w:rsidP="004179DE">
            <w:pPr>
              <w:ind w:left="0"/>
              <w:jc w:val="center"/>
              <w:rPr>
                <w:i/>
                <w:sz w:val="18"/>
                <w:szCs w:val="18"/>
              </w:rPr>
            </w:pPr>
          </w:p>
        </w:tc>
      </w:tr>
    </w:tbl>
    <w:p w14:paraId="719134A2" w14:textId="77777777" w:rsidR="00E10737" w:rsidRDefault="00E10737" w:rsidP="00E10737">
      <w:pPr>
        <w:jc w:val="both"/>
      </w:pPr>
    </w:p>
    <w:p w14:paraId="6A9D21FC" w14:textId="77777777" w:rsidR="00E10737" w:rsidRPr="00A859F8" w:rsidRDefault="00E10737" w:rsidP="00A859F8">
      <w:pPr>
        <w:pStyle w:val="Nadpis4"/>
      </w:pPr>
      <w:r w:rsidRPr="00A859F8">
        <w:t>Predpokladaný vývoj finančného pokroku na prioritnej osi 9</w:t>
      </w:r>
    </w:p>
    <w:p w14:paraId="6FEAE508" w14:textId="2AD8D280" w:rsidR="004B4E3B" w:rsidRPr="00351D17" w:rsidRDefault="00A859F8" w:rsidP="00351D17">
      <w:pPr>
        <w:pStyle w:val="Zkladntext"/>
        <w:spacing w:line="20" w:lineRule="atLeast"/>
        <w:jc w:val="both"/>
        <w:rPr>
          <w:sz w:val="22"/>
          <w:szCs w:val="22"/>
        </w:rPr>
      </w:pPr>
      <w:bookmarkStart w:id="99" w:name="_Toc21945912"/>
      <w:r>
        <w:rPr>
          <w:sz w:val="22"/>
          <w:szCs w:val="22"/>
        </w:rPr>
        <w:t>Pozri Prílohu 21</w:t>
      </w:r>
      <w:r w:rsidR="004B4E3B" w:rsidRPr="00351D17">
        <w:rPr>
          <w:sz w:val="22"/>
          <w:szCs w:val="22"/>
        </w:rPr>
        <w:t>.</w:t>
      </w:r>
    </w:p>
    <w:p w14:paraId="37465600" w14:textId="18F1555A" w:rsidR="00E10737" w:rsidRPr="00AF51CC" w:rsidRDefault="00E10737" w:rsidP="00E10737">
      <w:pPr>
        <w:pStyle w:val="Nadpis3"/>
      </w:pPr>
      <w:bookmarkStart w:id="100" w:name="_Toc28951645"/>
      <w:r w:rsidRPr="00AF51CC">
        <w:t>Kategórie intervencií</w:t>
      </w:r>
      <w:bookmarkEnd w:id="99"/>
      <w:bookmarkEnd w:id="100"/>
    </w:p>
    <w:p w14:paraId="205E1E96"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787939D7" w14:textId="77777777" w:rsidTr="004179DE">
        <w:trPr>
          <w:trHeight w:val="255"/>
          <w:jc w:val="center"/>
        </w:trPr>
        <w:tc>
          <w:tcPr>
            <w:tcW w:w="9072" w:type="dxa"/>
            <w:gridSpan w:val="3"/>
            <w:shd w:val="clear" w:color="auto" w:fill="DBE5F1"/>
            <w:vAlign w:val="center"/>
          </w:tcPr>
          <w:p w14:paraId="55C81923"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E10737" w:rsidRPr="003A7F56" w14:paraId="2D15305F" w14:textId="77777777" w:rsidTr="004179DE">
        <w:trPr>
          <w:trHeight w:val="255"/>
          <w:jc w:val="center"/>
        </w:trPr>
        <w:tc>
          <w:tcPr>
            <w:tcW w:w="4912" w:type="dxa"/>
            <w:shd w:val="clear" w:color="auto" w:fill="DBE5F1"/>
            <w:vAlign w:val="center"/>
          </w:tcPr>
          <w:p w14:paraId="5DACDD0C"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4BA8FD96"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1DFEA32F" w14:textId="77777777" w:rsidTr="004179DE">
        <w:trPr>
          <w:trHeight w:val="255"/>
          <w:jc w:val="center"/>
        </w:trPr>
        <w:tc>
          <w:tcPr>
            <w:tcW w:w="4912" w:type="dxa"/>
            <w:shd w:val="clear" w:color="auto" w:fill="DBE5F1"/>
            <w:vAlign w:val="center"/>
          </w:tcPr>
          <w:p w14:paraId="20ED6DED"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4F9EE687"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288394AF" w14:textId="77777777" w:rsidTr="004179DE">
        <w:trPr>
          <w:trHeight w:val="255"/>
          <w:jc w:val="center"/>
        </w:trPr>
        <w:tc>
          <w:tcPr>
            <w:tcW w:w="4912" w:type="dxa"/>
            <w:shd w:val="clear" w:color="auto" w:fill="auto"/>
            <w:vAlign w:val="center"/>
          </w:tcPr>
          <w:p w14:paraId="4CC70941"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ABAF1E3"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40DE3AD3"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04A37BC1" w14:textId="77777777" w:rsidTr="004179DE">
        <w:trPr>
          <w:trHeight w:val="255"/>
          <w:jc w:val="center"/>
        </w:trPr>
        <w:tc>
          <w:tcPr>
            <w:tcW w:w="4912" w:type="dxa"/>
            <w:vMerge w:val="restart"/>
            <w:shd w:val="clear" w:color="auto" w:fill="auto"/>
            <w:vAlign w:val="center"/>
          </w:tcPr>
          <w:p w14:paraId="5AEBC3DB"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9</w:t>
            </w:r>
            <w:r w:rsidRPr="003A7F56">
              <w:rPr>
                <w:rFonts w:ascii="TimesNewRoman" w:hAnsi="TimesNewRoman" w:cs="TimesNewRoman"/>
                <w:sz w:val="20"/>
                <w:szCs w:val="20"/>
              </w:rPr>
              <w:t xml:space="preserve"> – </w:t>
            </w:r>
            <w:r w:rsidRPr="00F72E4C">
              <w:rPr>
                <w:rFonts w:ascii="TimesNewRoman" w:hAnsi="TimesNewRoman" w:cs="TimesNewRoman"/>
                <w:sz w:val="20"/>
                <w:szCs w:val="20"/>
              </w:rPr>
              <w:t>Podpora výskumu, vývoja a inovácií</w:t>
            </w:r>
          </w:p>
        </w:tc>
        <w:tc>
          <w:tcPr>
            <w:tcW w:w="2120" w:type="dxa"/>
            <w:shd w:val="clear" w:color="auto" w:fill="auto"/>
            <w:vAlign w:val="center"/>
          </w:tcPr>
          <w:p w14:paraId="21C590F0" w14:textId="77777777" w:rsidR="00E10737" w:rsidRPr="00F72E4C" w:rsidRDefault="00E10737" w:rsidP="004179DE">
            <w:pPr>
              <w:autoSpaceDE w:val="0"/>
              <w:autoSpaceDN w:val="0"/>
              <w:adjustRightInd w:val="0"/>
              <w:jc w:val="center"/>
              <w:rPr>
                <w:sz w:val="20"/>
                <w:szCs w:val="20"/>
              </w:rPr>
            </w:pPr>
            <w:r w:rsidRPr="00F72E4C">
              <w:rPr>
                <w:sz w:val="18"/>
              </w:rPr>
              <w:t>001</w:t>
            </w:r>
          </w:p>
        </w:tc>
        <w:tc>
          <w:tcPr>
            <w:tcW w:w="2040" w:type="dxa"/>
            <w:shd w:val="clear" w:color="auto" w:fill="auto"/>
            <w:vAlign w:val="center"/>
          </w:tcPr>
          <w:p w14:paraId="3355FBA3" w14:textId="77777777" w:rsidR="00E10737" w:rsidRPr="004B4E3B" w:rsidRDefault="00E10737" w:rsidP="004179DE">
            <w:pPr>
              <w:autoSpaceDE w:val="0"/>
              <w:autoSpaceDN w:val="0"/>
              <w:adjustRightInd w:val="0"/>
              <w:jc w:val="center"/>
              <w:rPr>
                <w:sz w:val="18"/>
                <w:szCs w:val="18"/>
              </w:rPr>
            </w:pPr>
            <w:r w:rsidRPr="004B4E3B">
              <w:rPr>
                <w:w w:val="110"/>
                <w:sz w:val="18"/>
                <w:szCs w:val="18"/>
              </w:rPr>
              <w:t>86</w:t>
            </w:r>
            <w:r w:rsidRPr="004B4E3B">
              <w:rPr>
                <w:spacing w:val="-7"/>
                <w:w w:val="110"/>
                <w:sz w:val="18"/>
                <w:szCs w:val="18"/>
              </w:rPr>
              <w:t xml:space="preserve"> </w:t>
            </w:r>
            <w:r w:rsidRPr="004B4E3B">
              <w:rPr>
                <w:w w:val="110"/>
                <w:sz w:val="18"/>
                <w:szCs w:val="18"/>
              </w:rPr>
              <w:t>357</w:t>
            </w:r>
            <w:r w:rsidRPr="004B4E3B">
              <w:rPr>
                <w:spacing w:val="-6"/>
                <w:w w:val="110"/>
                <w:sz w:val="18"/>
                <w:szCs w:val="18"/>
              </w:rPr>
              <w:t xml:space="preserve"> </w:t>
            </w:r>
            <w:r w:rsidRPr="004B4E3B">
              <w:rPr>
                <w:w w:val="110"/>
                <w:sz w:val="18"/>
                <w:szCs w:val="18"/>
              </w:rPr>
              <w:t>301,00</w:t>
            </w:r>
          </w:p>
        </w:tc>
      </w:tr>
      <w:tr w:rsidR="00E10737" w:rsidRPr="003A7F56" w14:paraId="3EC7422C" w14:textId="77777777" w:rsidTr="004179DE">
        <w:trPr>
          <w:trHeight w:val="255"/>
          <w:jc w:val="center"/>
        </w:trPr>
        <w:tc>
          <w:tcPr>
            <w:tcW w:w="4912" w:type="dxa"/>
            <w:vMerge/>
            <w:shd w:val="clear" w:color="auto" w:fill="auto"/>
            <w:vAlign w:val="center"/>
          </w:tcPr>
          <w:p w14:paraId="0ECF3EE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FAE038F" w14:textId="77777777" w:rsidR="00E10737" w:rsidRPr="00F72E4C" w:rsidRDefault="00E10737" w:rsidP="004179DE">
            <w:pPr>
              <w:autoSpaceDE w:val="0"/>
              <w:autoSpaceDN w:val="0"/>
              <w:adjustRightInd w:val="0"/>
              <w:jc w:val="center"/>
              <w:rPr>
                <w:sz w:val="20"/>
                <w:szCs w:val="20"/>
              </w:rPr>
            </w:pPr>
            <w:r w:rsidRPr="00F72E4C">
              <w:rPr>
                <w:sz w:val="18"/>
              </w:rPr>
              <w:t>002</w:t>
            </w:r>
          </w:p>
        </w:tc>
        <w:tc>
          <w:tcPr>
            <w:tcW w:w="2040" w:type="dxa"/>
            <w:shd w:val="clear" w:color="auto" w:fill="auto"/>
            <w:vAlign w:val="center"/>
          </w:tcPr>
          <w:p w14:paraId="11CB4949" w14:textId="77777777" w:rsidR="00E10737" w:rsidRPr="004B4E3B" w:rsidRDefault="00E10737" w:rsidP="004179DE">
            <w:pPr>
              <w:autoSpaceDE w:val="0"/>
              <w:autoSpaceDN w:val="0"/>
              <w:adjustRightInd w:val="0"/>
              <w:jc w:val="center"/>
              <w:rPr>
                <w:sz w:val="18"/>
                <w:szCs w:val="18"/>
                <w:lang w:val="en-US"/>
              </w:rPr>
            </w:pPr>
            <w:r w:rsidRPr="004B4E3B">
              <w:rPr>
                <w:w w:val="110"/>
                <w:sz w:val="18"/>
                <w:szCs w:val="18"/>
              </w:rPr>
              <w:t>104 815 771,00</w:t>
            </w:r>
          </w:p>
        </w:tc>
      </w:tr>
      <w:tr w:rsidR="00E10737" w:rsidRPr="003A7F56" w14:paraId="3CE8EBCF" w14:textId="77777777" w:rsidTr="004179DE">
        <w:trPr>
          <w:trHeight w:val="255"/>
          <w:jc w:val="center"/>
        </w:trPr>
        <w:tc>
          <w:tcPr>
            <w:tcW w:w="4912" w:type="dxa"/>
            <w:vMerge/>
            <w:shd w:val="clear" w:color="auto" w:fill="auto"/>
            <w:vAlign w:val="center"/>
          </w:tcPr>
          <w:p w14:paraId="7D4264DA"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723FB59" w14:textId="77777777" w:rsidR="00E10737" w:rsidRPr="00F72E4C" w:rsidRDefault="00E10737" w:rsidP="004179DE">
            <w:pPr>
              <w:autoSpaceDE w:val="0"/>
              <w:autoSpaceDN w:val="0"/>
              <w:adjustRightInd w:val="0"/>
              <w:jc w:val="center"/>
              <w:rPr>
                <w:sz w:val="20"/>
                <w:szCs w:val="20"/>
              </w:rPr>
            </w:pPr>
            <w:r w:rsidRPr="00F72E4C">
              <w:rPr>
                <w:sz w:val="18"/>
              </w:rPr>
              <w:t>004</w:t>
            </w:r>
          </w:p>
        </w:tc>
        <w:tc>
          <w:tcPr>
            <w:tcW w:w="2040" w:type="dxa"/>
            <w:shd w:val="clear" w:color="auto" w:fill="auto"/>
            <w:vAlign w:val="center"/>
          </w:tcPr>
          <w:p w14:paraId="3A6E84C9" w14:textId="77777777" w:rsidR="00E10737" w:rsidRPr="004B4E3B" w:rsidRDefault="00E10737" w:rsidP="004179DE">
            <w:pPr>
              <w:autoSpaceDE w:val="0"/>
              <w:autoSpaceDN w:val="0"/>
              <w:adjustRightInd w:val="0"/>
              <w:jc w:val="center"/>
              <w:rPr>
                <w:sz w:val="18"/>
                <w:szCs w:val="18"/>
                <w:lang w:val="en-US"/>
              </w:rPr>
            </w:pPr>
            <w:r w:rsidRPr="004B4E3B">
              <w:rPr>
                <w:w w:val="110"/>
                <w:sz w:val="18"/>
                <w:szCs w:val="18"/>
              </w:rPr>
              <w:t>7</w:t>
            </w:r>
            <w:r w:rsidRPr="004B4E3B">
              <w:rPr>
                <w:spacing w:val="-8"/>
                <w:w w:val="110"/>
                <w:sz w:val="18"/>
                <w:szCs w:val="18"/>
              </w:rPr>
              <w:t xml:space="preserve"> </w:t>
            </w:r>
            <w:r w:rsidRPr="004B4E3B">
              <w:rPr>
                <w:w w:val="110"/>
                <w:sz w:val="18"/>
                <w:szCs w:val="18"/>
              </w:rPr>
              <w:t>984</w:t>
            </w:r>
            <w:r w:rsidRPr="004B4E3B">
              <w:rPr>
                <w:spacing w:val="-7"/>
                <w:w w:val="110"/>
                <w:sz w:val="18"/>
                <w:szCs w:val="18"/>
              </w:rPr>
              <w:t xml:space="preserve"> </w:t>
            </w:r>
            <w:r w:rsidRPr="004B4E3B">
              <w:rPr>
                <w:w w:val="110"/>
                <w:sz w:val="18"/>
                <w:szCs w:val="18"/>
              </w:rPr>
              <w:t>984,00</w:t>
            </w:r>
          </w:p>
        </w:tc>
      </w:tr>
      <w:tr w:rsidR="00E10737" w:rsidRPr="003A7F56" w14:paraId="5E7E6B24" w14:textId="77777777" w:rsidTr="004179DE">
        <w:trPr>
          <w:trHeight w:val="255"/>
          <w:jc w:val="center"/>
        </w:trPr>
        <w:tc>
          <w:tcPr>
            <w:tcW w:w="4912" w:type="dxa"/>
            <w:vMerge/>
            <w:shd w:val="clear" w:color="auto" w:fill="auto"/>
            <w:vAlign w:val="center"/>
          </w:tcPr>
          <w:p w14:paraId="4EAB4767"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BDF2724" w14:textId="77777777" w:rsidR="00E10737" w:rsidRPr="00F72E4C" w:rsidRDefault="00E10737" w:rsidP="004179DE">
            <w:pPr>
              <w:autoSpaceDE w:val="0"/>
              <w:autoSpaceDN w:val="0"/>
              <w:adjustRightInd w:val="0"/>
              <w:jc w:val="center"/>
              <w:rPr>
                <w:sz w:val="20"/>
                <w:szCs w:val="20"/>
              </w:rPr>
            </w:pPr>
            <w:r w:rsidRPr="00F72E4C">
              <w:rPr>
                <w:w w:val="110"/>
                <w:sz w:val="18"/>
              </w:rPr>
              <w:t>056</w:t>
            </w:r>
          </w:p>
        </w:tc>
        <w:tc>
          <w:tcPr>
            <w:tcW w:w="2040" w:type="dxa"/>
            <w:shd w:val="clear" w:color="auto" w:fill="auto"/>
            <w:vAlign w:val="center"/>
          </w:tcPr>
          <w:p w14:paraId="5AED590F" w14:textId="6E061CEE" w:rsidR="00E10737" w:rsidRPr="004B4E3B" w:rsidRDefault="000468FB" w:rsidP="000468FB">
            <w:pPr>
              <w:autoSpaceDE w:val="0"/>
              <w:autoSpaceDN w:val="0"/>
              <w:adjustRightInd w:val="0"/>
              <w:jc w:val="center"/>
              <w:rPr>
                <w:sz w:val="18"/>
                <w:szCs w:val="18"/>
              </w:rPr>
            </w:pPr>
            <w:r>
              <w:rPr>
                <w:w w:val="110"/>
                <w:sz w:val="18"/>
                <w:szCs w:val="18"/>
              </w:rPr>
              <w:t>172 322 985,13</w:t>
            </w:r>
            <w:r w:rsidR="004B4E3B" w:rsidRPr="004B4E3B">
              <w:rPr>
                <w:w w:val="110"/>
                <w:sz w:val="18"/>
                <w:szCs w:val="18"/>
              </w:rPr>
              <w:t xml:space="preserve"> </w:t>
            </w:r>
          </w:p>
        </w:tc>
      </w:tr>
      <w:tr w:rsidR="00E10737" w:rsidRPr="003A7F56" w14:paraId="6BC8C99D" w14:textId="77777777" w:rsidTr="004179DE">
        <w:trPr>
          <w:trHeight w:val="255"/>
          <w:jc w:val="center"/>
        </w:trPr>
        <w:tc>
          <w:tcPr>
            <w:tcW w:w="4912" w:type="dxa"/>
            <w:vMerge/>
            <w:shd w:val="clear" w:color="auto" w:fill="auto"/>
            <w:vAlign w:val="center"/>
          </w:tcPr>
          <w:p w14:paraId="32E123F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22E6792" w14:textId="77777777" w:rsidR="00E10737" w:rsidRPr="00F72E4C" w:rsidRDefault="00E10737" w:rsidP="004179DE">
            <w:pPr>
              <w:autoSpaceDE w:val="0"/>
              <w:autoSpaceDN w:val="0"/>
              <w:adjustRightInd w:val="0"/>
              <w:jc w:val="center"/>
              <w:rPr>
                <w:sz w:val="20"/>
                <w:szCs w:val="20"/>
              </w:rPr>
            </w:pPr>
            <w:r w:rsidRPr="00F72E4C">
              <w:rPr>
                <w:w w:val="110"/>
                <w:sz w:val="18"/>
              </w:rPr>
              <w:t>057</w:t>
            </w:r>
          </w:p>
        </w:tc>
        <w:tc>
          <w:tcPr>
            <w:tcW w:w="2040" w:type="dxa"/>
            <w:shd w:val="clear" w:color="auto" w:fill="auto"/>
            <w:vAlign w:val="center"/>
          </w:tcPr>
          <w:p w14:paraId="49480A87" w14:textId="7E430C9B" w:rsidR="00E10737" w:rsidRPr="004B4E3B" w:rsidRDefault="000468FB" w:rsidP="000468FB">
            <w:pPr>
              <w:autoSpaceDE w:val="0"/>
              <w:autoSpaceDN w:val="0"/>
              <w:adjustRightInd w:val="0"/>
              <w:jc w:val="center"/>
              <w:rPr>
                <w:sz w:val="18"/>
                <w:szCs w:val="18"/>
              </w:rPr>
            </w:pPr>
            <w:r>
              <w:rPr>
                <w:w w:val="110"/>
                <w:sz w:val="18"/>
                <w:szCs w:val="18"/>
              </w:rPr>
              <w:t>123 228 766,75</w:t>
            </w:r>
          </w:p>
        </w:tc>
      </w:tr>
      <w:tr w:rsidR="00E10737" w:rsidRPr="003A7F56" w14:paraId="39E37598" w14:textId="77777777" w:rsidTr="004179DE">
        <w:trPr>
          <w:trHeight w:val="255"/>
          <w:jc w:val="center"/>
        </w:trPr>
        <w:tc>
          <w:tcPr>
            <w:tcW w:w="4912" w:type="dxa"/>
            <w:vMerge/>
            <w:shd w:val="clear" w:color="auto" w:fill="auto"/>
            <w:vAlign w:val="center"/>
          </w:tcPr>
          <w:p w14:paraId="10EB847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644DF5C" w14:textId="77777777" w:rsidR="00E10737" w:rsidRPr="00F72E4C" w:rsidRDefault="00E10737" w:rsidP="004179DE">
            <w:pPr>
              <w:autoSpaceDE w:val="0"/>
              <w:autoSpaceDN w:val="0"/>
              <w:adjustRightInd w:val="0"/>
              <w:jc w:val="center"/>
              <w:rPr>
                <w:sz w:val="20"/>
                <w:szCs w:val="20"/>
              </w:rPr>
            </w:pPr>
            <w:r w:rsidRPr="00F72E4C">
              <w:rPr>
                <w:w w:val="110"/>
                <w:sz w:val="18"/>
              </w:rPr>
              <w:t>058</w:t>
            </w:r>
          </w:p>
        </w:tc>
        <w:tc>
          <w:tcPr>
            <w:tcW w:w="2040" w:type="dxa"/>
            <w:shd w:val="clear" w:color="auto" w:fill="auto"/>
            <w:vAlign w:val="center"/>
          </w:tcPr>
          <w:p w14:paraId="0B398D03" w14:textId="6CF601E3" w:rsidR="00E10737" w:rsidRPr="004B4E3B" w:rsidRDefault="000468FB" w:rsidP="000468FB">
            <w:pPr>
              <w:autoSpaceDE w:val="0"/>
              <w:autoSpaceDN w:val="0"/>
              <w:adjustRightInd w:val="0"/>
              <w:jc w:val="center"/>
              <w:rPr>
                <w:sz w:val="18"/>
                <w:szCs w:val="18"/>
              </w:rPr>
            </w:pPr>
            <w:r>
              <w:rPr>
                <w:w w:val="110"/>
                <w:sz w:val="18"/>
                <w:szCs w:val="18"/>
              </w:rPr>
              <w:t>239 842 944,77</w:t>
            </w:r>
          </w:p>
        </w:tc>
      </w:tr>
      <w:tr w:rsidR="00E10737" w:rsidRPr="003A7F56" w14:paraId="4DC001B6" w14:textId="77777777" w:rsidTr="004179DE">
        <w:trPr>
          <w:trHeight w:val="255"/>
          <w:jc w:val="center"/>
        </w:trPr>
        <w:tc>
          <w:tcPr>
            <w:tcW w:w="4912" w:type="dxa"/>
            <w:vMerge/>
            <w:shd w:val="clear" w:color="auto" w:fill="auto"/>
            <w:vAlign w:val="center"/>
          </w:tcPr>
          <w:p w14:paraId="6623295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DF53E93" w14:textId="77777777" w:rsidR="00E10737" w:rsidRPr="00F72E4C" w:rsidRDefault="00E10737" w:rsidP="004179DE">
            <w:pPr>
              <w:autoSpaceDE w:val="0"/>
              <w:autoSpaceDN w:val="0"/>
              <w:adjustRightInd w:val="0"/>
              <w:jc w:val="center"/>
              <w:rPr>
                <w:sz w:val="20"/>
                <w:szCs w:val="20"/>
              </w:rPr>
            </w:pPr>
            <w:r w:rsidRPr="00F72E4C">
              <w:rPr>
                <w:w w:val="110"/>
                <w:sz w:val="18"/>
              </w:rPr>
              <w:t>059</w:t>
            </w:r>
          </w:p>
        </w:tc>
        <w:tc>
          <w:tcPr>
            <w:tcW w:w="2040" w:type="dxa"/>
            <w:shd w:val="clear" w:color="auto" w:fill="auto"/>
            <w:vAlign w:val="center"/>
          </w:tcPr>
          <w:p w14:paraId="746E7D0B" w14:textId="34B35EAC" w:rsidR="00E10737" w:rsidRPr="004B4E3B" w:rsidRDefault="000468FB" w:rsidP="000468FB">
            <w:pPr>
              <w:autoSpaceDE w:val="0"/>
              <w:autoSpaceDN w:val="0"/>
              <w:adjustRightInd w:val="0"/>
              <w:jc w:val="center"/>
              <w:rPr>
                <w:sz w:val="18"/>
                <w:szCs w:val="18"/>
              </w:rPr>
            </w:pPr>
            <w:r>
              <w:rPr>
                <w:sz w:val="18"/>
                <w:szCs w:val="18"/>
              </w:rPr>
              <w:t>62 549 218,89</w:t>
            </w:r>
          </w:p>
        </w:tc>
      </w:tr>
      <w:tr w:rsidR="00E10737" w:rsidRPr="003A7F56" w14:paraId="02531E32" w14:textId="77777777" w:rsidTr="004179DE">
        <w:trPr>
          <w:trHeight w:val="255"/>
          <w:jc w:val="center"/>
        </w:trPr>
        <w:tc>
          <w:tcPr>
            <w:tcW w:w="4912" w:type="dxa"/>
            <w:vMerge/>
            <w:shd w:val="clear" w:color="auto" w:fill="auto"/>
            <w:vAlign w:val="center"/>
          </w:tcPr>
          <w:p w14:paraId="5A0E808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9668E77" w14:textId="77777777" w:rsidR="00E10737" w:rsidRPr="00F72E4C" w:rsidRDefault="00E10737" w:rsidP="004179DE">
            <w:pPr>
              <w:autoSpaceDE w:val="0"/>
              <w:autoSpaceDN w:val="0"/>
              <w:adjustRightInd w:val="0"/>
              <w:jc w:val="center"/>
              <w:rPr>
                <w:sz w:val="20"/>
                <w:szCs w:val="20"/>
              </w:rPr>
            </w:pPr>
            <w:r w:rsidRPr="00F72E4C">
              <w:rPr>
                <w:sz w:val="18"/>
              </w:rPr>
              <w:t>060</w:t>
            </w:r>
          </w:p>
        </w:tc>
        <w:tc>
          <w:tcPr>
            <w:tcW w:w="2040" w:type="dxa"/>
            <w:shd w:val="clear" w:color="auto" w:fill="auto"/>
            <w:vAlign w:val="center"/>
          </w:tcPr>
          <w:p w14:paraId="6E7464FD" w14:textId="6043B40A" w:rsidR="00E10737" w:rsidRPr="004B4E3B" w:rsidRDefault="000468FB" w:rsidP="000468FB">
            <w:pPr>
              <w:autoSpaceDE w:val="0"/>
              <w:autoSpaceDN w:val="0"/>
              <w:adjustRightInd w:val="0"/>
              <w:jc w:val="center"/>
              <w:rPr>
                <w:sz w:val="18"/>
                <w:szCs w:val="18"/>
              </w:rPr>
            </w:pPr>
            <w:r>
              <w:rPr>
                <w:sz w:val="18"/>
                <w:szCs w:val="18"/>
              </w:rPr>
              <w:t>114 591 251,69</w:t>
            </w:r>
          </w:p>
        </w:tc>
      </w:tr>
      <w:tr w:rsidR="00E10737" w:rsidRPr="003A7F56" w14:paraId="0D8014AF" w14:textId="77777777" w:rsidTr="004179DE">
        <w:trPr>
          <w:trHeight w:val="255"/>
          <w:jc w:val="center"/>
        </w:trPr>
        <w:tc>
          <w:tcPr>
            <w:tcW w:w="4912" w:type="dxa"/>
            <w:vMerge/>
            <w:shd w:val="clear" w:color="auto" w:fill="auto"/>
            <w:vAlign w:val="center"/>
          </w:tcPr>
          <w:p w14:paraId="49BA276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5856519" w14:textId="77777777" w:rsidR="00E10737" w:rsidRPr="00F72E4C" w:rsidRDefault="00E10737" w:rsidP="004179DE">
            <w:pPr>
              <w:autoSpaceDE w:val="0"/>
              <w:autoSpaceDN w:val="0"/>
              <w:adjustRightInd w:val="0"/>
              <w:jc w:val="center"/>
              <w:rPr>
                <w:sz w:val="20"/>
                <w:szCs w:val="20"/>
              </w:rPr>
            </w:pPr>
            <w:r w:rsidRPr="00F72E4C">
              <w:rPr>
                <w:sz w:val="18"/>
              </w:rPr>
              <w:t>061</w:t>
            </w:r>
          </w:p>
        </w:tc>
        <w:tc>
          <w:tcPr>
            <w:tcW w:w="2040" w:type="dxa"/>
            <w:shd w:val="clear" w:color="auto" w:fill="auto"/>
            <w:vAlign w:val="center"/>
          </w:tcPr>
          <w:p w14:paraId="698424AE" w14:textId="205ECF62" w:rsidR="00E10737" w:rsidRPr="004B4E3B" w:rsidRDefault="000468FB" w:rsidP="000468FB">
            <w:pPr>
              <w:autoSpaceDE w:val="0"/>
              <w:autoSpaceDN w:val="0"/>
              <w:adjustRightInd w:val="0"/>
              <w:jc w:val="center"/>
              <w:rPr>
                <w:sz w:val="18"/>
                <w:szCs w:val="18"/>
              </w:rPr>
            </w:pPr>
            <w:r>
              <w:rPr>
                <w:sz w:val="18"/>
                <w:szCs w:val="18"/>
              </w:rPr>
              <w:t>72 765 794,50</w:t>
            </w:r>
          </w:p>
        </w:tc>
      </w:tr>
      <w:tr w:rsidR="00E10737" w:rsidRPr="003A7F56" w14:paraId="4EFDCFFD" w14:textId="77777777" w:rsidTr="004179DE">
        <w:trPr>
          <w:trHeight w:val="255"/>
          <w:jc w:val="center"/>
        </w:trPr>
        <w:tc>
          <w:tcPr>
            <w:tcW w:w="4912" w:type="dxa"/>
            <w:vMerge/>
            <w:shd w:val="clear" w:color="auto" w:fill="auto"/>
            <w:vAlign w:val="center"/>
          </w:tcPr>
          <w:p w14:paraId="05A63F84"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5DF586F" w14:textId="77777777" w:rsidR="00E10737" w:rsidRPr="00F72E4C" w:rsidRDefault="00E10737" w:rsidP="004179DE">
            <w:pPr>
              <w:autoSpaceDE w:val="0"/>
              <w:autoSpaceDN w:val="0"/>
              <w:adjustRightInd w:val="0"/>
              <w:jc w:val="center"/>
              <w:rPr>
                <w:sz w:val="20"/>
                <w:szCs w:val="20"/>
              </w:rPr>
            </w:pPr>
            <w:r w:rsidRPr="00F72E4C">
              <w:rPr>
                <w:sz w:val="18"/>
              </w:rPr>
              <w:t>062</w:t>
            </w:r>
          </w:p>
        </w:tc>
        <w:tc>
          <w:tcPr>
            <w:tcW w:w="2040" w:type="dxa"/>
            <w:shd w:val="clear" w:color="auto" w:fill="auto"/>
            <w:vAlign w:val="center"/>
          </w:tcPr>
          <w:p w14:paraId="74507DFA" w14:textId="601D81BF" w:rsidR="00E10737" w:rsidRPr="004B4E3B" w:rsidRDefault="000468FB" w:rsidP="000468FB">
            <w:pPr>
              <w:autoSpaceDE w:val="0"/>
              <w:autoSpaceDN w:val="0"/>
              <w:adjustRightInd w:val="0"/>
              <w:jc w:val="center"/>
              <w:rPr>
                <w:sz w:val="18"/>
                <w:szCs w:val="18"/>
              </w:rPr>
            </w:pPr>
            <w:r>
              <w:rPr>
                <w:sz w:val="18"/>
                <w:szCs w:val="18"/>
              </w:rPr>
              <w:t>115 578 835,27</w:t>
            </w:r>
          </w:p>
        </w:tc>
      </w:tr>
      <w:tr w:rsidR="00E10737" w:rsidRPr="003A7F56" w14:paraId="4F52E4D5" w14:textId="77777777" w:rsidTr="004179DE">
        <w:trPr>
          <w:trHeight w:val="255"/>
          <w:jc w:val="center"/>
        </w:trPr>
        <w:tc>
          <w:tcPr>
            <w:tcW w:w="4912" w:type="dxa"/>
            <w:vMerge/>
            <w:shd w:val="clear" w:color="auto" w:fill="auto"/>
            <w:vAlign w:val="center"/>
          </w:tcPr>
          <w:p w14:paraId="7A20F399"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D2E3ADA" w14:textId="77777777" w:rsidR="00E10737" w:rsidRPr="00F72E4C" w:rsidRDefault="00E10737" w:rsidP="004179DE">
            <w:pPr>
              <w:autoSpaceDE w:val="0"/>
              <w:autoSpaceDN w:val="0"/>
              <w:adjustRightInd w:val="0"/>
              <w:jc w:val="center"/>
              <w:rPr>
                <w:sz w:val="20"/>
                <w:szCs w:val="20"/>
              </w:rPr>
            </w:pPr>
            <w:r w:rsidRPr="00F72E4C">
              <w:rPr>
                <w:sz w:val="18"/>
              </w:rPr>
              <w:t>063</w:t>
            </w:r>
          </w:p>
        </w:tc>
        <w:tc>
          <w:tcPr>
            <w:tcW w:w="2040" w:type="dxa"/>
            <w:shd w:val="clear" w:color="auto" w:fill="auto"/>
            <w:vAlign w:val="center"/>
          </w:tcPr>
          <w:p w14:paraId="5194AA37" w14:textId="6707576C" w:rsidR="00E10737" w:rsidRPr="004B4E3B" w:rsidRDefault="000468FB" w:rsidP="000468FB">
            <w:pPr>
              <w:autoSpaceDE w:val="0"/>
              <w:autoSpaceDN w:val="0"/>
              <w:adjustRightInd w:val="0"/>
              <w:jc w:val="center"/>
              <w:rPr>
                <w:sz w:val="18"/>
                <w:szCs w:val="18"/>
              </w:rPr>
            </w:pPr>
            <w:r>
              <w:rPr>
                <w:sz w:val="18"/>
                <w:szCs w:val="18"/>
              </w:rPr>
              <w:t>8 068 385,00</w:t>
            </w:r>
          </w:p>
        </w:tc>
      </w:tr>
      <w:tr w:rsidR="00E10737" w:rsidRPr="003A7F56" w14:paraId="5A374C62" w14:textId="77777777" w:rsidTr="004179DE">
        <w:trPr>
          <w:trHeight w:val="255"/>
          <w:jc w:val="center"/>
        </w:trPr>
        <w:tc>
          <w:tcPr>
            <w:tcW w:w="4912" w:type="dxa"/>
            <w:vMerge/>
            <w:shd w:val="clear" w:color="auto" w:fill="auto"/>
            <w:vAlign w:val="center"/>
          </w:tcPr>
          <w:p w14:paraId="3A21ABF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8CE6AAF" w14:textId="77777777" w:rsidR="00E10737" w:rsidRPr="00F72E4C" w:rsidRDefault="00E10737" w:rsidP="004179DE">
            <w:pPr>
              <w:autoSpaceDE w:val="0"/>
              <w:autoSpaceDN w:val="0"/>
              <w:adjustRightInd w:val="0"/>
              <w:jc w:val="center"/>
              <w:rPr>
                <w:sz w:val="20"/>
                <w:szCs w:val="20"/>
              </w:rPr>
            </w:pPr>
            <w:r w:rsidRPr="00F72E4C">
              <w:rPr>
                <w:sz w:val="18"/>
              </w:rPr>
              <w:t>064</w:t>
            </w:r>
          </w:p>
        </w:tc>
        <w:tc>
          <w:tcPr>
            <w:tcW w:w="2040" w:type="dxa"/>
            <w:shd w:val="clear" w:color="auto" w:fill="auto"/>
            <w:vAlign w:val="center"/>
          </w:tcPr>
          <w:p w14:paraId="61DF9A82" w14:textId="77777777" w:rsidR="00E10737" w:rsidRPr="004B4E3B" w:rsidRDefault="00E10737" w:rsidP="004179DE">
            <w:pPr>
              <w:autoSpaceDE w:val="0"/>
              <w:autoSpaceDN w:val="0"/>
              <w:adjustRightInd w:val="0"/>
              <w:jc w:val="center"/>
              <w:rPr>
                <w:sz w:val="18"/>
                <w:szCs w:val="18"/>
              </w:rPr>
            </w:pPr>
            <w:r w:rsidRPr="004B4E3B">
              <w:rPr>
                <w:w w:val="110"/>
                <w:sz w:val="18"/>
                <w:szCs w:val="18"/>
              </w:rPr>
              <w:t>124</w:t>
            </w:r>
            <w:r w:rsidRPr="004B4E3B">
              <w:rPr>
                <w:spacing w:val="-6"/>
                <w:w w:val="110"/>
                <w:sz w:val="18"/>
                <w:szCs w:val="18"/>
              </w:rPr>
              <w:t xml:space="preserve"> </w:t>
            </w:r>
            <w:r w:rsidRPr="004B4E3B">
              <w:rPr>
                <w:w w:val="110"/>
                <w:sz w:val="18"/>
                <w:szCs w:val="18"/>
              </w:rPr>
              <w:t>101</w:t>
            </w:r>
            <w:r w:rsidRPr="004B4E3B">
              <w:rPr>
                <w:spacing w:val="-6"/>
                <w:w w:val="110"/>
                <w:sz w:val="18"/>
                <w:szCs w:val="18"/>
              </w:rPr>
              <w:t xml:space="preserve"> </w:t>
            </w:r>
            <w:r w:rsidRPr="004B4E3B">
              <w:rPr>
                <w:w w:val="110"/>
                <w:sz w:val="18"/>
                <w:szCs w:val="18"/>
              </w:rPr>
              <w:t>857,00</w:t>
            </w:r>
          </w:p>
        </w:tc>
      </w:tr>
      <w:tr w:rsidR="00E10737" w:rsidRPr="003A7F56" w14:paraId="5E48E5D9" w14:textId="77777777" w:rsidTr="004179DE">
        <w:trPr>
          <w:trHeight w:val="255"/>
          <w:jc w:val="center"/>
        </w:trPr>
        <w:tc>
          <w:tcPr>
            <w:tcW w:w="4912" w:type="dxa"/>
            <w:vMerge/>
            <w:shd w:val="clear" w:color="auto" w:fill="auto"/>
            <w:vAlign w:val="center"/>
          </w:tcPr>
          <w:p w14:paraId="167A3FAB"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AE94475" w14:textId="77777777" w:rsidR="00E10737" w:rsidRPr="00F72E4C" w:rsidRDefault="00E10737" w:rsidP="004179DE">
            <w:pPr>
              <w:autoSpaceDE w:val="0"/>
              <w:autoSpaceDN w:val="0"/>
              <w:adjustRightInd w:val="0"/>
              <w:jc w:val="center"/>
              <w:rPr>
                <w:sz w:val="20"/>
                <w:szCs w:val="20"/>
              </w:rPr>
            </w:pPr>
            <w:r w:rsidRPr="00F72E4C">
              <w:rPr>
                <w:w w:val="110"/>
                <w:sz w:val="18"/>
              </w:rPr>
              <w:t>065</w:t>
            </w:r>
          </w:p>
        </w:tc>
        <w:tc>
          <w:tcPr>
            <w:tcW w:w="2040" w:type="dxa"/>
            <w:shd w:val="clear" w:color="auto" w:fill="auto"/>
            <w:vAlign w:val="center"/>
          </w:tcPr>
          <w:p w14:paraId="11F42555" w14:textId="77777777" w:rsidR="00E10737" w:rsidRPr="004B4E3B" w:rsidRDefault="00E10737" w:rsidP="004179DE">
            <w:pPr>
              <w:autoSpaceDE w:val="0"/>
              <w:autoSpaceDN w:val="0"/>
              <w:adjustRightInd w:val="0"/>
              <w:jc w:val="center"/>
              <w:rPr>
                <w:sz w:val="18"/>
                <w:szCs w:val="18"/>
              </w:rPr>
            </w:pPr>
            <w:r w:rsidRPr="004B4E3B">
              <w:rPr>
                <w:w w:val="110"/>
                <w:sz w:val="18"/>
                <w:szCs w:val="18"/>
              </w:rPr>
              <w:t>6</w:t>
            </w:r>
            <w:r w:rsidRPr="004B4E3B">
              <w:rPr>
                <w:spacing w:val="-8"/>
                <w:w w:val="110"/>
                <w:sz w:val="18"/>
                <w:szCs w:val="18"/>
              </w:rPr>
              <w:t xml:space="preserve"> </w:t>
            </w:r>
            <w:r w:rsidRPr="004B4E3B">
              <w:rPr>
                <w:w w:val="110"/>
                <w:sz w:val="18"/>
                <w:szCs w:val="18"/>
              </w:rPr>
              <w:t>229</w:t>
            </w:r>
            <w:r w:rsidRPr="004B4E3B">
              <w:rPr>
                <w:spacing w:val="-7"/>
                <w:w w:val="110"/>
                <w:sz w:val="18"/>
                <w:szCs w:val="18"/>
              </w:rPr>
              <w:t xml:space="preserve"> </w:t>
            </w:r>
            <w:r w:rsidRPr="004B4E3B">
              <w:rPr>
                <w:w w:val="110"/>
                <w:sz w:val="18"/>
                <w:szCs w:val="18"/>
              </w:rPr>
              <w:t>981,00</w:t>
            </w:r>
          </w:p>
        </w:tc>
      </w:tr>
      <w:tr w:rsidR="00E10737" w:rsidRPr="003A7F56" w14:paraId="5B126121" w14:textId="77777777" w:rsidTr="004179DE">
        <w:trPr>
          <w:trHeight w:val="255"/>
          <w:jc w:val="center"/>
        </w:trPr>
        <w:tc>
          <w:tcPr>
            <w:tcW w:w="4912" w:type="dxa"/>
            <w:vMerge/>
            <w:shd w:val="clear" w:color="auto" w:fill="auto"/>
            <w:vAlign w:val="center"/>
          </w:tcPr>
          <w:p w14:paraId="2DA6A9F9"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DD37DC3" w14:textId="77777777" w:rsidR="00E10737" w:rsidRPr="00F72E4C" w:rsidRDefault="00E10737" w:rsidP="004179DE">
            <w:pPr>
              <w:autoSpaceDE w:val="0"/>
              <w:autoSpaceDN w:val="0"/>
              <w:adjustRightInd w:val="0"/>
              <w:jc w:val="center"/>
              <w:rPr>
                <w:sz w:val="20"/>
                <w:szCs w:val="20"/>
              </w:rPr>
            </w:pPr>
            <w:r w:rsidRPr="00F72E4C">
              <w:rPr>
                <w:sz w:val="18"/>
              </w:rPr>
              <w:t>066</w:t>
            </w:r>
          </w:p>
        </w:tc>
        <w:tc>
          <w:tcPr>
            <w:tcW w:w="2040" w:type="dxa"/>
            <w:shd w:val="clear" w:color="auto" w:fill="auto"/>
            <w:vAlign w:val="center"/>
          </w:tcPr>
          <w:p w14:paraId="658C868B" w14:textId="77777777" w:rsidR="00E10737" w:rsidRPr="004B4E3B" w:rsidRDefault="00E10737" w:rsidP="004179DE">
            <w:pPr>
              <w:autoSpaceDE w:val="0"/>
              <w:autoSpaceDN w:val="0"/>
              <w:adjustRightInd w:val="0"/>
              <w:jc w:val="center"/>
              <w:rPr>
                <w:sz w:val="18"/>
                <w:szCs w:val="18"/>
              </w:rPr>
            </w:pPr>
            <w:r w:rsidRPr="004B4E3B">
              <w:rPr>
                <w:spacing w:val="-7"/>
                <w:w w:val="110"/>
                <w:sz w:val="18"/>
                <w:szCs w:val="18"/>
              </w:rPr>
              <w:t xml:space="preserve">38 </w:t>
            </w:r>
            <w:r w:rsidRPr="004B4E3B">
              <w:rPr>
                <w:w w:val="110"/>
                <w:sz w:val="18"/>
                <w:szCs w:val="18"/>
              </w:rPr>
              <w:t>000</w:t>
            </w:r>
            <w:r w:rsidRPr="004B4E3B">
              <w:rPr>
                <w:spacing w:val="-6"/>
                <w:w w:val="110"/>
                <w:sz w:val="18"/>
                <w:szCs w:val="18"/>
              </w:rPr>
              <w:t xml:space="preserve"> </w:t>
            </w:r>
            <w:r w:rsidRPr="004B4E3B">
              <w:rPr>
                <w:w w:val="110"/>
                <w:sz w:val="18"/>
                <w:szCs w:val="18"/>
              </w:rPr>
              <w:t>000,00</w:t>
            </w:r>
          </w:p>
        </w:tc>
      </w:tr>
      <w:tr w:rsidR="00E10737" w:rsidRPr="003A7F56" w14:paraId="4B710265" w14:textId="77777777" w:rsidTr="004179DE">
        <w:trPr>
          <w:trHeight w:val="255"/>
          <w:jc w:val="center"/>
        </w:trPr>
        <w:tc>
          <w:tcPr>
            <w:tcW w:w="4912" w:type="dxa"/>
            <w:vMerge/>
            <w:shd w:val="clear" w:color="auto" w:fill="auto"/>
            <w:vAlign w:val="center"/>
          </w:tcPr>
          <w:p w14:paraId="6B2518A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92F0367" w14:textId="77777777" w:rsidR="00E10737" w:rsidRPr="00F72E4C" w:rsidRDefault="00E10737" w:rsidP="004179DE">
            <w:pPr>
              <w:autoSpaceDE w:val="0"/>
              <w:autoSpaceDN w:val="0"/>
              <w:adjustRightInd w:val="0"/>
              <w:jc w:val="center"/>
              <w:rPr>
                <w:sz w:val="20"/>
                <w:szCs w:val="20"/>
              </w:rPr>
            </w:pPr>
            <w:r w:rsidRPr="00F72E4C">
              <w:rPr>
                <w:sz w:val="18"/>
              </w:rPr>
              <w:t>067</w:t>
            </w:r>
          </w:p>
        </w:tc>
        <w:tc>
          <w:tcPr>
            <w:tcW w:w="2040" w:type="dxa"/>
            <w:shd w:val="clear" w:color="auto" w:fill="auto"/>
            <w:vAlign w:val="center"/>
          </w:tcPr>
          <w:p w14:paraId="6BA24654" w14:textId="77777777" w:rsidR="00E10737" w:rsidRPr="004B4E3B" w:rsidRDefault="00E10737" w:rsidP="004179DE">
            <w:pPr>
              <w:autoSpaceDE w:val="0"/>
              <w:autoSpaceDN w:val="0"/>
              <w:adjustRightInd w:val="0"/>
              <w:jc w:val="center"/>
              <w:rPr>
                <w:sz w:val="18"/>
                <w:szCs w:val="18"/>
              </w:rPr>
            </w:pPr>
            <w:r w:rsidRPr="004B4E3B">
              <w:rPr>
                <w:w w:val="110"/>
                <w:sz w:val="18"/>
                <w:szCs w:val="18"/>
              </w:rPr>
              <w:t>10</w:t>
            </w:r>
            <w:r w:rsidRPr="004B4E3B">
              <w:rPr>
                <w:spacing w:val="-7"/>
                <w:w w:val="110"/>
                <w:sz w:val="18"/>
                <w:szCs w:val="18"/>
              </w:rPr>
              <w:t xml:space="preserve"> </w:t>
            </w:r>
            <w:r w:rsidRPr="004B4E3B">
              <w:rPr>
                <w:w w:val="110"/>
                <w:sz w:val="18"/>
                <w:szCs w:val="18"/>
              </w:rPr>
              <w:t>005</w:t>
            </w:r>
            <w:r w:rsidRPr="004B4E3B">
              <w:rPr>
                <w:spacing w:val="-6"/>
                <w:w w:val="110"/>
                <w:sz w:val="18"/>
                <w:szCs w:val="18"/>
              </w:rPr>
              <w:t xml:space="preserve"> </w:t>
            </w:r>
            <w:r w:rsidRPr="004B4E3B">
              <w:rPr>
                <w:w w:val="110"/>
                <w:sz w:val="18"/>
                <w:szCs w:val="18"/>
              </w:rPr>
              <w:t>000,00</w:t>
            </w:r>
          </w:p>
        </w:tc>
      </w:tr>
      <w:tr w:rsidR="00E10737" w:rsidRPr="003A7F56" w14:paraId="16051C7B" w14:textId="77777777" w:rsidTr="004179DE">
        <w:trPr>
          <w:trHeight w:val="255"/>
          <w:jc w:val="center"/>
        </w:trPr>
        <w:tc>
          <w:tcPr>
            <w:tcW w:w="4912" w:type="dxa"/>
            <w:vMerge/>
            <w:shd w:val="clear" w:color="auto" w:fill="auto"/>
            <w:vAlign w:val="center"/>
          </w:tcPr>
          <w:p w14:paraId="4975BC8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4CE46BB" w14:textId="77777777" w:rsidR="00E10737" w:rsidRPr="00F72E4C" w:rsidRDefault="00E10737" w:rsidP="004179DE">
            <w:pPr>
              <w:autoSpaceDE w:val="0"/>
              <w:autoSpaceDN w:val="0"/>
              <w:adjustRightInd w:val="0"/>
              <w:jc w:val="center"/>
              <w:rPr>
                <w:sz w:val="20"/>
                <w:szCs w:val="20"/>
              </w:rPr>
            </w:pPr>
            <w:r w:rsidRPr="00F72E4C">
              <w:rPr>
                <w:w w:val="110"/>
                <w:sz w:val="18"/>
              </w:rPr>
              <w:t>069</w:t>
            </w:r>
          </w:p>
        </w:tc>
        <w:tc>
          <w:tcPr>
            <w:tcW w:w="2040" w:type="dxa"/>
            <w:shd w:val="clear" w:color="auto" w:fill="auto"/>
            <w:vAlign w:val="center"/>
          </w:tcPr>
          <w:p w14:paraId="387C5CE9" w14:textId="1FB1BEAD" w:rsidR="00E10737" w:rsidRPr="004B4E3B" w:rsidRDefault="000468FB" w:rsidP="000468FB">
            <w:pPr>
              <w:autoSpaceDE w:val="0"/>
              <w:autoSpaceDN w:val="0"/>
              <w:adjustRightInd w:val="0"/>
              <w:jc w:val="center"/>
              <w:rPr>
                <w:sz w:val="18"/>
                <w:szCs w:val="18"/>
              </w:rPr>
            </w:pPr>
            <w:r>
              <w:rPr>
                <w:sz w:val="18"/>
                <w:szCs w:val="18"/>
              </w:rPr>
              <w:t>21 240 870,00</w:t>
            </w:r>
          </w:p>
        </w:tc>
      </w:tr>
    </w:tbl>
    <w:p w14:paraId="5D22593F"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27C467E3" w14:textId="77777777" w:rsidTr="004179DE">
        <w:trPr>
          <w:trHeight w:val="255"/>
          <w:jc w:val="center"/>
        </w:trPr>
        <w:tc>
          <w:tcPr>
            <w:tcW w:w="9072" w:type="dxa"/>
            <w:gridSpan w:val="3"/>
            <w:shd w:val="clear" w:color="auto" w:fill="DBE5F1"/>
            <w:vAlign w:val="center"/>
          </w:tcPr>
          <w:p w14:paraId="09C6B96E"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E10737" w:rsidRPr="003A7F56" w14:paraId="2B811B1E" w14:textId="77777777" w:rsidTr="004179DE">
        <w:trPr>
          <w:trHeight w:val="255"/>
          <w:jc w:val="center"/>
        </w:trPr>
        <w:tc>
          <w:tcPr>
            <w:tcW w:w="4912" w:type="dxa"/>
            <w:shd w:val="clear" w:color="auto" w:fill="DBE5F1"/>
            <w:vAlign w:val="center"/>
          </w:tcPr>
          <w:p w14:paraId="34D22869"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7D651FC7"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08133213" w14:textId="77777777" w:rsidTr="004179DE">
        <w:trPr>
          <w:trHeight w:val="255"/>
          <w:jc w:val="center"/>
        </w:trPr>
        <w:tc>
          <w:tcPr>
            <w:tcW w:w="4912" w:type="dxa"/>
            <w:shd w:val="clear" w:color="auto" w:fill="DBE5F1"/>
            <w:vAlign w:val="center"/>
          </w:tcPr>
          <w:p w14:paraId="12FA1143"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E74F622"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4B6A4B5D" w14:textId="77777777" w:rsidTr="004179DE">
        <w:trPr>
          <w:trHeight w:val="255"/>
          <w:jc w:val="center"/>
        </w:trPr>
        <w:tc>
          <w:tcPr>
            <w:tcW w:w="4912" w:type="dxa"/>
            <w:shd w:val="clear" w:color="auto" w:fill="auto"/>
            <w:vAlign w:val="center"/>
          </w:tcPr>
          <w:p w14:paraId="6374AD76"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E2F684E"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4BC1230B"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5C01B083" w14:textId="77777777" w:rsidTr="004179DE">
        <w:trPr>
          <w:trHeight w:val="255"/>
          <w:jc w:val="center"/>
        </w:trPr>
        <w:tc>
          <w:tcPr>
            <w:tcW w:w="4912" w:type="dxa"/>
            <w:vMerge w:val="restart"/>
            <w:shd w:val="clear" w:color="auto" w:fill="auto"/>
            <w:vAlign w:val="center"/>
          </w:tcPr>
          <w:p w14:paraId="47DA1DFB"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9</w:t>
            </w:r>
            <w:r w:rsidRPr="003A7F56">
              <w:rPr>
                <w:rFonts w:ascii="TimesNewRoman" w:hAnsi="TimesNewRoman" w:cs="TimesNewRoman"/>
                <w:sz w:val="20"/>
                <w:szCs w:val="20"/>
              </w:rPr>
              <w:t xml:space="preserve"> – </w:t>
            </w:r>
            <w:r w:rsidRPr="00F72E4C">
              <w:rPr>
                <w:rFonts w:ascii="TimesNewRoman" w:hAnsi="TimesNewRoman" w:cs="TimesNewRoman"/>
                <w:sz w:val="20"/>
                <w:szCs w:val="20"/>
              </w:rPr>
              <w:t>Podpora výskumu, vývoja a inovácií</w:t>
            </w:r>
          </w:p>
        </w:tc>
        <w:tc>
          <w:tcPr>
            <w:tcW w:w="2120" w:type="dxa"/>
            <w:shd w:val="clear" w:color="auto" w:fill="auto"/>
            <w:vAlign w:val="center"/>
          </w:tcPr>
          <w:p w14:paraId="15BCEEF1" w14:textId="77777777" w:rsidR="00E10737" w:rsidRPr="00F72E4C" w:rsidRDefault="00E10737" w:rsidP="004179DE">
            <w:pPr>
              <w:autoSpaceDE w:val="0"/>
              <w:autoSpaceDN w:val="0"/>
              <w:adjustRightInd w:val="0"/>
              <w:jc w:val="center"/>
              <w:rPr>
                <w:sz w:val="20"/>
                <w:szCs w:val="20"/>
              </w:rPr>
            </w:pPr>
            <w:r w:rsidRPr="00F72E4C">
              <w:rPr>
                <w:sz w:val="18"/>
              </w:rPr>
              <w:t>01</w:t>
            </w:r>
          </w:p>
        </w:tc>
        <w:tc>
          <w:tcPr>
            <w:tcW w:w="2040" w:type="dxa"/>
            <w:shd w:val="clear" w:color="auto" w:fill="auto"/>
            <w:vAlign w:val="center"/>
          </w:tcPr>
          <w:p w14:paraId="0C275557" w14:textId="13423DFB" w:rsidR="00E10737" w:rsidRPr="000468FB" w:rsidRDefault="007D4FD2" w:rsidP="007D4FD2">
            <w:pPr>
              <w:autoSpaceDE w:val="0"/>
              <w:autoSpaceDN w:val="0"/>
              <w:adjustRightInd w:val="0"/>
              <w:jc w:val="center"/>
              <w:rPr>
                <w:sz w:val="20"/>
                <w:szCs w:val="20"/>
              </w:rPr>
            </w:pPr>
            <w:r>
              <w:rPr>
                <w:sz w:val="18"/>
              </w:rPr>
              <w:t>1 257 683 946,00</w:t>
            </w:r>
          </w:p>
        </w:tc>
      </w:tr>
      <w:tr w:rsidR="00E10737" w:rsidRPr="003A7F56" w14:paraId="07EFC59E" w14:textId="77777777" w:rsidTr="004179DE">
        <w:trPr>
          <w:trHeight w:val="255"/>
          <w:jc w:val="center"/>
        </w:trPr>
        <w:tc>
          <w:tcPr>
            <w:tcW w:w="4912" w:type="dxa"/>
            <w:vMerge/>
            <w:shd w:val="clear" w:color="auto" w:fill="auto"/>
            <w:vAlign w:val="center"/>
          </w:tcPr>
          <w:p w14:paraId="47DD7D7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723ED78" w14:textId="77777777" w:rsidR="00E10737" w:rsidRPr="00F72E4C" w:rsidRDefault="00E10737" w:rsidP="004179DE">
            <w:pPr>
              <w:autoSpaceDE w:val="0"/>
              <w:autoSpaceDN w:val="0"/>
              <w:adjustRightInd w:val="0"/>
              <w:jc w:val="center"/>
              <w:rPr>
                <w:sz w:val="20"/>
                <w:szCs w:val="20"/>
              </w:rPr>
            </w:pPr>
            <w:r w:rsidRPr="00F72E4C">
              <w:rPr>
                <w:sz w:val="18"/>
              </w:rPr>
              <w:t>03</w:t>
            </w:r>
          </w:p>
        </w:tc>
        <w:tc>
          <w:tcPr>
            <w:tcW w:w="2040" w:type="dxa"/>
            <w:shd w:val="clear" w:color="auto" w:fill="auto"/>
            <w:vAlign w:val="center"/>
          </w:tcPr>
          <w:p w14:paraId="5859CBE4" w14:textId="77777777" w:rsidR="00E10737" w:rsidRPr="000468FB" w:rsidRDefault="00E10737" w:rsidP="004179DE">
            <w:pPr>
              <w:autoSpaceDE w:val="0"/>
              <w:autoSpaceDN w:val="0"/>
              <w:adjustRightInd w:val="0"/>
              <w:jc w:val="center"/>
              <w:rPr>
                <w:sz w:val="20"/>
                <w:szCs w:val="20"/>
                <w:lang w:val="en-US"/>
              </w:rPr>
            </w:pPr>
            <w:r w:rsidRPr="000468FB">
              <w:rPr>
                <w:sz w:val="18"/>
              </w:rPr>
              <w:t>11 331 598,00</w:t>
            </w:r>
          </w:p>
        </w:tc>
      </w:tr>
      <w:tr w:rsidR="00E10737" w:rsidRPr="003A7F56" w14:paraId="1202B9E6" w14:textId="77777777" w:rsidTr="004179DE">
        <w:trPr>
          <w:trHeight w:val="255"/>
          <w:jc w:val="center"/>
        </w:trPr>
        <w:tc>
          <w:tcPr>
            <w:tcW w:w="4912" w:type="dxa"/>
            <w:vMerge/>
            <w:shd w:val="clear" w:color="auto" w:fill="auto"/>
            <w:vAlign w:val="center"/>
          </w:tcPr>
          <w:p w14:paraId="147D056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B462E4C" w14:textId="77777777" w:rsidR="00E10737" w:rsidRPr="00F72E4C" w:rsidRDefault="00E10737" w:rsidP="004179DE">
            <w:pPr>
              <w:autoSpaceDE w:val="0"/>
              <w:autoSpaceDN w:val="0"/>
              <w:adjustRightInd w:val="0"/>
              <w:jc w:val="center"/>
              <w:rPr>
                <w:sz w:val="20"/>
                <w:szCs w:val="20"/>
              </w:rPr>
            </w:pPr>
            <w:r w:rsidRPr="00F72E4C">
              <w:rPr>
                <w:sz w:val="18"/>
              </w:rPr>
              <w:t>04</w:t>
            </w:r>
          </w:p>
        </w:tc>
        <w:tc>
          <w:tcPr>
            <w:tcW w:w="2040" w:type="dxa"/>
            <w:shd w:val="clear" w:color="auto" w:fill="auto"/>
            <w:vAlign w:val="center"/>
          </w:tcPr>
          <w:p w14:paraId="6E6ACB36" w14:textId="77777777" w:rsidR="00E10737" w:rsidRPr="000468FB" w:rsidRDefault="00E10737" w:rsidP="004179DE">
            <w:pPr>
              <w:autoSpaceDE w:val="0"/>
              <w:autoSpaceDN w:val="0"/>
              <w:adjustRightInd w:val="0"/>
              <w:jc w:val="center"/>
              <w:rPr>
                <w:sz w:val="20"/>
                <w:szCs w:val="20"/>
                <w:lang w:val="en-US"/>
              </w:rPr>
            </w:pPr>
            <w:r w:rsidRPr="000468FB">
              <w:rPr>
                <w:sz w:val="18"/>
              </w:rPr>
              <w:t>22 663 195,00</w:t>
            </w:r>
          </w:p>
        </w:tc>
      </w:tr>
      <w:tr w:rsidR="00E10737" w:rsidRPr="003A7F56" w14:paraId="711BC1E9" w14:textId="77777777" w:rsidTr="004179DE">
        <w:trPr>
          <w:trHeight w:val="255"/>
          <w:jc w:val="center"/>
        </w:trPr>
        <w:tc>
          <w:tcPr>
            <w:tcW w:w="4912" w:type="dxa"/>
            <w:vMerge/>
            <w:shd w:val="clear" w:color="auto" w:fill="auto"/>
            <w:vAlign w:val="center"/>
          </w:tcPr>
          <w:p w14:paraId="0DA279F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D2D77D5" w14:textId="77777777" w:rsidR="00E10737" w:rsidRPr="00F72E4C" w:rsidRDefault="00E10737" w:rsidP="004179DE">
            <w:pPr>
              <w:autoSpaceDE w:val="0"/>
              <w:autoSpaceDN w:val="0"/>
              <w:adjustRightInd w:val="0"/>
              <w:jc w:val="center"/>
              <w:rPr>
                <w:sz w:val="20"/>
                <w:szCs w:val="20"/>
              </w:rPr>
            </w:pPr>
            <w:r w:rsidRPr="00F72E4C">
              <w:rPr>
                <w:w w:val="110"/>
                <w:sz w:val="18"/>
              </w:rPr>
              <w:t>05</w:t>
            </w:r>
          </w:p>
        </w:tc>
        <w:tc>
          <w:tcPr>
            <w:tcW w:w="2040" w:type="dxa"/>
            <w:shd w:val="clear" w:color="auto" w:fill="auto"/>
            <w:vAlign w:val="center"/>
          </w:tcPr>
          <w:p w14:paraId="445AF953" w14:textId="77777777" w:rsidR="00E10737" w:rsidRPr="000468FB" w:rsidRDefault="00E10737" w:rsidP="004179DE">
            <w:pPr>
              <w:autoSpaceDE w:val="0"/>
              <w:autoSpaceDN w:val="0"/>
              <w:adjustRightInd w:val="0"/>
              <w:jc w:val="center"/>
              <w:rPr>
                <w:sz w:val="20"/>
                <w:szCs w:val="20"/>
              </w:rPr>
            </w:pPr>
            <w:r w:rsidRPr="000468FB">
              <w:rPr>
                <w:sz w:val="18"/>
              </w:rPr>
              <w:t>14 005 207,00</w:t>
            </w:r>
          </w:p>
        </w:tc>
      </w:tr>
      <w:tr w:rsidR="00E10737" w:rsidRPr="003A7F56" w14:paraId="415AA759" w14:textId="77777777" w:rsidTr="004179DE">
        <w:trPr>
          <w:trHeight w:val="255"/>
          <w:jc w:val="center"/>
        </w:trPr>
        <w:tc>
          <w:tcPr>
            <w:tcW w:w="4912" w:type="dxa"/>
            <w:vMerge/>
            <w:shd w:val="clear" w:color="auto" w:fill="auto"/>
            <w:vAlign w:val="center"/>
          </w:tcPr>
          <w:p w14:paraId="50EB02E7"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2DB2A1D" w14:textId="77777777" w:rsidR="00E10737" w:rsidRPr="00F72E4C" w:rsidRDefault="00E10737" w:rsidP="004179DE">
            <w:pPr>
              <w:autoSpaceDE w:val="0"/>
              <w:autoSpaceDN w:val="0"/>
              <w:adjustRightInd w:val="0"/>
              <w:jc w:val="center"/>
              <w:rPr>
                <w:sz w:val="20"/>
                <w:szCs w:val="20"/>
              </w:rPr>
            </w:pPr>
            <w:r w:rsidRPr="00F72E4C">
              <w:rPr>
                <w:sz w:val="18"/>
              </w:rPr>
              <w:t>06</w:t>
            </w:r>
          </w:p>
        </w:tc>
        <w:tc>
          <w:tcPr>
            <w:tcW w:w="2040" w:type="dxa"/>
            <w:shd w:val="clear" w:color="auto" w:fill="auto"/>
            <w:vAlign w:val="center"/>
          </w:tcPr>
          <w:p w14:paraId="0CEB7E58" w14:textId="77777777" w:rsidR="00E10737" w:rsidRPr="000468FB" w:rsidRDefault="00E10737" w:rsidP="004179DE">
            <w:pPr>
              <w:autoSpaceDE w:val="0"/>
              <w:autoSpaceDN w:val="0"/>
              <w:adjustRightInd w:val="0"/>
              <w:jc w:val="center"/>
              <w:rPr>
                <w:sz w:val="20"/>
                <w:szCs w:val="20"/>
              </w:rPr>
            </w:pPr>
            <w:r w:rsidRPr="000468FB">
              <w:rPr>
                <w:sz w:val="18"/>
              </w:rPr>
              <w:t>2 000 000,00</w:t>
            </w:r>
          </w:p>
        </w:tc>
      </w:tr>
    </w:tbl>
    <w:p w14:paraId="4DD2CFB5"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15F0D527" w14:textId="77777777" w:rsidTr="004179DE">
        <w:trPr>
          <w:trHeight w:val="255"/>
          <w:jc w:val="center"/>
        </w:trPr>
        <w:tc>
          <w:tcPr>
            <w:tcW w:w="9072" w:type="dxa"/>
            <w:gridSpan w:val="3"/>
            <w:shd w:val="clear" w:color="auto" w:fill="DBE5F1"/>
            <w:vAlign w:val="center"/>
          </w:tcPr>
          <w:p w14:paraId="2B772C72"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E10737" w:rsidRPr="003A7F56" w14:paraId="214F300E" w14:textId="77777777" w:rsidTr="004179DE">
        <w:trPr>
          <w:trHeight w:val="255"/>
          <w:jc w:val="center"/>
        </w:trPr>
        <w:tc>
          <w:tcPr>
            <w:tcW w:w="4912" w:type="dxa"/>
            <w:shd w:val="clear" w:color="auto" w:fill="DBE5F1"/>
            <w:vAlign w:val="center"/>
          </w:tcPr>
          <w:p w14:paraId="532DF46F"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25073A2A"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3F5A641B" w14:textId="77777777" w:rsidTr="004179DE">
        <w:trPr>
          <w:trHeight w:val="255"/>
          <w:jc w:val="center"/>
        </w:trPr>
        <w:tc>
          <w:tcPr>
            <w:tcW w:w="4912" w:type="dxa"/>
            <w:shd w:val="clear" w:color="auto" w:fill="DBE5F1"/>
            <w:vAlign w:val="center"/>
          </w:tcPr>
          <w:p w14:paraId="75F357E8"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38062C9"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0BCFC20F" w14:textId="77777777" w:rsidTr="004179DE">
        <w:trPr>
          <w:trHeight w:val="255"/>
          <w:jc w:val="center"/>
        </w:trPr>
        <w:tc>
          <w:tcPr>
            <w:tcW w:w="4912" w:type="dxa"/>
            <w:shd w:val="clear" w:color="auto" w:fill="auto"/>
            <w:vAlign w:val="center"/>
          </w:tcPr>
          <w:p w14:paraId="09BF244C"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4E02BD7"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6FE7B5F"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01F69EF1" w14:textId="77777777" w:rsidTr="004179DE">
        <w:trPr>
          <w:trHeight w:val="255"/>
          <w:jc w:val="center"/>
        </w:trPr>
        <w:tc>
          <w:tcPr>
            <w:tcW w:w="4912" w:type="dxa"/>
            <w:vMerge w:val="restart"/>
            <w:shd w:val="clear" w:color="auto" w:fill="auto"/>
            <w:vAlign w:val="center"/>
          </w:tcPr>
          <w:p w14:paraId="3C54650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9</w:t>
            </w:r>
            <w:r w:rsidRPr="003A7F56">
              <w:rPr>
                <w:rFonts w:ascii="TimesNewRoman" w:hAnsi="TimesNewRoman" w:cs="TimesNewRoman"/>
                <w:sz w:val="20"/>
                <w:szCs w:val="20"/>
              </w:rPr>
              <w:t xml:space="preserve"> – </w:t>
            </w:r>
            <w:r w:rsidRPr="00F72E4C">
              <w:rPr>
                <w:rFonts w:ascii="TimesNewRoman" w:hAnsi="TimesNewRoman" w:cs="TimesNewRoman"/>
                <w:sz w:val="20"/>
                <w:szCs w:val="20"/>
              </w:rPr>
              <w:t>Podpora výskumu, vývoja a inovácií</w:t>
            </w:r>
          </w:p>
        </w:tc>
        <w:tc>
          <w:tcPr>
            <w:tcW w:w="2120" w:type="dxa"/>
            <w:shd w:val="clear" w:color="auto" w:fill="auto"/>
            <w:vAlign w:val="center"/>
          </w:tcPr>
          <w:p w14:paraId="0CB5BF5A" w14:textId="77777777" w:rsidR="00E10737" w:rsidRPr="00F229BB" w:rsidRDefault="00E10737" w:rsidP="004179DE">
            <w:pPr>
              <w:autoSpaceDE w:val="0"/>
              <w:autoSpaceDN w:val="0"/>
              <w:adjustRightInd w:val="0"/>
              <w:jc w:val="center"/>
              <w:rPr>
                <w:sz w:val="20"/>
                <w:szCs w:val="20"/>
              </w:rPr>
            </w:pPr>
            <w:r w:rsidRPr="00CF79E0">
              <w:rPr>
                <w:sz w:val="18"/>
              </w:rPr>
              <w:t>01</w:t>
            </w:r>
          </w:p>
        </w:tc>
        <w:tc>
          <w:tcPr>
            <w:tcW w:w="2040" w:type="dxa"/>
            <w:shd w:val="clear" w:color="auto" w:fill="auto"/>
            <w:vAlign w:val="center"/>
          </w:tcPr>
          <w:p w14:paraId="337A9D70" w14:textId="6F507FF4" w:rsidR="00E10737" w:rsidRPr="000468FB" w:rsidRDefault="007D4FD2" w:rsidP="007D4FD2">
            <w:pPr>
              <w:autoSpaceDE w:val="0"/>
              <w:autoSpaceDN w:val="0"/>
              <w:adjustRightInd w:val="0"/>
              <w:jc w:val="center"/>
              <w:rPr>
                <w:sz w:val="18"/>
                <w:szCs w:val="18"/>
              </w:rPr>
            </w:pPr>
            <w:r>
              <w:rPr>
                <w:sz w:val="18"/>
                <w:szCs w:val="18"/>
              </w:rPr>
              <w:t>887 080 706,10</w:t>
            </w:r>
          </w:p>
        </w:tc>
      </w:tr>
      <w:tr w:rsidR="00E10737" w:rsidRPr="003A7F56" w14:paraId="7FFECB37" w14:textId="77777777" w:rsidTr="004179DE">
        <w:trPr>
          <w:trHeight w:val="255"/>
          <w:jc w:val="center"/>
        </w:trPr>
        <w:tc>
          <w:tcPr>
            <w:tcW w:w="4912" w:type="dxa"/>
            <w:vMerge/>
            <w:shd w:val="clear" w:color="auto" w:fill="auto"/>
            <w:vAlign w:val="center"/>
          </w:tcPr>
          <w:p w14:paraId="6D3C417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BA7673E" w14:textId="77777777" w:rsidR="00E10737" w:rsidRPr="00F229BB" w:rsidRDefault="00E10737" w:rsidP="004179DE">
            <w:pPr>
              <w:autoSpaceDE w:val="0"/>
              <w:autoSpaceDN w:val="0"/>
              <w:adjustRightInd w:val="0"/>
              <w:jc w:val="center"/>
              <w:rPr>
                <w:sz w:val="20"/>
                <w:szCs w:val="20"/>
              </w:rPr>
            </w:pPr>
            <w:r w:rsidRPr="00CF79E0">
              <w:rPr>
                <w:sz w:val="18"/>
              </w:rPr>
              <w:t>02</w:t>
            </w:r>
          </w:p>
        </w:tc>
        <w:tc>
          <w:tcPr>
            <w:tcW w:w="2040" w:type="dxa"/>
            <w:shd w:val="clear" w:color="auto" w:fill="auto"/>
            <w:vAlign w:val="center"/>
          </w:tcPr>
          <w:p w14:paraId="2030822D" w14:textId="7E499AB3" w:rsidR="00E10737" w:rsidRPr="000468FB" w:rsidRDefault="007D4FD2" w:rsidP="007D4FD2">
            <w:pPr>
              <w:autoSpaceDE w:val="0"/>
              <w:autoSpaceDN w:val="0"/>
              <w:adjustRightInd w:val="0"/>
              <w:jc w:val="center"/>
              <w:rPr>
                <w:sz w:val="18"/>
                <w:szCs w:val="18"/>
                <w:lang w:val="en-US"/>
              </w:rPr>
            </w:pPr>
            <w:r>
              <w:rPr>
                <w:sz w:val="18"/>
                <w:szCs w:val="18"/>
                <w:lang w:val="en-US"/>
              </w:rPr>
              <w:t>268 772 109,72</w:t>
            </w:r>
          </w:p>
        </w:tc>
      </w:tr>
      <w:tr w:rsidR="00E10737" w:rsidRPr="003A7F56" w14:paraId="09CA4455" w14:textId="77777777" w:rsidTr="004179DE">
        <w:trPr>
          <w:trHeight w:val="255"/>
          <w:jc w:val="center"/>
        </w:trPr>
        <w:tc>
          <w:tcPr>
            <w:tcW w:w="4912" w:type="dxa"/>
            <w:vMerge/>
            <w:shd w:val="clear" w:color="auto" w:fill="auto"/>
            <w:vAlign w:val="center"/>
          </w:tcPr>
          <w:p w14:paraId="6CC6F922"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8508CCE" w14:textId="77777777" w:rsidR="00E10737" w:rsidRPr="00F229BB" w:rsidRDefault="00E10737" w:rsidP="004179DE">
            <w:pPr>
              <w:autoSpaceDE w:val="0"/>
              <w:autoSpaceDN w:val="0"/>
              <w:adjustRightInd w:val="0"/>
              <w:jc w:val="center"/>
              <w:rPr>
                <w:sz w:val="20"/>
                <w:szCs w:val="20"/>
              </w:rPr>
            </w:pPr>
            <w:r w:rsidRPr="00CF79E0">
              <w:rPr>
                <w:sz w:val="18"/>
              </w:rPr>
              <w:t>03</w:t>
            </w:r>
          </w:p>
        </w:tc>
        <w:tc>
          <w:tcPr>
            <w:tcW w:w="2040" w:type="dxa"/>
            <w:shd w:val="clear" w:color="auto" w:fill="auto"/>
            <w:vAlign w:val="center"/>
          </w:tcPr>
          <w:p w14:paraId="353693A0" w14:textId="0AC279B3" w:rsidR="00E10737" w:rsidRPr="000468FB" w:rsidRDefault="00703880" w:rsidP="007D4FD2">
            <w:pPr>
              <w:autoSpaceDE w:val="0"/>
              <w:autoSpaceDN w:val="0"/>
              <w:adjustRightInd w:val="0"/>
              <w:jc w:val="center"/>
              <w:rPr>
                <w:sz w:val="18"/>
                <w:szCs w:val="18"/>
                <w:lang w:val="en-US"/>
              </w:rPr>
            </w:pPr>
            <w:r>
              <w:rPr>
                <w:sz w:val="18"/>
                <w:szCs w:val="18"/>
                <w:lang w:val="en-US"/>
              </w:rPr>
              <w:t>117 629 503,66</w:t>
            </w:r>
          </w:p>
        </w:tc>
      </w:tr>
      <w:tr w:rsidR="00E10737" w:rsidRPr="003A7F56" w14:paraId="3B10FC8D" w14:textId="77777777" w:rsidTr="004179DE">
        <w:trPr>
          <w:trHeight w:val="255"/>
          <w:jc w:val="center"/>
        </w:trPr>
        <w:tc>
          <w:tcPr>
            <w:tcW w:w="4912" w:type="dxa"/>
            <w:vMerge/>
            <w:shd w:val="clear" w:color="auto" w:fill="auto"/>
            <w:vAlign w:val="center"/>
          </w:tcPr>
          <w:p w14:paraId="2FAC373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CCFE823" w14:textId="77777777" w:rsidR="00E10737" w:rsidRPr="00F229BB" w:rsidRDefault="00E10737" w:rsidP="004179DE">
            <w:pPr>
              <w:autoSpaceDE w:val="0"/>
              <w:autoSpaceDN w:val="0"/>
              <w:adjustRightInd w:val="0"/>
              <w:jc w:val="center"/>
              <w:rPr>
                <w:sz w:val="20"/>
                <w:szCs w:val="20"/>
              </w:rPr>
            </w:pPr>
            <w:r w:rsidRPr="00CF79E0">
              <w:rPr>
                <w:sz w:val="18"/>
              </w:rPr>
              <w:t>04</w:t>
            </w:r>
          </w:p>
        </w:tc>
        <w:tc>
          <w:tcPr>
            <w:tcW w:w="2040" w:type="dxa"/>
            <w:shd w:val="clear" w:color="auto" w:fill="auto"/>
            <w:vAlign w:val="center"/>
          </w:tcPr>
          <w:p w14:paraId="4F0983C5" w14:textId="485AE329" w:rsidR="00E10737" w:rsidRPr="000468FB" w:rsidRDefault="00D3601B" w:rsidP="00D3601B">
            <w:pPr>
              <w:autoSpaceDE w:val="0"/>
              <w:autoSpaceDN w:val="0"/>
              <w:adjustRightInd w:val="0"/>
              <w:jc w:val="center"/>
              <w:rPr>
                <w:sz w:val="18"/>
                <w:szCs w:val="18"/>
              </w:rPr>
            </w:pPr>
            <w:r>
              <w:rPr>
                <w:sz w:val="18"/>
                <w:szCs w:val="18"/>
              </w:rPr>
              <w:t>13 680 650,77</w:t>
            </w:r>
          </w:p>
        </w:tc>
      </w:tr>
      <w:tr w:rsidR="00E10737" w:rsidRPr="003A7F56" w14:paraId="0CD64E04" w14:textId="77777777" w:rsidTr="004179DE">
        <w:trPr>
          <w:trHeight w:val="255"/>
          <w:jc w:val="center"/>
        </w:trPr>
        <w:tc>
          <w:tcPr>
            <w:tcW w:w="4912" w:type="dxa"/>
            <w:vMerge/>
            <w:shd w:val="clear" w:color="auto" w:fill="auto"/>
            <w:vAlign w:val="center"/>
          </w:tcPr>
          <w:p w14:paraId="15B57ADA"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E36B790" w14:textId="77777777" w:rsidR="00E10737" w:rsidRPr="00F229BB" w:rsidRDefault="00E10737" w:rsidP="004179DE">
            <w:pPr>
              <w:autoSpaceDE w:val="0"/>
              <w:autoSpaceDN w:val="0"/>
              <w:adjustRightInd w:val="0"/>
              <w:jc w:val="center"/>
              <w:rPr>
                <w:sz w:val="20"/>
                <w:szCs w:val="20"/>
              </w:rPr>
            </w:pPr>
            <w:r w:rsidRPr="00CF79E0">
              <w:rPr>
                <w:w w:val="110"/>
                <w:sz w:val="18"/>
              </w:rPr>
              <w:t>05</w:t>
            </w:r>
          </w:p>
        </w:tc>
        <w:tc>
          <w:tcPr>
            <w:tcW w:w="2040" w:type="dxa"/>
            <w:shd w:val="clear" w:color="auto" w:fill="auto"/>
            <w:vAlign w:val="center"/>
          </w:tcPr>
          <w:p w14:paraId="442CFC42" w14:textId="61C9779B" w:rsidR="00E10737" w:rsidRPr="000468FB" w:rsidRDefault="00D3601B" w:rsidP="00D3601B">
            <w:pPr>
              <w:autoSpaceDE w:val="0"/>
              <w:autoSpaceDN w:val="0"/>
              <w:adjustRightInd w:val="0"/>
              <w:jc w:val="center"/>
              <w:rPr>
                <w:sz w:val="18"/>
                <w:szCs w:val="18"/>
              </w:rPr>
            </w:pPr>
            <w:r>
              <w:rPr>
                <w:sz w:val="18"/>
                <w:szCs w:val="18"/>
              </w:rPr>
              <w:t>20 520 975,75</w:t>
            </w:r>
          </w:p>
        </w:tc>
      </w:tr>
    </w:tbl>
    <w:p w14:paraId="147BA15C"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5BFC8009" w14:textId="77777777" w:rsidTr="004179DE">
        <w:trPr>
          <w:trHeight w:val="255"/>
          <w:jc w:val="center"/>
        </w:trPr>
        <w:tc>
          <w:tcPr>
            <w:tcW w:w="9072" w:type="dxa"/>
            <w:gridSpan w:val="3"/>
            <w:shd w:val="clear" w:color="auto" w:fill="DBE5F1"/>
            <w:vAlign w:val="center"/>
          </w:tcPr>
          <w:p w14:paraId="65E9F8D9"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4 – Územné mechanizmy realizácie</w:t>
            </w:r>
          </w:p>
        </w:tc>
      </w:tr>
      <w:tr w:rsidR="00E10737" w:rsidRPr="003A7F56" w14:paraId="5AD9164E" w14:textId="77777777" w:rsidTr="004179DE">
        <w:trPr>
          <w:trHeight w:val="255"/>
          <w:jc w:val="center"/>
        </w:trPr>
        <w:tc>
          <w:tcPr>
            <w:tcW w:w="4912" w:type="dxa"/>
            <w:shd w:val="clear" w:color="auto" w:fill="DBE5F1"/>
            <w:vAlign w:val="center"/>
          </w:tcPr>
          <w:p w14:paraId="00C8C5FF"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31606A41"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379B40A2" w14:textId="77777777" w:rsidTr="004179DE">
        <w:trPr>
          <w:trHeight w:val="255"/>
          <w:jc w:val="center"/>
        </w:trPr>
        <w:tc>
          <w:tcPr>
            <w:tcW w:w="4912" w:type="dxa"/>
            <w:shd w:val="clear" w:color="auto" w:fill="DBE5F1"/>
            <w:vAlign w:val="center"/>
          </w:tcPr>
          <w:p w14:paraId="553999B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DCC09A8"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72C5C78E" w14:textId="77777777" w:rsidTr="004179DE">
        <w:trPr>
          <w:trHeight w:val="255"/>
          <w:jc w:val="center"/>
        </w:trPr>
        <w:tc>
          <w:tcPr>
            <w:tcW w:w="4912" w:type="dxa"/>
            <w:shd w:val="clear" w:color="auto" w:fill="auto"/>
            <w:vAlign w:val="center"/>
          </w:tcPr>
          <w:p w14:paraId="5A0B4F15"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7EE5B65C"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4D91F08A"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73A08083" w14:textId="77777777" w:rsidTr="004179DE">
        <w:trPr>
          <w:trHeight w:val="255"/>
          <w:jc w:val="center"/>
        </w:trPr>
        <w:tc>
          <w:tcPr>
            <w:tcW w:w="4912" w:type="dxa"/>
            <w:shd w:val="clear" w:color="auto" w:fill="auto"/>
            <w:vAlign w:val="center"/>
          </w:tcPr>
          <w:p w14:paraId="2885823B"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9</w:t>
            </w:r>
            <w:r w:rsidRPr="003A7F56">
              <w:rPr>
                <w:rFonts w:ascii="TimesNewRoman" w:hAnsi="TimesNewRoman" w:cs="TimesNewRoman"/>
                <w:sz w:val="20"/>
                <w:szCs w:val="20"/>
              </w:rPr>
              <w:t xml:space="preserve"> – </w:t>
            </w:r>
            <w:r w:rsidRPr="00F72E4C">
              <w:rPr>
                <w:rFonts w:ascii="TimesNewRoman" w:hAnsi="TimesNewRoman" w:cs="TimesNewRoman"/>
                <w:sz w:val="20"/>
                <w:szCs w:val="20"/>
              </w:rPr>
              <w:t>Podpora výskumu, vývoja a inovácií</w:t>
            </w:r>
          </w:p>
        </w:tc>
        <w:tc>
          <w:tcPr>
            <w:tcW w:w="2120" w:type="dxa"/>
            <w:shd w:val="clear" w:color="auto" w:fill="auto"/>
            <w:vAlign w:val="center"/>
          </w:tcPr>
          <w:p w14:paraId="24E1DDCA" w14:textId="77777777" w:rsidR="00E10737" w:rsidRPr="00F229BB" w:rsidRDefault="00E10737" w:rsidP="004179DE">
            <w:pPr>
              <w:autoSpaceDE w:val="0"/>
              <w:autoSpaceDN w:val="0"/>
              <w:adjustRightInd w:val="0"/>
              <w:jc w:val="center"/>
              <w:rPr>
                <w:sz w:val="20"/>
                <w:szCs w:val="20"/>
              </w:rPr>
            </w:pPr>
            <w:r w:rsidRPr="00CF79E0">
              <w:rPr>
                <w:sz w:val="18"/>
              </w:rPr>
              <w:t>07</w:t>
            </w:r>
          </w:p>
        </w:tc>
        <w:tc>
          <w:tcPr>
            <w:tcW w:w="2040" w:type="dxa"/>
            <w:shd w:val="clear" w:color="auto" w:fill="auto"/>
            <w:vAlign w:val="center"/>
          </w:tcPr>
          <w:p w14:paraId="08064562" w14:textId="08FE5BBD" w:rsidR="00E10737" w:rsidRPr="000468FB" w:rsidRDefault="00D02F8C" w:rsidP="00D3601B">
            <w:pPr>
              <w:autoSpaceDE w:val="0"/>
              <w:autoSpaceDN w:val="0"/>
              <w:adjustRightInd w:val="0"/>
              <w:jc w:val="center"/>
              <w:rPr>
                <w:sz w:val="18"/>
                <w:szCs w:val="18"/>
              </w:rPr>
            </w:pPr>
            <w:r>
              <w:rPr>
                <w:sz w:val="20"/>
                <w:szCs w:val="20"/>
              </w:rPr>
              <w:t xml:space="preserve"> </w:t>
            </w:r>
            <w:r w:rsidR="00D3601B">
              <w:rPr>
                <w:sz w:val="20"/>
                <w:szCs w:val="20"/>
              </w:rPr>
              <w:t>1 307 683 946,00</w:t>
            </w:r>
          </w:p>
        </w:tc>
      </w:tr>
    </w:tbl>
    <w:p w14:paraId="6F6F1F78" w14:textId="77777777" w:rsidR="00E10737" w:rsidRDefault="00E10737" w:rsidP="00E10737">
      <w:pPr>
        <w:pStyle w:val="Nadpis3"/>
        <w:tabs>
          <w:tab w:val="clear" w:pos="709"/>
        </w:tabs>
        <w:jc w:val="both"/>
      </w:pPr>
      <w:bookmarkStart w:id="101" w:name="_Toc21945913"/>
      <w:bookmarkStart w:id="102" w:name="_Toc28951646"/>
      <w:r w:rsidRPr="00F229BB">
        <w:t xml:space="preserve">Prehľad o plánovanom použití technickej pomoci, vrátane aktivít na posilnenie administratívnej kapacity orgánov a prijímateľov prioritnej osi </w:t>
      </w:r>
      <w:r>
        <w:t>9</w:t>
      </w:r>
      <w:bookmarkEnd w:id="101"/>
      <w:bookmarkEnd w:id="102"/>
    </w:p>
    <w:p w14:paraId="15171E6E" w14:textId="77777777" w:rsidR="00E10737" w:rsidRDefault="00E10737" w:rsidP="00E10737">
      <w:pPr>
        <w:jc w:val="both"/>
        <w:rPr>
          <w:szCs w:val="22"/>
        </w:rPr>
      </w:pPr>
      <w:r w:rsidRPr="00CF79E0">
        <w:rPr>
          <w:sz w:val="22"/>
          <w:szCs w:val="22"/>
        </w:rPr>
        <w:t xml:space="preserve">Pre prioritnú os </w:t>
      </w:r>
      <w:r>
        <w:rPr>
          <w:sz w:val="22"/>
          <w:szCs w:val="22"/>
        </w:rPr>
        <w:t>9</w:t>
      </w:r>
      <w:r w:rsidRPr="00CF79E0">
        <w:rPr>
          <w:sz w:val="22"/>
          <w:szCs w:val="22"/>
        </w:rPr>
        <w:t xml:space="preserve"> bude využívaná technická pomoc na špecifi</w:t>
      </w:r>
      <w:r w:rsidRPr="00F229BB">
        <w:rPr>
          <w:sz w:val="22"/>
          <w:szCs w:val="22"/>
        </w:rPr>
        <w:t>cké aktivity súvisiace najmä so </w:t>
      </w:r>
      <w:r w:rsidRPr="00CF79E0">
        <w:rPr>
          <w:sz w:val="22"/>
          <w:szCs w:val="22"/>
        </w:rPr>
        <w:t>schvaľovacím procesom žiadostí o príspevok, v rámci ktorých budú využívaní zahraničný experti. Pre posúdenie pokračovania v aktivitách, ktoré začali v programovom období 2007 – 2013 budú pre potreby efektívneho nastavenia aktivít v rámci projektov systémového charakteru realizované štúdie uskutočniteľnosti a realizované hodnotenia za účasti expertov v relevantných oblastiach podpory.</w:t>
      </w:r>
    </w:p>
    <w:p w14:paraId="32F721BA" w14:textId="77777777" w:rsidR="00E10737" w:rsidRDefault="00E10737" w:rsidP="00E10737">
      <w:pPr>
        <w:jc w:val="both"/>
        <w:rPr>
          <w:szCs w:val="22"/>
        </w:rPr>
        <w:sectPr w:rsidR="00E10737" w:rsidSect="00D1658B">
          <w:headerReference w:type="default" r:id="rId32"/>
          <w:pgSz w:w="11906" w:h="16838"/>
          <w:pgMar w:top="1418" w:right="1361" w:bottom="1304" w:left="1474" w:header="709" w:footer="709" w:gutter="0"/>
          <w:cols w:space="708"/>
          <w:docGrid w:linePitch="360"/>
        </w:sectPr>
      </w:pPr>
    </w:p>
    <w:p w14:paraId="4DD5A626" w14:textId="77777777" w:rsidR="00E10737" w:rsidRPr="008E22E0" w:rsidRDefault="00E10737" w:rsidP="00E10737">
      <w:pPr>
        <w:pStyle w:val="Nadpis2"/>
        <w:tabs>
          <w:tab w:val="clear" w:pos="709"/>
          <w:tab w:val="clear" w:pos="851"/>
        </w:tabs>
      </w:pPr>
      <w:bookmarkStart w:id="103" w:name="_Toc21945914"/>
      <w:bookmarkStart w:id="104" w:name="_Toc28951647"/>
      <w:r>
        <w:lastRenderedPageBreak/>
        <w:t>PRIORITNÁ OS 10: PODPORA VÝSKUMU, VÝVOJA A INOVÁCIÍ V BRATISLAVSKOM KRAJI</w:t>
      </w:r>
      <w:bookmarkEnd w:id="103"/>
      <w:bookmarkEnd w:id="104"/>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9"/>
        <w:gridCol w:w="6803"/>
      </w:tblGrid>
      <w:tr w:rsidR="00E10737" w14:paraId="4AB6D7A6" w14:textId="77777777" w:rsidTr="004179DE">
        <w:trPr>
          <w:trHeight w:val="284"/>
          <w:jc w:val="center"/>
        </w:trPr>
        <w:tc>
          <w:tcPr>
            <w:tcW w:w="2269" w:type="dxa"/>
            <w:shd w:val="clear" w:color="auto" w:fill="DBE5F1" w:themeFill="accent1" w:themeFillTint="33"/>
            <w:vAlign w:val="center"/>
          </w:tcPr>
          <w:p w14:paraId="1853E7E2" w14:textId="77777777" w:rsidR="00E10737" w:rsidRDefault="00E10737" w:rsidP="004179DE">
            <w:pPr>
              <w:ind w:left="0"/>
            </w:pPr>
            <w:r w:rsidRPr="00863337">
              <w:rPr>
                <w:b/>
                <w:i/>
                <w:sz w:val="20"/>
                <w:szCs w:val="20"/>
              </w:rPr>
              <w:t>ID prioritnej osi</w:t>
            </w:r>
          </w:p>
        </w:tc>
        <w:tc>
          <w:tcPr>
            <w:tcW w:w="6803" w:type="dxa"/>
            <w:vAlign w:val="center"/>
          </w:tcPr>
          <w:p w14:paraId="65F3880A" w14:textId="77777777" w:rsidR="00E10737" w:rsidRDefault="00E10737" w:rsidP="004179DE">
            <w:pPr>
              <w:pStyle w:val="PRIORITNA"/>
              <w:numPr>
                <w:ilvl w:val="0"/>
                <w:numId w:val="0"/>
              </w:numPr>
              <w:spacing w:after="0"/>
              <w:jc w:val="left"/>
            </w:pPr>
            <w:r>
              <w:t>10</w:t>
            </w:r>
          </w:p>
        </w:tc>
      </w:tr>
      <w:tr w:rsidR="00E10737" w14:paraId="05DD46FC" w14:textId="77777777" w:rsidTr="004179DE">
        <w:trPr>
          <w:trHeight w:val="284"/>
          <w:jc w:val="center"/>
        </w:trPr>
        <w:tc>
          <w:tcPr>
            <w:tcW w:w="2269" w:type="dxa"/>
            <w:shd w:val="clear" w:color="auto" w:fill="DBE5F1" w:themeFill="accent1" w:themeFillTint="33"/>
            <w:vAlign w:val="center"/>
          </w:tcPr>
          <w:p w14:paraId="637BEA59" w14:textId="77777777" w:rsidR="00E10737" w:rsidRPr="003D6170" w:rsidRDefault="00E10737" w:rsidP="004179DE">
            <w:pPr>
              <w:ind w:left="0"/>
            </w:pPr>
            <w:r w:rsidRPr="003D6170">
              <w:rPr>
                <w:b/>
                <w:i/>
                <w:sz w:val="20"/>
                <w:szCs w:val="20"/>
              </w:rPr>
              <w:t>Názov prioritnej osi</w:t>
            </w:r>
          </w:p>
        </w:tc>
        <w:tc>
          <w:tcPr>
            <w:tcW w:w="6803" w:type="dxa"/>
            <w:vAlign w:val="center"/>
          </w:tcPr>
          <w:p w14:paraId="23DA3984" w14:textId="77777777" w:rsidR="00E10737" w:rsidRPr="00750A42" w:rsidRDefault="00E10737" w:rsidP="004179DE">
            <w:pPr>
              <w:ind w:left="0"/>
              <w:rPr>
                <w:sz w:val="20"/>
                <w:szCs w:val="20"/>
              </w:rPr>
            </w:pPr>
            <w:r>
              <w:rPr>
                <w:sz w:val="20"/>
                <w:szCs w:val="20"/>
              </w:rPr>
              <w:t>Podpora výskumu, vývoja a inovácií v Bratislavskom kraji</w:t>
            </w:r>
          </w:p>
        </w:tc>
      </w:tr>
    </w:tbl>
    <w:p w14:paraId="14F8F6B5" w14:textId="77777777" w:rsidR="00E10737" w:rsidRDefault="00E10737" w:rsidP="00E10737">
      <w:pPr>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10737" w:rsidRPr="00765DFA" w14:paraId="48425492" w14:textId="77777777" w:rsidTr="004179DE">
        <w:trPr>
          <w:trHeight w:val="255"/>
          <w:jc w:val="center"/>
        </w:trPr>
        <w:tc>
          <w:tcPr>
            <w:tcW w:w="5024" w:type="dxa"/>
            <w:shd w:val="clear" w:color="auto" w:fill="DBE5F1" w:themeFill="accent1" w:themeFillTint="33"/>
            <w:vAlign w:val="center"/>
          </w:tcPr>
          <w:p w14:paraId="2E1D4A55" w14:textId="77777777" w:rsidR="00E10737" w:rsidRPr="00765DFA" w:rsidRDefault="00E10737" w:rsidP="004179DE">
            <w:pPr>
              <w:ind w:left="0"/>
              <w:rPr>
                <w:b/>
                <w:i/>
                <w:sz w:val="20"/>
                <w:szCs w:val="20"/>
              </w:rPr>
            </w:pPr>
            <w:r>
              <w:rPr>
                <w:b/>
                <w:i/>
                <w:sz w:val="20"/>
                <w:szCs w:val="20"/>
              </w:rPr>
              <w:t xml:space="preserve">Celá prioritná os bude realizovaná výhradne prostredníctvom finančných nástrojov </w:t>
            </w:r>
          </w:p>
        </w:tc>
        <w:tc>
          <w:tcPr>
            <w:tcW w:w="4048" w:type="dxa"/>
            <w:vAlign w:val="center"/>
          </w:tcPr>
          <w:p w14:paraId="34B96AC8" w14:textId="77777777" w:rsidR="00E10737" w:rsidRPr="00765DFA" w:rsidRDefault="00E10737" w:rsidP="004179DE">
            <w:pPr>
              <w:ind w:left="0"/>
              <w:rPr>
                <w:sz w:val="20"/>
                <w:szCs w:val="20"/>
              </w:rPr>
            </w:pPr>
            <w:r>
              <w:rPr>
                <w:sz w:val="20"/>
                <w:szCs w:val="20"/>
              </w:rPr>
              <w:t>N/A</w:t>
            </w:r>
          </w:p>
        </w:tc>
      </w:tr>
      <w:tr w:rsidR="00E10737" w:rsidRPr="00765DFA" w14:paraId="2D756A49" w14:textId="77777777" w:rsidTr="004179DE">
        <w:trPr>
          <w:trHeight w:val="255"/>
          <w:jc w:val="center"/>
        </w:trPr>
        <w:tc>
          <w:tcPr>
            <w:tcW w:w="5024" w:type="dxa"/>
            <w:shd w:val="clear" w:color="auto" w:fill="DBE5F1" w:themeFill="accent1" w:themeFillTint="33"/>
            <w:vAlign w:val="center"/>
          </w:tcPr>
          <w:p w14:paraId="33B33DAE" w14:textId="77777777" w:rsidR="00E10737" w:rsidRPr="00765DFA" w:rsidRDefault="00E10737" w:rsidP="004179DE">
            <w:pPr>
              <w:ind w:left="0"/>
              <w:rPr>
                <w:b/>
                <w:i/>
                <w:sz w:val="20"/>
                <w:szCs w:val="20"/>
              </w:rPr>
            </w:pPr>
            <w:r>
              <w:rPr>
                <w:b/>
                <w:i/>
                <w:sz w:val="20"/>
                <w:szCs w:val="20"/>
              </w:rPr>
              <w:t>Celá prioritná os bude realizovaná výhradne prostredníctvom finančných nástrojov vytvorených na úrovni Únie</w:t>
            </w:r>
          </w:p>
        </w:tc>
        <w:tc>
          <w:tcPr>
            <w:tcW w:w="4048" w:type="dxa"/>
            <w:vAlign w:val="center"/>
          </w:tcPr>
          <w:p w14:paraId="7E52117A" w14:textId="77777777" w:rsidR="00E10737" w:rsidRPr="00765DFA" w:rsidRDefault="00E10737" w:rsidP="004179DE">
            <w:pPr>
              <w:ind w:left="0"/>
              <w:rPr>
                <w:sz w:val="20"/>
                <w:szCs w:val="20"/>
              </w:rPr>
            </w:pPr>
            <w:r>
              <w:rPr>
                <w:sz w:val="20"/>
                <w:szCs w:val="20"/>
              </w:rPr>
              <w:t>N/A</w:t>
            </w:r>
          </w:p>
        </w:tc>
      </w:tr>
      <w:tr w:rsidR="00E10737" w:rsidRPr="00750A42" w14:paraId="224AA2B2" w14:textId="77777777" w:rsidTr="004179DE">
        <w:trPr>
          <w:trHeight w:val="70"/>
          <w:jc w:val="center"/>
        </w:trPr>
        <w:tc>
          <w:tcPr>
            <w:tcW w:w="5024" w:type="dxa"/>
            <w:shd w:val="clear" w:color="auto" w:fill="DBE5F1" w:themeFill="accent1" w:themeFillTint="33"/>
            <w:vAlign w:val="center"/>
          </w:tcPr>
          <w:p w14:paraId="0C7B3AD4" w14:textId="77777777" w:rsidR="00E10737" w:rsidRPr="00765DFA" w:rsidRDefault="00E10737" w:rsidP="004179DE">
            <w:pPr>
              <w:ind w:left="0"/>
              <w:rPr>
                <w:b/>
                <w:i/>
                <w:sz w:val="20"/>
                <w:szCs w:val="20"/>
              </w:rPr>
            </w:pPr>
            <w:r>
              <w:rPr>
                <w:b/>
                <w:i/>
                <w:sz w:val="20"/>
                <w:szCs w:val="20"/>
              </w:rPr>
              <w:t>Celá prioritná os bude realizovaná prostredníctvom komunitne vedeného miestneho rozvoja</w:t>
            </w:r>
          </w:p>
        </w:tc>
        <w:tc>
          <w:tcPr>
            <w:tcW w:w="4048" w:type="dxa"/>
            <w:vAlign w:val="center"/>
          </w:tcPr>
          <w:p w14:paraId="6E8C955A" w14:textId="77777777" w:rsidR="00E10737" w:rsidRPr="00750A42" w:rsidRDefault="00E10737" w:rsidP="004179DE">
            <w:pPr>
              <w:ind w:left="0"/>
              <w:rPr>
                <w:sz w:val="20"/>
                <w:szCs w:val="20"/>
              </w:rPr>
            </w:pPr>
            <w:r>
              <w:rPr>
                <w:sz w:val="20"/>
                <w:szCs w:val="20"/>
              </w:rPr>
              <w:t>Nie</w:t>
            </w:r>
          </w:p>
        </w:tc>
      </w:tr>
      <w:tr w:rsidR="00E10737" w:rsidRPr="00765DFA" w14:paraId="7AEA77F5" w14:textId="77777777" w:rsidTr="004179DE">
        <w:trPr>
          <w:jc w:val="center"/>
        </w:trPr>
        <w:tc>
          <w:tcPr>
            <w:tcW w:w="5024" w:type="dxa"/>
            <w:shd w:val="clear" w:color="auto" w:fill="DBE5F1" w:themeFill="accent1" w:themeFillTint="33"/>
          </w:tcPr>
          <w:p w14:paraId="24504A07" w14:textId="77777777" w:rsidR="00E10737" w:rsidRPr="00765DFA" w:rsidRDefault="00E10737" w:rsidP="004179DE">
            <w:pPr>
              <w:ind w:left="0"/>
              <w:rPr>
                <w:b/>
                <w:i/>
                <w:sz w:val="20"/>
                <w:szCs w:val="20"/>
              </w:rPr>
            </w:pPr>
            <w:r>
              <w:rPr>
                <w:b/>
                <w:i/>
                <w:sz w:val="20"/>
                <w:szCs w:val="20"/>
              </w:rPr>
              <w:t>Pre ESF: Celá prioritná os je zameraná na sociálnu inováciu alebo nadnárodnú spoluprácu, alebo oboje</w:t>
            </w:r>
          </w:p>
        </w:tc>
        <w:tc>
          <w:tcPr>
            <w:tcW w:w="4048" w:type="dxa"/>
            <w:vAlign w:val="center"/>
          </w:tcPr>
          <w:p w14:paraId="3734AD55" w14:textId="77777777" w:rsidR="00E10737" w:rsidRPr="00765DFA" w:rsidRDefault="00E10737" w:rsidP="004179DE">
            <w:pPr>
              <w:ind w:left="0"/>
              <w:rPr>
                <w:sz w:val="20"/>
                <w:szCs w:val="20"/>
              </w:rPr>
            </w:pPr>
            <w:r>
              <w:rPr>
                <w:sz w:val="20"/>
                <w:szCs w:val="20"/>
              </w:rPr>
              <w:t>N/A</w:t>
            </w:r>
          </w:p>
        </w:tc>
      </w:tr>
    </w:tbl>
    <w:p w14:paraId="1008E94B" w14:textId="77777777" w:rsidR="00E10737" w:rsidRPr="007F1C63" w:rsidRDefault="00E10737" w:rsidP="00E10737">
      <w:pPr>
        <w:pStyle w:val="Nadpis3"/>
      </w:pPr>
      <w:bookmarkStart w:id="105" w:name="_Toc21945915"/>
      <w:bookmarkStart w:id="106" w:name="_Toc28951648"/>
      <w:r w:rsidRPr="007F1C63">
        <w:t>Fond, kategória regiónu a základ pre výpočet podpory Únie</w:t>
      </w:r>
      <w:bookmarkEnd w:id="105"/>
      <w:bookmarkEnd w:id="106"/>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10737" w:rsidRPr="007F1C63" w14:paraId="38C91682" w14:textId="77777777" w:rsidTr="004179DE">
        <w:trPr>
          <w:trHeight w:val="255"/>
          <w:jc w:val="center"/>
        </w:trPr>
        <w:tc>
          <w:tcPr>
            <w:tcW w:w="4042" w:type="dxa"/>
            <w:shd w:val="clear" w:color="auto" w:fill="DBE5F1" w:themeFill="accent1" w:themeFillTint="33"/>
            <w:vAlign w:val="center"/>
          </w:tcPr>
          <w:p w14:paraId="40EA9C51" w14:textId="77777777" w:rsidR="00E10737" w:rsidRPr="007F1C63" w:rsidRDefault="00E10737" w:rsidP="004179DE">
            <w:pPr>
              <w:ind w:left="0"/>
              <w:rPr>
                <w:b/>
                <w:i/>
                <w:sz w:val="20"/>
                <w:szCs w:val="20"/>
              </w:rPr>
            </w:pPr>
            <w:r w:rsidRPr="007F1C63">
              <w:rPr>
                <w:b/>
                <w:i/>
                <w:sz w:val="20"/>
                <w:szCs w:val="20"/>
              </w:rPr>
              <w:t>Fond</w:t>
            </w:r>
          </w:p>
        </w:tc>
        <w:tc>
          <w:tcPr>
            <w:tcW w:w="3361" w:type="dxa"/>
            <w:vAlign w:val="center"/>
          </w:tcPr>
          <w:p w14:paraId="037BA081" w14:textId="77777777" w:rsidR="00E10737" w:rsidRPr="007F1C63" w:rsidRDefault="00E10737" w:rsidP="004179DE">
            <w:pPr>
              <w:ind w:left="0"/>
              <w:rPr>
                <w:sz w:val="20"/>
                <w:szCs w:val="20"/>
              </w:rPr>
            </w:pPr>
            <w:r w:rsidRPr="007F1C63">
              <w:rPr>
                <w:sz w:val="20"/>
                <w:szCs w:val="20"/>
              </w:rPr>
              <w:t>EFRR</w:t>
            </w:r>
          </w:p>
        </w:tc>
      </w:tr>
      <w:tr w:rsidR="00E10737" w:rsidRPr="007F1C63" w14:paraId="5C616D0A" w14:textId="77777777" w:rsidTr="004179DE">
        <w:trPr>
          <w:trHeight w:val="255"/>
          <w:jc w:val="center"/>
        </w:trPr>
        <w:tc>
          <w:tcPr>
            <w:tcW w:w="4042" w:type="dxa"/>
            <w:shd w:val="clear" w:color="auto" w:fill="DBE5F1" w:themeFill="accent1" w:themeFillTint="33"/>
            <w:vAlign w:val="center"/>
          </w:tcPr>
          <w:p w14:paraId="1571420F" w14:textId="77777777" w:rsidR="00E10737" w:rsidRPr="007F1C63" w:rsidRDefault="00E10737" w:rsidP="004179DE">
            <w:pPr>
              <w:ind w:left="0"/>
              <w:rPr>
                <w:b/>
                <w:i/>
                <w:sz w:val="20"/>
                <w:szCs w:val="20"/>
              </w:rPr>
            </w:pPr>
            <w:r w:rsidRPr="007F1C63">
              <w:rPr>
                <w:b/>
                <w:i/>
                <w:sz w:val="20"/>
                <w:szCs w:val="20"/>
              </w:rPr>
              <w:t>Kategória regiónu</w:t>
            </w:r>
          </w:p>
        </w:tc>
        <w:tc>
          <w:tcPr>
            <w:tcW w:w="3361" w:type="dxa"/>
            <w:vAlign w:val="center"/>
          </w:tcPr>
          <w:p w14:paraId="35000235" w14:textId="1C2C5506" w:rsidR="00E10737" w:rsidRPr="007F1C63" w:rsidRDefault="009F5E12" w:rsidP="004179DE">
            <w:pPr>
              <w:ind w:left="0"/>
              <w:rPr>
                <w:sz w:val="20"/>
                <w:szCs w:val="20"/>
              </w:rPr>
            </w:pPr>
            <w:r>
              <w:rPr>
                <w:sz w:val="20"/>
                <w:szCs w:val="20"/>
              </w:rPr>
              <w:t>Rozvinutejší</w:t>
            </w:r>
          </w:p>
        </w:tc>
      </w:tr>
      <w:tr w:rsidR="00E10737" w:rsidRPr="007F1C63" w14:paraId="042703FC" w14:textId="77777777" w:rsidTr="004179DE">
        <w:trPr>
          <w:trHeight w:val="255"/>
          <w:jc w:val="center"/>
        </w:trPr>
        <w:tc>
          <w:tcPr>
            <w:tcW w:w="4042" w:type="dxa"/>
            <w:shd w:val="clear" w:color="auto" w:fill="DBE5F1" w:themeFill="accent1" w:themeFillTint="33"/>
            <w:vAlign w:val="center"/>
          </w:tcPr>
          <w:p w14:paraId="20A104E8" w14:textId="77777777" w:rsidR="00E10737" w:rsidRPr="007F1C63" w:rsidRDefault="00E10737" w:rsidP="004179DE">
            <w:pPr>
              <w:ind w:left="0"/>
              <w:rPr>
                <w:b/>
                <w:i/>
                <w:sz w:val="20"/>
                <w:szCs w:val="20"/>
              </w:rPr>
            </w:pPr>
            <w:r w:rsidRPr="007F1C63">
              <w:rPr>
                <w:b/>
                <w:i/>
                <w:sz w:val="20"/>
                <w:szCs w:val="20"/>
              </w:rPr>
              <w:t>Základ pre výpočet (celkový príspevok)</w:t>
            </w:r>
          </w:p>
        </w:tc>
        <w:tc>
          <w:tcPr>
            <w:tcW w:w="3361" w:type="dxa"/>
            <w:vAlign w:val="center"/>
          </w:tcPr>
          <w:p w14:paraId="5C45FDD0" w14:textId="4F7F3D57" w:rsidR="00E10737" w:rsidRPr="007F1C63" w:rsidRDefault="00D3601B" w:rsidP="00D3601B">
            <w:pPr>
              <w:ind w:left="0"/>
              <w:rPr>
                <w:sz w:val="20"/>
                <w:szCs w:val="20"/>
                <w:lang w:val="en-US"/>
              </w:rPr>
            </w:pPr>
            <w:r>
              <w:rPr>
                <w:sz w:val="20"/>
                <w:szCs w:val="20"/>
              </w:rPr>
              <w:t>122 425 015</w:t>
            </w:r>
            <w:r w:rsidR="00E10737">
              <w:rPr>
                <w:sz w:val="20"/>
                <w:szCs w:val="20"/>
              </w:rPr>
              <w:t xml:space="preserve"> EUR</w:t>
            </w:r>
          </w:p>
        </w:tc>
      </w:tr>
      <w:tr w:rsidR="00E10737" w:rsidRPr="007F1C63" w14:paraId="5DEF9602" w14:textId="77777777" w:rsidTr="004179DE">
        <w:trPr>
          <w:trHeight w:val="255"/>
          <w:jc w:val="center"/>
        </w:trPr>
        <w:tc>
          <w:tcPr>
            <w:tcW w:w="4042" w:type="dxa"/>
            <w:shd w:val="clear" w:color="auto" w:fill="DBE5F1" w:themeFill="accent1" w:themeFillTint="33"/>
          </w:tcPr>
          <w:p w14:paraId="67D091D8" w14:textId="77777777" w:rsidR="00E10737" w:rsidRPr="007F1C63" w:rsidRDefault="00E10737" w:rsidP="004179DE">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14:paraId="4777E741" w14:textId="77777777" w:rsidR="00E10737" w:rsidRPr="007F1C63" w:rsidRDefault="00E10737" w:rsidP="004179DE">
            <w:pPr>
              <w:ind w:left="0"/>
              <w:rPr>
                <w:sz w:val="20"/>
                <w:szCs w:val="20"/>
              </w:rPr>
            </w:pPr>
            <w:r w:rsidRPr="007F1C63">
              <w:rPr>
                <w:sz w:val="20"/>
                <w:szCs w:val="20"/>
              </w:rPr>
              <w:t>N/A</w:t>
            </w:r>
          </w:p>
        </w:tc>
      </w:tr>
    </w:tbl>
    <w:p w14:paraId="4B5AAC0F" w14:textId="77777777" w:rsidR="00E10737" w:rsidRPr="007F1C63" w:rsidRDefault="00E10737" w:rsidP="00E10737">
      <w:pPr>
        <w:rPr>
          <w:sz w:val="22"/>
          <w:szCs w:val="22"/>
        </w:rPr>
      </w:pPr>
    </w:p>
    <w:p w14:paraId="7087936A" w14:textId="564EE343" w:rsidR="00E10737" w:rsidRDefault="00E10737" w:rsidP="00E10737">
      <w:pPr>
        <w:pStyle w:val="Nadpis3"/>
        <w:tabs>
          <w:tab w:val="clear" w:pos="709"/>
          <w:tab w:val="clear" w:pos="851"/>
        </w:tabs>
        <w:jc w:val="both"/>
      </w:pPr>
      <w:bookmarkStart w:id="107" w:name="_Toc21945916"/>
      <w:bookmarkStart w:id="108" w:name="_Toc28951649"/>
      <w:r>
        <w:t xml:space="preserve">INVESTIČNÁ PRIORITA </w:t>
      </w:r>
      <w:r w:rsidR="00BA362D">
        <w:t>1a)</w:t>
      </w:r>
      <w:r>
        <w:t xml:space="preserve">: </w:t>
      </w:r>
      <w:r w:rsidRPr="00CF79E0">
        <w:t>Rozšírenie výskumnej a inovačnej infraštruktúry a kapacít na</w:t>
      </w:r>
      <w:r>
        <w:t> </w:t>
      </w:r>
      <w:r w:rsidRPr="00CF79E0">
        <w:t>rozvoj excelentnosti v oblasti výskumu a inovácií a podpora kompetenčných centier, najmä takýchto centier európskeho záujmu</w:t>
      </w:r>
      <w:bookmarkEnd w:id="107"/>
      <w:bookmarkEnd w:id="108"/>
    </w:p>
    <w:p w14:paraId="1C2F2CCA" w14:textId="77777777" w:rsidR="00E10737" w:rsidRDefault="00E10737" w:rsidP="00E10737">
      <w:pPr>
        <w:pStyle w:val="tl3"/>
        <w:tabs>
          <w:tab w:val="clear" w:pos="709"/>
          <w:tab w:val="clear" w:pos="864"/>
        </w:tabs>
        <w:ind w:left="851" w:hanging="851"/>
      </w:pPr>
      <w:r>
        <w:t>Špecifické ciele investičnej priority a očakávané výsledky</w:t>
      </w:r>
    </w:p>
    <w:p w14:paraId="58D60EC8" w14:textId="39E22B2B" w:rsidR="00E10737" w:rsidRDefault="00E10737" w:rsidP="00E10737">
      <w:pPr>
        <w:shd w:val="clear" w:color="auto" w:fill="FFFFCC"/>
        <w:spacing w:before="120"/>
        <w:jc w:val="both"/>
        <w:rPr>
          <w:b/>
          <w:i/>
        </w:rPr>
      </w:pPr>
      <w:r w:rsidRPr="004F0234">
        <w:rPr>
          <w:i/>
        </w:rPr>
        <w:t xml:space="preserve">ŠPECIFICKÝ CIEĽ </w:t>
      </w:r>
      <w:r>
        <w:rPr>
          <w:i/>
        </w:rPr>
        <w:t>10.1</w:t>
      </w:r>
      <w:r w:rsidRPr="004F0234">
        <w:rPr>
          <w:i/>
        </w:rPr>
        <w:t>:</w:t>
      </w:r>
      <w:r>
        <w:rPr>
          <w:i/>
        </w:rPr>
        <w:t xml:space="preserve"> </w:t>
      </w:r>
      <w:r w:rsidRPr="00CF79E0">
        <w:rPr>
          <w:b/>
          <w:i/>
          <w:w w:val="95"/>
        </w:rPr>
        <w:t>Zvýšenie výskumnej aktivity Bratislavského kraja prostredníctvom revitalizácie a posilnenia výskumno-vzdelávacích, inovačných a podnikateľských kapacít výskumných inštitúcií v Bratislave</w:t>
      </w:r>
    </w:p>
    <w:p w14:paraId="270200D9" w14:textId="77777777" w:rsidR="00E10737" w:rsidRDefault="00E10737" w:rsidP="00E10737">
      <w:pPr>
        <w:jc w:val="both"/>
        <w:rPr>
          <w:w w:val="105"/>
        </w:rPr>
      </w:pPr>
    </w:p>
    <w:p w14:paraId="12E757C8" w14:textId="77777777" w:rsidR="00E10737" w:rsidRPr="005F66C2" w:rsidRDefault="00E10737" w:rsidP="00E10737">
      <w:pPr>
        <w:jc w:val="both"/>
        <w:rPr>
          <w:b/>
          <w:i/>
          <w:sz w:val="22"/>
          <w:szCs w:val="22"/>
        </w:rPr>
      </w:pPr>
      <w:r w:rsidRPr="00CF79E0">
        <w:rPr>
          <w:sz w:val="22"/>
          <w:szCs w:val="22"/>
        </w:rPr>
        <w:t>Špecifický cieľ je zameraný na revitalizáciu vzdelávacích a VaI kapacít najväčších výskumných univerzít, SAV a ďalších výskumných inštitúcií sídliacich v BSK tak, aby boli výraznejšie angažované do medzinárodnej spolupráce a spolupráce s podnikateľskou sférou v doménach inteligentnej špecializácie RIS3 SK.</w:t>
      </w:r>
    </w:p>
    <w:p w14:paraId="501F4A0E"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5B68CFFA" w14:textId="2D816373" w:rsidR="00E10737" w:rsidRDefault="00E10737" w:rsidP="00E10737">
      <w:pPr>
        <w:autoSpaceDE w:val="0"/>
        <w:autoSpaceDN w:val="0"/>
        <w:adjustRightInd w:val="0"/>
        <w:spacing w:after="120"/>
        <w:jc w:val="both"/>
        <w:rPr>
          <w:sz w:val="22"/>
          <w:szCs w:val="22"/>
        </w:rPr>
      </w:pPr>
      <w:r w:rsidRPr="005F66C2">
        <w:rPr>
          <w:sz w:val="22"/>
          <w:szCs w:val="22"/>
        </w:rPr>
        <w:t xml:space="preserve">Realizácia aktivít v rámci špecifického cieľa </w:t>
      </w:r>
      <w:r w:rsidR="00DE14BC">
        <w:rPr>
          <w:sz w:val="22"/>
          <w:szCs w:val="22"/>
        </w:rPr>
        <w:t>10</w:t>
      </w:r>
      <w:r w:rsidRPr="005F66C2">
        <w:rPr>
          <w:sz w:val="22"/>
          <w:szCs w:val="22"/>
        </w:rPr>
        <w:t>.1 bude systémovým spôsobom zvyšovať:</w:t>
      </w:r>
    </w:p>
    <w:p w14:paraId="6C82E9D3" w14:textId="02E21D63" w:rsidR="00BD78EF" w:rsidRDefault="00BD78EF" w:rsidP="00E10737">
      <w:pPr>
        <w:pStyle w:val="Odsekzoznamu"/>
        <w:numPr>
          <w:ilvl w:val="0"/>
          <w:numId w:val="161"/>
        </w:numPr>
        <w:jc w:val="both"/>
        <w:rPr>
          <w:sz w:val="22"/>
          <w:szCs w:val="22"/>
        </w:rPr>
      </w:pPr>
      <w:r>
        <w:rPr>
          <w:sz w:val="22"/>
          <w:szCs w:val="22"/>
        </w:rPr>
        <w:t>výskumnú aktivitu výskumne orientovaných univerzít v Bratislave;</w:t>
      </w:r>
    </w:p>
    <w:p w14:paraId="5EFFA24E" w14:textId="4A67004A" w:rsidR="00E10737" w:rsidRPr="005F66C2" w:rsidRDefault="00E10737" w:rsidP="00E10737">
      <w:pPr>
        <w:pStyle w:val="Odsekzoznamu"/>
        <w:numPr>
          <w:ilvl w:val="0"/>
          <w:numId w:val="161"/>
        </w:numPr>
        <w:jc w:val="both"/>
        <w:rPr>
          <w:sz w:val="22"/>
          <w:szCs w:val="22"/>
        </w:rPr>
      </w:pPr>
      <w:r w:rsidRPr="005F66C2">
        <w:rPr>
          <w:sz w:val="22"/>
          <w:szCs w:val="22"/>
        </w:rPr>
        <w:t>výskumnú aktivitu ústavov SAV a rezortných výskumných inštitúcií sídliacich v Bratislave;</w:t>
      </w:r>
    </w:p>
    <w:p w14:paraId="1002672D" w14:textId="77777777" w:rsidR="00E10737" w:rsidRPr="005F66C2" w:rsidRDefault="00E10737" w:rsidP="00E10737">
      <w:pPr>
        <w:pStyle w:val="Odsekzoznamu"/>
        <w:numPr>
          <w:ilvl w:val="0"/>
          <w:numId w:val="161"/>
        </w:numPr>
        <w:jc w:val="both"/>
        <w:rPr>
          <w:sz w:val="22"/>
          <w:szCs w:val="22"/>
        </w:rPr>
      </w:pPr>
      <w:r w:rsidRPr="005F66C2">
        <w:rPr>
          <w:sz w:val="22"/>
          <w:szCs w:val="22"/>
        </w:rPr>
        <w:t>VaV potenciál BSK s prepojením na vyššiu kvalitu vzdelávania;</w:t>
      </w:r>
    </w:p>
    <w:p w14:paraId="473CDED9" w14:textId="77777777" w:rsidR="00E10737" w:rsidRPr="005F66C2" w:rsidRDefault="00E10737" w:rsidP="00E10737">
      <w:pPr>
        <w:pStyle w:val="Odsekzoznamu"/>
        <w:numPr>
          <w:ilvl w:val="0"/>
          <w:numId w:val="161"/>
        </w:numPr>
        <w:jc w:val="both"/>
        <w:rPr>
          <w:sz w:val="22"/>
          <w:szCs w:val="22"/>
        </w:rPr>
      </w:pPr>
      <w:r w:rsidRPr="005F66C2">
        <w:rPr>
          <w:sz w:val="22"/>
          <w:szCs w:val="22"/>
        </w:rPr>
        <w:t>intenzitu/mieru podnikateľských aktivít, vychádzajúcich z univerzitného prostredia;</w:t>
      </w:r>
    </w:p>
    <w:p w14:paraId="053DF8D6" w14:textId="77777777" w:rsidR="00E10737" w:rsidRPr="00CF79E0" w:rsidRDefault="00E10737" w:rsidP="00E10737">
      <w:pPr>
        <w:pStyle w:val="Odsekzoznamu"/>
        <w:numPr>
          <w:ilvl w:val="0"/>
          <w:numId w:val="161"/>
        </w:numPr>
        <w:jc w:val="both"/>
        <w:rPr>
          <w:sz w:val="22"/>
          <w:szCs w:val="22"/>
        </w:rPr>
      </w:pPr>
      <w:r w:rsidRPr="005F66C2">
        <w:rPr>
          <w:sz w:val="22"/>
          <w:szCs w:val="22"/>
        </w:rPr>
        <w:t>účasť v medzinárodných aktivitách, najmä v rámci medzinárodných a európskych programoch.</w:t>
      </w:r>
    </w:p>
    <w:p w14:paraId="357FE097" w14:textId="38BA61A4" w:rsidR="00E10737" w:rsidRDefault="00E10737" w:rsidP="00E10737">
      <w:pPr>
        <w:pStyle w:val="Tab"/>
      </w:pPr>
      <w:r w:rsidRPr="00BE4E38">
        <w:t>Špecifické ukazovatele výsledkov programu zodpovedajúce špecifickému cieľu 1</w:t>
      </w:r>
      <w:r>
        <w:t>0</w:t>
      </w:r>
      <w:r w:rsidRPr="00BE4E38">
        <w:t>.1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55885F1A" w14:textId="77777777" w:rsidTr="004179DE">
        <w:trPr>
          <w:trHeight w:val="487"/>
          <w:jc w:val="center"/>
        </w:trPr>
        <w:tc>
          <w:tcPr>
            <w:tcW w:w="598" w:type="dxa"/>
            <w:shd w:val="clear" w:color="auto" w:fill="C6D9F1" w:themeFill="text2" w:themeFillTint="33"/>
            <w:vAlign w:val="center"/>
          </w:tcPr>
          <w:p w14:paraId="05D7D933"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44B432EC"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501266D1"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6CFF4D05"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193AA4A4"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79CAE9BD"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7875E068"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5D2EF396"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D439A6E"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2840E52B" w14:textId="77777777" w:rsidTr="004179DE">
        <w:trPr>
          <w:cantSplit/>
          <w:trHeight w:val="1134"/>
          <w:jc w:val="center"/>
        </w:trPr>
        <w:tc>
          <w:tcPr>
            <w:tcW w:w="598" w:type="dxa"/>
            <w:shd w:val="clear" w:color="auto" w:fill="auto"/>
            <w:textDirection w:val="btLr"/>
            <w:vAlign w:val="center"/>
          </w:tcPr>
          <w:p w14:paraId="6BB54D12" w14:textId="77777777" w:rsidR="00E10737" w:rsidRPr="00351D17" w:rsidRDefault="00E10737" w:rsidP="004179DE">
            <w:pPr>
              <w:ind w:left="113" w:right="113"/>
              <w:jc w:val="center"/>
              <w:rPr>
                <w:sz w:val="18"/>
                <w:szCs w:val="18"/>
              </w:rPr>
            </w:pPr>
            <w:r w:rsidRPr="00351D17">
              <w:rPr>
                <w:sz w:val="18"/>
                <w:szCs w:val="18"/>
              </w:rPr>
              <w:t>R0127</w:t>
            </w:r>
          </w:p>
        </w:tc>
        <w:tc>
          <w:tcPr>
            <w:tcW w:w="1391" w:type="dxa"/>
            <w:shd w:val="clear" w:color="auto" w:fill="auto"/>
            <w:vAlign w:val="center"/>
          </w:tcPr>
          <w:p w14:paraId="255AA992" w14:textId="6B0F9EFC" w:rsidR="00E10737" w:rsidRPr="00351D17" w:rsidRDefault="00E10737" w:rsidP="004179DE">
            <w:pPr>
              <w:ind w:left="0"/>
              <w:rPr>
                <w:sz w:val="18"/>
                <w:szCs w:val="18"/>
              </w:rPr>
            </w:pPr>
            <w:r w:rsidRPr="00351D17">
              <w:rPr>
                <w:sz w:val="18"/>
                <w:szCs w:val="18"/>
              </w:rPr>
              <w:t>Počet podaných patentových prihlášok v Bratislavskom kraji</w:t>
            </w:r>
          </w:p>
        </w:tc>
        <w:tc>
          <w:tcPr>
            <w:tcW w:w="897" w:type="dxa"/>
            <w:shd w:val="clear" w:color="auto" w:fill="auto"/>
            <w:vAlign w:val="center"/>
          </w:tcPr>
          <w:p w14:paraId="22280D99" w14:textId="77777777" w:rsidR="00E10737" w:rsidRPr="00351D17" w:rsidRDefault="00E10737" w:rsidP="004179DE">
            <w:pPr>
              <w:ind w:left="0"/>
              <w:jc w:val="center"/>
              <w:rPr>
                <w:i/>
                <w:sz w:val="18"/>
                <w:szCs w:val="18"/>
              </w:rPr>
            </w:pPr>
            <w:r w:rsidRPr="00351D17">
              <w:rPr>
                <w:i/>
                <w:sz w:val="18"/>
                <w:szCs w:val="18"/>
              </w:rPr>
              <w:t>počet</w:t>
            </w:r>
          </w:p>
        </w:tc>
        <w:tc>
          <w:tcPr>
            <w:tcW w:w="997" w:type="dxa"/>
            <w:shd w:val="clear" w:color="auto" w:fill="auto"/>
            <w:vAlign w:val="center"/>
          </w:tcPr>
          <w:p w14:paraId="759E6BF6" w14:textId="77777777" w:rsidR="00E10737" w:rsidRPr="00351D17" w:rsidRDefault="00E10737" w:rsidP="004179DE">
            <w:pPr>
              <w:ind w:left="0"/>
              <w:jc w:val="center"/>
              <w:rPr>
                <w:i/>
                <w:sz w:val="18"/>
                <w:szCs w:val="18"/>
              </w:rPr>
            </w:pPr>
            <w:r w:rsidRPr="00351D17">
              <w:rPr>
                <w:i/>
                <w:sz w:val="18"/>
                <w:szCs w:val="18"/>
              </w:rPr>
              <w:t>Rozvinutejší región</w:t>
            </w:r>
          </w:p>
        </w:tc>
        <w:tc>
          <w:tcPr>
            <w:tcW w:w="1297" w:type="dxa"/>
            <w:vAlign w:val="center"/>
          </w:tcPr>
          <w:p w14:paraId="59A0C436" w14:textId="77777777" w:rsidR="00E10737" w:rsidRPr="00351D17" w:rsidRDefault="00E10737" w:rsidP="004179DE">
            <w:pPr>
              <w:ind w:left="0"/>
              <w:jc w:val="center"/>
              <w:rPr>
                <w:i/>
                <w:sz w:val="18"/>
                <w:szCs w:val="18"/>
              </w:rPr>
            </w:pPr>
            <w:r w:rsidRPr="00351D17">
              <w:rPr>
                <w:i/>
                <w:sz w:val="18"/>
                <w:szCs w:val="18"/>
              </w:rPr>
              <w:t>16</w:t>
            </w:r>
          </w:p>
        </w:tc>
        <w:tc>
          <w:tcPr>
            <w:tcW w:w="1297" w:type="dxa"/>
            <w:vAlign w:val="center"/>
          </w:tcPr>
          <w:p w14:paraId="07943199" w14:textId="77777777" w:rsidR="00E10737" w:rsidRPr="00351D17" w:rsidRDefault="00E10737" w:rsidP="004179DE">
            <w:pPr>
              <w:ind w:left="0"/>
              <w:jc w:val="center"/>
              <w:rPr>
                <w:i/>
                <w:sz w:val="18"/>
                <w:szCs w:val="18"/>
              </w:rPr>
            </w:pPr>
            <w:r w:rsidRPr="00351D17">
              <w:rPr>
                <w:i/>
                <w:sz w:val="18"/>
                <w:szCs w:val="18"/>
              </w:rPr>
              <w:t>2012</w:t>
            </w:r>
          </w:p>
        </w:tc>
        <w:tc>
          <w:tcPr>
            <w:tcW w:w="865" w:type="dxa"/>
            <w:shd w:val="clear" w:color="auto" w:fill="auto"/>
            <w:vAlign w:val="center"/>
          </w:tcPr>
          <w:p w14:paraId="5B3F7639" w14:textId="77777777" w:rsidR="00E10737" w:rsidRPr="00351D17" w:rsidRDefault="00E10737" w:rsidP="004179DE">
            <w:pPr>
              <w:ind w:left="0"/>
              <w:jc w:val="center"/>
              <w:rPr>
                <w:i/>
                <w:sz w:val="18"/>
                <w:szCs w:val="18"/>
              </w:rPr>
            </w:pPr>
            <w:r w:rsidRPr="00351D17">
              <w:rPr>
                <w:i/>
                <w:sz w:val="18"/>
                <w:szCs w:val="18"/>
              </w:rPr>
              <w:t>63</w:t>
            </w:r>
          </w:p>
        </w:tc>
        <w:tc>
          <w:tcPr>
            <w:tcW w:w="759" w:type="dxa"/>
            <w:vAlign w:val="center"/>
          </w:tcPr>
          <w:p w14:paraId="2CA75907" w14:textId="77777777" w:rsidR="00E10737" w:rsidRPr="00351D17" w:rsidRDefault="00E10737" w:rsidP="004179DE">
            <w:pPr>
              <w:ind w:left="0"/>
              <w:jc w:val="center"/>
              <w:rPr>
                <w:i/>
                <w:sz w:val="18"/>
                <w:szCs w:val="18"/>
              </w:rPr>
            </w:pPr>
            <w:r w:rsidRPr="00351D17">
              <w:rPr>
                <w:i/>
                <w:sz w:val="18"/>
                <w:szCs w:val="18"/>
              </w:rPr>
              <w:t>EPO</w:t>
            </w:r>
          </w:p>
          <w:p w14:paraId="2B0F1FBC" w14:textId="77777777" w:rsidR="00E10737" w:rsidRPr="00351D17" w:rsidRDefault="00E10737" w:rsidP="004179DE">
            <w:pPr>
              <w:ind w:left="0"/>
              <w:jc w:val="center"/>
              <w:rPr>
                <w:i/>
                <w:sz w:val="18"/>
                <w:szCs w:val="18"/>
              </w:rPr>
            </w:pPr>
            <w:r w:rsidRPr="00351D17">
              <w:rPr>
                <w:i/>
                <w:sz w:val="18"/>
                <w:szCs w:val="18"/>
              </w:rPr>
              <w:t>ŠÚ SR</w:t>
            </w:r>
          </w:p>
        </w:tc>
        <w:tc>
          <w:tcPr>
            <w:tcW w:w="1186" w:type="dxa"/>
            <w:vAlign w:val="center"/>
          </w:tcPr>
          <w:p w14:paraId="7E413FFE" w14:textId="77777777" w:rsidR="00E10737" w:rsidRPr="00351D17" w:rsidRDefault="00E10737" w:rsidP="004179DE">
            <w:pPr>
              <w:ind w:left="0"/>
              <w:jc w:val="center"/>
              <w:rPr>
                <w:i/>
                <w:sz w:val="18"/>
                <w:szCs w:val="18"/>
              </w:rPr>
            </w:pPr>
            <w:r w:rsidRPr="00351D17">
              <w:rPr>
                <w:i/>
                <w:sz w:val="18"/>
                <w:szCs w:val="18"/>
              </w:rPr>
              <w:t>Ročne</w:t>
            </w:r>
          </w:p>
        </w:tc>
      </w:tr>
    </w:tbl>
    <w:p w14:paraId="5CA459B1" w14:textId="77777777" w:rsidR="00E10737" w:rsidRDefault="00E10737" w:rsidP="00E10737">
      <w:pPr>
        <w:rPr>
          <w:sz w:val="22"/>
          <w:szCs w:val="22"/>
        </w:rPr>
      </w:pPr>
    </w:p>
    <w:p w14:paraId="2811C88C" w14:textId="77777777" w:rsidR="00E10737" w:rsidRPr="00151195" w:rsidRDefault="00E10737" w:rsidP="00E10737">
      <w:pPr>
        <w:pStyle w:val="tl3"/>
        <w:tabs>
          <w:tab w:val="clear" w:pos="709"/>
          <w:tab w:val="clear" w:pos="864"/>
        </w:tabs>
        <w:ind w:left="851" w:hanging="851"/>
      </w:pPr>
      <w:r w:rsidRPr="00151195">
        <w:lastRenderedPageBreak/>
        <w:t>Opis typu a príklady aktivít</w:t>
      </w:r>
    </w:p>
    <w:p w14:paraId="4D477641" w14:textId="7D0D6BC3" w:rsidR="00E10737" w:rsidRPr="00B34953" w:rsidRDefault="00E10737" w:rsidP="00E10737">
      <w:pPr>
        <w:jc w:val="both"/>
        <w:rPr>
          <w:i/>
          <w:sz w:val="22"/>
          <w:szCs w:val="22"/>
        </w:rPr>
      </w:pPr>
      <w:r w:rsidRPr="0040351A">
        <w:rPr>
          <w:i/>
          <w:sz w:val="22"/>
          <w:szCs w:val="22"/>
          <w:u w:val="single"/>
        </w:rPr>
        <w:t>Príklady aktivít špecifického cieľa 10.1</w:t>
      </w:r>
      <w:r w:rsidRPr="00B34953">
        <w:rPr>
          <w:i/>
          <w:sz w:val="22"/>
          <w:szCs w:val="22"/>
        </w:rPr>
        <w:t>:</w:t>
      </w:r>
    </w:p>
    <w:p w14:paraId="46EB09D2" w14:textId="4559F96C" w:rsidR="00E10737" w:rsidRPr="00B34953" w:rsidRDefault="00E10737" w:rsidP="0040351A">
      <w:pPr>
        <w:spacing w:before="120"/>
        <w:jc w:val="both"/>
        <w:rPr>
          <w:sz w:val="22"/>
          <w:szCs w:val="22"/>
        </w:rPr>
      </w:pPr>
      <w:r w:rsidRPr="00B34953">
        <w:rPr>
          <w:sz w:val="22"/>
          <w:szCs w:val="22"/>
        </w:rPr>
        <w:t>Konsolidácia a optimalizácia výskumných, vzdelávacích a inovačných kapacít výsk</w:t>
      </w:r>
      <w:r w:rsidR="007D75AF">
        <w:rPr>
          <w:sz w:val="22"/>
          <w:szCs w:val="22"/>
        </w:rPr>
        <w:t>umných inštitúcií v Bratislave</w:t>
      </w:r>
    </w:p>
    <w:p w14:paraId="41E491A9" w14:textId="77777777" w:rsidR="00E10737" w:rsidRPr="00B34953" w:rsidRDefault="00E10737" w:rsidP="00351D17">
      <w:pPr>
        <w:spacing w:before="120"/>
        <w:jc w:val="both"/>
        <w:rPr>
          <w:sz w:val="22"/>
          <w:szCs w:val="22"/>
        </w:rPr>
      </w:pPr>
      <w:r w:rsidRPr="00B34953">
        <w:rPr>
          <w:sz w:val="22"/>
          <w:szCs w:val="22"/>
        </w:rPr>
        <w:t>V rámci programového obdobia 2007 – 2013 bolo podporených v rámci výskumných inštitúcií niekoľko desiatok rôznych typov výskumných infraštruktúr, vrátane centrálnej infraštruktúry. Ohľadom typov výskumných centier išlo najmä o:</w:t>
      </w:r>
    </w:p>
    <w:p w14:paraId="78B4C819" w14:textId="77777777" w:rsidR="00E10737" w:rsidRPr="00B34953" w:rsidRDefault="00E10737" w:rsidP="00E10737">
      <w:pPr>
        <w:pStyle w:val="Odsekzoznamu"/>
        <w:numPr>
          <w:ilvl w:val="0"/>
          <w:numId w:val="162"/>
        </w:numPr>
        <w:jc w:val="both"/>
        <w:rPr>
          <w:sz w:val="22"/>
          <w:szCs w:val="22"/>
        </w:rPr>
      </w:pPr>
      <w:r w:rsidRPr="00B34953">
        <w:rPr>
          <w:sz w:val="22"/>
          <w:szCs w:val="22"/>
        </w:rPr>
        <w:t>centrá excelentnosti (menšie projekty zamerané na modernizáciu individuálnych laboratórií);</w:t>
      </w:r>
    </w:p>
    <w:p w14:paraId="4A6D60C4" w14:textId="77777777" w:rsidR="00E10737" w:rsidRPr="00B34953" w:rsidRDefault="00E10737" w:rsidP="00E10737">
      <w:pPr>
        <w:pStyle w:val="Odsekzoznamu"/>
        <w:numPr>
          <w:ilvl w:val="0"/>
          <w:numId w:val="162"/>
        </w:numPr>
        <w:jc w:val="both"/>
        <w:rPr>
          <w:sz w:val="22"/>
          <w:szCs w:val="22"/>
        </w:rPr>
      </w:pPr>
      <w:r w:rsidRPr="00B34953">
        <w:rPr>
          <w:sz w:val="22"/>
          <w:szCs w:val="22"/>
        </w:rPr>
        <w:t>excelentné tímy pre inteligentnú špecializáciu (výskumné centrá v menších výskumných inštitúciách mimo univerzitných vedeckých parkov a výskumných centier)</w:t>
      </w:r>
    </w:p>
    <w:p w14:paraId="61261871" w14:textId="77777777" w:rsidR="00E10737" w:rsidRPr="00B34953" w:rsidRDefault="00E10737" w:rsidP="00E10737">
      <w:pPr>
        <w:pStyle w:val="Odsekzoznamu"/>
        <w:numPr>
          <w:ilvl w:val="0"/>
          <w:numId w:val="162"/>
        </w:numPr>
        <w:jc w:val="both"/>
        <w:rPr>
          <w:sz w:val="22"/>
          <w:szCs w:val="22"/>
        </w:rPr>
      </w:pPr>
      <w:r w:rsidRPr="00B34953">
        <w:rPr>
          <w:sz w:val="22"/>
          <w:szCs w:val="22"/>
        </w:rPr>
        <w:t>univerzitné vedecké parky – koncentrovaný priestor (územie) vo fyzickej blízkosti VŠ alebo SAV (resp. v blízkosti ich výskumných pracovísk), v ktorom sú vytvorené podmienky excelentného VaV a zabezpečujúce interakciu s praxou;</w:t>
      </w:r>
    </w:p>
    <w:p w14:paraId="0D848DB5" w14:textId="77777777" w:rsidR="00E10737" w:rsidRPr="00B34953" w:rsidRDefault="00E10737" w:rsidP="00E10737">
      <w:pPr>
        <w:pStyle w:val="Odsekzoznamu"/>
        <w:numPr>
          <w:ilvl w:val="0"/>
          <w:numId w:val="162"/>
        </w:numPr>
        <w:jc w:val="both"/>
        <w:rPr>
          <w:sz w:val="22"/>
          <w:szCs w:val="22"/>
        </w:rPr>
      </w:pPr>
      <w:r w:rsidRPr="00B34953">
        <w:rPr>
          <w:sz w:val="22"/>
          <w:szCs w:val="22"/>
        </w:rPr>
        <w:t>výskumné centrá – menej komplexné, ako univerzitný vedecký park – virtuálnejšie združenie inštitúcií, ktoré sa priamo nenachádzajú fyzicky v úplnej blízkosti jednej k druhému – ako napr. skupinu špičkových laboratórií budovaných v konkrétnej výskumnej oblasti pre najlepšie výskumné inštitúcie.</w:t>
      </w:r>
    </w:p>
    <w:p w14:paraId="313D0663" w14:textId="77777777" w:rsidR="00E10737" w:rsidRDefault="00E10737" w:rsidP="00E10737">
      <w:pPr>
        <w:jc w:val="both"/>
        <w:rPr>
          <w:sz w:val="22"/>
          <w:szCs w:val="22"/>
        </w:rPr>
      </w:pPr>
    </w:p>
    <w:p w14:paraId="0D2ACF32" w14:textId="77777777" w:rsidR="00E10737" w:rsidRPr="00CF79E0" w:rsidRDefault="00E10737" w:rsidP="00E10737">
      <w:pPr>
        <w:jc w:val="both"/>
        <w:rPr>
          <w:sz w:val="22"/>
          <w:szCs w:val="22"/>
        </w:rPr>
      </w:pPr>
      <w:r w:rsidRPr="00CF79E0">
        <w:rPr>
          <w:sz w:val="22"/>
          <w:szCs w:val="22"/>
        </w:rPr>
        <w:t>V programovom období 2014 – 2020 je potrebné zabezpečiť, na koordinovanom princípe ďalšiu modernizáciu a nevyhnutný rozvoj infraštruktúry výskumných inštitúcií v doménach inteligentnej špecializácie RIS3 SK.</w:t>
      </w:r>
    </w:p>
    <w:p w14:paraId="3E5B72BA" w14:textId="0FF0FE9E" w:rsidR="00E10737" w:rsidRDefault="00E10737" w:rsidP="00351D17">
      <w:pPr>
        <w:spacing w:before="120"/>
        <w:jc w:val="both"/>
        <w:rPr>
          <w:szCs w:val="22"/>
        </w:rPr>
      </w:pPr>
      <w:r w:rsidRPr="00CF79E0">
        <w:rPr>
          <w:sz w:val="22"/>
          <w:szCs w:val="22"/>
        </w:rPr>
        <w:t>Projekty budú musieť vychádzať z toho, čo bolo v danej inštitúcií vybudované v rámci programového obdobia 2007 – 2013 a budú musieť jasne definovať potreby pre modernizáciu a optimalizáciu prioritnej infraštruktúry</w:t>
      </w:r>
      <w:r w:rsidR="007D75AF">
        <w:rPr>
          <w:rStyle w:val="Odkaznapoznmkupodiarou"/>
          <w:sz w:val="22"/>
          <w:szCs w:val="22"/>
        </w:rPr>
        <w:footnoteReference w:id="89"/>
      </w:r>
      <w:r w:rsidRPr="00CF79E0">
        <w:rPr>
          <w:sz w:val="22"/>
          <w:szCs w:val="22"/>
        </w:rPr>
        <w:t xml:space="preserve"> danej inštitúcie pre celé programové obdobie 2014 – 2020. Projektový zámer bude posudzovaný zahraničnými expertmi – odborníkmi na VaV infraštruktúru. Na základe schváleného projektového zámeru bude možné predložiť plnohodnotný projekt, ktorý bude musieť byť v súlade s projektovým zámerom. V rámci podporených projektov sa bude realizovať nevyhnutný upgrade a modernizácia výskumných centier, v ktorých je príslušná organizácia koordinátorom, resp. partnerom, ako aj vzdelávacej infraštruktúry/vybavenia výskumne orientovaných študijných programov pre potreby praxe. Tento prístup zabráni ďalšej fragmentácii výskumného potenciálu SR, ako aj duplicitám vo vybavení novou infraštruktúrou.</w:t>
      </w:r>
    </w:p>
    <w:p w14:paraId="554D20F0" w14:textId="77777777" w:rsidR="00E10737" w:rsidRDefault="00E10737" w:rsidP="00E10737">
      <w:pPr>
        <w:pStyle w:val="Zkladntext"/>
        <w:spacing w:after="0"/>
        <w:jc w:val="both"/>
        <w:rPr>
          <w:sz w:val="22"/>
          <w:szCs w:val="22"/>
        </w:rPr>
      </w:pPr>
    </w:p>
    <w:p w14:paraId="0AF56916" w14:textId="77777777" w:rsidR="00E10737" w:rsidRDefault="00E10737" w:rsidP="00E10737">
      <w:pPr>
        <w:pStyle w:val="Zkladntext"/>
        <w:spacing w:after="0"/>
        <w:jc w:val="both"/>
        <w:rPr>
          <w:szCs w:val="22"/>
        </w:rPr>
      </w:pPr>
      <w:r w:rsidRPr="00CF79E0">
        <w:rPr>
          <w:sz w:val="22"/>
          <w:szCs w:val="22"/>
        </w:rPr>
        <w:t>V rámci tejto aktivity bude podporený aj spoločný veľký projekt dvoch najväčších slovenských výskumných univerzít – Univerzity Komenského v Bratislave a Slovenskej technickej univerzity v Bratislave. Obe univerzity majú silný vzdelávací, VaI potenciál, ktorý je zatiaľ nevyužitý. Obe univerzity majú interne zriadené desiatky výskumných centier ešte z programového obdobia 2007 – 2013, ktoré spôsobili vo viacerých oblastiach vnútornú fragmentáciu oboch inštitúcií. Súčasne naďalej existuje veľký problém v oblasti celkovej vzdelávaco-výskumnej infraštruktúry – najmä v oblasti Mlynskej doliny, čiastočne v centre Bratislavy, bez riešenia ktorého univerzity nevedia vytvoriť výskumníkom a ani študentom adekvátne podmienky zodpovedajúce dobe a tematickým oblastiam, ktoré univerzity pokrývajú a ktoré sú v súlade s doménami inteligentnej špecializácie RIS3 SK. Prioritou na úrovni RIS3 SK – za účasti zahraničných expertov – bude zabezpečiť koordinované riadenia modernizácie a ďalšieho rozvoja uvedených univerzít – aj v partnerstve s ostatnými relevantnými oprávnenými inštitúciami. Túto aktivitu bude možné realizovať aj formou národného projektu.</w:t>
      </w:r>
    </w:p>
    <w:p w14:paraId="03CD38ED" w14:textId="77777777" w:rsidR="00E10737" w:rsidRDefault="00E10737" w:rsidP="00E10737">
      <w:pPr>
        <w:pStyle w:val="Zkladntext"/>
        <w:spacing w:after="0"/>
        <w:jc w:val="both"/>
        <w:rPr>
          <w:szCs w:val="22"/>
        </w:rPr>
      </w:pPr>
    </w:p>
    <w:p w14:paraId="730D9DF5" w14:textId="77777777" w:rsidR="00E10737" w:rsidRDefault="00E10737" w:rsidP="00E10737">
      <w:pPr>
        <w:pStyle w:val="Zkladntext"/>
        <w:spacing w:after="0"/>
        <w:jc w:val="both"/>
        <w:rPr>
          <w:szCs w:val="22"/>
        </w:rPr>
      </w:pPr>
      <w:r w:rsidRPr="00B34953">
        <w:rPr>
          <w:sz w:val="22"/>
          <w:szCs w:val="22"/>
        </w:rPr>
        <w:t>Podpora synergií a komplementárneho financovania projektov Horizontu 2020 zabezpečujúcich rozšírenie participácie nových členských štátov (tzv. “widening participation” nástroje Horizontu 2020).</w:t>
      </w:r>
    </w:p>
    <w:p w14:paraId="6C71B33E" w14:textId="77777777" w:rsidR="00E10737" w:rsidRDefault="00E10737" w:rsidP="00E10737">
      <w:pPr>
        <w:jc w:val="both"/>
        <w:rPr>
          <w:szCs w:val="22"/>
        </w:rPr>
      </w:pPr>
    </w:p>
    <w:p w14:paraId="60F63973" w14:textId="77777777" w:rsidR="00E10737" w:rsidRDefault="00E10737" w:rsidP="00E10737">
      <w:pPr>
        <w:jc w:val="both"/>
        <w:rPr>
          <w:szCs w:val="22"/>
        </w:rPr>
      </w:pPr>
      <w:r w:rsidRPr="00B34953">
        <w:rPr>
          <w:sz w:val="22"/>
          <w:szCs w:val="22"/>
        </w:rPr>
        <w:lastRenderedPageBreak/>
        <w:t>Horizont 2020 má definované nástroje, ktoré by mali podporiť zvýš</w:t>
      </w:r>
      <w:r>
        <w:rPr>
          <w:sz w:val="22"/>
          <w:szCs w:val="22"/>
        </w:rPr>
        <w:t>enie účasti členských krajín so </w:t>
      </w:r>
      <w:r w:rsidRPr="00B34953">
        <w:rPr>
          <w:sz w:val="22"/>
          <w:szCs w:val="22"/>
        </w:rPr>
        <w:t>slabou účasťou, medzi ktoré patrí aj SR. Ide o nástroje, ako napríklad teaming, twinning, ERA Chairs a pod. Aj keď BSK reprezentuje väčšinu všetkých projektových účastí SR v rámcových programoch EÚ pre VaV, je mimoriadne potrebné podporiť zvýšenie účasti BSK výskumných inštitúcií práve podporou účasti v uvedených typoch projektov – či už komplementárnym financovaním schválených projektov, alebo tzv. shortlisted projektov. V prípade disponibilných zdrojov bude možné podporiť aj iné typy medzinárodných projektov v rámci Horizontu 2020, Dunajskej stratégie a pod. v doménach inteligentnej špecializácie RIS3 SK.</w:t>
      </w:r>
    </w:p>
    <w:p w14:paraId="6106C838" w14:textId="77777777" w:rsidR="00E10737" w:rsidRDefault="00E10737" w:rsidP="00E10737">
      <w:pPr>
        <w:jc w:val="both"/>
        <w:rPr>
          <w:szCs w:val="22"/>
        </w:rPr>
      </w:pPr>
    </w:p>
    <w:p w14:paraId="5C3BE535" w14:textId="197159F6" w:rsidR="00E10737" w:rsidRDefault="00E10737" w:rsidP="00E10737">
      <w:pPr>
        <w:jc w:val="both"/>
        <w:rPr>
          <w:szCs w:val="22"/>
        </w:rPr>
      </w:pPr>
      <w:r w:rsidRPr="00B34953">
        <w:rPr>
          <w:sz w:val="22"/>
          <w:szCs w:val="22"/>
        </w:rPr>
        <w:t xml:space="preserve">V rámci prioritnej osi </w:t>
      </w:r>
      <w:r>
        <w:rPr>
          <w:sz w:val="22"/>
          <w:szCs w:val="22"/>
        </w:rPr>
        <w:t>10</w:t>
      </w:r>
      <w:r w:rsidRPr="00B34953">
        <w:rPr>
          <w:sz w:val="22"/>
          <w:szCs w:val="22"/>
        </w:rPr>
        <w:t>, v investičnej priorite 1</w:t>
      </w:r>
      <w:r w:rsidR="004E3474">
        <w:rPr>
          <w:sz w:val="22"/>
          <w:szCs w:val="22"/>
        </w:rPr>
        <w:t>a)</w:t>
      </w:r>
      <w:r w:rsidRPr="00B34953">
        <w:rPr>
          <w:sz w:val="22"/>
          <w:szCs w:val="22"/>
        </w:rPr>
        <w:t xml:space="preserve"> bude využitá aj schéma štátnej pomoci, resp. schémy pomoci de minimis, keďže vo väčšine plánovaných aktivít budú oprávnenými prijímateľmi, resp. oprávnenými partnermi aj subjekty, ktoré vykonávajú hospodársku činnosť.</w:t>
      </w:r>
    </w:p>
    <w:p w14:paraId="00D50C6E" w14:textId="77777777" w:rsidR="00E10737" w:rsidRDefault="00E10737" w:rsidP="00E10737">
      <w:pPr>
        <w:jc w:val="both"/>
        <w:rPr>
          <w:szCs w:val="22"/>
        </w:rPr>
      </w:pPr>
    </w:p>
    <w:p w14:paraId="084A9A34" w14:textId="1FC595C0" w:rsidR="00E10737" w:rsidRDefault="00E10737" w:rsidP="00E10737">
      <w:pPr>
        <w:jc w:val="both"/>
        <w:rPr>
          <w:szCs w:val="22"/>
        </w:rPr>
      </w:pPr>
      <w:r w:rsidRPr="005E00A2">
        <w:rPr>
          <w:sz w:val="22"/>
          <w:szCs w:val="22"/>
        </w:rPr>
        <w:t>Oprávnení prijímatelia, cieľové skupiny a cieľové územie v rámci investičnej priority 1</w:t>
      </w:r>
      <w:r w:rsidR="00BA362D">
        <w:rPr>
          <w:sz w:val="22"/>
          <w:szCs w:val="22"/>
        </w:rPr>
        <w:t>a)</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755468E1" w14:textId="77777777" w:rsidTr="004179DE">
        <w:trPr>
          <w:trHeight w:val="284"/>
          <w:jc w:val="center"/>
        </w:trPr>
        <w:tc>
          <w:tcPr>
            <w:tcW w:w="3289" w:type="dxa"/>
            <w:shd w:val="clear" w:color="auto" w:fill="DBE5F1" w:themeFill="accent1" w:themeFillTint="33"/>
            <w:vAlign w:val="center"/>
          </w:tcPr>
          <w:p w14:paraId="310A5FE2"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760D3FC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5E00A2">
              <w:rPr>
                <w:sz w:val="22"/>
                <w:szCs w:val="22"/>
              </w:rPr>
              <w:t>Podnikateľské subjekty, zahraničné organizácie VaV, zahraničné podnikateľské subjekty, samospráva, neziskový sektor.</w:t>
            </w:r>
          </w:p>
        </w:tc>
      </w:tr>
      <w:tr w:rsidR="00E10737" w14:paraId="136B2676" w14:textId="77777777" w:rsidTr="004179DE">
        <w:trPr>
          <w:trHeight w:val="284"/>
          <w:jc w:val="center"/>
        </w:trPr>
        <w:tc>
          <w:tcPr>
            <w:tcW w:w="3289" w:type="dxa"/>
            <w:shd w:val="clear" w:color="auto" w:fill="DBE5F1" w:themeFill="accent1" w:themeFillTint="33"/>
            <w:vAlign w:val="center"/>
          </w:tcPr>
          <w:p w14:paraId="42486F28"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6FDD2F44"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Rozvinutejší región</w:t>
            </w:r>
          </w:p>
        </w:tc>
      </w:tr>
      <w:tr w:rsidR="00E10737" w14:paraId="78A6487B" w14:textId="77777777" w:rsidTr="004179DE">
        <w:trPr>
          <w:trHeight w:val="284"/>
          <w:jc w:val="center"/>
        </w:trPr>
        <w:tc>
          <w:tcPr>
            <w:tcW w:w="3289" w:type="dxa"/>
            <w:shd w:val="clear" w:color="auto" w:fill="DBE5F1" w:themeFill="accent1" w:themeFillTint="33"/>
            <w:vAlign w:val="center"/>
          </w:tcPr>
          <w:p w14:paraId="10AF3FEE"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2E3456BE"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CVTI SR (v prípade národných projektov)</w:t>
            </w:r>
          </w:p>
          <w:p w14:paraId="28F0833A"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2DE7177F"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157D2B4C" w14:textId="7F1C0CA5"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r w:rsidR="00510E85">
              <w:rPr>
                <w:sz w:val="22"/>
                <w:szCs w:val="22"/>
              </w:rPr>
              <w:fldChar w:fldCharType="begin"/>
            </w:r>
            <w:r w:rsidR="00510E85">
              <w:rPr>
                <w:sz w:val="22"/>
                <w:szCs w:val="22"/>
              </w:rPr>
              <w:instrText xml:space="preserve"> NOTEREF _Ref22306225 \f \h </w:instrText>
            </w:r>
            <w:r w:rsidR="00510E85">
              <w:rPr>
                <w:sz w:val="22"/>
                <w:szCs w:val="22"/>
              </w:rPr>
            </w:r>
            <w:r w:rsidR="00510E85">
              <w:rPr>
                <w:sz w:val="22"/>
                <w:szCs w:val="22"/>
              </w:rPr>
              <w:fldChar w:fldCharType="separate"/>
            </w:r>
            <w:r w:rsidR="00F25146" w:rsidRPr="00F25146">
              <w:rPr>
                <w:rStyle w:val="Odkaznapoznmkupodiarou"/>
              </w:rPr>
              <w:t>112</w:t>
            </w:r>
            <w:r w:rsidR="00510E85">
              <w:rPr>
                <w:sz w:val="22"/>
                <w:szCs w:val="22"/>
              </w:rPr>
              <w:fldChar w:fldCharType="end"/>
            </w:r>
            <w:r>
              <w:rPr>
                <w:sz w:val="22"/>
                <w:szCs w:val="22"/>
              </w:rPr>
              <w:t>,</w:t>
            </w:r>
          </w:p>
          <w:p w14:paraId="7DF2B302"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62CA60F7"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08F6CCB5" w14:textId="77777777" w:rsidR="00E10737" w:rsidRDefault="00E10737" w:rsidP="004179DE">
            <w:pPr>
              <w:pStyle w:val="Odsekzoznamu"/>
              <w:autoSpaceDE w:val="0"/>
              <w:autoSpaceDN w:val="0"/>
              <w:adjustRightInd w:val="0"/>
              <w:ind w:left="290"/>
              <w:rPr>
                <w:sz w:val="22"/>
                <w:szCs w:val="22"/>
              </w:rPr>
            </w:pPr>
            <w:r>
              <w:rPr>
                <w:sz w:val="22"/>
                <w:szCs w:val="22"/>
              </w:rPr>
              <w:t>- podnikateľský sektor VaV.</w:t>
            </w:r>
          </w:p>
          <w:p w14:paraId="7F18019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p w14:paraId="5701BC6B" w14:textId="77777777" w:rsidR="00E10737" w:rsidRPr="00F74ECA"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Výskumné organizácie z členských krajín EÚ</w:t>
            </w:r>
          </w:p>
        </w:tc>
      </w:tr>
    </w:tbl>
    <w:p w14:paraId="1E37A14E" w14:textId="77777777" w:rsidR="00E10737" w:rsidRPr="008A714B" w:rsidRDefault="00E10737" w:rsidP="00E10737">
      <w:pPr>
        <w:jc w:val="both"/>
        <w:rPr>
          <w:szCs w:val="22"/>
        </w:rPr>
      </w:pPr>
    </w:p>
    <w:p w14:paraId="5733E24F" w14:textId="77777777" w:rsidR="00E10737" w:rsidRDefault="00E10737" w:rsidP="00E10737">
      <w:pPr>
        <w:pStyle w:val="Zkladntext"/>
        <w:jc w:val="both"/>
        <w:rPr>
          <w:sz w:val="22"/>
          <w:szCs w:val="22"/>
        </w:rPr>
      </w:pPr>
      <w:r w:rsidRPr="00CF79E0">
        <w:rPr>
          <w:sz w:val="22"/>
          <w:szCs w:val="22"/>
        </w:rPr>
        <w:t>V rámci podporených projektov bude uplatňovaný princíp partnerstva – t.</w:t>
      </w:r>
      <w:r>
        <w:rPr>
          <w:sz w:val="22"/>
          <w:szCs w:val="22"/>
        </w:rPr>
        <w:t> </w:t>
      </w:r>
      <w:r w:rsidRPr="00CF79E0">
        <w:rPr>
          <w:sz w:val="22"/>
          <w:szCs w:val="22"/>
        </w:rPr>
        <w:t>j. tak, ako v programovom období 2007 – 2013 v OP</w:t>
      </w:r>
      <w:r>
        <w:rPr>
          <w:sz w:val="22"/>
          <w:szCs w:val="22"/>
        </w:rPr>
        <w:t>II</w:t>
      </w:r>
      <w:r w:rsidRPr="00CF79E0">
        <w:rPr>
          <w:sz w:val="22"/>
          <w:szCs w:val="22"/>
        </w:rPr>
        <w:t xml:space="preserve"> </w:t>
      </w:r>
      <w:r>
        <w:rPr>
          <w:sz w:val="22"/>
          <w:szCs w:val="22"/>
        </w:rPr>
        <w:t>(oblasť výskumu a inovácií)</w:t>
      </w:r>
      <w:r w:rsidRPr="00CF79E0">
        <w:rPr>
          <w:sz w:val="22"/>
          <w:szCs w:val="22"/>
        </w:rPr>
        <w:t xml:space="preserve"> je možné, aby vzniklo konzorcium výskumných inštitúcií, ktoré v</w:t>
      </w:r>
      <w:r>
        <w:rPr>
          <w:sz w:val="22"/>
          <w:szCs w:val="22"/>
        </w:rPr>
        <w:t> </w:t>
      </w:r>
      <w:r w:rsidRPr="00CF79E0">
        <w:rPr>
          <w:sz w:val="22"/>
          <w:szCs w:val="22"/>
        </w:rPr>
        <w:t>rámci projektu majú podľa inštitúcií rozdelené aj finančné prostriedky a</w:t>
      </w:r>
      <w:r>
        <w:rPr>
          <w:sz w:val="22"/>
          <w:szCs w:val="22"/>
        </w:rPr>
        <w:t> </w:t>
      </w:r>
      <w:r w:rsidRPr="00CF79E0">
        <w:rPr>
          <w:sz w:val="22"/>
          <w:szCs w:val="22"/>
        </w:rPr>
        <w:t>aj konkrétne úlohy – obdobný prístup bude nutné uplatňovať aj v programovom období 2014 – 2020.</w:t>
      </w:r>
    </w:p>
    <w:p w14:paraId="7C7DDAA5" w14:textId="77777777" w:rsidR="00E10737" w:rsidRDefault="00E10737" w:rsidP="00E10737">
      <w:pPr>
        <w:pStyle w:val="Nadpis4"/>
        <w:tabs>
          <w:tab w:val="clear" w:pos="709"/>
          <w:tab w:val="clear" w:pos="864"/>
        </w:tabs>
        <w:ind w:left="851" w:hanging="851"/>
      </w:pPr>
      <w:r>
        <w:t>Hlavné princípy výberu projektov</w:t>
      </w:r>
    </w:p>
    <w:p w14:paraId="5F3963CB" w14:textId="7FC72295" w:rsidR="00E10737" w:rsidRPr="002D4CB8" w:rsidRDefault="00E10737" w:rsidP="00E10737">
      <w:pPr>
        <w:tabs>
          <w:tab w:val="left" w:pos="540"/>
        </w:tabs>
        <w:jc w:val="both"/>
        <w:rPr>
          <w:sz w:val="22"/>
          <w:szCs w:val="22"/>
        </w:rPr>
      </w:pPr>
      <w:r w:rsidRPr="002D4CB8">
        <w:rPr>
          <w:sz w:val="22"/>
          <w:szCs w:val="22"/>
        </w:rPr>
        <w:t>Na výber projektov v rámci investičnej priority 1</w:t>
      </w:r>
      <w:r w:rsidR="00DD1B08">
        <w:rPr>
          <w:sz w:val="22"/>
          <w:szCs w:val="22"/>
        </w:rPr>
        <w:t>a)</w:t>
      </w:r>
      <w:r w:rsidRPr="002D4CB8">
        <w:rPr>
          <w:sz w:val="22"/>
          <w:szCs w:val="22"/>
        </w:rPr>
        <w:t xml:space="preserve"> budú aplikované všeobecné zásady výberu projektov v rámci tematického cieľa 1 definované v kapitole </w:t>
      </w:r>
      <w:r w:rsidRPr="00BD78EF">
        <w:rPr>
          <w:sz w:val="22"/>
          <w:szCs w:val="22"/>
        </w:rPr>
        <w:t>2.</w:t>
      </w:r>
      <w:r w:rsidR="002A1E4C" w:rsidRPr="00BD78EF">
        <w:rPr>
          <w:sz w:val="22"/>
          <w:szCs w:val="22"/>
        </w:rPr>
        <w:t>9</w:t>
      </w:r>
      <w:r w:rsidRPr="00BD78EF">
        <w:rPr>
          <w:sz w:val="22"/>
          <w:szCs w:val="22"/>
        </w:rPr>
        <w:t>.2.</w:t>
      </w:r>
      <w:r w:rsidR="002A1E4C" w:rsidRPr="00BD78EF">
        <w:rPr>
          <w:sz w:val="22"/>
          <w:szCs w:val="22"/>
        </w:rPr>
        <w:t>3</w:t>
      </w:r>
      <w:r w:rsidRPr="00BD78EF">
        <w:rPr>
          <w:sz w:val="22"/>
          <w:szCs w:val="22"/>
        </w:rPr>
        <w:t>.</w:t>
      </w:r>
    </w:p>
    <w:p w14:paraId="37B63BC4" w14:textId="626670E7" w:rsidR="00E10737" w:rsidRDefault="00E10737" w:rsidP="0040351A">
      <w:pPr>
        <w:tabs>
          <w:tab w:val="left" w:pos="540"/>
        </w:tabs>
        <w:spacing w:before="120"/>
        <w:jc w:val="both"/>
        <w:rPr>
          <w:sz w:val="22"/>
          <w:szCs w:val="22"/>
        </w:rPr>
      </w:pPr>
      <w:r w:rsidRPr="002D4CB8">
        <w:rPr>
          <w:sz w:val="22"/>
          <w:szCs w:val="22"/>
        </w:rPr>
        <w:t>Na projekty v rámci investičnej priority 1</w:t>
      </w:r>
      <w:r w:rsidR="00BA362D">
        <w:rPr>
          <w:sz w:val="22"/>
          <w:szCs w:val="22"/>
        </w:rPr>
        <w:t>a)</w:t>
      </w:r>
      <w:r w:rsidRPr="002D4CB8">
        <w:rPr>
          <w:sz w:val="22"/>
          <w:szCs w:val="22"/>
        </w:rPr>
        <w:t xml:space="preserve"> budú zároveň aplikované špecifické zásady výberu projektov pre projekty investičnej priority 1</w:t>
      </w:r>
      <w:r w:rsidR="00BA362D">
        <w:rPr>
          <w:sz w:val="22"/>
          <w:szCs w:val="22"/>
        </w:rPr>
        <w:t>a)</w:t>
      </w:r>
      <w:r w:rsidRPr="002D4CB8">
        <w:rPr>
          <w:sz w:val="22"/>
          <w:szCs w:val="22"/>
        </w:rPr>
        <w:t xml:space="preserve"> definované v </w:t>
      </w:r>
      <w:r w:rsidRPr="00BD78EF">
        <w:rPr>
          <w:sz w:val="22"/>
          <w:szCs w:val="22"/>
        </w:rPr>
        <w:t>kapitole 2.</w:t>
      </w:r>
      <w:r w:rsidR="002A1E4C" w:rsidRPr="00BD78EF">
        <w:rPr>
          <w:sz w:val="22"/>
          <w:szCs w:val="22"/>
        </w:rPr>
        <w:t>9</w:t>
      </w:r>
      <w:r w:rsidRPr="00BD78EF">
        <w:rPr>
          <w:sz w:val="22"/>
          <w:szCs w:val="22"/>
        </w:rPr>
        <w:t>.2.</w:t>
      </w:r>
      <w:r w:rsidR="002A1E4C" w:rsidRPr="00BD78EF">
        <w:rPr>
          <w:sz w:val="22"/>
          <w:szCs w:val="22"/>
        </w:rPr>
        <w:t>3</w:t>
      </w:r>
      <w:r w:rsidRPr="00BD78EF">
        <w:rPr>
          <w:sz w:val="22"/>
          <w:szCs w:val="22"/>
        </w:rPr>
        <w:t>.</w:t>
      </w:r>
    </w:p>
    <w:p w14:paraId="651F9096" w14:textId="77777777" w:rsidR="00E10737" w:rsidRPr="00CF2C83" w:rsidRDefault="00E10737" w:rsidP="00E10737">
      <w:pPr>
        <w:pStyle w:val="Nadpis4"/>
        <w:tabs>
          <w:tab w:val="clear" w:pos="709"/>
          <w:tab w:val="clear" w:pos="864"/>
        </w:tabs>
        <w:spacing w:before="240"/>
        <w:ind w:left="851" w:hanging="851"/>
      </w:pPr>
      <w:r w:rsidRPr="00CF2C83">
        <w:t>Plánované využitie finančných nástrojov</w:t>
      </w:r>
    </w:p>
    <w:p w14:paraId="06FAC827" w14:textId="7BAA024E" w:rsidR="00E10737" w:rsidRPr="002D4CB8" w:rsidRDefault="00E10737" w:rsidP="00E10737">
      <w:pPr>
        <w:autoSpaceDE w:val="0"/>
        <w:autoSpaceDN w:val="0"/>
        <w:spacing w:after="120"/>
        <w:jc w:val="both"/>
        <w:rPr>
          <w:sz w:val="22"/>
          <w:szCs w:val="22"/>
        </w:rPr>
      </w:pPr>
      <w:r w:rsidRPr="002D4CB8">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w:t>
      </w:r>
      <w:r w:rsidR="0040351A">
        <w:rPr>
          <w:sz w:val="22"/>
          <w:szCs w:val="22"/>
        </w:rPr>
        <w:t>ančné nástroje budú zamerané na </w:t>
      </w:r>
      <w:r w:rsidRPr="002D4CB8">
        <w:rPr>
          <w:sz w:val="22"/>
          <w:szCs w:val="22"/>
        </w:rPr>
        <w:t>podporu tých aktivít, ktoré nenachádzajú financovanie na trhu, prípadne nenachádzajú adekvátne financovanie, pri ktorom by ich realizácia bola efektívnou.</w:t>
      </w:r>
    </w:p>
    <w:p w14:paraId="5DDD24BB" w14:textId="77777777" w:rsidR="00E10737" w:rsidRPr="002D4CB8" w:rsidRDefault="00E10737" w:rsidP="00E10737">
      <w:pPr>
        <w:autoSpaceDE w:val="0"/>
        <w:autoSpaceDN w:val="0"/>
        <w:spacing w:after="120"/>
        <w:jc w:val="both"/>
        <w:rPr>
          <w:sz w:val="22"/>
          <w:szCs w:val="22"/>
        </w:rPr>
      </w:pPr>
      <w:r w:rsidRPr="002D4CB8">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Pr>
          <w:sz w:val="22"/>
          <w:szCs w:val="22"/>
        </w:rPr>
        <w:t>tálu je potrebné aj vzhľadom na </w:t>
      </w:r>
      <w:r w:rsidRPr="002D4CB8">
        <w:rPr>
          <w:sz w:val="22"/>
          <w:szCs w:val="22"/>
        </w:rPr>
        <w:t xml:space="preserve">nedostatočný objem prostriedkov z EŠIF na pokrytie všetkých investičných potrieb v príslušných </w:t>
      </w:r>
      <w:r w:rsidRPr="002D4CB8">
        <w:rPr>
          <w:sz w:val="22"/>
          <w:szCs w:val="22"/>
        </w:rPr>
        <w:lastRenderedPageBreak/>
        <w:t>oblastiach. Účasť súkromných investorov môže prispieť aj ku skvalitn</w:t>
      </w:r>
      <w:r>
        <w:rPr>
          <w:sz w:val="22"/>
          <w:szCs w:val="22"/>
        </w:rPr>
        <w:t>eniu implementácie projektov, a </w:t>
      </w:r>
      <w:r w:rsidRPr="002D4CB8">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aktivity, vhodný objem prostriedkov a</w:t>
      </w:r>
      <w:r>
        <w:rPr>
          <w:sz w:val="22"/>
          <w:szCs w:val="22"/>
        </w:rPr>
        <w:t> </w:t>
      </w:r>
      <w:r w:rsidRPr="002D4CB8">
        <w:rPr>
          <w:sz w:val="22"/>
          <w:szCs w:val="22"/>
        </w:rPr>
        <w:t>podmienky implementácie konkrétnych finančných nástrojov, vrátane očakávaného znásobenia alokovaných prostriedkov EŠIF a ich kombinácie s inými fo</w:t>
      </w:r>
      <w:r>
        <w:rPr>
          <w:sz w:val="22"/>
          <w:szCs w:val="22"/>
        </w:rPr>
        <w:t>rmami podpory, budú vychádzať z </w:t>
      </w:r>
      <w:r w:rsidRPr="002D4CB8">
        <w:rPr>
          <w:sz w:val="22"/>
          <w:szCs w:val="22"/>
        </w:rPr>
        <w:t>výsledkov ex ante hodnotenia pre finančné nástroje, vyžadovaného podľa čl. 37 ods. 2 všeobecného nariadenia pre finančné nástroje na programové obdobie 2014 – 2020.</w:t>
      </w:r>
    </w:p>
    <w:p w14:paraId="07D70C5A" w14:textId="67DB0B77" w:rsidR="00E10737" w:rsidRPr="002738C0" w:rsidRDefault="00E10737" w:rsidP="00E46C66">
      <w:pPr>
        <w:autoSpaceDE w:val="0"/>
        <w:autoSpaceDN w:val="0"/>
        <w:spacing w:after="120"/>
        <w:jc w:val="both"/>
        <w:rPr>
          <w:sz w:val="22"/>
          <w:szCs w:val="22"/>
        </w:rPr>
      </w:pPr>
      <w:r w:rsidRPr="002D4CB8">
        <w:rPr>
          <w:sz w:val="22"/>
          <w:szCs w:val="22"/>
        </w:rPr>
        <w:t>V období september 2017 – jún 2018 bolo vykonané ex ante hodnotenie pre využitie finančných nástrojov v oblastiach výskumu, vývoja a</w:t>
      </w:r>
      <w:r w:rsidR="00E46C66">
        <w:rPr>
          <w:sz w:val="22"/>
          <w:szCs w:val="22"/>
        </w:rPr>
        <w:t> </w:t>
      </w:r>
      <w:r w:rsidRPr="002D4CB8">
        <w:rPr>
          <w:sz w:val="22"/>
          <w:szCs w:val="22"/>
        </w:rPr>
        <w:t>inovácií</w:t>
      </w:r>
      <w:r w:rsidR="00E46C66">
        <w:rPr>
          <w:sz w:val="22"/>
          <w:szCs w:val="22"/>
        </w:rPr>
        <w:t xml:space="preserve"> </w:t>
      </w:r>
      <w:r w:rsidR="00E46C66" w:rsidRPr="00E46C66">
        <w:rPr>
          <w:sz w:val="22"/>
          <w:szCs w:val="22"/>
        </w:rPr>
        <w:t>a v období december 2018 – j</w:t>
      </w:r>
      <w:r w:rsidR="00E46C66">
        <w:rPr>
          <w:sz w:val="22"/>
          <w:szCs w:val="22"/>
        </w:rPr>
        <w:t>ú</w:t>
      </w:r>
      <w:r w:rsidR="00E46C66" w:rsidRPr="00E46C66">
        <w:rPr>
          <w:sz w:val="22"/>
          <w:szCs w:val="22"/>
        </w:rPr>
        <w:t>n 2019 Doplňujúce ex ante</w:t>
      </w:r>
      <w:r w:rsidR="00E46C66">
        <w:rPr>
          <w:sz w:val="22"/>
          <w:szCs w:val="22"/>
        </w:rPr>
        <w:t xml:space="preserve"> </w:t>
      </w:r>
      <w:r w:rsidR="00E46C66" w:rsidRPr="00E46C66">
        <w:rPr>
          <w:sz w:val="22"/>
          <w:szCs w:val="22"/>
        </w:rPr>
        <w:t>hodnotenie pre využitie finančných nástrojov v rámci OP VaI na podporu verejných subjektov výskumu a vývoja</w:t>
      </w:r>
      <w:r w:rsidRPr="002D4CB8">
        <w:rPr>
          <w:sz w:val="22"/>
          <w:szCs w:val="22"/>
        </w:rPr>
        <w:t xml:space="preserve">, ktoré sú podporované v rámci prioritných osí </w:t>
      </w:r>
      <w:r w:rsidR="00074894">
        <w:rPr>
          <w:sz w:val="22"/>
          <w:szCs w:val="22"/>
        </w:rPr>
        <w:t>9</w:t>
      </w:r>
      <w:r w:rsidR="0040351A">
        <w:rPr>
          <w:sz w:val="22"/>
          <w:szCs w:val="22"/>
        </w:rPr>
        <w:t xml:space="preserve"> a </w:t>
      </w:r>
      <w:r w:rsidR="00074894">
        <w:rPr>
          <w:sz w:val="22"/>
          <w:szCs w:val="22"/>
        </w:rPr>
        <w:t>10</w:t>
      </w:r>
      <w:r w:rsidRPr="002D4CB8">
        <w:rPr>
          <w:sz w:val="22"/>
          <w:szCs w:val="22"/>
        </w:rPr>
        <w:t xml:space="preserve"> OP</w:t>
      </w:r>
      <w:r w:rsidR="00074894">
        <w:rPr>
          <w:sz w:val="22"/>
          <w:szCs w:val="22"/>
        </w:rPr>
        <w:t>I</w:t>
      </w:r>
      <w:r w:rsidRPr="002D4CB8">
        <w:rPr>
          <w:sz w:val="22"/>
          <w:szCs w:val="22"/>
        </w:rPr>
        <w:t xml:space="preserve">I. V rámci ex ante </w:t>
      </w:r>
      <w:r w:rsidR="00E46C66">
        <w:rPr>
          <w:sz w:val="22"/>
          <w:szCs w:val="22"/>
        </w:rPr>
        <w:t>hodnotení</w:t>
      </w:r>
      <w:r w:rsidR="00E46C66" w:rsidRPr="002D4CB8">
        <w:rPr>
          <w:sz w:val="22"/>
          <w:szCs w:val="22"/>
        </w:rPr>
        <w:t xml:space="preserve"> </w:t>
      </w:r>
      <w:r w:rsidRPr="002D4CB8">
        <w:rPr>
          <w:sz w:val="22"/>
          <w:szCs w:val="22"/>
        </w:rPr>
        <w:t>boli identifikované finančné medzery a navrhnuté finančné nástroje zamerané na rôzne skupiny prijímateľov. Konkrétne využitie finančných nástrojov v rámci aktivít OP</w:t>
      </w:r>
      <w:r w:rsidR="00B72014">
        <w:rPr>
          <w:sz w:val="22"/>
          <w:szCs w:val="22"/>
        </w:rPr>
        <w:t>I</w:t>
      </w:r>
      <w:r w:rsidRPr="002D4CB8">
        <w:rPr>
          <w:sz w:val="22"/>
          <w:szCs w:val="22"/>
        </w:rPr>
        <w:t xml:space="preserve">I </w:t>
      </w:r>
      <w:r w:rsidR="00B72014">
        <w:rPr>
          <w:sz w:val="22"/>
          <w:szCs w:val="22"/>
        </w:rPr>
        <w:t xml:space="preserve">(časť VaI) </w:t>
      </w:r>
      <w:r w:rsidRPr="002D4CB8">
        <w:rPr>
          <w:sz w:val="22"/>
          <w:szCs w:val="22"/>
        </w:rPr>
        <w:t>bude určené v závislosti od aktuálnej situácie v oblasti</w:t>
      </w:r>
      <w:r>
        <w:rPr>
          <w:sz w:val="22"/>
          <w:szCs w:val="22"/>
        </w:rPr>
        <w:t xml:space="preserve"> implementácie OP</w:t>
      </w:r>
      <w:r w:rsidR="00B72014">
        <w:rPr>
          <w:sz w:val="22"/>
          <w:szCs w:val="22"/>
        </w:rPr>
        <w:t>I</w:t>
      </w:r>
      <w:r>
        <w:rPr>
          <w:sz w:val="22"/>
          <w:szCs w:val="22"/>
        </w:rPr>
        <w:t>I</w:t>
      </w:r>
      <w:r w:rsidR="00B72014">
        <w:rPr>
          <w:sz w:val="22"/>
          <w:szCs w:val="22"/>
        </w:rPr>
        <w:t xml:space="preserve"> (časť VaI)</w:t>
      </w:r>
      <w:r>
        <w:rPr>
          <w:sz w:val="22"/>
          <w:szCs w:val="22"/>
        </w:rPr>
        <w:t>, ako aj s </w:t>
      </w:r>
      <w:r w:rsidRPr="002D4CB8">
        <w:rPr>
          <w:sz w:val="22"/>
          <w:szCs w:val="22"/>
        </w:rPr>
        <w:t>ohľadom na vývoj prostredia výskumu a inovácií v podmienkach SR.</w:t>
      </w:r>
    </w:p>
    <w:p w14:paraId="60019A2E" w14:textId="77777777" w:rsidR="00E10737" w:rsidRDefault="00E10737" w:rsidP="00E10737">
      <w:pPr>
        <w:pStyle w:val="Nadpis4"/>
        <w:tabs>
          <w:tab w:val="clear" w:pos="709"/>
          <w:tab w:val="clear" w:pos="864"/>
        </w:tabs>
        <w:ind w:left="851" w:hanging="862"/>
      </w:pPr>
      <w:r>
        <w:t>Plánované využitie veľkých projektov</w:t>
      </w:r>
    </w:p>
    <w:p w14:paraId="3884CD79" w14:textId="386292F8" w:rsidR="00E10737" w:rsidRPr="002D4CB8" w:rsidRDefault="00E10737" w:rsidP="00E10737">
      <w:pPr>
        <w:pStyle w:val="Obyajntext"/>
        <w:jc w:val="both"/>
        <w:rPr>
          <w:rFonts w:ascii="Times New Roman" w:hAnsi="Times New Roman" w:cs="Times New Roman"/>
          <w:sz w:val="22"/>
          <w:szCs w:val="22"/>
        </w:rPr>
      </w:pPr>
      <w:r w:rsidRPr="002D4CB8">
        <w:rPr>
          <w:rFonts w:ascii="Times New Roman" w:hAnsi="Times New Roman" w:cs="Times New Roman"/>
          <w:sz w:val="22"/>
          <w:szCs w:val="22"/>
        </w:rPr>
        <w:t xml:space="preserve">V rámci špecifického cieľa </w:t>
      </w:r>
      <w:r>
        <w:rPr>
          <w:rFonts w:ascii="Times New Roman" w:hAnsi="Times New Roman" w:cs="Times New Roman"/>
          <w:sz w:val="22"/>
          <w:szCs w:val="22"/>
        </w:rPr>
        <w:t>10</w:t>
      </w:r>
      <w:r w:rsidRPr="002D4CB8">
        <w:rPr>
          <w:rFonts w:ascii="Times New Roman" w:hAnsi="Times New Roman" w:cs="Times New Roman"/>
          <w:sz w:val="22"/>
          <w:szCs w:val="22"/>
        </w:rPr>
        <w:t>.1 je plánovaná realizácia nasledovného veľkého projektu:</w:t>
      </w:r>
    </w:p>
    <w:p w14:paraId="59CB70F9" w14:textId="77777777" w:rsidR="00E10737" w:rsidRPr="00CF79E0" w:rsidRDefault="00E10737" w:rsidP="00E10737">
      <w:pPr>
        <w:pStyle w:val="Obyajntext"/>
        <w:jc w:val="both"/>
        <w:rPr>
          <w:rFonts w:ascii="Times New Roman" w:hAnsi="Times New Roman" w:cs="Times New Roman"/>
          <w:sz w:val="22"/>
          <w:szCs w:val="22"/>
        </w:rPr>
      </w:pPr>
      <w:r>
        <w:rPr>
          <w:rFonts w:ascii="Times New Roman" w:hAnsi="Times New Roman" w:cs="Times New Roman"/>
          <w:sz w:val="22"/>
          <w:szCs w:val="22"/>
        </w:rPr>
        <w:t xml:space="preserve">- </w:t>
      </w:r>
      <w:r w:rsidRPr="002D4CB8">
        <w:rPr>
          <w:rFonts w:ascii="Times New Roman" w:hAnsi="Times New Roman" w:cs="Times New Roman"/>
          <w:sz w:val="22"/>
          <w:szCs w:val="22"/>
        </w:rPr>
        <w:t>spoločný projekt Univerzity Komenského v Bratislave a Slo</w:t>
      </w:r>
      <w:r>
        <w:rPr>
          <w:rFonts w:ascii="Times New Roman" w:hAnsi="Times New Roman" w:cs="Times New Roman"/>
          <w:sz w:val="22"/>
          <w:szCs w:val="22"/>
        </w:rPr>
        <w:t>venskej technickej univerzity v </w:t>
      </w:r>
      <w:r w:rsidRPr="002D4CB8">
        <w:rPr>
          <w:rFonts w:ascii="Times New Roman" w:hAnsi="Times New Roman" w:cs="Times New Roman"/>
          <w:sz w:val="22"/>
          <w:szCs w:val="22"/>
        </w:rPr>
        <w:t>Bratislave.</w:t>
      </w:r>
    </w:p>
    <w:p w14:paraId="6CB9EE60" w14:textId="77777777" w:rsidR="00E10737" w:rsidRDefault="00E10737" w:rsidP="00E10737">
      <w:pPr>
        <w:pStyle w:val="Nadpis4"/>
        <w:tabs>
          <w:tab w:val="clear" w:pos="709"/>
          <w:tab w:val="clear" w:pos="864"/>
        </w:tabs>
        <w:ind w:left="851" w:hanging="851"/>
      </w:pPr>
      <w:r>
        <w:t>Ukazovatele výstupu na úrovni investičnej priority a kategórie regiónu</w:t>
      </w:r>
    </w:p>
    <w:p w14:paraId="33FAC49F" w14:textId="119039AB" w:rsidR="00E10737" w:rsidRDefault="00E10737" w:rsidP="00132EB9">
      <w:pPr>
        <w:pStyle w:val="Tab"/>
        <w:tabs>
          <w:tab w:val="clear" w:pos="0"/>
          <w:tab w:val="clear" w:pos="851"/>
        </w:tabs>
        <w:ind w:left="1134" w:hanging="1134"/>
      </w:pPr>
      <w:r>
        <w:t>Spoločné a špecifické ukazovatele výstupu investičnej priority 1</w:t>
      </w:r>
      <w:r w:rsidR="00396AAF">
        <w:t>a)</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2726"/>
        <w:gridCol w:w="992"/>
        <w:gridCol w:w="749"/>
        <w:gridCol w:w="1126"/>
        <w:gridCol w:w="1109"/>
        <w:gridCol w:w="827"/>
        <w:gridCol w:w="1177"/>
      </w:tblGrid>
      <w:tr w:rsidR="00132EB9" w14:paraId="0DFB4175" w14:textId="77777777" w:rsidTr="00132EB9">
        <w:trPr>
          <w:trHeight w:val="487"/>
          <w:jc w:val="center"/>
        </w:trPr>
        <w:tc>
          <w:tcPr>
            <w:tcW w:w="706" w:type="dxa"/>
            <w:shd w:val="clear" w:color="auto" w:fill="C6D9F1" w:themeFill="text2" w:themeFillTint="33"/>
            <w:vAlign w:val="center"/>
          </w:tcPr>
          <w:p w14:paraId="3655E965" w14:textId="77777777" w:rsidR="00E10737" w:rsidRPr="008C1732" w:rsidRDefault="00E10737" w:rsidP="004179DE">
            <w:pPr>
              <w:ind w:left="0"/>
              <w:jc w:val="center"/>
              <w:rPr>
                <w:b/>
                <w:sz w:val="18"/>
                <w:szCs w:val="18"/>
              </w:rPr>
            </w:pPr>
            <w:r>
              <w:rPr>
                <w:b/>
                <w:sz w:val="18"/>
                <w:szCs w:val="18"/>
              </w:rPr>
              <w:t>ID</w:t>
            </w:r>
          </w:p>
        </w:tc>
        <w:tc>
          <w:tcPr>
            <w:tcW w:w="2726" w:type="dxa"/>
            <w:shd w:val="clear" w:color="auto" w:fill="C6D9F1" w:themeFill="text2" w:themeFillTint="33"/>
            <w:vAlign w:val="center"/>
          </w:tcPr>
          <w:p w14:paraId="18E7952C" w14:textId="77777777" w:rsidR="00E10737" w:rsidRPr="008C1732" w:rsidRDefault="00E10737" w:rsidP="004179DE">
            <w:pPr>
              <w:ind w:left="0"/>
              <w:jc w:val="center"/>
              <w:rPr>
                <w:b/>
                <w:sz w:val="18"/>
                <w:szCs w:val="18"/>
              </w:rPr>
            </w:pPr>
            <w:r w:rsidRPr="008C1732">
              <w:rPr>
                <w:b/>
                <w:sz w:val="18"/>
                <w:szCs w:val="18"/>
              </w:rPr>
              <w:t>Ukazovateľ výstupu</w:t>
            </w:r>
          </w:p>
        </w:tc>
        <w:tc>
          <w:tcPr>
            <w:tcW w:w="992" w:type="dxa"/>
            <w:shd w:val="clear" w:color="auto" w:fill="C6D9F1" w:themeFill="text2" w:themeFillTint="33"/>
            <w:vAlign w:val="center"/>
          </w:tcPr>
          <w:p w14:paraId="0752656C" w14:textId="77777777" w:rsidR="00E10737" w:rsidRPr="008C1732" w:rsidRDefault="00E10737" w:rsidP="004179DE">
            <w:pPr>
              <w:ind w:left="0"/>
              <w:jc w:val="center"/>
              <w:rPr>
                <w:b/>
                <w:sz w:val="18"/>
                <w:szCs w:val="18"/>
              </w:rPr>
            </w:pPr>
            <w:r w:rsidRPr="008C1732">
              <w:rPr>
                <w:b/>
                <w:sz w:val="18"/>
                <w:szCs w:val="18"/>
              </w:rPr>
              <w:t>Merná jednotka</w:t>
            </w:r>
          </w:p>
        </w:tc>
        <w:tc>
          <w:tcPr>
            <w:tcW w:w="749" w:type="dxa"/>
            <w:shd w:val="clear" w:color="auto" w:fill="C6D9F1" w:themeFill="text2" w:themeFillTint="33"/>
            <w:vAlign w:val="center"/>
          </w:tcPr>
          <w:p w14:paraId="7F0988B1" w14:textId="77777777" w:rsidR="00E10737" w:rsidRPr="008C1732" w:rsidRDefault="00E10737" w:rsidP="004179DE">
            <w:pPr>
              <w:ind w:left="0"/>
              <w:jc w:val="center"/>
              <w:rPr>
                <w:b/>
                <w:sz w:val="18"/>
                <w:szCs w:val="18"/>
              </w:rPr>
            </w:pPr>
            <w:r w:rsidRPr="008C1732">
              <w:rPr>
                <w:b/>
                <w:sz w:val="18"/>
                <w:szCs w:val="18"/>
              </w:rPr>
              <w:t>Fond</w:t>
            </w:r>
          </w:p>
        </w:tc>
        <w:tc>
          <w:tcPr>
            <w:tcW w:w="1126" w:type="dxa"/>
            <w:shd w:val="clear" w:color="auto" w:fill="C6D9F1" w:themeFill="text2" w:themeFillTint="33"/>
            <w:vAlign w:val="center"/>
          </w:tcPr>
          <w:p w14:paraId="2BCDF1CD" w14:textId="77777777" w:rsidR="00E10737" w:rsidRPr="008C1732" w:rsidRDefault="00E10737" w:rsidP="004179DE">
            <w:pPr>
              <w:ind w:left="0"/>
              <w:jc w:val="center"/>
              <w:rPr>
                <w:b/>
                <w:sz w:val="18"/>
                <w:szCs w:val="18"/>
              </w:rPr>
            </w:pPr>
            <w:r w:rsidRPr="008C1732">
              <w:rPr>
                <w:b/>
                <w:sz w:val="18"/>
                <w:szCs w:val="18"/>
              </w:rPr>
              <w:t>Kategória regiónu</w:t>
            </w:r>
          </w:p>
        </w:tc>
        <w:tc>
          <w:tcPr>
            <w:tcW w:w="1109" w:type="dxa"/>
            <w:shd w:val="clear" w:color="auto" w:fill="C6D9F1" w:themeFill="text2" w:themeFillTint="33"/>
            <w:vAlign w:val="center"/>
          </w:tcPr>
          <w:p w14:paraId="16C216EC" w14:textId="77777777" w:rsidR="00E10737" w:rsidRPr="008C1732" w:rsidRDefault="00E10737" w:rsidP="004179DE">
            <w:pPr>
              <w:ind w:left="0"/>
              <w:jc w:val="center"/>
              <w:rPr>
                <w:b/>
                <w:sz w:val="18"/>
                <w:szCs w:val="18"/>
              </w:rPr>
            </w:pPr>
            <w:r w:rsidRPr="008C1732">
              <w:rPr>
                <w:b/>
                <w:sz w:val="18"/>
                <w:szCs w:val="18"/>
              </w:rPr>
              <w:t>Cieľová hodnota (2023)</w:t>
            </w:r>
          </w:p>
        </w:tc>
        <w:tc>
          <w:tcPr>
            <w:tcW w:w="827" w:type="dxa"/>
            <w:shd w:val="clear" w:color="auto" w:fill="C6D9F1" w:themeFill="text2" w:themeFillTint="33"/>
            <w:vAlign w:val="center"/>
          </w:tcPr>
          <w:p w14:paraId="2EF62038" w14:textId="77777777" w:rsidR="00E10737" w:rsidRPr="008C1732" w:rsidRDefault="00E10737" w:rsidP="004179DE">
            <w:pPr>
              <w:ind w:left="0"/>
              <w:jc w:val="center"/>
              <w:rPr>
                <w:b/>
                <w:sz w:val="18"/>
                <w:szCs w:val="18"/>
              </w:rPr>
            </w:pPr>
            <w:r w:rsidRPr="008C1732">
              <w:rPr>
                <w:b/>
                <w:sz w:val="18"/>
                <w:szCs w:val="18"/>
              </w:rPr>
              <w:t>Zdroj údajov</w:t>
            </w:r>
          </w:p>
        </w:tc>
        <w:tc>
          <w:tcPr>
            <w:tcW w:w="1177" w:type="dxa"/>
            <w:shd w:val="clear" w:color="auto" w:fill="C6D9F1" w:themeFill="text2" w:themeFillTint="33"/>
            <w:vAlign w:val="center"/>
          </w:tcPr>
          <w:p w14:paraId="333EDEEF"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14:paraId="1166037D" w14:textId="77777777" w:rsidTr="00132EB9">
        <w:trPr>
          <w:trHeight w:val="680"/>
          <w:jc w:val="center"/>
        </w:trPr>
        <w:tc>
          <w:tcPr>
            <w:tcW w:w="706" w:type="dxa"/>
            <w:shd w:val="clear" w:color="auto" w:fill="auto"/>
            <w:vAlign w:val="center"/>
          </w:tcPr>
          <w:p w14:paraId="7B0AD5AE" w14:textId="77777777" w:rsidR="00E10737" w:rsidRPr="00737ED2" w:rsidRDefault="00E10737" w:rsidP="004179DE">
            <w:pPr>
              <w:ind w:left="0"/>
              <w:jc w:val="center"/>
              <w:rPr>
                <w:sz w:val="18"/>
                <w:szCs w:val="18"/>
              </w:rPr>
            </w:pPr>
            <w:r>
              <w:rPr>
                <w:sz w:val="18"/>
                <w:szCs w:val="18"/>
              </w:rPr>
              <w:t>CO01</w:t>
            </w:r>
          </w:p>
        </w:tc>
        <w:tc>
          <w:tcPr>
            <w:tcW w:w="2726" w:type="dxa"/>
            <w:shd w:val="clear" w:color="auto" w:fill="auto"/>
            <w:vAlign w:val="center"/>
          </w:tcPr>
          <w:p w14:paraId="69B46C8B" w14:textId="77777777" w:rsidR="00E10737" w:rsidRPr="00737ED2" w:rsidRDefault="00E10737" w:rsidP="004179DE">
            <w:pPr>
              <w:ind w:left="0"/>
              <w:rPr>
                <w:sz w:val="18"/>
                <w:szCs w:val="18"/>
              </w:rPr>
            </w:pPr>
            <w:r w:rsidRPr="002243AF">
              <w:rPr>
                <w:sz w:val="18"/>
                <w:szCs w:val="18"/>
              </w:rPr>
              <w:t>Počet podnikov, ktorým sa poskytuje podpora (spoločný)</w:t>
            </w:r>
          </w:p>
        </w:tc>
        <w:tc>
          <w:tcPr>
            <w:tcW w:w="992" w:type="dxa"/>
            <w:shd w:val="clear" w:color="auto" w:fill="auto"/>
            <w:vAlign w:val="center"/>
          </w:tcPr>
          <w:p w14:paraId="49B505E9" w14:textId="77777777" w:rsidR="00E10737" w:rsidRPr="00E661DF" w:rsidRDefault="00E10737" w:rsidP="004179DE">
            <w:pPr>
              <w:ind w:left="0"/>
              <w:jc w:val="center"/>
              <w:rPr>
                <w:i/>
                <w:sz w:val="18"/>
                <w:szCs w:val="18"/>
              </w:rPr>
            </w:pPr>
            <w:r w:rsidRPr="00E661DF">
              <w:rPr>
                <w:i/>
                <w:sz w:val="18"/>
                <w:szCs w:val="18"/>
              </w:rPr>
              <w:t>podniky</w:t>
            </w:r>
          </w:p>
        </w:tc>
        <w:tc>
          <w:tcPr>
            <w:tcW w:w="749" w:type="dxa"/>
            <w:shd w:val="clear" w:color="auto" w:fill="auto"/>
            <w:vAlign w:val="center"/>
          </w:tcPr>
          <w:p w14:paraId="40B08753"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4F444029"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085E49E7" w14:textId="5953BCE7" w:rsidR="00E10737" w:rsidRPr="00E661DF" w:rsidRDefault="00D3601B" w:rsidP="00D3601B">
            <w:pPr>
              <w:ind w:left="0"/>
              <w:jc w:val="center"/>
              <w:rPr>
                <w:i/>
                <w:sz w:val="18"/>
                <w:szCs w:val="18"/>
              </w:rPr>
            </w:pPr>
            <w:r>
              <w:rPr>
                <w:i/>
                <w:sz w:val="18"/>
                <w:szCs w:val="18"/>
              </w:rPr>
              <w:t>9</w:t>
            </w:r>
          </w:p>
        </w:tc>
        <w:tc>
          <w:tcPr>
            <w:tcW w:w="827" w:type="dxa"/>
            <w:vAlign w:val="center"/>
          </w:tcPr>
          <w:p w14:paraId="2445D0B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5643C32" w14:textId="77777777" w:rsidR="00E10737" w:rsidRPr="00E661DF" w:rsidRDefault="00E10737" w:rsidP="004179DE">
            <w:pPr>
              <w:ind w:left="0"/>
              <w:jc w:val="center"/>
              <w:rPr>
                <w:i/>
                <w:sz w:val="18"/>
                <w:szCs w:val="18"/>
              </w:rPr>
            </w:pPr>
            <w:r w:rsidRPr="00E661DF">
              <w:rPr>
                <w:i/>
                <w:sz w:val="18"/>
                <w:szCs w:val="18"/>
              </w:rPr>
              <w:t>Ročne</w:t>
            </w:r>
          </w:p>
        </w:tc>
      </w:tr>
      <w:tr w:rsidR="00E10737" w14:paraId="3BCF44BA" w14:textId="77777777" w:rsidTr="00132EB9">
        <w:trPr>
          <w:trHeight w:val="680"/>
          <w:jc w:val="center"/>
        </w:trPr>
        <w:tc>
          <w:tcPr>
            <w:tcW w:w="706" w:type="dxa"/>
            <w:shd w:val="clear" w:color="auto" w:fill="auto"/>
            <w:vAlign w:val="center"/>
          </w:tcPr>
          <w:p w14:paraId="11A0842A" w14:textId="77777777" w:rsidR="00E10737" w:rsidRDefault="00E10737" w:rsidP="004179DE">
            <w:pPr>
              <w:ind w:left="0"/>
              <w:jc w:val="center"/>
              <w:rPr>
                <w:sz w:val="18"/>
                <w:szCs w:val="18"/>
              </w:rPr>
            </w:pPr>
            <w:r>
              <w:rPr>
                <w:sz w:val="18"/>
                <w:szCs w:val="18"/>
              </w:rPr>
              <w:t>CO02</w:t>
            </w:r>
          </w:p>
        </w:tc>
        <w:tc>
          <w:tcPr>
            <w:tcW w:w="2726" w:type="dxa"/>
            <w:shd w:val="clear" w:color="auto" w:fill="auto"/>
            <w:vAlign w:val="center"/>
          </w:tcPr>
          <w:p w14:paraId="55FB0A1C" w14:textId="77777777" w:rsidR="00E10737" w:rsidRPr="00737ED2" w:rsidRDefault="00E10737" w:rsidP="004179DE">
            <w:pPr>
              <w:ind w:left="0"/>
              <w:rPr>
                <w:sz w:val="18"/>
                <w:szCs w:val="18"/>
              </w:rPr>
            </w:pPr>
            <w:r w:rsidRPr="000331A8">
              <w:rPr>
                <w:sz w:val="18"/>
                <w:szCs w:val="18"/>
              </w:rPr>
              <w:t>Počet podnikov, ktoré dostávajú granty (spoločný)</w:t>
            </w:r>
          </w:p>
        </w:tc>
        <w:tc>
          <w:tcPr>
            <w:tcW w:w="992" w:type="dxa"/>
            <w:shd w:val="clear" w:color="auto" w:fill="auto"/>
            <w:vAlign w:val="center"/>
          </w:tcPr>
          <w:p w14:paraId="1ABFBF9F" w14:textId="77777777" w:rsidR="00E10737" w:rsidRPr="00E661DF" w:rsidRDefault="00E10737" w:rsidP="004179DE">
            <w:pPr>
              <w:ind w:left="0"/>
              <w:jc w:val="center"/>
              <w:rPr>
                <w:i/>
                <w:sz w:val="18"/>
                <w:szCs w:val="18"/>
              </w:rPr>
            </w:pPr>
            <w:r w:rsidRPr="00E661DF">
              <w:rPr>
                <w:i/>
                <w:sz w:val="18"/>
                <w:szCs w:val="18"/>
              </w:rPr>
              <w:t>podniky</w:t>
            </w:r>
          </w:p>
        </w:tc>
        <w:tc>
          <w:tcPr>
            <w:tcW w:w="749" w:type="dxa"/>
            <w:shd w:val="clear" w:color="auto" w:fill="auto"/>
            <w:vAlign w:val="center"/>
          </w:tcPr>
          <w:p w14:paraId="4926FC5F"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77AC9888"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3364994F" w14:textId="7C82E09A" w:rsidR="00E10737" w:rsidRPr="00E661DF" w:rsidRDefault="00D3601B" w:rsidP="00D3601B">
            <w:pPr>
              <w:ind w:left="0"/>
              <w:jc w:val="center"/>
              <w:rPr>
                <w:i/>
                <w:sz w:val="18"/>
                <w:szCs w:val="18"/>
              </w:rPr>
            </w:pPr>
            <w:r>
              <w:rPr>
                <w:i/>
                <w:sz w:val="18"/>
                <w:szCs w:val="18"/>
              </w:rPr>
              <w:t>9</w:t>
            </w:r>
          </w:p>
        </w:tc>
        <w:tc>
          <w:tcPr>
            <w:tcW w:w="827" w:type="dxa"/>
            <w:vAlign w:val="center"/>
          </w:tcPr>
          <w:p w14:paraId="355A47F0"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63868CAA" w14:textId="77777777" w:rsidR="00E10737" w:rsidRPr="00E661DF" w:rsidRDefault="00E10737" w:rsidP="004179DE">
            <w:pPr>
              <w:ind w:left="0"/>
              <w:jc w:val="center"/>
              <w:rPr>
                <w:i/>
                <w:sz w:val="18"/>
                <w:szCs w:val="18"/>
              </w:rPr>
            </w:pPr>
            <w:r w:rsidRPr="00E661DF">
              <w:rPr>
                <w:i/>
                <w:sz w:val="18"/>
                <w:szCs w:val="18"/>
              </w:rPr>
              <w:t>Ročne</w:t>
            </w:r>
          </w:p>
        </w:tc>
      </w:tr>
      <w:tr w:rsidR="00E10737" w14:paraId="35FDA873" w14:textId="77777777" w:rsidTr="00132EB9">
        <w:trPr>
          <w:trHeight w:val="680"/>
          <w:jc w:val="center"/>
        </w:trPr>
        <w:tc>
          <w:tcPr>
            <w:tcW w:w="706" w:type="dxa"/>
            <w:shd w:val="clear" w:color="auto" w:fill="auto"/>
            <w:vAlign w:val="center"/>
          </w:tcPr>
          <w:p w14:paraId="198C6DC9" w14:textId="77777777" w:rsidR="00E10737" w:rsidRDefault="00E10737" w:rsidP="004179DE">
            <w:pPr>
              <w:ind w:left="0"/>
              <w:jc w:val="center"/>
              <w:rPr>
                <w:sz w:val="18"/>
                <w:szCs w:val="18"/>
              </w:rPr>
            </w:pPr>
            <w:r>
              <w:rPr>
                <w:sz w:val="18"/>
                <w:szCs w:val="18"/>
              </w:rPr>
              <w:t>CO05</w:t>
            </w:r>
          </w:p>
        </w:tc>
        <w:tc>
          <w:tcPr>
            <w:tcW w:w="2726" w:type="dxa"/>
            <w:shd w:val="clear" w:color="auto" w:fill="auto"/>
            <w:vAlign w:val="center"/>
          </w:tcPr>
          <w:p w14:paraId="3B5C862C" w14:textId="77777777" w:rsidR="00E10737" w:rsidRPr="000331A8" w:rsidRDefault="00E10737" w:rsidP="004179DE">
            <w:pPr>
              <w:ind w:left="0"/>
              <w:rPr>
                <w:sz w:val="18"/>
                <w:szCs w:val="18"/>
              </w:rPr>
            </w:pPr>
            <w:r w:rsidRPr="000A417B">
              <w:rPr>
                <w:sz w:val="18"/>
                <w:szCs w:val="18"/>
              </w:rPr>
              <w:t>Počet podporených nových podnikov</w:t>
            </w:r>
          </w:p>
        </w:tc>
        <w:tc>
          <w:tcPr>
            <w:tcW w:w="992" w:type="dxa"/>
            <w:shd w:val="clear" w:color="auto" w:fill="auto"/>
            <w:vAlign w:val="center"/>
          </w:tcPr>
          <w:p w14:paraId="67940AC4" w14:textId="375E0C83" w:rsidR="00EE0505" w:rsidRPr="00E661DF" w:rsidRDefault="00EE0505" w:rsidP="00EE0505">
            <w:pPr>
              <w:ind w:left="0"/>
              <w:jc w:val="center"/>
              <w:rPr>
                <w:i/>
                <w:sz w:val="18"/>
                <w:szCs w:val="18"/>
              </w:rPr>
            </w:pPr>
            <w:r w:rsidRPr="00E661DF">
              <w:rPr>
                <w:i/>
                <w:sz w:val="18"/>
                <w:szCs w:val="18"/>
              </w:rPr>
              <w:t>p</w:t>
            </w:r>
            <w:r w:rsidR="00E10737" w:rsidRPr="00E661DF">
              <w:rPr>
                <w:i/>
                <w:sz w:val="18"/>
                <w:szCs w:val="18"/>
              </w:rPr>
              <w:t>o</w:t>
            </w:r>
            <w:r w:rsidRPr="00E661DF">
              <w:rPr>
                <w:i/>
                <w:sz w:val="18"/>
                <w:szCs w:val="18"/>
              </w:rPr>
              <w:t>čet</w:t>
            </w:r>
          </w:p>
        </w:tc>
        <w:tc>
          <w:tcPr>
            <w:tcW w:w="749" w:type="dxa"/>
            <w:shd w:val="clear" w:color="auto" w:fill="auto"/>
            <w:vAlign w:val="center"/>
          </w:tcPr>
          <w:p w14:paraId="356DF7AA"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56C31544"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1513A9BF" w14:textId="77777777" w:rsidR="00E10737" w:rsidRPr="00E661DF" w:rsidRDefault="00E10737" w:rsidP="004179DE">
            <w:pPr>
              <w:ind w:left="0"/>
              <w:jc w:val="center"/>
              <w:rPr>
                <w:i/>
                <w:sz w:val="18"/>
                <w:szCs w:val="18"/>
              </w:rPr>
            </w:pPr>
            <w:r w:rsidRPr="00E661DF">
              <w:rPr>
                <w:i/>
                <w:sz w:val="18"/>
                <w:szCs w:val="18"/>
              </w:rPr>
              <w:t>5</w:t>
            </w:r>
          </w:p>
        </w:tc>
        <w:tc>
          <w:tcPr>
            <w:tcW w:w="827" w:type="dxa"/>
            <w:vAlign w:val="center"/>
          </w:tcPr>
          <w:p w14:paraId="2E63C846"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506EEA2" w14:textId="77777777" w:rsidR="00E10737" w:rsidRPr="00E661DF" w:rsidRDefault="00E10737" w:rsidP="004179DE">
            <w:pPr>
              <w:ind w:left="0"/>
              <w:jc w:val="center"/>
              <w:rPr>
                <w:i/>
                <w:sz w:val="18"/>
                <w:szCs w:val="18"/>
              </w:rPr>
            </w:pPr>
            <w:r w:rsidRPr="00E661DF">
              <w:rPr>
                <w:i/>
                <w:sz w:val="18"/>
                <w:szCs w:val="18"/>
              </w:rPr>
              <w:t>Ročne</w:t>
            </w:r>
          </w:p>
        </w:tc>
      </w:tr>
      <w:tr w:rsidR="00E10737" w14:paraId="6CEDFA92" w14:textId="77777777" w:rsidTr="00132EB9">
        <w:trPr>
          <w:trHeight w:val="680"/>
          <w:jc w:val="center"/>
        </w:trPr>
        <w:tc>
          <w:tcPr>
            <w:tcW w:w="706" w:type="dxa"/>
            <w:shd w:val="clear" w:color="auto" w:fill="auto"/>
            <w:vAlign w:val="center"/>
          </w:tcPr>
          <w:p w14:paraId="5F341752" w14:textId="77777777" w:rsidR="00E10737" w:rsidRDefault="00E10737" w:rsidP="004179DE">
            <w:pPr>
              <w:ind w:left="0"/>
              <w:jc w:val="center"/>
              <w:rPr>
                <w:sz w:val="18"/>
                <w:szCs w:val="18"/>
              </w:rPr>
            </w:pPr>
            <w:r>
              <w:rPr>
                <w:sz w:val="18"/>
                <w:szCs w:val="18"/>
              </w:rPr>
              <w:t>CO24</w:t>
            </w:r>
          </w:p>
        </w:tc>
        <w:tc>
          <w:tcPr>
            <w:tcW w:w="2726" w:type="dxa"/>
            <w:shd w:val="clear" w:color="auto" w:fill="auto"/>
            <w:vAlign w:val="center"/>
          </w:tcPr>
          <w:p w14:paraId="6C6F92EE" w14:textId="77777777" w:rsidR="00E10737" w:rsidRPr="000A417B" w:rsidRDefault="00E10737" w:rsidP="004179DE">
            <w:pPr>
              <w:ind w:left="0"/>
              <w:rPr>
                <w:sz w:val="18"/>
                <w:szCs w:val="18"/>
              </w:rPr>
            </w:pPr>
            <w:r w:rsidRPr="00972FA1">
              <w:rPr>
                <w:sz w:val="18"/>
                <w:szCs w:val="18"/>
              </w:rPr>
              <w:t>Počet nových výskumných pracovníkov v podporovaných podnikoch (spoločný)</w:t>
            </w:r>
          </w:p>
        </w:tc>
        <w:tc>
          <w:tcPr>
            <w:tcW w:w="992" w:type="dxa"/>
            <w:shd w:val="clear" w:color="auto" w:fill="auto"/>
            <w:vAlign w:val="center"/>
          </w:tcPr>
          <w:p w14:paraId="0F64B51E" w14:textId="77777777" w:rsidR="00E10737" w:rsidRPr="00E661DF" w:rsidRDefault="00E10737" w:rsidP="004179DE">
            <w:pPr>
              <w:ind w:left="0"/>
              <w:jc w:val="center"/>
              <w:rPr>
                <w:i/>
                <w:sz w:val="18"/>
                <w:szCs w:val="18"/>
              </w:rPr>
            </w:pPr>
            <w:r w:rsidRPr="00E661DF">
              <w:rPr>
                <w:i/>
                <w:sz w:val="18"/>
                <w:szCs w:val="18"/>
              </w:rPr>
              <w:t>FTE</w:t>
            </w:r>
          </w:p>
        </w:tc>
        <w:tc>
          <w:tcPr>
            <w:tcW w:w="749" w:type="dxa"/>
            <w:shd w:val="clear" w:color="auto" w:fill="auto"/>
            <w:vAlign w:val="center"/>
          </w:tcPr>
          <w:p w14:paraId="2584EEBB"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77C74390"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3277DE07" w14:textId="77777777" w:rsidR="00E10737" w:rsidRPr="00E661DF" w:rsidRDefault="00E10737" w:rsidP="004179DE">
            <w:pPr>
              <w:ind w:left="0"/>
              <w:jc w:val="center"/>
              <w:rPr>
                <w:i/>
                <w:sz w:val="18"/>
                <w:szCs w:val="18"/>
              </w:rPr>
            </w:pPr>
            <w:r w:rsidRPr="00E661DF">
              <w:rPr>
                <w:i/>
                <w:sz w:val="18"/>
                <w:szCs w:val="18"/>
              </w:rPr>
              <w:t>55</w:t>
            </w:r>
          </w:p>
        </w:tc>
        <w:tc>
          <w:tcPr>
            <w:tcW w:w="827" w:type="dxa"/>
            <w:vAlign w:val="center"/>
          </w:tcPr>
          <w:p w14:paraId="3B8D8FFB"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0D95711" w14:textId="77777777" w:rsidR="00E10737" w:rsidRPr="00E661DF" w:rsidRDefault="00E10737" w:rsidP="004179DE">
            <w:pPr>
              <w:ind w:left="0"/>
              <w:jc w:val="center"/>
              <w:rPr>
                <w:i/>
                <w:sz w:val="18"/>
                <w:szCs w:val="18"/>
              </w:rPr>
            </w:pPr>
            <w:r w:rsidRPr="00E661DF">
              <w:rPr>
                <w:i/>
                <w:sz w:val="18"/>
                <w:szCs w:val="18"/>
              </w:rPr>
              <w:t>Ročne</w:t>
            </w:r>
          </w:p>
        </w:tc>
      </w:tr>
      <w:tr w:rsidR="00E10737" w14:paraId="3E05DC79" w14:textId="77777777" w:rsidTr="00132EB9">
        <w:trPr>
          <w:trHeight w:val="680"/>
          <w:jc w:val="center"/>
        </w:trPr>
        <w:tc>
          <w:tcPr>
            <w:tcW w:w="706" w:type="dxa"/>
            <w:shd w:val="clear" w:color="auto" w:fill="auto"/>
            <w:vAlign w:val="center"/>
          </w:tcPr>
          <w:p w14:paraId="00B29340" w14:textId="77777777" w:rsidR="00E10737" w:rsidRDefault="00E10737" w:rsidP="004179DE">
            <w:pPr>
              <w:ind w:left="0"/>
              <w:jc w:val="center"/>
              <w:rPr>
                <w:sz w:val="18"/>
                <w:szCs w:val="18"/>
              </w:rPr>
            </w:pPr>
            <w:r>
              <w:rPr>
                <w:sz w:val="18"/>
                <w:szCs w:val="18"/>
              </w:rPr>
              <w:t>CO25</w:t>
            </w:r>
          </w:p>
        </w:tc>
        <w:tc>
          <w:tcPr>
            <w:tcW w:w="2726" w:type="dxa"/>
            <w:shd w:val="clear" w:color="auto" w:fill="auto"/>
            <w:vAlign w:val="center"/>
          </w:tcPr>
          <w:p w14:paraId="5DC7BA6A" w14:textId="77777777" w:rsidR="00E10737" w:rsidRPr="00972FA1" w:rsidRDefault="00E10737" w:rsidP="004179DE">
            <w:pPr>
              <w:ind w:left="0"/>
              <w:rPr>
                <w:sz w:val="18"/>
                <w:szCs w:val="18"/>
              </w:rPr>
            </w:pPr>
            <w:r w:rsidRPr="00972FA1">
              <w:rPr>
                <w:sz w:val="18"/>
                <w:szCs w:val="18"/>
              </w:rPr>
              <w:t>Počet výskumných pracovníkov pracujúcich v zrekonštruovaných zariadeniach výskumnej infraštruktúry</w:t>
            </w:r>
          </w:p>
          <w:p w14:paraId="52476F3E" w14:textId="77777777" w:rsidR="00E10737" w:rsidRPr="000A417B" w:rsidRDefault="00E10737" w:rsidP="004179DE">
            <w:pPr>
              <w:ind w:left="0"/>
              <w:rPr>
                <w:sz w:val="18"/>
                <w:szCs w:val="18"/>
              </w:rPr>
            </w:pPr>
            <w:r w:rsidRPr="00972FA1">
              <w:rPr>
                <w:sz w:val="18"/>
                <w:szCs w:val="18"/>
              </w:rPr>
              <w:t>(spoločný)</w:t>
            </w:r>
          </w:p>
        </w:tc>
        <w:tc>
          <w:tcPr>
            <w:tcW w:w="992" w:type="dxa"/>
            <w:shd w:val="clear" w:color="auto" w:fill="auto"/>
            <w:vAlign w:val="center"/>
          </w:tcPr>
          <w:p w14:paraId="198370B2" w14:textId="77777777" w:rsidR="00E10737" w:rsidRPr="00E661DF" w:rsidRDefault="00E10737" w:rsidP="004179DE">
            <w:pPr>
              <w:ind w:left="0"/>
              <w:jc w:val="center"/>
              <w:rPr>
                <w:i/>
                <w:sz w:val="18"/>
                <w:szCs w:val="18"/>
              </w:rPr>
            </w:pPr>
            <w:r w:rsidRPr="00E661DF">
              <w:rPr>
                <w:i/>
                <w:sz w:val="18"/>
                <w:szCs w:val="18"/>
              </w:rPr>
              <w:t>FTE</w:t>
            </w:r>
          </w:p>
        </w:tc>
        <w:tc>
          <w:tcPr>
            <w:tcW w:w="749" w:type="dxa"/>
            <w:shd w:val="clear" w:color="auto" w:fill="auto"/>
            <w:vAlign w:val="center"/>
          </w:tcPr>
          <w:p w14:paraId="628727F7"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76151D9F"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231E565F" w14:textId="43EF695C" w:rsidR="00E10737" w:rsidRPr="00E661DF" w:rsidRDefault="00D3601B" w:rsidP="00D3601B">
            <w:pPr>
              <w:ind w:left="0"/>
              <w:jc w:val="center"/>
              <w:rPr>
                <w:i/>
                <w:sz w:val="18"/>
                <w:szCs w:val="18"/>
              </w:rPr>
            </w:pPr>
            <w:r>
              <w:rPr>
                <w:i/>
                <w:sz w:val="18"/>
                <w:szCs w:val="18"/>
              </w:rPr>
              <w:t>1 923</w:t>
            </w:r>
          </w:p>
        </w:tc>
        <w:tc>
          <w:tcPr>
            <w:tcW w:w="827" w:type="dxa"/>
            <w:vAlign w:val="center"/>
          </w:tcPr>
          <w:p w14:paraId="5DE44CDB"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1A655F4D" w14:textId="77777777" w:rsidR="00E10737" w:rsidRPr="00E661DF" w:rsidRDefault="00E10737" w:rsidP="004179DE">
            <w:pPr>
              <w:ind w:left="0"/>
              <w:jc w:val="center"/>
              <w:rPr>
                <w:i/>
                <w:sz w:val="18"/>
                <w:szCs w:val="18"/>
              </w:rPr>
            </w:pPr>
            <w:r w:rsidRPr="00E661DF">
              <w:rPr>
                <w:i/>
                <w:sz w:val="18"/>
                <w:szCs w:val="18"/>
              </w:rPr>
              <w:t>Ročne</w:t>
            </w:r>
          </w:p>
        </w:tc>
      </w:tr>
      <w:tr w:rsidR="00E10737" w14:paraId="4D218AE9" w14:textId="77777777" w:rsidTr="00132EB9">
        <w:trPr>
          <w:trHeight w:val="680"/>
          <w:jc w:val="center"/>
        </w:trPr>
        <w:tc>
          <w:tcPr>
            <w:tcW w:w="706" w:type="dxa"/>
            <w:shd w:val="clear" w:color="auto" w:fill="auto"/>
            <w:vAlign w:val="center"/>
          </w:tcPr>
          <w:p w14:paraId="01E7DD16" w14:textId="77777777" w:rsidR="00E10737" w:rsidRDefault="00E10737" w:rsidP="004179DE">
            <w:pPr>
              <w:ind w:left="0"/>
              <w:jc w:val="center"/>
              <w:rPr>
                <w:sz w:val="18"/>
                <w:szCs w:val="18"/>
              </w:rPr>
            </w:pPr>
            <w:r>
              <w:rPr>
                <w:sz w:val="18"/>
                <w:szCs w:val="18"/>
              </w:rPr>
              <w:t>CO26</w:t>
            </w:r>
          </w:p>
        </w:tc>
        <w:tc>
          <w:tcPr>
            <w:tcW w:w="2726" w:type="dxa"/>
            <w:shd w:val="clear" w:color="auto" w:fill="auto"/>
            <w:vAlign w:val="center"/>
          </w:tcPr>
          <w:p w14:paraId="37194147" w14:textId="77777777" w:rsidR="00E10737" w:rsidRPr="00972FA1" w:rsidRDefault="00E10737" w:rsidP="004179DE">
            <w:pPr>
              <w:ind w:left="0"/>
              <w:rPr>
                <w:sz w:val="18"/>
                <w:szCs w:val="18"/>
              </w:rPr>
            </w:pPr>
            <w:r w:rsidRPr="00265F58">
              <w:rPr>
                <w:sz w:val="18"/>
                <w:szCs w:val="18"/>
              </w:rPr>
              <w:t>Počet podnikov spolupracujúcich s výskumnými inštitúciami (spoločný)</w:t>
            </w:r>
          </w:p>
        </w:tc>
        <w:tc>
          <w:tcPr>
            <w:tcW w:w="992" w:type="dxa"/>
            <w:shd w:val="clear" w:color="auto" w:fill="auto"/>
            <w:vAlign w:val="center"/>
          </w:tcPr>
          <w:p w14:paraId="5EEA01AF" w14:textId="77777777" w:rsidR="00E10737" w:rsidRPr="00E661DF" w:rsidRDefault="00E10737" w:rsidP="004179DE">
            <w:pPr>
              <w:ind w:left="0"/>
              <w:jc w:val="center"/>
              <w:rPr>
                <w:i/>
                <w:sz w:val="18"/>
                <w:szCs w:val="18"/>
              </w:rPr>
            </w:pPr>
            <w:r w:rsidRPr="00E661DF">
              <w:rPr>
                <w:i/>
                <w:sz w:val="18"/>
                <w:szCs w:val="18"/>
              </w:rPr>
              <w:t>podniky</w:t>
            </w:r>
          </w:p>
        </w:tc>
        <w:tc>
          <w:tcPr>
            <w:tcW w:w="749" w:type="dxa"/>
            <w:shd w:val="clear" w:color="auto" w:fill="auto"/>
            <w:vAlign w:val="center"/>
          </w:tcPr>
          <w:p w14:paraId="524F6C97"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4C05CAC6"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1540F9AE" w14:textId="77777777" w:rsidR="00E10737" w:rsidRPr="00E661DF" w:rsidRDefault="00E10737" w:rsidP="004179DE">
            <w:pPr>
              <w:ind w:left="0"/>
              <w:jc w:val="center"/>
              <w:rPr>
                <w:i/>
                <w:sz w:val="18"/>
                <w:szCs w:val="18"/>
              </w:rPr>
            </w:pPr>
            <w:r w:rsidRPr="00E661DF">
              <w:rPr>
                <w:i/>
                <w:sz w:val="18"/>
                <w:szCs w:val="18"/>
              </w:rPr>
              <w:t>10</w:t>
            </w:r>
          </w:p>
        </w:tc>
        <w:tc>
          <w:tcPr>
            <w:tcW w:w="827" w:type="dxa"/>
            <w:vAlign w:val="center"/>
          </w:tcPr>
          <w:p w14:paraId="78B7435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99ED36B" w14:textId="77777777" w:rsidR="00E10737" w:rsidRPr="00E661DF" w:rsidRDefault="00E10737" w:rsidP="004179DE">
            <w:pPr>
              <w:ind w:left="0"/>
              <w:jc w:val="center"/>
              <w:rPr>
                <w:i/>
                <w:sz w:val="18"/>
                <w:szCs w:val="18"/>
              </w:rPr>
            </w:pPr>
            <w:r w:rsidRPr="00E661DF">
              <w:rPr>
                <w:i/>
                <w:sz w:val="18"/>
                <w:szCs w:val="18"/>
              </w:rPr>
              <w:t>Ročne</w:t>
            </w:r>
          </w:p>
        </w:tc>
      </w:tr>
      <w:tr w:rsidR="00E10737" w14:paraId="38516A26" w14:textId="77777777" w:rsidTr="00132EB9">
        <w:trPr>
          <w:trHeight w:val="680"/>
          <w:jc w:val="center"/>
        </w:trPr>
        <w:tc>
          <w:tcPr>
            <w:tcW w:w="706" w:type="dxa"/>
            <w:shd w:val="clear" w:color="auto" w:fill="auto"/>
            <w:vAlign w:val="center"/>
          </w:tcPr>
          <w:p w14:paraId="1ADADAB9" w14:textId="77777777" w:rsidR="00E10737" w:rsidRDefault="00E10737" w:rsidP="004179DE">
            <w:pPr>
              <w:ind w:left="0"/>
              <w:jc w:val="center"/>
              <w:rPr>
                <w:sz w:val="18"/>
                <w:szCs w:val="18"/>
              </w:rPr>
            </w:pPr>
            <w:r>
              <w:rPr>
                <w:sz w:val="18"/>
                <w:szCs w:val="18"/>
              </w:rPr>
              <w:t>CO27</w:t>
            </w:r>
          </w:p>
        </w:tc>
        <w:tc>
          <w:tcPr>
            <w:tcW w:w="2726" w:type="dxa"/>
            <w:shd w:val="clear" w:color="auto" w:fill="auto"/>
            <w:vAlign w:val="center"/>
          </w:tcPr>
          <w:p w14:paraId="5905A906" w14:textId="77777777" w:rsidR="00E10737" w:rsidRPr="000A417B" w:rsidRDefault="00E10737" w:rsidP="004179DE">
            <w:pPr>
              <w:ind w:left="0"/>
              <w:rPr>
                <w:sz w:val="18"/>
                <w:szCs w:val="18"/>
              </w:rPr>
            </w:pPr>
            <w:r w:rsidRPr="00972FA1">
              <w:rPr>
                <w:sz w:val="18"/>
                <w:szCs w:val="18"/>
              </w:rPr>
              <w:t>Súkromné investície spojené s verejnou podporou v inovačných projektoch alebo projektoch výskumu a vývoja (spoločný)</w:t>
            </w:r>
          </w:p>
        </w:tc>
        <w:tc>
          <w:tcPr>
            <w:tcW w:w="992" w:type="dxa"/>
            <w:shd w:val="clear" w:color="auto" w:fill="auto"/>
            <w:vAlign w:val="center"/>
          </w:tcPr>
          <w:p w14:paraId="49321F66" w14:textId="77777777" w:rsidR="00E10737" w:rsidRPr="00E661DF" w:rsidRDefault="00E10737" w:rsidP="004179DE">
            <w:pPr>
              <w:ind w:left="0"/>
              <w:jc w:val="center"/>
              <w:rPr>
                <w:i/>
                <w:sz w:val="18"/>
                <w:szCs w:val="18"/>
              </w:rPr>
            </w:pPr>
            <w:r w:rsidRPr="00E661DF">
              <w:rPr>
                <w:i/>
                <w:sz w:val="18"/>
                <w:szCs w:val="18"/>
              </w:rPr>
              <w:t>EUR</w:t>
            </w:r>
          </w:p>
        </w:tc>
        <w:tc>
          <w:tcPr>
            <w:tcW w:w="749" w:type="dxa"/>
            <w:shd w:val="clear" w:color="auto" w:fill="auto"/>
            <w:vAlign w:val="center"/>
          </w:tcPr>
          <w:p w14:paraId="22EB6C31"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3CA24900"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38D75D7E" w14:textId="54581C53" w:rsidR="00E10737" w:rsidRPr="00E661DF" w:rsidRDefault="00D3601B" w:rsidP="00D3601B">
            <w:pPr>
              <w:ind w:left="0"/>
              <w:jc w:val="center"/>
              <w:rPr>
                <w:i/>
                <w:sz w:val="18"/>
                <w:szCs w:val="18"/>
              </w:rPr>
            </w:pPr>
            <w:r>
              <w:rPr>
                <w:i/>
                <w:sz w:val="18"/>
                <w:szCs w:val="18"/>
              </w:rPr>
              <w:t>1 019 000</w:t>
            </w:r>
          </w:p>
        </w:tc>
        <w:tc>
          <w:tcPr>
            <w:tcW w:w="827" w:type="dxa"/>
            <w:vAlign w:val="center"/>
          </w:tcPr>
          <w:p w14:paraId="392A721B"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C684CA7" w14:textId="77777777" w:rsidR="00E10737" w:rsidRPr="00E661DF" w:rsidRDefault="00E10737" w:rsidP="004179DE">
            <w:pPr>
              <w:ind w:left="0"/>
              <w:jc w:val="center"/>
              <w:rPr>
                <w:i/>
                <w:sz w:val="18"/>
                <w:szCs w:val="18"/>
              </w:rPr>
            </w:pPr>
            <w:r w:rsidRPr="00E661DF">
              <w:rPr>
                <w:i/>
                <w:sz w:val="18"/>
                <w:szCs w:val="18"/>
              </w:rPr>
              <w:t>Ročne</w:t>
            </w:r>
          </w:p>
        </w:tc>
      </w:tr>
      <w:tr w:rsidR="00E10737" w14:paraId="3D90FEF7" w14:textId="77777777" w:rsidTr="00132EB9">
        <w:trPr>
          <w:trHeight w:val="680"/>
          <w:jc w:val="center"/>
        </w:trPr>
        <w:tc>
          <w:tcPr>
            <w:tcW w:w="706" w:type="dxa"/>
            <w:shd w:val="clear" w:color="auto" w:fill="auto"/>
            <w:vAlign w:val="center"/>
          </w:tcPr>
          <w:p w14:paraId="264A93A7" w14:textId="77777777" w:rsidR="00E10737" w:rsidRDefault="00E10737" w:rsidP="004179DE">
            <w:pPr>
              <w:ind w:left="0"/>
              <w:jc w:val="center"/>
              <w:rPr>
                <w:sz w:val="18"/>
                <w:szCs w:val="18"/>
              </w:rPr>
            </w:pPr>
            <w:r>
              <w:rPr>
                <w:sz w:val="18"/>
                <w:szCs w:val="18"/>
              </w:rPr>
              <w:t>CO32</w:t>
            </w:r>
          </w:p>
        </w:tc>
        <w:tc>
          <w:tcPr>
            <w:tcW w:w="2726" w:type="dxa"/>
            <w:shd w:val="clear" w:color="auto" w:fill="auto"/>
            <w:vAlign w:val="center"/>
          </w:tcPr>
          <w:p w14:paraId="160F4569" w14:textId="77777777" w:rsidR="00E10737" w:rsidRPr="00BA77B0" w:rsidRDefault="00E10737" w:rsidP="004179DE">
            <w:pPr>
              <w:ind w:left="0"/>
              <w:rPr>
                <w:sz w:val="18"/>
                <w:szCs w:val="18"/>
              </w:rPr>
            </w:pPr>
            <w:r w:rsidRPr="004B3ECC">
              <w:rPr>
                <w:sz w:val="18"/>
                <w:szCs w:val="18"/>
              </w:rPr>
              <w:t>Zníženie ročnej spotreby primárnej energie vo verejných budovách</w:t>
            </w:r>
          </w:p>
        </w:tc>
        <w:tc>
          <w:tcPr>
            <w:tcW w:w="992" w:type="dxa"/>
            <w:shd w:val="clear" w:color="auto" w:fill="auto"/>
            <w:vAlign w:val="center"/>
          </w:tcPr>
          <w:p w14:paraId="62E69B85" w14:textId="77777777" w:rsidR="00E10737" w:rsidRPr="00E661DF" w:rsidRDefault="00E10737" w:rsidP="004179DE">
            <w:pPr>
              <w:ind w:left="0"/>
              <w:jc w:val="center"/>
              <w:rPr>
                <w:i/>
                <w:sz w:val="18"/>
                <w:szCs w:val="18"/>
              </w:rPr>
            </w:pPr>
            <w:r w:rsidRPr="00E661DF">
              <w:rPr>
                <w:i/>
                <w:sz w:val="18"/>
                <w:szCs w:val="18"/>
              </w:rPr>
              <w:t>kWh/rok</w:t>
            </w:r>
          </w:p>
        </w:tc>
        <w:tc>
          <w:tcPr>
            <w:tcW w:w="749" w:type="dxa"/>
            <w:shd w:val="clear" w:color="auto" w:fill="auto"/>
            <w:vAlign w:val="center"/>
          </w:tcPr>
          <w:p w14:paraId="43E91701"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60246B76"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703B6F7F" w14:textId="77777777" w:rsidR="00E10737" w:rsidRPr="00E661DF" w:rsidRDefault="00E10737" w:rsidP="004179DE">
            <w:pPr>
              <w:ind w:left="0"/>
              <w:jc w:val="center"/>
              <w:rPr>
                <w:i/>
                <w:sz w:val="18"/>
                <w:szCs w:val="18"/>
              </w:rPr>
            </w:pPr>
            <w:r w:rsidRPr="00E661DF">
              <w:rPr>
                <w:i/>
                <w:sz w:val="18"/>
                <w:szCs w:val="18"/>
              </w:rPr>
              <w:t>8 478 000</w:t>
            </w:r>
          </w:p>
        </w:tc>
        <w:tc>
          <w:tcPr>
            <w:tcW w:w="827" w:type="dxa"/>
            <w:vAlign w:val="center"/>
          </w:tcPr>
          <w:p w14:paraId="33314EFA"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05AF9FC5" w14:textId="77777777" w:rsidR="00E10737" w:rsidRPr="00E661DF" w:rsidRDefault="00E10737" w:rsidP="004179DE">
            <w:pPr>
              <w:ind w:left="0"/>
              <w:jc w:val="center"/>
              <w:rPr>
                <w:i/>
                <w:sz w:val="18"/>
                <w:szCs w:val="18"/>
              </w:rPr>
            </w:pPr>
            <w:r w:rsidRPr="00E661DF">
              <w:rPr>
                <w:i/>
                <w:sz w:val="18"/>
                <w:szCs w:val="18"/>
              </w:rPr>
              <w:t>Ročne</w:t>
            </w:r>
          </w:p>
        </w:tc>
      </w:tr>
      <w:tr w:rsidR="00E10737" w14:paraId="19C7F476" w14:textId="77777777" w:rsidTr="00132EB9">
        <w:trPr>
          <w:trHeight w:val="680"/>
          <w:jc w:val="center"/>
        </w:trPr>
        <w:tc>
          <w:tcPr>
            <w:tcW w:w="706" w:type="dxa"/>
            <w:shd w:val="clear" w:color="auto" w:fill="auto"/>
            <w:vAlign w:val="center"/>
          </w:tcPr>
          <w:p w14:paraId="7E921E9F" w14:textId="77777777" w:rsidR="00E10737" w:rsidRDefault="00E10737" w:rsidP="004179DE">
            <w:pPr>
              <w:ind w:left="0"/>
              <w:jc w:val="center"/>
              <w:rPr>
                <w:sz w:val="18"/>
                <w:szCs w:val="18"/>
              </w:rPr>
            </w:pPr>
            <w:r>
              <w:rPr>
                <w:sz w:val="18"/>
                <w:szCs w:val="18"/>
              </w:rPr>
              <w:t>CO34</w:t>
            </w:r>
          </w:p>
        </w:tc>
        <w:tc>
          <w:tcPr>
            <w:tcW w:w="2726" w:type="dxa"/>
            <w:shd w:val="clear" w:color="auto" w:fill="auto"/>
            <w:vAlign w:val="center"/>
          </w:tcPr>
          <w:p w14:paraId="46ADB23F" w14:textId="77777777" w:rsidR="00E10737" w:rsidRPr="004B3ECC" w:rsidRDefault="00E10737" w:rsidP="004179DE">
            <w:pPr>
              <w:ind w:left="0"/>
              <w:rPr>
                <w:sz w:val="18"/>
                <w:szCs w:val="18"/>
              </w:rPr>
            </w:pPr>
            <w:r w:rsidRPr="004B3ECC">
              <w:rPr>
                <w:sz w:val="18"/>
                <w:szCs w:val="18"/>
              </w:rPr>
              <w:t>Odhadované ročné zníženie emisií skleníkových plynov</w:t>
            </w:r>
          </w:p>
        </w:tc>
        <w:tc>
          <w:tcPr>
            <w:tcW w:w="992" w:type="dxa"/>
            <w:shd w:val="clear" w:color="auto" w:fill="auto"/>
            <w:vAlign w:val="center"/>
          </w:tcPr>
          <w:p w14:paraId="109BF7BA" w14:textId="77777777" w:rsidR="00E10737" w:rsidRPr="00E661DF" w:rsidRDefault="00E10737" w:rsidP="004179DE">
            <w:pPr>
              <w:ind w:left="0"/>
              <w:jc w:val="center"/>
              <w:rPr>
                <w:i/>
                <w:sz w:val="18"/>
                <w:szCs w:val="18"/>
              </w:rPr>
            </w:pPr>
            <w:r w:rsidRPr="00E661DF">
              <w:rPr>
                <w:i/>
                <w:sz w:val="18"/>
                <w:szCs w:val="18"/>
              </w:rPr>
              <w:t>tony CO2eq</w:t>
            </w:r>
          </w:p>
        </w:tc>
        <w:tc>
          <w:tcPr>
            <w:tcW w:w="749" w:type="dxa"/>
            <w:shd w:val="clear" w:color="auto" w:fill="auto"/>
            <w:vAlign w:val="center"/>
          </w:tcPr>
          <w:p w14:paraId="4A7B5012"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77BB9089"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71A4DB57" w14:textId="77777777" w:rsidR="00E10737" w:rsidRPr="00E661DF" w:rsidRDefault="00E10737" w:rsidP="004179DE">
            <w:pPr>
              <w:ind w:left="0"/>
              <w:jc w:val="center"/>
              <w:rPr>
                <w:i/>
                <w:sz w:val="18"/>
                <w:szCs w:val="18"/>
              </w:rPr>
            </w:pPr>
            <w:r w:rsidRPr="00E661DF">
              <w:rPr>
                <w:i/>
                <w:sz w:val="18"/>
                <w:szCs w:val="18"/>
              </w:rPr>
              <w:t>4 900</w:t>
            </w:r>
          </w:p>
        </w:tc>
        <w:tc>
          <w:tcPr>
            <w:tcW w:w="827" w:type="dxa"/>
            <w:vAlign w:val="center"/>
          </w:tcPr>
          <w:p w14:paraId="5C7F974F"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5DC9189" w14:textId="77777777" w:rsidR="00E10737" w:rsidRPr="00E661DF" w:rsidRDefault="00E10737" w:rsidP="004179DE">
            <w:pPr>
              <w:ind w:left="0"/>
              <w:jc w:val="center"/>
              <w:rPr>
                <w:i/>
                <w:sz w:val="18"/>
                <w:szCs w:val="18"/>
              </w:rPr>
            </w:pPr>
            <w:r w:rsidRPr="00E661DF">
              <w:rPr>
                <w:i/>
                <w:sz w:val="18"/>
                <w:szCs w:val="18"/>
              </w:rPr>
              <w:t>Ročne</w:t>
            </w:r>
          </w:p>
        </w:tc>
      </w:tr>
      <w:tr w:rsidR="00E10737" w14:paraId="6656D772" w14:textId="77777777" w:rsidTr="00132EB9">
        <w:trPr>
          <w:trHeight w:val="680"/>
          <w:jc w:val="center"/>
        </w:trPr>
        <w:tc>
          <w:tcPr>
            <w:tcW w:w="706" w:type="dxa"/>
            <w:shd w:val="clear" w:color="auto" w:fill="auto"/>
            <w:vAlign w:val="center"/>
          </w:tcPr>
          <w:p w14:paraId="26FA157B" w14:textId="77777777" w:rsidR="00E10737" w:rsidRDefault="00E10737" w:rsidP="004179DE">
            <w:pPr>
              <w:ind w:left="0"/>
              <w:jc w:val="center"/>
              <w:rPr>
                <w:sz w:val="18"/>
                <w:szCs w:val="18"/>
              </w:rPr>
            </w:pPr>
            <w:r>
              <w:rPr>
                <w:sz w:val="18"/>
                <w:szCs w:val="18"/>
              </w:rPr>
              <w:lastRenderedPageBreak/>
              <w:t>O0069</w:t>
            </w:r>
          </w:p>
        </w:tc>
        <w:tc>
          <w:tcPr>
            <w:tcW w:w="2726" w:type="dxa"/>
            <w:shd w:val="clear" w:color="auto" w:fill="auto"/>
            <w:vAlign w:val="center"/>
          </w:tcPr>
          <w:p w14:paraId="6316D584" w14:textId="77777777" w:rsidR="00E10737" w:rsidRPr="000A417B" w:rsidRDefault="00E10737" w:rsidP="004179DE">
            <w:pPr>
              <w:ind w:left="0"/>
              <w:rPr>
                <w:sz w:val="18"/>
                <w:szCs w:val="18"/>
              </w:rPr>
            </w:pPr>
            <w:r w:rsidRPr="00972FA1">
              <w:rPr>
                <w:sz w:val="18"/>
                <w:szCs w:val="18"/>
              </w:rPr>
              <w:t>Počet podporených výskumných inštitúcií (špecifický)</w:t>
            </w:r>
          </w:p>
        </w:tc>
        <w:tc>
          <w:tcPr>
            <w:tcW w:w="992" w:type="dxa"/>
            <w:shd w:val="clear" w:color="auto" w:fill="auto"/>
            <w:vAlign w:val="center"/>
          </w:tcPr>
          <w:p w14:paraId="7E0A0DE1"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62C36447"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7CEAD53A"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5802FF51" w14:textId="53437D09" w:rsidR="00E10737" w:rsidRPr="00E661DF" w:rsidRDefault="00D3601B" w:rsidP="00D3601B">
            <w:pPr>
              <w:ind w:left="0"/>
              <w:jc w:val="center"/>
              <w:rPr>
                <w:i/>
                <w:sz w:val="18"/>
                <w:szCs w:val="18"/>
              </w:rPr>
            </w:pPr>
            <w:r>
              <w:rPr>
                <w:i/>
                <w:sz w:val="18"/>
                <w:szCs w:val="18"/>
              </w:rPr>
              <w:t>22</w:t>
            </w:r>
          </w:p>
        </w:tc>
        <w:tc>
          <w:tcPr>
            <w:tcW w:w="827" w:type="dxa"/>
            <w:vAlign w:val="center"/>
          </w:tcPr>
          <w:p w14:paraId="060999FA"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964AD3D" w14:textId="77777777" w:rsidR="00E10737" w:rsidRPr="00E661DF" w:rsidRDefault="00E10737" w:rsidP="004179DE">
            <w:pPr>
              <w:ind w:left="0"/>
              <w:jc w:val="center"/>
              <w:rPr>
                <w:i/>
                <w:sz w:val="18"/>
                <w:szCs w:val="18"/>
              </w:rPr>
            </w:pPr>
            <w:r w:rsidRPr="00E661DF">
              <w:rPr>
                <w:i/>
                <w:sz w:val="18"/>
                <w:szCs w:val="18"/>
              </w:rPr>
              <w:t>Ročne</w:t>
            </w:r>
          </w:p>
        </w:tc>
      </w:tr>
      <w:tr w:rsidR="00E10737" w14:paraId="10F4F1E7" w14:textId="77777777" w:rsidTr="00132EB9">
        <w:trPr>
          <w:trHeight w:val="680"/>
          <w:jc w:val="center"/>
        </w:trPr>
        <w:tc>
          <w:tcPr>
            <w:tcW w:w="706" w:type="dxa"/>
            <w:shd w:val="clear" w:color="auto" w:fill="auto"/>
            <w:vAlign w:val="center"/>
          </w:tcPr>
          <w:p w14:paraId="2C942BE6" w14:textId="77777777" w:rsidR="00E10737" w:rsidRDefault="00E10737" w:rsidP="004179DE">
            <w:pPr>
              <w:ind w:left="0"/>
              <w:jc w:val="center"/>
              <w:rPr>
                <w:sz w:val="18"/>
                <w:szCs w:val="18"/>
              </w:rPr>
            </w:pPr>
            <w:r w:rsidRPr="00926711">
              <w:rPr>
                <w:sz w:val="18"/>
                <w:szCs w:val="18"/>
              </w:rPr>
              <w:t>O0070</w:t>
            </w:r>
          </w:p>
        </w:tc>
        <w:tc>
          <w:tcPr>
            <w:tcW w:w="2726" w:type="dxa"/>
            <w:shd w:val="clear" w:color="auto" w:fill="auto"/>
            <w:vAlign w:val="center"/>
          </w:tcPr>
          <w:p w14:paraId="4B64D738" w14:textId="77777777" w:rsidR="00E10737" w:rsidRPr="00972FA1" w:rsidRDefault="00E10737" w:rsidP="004179DE">
            <w:pPr>
              <w:ind w:left="0"/>
              <w:rPr>
                <w:sz w:val="18"/>
                <w:szCs w:val="18"/>
              </w:rPr>
            </w:pPr>
            <w:r w:rsidRPr="00926711">
              <w:rPr>
                <w:sz w:val="18"/>
                <w:szCs w:val="18"/>
              </w:rPr>
              <w:t>Počet podporených výskumných inštitúcií spolupracujúcich s podnikmi (špecifický)</w:t>
            </w:r>
          </w:p>
        </w:tc>
        <w:tc>
          <w:tcPr>
            <w:tcW w:w="992" w:type="dxa"/>
            <w:shd w:val="clear" w:color="auto" w:fill="auto"/>
            <w:vAlign w:val="center"/>
          </w:tcPr>
          <w:p w14:paraId="76A14FD0"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257FE1EA"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360A9185"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4E7D680B" w14:textId="77777777" w:rsidR="00E10737" w:rsidRPr="00E661DF" w:rsidRDefault="00E10737" w:rsidP="004179DE">
            <w:pPr>
              <w:ind w:left="0"/>
              <w:jc w:val="center"/>
              <w:rPr>
                <w:i/>
                <w:sz w:val="18"/>
                <w:szCs w:val="18"/>
              </w:rPr>
            </w:pPr>
            <w:r w:rsidRPr="00E661DF">
              <w:rPr>
                <w:i/>
                <w:sz w:val="18"/>
                <w:szCs w:val="18"/>
              </w:rPr>
              <w:t>10</w:t>
            </w:r>
          </w:p>
        </w:tc>
        <w:tc>
          <w:tcPr>
            <w:tcW w:w="827" w:type="dxa"/>
            <w:vAlign w:val="center"/>
          </w:tcPr>
          <w:p w14:paraId="3C0D47D6"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6489AE6A" w14:textId="77777777" w:rsidR="00E10737" w:rsidRPr="00E661DF" w:rsidRDefault="00E10737" w:rsidP="004179DE">
            <w:pPr>
              <w:ind w:left="0"/>
              <w:jc w:val="center"/>
              <w:rPr>
                <w:i/>
                <w:sz w:val="18"/>
                <w:szCs w:val="18"/>
              </w:rPr>
            </w:pPr>
            <w:r w:rsidRPr="00E661DF">
              <w:rPr>
                <w:i/>
                <w:sz w:val="18"/>
                <w:szCs w:val="18"/>
              </w:rPr>
              <w:t>Ročne</w:t>
            </w:r>
          </w:p>
        </w:tc>
      </w:tr>
      <w:tr w:rsidR="00E10737" w14:paraId="1CD63D19" w14:textId="77777777" w:rsidTr="00132EB9">
        <w:trPr>
          <w:trHeight w:val="680"/>
          <w:jc w:val="center"/>
        </w:trPr>
        <w:tc>
          <w:tcPr>
            <w:tcW w:w="706" w:type="dxa"/>
            <w:shd w:val="clear" w:color="auto" w:fill="auto"/>
            <w:vAlign w:val="center"/>
          </w:tcPr>
          <w:p w14:paraId="1FF0D2C8" w14:textId="77777777" w:rsidR="00E10737" w:rsidRPr="00926711" w:rsidRDefault="00E10737" w:rsidP="004179DE">
            <w:pPr>
              <w:ind w:left="0"/>
              <w:jc w:val="center"/>
              <w:rPr>
                <w:sz w:val="18"/>
                <w:szCs w:val="18"/>
              </w:rPr>
            </w:pPr>
            <w:r>
              <w:rPr>
                <w:sz w:val="18"/>
                <w:szCs w:val="18"/>
              </w:rPr>
              <w:t>O0071</w:t>
            </w:r>
          </w:p>
        </w:tc>
        <w:tc>
          <w:tcPr>
            <w:tcW w:w="2726" w:type="dxa"/>
            <w:shd w:val="clear" w:color="auto" w:fill="auto"/>
            <w:vAlign w:val="center"/>
          </w:tcPr>
          <w:p w14:paraId="74D30E68" w14:textId="77777777" w:rsidR="00E10737" w:rsidRPr="00926711" w:rsidRDefault="00E10737" w:rsidP="004179DE">
            <w:pPr>
              <w:ind w:left="0"/>
              <w:rPr>
                <w:sz w:val="18"/>
                <w:szCs w:val="18"/>
              </w:rPr>
            </w:pPr>
            <w:r w:rsidRPr="009F4B25">
              <w:rPr>
                <w:sz w:val="18"/>
                <w:szCs w:val="18"/>
              </w:rPr>
              <w:t>Počet zrekonštruovaných zariadení výskumnej infraštruktúry (špecifický)</w:t>
            </w:r>
          </w:p>
        </w:tc>
        <w:tc>
          <w:tcPr>
            <w:tcW w:w="992" w:type="dxa"/>
            <w:shd w:val="clear" w:color="auto" w:fill="auto"/>
            <w:vAlign w:val="center"/>
          </w:tcPr>
          <w:p w14:paraId="5FDC9E1F"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2DAAEC4C"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1137DBB4"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26F455CB" w14:textId="5F2096C9" w:rsidR="00E10737" w:rsidRPr="00E661DF" w:rsidRDefault="00D3601B" w:rsidP="00D3601B">
            <w:pPr>
              <w:ind w:left="0"/>
              <w:jc w:val="center"/>
              <w:rPr>
                <w:i/>
                <w:sz w:val="18"/>
                <w:szCs w:val="18"/>
              </w:rPr>
            </w:pPr>
            <w:r>
              <w:rPr>
                <w:i/>
                <w:sz w:val="18"/>
                <w:szCs w:val="18"/>
              </w:rPr>
              <w:t>18</w:t>
            </w:r>
          </w:p>
        </w:tc>
        <w:tc>
          <w:tcPr>
            <w:tcW w:w="827" w:type="dxa"/>
            <w:vAlign w:val="center"/>
          </w:tcPr>
          <w:p w14:paraId="068C189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7979259" w14:textId="77777777" w:rsidR="00E10737" w:rsidRPr="00E661DF" w:rsidRDefault="00E10737" w:rsidP="004179DE">
            <w:pPr>
              <w:ind w:left="0"/>
              <w:jc w:val="center"/>
              <w:rPr>
                <w:i/>
                <w:sz w:val="18"/>
                <w:szCs w:val="18"/>
              </w:rPr>
            </w:pPr>
            <w:r w:rsidRPr="00E661DF">
              <w:rPr>
                <w:i/>
                <w:sz w:val="18"/>
                <w:szCs w:val="18"/>
              </w:rPr>
              <w:t>Ročne</w:t>
            </w:r>
          </w:p>
        </w:tc>
      </w:tr>
      <w:tr w:rsidR="00E10737" w14:paraId="58A302B3" w14:textId="77777777" w:rsidTr="00132EB9">
        <w:trPr>
          <w:trHeight w:val="680"/>
          <w:jc w:val="center"/>
        </w:trPr>
        <w:tc>
          <w:tcPr>
            <w:tcW w:w="706" w:type="dxa"/>
            <w:shd w:val="clear" w:color="auto" w:fill="auto"/>
            <w:vAlign w:val="center"/>
          </w:tcPr>
          <w:p w14:paraId="61F2969C" w14:textId="77777777" w:rsidR="00E10737" w:rsidRDefault="00E10737" w:rsidP="004179DE">
            <w:pPr>
              <w:ind w:left="0"/>
              <w:jc w:val="center"/>
              <w:rPr>
                <w:sz w:val="18"/>
                <w:szCs w:val="18"/>
              </w:rPr>
            </w:pPr>
            <w:r w:rsidRPr="00926711">
              <w:rPr>
                <w:sz w:val="18"/>
                <w:szCs w:val="18"/>
              </w:rPr>
              <w:t>O0073</w:t>
            </w:r>
          </w:p>
        </w:tc>
        <w:tc>
          <w:tcPr>
            <w:tcW w:w="2726" w:type="dxa"/>
            <w:shd w:val="clear" w:color="auto" w:fill="auto"/>
            <w:vAlign w:val="center"/>
          </w:tcPr>
          <w:p w14:paraId="3288D728" w14:textId="77777777" w:rsidR="00E10737" w:rsidRPr="00972FA1" w:rsidRDefault="00E10737" w:rsidP="004179DE">
            <w:pPr>
              <w:ind w:left="0"/>
              <w:rPr>
                <w:sz w:val="18"/>
                <w:szCs w:val="18"/>
              </w:rPr>
            </w:pPr>
            <w:r w:rsidRPr="00926711">
              <w:rPr>
                <w:sz w:val="18"/>
                <w:szCs w:val="18"/>
              </w:rPr>
              <w:t>Počet podaných patentových prihlášok (špecifický)</w:t>
            </w:r>
          </w:p>
        </w:tc>
        <w:tc>
          <w:tcPr>
            <w:tcW w:w="992" w:type="dxa"/>
            <w:shd w:val="clear" w:color="auto" w:fill="auto"/>
            <w:vAlign w:val="center"/>
          </w:tcPr>
          <w:p w14:paraId="46B2F65E"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5AA25002"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1FE45118"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1507BC92" w14:textId="77777777" w:rsidR="00E10737" w:rsidRPr="00E661DF" w:rsidRDefault="00E10737" w:rsidP="004179DE">
            <w:pPr>
              <w:ind w:left="0"/>
              <w:jc w:val="center"/>
              <w:rPr>
                <w:i/>
                <w:sz w:val="18"/>
                <w:szCs w:val="18"/>
              </w:rPr>
            </w:pPr>
            <w:r w:rsidRPr="00E661DF">
              <w:rPr>
                <w:i/>
                <w:sz w:val="18"/>
                <w:szCs w:val="18"/>
              </w:rPr>
              <w:t>10</w:t>
            </w:r>
          </w:p>
        </w:tc>
        <w:tc>
          <w:tcPr>
            <w:tcW w:w="827" w:type="dxa"/>
            <w:vAlign w:val="center"/>
          </w:tcPr>
          <w:p w14:paraId="64D9DF0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154D7C37" w14:textId="77777777" w:rsidR="00E10737" w:rsidRPr="00E661DF" w:rsidRDefault="00E10737" w:rsidP="004179DE">
            <w:pPr>
              <w:ind w:left="0"/>
              <w:jc w:val="center"/>
              <w:rPr>
                <w:i/>
                <w:sz w:val="18"/>
                <w:szCs w:val="18"/>
              </w:rPr>
            </w:pPr>
            <w:r w:rsidRPr="00E661DF">
              <w:rPr>
                <w:i/>
                <w:sz w:val="18"/>
                <w:szCs w:val="18"/>
              </w:rPr>
              <w:t>Ročne</w:t>
            </w:r>
          </w:p>
        </w:tc>
      </w:tr>
      <w:tr w:rsidR="00E10737" w14:paraId="583074C5" w14:textId="77777777" w:rsidTr="00132EB9">
        <w:trPr>
          <w:trHeight w:val="680"/>
          <w:jc w:val="center"/>
        </w:trPr>
        <w:tc>
          <w:tcPr>
            <w:tcW w:w="706" w:type="dxa"/>
            <w:shd w:val="clear" w:color="auto" w:fill="auto"/>
            <w:vAlign w:val="center"/>
          </w:tcPr>
          <w:p w14:paraId="00AB7A21" w14:textId="77777777" w:rsidR="00E10737" w:rsidRDefault="00E10737" w:rsidP="004179DE">
            <w:pPr>
              <w:ind w:left="0"/>
              <w:jc w:val="center"/>
              <w:rPr>
                <w:sz w:val="18"/>
                <w:szCs w:val="18"/>
              </w:rPr>
            </w:pPr>
            <w:r w:rsidRPr="00926711">
              <w:rPr>
                <w:sz w:val="18"/>
                <w:szCs w:val="18"/>
              </w:rPr>
              <w:t>O0074</w:t>
            </w:r>
          </w:p>
        </w:tc>
        <w:tc>
          <w:tcPr>
            <w:tcW w:w="2726" w:type="dxa"/>
            <w:shd w:val="clear" w:color="auto" w:fill="auto"/>
            <w:vAlign w:val="center"/>
          </w:tcPr>
          <w:p w14:paraId="4D78E315" w14:textId="77777777" w:rsidR="00E10737" w:rsidRPr="00972FA1" w:rsidRDefault="00E10737" w:rsidP="004179DE">
            <w:pPr>
              <w:ind w:left="0"/>
              <w:rPr>
                <w:sz w:val="18"/>
                <w:szCs w:val="18"/>
              </w:rPr>
            </w:pPr>
            <w:r w:rsidRPr="00926711">
              <w:rPr>
                <w:sz w:val="18"/>
                <w:szCs w:val="18"/>
              </w:rPr>
              <w:t>Počet vzniknutých start-up a spin-off podnikov</w:t>
            </w:r>
            <w:r>
              <w:rPr>
                <w:sz w:val="18"/>
                <w:szCs w:val="18"/>
              </w:rPr>
              <w:t xml:space="preserve"> </w:t>
            </w:r>
            <w:r w:rsidRPr="00926711">
              <w:rPr>
                <w:sz w:val="18"/>
                <w:szCs w:val="18"/>
              </w:rPr>
              <w:t>(špecifický)</w:t>
            </w:r>
          </w:p>
        </w:tc>
        <w:tc>
          <w:tcPr>
            <w:tcW w:w="992" w:type="dxa"/>
            <w:shd w:val="clear" w:color="auto" w:fill="auto"/>
            <w:vAlign w:val="center"/>
          </w:tcPr>
          <w:p w14:paraId="31AC8515"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427A3D83"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66969DFC"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3B37ACC1" w14:textId="77777777" w:rsidR="00E10737" w:rsidRPr="00E661DF" w:rsidRDefault="00E10737" w:rsidP="004179DE">
            <w:pPr>
              <w:ind w:left="0"/>
              <w:jc w:val="center"/>
              <w:rPr>
                <w:i/>
                <w:sz w:val="18"/>
                <w:szCs w:val="18"/>
              </w:rPr>
            </w:pPr>
            <w:r w:rsidRPr="00E661DF">
              <w:rPr>
                <w:i/>
                <w:sz w:val="18"/>
                <w:szCs w:val="18"/>
              </w:rPr>
              <w:t>5</w:t>
            </w:r>
          </w:p>
        </w:tc>
        <w:tc>
          <w:tcPr>
            <w:tcW w:w="827" w:type="dxa"/>
            <w:vAlign w:val="center"/>
          </w:tcPr>
          <w:p w14:paraId="61EB4AA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1A9B7050" w14:textId="77777777" w:rsidR="00E10737" w:rsidRPr="00E661DF" w:rsidRDefault="00E10737" w:rsidP="004179DE">
            <w:pPr>
              <w:ind w:left="0"/>
              <w:jc w:val="center"/>
              <w:rPr>
                <w:i/>
                <w:sz w:val="18"/>
                <w:szCs w:val="18"/>
              </w:rPr>
            </w:pPr>
            <w:r w:rsidRPr="00E661DF">
              <w:rPr>
                <w:i/>
                <w:sz w:val="18"/>
                <w:szCs w:val="18"/>
              </w:rPr>
              <w:t>Ročne</w:t>
            </w:r>
          </w:p>
        </w:tc>
      </w:tr>
      <w:tr w:rsidR="00E10737" w14:paraId="104F106C" w14:textId="77777777" w:rsidTr="00132EB9">
        <w:trPr>
          <w:trHeight w:val="680"/>
          <w:jc w:val="center"/>
        </w:trPr>
        <w:tc>
          <w:tcPr>
            <w:tcW w:w="706" w:type="dxa"/>
            <w:shd w:val="clear" w:color="auto" w:fill="auto"/>
            <w:vAlign w:val="center"/>
          </w:tcPr>
          <w:p w14:paraId="55FC7CE3" w14:textId="77777777" w:rsidR="00E10737" w:rsidRPr="00926711" w:rsidRDefault="00E10737" w:rsidP="004179DE">
            <w:pPr>
              <w:ind w:left="0"/>
              <w:jc w:val="center"/>
              <w:rPr>
                <w:sz w:val="18"/>
                <w:szCs w:val="18"/>
              </w:rPr>
            </w:pPr>
            <w:r w:rsidRPr="00926711">
              <w:rPr>
                <w:sz w:val="18"/>
                <w:szCs w:val="18"/>
              </w:rPr>
              <w:t>O0</w:t>
            </w:r>
            <w:r>
              <w:rPr>
                <w:sz w:val="18"/>
                <w:szCs w:val="18"/>
              </w:rPr>
              <w:t>180</w:t>
            </w:r>
          </w:p>
        </w:tc>
        <w:tc>
          <w:tcPr>
            <w:tcW w:w="2726" w:type="dxa"/>
            <w:shd w:val="clear" w:color="auto" w:fill="auto"/>
            <w:vAlign w:val="center"/>
          </w:tcPr>
          <w:p w14:paraId="524FE9B4" w14:textId="77777777" w:rsidR="00E10737" w:rsidRPr="00926711" w:rsidRDefault="00E10737" w:rsidP="004179DE">
            <w:pPr>
              <w:ind w:left="0"/>
              <w:rPr>
                <w:sz w:val="18"/>
                <w:szCs w:val="18"/>
              </w:rPr>
            </w:pPr>
            <w:r w:rsidRPr="009F4B25">
              <w:rPr>
                <w:sz w:val="18"/>
                <w:szCs w:val="18"/>
              </w:rPr>
              <w:t>Počet verejných budov na úrovni nízkoenergetickej alebo</w:t>
            </w:r>
            <w:r>
              <w:rPr>
                <w:sz w:val="18"/>
                <w:szCs w:val="18"/>
              </w:rPr>
              <w:t xml:space="preserve"> </w:t>
            </w:r>
            <w:r w:rsidRPr="009F4B25">
              <w:rPr>
                <w:sz w:val="18"/>
                <w:szCs w:val="18"/>
              </w:rPr>
              <w:t>ultranízkoenergetickej alebo s takmer nulovou potrebou energie</w:t>
            </w:r>
          </w:p>
        </w:tc>
        <w:tc>
          <w:tcPr>
            <w:tcW w:w="992" w:type="dxa"/>
            <w:shd w:val="clear" w:color="auto" w:fill="auto"/>
            <w:vAlign w:val="center"/>
          </w:tcPr>
          <w:p w14:paraId="5EC5850A" w14:textId="77777777" w:rsidR="00E10737" w:rsidRPr="00E661DF" w:rsidRDefault="00E10737" w:rsidP="004179DE">
            <w:pPr>
              <w:ind w:left="0"/>
              <w:jc w:val="center"/>
              <w:rPr>
                <w:i/>
                <w:sz w:val="18"/>
                <w:szCs w:val="18"/>
              </w:rPr>
            </w:pPr>
            <w:r w:rsidRPr="00E661DF">
              <w:rPr>
                <w:i/>
                <w:sz w:val="18"/>
                <w:szCs w:val="18"/>
              </w:rPr>
              <w:t>počet</w:t>
            </w:r>
          </w:p>
        </w:tc>
        <w:tc>
          <w:tcPr>
            <w:tcW w:w="749" w:type="dxa"/>
            <w:shd w:val="clear" w:color="auto" w:fill="auto"/>
            <w:vAlign w:val="center"/>
          </w:tcPr>
          <w:p w14:paraId="5A8DCAFD"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0CB13D81"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06913F6E" w14:textId="77777777" w:rsidR="00E10737" w:rsidRPr="00E661DF" w:rsidRDefault="00E10737" w:rsidP="004179DE">
            <w:pPr>
              <w:ind w:left="0"/>
              <w:jc w:val="center"/>
              <w:rPr>
                <w:i/>
                <w:sz w:val="18"/>
                <w:szCs w:val="18"/>
              </w:rPr>
            </w:pPr>
            <w:r w:rsidRPr="00E661DF">
              <w:rPr>
                <w:i/>
                <w:sz w:val="18"/>
                <w:szCs w:val="18"/>
              </w:rPr>
              <w:t>3</w:t>
            </w:r>
          </w:p>
        </w:tc>
        <w:tc>
          <w:tcPr>
            <w:tcW w:w="827" w:type="dxa"/>
            <w:vAlign w:val="center"/>
          </w:tcPr>
          <w:p w14:paraId="0D3B0FF8"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DE048A1" w14:textId="77777777" w:rsidR="00E10737" w:rsidRPr="00E661DF" w:rsidRDefault="00E10737" w:rsidP="004179DE">
            <w:pPr>
              <w:ind w:left="0"/>
              <w:jc w:val="center"/>
              <w:rPr>
                <w:i/>
                <w:sz w:val="18"/>
                <w:szCs w:val="18"/>
              </w:rPr>
            </w:pPr>
            <w:r w:rsidRPr="00E661DF">
              <w:rPr>
                <w:i/>
                <w:sz w:val="18"/>
                <w:szCs w:val="18"/>
              </w:rPr>
              <w:t>Ročne</w:t>
            </w:r>
          </w:p>
        </w:tc>
      </w:tr>
      <w:tr w:rsidR="00E10737" w14:paraId="16DE2204" w14:textId="77777777" w:rsidTr="00132EB9">
        <w:trPr>
          <w:trHeight w:val="680"/>
          <w:jc w:val="center"/>
        </w:trPr>
        <w:tc>
          <w:tcPr>
            <w:tcW w:w="706" w:type="dxa"/>
            <w:shd w:val="clear" w:color="auto" w:fill="auto"/>
            <w:vAlign w:val="center"/>
          </w:tcPr>
          <w:p w14:paraId="4435C119" w14:textId="77777777" w:rsidR="00E10737" w:rsidRPr="00926711" w:rsidRDefault="00E10737" w:rsidP="004179DE">
            <w:pPr>
              <w:ind w:left="0"/>
              <w:jc w:val="center"/>
              <w:rPr>
                <w:sz w:val="18"/>
                <w:szCs w:val="18"/>
              </w:rPr>
            </w:pPr>
            <w:r>
              <w:rPr>
                <w:sz w:val="18"/>
                <w:szCs w:val="18"/>
              </w:rPr>
              <w:t>O0183</w:t>
            </w:r>
          </w:p>
        </w:tc>
        <w:tc>
          <w:tcPr>
            <w:tcW w:w="2726" w:type="dxa"/>
            <w:shd w:val="clear" w:color="auto" w:fill="auto"/>
            <w:vAlign w:val="center"/>
          </w:tcPr>
          <w:p w14:paraId="5D3DA8F5" w14:textId="77777777" w:rsidR="00E10737" w:rsidRPr="00BA77B0" w:rsidRDefault="00E10737" w:rsidP="004179DE">
            <w:pPr>
              <w:ind w:left="0"/>
              <w:rPr>
                <w:sz w:val="18"/>
                <w:szCs w:val="18"/>
              </w:rPr>
            </w:pPr>
            <w:r w:rsidRPr="00257E12">
              <w:rPr>
                <w:sz w:val="18"/>
                <w:szCs w:val="18"/>
              </w:rPr>
              <w:t>Podlahová plocha budov obnovených nad rámec minimálnych požiadaviek</w:t>
            </w:r>
          </w:p>
        </w:tc>
        <w:tc>
          <w:tcPr>
            <w:tcW w:w="992" w:type="dxa"/>
            <w:shd w:val="clear" w:color="auto" w:fill="auto"/>
            <w:vAlign w:val="center"/>
          </w:tcPr>
          <w:p w14:paraId="2187A6C8" w14:textId="4A4337B4" w:rsidR="00E10737" w:rsidRPr="00E661DF" w:rsidRDefault="00644B00" w:rsidP="004179DE">
            <w:pPr>
              <w:ind w:left="0"/>
              <w:jc w:val="center"/>
              <w:rPr>
                <w:i/>
                <w:sz w:val="18"/>
                <w:szCs w:val="18"/>
              </w:rPr>
            </w:pPr>
            <w:r w:rsidRPr="00E661DF">
              <w:rPr>
                <w:i/>
                <w:sz w:val="18"/>
                <w:szCs w:val="18"/>
              </w:rPr>
              <w:t>m2</w:t>
            </w:r>
          </w:p>
        </w:tc>
        <w:tc>
          <w:tcPr>
            <w:tcW w:w="749" w:type="dxa"/>
            <w:shd w:val="clear" w:color="auto" w:fill="auto"/>
            <w:vAlign w:val="center"/>
          </w:tcPr>
          <w:p w14:paraId="6C161015" w14:textId="77777777" w:rsidR="00E10737" w:rsidRPr="00E661DF" w:rsidRDefault="00E10737" w:rsidP="004179DE">
            <w:pPr>
              <w:ind w:left="0"/>
              <w:jc w:val="center"/>
              <w:rPr>
                <w:i/>
                <w:sz w:val="18"/>
                <w:szCs w:val="18"/>
              </w:rPr>
            </w:pPr>
            <w:r w:rsidRPr="00E661DF">
              <w:rPr>
                <w:i/>
                <w:sz w:val="18"/>
                <w:szCs w:val="18"/>
              </w:rPr>
              <w:t>EFRR</w:t>
            </w:r>
          </w:p>
        </w:tc>
        <w:tc>
          <w:tcPr>
            <w:tcW w:w="1126" w:type="dxa"/>
            <w:shd w:val="clear" w:color="auto" w:fill="auto"/>
            <w:vAlign w:val="center"/>
          </w:tcPr>
          <w:p w14:paraId="2573F622" w14:textId="77777777" w:rsidR="00E10737" w:rsidRPr="00E661DF" w:rsidRDefault="00E10737" w:rsidP="004179DE">
            <w:pPr>
              <w:ind w:left="0"/>
              <w:jc w:val="center"/>
              <w:rPr>
                <w:i/>
                <w:sz w:val="18"/>
                <w:szCs w:val="18"/>
              </w:rPr>
            </w:pPr>
            <w:r w:rsidRPr="00E661DF">
              <w:rPr>
                <w:i/>
                <w:sz w:val="18"/>
                <w:szCs w:val="18"/>
              </w:rPr>
              <w:t>Rozvinutejší región</w:t>
            </w:r>
          </w:p>
        </w:tc>
        <w:tc>
          <w:tcPr>
            <w:tcW w:w="1109" w:type="dxa"/>
            <w:shd w:val="clear" w:color="auto" w:fill="auto"/>
            <w:vAlign w:val="center"/>
          </w:tcPr>
          <w:p w14:paraId="6CB63D9B" w14:textId="77777777" w:rsidR="00E10737" w:rsidRPr="00E661DF" w:rsidRDefault="00E10737" w:rsidP="004179DE">
            <w:pPr>
              <w:ind w:left="0"/>
              <w:jc w:val="center"/>
              <w:rPr>
                <w:i/>
                <w:sz w:val="18"/>
                <w:szCs w:val="18"/>
              </w:rPr>
            </w:pPr>
            <w:r w:rsidRPr="00E661DF">
              <w:rPr>
                <w:i/>
                <w:sz w:val="18"/>
                <w:szCs w:val="18"/>
              </w:rPr>
              <w:t>80 000</w:t>
            </w:r>
          </w:p>
        </w:tc>
        <w:tc>
          <w:tcPr>
            <w:tcW w:w="827" w:type="dxa"/>
            <w:vAlign w:val="center"/>
          </w:tcPr>
          <w:p w14:paraId="2666598C"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F861B9D" w14:textId="77777777" w:rsidR="00E10737" w:rsidRPr="00E661DF" w:rsidRDefault="00E10737" w:rsidP="004179DE">
            <w:pPr>
              <w:ind w:left="0"/>
              <w:jc w:val="center"/>
              <w:rPr>
                <w:i/>
                <w:sz w:val="18"/>
                <w:szCs w:val="18"/>
              </w:rPr>
            </w:pPr>
            <w:r w:rsidRPr="00E661DF">
              <w:rPr>
                <w:i/>
                <w:sz w:val="18"/>
                <w:szCs w:val="18"/>
              </w:rPr>
              <w:t>Ročne</w:t>
            </w:r>
          </w:p>
        </w:tc>
      </w:tr>
    </w:tbl>
    <w:p w14:paraId="62CBADF8" w14:textId="77777777" w:rsidR="00E10737" w:rsidRPr="00CF79E0" w:rsidRDefault="00E10737" w:rsidP="00E10737">
      <w:pPr>
        <w:pStyle w:val="Zkladntext"/>
        <w:spacing w:before="102" w:line="248" w:lineRule="auto"/>
        <w:ind w:right="118"/>
        <w:jc w:val="both"/>
        <w:rPr>
          <w:sz w:val="22"/>
          <w:szCs w:val="22"/>
        </w:rPr>
      </w:pPr>
    </w:p>
    <w:p w14:paraId="3ADDFDFA" w14:textId="72642F68" w:rsidR="00E10737" w:rsidRPr="004A0453" w:rsidRDefault="00E10737" w:rsidP="00E10737">
      <w:pPr>
        <w:pStyle w:val="Nadpis3"/>
        <w:tabs>
          <w:tab w:val="clear" w:pos="709"/>
          <w:tab w:val="clear" w:pos="851"/>
        </w:tabs>
        <w:jc w:val="both"/>
      </w:pPr>
      <w:bookmarkStart w:id="109" w:name="_Toc21945917"/>
      <w:bookmarkStart w:id="110" w:name="_Toc28951650"/>
      <w:r w:rsidRPr="004A0453">
        <w:t xml:space="preserve">INVESTIČNÁ PRIORITA </w:t>
      </w:r>
      <w:r w:rsidR="00B010A9">
        <w:t>1b)</w:t>
      </w:r>
      <w:r w:rsidRPr="004A0453">
        <w:t>: </w:t>
      </w:r>
      <w:r w:rsidRPr="00351D17">
        <w:t>Podpora investovania podnikov do výskumu a inovácie a vytvárania prepojení a synergií medzi podnikmi, centrami výskumu a vývoja a vysokoškolským vzdelávacím prostredím, najmä podpory investovania do vývoja produktov a služieb, prenosu technológií, sociálnej inovácie, ekologických inovácií, aplikácií verejných služieb, stimulácie dopytu, vytvárania sietí, zoskupení a otvorenej inovácie prostredníctvom inteligentnej špecializácie za podpory technologického a aplikovaného výskumu, pilotných projektov, opatrení skorého overovania výrobkov, rozšírených výrobných kapacít, prvej výroby, najmä v základných podporných technológiách, a šírenia technológií na všeobecný účel</w:t>
      </w:r>
      <w:bookmarkEnd w:id="109"/>
      <w:bookmarkEnd w:id="110"/>
    </w:p>
    <w:p w14:paraId="71653576" w14:textId="77777777" w:rsidR="00E10737" w:rsidRDefault="00E10737" w:rsidP="00E10737">
      <w:pPr>
        <w:pStyle w:val="tl3"/>
        <w:tabs>
          <w:tab w:val="clear" w:pos="709"/>
          <w:tab w:val="clear" w:pos="864"/>
        </w:tabs>
        <w:ind w:left="851" w:hanging="851"/>
      </w:pPr>
      <w:r>
        <w:t>Špecifické ciele investičnej priority a očakávané výsledky</w:t>
      </w:r>
    </w:p>
    <w:p w14:paraId="52C0E14F" w14:textId="5FF50715" w:rsidR="00E10737" w:rsidRDefault="00E10737" w:rsidP="00E10737">
      <w:pPr>
        <w:shd w:val="clear" w:color="auto" w:fill="FFFFCC"/>
        <w:spacing w:before="120"/>
        <w:jc w:val="both"/>
        <w:rPr>
          <w:b/>
          <w:i/>
        </w:rPr>
      </w:pPr>
      <w:r w:rsidRPr="004F0234">
        <w:rPr>
          <w:i/>
        </w:rPr>
        <w:t xml:space="preserve">ŠPECIFICKÝ CIEĽ </w:t>
      </w:r>
      <w:r>
        <w:rPr>
          <w:i/>
        </w:rPr>
        <w:t>10.2</w:t>
      </w:r>
      <w:r w:rsidRPr="004F0234">
        <w:rPr>
          <w:i/>
        </w:rPr>
        <w:t>:</w:t>
      </w:r>
      <w:r>
        <w:rPr>
          <w:i/>
        </w:rPr>
        <w:t xml:space="preserve"> </w:t>
      </w:r>
      <w:r w:rsidRPr="00CF79E0">
        <w:rPr>
          <w:b/>
          <w:i/>
        </w:rPr>
        <w:t>Zvýšenie súkromných investícií prostredníctvom budovania výskumno-vývojových centier v Bratislave</w:t>
      </w:r>
    </w:p>
    <w:p w14:paraId="4C906DD6" w14:textId="77777777" w:rsidR="00E10737" w:rsidRDefault="00E10737" w:rsidP="00E10737">
      <w:pPr>
        <w:jc w:val="both"/>
        <w:rPr>
          <w:w w:val="105"/>
        </w:rPr>
      </w:pPr>
    </w:p>
    <w:p w14:paraId="5BD29849" w14:textId="4D8C4A1F" w:rsidR="00E10737" w:rsidRDefault="00E10737" w:rsidP="00E10737">
      <w:pPr>
        <w:jc w:val="both"/>
        <w:rPr>
          <w:sz w:val="22"/>
          <w:szCs w:val="22"/>
        </w:rPr>
      </w:pPr>
      <w:r w:rsidRPr="00135FBE">
        <w:rPr>
          <w:sz w:val="22"/>
          <w:szCs w:val="22"/>
        </w:rPr>
        <w:t>V oblasti zvýšenia príspevku VaV k hospodárskemu rozvoju SR je te</w:t>
      </w:r>
      <w:r w:rsidR="00132EB9">
        <w:rPr>
          <w:sz w:val="22"/>
          <w:szCs w:val="22"/>
        </w:rPr>
        <w:t xml:space="preserve">nto špecifický cieľ zameraný na </w:t>
      </w:r>
      <w:r w:rsidRPr="00135FBE">
        <w:rPr>
          <w:sz w:val="22"/>
          <w:szCs w:val="22"/>
        </w:rPr>
        <w:t>zvýšenie súkromných investícií do VaV v BSK vyvolaných podporou spoločných interdisciplinárnych projektov výskumných inštitúcií a podnikateľského sektora prepojených na odberateľskú prax zameraných na domény inteligentnej špecializácie RIS3 SK.</w:t>
      </w:r>
    </w:p>
    <w:p w14:paraId="392917CA"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7882701A" w14:textId="77777777" w:rsidR="00E10737" w:rsidRDefault="00E10737" w:rsidP="00E10737">
      <w:pPr>
        <w:autoSpaceDE w:val="0"/>
        <w:autoSpaceDN w:val="0"/>
        <w:adjustRightInd w:val="0"/>
        <w:spacing w:after="120"/>
        <w:jc w:val="both"/>
        <w:rPr>
          <w:sz w:val="22"/>
          <w:szCs w:val="22"/>
        </w:rPr>
      </w:pPr>
      <w:r w:rsidRPr="00135FBE">
        <w:rPr>
          <w:sz w:val="22"/>
          <w:szCs w:val="22"/>
        </w:rPr>
        <w:t>Vzhľadom na povahu podporených projektov sa očakáva/jú:</w:t>
      </w:r>
    </w:p>
    <w:p w14:paraId="3F139FD7" w14:textId="77777777" w:rsidR="00E10737" w:rsidRPr="00135FBE" w:rsidRDefault="00E10737" w:rsidP="00351D17">
      <w:pPr>
        <w:pStyle w:val="Odsekzoznamu"/>
        <w:numPr>
          <w:ilvl w:val="0"/>
          <w:numId w:val="164"/>
        </w:numPr>
        <w:ind w:left="709" w:hanging="425"/>
        <w:jc w:val="both"/>
        <w:rPr>
          <w:sz w:val="22"/>
          <w:szCs w:val="22"/>
        </w:rPr>
      </w:pPr>
      <w:r w:rsidRPr="00135FBE">
        <w:rPr>
          <w:sz w:val="22"/>
          <w:szCs w:val="22"/>
        </w:rPr>
        <w:t>zvýšenie súkromných investícií do VaV v BSK;</w:t>
      </w:r>
    </w:p>
    <w:p w14:paraId="6EE7C176" w14:textId="77777777" w:rsidR="00E10737" w:rsidRPr="00135FBE" w:rsidRDefault="00E10737" w:rsidP="00351D17">
      <w:pPr>
        <w:pStyle w:val="Odsekzoznamu"/>
        <w:numPr>
          <w:ilvl w:val="0"/>
          <w:numId w:val="164"/>
        </w:numPr>
        <w:ind w:left="709" w:hanging="425"/>
        <w:jc w:val="both"/>
        <w:rPr>
          <w:sz w:val="22"/>
          <w:szCs w:val="22"/>
        </w:rPr>
      </w:pPr>
      <w:r w:rsidRPr="00135FBE">
        <w:rPr>
          <w:sz w:val="22"/>
          <w:szCs w:val="22"/>
        </w:rPr>
        <w:t>výstupy projektov následne využiteľné v rámci technologických inovácií v priemysle, ktoré vyústia do nových výrobkov a služieb;</w:t>
      </w:r>
    </w:p>
    <w:p w14:paraId="4BF5BB36" w14:textId="77777777" w:rsidR="00E10737" w:rsidRPr="00135FBE" w:rsidRDefault="00E10737" w:rsidP="00351D17">
      <w:pPr>
        <w:pStyle w:val="Odsekzoznamu"/>
        <w:numPr>
          <w:ilvl w:val="0"/>
          <w:numId w:val="164"/>
        </w:numPr>
        <w:ind w:left="709" w:hanging="425"/>
        <w:jc w:val="both"/>
        <w:rPr>
          <w:sz w:val="22"/>
          <w:szCs w:val="22"/>
        </w:rPr>
      </w:pPr>
      <w:r w:rsidRPr="00135FBE">
        <w:rPr>
          <w:sz w:val="22"/>
          <w:szCs w:val="22"/>
        </w:rPr>
        <w:t>kreovanie nových firiem aj prostredníctvom inkubátorov v prostredí univerzitných vedeckých parkov;</w:t>
      </w:r>
    </w:p>
    <w:p w14:paraId="2D1BDD76" w14:textId="77777777" w:rsidR="00E10737" w:rsidRPr="00CF79E0" w:rsidRDefault="00E10737" w:rsidP="00351D17">
      <w:pPr>
        <w:pStyle w:val="Odsekzoznamu"/>
        <w:numPr>
          <w:ilvl w:val="0"/>
          <w:numId w:val="164"/>
        </w:numPr>
        <w:ind w:left="709" w:hanging="425"/>
        <w:jc w:val="both"/>
        <w:rPr>
          <w:sz w:val="22"/>
          <w:szCs w:val="22"/>
        </w:rPr>
      </w:pPr>
      <w:r w:rsidRPr="00135FBE">
        <w:rPr>
          <w:sz w:val="22"/>
          <w:szCs w:val="22"/>
        </w:rPr>
        <w:t>vytvárania nových pracovných miest vo vedeckých parkoch.</w:t>
      </w:r>
    </w:p>
    <w:p w14:paraId="210BBF5A" w14:textId="04BF49AF" w:rsidR="00E10737" w:rsidRDefault="00E10737" w:rsidP="00E10737">
      <w:pPr>
        <w:pStyle w:val="Tab"/>
        <w:ind w:left="502"/>
      </w:pPr>
      <w:r w:rsidRPr="00BE4E38">
        <w:t>Špecifické ukazovatele výsledkov programu zodpovedajúce špecifickému cieľu 1</w:t>
      </w:r>
      <w:r>
        <w:t>0</w:t>
      </w:r>
      <w:r w:rsidRPr="00BE4E38">
        <w:t>.</w:t>
      </w:r>
      <w:r>
        <w:t>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7FF3AEB9" w14:textId="77777777" w:rsidTr="004179DE">
        <w:trPr>
          <w:trHeight w:val="487"/>
          <w:jc w:val="center"/>
        </w:trPr>
        <w:tc>
          <w:tcPr>
            <w:tcW w:w="598" w:type="dxa"/>
            <w:shd w:val="clear" w:color="auto" w:fill="C6D9F1" w:themeFill="text2" w:themeFillTint="33"/>
            <w:vAlign w:val="center"/>
          </w:tcPr>
          <w:p w14:paraId="5AB89E1C"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77967DC6"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6363FA75"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0D8C3924"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5778DD5D"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52D116F8"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3A6B0E4C"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38104A28"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3F9C47C"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48A781EA" w14:textId="77777777" w:rsidTr="004179DE">
        <w:trPr>
          <w:cantSplit/>
          <w:trHeight w:val="1134"/>
          <w:jc w:val="center"/>
        </w:trPr>
        <w:tc>
          <w:tcPr>
            <w:tcW w:w="598" w:type="dxa"/>
            <w:shd w:val="clear" w:color="auto" w:fill="auto"/>
            <w:textDirection w:val="btLr"/>
            <w:vAlign w:val="center"/>
          </w:tcPr>
          <w:p w14:paraId="4282DBB4" w14:textId="77777777" w:rsidR="00E10737" w:rsidRPr="00351D17" w:rsidRDefault="00E10737" w:rsidP="004179DE">
            <w:pPr>
              <w:ind w:left="113" w:right="113"/>
              <w:jc w:val="center"/>
              <w:rPr>
                <w:sz w:val="18"/>
                <w:szCs w:val="18"/>
              </w:rPr>
            </w:pPr>
            <w:r w:rsidRPr="00351D17">
              <w:rPr>
                <w:sz w:val="18"/>
                <w:szCs w:val="18"/>
              </w:rPr>
              <w:lastRenderedPageBreak/>
              <w:t>R0045</w:t>
            </w:r>
          </w:p>
        </w:tc>
        <w:tc>
          <w:tcPr>
            <w:tcW w:w="1391" w:type="dxa"/>
            <w:shd w:val="clear" w:color="auto" w:fill="auto"/>
            <w:vAlign w:val="center"/>
          </w:tcPr>
          <w:p w14:paraId="313362D5" w14:textId="281E116E" w:rsidR="00E10737" w:rsidRPr="00351D17" w:rsidRDefault="00E10737" w:rsidP="00704FB6">
            <w:pPr>
              <w:ind w:left="0"/>
              <w:rPr>
                <w:sz w:val="18"/>
                <w:szCs w:val="18"/>
              </w:rPr>
            </w:pPr>
            <w:r w:rsidRPr="00351D17">
              <w:rPr>
                <w:sz w:val="18"/>
                <w:szCs w:val="18"/>
              </w:rPr>
              <w:t>Výška</w:t>
            </w:r>
            <w:r w:rsidR="00704FB6">
              <w:rPr>
                <w:sz w:val="18"/>
                <w:szCs w:val="18"/>
              </w:rPr>
              <w:t xml:space="preserve"> </w:t>
            </w:r>
            <w:r w:rsidRPr="00351D17">
              <w:rPr>
                <w:sz w:val="18"/>
                <w:szCs w:val="18"/>
              </w:rPr>
              <w:t>súkromných investícií na výskum a vývoj v Bratislavskom kraji</w:t>
            </w:r>
          </w:p>
        </w:tc>
        <w:tc>
          <w:tcPr>
            <w:tcW w:w="897" w:type="dxa"/>
            <w:shd w:val="clear" w:color="auto" w:fill="auto"/>
            <w:vAlign w:val="center"/>
          </w:tcPr>
          <w:p w14:paraId="1B634213" w14:textId="77777777" w:rsidR="00E10737" w:rsidRPr="00E661DF" w:rsidRDefault="00E10737" w:rsidP="004179DE">
            <w:pPr>
              <w:ind w:left="0"/>
              <w:jc w:val="center"/>
              <w:rPr>
                <w:i/>
                <w:sz w:val="18"/>
                <w:szCs w:val="18"/>
              </w:rPr>
            </w:pPr>
            <w:r w:rsidRPr="00E661DF">
              <w:rPr>
                <w:i/>
                <w:sz w:val="18"/>
                <w:szCs w:val="18"/>
              </w:rPr>
              <w:t>EUR</w:t>
            </w:r>
          </w:p>
        </w:tc>
        <w:tc>
          <w:tcPr>
            <w:tcW w:w="997" w:type="dxa"/>
            <w:shd w:val="clear" w:color="auto" w:fill="auto"/>
            <w:vAlign w:val="center"/>
          </w:tcPr>
          <w:p w14:paraId="49EA8B53" w14:textId="77777777" w:rsidR="00E10737" w:rsidRPr="00E661DF" w:rsidRDefault="00E10737" w:rsidP="004179DE">
            <w:pPr>
              <w:ind w:left="0"/>
              <w:jc w:val="center"/>
              <w:rPr>
                <w:i/>
                <w:sz w:val="18"/>
                <w:szCs w:val="18"/>
              </w:rPr>
            </w:pPr>
            <w:r w:rsidRPr="00E661DF">
              <w:rPr>
                <w:i/>
                <w:sz w:val="18"/>
                <w:szCs w:val="18"/>
              </w:rPr>
              <w:t>Rozvinutejší región</w:t>
            </w:r>
          </w:p>
        </w:tc>
        <w:tc>
          <w:tcPr>
            <w:tcW w:w="1297" w:type="dxa"/>
            <w:vAlign w:val="center"/>
          </w:tcPr>
          <w:p w14:paraId="45EFC060" w14:textId="77777777" w:rsidR="00E10737" w:rsidRPr="00E661DF" w:rsidRDefault="00E10737" w:rsidP="004179DE">
            <w:pPr>
              <w:ind w:left="0"/>
              <w:jc w:val="center"/>
              <w:rPr>
                <w:i/>
                <w:sz w:val="18"/>
                <w:szCs w:val="18"/>
              </w:rPr>
            </w:pPr>
            <w:r w:rsidRPr="00E661DF">
              <w:rPr>
                <w:i/>
                <w:sz w:val="18"/>
                <w:szCs w:val="18"/>
              </w:rPr>
              <w:t>119 829 000</w:t>
            </w:r>
          </w:p>
        </w:tc>
        <w:tc>
          <w:tcPr>
            <w:tcW w:w="1297" w:type="dxa"/>
            <w:vAlign w:val="center"/>
          </w:tcPr>
          <w:p w14:paraId="19B3F8D2" w14:textId="77777777" w:rsidR="00E10737" w:rsidRPr="00E661DF" w:rsidRDefault="00E10737" w:rsidP="004179DE">
            <w:pPr>
              <w:ind w:left="0"/>
              <w:jc w:val="center"/>
              <w:rPr>
                <w:i/>
                <w:sz w:val="18"/>
                <w:szCs w:val="18"/>
              </w:rPr>
            </w:pPr>
            <w:r w:rsidRPr="00E661DF">
              <w:rPr>
                <w:i/>
                <w:sz w:val="18"/>
                <w:szCs w:val="18"/>
              </w:rPr>
              <w:t>2012</w:t>
            </w:r>
          </w:p>
        </w:tc>
        <w:tc>
          <w:tcPr>
            <w:tcW w:w="865" w:type="dxa"/>
            <w:shd w:val="clear" w:color="auto" w:fill="auto"/>
            <w:vAlign w:val="center"/>
          </w:tcPr>
          <w:p w14:paraId="285D50E1" w14:textId="77777777" w:rsidR="00E10737" w:rsidRPr="00E661DF" w:rsidRDefault="00E10737" w:rsidP="004179DE">
            <w:pPr>
              <w:ind w:left="0"/>
              <w:jc w:val="center"/>
              <w:rPr>
                <w:i/>
                <w:sz w:val="18"/>
                <w:szCs w:val="18"/>
              </w:rPr>
            </w:pPr>
            <w:r w:rsidRPr="00E661DF">
              <w:rPr>
                <w:i/>
                <w:sz w:val="18"/>
                <w:szCs w:val="18"/>
              </w:rPr>
              <w:t>270 000 000</w:t>
            </w:r>
          </w:p>
        </w:tc>
        <w:tc>
          <w:tcPr>
            <w:tcW w:w="759" w:type="dxa"/>
            <w:vAlign w:val="center"/>
          </w:tcPr>
          <w:p w14:paraId="1EF4913F" w14:textId="77777777" w:rsidR="00E10737" w:rsidRPr="00E661DF" w:rsidRDefault="00E10737" w:rsidP="004179DE">
            <w:pPr>
              <w:ind w:left="0"/>
              <w:jc w:val="center"/>
              <w:rPr>
                <w:i/>
                <w:sz w:val="18"/>
                <w:szCs w:val="18"/>
              </w:rPr>
            </w:pPr>
            <w:r w:rsidRPr="00E661DF">
              <w:rPr>
                <w:i/>
                <w:sz w:val="18"/>
                <w:szCs w:val="18"/>
              </w:rPr>
              <w:t>ŠÚ SR</w:t>
            </w:r>
          </w:p>
        </w:tc>
        <w:tc>
          <w:tcPr>
            <w:tcW w:w="1186" w:type="dxa"/>
            <w:vAlign w:val="center"/>
          </w:tcPr>
          <w:p w14:paraId="2774D8A2" w14:textId="77777777" w:rsidR="00E10737" w:rsidRPr="00E661DF" w:rsidRDefault="00E10737" w:rsidP="004179DE">
            <w:pPr>
              <w:ind w:left="0"/>
              <w:jc w:val="center"/>
              <w:rPr>
                <w:i/>
                <w:sz w:val="18"/>
                <w:szCs w:val="18"/>
              </w:rPr>
            </w:pPr>
            <w:r w:rsidRPr="00E661DF">
              <w:rPr>
                <w:i/>
                <w:sz w:val="18"/>
                <w:szCs w:val="18"/>
              </w:rPr>
              <w:t>Ročne</w:t>
            </w:r>
          </w:p>
        </w:tc>
      </w:tr>
    </w:tbl>
    <w:p w14:paraId="5D2FB749" w14:textId="77777777" w:rsidR="00E10737" w:rsidRPr="004E11E0" w:rsidRDefault="00E10737" w:rsidP="00E10737">
      <w:pPr>
        <w:jc w:val="both"/>
        <w:rPr>
          <w:b/>
          <w:i/>
          <w:sz w:val="22"/>
          <w:szCs w:val="22"/>
        </w:rPr>
      </w:pPr>
    </w:p>
    <w:p w14:paraId="0A975E17" w14:textId="3ED8997C" w:rsidR="00E10737" w:rsidRDefault="00E10737" w:rsidP="00E10737">
      <w:pPr>
        <w:shd w:val="clear" w:color="auto" w:fill="FFFFCC"/>
        <w:spacing w:before="120"/>
        <w:jc w:val="both"/>
        <w:rPr>
          <w:b/>
          <w:i/>
        </w:rPr>
      </w:pPr>
      <w:r w:rsidRPr="004F0234">
        <w:rPr>
          <w:i/>
        </w:rPr>
        <w:t xml:space="preserve">ŠPECIFICKÝ CIEĽ </w:t>
      </w:r>
      <w:r>
        <w:rPr>
          <w:i/>
        </w:rPr>
        <w:t>10.</w:t>
      </w:r>
      <w:r w:rsidR="00CD255D">
        <w:rPr>
          <w:i/>
        </w:rPr>
        <w:t>3</w:t>
      </w:r>
      <w:r w:rsidRPr="004F0234">
        <w:rPr>
          <w:i/>
        </w:rPr>
        <w:t>:</w:t>
      </w:r>
      <w:r>
        <w:rPr>
          <w:i/>
        </w:rPr>
        <w:t xml:space="preserve"> </w:t>
      </w:r>
      <w:r w:rsidRPr="00ED2491">
        <w:rPr>
          <w:b/>
          <w:i/>
        </w:rPr>
        <w:t>Rast výskumno-vývojových a i</w:t>
      </w:r>
      <w:r>
        <w:rPr>
          <w:b/>
          <w:i/>
        </w:rPr>
        <w:t>novačných kapacít v priemysle a </w:t>
      </w:r>
      <w:r w:rsidRPr="00ED2491">
        <w:rPr>
          <w:b/>
          <w:i/>
        </w:rPr>
        <w:t>službách v Bratislavskom kraji</w:t>
      </w:r>
    </w:p>
    <w:p w14:paraId="6C01416A" w14:textId="77777777" w:rsidR="00E10737" w:rsidRDefault="00E10737" w:rsidP="00E10737">
      <w:pPr>
        <w:jc w:val="both"/>
        <w:rPr>
          <w:w w:val="105"/>
        </w:rPr>
      </w:pPr>
    </w:p>
    <w:p w14:paraId="07376E08" w14:textId="77777777" w:rsidR="00E10737" w:rsidRDefault="00E10737" w:rsidP="00E10737">
      <w:pPr>
        <w:jc w:val="both"/>
        <w:rPr>
          <w:sz w:val="22"/>
          <w:szCs w:val="22"/>
        </w:rPr>
      </w:pPr>
      <w:r w:rsidRPr="00ED2491">
        <w:rPr>
          <w:sz w:val="22"/>
          <w:szCs w:val="22"/>
        </w:rPr>
        <w:t>Špecifický cieľ je zameraný na zvýšenie konkurencieschopnosti podnikateľského sektora zvýšením výdavkov na aplikovaný VVaI, a to prostredníctvom realizácie opatrení definovaných v RIS3 SK. Prioritou je vlastný VaV, transfer technológií s vysokou pridanou hodnotou a inovácie. Podpora bude orientovaná na MSP a na veľké podniky. Prioritnou je podpora MSP.</w:t>
      </w:r>
    </w:p>
    <w:p w14:paraId="7484D962"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7947273" w14:textId="77777777" w:rsidR="00E10737" w:rsidRPr="00ED2491" w:rsidRDefault="00E10737" w:rsidP="00351D17">
      <w:pPr>
        <w:pStyle w:val="Odsekzoznamu"/>
        <w:numPr>
          <w:ilvl w:val="0"/>
          <w:numId w:val="165"/>
        </w:numPr>
        <w:ind w:left="709" w:hanging="425"/>
        <w:jc w:val="both"/>
        <w:rPr>
          <w:sz w:val="22"/>
          <w:szCs w:val="22"/>
        </w:rPr>
      </w:pPr>
      <w:r w:rsidRPr="00ED2491">
        <w:rPr>
          <w:sz w:val="22"/>
          <w:szCs w:val="22"/>
        </w:rPr>
        <w:t>zvýšenie podielu podnikov uplatňujúcich výskum, vývoj a inovácie;</w:t>
      </w:r>
    </w:p>
    <w:p w14:paraId="04F76459" w14:textId="77777777" w:rsidR="00E10737" w:rsidRPr="00ED2491" w:rsidRDefault="00E10737" w:rsidP="00351D17">
      <w:pPr>
        <w:pStyle w:val="Odsekzoznamu"/>
        <w:numPr>
          <w:ilvl w:val="0"/>
          <w:numId w:val="165"/>
        </w:numPr>
        <w:ind w:left="709" w:hanging="425"/>
        <w:jc w:val="both"/>
        <w:rPr>
          <w:sz w:val="22"/>
          <w:szCs w:val="22"/>
        </w:rPr>
      </w:pPr>
      <w:r w:rsidRPr="00ED2491">
        <w:rPr>
          <w:sz w:val="22"/>
          <w:szCs w:val="22"/>
        </w:rPr>
        <w:t>zvýšenie miery konkurencieschopnosti podnikov;</w:t>
      </w:r>
    </w:p>
    <w:p w14:paraId="21D15126" w14:textId="77777777" w:rsidR="00E10737" w:rsidRPr="00CF79E0" w:rsidRDefault="00E10737" w:rsidP="00351D17">
      <w:pPr>
        <w:pStyle w:val="Odsekzoznamu"/>
        <w:numPr>
          <w:ilvl w:val="0"/>
          <w:numId w:val="165"/>
        </w:numPr>
        <w:ind w:left="709" w:hanging="425"/>
        <w:jc w:val="both"/>
        <w:rPr>
          <w:sz w:val="22"/>
          <w:szCs w:val="22"/>
        </w:rPr>
      </w:pPr>
      <w:r w:rsidRPr="00ED2491">
        <w:rPr>
          <w:sz w:val="22"/>
          <w:szCs w:val="22"/>
        </w:rPr>
        <w:t>zníženie miery nezamestnanosti v BSK.</w:t>
      </w:r>
    </w:p>
    <w:p w14:paraId="7622D5B9" w14:textId="0B4B8768" w:rsidR="00E10737" w:rsidRDefault="00E10737" w:rsidP="00E10737">
      <w:pPr>
        <w:pStyle w:val="Tab"/>
        <w:ind w:left="502"/>
      </w:pPr>
      <w:r w:rsidRPr="00BE4E38">
        <w:t>Špecifické ukazovatele výsledkov programu zodpovedajúce špecifickému cieľu 1</w:t>
      </w:r>
      <w:r>
        <w:t>0</w:t>
      </w:r>
      <w:r w:rsidRPr="00BE4E38">
        <w:t>.</w:t>
      </w:r>
      <w:r w:rsidR="00CD255D">
        <w:t>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4"/>
        <w:gridCol w:w="1134"/>
        <w:gridCol w:w="992"/>
        <w:gridCol w:w="1223"/>
        <w:gridCol w:w="1297"/>
        <w:gridCol w:w="1297"/>
        <w:gridCol w:w="865"/>
        <w:gridCol w:w="759"/>
        <w:gridCol w:w="1186"/>
      </w:tblGrid>
      <w:tr w:rsidR="00E10737" w:rsidRPr="008C1732" w14:paraId="3C82C086" w14:textId="77777777" w:rsidTr="00132EB9">
        <w:trPr>
          <w:trHeight w:val="487"/>
          <w:jc w:val="center"/>
        </w:trPr>
        <w:tc>
          <w:tcPr>
            <w:tcW w:w="534" w:type="dxa"/>
            <w:shd w:val="clear" w:color="auto" w:fill="C6D9F1" w:themeFill="text2" w:themeFillTint="33"/>
            <w:vAlign w:val="center"/>
          </w:tcPr>
          <w:p w14:paraId="316E1FE1" w14:textId="77777777" w:rsidR="00E10737" w:rsidRPr="008C1732" w:rsidRDefault="00E10737" w:rsidP="004179DE">
            <w:pPr>
              <w:ind w:left="0"/>
              <w:jc w:val="center"/>
              <w:rPr>
                <w:b/>
                <w:sz w:val="18"/>
                <w:szCs w:val="18"/>
              </w:rPr>
            </w:pPr>
            <w:r>
              <w:rPr>
                <w:b/>
                <w:sz w:val="18"/>
                <w:szCs w:val="18"/>
              </w:rPr>
              <w:t>ID</w:t>
            </w:r>
          </w:p>
        </w:tc>
        <w:tc>
          <w:tcPr>
            <w:tcW w:w="1134" w:type="dxa"/>
            <w:shd w:val="clear" w:color="auto" w:fill="C6D9F1" w:themeFill="text2" w:themeFillTint="33"/>
            <w:vAlign w:val="center"/>
          </w:tcPr>
          <w:p w14:paraId="68C9D660" w14:textId="77777777" w:rsidR="00E10737" w:rsidRPr="008C1732" w:rsidRDefault="00E10737" w:rsidP="004179DE">
            <w:pPr>
              <w:ind w:left="0"/>
              <w:jc w:val="center"/>
              <w:rPr>
                <w:b/>
                <w:sz w:val="18"/>
                <w:szCs w:val="18"/>
              </w:rPr>
            </w:pPr>
            <w:r w:rsidRPr="008C1732">
              <w:rPr>
                <w:b/>
                <w:sz w:val="18"/>
                <w:szCs w:val="18"/>
              </w:rPr>
              <w:t>Ukazovateľ</w:t>
            </w:r>
          </w:p>
        </w:tc>
        <w:tc>
          <w:tcPr>
            <w:tcW w:w="992" w:type="dxa"/>
            <w:shd w:val="clear" w:color="auto" w:fill="C6D9F1" w:themeFill="text2" w:themeFillTint="33"/>
            <w:vAlign w:val="center"/>
          </w:tcPr>
          <w:p w14:paraId="22320056" w14:textId="77777777" w:rsidR="00E10737" w:rsidRPr="008C1732" w:rsidRDefault="00E10737" w:rsidP="004179DE">
            <w:pPr>
              <w:ind w:left="0"/>
              <w:jc w:val="center"/>
              <w:rPr>
                <w:b/>
                <w:sz w:val="18"/>
                <w:szCs w:val="18"/>
              </w:rPr>
            </w:pPr>
            <w:r w:rsidRPr="008C1732">
              <w:rPr>
                <w:b/>
                <w:sz w:val="18"/>
                <w:szCs w:val="18"/>
              </w:rPr>
              <w:t>Merná jednotka</w:t>
            </w:r>
          </w:p>
        </w:tc>
        <w:tc>
          <w:tcPr>
            <w:tcW w:w="1223" w:type="dxa"/>
            <w:shd w:val="clear" w:color="auto" w:fill="C6D9F1" w:themeFill="text2" w:themeFillTint="33"/>
            <w:vAlign w:val="center"/>
          </w:tcPr>
          <w:p w14:paraId="7343A673"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0555875C"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3D369862"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7280B7C6"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4F170E68"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42907FC7"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0436A88B" w14:textId="77777777" w:rsidTr="00132EB9">
        <w:trPr>
          <w:cantSplit/>
          <w:trHeight w:val="1134"/>
          <w:jc w:val="center"/>
        </w:trPr>
        <w:tc>
          <w:tcPr>
            <w:tcW w:w="534" w:type="dxa"/>
            <w:shd w:val="clear" w:color="auto" w:fill="auto"/>
            <w:textDirection w:val="btLr"/>
            <w:vAlign w:val="center"/>
          </w:tcPr>
          <w:p w14:paraId="7F20963D" w14:textId="77777777" w:rsidR="00E10737" w:rsidRPr="00132EB9" w:rsidRDefault="00E10737" w:rsidP="004179DE">
            <w:pPr>
              <w:ind w:left="113" w:right="113"/>
              <w:jc w:val="center"/>
              <w:rPr>
                <w:sz w:val="18"/>
                <w:szCs w:val="18"/>
              </w:rPr>
            </w:pPr>
            <w:r w:rsidRPr="00132EB9">
              <w:rPr>
                <w:sz w:val="18"/>
                <w:szCs w:val="18"/>
              </w:rPr>
              <w:t>R0047</w:t>
            </w:r>
          </w:p>
        </w:tc>
        <w:tc>
          <w:tcPr>
            <w:tcW w:w="1134" w:type="dxa"/>
            <w:shd w:val="clear" w:color="auto" w:fill="auto"/>
            <w:vAlign w:val="center"/>
          </w:tcPr>
          <w:p w14:paraId="20309FE4" w14:textId="77777777" w:rsidR="00E10737" w:rsidRPr="00132EB9" w:rsidRDefault="00E10737" w:rsidP="004179DE">
            <w:pPr>
              <w:ind w:left="0"/>
              <w:rPr>
                <w:sz w:val="18"/>
                <w:szCs w:val="18"/>
              </w:rPr>
            </w:pPr>
            <w:r w:rsidRPr="00132EB9">
              <w:rPr>
                <w:sz w:val="18"/>
                <w:szCs w:val="18"/>
              </w:rPr>
              <w:t>Podiel podnikov s inovačnou činnosťou v Bratislavskom kraji</w:t>
            </w:r>
          </w:p>
        </w:tc>
        <w:tc>
          <w:tcPr>
            <w:tcW w:w="992" w:type="dxa"/>
            <w:shd w:val="clear" w:color="auto" w:fill="auto"/>
            <w:vAlign w:val="center"/>
          </w:tcPr>
          <w:p w14:paraId="0472BFE1" w14:textId="77777777" w:rsidR="00E10737" w:rsidRPr="00E661DF" w:rsidRDefault="00E10737" w:rsidP="004179DE">
            <w:pPr>
              <w:ind w:left="0"/>
              <w:jc w:val="center"/>
              <w:rPr>
                <w:i/>
                <w:sz w:val="18"/>
                <w:szCs w:val="18"/>
              </w:rPr>
            </w:pPr>
            <w:r w:rsidRPr="00E661DF">
              <w:rPr>
                <w:i/>
                <w:sz w:val="18"/>
                <w:szCs w:val="18"/>
              </w:rPr>
              <w:t>%</w:t>
            </w:r>
          </w:p>
        </w:tc>
        <w:tc>
          <w:tcPr>
            <w:tcW w:w="1223" w:type="dxa"/>
            <w:shd w:val="clear" w:color="auto" w:fill="auto"/>
            <w:vAlign w:val="center"/>
          </w:tcPr>
          <w:p w14:paraId="4137CA3E" w14:textId="77777777" w:rsidR="00E10737" w:rsidRPr="00E661DF" w:rsidRDefault="00E10737" w:rsidP="004179DE">
            <w:pPr>
              <w:ind w:left="0"/>
              <w:jc w:val="center"/>
              <w:rPr>
                <w:i/>
                <w:sz w:val="18"/>
                <w:szCs w:val="18"/>
              </w:rPr>
            </w:pPr>
            <w:r w:rsidRPr="00E661DF">
              <w:rPr>
                <w:i/>
                <w:sz w:val="18"/>
                <w:szCs w:val="18"/>
              </w:rPr>
              <w:t>Rozvinutejší región</w:t>
            </w:r>
          </w:p>
        </w:tc>
        <w:tc>
          <w:tcPr>
            <w:tcW w:w="1297" w:type="dxa"/>
            <w:vAlign w:val="center"/>
          </w:tcPr>
          <w:p w14:paraId="14568C82" w14:textId="77777777" w:rsidR="00E10737" w:rsidRPr="00E661DF" w:rsidRDefault="00E10737" w:rsidP="004179DE">
            <w:pPr>
              <w:ind w:left="0"/>
              <w:jc w:val="center"/>
              <w:rPr>
                <w:i/>
                <w:sz w:val="18"/>
                <w:szCs w:val="18"/>
              </w:rPr>
            </w:pPr>
            <w:r w:rsidRPr="00E661DF">
              <w:rPr>
                <w:i/>
                <w:sz w:val="18"/>
                <w:szCs w:val="18"/>
              </w:rPr>
              <w:t>40,83</w:t>
            </w:r>
          </w:p>
        </w:tc>
        <w:tc>
          <w:tcPr>
            <w:tcW w:w="1297" w:type="dxa"/>
            <w:vAlign w:val="center"/>
          </w:tcPr>
          <w:p w14:paraId="575924DA" w14:textId="77777777" w:rsidR="00E10737" w:rsidRPr="00E661DF" w:rsidRDefault="00E10737" w:rsidP="004179DE">
            <w:pPr>
              <w:ind w:left="0"/>
              <w:jc w:val="center"/>
              <w:rPr>
                <w:i/>
                <w:sz w:val="18"/>
                <w:szCs w:val="18"/>
              </w:rPr>
            </w:pPr>
            <w:r w:rsidRPr="00E661DF">
              <w:rPr>
                <w:i/>
                <w:sz w:val="18"/>
                <w:szCs w:val="18"/>
              </w:rPr>
              <w:t>2010</w:t>
            </w:r>
          </w:p>
        </w:tc>
        <w:tc>
          <w:tcPr>
            <w:tcW w:w="865" w:type="dxa"/>
            <w:shd w:val="clear" w:color="auto" w:fill="auto"/>
            <w:vAlign w:val="center"/>
          </w:tcPr>
          <w:p w14:paraId="11E79FEE" w14:textId="77777777" w:rsidR="00E10737" w:rsidRPr="00E661DF" w:rsidRDefault="00E10737" w:rsidP="004179DE">
            <w:pPr>
              <w:ind w:left="0"/>
              <w:jc w:val="center"/>
              <w:rPr>
                <w:i/>
                <w:sz w:val="18"/>
                <w:szCs w:val="18"/>
              </w:rPr>
            </w:pPr>
            <w:r w:rsidRPr="00E661DF">
              <w:rPr>
                <w:i/>
                <w:sz w:val="18"/>
                <w:szCs w:val="18"/>
              </w:rPr>
              <w:t>50</w:t>
            </w:r>
          </w:p>
        </w:tc>
        <w:tc>
          <w:tcPr>
            <w:tcW w:w="759" w:type="dxa"/>
            <w:vAlign w:val="center"/>
          </w:tcPr>
          <w:p w14:paraId="7DEF340A" w14:textId="77777777" w:rsidR="00E10737" w:rsidRPr="00E661DF" w:rsidRDefault="00E10737" w:rsidP="004179DE">
            <w:pPr>
              <w:ind w:left="0"/>
              <w:jc w:val="center"/>
              <w:rPr>
                <w:i/>
                <w:sz w:val="18"/>
                <w:szCs w:val="18"/>
              </w:rPr>
            </w:pPr>
            <w:r w:rsidRPr="00E661DF">
              <w:rPr>
                <w:i/>
                <w:sz w:val="18"/>
                <w:szCs w:val="18"/>
              </w:rPr>
              <w:t>ŠÚ SR</w:t>
            </w:r>
          </w:p>
        </w:tc>
        <w:tc>
          <w:tcPr>
            <w:tcW w:w="1186" w:type="dxa"/>
            <w:vAlign w:val="center"/>
          </w:tcPr>
          <w:p w14:paraId="5CAC67E1" w14:textId="77777777" w:rsidR="00E10737" w:rsidRPr="00E661DF" w:rsidRDefault="00E10737" w:rsidP="004179DE">
            <w:pPr>
              <w:ind w:left="0"/>
              <w:jc w:val="center"/>
              <w:rPr>
                <w:i/>
                <w:sz w:val="18"/>
                <w:szCs w:val="18"/>
              </w:rPr>
            </w:pPr>
            <w:r w:rsidRPr="00E661DF">
              <w:rPr>
                <w:i/>
                <w:sz w:val="18"/>
                <w:szCs w:val="18"/>
              </w:rPr>
              <w:t>2016</w:t>
            </w:r>
          </w:p>
          <w:p w14:paraId="5D1A1381" w14:textId="77777777" w:rsidR="00E10737" w:rsidRPr="00E661DF" w:rsidRDefault="00E10737" w:rsidP="004179DE">
            <w:pPr>
              <w:ind w:left="0"/>
              <w:jc w:val="center"/>
              <w:rPr>
                <w:i/>
                <w:sz w:val="18"/>
                <w:szCs w:val="18"/>
              </w:rPr>
            </w:pPr>
            <w:r w:rsidRPr="00E661DF">
              <w:rPr>
                <w:i/>
                <w:sz w:val="18"/>
                <w:szCs w:val="18"/>
              </w:rPr>
              <w:t>2018</w:t>
            </w:r>
          </w:p>
          <w:p w14:paraId="4C6B23DD" w14:textId="77777777" w:rsidR="00E10737" w:rsidRPr="00E661DF" w:rsidRDefault="00E10737" w:rsidP="004179DE">
            <w:pPr>
              <w:ind w:left="0"/>
              <w:jc w:val="center"/>
              <w:rPr>
                <w:i/>
                <w:sz w:val="18"/>
                <w:szCs w:val="18"/>
              </w:rPr>
            </w:pPr>
            <w:r w:rsidRPr="00E661DF">
              <w:rPr>
                <w:i/>
                <w:sz w:val="18"/>
                <w:szCs w:val="18"/>
              </w:rPr>
              <w:t>2020</w:t>
            </w:r>
          </w:p>
          <w:p w14:paraId="454BB39F" w14:textId="77777777" w:rsidR="00E10737" w:rsidRPr="00E661DF" w:rsidRDefault="00E10737" w:rsidP="004179DE">
            <w:pPr>
              <w:ind w:left="0"/>
              <w:jc w:val="center"/>
              <w:rPr>
                <w:i/>
                <w:sz w:val="18"/>
                <w:szCs w:val="18"/>
              </w:rPr>
            </w:pPr>
            <w:r w:rsidRPr="00E661DF">
              <w:rPr>
                <w:i/>
                <w:sz w:val="18"/>
                <w:szCs w:val="18"/>
              </w:rPr>
              <w:t>2023</w:t>
            </w:r>
          </w:p>
        </w:tc>
      </w:tr>
    </w:tbl>
    <w:p w14:paraId="3FEC7E70" w14:textId="77777777" w:rsidR="00E10737" w:rsidRPr="00151195" w:rsidRDefault="00E10737" w:rsidP="00E10737">
      <w:pPr>
        <w:pStyle w:val="tl3"/>
        <w:tabs>
          <w:tab w:val="clear" w:pos="709"/>
          <w:tab w:val="clear" w:pos="864"/>
        </w:tabs>
        <w:ind w:left="851" w:hanging="851"/>
      </w:pPr>
      <w:r w:rsidRPr="00151195">
        <w:t>Opis typu a príklady aktivít</w:t>
      </w:r>
    </w:p>
    <w:p w14:paraId="6EBB7363" w14:textId="0438677F" w:rsidR="00E10737" w:rsidRPr="00B34953" w:rsidRDefault="00E10737" w:rsidP="00E10737">
      <w:pPr>
        <w:jc w:val="both"/>
        <w:rPr>
          <w:i/>
          <w:sz w:val="22"/>
          <w:szCs w:val="22"/>
        </w:rPr>
      </w:pPr>
      <w:r w:rsidRPr="00132EB9">
        <w:rPr>
          <w:i/>
          <w:sz w:val="22"/>
          <w:szCs w:val="22"/>
          <w:u w:val="single"/>
        </w:rPr>
        <w:t>Príklady aktivít špecifického cieľa 10.2</w:t>
      </w:r>
      <w:r w:rsidRPr="00B34953">
        <w:rPr>
          <w:i/>
          <w:sz w:val="22"/>
          <w:szCs w:val="22"/>
        </w:rPr>
        <w:t>:</w:t>
      </w:r>
    </w:p>
    <w:p w14:paraId="2846A1F7" w14:textId="77777777" w:rsidR="00E10737" w:rsidRDefault="00E10737" w:rsidP="00726573">
      <w:pPr>
        <w:spacing w:before="120"/>
        <w:jc w:val="both"/>
        <w:rPr>
          <w:sz w:val="22"/>
          <w:szCs w:val="22"/>
        </w:rPr>
      </w:pPr>
      <w:r w:rsidRPr="00E21579">
        <w:rPr>
          <w:sz w:val="22"/>
          <w:szCs w:val="22"/>
        </w:rPr>
        <w:t>Podpora výskumu a vývoja v rámci individuálnych priemyselných VaV centier (priemyselný subjekt priamy príjemca príspevku) v doménach inteligentnej špecializácie RIS3 SK v</w:t>
      </w:r>
      <w:r>
        <w:rPr>
          <w:sz w:val="22"/>
          <w:szCs w:val="22"/>
        </w:rPr>
        <w:t> </w:t>
      </w:r>
      <w:r w:rsidRPr="00E21579">
        <w:rPr>
          <w:sz w:val="22"/>
          <w:szCs w:val="22"/>
        </w:rPr>
        <w:t>BSK</w:t>
      </w:r>
    </w:p>
    <w:p w14:paraId="38C04417" w14:textId="77777777" w:rsidR="00E10737" w:rsidRDefault="00E10737" w:rsidP="00E10737">
      <w:pPr>
        <w:jc w:val="both"/>
        <w:rPr>
          <w:sz w:val="22"/>
          <w:szCs w:val="22"/>
        </w:rPr>
      </w:pPr>
    </w:p>
    <w:p w14:paraId="43010B82" w14:textId="77777777" w:rsidR="00E10737" w:rsidRPr="00E21579" w:rsidRDefault="00E10737" w:rsidP="00E10737">
      <w:pPr>
        <w:jc w:val="both"/>
        <w:rPr>
          <w:sz w:val="22"/>
          <w:szCs w:val="22"/>
        </w:rPr>
      </w:pPr>
      <w:r w:rsidRPr="00E21579">
        <w:rPr>
          <w:sz w:val="22"/>
          <w:szCs w:val="22"/>
        </w:rPr>
        <w:t>Pôjde o podporu vybraných priemyselných VaV centier, ktoré majú medzinárodný rozmer a potenciál dosahovať prelomové unikátne výsledky medzinárodnej úrovne. Koordinátorom a zriaďovateľom výskumného centra bude podnik, ktorý sám disponuje výskumnými a/alebo vývojovými kapacitami, má medzinárodné skúsenosti s projektmi rámcových programov EÚ pre výskum a vývoj, pričom ako jeho partneri budú subjekty z podnikateľského sektora ako aj excelentné výskumné inštitúcie nevykonávajúce hospodársku činnosť (univerzity, SAV, rezortné výskumné inštitúcie, neziskové organizácie VaV s relevantnými skúsenosťami z výskumných aktivít a projektov). Pôjde o podporou druhej etapy rozvoja už podporených výskumných centier v rokoch 2007 – 2013 (v prípade, že sa ukázali ako životaschopné s kvalitnými výsledkami), alebo nových výskumných centier.</w:t>
      </w:r>
    </w:p>
    <w:p w14:paraId="1A235C4F" w14:textId="77777777" w:rsidR="00E10737" w:rsidRPr="00E21579" w:rsidRDefault="00E10737" w:rsidP="00351D17">
      <w:pPr>
        <w:spacing w:before="120"/>
        <w:jc w:val="both"/>
        <w:rPr>
          <w:sz w:val="22"/>
          <w:szCs w:val="22"/>
        </w:rPr>
      </w:pPr>
      <w:r w:rsidRPr="00E21579">
        <w:rPr>
          <w:sz w:val="22"/>
          <w:szCs w:val="22"/>
        </w:rPr>
        <w:t>V rámci takýchto výskumných centier bude podporovaná celá škála činnosti pokrývajúca excelentný výskum a experimentálny vývoj. Podporené budú aj aktivity pred-komerčnej povahy (pre-competitive) – výskum s vyšším rizikom, ale súčasne s vysokým následným potenciálom na dosiahnutie unikátnych výsledkov.</w:t>
      </w:r>
    </w:p>
    <w:p w14:paraId="5999139F" w14:textId="3F1D394A" w:rsidR="00E10737" w:rsidRDefault="00E10737" w:rsidP="00351D17">
      <w:pPr>
        <w:spacing w:before="120"/>
        <w:jc w:val="both"/>
        <w:rPr>
          <w:sz w:val="22"/>
          <w:szCs w:val="22"/>
        </w:rPr>
      </w:pPr>
      <w:r w:rsidRPr="00E21579">
        <w:rPr>
          <w:sz w:val="22"/>
          <w:szCs w:val="22"/>
        </w:rPr>
        <w:t>Ide o schému kolaboratívneho výskumu, kde tému výskumu/vývoja určuje podnik, ako nositeľ výskumného centra. Výskumné centrum nie je samostatným právny</w:t>
      </w:r>
      <w:r w:rsidR="000669A1">
        <w:rPr>
          <w:sz w:val="22"/>
          <w:szCs w:val="22"/>
        </w:rPr>
        <w:t>m subjektom, ale je zriadené na </w:t>
      </w:r>
      <w:r w:rsidRPr="00E21579">
        <w:rPr>
          <w:sz w:val="22"/>
          <w:szCs w:val="22"/>
        </w:rPr>
        <w:t>základe partnerskej zmluvy účastníkov projektu. Cieľom z pohľadu VaV je vytvoriť konkrétne výsledky, následne využiteľné v praxi (prototyp/patentovateľné</w:t>
      </w:r>
      <w:r>
        <w:rPr>
          <w:sz w:val="22"/>
          <w:szCs w:val="22"/>
        </w:rPr>
        <w:t xml:space="preserve"> duševné vlastníctvo a pod.). V </w:t>
      </w:r>
      <w:r w:rsidRPr="00E21579">
        <w:rPr>
          <w:sz w:val="22"/>
          <w:szCs w:val="22"/>
        </w:rPr>
        <w:t xml:space="preserve">investičnej priorite </w:t>
      </w:r>
      <w:r w:rsidR="00B010A9">
        <w:rPr>
          <w:sz w:val="22"/>
          <w:szCs w:val="22"/>
        </w:rPr>
        <w:t>1b)</w:t>
      </w:r>
      <w:r w:rsidRPr="00E21579">
        <w:rPr>
          <w:sz w:val="22"/>
          <w:szCs w:val="22"/>
        </w:rPr>
        <w:t xml:space="preserve"> bude využitá aj schéma štátnej pomoci, resp. schémy štátnej pomoci, keďže vo väčšine plánovaných aktivít budú oprávnenými prijímateľmi, resp. oprávnenými partnermi aj subjekty, ktoré vykonávajú hospodársku činnosť.</w:t>
      </w:r>
    </w:p>
    <w:p w14:paraId="60929B31" w14:textId="77777777" w:rsidR="00E10737" w:rsidRDefault="00E10737" w:rsidP="00E10737">
      <w:pPr>
        <w:jc w:val="both"/>
        <w:rPr>
          <w:i/>
          <w:sz w:val="22"/>
          <w:szCs w:val="22"/>
        </w:rPr>
      </w:pPr>
    </w:p>
    <w:p w14:paraId="73589E3C" w14:textId="459CF733" w:rsidR="00E10737" w:rsidRPr="00CF79E0" w:rsidRDefault="00E10737" w:rsidP="00E10737">
      <w:pPr>
        <w:jc w:val="both"/>
        <w:rPr>
          <w:i/>
          <w:sz w:val="22"/>
          <w:szCs w:val="22"/>
        </w:rPr>
      </w:pPr>
      <w:r w:rsidRPr="00132EB9">
        <w:rPr>
          <w:i/>
          <w:sz w:val="22"/>
          <w:szCs w:val="22"/>
          <w:u w:val="single"/>
        </w:rPr>
        <w:t xml:space="preserve">Príklady aktivít pre špecifický cieľ </w:t>
      </w:r>
      <w:r w:rsidR="007D4D8F" w:rsidRPr="00132EB9">
        <w:rPr>
          <w:i/>
          <w:sz w:val="22"/>
          <w:szCs w:val="22"/>
          <w:u w:val="single"/>
        </w:rPr>
        <w:t>10</w:t>
      </w:r>
      <w:r w:rsidRPr="00132EB9">
        <w:rPr>
          <w:i/>
          <w:sz w:val="22"/>
          <w:szCs w:val="22"/>
          <w:u w:val="single"/>
        </w:rPr>
        <w:t>.</w:t>
      </w:r>
      <w:r w:rsidR="00CD255D" w:rsidRPr="00132EB9">
        <w:rPr>
          <w:i/>
          <w:sz w:val="22"/>
          <w:szCs w:val="22"/>
          <w:u w:val="single"/>
        </w:rPr>
        <w:t>3</w:t>
      </w:r>
      <w:r w:rsidR="00132EB9">
        <w:rPr>
          <w:i/>
          <w:sz w:val="22"/>
          <w:szCs w:val="22"/>
        </w:rPr>
        <w:t>:</w:t>
      </w:r>
    </w:p>
    <w:p w14:paraId="29BB522B" w14:textId="77777777" w:rsidR="00E10737" w:rsidRPr="006F2FF1" w:rsidRDefault="00E10737" w:rsidP="00132EB9">
      <w:pPr>
        <w:spacing w:before="120"/>
        <w:jc w:val="both"/>
        <w:rPr>
          <w:sz w:val="22"/>
          <w:szCs w:val="22"/>
        </w:rPr>
      </w:pPr>
      <w:r w:rsidRPr="006F2FF1">
        <w:rPr>
          <w:sz w:val="22"/>
          <w:szCs w:val="22"/>
        </w:rPr>
        <w:t>Podpora zvyšovania inovačného potenciálu podnikov v rámci BSK.</w:t>
      </w:r>
    </w:p>
    <w:p w14:paraId="124C0488" w14:textId="46CF2BFD" w:rsidR="00E10737" w:rsidRDefault="00E10737" w:rsidP="00E10737">
      <w:pPr>
        <w:jc w:val="both"/>
        <w:rPr>
          <w:sz w:val="22"/>
          <w:szCs w:val="22"/>
        </w:rPr>
      </w:pPr>
      <w:r w:rsidRPr="006F2FF1">
        <w:rPr>
          <w:sz w:val="22"/>
          <w:szCs w:val="22"/>
        </w:rPr>
        <w:t>Cieľom aktivity je podpora vzniku nových a akcelerácia rozvoja existu</w:t>
      </w:r>
      <w:r>
        <w:rPr>
          <w:sz w:val="22"/>
          <w:szCs w:val="22"/>
        </w:rPr>
        <w:t>júcich VaI kapacít a činností v </w:t>
      </w:r>
      <w:r w:rsidRPr="006F2FF1">
        <w:rPr>
          <w:sz w:val="22"/>
          <w:szCs w:val="22"/>
        </w:rPr>
        <w:t>podnikoch (vrátané združení podnikov) v BSK s cieľom zvýšenia zapojenia lokálnych podnikateľských subjektov do globálnych hodnotových reťazcov. Podporené bude zvyšovanie inovačnej výkonnosti podnikov, intenzity priemyselného výsk</w:t>
      </w:r>
      <w:r>
        <w:rPr>
          <w:sz w:val="22"/>
          <w:szCs w:val="22"/>
        </w:rPr>
        <w:t>umu a experimentálneho vývoja a </w:t>
      </w:r>
      <w:r w:rsidRPr="006F2FF1">
        <w:rPr>
          <w:sz w:val="22"/>
          <w:szCs w:val="22"/>
        </w:rPr>
        <w:t>inovácií a využitia získaných výsledkov, ako aj zvýšenie intenzity spolupráce medzi podnikateľskými subjektmi a VaV organizáciami (napr. prostredníctvom inovačných voucherov). Aktivita zároveň podporí sieťovanie podnikateľských subjektov s inovačným potenciálom prostredníctvom cielenej podpory, najmä klastrovej spolupráce a rozvoja klastrových organizácií, pre realizáciu spoločných, VaV a rozvojových projektov so zámerom zvyšovať konkurencieschopnosť podnikov. Aktivita bude realizovaná formou schém pomoci a finančných nástrojov</w:t>
      </w:r>
      <w:r w:rsidR="00092A2B">
        <w:rPr>
          <w:rStyle w:val="Odkaznapoznmkupodiarou"/>
          <w:sz w:val="22"/>
          <w:szCs w:val="22"/>
        </w:rPr>
        <w:footnoteReference w:id="90"/>
      </w:r>
      <w:r w:rsidRPr="006F2FF1">
        <w:rPr>
          <w:sz w:val="22"/>
          <w:szCs w:val="22"/>
        </w:rPr>
        <w:t>.</w:t>
      </w:r>
    </w:p>
    <w:p w14:paraId="09567EC5" w14:textId="77777777" w:rsidR="00E10737" w:rsidRDefault="00E10737" w:rsidP="00E10737">
      <w:pPr>
        <w:jc w:val="both"/>
        <w:rPr>
          <w:sz w:val="22"/>
          <w:szCs w:val="22"/>
        </w:rPr>
      </w:pPr>
    </w:p>
    <w:p w14:paraId="564A093B" w14:textId="77777777" w:rsidR="00E10737" w:rsidRPr="006F2FF1" w:rsidRDefault="00E10737" w:rsidP="00E10737">
      <w:pPr>
        <w:jc w:val="both"/>
        <w:rPr>
          <w:sz w:val="22"/>
          <w:szCs w:val="22"/>
        </w:rPr>
      </w:pPr>
      <w:r w:rsidRPr="006F2FF1">
        <w:rPr>
          <w:sz w:val="22"/>
          <w:szCs w:val="22"/>
        </w:rPr>
        <w:t>Podpora medzisektorových partnerstiev a spolupráce podnikov.</w:t>
      </w:r>
    </w:p>
    <w:p w14:paraId="71510914" w14:textId="77777777" w:rsidR="00E10737" w:rsidRDefault="00E10737" w:rsidP="00E10737">
      <w:pPr>
        <w:jc w:val="both"/>
        <w:rPr>
          <w:sz w:val="22"/>
          <w:szCs w:val="22"/>
        </w:rPr>
      </w:pPr>
      <w:r w:rsidRPr="006F2FF1">
        <w:rPr>
          <w:sz w:val="22"/>
          <w:szCs w:val="22"/>
        </w:rPr>
        <w:t>Podporená bude medzisektorová výmena znalostí a ľudských zdrojov, najmä medzi podnikateľským sektorom, vzdelávacími inštitúciami a VaV organizáciami. V rámci aktivity budú realizované napr. aj konferencie, workshopy, matchmaking roadshows, výstavy, dis</w:t>
      </w:r>
      <w:r>
        <w:rPr>
          <w:sz w:val="22"/>
          <w:szCs w:val="22"/>
        </w:rPr>
        <w:t>kusné fóra, B2B, B2C, veľtrhy a </w:t>
      </w:r>
      <w:r w:rsidRPr="006F2FF1">
        <w:rPr>
          <w:sz w:val="22"/>
          <w:szCs w:val="22"/>
        </w:rPr>
        <w:t>súťaže. Budú podporované cielené mobility aktérov VVaI procesov, zamerané na zvyšovanie odborných vedomostí, technických zručností a kreativity, s cieľom zlepšiť prenos poznatkov medzi oblasťou výskumu a praxou, vrátane zohľadnenia dobrej praxe zo zahraničia. Medzisektorové partnerstvá budú podporované v rámci oprávnených teritórií EU, na</w:t>
      </w:r>
      <w:r>
        <w:rPr>
          <w:sz w:val="22"/>
          <w:szCs w:val="22"/>
        </w:rPr>
        <w:t>pr. podporou pobytov expertov z </w:t>
      </w:r>
      <w:r w:rsidRPr="006F2FF1">
        <w:rPr>
          <w:sz w:val="22"/>
          <w:szCs w:val="22"/>
        </w:rPr>
        <w:t>praxe v renomovaných zahraničných organizáciách. Aktivita bude realizovaná formou národného projektu a schém pomoci.</w:t>
      </w:r>
    </w:p>
    <w:p w14:paraId="4CD62CA4" w14:textId="77777777" w:rsidR="00E10737" w:rsidRDefault="00E10737" w:rsidP="00E10737">
      <w:pPr>
        <w:jc w:val="both"/>
        <w:rPr>
          <w:sz w:val="22"/>
          <w:szCs w:val="22"/>
        </w:rPr>
      </w:pPr>
    </w:p>
    <w:p w14:paraId="4F7B6A77" w14:textId="77777777" w:rsidR="00E10737" w:rsidRPr="006F2FF1" w:rsidRDefault="00E10737" w:rsidP="00E10737">
      <w:pPr>
        <w:jc w:val="both"/>
        <w:rPr>
          <w:sz w:val="22"/>
          <w:szCs w:val="22"/>
        </w:rPr>
      </w:pPr>
      <w:r w:rsidRPr="006F2FF1">
        <w:rPr>
          <w:sz w:val="22"/>
          <w:szCs w:val="22"/>
        </w:rPr>
        <w:t>Podpora aktivít zameraných na ochranu práv duševného vlastníctva.</w:t>
      </w:r>
    </w:p>
    <w:p w14:paraId="4CB03DBB" w14:textId="77777777" w:rsidR="00E10737" w:rsidRDefault="00E10737" w:rsidP="00E10737">
      <w:pPr>
        <w:jc w:val="both"/>
        <w:rPr>
          <w:sz w:val="22"/>
          <w:szCs w:val="22"/>
        </w:rPr>
      </w:pPr>
      <w:r w:rsidRPr="006F2FF1">
        <w:rPr>
          <w:sz w:val="22"/>
          <w:szCs w:val="22"/>
        </w:rPr>
        <w:t>Podpora bude smerovaná k zvýšeniu povedomia v oblasti ochra</w:t>
      </w:r>
      <w:r>
        <w:rPr>
          <w:sz w:val="22"/>
          <w:szCs w:val="22"/>
        </w:rPr>
        <w:t>ny práv duševného vlastníctva a </w:t>
      </w:r>
      <w:r w:rsidRPr="006F2FF1">
        <w:rPr>
          <w:sz w:val="22"/>
          <w:szCs w:val="22"/>
        </w:rPr>
        <w:t>podpore súkromného sektora pri jeho využívaní a komercializácii. Ochrana práv duševného vlastníctva, v prípade výsledkov tvorivej činnosti, VVaI aktivít nie je dostatočne využívaná. Z tohto dôvodu budú vytvorené mechanizmy zvyšovania celkového povedomia spoločnosti o potrebe ochrany práv duševného vlastníctva, ako aj priame mechanizmy ochrany v rámci EPO. Aktivity budú zamerané, okrem zvyšovania povedomia a zintenzívnenia znalostí pri ochrane práv duševného vlastníctva, aj na celkové zvyšovanie a realizáciu ochrany práv duševného vlastníctva na strane podnikateľov (napr. informačné dni, semináre, poradenstvo, kampane, tréningy, školenia). Aktivita počíta s osobitným zapojením technologickej agentúry, Úradu priemyselného vlastníctva a Slovak Business Agency. Podporovaná bude aj komercializácia výsledkov priemyselného výskumu, experimentálneho vývoja a inovačných aktivít, čo pozitívne ovplyvní zvýšenie konkurencieschopnosti podnikov na domácich a medzinárodných trhoch. Aktivita bude realizovaná formou národného projektu a schém pomoci.</w:t>
      </w:r>
    </w:p>
    <w:p w14:paraId="203D1B5B" w14:textId="77777777" w:rsidR="00E10737" w:rsidRDefault="00E10737" w:rsidP="00E10737">
      <w:pPr>
        <w:jc w:val="both"/>
        <w:rPr>
          <w:sz w:val="22"/>
          <w:szCs w:val="22"/>
        </w:rPr>
      </w:pPr>
    </w:p>
    <w:p w14:paraId="634F4587" w14:textId="77777777" w:rsidR="00E10737" w:rsidRPr="006F2FF1" w:rsidRDefault="00E10737" w:rsidP="00E10737">
      <w:pPr>
        <w:jc w:val="both"/>
        <w:rPr>
          <w:sz w:val="22"/>
          <w:szCs w:val="22"/>
        </w:rPr>
      </w:pPr>
      <w:r w:rsidRPr="006F2FF1">
        <w:rPr>
          <w:sz w:val="22"/>
          <w:szCs w:val="22"/>
        </w:rPr>
        <w:t>Podpora zvyšovania inovačnej výkonnosti podnikateľských subjektov BSK poskytovaním špecializovaných služieb a</w:t>
      </w:r>
      <w:r>
        <w:rPr>
          <w:sz w:val="22"/>
          <w:szCs w:val="22"/>
        </w:rPr>
        <w:t xml:space="preserve"> </w:t>
      </w:r>
      <w:r w:rsidRPr="006F2FF1">
        <w:rPr>
          <w:sz w:val="22"/>
          <w:szCs w:val="22"/>
        </w:rPr>
        <w:t>poradenstva.</w:t>
      </w:r>
    </w:p>
    <w:p w14:paraId="732B3337" w14:textId="27508DD8" w:rsidR="00E10737" w:rsidRDefault="00E10737" w:rsidP="00E10737">
      <w:pPr>
        <w:jc w:val="both"/>
        <w:rPr>
          <w:sz w:val="22"/>
          <w:szCs w:val="22"/>
        </w:rPr>
      </w:pPr>
      <w:r w:rsidRPr="006F2FF1">
        <w:rPr>
          <w:sz w:val="22"/>
          <w:szCs w:val="22"/>
        </w:rPr>
        <w:t>Pre zlepšenie súčasného stavu a zabezpečenie poskytovania ci</w:t>
      </w:r>
      <w:r>
        <w:rPr>
          <w:sz w:val="22"/>
          <w:szCs w:val="22"/>
        </w:rPr>
        <w:t>eleného odborného poradenstva v </w:t>
      </w:r>
      <w:r w:rsidRPr="006F2FF1">
        <w:rPr>
          <w:sz w:val="22"/>
          <w:szCs w:val="22"/>
        </w:rPr>
        <w:t xml:space="preserve">oblasti VVaI pre podniky bude zriadené odborné konzultačné </w:t>
      </w:r>
      <w:r>
        <w:rPr>
          <w:sz w:val="22"/>
          <w:szCs w:val="22"/>
        </w:rPr>
        <w:t>pracovisko SIEA s pôsobnosťou v </w:t>
      </w:r>
      <w:r w:rsidRPr="006F2FF1">
        <w:rPr>
          <w:sz w:val="22"/>
          <w:szCs w:val="22"/>
        </w:rPr>
        <w:t>BSK. Kvalifikovaní odborníci budú poskytovať informácie a inovačné a technologické poradenstvo podnikom k technologickému transferu, podpore VaI, aktívnemu vyhľadávaniu partnerov, možnosti zapájania sa do medzinárodných sietí a organizácií. Budú poskytovať odborné a prognostické štúdie, technologické predvídanie, špecializované poradenstvo v ob</w:t>
      </w:r>
      <w:r>
        <w:rPr>
          <w:sz w:val="22"/>
          <w:szCs w:val="22"/>
        </w:rPr>
        <w:t>lasti technologického rozvoja a </w:t>
      </w:r>
      <w:r w:rsidRPr="006F2FF1">
        <w:rPr>
          <w:sz w:val="22"/>
          <w:szCs w:val="22"/>
        </w:rPr>
        <w:t>zvyšovania inovačnej výkonnosti a pod. Nové pracovisko bude slúžiť aj ako kontaktný bod pre podporu zapájania</w:t>
      </w:r>
      <w:r>
        <w:rPr>
          <w:sz w:val="22"/>
          <w:szCs w:val="22"/>
        </w:rPr>
        <w:t xml:space="preserve"> </w:t>
      </w:r>
      <w:r w:rsidRPr="006F2FF1">
        <w:rPr>
          <w:sz w:val="22"/>
          <w:szCs w:val="22"/>
        </w:rPr>
        <w:t xml:space="preserve">podnikateľských subjektov do medzinárodných aktivít s cieľom podporiť implementáciu stratégie Európa 2020 a Stratégie EÚ pre dunajský región. Cielene bude zvyšované inovačné povedomie podnikov aj v rámci BSK a ich uvedomenie si dôležitosti inovačných aktivít </w:t>
      </w:r>
      <w:r w:rsidRPr="006F2FF1">
        <w:rPr>
          <w:sz w:val="22"/>
          <w:szCs w:val="22"/>
        </w:rPr>
        <w:lastRenderedPageBreak/>
        <w:t>prostredníctvom realizácie prezentačných a propagačných aktivít (Národné inovačné a technologické dni, mediálne kampane, súťaže, diskusné fóra). Pracovisko bude z</w:t>
      </w:r>
      <w:r w:rsidR="0083273F">
        <w:rPr>
          <w:sz w:val="22"/>
          <w:szCs w:val="22"/>
        </w:rPr>
        <w:t>ároveň základnou platformou pre </w:t>
      </w:r>
      <w:r w:rsidRPr="006F2FF1">
        <w:rPr>
          <w:sz w:val="22"/>
          <w:szCs w:val="22"/>
        </w:rPr>
        <w:t>realizáciu aj iných projektov SIEA ako technologickej agentúry. Aktivita bude realizovaná formou národného projektu a schém pomoci.</w:t>
      </w:r>
    </w:p>
    <w:p w14:paraId="5B58C9C1" w14:textId="77777777" w:rsidR="00E10737" w:rsidRDefault="00E10737" w:rsidP="00E10737">
      <w:pPr>
        <w:jc w:val="both"/>
        <w:rPr>
          <w:sz w:val="22"/>
          <w:szCs w:val="22"/>
        </w:rPr>
      </w:pPr>
    </w:p>
    <w:p w14:paraId="7840C5DB" w14:textId="685B4A9A" w:rsidR="00E10737" w:rsidRPr="00F229BB" w:rsidRDefault="00E10737" w:rsidP="00E10737">
      <w:pPr>
        <w:jc w:val="both"/>
        <w:rPr>
          <w:sz w:val="22"/>
          <w:szCs w:val="22"/>
        </w:rPr>
      </w:pPr>
      <w:r w:rsidRPr="00F229BB">
        <w:rPr>
          <w:sz w:val="22"/>
          <w:szCs w:val="22"/>
        </w:rPr>
        <w:t xml:space="preserve">Oprávnení prijímatelia, cieľové skupiny a cieľové územie v rámci investičnej priority </w:t>
      </w:r>
      <w:r w:rsidR="00B010A9">
        <w:rPr>
          <w:sz w:val="22"/>
          <w:szCs w:val="22"/>
        </w:rPr>
        <w:t>1b)</w:t>
      </w:r>
    </w:p>
    <w:p w14:paraId="67F34D1B" w14:textId="7F12CB49" w:rsidR="00E10737" w:rsidRPr="00F229BB" w:rsidRDefault="00E10737" w:rsidP="00E10737">
      <w:pPr>
        <w:jc w:val="both"/>
        <w:rPr>
          <w:szCs w:val="22"/>
        </w:rPr>
      </w:pPr>
      <w:r w:rsidRPr="00F229BB">
        <w:rPr>
          <w:sz w:val="22"/>
          <w:szCs w:val="22"/>
        </w:rPr>
        <w:t>-</w:t>
      </w:r>
      <w:r w:rsidRPr="00F229BB">
        <w:rPr>
          <w:sz w:val="22"/>
          <w:szCs w:val="22"/>
        </w:rPr>
        <w:tab/>
        <w:t xml:space="preserve">pre špecifický cieľ </w:t>
      </w:r>
      <w:r>
        <w:rPr>
          <w:sz w:val="22"/>
          <w:szCs w:val="22"/>
        </w:rPr>
        <w:t>10</w:t>
      </w:r>
      <w:r w:rsidRPr="00F229BB">
        <w:rPr>
          <w:sz w:val="22"/>
          <w:szCs w:val="22"/>
        </w:rPr>
        <w:t>.2:</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3135CABE" w14:textId="77777777" w:rsidTr="004179DE">
        <w:trPr>
          <w:trHeight w:val="284"/>
          <w:jc w:val="center"/>
        </w:trPr>
        <w:tc>
          <w:tcPr>
            <w:tcW w:w="3289" w:type="dxa"/>
            <w:shd w:val="clear" w:color="auto" w:fill="DBE5F1" w:themeFill="accent1" w:themeFillTint="33"/>
            <w:vAlign w:val="center"/>
          </w:tcPr>
          <w:p w14:paraId="7BE1EA09"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24DC4452" w14:textId="77777777" w:rsidR="00E10737" w:rsidRDefault="00E10737" w:rsidP="00E10737">
            <w:pPr>
              <w:pStyle w:val="Odsekzoznamu"/>
              <w:numPr>
                <w:ilvl w:val="0"/>
                <w:numId w:val="27"/>
              </w:numPr>
              <w:autoSpaceDE w:val="0"/>
              <w:autoSpaceDN w:val="0"/>
              <w:adjustRightInd w:val="0"/>
              <w:ind w:left="284" w:hanging="284"/>
              <w:rPr>
                <w:sz w:val="22"/>
                <w:szCs w:val="22"/>
              </w:rPr>
            </w:pPr>
            <w:r w:rsidRPr="006F2FF1">
              <w:rPr>
                <w:sz w:val="22"/>
                <w:szCs w:val="22"/>
              </w:rPr>
              <w:t>Podnikateľské subjekty, zahraničné organizácie VaV, zahraničné podnikateľské subjekty, samospráva, neziskový sektor</w:t>
            </w:r>
          </w:p>
        </w:tc>
      </w:tr>
      <w:tr w:rsidR="00E10737" w14:paraId="6B1D56F1" w14:textId="77777777" w:rsidTr="004179DE">
        <w:trPr>
          <w:trHeight w:val="284"/>
          <w:jc w:val="center"/>
        </w:trPr>
        <w:tc>
          <w:tcPr>
            <w:tcW w:w="3289" w:type="dxa"/>
            <w:shd w:val="clear" w:color="auto" w:fill="DBE5F1" w:themeFill="accent1" w:themeFillTint="33"/>
            <w:vAlign w:val="center"/>
          </w:tcPr>
          <w:p w14:paraId="77AFA367"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281C9217"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Rozvinutejší región</w:t>
            </w:r>
          </w:p>
        </w:tc>
      </w:tr>
      <w:tr w:rsidR="00E10737" w14:paraId="4E268BC0" w14:textId="77777777" w:rsidTr="004179DE">
        <w:trPr>
          <w:trHeight w:val="284"/>
          <w:jc w:val="center"/>
        </w:trPr>
        <w:tc>
          <w:tcPr>
            <w:tcW w:w="3289" w:type="dxa"/>
            <w:shd w:val="clear" w:color="auto" w:fill="DBE5F1" w:themeFill="accent1" w:themeFillTint="33"/>
            <w:vAlign w:val="center"/>
          </w:tcPr>
          <w:p w14:paraId="5F9D4C8B"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308E470A"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CVTI SR (v prípade národných projektov)</w:t>
            </w:r>
          </w:p>
          <w:p w14:paraId="5D481C9A"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327E3536"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2ECC165C" w14:textId="20944648"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bookmarkStart w:id="111" w:name="_Ref22307140"/>
            <w:r w:rsidR="0083273F">
              <w:rPr>
                <w:rStyle w:val="Odkaznapoznmkupodiarou"/>
                <w:sz w:val="22"/>
                <w:szCs w:val="22"/>
              </w:rPr>
              <w:footnoteReference w:id="91"/>
            </w:r>
            <w:bookmarkEnd w:id="111"/>
            <w:r>
              <w:rPr>
                <w:sz w:val="22"/>
                <w:szCs w:val="22"/>
              </w:rPr>
              <w:t>,</w:t>
            </w:r>
          </w:p>
          <w:p w14:paraId="668294AC"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3A8E6EBD"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053B23DA" w14:textId="77777777" w:rsidR="00E10737" w:rsidRDefault="00E10737" w:rsidP="004179DE">
            <w:pPr>
              <w:pStyle w:val="Odsekzoznamu"/>
              <w:autoSpaceDE w:val="0"/>
              <w:autoSpaceDN w:val="0"/>
              <w:adjustRightInd w:val="0"/>
              <w:ind w:left="290"/>
              <w:rPr>
                <w:sz w:val="22"/>
                <w:szCs w:val="22"/>
              </w:rPr>
            </w:pPr>
            <w:r>
              <w:rPr>
                <w:sz w:val="22"/>
                <w:szCs w:val="22"/>
              </w:rPr>
              <w:t>- podnikateľský sektor.</w:t>
            </w:r>
          </w:p>
          <w:p w14:paraId="48DB17D8" w14:textId="77777777" w:rsidR="00E10737"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p w14:paraId="182E9569" w14:textId="77777777" w:rsidR="00E10737" w:rsidRPr="00F74ECA"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Výskumné organizácie z členských krajín EÚ</w:t>
            </w:r>
          </w:p>
        </w:tc>
      </w:tr>
    </w:tbl>
    <w:p w14:paraId="37CC1DD7" w14:textId="77777777" w:rsidR="00E10737" w:rsidRPr="003D0898" w:rsidRDefault="00E10737" w:rsidP="00E10737">
      <w:pPr>
        <w:rPr>
          <w:sz w:val="22"/>
          <w:szCs w:val="22"/>
        </w:rPr>
      </w:pPr>
    </w:p>
    <w:p w14:paraId="2CA199D2" w14:textId="3E6D96FE" w:rsidR="00E10737" w:rsidRPr="00F229BB" w:rsidRDefault="00E10737" w:rsidP="00E10737">
      <w:pPr>
        <w:jc w:val="both"/>
        <w:rPr>
          <w:szCs w:val="22"/>
        </w:rPr>
      </w:pPr>
      <w:r w:rsidRPr="006F2FF1">
        <w:rPr>
          <w:sz w:val="22"/>
          <w:szCs w:val="22"/>
        </w:rPr>
        <w:t xml:space="preserve">V nadväznosti na pozitívne skúsenosti z programového obdobia 2007 – 2013 bude v rámci aktivít špecifického cieľa </w:t>
      </w:r>
      <w:r>
        <w:rPr>
          <w:sz w:val="22"/>
          <w:szCs w:val="22"/>
        </w:rPr>
        <w:t>10</w:t>
      </w:r>
      <w:r w:rsidRPr="006F2FF1">
        <w:rPr>
          <w:sz w:val="22"/>
          <w:szCs w:val="22"/>
        </w:rPr>
        <w:t>.2 uplatňovaný inštitút partnerstva – t. j. predpokladom po</w:t>
      </w:r>
      <w:r>
        <w:rPr>
          <w:sz w:val="22"/>
          <w:szCs w:val="22"/>
        </w:rPr>
        <w:t>dporenia projektu je </w:t>
      </w:r>
      <w:r w:rsidRPr="006F2FF1">
        <w:rPr>
          <w:sz w:val="22"/>
          <w:szCs w:val="22"/>
        </w:rPr>
        <w:t>vznik konzorcia výskumných inštitúcií, pričom každá z participujúcich inštitúcií v projekte má pridelené konkrétne úlohy aj finančné prostriedky.</w:t>
      </w:r>
    </w:p>
    <w:p w14:paraId="4E96E986" w14:textId="77777777" w:rsidR="00E10737" w:rsidRDefault="00E10737" w:rsidP="00E10737">
      <w:pPr>
        <w:jc w:val="both"/>
      </w:pPr>
    </w:p>
    <w:p w14:paraId="0E89AA86" w14:textId="13772927" w:rsidR="00E10737" w:rsidRPr="00F229BB" w:rsidRDefault="00E10737" w:rsidP="00E10737">
      <w:pPr>
        <w:jc w:val="both"/>
        <w:rPr>
          <w:sz w:val="22"/>
          <w:szCs w:val="22"/>
        </w:rPr>
      </w:pPr>
      <w:r w:rsidRPr="00F229BB">
        <w:rPr>
          <w:sz w:val="22"/>
          <w:szCs w:val="22"/>
        </w:rPr>
        <w:t>-</w:t>
      </w:r>
      <w:r w:rsidRPr="00F229BB">
        <w:rPr>
          <w:sz w:val="22"/>
          <w:szCs w:val="22"/>
        </w:rPr>
        <w:tab/>
        <w:t xml:space="preserve">pre špecifický cieľ </w:t>
      </w:r>
      <w:r>
        <w:rPr>
          <w:sz w:val="22"/>
          <w:szCs w:val="22"/>
        </w:rPr>
        <w:t>10</w:t>
      </w:r>
      <w:r w:rsidRPr="00F229BB">
        <w:rPr>
          <w:sz w:val="22"/>
          <w:szCs w:val="22"/>
        </w:rPr>
        <w:t>.</w:t>
      </w:r>
      <w:r w:rsidR="00CD255D">
        <w:rPr>
          <w:sz w:val="22"/>
          <w:szCs w:val="22"/>
        </w:rPr>
        <w:t>3</w:t>
      </w:r>
      <w:r w:rsidRPr="00F229BB">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61403372" w14:textId="77777777" w:rsidTr="004179DE">
        <w:trPr>
          <w:trHeight w:val="284"/>
          <w:jc w:val="center"/>
        </w:trPr>
        <w:tc>
          <w:tcPr>
            <w:tcW w:w="3289" w:type="dxa"/>
            <w:shd w:val="clear" w:color="auto" w:fill="DBE5F1" w:themeFill="accent1" w:themeFillTint="33"/>
            <w:vAlign w:val="center"/>
          </w:tcPr>
          <w:p w14:paraId="525F9F49"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396E8DBC" w14:textId="77777777" w:rsidR="00E10737" w:rsidRDefault="00E10737" w:rsidP="00E10737">
            <w:pPr>
              <w:pStyle w:val="Odsekzoznamu"/>
              <w:numPr>
                <w:ilvl w:val="0"/>
                <w:numId w:val="27"/>
              </w:numPr>
              <w:autoSpaceDE w:val="0"/>
              <w:autoSpaceDN w:val="0"/>
              <w:adjustRightInd w:val="0"/>
              <w:ind w:left="284" w:hanging="284"/>
              <w:rPr>
                <w:sz w:val="22"/>
                <w:szCs w:val="22"/>
              </w:rPr>
            </w:pPr>
            <w:r w:rsidRPr="0095611C">
              <w:rPr>
                <w:sz w:val="22"/>
                <w:szCs w:val="22"/>
              </w:rPr>
              <w:t>Podnikateľské subjekty, akademická sféra, vedecko-výskumné inštitúcie, samospráva, neziskový sektor</w:t>
            </w:r>
          </w:p>
        </w:tc>
      </w:tr>
      <w:tr w:rsidR="00E10737" w14:paraId="1919EFBB" w14:textId="77777777" w:rsidTr="004179DE">
        <w:trPr>
          <w:trHeight w:val="284"/>
          <w:jc w:val="center"/>
        </w:trPr>
        <w:tc>
          <w:tcPr>
            <w:tcW w:w="3289" w:type="dxa"/>
            <w:shd w:val="clear" w:color="auto" w:fill="DBE5F1" w:themeFill="accent1" w:themeFillTint="33"/>
            <w:vAlign w:val="center"/>
          </w:tcPr>
          <w:p w14:paraId="7702878F"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37176F69"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Rozvinutejší región</w:t>
            </w:r>
          </w:p>
        </w:tc>
      </w:tr>
      <w:tr w:rsidR="00E10737" w14:paraId="335AC753" w14:textId="77777777" w:rsidTr="004179DE">
        <w:trPr>
          <w:trHeight w:val="284"/>
          <w:jc w:val="center"/>
        </w:trPr>
        <w:tc>
          <w:tcPr>
            <w:tcW w:w="3289" w:type="dxa"/>
            <w:shd w:val="clear" w:color="auto" w:fill="DBE5F1" w:themeFill="accent1" w:themeFillTint="33"/>
            <w:vAlign w:val="center"/>
          </w:tcPr>
          <w:p w14:paraId="130E9195"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30F3C0E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Štátne rozpočtové organizácie alebo štátne príspevkové organizácie v pôsobnosti MH SR</w:t>
            </w:r>
            <w:r>
              <w:rPr>
                <w:sz w:val="22"/>
                <w:szCs w:val="22"/>
              </w:rPr>
              <w:t>,</w:t>
            </w:r>
          </w:p>
          <w:p w14:paraId="123BDAC6" w14:textId="4CA030B6"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Fyzické alebo právnické osoby oprávnené na podnikanie</w:t>
            </w:r>
            <w:r w:rsidR="00B010A9">
              <w:rPr>
                <w:rStyle w:val="Odkaznapoznmkupodiarou"/>
                <w:sz w:val="22"/>
                <w:szCs w:val="22"/>
              </w:rPr>
              <w:footnoteReference w:id="92"/>
            </w:r>
            <w:r w:rsidRPr="00446048">
              <w:rPr>
                <w:sz w:val="22"/>
                <w:szCs w:val="22"/>
              </w:rPr>
              <w:t>;</w:t>
            </w:r>
          </w:p>
          <w:p w14:paraId="1D449FA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446048">
              <w:rPr>
                <w:sz w:val="22"/>
                <w:szCs w:val="22"/>
              </w:rPr>
              <w:t>Združenia fyzických alebo právnických osôb;</w:t>
            </w:r>
          </w:p>
          <w:p w14:paraId="6CAD3BE1"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Neziskový sektor</w:t>
            </w:r>
          </w:p>
          <w:p w14:paraId="4CDF16C1"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Organizácie VaV:</w:t>
            </w:r>
          </w:p>
          <w:p w14:paraId="2578D93C" w14:textId="77777777" w:rsidR="00E10737" w:rsidRDefault="00E10737" w:rsidP="004179DE">
            <w:pPr>
              <w:pStyle w:val="Odsekzoznamu"/>
              <w:autoSpaceDE w:val="0"/>
              <w:autoSpaceDN w:val="0"/>
              <w:adjustRightInd w:val="0"/>
              <w:ind w:left="290"/>
              <w:rPr>
                <w:sz w:val="22"/>
                <w:szCs w:val="22"/>
              </w:rPr>
            </w:pPr>
            <w:r>
              <w:rPr>
                <w:sz w:val="22"/>
                <w:szCs w:val="22"/>
              </w:rPr>
              <w:t xml:space="preserve">- </w:t>
            </w:r>
            <w:r w:rsidRPr="00F74ECA">
              <w:rPr>
                <w:sz w:val="22"/>
                <w:szCs w:val="22"/>
              </w:rPr>
              <w:t>štátny sektor VaV,</w:t>
            </w:r>
          </w:p>
          <w:p w14:paraId="28329496" w14:textId="654863A0" w:rsidR="00E10737" w:rsidRDefault="00E10737" w:rsidP="004179DE">
            <w:pPr>
              <w:pStyle w:val="Odsekzoznamu"/>
              <w:autoSpaceDE w:val="0"/>
              <w:autoSpaceDN w:val="0"/>
              <w:adjustRightInd w:val="0"/>
              <w:ind w:left="290"/>
              <w:rPr>
                <w:sz w:val="22"/>
                <w:szCs w:val="22"/>
              </w:rPr>
            </w:pPr>
            <w:r>
              <w:rPr>
                <w:sz w:val="22"/>
                <w:szCs w:val="22"/>
              </w:rPr>
              <w:t>- sektor verejných výskumných inštitúcií</w:t>
            </w:r>
            <w:r w:rsidR="00132EB9" w:rsidRPr="00132EB9">
              <w:rPr>
                <w:sz w:val="22"/>
                <w:szCs w:val="22"/>
                <w:vertAlign w:val="superscript"/>
              </w:rPr>
              <w:t>122</w:t>
            </w:r>
            <w:r>
              <w:rPr>
                <w:sz w:val="22"/>
                <w:szCs w:val="22"/>
              </w:rPr>
              <w:t>,</w:t>
            </w:r>
          </w:p>
          <w:p w14:paraId="377B0467" w14:textId="77777777" w:rsidR="00E10737" w:rsidRDefault="00E10737" w:rsidP="004179DE">
            <w:pPr>
              <w:pStyle w:val="Odsekzoznamu"/>
              <w:autoSpaceDE w:val="0"/>
              <w:autoSpaceDN w:val="0"/>
              <w:adjustRightInd w:val="0"/>
              <w:ind w:left="290"/>
              <w:rPr>
                <w:sz w:val="22"/>
                <w:szCs w:val="22"/>
              </w:rPr>
            </w:pPr>
            <w:r>
              <w:rPr>
                <w:sz w:val="22"/>
                <w:szCs w:val="22"/>
              </w:rPr>
              <w:t>- sektor VŠ,</w:t>
            </w:r>
          </w:p>
          <w:p w14:paraId="0564A8F5" w14:textId="77777777" w:rsidR="00E10737" w:rsidRDefault="00E10737" w:rsidP="004179DE">
            <w:pPr>
              <w:pStyle w:val="Odsekzoznamu"/>
              <w:autoSpaceDE w:val="0"/>
              <w:autoSpaceDN w:val="0"/>
              <w:adjustRightInd w:val="0"/>
              <w:ind w:left="290"/>
              <w:rPr>
                <w:sz w:val="22"/>
                <w:szCs w:val="22"/>
              </w:rPr>
            </w:pPr>
            <w:r>
              <w:rPr>
                <w:sz w:val="22"/>
                <w:szCs w:val="22"/>
              </w:rPr>
              <w:t>- neziskový sektor VaV,</w:t>
            </w:r>
          </w:p>
          <w:p w14:paraId="01B261B3" w14:textId="77777777" w:rsidR="00E10737" w:rsidRPr="003D0898" w:rsidRDefault="00E10737" w:rsidP="00E10737">
            <w:pPr>
              <w:pStyle w:val="Odsekzoznamu"/>
              <w:numPr>
                <w:ilvl w:val="0"/>
                <w:numId w:val="27"/>
              </w:numPr>
              <w:autoSpaceDE w:val="0"/>
              <w:autoSpaceDN w:val="0"/>
              <w:adjustRightInd w:val="0"/>
              <w:ind w:left="284" w:hanging="284"/>
              <w:rPr>
                <w:sz w:val="22"/>
                <w:szCs w:val="22"/>
              </w:rPr>
            </w:pPr>
            <w:r w:rsidRPr="00F74ECA">
              <w:rPr>
                <w:sz w:val="22"/>
                <w:szCs w:val="22"/>
              </w:rPr>
              <w:t>Verejnoprávne inštitúcie zriadené zo zákona</w:t>
            </w:r>
          </w:p>
        </w:tc>
      </w:tr>
    </w:tbl>
    <w:p w14:paraId="3C9D96F1" w14:textId="77777777" w:rsidR="00E10737" w:rsidRDefault="00E10737" w:rsidP="00E10737">
      <w:pPr>
        <w:jc w:val="both"/>
      </w:pPr>
    </w:p>
    <w:p w14:paraId="04B47997" w14:textId="77777777" w:rsidR="00E10737" w:rsidRDefault="00E10737" w:rsidP="00E10737">
      <w:pPr>
        <w:pStyle w:val="Nadpis4"/>
        <w:tabs>
          <w:tab w:val="clear" w:pos="709"/>
          <w:tab w:val="clear" w:pos="864"/>
        </w:tabs>
        <w:ind w:left="851" w:hanging="851"/>
      </w:pPr>
      <w:r>
        <w:t>Hlavné princípy výberu projektov</w:t>
      </w:r>
    </w:p>
    <w:p w14:paraId="1AA947C3" w14:textId="4598EFBB" w:rsidR="00E10737" w:rsidRPr="00CF79E0" w:rsidRDefault="00E10737" w:rsidP="00E10737">
      <w:pPr>
        <w:jc w:val="both"/>
        <w:rPr>
          <w:sz w:val="22"/>
          <w:szCs w:val="22"/>
        </w:rPr>
      </w:pPr>
      <w:r w:rsidRPr="00CF79E0">
        <w:rPr>
          <w:sz w:val="22"/>
          <w:szCs w:val="22"/>
        </w:rPr>
        <w:t xml:space="preserve">Na výber projektov v rámci investičnej priority </w:t>
      </w:r>
      <w:r w:rsidR="00623229">
        <w:rPr>
          <w:sz w:val="22"/>
          <w:szCs w:val="22"/>
        </w:rPr>
        <w:t>1b)</w:t>
      </w:r>
      <w:r w:rsidRPr="00CF79E0">
        <w:rPr>
          <w:sz w:val="22"/>
          <w:szCs w:val="22"/>
        </w:rPr>
        <w:t xml:space="preserve"> budú aplikované všeobecné zásady výberu projektov v rámci tematického cieľa 1 definované v kapitole </w:t>
      </w:r>
      <w:r w:rsidRPr="00FB60C2">
        <w:rPr>
          <w:sz w:val="22"/>
          <w:szCs w:val="22"/>
        </w:rPr>
        <w:t>2.</w:t>
      </w:r>
      <w:r w:rsidR="002A1E4C" w:rsidRPr="00FB60C2">
        <w:rPr>
          <w:sz w:val="22"/>
          <w:szCs w:val="22"/>
        </w:rPr>
        <w:t>9</w:t>
      </w:r>
      <w:r w:rsidRPr="00FB60C2">
        <w:rPr>
          <w:sz w:val="22"/>
          <w:szCs w:val="22"/>
        </w:rPr>
        <w:t>.2.</w:t>
      </w:r>
      <w:r w:rsidR="002A1E4C" w:rsidRPr="00FB60C2">
        <w:rPr>
          <w:sz w:val="22"/>
          <w:szCs w:val="22"/>
        </w:rPr>
        <w:t>3</w:t>
      </w:r>
      <w:r w:rsidRPr="00FB60C2">
        <w:rPr>
          <w:sz w:val="22"/>
          <w:szCs w:val="22"/>
        </w:rPr>
        <w:t>.</w:t>
      </w:r>
    </w:p>
    <w:p w14:paraId="6B32B644" w14:textId="41511A90" w:rsidR="00E10737" w:rsidRDefault="00E10737" w:rsidP="00E10737">
      <w:pPr>
        <w:jc w:val="both"/>
        <w:rPr>
          <w:szCs w:val="22"/>
        </w:rPr>
      </w:pPr>
      <w:r w:rsidRPr="00CF79E0">
        <w:rPr>
          <w:sz w:val="22"/>
          <w:szCs w:val="22"/>
        </w:rPr>
        <w:t xml:space="preserve">Špecifické zásady výberu projektov </w:t>
      </w:r>
      <w:r w:rsidR="005D6313">
        <w:rPr>
          <w:sz w:val="22"/>
          <w:szCs w:val="22"/>
        </w:rPr>
        <w:t>v rámci investičnej priority 1b)</w:t>
      </w:r>
      <w:r w:rsidRPr="00CF79E0">
        <w:rPr>
          <w:sz w:val="22"/>
          <w:szCs w:val="22"/>
        </w:rPr>
        <w:t xml:space="preserve"> definované v kapitole </w:t>
      </w:r>
      <w:r w:rsidR="00FB60C2">
        <w:rPr>
          <w:sz w:val="22"/>
          <w:szCs w:val="22"/>
        </w:rPr>
        <w:t>2.9.3.3</w:t>
      </w:r>
      <w:r w:rsidRPr="00CF79E0">
        <w:rPr>
          <w:sz w:val="22"/>
          <w:szCs w:val="22"/>
        </w:rPr>
        <w:t xml:space="preserve"> budú aplikované aj na projekty v rámci špecifických</w:t>
      </w:r>
      <w:r w:rsidR="005D6313">
        <w:rPr>
          <w:sz w:val="22"/>
          <w:szCs w:val="22"/>
        </w:rPr>
        <w:t xml:space="preserve"> cieľov investičnej priority 1b)</w:t>
      </w:r>
      <w:r w:rsidRPr="00CF79E0">
        <w:rPr>
          <w:sz w:val="22"/>
          <w:szCs w:val="22"/>
        </w:rPr>
        <w:t xml:space="preserve">. Špecifické zásady výberu projektov pre špecifický cieľ </w:t>
      </w:r>
      <w:r>
        <w:rPr>
          <w:sz w:val="22"/>
          <w:szCs w:val="22"/>
        </w:rPr>
        <w:t>10</w:t>
      </w:r>
      <w:r w:rsidRPr="00CF79E0">
        <w:rPr>
          <w:sz w:val="22"/>
          <w:szCs w:val="22"/>
        </w:rPr>
        <w:t xml:space="preserve">.2 zodpovedajú špecifickým zásadám výberu projektov v rámci špecifického cieľa </w:t>
      </w:r>
      <w:r>
        <w:rPr>
          <w:sz w:val="22"/>
          <w:szCs w:val="22"/>
        </w:rPr>
        <w:t>9</w:t>
      </w:r>
      <w:r w:rsidRPr="00CF79E0">
        <w:rPr>
          <w:sz w:val="22"/>
          <w:szCs w:val="22"/>
        </w:rPr>
        <w:t>.</w:t>
      </w:r>
      <w:r w:rsidR="00A1452D">
        <w:rPr>
          <w:sz w:val="22"/>
          <w:szCs w:val="22"/>
        </w:rPr>
        <w:t>4</w:t>
      </w:r>
      <w:r w:rsidRPr="00CF79E0">
        <w:rPr>
          <w:sz w:val="22"/>
          <w:szCs w:val="22"/>
        </w:rPr>
        <w:t xml:space="preserve"> a špecifické zásady výberu projektov pre špecifický cieľ </w:t>
      </w:r>
      <w:r>
        <w:rPr>
          <w:sz w:val="22"/>
          <w:szCs w:val="22"/>
        </w:rPr>
        <w:t>10</w:t>
      </w:r>
      <w:r w:rsidRPr="00CF79E0">
        <w:rPr>
          <w:sz w:val="22"/>
          <w:szCs w:val="22"/>
        </w:rPr>
        <w:t>.</w:t>
      </w:r>
      <w:r w:rsidR="00CD255D">
        <w:rPr>
          <w:sz w:val="22"/>
          <w:szCs w:val="22"/>
        </w:rPr>
        <w:t>3</w:t>
      </w:r>
      <w:r w:rsidRPr="00CF79E0">
        <w:rPr>
          <w:sz w:val="22"/>
          <w:szCs w:val="22"/>
        </w:rPr>
        <w:t xml:space="preserve"> zodpovedajú </w:t>
      </w:r>
      <w:r w:rsidRPr="00CF79E0">
        <w:rPr>
          <w:sz w:val="22"/>
          <w:szCs w:val="22"/>
        </w:rPr>
        <w:lastRenderedPageBreak/>
        <w:t xml:space="preserve">špecifickým zásadám výberu projektov v rámci špecifického cieľa </w:t>
      </w:r>
      <w:r>
        <w:rPr>
          <w:sz w:val="22"/>
          <w:szCs w:val="22"/>
        </w:rPr>
        <w:t>9</w:t>
      </w:r>
      <w:r w:rsidRPr="00CF79E0">
        <w:rPr>
          <w:sz w:val="22"/>
          <w:szCs w:val="22"/>
        </w:rPr>
        <w:t>.</w:t>
      </w:r>
      <w:r w:rsidR="00A1452D">
        <w:rPr>
          <w:sz w:val="22"/>
          <w:szCs w:val="22"/>
        </w:rPr>
        <w:t>5</w:t>
      </w:r>
      <w:r w:rsidRPr="00CF79E0">
        <w:rPr>
          <w:sz w:val="22"/>
          <w:szCs w:val="22"/>
        </w:rPr>
        <w:t xml:space="preserve"> s výnimkou zásad, vzťahujúcich sa k znižovaniu technologickej medzery, ktorá sa v rámci špecifického cieľa </w:t>
      </w:r>
      <w:r>
        <w:rPr>
          <w:sz w:val="22"/>
          <w:szCs w:val="22"/>
        </w:rPr>
        <w:t>10</w:t>
      </w:r>
      <w:r w:rsidRPr="00CF79E0">
        <w:rPr>
          <w:sz w:val="22"/>
          <w:szCs w:val="22"/>
        </w:rPr>
        <w:t>.</w:t>
      </w:r>
      <w:r w:rsidR="00CD255D">
        <w:rPr>
          <w:sz w:val="22"/>
          <w:szCs w:val="22"/>
        </w:rPr>
        <w:t>3</w:t>
      </w:r>
      <w:r w:rsidRPr="00CF79E0">
        <w:rPr>
          <w:sz w:val="22"/>
          <w:szCs w:val="22"/>
        </w:rPr>
        <w:t xml:space="preserve"> nepodporuje.</w:t>
      </w:r>
    </w:p>
    <w:p w14:paraId="138731E9" w14:textId="77777777" w:rsidR="00E10737" w:rsidRPr="00CF2C83" w:rsidRDefault="00E10737" w:rsidP="00E10737">
      <w:pPr>
        <w:pStyle w:val="Nadpis4"/>
        <w:tabs>
          <w:tab w:val="clear" w:pos="709"/>
          <w:tab w:val="clear" w:pos="864"/>
        </w:tabs>
        <w:spacing w:before="240"/>
        <w:ind w:left="851" w:hanging="851"/>
      </w:pPr>
      <w:r w:rsidRPr="00CF2C83">
        <w:t>Plánované využitie finančných nástrojov</w:t>
      </w:r>
    </w:p>
    <w:p w14:paraId="44927E01" w14:textId="77777777" w:rsidR="00E10737" w:rsidRDefault="00E10737" w:rsidP="00E10737">
      <w:pPr>
        <w:jc w:val="both"/>
        <w:rPr>
          <w:szCs w:val="22"/>
        </w:rPr>
      </w:pPr>
      <w:r w:rsidRPr="00677082">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w:t>
      </w:r>
      <w:r>
        <w:rPr>
          <w:sz w:val="22"/>
          <w:szCs w:val="22"/>
        </w:rPr>
        <w:t>ančné nástroje budú zamerané na </w:t>
      </w:r>
      <w:r w:rsidRPr="00677082">
        <w:rPr>
          <w:sz w:val="22"/>
          <w:szCs w:val="22"/>
        </w:rPr>
        <w:t xml:space="preserve">podporu tých aktivít, ktoré nenachádzajú financovanie na trhu, prípadne nenachádzajú adekvátne financovanie, pri ktorom by </w:t>
      </w:r>
      <w:r>
        <w:rPr>
          <w:sz w:val="22"/>
          <w:szCs w:val="22"/>
        </w:rPr>
        <w:t>ich realizácia bola efektívnou.</w:t>
      </w:r>
    </w:p>
    <w:p w14:paraId="42F8B558" w14:textId="77777777" w:rsidR="00E10737" w:rsidRDefault="00E10737" w:rsidP="00E10737">
      <w:pPr>
        <w:spacing w:before="120"/>
        <w:jc w:val="both"/>
        <w:rPr>
          <w:szCs w:val="22"/>
        </w:rPr>
      </w:pPr>
      <w:r w:rsidRPr="00677082">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Pr>
          <w:sz w:val="22"/>
          <w:szCs w:val="22"/>
        </w:rPr>
        <w:t>tálu je potrebné aj vzhľadom na </w:t>
      </w:r>
      <w:r w:rsidRPr="00677082">
        <w:rPr>
          <w:sz w:val="22"/>
          <w:szCs w:val="22"/>
        </w:rPr>
        <w:t>nedostatočný objem prostriedkov z EŠIF na pokrytie všetkých investičných potrieb v príslušných oblastiach. Účasť súkromných investorov môže prispieť aj ku skvalitn</w:t>
      </w:r>
      <w:r>
        <w:rPr>
          <w:sz w:val="22"/>
          <w:szCs w:val="22"/>
        </w:rPr>
        <w:t>eniu implementácie projektov, a </w:t>
      </w:r>
      <w:r w:rsidRPr="00677082">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aktivity, vhod</w:t>
      </w:r>
      <w:r>
        <w:rPr>
          <w:sz w:val="22"/>
          <w:szCs w:val="22"/>
        </w:rPr>
        <w:t>ný objem prostriedkov a </w:t>
      </w:r>
      <w:r w:rsidRPr="00677082">
        <w:rPr>
          <w:sz w:val="22"/>
          <w:szCs w:val="22"/>
        </w:rPr>
        <w:t>podmienky implementácie konkrétnych finančných nástrojov, vrátane očakávaného znásobenia alokovaných prostriedkov EŠIF a ich kombinácie s inými fo</w:t>
      </w:r>
      <w:r>
        <w:rPr>
          <w:sz w:val="22"/>
          <w:szCs w:val="22"/>
        </w:rPr>
        <w:t>rmami podpory, budú vychádzať z </w:t>
      </w:r>
      <w:r w:rsidRPr="00677082">
        <w:rPr>
          <w:sz w:val="22"/>
          <w:szCs w:val="22"/>
        </w:rPr>
        <w:t>výsledkov ex ante hodnotenia pre finančné nástroje, vyžadovaného podľa čl. 37 ods. 2 všeobecného nariadenia pre finančné nástroje na programové obdobie 2014 – 2020.</w:t>
      </w:r>
    </w:p>
    <w:p w14:paraId="5A51C7A9" w14:textId="3CAFE9C1" w:rsidR="00E10737" w:rsidRDefault="00E10737" w:rsidP="00754B91">
      <w:pPr>
        <w:spacing w:before="120"/>
        <w:jc w:val="both"/>
        <w:rPr>
          <w:szCs w:val="22"/>
        </w:rPr>
      </w:pPr>
      <w:r w:rsidRPr="00677082">
        <w:rPr>
          <w:sz w:val="22"/>
          <w:szCs w:val="22"/>
        </w:rPr>
        <w:t>V období september 2017 – jún 2018 bolo vykonané ex ante hodnotenie pre využitie finančných nástrojov v oblastiach výskumu, vývoja a</w:t>
      </w:r>
      <w:r w:rsidR="00754B91">
        <w:rPr>
          <w:sz w:val="22"/>
          <w:szCs w:val="22"/>
        </w:rPr>
        <w:t> </w:t>
      </w:r>
      <w:r w:rsidRPr="00677082">
        <w:rPr>
          <w:sz w:val="22"/>
          <w:szCs w:val="22"/>
        </w:rPr>
        <w:t>inovácií</w:t>
      </w:r>
      <w:r w:rsidR="00754B91">
        <w:rPr>
          <w:sz w:val="22"/>
          <w:szCs w:val="22"/>
        </w:rPr>
        <w:t xml:space="preserve"> a v období december 2018 – jú</w:t>
      </w:r>
      <w:r w:rsidR="00754B91" w:rsidRPr="00754B91">
        <w:rPr>
          <w:sz w:val="22"/>
          <w:szCs w:val="22"/>
        </w:rPr>
        <w:t>n 2019 Doplňujúce ex ante hodnotenie pre využitie</w:t>
      </w:r>
      <w:r w:rsidR="00754B91">
        <w:rPr>
          <w:sz w:val="22"/>
          <w:szCs w:val="22"/>
        </w:rPr>
        <w:t xml:space="preserve"> </w:t>
      </w:r>
      <w:r w:rsidR="00754B91" w:rsidRPr="00754B91">
        <w:rPr>
          <w:sz w:val="22"/>
          <w:szCs w:val="22"/>
        </w:rPr>
        <w:t>finančných nástrojov v rámci OP VaI na podporu verejných subjektov výskumu a vývoja</w:t>
      </w:r>
      <w:r w:rsidR="00676042">
        <w:rPr>
          <w:sz w:val="22"/>
          <w:szCs w:val="22"/>
        </w:rPr>
        <w:t xml:space="preserve">, </w:t>
      </w:r>
      <w:r w:rsidRPr="00677082">
        <w:rPr>
          <w:sz w:val="22"/>
          <w:szCs w:val="22"/>
        </w:rPr>
        <w:t xml:space="preserve">ktoré sú podporované v rámci prioritných osí </w:t>
      </w:r>
      <w:r w:rsidR="0083273F">
        <w:rPr>
          <w:sz w:val="22"/>
          <w:szCs w:val="22"/>
        </w:rPr>
        <w:t>9 a 10</w:t>
      </w:r>
      <w:r w:rsidRPr="00677082">
        <w:rPr>
          <w:sz w:val="22"/>
          <w:szCs w:val="22"/>
        </w:rPr>
        <w:t xml:space="preserve"> OP</w:t>
      </w:r>
      <w:r w:rsidR="0083273F">
        <w:rPr>
          <w:sz w:val="22"/>
          <w:szCs w:val="22"/>
        </w:rPr>
        <w:t>II</w:t>
      </w:r>
      <w:r w:rsidRPr="00677082">
        <w:rPr>
          <w:sz w:val="22"/>
          <w:szCs w:val="22"/>
        </w:rPr>
        <w:t xml:space="preserve">. V rámci ex ante </w:t>
      </w:r>
      <w:r w:rsidR="00754B91">
        <w:rPr>
          <w:sz w:val="22"/>
          <w:szCs w:val="22"/>
        </w:rPr>
        <w:t>hodnotení</w:t>
      </w:r>
      <w:r w:rsidR="00754B91" w:rsidRPr="00677082">
        <w:rPr>
          <w:sz w:val="22"/>
          <w:szCs w:val="22"/>
        </w:rPr>
        <w:t xml:space="preserve"> </w:t>
      </w:r>
      <w:r w:rsidRPr="00677082">
        <w:rPr>
          <w:sz w:val="22"/>
          <w:szCs w:val="22"/>
        </w:rPr>
        <w:t>boli identifikované finančné medzery a navrhnuté finančné nástroje zamerané na rôzne skupiny prijímateľov. Konkrétne využitie finančných nástrojov v rámci aktivít OP</w:t>
      </w:r>
      <w:r w:rsidR="0083273F">
        <w:rPr>
          <w:sz w:val="22"/>
          <w:szCs w:val="22"/>
        </w:rPr>
        <w:t>I</w:t>
      </w:r>
      <w:r w:rsidRPr="00677082">
        <w:rPr>
          <w:sz w:val="22"/>
          <w:szCs w:val="22"/>
        </w:rPr>
        <w:t xml:space="preserve">I </w:t>
      </w:r>
      <w:r w:rsidR="0083273F">
        <w:rPr>
          <w:sz w:val="22"/>
          <w:szCs w:val="22"/>
        </w:rPr>
        <w:t xml:space="preserve">(časť VaI) </w:t>
      </w:r>
      <w:r w:rsidRPr="00677082">
        <w:rPr>
          <w:sz w:val="22"/>
          <w:szCs w:val="22"/>
        </w:rPr>
        <w:t>bude určené v závislosti od aktuálnej situácie v oblasti</w:t>
      </w:r>
      <w:r>
        <w:rPr>
          <w:sz w:val="22"/>
          <w:szCs w:val="22"/>
        </w:rPr>
        <w:t xml:space="preserve"> implementácie OP, ako aj s </w:t>
      </w:r>
      <w:r w:rsidRPr="00677082">
        <w:rPr>
          <w:sz w:val="22"/>
          <w:szCs w:val="22"/>
        </w:rPr>
        <w:t>ohľadom na vývoj prostredia výskumu a inovácií v podmienkach SR.</w:t>
      </w:r>
    </w:p>
    <w:p w14:paraId="0E657E4E" w14:textId="77777777" w:rsidR="00E10737" w:rsidRDefault="00E10737" w:rsidP="00E10737">
      <w:pPr>
        <w:pStyle w:val="Nadpis4"/>
        <w:tabs>
          <w:tab w:val="clear" w:pos="709"/>
          <w:tab w:val="clear" w:pos="864"/>
        </w:tabs>
        <w:ind w:left="851" w:hanging="862"/>
      </w:pPr>
      <w:r>
        <w:t>Plánované využitie veľkých projektov</w:t>
      </w:r>
    </w:p>
    <w:p w14:paraId="66AB3CFE" w14:textId="1D15FA9A" w:rsidR="00E10737" w:rsidRPr="003D0898" w:rsidRDefault="00E10737" w:rsidP="00E10737">
      <w:pPr>
        <w:pStyle w:val="Obyajntext"/>
        <w:jc w:val="both"/>
        <w:rPr>
          <w:rFonts w:ascii="Times New Roman" w:hAnsi="Times New Roman" w:cs="Times New Roman"/>
          <w:sz w:val="22"/>
          <w:szCs w:val="22"/>
        </w:rPr>
      </w:pPr>
      <w:r w:rsidRPr="00677082">
        <w:rPr>
          <w:rFonts w:ascii="Times New Roman" w:hAnsi="Times New Roman" w:cs="Times New Roman"/>
          <w:sz w:val="22"/>
          <w:szCs w:val="22"/>
        </w:rPr>
        <w:t xml:space="preserve">Aktuálne sa v rámci investičnej priority </w:t>
      </w:r>
      <w:r w:rsidR="00623229">
        <w:rPr>
          <w:rFonts w:ascii="Times New Roman" w:hAnsi="Times New Roman" w:cs="Times New Roman"/>
          <w:sz w:val="22"/>
          <w:szCs w:val="22"/>
        </w:rPr>
        <w:t>1b)</w:t>
      </w:r>
      <w:r w:rsidRPr="00677082">
        <w:rPr>
          <w:rFonts w:ascii="Times New Roman" w:hAnsi="Times New Roman" w:cs="Times New Roman"/>
          <w:sz w:val="22"/>
          <w:szCs w:val="22"/>
        </w:rPr>
        <w:t xml:space="preserve"> neplánuje realizovanie veľkých projektov, avšak v rámci jednotlivých špecifických cieľov investičnej priority </w:t>
      </w:r>
      <w:r w:rsidR="00623229">
        <w:rPr>
          <w:rFonts w:ascii="Times New Roman" w:hAnsi="Times New Roman" w:cs="Times New Roman"/>
          <w:sz w:val="22"/>
          <w:szCs w:val="22"/>
        </w:rPr>
        <w:t>1b)</w:t>
      </w:r>
      <w:r w:rsidRPr="00677082">
        <w:rPr>
          <w:rFonts w:ascii="Times New Roman" w:hAnsi="Times New Roman" w:cs="Times New Roman"/>
          <w:sz w:val="22"/>
          <w:szCs w:val="22"/>
        </w:rPr>
        <w:t xml:space="preserve"> je potenciálny priestor na realizáciu veľkého projektu.</w:t>
      </w:r>
    </w:p>
    <w:p w14:paraId="524FC120" w14:textId="77777777" w:rsidR="00E10737" w:rsidRDefault="00E10737" w:rsidP="00E10737">
      <w:pPr>
        <w:pStyle w:val="Nadpis4"/>
        <w:tabs>
          <w:tab w:val="clear" w:pos="709"/>
          <w:tab w:val="clear" w:pos="864"/>
        </w:tabs>
        <w:ind w:left="851" w:hanging="851"/>
      </w:pPr>
      <w:r>
        <w:t>Ukazovatele výstupu na úrovni investičnej priority a kategórie regiónu</w:t>
      </w:r>
    </w:p>
    <w:p w14:paraId="58B0D532" w14:textId="2B45447A" w:rsidR="00E10737" w:rsidRDefault="00E10737" w:rsidP="00E10737">
      <w:pPr>
        <w:pStyle w:val="Tab"/>
        <w:tabs>
          <w:tab w:val="clear" w:pos="0"/>
          <w:tab w:val="clear" w:pos="851"/>
        </w:tabs>
      </w:pPr>
      <w:r>
        <w:t xml:space="preserve">Spoločné a špecifické ukazovatele výstupu investičnej priority </w:t>
      </w:r>
      <w:r w:rsidR="00623229">
        <w:t>1b)</w:t>
      </w:r>
    </w:p>
    <w:tbl>
      <w:tblPr>
        <w:tblStyle w:val="Mriekatabuky"/>
        <w:tblW w:w="924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6"/>
        <w:gridCol w:w="2641"/>
        <w:gridCol w:w="992"/>
        <w:gridCol w:w="709"/>
        <w:gridCol w:w="1134"/>
        <w:gridCol w:w="992"/>
        <w:gridCol w:w="866"/>
        <w:gridCol w:w="1203"/>
      </w:tblGrid>
      <w:tr w:rsidR="00E10737" w14:paraId="27E6AB1A" w14:textId="77777777" w:rsidTr="00132EB9">
        <w:trPr>
          <w:trHeight w:val="487"/>
          <w:jc w:val="center"/>
        </w:trPr>
        <w:tc>
          <w:tcPr>
            <w:tcW w:w="706" w:type="dxa"/>
            <w:shd w:val="clear" w:color="auto" w:fill="C6D9F1" w:themeFill="text2" w:themeFillTint="33"/>
            <w:vAlign w:val="center"/>
          </w:tcPr>
          <w:p w14:paraId="12EFC093" w14:textId="77777777" w:rsidR="00E10737" w:rsidRPr="008C1732" w:rsidRDefault="00E10737" w:rsidP="004179DE">
            <w:pPr>
              <w:ind w:left="0"/>
              <w:jc w:val="center"/>
              <w:rPr>
                <w:b/>
                <w:sz w:val="18"/>
                <w:szCs w:val="18"/>
              </w:rPr>
            </w:pPr>
            <w:r>
              <w:rPr>
                <w:b/>
                <w:sz w:val="18"/>
                <w:szCs w:val="18"/>
              </w:rPr>
              <w:t>ID</w:t>
            </w:r>
          </w:p>
        </w:tc>
        <w:tc>
          <w:tcPr>
            <w:tcW w:w="2641" w:type="dxa"/>
            <w:shd w:val="clear" w:color="auto" w:fill="C6D9F1" w:themeFill="text2" w:themeFillTint="33"/>
            <w:vAlign w:val="center"/>
          </w:tcPr>
          <w:p w14:paraId="12BB7FFA" w14:textId="77777777" w:rsidR="00E10737" w:rsidRPr="008C1732" w:rsidRDefault="00E10737" w:rsidP="004179DE">
            <w:pPr>
              <w:ind w:left="0"/>
              <w:jc w:val="center"/>
              <w:rPr>
                <w:b/>
                <w:sz w:val="18"/>
                <w:szCs w:val="18"/>
              </w:rPr>
            </w:pPr>
            <w:r w:rsidRPr="008C1732">
              <w:rPr>
                <w:b/>
                <w:sz w:val="18"/>
                <w:szCs w:val="18"/>
              </w:rPr>
              <w:t>Ukazovateľ výstupu</w:t>
            </w:r>
          </w:p>
        </w:tc>
        <w:tc>
          <w:tcPr>
            <w:tcW w:w="992" w:type="dxa"/>
            <w:shd w:val="clear" w:color="auto" w:fill="C6D9F1" w:themeFill="text2" w:themeFillTint="33"/>
            <w:vAlign w:val="center"/>
          </w:tcPr>
          <w:p w14:paraId="3E29529E" w14:textId="77777777" w:rsidR="00E10737" w:rsidRPr="008C1732" w:rsidRDefault="00E10737" w:rsidP="004179DE">
            <w:pPr>
              <w:ind w:left="0"/>
              <w:jc w:val="center"/>
              <w:rPr>
                <w:b/>
                <w:sz w:val="18"/>
                <w:szCs w:val="18"/>
              </w:rPr>
            </w:pPr>
            <w:r w:rsidRPr="008C1732">
              <w:rPr>
                <w:b/>
                <w:sz w:val="18"/>
                <w:szCs w:val="18"/>
              </w:rPr>
              <w:t>Merná jednotka</w:t>
            </w:r>
          </w:p>
        </w:tc>
        <w:tc>
          <w:tcPr>
            <w:tcW w:w="709" w:type="dxa"/>
            <w:shd w:val="clear" w:color="auto" w:fill="C6D9F1" w:themeFill="text2" w:themeFillTint="33"/>
            <w:vAlign w:val="center"/>
          </w:tcPr>
          <w:p w14:paraId="52534519" w14:textId="77777777" w:rsidR="00E10737" w:rsidRPr="008C1732" w:rsidRDefault="00E10737" w:rsidP="004179DE">
            <w:pPr>
              <w:ind w:left="0"/>
              <w:jc w:val="center"/>
              <w:rPr>
                <w:b/>
                <w:sz w:val="18"/>
                <w:szCs w:val="18"/>
              </w:rPr>
            </w:pPr>
            <w:r w:rsidRPr="008C1732">
              <w:rPr>
                <w:b/>
                <w:sz w:val="18"/>
                <w:szCs w:val="18"/>
              </w:rPr>
              <w:t>Fond</w:t>
            </w:r>
          </w:p>
        </w:tc>
        <w:tc>
          <w:tcPr>
            <w:tcW w:w="1134" w:type="dxa"/>
            <w:shd w:val="clear" w:color="auto" w:fill="C6D9F1" w:themeFill="text2" w:themeFillTint="33"/>
            <w:vAlign w:val="center"/>
          </w:tcPr>
          <w:p w14:paraId="5F8EB7C8" w14:textId="77777777" w:rsidR="00E10737" w:rsidRPr="008C1732" w:rsidRDefault="00E10737" w:rsidP="004179DE">
            <w:pPr>
              <w:ind w:left="0"/>
              <w:jc w:val="center"/>
              <w:rPr>
                <w:b/>
                <w:sz w:val="18"/>
                <w:szCs w:val="18"/>
              </w:rPr>
            </w:pPr>
            <w:r w:rsidRPr="008C1732">
              <w:rPr>
                <w:b/>
                <w:sz w:val="18"/>
                <w:szCs w:val="18"/>
              </w:rPr>
              <w:t>Kategória regiónu</w:t>
            </w:r>
          </w:p>
        </w:tc>
        <w:tc>
          <w:tcPr>
            <w:tcW w:w="992" w:type="dxa"/>
            <w:shd w:val="clear" w:color="auto" w:fill="C6D9F1" w:themeFill="text2" w:themeFillTint="33"/>
            <w:vAlign w:val="center"/>
          </w:tcPr>
          <w:p w14:paraId="012D5C7C" w14:textId="77777777" w:rsidR="00E10737" w:rsidRPr="008C1732" w:rsidRDefault="00E10737" w:rsidP="004179DE">
            <w:pPr>
              <w:ind w:left="0"/>
              <w:jc w:val="center"/>
              <w:rPr>
                <w:b/>
                <w:sz w:val="18"/>
                <w:szCs w:val="18"/>
              </w:rPr>
            </w:pPr>
            <w:r w:rsidRPr="008C1732">
              <w:rPr>
                <w:b/>
                <w:sz w:val="18"/>
                <w:szCs w:val="18"/>
              </w:rPr>
              <w:t>Cieľová hodnota (2023)</w:t>
            </w:r>
          </w:p>
        </w:tc>
        <w:tc>
          <w:tcPr>
            <w:tcW w:w="866" w:type="dxa"/>
            <w:shd w:val="clear" w:color="auto" w:fill="C6D9F1" w:themeFill="text2" w:themeFillTint="33"/>
            <w:vAlign w:val="center"/>
          </w:tcPr>
          <w:p w14:paraId="4441B8F2" w14:textId="77777777" w:rsidR="00E10737" w:rsidRPr="008C1732" w:rsidRDefault="00E10737" w:rsidP="004179DE">
            <w:pPr>
              <w:ind w:left="0"/>
              <w:jc w:val="center"/>
              <w:rPr>
                <w:b/>
                <w:sz w:val="18"/>
                <w:szCs w:val="18"/>
              </w:rPr>
            </w:pPr>
            <w:r w:rsidRPr="008C1732">
              <w:rPr>
                <w:b/>
                <w:sz w:val="18"/>
                <w:szCs w:val="18"/>
              </w:rPr>
              <w:t>Zdroj údajov</w:t>
            </w:r>
          </w:p>
        </w:tc>
        <w:tc>
          <w:tcPr>
            <w:tcW w:w="1203" w:type="dxa"/>
            <w:shd w:val="clear" w:color="auto" w:fill="C6D9F1" w:themeFill="text2" w:themeFillTint="33"/>
            <w:vAlign w:val="center"/>
          </w:tcPr>
          <w:p w14:paraId="2860E2B9"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14:paraId="60B6EEEA" w14:textId="77777777" w:rsidTr="00132EB9">
        <w:trPr>
          <w:trHeight w:val="680"/>
          <w:jc w:val="center"/>
        </w:trPr>
        <w:tc>
          <w:tcPr>
            <w:tcW w:w="706" w:type="dxa"/>
            <w:shd w:val="clear" w:color="auto" w:fill="auto"/>
            <w:vAlign w:val="center"/>
          </w:tcPr>
          <w:p w14:paraId="573EBA65" w14:textId="77777777" w:rsidR="00E10737" w:rsidRPr="00737ED2" w:rsidRDefault="00E10737" w:rsidP="004179DE">
            <w:pPr>
              <w:ind w:left="0"/>
              <w:jc w:val="center"/>
              <w:rPr>
                <w:sz w:val="18"/>
                <w:szCs w:val="18"/>
              </w:rPr>
            </w:pPr>
            <w:r>
              <w:rPr>
                <w:sz w:val="18"/>
                <w:szCs w:val="18"/>
              </w:rPr>
              <w:t>CO01</w:t>
            </w:r>
          </w:p>
        </w:tc>
        <w:tc>
          <w:tcPr>
            <w:tcW w:w="2641" w:type="dxa"/>
            <w:shd w:val="clear" w:color="auto" w:fill="auto"/>
            <w:vAlign w:val="center"/>
          </w:tcPr>
          <w:p w14:paraId="1C818624" w14:textId="77777777" w:rsidR="00E10737" w:rsidRPr="00737ED2" w:rsidRDefault="00E10737" w:rsidP="004179DE">
            <w:pPr>
              <w:ind w:left="0"/>
              <w:rPr>
                <w:sz w:val="18"/>
                <w:szCs w:val="18"/>
              </w:rPr>
            </w:pPr>
            <w:r w:rsidRPr="002243AF">
              <w:rPr>
                <w:sz w:val="18"/>
                <w:szCs w:val="18"/>
              </w:rPr>
              <w:t>Počet podnikov, ktorým sa poskytuje podpora (spoločný)</w:t>
            </w:r>
          </w:p>
        </w:tc>
        <w:tc>
          <w:tcPr>
            <w:tcW w:w="992" w:type="dxa"/>
            <w:shd w:val="clear" w:color="auto" w:fill="auto"/>
            <w:vAlign w:val="center"/>
          </w:tcPr>
          <w:p w14:paraId="3003D790"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1E7189E7"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04C42D8D"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75142A66" w14:textId="43A758BC" w:rsidR="00E10737" w:rsidRPr="00E661DF" w:rsidRDefault="00D3601B" w:rsidP="00D3601B">
            <w:pPr>
              <w:ind w:left="0"/>
              <w:jc w:val="center"/>
              <w:rPr>
                <w:i/>
                <w:sz w:val="18"/>
                <w:szCs w:val="18"/>
              </w:rPr>
            </w:pPr>
            <w:r>
              <w:rPr>
                <w:i/>
                <w:sz w:val="18"/>
                <w:szCs w:val="18"/>
              </w:rPr>
              <w:t>333</w:t>
            </w:r>
          </w:p>
        </w:tc>
        <w:tc>
          <w:tcPr>
            <w:tcW w:w="866" w:type="dxa"/>
            <w:vAlign w:val="center"/>
          </w:tcPr>
          <w:p w14:paraId="21AB8364"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4BDC6261" w14:textId="77777777" w:rsidR="00E10737" w:rsidRPr="00E661DF" w:rsidRDefault="00E10737" w:rsidP="004179DE">
            <w:pPr>
              <w:ind w:left="0"/>
              <w:jc w:val="center"/>
              <w:rPr>
                <w:i/>
                <w:sz w:val="18"/>
                <w:szCs w:val="18"/>
              </w:rPr>
            </w:pPr>
            <w:r w:rsidRPr="00E661DF">
              <w:rPr>
                <w:i/>
                <w:sz w:val="18"/>
                <w:szCs w:val="18"/>
              </w:rPr>
              <w:t>Ročne</w:t>
            </w:r>
          </w:p>
        </w:tc>
      </w:tr>
      <w:tr w:rsidR="00E10737" w14:paraId="3751D197" w14:textId="77777777" w:rsidTr="00132EB9">
        <w:trPr>
          <w:trHeight w:val="680"/>
          <w:jc w:val="center"/>
        </w:trPr>
        <w:tc>
          <w:tcPr>
            <w:tcW w:w="706" w:type="dxa"/>
            <w:shd w:val="clear" w:color="auto" w:fill="auto"/>
            <w:vAlign w:val="center"/>
          </w:tcPr>
          <w:p w14:paraId="64F87261" w14:textId="77777777" w:rsidR="00E10737" w:rsidRDefault="00E10737" w:rsidP="004179DE">
            <w:pPr>
              <w:ind w:left="0"/>
              <w:jc w:val="center"/>
              <w:rPr>
                <w:sz w:val="18"/>
                <w:szCs w:val="18"/>
              </w:rPr>
            </w:pPr>
            <w:r>
              <w:rPr>
                <w:sz w:val="18"/>
                <w:szCs w:val="18"/>
              </w:rPr>
              <w:t>CO02</w:t>
            </w:r>
          </w:p>
        </w:tc>
        <w:tc>
          <w:tcPr>
            <w:tcW w:w="2641" w:type="dxa"/>
            <w:shd w:val="clear" w:color="auto" w:fill="auto"/>
            <w:vAlign w:val="center"/>
          </w:tcPr>
          <w:p w14:paraId="2A48D83E" w14:textId="77777777" w:rsidR="00E10737" w:rsidRPr="00737ED2" w:rsidRDefault="00E10737" w:rsidP="004179DE">
            <w:pPr>
              <w:ind w:left="0"/>
              <w:rPr>
                <w:sz w:val="18"/>
                <w:szCs w:val="18"/>
              </w:rPr>
            </w:pPr>
            <w:r w:rsidRPr="000331A8">
              <w:rPr>
                <w:sz w:val="18"/>
                <w:szCs w:val="18"/>
              </w:rPr>
              <w:t>Počet podnikov, ktoré dostávajú granty (spoločný)</w:t>
            </w:r>
          </w:p>
        </w:tc>
        <w:tc>
          <w:tcPr>
            <w:tcW w:w="992" w:type="dxa"/>
            <w:shd w:val="clear" w:color="auto" w:fill="auto"/>
            <w:vAlign w:val="center"/>
          </w:tcPr>
          <w:p w14:paraId="479C96AB"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5D4CF749"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6CB78B33"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58642201" w14:textId="060407BB" w:rsidR="00E10737" w:rsidRPr="00E661DF" w:rsidRDefault="00D3601B" w:rsidP="00D3601B">
            <w:pPr>
              <w:ind w:left="0"/>
              <w:jc w:val="center"/>
              <w:rPr>
                <w:i/>
                <w:sz w:val="18"/>
                <w:szCs w:val="18"/>
              </w:rPr>
            </w:pPr>
            <w:r>
              <w:rPr>
                <w:i/>
                <w:sz w:val="18"/>
                <w:szCs w:val="18"/>
              </w:rPr>
              <w:t>263</w:t>
            </w:r>
          </w:p>
        </w:tc>
        <w:tc>
          <w:tcPr>
            <w:tcW w:w="866" w:type="dxa"/>
            <w:vAlign w:val="center"/>
          </w:tcPr>
          <w:p w14:paraId="14797195"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12072637" w14:textId="77777777" w:rsidR="00E10737" w:rsidRPr="00E661DF" w:rsidRDefault="00E10737" w:rsidP="004179DE">
            <w:pPr>
              <w:ind w:left="0"/>
              <w:jc w:val="center"/>
              <w:rPr>
                <w:i/>
                <w:sz w:val="18"/>
                <w:szCs w:val="18"/>
              </w:rPr>
            </w:pPr>
            <w:r w:rsidRPr="00E661DF">
              <w:rPr>
                <w:i/>
                <w:sz w:val="18"/>
                <w:szCs w:val="18"/>
              </w:rPr>
              <w:t>Ročne</w:t>
            </w:r>
          </w:p>
        </w:tc>
      </w:tr>
      <w:tr w:rsidR="00E10737" w14:paraId="101119AC" w14:textId="77777777" w:rsidTr="00132EB9">
        <w:trPr>
          <w:trHeight w:val="680"/>
          <w:jc w:val="center"/>
        </w:trPr>
        <w:tc>
          <w:tcPr>
            <w:tcW w:w="706" w:type="dxa"/>
            <w:shd w:val="clear" w:color="auto" w:fill="auto"/>
            <w:vAlign w:val="center"/>
          </w:tcPr>
          <w:p w14:paraId="58E25DE1" w14:textId="77777777" w:rsidR="00E10737" w:rsidRDefault="00E10737" w:rsidP="004179DE">
            <w:pPr>
              <w:ind w:left="0"/>
              <w:jc w:val="center"/>
              <w:rPr>
                <w:sz w:val="18"/>
                <w:szCs w:val="18"/>
              </w:rPr>
            </w:pPr>
            <w:r>
              <w:rPr>
                <w:sz w:val="18"/>
                <w:szCs w:val="18"/>
              </w:rPr>
              <w:t>CO03</w:t>
            </w:r>
          </w:p>
        </w:tc>
        <w:tc>
          <w:tcPr>
            <w:tcW w:w="2641" w:type="dxa"/>
            <w:shd w:val="clear" w:color="auto" w:fill="auto"/>
            <w:vAlign w:val="center"/>
          </w:tcPr>
          <w:p w14:paraId="7F385A46" w14:textId="77777777" w:rsidR="00E10737" w:rsidRPr="000331A8" w:rsidRDefault="00E10737" w:rsidP="004179DE">
            <w:pPr>
              <w:ind w:left="0"/>
              <w:rPr>
                <w:sz w:val="18"/>
                <w:szCs w:val="18"/>
              </w:rPr>
            </w:pPr>
            <w:r w:rsidRPr="002C1A62">
              <w:rPr>
                <w:sz w:val="18"/>
                <w:szCs w:val="18"/>
              </w:rPr>
              <w:t>Počet podnikov, ktoré dostávajú finančnú podporu inú ako granty (spoločný)</w:t>
            </w:r>
          </w:p>
        </w:tc>
        <w:tc>
          <w:tcPr>
            <w:tcW w:w="992" w:type="dxa"/>
            <w:shd w:val="clear" w:color="auto" w:fill="auto"/>
            <w:vAlign w:val="center"/>
          </w:tcPr>
          <w:p w14:paraId="2FEC31F5"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134547AB"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63DB1F6B"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685143D4" w14:textId="63A945D5" w:rsidR="00E10737" w:rsidRPr="00E661DF" w:rsidRDefault="00D3601B" w:rsidP="00D3601B">
            <w:pPr>
              <w:ind w:left="0"/>
              <w:jc w:val="center"/>
              <w:rPr>
                <w:i/>
                <w:sz w:val="18"/>
                <w:szCs w:val="18"/>
              </w:rPr>
            </w:pPr>
            <w:r>
              <w:rPr>
                <w:i/>
                <w:sz w:val="18"/>
                <w:szCs w:val="18"/>
              </w:rPr>
              <w:t>7</w:t>
            </w:r>
          </w:p>
        </w:tc>
        <w:tc>
          <w:tcPr>
            <w:tcW w:w="866" w:type="dxa"/>
            <w:vAlign w:val="center"/>
          </w:tcPr>
          <w:p w14:paraId="10A414CE"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01BECED3" w14:textId="77777777" w:rsidR="00E10737" w:rsidRPr="00E661DF" w:rsidRDefault="00E10737" w:rsidP="004179DE">
            <w:pPr>
              <w:ind w:left="0"/>
              <w:jc w:val="center"/>
              <w:rPr>
                <w:i/>
                <w:sz w:val="18"/>
                <w:szCs w:val="18"/>
              </w:rPr>
            </w:pPr>
            <w:r w:rsidRPr="00E661DF">
              <w:rPr>
                <w:i/>
                <w:sz w:val="18"/>
                <w:szCs w:val="18"/>
              </w:rPr>
              <w:t>Ročne</w:t>
            </w:r>
          </w:p>
        </w:tc>
      </w:tr>
      <w:tr w:rsidR="00E10737" w14:paraId="57AC5C74" w14:textId="77777777" w:rsidTr="00132EB9">
        <w:trPr>
          <w:trHeight w:val="680"/>
          <w:jc w:val="center"/>
        </w:trPr>
        <w:tc>
          <w:tcPr>
            <w:tcW w:w="706" w:type="dxa"/>
            <w:shd w:val="clear" w:color="auto" w:fill="auto"/>
            <w:vAlign w:val="center"/>
          </w:tcPr>
          <w:p w14:paraId="7B12849E" w14:textId="77777777" w:rsidR="00E10737" w:rsidRDefault="00E10737" w:rsidP="004179DE">
            <w:pPr>
              <w:ind w:left="0"/>
              <w:jc w:val="center"/>
              <w:rPr>
                <w:sz w:val="18"/>
                <w:szCs w:val="18"/>
              </w:rPr>
            </w:pPr>
            <w:r>
              <w:rPr>
                <w:sz w:val="18"/>
                <w:szCs w:val="18"/>
              </w:rPr>
              <w:lastRenderedPageBreak/>
              <w:t>CO04</w:t>
            </w:r>
          </w:p>
        </w:tc>
        <w:tc>
          <w:tcPr>
            <w:tcW w:w="2641" w:type="dxa"/>
            <w:shd w:val="clear" w:color="auto" w:fill="auto"/>
            <w:vAlign w:val="center"/>
          </w:tcPr>
          <w:p w14:paraId="1076ADE4" w14:textId="77777777" w:rsidR="00E10737" w:rsidRPr="000331A8" w:rsidRDefault="00E10737" w:rsidP="004179DE">
            <w:pPr>
              <w:ind w:left="0"/>
              <w:rPr>
                <w:sz w:val="18"/>
                <w:szCs w:val="18"/>
              </w:rPr>
            </w:pPr>
            <w:r w:rsidRPr="002C1A62">
              <w:rPr>
                <w:sz w:val="18"/>
                <w:szCs w:val="18"/>
              </w:rPr>
              <w:t>Počet podnikov, ktoré dostávajú nefinančnú podporu (spoločný)</w:t>
            </w:r>
          </w:p>
        </w:tc>
        <w:tc>
          <w:tcPr>
            <w:tcW w:w="992" w:type="dxa"/>
            <w:shd w:val="clear" w:color="auto" w:fill="auto"/>
            <w:vAlign w:val="center"/>
          </w:tcPr>
          <w:p w14:paraId="33F9CD7C"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114CD6BB"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4BD67EC0"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7EC97C24" w14:textId="6FE8DF5B" w:rsidR="00E10737" w:rsidRPr="00E661DF" w:rsidRDefault="00D3601B" w:rsidP="00D3601B">
            <w:pPr>
              <w:ind w:left="0"/>
              <w:jc w:val="center"/>
              <w:rPr>
                <w:i/>
                <w:sz w:val="18"/>
                <w:szCs w:val="18"/>
              </w:rPr>
            </w:pPr>
            <w:r>
              <w:rPr>
                <w:i/>
                <w:sz w:val="18"/>
                <w:szCs w:val="18"/>
              </w:rPr>
              <w:t>272</w:t>
            </w:r>
          </w:p>
        </w:tc>
        <w:tc>
          <w:tcPr>
            <w:tcW w:w="866" w:type="dxa"/>
            <w:vAlign w:val="center"/>
          </w:tcPr>
          <w:p w14:paraId="12AC5C9A"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79694C98" w14:textId="77777777" w:rsidR="00E10737" w:rsidRPr="00E661DF" w:rsidRDefault="00E10737" w:rsidP="004179DE">
            <w:pPr>
              <w:ind w:left="0"/>
              <w:jc w:val="center"/>
              <w:rPr>
                <w:i/>
                <w:sz w:val="18"/>
                <w:szCs w:val="18"/>
              </w:rPr>
            </w:pPr>
            <w:r w:rsidRPr="00E661DF">
              <w:rPr>
                <w:i/>
                <w:sz w:val="18"/>
                <w:szCs w:val="18"/>
              </w:rPr>
              <w:t>Ročne</w:t>
            </w:r>
          </w:p>
        </w:tc>
      </w:tr>
      <w:tr w:rsidR="00E10737" w14:paraId="6823D411" w14:textId="77777777" w:rsidTr="00132EB9">
        <w:trPr>
          <w:trHeight w:val="680"/>
          <w:jc w:val="center"/>
        </w:trPr>
        <w:tc>
          <w:tcPr>
            <w:tcW w:w="706" w:type="dxa"/>
            <w:shd w:val="clear" w:color="auto" w:fill="auto"/>
            <w:vAlign w:val="center"/>
          </w:tcPr>
          <w:p w14:paraId="0A63A416" w14:textId="77777777" w:rsidR="00E10737" w:rsidRDefault="00E10737" w:rsidP="004179DE">
            <w:pPr>
              <w:ind w:left="0"/>
              <w:jc w:val="center"/>
              <w:rPr>
                <w:sz w:val="18"/>
                <w:szCs w:val="18"/>
              </w:rPr>
            </w:pPr>
            <w:r>
              <w:rPr>
                <w:sz w:val="18"/>
                <w:szCs w:val="18"/>
              </w:rPr>
              <w:t>CO05</w:t>
            </w:r>
          </w:p>
        </w:tc>
        <w:tc>
          <w:tcPr>
            <w:tcW w:w="2641" w:type="dxa"/>
            <w:shd w:val="clear" w:color="auto" w:fill="auto"/>
            <w:vAlign w:val="center"/>
          </w:tcPr>
          <w:p w14:paraId="2B9AA095" w14:textId="77777777" w:rsidR="00E10737" w:rsidRPr="000331A8" w:rsidRDefault="00E10737" w:rsidP="004179DE">
            <w:pPr>
              <w:ind w:left="0"/>
              <w:rPr>
                <w:sz w:val="18"/>
                <w:szCs w:val="18"/>
              </w:rPr>
            </w:pPr>
            <w:r w:rsidRPr="000A417B">
              <w:rPr>
                <w:sz w:val="18"/>
                <w:szCs w:val="18"/>
              </w:rPr>
              <w:t>Počet podporených nových podnikov</w:t>
            </w:r>
          </w:p>
        </w:tc>
        <w:tc>
          <w:tcPr>
            <w:tcW w:w="992" w:type="dxa"/>
            <w:shd w:val="clear" w:color="auto" w:fill="auto"/>
            <w:vAlign w:val="center"/>
          </w:tcPr>
          <w:p w14:paraId="660F3DA2"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71BC50F5"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607AB06D"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5DCF3550" w14:textId="53CDA43D" w:rsidR="00E10737" w:rsidRPr="00E661DF" w:rsidRDefault="00D3601B" w:rsidP="00D3601B">
            <w:pPr>
              <w:ind w:left="0"/>
              <w:jc w:val="center"/>
              <w:rPr>
                <w:i/>
                <w:sz w:val="18"/>
                <w:szCs w:val="18"/>
              </w:rPr>
            </w:pPr>
            <w:r>
              <w:rPr>
                <w:i/>
                <w:sz w:val="18"/>
                <w:szCs w:val="18"/>
              </w:rPr>
              <w:t>24</w:t>
            </w:r>
          </w:p>
        </w:tc>
        <w:tc>
          <w:tcPr>
            <w:tcW w:w="866" w:type="dxa"/>
            <w:vAlign w:val="center"/>
          </w:tcPr>
          <w:p w14:paraId="713D3798"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548AB3E2" w14:textId="77777777" w:rsidR="00E10737" w:rsidRPr="00E661DF" w:rsidRDefault="00E10737" w:rsidP="004179DE">
            <w:pPr>
              <w:ind w:left="0"/>
              <w:jc w:val="center"/>
              <w:rPr>
                <w:i/>
                <w:sz w:val="18"/>
                <w:szCs w:val="18"/>
              </w:rPr>
            </w:pPr>
            <w:r w:rsidRPr="00E661DF">
              <w:rPr>
                <w:i/>
                <w:sz w:val="18"/>
                <w:szCs w:val="18"/>
              </w:rPr>
              <w:t>Ročne</w:t>
            </w:r>
          </w:p>
        </w:tc>
      </w:tr>
      <w:tr w:rsidR="00E10737" w14:paraId="532BE66B" w14:textId="77777777" w:rsidTr="00132EB9">
        <w:trPr>
          <w:trHeight w:val="680"/>
          <w:jc w:val="center"/>
        </w:trPr>
        <w:tc>
          <w:tcPr>
            <w:tcW w:w="706" w:type="dxa"/>
            <w:shd w:val="clear" w:color="auto" w:fill="auto"/>
            <w:vAlign w:val="center"/>
          </w:tcPr>
          <w:p w14:paraId="418B90C1" w14:textId="77777777" w:rsidR="00E10737" w:rsidRDefault="00E10737" w:rsidP="004179DE">
            <w:pPr>
              <w:ind w:left="0"/>
              <w:jc w:val="center"/>
              <w:rPr>
                <w:sz w:val="18"/>
                <w:szCs w:val="18"/>
              </w:rPr>
            </w:pPr>
            <w:r>
              <w:rPr>
                <w:sz w:val="18"/>
                <w:szCs w:val="18"/>
              </w:rPr>
              <w:t>CO08</w:t>
            </w:r>
          </w:p>
        </w:tc>
        <w:tc>
          <w:tcPr>
            <w:tcW w:w="2641" w:type="dxa"/>
            <w:shd w:val="clear" w:color="auto" w:fill="auto"/>
            <w:vAlign w:val="center"/>
          </w:tcPr>
          <w:p w14:paraId="223D0A44" w14:textId="4C9B4772" w:rsidR="00E10737" w:rsidRPr="000A417B" w:rsidRDefault="00E10737" w:rsidP="00704FB6">
            <w:pPr>
              <w:ind w:left="0"/>
              <w:rPr>
                <w:sz w:val="18"/>
                <w:szCs w:val="18"/>
              </w:rPr>
            </w:pPr>
            <w:r w:rsidRPr="006C2789">
              <w:rPr>
                <w:sz w:val="18"/>
                <w:szCs w:val="18"/>
              </w:rPr>
              <w:t>Nárast zamestnanosti v podporovaných podnikoch (spoločný)</w:t>
            </w:r>
          </w:p>
        </w:tc>
        <w:tc>
          <w:tcPr>
            <w:tcW w:w="992" w:type="dxa"/>
            <w:shd w:val="clear" w:color="auto" w:fill="auto"/>
            <w:vAlign w:val="center"/>
          </w:tcPr>
          <w:p w14:paraId="1ABF977D" w14:textId="77777777" w:rsidR="00E10737" w:rsidRPr="00E661DF" w:rsidRDefault="00E10737" w:rsidP="004179DE">
            <w:pPr>
              <w:ind w:left="0"/>
              <w:jc w:val="center"/>
              <w:rPr>
                <w:i/>
                <w:sz w:val="18"/>
                <w:szCs w:val="18"/>
              </w:rPr>
            </w:pPr>
            <w:r w:rsidRPr="00E661DF">
              <w:rPr>
                <w:i/>
                <w:sz w:val="18"/>
                <w:szCs w:val="18"/>
              </w:rPr>
              <w:t>FTE</w:t>
            </w:r>
          </w:p>
        </w:tc>
        <w:tc>
          <w:tcPr>
            <w:tcW w:w="709" w:type="dxa"/>
            <w:shd w:val="clear" w:color="auto" w:fill="auto"/>
            <w:vAlign w:val="center"/>
          </w:tcPr>
          <w:p w14:paraId="43236682"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402069BC"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36852957" w14:textId="13228D82" w:rsidR="00E10737" w:rsidRPr="00E661DF" w:rsidRDefault="00D3601B" w:rsidP="00D3601B">
            <w:pPr>
              <w:ind w:left="0"/>
              <w:jc w:val="center"/>
              <w:rPr>
                <w:i/>
                <w:sz w:val="18"/>
                <w:szCs w:val="18"/>
              </w:rPr>
            </w:pPr>
            <w:r>
              <w:rPr>
                <w:i/>
                <w:sz w:val="18"/>
                <w:szCs w:val="18"/>
              </w:rPr>
              <w:t>58</w:t>
            </w:r>
          </w:p>
        </w:tc>
        <w:tc>
          <w:tcPr>
            <w:tcW w:w="866" w:type="dxa"/>
            <w:vAlign w:val="center"/>
          </w:tcPr>
          <w:p w14:paraId="2D8FB27E"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7CBF54FA" w14:textId="77777777" w:rsidR="00E10737" w:rsidRPr="00E661DF" w:rsidRDefault="00E10737" w:rsidP="004179DE">
            <w:pPr>
              <w:ind w:left="0"/>
              <w:jc w:val="center"/>
              <w:rPr>
                <w:i/>
                <w:sz w:val="18"/>
                <w:szCs w:val="18"/>
              </w:rPr>
            </w:pPr>
            <w:r w:rsidRPr="00E661DF">
              <w:rPr>
                <w:i/>
                <w:sz w:val="18"/>
                <w:szCs w:val="18"/>
              </w:rPr>
              <w:t>Ročne</w:t>
            </w:r>
          </w:p>
        </w:tc>
      </w:tr>
      <w:tr w:rsidR="00E10737" w14:paraId="4648E6DF" w14:textId="77777777" w:rsidTr="00132EB9">
        <w:trPr>
          <w:trHeight w:val="680"/>
          <w:jc w:val="center"/>
        </w:trPr>
        <w:tc>
          <w:tcPr>
            <w:tcW w:w="706" w:type="dxa"/>
            <w:shd w:val="clear" w:color="auto" w:fill="auto"/>
            <w:vAlign w:val="center"/>
          </w:tcPr>
          <w:p w14:paraId="56336A6A" w14:textId="77777777" w:rsidR="00E10737" w:rsidRDefault="00E10737" w:rsidP="004179DE">
            <w:pPr>
              <w:ind w:left="0"/>
              <w:jc w:val="center"/>
              <w:rPr>
                <w:sz w:val="18"/>
                <w:szCs w:val="18"/>
              </w:rPr>
            </w:pPr>
            <w:r>
              <w:rPr>
                <w:sz w:val="18"/>
                <w:szCs w:val="18"/>
              </w:rPr>
              <w:t>CO24</w:t>
            </w:r>
          </w:p>
        </w:tc>
        <w:tc>
          <w:tcPr>
            <w:tcW w:w="2641" w:type="dxa"/>
            <w:shd w:val="clear" w:color="auto" w:fill="auto"/>
            <w:vAlign w:val="center"/>
          </w:tcPr>
          <w:p w14:paraId="0D8652A8" w14:textId="77777777" w:rsidR="00E10737" w:rsidRPr="000A417B" w:rsidRDefault="00E10737" w:rsidP="004179DE">
            <w:pPr>
              <w:ind w:left="0"/>
              <w:rPr>
                <w:sz w:val="18"/>
                <w:szCs w:val="18"/>
              </w:rPr>
            </w:pPr>
            <w:r w:rsidRPr="00972FA1">
              <w:rPr>
                <w:sz w:val="18"/>
                <w:szCs w:val="18"/>
              </w:rPr>
              <w:t>Počet nových výskumných pracovníkov v podporovaných podnikoch (spoločný)</w:t>
            </w:r>
          </w:p>
        </w:tc>
        <w:tc>
          <w:tcPr>
            <w:tcW w:w="992" w:type="dxa"/>
            <w:shd w:val="clear" w:color="auto" w:fill="auto"/>
            <w:vAlign w:val="center"/>
          </w:tcPr>
          <w:p w14:paraId="751DAAF4" w14:textId="77777777" w:rsidR="00E10737" w:rsidRPr="00E661DF" w:rsidRDefault="00E10737" w:rsidP="004179DE">
            <w:pPr>
              <w:ind w:left="0"/>
              <w:jc w:val="center"/>
              <w:rPr>
                <w:i/>
                <w:sz w:val="18"/>
                <w:szCs w:val="18"/>
              </w:rPr>
            </w:pPr>
            <w:r w:rsidRPr="00E661DF">
              <w:rPr>
                <w:i/>
                <w:sz w:val="18"/>
                <w:szCs w:val="18"/>
              </w:rPr>
              <w:t>FTE</w:t>
            </w:r>
          </w:p>
        </w:tc>
        <w:tc>
          <w:tcPr>
            <w:tcW w:w="709" w:type="dxa"/>
            <w:shd w:val="clear" w:color="auto" w:fill="auto"/>
            <w:vAlign w:val="center"/>
          </w:tcPr>
          <w:p w14:paraId="0E344E20"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07A5E24B"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01E7015C" w14:textId="2F9B636F" w:rsidR="00E10737" w:rsidRPr="00E661DF" w:rsidRDefault="00D3601B" w:rsidP="00D3601B">
            <w:pPr>
              <w:ind w:left="0"/>
              <w:jc w:val="center"/>
              <w:rPr>
                <w:i/>
                <w:sz w:val="18"/>
                <w:szCs w:val="18"/>
              </w:rPr>
            </w:pPr>
            <w:r>
              <w:rPr>
                <w:i/>
                <w:sz w:val="18"/>
                <w:szCs w:val="18"/>
              </w:rPr>
              <w:t>35</w:t>
            </w:r>
          </w:p>
        </w:tc>
        <w:tc>
          <w:tcPr>
            <w:tcW w:w="866" w:type="dxa"/>
            <w:vAlign w:val="center"/>
          </w:tcPr>
          <w:p w14:paraId="162BDD0C"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2BCBD8CC" w14:textId="77777777" w:rsidR="00E10737" w:rsidRPr="00E661DF" w:rsidRDefault="00E10737" w:rsidP="004179DE">
            <w:pPr>
              <w:ind w:left="0"/>
              <w:jc w:val="center"/>
              <w:rPr>
                <w:i/>
                <w:sz w:val="18"/>
                <w:szCs w:val="18"/>
              </w:rPr>
            </w:pPr>
            <w:r w:rsidRPr="00E661DF">
              <w:rPr>
                <w:i/>
                <w:sz w:val="18"/>
                <w:szCs w:val="18"/>
              </w:rPr>
              <w:t>Ročne</w:t>
            </w:r>
          </w:p>
        </w:tc>
      </w:tr>
      <w:tr w:rsidR="00E10737" w14:paraId="2DF07D1A" w14:textId="77777777" w:rsidTr="00132EB9">
        <w:trPr>
          <w:trHeight w:val="680"/>
          <w:jc w:val="center"/>
        </w:trPr>
        <w:tc>
          <w:tcPr>
            <w:tcW w:w="706" w:type="dxa"/>
            <w:shd w:val="clear" w:color="auto" w:fill="auto"/>
            <w:vAlign w:val="center"/>
          </w:tcPr>
          <w:p w14:paraId="75CDCDE7" w14:textId="77777777" w:rsidR="00E10737" w:rsidRDefault="00E10737" w:rsidP="004179DE">
            <w:pPr>
              <w:ind w:left="0"/>
              <w:jc w:val="center"/>
              <w:rPr>
                <w:sz w:val="18"/>
                <w:szCs w:val="18"/>
              </w:rPr>
            </w:pPr>
            <w:r>
              <w:rPr>
                <w:sz w:val="18"/>
                <w:szCs w:val="18"/>
              </w:rPr>
              <w:t>CO25</w:t>
            </w:r>
          </w:p>
        </w:tc>
        <w:tc>
          <w:tcPr>
            <w:tcW w:w="2641" w:type="dxa"/>
            <w:shd w:val="clear" w:color="auto" w:fill="auto"/>
            <w:vAlign w:val="center"/>
          </w:tcPr>
          <w:p w14:paraId="73610F66" w14:textId="77777777" w:rsidR="00E10737" w:rsidRPr="00972FA1" w:rsidRDefault="00E10737" w:rsidP="004179DE">
            <w:pPr>
              <w:ind w:left="0"/>
              <w:rPr>
                <w:sz w:val="18"/>
                <w:szCs w:val="18"/>
              </w:rPr>
            </w:pPr>
            <w:r w:rsidRPr="00972FA1">
              <w:rPr>
                <w:sz w:val="18"/>
                <w:szCs w:val="18"/>
              </w:rPr>
              <w:t>Počet výskumných pracovníkov pracujúcich v zrekonštruovaných zariadeniach výskumnej infraštruktúry</w:t>
            </w:r>
          </w:p>
          <w:p w14:paraId="6D98BF40" w14:textId="77777777" w:rsidR="00E10737" w:rsidRPr="000A417B" w:rsidRDefault="00E10737" w:rsidP="004179DE">
            <w:pPr>
              <w:ind w:left="0"/>
              <w:rPr>
                <w:sz w:val="18"/>
                <w:szCs w:val="18"/>
              </w:rPr>
            </w:pPr>
            <w:r w:rsidRPr="00972FA1">
              <w:rPr>
                <w:sz w:val="18"/>
                <w:szCs w:val="18"/>
              </w:rPr>
              <w:t>(spoločný)</w:t>
            </w:r>
          </w:p>
        </w:tc>
        <w:tc>
          <w:tcPr>
            <w:tcW w:w="992" w:type="dxa"/>
            <w:shd w:val="clear" w:color="auto" w:fill="auto"/>
            <w:vAlign w:val="center"/>
          </w:tcPr>
          <w:p w14:paraId="17EDFC8E" w14:textId="77777777" w:rsidR="00E10737" w:rsidRPr="00E661DF" w:rsidRDefault="00E10737" w:rsidP="004179DE">
            <w:pPr>
              <w:ind w:left="0"/>
              <w:jc w:val="center"/>
              <w:rPr>
                <w:i/>
                <w:sz w:val="18"/>
                <w:szCs w:val="18"/>
              </w:rPr>
            </w:pPr>
            <w:r w:rsidRPr="00E661DF">
              <w:rPr>
                <w:i/>
                <w:sz w:val="18"/>
                <w:szCs w:val="18"/>
              </w:rPr>
              <w:t>FTE</w:t>
            </w:r>
          </w:p>
        </w:tc>
        <w:tc>
          <w:tcPr>
            <w:tcW w:w="709" w:type="dxa"/>
            <w:shd w:val="clear" w:color="auto" w:fill="auto"/>
            <w:vAlign w:val="center"/>
          </w:tcPr>
          <w:p w14:paraId="1FFE8245"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01D84AC4"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61B8EF6F" w14:textId="77425D6E" w:rsidR="00E10737" w:rsidRPr="00E661DF" w:rsidRDefault="00D3601B" w:rsidP="00D3601B">
            <w:pPr>
              <w:ind w:left="0"/>
              <w:jc w:val="center"/>
              <w:rPr>
                <w:i/>
                <w:sz w:val="18"/>
                <w:szCs w:val="18"/>
              </w:rPr>
            </w:pPr>
            <w:r>
              <w:rPr>
                <w:i/>
                <w:sz w:val="18"/>
                <w:szCs w:val="18"/>
              </w:rPr>
              <w:t>350</w:t>
            </w:r>
          </w:p>
        </w:tc>
        <w:tc>
          <w:tcPr>
            <w:tcW w:w="866" w:type="dxa"/>
            <w:vAlign w:val="center"/>
          </w:tcPr>
          <w:p w14:paraId="0EC651F1"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69424225" w14:textId="77777777" w:rsidR="00E10737" w:rsidRPr="00E661DF" w:rsidRDefault="00E10737" w:rsidP="004179DE">
            <w:pPr>
              <w:ind w:left="0"/>
              <w:jc w:val="center"/>
              <w:rPr>
                <w:i/>
                <w:sz w:val="18"/>
                <w:szCs w:val="18"/>
              </w:rPr>
            </w:pPr>
            <w:r w:rsidRPr="00E661DF">
              <w:rPr>
                <w:i/>
                <w:sz w:val="18"/>
                <w:szCs w:val="18"/>
              </w:rPr>
              <w:t>Ročne</w:t>
            </w:r>
          </w:p>
        </w:tc>
      </w:tr>
      <w:tr w:rsidR="00E10737" w14:paraId="1786FA4C" w14:textId="77777777" w:rsidTr="00132EB9">
        <w:trPr>
          <w:trHeight w:val="680"/>
          <w:jc w:val="center"/>
        </w:trPr>
        <w:tc>
          <w:tcPr>
            <w:tcW w:w="706" w:type="dxa"/>
            <w:shd w:val="clear" w:color="auto" w:fill="auto"/>
            <w:vAlign w:val="center"/>
          </w:tcPr>
          <w:p w14:paraId="7DFC2B5A" w14:textId="77777777" w:rsidR="00E10737" w:rsidRDefault="00E10737" w:rsidP="004179DE">
            <w:pPr>
              <w:ind w:left="0"/>
              <w:jc w:val="center"/>
              <w:rPr>
                <w:sz w:val="18"/>
                <w:szCs w:val="18"/>
              </w:rPr>
            </w:pPr>
            <w:r>
              <w:rPr>
                <w:sz w:val="18"/>
                <w:szCs w:val="18"/>
              </w:rPr>
              <w:t>CO26</w:t>
            </w:r>
          </w:p>
        </w:tc>
        <w:tc>
          <w:tcPr>
            <w:tcW w:w="2641" w:type="dxa"/>
            <w:shd w:val="clear" w:color="auto" w:fill="auto"/>
            <w:vAlign w:val="center"/>
          </w:tcPr>
          <w:p w14:paraId="4E1824E3" w14:textId="77777777" w:rsidR="00E10737" w:rsidRPr="00972FA1" w:rsidRDefault="00E10737" w:rsidP="004179DE">
            <w:pPr>
              <w:ind w:left="0"/>
              <w:rPr>
                <w:sz w:val="18"/>
                <w:szCs w:val="18"/>
              </w:rPr>
            </w:pPr>
            <w:r w:rsidRPr="00265F58">
              <w:rPr>
                <w:sz w:val="18"/>
                <w:szCs w:val="18"/>
              </w:rPr>
              <w:t>Počet podnikov spolupracujúcich s výskumnými inštitúciami (spoločný)</w:t>
            </w:r>
          </w:p>
        </w:tc>
        <w:tc>
          <w:tcPr>
            <w:tcW w:w="992" w:type="dxa"/>
            <w:shd w:val="clear" w:color="auto" w:fill="auto"/>
            <w:vAlign w:val="center"/>
          </w:tcPr>
          <w:p w14:paraId="0F4C08C9"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72F9C535"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730F7950"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33ADE408" w14:textId="4807496F" w:rsidR="00E10737" w:rsidRPr="00E661DF" w:rsidRDefault="00D3601B" w:rsidP="00D3601B">
            <w:pPr>
              <w:ind w:left="0"/>
              <w:jc w:val="center"/>
              <w:rPr>
                <w:i/>
                <w:sz w:val="18"/>
                <w:szCs w:val="18"/>
              </w:rPr>
            </w:pPr>
            <w:r>
              <w:rPr>
                <w:i/>
                <w:sz w:val="18"/>
                <w:szCs w:val="18"/>
              </w:rPr>
              <w:t>109</w:t>
            </w:r>
          </w:p>
        </w:tc>
        <w:tc>
          <w:tcPr>
            <w:tcW w:w="866" w:type="dxa"/>
            <w:vAlign w:val="center"/>
          </w:tcPr>
          <w:p w14:paraId="3111C506"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11C040EA" w14:textId="77777777" w:rsidR="00E10737" w:rsidRPr="00E661DF" w:rsidRDefault="00E10737" w:rsidP="004179DE">
            <w:pPr>
              <w:ind w:left="0"/>
              <w:jc w:val="center"/>
              <w:rPr>
                <w:i/>
                <w:sz w:val="18"/>
                <w:szCs w:val="18"/>
              </w:rPr>
            </w:pPr>
            <w:r w:rsidRPr="00E661DF">
              <w:rPr>
                <w:i/>
                <w:sz w:val="18"/>
                <w:szCs w:val="18"/>
              </w:rPr>
              <w:t>Ročne</w:t>
            </w:r>
          </w:p>
        </w:tc>
      </w:tr>
      <w:tr w:rsidR="00E10737" w14:paraId="73448490" w14:textId="77777777" w:rsidTr="00132EB9">
        <w:trPr>
          <w:trHeight w:val="680"/>
          <w:jc w:val="center"/>
        </w:trPr>
        <w:tc>
          <w:tcPr>
            <w:tcW w:w="706" w:type="dxa"/>
            <w:shd w:val="clear" w:color="auto" w:fill="auto"/>
            <w:vAlign w:val="center"/>
          </w:tcPr>
          <w:p w14:paraId="303CEC4F" w14:textId="77777777" w:rsidR="00E10737" w:rsidRDefault="00E10737" w:rsidP="004179DE">
            <w:pPr>
              <w:ind w:left="0"/>
              <w:jc w:val="center"/>
              <w:rPr>
                <w:sz w:val="18"/>
                <w:szCs w:val="18"/>
              </w:rPr>
            </w:pPr>
            <w:r>
              <w:rPr>
                <w:sz w:val="18"/>
                <w:szCs w:val="18"/>
              </w:rPr>
              <w:t>CO27</w:t>
            </w:r>
          </w:p>
        </w:tc>
        <w:tc>
          <w:tcPr>
            <w:tcW w:w="2641" w:type="dxa"/>
            <w:shd w:val="clear" w:color="auto" w:fill="auto"/>
            <w:vAlign w:val="center"/>
          </w:tcPr>
          <w:p w14:paraId="2C425D1B" w14:textId="77777777" w:rsidR="00E10737" w:rsidRPr="000A417B" w:rsidRDefault="00E10737" w:rsidP="004179DE">
            <w:pPr>
              <w:ind w:left="0"/>
              <w:rPr>
                <w:sz w:val="18"/>
                <w:szCs w:val="18"/>
              </w:rPr>
            </w:pPr>
            <w:r w:rsidRPr="00972FA1">
              <w:rPr>
                <w:sz w:val="18"/>
                <w:szCs w:val="18"/>
              </w:rPr>
              <w:t>Súkromné investície spojené s verejnou podporou v inovačných projektoch alebo projektoch výskumu a vývoja (spoločný)</w:t>
            </w:r>
          </w:p>
        </w:tc>
        <w:tc>
          <w:tcPr>
            <w:tcW w:w="992" w:type="dxa"/>
            <w:shd w:val="clear" w:color="auto" w:fill="auto"/>
            <w:vAlign w:val="center"/>
          </w:tcPr>
          <w:p w14:paraId="08FA9673" w14:textId="77777777" w:rsidR="00E10737" w:rsidRPr="00E661DF" w:rsidRDefault="00E10737" w:rsidP="004179DE">
            <w:pPr>
              <w:ind w:left="0"/>
              <w:jc w:val="center"/>
              <w:rPr>
                <w:i/>
                <w:sz w:val="18"/>
                <w:szCs w:val="18"/>
              </w:rPr>
            </w:pPr>
            <w:r w:rsidRPr="00E661DF">
              <w:rPr>
                <w:i/>
                <w:sz w:val="18"/>
                <w:szCs w:val="18"/>
              </w:rPr>
              <w:t>EUR</w:t>
            </w:r>
          </w:p>
        </w:tc>
        <w:tc>
          <w:tcPr>
            <w:tcW w:w="709" w:type="dxa"/>
            <w:shd w:val="clear" w:color="auto" w:fill="auto"/>
            <w:vAlign w:val="center"/>
          </w:tcPr>
          <w:p w14:paraId="106A71C1"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5E9AA086"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6D0D2359" w14:textId="5A99068F" w:rsidR="00E10737" w:rsidRPr="00E661DF" w:rsidRDefault="00D3601B" w:rsidP="00D3601B">
            <w:pPr>
              <w:ind w:left="0"/>
              <w:jc w:val="center"/>
              <w:rPr>
                <w:i/>
                <w:sz w:val="18"/>
                <w:szCs w:val="18"/>
              </w:rPr>
            </w:pPr>
            <w:r>
              <w:rPr>
                <w:i/>
                <w:sz w:val="18"/>
                <w:szCs w:val="18"/>
              </w:rPr>
              <w:t>28 631 099</w:t>
            </w:r>
          </w:p>
        </w:tc>
        <w:tc>
          <w:tcPr>
            <w:tcW w:w="866" w:type="dxa"/>
            <w:vAlign w:val="center"/>
          </w:tcPr>
          <w:p w14:paraId="2C11F20A"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477F21E7" w14:textId="77777777" w:rsidR="00E10737" w:rsidRPr="00E661DF" w:rsidRDefault="00E10737" w:rsidP="004179DE">
            <w:pPr>
              <w:ind w:left="0"/>
              <w:jc w:val="center"/>
              <w:rPr>
                <w:i/>
                <w:sz w:val="18"/>
                <w:szCs w:val="18"/>
              </w:rPr>
            </w:pPr>
            <w:r w:rsidRPr="00E661DF">
              <w:rPr>
                <w:i/>
                <w:sz w:val="18"/>
                <w:szCs w:val="18"/>
              </w:rPr>
              <w:t>Ročne</w:t>
            </w:r>
          </w:p>
        </w:tc>
      </w:tr>
      <w:tr w:rsidR="00E10737" w14:paraId="3CEDBCA3" w14:textId="77777777" w:rsidTr="00132EB9">
        <w:trPr>
          <w:trHeight w:val="680"/>
          <w:jc w:val="center"/>
        </w:trPr>
        <w:tc>
          <w:tcPr>
            <w:tcW w:w="706" w:type="dxa"/>
            <w:shd w:val="clear" w:color="auto" w:fill="auto"/>
            <w:vAlign w:val="center"/>
          </w:tcPr>
          <w:p w14:paraId="269E8CDD" w14:textId="77777777" w:rsidR="00E10737" w:rsidRDefault="00E10737" w:rsidP="004179DE">
            <w:pPr>
              <w:ind w:left="0"/>
              <w:jc w:val="center"/>
              <w:rPr>
                <w:sz w:val="18"/>
                <w:szCs w:val="18"/>
              </w:rPr>
            </w:pPr>
            <w:r>
              <w:rPr>
                <w:sz w:val="18"/>
                <w:szCs w:val="18"/>
              </w:rPr>
              <w:t>CO28</w:t>
            </w:r>
          </w:p>
        </w:tc>
        <w:tc>
          <w:tcPr>
            <w:tcW w:w="2641" w:type="dxa"/>
            <w:shd w:val="clear" w:color="auto" w:fill="auto"/>
            <w:vAlign w:val="center"/>
          </w:tcPr>
          <w:p w14:paraId="2B8EBA33" w14:textId="6FEF5246" w:rsidR="00E10737" w:rsidRPr="00972FA1" w:rsidRDefault="00E10737" w:rsidP="004179DE">
            <w:pPr>
              <w:ind w:left="0"/>
              <w:rPr>
                <w:sz w:val="18"/>
                <w:szCs w:val="18"/>
              </w:rPr>
            </w:pPr>
            <w:r w:rsidRPr="00BA77B0">
              <w:rPr>
                <w:sz w:val="18"/>
                <w:szCs w:val="18"/>
              </w:rPr>
              <w:t xml:space="preserve">Počet podnikov, ktoré dostávajú podporu s cieľom predstaviť výrobky, ktoré sú pre </w:t>
            </w:r>
            <w:r w:rsidR="007C1B88">
              <w:rPr>
                <w:sz w:val="18"/>
                <w:szCs w:val="18"/>
              </w:rPr>
              <w:t>trh</w:t>
            </w:r>
            <w:r w:rsidRPr="00BA77B0">
              <w:rPr>
                <w:sz w:val="18"/>
                <w:szCs w:val="18"/>
              </w:rPr>
              <w:t xml:space="preserve"> nové (spoločný)</w:t>
            </w:r>
          </w:p>
        </w:tc>
        <w:tc>
          <w:tcPr>
            <w:tcW w:w="992" w:type="dxa"/>
            <w:shd w:val="clear" w:color="auto" w:fill="auto"/>
            <w:vAlign w:val="center"/>
          </w:tcPr>
          <w:p w14:paraId="1D8A0E0C"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54499BD4"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26EBFA12"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45E54726" w14:textId="3B9D709E" w:rsidR="00E10737" w:rsidRPr="00E661DF" w:rsidRDefault="00D3601B" w:rsidP="00D3601B">
            <w:pPr>
              <w:ind w:left="0"/>
              <w:jc w:val="center"/>
              <w:rPr>
                <w:i/>
                <w:sz w:val="18"/>
                <w:szCs w:val="18"/>
              </w:rPr>
            </w:pPr>
            <w:r>
              <w:rPr>
                <w:i/>
                <w:sz w:val="18"/>
                <w:szCs w:val="18"/>
              </w:rPr>
              <w:t>166</w:t>
            </w:r>
          </w:p>
        </w:tc>
        <w:tc>
          <w:tcPr>
            <w:tcW w:w="866" w:type="dxa"/>
            <w:vAlign w:val="center"/>
          </w:tcPr>
          <w:p w14:paraId="07E76901"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53B409ED" w14:textId="77777777" w:rsidR="00E10737" w:rsidRPr="00E661DF" w:rsidRDefault="00E10737" w:rsidP="004179DE">
            <w:pPr>
              <w:ind w:left="0"/>
              <w:jc w:val="center"/>
              <w:rPr>
                <w:i/>
                <w:sz w:val="18"/>
                <w:szCs w:val="18"/>
              </w:rPr>
            </w:pPr>
            <w:r w:rsidRPr="00E661DF">
              <w:rPr>
                <w:i/>
                <w:sz w:val="18"/>
                <w:szCs w:val="18"/>
              </w:rPr>
              <w:t>Ročne</w:t>
            </w:r>
          </w:p>
        </w:tc>
      </w:tr>
      <w:tr w:rsidR="00E10737" w14:paraId="36B471EF" w14:textId="77777777" w:rsidTr="00132EB9">
        <w:trPr>
          <w:trHeight w:val="680"/>
          <w:jc w:val="center"/>
        </w:trPr>
        <w:tc>
          <w:tcPr>
            <w:tcW w:w="706" w:type="dxa"/>
            <w:shd w:val="clear" w:color="auto" w:fill="auto"/>
            <w:vAlign w:val="center"/>
          </w:tcPr>
          <w:p w14:paraId="076A9681" w14:textId="4FF49425" w:rsidR="00E10737" w:rsidRDefault="00E10737" w:rsidP="004179DE">
            <w:pPr>
              <w:ind w:left="0"/>
              <w:jc w:val="center"/>
              <w:rPr>
                <w:sz w:val="18"/>
                <w:szCs w:val="18"/>
              </w:rPr>
            </w:pPr>
            <w:r>
              <w:rPr>
                <w:sz w:val="18"/>
                <w:szCs w:val="18"/>
              </w:rPr>
              <w:t>CO</w:t>
            </w:r>
            <w:r w:rsidR="007C1B88">
              <w:rPr>
                <w:sz w:val="18"/>
                <w:szCs w:val="18"/>
              </w:rPr>
              <w:t>29</w:t>
            </w:r>
          </w:p>
        </w:tc>
        <w:tc>
          <w:tcPr>
            <w:tcW w:w="2641" w:type="dxa"/>
            <w:shd w:val="clear" w:color="auto" w:fill="auto"/>
            <w:vAlign w:val="center"/>
          </w:tcPr>
          <w:p w14:paraId="1F1C8BD0" w14:textId="77777777" w:rsidR="00E10737" w:rsidRPr="00BA77B0" w:rsidRDefault="00E10737" w:rsidP="004179DE">
            <w:pPr>
              <w:ind w:left="0"/>
              <w:rPr>
                <w:sz w:val="18"/>
                <w:szCs w:val="18"/>
              </w:rPr>
            </w:pPr>
            <w:r w:rsidRPr="00B85507">
              <w:rPr>
                <w:sz w:val="18"/>
                <w:szCs w:val="18"/>
              </w:rPr>
              <w:t>Počet podnikov, ktoré dostávajú podporu s cieľom predstaviť výrobky, ktoré sú pre firmu nové (spoločný)</w:t>
            </w:r>
          </w:p>
        </w:tc>
        <w:tc>
          <w:tcPr>
            <w:tcW w:w="992" w:type="dxa"/>
            <w:shd w:val="clear" w:color="auto" w:fill="auto"/>
            <w:vAlign w:val="center"/>
          </w:tcPr>
          <w:p w14:paraId="252C5FD7" w14:textId="77777777" w:rsidR="00E10737" w:rsidRPr="00E661DF" w:rsidRDefault="00E10737" w:rsidP="004179DE">
            <w:pPr>
              <w:ind w:left="0"/>
              <w:jc w:val="center"/>
              <w:rPr>
                <w:i/>
                <w:sz w:val="18"/>
                <w:szCs w:val="18"/>
              </w:rPr>
            </w:pPr>
            <w:r w:rsidRPr="00E661DF">
              <w:rPr>
                <w:i/>
                <w:sz w:val="18"/>
                <w:szCs w:val="18"/>
              </w:rPr>
              <w:t>podniky</w:t>
            </w:r>
          </w:p>
        </w:tc>
        <w:tc>
          <w:tcPr>
            <w:tcW w:w="709" w:type="dxa"/>
            <w:shd w:val="clear" w:color="auto" w:fill="auto"/>
            <w:vAlign w:val="center"/>
          </w:tcPr>
          <w:p w14:paraId="32657434"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7927B219"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02E866AA" w14:textId="21F640FB" w:rsidR="00E10737" w:rsidRPr="00E661DF" w:rsidRDefault="00D3601B" w:rsidP="00D3601B">
            <w:pPr>
              <w:ind w:left="0"/>
              <w:jc w:val="center"/>
              <w:rPr>
                <w:i/>
                <w:sz w:val="18"/>
                <w:szCs w:val="18"/>
              </w:rPr>
            </w:pPr>
            <w:r>
              <w:rPr>
                <w:i/>
                <w:sz w:val="18"/>
                <w:szCs w:val="18"/>
              </w:rPr>
              <w:t>262</w:t>
            </w:r>
          </w:p>
        </w:tc>
        <w:tc>
          <w:tcPr>
            <w:tcW w:w="866" w:type="dxa"/>
            <w:vAlign w:val="center"/>
          </w:tcPr>
          <w:p w14:paraId="28B74BB8"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1AE0A206" w14:textId="77777777" w:rsidR="00E10737" w:rsidRPr="00E661DF" w:rsidRDefault="00E10737" w:rsidP="004179DE">
            <w:pPr>
              <w:ind w:left="0"/>
              <w:jc w:val="center"/>
              <w:rPr>
                <w:i/>
                <w:sz w:val="18"/>
                <w:szCs w:val="18"/>
              </w:rPr>
            </w:pPr>
            <w:r w:rsidRPr="00E661DF">
              <w:rPr>
                <w:i/>
                <w:sz w:val="18"/>
                <w:szCs w:val="18"/>
              </w:rPr>
              <w:t>Ročne</w:t>
            </w:r>
          </w:p>
        </w:tc>
      </w:tr>
      <w:tr w:rsidR="00E10737" w14:paraId="6E5F2EC5" w14:textId="77777777" w:rsidTr="00132EB9">
        <w:trPr>
          <w:trHeight w:val="680"/>
          <w:jc w:val="center"/>
        </w:trPr>
        <w:tc>
          <w:tcPr>
            <w:tcW w:w="706" w:type="dxa"/>
            <w:shd w:val="clear" w:color="auto" w:fill="auto"/>
            <w:vAlign w:val="center"/>
          </w:tcPr>
          <w:p w14:paraId="4383A8AD" w14:textId="77777777" w:rsidR="00E10737" w:rsidRDefault="00E10737" w:rsidP="004179DE">
            <w:pPr>
              <w:ind w:left="0"/>
              <w:jc w:val="center"/>
              <w:rPr>
                <w:sz w:val="18"/>
                <w:szCs w:val="18"/>
              </w:rPr>
            </w:pPr>
            <w:r>
              <w:rPr>
                <w:sz w:val="18"/>
                <w:szCs w:val="18"/>
              </w:rPr>
              <w:t>O0069</w:t>
            </w:r>
          </w:p>
        </w:tc>
        <w:tc>
          <w:tcPr>
            <w:tcW w:w="2641" w:type="dxa"/>
            <w:shd w:val="clear" w:color="auto" w:fill="auto"/>
            <w:vAlign w:val="center"/>
          </w:tcPr>
          <w:p w14:paraId="2CEAE04C" w14:textId="77777777" w:rsidR="00E10737" w:rsidRPr="000A417B" w:rsidRDefault="00E10737" w:rsidP="004179DE">
            <w:pPr>
              <w:ind w:left="0"/>
              <w:rPr>
                <w:sz w:val="18"/>
                <w:szCs w:val="18"/>
              </w:rPr>
            </w:pPr>
            <w:r w:rsidRPr="00972FA1">
              <w:rPr>
                <w:sz w:val="18"/>
                <w:szCs w:val="18"/>
              </w:rPr>
              <w:t>Počet podporených výskumných inštitúcií (špecifický)</w:t>
            </w:r>
          </w:p>
        </w:tc>
        <w:tc>
          <w:tcPr>
            <w:tcW w:w="992" w:type="dxa"/>
            <w:shd w:val="clear" w:color="auto" w:fill="auto"/>
            <w:vAlign w:val="center"/>
          </w:tcPr>
          <w:p w14:paraId="49AB8938"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54BBF95E"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4A5A64B0"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08D5901A" w14:textId="7F27A004" w:rsidR="00E10737" w:rsidRPr="00E661DF" w:rsidRDefault="00D3601B" w:rsidP="00D3601B">
            <w:pPr>
              <w:ind w:left="0"/>
              <w:jc w:val="center"/>
              <w:rPr>
                <w:i/>
                <w:sz w:val="18"/>
                <w:szCs w:val="18"/>
              </w:rPr>
            </w:pPr>
            <w:r>
              <w:rPr>
                <w:i/>
                <w:sz w:val="18"/>
                <w:szCs w:val="18"/>
              </w:rPr>
              <w:t>4</w:t>
            </w:r>
          </w:p>
        </w:tc>
        <w:tc>
          <w:tcPr>
            <w:tcW w:w="866" w:type="dxa"/>
            <w:vAlign w:val="center"/>
          </w:tcPr>
          <w:p w14:paraId="0405F8F6"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742C9BBA" w14:textId="77777777" w:rsidR="00E10737" w:rsidRPr="00E661DF" w:rsidRDefault="00E10737" w:rsidP="004179DE">
            <w:pPr>
              <w:ind w:left="0"/>
              <w:jc w:val="center"/>
              <w:rPr>
                <w:i/>
                <w:sz w:val="18"/>
                <w:szCs w:val="18"/>
              </w:rPr>
            </w:pPr>
            <w:r w:rsidRPr="00E661DF">
              <w:rPr>
                <w:i/>
                <w:sz w:val="18"/>
                <w:szCs w:val="18"/>
              </w:rPr>
              <w:t>Ročne</w:t>
            </w:r>
          </w:p>
        </w:tc>
      </w:tr>
      <w:tr w:rsidR="00E10737" w14:paraId="26CC4E14" w14:textId="77777777" w:rsidTr="00132EB9">
        <w:trPr>
          <w:trHeight w:val="680"/>
          <w:jc w:val="center"/>
        </w:trPr>
        <w:tc>
          <w:tcPr>
            <w:tcW w:w="706" w:type="dxa"/>
            <w:shd w:val="clear" w:color="auto" w:fill="auto"/>
            <w:vAlign w:val="center"/>
          </w:tcPr>
          <w:p w14:paraId="549233AD" w14:textId="77777777" w:rsidR="00E10737" w:rsidRDefault="00E10737" w:rsidP="004179DE">
            <w:pPr>
              <w:ind w:left="0"/>
              <w:jc w:val="center"/>
              <w:rPr>
                <w:sz w:val="18"/>
                <w:szCs w:val="18"/>
              </w:rPr>
            </w:pPr>
            <w:r w:rsidRPr="00926711">
              <w:rPr>
                <w:sz w:val="18"/>
                <w:szCs w:val="18"/>
              </w:rPr>
              <w:t>O0070</w:t>
            </w:r>
          </w:p>
        </w:tc>
        <w:tc>
          <w:tcPr>
            <w:tcW w:w="2641" w:type="dxa"/>
            <w:shd w:val="clear" w:color="auto" w:fill="auto"/>
            <w:vAlign w:val="center"/>
          </w:tcPr>
          <w:p w14:paraId="07D55449" w14:textId="77777777" w:rsidR="00E10737" w:rsidRPr="00972FA1" w:rsidRDefault="00E10737" w:rsidP="004179DE">
            <w:pPr>
              <w:ind w:left="0"/>
              <w:rPr>
                <w:sz w:val="18"/>
                <w:szCs w:val="18"/>
              </w:rPr>
            </w:pPr>
            <w:r w:rsidRPr="00926711">
              <w:rPr>
                <w:sz w:val="18"/>
                <w:szCs w:val="18"/>
              </w:rPr>
              <w:t>Počet podporených výskumných inštitúcií spolupracujúcich s podnikmi (špecifický)</w:t>
            </w:r>
          </w:p>
        </w:tc>
        <w:tc>
          <w:tcPr>
            <w:tcW w:w="992" w:type="dxa"/>
            <w:shd w:val="clear" w:color="auto" w:fill="auto"/>
            <w:vAlign w:val="center"/>
          </w:tcPr>
          <w:p w14:paraId="1E0F1F3B"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452DE271"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0C54D1E2"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2D0493DC" w14:textId="2E32BA8E" w:rsidR="00E10737" w:rsidRPr="00E661DF" w:rsidRDefault="00D3601B" w:rsidP="00D3601B">
            <w:pPr>
              <w:ind w:left="0"/>
              <w:jc w:val="center"/>
              <w:rPr>
                <w:i/>
                <w:sz w:val="18"/>
                <w:szCs w:val="18"/>
              </w:rPr>
            </w:pPr>
            <w:r>
              <w:rPr>
                <w:i/>
                <w:sz w:val="18"/>
                <w:szCs w:val="18"/>
              </w:rPr>
              <w:t>4</w:t>
            </w:r>
          </w:p>
        </w:tc>
        <w:tc>
          <w:tcPr>
            <w:tcW w:w="866" w:type="dxa"/>
            <w:vAlign w:val="center"/>
          </w:tcPr>
          <w:p w14:paraId="23A920B6"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2A58AC07" w14:textId="77777777" w:rsidR="00E10737" w:rsidRPr="00E661DF" w:rsidRDefault="00E10737" w:rsidP="004179DE">
            <w:pPr>
              <w:ind w:left="0"/>
              <w:jc w:val="center"/>
              <w:rPr>
                <w:i/>
                <w:sz w:val="18"/>
                <w:szCs w:val="18"/>
              </w:rPr>
            </w:pPr>
            <w:r w:rsidRPr="00E661DF">
              <w:rPr>
                <w:i/>
                <w:sz w:val="18"/>
                <w:szCs w:val="18"/>
              </w:rPr>
              <w:t>Ročne</w:t>
            </w:r>
          </w:p>
        </w:tc>
      </w:tr>
      <w:tr w:rsidR="00E10737" w14:paraId="36ECCD58" w14:textId="77777777" w:rsidTr="00132EB9">
        <w:trPr>
          <w:trHeight w:val="680"/>
          <w:jc w:val="center"/>
        </w:trPr>
        <w:tc>
          <w:tcPr>
            <w:tcW w:w="706" w:type="dxa"/>
            <w:shd w:val="clear" w:color="auto" w:fill="auto"/>
            <w:vAlign w:val="center"/>
          </w:tcPr>
          <w:p w14:paraId="06DC1E53" w14:textId="77777777" w:rsidR="00E10737" w:rsidRPr="00926711" w:rsidRDefault="00E10737" w:rsidP="004179DE">
            <w:pPr>
              <w:ind w:left="0"/>
              <w:jc w:val="center"/>
              <w:rPr>
                <w:sz w:val="18"/>
                <w:szCs w:val="18"/>
              </w:rPr>
            </w:pPr>
            <w:r>
              <w:rPr>
                <w:sz w:val="18"/>
                <w:szCs w:val="18"/>
              </w:rPr>
              <w:t>O0072</w:t>
            </w:r>
          </w:p>
        </w:tc>
        <w:tc>
          <w:tcPr>
            <w:tcW w:w="2641" w:type="dxa"/>
            <w:shd w:val="clear" w:color="auto" w:fill="auto"/>
            <w:vAlign w:val="center"/>
          </w:tcPr>
          <w:p w14:paraId="45840D73" w14:textId="77777777" w:rsidR="00E10737" w:rsidRPr="00926711" w:rsidRDefault="00E10737" w:rsidP="004179DE">
            <w:pPr>
              <w:ind w:left="0"/>
              <w:rPr>
                <w:sz w:val="18"/>
                <w:szCs w:val="18"/>
              </w:rPr>
            </w:pPr>
            <w:r w:rsidRPr="00D14D61">
              <w:rPr>
                <w:sz w:val="18"/>
                <w:szCs w:val="18"/>
              </w:rPr>
              <w:t>Počet prihlášok registrácie práv duševného vlastníctva (špecifický)</w:t>
            </w:r>
          </w:p>
        </w:tc>
        <w:tc>
          <w:tcPr>
            <w:tcW w:w="992" w:type="dxa"/>
            <w:shd w:val="clear" w:color="auto" w:fill="auto"/>
            <w:vAlign w:val="center"/>
          </w:tcPr>
          <w:p w14:paraId="7604D090"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31C211B6"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7D2E2E15"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6FAAD9F5" w14:textId="77777777" w:rsidR="00E10737" w:rsidRPr="00E661DF" w:rsidRDefault="00E10737" w:rsidP="004179DE">
            <w:pPr>
              <w:ind w:left="0"/>
              <w:jc w:val="center"/>
              <w:rPr>
                <w:i/>
                <w:sz w:val="18"/>
                <w:szCs w:val="18"/>
              </w:rPr>
            </w:pPr>
            <w:r w:rsidRPr="00E661DF">
              <w:rPr>
                <w:i/>
                <w:sz w:val="18"/>
                <w:szCs w:val="18"/>
              </w:rPr>
              <w:t>17</w:t>
            </w:r>
          </w:p>
        </w:tc>
        <w:tc>
          <w:tcPr>
            <w:tcW w:w="866" w:type="dxa"/>
            <w:vAlign w:val="center"/>
          </w:tcPr>
          <w:p w14:paraId="08786F70"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0F57D0AA" w14:textId="77777777" w:rsidR="00E10737" w:rsidRPr="00E661DF" w:rsidRDefault="00E10737" w:rsidP="004179DE">
            <w:pPr>
              <w:ind w:left="0"/>
              <w:jc w:val="center"/>
              <w:rPr>
                <w:i/>
                <w:sz w:val="18"/>
                <w:szCs w:val="18"/>
              </w:rPr>
            </w:pPr>
            <w:r w:rsidRPr="00E661DF">
              <w:rPr>
                <w:i/>
                <w:sz w:val="18"/>
                <w:szCs w:val="18"/>
              </w:rPr>
              <w:t>Ročne</w:t>
            </w:r>
          </w:p>
        </w:tc>
      </w:tr>
      <w:tr w:rsidR="00E10737" w14:paraId="183F1530" w14:textId="77777777" w:rsidTr="00132EB9">
        <w:trPr>
          <w:trHeight w:val="680"/>
          <w:jc w:val="center"/>
        </w:trPr>
        <w:tc>
          <w:tcPr>
            <w:tcW w:w="706" w:type="dxa"/>
            <w:shd w:val="clear" w:color="auto" w:fill="auto"/>
            <w:vAlign w:val="center"/>
          </w:tcPr>
          <w:p w14:paraId="358E7CAA" w14:textId="77777777" w:rsidR="00E10737" w:rsidRDefault="00E10737" w:rsidP="004179DE">
            <w:pPr>
              <w:ind w:left="0"/>
              <w:jc w:val="center"/>
              <w:rPr>
                <w:sz w:val="18"/>
                <w:szCs w:val="18"/>
              </w:rPr>
            </w:pPr>
            <w:r w:rsidRPr="00926711">
              <w:rPr>
                <w:sz w:val="18"/>
                <w:szCs w:val="18"/>
              </w:rPr>
              <w:t>O0073</w:t>
            </w:r>
          </w:p>
        </w:tc>
        <w:tc>
          <w:tcPr>
            <w:tcW w:w="2641" w:type="dxa"/>
            <w:shd w:val="clear" w:color="auto" w:fill="auto"/>
            <w:vAlign w:val="center"/>
          </w:tcPr>
          <w:p w14:paraId="36515B7A" w14:textId="77777777" w:rsidR="00E10737" w:rsidRPr="00972FA1" w:rsidRDefault="00E10737" w:rsidP="004179DE">
            <w:pPr>
              <w:ind w:left="0"/>
              <w:rPr>
                <w:sz w:val="18"/>
                <w:szCs w:val="18"/>
              </w:rPr>
            </w:pPr>
            <w:r w:rsidRPr="00926711">
              <w:rPr>
                <w:sz w:val="18"/>
                <w:szCs w:val="18"/>
              </w:rPr>
              <w:t>Počet podaných patentových prihlášok (špecifický)</w:t>
            </w:r>
          </w:p>
        </w:tc>
        <w:tc>
          <w:tcPr>
            <w:tcW w:w="992" w:type="dxa"/>
            <w:shd w:val="clear" w:color="auto" w:fill="auto"/>
            <w:vAlign w:val="center"/>
          </w:tcPr>
          <w:p w14:paraId="6A2F295D"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2E52D105"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3A296670"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614BA450" w14:textId="77777777" w:rsidR="00E10737" w:rsidRPr="00E661DF" w:rsidRDefault="00E10737" w:rsidP="004179DE">
            <w:pPr>
              <w:ind w:left="0"/>
              <w:jc w:val="center"/>
              <w:rPr>
                <w:i/>
                <w:sz w:val="18"/>
                <w:szCs w:val="18"/>
              </w:rPr>
            </w:pPr>
            <w:r w:rsidRPr="00E661DF">
              <w:rPr>
                <w:i/>
                <w:sz w:val="18"/>
                <w:szCs w:val="18"/>
              </w:rPr>
              <w:t>2</w:t>
            </w:r>
          </w:p>
        </w:tc>
        <w:tc>
          <w:tcPr>
            <w:tcW w:w="866" w:type="dxa"/>
            <w:vAlign w:val="center"/>
          </w:tcPr>
          <w:p w14:paraId="2DEB71CC"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3C7965B1" w14:textId="77777777" w:rsidR="00E10737" w:rsidRPr="00E661DF" w:rsidRDefault="00E10737" w:rsidP="004179DE">
            <w:pPr>
              <w:ind w:left="0"/>
              <w:jc w:val="center"/>
              <w:rPr>
                <w:i/>
                <w:sz w:val="18"/>
                <w:szCs w:val="18"/>
              </w:rPr>
            </w:pPr>
            <w:r w:rsidRPr="00E661DF">
              <w:rPr>
                <w:i/>
                <w:sz w:val="18"/>
                <w:szCs w:val="18"/>
              </w:rPr>
              <w:t>Ročne</w:t>
            </w:r>
          </w:p>
        </w:tc>
      </w:tr>
      <w:tr w:rsidR="00E10737" w14:paraId="23003501" w14:textId="77777777" w:rsidTr="00132EB9">
        <w:trPr>
          <w:trHeight w:val="680"/>
          <w:jc w:val="center"/>
        </w:trPr>
        <w:tc>
          <w:tcPr>
            <w:tcW w:w="706" w:type="dxa"/>
            <w:shd w:val="clear" w:color="auto" w:fill="auto"/>
            <w:vAlign w:val="center"/>
          </w:tcPr>
          <w:p w14:paraId="471C9CC4" w14:textId="77777777" w:rsidR="00E10737" w:rsidRDefault="00E10737" w:rsidP="004179DE">
            <w:pPr>
              <w:ind w:left="0"/>
              <w:jc w:val="center"/>
              <w:rPr>
                <w:sz w:val="18"/>
                <w:szCs w:val="18"/>
              </w:rPr>
            </w:pPr>
            <w:r w:rsidRPr="00926711">
              <w:rPr>
                <w:sz w:val="18"/>
                <w:szCs w:val="18"/>
              </w:rPr>
              <w:t>O0074</w:t>
            </w:r>
          </w:p>
        </w:tc>
        <w:tc>
          <w:tcPr>
            <w:tcW w:w="2641" w:type="dxa"/>
            <w:shd w:val="clear" w:color="auto" w:fill="auto"/>
            <w:vAlign w:val="center"/>
          </w:tcPr>
          <w:p w14:paraId="2FB6EC3D" w14:textId="77777777" w:rsidR="00E10737" w:rsidRPr="00972FA1" w:rsidRDefault="00E10737" w:rsidP="004179DE">
            <w:pPr>
              <w:ind w:left="0"/>
              <w:rPr>
                <w:sz w:val="18"/>
                <w:szCs w:val="18"/>
              </w:rPr>
            </w:pPr>
            <w:r w:rsidRPr="00926711">
              <w:rPr>
                <w:sz w:val="18"/>
                <w:szCs w:val="18"/>
              </w:rPr>
              <w:t>Počet vzniknutých start-up a spin-off podnikov</w:t>
            </w:r>
            <w:r>
              <w:rPr>
                <w:sz w:val="18"/>
                <w:szCs w:val="18"/>
              </w:rPr>
              <w:t xml:space="preserve"> </w:t>
            </w:r>
            <w:r w:rsidRPr="00926711">
              <w:rPr>
                <w:sz w:val="18"/>
                <w:szCs w:val="18"/>
              </w:rPr>
              <w:t>(špecifický)</w:t>
            </w:r>
          </w:p>
        </w:tc>
        <w:tc>
          <w:tcPr>
            <w:tcW w:w="992" w:type="dxa"/>
            <w:shd w:val="clear" w:color="auto" w:fill="auto"/>
            <w:vAlign w:val="center"/>
          </w:tcPr>
          <w:p w14:paraId="17919C41"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48243704"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305F6048"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55FD7D1A" w14:textId="6B2BB239" w:rsidR="00E10737" w:rsidRPr="00E661DF" w:rsidRDefault="00D3601B" w:rsidP="00D3601B">
            <w:pPr>
              <w:ind w:left="0"/>
              <w:jc w:val="center"/>
              <w:rPr>
                <w:i/>
                <w:sz w:val="18"/>
                <w:szCs w:val="18"/>
              </w:rPr>
            </w:pPr>
            <w:r>
              <w:rPr>
                <w:i/>
                <w:sz w:val="18"/>
                <w:szCs w:val="18"/>
              </w:rPr>
              <w:t>18</w:t>
            </w:r>
          </w:p>
        </w:tc>
        <w:tc>
          <w:tcPr>
            <w:tcW w:w="866" w:type="dxa"/>
            <w:vAlign w:val="center"/>
          </w:tcPr>
          <w:p w14:paraId="78B52B34"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59476525" w14:textId="77777777" w:rsidR="00E10737" w:rsidRPr="00E661DF" w:rsidRDefault="00E10737" w:rsidP="004179DE">
            <w:pPr>
              <w:ind w:left="0"/>
              <w:jc w:val="center"/>
              <w:rPr>
                <w:i/>
                <w:sz w:val="18"/>
                <w:szCs w:val="18"/>
              </w:rPr>
            </w:pPr>
            <w:r w:rsidRPr="00E661DF">
              <w:rPr>
                <w:i/>
                <w:sz w:val="18"/>
                <w:szCs w:val="18"/>
              </w:rPr>
              <w:t>Ročne</w:t>
            </w:r>
          </w:p>
        </w:tc>
      </w:tr>
      <w:tr w:rsidR="00E10737" w14:paraId="738170BF" w14:textId="77777777" w:rsidTr="00132EB9">
        <w:trPr>
          <w:trHeight w:val="680"/>
          <w:jc w:val="center"/>
        </w:trPr>
        <w:tc>
          <w:tcPr>
            <w:tcW w:w="706" w:type="dxa"/>
            <w:shd w:val="clear" w:color="auto" w:fill="auto"/>
            <w:vAlign w:val="center"/>
          </w:tcPr>
          <w:p w14:paraId="59FE24CE" w14:textId="77777777" w:rsidR="00E10737" w:rsidRPr="00926711" w:rsidRDefault="00E10737" w:rsidP="004179DE">
            <w:pPr>
              <w:ind w:left="0"/>
              <w:jc w:val="center"/>
              <w:rPr>
                <w:sz w:val="18"/>
                <w:szCs w:val="18"/>
              </w:rPr>
            </w:pPr>
            <w:r w:rsidRPr="00926711">
              <w:rPr>
                <w:sz w:val="18"/>
                <w:szCs w:val="18"/>
              </w:rPr>
              <w:t>O007</w:t>
            </w:r>
            <w:r>
              <w:rPr>
                <w:sz w:val="18"/>
                <w:szCs w:val="18"/>
              </w:rPr>
              <w:t>6</w:t>
            </w:r>
          </w:p>
        </w:tc>
        <w:tc>
          <w:tcPr>
            <w:tcW w:w="2641" w:type="dxa"/>
            <w:shd w:val="clear" w:color="auto" w:fill="auto"/>
            <w:vAlign w:val="center"/>
          </w:tcPr>
          <w:p w14:paraId="05D6CA95" w14:textId="77777777" w:rsidR="00E10737" w:rsidRPr="00926711" w:rsidRDefault="00E10737" w:rsidP="004179DE">
            <w:pPr>
              <w:ind w:left="0"/>
              <w:rPr>
                <w:sz w:val="18"/>
                <w:szCs w:val="18"/>
              </w:rPr>
            </w:pPr>
            <w:r w:rsidRPr="00D14D61">
              <w:rPr>
                <w:sz w:val="18"/>
                <w:szCs w:val="18"/>
              </w:rPr>
              <w:t>Počet podporených klastrových organizácií (špecifický)</w:t>
            </w:r>
          </w:p>
        </w:tc>
        <w:tc>
          <w:tcPr>
            <w:tcW w:w="992" w:type="dxa"/>
            <w:shd w:val="clear" w:color="auto" w:fill="auto"/>
            <w:vAlign w:val="center"/>
          </w:tcPr>
          <w:p w14:paraId="1C265E25" w14:textId="77777777" w:rsidR="00E10737" w:rsidRPr="00E661DF" w:rsidRDefault="00E10737" w:rsidP="004179DE">
            <w:pPr>
              <w:ind w:left="0"/>
              <w:jc w:val="center"/>
              <w:rPr>
                <w:i/>
                <w:sz w:val="18"/>
                <w:szCs w:val="18"/>
              </w:rPr>
            </w:pPr>
            <w:r w:rsidRPr="00E661DF">
              <w:rPr>
                <w:i/>
                <w:sz w:val="18"/>
                <w:szCs w:val="18"/>
              </w:rPr>
              <w:t>počet</w:t>
            </w:r>
          </w:p>
        </w:tc>
        <w:tc>
          <w:tcPr>
            <w:tcW w:w="709" w:type="dxa"/>
            <w:shd w:val="clear" w:color="auto" w:fill="auto"/>
            <w:vAlign w:val="center"/>
          </w:tcPr>
          <w:p w14:paraId="06F664C5" w14:textId="77777777" w:rsidR="00E10737" w:rsidRPr="00E661DF" w:rsidRDefault="00E10737" w:rsidP="004179DE">
            <w:pPr>
              <w:ind w:left="0"/>
              <w:jc w:val="center"/>
              <w:rPr>
                <w:i/>
                <w:sz w:val="18"/>
                <w:szCs w:val="18"/>
              </w:rPr>
            </w:pPr>
            <w:r w:rsidRPr="00E661DF">
              <w:rPr>
                <w:i/>
                <w:sz w:val="18"/>
                <w:szCs w:val="18"/>
              </w:rPr>
              <w:t>EFRR</w:t>
            </w:r>
          </w:p>
        </w:tc>
        <w:tc>
          <w:tcPr>
            <w:tcW w:w="1134" w:type="dxa"/>
            <w:shd w:val="clear" w:color="auto" w:fill="auto"/>
            <w:vAlign w:val="center"/>
          </w:tcPr>
          <w:p w14:paraId="35849D4D" w14:textId="77777777" w:rsidR="00E10737" w:rsidRPr="00E661DF" w:rsidRDefault="00E10737" w:rsidP="004179DE">
            <w:pPr>
              <w:ind w:left="0"/>
              <w:jc w:val="center"/>
              <w:rPr>
                <w:i/>
                <w:sz w:val="18"/>
                <w:szCs w:val="18"/>
              </w:rPr>
            </w:pPr>
            <w:r w:rsidRPr="00E661DF">
              <w:rPr>
                <w:i/>
                <w:sz w:val="18"/>
                <w:szCs w:val="18"/>
              </w:rPr>
              <w:t>Rozvinutejší región</w:t>
            </w:r>
          </w:p>
        </w:tc>
        <w:tc>
          <w:tcPr>
            <w:tcW w:w="992" w:type="dxa"/>
            <w:shd w:val="clear" w:color="auto" w:fill="auto"/>
            <w:vAlign w:val="center"/>
          </w:tcPr>
          <w:p w14:paraId="3B93749B" w14:textId="77777777" w:rsidR="00E10737" w:rsidRPr="00E661DF" w:rsidRDefault="00E10737" w:rsidP="004179DE">
            <w:pPr>
              <w:ind w:left="0"/>
              <w:jc w:val="center"/>
              <w:rPr>
                <w:i/>
                <w:sz w:val="18"/>
                <w:szCs w:val="18"/>
              </w:rPr>
            </w:pPr>
            <w:r w:rsidRPr="00E661DF">
              <w:rPr>
                <w:i/>
                <w:sz w:val="18"/>
                <w:szCs w:val="18"/>
              </w:rPr>
              <w:t>10</w:t>
            </w:r>
          </w:p>
        </w:tc>
        <w:tc>
          <w:tcPr>
            <w:tcW w:w="866" w:type="dxa"/>
            <w:vAlign w:val="center"/>
          </w:tcPr>
          <w:p w14:paraId="22ED2BC9" w14:textId="77777777" w:rsidR="00E10737" w:rsidRPr="00E661DF" w:rsidRDefault="00E10737" w:rsidP="004179DE">
            <w:pPr>
              <w:ind w:left="0"/>
              <w:jc w:val="center"/>
              <w:rPr>
                <w:i/>
                <w:sz w:val="18"/>
                <w:szCs w:val="18"/>
              </w:rPr>
            </w:pPr>
            <w:r w:rsidRPr="00E661DF">
              <w:rPr>
                <w:i/>
                <w:sz w:val="18"/>
                <w:szCs w:val="18"/>
              </w:rPr>
              <w:t>ITMS</w:t>
            </w:r>
          </w:p>
        </w:tc>
        <w:tc>
          <w:tcPr>
            <w:tcW w:w="1203" w:type="dxa"/>
            <w:vAlign w:val="center"/>
          </w:tcPr>
          <w:p w14:paraId="7FB590D0" w14:textId="77777777" w:rsidR="00E10737" w:rsidRPr="00E661DF" w:rsidRDefault="00E10737" w:rsidP="004179DE">
            <w:pPr>
              <w:ind w:left="0"/>
              <w:jc w:val="center"/>
              <w:rPr>
                <w:i/>
                <w:sz w:val="18"/>
                <w:szCs w:val="18"/>
              </w:rPr>
            </w:pPr>
            <w:r w:rsidRPr="00E661DF">
              <w:rPr>
                <w:i/>
                <w:sz w:val="18"/>
                <w:szCs w:val="18"/>
              </w:rPr>
              <w:t>Ročne</w:t>
            </w:r>
          </w:p>
        </w:tc>
      </w:tr>
    </w:tbl>
    <w:p w14:paraId="47CF52E3" w14:textId="77777777" w:rsidR="00E10737" w:rsidRDefault="00E10737" w:rsidP="00E10737">
      <w:pPr>
        <w:pStyle w:val="Nadpis3"/>
      </w:pPr>
      <w:bookmarkStart w:id="112" w:name="_Toc21945918"/>
      <w:bookmarkStart w:id="113" w:name="_Toc28951651"/>
      <w:r>
        <w:t>Výkonnostný rámec prioritnej osi</w:t>
      </w:r>
      <w:bookmarkEnd w:id="112"/>
      <w:bookmarkEnd w:id="113"/>
    </w:p>
    <w:p w14:paraId="77AB9FE9" w14:textId="77777777" w:rsidR="00E10737" w:rsidRPr="007B3B80" w:rsidRDefault="00E10737" w:rsidP="00E10737">
      <w:pPr>
        <w:pStyle w:val="Tab"/>
        <w:ind w:left="502"/>
      </w:pPr>
      <w:r>
        <w:t>Výkonnostný rámec Prioritnej osi 10</w:t>
      </w:r>
    </w:p>
    <w:tbl>
      <w:tblPr>
        <w:tblStyle w:val="Mriekatabuky"/>
        <w:tblW w:w="100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29"/>
        <w:gridCol w:w="1576"/>
        <w:gridCol w:w="897"/>
        <w:gridCol w:w="656"/>
        <w:gridCol w:w="1096"/>
        <w:gridCol w:w="987"/>
        <w:gridCol w:w="935"/>
        <w:gridCol w:w="747"/>
        <w:gridCol w:w="1217"/>
      </w:tblGrid>
      <w:tr w:rsidR="00E10737" w14:paraId="3A5A4836" w14:textId="77777777" w:rsidTr="004179DE">
        <w:trPr>
          <w:trHeight w:val="340"/>
          <w:jc w:val="center"/>
        </w:trPr>
        <w:tc>
          <w:tcPr>
            <w:tcW w:w="1476" w:type="dxa"/>
            <w:shd w:val="clear" w:color="auto" w:fill="C6D9F1" w:themeFill="text2" w:themeFillTint="33"/>
          </w:tcPr>
          <w:p w14:paraId="0E22987F" w14:textId="77777777" w:rsidR="00E10737" w:rsidRPr="008C1732" w:rsidRDefault="00E10737" w:rsidP="004179DE">
            <w:pPr>
              <w:ind w:left="0"/>
              <w:rPr>
                <w:b/>
                <w:sz w:val="18"/>
                <w:szCs w:val="18"/>
              </w:rPr>
            </w:pPr>
            <w:r w:rsidRPr="008C1732">
              <w:rPr>
                <w:b/>
                <w:sz w:val="18"/>
                <w:szCs w:val="18"/>
              </w:rPr>
              <w:t>Typ ukazovateľa</w:t>
            </w:r>
          </w:p>
          <w:p w14:paraId="6040F483" w14:textId="77777777" w:rsidR="00E10737" w:rsidRPr="008C1732" w:rsidRDefault="00E10737" w:rsidP="004179DE">
            <w:pPr>
              <w:ind w:left="0"/>
              <w:rPr>
                <w:b/>
                <w:sz w:val="18"/>
                <w:szCs w:val="18"/>
              </w:rPr>
            </w:pPr>
          </w:p>
          <w:p w14:paraId="36F11E28" w14:textId="77777777" w:rsidR="00E10737" w:rsidRPr="008C1732" w:rsidRDefault="00E10737" w:rsidP="004179DE">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29" w:type="dxa"/>
            <w:shd w:val="clear" w:color="auto" w:fill="C6D9F1" w:themeFill="text2" w:themeFillTint="33"/>
          </w:tcPr>
          <w:p w14:paraId="5B1EB2D4" w14:textId="77777777" w:rsidR="00E10737" w:rsidRPr="008C1732" w:rsidRDefault="00E10737" w:rsidP="004179DE">
            <w:pPr>
              <w:ind w:left="0"/>
              <w:rPr>
                <w:b/>
                <w:sz w:val="18"/>
                <w:szCs w:val="18"/>
              </w:rPr>
            </w:pPr>
            <w:r>
              <w:rPr>
                <w:b/>
                <w:sz w:val="18"/>
                <w:szCs w:val="18"/>
              </w:rPr>
              <w:t>ID</w:t>
            </w:r>
          </w:p>
        </w:tc>
        <w:tc>
          <w:tcPr>
            <w:tcW w:w="1576" w:type="dxa"/>
            <w:shd w:val="clear" w:color="auto" w:fill="C6D9F1" w:themeFill="text2" w:themeFillTint="33"/>
          </w:tcPr>
          <w:p w14:paraId="43BF681A" w14:textId="77777777" w:rsidR="00E10737" w:rsidRPr="008C1732" w:rsidRDefault="00E10737" w:rsidP="004179DE">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2109754E" w14:textId="77777777" w:rsidR="00E10737" w:rsidRPr="008C1732" w:rsidRDefault="00E10737" w:rsidP="004179DE">
            <w:pPr>
              <w:ind w:left="0"/>
              <w:rPr>
                <w:b/>
                <w:sz w:val="18"/>
                <w:szCs w:val="18"/>
              </w:rPr>
            </w:pPr>
            <w:r w:rsidRPr="008C1732">
              <w:rPr>
                <w:b/>
                <w:sz w:val="18"/>
                <w:szCs w:val="18"/>
              </w:rPr>
              <w:t>Merná jednotka</w:t>
            </w:r>
          </w:p>
        </w:tc>
        <w:tc>
          <w:tcPr>
            <w:tcW w:w="656" w:type="dxa"/>
            <w:shd w:val="clear" w:color="auto" w:fill="C6D9F1" w:themeFill="text2" w:themeFillTint="33"/>
          </w:tcPr>
          <w:p w14:paraId="02E5EC3C" w14:textId="77777777" w:rsidR="00E10737" w:rsidRPr="008C1732" w:rsidRDefault="00E10737" w:rsidP="004179DE">
            <w:pPr>
              <w:ind w:left="0"/>
              <w:rPr>
                <w:b/>
                <w:sz w:val="18"/>
                <w:szCs w:val="18"/>
              </w:rPr>
            </w:pPr>
            <w:r w:rsidRPr="008C1732">
              <w:rPr>
                <w:b/>
                <w:sz w:val="18"/>
                <w:szCs w:val="18"/>
              </w:rPr>
              <w:t>Fond</w:t>
            </w:r>
          </w:p>
        </w:tc>
        <w:tc>
          <w:tcPr>
            <w:tcW w:w="986" w:type="dxa"/>
            <w:shd w:val="clear" w:color="auto" w:fill="C6D9F1" w:themeFill="text2" w:themeFillTint="33"/>
          </w:tcPr>
          <w:p w14:paraId="49A4646E" w14:textId="77777777" w:rsidR="00E10737" w:rsidRPr="008C1732" w:rsidRDefault="00E10737" w:rsidP="004179DE">
            <w:pPr>
              <w:ind w:left="0"/>
              <w:rPr>
                <w:b/>
                <w:sz w:val="18"/>
                <w:szCs w:val="18"/>
              </w:rPr>
            </w:pPr>
            <w:r w:rsidRPr="008C1732">
              <w:rPr>
                <w:b/>
                <w:sz w:val="18"/>
                <w:szCs w:val="18"/>
              </w:rPr>
              <w:t>Kategória regiónu</w:t>
            </w:r>
          </w:p>
        </w:tc>
        <w:tc>
          <w:tcPr>
            <w:tcW w:w="987" w:type="dxa"/>
            <w:shd w:val="clear" w:color="auto" w:fill="C6D9F1" w:themeFill="text2" w:themeFillTint="33"/>
          </w:tcPr>
          <w:p w14:paraId="42ADB75D" w14:textId="77777777" w:rsidR="00E10737" w:rsidRPr="008C1732" w:rsidRDefault="00E10737" w:rsidP="004179DE">
            <w:pPr>
              <w:ind w:left="0"/>
              <w:rPr>
                <w:b/>
                <w:sz w:val="18"/>
                <w:szCs w:val="18"/>
              </w:rPr>
            </w:pPr>
            <w:r w:rsidRPr="008C1732">
              <w:rPr>
                <w:b/>
                <w:sz w:val="18"/>
                <w:szCs w:val="18"/>
              </w:rPr>
              <w:t>Čiastkový cieľ pre rok 2018</w:t>
            </w:r>
          </w:p>
        </w:tc>
        <w:tc>
          <w:tcPr>
            <w:tcW w:w="1045" w:type="dxa"/>
            <w:shd w:val="clear" w:color="auto" w:fill="C6D9F1" w:themeFill="text2" w:themeFillTint="33"/>
          </w:tcPr>
          <w:p w14:paraId="1D604EBE" w14:textId="77777777" w:rsidR="00E10737" w:rsidRPr="008C1732" w:rsidRDefault="00E10737" w:rsidP="004179DE">
            <w:pPr>
              <w:ind w:left="0"/>
              <w:rPr>
                <w:b/>
                <w:sz w:val="18"/>
                <w:szCs w:val="18"/>
              </w:rPr>
            </w:pPr>
            <w:r w:rsidRPr="008C1732">
              <w:rPr>
                <w:b/>
                <w:sz w:val="18"/>
                <w:szCs w:val="18"/>
              </w:rPr>
              <w:t>Zámer</w:t>
            </w:r>
          </w:p>
          <w:p w14:paraId="12B98E57" w14:textId="77777777" w:rsidR="00E10737" w:rsidRPr="008C1732" w:rsidRDefault="00E10737" w:rsidP="004179DE">
            <w:pPr>
              <w:ind w:left="0"/>
              <w:rPr>
                <w:b/>
                <w:sz w:val="18"/>
                <w:szCs w:val="18"/>
              </w:rPr>
            </w:pPr>
            <w:r w:rsidRPr="008C1732">
              <w:rPr>
                <w:b/>
                <w:sz w:val="18"/>
                <w:szCs w:val="18"/>
              </w:rPr>
              <w:t>(2023)</w:t>
            </w:r>
          </w:p>
        </w:tc>
        <w:tc>
          <w:tcPr>
            <w:tcW w:w="747" w:type="dxa"/>
            <w:shd w:val="clear" w:color="auto" w:fill="C6D9F1" w:themeFill="text2" w:themeFillTint="33"/>
          </w:tcPr>
          <w:p w14:paraId="739665BC" w14:textId="77777777" w:rsidR="00E10737" w:rsidRPr="008C1732" w:rsidRDefault="00E10737" w:rsidP="004179DE">
            <w:pPr>
              <w:ind w:left="0"/>
              <w:rPr>
                <w:b/>
                <w:sz w:val="18"/>
                <w:szCs w:val="18"/>
              </w:rPr>
            </w:pPr>
            <w:r w:rsidRPr="008C1732">
              <w:rPr>
                <w:b/>
                <w:sz w:val="18"/>
                <w:szCs w:val="18"/>
              </w:rPr>
              <w:t>Zdroj údajov</w:t>
            </w:r>
          </w:p>
        </w:tc>
        <w:tc>
          <w:tcPr>
            <w:tcW w:w="1217" w:type="dxa"/>
            <w:shd w:val="clear" w:color="auto" w:fill="C6D9F1" w:themeFill="text2" w:themeFillTint="33"/>
          </w:tcPr>
          <w:p w14:paraId="6BC9DE19" w14:textId="77777777" w:rsidR="00E10737" w:rsidRPr="008C1732" w:rsidRDefault="00E10737" w:rsidP="004179DE">
            <w:pPr>
              <w:ind w:left="0"/>
              <w:rPr>
                <w:b/>
                <w:sz w:val="18"/>
                <w:szCs w:val="18"/>
              </w:rPr>
            </w:pPr>
            <w:r w:rsidRPr="008C1732">
              <w:rPr>
                <w:b/>
                <w:sz w:val="18"/>
                <w:szCs w:val="18"/>
              </w:rPr>
              <w:t>Zdôvodnenie výberu ukazovateľa</w:t>
            </w:r>
          </w:p>
        </w:tc>
      </w:tr>
      <w:tr w:rsidR="00E10737" w14:paraId="75221A8B" w14:textId="77777777" w:rsidTr="004179DE">
        <w:trPr>
          <w:cantSplit/>
          <w:trHeight w:val="1134"/>
          <w:jc w:val="center"/>
        </w:trPr>
        <w:tc>
          <w:tcPr>
            <w:tcW w:w="1476" w:type="dxa"/>
            <w:vAlign w:val="center"/>
          </w:tcPr>
          <w:p w14:paraId="34912572" w14:textId="77777777" w:rsidR="00E10737" w:rsidRPr="00D9570C" w:rsidRDefault="00E10737" w:rsidP="004179DE">
            <w:pPr>
              <w:ind w:left="0"/>
              <w:rPr>
                <w:i/>
                <w:sz w:val="18"/>
                <w:szCs w:val="18"/>
              </w:rPr>
            </w:pPr>
            <w:r>
              <w:rPr>
                <w:i/>
                <w:sz w:val="18"/>
                <w:szCs w:val="18"/>
              </w:rPr>
              <w:lastRenderedPageBreak/>
              <w:t>kľúčový vykonávací krok</w:t>
            </w:r>
          </w:p>
        </w:tc>
        <w:tc>
          <w:tcPr>
            <w:tcW w:w="429" w:type="dxa"/>
            <w:textDirection w:val="btLr"/>
          </w:tcPr>
          <w:p w14:paraId="3F565A7C" w14:textId="77777777" w:rsidR="00E10737" w:rsidRPr="00D9570C" w:rsidRDefault="00E10737" w:rsidP="004179DE">
            <w:pPr>
              <w:ind w:left="113" w:right="113"/>
              <w:jc w:val="center"/>
              <w:rPr>
                <w:sz w:val="18"/>
                <w:szCs w:val="18"/>
              </w:rPr>
            </w:pPr>
            <w:r>
              <w:rPr>
                <w:sz w:val="18"/>
                <w:szCs w:val="18"/>
              </w:rPr>
              <w:t>K0003</w:t>
            </w:r>
          </w:p>
        </w:tc>
        <w:tc>
          <w:tcPr>
            <w:tcW w:w="1576" w:type="dxa"/>
            <w:vAlign w:val="center"/>
          </w:tcPr>
          <w:p w14:paraId="6EDA193E" w14:textId="77777777" w:rsidR="00E10737" w:rsidRPr="00D9570C" w:rsidRDefault="00E10737" w:rsidP="004179DE">
            <w:pPr>
              <w:ind w:left="0"/>
              <w:rPr>
                <w:sz w:val="18"/>
                <w:szCs w:val="18"/>
              </w:rPr>
            </w:pPr>
            <w:r w:rsidRPr="00B53EA0">
              <w:rPr>
                <w:sz w:val="18"/>
                <w:szCs w:val="18"/>
              </w:rPr>
              <w:t>Počet zazmluvnených výskumných inštitúcií</w:t>
            </w:r>
          </w:p>
        </w:tc>
        <w:tc>
          <w:tcPr>
            <w:tcW w:w="897" w:type="dxa"/>
            <w:vAlign w:val="center"/>
          </w:tcPr>
          <w:p w14:paraId="40074354" w14:textId="77777777" w:rsidR="00E10737" w:rsidRPr="00D9570C" w:rsidRDefault="00E10737" w:rsidP="004179DE">
            <w:pPr>
              <w:ind w:left="0"/>
              <w:jc w:val="center"/>
              <w:rPr>
                <w:i/>
                <w:sz w:val="18"/>
                <w:szCs w:val="18"/>
              </w:rPr>
            </w:pPr>
            <w:r>
              <w:rPr>
                <w:i/>
                <w:sz w:val="18"/>
                <w:szCs w:val="18"/>
              </w:rPr>
              <w:t>počet</w:t>
            </w:r>
          </w:p>
        </w:tc>
        <w:tc>
          <w:tcPr>
            <w:tcW w:w="656" w:type="dxa"/>
            <w:vAlign w:val="center"/>
          </w:tcPr>
          <w:p w14:paraId="71AEC541" w14:textId="77777777" w:rsidR="00E10737" w:rsidRPr="00D9570C" w:rsidRDefault="00E10737" w:rsidP="004179DE">
            <w:pPr>
              <w:ind w:left="0"/>
              <w:jc w:val="center"/>
              <w:rPr>
                <w:i/>
                <w:sz w:val="18"/>
                <w:szCs w:val="18"/>
              </w:rPr>
            </w:pPr>
            <w:r>
              <w:rPr>
                <w:i/>
                <w:sz w:val="18"/>
                <w:szCs w:val="18"/>
              </w:rPr>
              <w:t>EFRR</w:t>
            </w:r>
          </w:p>
        </w:tc>
        <w:tc>
          <w:tcPr>
            <w:tcW w:w="986" w:type="dxa"/>
            <w:vAlign w:val="center"/>
          </w:tcPr>
          <w:p w14:paraId="58D2435A" w14:textId="77777777" w:rsidR="00E10737" w:rsidRPr="00D9570C" w:rsidRDefault="00E10737" w:rsidP="004179DE">
            <w:pPr>
              <w:ind w:left="0"/>
              <w:jc w:val="center"/>
              <w:rPr>
                <w:i/>
                <w:sz w:val="18"/>
                <w:szCs w:val="18"/>
              </w:rPr>
            </w:pPr>
            <w:r>
              <w:rPr>
                <w:i/>
                <w:sz w:val="18"/>
                <w:szCs w:val="18"/>
              </w:rPr>
              <w:t>Rozvinutejší región</w:t>
            </w:r>
          </w:p>
        </w:tc>
        <w:tc>
          <w:tcPr>
            <w:tcW w:w="987" w:type="dxa"/>
            <w:vAlign w:val="center"/>
          </w:tcPr>
          <w:p w14:paraId="156EAD8A" w14:textId="77777777" w:rsidR="00E10737" w:rsidRPr="00D9570C" w:rsidRDefault="00E10737" w:rsidP="004179DE">
            <w:pPr>
              <w:ind w:left="0"/>
              <w:jc w:val="center"/>
              <w:rPr>
                <w:i/>
                <w:sz w:val="18"/>
                <w:szCs w:val="18"/>
              </w:rPr>
            </w:pPr>
            <w:r>
              <w:rPr>
                <w:i/>
                <w:sz w:val="18"/>
                <w:szCs w:val="18"/>
              </w:rPr>
              <w:t>20</w:t>
            </w:r>
          </w:p>
        </w:tc>
        <w:tc>
          <w:tcPr>
            <w:tcW w:w="1045" w:type="dxa"/>
            <w:vAlign w:val="center"/>
          </w:tcPr>
          <w:p w14:paraId="52043271" w14:textId="77777777" w:rsidR="00E10737" w:rsidRPr="00D9570C" w:rsidRDefault="00E10737" w:rsidP="004179DE">
            <w:pPr>
              <w:ind w:left="0"/>
              <w:jc w:val="center"/>
              <w:rPr>
                <w:i/>
                <w:sz w:val="18"/>
                <w:szCs w:val="18"/>
              </w:rPr>
            </w:pPr>
            <w:r>
              <w:rPr>
                <w:i/>
                <w:sz w:val="18"/>
                <w:szCs w:val="18"/>
              </w:rPr>
              <w:t>30</w:t>
            </w:r>
          </w:p>
        </w:tc>
        <w:tc>
          <w:tcPr>
            <w:tcW w:w="747" w:type="dxa"/>
            <w:vAlign w:val="center"/>
          </w:tcPr>
          <w:p w14:paraId="060FF272" w14:textId="77777777" w:rsidR="00E10737" w:rsidRPr="00D9570C" w:rsidRDefault="00E10737" w:rsidP="004179DE">
            <w:pPr>
              <w:ind w:left="0"/>
              <w:jc w:val="center"/>
              <w:rPr>
                <w:i/>
                <w:sz w:val="18"/>
                <w:szCs w:val="18"/>
              </w:rPr>
            </w:pPr>
            <w:r>
              <w:rPr>
                <w:i/>
                <w:sz w:val="18"/>
                <w:szCs w:val="18"/>
              </w:rPr>
              <w:t>ITMS</w:t>
            </w:r>
          </w:p>
        </w:tc>
        <w:tc>
          <w:tcPr>
            <w:tcW w:w="1217" w:type="dxa"/>
            <w:vAlign w:val="center"/>
          </w:tcPr>
          <w:p w14:paraId="2CD4A747" w14:textId="77777777" w:rsidR="00E10737" w:rsidRPr="00D9570C" w:rsidRDefault="00E10737" w:rsidP="00351D17">
            <w:pPr>
              <w:pStyle w:val="TableParagraph"/>
              <w:ind w:left="0"/>
              <w:rPr>
                <w:i/>
                <w:sz w:val="18"/>
                <w:szCs w:val="18"/>
              </w:rPr>
            </w:pPr>
            <w:r w:rsidRPr="007216C7">
              <w:rPr>
                <w:rFonts w:ascii="Times New Roman" w:eastAsia="Times New Roman" w:hAnsi="Times New Roman" w:cs="Times New Roman"/>
                <w:i/>
                <w:sz w:val="14"/>
                <w:szCs w:val="14"/>
                <w:lang w:val="sk-SK" w:eastAsia="sk-SK"/>
              </w:rPr>
              <w:t>Keďže hodnoty zámeru, ako aj čiastkového cieľa sú stanovené na ukončené operácie a dĺžka realizácie projektov sa predpokladá 3 – 5</w:t>
            </w:r>
            <w:r>
              <w:rPr>
                <w:rFonts w:ascii="Times New Roman" w:eastAsia="Times New Roman" w:hAnsi="Times New Roman" w:cs="Times New Roman"/>
                <w:i/>
                <w:sz w:val="14"/>
                <w:szCs w:val="14"/>
                <w:lang w:val="sk-SK" w:eastAsia="sk-SK"/>
              </w:rPr>
              <w:t xml:space="preserve"> </w:t>
            </w:r>
            <w:r w:rsidRPr="007216C7">
              <w:rPr>
                <w:rFonts w:ascii="Times New Roman" w:eastAsia="Times New Roman" w:hAnsi="Times New Roman" w:cs="Times New Roman"/>
                <w:i/>
                <w:sz w:val="14"/>
                <w:szCs w:val="14"/>
                <w:lang w:val="sk-SK" w:eastAsia="sk-SK"/>
              </w:rPr>
              <w:t>rokov, k 31.12.2018 sa nepredpokladajú ukončené operácie resp. iba minimum, z tohto dôvodu bol na určenie čiastkového cieľa zvolený kľúčový vykonávací krok, ktorý zahŕňa 72,15% alokácie prioritnej osi</w:t>
            </w:r>
          </w:p>
        </w:tc>
      </w:tr>
      <w:tr w:rsidR="00E10737" w14:paraId="309E3A3A" w14:textId="77777777" w:rsidTr="004179DE">
        <w:trPr>
          <w:trHeight w:val="454"/>
          <w:jc w:val="center"/>
        </w:trPr>
        <w:tc>
          <w:tcPr>
            <w:tcW w:w="1476" w:type="dxa"/>
            <w:vAlign w:val="center"/>
          </w:tcPr>
          <w:p w14:paraId="386138D6" w14:textId="77777777" w:rsidR="00E10737" w:rsidRPr="00D9570C" w:rsidRDefault="00E10737" w:rsidP="004179DE">
            <w:pPr>
              <w:ind w:left="0"/>
              <w:rPr>
                <w:i/>
                <w:sz w:val="18"/>
                <w:szCs w:val="18"/>
              </w:rPr>
            </w:pPr>
            <w:r>
              <w:rPr>
                <w:i/>
                <w:sz w:val="18"/>
                <w:szCs w:val="18"/>
              </w:rPr>
              <w:t>u</w:t>
            </w:r>
            <w:r w:rsidRPr="00D9570C">
              <w:rPr>
                <w:i/>
                <w:sz w:val="18"/>
                <w:szCs w:val="18"/>
              </w:rPr>
              <w:t>kazovateľ</w:t>
            </w:r>
            <w:r>
              <w:rPr>
                <w:i/>
                <w:sz w:val="18"/>
                <w:szCs w:val="18"/>
              </w:rPr>
              <w:t xml:space="preserve"> výstupu</w:t>
            </w:r>
          </w:p>
        </w:tc>
        <w:tc>
          <w:tcPr>
            <w:tcW w:w="429" w:type="dxa"/>
            <w:textDirection w:val="btLr"/>
          </w:tcPr>
          <w:p w14:paraId="04CE4AC7" w14:textId="77777777" w:rsidR="00E10737" w:rsidRPr="00D9570C" w:rsidRDefault="00E10737" w:rsidP="004179DE">
            <w:pPr>
              <w:ind w:left="0"/>
              <w:jc w:val="center"/>
              <w:rPr>
                <w:sz w:val="18"/>
                <w:szCs w:val="18"/>
              </w:rPr>
            </w:pPr>
            <w:r w:rsidRPr="003D0898">
              <w:rPr>
                <w:sz w:val="18"/>
                <w:szCs w:val="18"/>
              </w:rPr>
              <w:t>O0069</w:t>
            </w:r>
          </w:p>
        </w:tc>
        <w:tc>
          <w:tcPr>
            <w:tcW w:w="1576" w:type="dxa"/>
          </w:tcPr>
          <w:p w14:paraId="79177062" w14:textId="77777777" w:rsidR="00E10737" w:rsidRPr="00DA54CE" w:rsidRDefault="00E10737" w:rsidP="004179DE">
            <w:pPr>
              <w:ind w:left="0"/>
              <w:rPr>
                <w:sz w:val="18"/>
                <w:szCs w:val="18"/>
              </w:rPr>
            </w:pPr>
            <w:r w:rsidRPr="00B53EA0">
              <w:rPr>
                <w:sz w:val="18"/>
                <w:szCs w:val="18"/>
              </w:rPr>
              <w:t>Počet podporených výskumných inštitúcií</w:t>
            </w:r>
          </w:p>
        </w:tc>
        <w:tc>
          <w:tcPr>
            <w:tcW w:w="897" w:type="dxa"/>
            <w:vAlign w:val="center"/>
          </w:tcPr>
          <w:p w14:paraId="133F535E" w14:textId="77777777" w:rsidR="00E10737" w:rsidRDefault="00E10737" w:rsidP="004179DE">
            <w:pPr>
              <w:ind w:left="0"/>
              <w:jc w:val="center"/>
              <w:rPr>
                <w:i/>
                <w:sz w:val="18"/>
                <w:szCs w:val="18"/>
              </w:rPr>
            </w:pPr>
            <w:r>
              <w:rPr>
                <w:i/>
                <w:sz w:val="18"/>
                <w:szCs w:val="18"/>
              </w:rPr>
              <w:t>počet</w:t>
            </w:r>
          </w:p>
        </w:tc>
        <w:tc>
          <w:tcPr>
            <w:tcW w:w="656" w:type="dxa"/>
            <w:vAlign w:val="center"/>
          </w:tcPr>
          <w:p w14:paraId="7F6E090C" w14:textId="77777777" w:rsidR="00E10737" w:rsidRDefault="00E10737" w:rsidP="004179DE">
            <w:pPr>
              <w:ind w:left="0"/>
              <w:jc w:val="center"/>
              <w:rPr>
                <w:i/>
                <w:sz w:val="18"/>
                <w:szCs w:val="18"/>
              </w:rPr>
            </w:pPr>
            <w:r>
              <w:rPr>
                <w:i/>
                <w:sz w:val="18"/>
                <w:szCs w:val="18"/>
              </w:rPr>
              <w:t>EFRR</w:t>
            </w:r>
          </w:p>
        </w:tc>
        <w:tc>
          <w:tcPr>
            <w:tcW w:w="986" w:type="dxa"/>
            <w:vAlign w:val="center"/>
          </w:tcPr>
          <w:p w14:paraId="3B5E11A3" w14:textId="77777777" w:rsidR="00E10737" w:rsidRDefault="00E10737" w:rsidP="004179DE">
            <w:pPr>
              <w:ind w:left="0"/>
              <w:jc w:val="center"/>
              <w:rPr>
                <w:i/>
                <w:sz w:val="18"/>
                <w:szCs w:val="18"/>
              </w:rPr>
            </w:pPr>
            <w:r>
              <w:rPr>
                <w:i/>
                <w:sz w:val="18"/>
                <w:szCs w:val="18"/>
              </w:rPr>
              <w:t>Rozvinutejší región</w:t>
            </w:r>
          </w:p>
        </w:tc>
        <w:tc>
          <w:tcPr>
            <w:tcW w:w="987" w:type="dxa"/>
            <w:vAlign w:val="center"/>
          </w:tcPr>
          <w:p w14:paraId="22D772DB" w14:textId="77777777" w:rsidR="00E10737" w:rsidRDefault="00E10737" w:rsidP="004179DE">
            <w:pPr>
              <w:ind w:left="0"/>
              <w:jc w:val="center"/>
              <w:rPr>
                <w:i/>
                <w:sz w:val="18"/>
                <w:szCs w:val="18"/>
              </w:rPr>
            </w:pPr>
            <w:r>
              <w:rPr>
                <w:i/>
                <w:sz w:val="18"/>
                <w:szCs w:val="18"/>
              </w:rPr>
              <w:t>0</w:t>
            </w:r>
          </w:p>
        </w:tc>
        <w:tc>
          <w:tcPr>
            <w:tcW w:w="1045" w:type="dxa"/>
            <w:vAlign w:val="center"/>
          </w:tcPr>
          <w:p w14:paraId="3E5E10D4" w14:textId="77777777" w:rsidR="00E10737" w:rsidRDefault="00E10737" w:rsidP="004179DE">
            <w:pPr>
              <w:ind w:left="0"/>
              <w:jc w:val="center"/>
              <w:rPr>
                <w:i/>
                <w:sz w:val="18"/>
                <w:szCs w:val="18"/>
              </w:rPr>
            </w:pPr>
            <w:r>
              <w:rPr>
                <w:i/>
                <w:sz w:val="18"/>
                <w:szCs w:val="18"/>
              </w:rPr>
              <w:t>30</w:t>
            </w:r>
          </w:p>
        </w:tc>
        <w:tc>
          <w:tcPr>
            <w:tcW w:w="747" w:type="dxa"/>
            <w:vAlign w:val="center"/>
          </w:tcPr>
          <w:p w14:paraId="39B8639E" w14:textId="77777777" w:rsidR="00E10737" w:rsidRPr="00D9570C" w:rsidRDefault="00E10737" w:rsidP="004179DE">
            <w:pPr>
              <w:ind w:left="0"/>
              <w:jc w:val="center"/>
              <w:rPr>
                <w:i/>
                <w:sz w:val="18"/>
                <w:szCs w:val="18"/>
              </w:rPr>
            </w:pPr>
            <w:r>
              <w:rPr>
                <w:i/>
                <w:sz w:val="18"/>
                <w:szCs w:val="18"/>
              </w:rPr>
              <w:t>ITMS</w:t>
            </w:r>
          </w:p>
        </w:tc>
        <w:tc>
          <w:tcPr>
            <w:tcW w:w="1217" w:type="dxa"/>
            <w:vAlign w:val="center"/>
          </w:tcPr>
          <w:p w14:paraId="71D26CA0" w14:textId="77777777" w:rsidR="00E10737" w:rsidRDefault="00E10737" w:rsidP="004179DE">
            <w:pPr>
              <w:pStyle w:val="TableParagraph"/>
              <w:ind w:left="0"/>
              <w:rPr>
                <w:i/>
                <w:sz w:val="18"/>
                <w:szCs w:val="18"/>
              </w:rPr>
            </w:pPr>
            <w:r w:rsidRPr="007216C7">
              <w:rPr>
                <w:rFonts w:ascii="Times New Roman" w:eastAsia="Times New Roman" w:hAnsi="Times New Roman" w:cs="Times New Roman"/>
                <w:i/>
                <w:sz w:val="14"/>
                <w:szCs w:val="14"/>
                <w:lang w:val="sk-SK" w:eastAsia="sk-SK"/>
              </w:rPr>
              <w:t>V rámci väčšiny aktivít tejto prioritnej osi sú podporené výskumné inštitúcie</w:t>
            </w:r>
          </w:p>
        </w:tc>
      </w:tr>
      <w:tr w:rsidR="00E10737" w14:paraId="6BF0B417" w14:textId="77777777" w:rsidTr="004179DE">
        <w:trPr>
          <w:cantSplit/>
          <w:trHeight w:val="1134"/>
          <w:jc w:val="center"/>
        </w:trPr>
        <w:tc>
          <w:tcPr>
            <w:tcW w:w="1476" w:type="dxa"/>
            <w:vAlign w:val="center"/>
          </w:tcPr>
          <w:p w14:paraId="412C7F8A" w14:textId="77777777" w:rsidR="00E10737" w:rsidRPr="00D9570C" w:rsidRDefault="00E10737" w:rsidP="004179DE">
            <w:pPr>
              <w:ind w:left="0"/>
              <w:rPr>
                <w:sz w:val="18"/>
                <w:szCs w:val="18"/>
              </w:rPr>
            </w:pPr>
            <w:r w:rsidRPr="00D9570C">
              <w:rPr>
                <w:i/>
                <w:sz w:val="18"/>
                <w:szCs w:val="18"/>
              </w:rPr>
              <w:t xml:space="preserve"> finančný ukazovateľ</w:t>
            </w:r>
          </w:p>
        </w:tc>
        <w:tc>
          <w:tcPr>
            <w:tcW w:w="429" w:type="dxa"/>
            <w:textDirection w:val="btLr"/>
          </w:tcPr>
          <w:p w14:paraId="63259B03" w14:textId="77777777" w:rsidR="00E10737" w:rsidRPr="00D9570C" w:rsidRDefault="00E10737" w:rsidP="004179DE">
            <w:pPr>
              <w:ind w:left="113" w:right="113"/>
              <w:jc w:val="center"/>
              <w:rPr>
                <w:sz w:val="18"/>
                <w:szCs w:val="18"/>
              </w:rPr>
            </w:pPr>
            <w:r>
              <w:rPr>
                <w:sz w:val="18"/>
                <w:szCs w:val="18"/>
              </w:rPr>
              <w:t>F0002</w:t>
            </w:r>
          </w:p>
        </w:tc>
        <w:tc>
          <w:tcPr>
            <w:tcW w:w="1576" w:type="dxa"/>
          </w:tcPr>
          <w:p w14:paraId="34B89FAD" w14:textId="77777777" w:rsidR="00E10737" w:rsidRPr="00D9570C" w:rsidRDefault="00E10737" w:rsidP="004179DE">
            <w:pPr>
              <w:ind w:left="0"/>
              <w:rPr>
                <w:sz w:val="18"/>
                <w:szCs w:val="18"/>
              </w:rPr>
            </w:pPr>
            <w:r w:rsidRPr="00652A11">
              <w:rPr>
                <w:sz w:val="18"/>
                <w:szCs w:val="18"/>
              </w:rPr>
              <w:t>Celková suma oprávnených výdavkov po ich certifikácii certifikačným orgánom</w:t>
            </w:r>
            <w:r>
              <w:rPr>
                <w:sz w:val="18"/>
                <w:szCs w:val="18"/>
              </w:rPr>
              <w:t xml:space="preserve"> a predložení žiadostí o platby Európskej komisii</w:t>
            </w:r>
          </w:p>
        </w:tc>
        <w:tc>
          <w:tcPr>
            <w:tcW w:w="897" w:type="dxa"/>
            <w:vAlign w:val="center"/>
          </w:tcPr>
          <w:p w14:paraId="29D284AB" w14:textId="77777777" w:rsidR="00E10737" w:rsidRPr="00D9570C" w:rsidRDefault="00E10737" w:rsidP="004179DE">
            <w:pPr>
              <w:ind w:left="0"/>
              <w:jc w:val="center"/>
              <w:rPr>
                <w:i/>
                <w:sz w:val="18"/>
                <w:szCs w:val="18"/>
              </w:rPr>
            </w:pPr>
            <w:r>
              <w:rPr>
                <w:i/>
                <w:sz w:val="18"/>
                <w:szCs w:val="18"/>
              </w:rPr>
              <w:t>EUR</w:t>
            </w:r>
          </w:p>
        </w:tc>
        <w:tc>
          <w:tcPr>
            <w:tcW w:w="656" w:type="dxa"/>
            <w:vAlign w:val="center"/>
          </w:tcPr>
          <w:p w14:paraId="0C385F47" w14:textId="77777777" w:rsidR="00E10737" w:rsidRPr="00D9570C" w:rsidRDefault="00E10737" w:rsidP="004179DE">
            <w:pPr>
              <w:ind w:left="0"/>
              <w:jc w:val="center"/>
              <w:rPr>
                <w:i/>
                <w:sz w:val="18"/>
                <w:szCs w:val="18"/>
              </w:rPr>
            </w:pPr>
            <w:r>
              <w:rPr>
                <w:i/>
                <w:sz w:val="18"/>
                <w:szCs w:val="18"/>
              </w:rPr>
              <w:t>EFRR</w:t>
            </w:r>
          </w:p>
        </w:tc>
        <w:tc>
          <w:tcPr>
            <w:tcW w:w="986" w:type="dxa"/>
            <w:vAlign w:val="center"/>
          </w:tcPr>
          <w:p w14:paraId="69ABE162" w14:textId="77777777" w:rsidR="00E10737" w:rsidRPr="00D9570C" w:rsidRDefault="00E10737" w:rsidP="004179DE">
            <w:pPr>
              <w:ind w:left="0"/>
              <w:jc w:val="center"/>
              <w:rPr>
                <w:i/>
                <w:sz w:val="18"/>
                <w:szCs w:val="18"/>
              </w:rPr>
            </w:pPr>
            <w:r>
              <w:rPr>
                <w:i/>
                <w:sz w:val="18"/>
                <w:szCs w:val="18"/>
              </w:rPr>
              <w:t>Rozvinutejší región</w:t>
            </w:r>
          </w:p>
        </w:tc>
        <w:tc>
          <w:tcPr>
            <w:tcW w:w="987" w:type="dxa"/>
            <w:vAlign w:val="center"/>
          </w:tcPr>
          <w:p w14:paraId="01F26E75" w14:textId="77777777" w:rsidR="00E10737" w:rsidRPr="000B2429" w:rsidRDefault="00E10737" w:rsidP="004179DE">
            <w:pPr>
              <w:ind w:left="0"/>
              <w:jc w:val="center"/>
              <w:rPr>
                <w:i/>
                <w:sz w:val="18"/>
                <w:szCs w:val="18"/>
              </w:rPr>
            </w:pPr>
            <w:r w:rsidRPr="000B2429">
              <w:rPr>
                <w:i/>
                <w:sz w:val="18"/>
                <w:szCs w:val="18"/>
              </w:rPr>
              <w:t>80 906</w:t>
            </w:r>
          </w:p>
          <w:p w14:paraId="4C8429AA" w14:textId="77777777" w:rsidR="00E10737" w:rsidRPr="00D9570C" w:rsidRDefault="00E10737" w:rsidP="004179DE">
            <w:pPr>
              <w:ind w:left="0"/>
              <w:jc w:val="center"/>
              <w:rPr>
                <w:i/>
                <w:sz w:val="18"/>
                <w:szCs w:val="18"/>
              </w:rPr>
            </w:pPr>
            <w:r w:rsidRPr="000B2429">
              <w:rPr>
                <w:i/>
                <w:sz w:val="18"/>
                <w:szCs w:val="18"/>
              </w:rPr>
              <w:t>674</w:t>
            </w:r>
          </w:p>
        </w:tc>
        <w:tc>
          <w:tcPr>
            <w:tcW w:w="1045" w:type="dxa"/>
            <w:vAlign w:val="center"/>
          </w:tcPr>
          <w:p w14:paraId="053F2A38" w14:textId="5988485B" w:rsidR="00E10737" w:rsidRPr="00D9570C" w:rsidRDefault="00D3601B" w:rsidP="00D3601B">
            <w:pPr>
              <w:ind w:left="0"/>
              <w:jc w:val="center"/>
              <w:rPr>
                <w:i/>
                <w:sz w:val="18"/>
                <w:szCs w:val="18"/>
              </w:rPr>
            </w:pPr>
            <w:r>
              <w:rPr>
                <w:i/>
                <w:sz w:val="18"/>
                <w:szCs w:val="18"/>
              </w:rPr>
              <w:t>254 312 151</w:t>
            </w:r>
          </w:p>
        </w:tc>
        <w:tc>
          <w:tcPr>
            <w:tcW w:w="747" w:type="dxa"/>
            <w:vAlign w:val="center"/>
          </w:tcPr>
          <w:p w14:paraId="63434716" w14:textId="77777777" w:rsidR="00E10737" w:rsidRPr="00D9570C" w:rsidRDefault="00E10737" w:rsidP="004179DE">
            <w:pPr>
              <w:ind w:left="0"/>
              <w:jc w:val="center"/>
              <w:rPr>
                <w:i/>
                <w:sz w:val="18"/>
                <w:szCs w:val="18"/>
              </w:rPr>
            </w:pPr>
            <w:r w:rsidRPr="00B53EA0">
              <w:rPr>
                <w:i/>
                <w:sz w:val="18"/>
                <w:szCs w:val="18"/>
              </w:rPr>
              <w:t>ITMS/ CO (MF</w:t>
            </w:r>
            <w:r>
              <w:rPr>
                <w:i/>
                <w:sz w:val="18"/>
                <w:szCs w:val="18"/>
              </w:rPr>
              <w:t xml:space="preserve"> </w:t>
            </w:r>
            <w:r w:rsidRPr="00B53EA0">
              <w:rPr>
                <w:i/>
                <w:sz w:val="18"/>
                <w:szCs w:val="18"/>
              </w:rPr>
              <w:t>SR)</w:t>
            </w:r>
          </w:p>
        </w:tc>
        <w:tc>
          <w:tcPr>
            <w:tcW w:w="1217" w:type="dxa"/>
            <w:vAlign w:val="center"/>
          </w:tcPr>
          <w:p w14:paraId="270AFF4B" w14:textId="77777777" w:rsidR="00E10737" w:rsidRPr="00D9570C" w:rsidRDefault="00E10737" w:rsidP="004179DE">
            <w:pPr>
              <w:ind w:left="0"/>
              <w:jc w:val="center"/>
              <w:rPr>
                <w:i/>
                <w:sz w:val="18"/>
                <w:szCs w:val="18"/>
              </w:rPr>
            </w:pPr>
          </w:p>
        </w:tc>
      </w:tr>
    </w:tbl>
    <w:p w14:paraId="0C39BA03" w14:textId="78FDCEF3" w:rsidR="00E10737" w:rsidRPr="00A92948" w:rsidRDefault="00E10737" w:rsidP="00351D17">
      <w:pPr>
        <w:pStyle w:val="Nadpis4"/>
      </w:pPr>
      <w:r w:rsidRPr="00351D17">
        <w:t xml:space="preserve">Predpokladaný vývoj finančného pokroku na prioritnej osi </w:t>
      </w:r>
      <w:r w:rsidR="0083273F" w:rsidRPr="00351D17">
        <w:t>10</w:t>
      </w:r>
    </w:p>
    <w:p w14:paraId="61A4FF9F" w14:textId="73C3E776" w:rsidR="00305740" w:rsidRDefault="00305740" w:rsidP="00305740">
      <w:pPr>
        <w:pStyle w:val="Obyajntext"/>
        <w:spacing w:after="120"/>
        <w:jc w:val="both"/>
        <w:rPr>
          <w:rFonts w:ascii="Times New Roman" w:hAnsi="Times New Roman" w:cs="Times New Roman"/>
          <w:sz w:val="22"/>
          <w:szCs w:val="22"/>
        </w:rPr>
      </w:pPr>
      <w:r>
        <w:rPr>
          <w:rFonts w:ascii="Times New Roman" w:hAnsi="Times New Roman" w:cs="Times New Roman"/>
          <w:sz w:val="22"/>
          <w:szCs w:val="22"/>
        </w:rPr>
        <w:t>Pozri Prílohu 21.</w:t>
      </w:r>
      <w:r w:rsidR="00E10737" w:rsidRPr="00955D25">
        <w:rPr>
          <w:rFonts w:ascii="Times New Roman" w:hAnsi="Times New Roman" w:cs="Times New Roman"/>
          <w:sz w:val="22"/>
          <w:szCs w:val="22"/>
        </w:rPr>
        <w:t xml:space="preserve"> </w:t>
      </w:r>
      <w:bookmarkStart w:id="114" w:name="_Toc21945919"/>
    </w:p>
    <w:p w14:paraId="4A689140" w14:textId="11EF5028" w:rsidR="00E10737" w:rsidRPr="00AF51CC" w:rsidRDefault="00E10737" w:rsidP="00305740">
      <w:pPr>
        <w:pStyle w:val="Nadpis3"/>
      </w:pPr>
      <w:bookmarkStart w:id="115" w:name="_Toc28951652"/>
      <w:r w:rsidRPr="00AF51CC">
        <w:t>Kategórie intervencií</w:t>
      </w:r>
      <w:bookmarkEnd w:id="114"/>
      <w:bookmarkEnd w:id="115"/>
    </w:p>
    <w:p w14:paraId="28991B05" w14:textId="77777777" w:rsidR="00E10737" w:rsidRDefault="00E10737" w:rsidP="00351D17">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7E263269" w14:textId="77777777" w:rsidTr="004179DE">
        <w:trPr>
          <w:trHeight w:val="255"/>
          <w:jc w:val="center"/>
        </w:trPr>
        <w:tc>
          <w:tcPr>
            <w:tcW w:w="9072" w:type="dxa"/>
            <w:gridSpan w:val="3"/>
            <w:shd w:val="clear" w:color="auto" w:fill="DBE5F1"/>
            <w:vAlign w:val="center"/>
          </w:tcPr>
          <w:p w14:paraId="14AE4F5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E10737" w:rsidRPr="003A7F56" w14:paraId="1779DD02" w14:textId="77777777" w:rsidTr="004179DE">
        <w:trPr>
          <w:trHeight w:val="255"/>
          <w:jc w:val="center"/>
        </w:trPr>
        <w:tc>
          <w:tcPr>
            <w:tcW w:w="4912" w:type="dxa"/>
            <w:shd w:val="clear" w:color="auto" w:fill="DBE5F1"/>
            <w:vAlign w:val="center"/>
          </w:tcPr>
          <w:p w14:paraId="1A68F1BD"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470EA26C"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0679228D" w14:textId="77777777" w:rsidTr="004179DE">
        <w:trPr>
          <w:trHeight w:val="255"/>
          <w:jc w:val="center"/>
        </w:trPr>
        <w:tc>
          <w:tcPr>
            <w:tcW w:w="4912" w:type="dxa"/>
            <w:shd w:val="clear" w:color="auto" w:fill="DBE5F1"/>
            <w:vAlign w:val="center"/>
          </w:tcPr>
          <w:p w14:paraId="39204C0D"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27125CA6" w14:textId="3EDD562F" w:rsidR="00E10737" w:rsidRPr="003A7F56" w:rsidRDefault="002335D4"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388FD411" w14:textId="77777777" w:rsidTr="004179DE">
        <w:trPr>
          <w:trHeight w:val="255"/>
          <w:jc w:val="center"/>
        </w:trPr>
        <w:tc>
          <w:tcPr>
            <w:tcW w:w="4912" w:type="dxa"/>
            <w:shd w:val="clear" w:color="auto" w:fill="auto"/>
            <w:vAlign w:val="center"/>
          </w:tcPr>
          <w:p w14:paraId="702F3151"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5D83F62C"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A87D8AB"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2D4331EB" w14:textId="77777777" w:rsidTr="004179DE">
        <w:trPr>
          <w:trHeight w:val="255"/>
          <w:jc w:val="center"/>
        </w:trPr>
        <w:tc>
          <w:tcPr>
            <w:tcW w:w="4912" w:type="dxa"/>
            <w:vMerge w:val="restart"/>
            <w:shd w:val="clear" w:color="auto" w:fill="auto"/>
            <w:vAlign w:val="center"/>
          </w:tcPr>
          <w:p w14:paraId="00C74FA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10</w:t>
            </w:r>
            <w:r w:rsidRPr="003A7F56">
              <w:rPr>
                <w:rFonts w:ascii="TimesNewRoman" w:hAnsi="TimesNewRoman" w:cs="TimesNewRoman"/>
                <w:sz w:val="20"/>
                <w:szCs w:val="20"/>
              </w:rPr>
              <w:t xml:space="preserve"> – </w:t>
            </w:r>
            <w:r w:rsidRPr="0090045C">
              <w:rPr>
                <w:rFonts w:ascii="TimesNewRoman" w:hAnsi="TimesNewRoman" w:cs="TimesNewRoman"/>
                <w:sz w:val="20"/>
                <w:szCs w:val="20"/>
              </w:rPr>
              <w:t>Podpo</w:t>
            </w:r>
            <w:r>
              <w:rPr>
                <w:rFonts w:ascii="TimesNewRoman" w:hAnsi="TimesNewRoman" w:cs="TimesNewRoman"/>
                <w:sz w:val="20"/>
                <w:szCs w:val="20"/>
              </w:rPr>
              <w:t>ra výskumu, vývoja a inovácií v </w:t>
            </w:r>
            <w:r w:rsidRPr="0090045C">
              <w:rPr>
                <w:rFonts w:ascii="TimesNewRoman" w:hAnsi="TimesNewRoman" w:cs="TimesNewRoman"/>
                <w:sz w:val="20"/>
                <w:szCs w:val="20"/>
              </w:rPr>
              <w:t>Bratislavskom kraji</w:t>
            </w:r>
          </w:p>
        </w:tc>
        <w:tc>
          <w:tcPr>
            <w:tcW w:w="2120" w:type="dxa"/>
            <w:shd w:val="clear" w:color="auto" w:fill="auto"/>
            <w:vAlign w:val="center"/>
          </w:tcPr>
          <w:p w14:paraId="79471AA5" w14:textId="77777777" w:rsidR="00E10737" w:rsidRPr="0090045C" w:rsidRDefault="00E10737" w:rsidP="004179DE">
            <w:pPr>
              <w:autoSpaceDE w:val="0"/>
              <w:autoSpaceDN w:val="0"/>
              <w:adjustRightInd w:val="0"/>
              <w:jc w:val="center"/>
              <w:rPr>
                <w:sz w:val="18"/>
              </w:rPr>
            </w:pPr>
            <w:r w:rsidRPr="0090045C">
              <w:rPr>
                <w:sz w:val="18"/>
              </w:rPr>
              <w:t>001</w:t>
            </w:r>
          </w:p>
        </w:tc>
        <w:tc>
          <w:tcPr>
            <w:tcW w:w="2040" w:type="dxa"/>
            <w:shd w:val="clear" w:color="auto" w:fill="auto"/>
            <w:vAlign w:val="center"/>
          </w:tcPr>
          <w:p w14:paraId="37D62481" w14:textId="77777777" w:rsidR="00E10737" w:rsidRPr="00661E83" w:rsidRDefault="00E10737" w:rsidP="004179DE">
            <w:pPr>
              <w:autoSpaceDE w:val="0"/>
              <w:autoSpaceDN w:val="0"/>
              <w:adjustRightInd w:val="0"/>
              <w:jc w:val="center"/>
              <w:rPr>
                <w:sz w:val="18"/>
                <w:szCs w:val="18"/>
              </w:rPr>
            </w:pPr>
            <w:r w:rsidRPr="00661E83">
              <w:rPr>
                <w:sz w:val="18"/>
                <w:szCs w:val="18"/>
              </w:rPr>
              <w:t>1 998 000,00</w:t>
            </w:r>
          </w:p>
        </w:tc>
      </w:tr>
      <w:tr w:rsidR="00E10737" w:rsidRPr="003A7F56" w14:paraId="67D7BCFE" w14:textId="77777777" w:rsidTr="004179DE">
        <w:trPr>
          <w:trHeight w:val="255"/>
          <w:jc w:val="center"/>
        </w:trPr>
        <w:tc>
          <w:tcPr>
            <w:tcW w:w="4912" w:type="dxa"/>
            <w:vMerge/>
            <w:shd w:val="clear" w:color="auto" w:fill="auto"/>
            <w:vAlign w:val="center"/>
          </w:tcPr>
          <w:p w14:paraId="05DEE209"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29228B1" w14:textId="77777777" w:rsidR="00E10737" w:rsidRPr="0090045C" w:rsidRDefault="00E10737" w:rsidP="004179DE">
            <w:pPr>
              <w:autoSpaceDE w:val="0"/>
              <w:autoSpaceDN w:val="0"/>
              <w:adjustRightInd w:val="0"/>
              <w:jc w:val="center"/>
              <w:rPr>
                <w:sz w:val="18"/>
              </w:rPr>
            </w:pPr>
            <w:r w:rsidRPr="0090045C">
              <w:rPr>
                <w:sz w:val="18"/>
              </w:rPr>
              <w:t>002</w:t>
            </w:r>
          </w:p>
        </w:tc>
        <w:tc>
          <w:tcPr>
            <w:tcW w:w="2040" w:type="dxa"/>
            <w:shd w:val="clear" w:color="auto" w:fill="auto"/>
            <w:vAlign w:val="center"/>
          </w:tcPr>
          <w:p w14:paraId="4C2FFBB2" w14:textId="77777777" w:rsidR="00E10737" w:rsidRPr="00661E83" w:rsidRDefault="00E10737" w:rsidP="004179DE">
            <w:pPr>
              <w:autoSpaceDE w:val="0"/>
              <w:autoSpaceDN w:val="0"/>
              <w:adjustRightInd w:val="0"/>
              <w:jc w:val="center"/>
              <w:rPr>
                <w:sz w:val="18"/>
                <w:szCs w:val="18"/>
                <w:lang w:val="en-US"/>
              </w:rPr>
            </w:pPr>
            <w:r w:rsidRPr="00661E83">
              <w:rPr>
                <w:sz w:val="18"/>
                <w:szCs w:val="18"/>
              </w:rPr>
              <w:t>1 002 000,00</w:t>
            </w:r>
          </w:p>
        </w:tc>
      </w:tr>
      <w:tr w:rsidR="00E10737" w:rsidRPr="003A7F56" w14:paraId="50EA84EA" w14:textId="77777777" w:rsidTr="004179DE">
        <w:trPr>
          <w:trHeight w:val="255"/>
          <w:jc w:val="center"/>
        </w:trPr>
        <w:tc>
          <w:tcPr>
            <w:tcW w:w="4912" w:type="dxa"/>
            <w:vMerge/>
            <w:shd w:val="clear" w:color="auto" w:fill="auto"/>
            <w:vAlign w:val="center"/>
          </w:tcPr>
          <w:p w14:paraId="5A7A5A9A"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2F2A93A" w14:textId="77777777" w:rsidR="00E10737" w:rsidRPr="0090045C" w:rsidRDefault="00E10737" w:rsidP="004179DE">
            <w:pPr>
              <w:autoSpaceDE w:val="0"/>
              <w:autoSpaceDN w:val="0"/>
              <w:adjustRightInd w:val="0"/>
              <w:jc w:val="center"/>
              <w:rPr>
                <w:sz w:val="18"/>
              </w:rPr>
            </w:pPr>
            <w:r w:rsidRPr="0090045C">
              <w:rPr>
                <w:sz w:val="18"/>
              </w:rPr>
              <w:t>056</w:t>
            </w:r>
          </w:p>
        </w:tc>
        <w:tc>
          <w:tcPr>
            <w:tcW w:w="2040" w:type="dxa"/>
            <w:shd w:val="clear" w:color="auto" w:fill="auto"/>
            <w:vAlign w:val="center"/>
          </w:tcPr>
          <w:p w14:paraId="5252E365" w14:textId="77777777" w:rsidR="00E10737" w:rsidRPr="00661E83" w:rsidRDefault="00E10737" w:rsidP="004179DE">
            <w:pPr>
              <w:autoSpaceDE w:val="0"/>
              <w:autoSpaceDN w:val="0"/>
              <w:adjustRightInd w:val="0"/>
              <w:jc w:val="center"/>
              <w:rPr>
                <w:sz w:val="18"/>
                <w:szCs w:val="18"/>
                <w:lang w:val="en-US"/>
              </w:rPr>
            </w:pPr>
            <w:r w:rsidRPr="00661E83">
              <w:rPr>
                <w:sz w:val="18"/>
                <w:szCs w:val="18"/>
              </w:rPr>
              <w:t>11 056 821,85</w:t>
            </w:r>
          </w:p>
        </w:tc>
      </w:tr>
      <w:tr w:rsidR="00E10737" w:rsidRPr="003A7F56" w14:paraId="7AFB8655" w14:textId="77777777" w:rsidTr="004179DE">
        <w:trPr>
          <w:trHeight w:val="255"/>
          <w:jc w:val="center"/>
        </w:trPr>
        <w:tc>
          <w:tcPr>
            <w:tcW w:w="4912" w:type="dxa"/>
            <w:vMerge/>
            <w:shd w:val="clear" w:color="auto" w:fill="auto"/>
            <w:vAlign w:val="center"/>
          </w:tcPr>
          <w:p w14:paraId="4FF9DC1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F7CA14A" w14:textId="77777777" w:rsidR="00E10737" w:rsidRPr="0090045C" w:rsidRDefault="00E10737" w:rsidP="004179DE">
            <w:pPr>
              <w:autoSpaceDE w:val="0"/>
              <w:autoSpaceDN w:val="0"/>
              <w:adjustRightInd w:val="0"/>
              <w:jc w:val="center"/>
              <w:rPr>
                <w:sz w:val="18"/>
              </w:rPr>
            </w:pPr>
            <w:r w:rsidRPr="0090045C">
              <w:rPr>
                <w:sz w:val="18"/>
              </w:rPr>
              <w:t>057</w:t>
            </w:r>
          </w:p>
        </w:tc>
        <w:tc>
          <w:tcPr>
            <w:tcW w:w="2040" w:type="dxa"/>
            <w:shd w:val="clear" w:color="auto" w:fill="auto"/>
            <w:vAlign w:val="center"/>
          </w:tcPr>
          <w:p w14:paraId="2B446C4D" w14:textId="1916E311" w:rsidR="00E10737" w:rsidRPr="00661E83" w:rsidRDefault="00E10737" w:rsidP="004179DE">
            <w:pPr>
              <w:autoSpaceDE w:val="0"/>
              <w:autoSpaceDN w:val="0"/>
              <w:adjustRightInd w:val="0"/>
              <w:jc w:val="center"/>
              <w:rPr>
                <w:sz w:val="18"/>
                <w:szCs w:val="18"/>
              </w:rPr>
            </w:pPr>
            <w:r w:rsidRPr="00661E83">
              <w:rPr>
                <w:sz w:val="18"/>
                <w:szCs w:val="18"/>
              </w:rPr>
              <w:t>7 734 663,16</w:t>
            </w:r>
          </w:p>
        </w:tc>
      </w:tr>
      <w:tr w:rsidR="00E10737" w:rsidRPr="003A7F56" w14:paraId="35FD41D6" w14:textId="77777777" w:rsidTr="004179DE">
        <w:trPr>
          <w:trHeight w:val="255"/>
          <w:jc w:val="center"/>
        </w:trPr>
        <w:tc>
          <w:tcPr>
            <w:tcW w:w="4912" w:type="dxa"/>
            <w:vMerge/>
            <w:shd w:val="clear" w:color="auto" w:fill="auto"/>
            <w:vAlign w:val="center"/>
          </w:tcPr>
          <w:p w14:paraId="1E5D6C35"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10CF484" w14:textId="77777777" w:rsidR="00E10737" w:rsidRPr="0090045C" w:rsidRDefault="00E10737" w:rsidP="004179DE">
            <w:pPr>
              <w:autoSpaceDE w:val="0"/>
              <w:autoSpaceDN w:val="0"/>
              <w:adjustRightInd w:val="0"/>
              <w:jc w:val="center"/>
              <w:rPr>
                <w:sz w:val="18"/>
              </w:rPr>
            </w:pPr>
            <w:r w:rsidRPr="0090045C">
              <w:rPr>
                <w:sz w:val="18"/>
              </w:rPr>
              <w:t>058</w:t>
            </w:r>
          </w:p>
        </w:tc>
        <w:tc>
          <w:tcPr>
            <w:tcW w:w="2040" w:type="dxa"/>
            <w:shd w:val="clear" w:color="auto" w:fill="auto"/>
            <w:vAlign w:val="center"/>
          </w:tcPr>
          <w:p w14:paraId="690D1576" w14:textId="02D20391" w:rsidR="00E10737" w:rsidRPr="00661E83" w:rsidRDefault="00D3601B" w:rsidP="00D3601B">
            <w:pPr>
              <w:autoSpaceDE w:val="0"/>
              <w:autoSpaceDN w:val="0"/>
              <w:adjustRightInd w:val="0"/>
              <w:jc w:val="center"/>
              <w:rPr>
                <w:sz w:val="18"/>
                <w:szCs w:val="18"/>
              </w:rPr>
            </w:pPr>
            <w:r>
              <w:rPr>
                <w:sz w:val="18"/>
                <w:szCs w:val="18"/>
              </w:rPr>
              <w:t>46 501 959,16</w:t>
            </w:r>
          </w:p>
        </w:tc>
      </w:tr>
      <w:tr w:rsidR="00E10737" w:rsidRPr="003A7F56" w14:paraId="67D60261" w14:textId="77777777" w:rsidTr="004179DE">
        <w:trPr>
          <w:trHeight w:val="255"/>
          <w:jc w:val="center"/>
        </w:trPr>
        <w:tc>
          <w:tcPr>
            <w:tcW w:w="4912" w:type="dxa"/>
            <w:vMerge/>
            <w:shd w:val="clear" w:color="auto" w:fill="auto"/>
            <w:vAlign w:val="center"/>
          </w:tcPr>
          <w:p w14:paraId="4FD3783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EB8E9FE" w14:textId="77777777" w:rsidR="00E10737" w:rsidRPr="0090045C" w:rsidRDefault="00E10737" w:rsidP="004179DE">
            <w:pPr>
              <w:autoSpaceDE w:val="0"/>
              <w:autoSpaceDN w:val="0"/>
              <w:adjustRightInd w:val="0"/>
              <w:jc w:val="center"/>
              <w:rPr>
                <w:sz w:val="18"/>
              </w:rPr>
            </w:pPr>
            <w:r w:rsidRPr="0090045C">
              <w:rPr>
                <w:sz w:val="18"/>
              </w:rPr>
              <w:t>059</w:t>
            </w:r>
          </w:p>
        </w:tc>
        <w:tc>
          <w:tcPr>
            <w:tcW w:w="2040" w:type="dxa"/>
            <w:shd w:val="clear" w:color="auto" w:fill="auto"/>
            <w:vAlign w:val="center"/>
          </w:tcPr>
          <w:p w14:paraId="16F59EB3" w14:textId="77777777" w:rsidR="00E10737" w:rsidRPr="00661E83" w:rsidRDefault="00E10737" w:rsidP="004179DE">
            <w:pPr>
              <w:autoSpaceDE w:val="0"/>
              <w:autoSpaceDN w:val="0"/>
              <w:adjustRightInd w:val="0"/>
              <w:jc w:val="center"/>
              <w:rPr>
                <w:sz w:val="18"/>
                <w:szCs w:val="18"/>
              </w:rPr>
            </w:pPr>
            <w:r w:rsidRPr="00661E83">
              <w:rPr>
                <w:sz w:val="18"/>
                <w:szCs w:val="18"/>
              </w:rPr>
              <w:t>4 047 174,86</w:t>
            </w:r>
          </w:p>
        </w:tc>
      </w:tr>
      <w:tr w:rsidR="00E10737" w:rsidRPr="003A7F56" w14:paraId="7037F2C2" w14:textId="77777777" w:rsidTr="004179DE">
        <w:trPr>
          <w:trHeight w:val="255"/>
          <w:jc w:val="center"/>
        </w:trPr>
        <w:tc>
          <w:tcPr>
            <w:tcW w:w="4912" w:type="dxa"/>
            <w:vMerge/>
            <w:shd w:val="clear" w:color="auto" w:fill="auto"/>
            <w:vAlign w:val="center"/>
          </w:tcPr>
          <w:p w14:paraId="18263CC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DF6433C" w14:textId="77777777" w:rsidR="00E10737" w:rsidRPr="0090045C" w:rsidRDefault="00E10737" w:rsidP="004179DE">
            <w:pPr>
              <w:autoSpaceDE w:val="0"/>
              <w:autoSpaceDN w:val="0"/>
              <w:adjustRightInd w:val="0"/>
              <w:jc w:val="center"/>
              <w:rPr>
                <w:sz w:val="18"/>
              </w:rPr>
            </w:pPr>
            <w:r w:rsidRPr="0090045C">
              <w:rPr>
                <w:sz w:val="18"/>
              </w:rPr>
              <w:t>060</w:t>
            </w:r>
          </w:p>
        </w:tc>
        <w:tc>
          <w:tcPr>
            <w:tcW w:w="2040" w:type="dxa"/>
            <w:shd w:val="clear" w:color="auto" w:fill="auto"/>
            <w:vAlign w:val="center"/>
          </w:tcPr>
          <w:p w14:paraId="3B7E1D54" w14:textId="4DDF8ED1" w:rsidR="00E10737" w:rsidRPr="00661E83" w:rsidRDefault="00D3601B" w:rsidP="00D3601B">
            <w:pPr>
              <w:autoSpaceDE w:val="0"/>
              <w:autoSpaceDN w:val="0"/>
              <w:adjustRightInd w:val="0"/>
              <w:jc w:val="center"/>
              <w:rPr>
                <w:sz w:val="18"/>
                <w:szCs w:val="18"/>
              </w:rPr>
            </w:pPr>
            <w:r>
              <w:rPr>
                <w:sz w:val="18"/>
                <w:szCs w:val="18"/>
              </w:rPr>
              <w:t>29 373 111,19</w:t>
            </w:r>
          </w:p>
        </w:tc>
      </w:tr>
      <w:tr w:rsidR="00E10737" w:rsidRPr="003A7F56" w14:paraId="397D4A4D" w14:textId="77777777" w:rsidTr="004179DE">
        <w:trPr>
          <w:trHeight w:val="255"/>
          <w:jc w:val="center"/>
        </w:trPr>
        <w:tc>
          <w:tcPr>
            <w:tcW w:w="4912" w:type="dxa"/>
            <w:vMerge/>
            <w:shd w:val="clear" w:color="auto" w:fill="auto"/>
            <w:vAlign w:val="center"/>
          </w:tcPr>
          <w:p w14:paraId="2D68F51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E901E19" w14:textId="77777777" w:rsidR="00E10737" w:rsidRPr="0090045C" w:rsidRDefault="00E10737" w:rsidP="004179DE">
            <w:pPr>
              <w:autoSpaceDE w:val="0"/>
              <w:autoSpaceDN w:val="0"/>
              <w:adjustRightInd w:val="0"/>
              <w:jc w:val="center"/>
              <w:rPr>
                <w:sz w:val="18"/>
              </w:rPr>
            </w:pPr>
            <w:r w:rsidRPr="0090045C">
              <w:rPr>
                <w:sz w:val="18"/>
              </w:rPr>
              <w:t>061</w:t>
            </w:r>
          </w:p>
        </w:tc>
        <w:tc>
          <w:tcPr>
            <w:tcW w:w="2040" w:type="dxa"/>
            <w:shd w:val="clear" w:color="auto" w:fill="auto"/>
            <w:vAlign w:val="center"/>
          </w:tcPr>
          <w:p w14:paraId="69DF6046" w14:textId="1476CA29" w:rsidR="00E10737" w:rsidRPr="00661E83" w:rsidRDefault="00D3601B" w:rsidP="00D3601B">
            <w:pPr>
              <w:autoSpaceDE w:val="0"/>
              <w:autoSpaceDN w:val="0"/>
              <w:adjustRightInd w:val="0"/>
              <w:jc w:val="center"/>
              <w:rPr>
                <w:sz w:val="18"/>
                <w:szCs w:val="18"/>
              </w:rPr>
            </w:pPr>
            <w:r>
              <w:rPr>
                <w:sz w:val="18"/>
                <w:szCs w:val="18"/>
              </w:rPr>
              <w:t>3 934 803,42</w:t>
            </w:r>
          </w:p>
        </w:tc>
      </w:tr>
      <w:tr w:rsidR="00E10737" w:rsidRPr="003A7F56" w14:paraId="0780E0C2" w14:textId="77777777" w:rsidTr="004179DE">
        <w:trPr>
          <w:trHeight w:val="255"/>
          <w:jc w:val="center"/>
        </w:trPr>
        <w:tc>
          <w:tcPr>
            <w:tcW w:w="4912" w:type="dxa"/>
            <w:vMerge/>
            <w:shd w:val="clear" w:color="auto" w:fill="auto"/>
            <w:vAlign w:val="center"/>
          </w:tcPr>
          <w:p w14:paraId="169842E4"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A4AF347" w14:textId="77777777" w:rsidR="00E10737" w:rsidRPr="0090045C" w:rsidRDefault="00E10737" w:rsidP="004179DE">
            <w:pPr>
              <w:autoSpaceDE w:val="0"/>
              <w:autoSpaceDN w:val="0"/>
              <w:adjustRightInd w:val="0"/>
              <w:jc w:val="center"/>
              <w:rPr>
                <w:sz w:val="18"/>
              </w:rPr>
            </w:pPr>
            <w:r w:rsidRPr="0090045C">
              <w:rPr>
                <w:sz w:val="18"/>
              </w:rPr>
              <w:t>062</w:t>
            </w:r>
          </w:p>
        </w:tc>
        <w:tc>
          <w:tcPr>
            <w:tcW w:w="2040" w:type="dxa"/>
            <w:shd w:val="clear" w:color="auto" w:fill="auto"/>
            <w:vAlign w:val="center"/>
          </w:tcPr>
          <w:p w14:paraId="5863CB73" w14:textId="77777777" w:rsidR="00E10737" w:rsidRPr="00661E83" w:rsidRDefault="00E10737" w:rsidP="004179DE">
            <w:pPr>
              <w:autoSpaceDE w:val="0"/>
              <w:autoSpaceDN w:val="0"/>
              <w:adjustRightInd w:val="0"/>
              <w:jc w:val="center"/>
              <w:rPr>
                <w:sz w:val="18"/>
                <w:szCs w:val="18"/>
              </w:rPr>
            </w:pPr>
            <w:r w:rsidRPr="00661E83">
              <w:rPr>
                <w:sz w:val="18"/>
                <w:szCs w:val="18"/>
              </w:rPr>
              <w:t>2 698 115,36</w:t>
            </w:r>
          </w:p>
        </w:tc>
      </w:tr>
      <w:tr w:rsidR="00E10737" w:rsidRPr="003A7F56" w14:paraId="7A989F56" w14:textId="77777777" w:rsidTr="004179DE">
        <w:trPr>
          <w:trHeight w:val="255"/>
          <w:jc w:val="center"/>
        </w:trPr>
        <w:tc>
          <w:tcPr>
            <w:tcW w:w="4912" w:type="dxa"/>
            <w:vMerge/>
            <w:shd w:val="clear" w:color="auto" w:fill="auto"/>
            <w:vAlign w:val="center"/>
          </w:tcPr>
          <w:p w14:paraId="763B2E1E"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7652537" w14:textId="77777777" w:rsidR="00E10737" w:rsidRPr="0090045C" w:rsidRDefault="00E10737" w:rsidP="004179DE">
            <w:pPr>
              <w:autoSpaceDE w:val="0"/>
              <w:autoSpaceDN w:val="0"/>
              <w:adjustRightInd w:val="0"/>
              <w:jc w:val="center"/>
              <w:rPr>
                <w:sz w:val="18"/>
              </w:rPr>
            </w:pPr>
            <w:r w:rsidRPr="0090045C">
              <w:rPr>
                <w:sz w:val="18"/>
              </w:rPr>
              <w:t>063</w:t>
            </w:r>
          </w:p>
        </w:tc>
        <w:tc>
          <w:tcPr>
            <w:tcW w:w="2040" w:type="dxa"/>
            <w:shd w:val="clear" w:color="auto" w:fill="auto"/>
            <w:vAlign w:val="center"/>
          </w:tcPr>
          <w:p w14:paraId="5E51939C" w14:textId="77777777" w:rsidR="00E10737" w:rsidRPr="00661E83" w:rsidRDefault="00E10737" w:rsidP="004179DE">
            <w:pPr>
              <w:autoSpaceDE w:val="0"/>
              <w:autoSpaceDN w:val="0"/>
              <w:adjustRightInd w:val="0"/>
              <w:jc w:val="center"/>
              <w:rPr>
                <w:sz w:val="18"/>
                <w:szCs w:val="18"/>
              </w:rPr>
            </w:pPr>
            <w:r w:rsidRPr="00661E83">
              <w:rPr>
                <w:sz w:val="18"/>
                <w:szCs w:val="18"/>
              </w:rPr>
              <w:t>4 000 000,00</w:t>
            </w:r>
          </w:p>
        </w:tc>
      </w:tr>
      <w:tr w:rsidR="00E10737" w:rsidRPr="003A7F56" w14:paraId="07D9E3D7" w14:textId="77777777" w:rsidTr="004179DE">
        <w:trPr>
          <w:trHeight w:val="255"/>
          <w:jc w:val="center"/>
        </w:trPr>
        <w:tc>
          <w:tcPr>
            <w:tcW w:w="4912" w:type="dxa"/>
            <w:vMerge/>
            <w:shd w:val="clear" w:color="auto" w:fill="auto"/>
            <w:vAlign w:val="center"/>
          </w:tcPr>
          <w:p w14:paraId="4C25940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8AC14F9" w14:textId="77777777" w:rsidR="00E10737" w:rsidRPr="0090045C" w:rsidRDefault="00E10737" w:rsidP="004179DE">
            <w:pPr>
              <w:autoSpaceDE w:val="0"/>
              <w:autoSpaceDN w:val="0"/>
              <w:adjustRightInd w:val="0"/>
              <w:jc w:val="center"/>
              <w:rPr>
                <w:sz w:val="18"/>
              </w:rPr>
            </w:pPr>
            <w:r w:rsidRPr="0090045C">
              <w:rPr>
                <w:sz w:val="18"/>
              </w:rPr>
              <w:t>064</w:t>
            </w:r>
          </w:p>
        </w:tc>
        <w:tc>
          <w:tcPr>
            <w:tcW w:w="2040" w:type="dxa"/>
            <w:shd w:val="clear" w:color="auto" w:fill="auto"/>
            <w:vAlign w:val="center"/>
          </w:tcPr>
          <w:p w14:paraId="5CAD8526" w14:textId="77777777" w:rsidR="00E10737" w:rsidRPr="00661E83" w:rsidRDefault="00E10737" w:rsidP="004179DE">
            <w:pPr>
              <w:autoSpaceDE w:val="0"/>
              <w:autoSpaceDN w:val="0"/>
              <w:adjustRightInd w:val="0"/>
              <w:jc w:val="center"/>
              <w:rPr>
                <w:sz w:val="18"/>
                <w:szCs w:val="18"/>
              </w:rPr>
            </w:pPr>
            <w:r w:rsidRPr="00661E83">
              <w:rPr>
                <w:sz w:val="18"/>
                <w:szCs w:val="18"/>
              </w:rPr>
              <w:t>5 000 000,00</w:t>
            </w:r>
          </w:p>
        </w:tc>
      </w:tr>
      <w:tr w:rsidR="00E10737" w:rsidRPr="003A7F56" w14:paraId="0C6897D5" w14:textId="77777777" w:rsidTr="004179DE">
        <w:trPr>
          <w:trHeight w:val="255"/>
          <w:jc w:val="center"/>
        </w:trPr>
        <w:tc>
          <w:tcPr>
            <w:tcW w:w="4912" w:type="dxa"/>
            <w:vMerge/>
            <w:shd w:val="clear" w:color="auto" w:fill="auto"/>
            <w:vAlign w:val="center"/>
          </w:tcPr>
          <w:p w14:paraId="4D066B3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A4B50EF" w14:textId="77777777" w:rsidR="00E10737" w:rsidRPr="0090045C" w:rsidRDefault="00E10737" w:rsidP="004179DE">
            <w:pPr>
              <w:autoSpaceDE w:val="0"/>
              <w:autoSpaceDN w:val="0"/>
              <w:adjustRightInd w:val="0"/>
              <w:jc w:val="center"/>
              <w:rPr>
                <w:sz w:val="18"/>
              </w:rPr>
            </w:pPr>
            <w:r w:rsidRPr="0090045C">
              <w:rPr>
                <w:sz w:val="18"/>
              </w:rPr>
              <w:t>065</w:t>
            </w:r>
          </w:p>
        </w:tc>
        <w:tc>
          <w:tcPr>
            <w:tcW w:w="2040" w:type="dxa"/>
            <w:shd w:val="clear" w:color="auto" w:fill="auto"/>
            <w:vAlign w:val="center"/>
          </w:tcPr>
          <w:p w14:paraId="066C864B" w14:textId="2C365665" w:rsidR="00E10737" w:rsidRPr="00661E83" w:rsidRDefault="00D3601B" w:rsidP="00D3601B">
            <w:pPr>
              <w:autoSpaceDE w:val="0"/>
              <w:autoSpaceDN w:val="0"/>
              <w:adjustRightInd w:val="0"/>
              <w:jc w:val="center"/>
              <w:rPr>
                <w:sz w:val="18"/>
                <w:szCs w:val="18"/>
              </w:rPr>
            </w:pPr>
            <w:r>
              <w:rPr>
                <w:sz w:val="18"/>
                <w:szCs w:val="18"/>
              </w:rPr>
              <w:t>893 909,5</w:t>
            </w:r>
            <w:r w:rsidR="00EB3AE8">
              <w:rPr>
                <w:sz w:val="18"/>
                <w:szCs w:val="18"/>
              </w:rPr>
              <w:t>0</w:t>
            </w:r>
          </w:p>
        </w:tc>
      </w:tr>
      <w:tr w:rsidR="00E10737" w:rsidRPr="003A7F56" w14:paraId="036CECCA" w14:textId="77777777" w:rsidTr="004179DE">
        <w:trPr>
          <w:trHeight w:val="255"/>
          <w:jc w:val="center"/>
        </w:trPr>
        <w:tc>
          <w:tcPr>
            <w:tcW w:w="4912" w:type="dxa"/>
            <w:vMerge/>
            <w:shd w:val="clear" w:color="auto" w:fill="auto"/>
            <w:vAlign w:val="center"/>
          </w:tcPr>
          <w:p w14:paraId="23957CC7"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8E0B330" w14:textId="77777777" w:rsidR="00E10737" w:rsidRPr="0090045C" w:rsidRDefault="00E10737" w:rsidP="004179DE">
            <w:pPr>
              <w:autoSpaceDE w:val="0"/>
              <w:autoSpaceDN w:val="0"/>
              <w:adjustRightInd w:val="0"/>
              <w:jc w:val="center"/>
              <w:rPr>
                <w:sz w:val="18"/>
              </w:rPr>
            </w:pPr>
            <w:r w:rsidRPr="0090045C">
              <w:rPr>
                <w:sz w:val="18"/>
              </w:rPr>
              <w:t>066</w:t>
            </w:r>
          </w:p>
        </w:tc>
        <w:tc>
          <w:tcPr>
            <w:tcW w:w="2040" w:type="dxa"/>
            <w:shd w:val="clear" w:color="auto" w:fill="auto"/>
            <w:vAlign w:val="center"/>
          </w:tcPr>
          <w:p w14:paraId="1F470A90" w14:textId="77777777" w:rsidR="00E10737" w:rsidRPr="00661E83" w:rsidRDefault="00E10737" w:rsidP="004179DE">
            <w:pPr>
              <w:autoSpaceDE w:val="0"/>
              <w:autoSpaceDN w:val="0"/>
              <w:adjustRightInd w:val="0"/>
              <w:jc w:val="center"/>
              <w:rPr>
                <w:sz w:val="18"/>
                <w:szCs w:val="18"/>
              </w:rPr>
            </w:pPr>
            <w:r w:rsidRPr="00661E83">
              <w:rPr>
                <w:sz w:val="18"/>
                <w:szCs w:val="18"/>
              </w:rPr>
              <w:t>2 000 000,00</w:t>
            </w:r>
          </w:p>
        </w:tc>
      </w:tr>
      <w:tr w:rsidR="00E10737" w:rsidRPr="003A7F56" w14:paraId="55B1195F" w14:textId="77777777" w:rsidTr="004179DE">
        <w:trPr>
          <w:trHeight w:val="255"/>
          <w:jc w:val="center"/>
        </w:trPr>
        <w:tc>
          <w:tcPr>
            <w:tcW w:w="4912" w:type="dxa"/>
            <w:vMerge/>
            <w:shd w:val="clear" w:color="auto" w:fill="auto"/>
            <w:vAlign w:val="center"/>
          </w:tcPr>
          <w:p w14:paraId="04C4B6E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9A8CA1B" w14:textId="77777777" w:rsidR="00E10737" w:rsidRPr="0090045C" w:rsidRDefault="00E10737" w:rsidP="004179DE">
            <w:pPr>
              <w:autoSpaceDE w:val="0"/>
              <w:autoSpaceDN w:val="0"/>
              <w:adjustRightInd w:val="0"/>
              <w:jc w:val="center"/>
              <w:rPr>
                <w:sz w:val="18"/>
              </w:rPr>
            </w:pPr>
            <w:r w:rsidRPr="0090045C">
              <w:rPr>
                <w:sz w:val="18"/>
              </w:rPr>
              <w:t>067</w:t>
            </w:r>
          </w:p>
        </w:tc>
        <w:tc>
          <w:tcPr>
            <w:tcW w:w="2040" w:type="dxa"/>
            <w:shd w:val="clear" w:color="auto" w:fill="auto"/>
            <w:vAlign w:val="center"/>
          </w:tcPr>
          <w:p w14:paraId="2B5E24A8" w14:textId="77777777" w:rsidR="00E10737" w:rsidRPr="00661E83" w:rsidRDefault="00E10737" w:rsidP="004179DE">
            <w:pPr>
              <w:autoSpaceDE w:val="0"/>
              <w:autoSpaceDN w:val="0"/>
              <w:adjustRightInd w:val="0"/>
              <w:jc w:val="center"/>
              <w:rPr>
                <w:sz w:val="18"/>
                <w:szCs w:val="18"/>
              </w:rPr>
            </w:pPr>
            <w:r w:rsidRPr="00661E83">
              <w:rPr>
                <w:sz w:val="18"/>
                <w:szCs w:val="18"/>
              </w:rPr>
              <w:t>2 000 000,00</w:t>
            </w:r>
          </w:p>
        </w:tc>
      </w:tr>
      <w:tr w:rsidR="00E10737" w:rsidRPr="003A7F56" w14:paraId="068A2461" w14:textId="77777777" w:rsidTr="004179DE">
        <w:trPr>
          <w:trHeight w:val="255"/>
          <w:jc w:val="center"/>
        </w:trPr>
        <w:tc>
          <w:tcPr>
            <w:tcW w:w="4912" w:type="dxa"/>
            <w:vMerge/>
            <w:shd w:val="clear" w:color="auto" w:fill="auto"/>
            <w:vAlign w:val="center"/>
          </w:tcPr>
          <w:p w14:paraId="0627314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89A0327" w14:textId="77777777" w:rsidR="00E10737" w:rsidRPr="0090045C" w:rsidRDefault="00E10737" w:rsidP="004179DE">
            <w:pPr>
              <w:autoSpaceDE w:val="0"/>
              <w:autoSpaceDN w:val="0"/>
              <w:adjustRightInd w:val="0"/>
              <w:jc w:val="center"/>
              <w:rPr>
                <w:sz w:val="18"/>
              </w:rPr>
            </w:pPr>
            <w:r w:rsidRPr="0090045C">
              <w:rPr>
                <w:sz w:val="18"/>
              </w:rPr>
              <w:t>069</w:t>
            </w:r>
          </w:p>
        </w:tc>
        <w:tc>
          <w:tcPr>
            <w:tcW w:w="2040" w:type="dxa"/>
            <w:shd w:val="clear" w:color="auto" w:fill="auto"/>
            <w:vAlign w:val="center"/>
          </w:tcPr>
          <w:p w14:paraId="3777B5E7" w14:textId="3B9D2FD1" w:rsidR="00E10737" w:rsidRPr="00661E83" w:rsidRDefault="00D3601B" w:rsidP="00D3601B">
            <w:pPr>
              <w:autoSpaceDE w:val="0"/>
              <w:autoSpaceDN w:val="0"/>
              <w:adjustRightInd w:val="0"/>
              <w:jc w:val="center"/>
              <w:rPr>
                <w:sz w:val="18"/>
                <w:szCs w:val="18"/>
              </w:rPr>
            </w:pPr>
            <w:r>
              <w:rPr>
                <w:sz w:val="18"/>
                <w:szCs w:val="18"/>
              </w:rPr>
              <w:t>184 456,50</w:t>
            </w:r>
          </w:p>
        </w:tc>
      </w:tr>
    </w:tbl>
    <w:p w14:paraId="7CA25F52"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5208B050" w14:textId="77777777" w:rsidTr="004179DE">
        <w:trPr>
          <w:trHeight w:val="255"/>
          <w:jc w:val="center"/>
        </w:trPr>
        <w:tc>
          <w:tcPr>
            <w:tcW w:w="9072" w:type="dxa"/>
            <w:gridSpan w:val="3"/>
            <w:shd w:val="clear" w:color="auto" w:fill="DBE5F1"/>
            <w:vAlign w:val="center"/>
          </w:tcPr>
          <w:p w14:paraId="7C2FD4EE"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E10737" w:rsidRPr="003A7F56" w14:paraId="5DC0C345" w14:textId="77777777" w:rsidTr="004179DE">
        <w:trPr>
          <w:trHeight w:val="255"/>
          <w:jc w:val="center"/>
        </w:trPr>
        <w:tc>
          <w:tcPr>
            <w:tcW w:w="4912" w:type="dxa"/>
            <w:shd w:val="clear" w:color="auto" w:fill="DBE5F1"/>
            <w:vAlign w:val="center"/>
          </w:tcPr>
          <w:p w14:paraId="3260BEA9"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lastRenderedPageBreak/>
              <w:t>Fond</w:t>
            </w:r>
          </w:p>
        </w:tc>
        <w:tc>
          <w:tcPr>
            <w:tcW w:w="4160" w:type="dxa"/>
            <w:gridSpan w:val="2"/>
            <w:shd w:val="clear" w:color="auto" w:fill="DBE5F1"/>
            <w:vAlign w:val="center"/>
          </w:tcPr>
          <w:p w14:paraId="447F2BD1"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4F16FD27" w14:textId="77777777" w:rsidTr="004179DE">
        <w:trPr>
          <w:trHeight w:val="255"/>
          <w:jc w:val="center"/>
        </w:trPr>
        <w:tc>
          <w:tcPr>
            <w:tcW w:w="4912" w:type="dxa"/>
            <w:shd w:val="clear" w:color="auto" w:fill="DBE5F1"/>
            <w:vAlign w:val="center"/>
          </w:tcPr>
          <w:p w14:paraId="47101FC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50A117B3" w14:textId="69B26281" w:rsidR="00E10737" w:rsidRPr="003A7F56" w:rsidRDefault="002335D4"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7D33BF2C" w14:textId="77777777" w:rsidTr="004179DE">
        <w:trPr>
          <w:trHeight w:val="255"/>
          <w:jc w:val="center"/>
        </w:trPr>
        <w:tc>
          <w:tcPr>
            <w:tcW w:w="4912" w:type="dxa"/>
            <w:shd w:val="clear" w:color="auto" w:fill="auto"/>
            <w:vAlign w:val="center"/>
          </w:tcPr>
          <w:p w14:paraId="3FFA93D0"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B0579D1"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6C1F05F0"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0ABA13D9" w14:textId="77777777" w:rsidTr="004179DE">
        <w:trPr>
          <w:trHeight w:val="255"/>
          <w:jc w:val="center"/>
        </w:trPr>
        <w:tc>
          <w:tcPr>
            <w:tcW w:w="4912" w:type="dxa"/>
            <w:vMerge w:val="restart"/>
            <w:shd w:val="clear" w:color="auto" w:fill="auto"/>
            <w:vAlign w:val="center"/>
          </w:tcPr>
          <w:p w14:paraId="4539E5E8"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10</w:t>
            </w:r>
            <w:r w:rsidRPr="003A7F56">
              <w:rPr>
                <w:rFonts w:ascii="TimesNewRoman" w:hAnsi="TimesNewRoman" w:cs="TimesNewRoman"/>
                <w:sz w:val="20"/>
                <w:szCs w:val="20"/>
              </w:rPr>
              <w:t xml:space="preserve"> – </w:t>
            </w:r>
            <w:r w:rsidRPr="0090045C">
              <w:rPr>
                <w:rFonts w:ascii="TimesNewRoman" w:hAnsi="TimesNewRoman" w:cs="TimesNewRoman"/>
                <w:sz w:val="20"/>
                <w:szCs w:val="20"/>
              </w:rPr>
              <w:t>Podpo</w:t>
            </w:r>
            <w:r>
              <w:rPr>
                <w:rFonts w:ascii="TimesNewRoman" w:hAnsi="TimesNewRoman" w:cs="TimesNewRoman"/>
                <w:sz w:val="20"/>
                <w:szCs w:val="20"/>
              </w:rPr>
              <w:t>ra výskumu, vývoja a inovácií v </w:t>
            </w:r>
            <w:r w:rsidRPr="0090045C">
              <w:rPr>
                <w:rFonts w:ascii="TimesNewRoman" w:hAnsi="TimesNewRoman" w:cs="TimesNewRoman"/>
                <w:sz w:val="20"/>
                <w:szCs w:val="20"/>
              </w:rPr>
              <w:t>Bratislavskom kraji</w:t>
            </w:r>
          </w:p>
        </w:tc>
        <w:tc>
          <w:tcPr>
            <w:tcW w:w="2120" w:type="dxa"/>
            <w:shd w:val="clear" w:color="auto" w:fill="auto"/>
            <w:vAlign w:val="center"/>
          </w:tcPr>
          <w:p w14:paraId="5935D6E9" w14:textId="77777777" w:rsidR="00E10737" w:rsidRPr="00F72E4C" w:rsidRDefault="00E10737" w:rsidP="004179DE">
            <w:pPr>
              <w:autoSpaceDE w:val="0"/>
              <w:autoSpaceDN w:val="0"/>
              <w:adjustRightInd w:val="0"/>
              <w:jc w:val="center"/>
              <w:rPr>
                <w:sz w:val="20"/>
                <w:szCs w:val="20"/>
              </w:rPr>
            </w:pPr>
            <w:r w:rsidRPr="00F72E4C">
              <w:rPr>
                <w:sz w:val="18"/>
              </w:rPr>
              <w:t>01</w:t>
            </w:r>
          </w:p>
        </w:tc>
        <w:tc>
          <w:tcPr>
            <w:tcW w:w="2040" w:type="dxa"/>
            <w:shd w:val="clear" w:color="auto" w:fill="auto"/>
            <w:vAlign w:val="center"/>
          </w:tcPr>
          <w:p w14:paraId="01829C7D" w14:textId="72A0C34A" w:rsidR="00E10737" w:rsidRPr="00661E83" w:rsidRDefault="00D3601B" w:rsidP="00D3601B">
            <w:pPr>
              <w:autoSpaceDE w:val="0"/>
              <w:autoSpaceDN w:val="0"/>
              <w:adjustRightInd w:val="0"/>
              <w:jc w:val="center"/>
              <w:rPr>
                <w:sz w:val="18"/>
                <w:szCs w:val="18"/>
              </w:rPr>
            </w:pPr>
            <w:r>
              <w:rPr>
                <w:sz w:val="18"/>
                <w:szCs w:val="18"/>
              </w:rPr>
              <w:t>117 425 015</w:t>
            </w:r>
            <w:r w:rsidR="00EB3AE8">
              <w:rPr>
                <w:sz w:val="18"/>
                <w:szCs w:val="18"/>
              </w:rPr>
              <w:t>,00</w:t>
            </w:r>
          </w:p>
        </w:tc>
      </w:tr>
      <w:tr w:rsidR="00E10737" w:rsidRPr="003A7F56" w14:paraId="091F008F" w14:textId="77777777" w:rsidTr="004179DE">
        <w:trPr>
          <w:trHeight w:val="255"/>
          <w:jc w:val="center"/>
        </w:trPr>
        <w:tc>
          <w:tcPr>
            <w:tcW w:w="4912" w:type="dxa"/>
            <w:vMerge/>
            <w:shd w:val="clear" w:color="auto" w:fill="auto"/>
            <w:vAlign w:val="center"/>
          </w:tcPr>
          <w:p w14:paraId="1F98144C"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84F69E3" w14:textId="77777777" w:rsidR="00E10737" w:rsidRPr="00F72E4C" w:rsidRDefault="00E10737" w:rsidP="004179DE">
            <w:pPr>
              <w:autoSpaceDE w:val="0"/>
              <w:autoSpaceDN w:val="0"/>
              <w:adjustRightInd w:val="0"/>
              <w:jc w:val="center"/>
              <w:rPr>
                <w:sz w:val="20"/>
                <w:szCs w:val="20"/>
              </w:rPr>
            </w:pPr>
            <w:r w:rsidRPr="00F72E4C">
              <w:rPr>
                <w:sz w:val="18"/>
              </w:rPr>
              <w:t>03</w:t>
            </w:r>
          </w:p>
        </w:tc>
        <w:tc>
          <w:tcPr>
            <w:tcW w:w="2040" w:type="dxa"/>
            <w:shd w:val="clear" w:color="auto" w:fill="auto"/>
            <w:vAlign w:val="center"/>
          </w:tcPr>
          <w:p w14:paraId="099DE320" w14:textId="77777777" w:rsidR="00E10737" w:rsidRPr="00661E83" w:rsidRDefault="00E10737" w:rsidP="004179DE">
            <w:pPr>
              <w:autoSpaceDE w:val="0"/>
              <w:autoSpaceDN w:val="0"/>
              <w:adjustRightInd w:val="0"/>
              <w:jc w:val="center"/>
              <w:rPr>
                <w:sz w:val="18"/>
                <w:szCs w:val="18"/>
              </w:rPr>
            </w:pPr>
            <w:r w:rsidRPr="00661E83">
              <w:rPr>
                <w:sz w:val="18"/>
                <w:szCs w:val="18"/>
              </w:rPr>
              <w:t>1 036 053,8</w:t>
            </w:r>
          </w:p>
        </w:tc>
      </w:tr>
      <w:tr w:rsidR="00E10737" w:rsidRPr="003A7F56" w14:paraId="64850BE6" w14:textId="77777777" w:rsidTr="004179DE">
        <w:trPr>
          <w:trHeight w:val="255"/>
          <w:jc w:val="center"/>
        </w:trPr>
        <w:tc>
          <w:tcPr>
            <w:tcW w:w="4912" w:type="dxa"/>
            <w:vMerge/>
            <w:shd w:val="clear" w:color="auto" w:fill="auto"/>
            <w:vAlign w:val="center"/>
          </w:tcPr>
          <w:p w14:paraId="05651315"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199AD0A" w14:textId="77777777" w:rsidR="00E10737" w:rsidRPr="00F72E4C" w:rsidRDefault="00E10737" w:rsidP="004179DE">
            <w:pPr>
              <w:autoSpaceDE w:val="0"/>
              <w:autoSpaceDN w:val="0"/>
              <w:adjustRightInd w:val="0"/>
              <w:jc w:val="center"/>
              <w:rPr>
                <w:sz w:val="20"/>
                <w:szCs w:val="20"/>
              </w:rPr>
            </w:pPr>
            <w:r w:rsidRPr="00F72E4C">
              <w:rPr>
                <w:sz w:val="18"/>
              </w:rPr>
              <w:t>04</w:t>
            </w:r>
          </w:p>
        </w:tc>
        <w:tc>
          <w:tcPr>
            <w:tcW w:w="2040" w:type="dxa"/>
            <w:shd w:val="clear" w:color="auto" w:fill="auto"/>
            <w:vAlign w:val="center"/>
          </w:tcPr>
          <w:p w14:paraId="4F900E65" w14:textId="77777777" w:rsidR="00E10737" w:rsidRPr="00661E83" w:rsidRDefault="00E10737" w:rsidP="004179DE">
            <w:pPr>
              <w:autoSpaceDE w:val="0"/>
              <w:autoSpaceDN w:val="0"/>
              <w:adjustRightInd w:val="0"/>
              <w:jc w:val="center"/>
              <w:rPr>
                <w:sz w:val="18"/>
                <w:szCs w:val="18"/>
              </w:rPr>
            </w:pPr>
            <w:r w:rsidRPr="00661E83">
              <w:rPr>
                <w:sz w:val="18"/>
                <w:szCs w:val="18"/>
              </w:rPr>
              <w:t>2 072 107,6</w:t>
            </w:r>
          </w:p>
        </w:tc>
      </w:tr>
      <w:tr w:rsidR="00E10737" w:rsidRPr="003A7F56" w14:paraId="0778DBAE" w14:textId="77777777" w:rsidTr="004179DE">
        <w:trPr>
          <w:trHeight w:val="255"/>
          <w:jc w:val="center"/>
        </w:trPr>
        <w:tc>
          <w:tcPr>
            <w:tcW w:w="4912" w:type="dxa"/>
            <w:vMerge/>
            <w:shd w:val="clear" w:color="auto" w:fill="auto"/>
            <w:vAlign w:val="center"/>
          </w:tcPr>
          <w:p w14:paraId="5F26588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D205644" w14:textId="77777777" w:rsidR="00E10737" w:rsidRPr="00F72E4C" w:rsidRDefault="00E10737" w:rsidP="004179DE">
            <w:pPr>
              <w:autoSpaceDE w:val="0"/>
              <w:autoSpaceDN w:val="0"/>
              <w:adjustRightInd w:val="0"/>
              <w:jc w:val="center"/>
              <w:rPr>
                <w:sz w:val="20"/>
                <w:szCs w:val="20"/>
              </w:rPr>
            </w:pPr>
            <w:r w:rsidRPr="00F72E4C">
              <w:rPr>
                <w:w w:val="110"/>
                <w:sz w:val="18"/>
              </w:rPr>
              <w:t>05</w:t>
            </w:r>
          </w:p>
        </w:tc>
        <w:tc>
          <w:tcPr>
            <w:tcW w:w="2040" w:type="dxa"/>
            <w:shd w:val="clear" w:color="auto" w:fill="auto"/>
            <w:vAlign w:val="center"/>
          </w:tcPr>
          <w:p w14:paraId="3C9A5342" w14:textId="77777777" w:rsidR="00E10737" w:rsidRPr="00661E83" w:rsidRDefault="00E10737" w:rsidP="004179DE">
            <w:pPr>
              <w:autoSpaceDE w:val="0"/>
              <w:autoSpaceDN w:val="0"/>
              <w:adjustRightInd w:val="0"/>
              <w:jc w:val="center"/>
              <w:rPr>
                <w:sz w:val="18"/>
                <w:szCs w:val="18"/>
              </w:rPr>
            </w:pPr>
            <w:r w:rsidRPr="00661E83">
              <w:rPr>
                <w:sz w:val="18"/>
                <w:szCs w:val="18"/>
              </w:rPr>
              <w:t>1 841 838,6</w:t>
            </w:r>
          </w:p>
        </w:tc>
      </w:tr>
      <w:tr w:rsidR="00E10737" w:rsidRPr="003A7F56" w14:paraId="5010914F" w14:textId="77777777" w:rsidTr="004179DE">
        <w:trPr>
          <w:trHeight w:val="255"/>
          <w:jc w:val="center"/>
        </w:trPr>
        <w:tc>
          <w:tcPr>
            <w:tcW w:w="4912" w:type="dxa"/>
            <w:vMerge/>
            <w:shd w:val="clear" w:color="auto" w:fill="auto"/>
            <w:vAlign w:val="center"/>
          </w:tcPr>
          <w:p w14:paraId="4290476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40F0B50" w14:textId="77777777" w:rsidR="00E10737" w:rsidRPr="00F72E4C" w:rsidRDefault="00E10737" w:rsidP="004179DE">
            <w:pPr>
              <w:autoSpaceDE w:val="0"/>
              <w:autoSpaceDN w:val="0"/>
              <w:adjustRightInd w:val="0"/>
              <w:jc w:val="center"/>
              <w:rPr>
                <w:sz w:val="20"/>
                <w:szCs w:val="20"/>
              </w:rPr>
            </w:pPr>
            <w:r w:rsidRPr="00F72E4C">
              <w:rPr>
                <w:sz w:val="18"/>
              </w:rPr>
              <w:t>06</w:t>
            </w:r>
          </w:p>
        </w:tc>
        <w:tc>
          <w:tcPr>
            <w:tcW w:w="2040" w:type="dxa"/>
            <w:shd w:val="clear" w:color="auto" w:fill="auto"/>
            <w:vAlign w:val="center"/>
          </w:tcPr>
          <w:p w14:paraId="4031C2F2" w14:textId="77777777" w:rsidR="00E10737" w:rsidRPr="00661E83" w:rsidRDefault="00E10737" w:rsidP="004179DE">
            <w:pPr>
              <w:autoSpaceDE w:val="0"/>
              <w:autoSpaceDN w:val="0"/>
              <w:adjustRightInd w:val="0"/>
              <w:jc w:val="center"/>
              <w:rPr>
                <w:sz w:val="18"/>
                <w:szCs w:val="18"/>
              </w:rPr>
            </w:pPr>
            <w:r w:rsidRPr="00661E83">
              <w:rPr>
                <w:sz w:val="18"/>
                <w:szCs w:val="18"/>
              </w:rPr>
              <w:t>50 000,00</w:t>
            </w:r>
          </w:p>
        </w:tc>
      </w:tr>
    </w:tbl>
    <w:p w14:paraId="26A363E9"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617F08EE" w14:textId="77777777" w:rsidTr="004179DE">
        <w:trPr>
          <w:trHeight w:val="255"/>
          <w:jc w:val="center"/>
        </w:trPr>
        <w:tc>
          <w:tcPr>
            <w:tcW w:w="9072" w:type="dxa"/>
            <w:gridSpan w:val="3"/>
            <w:shd w:val="clear" w:color="auto" w:fill="DBE5F1"/>
            <w:vAlign w:val="center"/>
          </w:tcPr>
          <w:p w14:paraId="653C9DC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E10737" w:rsidRPr="003A7F56" w14:paraId="430B1CCF" w14:textId="77777777" w:rsidTr="004179DE">
        <w:trPr>
          <w:trHeight w:val="255"/>
          <w:jc w:val="center"/>
        </w:trPr>
        <w:tc>
          <w:tcPr>
            <w:tcW w:w="4912" w:type="dxa"/>
            <w:shd w:val="clear" w:color="auto" w:fill="DBE5F1"/>
            <w:vAlign w:val="center"/>
          </w:tcPr>
          <w:p w14:paraId="61868087"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7FFDB4B9"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51CDBEEB" w14:textId="77777777" w:rsidTr="004179DE">
        <w:trPr>
          <w:trHeight w:val="255"/>
          <w:jc w:val="center"/>
        </w:trPr>
        <w:tc>
          <w:tcPr>
            <w:tcW w:w="4912" w:type="dxa"/>
            <w:shd w:val="clear" w:color="auto" w:fill="DBE5F1"/>
            <w:vAlign w:val="center"/>
          </w:tcPr>
          <w:p w14:paraId="1C5D17EE"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3A6BBA10" w14:textId="6DDA02C3" w:rsidR="00E10737" w:rsidRPr="003A7F56" w:rsidRDefault="002335D4"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700456CA" w14:textId="77777777" w:rsidTr="004179DE">
        <w:trPr>
          <w:trHeight w:val="255"/>
          <w:jc w:val="center"/>
        </w:trPr>
        <w:tc>
          <w:tcPr>
            <w:tcW w:w="4912" w:type="dxa"/>
            <w:shd w:val="clear" w:color="auto" w:fill="auto"/>
            <w:vAlign w:val="center"/>
          </w:tcPr>
          <w:p w14:paraId="5D2225AB"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20C0B55"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31B792C"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3D849501" w14:textId="77777777" w:rsidTr="004179DE">
        <w:trPr>
          <w:trHeight w:val="255"/>
          <w:jc w:val="center"/>
        </w:trPr>
        <w:tc>
          <w:tcPr>
            <w:tcW w:w="4912" w:type="dxa"/>
            <w:vMerge w:val="restart"/>
            <w:shd w:val="clear" w:color="auto" w:fill="auto"/>
            <w:vAlign w:val="center"/>
          </w:tcPr>
          <w:p w14:paraId="71827100"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10</w:t>
            </w:r>
            <w:r w:rsidRPr="003A7F56">
              <w:rPr>
                <w:rFonts w:ascii="TimesNewRoman" w:hAnsi="TimesNewRoman" w:cs="TimesNewRoman"/>
                <w:sz w:val="20"/>
                <w:szCs w:val="20"/>
              </w:rPr>
              <w:t xml:space="preserve"> – </w:t>
            </w:r>
            <w:r w:rsidRPr="0090045C">
              <w:rPr>
                <w:rFonts w:ascii="TimesNewRoman" w:hAnsi="TimesNewRoman" w:cs="TimesNewRoman"/>
                <w:sz w:val="20"/>
                <w:szCs w:val="20"/>
              </w:rPr>
              <w:t>Podpo</w:t>
            </w:r>
            <w:r>
              <w:rPr>
                <w:rFonts w:ascii="TimesNewRoman" w:hAnsi="TimesNewRoman" w:cs="TimesNewRoman"/>
                <w:sz w:val="20"/>
                <w:szCs w:val="20"/>
              </w:rPr>
              <w:t>ra výskumu, vývoja a inovácií v </w:t>
            </w:r>
            <w:r w:rsidRPr="0090045C">
              <w:rPr>
                <w:rFonts w:ascii="TimesNewRoman" w:hAnsi="TimesNewRoman" w:cs="TimesNewRoman"/>
                <w:sz w:val="20"/>
                <w:szCs w:val="20"/>
              </w:rPr>
              <w:t>Bratislavskom kraji</w:t>
            </w:r>
          </w:p>
        </w:tc>
        <w:tc>
          <w:tcPr>
            <w:tcW w:w="2120" w:type="dxa"/>
            <w:shd w:val="clear" w:color="auto" w:fill="auto"/>
            <w:vAlign w:val="center"/>
          </w:tcPr>
          <w:p w14:paraId="34360350" w14:textId="77777777" w:rsidR="00E10737" w:rsidRPr="00F229BB" w:rsidRDefault="00E10737" w:rsidP="004179DE">
            <w:pPr>
              <w:autoSpaceDE w:val="0"/>
              <w:autoSpaceDN w:val="0"/>
              <w:adjustRightInd w:val="0"/>
              <w:jc w:val="center"/>
              <w:rPr>
                <w:sz w:val="20"/>
                <w:szCs w:val="20"/>
              </w:rPr>
            </w:pPr>
            <w:r w:rsidRPr="003D0898">
              <w:rPr>
                <w:sz w:val="18"/>
              </w:rPr>
              <w:t>01</w:t>
            </w:r>
          </w:p>
        </w:tc>
        <w:tc>
          <w:tcPr>
            <w:tcW w:w="2040" w:type="dxa"/>
            <w:shd w:val="clear" w:color="auto" w:fill="auto"/>
            <w:vAlign w:val="center"/>
          </w:tcPr>
          <w:p w14:paraId="1729E6B6" w14:textId="1C70D343" w:rsidR="00E10737" w:rsidRPr="00661E83" w:rsidRDefault="00D3601B" w:rsidP="00D3601B">
            <w:pPr>
              <w:autoSpaceDE w:val="0"/>
              <w:autoSpaceDN w:val="0"/>
              <w:adjustRightInd w:val="0"/>
              <w:jc w:val="center"/>
              <w:rPr>
                <w:sz w:val="18"/>
                <w:szCs w:val="18"/>
              </w:rPr>
            </w:pPr>
            <w:r>
              <w:rPr>
                <w:sz w:val="18"/>
                <w:szCs w:val="18"/>
              </w:rPr>
              <w:t>101 349 446,23</w:t>
            </w:r>
          </w:p>
        </w:tc>
      </w:tr>
      <w:tr w:rsidR="00E10737" w:rsidRPr="003A7F56" w14:paraId="4D8BC0D7" w14:textId="77777777" w:rsidTr="004179DE">
        <w:trPr>
          <w:trHeight w:val="255"/>
          <w:jc w:val="center"/>
        </w:trPr>
        <w:tc>
          <w:tcPr>
            <w:tcW w:w="4912" w:type="dxa"/>
            <w:vMerge/>
            <w:shd w:val="clear" w:color="auto" w:fill="auto"/>
            <w:vAlign w:val="center"/>
          </w:tcPr>
          <w:p w14:paraId="22552CBE"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8A245A6" w14:textId="77777777" w:rsidR="00E10737" w:rsidRPr="00F229BB" w:rsidRDefault="00E10737" w:rsidP="004179DE">
            <w:pPr>
              <w:autoSpaceDE w:val="0"/>
              <w:autoSpaceDN w:val="0"/>
              <w:adjustRightInd w:val="0"/>
              <w:jc w:val="center"/>
              <w:rPr>
                <w:sz w:val="20"/>
                <w:szCs w:val="20"/>
              </w:rPr>
            </w:pPr>
            <w:r w:rsidRPr="003D0898">
              <w:rPr>
                <w:sz w:val="18"/>
              </w:rPr>
              <w:t>02</w:t>
            </w:r>
          </w:p>
        </w:tc>
        <w:tc>
          <w:tcPr>
            <w:tcW w:w="2040" w:type="dxa"/>
            <w:shd w:val="clear" w:color="auto" w:fill="auto"/>
            <w:vAlign w:val="center"/>
          </w:tcPr>
          <w:p w14:paraId="4456B5DD" w14:textId="2F65820A" w:rsidR="00E10737" w:rsidRPr="00661E83" w:rsidRDefault="00D3601B" w:rsidP="00D3601B">
            <w:pPr>
              <w:autoSpaceDE w:val="0"/>
              <w:autoSpaceDN w:val="0"/>
              <w:adjustRightInd w:val="0"/>
              <w:jc w:val="center"/>
              <w:rPr>
                <w:sz w:val="18"/>
                <w:szCs w:val="18"/>
              </w:rPr>
            </w:pPr>
            <w:r>
              <w:rPr>
                <w:sz w:val="18"/>
                <w:szCs w:val="18"/>
              </w:rPr>
              <w:t>12 294 988,46</w:t>
            </w:r>
          </w:p>
        </w:tc>
      </w:tr>
      <w:tr w:rsidR="00E10737" w:rsidRPr="003A7F56" w14:paraId="0598F8E8" w14:textId="77777777" w:rsidTr="004179DE">
        <w:trPr>
          <w:trHeight w:val="255"/>
          <w:jc w:val="center"/>
        </w:trPr>
        <w:tc>
          <w:tcPr>
            <w:tcW w:w="4912" w:type="dxa"/>
            <w:vMerge/>
            <w:shd w:val="clear" w:color="auto" w:fill="auto"/>
            <w:vAlign w:val="center"/>
          </w:tcPr>
          <w:p w14:paraId="0571E4FB"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D6A21BC" w14:textId="77777777" w:rsidR="00E10737" w:rsidRPr="00F229BB" w:rsidRDefault="00E10737" w:rsidP="004179DE">
            <w:pPr>
              <w:autoSpaceDE w:val="0"/>
              <w:autoSpaceDN w:val="0"/>
              <w:adjustRightInd w:val="0"/>
              <w:jc w:val="center"/>
              <w:rPr>
                <w:sz w:val="20"/>
                <w:szCs w:val="20"/>
              </w:rPr>
            </w:pPr>
            <w:r w:rsidRPr="003D0898">
              <w:rPr>
                <w:sz w:val="18"/>
              </w:rPr>
              <w:t>03</w:t>
            </w:r>
          </w:p>
        </w:tc>
        <w:tc>
          <w:tcPr>
            <w:tcW w:w="2040" w:type="dxa"/>
            <w:shd w:val="clear" w:color="auto" w:fill="auto"/>
            <w:vAlign w:val="center"/>
          </w:tcPr>
          <w:p w14:paraId="6B9D1E1C" w14:textId="1A99C569" w:rsidR="00E10737" w:rsidRPr="00661E83" w:rsidRDefault="00B2722B" w:rsidP="00D3601B">
            <w:pPr>
              <w:autoSpaceDE w:val="0"/>
              <w:autoSpaceDN w:val="0"/>
              <w:adjustRightInd w:val="0"/>
              <w:jc w:val="center"/>
              <w:rPr>
                <w:sz w:val="18"/>
                <w:szCs w:val="18"/>
              </w:rPr>
            </w:pPr>
            <w:r>
              <w:rPr>
                <w:sz w:val="18"/>
                <w:szCs w:val="18"/>
              </w:rPr>
              <w:t>4 391 278,95</w:t>
            </w:r>
          </w:p>
        </w:tc>
      </w:tr>
      <w:tr w:rsidR="00E10737" w:rsidRPr="003A7F56" w14:paraId="2A8ACE4D" w14:textId="77777777" w:rsidTr="004179DE">
        <w:trPr>
          <w:trHeight w:val="255"/>
          <w:jc w:val="center"/>
        </w:trPr>
        <w:tc>
          <w:tcPr>
            <w:tcW w:w="4912" w:type="dxa"/>
            <w:vMerge/>
            <w:shd w:val="clear" w:color="auto" w:fill="auto"/>
            <w:vAlign w:val="center"/>
          </w:tcPr>
          <w:p w14:paraId="5891A2F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624B60A" w14:textId="77777777" w:rsidR="00E10737" w:rsidRPr="00F229BB" w:rsidRDefault="00E10737" w:rsidP="004179DE">
            <w:pPr>
              <w:autoSpaceDE w:val="0"/>
              <w:autoSpaceDN w:val="0"/>
              <w:adjustRightInd w:val="0"/>
              <w:jc w:val="center"/>
              <w:rPr>
                <w:sz w:val="20"/>
                <w:szCs w:val="20"/>
              </w:rPr>
            </w:pPr>
            <w:r w:rsidRPr="003D0898">
              <w:rPr>
                <w:sz w:val="18"/>
              </w:rPr>
              <w:t>04</w:t>
            </w:r>
          </w:p>
        </w:tc>
        <w:tc>
          <w:tcPr>
            <w:tcW w:w="2040" w:type="dxa"/>
            <w:shd w:val="clear" w:color="auto" w:fill="auto"/>
            <w:vAlign w:val="center"/>
          </w:tcPr>
          <w:p w14:paraId="29688A35" w14:textId="6470AAC2" w:rsidR="00E10737" w:rsidRPr="00661E83" w:rsidRDefault="00D3601B" w:rsidP="00D3601B">
            <w:pPr>
              <w:autoSpaceDE w:val="0"/>
              <w:autoSpaceDN w:val="0"/>
              <w:adjustRightInd w:val="0"/>
              <w:jc w:val="center"/>
              <w:rPr>
                <w:sz w:val="18"/>
                <w:szCs w:val="18"/>
              </w:rPr>
            </w:pPr>
            <w:r>
              <w:rPr>
                <w:sz w:val="18"/>
                <w:szCs w:val="18"/>
              </w:rPr>
              <w:t>1 755 720,88</w:t>
            </w:r>
          </w:p>
        </w:tc>
      </w:tr>
      <w:tr w:rsidR="00E10737" w:rsidRPr="003A7F56" w14:paraId="0BEAC2A3" w14:textId="77777777" w:rsidTr="004179DE">
        <w:trPr>
          <w:trHeight w:val="255"/>
          <w:jc w:val="center"/>
        </w:trPr>
        <w:tc>
          <w:tcPr>
            <w:tcW w:w="4912" w:type="dxa"/>
            <w:vMerge/>
            <w:shd w:val="clear" w:color="auto" w:fill="auto"/>
            <w:vAlign w:val="center"/>
          </w:tcPr>
          <w:p w14:paraId="2A19188C"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FCF6BA8" w14:textId="77777777" w:rsidR="00E10737" w:rsidRPr="00F229BB" w:rsidRDefault="00E10737" w:rsidP="004179DE">
            <w:pPr>
              <w:autoSpaceDE w:val="0"/>
              <w:autoSpaceDN w:val="0"/>
              <w:adjustRightInd w:val="0"/>
              <w:jc w:val="center"/>
              <w:rPr>
                <w:sz w:val="20"/>
                <w:szCs w:val="20"/>
              </w:rPr>
            </w:pPr>
            <w:r w:rsidRPr="003D0898">
              <w:rPr>
                <w:w w:val="110"/>
                <w:sz w:val="18"/>
              </w:rPr>
              <w:t>05</w:t>
            </w:r>
          </w:p>
        </w:tc>
        <w:tc>
          <w:tcPr>
            <w:tcW w:w="2040" w:type="dxa"/>
            <w:shd w:val="clear" w:color="auto" w:fill="auto"/>
            <w:vAlign w:val="center"/>
          </w:tcPr>
          <w:p w14:paraId="7361D9BB" w14:textId="5153CE3C" w:rsidR="00E10737" w:rsidRPr="00661E83" w:rsidRDefault="00D3601B" w:rsidP="00D3601B">
            <w:pPr>
              <w:autoSpaceDE w:val="0"/>
              <w:autoSpaceDN w:val="0"/>
              <w:adjustRightInd w:val="0"/>
              <w:jc w:val="center"/>
              <w:rPr>
                <w:sz w:val="18"/>
                <w:szCs w:val="18"/>
              </w:rPr>
            </w:pPr>
            <w:r>
              <w:rPr>
                <w:sz w:val="18"/>
                <w:szCs w:val="18"/>
              </w:rPr>
              <w:t>2 633 580,48</w:t>
            </w:r>
          </w:p>
        </w:tc>
      </w:tr>
    </w:tbl>
    <w:p w14:paraId="4839A9AD"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185568FB" w14:textId="77777777" w:rsidTr="004179DE">
        <w:trPr>
          <w:trHeight w:val="255"/>
          <w:jc w:val="center"/>
        </w:trPr>
        <w:tc>
          <w:tcPr>
            <w:tcW w:w="9072" w:type="dxa"/>
            <w:gridSpan w:val="3"/>
            <w:shd w:val="clear" w:color="auto" w:fill="DBE5F1"/>
            <w:vAlign w:val="center"/>
          </w:tcPr>
          <w:p w14:paraId="672F301B"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4 – Územné mechanizmy realizácie</w:t>
            </w:r>
          </w:p>
        </w:tc>
      </w:tr>
      <w:tr w:rsidR="00E10737" w:rsidRPr="003A7F56" w14:paraId="2D7C6C28" w14:textId="77777777" w:rsidTr="004179DE">
        <w:trPr>
          <w:trHeight w:val="255"/>
          <w:jc w:val="center"/>
        </w:trPr>
        <w:tc>
          <w:tcPr>
            <w:tcW w:w="4912" w:type="dxa"/>
            <w:shd w:val="clear" w:color="auto" w:fill="DBE5F1"/>
            <w:vAlign w:val="center"/>
          </w:tcPr>
          <w:p w14:paraId="1FA9319D"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38E11200" w14:textId="77777777" w:rsidR="00E10737" w:rsidRPr="003A7F56" w:rsidRDefault="00E10737" w:rsidP="004179DE">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E10737" w:rsidRPr="003A7F56" w14:paraId="33E6ED4F" w14:textId="77777777" w:rsidTr="004179DE">
        <w:trPr>
          <w:trHeight w:val="255"/>
          <w:jc w:val="center"/>
        </w:trPr>
        <w:tc>
          <w:tcPr>
            <w:tcW w:w="4912" w:type="dxa"/>
            <w:shd w:val="clear" w:color="auto" w:fill="DBE5F1"/>
            <w:vAlign w:val="center"/>
          </w:tcPr>
          <w:p w14:paraId="194E126D"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6325958B" w14:textId="58E400B5" w:rsidR="00E10737" w:rsidRPr="003A7F56" w:rsidRDefault="002335D4"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5E3FB181" w14:textId="77777777" w:rsidTr="004179DE">
        <w:trPr>
          <w:trHeight w:val="255"/>
          <w:jc w:val="center"/>
        </w:trPr>
        <w:tc>
          <w:tcPr>
            <w:tcW w:w="4912" w:type="dxa"/>
            <w:shd w:val="clear" w:color="auto" w:fill="auto"/>
            <w:vAlign w:val="center"/>
          </w:tcPr>
          <w:p w14:paraId="3D2AB42F"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2A4F49AA"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3EC9C963"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6130C8A4" w14:textId="77777777" w:rsidTr="004179DE">
        <w:trPr>
          <w:trHeight w:val="255"/>
          <w:jc w:val="center"/>
        </w:trPr>
        <w:tc>
          <w:tcPr>
            <w:tcW w:w="4912" w:type="dxa"/>
            <w:shd w:val="clear" w:color="auto" w:fill="auto"/>
            <w:vAlign w:val="center"/>
          </w:tcPr>
          <w:p w14:paraId="4C899A33"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10</w:t>
            </w:r>
            <w:r w:rsidRPr="003A7F56">
              <w:rPr>
                <w:rFonts w:ascii="TimesNewRoman" w:hAnsi="TimesNewRoman" w:cs="TimesNewRoman"/>
                <w:sz w:val="20"/>
                <w:szCs w:val="20"/>
              </w:rPr>
              <w:t xml:space="preserve"> – </w:t>
            </w:r>
            <w:r w:rsidRPr="0090045C">
              <w:rPr>
                <w:rFonts w:ascii="TimesNewRoman" w:hAnsi="TimesNewRoman" w:cs="TimesNewRoman"/>
                <w:sz w:val="20"/>
                <w:szCs w:val="20"/>
              </w:rPr>
              <w:t>Podpo</w:t>
            </w:r>
            <w:r>
              <w:rPr>
                <w:rFonts w:ascii="TimesNewRoman" w:hAnsi="TimesNewRoman" w:cs="TimesNewRoman"/>
                <w:sz w:val="20"/>
                <w:szCs w:val="20"/>
              </w:rPr>
              <w:t>ra výskumu, vývoja a inovácií v </w:t>
            </w:r>
            <w:r w:rsidRPr="0090045C">
              <w:rPr>
                <w:rFonts w:ascii="TimesNewRoman" w:hAnsi="TimesNewRoman" w:cs="TimesNewRoman"/>
                <w:sz w:val="20"/>
                <w:szCs w:val="20"/>
              </w:rPr>
              <w:t>Bratislavskom kraji</w:t>
            </w:r>
          </w:p>
        </w:tc>
        <w:tc>
          <w:tcPr>
            <w:tcW w:w="2120" w:type="dxa"/>
            <w:shd w:val="clear" w:color="auto" w:fill="auto"/>
            <w:vAlign w:val="center"/>
          </w:tcPr>
          <w:p w14:paraId="55ED656D" w14:textId="77777777" w:rsidR="00E10737" w:rsidRPr="00F229BB" w:rsidRDefault="00E10737" w:rsidP="004179DE">
            <w:pPr>
              <w:autoSpaceDE w:val="0"/>
              <w:autoSpaceDN w:val="0"/>
              <w:adjustRightInd w:val="0"/>
              <w:jc w:val="center"/>
              <w:rPr>
                <w:sz w:val="20"/>
                <w:szCs w:val="20"/>
              </w:rPr>
            </w:pPr>
            <w:r w:rsidRPr="003D0898">
              <w:rPr>
                <w:sz w:val="18"/>
              </w:rPr>
              <w:t>07</w:t>
            </w:r>
          </w:p>
        </w:tc>
        <w:tc>
          <w:tcPr>
            <w:tcW w:w="2040" w:type="dxa"/>
            <w:shd w:val="clear" w:color="auto" w:fill="auto"/>
            <w:vAlign w:val="center"/>
          </w:tcPr>
          <w:p w14:paraId="0F58EAB5" w14:textId="171BB402" w:rsidR="00E10737" w:rsidRPr="00F229BB" w:rsidRDefault="00D3601B" w:rsidP="00D3601B">
            <w:pPr>
              <w:autoSpaceDE w:val="0"/>
              <w:autoSpaceDN w:val="0"/>
              <w:adjustRightInd w:val="0"/>
              <w:jc w:val="center"/>
              <w:rPr>
                <w:sz w:val="20"/>
                <w:szCs w:val="20"/>
              </w:rPr>
            </w:pPr>
            <w:r>
              <w:rPr>
                <w:sz w:val="20"/>
                <w:szCs w:val="20"/>
              </w:rPr>
              <w:t>122 425 015,00</w:t>
            </w:r>
          </w:p>
        </w:tc>
      </w:tr>
    </w:tbl>
    <w:p w14:paraId="278E1FD6" w14:textId="2A52623D" w:rsidR="00E10737" w:rsidRDefault="00E10737" w:rsidP="00E10737">
      <w:pPr>
        <w:pStyle w:val="Nadpis3"/>
        <w:tabs>
          <w:tab w:val="clear" w:pos="709"/>
        </w:tabs>
        <w:jc w:val="both"/>
      </w:pPr>
      <w:bookmarkStart w:id="116" w:name="_Toc21945920"/>
      <w:bookmarkStart w:id="117" w:name="_Toc28951653"/>
      <w:r w:rsidRPr="00F229BB">
        <w:t xml:space="preserve">Prehľad o plánovanom použití technickej pomoci, vrátane aktivít na posilnenie administratívnej kapacity orgánov a prijímateľov prioritnej osi </w:t>
      </w:r>
      <w:bookmarkEnd w:id="116"/>
      <w:r w:rsidR="0025460C">
        <w:t>10</w:t>
      </w:r>
      <w:bookmarkEnd w:id="117"/>
    </w:p>
    <w:p w14:paraId="12680992" w14:textId="77777777" w:rsidR="00E10737" w:rsidRDefault="00E10737" w:rsidP="00E10737">
      <w:pPr>
        <w:jc w:val="both"/>
        <w:rPr>
          <w:sz w:val="22"/>
          <w:szCs w:val="22"/>
        </w:rPr>
      </w:pPr>
      <w:r w:rsidRPr="00661E83">
        <w:rPr>
          <w:sz w:val="22"/>
          <w:szCs w:val="22"/>
        </w:rPr>
        <w:t xml:space="preserve">Pre prioritnú os </w:t>
      </w:r>
      <w:r>
        <w:rPr>
          <w:sz w:val="22"/>
          <w:szCs w:val="22"/>
        </w:rPr>
        <w:t>10</w:t>
      </w:r>
      <w:r w:rsidRPr="00661E83">
        <w:rPr>
          <w:sz w:val="22"/>
          <w:szCs w:val="22"/>
        </w:rPr>
        <w:t xml:space="preserve"> bude využívaná technická pomoc na špecifi</w:t>
      </w:r>
      <w:r>
        <w:rPr>
          <w:sz w:val="22"/>
          <w:szCs w:val="22"/>
        </w:rPr>
        <w:t>cké aktivity súvisiace najmä so </w:t>
      </w:r>
      <w:r w:rsidRPr="00661E83">
        <w:rPr>
          <w:sz w:val="22"/>
          <w:szCs w:val="22"/>
        </w:rPr>
        <w:t>schvaľovacím procesom žiadostí o príspevok, v rámci ktorých budú využívaní zahraničný experti. Pre posúdenie pokračovania v aktivitách, ktoré začali v programovom o</w:t>
      </w:r>
      <w:r>
        <w:rPr>
          <w:sz w:val="22"/>
          <w:szCs w:val="22"/>
        </w:rPr>
        <w:t>bdobí 2007 – 2013 budú pre </w:t>
      </w:r>
      <w:r w:rsidRPr="00661E83">
        <w:rPr>
          <w:sz w:val="22"/>
          <w:szCs w:val="22"/>
        </w:rPr>
        <w:t>potreby efektívneho nastavenia aktivít v rámci projektov systémového charakteru realizované hodnotenia za účasti expertov v relevantných oblastiach podpory.</w:t>
      </w:r>
    </w:p>
    <w:p w14:paraId="3C43DBB0" w14:textId="77777777" w:rsidR="00E10737" w:rsidRDefault="00E10737" w:rsidP="00E10737">
      <w:pPr>
        <w:jc w:val="both"/>
        <w:rPr>
          <w:sz w:val="22"/>
          <w:szCs w:val="22"/>
        </w:rPr>
        <w:sectPr w:rsidR="00E10737" w:rsidSect="00D1658B">
          <w:headerReference w:type="default" r:id="rId33"/>
          <w:pgSz w:w="11906" w:h="16838"/>
          <w:pgMar w:top="1418" w:right="1361" w:bottom="1304" w:left="1474" w:header="709" w:footer="709" w:gutter="0"/>
          <w:cols w:space="708"/>
          <w:docGrid w:linePitch="360"/>
        </w:sectPr>
      </w:pPr>
    </w:p>
    <w:p w14:paraId="124FCAE1" w14:textId="77777777" w:rsidR="00E10737" w:rsidRPr="008E22E0" w:rsidRDefault="00E10737" w:rsidP="00E10737">
      <w:pPr>
        <w:pStyle w:val="Nadpis2"/>
        <w:tabs>
          <w:tab w:val="clear" w:pos="709"/>
          <w:tab w:val="clear" w:pos="851"/>
        </w:tabs>
      </w:pPr>
      <w:bookmarkStart w:id="118" w:name="_Toc21945921"/>
      <w:bookmarkStart w:id="119" w:name="_Toc28951654"/>
      <w:r>
        <w:lastRenderedPageBreak/>
        <w:t>PRIORITNÁ OS 11: POSILNENIE KONKURENCIESCHOPNOSTI A RASTU MSP</w:t>
      </w:r>
      <w:bookmarkEnd w:id="118"/>
      <w:bookmarkEnd w:id="119"/>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9"/>
        <w:gridCol w:w="6803"/>
      </w:tblGrid>
      <w:tr w:rsidR="00E10737" w14:paraId="32F5652A" w14:textId="77777777" w:rsidTr="004179DE">
        <w:trPr>
          <w:trHeight w:val="284"/>
          <w:jc w:val="center"/>
        </w:trPr>
        <w:tc>
          <w:tcPr>
            <w:tcW w:w="2269" w:type="dxa"/>
            <w:shd w:val="clear" w:color="auto" w:fill="DBE5F1" w:themeFill="accent1" w:themeFillTint="33"/>
            <w:vAlign w:val="center"/>
          </w:tcPr>
          <w:p w14:paraId="1A26C859" w14:textId="77777777" w:rsidR="00E10737" w:rsidRDefault="00E10737" w:rsidP="004179DE">
            <w:pPr>
              <w:ind w:left="0"/>
            </w:pPr>
            <w:r w:rsidRPr="00863337">
              <w:rPr>
                <w:b/>
                <w:i/>
                <w:sz w:val="20"/>
                <w:szCs w:val="20"/>
              </w:rPr>
              <w:t>ID prioritnej osi</w:t>
            </w:r>
          </w:p>
        </w:tc>
        <w:tc>
          <w:tcPr>
            <w:tcW w:w="6803" w:type="dxa"/>
            <w:vAlign w:val="center"/>
          </w:tcPr>
          <w:p w14:paraId="5CE0B10F" w14:textId="77777777" w:rsidR="00E10737" w:rsidRDefault="00E10737" w:rsidP="004179DE">
            <w:pPr>
              <w:pStyle w:val="PRIORITNA"/>
              <w:numPr>
                <w:ilvl w:val="0"/>
                <w:numId w:val="0"/>
              </w:numPr>
              <w:spacing w:after="0"/>
              <w:jc w:val="left"/>
            </w:pPr>
            <w:r>
              <w:t>11</w:t>
            </w:r>
          </w:p>
        </w:tc>
      </w:tr>
      <w:tr w:rsidR="00E10737" w14:paraId="22675802" w14:textId="77777777" w:rsidTr="004179DE">
        <w:trPr>
          <w:trHeight w:val="284"/>
          <w:jc w:val="center"/>
        </w:trPr>
        <w:tc>
          <w:tcPr>
            <w:tcW w:w="2269" w:type="dxa"/>
            <w:shd w:val="clear" w:color="auto" w:fill="DBE5F1" w:themeFill="accent1" w:themeFillTint="33"/>
            <w:vAlign w:val="center"/>
          </w:tcPr>
          <w:p w14:paraId="0B36D880" w14:textId="77777777" w:rsidR="00E10737" w:rsidRPr="003D6170" w:rsidRDefault="00E10737" w:rsidP="004179DE">
            <w:pPr>
              <w:ind w:left="0"/>
            </w:pPr>
            <w:r w:rsidRPr="003D6170">
              <w:rPr>
                <w:b/>
                <w:i/>
                <w:sz w:val="20"/>
                <w:szCs w:val="20"/>
              </w:rPr>
              <w:t>Názov prioritnej osi</w:t>
            </w:r>
          </w:p>
        </w:tc>
        <w:tc>
          <w:tcPr>
            <w:tcW w:w="6803" w:type="dxa"/>
            <w:vAlign w:val="center"/>
          </w:tcPr>
          <w:p w14:paraId="521C4A9D" w14:textId="77777777" w:rsidR="00E10737" w:rsidRPr="00750A42" w:rsidRDefault="00E10737" w:rsidP="004179DE">
            <w:pPr>
              <w:ind w:left="0"/>
              <w:rPr>
                <w:sz w:val="20"/>
                <w:szCs w:val="20"/>
              </w:rPr>
            </w:pPr>
            <w:r>
              <w:rPr>
                <w:sz w:val="20"/>
                <w:szCs w:val="20"/>
              </w:rPr>
              <w:t>Posilnenie konkurencieschopnosti a rastu MSP</w:t>
            </w:r>
          </w:p>
        </w:tc>
      </w:tr>
    </w:tbl>
    <w:p w14:paraId="71A7F893" w14:textId="77777777" w:rsidR="00E10737" w:rsidRDefault="00E10737" w:rsidP="00E10737">
      <w:pPr>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10737" w:rsidRPr="00765DFA" w14:paraId="5BBA2580" w14:textId="77777777" w:rsidTr="004179DE">
        <w:trPr>
          <w:trHeight w:val="255"/>
          <w:jc w:val="center"/>
        </w:trPr>
        <w:tc>
          <w:tcPr>
            <w:tcW w:w="5024" w:type="dxa"/>
            <w:shd w:val="clear" w:color="auto" w:fill="DBE5F1" w:themeFill="accent1" w:themeFillTint="33"/>
            <w:vAlign w:val="center"/>
          </w:tcPr>
          <w:p w14:paraId="53F813EA" w14:textId="77777777" w:rsidR="00E10737" w:rsidRPr="00765DFA" w:rsidRDefault="00E10737" w:rsidP="004179DE">
            <w:pPr>
              <w:ind w:left="0"/>
              <w:rPr>
                <w:b/>
                <w:i/>
                <w:sz w:val="20"/>
                <w:szCs w:val="20"/>
              </w:rPr>
            </w:pPr>
            <w:r>
              <w:rPr>
                <w:b/>
                <w:i/>
                <w:sz w:val="20"/>
                <w:szCs w:val="20"/>
              </w:rPr>
              <w:t xml:space="preserve">Celá prioritná os bude realizovaná výhradne prostredníctvom finančných nástrojov </w:t>
            </w:r>
          </w:p>
        </w:tc>
        <w:tc>
          <w:tcPr>
            <w:tcW w:w="4048" w:type="dxa"/>
            <w:vAlign w:val="center"/>
          </w:tcPr>
          <w:p w14:paraId="6F20E33A" w14:textId="77777777" w:rsidR="00E10737" w:rsidRPr="00765DFA" w:rsidRDefault="00E10737" w:rsidP="004179DE">
            <w:pPr>
              <w:ind w:left="0"/>
              <w:rPr>
                <w:sz w:val="20"/>
                <w:szCs w:val="20"/>
              </w:rPr>
            </w:pPr>
            <w:r>
              <w:rPr>
                <w:sz w:val="20"/>
                <w:szCs w:val="20"/>
              </w:rPr>
              <w:t>N/A</w:t>
            </w:r>
          </w:p>
        </w:tc>
      </w:tr>
      <w:tr w:rsidR="00E10737" w:rsidRPr="00765DFA" w14:paraId="6C7DF13E" w14:textId="77777777" w:rsidTr="004179DE">
        <w:trPr>
          <w:trHeight w:val="255"/>
          <w:jc w:val="center"/>
        </w:trPr>
        <w:tc>
          <w:tcPr>
            <w:tcW w:w="5024" w:type="dxa"/>
            <w:shd w:val="clear" w:color="auto" w:fill="DBE5F1" w:themeFill="accent1" w:themeFillTint="33"/>
            <w:vAlign w:val="center"/>
          </w:tcPr>
          <w:p w14:paraId="0F3D7C0A" w14:textId="77777777" w:rsidR="00E10737" w:rsidRPr="00765DFA" w:rsidRDefault="00E10737" w:rsidP="004179DE">
            <w:pPr>
              <w:ind w:left="0"/>
              <w:rPr>
                <w:b/>
                <w:i/>
                <w:sz w:val="20"/>
                <w:szCs w:val="20"/>
              </w:rPr>
            </w:pPr>
            <w:r>
              <w:rPr>
                <w:b/>
                <w:i/>
                <w:sz w:val="20"/>
                <w:szCs w:val="20"/>
              </w:rPr>
              <w:t>Celá prioritná os bude realizovaná výhradne prostredníctvom finančných nástrojov vytvorených na úrovni Únie</w:t>
            </w:r>
          </w:p>
        </w:tc>
        <w:tc>
          <w:tcPr>
            <w:tcW w:w="4048" w:type="dxa"/>
            <w:vAlign w:val="center"/>
          </w:tcPr>
          <w:p w14:paraId="44CC4B9F" w14:textId="77777777" w:rsidR="00E10737" w:rsidRPr="00765DFA" w:rsidRDefault="00E10737" w:rsidP="004179DE">
            <w:pPr>
              <w:ind w:left="0"/>
              <w:rPr>
                <w:sz w:val="20"/>
                <w:szCs w:val="20"/>
              </w:rPr>
            </w:pPr>
            <w:r>
              <w:rPr>
                <w:sz w:val="20"/>
                <w:szCs w:val="20"/>
              </w:rPr>
              <w:t>N/A</w:t>
            </w:r>
          </w:p>
        </w:tc>
      </w:tr>
      <w:tr w:rsidR="00E10737" w:rsidRPr="00750A42" w14:paraId="5CE4972E" w14:textId="77777777" w:rsidTr="004179DE">
        <w:trPr>
          <w:trHeight w:val="70"/>
          <w:jc w:val="center"/>
        </w:trPr>
        <w:tc>
          <w:tcPr>
            <w:tcW w:w="5024" w:type="dxa"/>
            <w:shd w:val="clear" w:color="auto" w:fill="DBE5F1" w:themeFill="accent1" w:themeFillTint="33"/>
            <w:vAlign w:val="center"/>
          </w:tcPr>
          <w:p w14:paraId="369CD99A" w14:textId="77777777" w:rsidR="00E10737" w:rsidRPr="00765DFA" w:rsidRDefault="00E10737" w:rsidP="004179DE">
            <w:pPr>
              <w:ind w:left="0"/>
              <w:rPr>
                <w:b/>
                <w:i/>
                <w:sz w:val="20"/>
                <w:szCs w:val="20"/>
              </w:rPr>
            </w:pPr>
            <w:r>
              <w:rPr>
                <w:b/>
                <w:i/>
                <w:sz w:val="20"/>
                <w:szCs w:val="20"/>
              </w:rPr>
              <w:t>Celá prioritná os bude realizovaná prostredníctvom komunitne vedeného miestneho rozvoja</w:t>
            </w:r>
          </w:p>
        </w:tc>
        <w:tc>
          <w:tcPr>
            <w:tcW w:w="4048" w:type="dxa"/>
            <w:vAlign w:val="center"/>
          </w:tcPr>
          <w:p w14:paraId="3A54A902" w14:textId="77777777" w:rsidR="00E10737" w:rsidRPr="00750A42" w:rsidRDefault="00E10737" w:rsidP="004179DE">
            <w:pPr>
              <w:ind w:left="0"/>
              <w:rPr>
                <w:sz w:val="20"/>
                <w:szCs w:val="20"/>
              </w:rPr>
            </w:pPr>
            <w:r>
              <w:rPr>
                <w:sz w:val="20"/>
                <w:szCs w:val="20"/>
              </w:rPr>
              <w:t>Nie</w:t>
            </w:r>
          </w:p>
        </w:tc>
      </w:tr>
      <w:tr w:rsidR="00E10737" w:rsidRPr="00765DFA" w14:paraId="0764CCDD" w14:textId="77777777" w:rsidTr="004179DE">
        <w:trPr>
          <w:jc w:val="center"/>
        </w:trPr>
        <w:tc>
          <w:tcPr>
            <w:tcW w:w="5024" w:type="dxa"/>
            <w:shd w:val="clear" w:color="auto" w:fill="DBE5F1" w:themeFill="accent1" w:themeFillTint="33"/>
          </w:tcPr>
          <w:p w14:paraId="4888974D" w14:textId="77777777" w:rsidR="00E10737" w:rsidRPr="00765DFA" w:rsidRDefault="00E10737" w:rsidP="004179DE">
            <w:pPr>
              <w:ind w:left="0"/>
              <w:rPr>
                <w:b/>
                <w:i/>
                <w:sz w:val="20"/>
                <w:szCs w:val="20"/>
              </w:rPr>
            </w:pPr>
            <w:r>
              <w:rPr>
                <w:b/>
                <w:i/>
                <w:sz w:val="20"/>
                <w:szCs w:val="20"/>
              </w:rPr>
              <w:t>Pre ESF: Celá prioritná os je zameraná na sociálnu inováciu alebo nadnárodnú spoluprácu, alebo oboje</w:t>
            </w:r>
          </w:p>
        </w:tc>
        <w:tc>
          <w:tcPr>
            <w:tcW w:w="4048" w:type="dxa"/>
            <w:vAlign w:val="center"/>
          </w:tcPr>
          <w:p w14:paraId="3B214BC6" w14:textId="77777777" w:rsidR="00E10737" w:rsidRPr="00765DFA" w:rsidRDefault="00E10737" w:rsidP="004179DE">
            <w:pPr>
              <w:ind w:left="0"/>
              <w:rPr>
                <w:sz w:val="20"/>
                <w:szCs w:val="20"/>
              </w:rPr>
            </w:pPr>
            <w:r>
              <w:rPr>
                <w:sz w:val="20"/>
                <w:szCs w:val="20"/>
              </w:rPr>
              <w:t>N/A</w:t>
            </w:r>
          </w:p>
        </w:tc>
      </w:tr>
    </w:tbl>
    <w:p w14:paraId="4113FD45" w14:textId="77777777" w:rsidR="00E10737" w:rsidRPr="007F1C63" w:rsidRDefault="00E10737" w:rsidP="00E10737">
      <w:pPr>
        <w:pStyle w:val="Nadpis3"/>
      </w:pPr>
      <w:bookmarkStart w:id="120" w:name="_Toc21945922"/>
      <w:bookmarkStart w:id="121" w:name="_Toc28951655"/>
      <w:r w:rsidRPr="007F1C63">
        <w:t>Fond, kategória regiónu a základ pre výpočet podpory Únie</w:t>
      </w:r>
      <w:bookmarkEnd w:id="120"/>
      <w:bookmarkEnd w:id="121"/>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10737" w:rsidRPr="007F1C63" w14:paraId="73BF1261" w14:textId="77777777" w:rsidTr="004179DE">
        <w:trPr>
          <w:trHeight w:val="255"/>
          <w:jc w:val="center"/>
        </w:trPr>
        <w:tc>
          <w:tcPr>
            <w:tcW w:w="4042" w:type="dxa"/>
            <w:shd w:val="clear" w:color="auto" w:fill="DBE5F1" w:themeFill="accent1" w:themeFillTint="33"/>
            <w:vAlign w:val="center"/>
          </w:tcPr>
          <w:p w14:paraId="36E828BE" w14:textId="77777777" w:rsidR="00E10737" w:rsidRPr="007F1C63" w:rsidRDefault="00E10737" w:rsidP="004179DE">
            <w:pPr>
              <w:ind w:left="0"/>
              <w:rPr>
                <w:b/>
                <w:i/>
                <w:sz w:val="20"/>
                <w:szCs w:val="20"/>
              </w:rPr>
            </w:pPr>
            <w:r w:rsidRPr="007F1C63">
              <w:rPr>
                <w:b/>
                <w:i/>
                <w:sz w:val="20"/>
                <w:szCs w:val="20"/>
              </w:rPr>
              <w:t>Fond</w:t>
            </w:r>
          </w:p>
        </w:tc>
        <w:tc>
          <w:tcPr>
            <w:tcW w:w="3361" w:type="dxa"/>
            <w:vAlign w:val="center"/>
          </w:tcPr>
          <w:p w14:paraId="036FD15A" w14:textId="77777777" w:rsidR="00E10737" w:rsidRPr="007F1C63" w:rsidRDefault="00E10737" w:rsidP="004179DE">
            <w:pPr>
              <w:ind w:left="0"/>
              <w:rPr>
                <w:sz w:val="20"/>
                <w:szCs w:val="20"/>
              </w:rPr>
            </w:pPr>
            <w:r w:rsidRPr="007F1C63">
              <w:rPr>
                <w:sz w:val="20"/>
                <w:szCs w:val="20"/>
              </w:rPr>
              <w:t>EFRR</w:t>
            </w:r>
          </w:p>
        </w:tc>
      </w:tr>
      <w:tr w:rsidR="00E10737" w:rsidRPr="007F1C63" w14:paraId="280FD001" w14:textId="77777777" w:rsidTr="004179DE">
        <w:trPr>
          <w:trHeight w:val="255"/>
          <w:jc w:val="center"/>
        </w:trPr>
        <w:tc>
          <w:tcPr>
            <w:tcW w:w="4042" w:type="dxa"/>
            <w:shd w:val="clear" w:color="auto" w:fill="DBE5F1" w:themeFill="accent1" w:themeFillTint="33"/>
            <w:vAlign w:val="center"/>
          </w:tcPr>
          <w:p w14:paraId="04310548" w14:textId="77777777" w:rsidR="00E10737" w:rsidRPr="007F1C63" w:rsidRDefault="00E10737" w:rsidP="004179DE">
            <w:pPr>
              <w:ind w:left="0"/>
              <w:rPr>
                <w:b/>
                <w:i/>
                <w:sz w:val="20"/>
                <w:szCs w:val="20"/>
              </w:rPr>
            </w:pPr>
            <w:r w:rsidRPr="007F1C63">
              <w:rPr>
                <w:b/>
                <w:i/>
                <w:sz w:val="20"/>
                <w:szCs w:val="20"/>
              </w:rPr>
              <w:t>Kategória regiónu</w:t>
            </w:r>
          </w:p>
        </w:tc>
        <w:tc>
          <w:tcPr>
            <w:tcW w:w="3361" w:type="dxa"/>
            <w:vAlign w:val="center"/>
          </w:tcPr>
          <w:p w14:paraId="67A46050" w14:textId="77777777" w:rsidR="00E10737" w:rsidRPr="007F1C63" w:rsidRDefault="00E10737" w:rsidP="004179DE">
            <w:pPr>
              <w:ind w:left="0"/>
              <w:rPr>
                <w:sz w:val="20"/>
                <w:szCs w:val="20"/>
              </w:rPr>
            </w:pPr>
            <w:r>
              <w:rPr>
                <w:sz w:val="20"/>
                <w:szCs w:val="20"/>
              </w:rPr>
              <w:t>Menej rozvinutý región</w:t>
            </w:r>
          </w:p>
        </w:tc>
      </w:tr>
      <w:tr w:rsidR="00E10737" w:rsidRPr="007F1C63" w14:paraId="4AA23A0A" w14:textId="77777777" w:rsidTr="004179DE">
        <w:trPr>
          <w:trHeight w:val="255"/>
          <w:jc w:val="center"/>
        </w:trPr>
        <w:tc>
          <w:tcPr>
            <w:tcW w:w="4042" w:type="dxa"/>
            <w:shd w:val="clear" w:color="auto" w:fill="DBE5F1" w:themeFill="accent1" w:themeFillTint="33"/>
            <w:vAlign w:val="center"/>
          </w:tcPr>
          <w:p w14:paraId="01AB8245" w14:textId="77777777" w:rsidR="00E10737" w:rsidRPr="007F1C63" w:rsidRDefault="00E10737" w:rsidP="004179DE">
            <w:pPr>
              <w:ind w:left="0"/>
              <w:rPr>
                <w:b/>
                <w:i/>
                <w:sz w:val="20"/>
                <w:szCs w:val="20"/>
              </w:rPr>
            </w:pPr>
            <w:r w:rsidRPr="007F1C63">
              <w:rPr>
                <w:b/>
                <w:i/>
                <w:sz w:val="20"/>
                <w:szCs w:val="20"/>
              </w:rPr>
              <w:t>Základ pre výpočet (celkový príspevok)</w:t>
            </w:r>
          </w:p>
        </w:tc>
        <w:tc>
          <w:tcPr>
            <w:tcW w:w="3361" w:type="dxa"/>
            <w:vAlign w:val="center"/>
          </w:tcPr>
          <w:p w14:paraId="2BB1449E" w14:textId="1CD56CE5" w:rsidR="00E10737" w:rsidRPr="007F1C63" w:rsidRDefault="00D3601B" w:rsidP="00D3601B">
            <w:pPr>
              <w:ind w:left="0"/>
              <w:rPr>
                <w:sz w:val="20"/>
                <w:szCs w:val="20"/>
                <w:lang w:val="en-US"/>
              </w:rPr>
            </w:pPr>
            <w:r>
              <w:rPr>
                <w:sz w:val="20"/>
                <w:szCs w:val="20"/>
              </w:rPr>
              <w:t>416 415 000</w:t>
            </w:r>
            <w:r w:rsidR="00E10737">
              <w:rPr>
                <w:sz w:val="20"/>
                <w:szCs w:val="20"/>
              </w:rPr>
              <w:t xml:space="preserve"> EUR</w:t>
            </w:r>
          </w:p>
        </w:tc>
      </w:tr>
      <w:tr w:rsidR="00E10737" w:rsidRPr="007F1C63" w14:paraId="429304FB" w14:textId="77777777" w:rsidTr="004179DE">
        <w:trPr>
          <w:trHeight w:val="255"/>
          <w:jc w:val="center"/>
        </w:trPr>
        <w:tc>
          <w:tcPr>
            <w:tcW w:w="4042" w:type="dxa"/>
            <w:shd w:val="clear" w:color="auto" w:fill="DBE5F1" w:themeFill="accent1" w:themeFillTint="33"/>
          </w:tcPr>
          <w:p w14:paraId="4C997DE7" w14:textId="77777777" w:rsidR="00E10737" w:rsidRPr="007F1C63" w:rsidRDefault="00E10737" w:rsidP="004179DE">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14:paraId="377FF2D1" w14:textId="77777777" w:rsidR="00E10737" w:rsidRPr="007F1C63" w:rsidRDefault="00E10737" w:rsidP="004179DE">
            <w:pPr>
              <w:ind w:left="0"/>
              <w:rPr>
                <w:sz w:val="20"/>
                <w:szCs w:val="20"/>
              </w:rPr>
            </w:pPr>
            <w:r w:rsidRPr="007F1C63">
              <w:rPr>
                <w:sz w:val="20"/>
                <w:szCs w:val="20"/>
              </w:rPr>
              <w:t>N/A</w:t>
            </w:r>
          </w:p>
        </w:tc>
      </w:tr>
    </w:tbl>
    <w:p w14:paraId="1D32EED9" w14:textId="77777777" w:rsidR="00E10737" w:rsidRPr="007F1C63" w:rsidRDefault="00E10737" w:rsidP="00E10737">
      <w:pPr>
        <w:rPr>
          <w:sz w:val="22"/>
          <w:szCs w:val="22"/>
        </w:rPr>
      </w:pPr>
    </w:p>
    <w:p w14:paraId="4601B042" w14:textId="784B7A82" w:rsidR="00E10737" w:rsidRDefault="00E10737" w:rsidP="00E10737">
      <w:pPr>
        <w:pStyle w:val="Nadpis3"/>
        <w:tabs>
          <w:tab w:val="clear" w:pos="709"/>
        </w:tabs>
        <w:jc w:val="both"/>
      </w:pPr>
      <w:bookmarkStart w:id="122" w:name="_Toc21945923"/>
      <w:bookmarkStart w:id="123" w:name="_Toc28951656"/>
      <w:r>
        <w:t xml:space="preserve">INVESTIČNÁ PRIORITA </w:t>
      </w:r>
      <w:r w:rsidR="000B4D66">
        <w:t>3</w:t>
      </w:r>
      <w:r w:rsidR="0066408D">
        <w:t>a)</w:t>
      </w:r>
      <w:r>
        <w:t xml:space="preserve">: </w:t>
      </w:r>
      <w:r w:rsidRPr="00023802">
        <w:t>Podpora podnikania, najmä prostredníctvom uľahčenia využívania nových nápadov v hospodárstve a podpory zakladania nových firiem, a to aj prostredníctvom podnikateľských inkubátorov</w:t>
      </w:r>
      <w:bookmarkEnd w:id="122"/>
      <w:bookmarkEnd w:id="123"/>
    </w:p>
    <w:p w14:paraId="49D39B02" w14:textId="77777777" w:rsidR="00E10737" w:rsidRDefault="00E10737" w:rsidP="00E10737">
      <w:pPr>
        <w:pStyle w:val="tl3"/>
        <w:tabs>
          <w:tab w:val="clear" w:pos="709"/>
          <w:tab w:val="clear" w:pos="864"/>
        </w:tabs>
        <w:ind w:left="851" w:hanging="851"/>
      </w:pPr>
      <w:r>
        <w:t>Špecifické ciele investičnej priority a očakávané výsledky</w:t>
      </w:r>
    </w:p>
    <w:p w14:paraId="55EE7D0F" w14:textId="4318FEA8" w:rsidR="00E10737" w:rsidRDefault="00E10737" w:rsidP="00E10737">
      <w:pPr>
        <w:shd w:val="clear" w:color="auto" w:fill="FFFFCC"/>
        <w:spacing w:before="120"/>
        <w:jc w:val="both"/>
        <w:rPr>
          <w:b/>
          <w:i/>
        </w:rPr>
      </w:pPr>
      <w:r w:rsidRPr="004F0234">
        <w:rPr>
          <w:i/>
        </w:rPr>
        <w:t xml:space="preserve">ŠPECIFICKÝ CIEĽ </w:t>
      </w:r>
      <w:r>
        <w:rPr>
          <w:i/>
        </w:rPr>
        <w:t>11.1</w:t>
      </w:r>
      <w:r w:rsidRPr="004F0234">
        <w:rPr>
          <w:i/>
        </w:rPr>
        <w:t>:</w:t>
      </w:r>
      <w:r>
        <w:rPr>
          <w:i/>
        </w:rPr>
        <w:t xml:space="preserve"> </w:t>
      </w:r>
      <w:r w:rsidRPr="00E6633A">
        <w:rPr>
          <w:b/>
          <w:i/>
          <w:w w:val="95"/>
        </w:rPr>
        <w:t>Nárast vzniku nových, konkurencieschopných MSP</w:t>
      </w:r>
    </w:p>
    <w:p w14:paraId="3940806A" w14:textId="77777777" w:rsidR="00E10737" w:rsidRDefault="00E10737" w:rsidP="00E10737">
      <w:pPr>
        <w:jc w:val="both"/>
        <w:rPr>
          <w:w w:val="105"/>
        </w:rPr>
      </w:pPr>
    </w:p>
    <w:p w14:paraId="7A8B45C9" w14:textId="77777777" w:rsidR="00E10737" w:rsidRPr="005F66C2" w:rsidRDefault="00E10737" w:rsidP="00E10737">
      <w:pPr>
        <w:jc w:val="both"/>
        <w:rPr>
          <w:b/>
          <w:i/>
          <w:sz w:val="22"/>
          <w:szCs w:val="22"/>
        </w:rPr>
      </w:pPr>
      <w:r w:rsidRPr="00E6633A">
        <w:rPr>
          <w:sz w:val="22"/>
          <w:szCs w:val="22"/>
        </w:rPr>
        <w:t xml:space="preserve">Špecifický cieľ je zameraný na komplexné riešenia podpory vzniku nových a akceleráciu začínajúcich MSP, ako aj start-up a spin-off firiem. Opatreniami bude zabezpečená systematická podpora počas prvých štádií podnikania, vytvorenie vhodných podmienok pre rast konkurencieschopnosti MSP </w:t>
      </w:r>
      <w:r>
        <w:rPr>
          <w:sz w:val="22"/>
          <w:szCs w:val="22"/>
        </w:rPr>
        <w:t>a </w:t>
      </w:r>
      <w:r w:rsidRPr="00E6633A">
        <w:rPr>
          <w:sz w:val="22"/>
          <w:szCs w:val="22"/>
        </w:rPr>
        <w:t>zníženie miery ich zániku. Súčasťou aktivít je aj podpora rozvoja nových odvetví (napr. kreatívny priemysel).</w:t>
      </w:r>
    </w:p>
    <w:p w14:paraId="4C0123B5" w14:textId="77777777" w:rsidR="00E10737" w:rsidRPr="001B207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62C3C1F9" w14:textId="77777777" w:rsidR="00E10737" w:rsidRPr="00E6633A" w:rsidRDefault="00E10737" w:rsidP="00351D17">
      <w:pPr>
        <w:pStyle w:val="Odsekzoznamu"/>
        <w:numPr>
          <w:ilvl w:val="0"/>
          <w:numId w:val="166"/>
        </w:numPr>
        <w:ind w:left="709" w:hanging="425"/>
        <w:contextualSpacing w:val="0"/>
        <w:jc w:val="both"/>
        <w:rPr>
          <w:sz w:val="22"/>
          <w:szCs w:val="22"/>
        </w:rPr>
      </w:pPr>
      <w:r w:rsidRPr="00E6633A">
        <w:rPr>
          <w:sz w:val="22"/>
          <w:szCs w:val="22"/>
        </w:rPr>
        <w:t>nárast vzniku a rozvoja inovatívnych, technologických firie</w:t>
      </w:r>
      <w:r>
        <w:rPr>
          <w:sz w:val="22"/>
          <w:szCs w:val="22"/>
        </w:rPr>
        <w:t>m vrátane start up a spin-off v </w:t>
      </w:r>
      <w:r w:rsidRPr="00E6633A">
        <w:rPr>
          <w:sz w:val="22"/>
          <w:szCs w:val="22"/>
        </w:rPr>
        <w:t>regiónoch SR;</w:t>
      </w:r>
    </w:p>
    <w:p w14:paraId="0AF56AE4" w14:textId="77777777" w:rsidR="00E10737" w:rsidRPr="00E6633A" w:rsidRDefault="00E10737" w:rsidP="00351D17">
      <w:pPr>
        <w:pStyle w:val="Odsekzoznamu"/>
        <w:numPr>
          <w:ilvl w:val="0"/>
          <w:numId w:val="166"/>
        </w:numPr>
        <w:ind w:left="709" w:hanging="425"/>
        <w:contextualSpacing w:val="0"/>
        <w:jc w:val="both"/>
        <w:rPr>
          <w:sz w:val="22"/>
          <w:szCs w:val="22"/>
        </w:rPr>
      </w:pPr>
      <w:r w:rsidRPr="00E6633A">
        <w:rPr>
          <w:sz w:val="22"/>
          <w:szCs w:val="22"/>
        </w:rPr>
        <w:t>zlepšenie prístupu k financiám a rizikovému kapitálu pre nových a začínajúcich MSP;</w:t>
      </w:r>
    </w:p>
    <w:p w14:paraId="041262DB" w14:textId="77777777" w:rsidR="00E10737" w:rsidRPr="00E6633A" w:rsidRDefault="00E10737" w:rsidP="00351D17">
      <w:pPr>
        <w:pStyle w:val="Odsekzoznamu"/>
        <w:numPr>
          <w:ilvl w:val="0"/>
          <w:numId w:val="166"/>
        </w:numPr>
        <w:ind w:left="709" w:hanging="425"/>
        <w:contextualSpacing w:val="0"/>
        <w:jc w:val="both"/>
        <w:rPr>
          <w:sz w:val="22"/>
          <w:szCs w:val="22"/>
        </w:rPr>
      </w:pPr>
      <w:r w:rsidRPr="00E6633A">
        <w:rPr>
          <w:sz w:val="22"/>
          <w:szCs w:val="22"/>
        </w:rPr>
        <w:t>zníženie miery nezamestnanosti prostredníctvom t</w:t>
      </w:r>
      <w:r>
        <w:rPr>
          <w:sz w:val="22"/>
          <w:szCs w:val="22"/>
        </w:rPr>
        <w:t>vorby nových pracovných miest v </w:t>
      </w:r>
      <w:r w:rsidRPr="00E6633A">
        <w:rPr>
          <w:sz w:val="22"/>
          <w:szCs w:val="22"/>
        </w:rPr>
        <w:t>regiónoch SR;</w:t>
      </w:r>
    </w:p>
    <w:p w14:paraId="50671D9C" w14:textId="77777777" w:rsidR="00E10737" w:rsidRDefault="00E10737" w:rsidP="00351D17">
      <w:pPr>
        <w:pStyle w:val="Odsekzoznamu"/>
        <w:numPr>
          <w:ilvl w:val="0"/>
          <w:numId w:val="166"/>
        </w:numPr>
        <w:ind w:left="709" w:hanging="425"/>
        <w:contextualSpacing w:val="0"/>
        <w:jc w:val="both"/>
        <w:rPr>
          <w:sz w:val="22"/>
          <w:szCs w:val="22"/>
        </w:rPr>
      </w:pPr>
      <w:r w:rsidRPr="00E6633A">
        <w:rPr>
          <w:sz w:val="22"/>
          <w:szCs w:val="22"/>
        </w:rPr>
        <w:t>nárast počtu konkurencieschopných podnikov znevýhodnených skupín.</w:t>
      </w:r>
    </w:p>
    <w:p w14:paraId="1EE7D067" w14:textId="6874134F" w:rsidR="00E10737" w:rsidRDefault="00E10737" w:rsidP="00E10737">
      <w:pPr>
        <w:pStyle w:val="Tab"/>
      </w:pPr>
      <w:r w:rsidRPr="00BE4E38">
        <w:t>Špecifické ukazovatele výsledkov programu zodpovedajúce špecifickému cieľu 1</w:t>
      </w:r>
      <w:r>
        <w:t>1</w:t>
      </w:r>
      <w:r w:rsidRPr="00BE4E38">
        <w:t>.</w:t>
      </w:r>
      <w:r>
        <w:t>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4"/>
        <w:gridCol w:w="1559"/>
        <w:gridCol w:w="992"/>
        <w:gridCol w:w="992"/>
        <w:gridCol w:w="1418"/>
        <w:gridCol w:w="982"/>
        <w:gridCol w:w="865"/>
        <w:gridCol w:w="759"/>
        <w:gridCol w:w="1186"/>
      </w:tblGrid>
      <w:tr w:rsidR="00E10737" w:rsidRPr="008C1732" w14:paraId="40F9CF50" w14:textId="77777777" w:rsidTr="00CB61C4">
        <w:trPr>
          <w:trHeight w:val="487"/>
          <w:jc w:val="center"/>
        </w:trPr>
        <w:tc>
          <w:tcPr>
            <w:tcW w:w="534" w:type="dxa"/>
            <w:shd w:val="clear" w:color="auto" w:fill="C6D9F1" w:themeFill="text2" w:themeFillTint="33"/>
            <w:vAlign w:val="center"/>
          </w:tcPr>
          <w:p w14:paraId="3E32B405" w14:textId="77777777" w:rsidR="00E10737" w:rsidRPr="008C1732" w:rsidRDefault="00E10737" w:rsidP="004179DE">
            <w:pPr>
              <w:ind w:left="0"/>
              <w:jc w:val="center"/>
              <w:rPr>
                <w:b/>
                <w:sz w:val="18"/>
                <w:szCs w:val="18"/>
              </w:rPr>
            </w:pPr>
            <w:r>
              <w:rPr>
                <w:b/>
                <w:sz w:val="18"/>
                <w:szCs w:val="18"/>
              </w:rPr>
              <w:t>ID</w:t>
            </w:r>
          </w:p>
        </w:tc>
        <w:tc>
          <w:tcPr>
            <w:tcW w:w="1559" w:type="dxa"/>
            <w:shd w:val="clear" w:color="auto" w:fill="C6D9F1" w:themeFill="text2" w:themeFillTint="33"/>
            <w:vAlign w:val="center"/>
          </w:tcPr>
          <w:p w14:paraId="3A30EAED" w14:textId="77777777" w:rsidR="00E10737" w:rsidRPr="008C1732" w:rsidRDefault="00E10737" w:rsidP="004179DE">
            <w:pPr>
              <w:ind w:left="0"/>
              <w:jc w:val="center"/>
              <w:rPr>
                <w:b/>
                <w:sz w:val="18"/>
                <w:szCs w:val="18"/>
              </w:rPr>
            </w:pPr>
            <w:r w:rsidRPr="008C1732">
              <w:rPr>
                <w:b/>
                <w:sz w:val="18"/>
                <w:szCs w:val="18"/>
              </w:rPr>
              <w:t>Ukazovateľ</w:t>
            </w:r>
          </w:p>
        </w:tc>
        <w:tc>
          <w:tcPr>
            <w:tcW w:w="992" w:type="dxa"/>
            <w:shd w:val="clear" w:color="auto" w:fill="C6D9F1" w:themeFill="text2" w:themeFillTint="33"/>
            <w:vAlign w:val="center"/>
          </w:tcPr>
          <w:p w14:paraId="01B1480A" w14:textId="77777777" w:rsidR="00E10737" w:rsidRPr="008C1732" w:rsidRDefault="00E10737" w:rsidP="004179DE">
            <w:pPr>
              <w:ind w:left="0"/>
              <w:jc w:val="center"/>
              <w:rPr>
                <w:b/>
                <w:sz w:val="18"/>
                <w:szCs w:val="18"/>
              </w:rPr>
            </w:pPr>
            <w:r w:rsidRPr="008C1732">
              <w:rPr>
                <w:b/>
                <w:sz w:val="18"/>
                <w:szCs w:val="18"/>
              </w:rPr>
              <w:t>Merná jednotka</w:t>
            </w:r>
          </w:p>
        </w:tc>
        <w:tc>
          <w:tcPr>
            <w:tcW w:w="992" w:type="dxa"/>
            <w:shd w:val="clear" w:color="auto" w:fill="C6D9F1" w:themeFill="text2" w:themeFillTint="33"/>
            <w:vAlign w:val="center"/>
          </w:tcPr>
          <w:p w14:paraId="0925551E" w14:textId="77777777" w:rsidR="00E10737" w:rsidRPr="008C1732" w:rsidRDefault="00E10737" w:rsidP="004179DE">
            <w:pPr>
              <w:ind w:left="0"/>
              <w:jc w:val="center"/>
              <w:rPr>
                <w:b/>
                <w:sz w:val="18"/>
                <w:szCs w:val="18"/>
              </w:rPr>
            </w:pPr>
            <w:r w:rsidRPr="008C1732">
              <w:rPr>
                <w:b/>
                <w:sz w:val="18"/>
                <w:szCs w:val="18"/>
              </w:rPr>
              <w:t>Kategória regiónu</w:t>
            </w:r>
          </w:p>
        </w:tc>
        <w:tc>
          <w:tcPr>
            <w:tcW w:w="1418" w:type="dxa"/>
            <w:shd w:val="clear" w:color="auto" w:fill="C6D9F1" w:themeFill="text2" w:themeFillTint="33"/>
            <w:vAlign w:val="center"/>
          </w:tcPr>
          <w:p w14:paraId="783F1D30" w14:textId="77777777" w:rsidR="00E10737" w:rsidRPr="008C1732" w:rsidRDefault="00E10737" w:rsidP="004179DE">
            <w:pPr>
              <w:ind w:left="0"/>
              <w:jc w:val="center"/>
              <w:rPr>
                <w:b/>
                <w:sz w:val="18"/>
                <w:szCs w:val="18"/>
              </w:rPr>
            </w:pPr>
            <w:r>
              <w:rPr>
                <w:b/>
                <w:sz w:val="18"/>
                <w:szCs w:val="18"/>
              </w:rPr>
              <w:t>Východisková hodnota</w:t>
            </w:r>
          </w:p>
        </w:tc>
        <w:tc>
          <w:tcPr>
            <w:tcW w:w="982" w:type="dxa"/>
            <w:shd w:val="clear" w:color="auto" w:fill="C6D9F1" w:themeFill="text2" w:themeFillTint="33"/>
            <w:vAlign w:val="center"/>
          </w:tcPr>
          <w:p w14:paraId="284FC19A"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16C2EF5D"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4F658206"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043A05B6"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36489291" w14:textId="77777777" w:rsidTr="00CB61C4">
        <w:trPr>
          <w:cantSplit/>
          <w:trHeight w:val="1134"/>
          <w:jc w:val="center"/>
        </w:trPr>
        <w:tc>
          <w:tcPr>
            <w:tcW w:w="534" w:type="dxa"/>
            <w:shd w:val="clear" w:color="auto" w:fill="auto"/>
            <w:textDirection w:val="btLr"/>
            <w:vAlign w:val="center"/>
          </w:tcPr>
          <w:p w14:paraId="4A9312BE" w14:textId="77777777" w:rsidR="00E10737" w:rsidRPr="00CF79E0" w:rsidRDefault="00E10737" w:rsidP="004179DE">
            <w:pPr>
              <w:ind w:left="113" w:right="113"/>
              <w:jc w:val="center"/>
              <w:rPr>
                <w:sz w:val="18"/>
                <w:szCs w:val="18"/>
              </w:rPr>
            </w:pPr>
            <w:r w:rsidRPr="00CF79E0">
              <w:rPr>
                <w:sz w:val="18"/>
                <w:szCs w:val="18"/>
              </w:rPr>
              <w:t>R0048</w:t>
            </w:r>
          </w:p>
        </w:tc>
        <w:tc>
          <w:tcPr>
            <w:tcW w:w="1559" w:type="dxa"/>
            <w:shd w:val="clear" w:color="auto" w:fill="auto"/>
            <w:vAlign w:val="center"/>
          </w:tcPr>
          <w:p w14:paraId="0742E555" w14:textId="77777777" w:rsidR="00E10737" w:rsidRPr="00CB61C4" w:rsidRDefault="00E10737" w:rsidP="004179DE">
            <w:pPr>
              <w:ind w:left="0"/>
              <w:rPr>
                <w:sz w:val="18"/>
                <w:szCs w:val="18"/>
              </w:rPr>
            </w:pPr>
            <w:r w:rsidRPr="00CB61C4">
              <w:rPr>
                <w:sz w:val="18"/>
                <w:szCs w:val="18"/>
              </w:rPr>
              <w:t>Miera prežitia nových podnikov na trhu po troch rokoch</w:t>
            </w:r>
          </w:p>
        </w:tc>
        <w:tc>
          <w:tcPr>
            <w:tcW w:w="992" w:type="dxa"/>
            <w:shd w:val="clear" w:color="auto" w:fill="auto"/>
            <w:vAlign w:val="center"/>
          </w:tcPr>
          <w:p w14:paraId="2C64AD58" w14:textId="77777777" w:rsidR="00E10737" w:rsidRPr="00E661DF" w:rsidRDefault="00E10737" w:rsidP="004179DE">
            <w:pPr>
              <w:ind w:left="0"/>
              <w:jc w:val="center"/>
              <w:rPr>
                <w:i/>
                <w:sz w:val="18"/>
                <w:szCs w:val="18"/>
                <w:lang w:val="en-GB"/>
              </w:rPr>
            </w:pPr>
            <w:r w:rsidRPr="00E661DF">
              <w:rPr>
                <w:i/>
                <w:sz w:val="18"/>
                <w:szCs w:val="18"/>
                <w:lang w:val="en-GB"/>
              </w:rPr>
              <w:t>%</w:t>
            </w:r>
          </w:p>
        </w:tc>
        <w:tc>
          <w:tcPr>
            <w:tcW w:w="992" w:type="dxa"/>
            <w:shd w:val="clear" w:color="auto" w:fill="auto"/>
            <w:vAlign w:val="center"/>
          </w:tcPr>
          <w:p w14:paraId="2D5ADD0A" w14:textId="77777777" w:rsidR="00E10737" w:rsidRPr="00E661DF" w:rsidRDefault="00E10737" w:rsidP="004179DE">
            <w:pPr>
              <w:ind w:left="0"/>
              <w:jc w:val="center"/>
              <w:rPr>
                <w:i/>
                <w:sz w:val="18"/>
                <w:szCs w:val="18"/>
              </w:rPr>
            </w:pPr>
            <w:r w:rsidRPr="00E661DF">
              <w:rPr>
                <w:i/>
                <w:sz w:val="18"/>
                <w:szCs w:val="18"/>
              </w:rPr>
              <w:t>Menej rozvinutý región</w:t>
            </w:r>
          </w:p>
        </w:tc>
        <w:tc>
          <w:tcPr>
            <w:tcW w:w="1418" w:type="dxa"/>
            <w:vAlign w:val="center"/>
          </w:tcPr>
          <w:p w14:paraId="11DE9AD5" w14:textId="77777777" w:rsidR="00E10737" w:rsidRPr="00E661DF" w:rsidRDefault="00E10737" w:rsidP="004179DE">
            <w:pPr>
              <w:ind w:left="0"/>
              <w:jc w:val="center"/>
              <w:rPr>
                <w:i/>
                <w:sz w:val="18"/>
                <w:szCs w:val="18"/>
              </w:rPr>
            </w:pPr>
            <w:r w:rsidRPr="00E661DF">
              <w:rPr>
                <w:i/>
                <w:sz w:val="18"/>
                <w:szCs w:val="18"/>
              </w:rPr>
              <w:t>41,7</w:t>
            </w:r>
          </w:p>
        </w:tc>
        <w:tc>
          <w:tcPr>
            <w:tcW w:w="982" w:type="dxa"/>
            <w:vAlign w:val="center"/>
          </w:tcPr>
          <w:p w14:paraId="23E69AD2" w14:textId="77777777" w:rsidR="00E10737" w:rsidRPr="00E661DF" w:rsidRDefault="00E10737" w:rsidP="004179DE">
            <w:pPr>
              <w:ind w:left="0"/>
              <w:jc w:val="center"/>
              <w:rPr>
                <w:i/>
                <w:sz w:val="18"/>
                <w:szCs w:val="18"/>
              </w:rPr>
            </w:pPr>
            <w:r w:rsidRPr="00E661DF">
              <w:rPr>
                <w:i/>
                <w:sz w:val="18"/>
                <w:szCs w:val="18"/>
              </w:rPr>
              <w:t>2010</w:t>
            </w:r>
          </w:p>
        </w:tc>
        <w:tc>
          <w:tcPr>
            <w:tcW w:w="865" w:type="dxa"/>
            <w:shd w:val="clear" w:color="auto" w:fill="auto"/>
            <w:vAlign w:val="center"/>
          </w:tcPr>
          <w:p w14:paraId="60CE4207" w14:textId="77777777" w:rsidR="00E10737" w:rsidRPr="00E661DF" w:rsidRDefault="00E10737" w:rsidP="004179DE">
            <w:pPr>
              <w:ind w:left="0"/>
              <w:jc w:val="center"/>
              <w:rPr>
                <w:i/>
                <w:sz w:val="18"/>
                <w:szCs w:val="18"/>
              </w:rPr>
            </w:pPr>
            <w:r w:rsidRPr="00E661DF">
              <w:rPr>
                <w:i/>
                <w:sz w:val="18"/>
                <w:szCs w:val="18"/>
              </w:rPr>
              <w:t>52</w:t>
            </w:r>
          </w:p>
        </w:tc>
        <w:tc>
          <w:tcPr>
            <w:tcW w:w="759" w:type="dxa"/>
            <w:vAlign w:val="center"/>
          </w:tcPr>
          <w:p w14:paraId="63C7FB48" w14:textId="77777777" w:rsidR="00E10737" w:rsidRPr="00E661DF" w:rsidRDefault="00E10737" w:rsidP="004179DE">
            <w:pPr>
              <w:ind w:left="0"/>
              <w:jc w:val="center"/>
              <w:rPr>
                <w:i/>
                <w:sz w:val="18"/>
                <w:szCs w:val="18"/>
              </w:rPr>
            </w:pPr>
            <w:r w:rsidRPr="00E661DF">
              <w:rPr>
                <w:i/>
                <w:sz w:val="18"/>
                <w:szCs w:val="18"/>
              </w:rPr>
              <w:t>SBA</w:t>
            </w:r>
          </w:p>
        </w:tc>
        <w:tc>
          <w:tcPr>
            <w:tcW w:w="1186" w:type="dxa"/>
            <w:vAlign w:val="center"/>
          </w:tcPr>
          <w:p w14:paraId="09FFD2D9" w14:textId="77777777" w:rsidR="00E10737" w:rsidRPr="00E661DF" w:rsidRDefault="00E10737" w:rsidP="004179DE">
            <w:pPr>
              <w:ind w:left="0"/>
              <w:jc w:val="center"/>
              <w:rPr>
                <w:i/>
                <w:sz w:val="18"/>
                <w:szCs w:val="18"/>
              </w:rPr>
            </w:pPr>
            <w:r w:rsidRPr="00E661DF">
              <w:rPr>
                <w:i/>
                <w:sz w:val="18"/>
                <w:szCs w:val="18"/>
              </w:rPr>
              <w:t>Ročne</w:t>
            </w:r>
          </w:p>
        </w:tc>
      </w:tr>
    </w:tbl>
    <w:p w14:paraId="192BA64F" w14:textId="77777777" w:rsidR="00E10737" w:rsidRPr="00CF79E0" w:rsidRDefault="00E10737" w:rsidP="00E10737">
      <w:pPr>
        <w:jc w:val="both"/>
        <w:rPr>
          <w:sz w:val="22"/>
          <w:szCs w:val="22"/>
        </w:rPr>
      </w:pPr>
    </w:p>
    <w:p w14:paraId="3A97F22D" w14:textId="77777777" w:rsidR="00E10737" w:rsidRPr="00661E83" w:rsidRDefault="00E10737" w:rsidP="00E10737">
      <w:pPr>
        <w:jc w:val="both"/>
        <w:rPr>
          <w:sz w:val="22"/>
          <w:szCs w:val="22"/>
        </w:rPr>
      </w:pPr>
    </w:p>
    <w:p w14:paraId="72327B24" w14:textId="77777777" w:rsidR="00E10737" w:rsidRPr="00151195" w:rsidRDefault="00E10737" w:rsidP="00E10737">
      <w:pPr>
        <w:pStyle w:val="tl3"/>
        <w:tabs>
          <w:tab w:val="clear" w:pos="709"/>
          <w:tab w:val="clear" w:pos="864"/>
        </w:tabs>
        <w:ind w:left="851" w:hanging="851"/>
      </w:pPr>
      <w:r w:rsidRPr="00151195">
        <w:lastRenderedPageBreak/>
        <w:t>Opis typu a príklady aktivít</w:t>
      </w:r>
    </w:p>
    <w:p w14:paraId="15AB0945" w14:textId="7B0EB6BD" w:rsidR="00E10737" w:rsidRPr="003D0898" w:rsidRDefault="00E10737" w:rsidP="00E10737">
      <w:pPr>
        <w:autoSpaceDE w:val="0"/>
        <w:autoSpaceDN w:val="0"/>
        <w:adjustRightInd w:val="0"/>
        <w:rPr>
          <w:i/>
          <w:sz w:val="22"/>
          <w:szCs w:val="22"/>
        </w:rPr>
      </w:pPr>
      <w:r w:rsidRPr="00CB61C4">
        <w:rPr>
          <w:i/>
          <w:sz w:val="22"/>
          <w:szCs w:val="22"/>
          <w:u w:val="single"/>
        </w:rPr>
        <w:t>Príklady aktivít pre špecifický cieľ 11.1</w:t>
      </w:r>
      <w:r w:rsidRPr="003D0898">
        <w:rPr>
          <w:i/>
          <w:sz w:val="22"/>
          <w:szCs w:val="22"/>
        </w:rPr>
        <w:t>:</w:t>
      </w:r>
    </w:p>
    <w:p w14:paraId="5D8F52D6" w14:textId="77777777" w:rsidR="00E10737" w:rsidRPr="00CE03E2" w:rsidRDefault="00E10737" w:rsidP="00351D17">
      <w:pPr>
        <w:autoSpaceDE w:val="0"/>
        <w:autoSpaceDN w:val="0"/>
        <w:adjustRightInd w:val="0"/>
        <w:spacing w:before="120"/>
        <w:jc w:val="both"/>
        <w:rPr>
          <w:sz w:val="22"/>
          <w:szCs w:val="22"/>
        </w:rPr>
      </w:pPr>
      <w:r w:rsidRPr="00CE03E2">
        <w:rPr>
          <w:sz w:val="22"/>
          <w:szCs w:val="22"/>
        </w:rPr>
        <w:t>Podpora nových a začínajúcich MSP prostredníctvom grantov a finančných nástrojov (úverový program pre podporu nových a začínajúcich MSP, fond rizikového</w:t>
      </w:r>
      <w:r>
        <w:rPr>
          <w:sz w:val="22"/>
          <w:szCs w:val="22"/>
        </w:rPr>
        <w:t xml:space="preserve"> kapitálu pre začínajúce MSP vo </w:t>
      </w:r>
      <w:r w:rsidRPr="00CE03E2">
        <w:rPr>
          <w:sz w:val="22"/>
          <w:szCs w:val="22"/>
        </w:rPr>
        <w:t>fázach seed a start up) zameraná aj na podporu priemyslu a služieb vrátane poznatkovo intenzívnych služieb (KIS) a nových, progresívnych odvetví.</w:t>
      </w:r>
    </w:p>
    <w:p w14:paraId="1CE2D334" w14:textId="5C3E534D" w:rsidR="00E10737" w:rsidRDefault="00E10737" w:rsidP="00CB61C4">
      <w:pPr>
        <w:autoSpaceDE w:val="0"/>
        <w:autoSpaceDN w:val="0"/>
        <w:adjustRightInd w:val="0"/>
        <w:spacing w:before="120"/>
        <w:jc w:val="both"/>
        <w:rPr>
          <w:sz w:val="22"/>
          <w:szCs w:val="22"/>
        </w:rPr>
      </w:pPr>
      <w:r w:rsidRPr="00CE03E2">
        <w:rPr>
          <w:sz w:val="22"/>
          <w:szCs w:val="22"/>
        </w:rPr>
        <w:t>Na základe úspešne realizovaných opatrení v predchádzajúcom období (mikropôžičkové programy SBA a SZRB) ukazuje sa potreba podpory začínajúcich podnikov, ktoré predstavujú medzeru na trhu komerčného financovania, prostredníctvom špecifických finančných nástrojov. Aktivita je navrhnutá na riešenie problému obmedzeného prístupu k financovaniu spôsobujúceho ohrozenie životaschopnosti nových a začínajúcich MSP. Aktivita zároveň vytvára predpoklady pre udržateľné fungovanie MSP. Finančné nástroje predstavujú vhodné doplnenie portfólia iných opatrení (podpora sieťovania neformálnych investorov, nefinančná podpora prostredníctvom činnosti podnikateľských centier, poskytovanie poradenských služieb a pod.). Finančn</w:t>
      </w:r>
      <w:r>
        <w:rPr>
          <w:sz w:val="22"/>
          <w:szCs w:val="22"/>
        </w:rPr>
        <w:t>é schémy môžu byť kombinované s </w:t>
      </w:r>
      <w:r w:rsidRPr="00CE03E2">
        <w:rPr>
          <w:sz w:val="22"/>
          <w:szCs w:val="22"/>
        </w:rPr>
        <w:t>grantovou zložkou (viazanou na splnenie určitých podmienok). Vytvorí sa tak možnosť podpory aj pre MSP bez podnikateľskej histórie, ktorí predstavujú najväčšie riziko z hľadiska komerčného sektora a preto sa v tomto prípade prejavuje najväčšie trhové zlyhanie. Charakteristickým znakom týchto finančných nástrojov je skĺbenie finančnej pomoci (úveru, kapitálového vstupu) a dlhodobého poradenstva. Navrhované nástroje majú za cieľ podporiť rozvoj podnikania aj v rámci sociálnych inovácií, t. j. podpory znevýhodnených sociálnych skupín (ženy, ml</w:t>
      </w:r>
      <w:r>
        <w:rPr>
          <w:sz w:val="22"/>
          <w:szCs w:val="22"/>
        </w:rPr>
        <w:t>adí do 25 rokov, seniori nad 50 </w:t>
      </w:r>
      <w:r w:rsidRPr="00CE03E2">
        <w:rPr>
          <w:sz w:val="22"/>
          <w:szCs w:val="22"/>
        </w:rPr>
        <w:t>rokov, dlhodobo nezamestnaní, štátni príslušníci z tretích krajín, sociálne znevýho</w:t>
      </w:r>
      <w:r>
        <w:rPr>
          <w:sz w:val="22"/>
          <w:szCs w:val="22"/>
        </w:rPr>
        <w:t>dnení a osoby so </w:t>
      </w:r>
      <w:r w:rsidRPr="00CE03E2">
        <w:rPr>
          <w:sz w:val="22"/>
          <w:szCs w:val="22"/>
        </w:rPr>
        <w:t>zdravotným postihnutím, Rómovia) a podpory podnikateľských subjektov pôsobiacich</w:t>
      </w:r>
      <w:r w:rsidR="00CB61C4">
        <w:rPr>
          <w:sz w:val="22"/>
          <w:szCs w:val="22"/>
        </w:rPr>
        <w:t xml:space="preserve"> v oblasti sociálnej ekonomiky.</w:t>
      </w:r>
      <w:r w:rsidR="00D3601B">
        <w:rPr>
          <w:sz w:val="22"/>
          <w:szCs w:val="22"/>
        </w:rPr>
        <w:t xml:space="preserve"> </w:t>
      </w:r>
      <w:r w:rsidR="00D3601B" w:rsidRPr="00D3601B">
        <w:rPr>
          <w:sz w:val="22"/>
          <w:szCs w:val="22"/>
        </w:rPr>
        <w:t>Popri návratných formách je súčasťou aktivity aj realizácia podpory MSP vo forme nenávratných finančných príspevkov, ktorá bude zameraná na podporu rastu a inovácií vrátane podpory priorít špecifikovaných v iniciatívach Európskej komisie zameraných na dobiehajúce regióny a uhoľné regióny v transformácii.</w:t>
      </w:r>
    </w:p>
    <w:p w14:paraId="44CD2A3D" w14:textId="77777777" w:rsidR="00E10737" w:rsidRPr="00B31B1C" w:rsidRDefault="00E10737" w:rsidP="00CB61C4">
      <w:pPr>
        <w:autoSpaceDE w:val="0"/>
        <w:autoSpaceDN w:val="0"/>
        <w:adjustRightInd w:val="0"/>
        <w:spacing w:before="120"/>
        <w:jc w:val="both"/>
        <w:rPr>
          <w:sz w:val="22"/>
          <w:szCs w:val="22"/>
        </w:rPr>
      </w:pPr>
      <w:r w:rsidRPr="00B31B1C">
        <w:rPr>
          <w:sz w:val="22"/>
          <w:szCs w:val="22"/>
        </w:rPr>
        <w:t>Cieľom aktivity je:</w:t>
      </w:r>
    </w:p>
    <w:p w14:paraId="0DDA306B" w14:textId="77777777" w:rsidR="00E10737" w:rsidRPr="00B31B1C" w:rsidRDefault="00E10737" w:rsidP="00E10737">
      <w:pPr>
        <w:pStyle w:val="Odsekzoznamu"/>
        <w:numPr>
          <w:ilvl w:val="0"/>
          <w:numId w:val="162"/>
        </w:numPr>
        <w:jc w:val="both"/>
        <w:rPr>
          <w:sz w:val="22"/>
          <w:szCs w:val="22"/>
        </w:rPr>
      </w:pPr>
      <w:r w:rsidRPr="00B31B1C">
        <w:rPr>
          <w:sz w:val="22"/>
          <w:szCs w:val="22"/>
        </w:rPr>
        <w:t>zlepšiť prístup k financiám pre nových a začínajúcich MSP,</w:t>
      </w:r>
    </w:p>
    <w:p w14:paraId="06802C93" w14:textId="77777777" w:rsidR="00E10737" w:rsidRPr="00B31B1C" w:rsidRDefault="00E10737" w:rsidP="00E10737">
      <w:pPr>
        <w:pStyle w:val="Odsekzoznamu"/>
        <w:numPr>
          <w:ilvl w:val="0"/>
          <w:numId w:val="162"/>
        </w:numPr>
        <w:jc w:val="both"/>
        <w:rPr>
          <w:sz w:val="22"/>
          <w:szCs w:val="22"/>
        </w:rPr>
      </w:pPr>
      <w:r w:rsidRPr="00B31B1C">
        <w:rPr>
          <w:sz w:val="22"/>
          <w:szCs w:val="22"/>
        </w:rPr>
        <w:t>pomoc a podpora pri začatí a rozvíjaní podnikania,</w:t>
      </w:r>
    </w:p>
    <w:p w14:paraId="7E3AC39D" w14:textId="77777777" w:rsidR="00E10737" w:rsidRPr="00B31B1C" w:rsidRDefault="00E10737" w:rsidP="00E10737">
      <w:pPr>
        <w:pStyle w:val="Odsekzoznamu"/>
        <w:numPr>
          <w:ilvl w:val="0"/>
          <w:numId w:val="162"/>
        </w:numPr>
        <w:jc w:val="both"/>
        <w:rPr>
          <w:sz w:val="22"/>
          <w:szCs w:val="22"/>
        </w:rPr>
      </w:pPr>
      <w:r w:rsidRPr="00B31B1C">
        <w:rPr>
          <w:sz w:val="22"/>
          <w:szCs w:val="22"/>
        </w:rPr>
        <w:t>aplikácia inovatívnych systémov, metód a nástrojov do biznisu,</w:t>
      </w:r>
    </w:p>
    <w:p w14:paraId="2F6F516D" w14:textId="77777777" w:rsidR="00E10737" w:rsidRPr="00B31B1C" w:rsidRDefault="00E10737" w:rsidP="00E10737">
      <w:pPr>
        <w:pStyle w:val="Odsekzoznamu"/>
        <w:numPr>
          <w:ilvl w:val="0"/>
          <w:numId w:val="162"/>
        </w:numPr>
        <w:jc w:val="both"/>
        <w:rPr>
          <w:sz w:val="22"/>
          <w:szCs w:val="22"/>
        </w:rPr>
      </w:pPr>
      <w:r w:rsidRPr="00B31B1C">
        <w:rPr>
          <w:sz w:val="22"/>
          <w:szCs w:val="22"/>
        </w:rPr>
        <w:t>podpora pri prenose osobných skúseností a odborných znalostí pri štarte podnikania,</w:t>
      </w:r>
    </w:p>
    <w:p w14:paraId="5C9391F2" w14:textId="77777777" w:rsidR="00E10737" w:rsidRDefault="00E10737" w:rsidP="00E10737">
      <w:pPr>
        <w:pStyle w:val="Odsekzoznamu"/>
        <w:numPr>
          <w:ilvl w:val="0"/>
          <w:numId w:val="162"/>
        </w:numPr>
        <w:jc w:val="both"/>
        <w:rPr>
          <w:sz w:val="22"/>
          <w:szCs w:val="22"/>
        </w:rPr>
      </w:pPr>
      <w:r w:rsidRPr="00B31B1C">
        <w:rPr>
          <w:sz w:val="22"/>
          <w:szCs w:val="22"/>
        </w:rPr>
        <w:t>sprístupnenie finančných prostriedkov MSP formou úve</w:t>
      </w:r>
      <w:r>
        <w:rPr>
          <w:sz w:val="22"/>
          <w:szCs w:val="22"/>
        </w:rPr>
        <w:t>rov za zvýhodnených podmienok s </w:t>
      </w:r>
      <w:r w:rsidRPr="00B31B1C">
        <w:rPr>
          <w:sz w:val="22"/>
          <w:szCs w:val="22"/>
        </w:rPr>
        <w:t>minimálnym deformatívnym dopadom na trh.</w:t>
      </w:r>
    </w:p>
    <w:p w14:paraId="2452D878" w14:textId="77777777" w:rsidR="00E10737" w:rsidRPr="00DF77C5" w:rsidRDefault="00E10737" w:rsidP="00E10737">
      <w:pPr>
        <w:autoSpaceDE w:val="0"/>
        <w:autoSpaceDN w:val="0"/>
        <w:adjustRightInd w:val="0"/>
        <w:jc w:val="both"/>
        <w:rPr>
          <w:sz w:val="22"/>
          <w:szCs w:val="22"/>
        </w:rPr>
      </w:pPr>
    </w:p>
    <w:p w14:paraId="1947281F" w14:textId="77777777" w:rsidR="00E10737" w:rsidRDefault="00E10737" w:rsidP="00E10737">
      <w:pPr>
        <w:jc w:val="both"/>
        <w:rPr>
          <w:szCs w:val="22"/>
        </w:rPr>
      </w:pPr>
      <w:r w:rsidRPr="00B31B1C">
        <w:rPr>
          <w:sz w:val="22"/>
          <w:szCs w:val="22"/>
        </w:rPr>
        <w:t>Aktivita bude realizovaná formou schém pomoci a finančných nástrojov</w:t>
      </w:r>
      <w:r>
        <w:rPr>
          <w:rStyle w:val="Odkaznapoznmkupodiarou"/>
          <w:sz w:val="22"/>
          <w:szCs w:val="22"/>
        </w:rPr>
        <w:footnoteReference w:id="93"/>
      </w:r>
      <w:r w:rsidRPr="00B31B1C">
        <w:rPr>
          <w:sz w:val="22"/>
          <w:szCs w:val="22"/>
        </w:rPr>
        <w:t>.</w:t>
      </w:r>
    </w:p>
    <w:p w14:paraId="59DAED66" w14:textId="77777777" w:rsidR="00E10737" w:rsidRDefault="00E10737" w:rsidP="00E10737">
      <w:pPr>
        <w:jc w:val="both"/>
        <w:rPr>
          <w:sz w:val="22"/>
          <w:szCs w:val="22"/>
        </w:rPr>
      </w:pPr>
    </w:p>
    <w:p w14:paraId="3ED24E7A" w14:textId="5E0E942D" w:rsidR="00E10737" w:rsidRPr="00B31B1C" w:rsidRDefault="00E10737" w:rsidP="00E10737">
      <w:pPr>
        <w:jc w:val="both"/>
        <w:rPr>
          <w:sz w:val="22"/>
          <w:szCs w:val="22"/>
        </w:rPr>
      </w:pPr>
      <w:r w:rsidRPr="00B31B1C">
        <w:rPr>
          <w:sz w:val="22"/>
          <w:szCs w:val="22"/>
        </w:rPr>
        <w:t xml:space="preserve">Podpora </w:t>
      </w:r>
      <w:r w:rsidR="00D3601B">
        <w:rPr>
          <w:sz w:val="22"/>
          <w:szCs w:val="22"/>
        </w:rPr>
        <w:t xml:space="preserve">startupov a </w:t>
      </w:r>
      <w:r w:rsidRPr="00B31B1C">
        <w:rPr>
          <w:sz w:val="22"/>
          <w:szCs w:val="22"/>
        </w:rPr>
        <w:t>sieťovania neformálnych investorov pri financovaní úvodných fáz podnikateľského cyklu.</w:t>
      </w:r>
    </w:p>
    <w:p w14:paraId="251971CB" w14:textId="77777777" w:rsidR="00E10737" w:rsidRDefault="00E10737" w:rsidP="00E10737">
      <w:pPr>
        <w:jc w:val="both"/>
        <w:rPr>
          <w:szCs w:val="22"/>
        </w:rPr>
      </w:pPr>
    </w:p>
    <w:p w14:paraId="5C2F398F" w14:textId="0A9DBA86" w:rsidR="00E10737" w:rsidRDefault="00E10737" w:rsidP="00E10737">
      <w:pPr>
        <w:jc w:val="both"/>
        <w:rPr>
          <w:szCs w:val="22"/>
        </w:rPr>
      </w:pPr>
      <w:r w:rsidRPr="00B31B1C">
        <w:rPr>
          <w:sz w:val="22"/>
          <w:szCs w:val="22"/>
        </w:rPr>
        <w:t>V úvodných štádiách podnikateľskej činnosti sa podnikateľ nachádza v tzv. „údolí smrti“ (death valley) kedy je riziko úspechu/neúspechu podnikateľského zámeru tak vysoké, že tento nedokáže získať finančné zdroje komerčných bánk ani inštitucionalizovaných in</w:t>
      </w:r>
      <w:r w:rsidR="00774B1F">
        <w:rPr>
          <w:sz w:val="22"/>
          <w:szCs w:val="22"/>
        </w:rPr>
        <w:t>vestorov rizikového kapitálu. V </w:t>
      </w:r>
      <w:r w:rsidRPr="00B31B1C">
        <w:rPr>
          <w:sz w:val="22"/>
          <w:szCs w:val="22"/>
        </w:rPr>
        <w:t>týchto situáciách je financovanie zabezpečované pros</w:t>
      </w:r>
      <w:r w:rsidR="00774B1F">
        <w:rPr>
          <w:sz w:val="22"/>
          <w:szCs w:val="22"/>
        </w:rPr>
        <w:t>tredníctvom </w:t>
      </w:r>
      <w:r w:rsidR="00D3601B" w:rsidRPr="00D3601B">
        <w:rPr>
          <w:sz w:val="22"/>
          <w:szCs w:val="22"/>
        </w:rPr>
        <w:t xml:space="preserve">grantovej podpory a </w:t>
      </w:r>
      <w:r w:rsidRPr="00B31B1C">
        <w:rPr>
          <w:sz w:val="22"/>
          <w:szCs w:val="22"/>
        </w:rPr>
        <w:t>neformálnych investorov – crowdfundingu alebo podnikateľských a</w:t>
      </w:r>
      <w:r w:rsidR="00774B1F">
        <w:rPr>
          <w:sz w:val="22"/>
          <w:szCs w:val="22"/>
        </w:rPr>
        <w:t>njelov. Podnikateľskí anjeli sú </w:t>
      </w:r>
      <w:r w:rsidRPr="00B31B1C">
        <w:rPr>
          <w:sz w:val="22"/>
          <w:szCs w:val="22"/>
        </w:rPr>
        <w:t>individuálni investori využívajúci vlastný kapitál na financovanie MSP s výrazným rastovým potenciálom. Vypĺňajú medzeru medzi financovaním podnikania z vlas</w:t>
      </w:r>
      <w:r w:rsidR="00774B1F">
        <w:rPr>
          <w:sz w:val="22"/>
          <w:szCs w:val="22"/>
        </w:rPr>
        <w:t>tných zdrojov, resp. zdrojov od </w:t>
      </w:r>
      <w:r w:rsidRPr="00B31B1C">
        <w:rPr>
          <w:sz w:val="22"/>
          <w:szCs w:val="22"/>
        </w:rPr>
        <w:t>rodinných príslušníkov a financovaním prostredníctvom formálnych aktérov (fondov rizikového k</w:t>
      </w:r>
      <w:r w:rsidR="00CB61C4">
        <w:rPr>
          <w:sz w:val="22"/>
          <w:szCs w:val="22"/>
        </w:rPr>
        <w:t>apitálu alebo bánk). Pri </w:t>
      </w:r>
      <w:r w:rsidRPr="00B31B1C">
        <w:rPr>
          <w:sz w:val="22"/>
          <w:szCs w:val="22"/>
        </w:rPr>
        <w:t>prevádzkovaní sietí tohto typu zohráva verejný sektor nezastupiteľnú funkciu, pretože takéto entity sú takmer vždy závislé od podpory z verejných zdrojov, resp. od inej</w:t>
      </w:r>
      <w:r w:rsidR="00CB61C4">
        <w:rPr>
          <w:sz w:val="22"/>
          <w:szCs w:val="22"/>
        </w:rPr>
        <w:t xml:space="preserve"> formy sponzoringu. Aktivita je </w:t>
      </w:r>
      <w:r w:rsidRPr="00B31B1C">
        <w:rPr>
          <w:sz w:val="22"/>
          <w:szCs w:val="22"/>
        </w:rPr>
        <w:t xml:space="preserve">navrhnutá na základe úspešného projektu pilotného sieťovania podnikateľských anjelov pod názvom Klub podnikateľských anjelov Slovenska, ktorý realizovala SBA </w:t>
      </w:r>
      <w:r w:rsidRPr="00B31B1C">
        <w:rPr>
          <w:sz w:val="22"/>
          <w:szCs w:val="22"/>
        </w:rPr>
        <w:lastRenderedPageBreak/>
        <w:t>v spolupráci so</w:t>
      </w:r>
      <w:r>
        <w:rPr>
          <w:sz w:val="22"/>
          <w:szCs w:val="22"/>
        </w:rPr>
        <w:t> </w:t>
      </w:r>
      <w:r w:rsidRPr="00B31B1C">
        <w:rPr>
          <w:sz w:val="22"/>
          <w:szCs w:val="22"/>
        </w:rPr>
        <w:t>Združením mladých podnikateľov Slovenska v r.</w:t>
      </w:r>
      <w:r w:rsidR="00CB61C4">
        <w:rPr>
          <w:sz w:val="22"/>
          <w:szCs w:val="22"/>
        </w:rPr>
        <w:t xml:space="preserve"> </w:t>
      </w:r>
      <w:r w:rsidRPr="00B31B1C">
        <w:rPr>
          <w:sz w:val="22"/>
          <w:szCs w:val="22"/>
        </w:rPr>
        <w:t>2011 – 2012. Siete podnikateľs</w:t>
      </w:r>
      <w:r w:rsidR="00CB61C4">
        <w:rPr>
          <w:sz w:val="22"/>
          <w:szCs w:val="22"/>
        </w:rPr>
        <w:t>kých anjelov úspešne fungujú vo </w:t>
      </w:r>
      <w:r w:rsidRPr="00B31B1C">
        <w:rPr>
          <w:sz w:val="22"/>
          <w:szCs w:val="22"/>
        </w:rPr>
        <w:t>viacerých krajinách EÚ (napr. Nemecko), kde s</w:t>
      </w:r>
      <w:r w:rsidR="00774B1F">
        <w:rPr>
          <w:sz w:val="22"/>
          <w:szCs w:val="22"/>
        </w:rPr>
        <w:t>a podieľajú na </w:t>
      </w:r>
      <w:r>
        <w:rPr>
          <w:sz w:val="22"/>
          <w:szCs w:val="22"/>
        </w:rPr>
        <w:t>identifikovaní a </w:t>
      </w:r>
      <w:r w:rsidRPr="00B31B1C">
        <w:rPr>
          <w:sz w:val="22"/>
          <w:szCs w:val="22"/>
        </w:rPr>
        <w:t>podpore začínajúcich inovatívnych MSP v prvých fázach ich rastu.</w:t>
      </w:r>
    </w:p>
    <w:p w14:paraId="1AC0015D" w14:textId="77777777" w:rsidR="00E10737" w:rsidRDefault="00E10737" w:rsidP="00E10737">
      <w:pPr>
        <w:jc w:val="both"/>
        <w:rPr>
          <w:sz w:val="22"/>
          <w:szCs w:val="22"/>
        </w:rPr>
      </w:pPr>
    </w:p>
    <w:p w14:paraId="5300FB2A" w14:textId="77777777" w:rsidR="00E10737" w:rsidRPr="00B31B1C" w:rsidRDefault="00E10737" w:rsidP="00E10737">
      <w:pPr>
        <w:jc w:val="both"/>
        <w:rPr>
          <w:sz w:val="22"/>
          <w:szCs w:val="22"/>
        </w:rPr>
      </w:pPr>
      <w:r w:rsidRPr="00B31B1C">
        <w:rPr>
          <w:sz w:val="22"/>
          <w:szCs w:val="22"/>
        </w:rPr>
        <w:t>Cieľom aktivity je:</w:t>
      </w:r>
    </w:p>
    <w:p w14:paraId="67B064CE" w14:textId="77777777" w:rsidR="00E10737" w:rsidRPr="00B31B1C" w:rsidRDefault="00E10737" w:rsidP="00E10737">
      <w:pPr>
        <w:pStyle w:val="Odsekzoznamu"/>
        <w:numPr>
          <w:ilvl w:val="0"/>
          <w:numId w:val="162"/>
        </w:numPr>
        <w:jc w:val="both"/>
        <w:rPr>
          <w:sz w:val="22"/>
          <w:szCs w:val="22"/>
        </w:rPr>
      </w:pPr>
      <w:r w:rsidRPr="00B31B1C">
        <w:rPr>
          <w:sz w:val="22"/>
          <w:szCs w:val="22"/>
        </w:rPr>
        <w:t>podporiť rozvoj trhu rizikového financovania v SR,</w:t>
      </w:r>
    </w:p>
    <w:p w14:paraId="751817E9" w14:textId="77777777" w:rsidR="00E10737" w:rsidRPr="00B31B1C" w:rsidRDefault="00E10737" w:rsidP="00E10737">
      <w:pPr>
        <w:pStyle w:val="Odsekzoznamu"/>
        <w:numPr>
          <w:ilvl w:val="0"/>
          <w:numId w:val="162"/>
        </w:numPr>
        <w:jc w:val="both"/>
        <w:rPr>
          <w:sz w:val="22"/>
          <w:szCs w:val="22"/>
        </w:rPr>
      </w:pPr>
      <w:r w:rsidRPr="00B31B1C">
        <w:rPr>
          <w:sz w:val="22"/>
          <w:szCs w:val="22"/>
        </w:rPr>
        <w:t>podporiť motiváciu individuálnych investorov na investovanie do začínajúcich podnikov,</w:t>
      </w:r>
    </w:p>
    <w:p w14:paraId="7A67454D" w14:textId="4AFCD5D8" w:rsidR="00E10737" w:rsidRDefault="00E10737" w:rsidP="002B40B4">
      <w:pPr>
        <w:pStyle w:val="Odsekzoznamu"/>
        <w:numPr>
          <w:ilvl w:val="0"/>
          <w:numId w:val="162"/>
        </w:numPr>
        <w:jc w:val="both"/>
        <w:rPr>
          <w:sz w:val="22"/>
          <w:szCs w:val="22"/>
        </w:rPr>
      </w:pPr>
      <w:r w:rsidRPr="00B31B1C">
        <w:rPr>
          <w:sz w:val="22"/>
          <w:szCs w:val="22"/>
        </w:rPr>
        <w:t>stimulovať záujem začínajúcich podnikov o túto formu financovania,</w:t>
      </w:r>
    </w:p>
    <w:p w14:paraId="60095356" w14:textId="60CEEDF8" w:rsidR="00D3601B" w:rsidRPr="002B40B4" w:rsidRDefault="00D3601B" w:rsidP="002B40B4">
      <w:pPr>
        <w:pStyle w:val="Odsekzoznamu"/>
        <w:numPr>
          <w:ilvl w:val="0"/>
          <w:numId w:val="162"/>
        </w:numPr>
        <w:jc w:val="both"/>
        <w:rPr>
          <w:sz w:val="22"/>
          <w:szCs w:val="22"/>
        </w:rPr>
      </w:pPr>
      <w:r>
        <w:rPr>
          <w:sz w:val="22"/>
          <w:szCs w:val="22"/>
        </w:rPr>
        <w:t>podporiť vznik startupov,</w:t>
      </w:r>
    </w:p>
    <w:p w14:paraId="66DAA164" w14:textId="77777777" w:rsidR="00E10737" w:rsidRPr="00B31B1C" w:rsidRDefault="00E10737" w:rsidP="00E10737">
      <w:pPr>
        <w:pStyle w:val="Odsekzoznamu"/>
        <w:numPr>
          <w:ilvl w:val="0"/>
          <w:numId w:val="162"/>
        </w:numPr>
        <w:jc w:val="both"/>
        <w:rPr>
          <w:sz w:val="22"/>
          <w:szCs w:val="22"/>
        </w:rPr>
      </w:pPr>
      <w:r w:rsidRPr="00B31B1C">
        <w:rPr>
          <w:sz w:val="22"/>
          <w:szCs w:val="22"/>
        </w:rPr>
        <w:t>vytvoriť siete združujúce neformálnych investorov za úče</w:t>
      </w:r>
      <w:r>
        <w:rPr>
          <w:sz w:val="22"/>
          <w:szCs w:val="22"/>
        </w:rPr>
        <w:t>lom financovania začínajúcich a </w:t>
      </w:r>
      <w:r w:rsidRPr="00B31B1C">
        <w:rPr>
          <w:sz w:val="22"/>
          <w:szCs w:val="22"/>
        </w:rPr>
        <w:t>nových MSP,</w:t>
      </w:r>
    </w:p>
    <w:p w14:paraId="6C6E746F" w14:textId="77777777" w:rsidR="00E10737" w:rsidRDefault="00E10737" w:rsidP="00E10737">
      <w:pPr>
        <w:pStyle w:val="Odsekzoznamu"/>
        <w:numPr>
          <w:ilvl w:val="0"/>
          <w:numId w:val="162"/>
        </w:numPr>
        <w:jc w:val="both"/>
        <w:rPr>
          <w:sz w:val="22"/>
          <w:szCs w:val="22"/>
        </w:rPr>
      </w:pPr>
      <w:r w:rsidRPr="00B31B1C">
        <w:rPr>
          <w:sz w:val="22"/>
          <w:szCs w:val="22"/>
        </w:rPr>
        <w:t xml:space="preserve">zabezpečenie podporných činností potrebných k vzniku a fungovaniu trhu s neformálnym rizikovým kapitálom. </w:t>
      </w:r>
    </w:p>
    <w:p w14:paraId="6475B0DF" w14:textId="77777777" w:rsidR="00E10737" w:rsidRDefault="00E10737" w:rsidP="00E10737">
      <w:pPr>
        <w:jc w:val="both"/>
        <w:rPr>
          <w:sz w:val="22"/>
          <w:szCs w:val="22"/>
        </w:rPr>
      </w:pPr>
    </w:p>
    <w:p w14:paraId="120F403E" w14:textId="77777777" w:rsidR="00E10737" w:rsidRPr="00CF79E0" w:rsidRDefault="00E10737" w:rsidP="00E10737">
      <w:pPr>
        <w:jc w:val="both"/>
        <w:rPr>
          <w:sz w:val="22"/>
          <w:szCs w:val="22"/>
        </w:rPr>
      </w:pPr>
      <w:r w:rsidRPr="00CF79E0">
        <w:rPr>
          <w:sz w:val="22"/>
          <w:szCs w:val="22"/>
        </w:rPr>
        <w:t>Aktivita bude realizovaná formou schémy pomoci.</w:t>
      </w:r>
    </w:p>
    <w:p w14:paraId="6E204D35" w14:textId="77777777" w:rsidR="00E10737" w:rsidRDefault="00E10737" w:rsidP="00E10737">
      <w:pPr>
        <w:jc w:val="both"/>
        <w:rPr>
          <w:sz w:val="22"/>
          <w:szCs w:val="22"/>
        </w:rPr>
      </w:pPr>
    </w:p>
    <w:p w14:paraId="683EDD6B" w14:textId="06D4E004" w:rsidR="00E10737" w:rsidRPr="00B31B1C" w:rsidRDefault="00E10737" w:rsidP="00351D17">
      <w:pPr>
        <w:spacing w:after="120"/>
        <w:jc w:val="both"/>
        <w:rPr>
          <w:sz w:val="22"/>
          <w:szCs w:val="22"/>
        </w:rPr>
      </w:pPr>
      <w:r w:rsidRPr="00B31B1C">
        <w:rPr>
          <w:sz w:val="22"/>
          <w:szCs w:val="22"/>
        </w:rPr>
        <w:t xml:space="preserve">Podpora činnosti a rozvoj podnikateľských centier v regiónoch SR – typ one-stop-shop) s cieľom etablovania inštitúcií pre MSP, ako aj záujemcov o podnikanie s využitím existujúcej </w:t>
      </w:r>
      <w:r w:rsidR="00704FB6">
        <w:rPr>
          <w:sz w:val="22"/>
          <w:szCs w:val="22"/>
        </w:rPr>
        <w:t>infraštruktúry. </w:t>
      </w:r>
      <w:r w:rsidRPr="00B31B1C">
        <w:rPr>
          <w:sz w:val="22"/>
          <w:szCs w:val="22"/>
        </w:rPr>
        <w:t>V</w:t>
      </w:r>
      <w:r w:rsidR="00704FB6">
        <w:rPr>
          <w:sz w:val="22"/>
          <w:szCs w:val="22"/>
        </w:rPr>
        <w:t> </w:t>
      </w:r>
      <w:r w:rsidRPr="00B31B1C">
        <w:rPr>
          <w:sz w:val="22"/>
          <w:szCs w:val="22"/>
        </w:rPr>
        <w:t>predchádzajúcom období nebola realizovaná systematická podpora začínajúcich podnikov, systém podpory bol fragmentovaný a nekoordinovaný. Cieľom aktivity je vytvoriť sieť 7 podnikateľských centier v regiónoch SR. Pôjde o komplexné centrá typu one-</w:t>
      </w:r>
      <w:r>
        <w:rPr>
          <w:sz w:val="22"/>
          <w:szCs w:val="22"/>
        </w:rPr>
        <w:t>stop-shop, v ktorých záujemca o </w:t>
      </w:r>
      <w:r w:rsidRPr="00B31B1C">
        <w:rPr>
          <w:sz w:val="22"/>
          <w:szCs w:val="22"/>
        </w:rPr>
        <w:t>podnikanie (vrátane znevýhodnených sociálnych skupín), alebo už založený MSP</w:t>
      </w:r>
      <w:r>
        <w:rPr>
          <w:sz w:val="22"/>
          <w:szCs w:val="22"/>
        </w:rPr>
        <w:t xml:space="preserve"> </w:t>
      </w:r>
      <w:r w:rsidRPr="00B31B1C">
        <w:rPr>
          <w:sz w:val="22"/>
          <w:szCs w:val="22"/>
        </w:rPr>
        <w:t xml:space="preserve">získa informácie, rady, podporu, priestor na vlastný rast, či kooperáciu, možnosť financovania a pod. Služby centier budú rozdelené do niekoľkých základných foriem, napr. služby akcelerátora, služby inkubátora, služby co-workingu a pod., vrátane existujúcich podporných nástrojov, ktoré v súčasnosti realizuje SBA. Podnikateľské centrá v regiónoch SR budú vytvorené podľa vzoru Národného podnikateľského centra (ďalej len „NPC“) v Bratislave. NPC v Bratislave s pôsobnosťou </w:t>
      </w:r>
      <w:r>
        <w:rPr>
          <w:sz w:val="22"/>
          <w:szCs w:val="22"/>
        </w:rPr>
        <w:t>pre BSK sa bude implementovať v </w:t>
      </w:r>
      <w:r w:rsidRPr="00B31B1C">
        <w:rPr>
          <w:sz w:val="22"/>
          <w:szCs w:val="22"/>
        </w:rPr>
        <w:t xml:space="preserve">rámci prioritnej osi </w:t>
      </w:r>
      <w:r w:rsidR="00EB6AF6">
        <w:rPr>
          <w:sz w:val="22"/>
          <w:szCs w:val="22"/>
        </w:rPr>
        <w:t>12</w:t>
      </w:r>
      <w:r w:rsidRPr="00B31B1C">
        <w:rPr>
          <w:sz w:val="22"/>
          <w:szCs w:val="22"/>
        </w:rPr>
        <w:t xml:space="preserve"> OP</w:t>
      </w:r>
      <w:r w:rsidR="00EB6AF6">
        <w:rPr>
          <w:sz w:val="22"/>
          <w:szCs w:val="22"/>
        </w:rPr>
        <w:t>I</w:t>
      </w:r>
      <w:r w:rsidRPr="00B31B1C">
        <w:rPr>
          <w:sz w:val="22"/>
          <w:szCs w:val="22"/>
        </w:rPr>
        <w:t>I ako vzorový, resp. pilotný pro</w:t>
      </w:r>
      <w:r>
        <w:rPr>
          <w:sz w:val="22"/>
          <w:szCs w:val="22"/>
        </w:rPr>
        <w:t>jekt budúcej siete alokovanej v </w:t>
      </w:r>
      <w:r w:rsidRPr="00B31B1C">
        <w:rPr>
          <w:sz w:val="22"/>
          <w:szCs w:val="22"/>
        </w:rPr>
        <w:t>regiónoch SR. Pilotná fáza NPC Bratislava je spoločne realizova</w:t>
      </w:r>
      <w:r w:rsidR="00704FB6">
        <w:rPr>
          <w:sz w:val="22"/>
          <w:szCs w:val="22"/>
        </w:rPr>
        <w:t>ná partnermi SBA a </w:t>
      </w:r>
      <w:r>
        <w:rPr>
          <w:sz w:val="22"/>
          <w:szCs w:val="22"/>
        </w:rPr>
        <w:t>CVTI SR už v </w:t>
      </w:r>
      <w:r w:rsidRPr="00B31B1C">
        <w:rPr>
          <w:sz w:val="22"/>
          <w:szCs w:val="22"/>
        </w:rPr>
        <w:t>programovom období 2007 – 2013 s plným nábehom služieb v rámci programového obdobia 2014 – 2020. S využitím skúseností NPC v Bratislave budú v spolupráci SBA a CVTI SR následne iniciované podnikateľské centrá v ostatných regiónoch SR. Regionálne centrá budú identifikované na základe mapovania prostredia a regionálnych aktérov za účelom definovania vhodného modelu pre každý región. Zámerom nie je budovanie novej infraštruktúry, ale vytváranie centier s využitím existujúcej infraštruktúry a so zapojením rôznych par</w:t>
      </w:r>
      <w:r w:rsidR="00704FB6">
        <w:rPr>
          <w:sz w:val="22"/>
          <w:szCs w:val="22"/>
        </w:rPr>
        <w:t>tnerov, ako napr. regionálnej a </w:t>
      </w:r>
      <w:r w:rsidRPr="00B31B1C">
        <w:rPr>
          <w:sz w:val="22"/>
          <w:szCs w:val="22"/>
        </w:rPr>
        <w:t>miestnej samosprávy, akademickej obce, VaV kapacít, podnikateľských organizácii a pod. Primárnymi aktivitami, ktoré bude poskytovať štruktúra podnikateľských centier sú:</w:t>
      </w:r>
    </w:p>
    <w:p w14:paraId="4EC132C1" w14:textId="77777777" w:rsidR="00E10737" w:rsidRPr="00B31B1C" w:rsidRDefault="00E10737" w:rsidP="00E10737">
      <w:pPr>
        <w:pStyle w:val="Odsekzoznamu"/>
        <w:numPr>
          <w:ilvl w:val="0"/>
          <w:numId w:val="162"/>
        </w:numPr>
        <w:jc w:val="both"/>
        <w:rPr>
          <w:sz w:val="22"/>
          <w:szCs w:val="22"/>
        </w:rPr>
      </w:pPr>
      <w:r w:rsidRPr="00B31B1C">
        <w:rPr>
          <w:sz w:val="22"/>
          <w:szCs w:val="22"/>
        </w:rPr>
        <w:t>vytváranie infraštruktúry pre podporu začínajúcich podnikov (kancelárske a prevádzkové priestory, technologické zariadenia),</w:t>
      </w:r>
    </w:p>
    <w:p w14:paraId="64C4EAA1" w14:textId="77777777" w:rsidR="00E10737" w:rsidRPr="00B31B1C" w:rsidRDefault="00E10737" w:rsidP="00E10737">
      <w:pPr>
        <w:pStyle w:val="Odsekzoznamu"/>
        <w:numPr>
          <w:ilvl w:val="0"/>
          <w:numId w:val="162"/>
        </w:numPr>
        <w:jc w:val="both"/>
        <w:rPr>
          <w:sz w:val="22"/>
          <w:szCs w:val="22"/>
        </w:rPr>
      </w:pPr>
      <w:r w:rsidRPr="00B31B1C">
        <w:rPr>
          <w:sz w:val="22"/>
          <w:szCs w:val="22"/>
        </w:rPr>
        <w:t>individuálne podnikateľské poradenstvo,</w:t>
      </w:r>
    </w:p>
    <w:p w14:paraId="716A1E7E" w14:textId="77777777" w:rsidR="00E10737" w:rsidRPr="00B31B1C" w:rsidRDefault="00E10737" w:rsidP="00E10737">
      <w:pPr>
        <w:pStyle w:val="Odsekzoznamu"/>
        <w:numPr>
          <w:ilvl w:val="0"/>
          <w:numId w:val="162"/>
        </w:numPr>
        <w:jc w:val="both"/>
        <w:rPr>
          <w:sz w:val="22"/>
          <w:szCs w:val="22"/>
        </w:rPr>
      </w:pPr>
      <w:r w:rsidRPr="00B31B1C">
        <w:rPr>
          <w:sz w:val="22"/>
          <w:szCs w:val="22"/>
        </w:rPr>
        <w:t>organizácia odborných podujatí – semináre, webináre, prednášky, diskusné fóra, workshopy, konferencie, B2B, B2G podujatia, kooperačné podujatia a pod.,</w:t>
      </w:r>
    </w:p>
    <w:p w14:paraId="0F20B938" w14:textId="77777777" w:rsidR="00E10737" w:rsidRPr="00B31B1C" w:rsidRDefault="00E10737" w:rsidP="00E10737">
      <w:pPr>
        <w:pStyle w:val="Odsekzoznamu"/>
        <w:numPr>
          <w:ilvl w:val="0"/>
          <w:numId w:val="162"/>
        </w:numPr>
        <w:jc w:val="both"/>
        <w:rPr>
          <w:sz w:val="22"/>
          <w:szCs w:val="22"/>
        </w:rPr>
      </w:pPr>
      <w:r w:rsidRPr="00B31B1C">
        <w:rPr>
          <w:sz w:val="22"/>
          <w:szCs w:val="22"/>
        </w:rPr>
        <w:t xml:space="preserve">školenia a vzdelávacie programy zamerané na prípravu na podnikanie, </w:t>
      </w:r>
      <w:r>
        <w:rPr>
          <w:sz w:val="22"/>
          <w:szCs w:val="22"/>
        </w:rPr>
        <w:t>špecifické školenia pre </w:t>
      </w:r>
      <w:r w:rsidRPr="00B31B1C">
        <w:rPr>
          <w:sz w:val="22"/>
          <w:szCs w:val="22"/>
        </w:rPr>
        <w:t>inkubovaných a start-up podnikateľov, tréningové programy pre externých MSP,</w:t>
      </w:r>
    </w:p>
    <w:p w14:paraId="756E4D1E" w14:textId="77777777" w:rsidR="00E10737" w:rsidRPr="00B31B1C" w:rsidRDefault="00E10737" w:rsidP="00E10737">
      <w:pPr>
        <w:pStyle w:val="Odsekzoznamu"/>
        <w:numPr>
          <w:ilvl w:val="0"/>
          <w:numId w:val="162"/>
        </w:numPr>
        <w:jc w:val="both"/>
        <w:rPr>
          <w:sz w:val="22"/>
          <w:szCs w:val="22"/>
        </w:rPr>
      </w:pPr>
      <w:r w:rsidRPr="00B31B1C">
        <w:rPr>
          <w:sz w:val="22"/>
          <w:szCs w:val="22"/>
        </w:rPr>
        <w:t>sprostredkovanie financovania – mikropôžičky, úvery, rizikový kapitál, podnikateľskí anjeli, inovačné vouchre a pod.</w:t>
      </w:r>
    </w:p>
    <w:p w14:paraId="23916572" w14:textId="5DAD797C" w:rsidR="00E10737" w:rsidRPr="00B31B1C" w:rsidRDefault="00E10737" w:rsidP="00E10737">
      <w:pPr>
        <w:pStyle w:val="Odsekzoznamu"/>
        <w:numPr>
          <w:ilvl w:val="0"/>
          <w:numId w:val="162"/>
        </w:numPr>
        <w:jc w:val="both"/>
        <w:rPr>
          <w:sz w:val="22"/>
          <w:szCs w:val="22"/>
        </w:rPr>
      </w:pPr>
      <w:r w:rsidRPr="00B31B1C">
        <w:rPr>
          <w:sz w:val="22"/>
          <w:szCs w:val="22"/>
        </w:rPr>
        <w:t>on-line platforma a dopytové služby (prepojenie na sieť Enterprise Europe Network a iné siete), vyhľadávanie v databázach projektov, partnerov a ponúk na spoluprácu, zdieľanie dokumentov, blogy a pod., aktivita nadväzuje na národný projekt Elektronické služby Ministerstva hospodárstva SR,</w:t>
      </w:r>
    </w:p>
    <w:p w14:paraId="1BED8F79" w14:textId="77777777" w:rsidR="00E10737" w:rsidRPr="00B31B1C" w:rsidRDefault="00E10737" w:rsidP="00E10737">
      <w:pPr>
        <w:pStyle w:val="Odsekzoznamu"/>
        <w:numPr>
          <w:ilvl w:val="0"/>
          <w:numId w:val="162"/>
        </w:numPr>
        <w:jc w:val="both"/>
        <w:rPr>
          <w:sz w:val="22"/>
          <w:szCs w:val="22"/>
        </w:rPr>
      </w:pPr>
      <w:r w:rsidRPr="00B31B1C">
        <w:rPr>
          <w:sz w:val="22"/>
          <w:szCs w:val="22"/>
        </w:rPr>
        <w:t>podpora networkingu a spolupráce so subjektmi VaV, akademického a podnikateľského sektora,</w:t>
      </w:r>
    </w:p>
    <w:p w14:paraId="03A5CC42" w14:textId="77777777" w:rsidR="00E10737" w:rsidRPr="00B31B1C" w:rsidRDefault="00E10737" w:rsidP="00E10737">
      <w:pPr>
        <w:pStyle w:val="Odsekzoznamu"/>
        <w:numPr>
          <w:ilvl w:val="0"/>
          <w:numId w:val="162"/>
        </w:numPr>
        <w:jc w:val="both"/>
        <w:rPr>
          <w:sz w:val="22"/>
          <w:szCs w:val="22"/>
        </w:rPr>
      </w:pPr>
      <w:r w:rsidRPr="00B31B1C">
        <w:rPr>
          <w:sz w:val="22"/>
          <w:szCs w:val="22"/>
        </w:rPr>
        <w:t>stážové pobyty v zahraničných hi-tech centrách a parkoch,</w:t>
      </w:r>
    </w:p>
    <w:p w14:paraId="0A99B567" w14:textId="77777777" w:rsidR="00E10737" w:rsidRPr="008A714B" w:rsidRDefault="00E10737" w:rsidP="00E10737">
      <w:pPr>
        <w:pStyle w:val="Odsekzoznamu"/>
        <w:numPr>
          <w:ilvl w:val="0"/>
          <w:numId w:val="162"/>
        </w:numPr>
        <w:jc w:val="both"/>
        <w:rPr>
          <w:szCs w:val="22"/>
        </w:rPr>
      </w:pPr>
      <w:r w:rsidRPr="00B31B1C">
        <w:rPr>
          <w:sz w:val="22"/>
          <w:szCs w:val="22"/>
        </w:rPr>
        <w:t>podpora pri internacionalizácii a etablovaní sa na globálnom trhu.</w:t>
      </w:r>
    </w:p>
    <w:p w14:paraId="45D0F773" w14:textId="77777777" w:rsidR="00E10737" w:rsidRDefault="00E10737" w:rsidP="00E10737">
      <w:pPr>
        <w:jc w:val="both"/>
        <w:rPr>
          <w:szCs w:val="22"/>
        </w:rPr>
      </w:pPr>
    </w:p>
    <w:p w14:paraId="7CB1D81B" w14:textId="77777777" w:rsidR="00E10737" w:rsidRDefault="00E10737" w:rsidP="00E10737">
      <w:pPr>
        <w:jc w:val="both"/>
        <w:rPr>
          <w:szCs w:val="22"/>
        </w:rPr>
      </w:pPr>
      <w:r w:rsidRPr="00CF79E0">
        <w:rPr>
          <w:sz w:val="22"/>
          <w:szCs w:val="22"/>
        </w:rPr>
        <w:lastRenderedPageBreak/>
        <w:t>Aktivita bude realizovaná formou národného projektu a schémy pomoci.</w:t>
      </w:r>
    </w:p>
    <w:p w14:paraId="4DBC8223" w14:textId="77777777" w:rsidR="00E10737" w:rsidRDefault="00E10737" w:rsidP="00E10737">
      <w:pPr>
        <w:jc w:val="both"/>
        <w:rPr>
          <w:szCs w:val="22"/>
        </w:rPr>
      </w:pPr>
    </w:p>
    <w:p w14:paraId="53D95C25" w14:textId="76D64419" w:rsidR="00E10737" w:rsidRPr="00CB1334" w:rsidRDefault="00E10737" w:rsidP="00E10737">
      <w:pPr>
        <w:jc w:val="both"/>
        <w:rPr>
          <w:sz w:val="22"/>
          <w:szCs w:val="22"/>
        </w:rPr>
      </w:pPr>
      <w:r w:rsidRPr="00CB1334">
        <w:rPr>
          <w:sz w:val="22"/>
          <w:szCs w:val="22"/>
        </w:rPr>
        <w:t>Podpora úspešnej podnikateľskej praxe a stimulovanie podnikateľského ducha. V predchádzajúcom období neboli realizované špecifické opatrenia zamerané na zvýšenie motivácie k podnikaniu, dôsledkom čoho je znižujúca sa schopnosť motivácia jednotl</w:t>
      </w:r>
      <w:r>
        <w:rPr>
          <w:sz w:val="22"/>
          <w:szCs w:val="22"/>
        </w:rPr>
        <w:t>ivcov pre vstup do podnikania a </w:t>
      </w:r>
      <w:r w:rsidRPr="00CB1334">
        <w:rPr>
          <w:sz w:val="22"/>
          <w:szCs w:val="22"/>
        </w:rPr>
        <w:t>chýbajúce pozitívne sociálne vnímanie podnikania. Cieľom aktivity je podporiť vznik nových MSP, predstaviť podnikanie ako kariérnu voľbu a posilniť dôveru spoločnosti v prospešnosť postavenia podnikateľov a podnikateliek.</w:t>
      </w:r>
    </w:p>
    <w:p w14:paraId="54B0D2B4" w14:textId="77777777" w:rsidR="00E10737" w:rsidRDefault="00E10737" w:rsidP="00E10737">
      <w:pPr>
        <w:jc w:val="both"/>
        <w:rPr>
          <w:sz w:val="22"/>
          <w:szCs w:val="22"/>
        </w:rPr>
      </w:pPr>
    </w:p>
    <w:p w14:paraId="1E902660" w14:textId="77777777" w:rsidR="00E10737" w:rsidRPr="00CB1334" w:rsidRDefault="00E10737" w:rsidP="00E10737">
      <w:pPr>
        <w:jc w:val="both"/>
        <w:rPr>
          <w:sz w:val="22"/>
          <w:szCs w:val="22"/>
        </w:rPr>
      </w:pPr>
      <w:r w:rsidRPr="00CB1334">
        <w:rPr>
          <w:sz w:val="22"/>
          <w:szCs w:val="22"/>
        </w:rPr>
        <w:t>Aktivita bude realizovaná prostredníctvom:</w:t>
      </w:r>
    </w:p>
    <w:p w14:paraId="1B1CE255" w14:textId="77777777" w:rsidR="00E10737" w:rsidRPr="00CB1334" w:rsidRDefault="00E10737" w:rsidP="00E10737">
      <w:pPr>
        <w:pStyle w:val="Odsekzoznamu"/>
        <w:numPr>
          <w:ilvl w:val="0"/>
          <w:numId w:val="162"/>
        </w:numPr>
        <w:spacing w:before="120"/>
        <w:ind w:left="714" w:hanging="357"/>
        <w:contextualSpacing w:val="0"/>
        <w:jc w:val="both"/>
        <w:rPr>
          <w:sz w:val="22"/>
          <w:szCs w:val="22"/>
        </w:rPr>
      </w:pPr>
      <w:r w:rsidRPr="00CB1334">
        <w:rPr>
          <w:sz w:val="22"/>
          <w:szCs w:val="22"/>
        </w:rPr>
        <w:t>prezentačných a propagačných podujatí (napr. roadshow, publikovanie príbehov, mediálne seriály),</w:t>
      </w:r>
    </w:p>
    <w:p w14:paraId="3E2385DC" w14:textId="77777777" w:rsidR="00E10737" w:rsidRPr="00CB1334" w:rsidRDefault="00E10737" w:rsidP="00E10737">
      <w:pPr>
        <w:pStyle w:val="Odsekzoznamu"/>
        <w:numPr>
          <w:ilvl w:val="0"/>
          <w:numId w:val="162"/>
        </w:numPr>
        <w:jc w:val="both"/>
        <w:rPr>
          <w:sz w:val="22"/>
          <w:szCs w:val="22"/>
        </w:rPr>
      </w:pPr>
      <w:r w:rsidRPr="00CB1334">
        <w:rPr>
          <w:sz w:val="22"/>
          <w:szCs w:val="22"/>
        </w:rPr>
        <w:t>tradičných podujatí, ako sú napríklad súťaže (Podnikateľka roka, start-up weekend a pod.), stáže, letné školy, atď.</w:t>
      </w:r>
    </w:p>
    <w:p w14:paraId="73D31E7D" w14:textId="77777777" w:rsidR="00E10737" w:rsidRPr="00CB1334" w:rsidRDefault="00E10737" w:rsidP="00E10737">
      <w:pPr>
        <w:pStyle w:val="Odsekzoznamu"/>
        <w:numPr>
          <w:ilvl w:val="0"/>
          <w:numId w:val="162"/>
        </w:numPr>
        <w:jc w:val="both"/>
        <w:rPr>
          <w:sz w:val="22"/>
          <w:szCs w:val="22"/>
        </w:rPr>
      </w:pPr>
      <w:r w:rsidRPr="00CB1334">
        <w:rPr>
          <w:sz w:val="22"/>
          <w:szCs w:val="22"/>
        </w:rPr>
        <w:t>prezentovania príkladov úspešných politík podpory podnikania a sprostredkovanie skúseností úspešných podnikateľov,</w:t>
      </w:r>
    </w:p>
    <w:p w14:paraId="05458BE3" w14:textId="77777777" w:rsidR="00E10737" w:rsidRPr="008A714B" w:rsidRDefault="00E10737" w:rsidP="00E10737">
      <w:pPr>
        <w:pStyle w:val="Odsekzoznamu"/>
        <w:numPr>
          <w:ilvl w:val="0"/>
          <w:numId w:val="162"/>
        </w:numPr>
        <w:jc w:val="both"/>
        <w:rPr>
          <w:szCs w:val="22"/>
        </w:rPr>
      </w:pPr>
      <w:r w:rsidRPr="00CB1334">
        <w:rPr>
          <w:sz w:val="22"/>
          <w:szCs w:val="22"/>
        </w:rPr>
        <w:t>podujatí</w:t>
      </w:r>
      <w:r>
        <w:rPr>
          <w:sz w:val="22"/>
          <w:szCs w:val="22"/>
        </w:rPr>
        <w:t xml:space="preserve"> </w:t>
      </w:r>
      <w:r w:rsidRPr="00CB1334">
        <w:rPr>
          <w:sz w:val="22"/>
          <w:szCs w:val="22"/>
        </w:rPr>
        <w:t>zameraných</w:t>
      </w:r>
      <w:r>
        <w:rPr>
          <w:sz w:val="22"/>
          <w:szCs w:val="22"/>
        </w:rPr>
        <w:t xml:space="preserve"> </w:t>
      </w:r>
      <w:r w:rsidRPr="00CB1334">
        <w:rPr>
          <w:sz w:val="22"/>
          <w:szCs w:val="22"/>
        </w:rPr>
        <w:t>na</w:t>
      </w:r>
      <w:r>
        <w:rPr>
          <w:sz w:val="22"/>
          <w:szCs w:val="22"/>
        </w:rPr>
        <w:t xml:space="preserve"> </w:t>
      </w:r>
      <w:r w:rsidRPr="00CB1334">
        <w:rPr>
          <w:sz w:val="22"/>
          <w:szCs w:val="22"/>
        </w:rPr>
        <w:t>stimuláciu podnikateľských</w:t>
      </w:r>
      <w:r>
        <w:rPr>
          <w:sz w:val="22"/>
          <w:szCs w:val="22"/>
        </w:rPr>
        <w:t xml:space="preserve"> </w:t>
      </w:r>
      <w:r w:rsidRPr="00CB1334">
        <w:rPr>
          <w:sz w:val="22"/>
          <w:szCs w:val="22"/>
        </w:rPr>
        <w:t>ambícií, rozvoj</w:t>
      </w:r>
      <w:r>
        <w:rPr>
          <w:sz w:val="22"/>
          <w:szCs w:val="22"/>
        </w:rPr>
        <w:t xml:space="preserve"> </w:t>
      </w:r>
      <w:r w:rsidRPr="00CB1334">
        <w:rPr>
          <w:sz w:val="22"/>
          <w:szCs w:val="22"/>
        </w:rPr>
        <w:t>podnikateľského</w:t>
      </w:r>
      <w:r>
        <w:rPr>
          <w:sz w:val="22"/>
          <w:szCs w:val="22"/>
        </w:rPr>
        <w:t xml:space="preserve"> </w:t>
      </w:r>
      <w:r w:rsidRPr="00CB1334">
        <w:rPr>
          <w:sz w:val="22"/>
          <w:szCs w:val="22"/>
        </w:rPr>
        <w:t>potenciálu</w:t>
      </w:r>
      <w:r>
        <w:rPr>
          <w:sz w:val="22"/>
          <w:szCs w:val="22"/>
        </w:rPr>
        <w:t xml:space="preserve"> </w:t>
      </w:r>
      <w:r w:rsidRPr="00CB1334">
        <w:rPr>
          <w:sz w:val="22"/>
          <w:szCs w:val="22"/>
        </w:rPr>
        <w:t>a</w:t>
      </w:r>
      <w:r>
        <w:rPr>
          <w:sz w:val="22"/>
          <w:szCs w:val="22"/>
        </w:rPr>
        <w:t xml:space="preserve"> </w:t>
      </w:r>
      <w:r w:rsidRPr="00CB1334">
        <w:rPr>
          <w:sz w:val="22"/>
          <w:szCs w:val="22"/>
        </w:rPr>
        <w:t>podnikateľských zručností potenciálnych podnikateľov.</w:t>
      </w:r>
    </w:p>
    <w:p w14:paraId="58143B49" w14:textId="77777777" w:rsidR="00E10737" w:rsidRDefault="00E10737" w:rsidP="00E10737">
      <w:pPr>
        <w:spacing w:before="120"/>
        <w:jc w:val="both"/>
        <w:rPr>
          <w:szCs w:val="22"/>
        </w:rPr>
      </w:pPr>
      <w:r w:rsidRPr="00CF79E0">
        <w:rPr>
          <w:sz w:val="22"/>
          <w:szCs w:val="22"/>
        </w:rPr>
        <w:t>Aktivita bude realizovaná formou národného projektu.</w:t>
      </w:r>
    </w:p>
    <w:p w14:paraId="1B3345B9" w14:textId="77777777" w:rsidR="00E10737" w:rsidRDefault="00E10737" w:rsidP="00E10737">
      <w:pPr>
        <w:jc w:val="both"/>
        <w:rPr>
          <w:sz w:val="22"/>
          <w:szCs w:val="22"/>
        </w:rPr>
      </w:pPr>
    </w:p>
    <w:p w14:paraId="19069AC2" w14:textId="04B36BE7" w:rsidR="00E10737" w:rsidRPr="006C69C3" w:rsidRDefault="00E10737" w:rsidP="00E10737">
      <w:pPr>
        <w:jc w:val="both"/>
        <w:rPr>
          <w:sz w:val="22"/>
          <w:szCs w:val="22"/>
        </w:rPr>
      </w:pPr>
      <w:r w:rsidRPr="006C69C3">
        <w:rPr>
          <w:sz w:val="22"/>
          <w:szCs w:val="22"/>
        </w:rPr>
        <w:t>Poskytovanie dlhodobých poradenských služieb. Aktivita je zameraná na poskytovanie systematickej odbornej pomoci začínajúcim podnikateľom s cieľom zvýšiť mieru prežitia nových MSP v prvých rokoch podnikania (miera prežitia MSP je v SR výrazne pod priemerom EÚ). Akt</w:t>
      </w:r>
      <w:r w:rsidR="00CB61C4">
        <w:rPr>
          <w:sz w:val="22"/>
          <w:szCs w:val="22"/>
        </w:rPr>
        <w:t xml:space="preserve">ivita nadväzuje na </w:t>
      </w:r>
      <w:r w:rsidRPr="006C69C3">
        <w:rPr>
          <w:sz w:val="22"/>
          <w:szCs w:val="22"/>
        </w:rPr>
        <w:t>podporné programy v oblasti poradenstva realizované v predchádzajúcom období, ktoré poskytovali len krátkodobé poradenstvo. Ďalším podnetom je projekt EU Network of Female Entrepreneurship Ambassadors realizovaný SBA v r.</w:t>
      </w:r>
      <w:r>
        <w:rPr>
          <w:sz w:val="22"/>
          <w:szCs w:val="22"/>
        </w:rPr>
        <w:t> </w:t>
      </w:r>
      <w:r w:rsidRPr="006C69C3">
        <w:rPr>
          <w:sz w:val="22"/>
          <w:szCs w:val="22"/>
        </w:rPr>
        <w:t>2009 – 2011 na základe ktorého sa vytvorila sieť ambasádoriek – mentoriek pre ženy vstupujúce do podnikania. Začínajúcim podnikom ako aj záujemcom o podnikanie bude poskytovaná dlhodobá systematická pomoc a odborné poradenstvo/vedenie:</w:t>
      </w:r>
    </w:p>
    <w:p w14:paraId="2D6BC212" w14:textId="77777777" w:rsidR="00E10737" w:rsidRPr="006C69C3" w:rsidRDefault="00E10737" w:rsidP="00E10737">
      <w:pPr>
        <w:pStyle w:val="Odsekzoznamu"/>
        <w:numPr>
          <w:ilvl w:val="0"/>
          <w:numId w:val="162"/>
        </w:numPr>
        <w:spacing w:before="120"/>
        <w:ind w:left="714" w:hanging="357"/>
        <w:contextualSpacing w:val="0"/>
        <w:jc w:val="both"/>
        <w:rPr>
          <w:sz w:val="22"/>
          <w:szCs w:val="22"/>
        </w:rPr>
      </w:pPr>
      <w:r w:rsidRPr="006C69C3">
        <w:rPr>
          <w:sz w:val="22"/>
          <w:szCs w:val="22"/>
        </w:rPr>
        <w:t>poradenstvo vo fáze pred založením podniku, v období formulovania a nastavenia podnikateľského plánu, analýzy jeho potenciálu,</w:t>
      </w:r>
    </w:p>
    <w:p w14:paraId="1A00EBDB" w14:textId="77777777" w:rsidR="00E10737" w:rsidRPr="006C69C3" w:rsidRDefault="00E10737" w:rsidP="00E10737">
      <w:pPr>
        <w:pStyle w:val="Odsekzoznamu"/>
        <w:numPr>
          <w:ilvl w:val="0"/>
          <w:numId w:val="162"/>
        </w:numPr>
        <w:jc w:val="both"/>
        <w:rPr>
          <w:sz w:val="22"/>
          <w:szCs w:val="22"/>
        </w:rPr>
      </w:pPr>
      <w:r w:rsidRPr="006C69C3">
        <w:rPr>
          <w:sz w:val="22"/>
          <w:szCs w:val="22"/>
        </w:rPr>
        <w:t>poradenstvo vo fáze začatia podnikateľskej činnosti, založenie a naštartovanie podniku,</w:t>
      </w:r>
    </w:p>
    <w:p w14:paraId="3064F6B1" w14:textId="77777777" w:rsidR="00E10737" w:rsidRDefault="00E10737" w:rsidP="00E10737">
      <w:pPr>
        <w:pStyle w:val="Odsekzoznamu"/>
        <w:numPr>
          <w:ilvl w:val="0"/>
          <w:numId w:val="162"/>
        </w:numPr>
        <w:jc w:val="both"/>
        <w:rPr>
          <w:szCs w:val="22"/>
        </w:rPr>
      </w:pPr>
      <w:r w:rsidRPr="006C69C3">
        <w:rPr>
          <w:sz w:val="22"/>
          <w:szCs w:val="22"/>
        </w:rPr>
        <w:t>poradenstvo vo fáze rozbehu podnikania MSP počas najviac trojročného štartovacieho obdobia.</w:t>
      </w:r>
    </w:p>
    <w:p w14:paraId="2C58BEBE" w14:textId="77777777" w:rsidR="00E10737" w:rsidRDefault="00E10737" w:rsidP="00E10737">
      <w:pPr>
        <w:jc w:val="both"/>
        <w:rPr>
          <w:szCs w:val="22"/>
        </w:rPr>
      </w:pPr>
    </w:p>
    <w:p w14:paraId="639A3BB7" w14:textId="77777777" w:rsidR="00E10737" w:rsidRDefault="00E10737" w:rsidP="00E10737">
      <w:pPr>
        <w:jc w:val="both"/>
        <w:rPr>
          <w:szCs w:val="22"/>
        </w:rPr>
      </w:pPr>
      <w:r w:rsidRPr="006C69C3">
        <w:rPr>
          <w:sz w:val="22"/>
          <w:szCs w:val="22"/>
        </w:rPr>
        <w:t>Služby poradenstva/mentoringu budú určené rôznym cieľovým skupinám začínajúcich MSP, napr. inovatívne a technologicky orientované start-upy, MSP v rôz</w:t>
      </w:r>
      <w:r>
        <w:rPr>
          <w:sz w:val="22"/>
          <w:szCs w:val="22"/>
        </w:rPr>
        <w:t>nych tradičných priemyselných a </w:t>
      </w:r>
      <w:r w:rsidRPr="006C69C3">
        <w:rPr>
          <w:sz w:val="22"/>
          <w:szCs w:val="22"/>
        </w:rPr>
        <w:t>výrobných odvetviach a pod. Aktivita bude</w:t>
      </w:r>
      <w:r>
        <w:rPr>
          <w:sz w:val="22"/>
          <w:szCs w:val="22"/>
        </w:rPr>
        <w:t xml:space="preserve"> </w:t>
      </w:r>
      <w:r w:rsidRPr="006C69C3">
        <w:rPr>
          <w:sz w:val="22"/>
          <w:szCs w:val="22"/>
        </w:rPr>
        <w:t>orientovaná aj na špecifické potreby znevýhodnených sociálnych skupín (ženy, mladí do 25 rokov, seniori nad 50 rokov, dlhodobo nezamestnaní, štátni príslušníci z tretích krajín, sociálne znevýhodnení a osoby so zdravotným postihnutím, Rómovia). Aktivita bude realizovaná formou národného projektu a schémy pomoci.</w:t>
      </w:r>
    </w:p>
    <w:p w14:paraId="2EF1BA44" w14:textId="77777777" w:rsidR="00E10737" w:rsidRDefault="00E10737" w:rsidP="00E10737">
      <w:pPr>
        <w:jc w:val="both"/>
        <w:rPr>
          <w:szCs w:val="22"/>
        </w:rPr>
      </w:pPr>
    </w:p>
    <w:p w14:paraId="0A8393EE" w14:textId="77777777" w:rsidR="00E10737" w:rsidRPr="006C69C3" w:rsidRDefault="00E10737" w:rsidP="00E10737">
      <w:pPr>
        <w:jc w:val="both"/>
        <w:rPr>
          <w:sz w:val="22"/>
          <w:szCs w:val="22"/>
        </w:rPr>
      </w:pPr>
      <w:r w:rsidRPr="006C69C3">
        <w:rPr>
          <w:sz w:val="22"/>
          <w:szCs w:val="22"/>
        </w:rPr>
        <w:t>Podpora využitia nových nápadov v hospodárstve – schéma SBIR (Small Business Innovation Research). Aktivita je navrhnutá na základe úspešného medzináro</w:t>
      </w:r>
      <w:r>
        <w:rPr>
          <w:sz w:val="22"/>
          <w:szCs w:val="22"/>
        </w:rPr>
        <w:t>dného konceptu prezentovaného a </w:t>
      </w:r>
      <w:r w:rsidRPr="006C69C3">
        <w:rPr>
          <w:sz w:val="22"/>
          <w:szCs w:val="22"/>
        </w:rPr>
        <w:t>diskutovaného v predchádzajúcom období, ktorý sa však doposiaľ v podmienkach SR nerealizoval. Predstavuje nástroj na stimuláciu začínajúcich podnikov prostredníctvom podpory ich projektov zameraných na produktové a technologické inovácie ako aj služby, ktoré budú uplatniteľné na trhu. Cieľom aktivity je posilnenie podnikateľskej aktivity v odvetviach s vysokou technologickou úrovňou a poznatkovo intenzívnych služieb, podpora prenosu poznatkov z teórie do praxe. Prostredníctvom aktivity bude podporované vytváranie nových inovatívnych MSP, najmä foriem start-up a spin-off. Aktivita predstavuje podpornú schému, ktorá sa realizuje v niekoľkých na seba nadväzujúcich fázach:</w:t>
      </w:r>
    </w:p>
    <w:p w14:paraId="206E4E41" w14:textId="77777777" w:rsidR="001C0ADC" w:rsidRDefault="001C0ADC" w:rsidP="00B4060E">
      <w:pPr>
        <w:jc w:val="both"/>
        <w:rPr>
          <w:sz w:val="22"/>
          <w:szCs w:val="22"/>
        </w:rPr>
      </w:pPr>
    </w:p>
    <w:p w14:paraId="5ED2932A" w14:textId="77777777" w:rsidR="001C0ADC" w:rsidRPr="00CF79E0" w:rsidRDefault="001C0ADC" w:rsidP="001C0ADC">
      <w:pPr>
        <w:pStyle w:val="Odsekzoznamu"/>
        <w:numPr>
          <w:ilvl w:val="3"/>
          <w:numId w:val="166"/>
        </w:numPr>
        <w:spacing w:before="120"/>
        <w:ind w:left="284" w:hanging="284"/>
        <w:contextualSpacing w:val="0"/>
        <w:jc w:val="both"/>
        <w:rPr>
          <w:sz w:val="22"/>
          <w:szCs w:val="22"/>
        </w:rPr>
      </w:pPr>
      <w:r w:rsidRPr="00CF79E0">
        <w:rPr>
          <w:sz w:val="22"/>
          <w:szCs w:val="22"/>
        </w:rPr>
        <w:t>fáza predstavuje prípravné štúdie technickej uskutočniteľnosti pre oblasť inovácií v oblasti priemyslu a služieb,</w:t>
      </w:r>
    </w:p>
    <w:p w14:paraId="4F649C6E" w14:textId="77777777" w:rsidR="001C0ADC" w:rsidRPr="00CF79E0" w:rsidRDefault="001C0ADC" w:rsidP="001C0ADC">
      <w:pPr>
        <w:pStyle w:val="Odsekzoznamu"/>
        <w:numPr>
          <w:ilvl w:val="3"/>
          <w:numId w:val="166"/>
        </w:numPr>
        <w:ind w:left="284" w:hanging="284"/>
        <w:jc w:val="both"/>
        <w:rPr>
          <w:sz w:val="22"/>
          <w:szCs w:val="22"/>
        </w:rPr>
      </w:pPr>
      <w:r w:rsidRPr="00CF79E0">
        <w:rPr>
          <w:sz w:val="22"/>
          <w:szCs w:val="22"/>
        </w:rPr>
        <w:lastRenderedPageBreak/>
        <w:t>fázu predstavujú projekty realizujúce inovačný projekt, v rámci ktorého sa uskutočňuje tvorba prototypu/pilotného riešenia a spracovanie podnikateľského plánu,</w:t>
      </w:r>
    </w:p>
    <w:p w14:paraId="61D2108F" w14:textId="77777777" w:rsidR="001C0ADC" w:rsidRPr="00E42853" w:rsidRDefault="001C0ADC" w:rsidP="001C0ADC">
      <w:pPr>
        <w:pStyle w:val="Odsekzoznamu"/>
        <w:numPr>
          <w:ilvl w:val="3"/>
          <w:numId w:val="166"/>
        </w:numPr>
        <w:ind w:left="284" w:hanging="284"/>
        <w:jc w:val="both"/>
        <w:rPr>
          <w:szCs w:val="22"/>
        </w:rPr>
      </w:pPr>
      <w:r w:rsidRPr="00CF79E0">
        <w:rPr>
          <w:sz w:val="22"/>
          <w:szCs w:val="22"/>
        </w:rPr>
        <w:t xml:space="preserve">fáza je zameraná na komercionalizáciu produktu, prostredníctvom realizácie projektov jeho trhového zhodnotenia. </w:t>
      </w:r>
    </w:p>
    <w:p w14:paraId="42BCC4B1" w14:textId="77777777" w:rsidR="001C0ADC" w:rsidRDefault="001C0ADC" w:rsidP="00B4060E">
      <w:pPr>
        <w:jc w:val="both"/>
        <w:rPr>
          <w:sz w:val="22"/>
          <w:szCs w:val="22"/>
        </w:rPr>
      </w:pPr>
    </w:p>
    <w:p w14:paraId="6C54DB25" w14:textId="1021199A" w:rsidR="00E10737" w:rsidRPr="008A2D18" w:rsidRDefault="00E10737" w:rsidP="00B4060E">
      <w:pPr>
        <w:jc w:val="both"/>
        <w:rPr>
          <w:szCs w:val="22"/>
        </w:rPr>
      </w:pPr>
      <w:r w:rsidRPr="00351D17">
        <w:rPr>
          <w:sz w:val="22"/>
          <w:szCs w:val="22"/>
        </w:rPr>
        <w:t>Aktivita bude realizovaná formou schémy pomoci.</w:t>
      </w:r>
    </w:p>
    <w:p w14:paraId="0E68097D" w14:textId="77777777" w:rsidR="00E10737" w:rsidRDefault="00E10737" w:rsidP="00E10737">
      <w:pPr>
        <w:jc w:val="both"/>
        <w:rPr>
          <w:szCs w:val="22"/>
        </w:rPr>
      </w:pPr>
    </w:p>
    <w:p w14:paraId="4840BB61" w14:textId="1CC6E01A" w:rsidR="00E10737" w:rsidRDefault="00E10737" w:rsidP="00E10737">
      <w:pPr>
        <w:jc w:val="both"/>
        <w:rPr>
          <w:szCs w:val="22"/>
        </w:rPr>
      </w:pPr>
      <w:r w:rsidRPr="006C69C3">
        <w:rPr>
          <w:sz w:val="22"/>
          <w:szCs w:val="22"/>
        </w:rPr>
        <w:t>Identifikácia a využívanie sociálnych inovácií v podnikaní a pri vytváraní pracovných miest, najmä pre znevýhodnené a zraniteľné osoby ( napr. ženy, mladí do 25 rokov, seniori nad 50 rokov, dlhodobo nezamestnaní, štátni príslušníci z tretích krajín, sociálne znevýhodnení a osoby so zdravotným postihnutím, Rómovia). Aktivita vychádza z potreby zapojenia v</w:t>
      </w:r>
      <w:r w:rsidR="00DD087F">
        <w:rPr>
          <w:sz w:val="22"/>
          <w:szCs w:val="22"/>
        </w:rPr>
        <w:t>šetkých spoločenských skupín do </w:t>
      </w:r>
      <w:r w:rsidRPr="006C69C3">
        <w:rPr>
          <w:sz w:val="22"/>
          <w:szCs w:val="22"/>
        </w:rPr>
        <w:t>podnikania. V predchádzajúcom období SBA realizovala viaceré projekty zamerané na podporu podnikania žien. V súčasnom období realizuje projekt Podpora podnikania migrantov z</w:t>
      </w:r>
      <w:r w:rsidR="000F0861">
        <w:rPr>
          <w:sz w:val="22"/>
          <w:szCs w:val="22"/>
        </w:rPr>
        <w:t>ameraný na </w:t>
      </w:r>
      <w:r w:rsidRPr="006C69C3">
        <w:rPr>
          <w:sz w:val="22"/>
          <w:szCs w:val="22"/>
        </w:rPr>
        <w:t xml:space="preserve">prekonanie prekážok pre podnikanie migrantov z tretích krajín v SR. Aktivita na uvedené projekty nadväzuje. Jej cieľom je stimulovanie a podpora vytvárania nových MSP znevýhodnenými sociálnymi skupinami, eliminovanie sociálnych a kultúrnych bariér, ktoré ovplyvňujú možnosti podnikania znevýhodnených sociálnych skupín a zvyšovanie zastúpenia týchto skupín v podnikaní, spomedzi ktorých je osobitná pozornosť venovaná podnikaniu žien. Ďalšou oblasťou intervencií je podpora podnikateľských subjektov poskytujúcich sociálne služby, rozvoj sociálnej ekonomiky </w:t>
      </w:r>
      <w:r w:rsidRPr="00CF79E0">
        <w:rPr>
          <w:b/>
          <w:sz w:val="22"/>
          <w:szCs w:val="22"/>
        </w:rPr>
        <w:t>a podpora podnikateľských subjektov sledujúcich dosahovanie pozitívneho sociálneho vplyvu</w:t>
      </w:r>
      <w:r w:rsidRPr="006C69C3">
        <w:rPr>
          <w:sz w:val="22"/>
          <w:szCs w:val="22"/>
        </w:rPr>
        <w:t>. Pri realizácii aktivity sa predpokladá aj spolupráca s inštitúciami verejnej správy.</w:t>
      </w:r>
    </w:p>
    <w:p w14:paraId="0E4EBE2D" w14:textId="77777777" w:rsidR="00E10737" w:rsidRPr="006C69C3" w:rsidRDefault="00E10737" w:rsidP="000F0861">
      <w:pPr>
        <w:spacing w:before="120"/>
        <w:jc w:val="both"/>
        <w:rPr>
          <w:sz w:val="22"/>
          <w:szCs w:val="22"/>
        </w:rPr>
      </w:pPr>
      <w:r w:rsidRPr="006C69C3">
        <w:rPr>
          <w:sz w:val="22"/>
          <w:szCs w:val="22"/>
        </w:rPr>
        <w:t>Aktivita sa bude realizovať prostredníctvom:</w:t>
      </w:r>
    </w:p>
    <w:p w14:paraId="7DE26B62" w14:textId="2FA29E3F" w:rsidR="00E10737" w:rsidRPr="001431D4" w:rsidRDefault="00E10737" w:rsidP="00E10737">
      <w:pPr>
        <w:pStyle w:val="Odsekzoznamu"/>
        <w:numPr>
          <w:ilvl w:val="0"/>
          <w:numId w:val="162"/>
        </w:numPr>
        <w:spacing w:before="120"/>
        <w:ind w:left="714" w:hanging="357"/>
        <w:contextualSpacing w:val="0"/>
        <w:jc w:val="both"/>
        <w:rPr>
          <w:sz w:val="22"/>
          <w:szCs w:val="22"/>
        </w:rPr>
      </w:pPr>
      <w:r w:rsidRPr="001431D4">
        <w:rPr>
          <w:sz w:val="22"/>
          <w:szCs w:val="22"/>
        </w:rPr>
        <w:t>informačného a odborného poradenstva (napr. príprava podnikateľského plánu, uľahčovanie prístupu k štartovaciemu kapitálu),</w:t>
      </w:r>
    </w:p>
    <w:p w14:paraId="723E80CA" w14:textId="77777777" w:rsidR="00E10737" w:rsidRPr="001431D4" w:rsidRDefault="00E10737" w:rsidP="00E10737">
      <w:pPr>
        <w:pStyle w:val="Odsekzoznamu"/>
        <w:numPr>
          <w:ilvl w:val="0"/>
          <w:numId w:val="162"/>
        </w:numPr>
        <w:ind w:left="714" w:hanging="357"/>
        <w:contextualSpacing w:val="0"/>
        <w:jc w:val="both"/>
        <w:rPr>
          <w:sz w:val="22"/>
          <w:szCs w:val="22"/>
        </w:rPr>
      </w:pPr>
      <w:r w:rsidRPr="001431D4">
        <w:rPr>
          <w:sz w:val="22"/>
          <w:szCs w:val="22"/>
        </w:rPr>
        <w:t>krátkodobých a dlhodobých kurzov s modulovo štruktúrovaným kurikulom, prispôsobeným potrebám a špecifikám cieľových skupín a cieľových podnikov,</w:t>
      </w:r>
    </w:p>
    <w:p w14:paraId="62DFBEB1" w14:textId="77777777" w:rsidR="00E10737" w:rsidRPr="001431D4" w:rsidRDefault="00E10737" w:rsidP="00E10737">
      <w:pPr>
        <w:pStyle w:val="Odsekzoznamu"/>
        <w:numPr>
          <w:ilvl w:val="0"/>
          <w:numId w:val="162"/>
        </w:numPr>
        <w:ind w:left="714" w:hanging="357"/>
        <w:contextualSpacing w:val="0"/>
        <w:jc w:val="both"/>
        <w:rPr>
          <w:sz w:val="22"/>
          <w:szCs w:val="22"/>
        </w:rPr>
      </w:pPr>
      <w:r w:rsidRPr="001431D4">
        <w:rPr>
          <w:sz w:val="22"/>
          <w:szCs w:val="22"/>
        </w:rPr>
        <w:t>poskytovania incentív pre podnikateľské subjekty realiz</w:t>
      </w:r>
      <w:r>
        <w:rPr>
          <w:sz w:val="22"/>
          <w:szCs w:val="22"/>
        </w:rPr>
        <w:t>ujúce služby pre znevýhodnené a </w:t>
      </w:r>
      <w:r w:rsidRPr="00CF79E0">
        <w:rPr>
          <w:b/>
          <w:sz w:val="22"/>
          <w:szCs w:val="22"/>
        </w:rPr>
        <w:t>zraniteľné osoby a/alebo realizujúce sociálne inovácie</w:t>
      </w:r>
      <w:r w:rsidRPr="001431D4">
        <w:rPr>
          <w:sz w:val="22"/>
          <w:szCs w:val="22"/>
        </w:rPr>
        <w:t>,</w:t>
      </w:r>
    </w:p>
    <w:p w14:paraId="3CA36923" w14:textId="77777777" w:rsidR="00E10737" w:rsidRPr="001431D4" w:rsidRDefault="00E10737" w:rsidP="00E10737">
      <w:pPr>
        <w:pStyle w:val="Odsekzoznamu"/>
        <w:numPr>
          <w:ilvl w:val="0"/>
          <w:numId w:val="162"/>
        </w:numPr>
        <w:ind w:left="714" w:hanging="357"/>
        <w:contextualSpacing w:val="0"/>
        <w:jc w:val="both"/>
        <w:rPr>
          <w:sz w:val="22"/>
          <w:szCs w:val="22"/>
        </w:rPr>
      </w:pPr>
      <w:r w:rsidRPr="001431D4">
        <w:rPr>
          <w:sz w:val="22"/>
          <w:szCs w:val="22"/>
        </w:rPr>
        <w:t>podpory inštitucionálnej národnej platformy na podporu podnikania žien a ďalších štruktúr zameraných na podnikanie žien,</w:t>
      </w:r>
    </w:p>
    <w:p w14:paraId="64053F93" w14:textId="77777777" w:rsidR="00E10737" w:rsidRPr="001431D4" w:rsidRDefault="00E10737" w:rsidP="00E10737">
      <w:pPr>
        <w:pStyle w:val="Odsekzoznamu"/>
        <w:numPr>
          <w:ilvl w:val="0"/>
          <w:numId w:val="162"/>
        </w:numPr>
        <w:ind w:left="714" w:hanging="357"/>
        <w:contextualSpacing w:val="0"/>
        <w:jc w:val="both"/>
        <w:rPr>
          <w:sz w:val="22"/>
          <w:szCs w:val="22"/>
        </w:rPr>
      </w:pPr>
      <w:r w:rsidRPr="001431D4">
        <w:rPr>
          <w:sz w:val="22"/>
          <w:szCs w:val="22"/>
        </w:rPr>
        <w:t>podpory špecializovaných štruktúr orientovaných na stimulovanie podnikania iných znevýhodnených sociálnych skupín,</w:t>
      </w:r>
    </w:p>
    <w:p w14:paraId="3864DEC4" w14:textId="77777777" w:rsidR="00E10737" w:rsidRPr="001431D4" w:rsidRDefault="00E10737" w:rsidP="00E10737">
      <w:pPr>
        <w:pStyle w:val="Odsekzoznamu"/>
        <w:numPr>
          <w:ilvl w:val="0"/>
          <w:numId w:val="162"/>
        </w:numPr>
        <w:ind w:left="714" w:hanging="357"/>
        <w:contextualSpacing w:val="0"/>
        <w:jc w:val="both"/>
        <w:rPr>
          <w:sz w:val="22"/>
          <w:szCs w:val="22"/>
        </w:rPr>
      </w:pPr>
      <w:r w:rsidRPr="001431D4">
        <w:rPr>
          <w:sz w:val="22"/>
          <w:szCs w:val="22"/>
        </w:rPr>
        <w:t>odborných podujatí, prezentácií, seminárov a pod.</w:t>
      </w:r>
    </w:p>
    <w:p w14:paraId="10C2E26B" w14:textId="77777777" w:rsidR="00E10737" w:rsidRDefault="00E10737" w:rsidP="00E10737">
      <w:pPr>
        <w:spacing w:before="120"/>
        <w:jc w:val="both"/>
        <w:rPr>
          <w:szCs w:val="22"/>
        </w:rPr>
      </w:pPr>
      <w:r w:rsidRPr="006C69C3">
        <w:rPr>
          <w:sz w:val="22"/>
          <w:szCs w:val="22"/>
        </w:rPr>
        <w:t>Aktivita bude realizovaná formou národného projektu a schémy pomoci</w:t>
      </w:r>
      <w:r>
        <w:rPr>
          <w:sz w:val="22"/>
          <w:szCs w:val="22"/>
        </w:rPr>
        <w:t>.</w:t>
      </w:r>
    </w:p>
    <w:p w14:paraId="1F74D4DA" w14:textId="77777777" w:rsidR="00E10737" w:rsidRDefault="00E10737" w:rsidP="00E10737">
      <w:pPr>
        <w:jc w:val="both"/>
        <w:rPr>
          <w:sz w:val="22"/>
          <w:szCs w:val="22"/>
        </w:rPr>
      </w:pPr>
    </w:p>
    <w:p w14:paraId="60166897" w14:textId="00E2D483" w:rsidR="00E10737" w:rsidRDefault="00E10737" w:rsidP="00E10737">
      <w:pPr>
        <w:jc w:val="both"/>
        <w:rPr>
          <w:sz w:val="22"/>
          <w:szCs w:val="22"/>
        </w:rPr>
      </w:pPr>
      <w:r w:rsidRPr="005E00A2">
        <w:rPr>
          <w:sz w:val="22"/>
          <w:szCs w:val="22"/>
        </w:rPr>
        <w:t>Oprávnení prijímatelia</w:t>
      </w:r>
      <w:r w:rsidR="00CF7472">
        <w:rPr>
          <w:rStyle w:val="Odkaznapoznmkupodiarou"/>
          <w:sz w:val="22"/>
          <w:szCs w:val="22"/>
        </w:rPr>
        <w:footnoteReference w:id="94"/>
      </w:r>
      <w:r w:rsidRPr="005E00A2">
        <w:rPr>
          <w:sz w:val="22"/>
          <w:szCs w:val="22"/>
        </w:rPr>
        <w:t xml:space="preserve">, cieľové skupiny a cieľové územie v rámci investičnej priority </w:t>
      </w:r>
      <w:r w:rsidR="000B4D66">
        <w:rPr>
          <w:sz w:val="22"/>
          <w:szCs w:val="22"/>
        </w:rPr>
        <w:t>3</w:t>
      </w:r>
      <w:r w:rsidR="0066408D">
        <w:rPr>
          <w:sz w:val="22"/>
          <w:szCs w:val="22"/>
        </w:rPr>
        <w:t>a)</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1C0448FB" w14:textId="77777777" w:rsidTr="004179DE">
        <w:trPr>
          <w:trHeight w:val="284"/>
          <w:jc w:val="center"/>
        </w:trPr>
        <w:tc>
          <w:tcPr>
            <w:tcW w:w="3289" w:type="dxa"/>
            <w:shd w:val="clear" w:color="auto" w:fill="DBE5F1" w:themeFill="accent1" w:themeFillTint="33"/>
            <w:vAlign w:val="center"/>
          </w:tcPr>
          <w:p w14:paraId="56B747F0"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504FAF48"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MSP, záujemcovia o podnikanie vrátane znevýhodnených sociálnych skupín</w:t>
            </w:r>
          </w:p>
        </w:tc>
      </w:tr>
      <w:tr w:rsidR="00E10737" w14:paraId="0CF1B753" w14:textId="77777777" w:rsidTr="004179DE">
        <w:trPr>
          <w:trHeight w:val="284"/>
          <w:jc w:val="center"/>
        </w:trPr>
        <w:tc>
          <w:tcPr>
            <w:tcW w:w="3289" w:type="dxa"/>
            <w:shd w:val="clear" w:color="auto" w:fill="DBE5F1" w:themeFill="accent1" w:themeFillTint="33"/>
            <w:vAlign w:val="center"/>
          </w:tcPr>
          <w:p w14:paraId="6B708745"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570243D9"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Menej rozvinuté regióny</w:t>
            </w:r>
          </w:p>
        </w:tc>
      </w:tr>
      <w:tr w:rsidR="00E10737" w14:paraId="3EA4FECD" w14:textId="77777777" w:rsidTr="004179DE">
        <w:trPr>
          <w:trHeight w:val="284"/>
          <w:jc w:val="center"/>
        </w:trPr>
        <w:tc>
          <w:tcPr>
            <w:tcW w:w="3289" w:type="dxa"/>
            <w:shd w:val="clear" w:color="auto" w:fill="DBE5F1" w:themeFill="accent1" w:themeFillTint="33"/>
            <w:vAlign w:val="center"/>
          </w:tcPr>
          <w:p w14:paraId="30129650"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541D4684"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fyzické alebo právnické osoby oprávnené na podnikanie spĺňajúce definíciu MSP</w:t>
            </w:r>
            <w:r>
              <w:rPr>
                <w:sz w:val="22"/>
                <w:szCs w:val="22"/>
              </w:rPr>
              <w:t>,</w:t>
            </w:r>
          </w:p>
          <w:p w14:paraId="02270C6D" w14:textId="77777777" w:rsidR="00E10737" w:rsidRPr="001322A1"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združenia fyzických alebo právnických osôb,</w:t>
            </w:r>
          </w:p>
          <w:p w14:paraId="2F14563D"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neziskový sektor,</w:t>
            </w:r>
          </w:p>
          <w:p w14:paraId="3A3D352F"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Slovak Business Agency</w:t>
            </w:r>
            <w:r>
              <w:rPr>
                <w:sz w:val="22"/>
                <w:szCs w:val="22"/>
              </w:rPr>
              <w:t>,</w:t>
            </w:r>
          </w:p>
          <w:p w14:paraId="592E2071"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štátne rozpočtové organizácie alebo štátne príspevkové organizácie v pôsobnosti MH SR,</w:t>
            </w:r>
          </w:p>
          <w:p w14:paraId="599F7D1F"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verejnoprávne inštitúcie zriadené zo zákona</w:t>
            </w:r>
            <w:r>
              <w:rPr>
                <w:sz w:val="22"/>
                <w:szCs w:val="22"/>
              </w:rPr>
              <w:t>,</w:t>
            </w:r>
          </w:p>
          <w:p w14:paraId="568FE19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subjekty územnej samosprávy</w:t>
            </w:r>
            <w:r>
              <w:rPr>
                <w:sz w:val="22"/>
                <w:szCs w:val="22"/>
              </w:rPr>
              <w:t>,</w:t>
            </w:r>
          </w:p>
          <w:p w14:paraId="68CDEA5E" w14:textId="77777777" w:rsidR="00E10737" w:rsidRPr="00F74ECA"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Centrum vedecko-technických informácií SR (v prípade národného projektu rozvoj podnikateľských centier</w:t>
            </w:r>
            <w:r>
              <w:rPr>
                <w:sz w:val="22"/>
                <w:szCs w:val="22"/>
              </w:rPr>
              <w:t>).</w:t>
            </w:r>
          </w:p>
        </w:tc>
      </w:tr>
    </w:tbl>
    <w:p w14:paraId="5ACFD277" w14:textId="77777777" w:rsidR="00E10737" w:rsidRDefault="00E10737" w:rsidP="00E10737">
      <w:pPr>
        <w:pStyle w:val="Nadpis4"/>
        <w:tabs>
          <w:tab w:val="clear" w:pos="709"/>
          <w:tab w:val="clear" w:pos="864"/>
        </w:tabs>
        <w:ind w:left="851" w:hanging="851"/>
      </w:pPr>
      <w:r>
        <w:lastRenderedPageBreak/>
        <w:t>Hlavné princípy výberu projektov</w:t>
      </w:r>
    </w:p>
    <w:p w14:paraId="71CA10D2" w14:textId="77777777" w:rsidR="00E10737" w:rsidRDefault="00E10737" w:rsidP="00E10737">
      <w:pPr>
        <w:jc w:val="both"/>
        <w:rPr>
          <w:sz w:val="22"/>
          <w:szCs w:val="22"/>
        </w:rPr>
      </w:pPr>
      <w:r w:rsidRPr="001322A1">
        <w:rPr>
          <w:sz w:val="22"/>
          <w:szCs w:val="22"/>
        </w:rPr>
        <w:t>Vo vzťahu k výzvam na predkladanie žiadostí o príspevok budú zohľadnené najmä nasledujúce všeobecné zásady výberu projektov v rámci tematického cieľa 3:</w:t>
      </w:r>
    </w:p>
    <w:p w14:paraId="6FF4303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nastavenie transparentných a objektívnych podmienok, ktorých overenie je potrebné pre financovanie národných projektov, spolu so zvýšením dôrazu na kvalitnú prípravu takýchto projektov;</w:t>
      </w:r>
    </w:p>
    <w:p w14:paraId="05EA856D"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možnosť dvojstupňového výberu projektov pri vybraných výzvach predpokladajúcich veľký záujem verejnosti a/alebo pri výzvach, kde by zavedenie tohto systému mohlo znamenať zníženie administratívnej a finančnej náročnosti pre potenciálnych žiadateľov,</w:t>
      </w:r>
    </w:p>
    <w:p w14:paraId="110D592D" w14:textId="1FDB6828" w:rsidR="00E10737" w:rsidRPr="001322A1" w:rsidRDefault="00E10737" w:rsidP="00E10737">
      <w:pPr>
        <w:pStyle w:val="Odsekzoznamu"/>
        <w:numPr>
          <w:ilvl w:val="0"/>
          <w:numId w:val="27"/>
        </w:numPr>
        <w:ind w:left="567" w:hanging="283"/>
        <w:jc w:val="both"/>
        <w:rPr>
          <w:sz w:val="22"/>
          <w:szCs w:val="22"/>
        </w:rPr>
      </w:pPr>
      <w:r w:rsidRPr="001322A1">
        <w:rPr>
          <w:sz w:val="22"/>
          <w:szCs w:val="22"/>
        </w:rPr>
        <w:t>podporované budú prioritne projekty prispievajúce k zavádzaniu inovácií v súlade s cieľmi RIS3 SK;</w:t>
      </w:r>
    </w:p>
    <w:p w14:paraId="4822DE20"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pri vypracovaní odborných posudkov pre posúdenie kvality projektu budú vyberaní odborní hodnotitelia z jednotlivých profesijných oblastí;</w:t>
      </w:r>
    </w:p>
    <w:p w14:paraId="7CB0561A" w14:textId="77777777" w:rsidR="00E10737" w:rsidRPr="000B38DE" w:rsidRDefault="00E10737" w:rsidP="00E10737">
      <w:pPr>
        <w:pStyle w:val="Odsekzoznamu"/>
        <w:numPr>
          <w:ilvl w:val="0"/>
          <w:numId w:val="27"/>
        </w:numPr>
        <w:ind w:left="567" w:hanging="283"/>
        <w:jc w:val="both"/>
        <w:rPr>
          <w:sz w:val="22"/>
          <w:szCs w:val="22"/>
        </w:rPr>
      </w:pPr>
      <w:r w:rsidRPr="001322A1">
        <w:rPr>
          <w:sz w:val="22"/>
          <w:szCs w:val="22"/>
        </w:rPr>
        <w:t>zvýhodňované budú najmä mikro a malé podniky.</w:t>
      </w:r>
    </w:p>
    <w:p w14:paraId="13E4138B" w14:textId="77777777" w:rsidR="00E10737" w:rsidRDefault="00E10737" w:rsidP="00E10737">
      <w:pPr>
        <w:spacing w:before="120"/>
        <w:jc w:val="both"/>
        <w:rPr>
          <w:szCs w:val="22"/>
        </w:rPr>
      </w:pPr>
    </w:p>
    <w:p w14:paraId="2FCE64C8" w14:textId="41266A9E" w:rsidR="00E10737" w:rsidRPr="001322A1" w:rsidRDefault="00E10737" w:rsidP="00E10737">
      <w:pPr>
        <w:jc w:val="both"/>
        <w:rPr>
          <w:sz w:val="22"/>
          <w:szCs w:val="22"/>
        </w:rPr>
      </w:pPr>
      <w:r w:rsidRPr="001322A1">
        <w:rPr>
          <w:sz w:val="22"/>
          <w:szCs w:val="22"/>
        </w:rPr>
        <w:t xml:space="preserve">Špecifické zásady výberu projektov v rámci investičnej priority </w:t>
      </w:r>
      <w:r w:rsidR="000B4D66">
        <w:rPr>
          <w:sz w:val="22"/>
          <w:szCs w:val="22"/>
        </w:rPr>
        <w:t>3</w:t>
      </w:r>
      <w:r w:rsidR="0066408D">
        <w:rPr>
          <w:sz w:val="22"/>
          <w:szCs w:val="22"/>
        </w:rPr>
        <w:t>a)</w:t>
      </w:r>
      <w:r w:rsidRPr="001322A1">
        <w:rPr>
          <w:sz w:val="22"/>
          <w:szCs w:val="22"/>
        </w:rPr>
        <w:t>:</w:t>
      </w:r>
    </w:p>
    <w:p w14:paraId="1BFD29B8" w14:textId="68877F93" w:rsidR="00E10737" w:rsidRDefault="00E10737" w:rsidP="00E10737">
      <w:pPr>
        <w:jc w:val="both"/>
        <w:rPr>
          <w:szCs w:val="22"/>
        </w:rPr>
      </w:pPr>
      <w:r w:rsidRPr="001322A1">
        <w:rPr>
          <w:sz w:val="22"/>
          <w:szCs w:val="22"/>
        </w:rPr>
        <w:t xml:space="preserve">Na výber projektov v rámci špecifického cieľa </w:t>
      </w:r>
      <w:r>
        <w:rPr>
          <w:sz w:val="22"/>
          <w:szCs w:val="22"/>
        </w:rPr>
        <w:t>11</w:t>
      </w:r>
      <w:r w:rsidRPr="001322A1">
        <w:rPr>
          <w:sz w:val="22"/>
          <w:szCs w:val="22"/>
        </w:rPr>
        <w:t>.1 budú aplikované nasledovné špecifické zásady výberu projektov:</w:t>
      </w:r>
    </w:p>
    <w:p w14:paraId="5A36423F"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v prípade podpory smerovanej do oblasti podpory nových a začínajúcich MSP budú predmetom výberu projekty, ktoré sú v čase podania žiadosti o príspevok mladšie ako 5 rokov;</w:t>
      </w:r>
    </w:p>
    <w:p w14:paraId="6E9852E2"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pri výbere projektov bude kladen</w:t>
      </w:r>
      <w:r>
        <w:rPr>
          <w:sz w:val="22"/>
          <w:szCs w:val="22"/>
        </w:rPr>
        <w:t>ý dôraz na kvalitu projektu, t. </w:t>
      </w:r>
      <w:r w:rsidRPr="001322A1">
        <w:rPr>
          <w:sz w:val="22"/>
          <w:szCs w:val="22"/>
        </w:rPr>
        <w:t>j. odborné posúdenie stupňa potenciálneho prežitia podniku, stupňa inovácie výrobného procesu/produktu/služby a vplyvu realizácie projektu na zlepšenie konkurencieschopnosti po</w:t>
      </w:r>
      <w:r>
        <w:rPr>
          <w:sz w:val="22"/>
          <w:szCs w:val="22"/>
        </w:rPr>
        <w:t>dniku v regionálnom, národnom a </w:t>
      </w:r>
      <w:r w:rsidRPr="001322A1">
        <w:rPr>
          <w:sz w:val="22"/>
          <w:szCs w:val="22"/>
        </w:rPr>
        <w:t>európskom priestore, a pravdepodobnosti dosiahnutia stanovených cieľov;</w:t>
      </w:r>
    </w:p>
    <w:p w14:paraId="64B0ACCC"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zvýhodnené budú START-UP a SPIN-OFF projekty (alternatívne bude vyhlásená osobitná výzva na tieto kategórie projektov);</w:t>
      </w:r>
    </w:p>
    <w:p w14:paraId="68E20252" w14:textId="795397C3" w:rsidR="00E10737" w:rsidRPr="00105712" w:rsidRDefault="00E10737" w:rsidP="00105712">
      <w:pPr>
        <w:pStyle w:val="Odsekzoznamu"/>
        <w:numPr>
          <w:ilvl w:val="0"/>
          <w:numId w:val="27"/>
        </w:numPr>
        <w:ind w:left="567" w:hanging="283"/>
        <w:jc w:val="both"/>
        <w:rPr>
          <w:sz w:val="22"/>
          <w:szCs w:val="22"/>
        </w:rPr>
      </w:pPr>
      <w:r w:rsidRPr="00105712">
        <w:rPr>
          <w:sz w:val="22"/>
          <w:szCs w:val="22"/>
        </w:rPr>
        <w:t>pri využívaní nenávratných foriem pomoci sa nepočíta s podporou tzv. komerčných zariadení cestovného ruchu</w:t>
      </w:r>
      <w:r w:rsidR="00105712" w:rsidRPr="00105712">
        <w:rPr>
          <w:sz w:val="22"/>
          <w:szCs w:val="22"/>
        </w:rPr>
        <w:t xml:space="preserve"> (veľkokapacitné hotely, rekreačné zariadenia a kúpele), na druhej strane podporené môžu byť investície do malých zariadení, ktoré predstavujú prostriedok diverzifikácie a uvoľnenia ekonomického potenciálu zaostávajúcich regiónov</w:t>
      </w:r>
      <w:r w:rsidR="00EB3AE8">
        <w:rPr>
          <w:sz w:val="22"/>
          <w:szCs w:val="22"/>
        </w:rPr>
        <w:t>,</w:t>
      </w:r>
      <w:r w:rsidR="00105712" w:rsidRPr="00105712">
        <w:rPr>
          <w:sz w:val="22"/>
          <w:szCs w:val="22"/>
        </w:rPr>
        <w:t xml:space="preserve"> najmä vidieckych oblastí;</w:t>
      </w:r>
    </w:p>
    <w:p w14:paraId="417FF96D" w14:textId="015F79EF" w:rsidR="00E10737" w:rsidRPr="001322A1" w:rsidRDefault="00E10737" w:rsidP="00E10737">
      <w:pPr>
        <w:pStyle w:val="Odsekzoznamu"/>
        <w:numPr>
          <w:ilvl w:val="0"/>
          <w:numId w:val="27"/>
        </w:numPr>
        <w:ind w:left="567" w:hanging="283"/>
        <w:jc w:val="both"/>
        <w:rPr>
          <w:sz w:val="22"/>
          <w:szCs w:val="22"/>
        </w:rPr>
      </w:pPr>
      <w:r w:rsidRPr="001322A1">
        <w:rPr>
          <w:sz w:val="22"/>
          <w:szCs w:val="22"/>
        </w:rPr>
        <w:t>zvýhodnené budú projekty orientované na rozvoj vedomostne</w:t>
      </w:r>
      <w:r>
        <w:rPr>
          <w:sz w:val="22"/>
          <w:szCs w:val="22"/>
        </w:rPr>
        <w:t>j ekonomiky, buď orientované do </w:t>
      </w:r>
      <w:r w:rsidRPr="001322A1">
        <w:rPr>
          <w:sz w:val="22"/>
          <w:szCs w:val="22"/>
        </w:rPr>
        <w:t>oblasti vysokej/stredne vysokej technologickej úrovne výroby, alebo do oblasti poznatkovo intenzívnych služieb</w:t>
      </w:r>
      <w:r w:rsidR="008F521D">
        <w:rPr>
          <w:rStyle w:val="Odkaznapoznmkupodiarou"/>
          <w:sz w:val="22"/>
          <w:szCs w:val="22"/>
        </w:rPr>
        <w:footnoteReference w:id="95"/>
      </w:r>
      <w:r w:rsidRPr="001322A1">
        <w:rPr>
          <w:sz w:val="22"/>
          <w:szCs w:val="22"/>
        </w:rPr>
        <w:t>;</w:t>
      </w:r>
    </w:p>
    <w:p w14:paraId="6590AB2E"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zvýhodňované budú také projekty, ktorých výsledkom bude zavádzanie produkto</w:t>
      </w:r>
      <w:r>
        <w:rPr>
          <w:sz w:val="22"/>
          <w:szCs w:val="22"/>
        </w:rPr>
        <w:t>v nových pre </w:t>
      </w:r>
      <w:r w:rsidRPr="001322A1">
        <w:rPr>
          <w:sz w:val="22"/>
          <w:szCs w:val="22"/>
        </w:rPr>
        <w:t>trh;</w:t>
      </w:r>
    </w:p>
    <w:p w14:paraId="7A03E2B7"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 xml:space="preserve">zvýhodnené budú projekty, ktoré deklarujú realizáciu aktivít </w:t>
      </w:r>
      <w:r>
        <w:rPr>
          <w:sz w:val="22"/>
          <w:szCs w:val="22"/>
        </w:rPr>
        <w:t>a činnosti reálne smerujúcich k </w:t>
      </w:r>
      <w:r w:rsidRPr="001322A1">
        <w:rPr>
          <w:sz w:val="22"/>
          <w:szCs w:val="22"/>
        </w:rPr>
        <w:t>dosiahnutiu kooperácii v rámci lokálnych produkčných systémov;</w:t>
      </w:r>
    </w:p>
    <w:p w14:paraId="021D92FA"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zvýhodnené budú projekty žiadateľov, ktorých vlastníkmi sú osoby zo skupiny znevýhodnených skupín;</w:t>
      </w:r>
    </w:p>
    <w:p w14:paraId="439C241D" w14:textId="77777777" w:rsidR="00E10737" w:rsidRPr="001322A1" w:rsidRDefault="00E10737" w:rsidP="00E10737">
      <w:pPr>
        <w:pStyle w:val="Odsekzoznamu"/>
        <w:numPr>
          <w:ilvl w:val="0"/>
          <w:numId w:val="27"/>
        </w:numPr>
        <w:ind w:left="567" w:hanging="283"/>
        <w:jc w:val="both"/>
        <w:rPr>
          <w:sz w:val="22"/>
          <w:szCs w:val="22"/>
        </w:rPr>
      </w:pPr>
      <w:r w:rsidRPr="001322A1">
        <w:rPr>
          <w:sz w:val="22"/>
          <w:szCs w:val="22"/>
        </w:rPr>
        <w:t>zvýhodnené budú projekty vytvárajúce pracovné miesta a to v závislosti od:</w:t>
      </w:r>
    </w:p>
    <w:p w14:paraId="58223537" w14:textId="77777777" w:rsidR="00E10737" w:rsidRPr="001322A1" w:rsidRDefault="00E10737" w:rsidP="00E10737">
      <w:pPr>
        <w:ind w:left="851" w:hanging="284"/>
        <w:jc w:val="both"/>
        <w:rPr>
          <w:sz w:val="22"/>
          <w:szCs w:val="22"/>
        </w:rPr>
      </w:pPr>
      <w:r w:rsidRPr="001322A1">
        <w:rPr>
          <w:sz w:val="22"/>
          <w:szCs w:val="22"/>
        </w:rPr>
        <w:t>•</w:t>
      </w:r>
      <w:r w:rsidRPr="001322A1">
        <w:rPr>
          <w:sz w:val="22"/>
          <w:szCs w:val="22"/>
        </w:rPr>
        <w:tab/>
        <w:t>ceny vytvoreného pracovného miesta, ktoré bude vytvorené v priamej súvislosti s realizáciou projektu,</w:t>
      </w:r>
    </w:p>
    <w:p w14:paraId="3360772B" w14:textId="77777777" w:rsidR="00E10737" w:rsidRDefault="00E10737" w:rsidP="00E10737">
      <w:pPr>
        <w:ind w:left="851" w:hanging="284"/>
        <w:jc w:val="both"/>
        <w:rPr>
          <w:szCs w:val="22"/>
        </w:rPr>
      </w:pPr>
      <w:r w:rsidRPr="001322A1">
        <w:rPr>
          <w:sz w:val="22"/>
          <w:szCs w:val="22"/>
        </w:rPr>
        <w:t>•</w:t>
      </w:r>
      <w:r w:rsidRPr="001322A1">
        <w:rPr>
          <w:sz w:val="22"/>
          <w:szCs w:val="22"/>
        </w:rPr>
        <w:tab/>
        <w:t xml:space="preserve">ceny vytvoreného pracovného miesta pre znevýhodnené </w:t>
      </w:r>
      <w:r>
        <w:rPr>
          <w:sz w:val="22"/>
          <w:szCs w:val="22"/>
        </w:rPr>
        <w:t>skupiny ktoré bude vytvorené v </w:t>
      </w:r>
      <w:r w:rsidRPr="001322A1">
        <w:rPr>
          <w:sz w:val="22"/>
          <w:szCs w:val="22"/>
        </w:rPr>
        <w:t>priamej súvislosti s realizáciou projektu.</w:t>
      </w:r>
    </w:p>
    <w:p w14:paraId="16C86D96" w14:textId="77777777" w:rsidR="00E10737" w:rsidRDefault="00E10737" w:rsidP="00E10737">
      <w:pPr>
        <w:jc w:val="both"/>
        <w:rPr>
          <w:szCs w:val="22"/>
        </w:rPr>
      </w:pPr>
    </w:p>
    <w:p w14:paraId="2220D97A" w14:textId="77777777" w:rsidR="00E10737" w:rsidRPr="00BC67D0" w:rsidRDefault="00E10737" w:rsidP="00E10737">
      <w:pPr>
        <w:jc w:val="both"/>
        <w:rPr>
          <w:sz w:val="22"/>
          <w:szCs w:val="22"/>
        </w:rPr>
      </w:pPr>
      <w:r w:rsidRPr="00BC67D0">
        <w:rPr>
          <w:sz w:val="22"/>
          <w:szCs w:val="22"/>
        </w:rPr>
        <w:t>Regionálne aspekty pomoci:</w:t>
      </w:r>
    </w:p>
    <w:p w14:paraId="6143E9D2" w14:textId="0326CB88" w:rsidR="00E10737" w:rsidRPr="008A714B" w:rsidRDefault="00E10737" w:rsidP="00105712">
      <w:pPr>
        <w:pStyle w:val="Odsekzoznamu"/>
        <w:numPr>
          <w:ilvl w:val="0"/>
          <w:numId w:val="27"/>
        </w:numPr>
        <w:jc w:val="both"/>
        <w:rPr>
          <w:szCs w:val="22"/>
        </w:rPr>
      </w:pPr>
      <w:r w:rsidRPr="00BC67D0">
        <w:rPr>
          <w:sz w:val="22"/>
          <w:szCs w:val="22"/>
        </w:rPr>
        <w:t>zvýhodnené budú projekty realizované v regiónoch s horšou so</w:t>
      </w:r>
      <w:r>
        <w:rPr>
          <w:sz w:val="22"/>
          <w:szCs w:val="22"/>
        </w:rPr>
        <w:t>ciálno-ekonomickou situáciou vo </w:t>
      </w:r>
      <w:r w:rsidRPr="00BC67D0">
        <w:rPr>
          <w:sz w:val="22"/>
          <w:szCs w:val="22"/>
        </w:rPr>
        <w:t>vzťahu k sociálno-ekonomickej situácii celej SR</w:t>
      </w:r>
      <w:r w:rsidR="00105712" w:rsidRPr="00105712">
        <w:rPr>
          <w:sz w:val="22"/>
          <w:szCs w:val="22"/>
        </w:rPr>
        <w:t>, vrátane regiónov zapojených do iniciatív Európskej komisie zameraných na dobiehajúce regióny a uhoľné regióny v transformácii</w:t>
      </w:r>
      <w:r w:rsidRPr="00BC67D0">
        <w:rPr>
          <w:sz w:val="22"/>
          <w:szCs w:val="22"/>
        </w:rPr>
        <w:t>.</w:t>
      </w:r>
    </w:p>
    <w:p w14:paraId="056E0897" w14:textId="77777777" w:rsidR="00E10737" w:rsidRPr="00CF2C83" w:rsidRDefault="00E10737" w:rsidP="00E10737">
      <w:pPr>
        <w:pStyle w:val="Nadpis4"/>
        <w:tabs>
          <w:tab w:val="clear" w:pos="709"/>
          <w:tab w:val="clear" w:pos="864"/>
        </w:tabs>
        <w:spacing w:before="240"/>
        <w:ind w:left="851" w:hanging="851"/>
      </w:pPr>
      <w:r w:rsidRPr="00CF2C83">
        <w:lastRenderedPageBreak/>
        <w:t>Plánované využitie finančných nástrojov</w:t>
      </w:r>
    </w:p>
    <w:p w14:paraId="694C4086" w14:textId="77777777" w:rsidR="00E10737" w:rsidRPr="00CF79E0" w:rsidRDefault="00E10737" w:rsidP="00E10737">
      <w:pPr>
        <w:jc w:val="both"/>
        <w:rPr>
          <w:sz w:val="22"/>
          <w:szCs w:val="22"/>
        </w:rPr>
      </w:pPr>
      <w:r w:rsidRPr="00CF79E0">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w:t>
      </w:r>
      <w:r>
        <w:rPr>
          <w:sz w:val="22"/>
          <w:szCs w:val="22"/>
        </w:rPr>
        <w:t>ančné nástroje budú zamerané na </w:t>
      </w:r>
      <w:r w:rsidRPr="00CF79E0">
        <w:rPr>
          <w:sz w:val="22"/>
          <w:szCs w:val="22"/>
        </w:rPr>
        <w:t>podporu tých aktivít, ktoré nenachádzajú financovanie na trhu, prípadne nenachádzajú adekvátne financovanie, pri ktorom by ich realizácia bola efektívnou.</w:t>
      </w:r>
    </w:p>
    <w:p w14:paraId="2D54534F" w14:textId="77777777" w:rsidR="00E10737" w:rsidRDefault="00E10737" w:rsidP="00E10737">
      <w:pPr>
        <w:spacing w:before="120"/>
        <w:jc w:val="both"/>
        <w:rPr>
          <w:sz w:val="22"/>
          <w:szCs w:val="22"/>
        </w:rPr>
      </w:pPr>
      <w:r w:rsidRPr="00CF79E0">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Pr>
          <w:sz w:val="22"/>
          <w:szCs w:val="22"/>
        </w:rPr>
        <w:t>tálu je potrebné aj vzhľadom na </w:t>
      </w:r>
      <w:r w:rsidRPr="00CF79E0">
        <w:rPr>
          <w:sz w:val="22"/>
          <w:szCs w:val="22"/>
        </w:rPr>
        <w:t>nedostatočný objem prostriedkov z EŠIF na pokrytie všetkých investičných potrieb v príslušných oblastiach. Účasť súkromných investorov môže prispieť aj ku skvalitn</w:t>
      </w:r>
      <w:r>
        <w:rPr>
          <w:sz w:val="22"/>
          <w:szCs w:val="22"/>
        </w:rPr>
        <w:t>eniu implementácie projektov, a </w:t>
      </w:r>
      <w:r w:rsidRPr="00CF79E0">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w:t>
      </w:r>
      <w:r>
        <w:rPr>
          <w:sz w:val="22"/>
          <w:szCs w:val="22"/>
        </w:rPr>
        <w:t>ty, vhodný objem prostriedkov a </w:t>
      </w:r>
      <w:r w:rsidRPr="00CF79E0">
        <w:rPr>
          <w:sz w:val="22"/>
          <w:szCs w:val="22"/>
        </w:rPr>
        <w:t>podmienky implementácie konkrétnych finančných nástrojov, vrátane očakávaného znásobenia alokovaných prostriedkov EŠIF a ich kombinácie s inými fo</w:t>
      </w:r>
      <w:r>
        <w:rPr>
          <w:sz w:val="22"/>
          <w:szCs w:val="22"/>
        </w:rPr>
        <w:t>rmami podpory, budú vychádzať z </w:t>
      </w:r>
      <w:r w:rsidRPr="00CF79E0">
        <w:rPr>
          <w:sz w:val="22"/>
          <w:szCs w:val="22"/>
        </w:rPr>
        <w:t>výsledkov ex ante hodnotenia pre finančné nástroje, vyžadovaného podľa čl. 37 ods. 2 všeobecného nariadenia pre finančné nástroje na programové obdobie 2014 – 2020.</w:t>
      </w:r>
    </w:p>
    <w:p w14:paraId="170CD67E" w14:textId="77777777" w:rsidR="00E10737" w:rsidRDefault="00E10737" w:rsidP="00E10737">
      <w:pPr>
        <w:pStyle w:val="Nadpis4"/>
        <w:tabs>
          <w:tab w:val="clear" w:pos="709"/>
          <w:tab w:val="clear" w:pos="864"/>
        </w:tabs>
        <w:ind w:left="851" w:hanging="862"/>
      </w:pPr>
      <w:r>
        <w:t>Plánované využitie veľkých projektov</w:t>
      </w:r>
    </w:p>
    <w:p w14:paraId="628D5C9D" w14:textId="035FEED5" w:rsidR="00E10737" w:rsidRPr="003D0898" w:rsidRDefault="00E10737" w:rsidP="00E10737">
      <w:pPr>
        <w:pStyle w:val="Obyajntext"/>
        <w:jc w:val="both"/>
        <w:rPr>
          <w:rFonts w:ascii="Times New Roman" w:hAnsi="Times New Roman" w:cs="Times New Roman"/>
          <w:sz w:val="22"/>
          <w:szCs w:val="22"/>
        </w:rPr>
      </w:pPr>
      <w:r w:rsidRPr="00BC67D0">
        <w:rPr>
          <w:rFonts w:ascii="Times New Roman" w:hAnsi="Times New Roman" w:cs="Times New Roman"/>
          <w:sz w:val="22"/>
          <w:szCs w:val="22"/>
        </w:rPr>
        <w:t xml:space="preserve">V rámci špecifického cieľa </w:t>
      </w:r>
      <w:r>
        <w:rPr>
          <w:rFonts w:ascii="Times New Roman" w:hAnsi="Times New Roman" w:cs="Times New Roman"/>
          <w:sz w:val="22"/>
          <w:szCs w:val="22"/>
        </w:rPr>
        <w:t>11</w:t>
      </w:r>
      <w:r w:rsidRPr="00BC67D0">
        <w:rPr>
          <w:rFonts w:ascii="Times New Roman" w:hAnsi="Times New Roman" w:cs="Times New Roman"/>
          <w:sz w:val="22"/>
          <w:szCs w:val="22"/>
        </w:rPr>
        <w:t>.1 nie je plánovaná realizácia veľkého projektu</w:t>
      </w:r>
      <w:r>
        <w:rPr>
          <w:rFonts w:ascii="Times New Roman" w:hAnsi="Times New Roman" w:cs="Times New Roman"/>
          <w:sz w:val="22"/>
          <w:szCs w:val="22"/>
        </w:rPr>
        <w:t>.</w:t>
      </w:r>
    </w:p>
    <w:p w14:paraId="6426DFC1" w14:textId="7BA18792" w:rsidR="00E10737" w:rsidRDefault="00E10737" w:rsidP="00E10737">
      <w:pPr>
        <w:pStyle w:val="Nadpis4"/>
        <w:tabs>
          <w:tab w:val="clear" w:pos="709"/>
          <w:tab w:val="clear" w:pos="864"/>
        </w:tabs>
        <w:ind w:left="851" w:hanging="862"/>
      </w:pPr>
      <w:r>
        <w:t xml:space="preserve">Ukazovatele výstupov na úrovni investičnej priority </w:t>
      </w:r>
      <w:r w:rsidR="000B4D66">
        <w:t>3</w:t>
      </w:r>
      <w:r w:rsidR="0066408D">
        <w:t>a)</w:t>
      </w:r>
    </w:p>
    <w:p w14:paraId="4262DE75" w14:textId="6FAD6EBE" w:rsidR="00E10737" w:rsidRPr="002A01BC" w:rsidRDefault="00E10737" w:rsidP="005F0272">
      <w:pPr>
        <w:pStyle w:val="Tab"/>
        <w:tabs>
          <w:tab w:val="clear" w:pos="0"/>
          <w:tab w:val="clear" w:pos="851"/>
        </w:tabs>
        <w:ind w:left="1134" w:hanging="1134"/>
      </w:pPr>
      <w:r w:rsidRPr="00CF79E0">
        <w:rPr>
          <w:szCs w:val="22"/>
        </w:rPr>
        <w:t xml:space="preserve">Spoločné a špecifické ukazovatele výstupu na úrovni investičnej priority </w:t>
      </w:r>
      <w:r w:rsidR="000B4D66">
        <w:rPr>
          <w:szCs w:val="22"/>
        </w:rPr>
        <w:t>3</w:t>
      </w:r>
      <w:r w:rsidR="0066408D">
        <w:rPr>
          <w:szCs w:val="22"/>
        </w:rPr>
        <w:t>a)</w:t>
      </w:r>
    </w:p>
    <w:tbl>
      <w:tblPr>
        <w:tblStyle w:val="Mriekatabuky"/>
        <w:tblW w:w="93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49"/>
        <w:gridCol w:w="1950"/>
        <w:gridCol w:w="897"/>
        <w:gridCol w:w="1158"/>
        <w:gridCol w:w="986"/>
        <w:gridCol w:w="1197"/>
        <w:gridCol w:w="1175"/>
        <w:gridCol w:w="1177"/>
      </w:tblGrid>
      <w:tr w:rsidR="00E10737" w:rsidRPr="008C1732" w14:paraId="23DDE08A" w14:textId="77777777" w:rsidTr="005F0272">
        <w:trPr>
          <w:trHeight w:val="487"/>
          <w:jc w:val="center"/>
        </w:trPr>
        <w:tc>
          <w:tcPr>
            <w:tcW w:w="849" w:type="dxa"/>
            <w:shd w:val="clear" w:color="auto" w:fill="C6D9F1" w:themeFill="text2" w:themeFillTint="33"/>
            <w:vAlign w:val="center"/>
          </w:tcPr>
          <w:p w14:paraId="65FD0532" w14:textId="77777777" w:rsidR="00E10737" w:rsidRPr="008C1732" w:rsidRDefault="00E10737" w:rsidP="004179DE">
            <w:pPr>
              <w:ind w:left="0"/>
              <w:jc w:val="center"/>
              <w:rPr>
                <w:b/>
                <w:sz w:val="18"/>
                <w:szCs w:val="18"/>
              </w:rPr>
            </w:pPr>
            <w:r>
              <w:rPr>
                <w:b/>
                <w:sz w:val="18"/>
                <w:szCs w:val="18"/>
              </w:rPr>
              <w:t>ID</w:t>
            </w:r>
          </w:p>
        </w:tc>
        <w:tc>
          <w:tcPr>
            <w:tcW w:w="1950" w:type="dxa"/>
            <w:shd w:val="clear" w:color="auto" w:fill="C6D9F1" w:themeFill="text2" w:themeFillTint="33"/>
            <w:vAlign w:val="center"/>
          </w:tcPr>
          <w:p w14:paraId="36BD2F13" w14:textId="77777777" w:rsidR="00E10737" w:rsidRPr="008C1732" w:rsidRDefault="00E10737" w:rsidP="004179DE">
            <w:pPr>
              <w:ind w:left="0"/>
              <w:jc w:val="center"/>
              <w:rPr>
                <w:b/>
                <w:sz w:val="18"/>
                <w:szCs w:val="18"/>
              </w:rPr>
            </w:pPr>
            <w:r w:rsidRPr="008C1732">
              <w:rPr>
                <w:b/>
                <w:sz w:val="18"/>
                <w:szCs w:val="18"/>
              </w:rPr>
              <w:t>Ukazovateľ výstupu</w:t>
            </w:r>
          </w:p>
        </w:tc>
        <w:tc>
          <w:tcPr>
            <w:tcW w:w="897" w:type="dxa"/>
            <w:shd w:val="clear" w:color="auto" w:fill="C6D9F1" w:themeFill="text2" w:themeFillTint="33"/>
            <w:vAlign w:val="center"/>
          </w:tcPr>
          <w:p w14:paraId="12C3B290" w14:textId="77777777" w:rsidR="00E10737" w:rsidRPr="008C1732" w:rsidRDefault="00E10737" w:rsidP="004179DE">
            <w:pPr>
              <w:ind w:left="0"/>
              <w:jc w:val="center"/>
              <w:rPr>
                <w:b/>
                <w:sz w:val="18"/>
                <w:szCs w:val="18"/>
              </w:rPr>
            </w:pPr>
            <w:r w:rsidRPr="008C1732">
              <w:rPr>
                <w:b/>
                <w:sz w:val="18"/>
                <w:szCs w:val="18"/>
              </w:rPr>
              <w:t>Merná jednotka</w:t>
            </w:r>
          </w:p>
        </w:tc>
        <w:tc>
          <w:tcPr>
            <w:tcW w:w="1158" w:type="dxa"/>
            <w:shd w:val="clear" w:color="auto" w:fill="C6D9F1" w:themeFill="text2" w:themeFillTint="33"/>
            <w:vAlign w:val="center"/>
          </w:tcPr>
          <w:p w14:paraId="78A5FCCD" w14:textId="77777777" w:rsidR="00E10737" w:rsidRPr="008C1732" w:rsidRDefault="00E10737" w:rsidP="004179DE">
            <w:pPr>
              <w:ind w:left="0"/>
              <w:jc w:val="center"/>
              <w:rPr>
                <w:b/>
                <w:sz w:val="18"/>
                <w:szCs w:val="18"/>
              </w:rPr>
            </w:pPr>
            <w:r w:rsidRPr="008C1732">
              <w:rPr>
                <w:b/>
                <w:sz w:val="18"/>
                <w:szCs w:val="18"/>
              </w:rPr>
              <w:t>Fond</w:t>
            </w:r>
          </w:p>
        </w:tc>
        <w:tc>
          <w:tcPr>
            <w:tcW w:w="986" w:type="dxa"/>
            <w:shd w:val="clear" w:color="auto" w:fill="C6D9F1" w:themeFill="text2" w:themeFillTint="33"/>
            <w:vAlign w:val="center"/>
          </w:tcPr>
          <w:p w14:paraId="12E0310C" w14:textId="77777777" w:rsidR="00E10737" w:rsidRPr="008C1732" w:rsidRDefault="00E10737" w:rsidP="004179DE">
            <w:pPr>
              <w:ind w:left="0"/>
              <w:jc w:val="center"/>
              <w:rPr>
                <w:b/>
                <w:sz w:val="18"/>
                <w:szCs w:val="18"/>
              </w:rPr>
            </w:pPr>
            <w:r w:rsidRPr="008C1732">
              <w:rPr>
                <w:b/>
                <w:sz w:val="18"/>
                <w:szCs w:val="18"/>
              </w:rPr>
              <w:t>Kategória regiónu</w:t>
            </w:r>
          </w:p>
        </w:tc>
        <w:tc>
          <w:tcPr>
            <w:tcW w:w="1197" w:type="dxa"/>
            <w:shd w:val="clear" w:color="auto" w:fill="C6D9F1" w:themeFill="text2" w:themeFillTint="33"/>
            <w:vAlign w:val="center"/>
          </w:tcPr>
          <w:p w14:paraId="3DC6547A" w14:textId="77777777" w:rsidR="00E10737" w:rsidRPr="008C1732" w:rsidRDefault="00E10737" w:rsidP="004179DE">
            <w:pPr>
              <w:ind w:left="0"/>
              <w:jc w:val="center"/>
              <w:rPr>
                <w:b/>
                <w:sz w:val="18"/>
                <w:szCs w:val="18"/>
              </w:rPr>
            </w:pPr>
            <w:r w:rsidRPr="008C1732">
              <w:rPr>
                <w:b/>
                <w:sz w:val="18"/>
                <w:szCs w:val="18"/>
              </w:rPr>
              <w:t>Cieľová hodnota (2023)</w:t>
            </w:r>
          </w:p>
        </w:tc>
        <w:tc>
          <w:tcPr>
            <w:tcW w:w="1175" w:type="dxa"/>
            <w:shd w:val="clear" w:color="auto" w:fill="C6D9F1" w:themeFill="text2" w:themeFillTint="33"/>
            <w:vAlign w:val="center"/>
          </w:tcPr>
          <w:p w14:paraId="7CA3B238" w14:textId="77777777" w:rsidR="00E10737" w:rsidRPr="008C1732" w:rsidRDefault="00E10737" w:rsidP="004179DE">
            <w:pPr>
              <w:ind w:left="0"/>
              <w:jc w:val="center"/>
              <w:rPr>
                <w:b/>
                <w:sz w:val="18"/>
                <w:szCs w:val="18"/>
              </w:rPr>
            </w:pPr>
            <w:r w:rsidRPr="008C1732">
              <w:rPr>
                <w:b/>
                <w:sz w:val="18"/>
                <w:szCs w:val="18"/>
              </w:rPr>
              <w:t>Zdroj údajov</w:t>
            </w:r>
          </w:p>
        </w:tc>
        <w:tc>
          <w:tcPr>
            <w:tcW w:w="1177" w:type="dxa"/>
            <w:shd w:val="clear" w:color="auto" w:fill="C6D9F1" w:themeFill="text2" w:themeFillTint="33"/>
            <w:vAlign w:val="center"/>
          </w:tcPr>
          <w:p w14:paraId="2EF90FBF"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4F0234" w14:paraId="0F0CDF8B" w14:textId="77777777" w:rsidTr="005F0272">
        <w:trPr>
          <w:trHeight w:val="680"/>
          <w:jc w:val="center"/>
        </w:trPr>
        <w:tc>
          <w:tcPr>
            <w:tcW w:w="849" w:type="dxa"/>
            <w:shd w:val="clear" w:color="auto" w:fill="auto"/>
            <w:vAlign w:val="center"/>
          </w:tcPr>
          <w:p w14:paraId="11FBD2EC" w14:textId="77777777" w:rsidR="00E10737" w:rsidRPr="00DD087F" w:rsidRDefault="00E10737" w:rsidP="004179DE">
            <w:pPr>
              <w:ind w:left="0"/>
              <w:jc w:val="center"/>
              <w:rPr>
                <w:sz w:val="18"/>
                <w:szCs w:val="18"/>
              </w:rPr>
            </w:pPr>
            <w:r w:rsidRPr="00351D17">
              <w:rPr>
                <w:sz w:val="18"/>
                <w:szCs w:val="18"/>
              </w:rPr>
              <w:t>CO01</w:t>
            </w:r>
          </w:p>
        </w:tc>
        <w:tc>
          <w:tcPr>
            <w:tcW w:w="1950" w:type="dxa"/>
            <w:shd w:val="clear" w:color="auto" w:fill="auto"/>
            <w:vAlign w:val="center"/>
          </w:tcPr>
          <w:p w14:paraId="04D75179" w14:textId="21EF26CE" w:rsidR="00E10737" w:rsidRPr="00DD087F" w:rsidRDefault="00E10737">
            <w:pPr>
              <w:ind w:left="0"/>
              <w:rPr>
                <w:sz w:val="18"/>
                <w:szCs w:val="18"/>
              </w:rPr>
            </w:pPr>
            <w:r w:rsidRPr="00351D17">
              <w:rPr>
                <w:sz w:val="18"/>
                <w:szCs w:val="18"/>
              </w:rPr>
              <w:t>Počet podnikov, ktorým sa posky</w:t>
            </w:r>
            <w:r w:rsidR="00DD087F">
              <w:rPr>
                <w:sz w:val="18"/>
                <w:szCs w:val="18"/>
              </w:rPr>
              <w:t>tuje</w:t>
            </w:r>
            <w:r w:rsidRPr="00351D17">
              <w:rPr>
                <w:sz w:val="18"/>
                <w:szCs w:val="18"/>
              </w:rPr>
              <w:t xml:space="preserve"> podpora (spoločný)</w:t>
            </w:r>
          </w:p>
        </w:tc>
        <w:tc>
          <w:tcPr>
            <w:tcW w:w="897" w:type="dxa"/>
            <w:shd w:val="clear" w:color="auto" w:fill="auto"/>
            <w:vAlign w:val="center"/>
          </w:tcPr>
          <w:p w14:paraId="535D491A"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3CCA427D"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3665794C"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6DEB21D0"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707D1428" w14:textId="77777777" w:rsidR="00E10737" w:rsidRPr="00E661DF" w:rsidRDefault="00E10737" w:rsidP="004179DE">
            <w:pPr>
              <w:ind w:left="0"/>
              <w:jc w:val="center"/>
              <w:rPr>
                <w:i/>
                <w:sz w:val="18"/>
                <w:szCs w:val="18"/>
              </w:rPr>
            </w:pPr>
            <w:r w:rsidRPr="00E661DF">
              <w:rPr>
                <w:i/>
                <w:sz w:val="18"/>
                <w:szCs w:val="18"/>
              </w:rPr>
              <w:t>4 160</w:t>
            </w:r>
          </w:p>
        </w:tc>
        <w:tc>
          <w:tcPr>
            <w:tcW w:w="1175" w:type="dxa"/>
            <w:vAlign w:val="center"/>
          </w:tcPr>
          <w:p w14:paraId="097B3C71"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57CA82E8" w14:textId="77777777" w:rsidR="00E10737" w:rsidRPr="00E661DF" w:rsidRDefault="00E10737" w:rsidP="004179DE">
            <w:pPr>
              <w:ind w:left="0"/>
              <w:jc w:val="center"/>
              <w:rPr>
                <w:i/>
                <w:sz w:val="18"/>
                <w:szCs w:val="18"/>
              </w:rPr>
            </w:pPr>
            <w:r w:rsidRPr="00E661DF">
              <w:rPr>
                <w:i/>
                <w:sz w:val="18"/>
                <w:szCs w:val="18"/>
              </w:rPr>
              <w:t>ročne</w:t>
            </w:r>
          </w:p>
        </w:tc>
      </w:tr>
      <w:tr w:rsidR="00E10737" w:rsidRPr="004F0234" w14:paraId="5E50C828" w14:textId="77777777" w:rsidTr="005F0272">
        <w:trPr>
          <w:trHeight w:val="680"/>
          <w:jc w:val="center"/>
        </w:trPr>
        <w:tc>
          <w:tcPr>
            <w:tcW w:w="849" w:type="dxa"/>
            <w:shd w:val="clear" w:color="auto" w:fill="auto"/>
            <w:vAlign w:val="center"/>
          </w:tcPr>
          <w:p w14:paraId="7BE88221" w14:textId="77777777" w:rsidR="00E10737" w:rsidRPr="00DD087F" w:rsidRDefault="00E10737" w:rsidP="004179DE">
            <w:pPr>
              <w:ind w:left="0"/>
              <w:jc w:val="center"/>
              <w:rPr>
                <w:sz w:val="18"/>
                <w:szCs w:val="18"/>
              </w:rPr>
            </w:pPr>
            <w:r w:rsidRPr="00351D17">
              <w:rPr>
                <w:sz w:val="18"/>
                <w:szCs w:val="18"/>
              </w:rPr>
              <w:t>CO02</w:t>
            </w:r>
          </w:p>
        </w:tc>
        <w:tc>
          <w:tcPr>
            <w:tcW w:w="1950" w:type="dxa"/>
            <w:shd w:val="clear" w:color="auto" w:fill="auto"/>
            <w:vAlign w:val="center"/>
          </w:tcPr>
          <w:p w14:paraId="21D51364" w14:textId="77777777" w:rsidR="00E10737" w:rsidRPr="00DD087F" w:rsidRDefault="00E10737" w:rsidP="004179DE">
            <w:pPr>
              <w:ind w:left="0"/>
              <w:rPr>
                <w:sz w:val="18"/>
                <w:szCs w:val="18"/>
              </w:rPr>
            </w:pPr>
            <w:r w:rsidRPr="00351D17">
              <w:rPr>
                <w:sz w:val="18"/>
                <w:szCs w:val="18"/>
              </w:rPr>
              <w:t>Počet podnikov, ktoré dostávajú granty (spoločný)</w:t>
            </w:r>
          </w:p>
        </w:tc>
        <w:tc>
          <w:tcPr>
            <w:tcW w:w="897" w:type="dxa"/>
            <w:shd w:val="clear" w:color="auto" w:fill="auto"/>
            <w:vAlign w:val="center"/>
          </w:tcPr>
          <w:p w14:paraId="0655B049"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2058828A"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7E94AD70"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28CEA291"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1A3F5857" w14:textId="77777777" w:rsidR="00E10737" w:rsidRPr="00E661DF" w:rsidRDefault="00E10737" w:rsidP="004179DE">
            <w:pPr>
              <w:ind w:left="0"/>
              <w:jc w:val="center"/>
              <w:rPr>
                <w:i/>
                <w:sz w:val="18"/>
                <w:szCs w:val="18"/>
              </w:rPr>
            </w:pPr>
            <w:r w:rsidRPr="00E661DF">
              <w:rPr>
                <w:i/>
                <w:sz w:val="18"/>
                <w:szCs w:val="18"/>
              </w:rPr>
              <w:t>300</w:t>
            </w:r>
          </w:p>
        </w:tc>
        <w:tc>
          <w:tcPr>
            <w:tcW w:w="1175" w:type="dxa"/>
            <w:vAlign w:val="center"/>
          </w:tcPr>
          <w:p w14:paraId="0B2CB5E9"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D4B56E1" w14:textId="77777777" w:rsidR="00E10737" w:rsidRPr="00E661DF" w:rsidRDefault="00E10737" w:rsidP="004179DE">
            <w:pPr>
              <w:ind w:left="0"/>
              <w:jc w:val="center"/>
              <w:rPr>
                <w:i/>
                <w:sz w:val="18"/>
                <w:szCs w:val="18"/>
              </w:rPr>
            </w:pPr>
            <w:r w:rsidRPr="00E661DF">
              <w:rPr>
                <w:i/>
                <w:sz w:val="18"/>
                <w:szCs w:val="18"/>
              </w:rPr>
              <w:t>ročne</w:t>
            </w:r>
          </w:p>
        </w:tc>
      </w:tr>
      <w:tr w:rsidR="00E10737" w14:paraId="23D67EEF" w14:textId="77777777" w:rsidTr="005F0272">
        <w:trPr>
          <w:trHeight w:val="680"/>
          <w:jc w:val="center"/>
        </w:trPr>
        <w:tc>
          <w:tcPr>
            <w:tcW w:w="849" w:type="dxa"/>
            <w:shd w:val="clear" w:color="auto" w:fill="auto"/>
            <w:vAlign w:val="center"/>
          </w:tcPr>
          <w:p w14:paraId="5C1B9F3D" w14:textId="77777777" w:rsidR="00E10737" w:rsidRPr="00DD087F" w:rsidRDefault="00E10737" w:rsidP="004179DE">
            <w:pPr>
              <w:ind w:left="0"/>
              <w:jc w:val="center"/>
              <w:rPr>
                <w:sz w:val="18"/>
                <w:szCs w:val="18"/>
              </w:rPr>
            </w:pPr>
            <w:r w:rsidRPr="00351D17">
              <w:rPr>
                <w:sz w:val="18"/>
                <w:szCs w:val="18"/>
              </w:rPr>
              <w:t>CO03</w:t>
            </w:r>
          </w:p>
        </w:tc>
        <w:tc>
          <w:tcPr>
            <w:tcW w:w="1950" w:type="dxa"/>
            <w:shd w:val="clear" w:color="auto" w:fill="auto"/>
            <w:vAlign w:val="center"/>
          </w:tcPr>
          <w:p w14:paraId="2AB8D8E7" w14:textId="77777777" w:rsidR="00E10737" w:rsidRPr="00DD087F" w:rsidRDefault="00E10737" w:rsidP="004179DE">
            <w:pPr>
              <w:ind w:left="0"/>
              <w:rPr>
                <w:sz w:val="18"/>
                <w:szCs w:val="18"/>
              </w:rPr>
            </w:pPr>
            <w:r w:rsidRPr="00351D17">
              <w:rPr>
                <w:sz w:val="18"/>
                <w:szCs w:val="18"/>
              </w:rPr>
              <w:t>Počet podnikov, ktoré dostávajú finančnú podporu inú ako granty (spoločný)</w:t>
            </w:r>
          </w:p>
        </w:tc>
        <w:tc>
          <w:tcPr>
            <w:tcW w:w="897" w:type="dxa"/>
            <w:shd w:val="clear" w:color="auto" w:fill="auto"/>
            <w:vAlign w:val="center"/>
          </w:tcPr>
          <w:p w14:paraId="1065E56C"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301F08FF"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31A8F149"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393D3E68"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7D900128" w14:textId="77777777" w:rsidR="00E10737" w:rsidRPr="00E661DF" w:rsidRDefault="00E10737" w:rsidP="004179DE">
            <w:pPr>
              <w:ind w:left="0"/>
              <w:jc w:val="center"/>
              <w:rPr>
                <w:i/>
                <w:sz w:val="18"/>
                <w:szCs w:val="18"/>
              </w:rPr>
            </w:pPr>
            <w:r w:rsidRPr="00E661DF">
              <w:rPr>
                <w:i/>
                <w:sz w:val="18"/>
                <w:szCs w:val="18"/>
              </w:rPr>
              <w:t>20</w:t>
            </w:r>
          </w:p>
        </w:tc>
        <w:tc>
          <w:tcPr>
            <w:tcW w:w="1175" w:type="dxa"/>
            <w:vAlign w:val="center"/>
          </w:tcPr>
          <w:p w14:paraId="18895285"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672F7CE0" w14:textId="77777777" w:rsidR="00E10737" w:rsidRPr="00E661DF" w:rsidRDefault="00E10737" w:rsidP="004179DE">
            <w:pPr>
              <w:ind w:left="0"/>
              <w:jc w:val="center"/>
              <w:rPr>
                <w:i/>
                <w:sz w:val="18"/>
                <w:szCs w:val="18"/>
              </w:rPr>
            </w:pPr>
            <w:r w:rsidRPr="00E661DF">
              <w:rPr>
                <w:i/>
                <w:sz w:val="18"/>
                <w:szCs w:val="18"/>
              </w:rPr>
              <w:t>ročne</w:t>
            </w:r>
          </w:p>
        </w:tc>
      </w:tr>
      <w:tr w:rsidR="00E10737" w14:paraId="73798118" w14:textId="77777777" w:rsidTr="005F0272">
        <w:trPr>
          <w:trHeight w:val="680"/>
          <w:jc w:val="center"/>
        </w:trPr>
        <w:tc>
          <w:tcPr>
            <w:tcW w:w="849" w:type="dxa"/>
            <w:shd w:val="clear" w:color="auto" w:fill="auto"/>
            <w:vAlign w:val="center"/>
          </w:tcPr>
          <w:p w14:paraId="76D05D54" w14:textId="77777777" w:rsidR="00E10737" w:rsidRPr="00DD087F" w:rsidRDefault="00E10737" w:rsidP="004179DE">
            <w:pPr>
              <w:ind w:left="0"/>
              <w:jc w:val="center"/>
              <w:rPr>
                <w:sz w:val="18"/>
                <w:szCs w:val="18"/>
              </w:rPr>
            </w:pPr>
            <w:r w:rsidRPr="00351D17">
              <w:rPr>
                <w:sz w:val="18"/>
                <w:szCs w:val="18"/>
              </w:rPr>
              <w:t>CO04</w:t>
            </w:r>
          </w:p>
        </w:tc>
        <w:tc>
          <w:tcPr>
            <w:tcW w:w="1950" w:type="dxa"/>
            <w:shd w:val="clear" w:color="auto" w:fill="auto"/>
            <w:vAlign w:val="center"/>
          </w:tcPr>
          <w:p w14:paraId="32995CCC" w14:textId="77777777" w:rsidR="00E10737" w:rsidRPr="00DD087F" w:rsidRDefault="00E10737" w:rsidP="004179DE">
            <w:pPr>
              <w:ind w:left="0"/>
              <w:rPr>
                <w:sz w:val="18"/>
                <w:szCs w:val="18"/>
              </w:rPr>
            </w:pPr>
            <w:r w:rsidRPr="00351D17">
              <w:rPr>
                <w:sz w:val="18"/>
                <w:szCs w:val="18"/>
              </w:rPr>
              <w:t>Počet podnikov, ktoré dostávajú nefinančnú podporu (spoločný)</w:t>
            </w:r>
          </w:p>
        </w:tc>
        <w:tc>
          <w:tcPr>
            <w:tcW w:w="897" w:type="dxa"/>
            <w:shd w:val="clear" w:color="auto" w:fill="auto"/>
            <w:vAlign w:val="center"/>
          </w:tcPr>
          <w:p w14:paraId="4089CC8F"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01796A9C"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29FBA24A"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358DAC87"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17208C80" w14:textId="77777777" w:rsidR="00E10737" w:rsidRPr="00E661DF" w:rsidRDefault="00E10737" w:rsidP="004179DE">
            <w:pPr>
              <w:ind w:left="0"/>
              <w:jc w:val="center"/>
              <w:rPr>
                <w:i/>
                <w:sz w:val="18"/>
                <w:szCs w:val="18"/>
              </w:rPr>
            </w:pPr>
            <w:r w:rsidRPr="00E661DF">
              <w:rPr>
                <w:i/>
                <w:sz w:val="18"/>
                <w:szCs w:val="18"/>
              </w:rPr>
              <w:t>3 840</w:t>
            </w:r>
          </w:p>
        </w:tc>
        <w:tc>
          <w:tcPr>
            <w:tcW w:w="1175" w:type="dxa"/>
            <w:vAlign w:val="center"/>
          </w:tcPr>
          <w:p w14:paraId="56BAD760"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58E565A6" w14:textId="77777777" w:rsidR="00E10737" w:rsidRPr="00E661DF" w:rsidRDefault="00E10737" w:rsidP="004179DE">
            <w:pPr>
              <w:ind w:left="0"/>
              <w:jc w:val="center"/>
              <w:rPr>
                <w:i/>
                <w:sz w:val="18"/>
                <w:szCs w:val="18"/>
              </w:rPr>
            </w:pPr>
            <w:r w:rsidRPr="00E661DF">
              <w:rPr>
                <w:i/>
                <w:sz w:val="18"/>
                <w:szCs w:val="18"/>
              </w:rPr>
              <w:t>ročne</w:t>
            </w:r>
          </w:p>
        </w:tc>
      </w:tr>
      <w:tr w:rsidR="00E10737" w14:paraId="0141007C" w14:textId="77777777" w:rsidTr="005F0272">
        <w:trPr>
          <w:trHeight w:val="680"/>
          <w:jc w:val="center"/>
        </w:trPr>
        <w:tc>
          <w:tcPr>
            <w:tcW w:w="849" w:type="dxa"/>
            <w:shd w:val="clear" w:color="auto" w:fill="auto"/>
            <w:vAlign w:val="center"/>
          </w:tcPr>
          <w:p w14:paraId="175A7639" w14:textId="77777777" w:rsidR="00E10737" w:rsidRPr="00DD087F" w:rsidRDefault="00E10737" w:rsidP="004179DE">
            <w:pPr>
              <w:ind w:left="0"/>
              <w:jc w:val="center"/>
              <w:rPr>
                <w:sz w:val="18"/>
                <w:szCs w:val="18"/>
              </w:rPr>
            </w:pPr>
            <w:r w:rsidRPr="00351D17">
              <w:rPr>
                <w:sz w:val="18"/>
                <w:szCs w:val="18"/>
              </w:rPr>
              <w:t>CO05</w:t>
            </w:r>
          </w:p>
        </w:tc>
        <w:tc>
          <w:tcPr>
            <w:tcW w:w="1950" w:type="dxa"/>
            <w:shd w:val="clear" w:color="auto" w:fill="auto"/>
            <w:vAlign w:val="center"/>
          </w:tcPr>
          <w:p w14:paraId="04762FF8" w14:textId="77777777" w:rsidR="00E10737" w:rsidRPr="00DD087F" w:rsidRDefault="00E10737" w:rsidP="004179DE">
            <w:pPr>
              <w:ind w:left="0"/>
              <w:rPr>
                <w:sz w:val="18"/>
                <w:szCs w:val="18"/>
              </w:rPr>
            </w:pPr>
            <w:r w:rsidRPr="00351D17">
              <w:rPr>
                <w:sz w:val="18"/>
                <w:szCs w:val="18"/>
              </w:rPr>
              <w:t>Počet podporených nových podnikov (spoločný)</w:t>
            </w:r>
          </w:p>
        </w:tc>
        <w:tc>
          <w:tcPr>
            <w:tcW w:w="897" w:type="dxa"/>
            <w:shd w:val="clear" w:color="auto" w:fill="auto"/>
            <w:vAlign w:val="center"/>
          </w:tcPr>
          <w:p w14:paraId="451AE69B"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340D93EA"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07F0360D"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2556537C"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7BCD8FD0" w14:textId="77777777" w:rsidR="00E10737" w:rsidRPr="00E661DF" w:rsidRDefault="00E10737" w:rsidP="004179DE">
            <w:pPr>
              <w:ind w:left="0"/>
              <w:jc w:val="center"/>
              <w:rPr>
                <w:i/>
                <w:sz w:val="18"/>
                <w:szCs w:val="18"/>
              </w:rPr>
            </w:pPr>
            <w:r w:rsidRPr="00E661DF">
              <w:rPr>
                <w:i/>
                <w:sz w:val="18"/>
                <w:szCs w:val="18"/>
              </w:rPr>
              <w:t>4 000</w:t>
            </w:r>
          </w:p>
        </w:tc>
        <w:tc>
          <w:tcPr>
            <w:tcW w:w="1175" w:type="dxa"/>
            <w:vAlign w:val="center"/>
          </w:tcPr>
          <w:p w14:paraId="1813219D"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0FD5209" w14:textId="77777777" w:rsidR="00E10737" w:rsidRPr="00E661DF" w:rsidRDefault="00E10737" w:rsidP="004179DE">
            <w:pPr>
              <w:ind w:left="0"/>
              <w:jc w:val="center"/>
              <w:rPr>
                <w:i/>
                <w:sz w:val="18"/>
                <w:szCs w:val="18"/>
              </w:rPr>
            </w:pPr>
            <w:r w:rsidRPr="00E661DF">
              <w:rPr>
                <w:i/>
                <w:sz w:val="18"/>
                <w:szCs w:val="18"/>
              </w:rPr>
              <w:t>ročne</w:t>
            </w:r>
          </w:p>
        </w:tc>
      </w:tr>
      <w:tr w:rsidR="00E10737" w14:paraId="1D91ADD6" w14:textId="77777777" w:rsidTr="005F0272">
        <w:trPr>
          <w:trHeight w:val="680"/>
          <w:jc w:val="center"/>
        </w:trPr>
        <w:tc>
          <w:tcPr>
            <w:tcW w:w="849" w:type="dxa"/>
            <w:shd w:val="clear" w:color="auto" w:fill="auto"/>
            <w:vAlign w:val="center"/>
          </w:tcPr>
          <w:p w14:paraId="35BC4706" w14:textId="77777777" w:rsidR="00E10737" w:rsidRPr="00DD087F" w:rsidRDefault="00E10737" w:rsidP="004179DE">
            <w:pPr>
              <w:ind w:left="0"/>
              <w:jc w:val="center"/>
              <w:rPr>
                <w:sz w:val="18"/>
                <w:szCs w:val="18"/>
              </w:rPr>
            </w:pPr>
            <w:r w:rsidRPr="00351D17">
              <w:rPr>
                <w:sz w:val="18"/>
                <w:szCs w:val="18"/>
              </w:rPr>
              <w:t>CO06</w:t>
            </w:r>
          </w:p>
        </w:tc>
        <w:tc>
          <w:tcPr>
            <w:tcW w:w="1950" w:type="dxa"/>
            <w:shd w:val="clear" w:color="auto" w:fill="auto"/>
            <w:vAlign w:val="center"/>
          </w:tcPr>
          <w:p w14:paraId="12FD90F1" w14:textId="77777777" w:rsidR="00E10737" w:rsidRPr="00DD087F" w:rsidRDefault="00E10737" w:rsidP="004179DE">
            <w:pPr>
              <w:ind w:left="0"/>
              <w:rPr>
                <w:sz w:val="18"/>
                <w:szCs w:val="18"/>
              </w:rPr>
            </w:pPr>
            <w:r w:rsidRPr="00351D17">
              <w:rPr>
                <w:sz w:val="18"/>
                <w:szCs w:val="18"/>
              </w:rPr>
              <w:t>Súkromné investície zodpovedajúce verejnej podpore pre podniky (granty) (spoločný)</w:t>
            </w:r>
          </w:p>
        </w:tc>
        <w:tc>
          <w:tcPr>
            <w:tcW w:w="897" w:type="dxa"/>
            <w:shd w:val="clear" w:color="auto" w:fill="auto"/>
            <w:vAlign w:val="center"/>
          </w:tcPr>
          <w:p w14:paraId="24AE31BD" w14:textId="77777777" w:rsidR="00E10737" w:rsidRPr="00E661DF" w:rsidRDefault="00E10737" w:rsidP="004179DE">
            <w:pPr>
              <w:ind w:left="0"/>
              <w:jc w:val="center"/>
              <w:rPr>
                <w:i/>
                <w:sz w:val="18"/>
                <w:szCs w:val="18"/>
              </w:rPr>
            </w:pPr>
            <w:r w:rsidRPr="00E661DF">
              <w:rPr>
                <w:i/>
                <w:sz w:val="18"/>
                <w:szCs w:val="18"/>
              </w:rPr>
              <w:t>EUR</w:t>
            </w:r>
          </w:p>
        </w:tc>
        <w:tc>
          <w:tcPr>
            <w:tcW w:w="1158" w:type="dxa"/>
            <w:shd w:val="clear" w:color="auto" w:fill="auto"/>
            <w:vAlign w:val="center"/>
          </w:tcPr>
          <w:p w14:paraId="49B6DE60"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077DE3FE"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03A035F5"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3442B1B3" w14:textId="77777777" w:rsidR="00E10737" w:rsidRPr="00E661DF" w:rsidRDefault="00E10737" w:rsidP="004179DE">
            <w:pPr>
              <w:ind w:left="0"/>
              <w:jc w:val="center"/>
              <w:rPr>
                <w:i/>
                <w:sz w:val="18"/>
                <w:szCs w:val="18"/>
              </w:rPr>
            </w:pPr>
            <w:r w:rsidRPr="00E661DF">
              <w:rPr>
                <w:i/>
                <w:sz w:val="18"/>
                <w:szCs w:val="18"/>
              </w:rPr>
              <w:t>48 000 000</w:t>
            </w:r>
          </w:p>
        </w:tc>
        <w:tc>
          <w:tcPr>
            <w:tcW w:w="1175" w:type="dxa"/>
            <w:vAlign w:val="center"/>
          </w:tcPr>
          <w:p w14:paraId="7DA7F49E"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F605460" w14:textId="77777777" w:rsidR="00E10737" w:rsidRPr="00E661DF" w:rsidRDefault="00E10737" w:rsidP="004179DE">
            <w:pPr>
              <w:ind w:left="0"/>
              <w:jc w:val="center"/>
              <w:rPr>
                <w:i/>
                <w:sz w:val="18"/>
                <w:szCs w:val="18"/>
              </w:rPr>
            </w:pPr>
            <w:r w:rsidRPr="00E661DF">
              <w:rPr>
                <w:i/>
                <w:sz w:val="18"/>
                <w:szCs w:val="18"/>
              </w:rPr>
              <w:t>ročne</w:t>
            </w:r>
          </w:p>
        </w:tc>
      </w:tr>
      <w:tr w:rsidR="00E10737" w14:paraId="13A1003E" w14:textId="77777777" w:rsidTr="005F0272">
        <w:trPr>
          <w:trHeight w:val="680"/>
          <w:jc w:val="center"/>
        </w:trPr>
        <w:tc>
          <w:tcPr>
            <w:tcW w:w="849" w:type="dxa"/>
            <w:shd w:val="clear" w:color="auto" w:fill="auto"/>
            <w:vAlign w:val="center"/>
          </w:tcPr>
          <w:p w14:paraId="78C69EBD" w14:textId="77777777" w:rsidR="00E10737" w:rsidRPr="00DD087F" w:rsidRDefault="00E10737" w:rsidP="004179DE">
            <w:pPr>
              <w:ind w:left="0"/>
              <w:jc w:val="center"/>
              <w:rPr>
                <w:sz w:val="18"/>
                <w:szCs w:val="18"/>
              </w:rPr>
            </w:pPr>
            <w:r w:rsidRPr="00351D17">
              <w:rPr>
                <w:sz w:val="18"/>
                <w:szCs w:val="18"/>
              </w:rPr>
              <w:t>CO07</w:t>
            </w:r>
          </w:p>
        </w:tc>
        <w:tc>
          <w:tcPr>
            <w:tcW w:w="1950" w:type="dxa"/>
            <w:shd w:val="clear" w:color="auto" w:fill="auto"/>
            <w:vAlign w:val="center"/>
          </w:tcPr>
          <w:p w14:paraId="76C4BB1B" w14:textId="77777777" w:rsidR="00E10737" w:rsidRPr="00DD087F" w:rsidRDefault="00E10737" w:rsidP="004179DE">
            <w:pPr>
              <w:ind w:left="0"/>
              <w:rPr>
                <w:sz w:val="18"/>
                <w:szCs w:val="18"/>
              </w:rPr>
            </w:pPr>
            <w:r w:rsidRPr="00351D17">
              <w:rPr>
                <w:sz w:val="18"/>
                <w:szCs w:val="18"/>
              </w:rPr>
              <w:t>Súkromné investície zodpovedajúce verejnej podpore pre podniky (iné ako granty) (spoločný)</w:t>
            </w:r>
          </w:p>
        </w:tc>
        <w:tc>
          <w:tcPr>
            <w:tcW w:w="897" w:type="dxa"/>
            <w:shd w:val="clear" w:color="auto" w:fill="auto"/>
            <w:vAlign w:val="center"/>
          </w:tcPr>
          <w:p w14:paraId="744B0426" w14:textId="77777777" w:rsidR="00E10737" w:rsidRPr="00E661DF" w:rsidRDefault="00E10737" w:rsidP="004179DE">
            <w:pPr>
              <w:ind w:left="0"/>
              <w:jc w:val="center"/>
              <w:rPr>
                <w:i/>
                <w:sz w:val="18"/>
                <w:szCs w:val="18"/>
              </w:rPr>
            </w:pPr>
            <w:r w:rsidRPr="00E661DF">
              <w:rPr>
                <w:i/>
                <w:sz w:val="18"/>
                <w:szCs w:val="18"/>
              </w:rPr>
              <w:t>EUR</w:t>
            </w:r>
          </w:p>
        </w:tc>
        <w:tc>
          <w:tcPr>
            <w:tcW w:w="1158" w:type="dxa"/>
            <w:shd w:val="clear" w:color="auto" w:fill="auto"/>
            <w:vAlign w:val="center"/>
          </w:tcPr>
          <w:p w14:paraId="7CEB240E"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63D32FD5"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37DEFD3C"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00A5AE22" w14:textId="77777777" w:rsidR="00E10737" w:rsidRPr="00E661DF" w:rsidRDefault="00E10737" w:rsidP="004179DE">
            <w:pPr>
              <w:ind w:left="0"/>
              <w:jc w:val="center"/>
              <w:rPr>
                <w:i/>
                <w:sz w:val="18"/>
                <w:szCs w:val="18"/>
              </w:rPr>
            </w:pPr>
            <w:r w:rsidRPr="00E661DF">
              <w:rPr>
                <w:i/>
                <w:sz w:val="18"/>
                <w:szCs w:val="18"/>
              </w:rPr>
              <w:t>53 200 000</w:t>
            </w:r>
          </w:p>
        </w:tc>
        <w:tc>
          <w:tcPr>
            <w:tcW w:w="1175" w:type="dxa"/>
            <w:vAlign w:val="center"/>
          </w:tcPr>
          <w:p w14:paraId="6F15FED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9DDF8DD" w14:textId="77777777" w:rsidR="00E10737" w:rsidRPr="00E661DF" w:rsidRDefault="00E10737" w:rsidP="004179DE">
            <w:pPr>
              <w:ind w:left="0"/>
              <w:jc w:val="center"/>
              <w:rPr>
                <w:i/>
                <w:sz w:val="18"/>
                <w:szCs w:val="18"/>
              </w:rPr>
            </w:pPr>
            <w:r w:rsidRPr="00E661DF">
              <w:rPr>
                <w:i/>
                <w:sz w:val="18"/>
                <w:szCs w:val="18"/>
              </w:rPr>
              <w:t>ročne</w:t>
            </w:r>
          </w:p>
        </w:tc>
      </w:tr>
      <w:tr w:rsidR="00E10737" w14:paraId="4BC7E2F0" w14:textId="77777777" w:rsidTr="005F0272">
        <w:trPr>
          <w:trHeight w:val="680"/>
          <w:jc w:val="center"/>
        </w:trPr>
        <w:tc>
          <w:tcPr>
            <w:tcW w:w="849" w:type="dxa"/>
            <w:shd w:val="clear" w:color="auto" w:fill="auto"/>
            <w:vAlign w:val="center"/>
          </w:tcPr>
          <w:p w14:paraId="229308B7" w14:textId="77777777" w:rsidR="00E10737" w:rsidRPr="00DD087F" w:rsidRDefault="00E10737" w:rsidP="004179DE">
            <w:pPr>
              <w:ind w:left="0"/>
              <w:jc w:val="center"/>
              <w:rPr>
                <w:sz w:val="18"/>
                <w:szCs w:val="18"/>
              </w:rPr>
            </w:pPr>
            <w:r w:rsidRPr="00351D17">
              <w:rPr>
                <w:sz w:val="18"/>
                <w:szCs w:val="18"/>
              </w:rPr>
              <w:lastRenderedPageBreak/>
              <w:t>CO08</w:t>
            </w:r>
          </w:p>
        </w:tc>
        <w:tc>
          <w:tcPr>
            <w:tcW w:w="1950" w:type="dxa"/>
            <w:shd w:val="clear" w:color="auto" w:fill="auto"/>
            <w:vAlign w:val="center"/>
          </w:tcPr>
          <w:p w14:paraId="7DC2252D" w14:textId="05312483" w:rsidR="00E10737" w:rsidRPr="00DD087F" w:rsidRDefault="00E10737" w:rsidP="00704FB6">
            <w:pPr>
              <w:ind w:left="0"/>
              <w:rPr>
                <w:sz w:val="18"/>
                <w:szCs w:val="18"/>
              </w:rPr>
            </w:pPr>
            <w:r w:rsidRPr="00351D17">
              <w:rPr>
                <w:sz w:val="18"/>
                <w:szCs w:val="18"/>
              </w:rPr>
              <w:t>Nárast zamestnanosti v podporovaných podnikoch (spoločný)</w:t>
            </w:r>
          </w:p>
        </w:tc>
        <w:tc>
          <w:tcPr>
            <w:tcW w:w="897" w:type="dxa"/>
            <w:shd w:val="clear" w:color="auto" w:fill="auto"/>
            <w:vAlign w:val="center"/>
          </w:tcPr>
          <w:p w14:paraId="1C19213E" w14:textId="77777777" w:rsidR="00E10737" w:rsidRPr="00E661DF" w:rsidRDefault="00E10737" w:rsidP="004179DE">
            <w:pPr>
              <w:ind w:left="0"/>
              <w:jc w:val="center"/>
              <w:rPr>
                <w:i/>
                <w:sz w:val="18"/>
                <w:szCs w:val="18"/>
              </w:rPr>
            </w:pPr>
            <w:r w:rsidRPr="00E661DF">
              <w:rPr>
                <w:i/>
                <w:sz w:val="18"/>
                <w:szCs w:val="18"/>
              </w:rPr>
              <w:t>FTE</w:t>
            </w:r>
          </w:p>
        </w:tc>
        <w:tc>
          <w:tcPr>
            <w:tcW w:w="1158" w:type="dxa"/>
            <w:shd w:val="clear" w:color="auto" w:fill="auto"/>
            <w:vAlign w:val="center"/>
          </w:tcPr>
          <w:p w14:paraId="0B1CFE99"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725FFA76"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67187AA0"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31252C69" w14:textId="77777777" w:rsidR="00E10737" w:rsidRPr="00E661DF" w:rsidRDefault="00E10737" w:rsidP="004179DE">
            <w:pPr>
              <w:ind w:left="0"/>
              <w:jc w:val="center"/>
              <w:rPr>
                <w:i/>
                <w:sz w:val="18"/>
                <w:szCs w:val="18"/>
              </w:rPr>
            </w:pPr>
            <w:r w:rsidRPr="00E661DF">
              <w:rPr>
                <w:i/>
                <w:sz w:val="18"/>
                <w:szCs w:val="18"/>
              </w:rPr>
              <w:t>240</w:t>
            </w:r>
          </w:p>
        </w:tc>
        <w:tc>
          <w:tcPr>
            <w:tcW w:w="1175" w:type="dxa"/>
            <w:vAlign w:val="center"/>
          </w:tcPr>
          <w:p w14:paraId="7A257B47"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0AF74968" w14:textId="77777777" w:rsidR="00E10737" w:rsidRPr="00E661DF" w:rsidRDefault="00E10737" w:rsidP="004179DE">
            <w:pPr>
              <w:ind w:left="0"/>
              <w:jc w:val="center"/>
              <w:rPr>
                <w:i/>
                <w:sz w:val="18"/>
                <w:szCs w:val="18"/>
              </w:rPr>
            </w:pPr>
            <w:r w:rsidRPr="00E661DF">
              <w:rPr>
                <w:i/>
                <w:sz w:val="18"/>
                <w:szCs w:val="18"/>
              </w:rPr>
              <w:t>ročne</w:t>
            </w:r>
          </w:p>
        </w:tc>
      </w:tr>
      <w:tr w:rsidR="00E10737" w14:paraId="02EB7F9B" w14:textId="77777777" w:rsidTr="005F0272">
        <w:trPr>
          <w:trHeight w:val="680"/>
          <w:jc w:val="center"/>
        </w:trPr>
        <w:tc>
          <w:tcPr>
            <w:tcW w:w="849" w:type="dxa"/>
            <w:shd w:val="clear" w:color="auto" w:fill="auto"/>
            <w:vAlign w:val="center"/>
          </w:tcPr>
          <w:p w14:paraId="4E59E7F4" w14:textId="77777777" w:rsidR="00E10737" w:rsidRPr="00DD087F" w:rsidRDefault="00E10737" w:rsidP="004179DE">
            <w:pPr>
              <w:ind w:left="0"/>
              <w:jc w:val="center"/>
              <w:rPr>
                <w:sz w:val="18"/>
                <w:szCs w:val="18"/>
              </w:rPr>
            </w:pPr>
            <w:r w:rsidRPr="00351D17">
              <w:rPr>
                <w:sz w:val="18"/>
                <w:szCs w:val="18"/>
              </w:rPr>
              <w:t>CO28</w:t>
            </w:r>
          </w:p>
        </w:tc>
        <w:tc>
          <w:tcPr>
            <w:tcW w:w="1950" w:type="dxa"/>
            <w:shd w:val="clear" w:color="auto" w:fill="auto"/>
            <w:vAlign w:val="center"/>
          </w:tcPr>
          <w:p w14:paraId="6A246284" w14:textId="77777777" w:rsidR="00E10737" w:rsidRPr="00DD087F" w:rsidRDefault="00E10737" w:rsidP="004179DE">
            <w:pPr>
              <w:ind w:left="0"/>
              <w:rPr>
                <w:sz w:val="18"/>
                <w:szCs w:val="18"/>
              </w:rPr>
            </w:pPr>
            <w:r w:rsidRPr="00351D17">
              <w:rPr>
                <w:sz w:val="18"/>
                <w:szCs w:val="18"/>
              </w:rPr>
              <w:t>Počet podnikov, ktoré dostávajú podporu s cieľom predstaviť výrobky, ktoré sú pre trh nové (spoločný)</w:t>
            </w:r>
          </w:p>
        </w:tc>
        <w:tc>
          <w:tcPr>
            <w:tcW w:w="897" w:type="dxa"/>
            <w:shd w:val="clear" w:color="auto" w:fill="auto"/>
            <w:vAlign w:val="center"/>
          </w:tcPr>
          <w:p w14:paraId="10E44ADB"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2118726D"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41EA8249"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5C94F752"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59E0E598" w14:textId="77777777" w:rsidR="00E10737" w:rsidRPr="00E661DF" w:rsidRDefault="00E10737" w:rsidP="004179DE">
            <w:pPr>
              <w:ind w:left="0"/>
              <w:jc w:val="center"/>
              <w:rPr>
                <w:i/>
                <w:sz w:val="18"/>
                <w:szCs w:val="18"/>
              </w:rPr>
            </w:pPr>
            <w:r w:rsidRPr="00E661DF">
              <w:rPr>
                <w:i/>
                <w:sz w:val="18"/>
                <w:szCs w:val="18"/>
              </w:rPr>
              <w:t>1 890</w:t>
            </w:r>
          </w:p>
        </w:tc>
        <w:tc>
          <w:tcPr>
            <w:tcW w:w="1175" w:type="dxa"/>
            <w:vAlign w:val="center"/>
          </w:tcPr>
          <w:p w14:paraId="23D4EC23"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A73AE1E" w14:textId="77777777" w:rsidR="00E10737" w:rsidRPr="00E661DF" w:rsidRDefault="00E10737" w:rsidP="004179DE">
            <w:pPr>
              <w:ind w:left="0"/>
              <w:jc w:val="center"/>
              <w:rPr>
                <w:i/>
                <w:sz w:val="18"/>
                <w:szCs w:val="18"/>
              </w:rPr>
            </w:pPr>
            <w:r w:rsidRPr="00E661DF">
              <w:rPr>
                <w:i/>
                <w:sz w:val="18"/>
                <w:szCs w:val="18"/>
              </w:rPr>
              <w:t>ročne</w:t>
            </w:r>
          </w:p>
        </w:tc>
      </w:tr>
      <w:tr w:rsidR="00E10737" w14:paraId="7B6C0CA8" w14:textId="77777777" w:rsidTr="005F0272">
        <w:trPr>
          <w:trHeight w:val="680"/>
          <w:jc w:val="center"/>
        </w:trPr>
        <w:tc>
          <w:tcPr>
            <w:tcW w:w="849" w:type="dxa"/>
            <w:shd w:val="clear" w:color="auto" w:fill="auto"/>
            <w:vAlign w:val="center"/>
          </w:tcPr>
          <w:p w14:paraId="1F8B1475" w14:textId="77777777" w:rsidR="00E10737" w:rsidRPr="00DD087F" w:rsidRDefault="00E10737" w:rsidP="004179DE">
            <w:pPr>
              <w:ind w:left="0"/>
              <w:jc w:val="center"/>
              <w:rPr>
                <w:sz w:val="18"/>
                <w:szCs w:val="18"/>
              </w:rPr>
            </w:pPr>
            <w:r w:rsidRPr="00351D17">
              <w:rPr>
                <w:sz w:val="18"/>
                <w:szCs w:val="18"/>
              </w:rPr>
              <w:t>CO29</w:t>
            </w:r>
          </w:p>
        </w:tc>
        <w:tc>
          <w:tcPr>
            <w:tcW w:w="1950" w:type="dxa"/>
            <w:shd w:val="clear" w:color="auto" w:fill="auto"/>
            <w:vAlign w:val="center"/>
          </w:tcPr>
          <w:p w14:paraId="359C9A5C" w14:textId="77777777" w:rsidR="00E10737" w:rsidRPr="00DD087F" w:rsidRDefault="00E10737" w:rsidP="004179DE">
            <w:pPr>
              <w:ind w:left="0"/>
              <w:rPr>
                <w:sz w:val="18"/>
                <w:szCs w:val="18"/>
              </w:rPr>
            </w:pPr>
            <w:r w:rsidRPr="00351D17">
              <w:rPr>
                <w:sz w:val="18"/>
                <w:szCs w:val="18"/>
              </w:rPr>
              <w:t>Počet podnikov, ktoré dostávajú podporu s cieľom predstaviť výrobky, ktoré sú pre firmu nové (spoločný)</w:t>
            </w:r>
          </w:p>
        </w:tc>
        <w:tc>
          <w:tcPr>
            <w:tcW w:w="897" w:type="dxa"/>
            <w:shd w:val="clear" w:color="auto" w:fill="auto"/>
            <w:vAlign w:val="center"/>
          </w:tcPr>
          <w:p w14:paraId="53DA7B56" w14:textId="77777777" w:rsidR="00E10737" w:rsidRPr="00E661DF" w:rsidRDefault="00E10737" w:rsidP="004179DE">
            <w:pPr>
              <w:ind w:left="0"/>
              <w:jc w:val="center"/>
              <w:rPr>
                <w:i/>
                <w:sz w:val="18"/>
                <w:szCs w:val="18"/>
              </w:rPr>
            </w:pPr>
            <w:r w:rsidRPr="00E661DF">
              <w:rPr>
                <w:i/>
                <w:sz w:val="18"/>
                <w:szCs w:val="18"/>
              </w:rPr>
              <w:t>podniky</w:t>
            </w:r>
          </w:p>
        </w:tc>
        <w:tc>
          <w:tcPr>
            <w:tcW w:w="1158" w:type="dxa"/>
            <w:shd w:val="clear" w:color="auto" w:fill="auto"/>
            <w:vAlign w:val="center"/>
          </w:tcPr>
          <w:p w14:paraId="7FBA69C1"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2D781750"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732317D3"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2455E999" w14:textId="77777777" w:rsidR="00E10737" w:rsidRPr="00E661DF" w:rsidRDefault="00E10737" w:rsidP="004179DE">
            <w:pPr>
              <w:ind w:left="0"/>
              <w:jc w:val="center"/>
              <w:rPr>
                <w:i/>
                <w:sz w:val="18"/>
                <w:szCs w:val="18"/>
              </w:rPr>
            </w:pPr>
            <w:r w:rsidRPr="00E661DF">
              <w:rPr>
                <w:i/>
                <w:sz w:val="18"/>
                <w:szCs w:val="18"/>
              </w:rPr>
              <w:t>3 030</w:t>
            </w:r>
          </w:p>
        </w:tc>
        <w:tc>
          <w:tcPr>
            <w:tcW w:w="1175" w:type="dxa"/>
            <w:vAlign w:val="center"/>
          </w:tcPr>
          <w:p w14:paraId="0EEF5473"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0E87664B" w14:textId="77777777" w:rsidR="00E10737" w:rsidRPr="00E661DF" w:rsidRDefault="00E10737" w:rsidP="004179DE">
            <w:pPr>
              <w:ind w:left="0"/>
              <w:jc w:val="center"/>
              <w:rPr>
                <w:i/>
                <w:sz w:val="18"/>
                <w:szCs w:val="18"/>
              </w:rPr>
            </w:pPr>
            <w:r w:rsidRPr="00E661DF">
              <w:rPr>
                <w:i/>
                <w:sz w:val="18"/>
                <w:szCs w:val="18"/>
              </w:rPr>
              <w:t>ročne</w:t>
            </w:r>
          </w:p>
        </w:tc>
      </w:tr>
      <w:tr w:rsidR="00E10737" w14:paraId="41EEB7C8" w14:textId="77777777" w:rsidTr="005F0272">
        <w:trPr>
          <w:trHeight w:val="680"/>
          <w:jc w:val="center"/>
        </w:trPr>
        <w:tc>
          <w:tcPr>
            <w:tcW w:w="849" w:type="dxa"/>
            <w:shd w:val="clear" w:color="auto" w:fill="auto"/>
            <w:vAlign w:val="center"/>
          </w:tcPr>
          <w:p w14:paraId="7B2E78D2" w14:textId="77777777" w:rsidR="00E10737" w:rsidRPr="00DD087F" w:rsidRDefault="00E10737" w:rsidP="004179DE">
            <w:pPr>
              <w:ind w:left="0"/>
              <w:jc w:val="center"/>
              <w:rPr>
                <w:sz w:val="18"/>
                <w:szCs w:val="18"/>
              </w:rPr>
            </w:pPr>
            <w:r w:rsidRPr="00351D17">
              <w:rPr>
                <w:sz w:val="18"/>
                <w:szCs w:val="18"/>
              </w:rPr>
              <w:t>O0072</w:t>
            </w:r>
          </w:p>
        </w:tc>
        <w:tc>
          <w:tcPr>
            <w:tcW w:w="1950" w:type="dxa"/>
            <w:shd w:val="clear" w:color="auto" w:fill="auto"/>
            <w:vAlign w:val="center"/>
          </w:tcPr>
          <w:p w14:paraId="40DE10CB" w14:textId="77777777" w:rsidR="00E10737" w:rsidRPr="00DD087F" w:rsidRDefault="00E10737" w:rsidP="004179DE">
            <w:pPr>
              <w:ind w:left="0"/>
              <w:rPr>
                <w:sz w:val="18"/>
                <w:szCs w:val="18"/>
              </w:rPr>
            </w:pPr>
            <w:r w:rsidRPr="00351D17">
              <w:rPr>
                <w:sz w:val="18"/>
                <w:szCs w:val="18"/>
              </w:rPr>
              <w:t>Počet prihlášok registrácie práv duševného vlastníctva (špecifický)</w:t>
            </w:r>
          </w:p>
        </w:tc>
        <w:tc>
          <w:tcPr>
            <w:tcW w:w="897" w:type="dxa"/>
            <w:shd w:val="clear" w:color="auto" w:fill="auto"/>
            <w:vAlign w:val="center"/>
          </w:tcPr>
          <w:p w14:paraId="22370301" w14:textId="77777777" w:rsidR="00E10737" w:rsidRPr="00E661DF" w:rsidRDefault="00E10737" w:rsidP="004179DE">
            <w:pPr>
              <w:ind w:left="0"/>
              <w:jc w:val="center"/>
              <w:rPr>
                <w:i/>
                <w:sz w:val="18"/>
                <w:szCs w:val="18"/>
              </w:rPr>
            </w:pPr>
            <w:r w:rsidRPr="00E661DF">
              <w:rPr>
                <w:i/>
                <w:sz w:val="18"/>
                <w:szCs w:val="18"/>
              </w:rPr>
              <w:t>počet</w:t>
            </w:r>
          </w:p>
        </w:tc>
        <w:tc>
          <w:tcPr>
            <w:tcW w:w="1158" w:type="dxa"/>
            <w:shd w:val="clear" w:color="auto" w:fill="auto"/>
            <w:vAlign w:val="center"/>
          </w:tcPr>
          <w:p w14:paraId="337B0D3D"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12B7A8C4"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2AD2253F"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5AEBA4A6" w14:textId="77777777" w:rsidR="00E10737" w:rsidRPr="00E661DF" w:rsidRDefault="00E10737" w:rsidP="004179DE">
            <w:pPr>
              <w:ind w:left="0"/>
              <w:jc w:val="center"/>
              <w:rPr>
                <w:i/>
                <w:sz w:val="18"/>
                <w:szCs w:val="18"/>
              </w:rPr>
            </w:pPr>
            <w:r w:rsidRPr="00E661DF">
              <w:rPr>
                <w:i/>
                <w:sz w:val="18"/>
                <w:szCs w:val="18"/>
              </w:rPr>
              <w:t>30</w:t>
            </w:r>
          </w:p>
        </w:tc>
        <w:tc>
          <w:tcPr>
            <w:tcW w:w="1175" w:type="dxa"/>
            <w:vAlign w:val="center"/>
          </w:tcPr>
          <w:p w14:paraId="1D18481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791DD97" w14:textId="77777777" w:rsidR="00E10737" w:rsidRPr="00E661DF" w:rsidRDefault="00E10737" w:rsidP="004179DE">
            <w:pPr>
              <w:ind w:left="0"/>
              <w:jc w:val="center"/>
              <w:rPr>
                <w:i/>
                <w:sz w:val="18"/>
                <w:szCs w:val="18"/>
              </w:rPr>
            </w:pPr>
            <w:r w:rsidRPr="00E661DF">
              <w:rPr>
                <w:i/>
                <w:sz w:val="18"/>
                <w:szCs w:val="18"/>
              </w:rPr>
              <w:t>ročne</w:t>
            </w:r>
          </w:p>
        </w:tc>
      </w:tr>
      <w:tr w:rsidR="00E10737" w14:paraId="383E96B7" w14:textId="77777777" w:rsidTr="005F0272">
        <w:trPr>
          <w:trHeight w:val="680"/>
          <w:jc w:val="center"/>
        </w:trPr>
        <w:tc>
          <w:tcPr>
            <w:tcW w:w="849" w:type="dxa"/>
            <w:shd w:val="clear" w:color="auto" w:fill="auto"/>
            <w:vAlign w:val="center"/>
          </w:tcPr>
          <w:p w14:paraId="7E0D49E5" w14:textId="77777777" w:rsidR="00E10737" w:rsidRPr="00DD087F" w:rsidRDefault="00E10737" w:rsidP="004179DE">
            <w:pPr>
              <w:ind w:left="0"/>
              <w:jc w:val="center"/>
              <w:rPr>
                <w:sz w:val="18"/>
                <w:szCs w:val="18"/>
              </w:rPr>
            </w:pPr>
            <w:r w:rsidRPr="00351D17">
              <w:rPr>
                <w:sz w:val="18"/>
                <w:szCs w:val="18"/>
              </w:rPr>
              <w:t>O0074</w:t>
            </w:r>
          </w:p>
        </w:tc>
        <w:tc>
          <w:tcPr>
            <w:tcW w:w="1950" w:type="dxa"/>
            <w:shd w:val="clear" w:color="auto" w:fill="auto"/>
            <w:vAlign w:val="center"/>
          </w:tcPr>
          <w:p w14:paraId="5ED8D904" w14:textId="77777777" w:rsidR="00E10737" w:rsidRPr="00DD087F" w:rsidRDefault="00E10737" w:rsidP="004179DE">
            <w:pPr>
              <w:ind w:left="0"/>
              <w:rPr>
                <w:sz w:val="18"/>
                <w:szCs w:val="18"/>
              </w:rPr>
            </w:pPr>
            <w:r w:rsidRPr="00351D17">
              <w:rPr>
                <w:sz w:val="18"/>
                <w:szCs w:val="18"/>
              </w:rPr>
              <w:t>Počet vzniknutých start-up a spin- off podnikov (špecifický)</w:t>
            </w:r>
          </w:p>
        </w:tc>
        <w:tc>
          <w:tcPr>
            <w:tcW w:w="897" w:type="dxa"/>
            <w:shd w:val="clear" w:color="auto" w:fill="auto"/>
            <w:vAlign w:val="center"/>
          </w:tcPr>
          <w:p w14:paraId="400A4DFD" w14:textId="77777777" w:rsidR="00E10737" w:rsidRPr="00E661DF" w:rsidRDefault="00E10737" w:rsidP="004179DE">
            <w:pPr>
              <w:ind w:left="0"/>
              <w:jc w:val="center"/>
              <w:rPr>
                <w:i/>
                <w:sz w:val="18"/>
                <w:szCs w:val="18"/>
              </w:rPr>
            </w:pPr>
            <w:r w:rsidRPr="00E661DF">
              <w:rPr>
                <w:i/>
                <w:sz w:val="18"/>
                <w:szCs w:val="18"/>
              </w:rPr>
              <w:t>počet</w:t>
            </w:r>
          </w:p>
        </w:tc>
        <w:tc>
          <w:tcPr>
            <w:tcW w:w="1158" w:type="dxa"/>
            <w:shd w:val="clear" w:color="auto" w:fill="auto"/>
            <w:vAlign w:val="center"/>
          </w:tcPr>
          <w:p w14:paraId="665EAD16"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59231E73"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33540C7A"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3A6F70F9" w14:textId="77777777" w:rsidR="00E10737" w:rsidRPr="00E661DF" w:rsidRDefault="00E10737" w:rsidP="004179DE">
            <w:pPr>
              <w:ind w:left="0"/>
              <w:jc w:val="center"/>
              <w:rPr>
                <w:i/>
                <w:sz w:val="18"/>
                <w:szCs w:val="18"/>
              </w:rPr>
            </w:pPr>
            <w:r w:rsidRPr="00E661DF">
              <w:rPr>
                <w:i/>
                <w:sz w:val="18"/>
                <w:szCs w:val="18"/>
              </w:rPr>
              <w:t>1 200</w:t>
            </w:r>
          </w:p>
        </w:tc>
        <w:tc>
          <w:tcPr>
            <w:tcW w:w="1175" w:type="dxa"/>
            <w:vAlign w:val="center"/>
          </w:tcPr>
          <w:p w14:paraId="604DD353"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4B1134F" w14:textId="77777777" w:rsidR="00E10737" w:rsidRPr="00E661DF" w:rsidRDefault="00E10737" w:rsidP="004179DE">
            <w:pPr>
              <w:ind w:left="0"/>
              <w:jc w:val="center"/>
              <w:rPr>
                <w:i/>
                <w:sz w:val="18"/>
                <w:szCs w:val="18"/>
              </w:rPr>
            </w:pPr>
            <w:r w:rsidRPr="00E661DF">
              <w:rPr>
                <w:i/>
                <w:sz w:val="18"/>
                <w:szCs w:val="18"/>
              </w:rPr>
              <w:t>ročne</w:t>
            </w:r>
          </w:p>
        </w:tc>
      </w:tr>
      <w:tr w:rsidR="00E10737" w14:paraId="372BE735" w14:textId="77777777" w:rsidTr="005F0272">
        <w:trPr>
          <w:trHeight w:val="680"/>
          <w:jc w:val="center"/>
        </w:trPr>
        <w:tc>
          <w:tcPr>
            <w:tcW w:w="849" w:type="dxa"/>
            <w:shd w:val="clear" w:color="auto" w:fill="auto"/>
            <w:vAlign w:val="center"/>
          </w:tcPr>
          <w:p w14:paraId="5428BC3A" w14:textId="77777777" w:rsidR="00E10737" w:rsidRPr="00DD087F" w:rsidRDefault="00E10737" w:rsidP="004179DE">
            <w:pPr>
              <w:ind w:left="0"/>
              <w:jc w:val="center"/>
              <w:rPr>
                <w:sz w:val="18"/>
                <w:szCs w:val="18"/>
              </w:rPr>
            </w:pPr>
            <w:r w:rsidRPr="00351D17">
              <w:rPr>
                <w:sz w:val="18"/>
                <w:szCs w:val="18"/>
              </w:rPr>
              <w:t>O0075</w:t>
            </w:r>
          </w:p>
        </w:tc>
        <w:tc>
          <w:tcPr>
            <w:tcW w:w="1950" w:type="dxa"/>
            <w:shd w:val="clear" w:color="auto" w:fill="auto"/>
            <w:vAlign w:val="center"/>
          </w:tcPr>
          <w:p w14:paraId="39C9DD6E" w14:textId="77777777" w:rsidR="00E10737" w:rsidRPr="00DD087F" w:rsidRDefault="00E10737" w:rsidP="004179DE">
            <w:pPr>
              <w:ind w:left="0"/>
              <w:rPr>
                <w:sz w:val="18"/>
                <w:szCs w:val="18"/>
              </w:rPr>
            </w:pPr>
            <w:r w:rsidRPr="00351D17">
              <w:rPr>
                <w:sz w:val="18"/>
                <w:szCs w:val="18"/>
              </w:rPr>
              <w:t>Počet účastníkov poradenských a vzdelávacích programov (špecifický)</w:t>
            </w:r>
          </w:p>
        </w:tc>
        <w:tc>
          <w:tcPr>
            <w:tcW w:w="897" w:type="dxa"/>
            <w:shd w:val="clear" w:color="auto" w:fill="auto"/>
            <w:vAlign w:val="center"/>
          </w:tcPr>
          <w:p w14:paraId="10408F11" w14:textId="77777777" w:rsidR="00E10737" w:rsidRPr="00E661DF" w:rsidRDefault="00E10737" w:rsidP="004179DE">
            <w:pPr>
              <w:ind w:left="0"/>
              <w:jc w:val="center"/>
              <w:rPr>
                <w:i/>
                <w:sz w:val="18"/>
                <w:szCs w:val="18"/>
              </w:rPr>
            </w:pPr>
            <w:r w:rsidRPr="00E661DF">
              <w:rPr>
                <w:i/>
                <w:sz w:val="18"/>
                <w:szCs w:val="18"/>
              </w:rPr>
              <w:t>počet</w:t>
            </w:r>
          </w:p>
        </w:tc>
        <w:tc>
          <w:tcPr>
            <w:tcW w:w="1158" w:type="dxa"/>
            <w:shd w:val="clear" w:color="auto" w:fill="auto"/>
            <w:vAlign w:val="center"/>
          </w:tcPr>
          <w:p w14:paraId="17BD4B4E"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53FEB7CA"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6DDDB305"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6D29C392" w14:textId="77777777" w:rsidR="00E10737" w:rsidRPr="00E661DF" w:rsidRDefault="00E10737" w:rsidP="004179DE">
            <w:pPr>
              <w:ind w:left="0"/>
              <w:jc w:val="center"/>
              <w:rPr>
                <w:i/>
                <w:sz w:val="18"/>
                <w:szCs w:val="18"/>
              </w:rPr>
            </w:pPr>
            <w:r w:rsidRPr="00E661DF">
              <w:rPr>
                <w:i/>
                <w:sz w:val="18"/>
                <w:szCs w:val="18"/>
              </w:rPr>
              <w:t>7 100</w:t>
            </w:r>
          </w:p>
        </w:tc>
        <w:tc>
          <w:tcPr>
            <w:tcW w:w="1175" w:type="dxa"/>
            <w:vAlign w:val="center"/>
          </w:tcPr>
          <w:p w14:paraId="7640A282"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8A759C7" w14:textId="77777777" w:rsidR="00E10737" w:rsidRPr="00E661DF" w:rsidRDefault="00E10737" w:rsidP="004179DE">
            <w:pPr>
              <w:ind w:left="0"/>
              <w:jc w:val="center"/>
              <w:rPr>
                <w:i/>
                <w:sz w:val="18"/>
                <w:szCs w:val="18"/>
              </w:rPr>
            </w:pPr>
            <w:r w:rsidRPr="00E661DF">
              <w:rPr>
                <w:i/>
                <w:sz w:val="18"/>
                <w:szCs w:val="18"/>
              </w:rPr>
              <w:t>ročne</w:t>
            </w:r>
          </w:p>
        </w:tc>
      </w:tr>
      <w:tr w:rsidR="00E10737" w14:paraId="418CBBA8" w14:textId="77777777" w:rsidTr="005F0272">
        <w:trPr>
          <w:trHeight w:val="680"/>
          <w:jc w:val="center"/>
        </w:trPr>
        <w:tc>
          <w:tcPr>
            <w:tcW w:w="849" w:type="dxa"/>
            <w:shd w:val="clear" w:color="auto" w:fill="auto"/>
            <w:vAlign w:val="center"/>
          </w:tcPr>
          <w:p w14:paraId="2A51B3C6" w14:textId="77777777" w:rsidR="00E10737" w:rsidRPr="00DD087F" w:rsidRDefault="00E10737" w:rsidP="004179DE">
            <w:pPr>
              <w:ind w:left="0"/>
              <w:jc w:val="center"/>
              <w:rPr>
                <w:sz w:val="18"/>
                <w:szCs w:val="18"/>
              </w:rPr>
            </w:pPr>
            <w:r w:rsidRPr="00351D17">
              <w:rPr>
                <w:sz w:val="18"/>
                <w:szCs w:val="18"/>
              </w:rPr>
              <w:t>O0077</w:t>
            </w:r>
          </w:p>
        </w:tc>
        <w:tc>
          <w:tcPr>
            <w:tcW w:w="1950" w:type="dxa"/>
            <w:shd w:val="clear" w:color="auto" w:fill="auto"/>
            <w:vAlign w:val="center"/>
          </w:tcPr>
          <w:p w14:paraId="1B6A6C67" w14:textId="77777777" w:rsidR="00E10737" w:rsidRPr="00DD087F" w:rsidRDefault="00E10737" w:rsidP="004179DE">
            <w:pPr>
              <w:ind w:left="0"/>
              <w:rPr>
                <w:sz w:val="18"/>
                <w:szCs w:val="18"/>
              </w:rPr>
            </w:pPr>
            <w:r w:rsidRPr="00351D17">
              <w:rPr>
                <w:sz w:val="18"/>
                <w:szCs w:val="18"/>
              </w:rPr>
              <w:t>Počet podporených podnikov prostredníctvom poradenských centier pre MSP (špecifický)</w:t>
            </w:r>
          </w:p>
        </w:tc>
        <w:tc>
          <w:tcPr>
            <w:tcW w:w="897" w:type="dxa"/>
            <w:shd w:val="clear" w:color="auto" w:fill="auto"/>
            <w:vAlign w:val="center"/>
          </w:tcPr>
          <w:p w14:paraId="5CCD6B1B" w14:textId="77777777" w:rsidR="00E10737" w:rsidRPr="00E661DF" w:rsidRDefault="00E10737" w:rsidP="004179DE">
            <w:pPr>
              <w:ind w:left="0"/>
              <w:jc w:val="center"/>
              <w:rPr>
                <w:i/>
                <w:sz w:val="18"/>
                <w:szCs w:val="18"/>
              </w:rPr>
            </w:pPr>
            <w:r w:rsidRPr="00E661DF">
              <w:rPr>
                <w:i/>
                <w:sz w:val="18"/>
                <w:szCs w:val="18"/>
              </w:rPr>
              <w:t>počet</w:t>
            </w:r>
          </w:p>
        </w:tc>
        <w:tc>
          <w:tcPr>
            <w:tcW w:w="1158" w:type="dxa"/>
            <w:shd w:val="clear" w:color="auto" w:fill="auto"/>
            <w:vAlign w:val="center"/>
          </w:tcPr>
          <w:p w14:paraId="4F92D3C8"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4ED38BDA"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24A90F20"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04B60BCE" w14:textId="77777777" w:rsidR="00E10737" w:rsidRPr="00E661DF" w:rsidRDefault="00E10737" w:rsidP="004179DE">
            <w:pPr>
              <w:ind w:left="0"/>
              <w:jc w:val="center"/>
              <w:rPr>
                <w:i/>
                <w:sz w:val="18"/>
                <w:szCs w:val="18"/>
              </w:rPr>
            </w:pPr>
            <w:r w:rsidRPr="00E661DF">
              <w:rPr>
                <w:i/>
                <w:sz w:val="18"/>
                <w:szCs w:val="18"/>
              </w:rPr>
              <w:t>3 200</w:t>
            </w:r>
          </w:p>
        </w:tc>
        <w:tc>
          <w:tcPr>
            <w:tcW w:w="1175" w:type="dxa"/>
            <w:vAlign w:val="center"/>
          </w:tcPr>
          <w:p w14:paraId="56EF94C2"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02AB5C9" w14:textId="77777777" w:rsidR="00E10737" w:rsidRPr="00E661DF" w:rsidRDefault="00E10737" w:rsidP="004179DE">
            <w:pPr>
              <w:ind w:left="0"/>
              <w:jc w:val="center"/>
              <w:rPr>
                <w:i/>
                <w:sz w:val="18"/>
                <w:szCs w:val="18"/>
              </w:rPr>
            </w:pPr>
            <w:r w:rsidRPr="00E661DF">
              <w:rPr>
                <w:i/>
                <w:sz w:val="18"/>
                <w:szCs w:val="18"/>
              </w:rPr>
              <w:t>ročne</w:t>
            </w:r>
          </w:p>
        </w:tc>
      </w:tr>
      <w:tr w:rsidR="00E10737" w14:paraId="6BE9E041" w14:textId="77777777" w:rsidTr="005F0272">
        <w:trPr>
          <w:trHeight w:val="680"/>
          <w:jc w:val="center"/>
        </w:trPr>
        <w:tc>
          <w:tcPr>
            <w:tcW w:w="849" w:type="dxa"/>
            <w:shd w:val="clear" w:color="auto" w:fill="auto"/>
            <w:vAlign w:val="center"/>
          </w:tcPr>
          <w:p w14:paraId="4F07FB7D" w14:textId="77777777" w:rsidR="00E10737" w:rsidRPr="00DD087F" w:rsidRDefault="00E10737" w:rsidP="004179DE">
            <w:pPr>
              <w:ind w:left="0"/>
              <w:jc w:val="center"/>
              <w:rPr>
                <w:sz w:val="18"/>
                <w:szCs w:val="18"/>
              </w:rPr>
            </w:pPr>
            <w:r w:rsidRPr="00351D17">
              <w:rPr>
                <w:sz w:val="18"/>
                <w:szCs w:val="18"/>
              </w:rPr>
              <w:t>O0078</w:t>
            </w:r>
          </w:p>
        </w:tc>
        <w:tc>
          <w:tcPr>
            <w:tcW w:w="1950" w:type="dxa"/>
            <w:shd w:val="clear" w:color="auto" w:fill="auto"/>
            <w:vAlign w:val="center"/>
          </w:tcPr>
          <w:p w14:paraId="0047D3FD" w14:textId="77777777" w:rsidR="00E10737" w:rsidRPr="00DD087F" w:rsidRDefault="00E10737" w:rsidP="004179DE">
            <w:pPr>
              <w:ind w:left="0"/>
              <w:rPr>
                <w:sz w:val="18"/>
                <w:szCs w:val="18"/>
              </w:rPr>
            </w:pPr>
            <w:r w:rsidRPr="00351D17">
              <w:rPr>
                <w:sz w:val="18"/>
                <w:szCs w:val="18"/>
              </w:rPr>
              <w:t>Počet novovytvorených MSP založených osobami zo znevýhodnených sociálnych skupín (špecifický)</w:t>
            </w:r>
          </w:p>
        </w:tc>
        <w:tc>
          <w:tcPr>
            <w:tcW w:w="897" w:type="dxa"/>
            <w:shd w:val="clear" w:color="auto" w:fill="auto"/>
            <w:vAlign w:val="center"/>
          </w:tcPr>
          <w:p w14:paraId="5E9C41C3" w14:textId="77777777" w:rsidR="00E10737" w:rsidRPr="00E661DF" w:rsidRDefault="00E10737" w:rsidP="004179DE">
            <w:pPr>
              <w:ind w:left="0"/>
              <w:jc w:val="center"/>
              <w:rPr>
                <w:i/>
                <w:sz w:val="18"/>
                <w:szCs w:val="18"/>
              </w:rPr>
            </w:pPr>
            <w:r w:rsidRPr="00E661DF">
              <w:rPr>
                <w:i/>
                <w:sz w:val="18"/>
                <w:szCs w:val="18"/>
              </w:rPr>
              <w:t>počet</w:t>
            </w:r>
          </w:p>
        </w:tc>
        <w:tc>
          <w:tcPr>
            <w:tcW w:w="1158" w:type="dxa"/>
            <w:shd w:val="clear" w:color="auto" w:fill="auto"/>
            <w:vAlign w:val="center"/>
          </w:tcPr>
          <w:p w14:paraId="2B93C02B" w14:textId="77777777" w:rsidR="00E10737" w:rsidRPr="00E661DF" w:rsidRDefault="00E10737" w:rsidP="004179DE">
            <w:pPr>
              <w:ind w:left="0"/>
              <w:jc w:val="center"/>
              <w:rPr>
                <w:i/>
                <w:sz w:val="18"/>
                <w:szCs w:val="18"/>
              </w:rPr>
            </w:pPr>
            <w:r w:rsidRPr="00E661DF">
              <w:rPr>
                <w:i/>
                <w:sz w:val="18"/>
                <w:szCs w:val="18"/>
              </w:rPr>
              <w:t>EFRR</w:t>
            </w:r>
          </w:p>
        </w:tc>
        <w:tc>
          <w:tcPr>
            <w:tcW w:w="986" w:type="dxa"/>
            <w:shd w:val="clear" w:color="auto" w:fill="auto"/>
            <w:vAlign w:val="center"/>
          </w:tcPr>
          <w:p w14:paraId="5E3FE9D1"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54F9D99B" w14:textId="77777777" w:rsidR="00E10737" w:rsidRPr="00E661DF" w:rsidRDefault="00E10737" w:rsidP="004179DE">
            <w:pPr>
              <w:widowControl w:val="0"/>
              <w:ind w:left="0"/>
              <w:jc w:val="center"/>
              <w:rPr>
                <w:i/>
                <w:sz w:val="18"/>
                <w:szCs w:val="18"/>
              </w:rPr>
            </w:pPr>
            <w:r w:rsidRPr="00E661DF">
              <w:rPr>
                <w:i/>
                <w:sz w:val="18"/>
                <w:szCs w:val="18"/>
              </w:rPr>
              <w:t>región</w:t>
            </w:r>
          </w:p>
        </w:tc>
        <w:tc>
          <w:tcPr>
            <w:tcW w:w="1197" w:type="dxa"/>
            <w:shd w:val="clear" w:color="auto" w:fill="auto"/>
            <w:vAlign w:val="center"/>
          </w:tcPr>
          <w:p w14:paraId="101DF19E" w14:textId="77777777" w:rsidR="00E10737" w:rsidRPr="00E661DF" w:rsidRDefault="00E10737" w:rsidP="004179DE">
            <w:pPr>
              <w:ind w:left="0"/>
              <w:jc w:val="center"/>
              <w:rPr>
                <w:i/>
                <w:sz w:val="18"/>
                <w:szCs w:val="18"/>
              </w:rPr>
            </w:pPr>
            <w:r w:rsidRPr="00E661DF">
              <w:rPr>
                <w:i/>
                <w:sz w:val="18"/>
                <w:szCs w:val="18"/>
              </w:rPr>
              <w:t>370</w:t>
            </w:r>
          </w:p>
        </w:tc>
        <w:tc>
          <w:tcPr>
            <w:tcW w:w="1175" w:type="dxa"/>
            <w:vAlign w:val="center"/>
          </w:tcPr>
          <w:p w14:paraId="67CAF9DC"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70E0675A" w14:textId="77777777" w:rsidR="00E10737" w:rsidRPr="00E661DF" w:rsidRDefault="00E10737" w:rsidP="004179DE">
            <w:pPr>
              <w:ind w:left="0"/>
              <w:jc w:val="center"/>
              <w:rPr>
                <w:i/>
                <w:sz w:val="18"/>
                <w:szCs w:val="18"/>
              </w:rPr>
            </w:pPr>
            <w:r w:rsidRPr="00E661DF">
              <w:rPr>
                <w:i/>
                <w:sz w:val="18"/>
                <w:szCs w:val="18"/>
              </w:rPr>
              <w:t>ročne</w:t>
            </w:r>
          </w:p>
        </w:tc>
      </w:tr>
    </w:tbl>
    <w:p w14:paraId="064D017F" w14:textId="2C86E450" w:rsidR="00E10737" w:rsidRDefault="00E10737" w:rsidP="00E10737">
      <w:pPr>
        <w:pStyle w:val="Nadpis3"/>
        <w:tabs>
          <w:tab w:val="clear" w:pos="709"/>
        </w:tabs>
        <w:jc w:val="both"/>
      </w:pPr>
      <w:bookmarkStart w:id="124" w:name="_Toc28951657"/>
      <w:r>
        <w:t>INVESTIČNÁ PRIORITA 3</w:t>
      </w:r>
      <w:r w:rsidR="000B4D66">
        <w:t>b)</w:t>
      </w:r>
      <w:r>
        <w:t>: Vývoj a uplatňovanie nových obchodných modelov MSP, najmä v rámci internacionalizácie</w:t>
      </w:r>
      <w:bookmarkEnd w:id="124"/>
    </w:p>
    <w:p w14:paraId="533F1D8F" w14:textId="77777777" w:rsidR="00E10737" w:rsidRDefault="00E10737" w:rsidP="00E10737">
      <w:pPr>
        <w:pStyle w:val="tl3"/>
        <w:tabs>
          <w:tab w:val="clear" w:pos="709"/>
          <w:tab w:val="clear" w:pos="864"/>
        </w:tabs>
        <w:ind w:left="851" w:hanging="851"/>
      </w:pPr>
      <w:r>
        <w:t>Špecifické ciele investičnej priority a očakávané výsledky</w:t>
      </w:r>
    </w:p>
    <w:p w14:paraId="375DC82C" w14:textId="7B073CBF" w:rsidR="00E10737" w:rsidRDefault="00E10737" w:rsidP="00E10737">
      <w:pPr>
        <w:shd w:val="clear" w:color="auto" w:fill="FFFFCC"/>
        <w:spacing w:before="120"/>
        <w:jc w:val="both"/>
        <w:rPr>
          <w:b/>
          <w:i/>
        </w:rPr>
      </w:pPr>
      <w:r w:rsidRPr="004F0234">
        <w:rPr>
          <w:i/>
        </w:rPr>
        <w:t xml:space="preserve">ŠPECIFICKÝ CIEĽ </w:t>
      </w:r>
      <w:r>
        <w:rPr>
          <w:i/>
        </w:rPr>
        <w:t>11.2</w:t>
      </w:r>
      <w:r w:rsidRPr="004F0234">
        <w:rPr>
          <w:i/>
        </w:rPr>
        <w:t>:</w:t>
      </w:r>
      <w:r>
        <w:rPr>
          <w:i/>
        </w:rPr>
        <w:t xml:space="preserve"> </w:t>
      </w:r>
      <w:r w:rsidRPr="00E6633A">
        <w:rPr>
          <w:b/>
          <w:i/>
          <w:w w:val="95"/>
        </w:rPr>
        <w:t xml:space="preserve">Nárast </w:t>
      </w:r>
      <w:r>
        <w:rPr>
          <w:b/>
          <w:i/>
          <w:w w:val="95"/>
        </w:rPr>
        <w:t>internacionalizácie MSP a využívania možností jednotného trhu EÚ</w:t>
      </w:r>
    </w:p>
    <w:p w14:paraId="23D515EE" w14:textId="77777777" w:rsidR="00E10737" w:rsidRPr="00CF79E0" w:rsidRDefault="00E10737" w:rsidP="00E10737">
      <w:pPr>
        <w:pStyle w:val="Zkladntext"/>
        <w:spacing w:before="129" w:line="248" w:lineRule="auto"/>
        <w:jc w:val="both"/>
        <w:rPr>
          <w:sz w:val="22"/>
          <w:szCs w:val="22"/>
        </w:rPr>
      </w:pPr>
      <w:r w:rsidRPr="00CF79E0">
        <w:rPr>
          <w:sz w:val="22"/>
          <w:szCs w:val="22"/>
        </w:rPr>
        <w:t>Špecifický cieľ je zameraný na vytvorenie komplexného systému podpory internacionalizácie MSP. Navrhnuté nástroje sú komplementárne s už existujúcimi nástrojmi (medzinárodná sieť na podporu podnikania – EEN) a spolu vytvoria ucelený rámec podpory prieniku slovenských MSP na zahraničné trhy so zreteľom aj na trhy krajín mimo EÚ.</w:t>
      </w:r>
    </w:p>
    <w:p w14:paraId="40B70C0D" w14:textId="77777777" w:rsidR="00E10737" w:rsidRPr="00CF79E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4956183A" w14:textId="77777777" w:rsidR="00E10737" w:rsidRPr="00CF79E0" w:rsidRDefault="00E10737" w:rsidP="00351D17">
      <w:pPr>
        <w:pStyle w:val="Odsekzoznamu"/>
        <w:numPr>
          <w:ilvl w:val="0"/>
          <w:numId w:val="169"/>
        </w:numPr>
        <w:ind w:left="709" w:hanging="425"/>
        <w:jc w:val="both"/>
        <w:rPr>
          <w:sz w:val="22"/>
          <w:szCs w:val="22"/>
        </w:rPr>
      </w:pPr>
      <w:r w:rsidRPr="00CF79E0">
        <w:rPr>
          <w:sz w:val="22"/>
          <w:szCs w:val="22"/>
        </w:rPr>
        <w:t>zvýšenie využitia exportného potenciálu MSP;</w:t>
      </w:r>
    </w:p>
    <w:p w14:paraId="06EC4A2E" w14:textId="77777777" w:rsidR="00E10737" w:rsidRPr="00CF79E0" w:rsidRDefault="00E10737" w:rsidP="00351D17">
      <w:pPr>
        <w:pStyle w:val="Odsekzoznamu"/>
        <w:numPr>
          <w:ilvl w:val="0"/>
          <w:numId w:val="169"/>
        </w:numPr>
        <w:ind w:left="709" w:hanging="425"/>
        <w:jc w:val="both"/>
        <w:rPr>
          <w:sz w:val="22"/>
          <w:szCs w:val="22"/>
        </w:rPr>
      </w:pPr>
      <w:r w:rsidRPr="00CF79E0">
        <w:rPr>
          <w:sz w:val="22"/>
          <w:szCs w:val="22"/>
        </w:rPr>
        <w:t>udržanie existujúcich a tvorby nových pracovných miest v jednotlivých regiónoch SR vplyvom internacionalizácie MSP;</w:t>
      </w:r>
    </w:p>
    <w:p w14:paraId="31E689C6" w14:textId="77777777" w:rsidR="00E10737" w:rsidRPr="00CF79E0" w:rsidRDefault="00E10737" w:rsidP="00351D17">
      <w:pPr>
        <w:pStyle w:val="Odsekzoznamu"/>
        <w:numPr>
          <w:ilvl w:val="0"/>
          <w:numId w:val="169"/>
        </w:numPr>
        <w:ind w:left="709" w:hanging="425"/>
        <w:jc w:val="both"/>
        <w:rPr>
          <w:sz w:val="22"/>
          <w:szCs w:val="22"/>
        </w:rPr>
      </w:pPr>
      <w:r w:rsidRPr="00CF79E0">
        <w:rPr>
          <w:sz w:val="22"/>
          <w:szCs w:val="22"/>
        </w:rPr>
        <w:t>zlepšenie prepojenia domácich MSP s dodávateľmi preveľké nadnárodné spoločnosti;</w:t>
      </w:r>
    </w:p>
    <w:p w14:paraId="74403A35" w14:textId="77777777" w:rsidR="00E10737" w:rsidRPr="00CF79E0" w:rsidRDefault="00E10737" w:rsidP="00351D17">
      <w:pPr>
        <w:pStyle w:val="Odsekzoznamu"/>
        <w:numPr>
          <w:ilvl w:val="0"/>
          <w:numId w:val="169"/>
        </w:numPr>
        <w:ind w:left="709" w:hanging="425"/>
        <w:jc w:val="both"/>
        <w:rPr>
          <w:sz w:val="22"/>
          <w:szCs w:val="22"/>
        </w:rPr>
      </w:pPr>
      <w:r w:rsidRPr="00CF79E0">
        <w:rPr>
          <w:sz w:val="22"/>
          <w:szCs w:val="22"/>
        </w:rPr>
        <w:t>zvýšenie inovačného potenciálu a konkurencieschopnosti MSP, najmä priemyselných sektorov s vysokou a stredne vysokou technologickou náročnosťou (HMHTM) a poznatkovo intenzívnych služieb (KIS) pre realizáciu aktivít na spoločnom trhu.</w:t>
      </w:r>
    </w:p>
    <w:p w14:paraId="5F05F5D1" w14:textId="3FBE10E8" w:rsidR="00E10737" w:rsidRDefault="00E10737" w:rsidP="00E10737">
      <w:pPr>
        <w:pStyle w:val="Tab"/>
        <w:ind w:left="502"/>
      </w:pPr>
      <w:r w:rsidRPr="00BE4E38">
        <w:t>Špecifické ukazovatele výsledkov programu zodpovedajúce špecifickému cieľu 1</w:t>
      </w:r>
      <w:r>
        <w:t>1</w:t>
      </w:r>
      <w:r w:rsidRPr="00BE4E38">
        <w:t>.</w:t>
      </w:r>
      <w:r>
        <w:t>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1B17B99A" w14:textId="77777777" w:rsidTr="004179DE">
        <w:trPr>
          <w:trHeight w:val="487"/>
          <w:jc w:val="center"/>
        </w:trPr>
        <w:tc>
          <w:tcPr>
            <w:tcW w:w="598" w:type="dxa"/>
            <w:shd w:val="clear" w:color="auto" w:fill="C6D9F1" w:themeFill="text2" w:themeFillTint="33"/>
            <w:vAlign w:val="center"/>
          </w:tcPr>
          <w:p w14:paraId="02B448CB"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59593C82"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4F7319E0"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0DB47E45"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605CD303"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641811E6"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0A738F68"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0E513D02"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5D9E405B"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4F53BE6E" w14:textId="77777777" w:rsidTr="004179DE">
        <w:trPr>
          <w:cantSplit/>
          <w:trHeight w:val="834"/>
          <w:jc w:val="center"/>
        </w:trPr>
        <w:tc>
          <w:tcPr>
            <w:tcW w:w="598" w:type="dxa"/>
            <w:shd w:val="clear" w:color="auto" w:fill="auto"/>
            <w:textDirection w:val="btLr"/>
            <w:vAlign w:val="center"/>
          </w:tcPr>
          <w:p w14:paraId="78381AEA" w14:textId="77777777" w:rsidR="00E10737" w:rsidRPr="00DD087F" w:rsidRDefault="00E10737" w:rsidP="004179DE">
            <w:pPr>
              <w:ind w:left="113" w:right="113"/>
              <w:jc w:val="center"/>
              <w:rPr>
                <w:sz w:val="18"/>
                <w:szCs w:val="18"/>
              </w:rPr>
            </w:pPr>
            <w:r w:rsidRPr="00DD087F">
              <w:rPr>
                <w:sz w:val="18"/>
                <w:szCs w:val="18"/>
              </w:rPr>
              <w:lastRenderedPageBreak/>
              <w:t>R0049</w:t>
            </w:r>
          </w:p>
        </w:tc>
        <w:tc>
          <w:tcPr>
            <w:tcW w:w="1391" w:type="dxa"/>
            <w:shd w:val="clear" w:color="auto" w:fill="auto"/>
            <w:vAlign w:val="center"/>
          </w:tcPr>
          <w:p w14:paraId="1B6D7846" w14:textId="77777777" w:rsidR="00E10737" w:rsidRPr="00351D17" w:rsidRDefault="00E10737" w:rsidP="00351D17">
            <w:pPr>
              <w:pStyle w:val="TableParagraph"/>
              <w:ind w:left="0"/>
              <w:rPr>
                <w:rFonts w:ascii="Times New Roman" w:eastAsia="Times New Roman" w:hAnsi="Times New Roman" w:cs="Times New Roman"/>
                <w:sz w:val="18"/>
                <w:szCs w:val="18"/>
                <w:lang w:val="sk-SK" w:eastAsia="sk-SK"/>
              </w:rPr>
            </w:pPr>
            <w:r w:rsidRPr="00351D17">
              <w:rPr>
                <w:rFonts w:ascii="Times New Roman" w:eastAsia="Times New Roman" w:hAnsi="Times New Roman" w:cs="Times New Roman"/>
                <w:sz w:val="18"/>
                <w:szCs w:val="18"/>
                <w:lang w:val="sk-SK" w:eastAsia="sk-SK"/>
              </w:rPr>
              <w:t>Podiel MSP na</w:t>
            </w:r>
          </w:p>
          <w:p w14:paraId="51ABD33F" w14:textId="77777777" w:rsidR="00E10737" w:rsidRPr="00351D17" w:rsidRDefault="00E10737" w:rsidP="004179DE">
            <w:pPr>
              <w:ind w:left="0"/>
              <w:rPr>
                <w:sz w:val="18"/>
                <w:szCs w:val="18"/>
              </w:rPr>
            </w:pPr>
            <w:r w:rsidRPr="00351D17">
              <w:rPr>
                <w:sz w:val="18"/>
                <w:szCs w:val="18"/>
              </w:rPr>
              <w:t>exporte</w:t>
            </w:r>
          </w:p>
        </w:tc>
        <w:tc>
          <w:tcPr>
            <w:tcW w:w="897" w:type="dxa"/>
            <w:shd w:val="clear" w:color="auto" w:fill="auto"/>
            <w:vAlign w:val="center"/>
          </w:tcPr>
          <w:p w14:paraId="47D3EC1B" w14:textId="77777777" w:rsidR="00E10737" w:rsidRPr="00E661DF" w:rsidRDefault="00E10737" w:rsidP="004179DE">
            <w:pPr>
              <w:ind w:left="0"/>
              <w:jc w:val="center"/>
              <w:rPr>
                <w:i/>
                <w:sz w:val="18"/>
                <w:szCs w:val="18"/>
              </w:rPr>
            </w:pPr>
            <w:r w:rsidRPr="00E661DF">
              <w:rPr>
                <w:i/>
                <w:sz w:val="18"/>
                <w:szCs w:val="18"/>
              </w:rPr>
              <w:t>%</w:t>
            </w:r>
          </w:p>
        </w:tc>
        <w:tc>
          <w:tcPr>
            <w:tcW w:w="997" w:type="dxa"/>
            <w:shd w:val="clear" w:color="auto" w:fill="auto"/>
            <w:vAlign w:val="center"/>
          </w:tcPr>
          <w:p w14:paraId="2815A7F2" w14:textId="77777777" w:rsidR="00E10737" w:rsidRPr="00E661DF" w:rsidRDefault="00E10737" w:rsidP="004179DE">
            <w:pPr>
              <w:ind w:left="0"/>
              <w:jc w:val="center"/>
              <w:rPr>
                <w:i/>
                <w:sz w:val="18"/>
                <w:szCs w:val="18"/>
              </w:rPr>
            </w:pPr>
            <w:r w:rsidRPr="00E661DF">
              <w:rPr>
                <w:i/>
                <w:sz w:val="18"/>
                <w:szCs w:val="18"/>
              </w:rPr>
              <w:t>menej rozvinutý región</w:t>
            </w:r>
          </w:p>
        </w:tc>
        <w:tc>
          <w:tcPr>
            <w:tcW w:w="1297" w:type="dxa"/>
            <w:vAlign w:val="center"/>
          </w:tcPr>
          <w:p w14:paraId="61D8A41D" w14:textId="77777777" w:rsidR="00E10737" w:rsidRPr="00E661DF" w:rsidRDefault="00E10737" w:rsidP="004179DE">
            <w:pPr>
              <w:ind w:left="0"/>
              <w:jc w:val="center"/>
              <w:rPr>
                <w:i/>
                <w:sz w:val="18"/>
                <w:szCs w:val="18"/>
              </w:rPr>
            </w:pPr>
            <w:r w:rsidRPr="00E661DF">
              <w:rPr>
                <w:i/>
                <w:sz w:val="18"/>
                <w:szCs w:val="18"/>
              </w:rPr>
              <w:t>30,4</w:t>
            </w:r>
          </w:p>
        </w:tc>
        <w:tc>
          <w:tcPr>
            <w:tcW w:w="1297" w:type="dxa"/>
            <w:vAlign w:val="center"/>
          </w:tcPr>
          <w:p w14:paraId="4F1CC506" w14:textId="01E7DCDB" w:rsidR="00E10737" w:rsidRPr="00E661DF" w:rsidRDefault="00DD087F" w:rsidP="004179DE">
            <w:pPr>
              <w:ind w:left="0"/>
              <w:jc w:val="center"/>
              <w:rPr>
                <w:i/>
                <w:sz w:val="18"/>
                <w:szCs w:val="18"/>
              </w:rPr>
            </w:pPr>
            <w:r w:rsidRPr="00E661DF">
              <w:rPr>
                <w:i/>
                <w:sz w:val="18"/>
                <w:szCs w:val="18"/>
              </w:rPr>
              <w:t>2</w:t>
            </w:r>
            <w:r w:rsidR="00E10737" w:rsidRPr="00E661DF">
              <w:rPr>
                <w:i/>
                <w:sz w:val="18"/>
                <w:szCs w:val="18"/>
              </w:rPr>
              <w:t>012</w:t>
            </w:r>
          </w:p>
        </w:tc>
        <w:tc>
          <w:tcPr>
            <w:tcW w:w="865" w:type="dxa"/>
            <w:shd w:val="clear" w:color="auto" w:fill="auto"/>
            <w:vAlign w:val="center"/>
          </w:tcPr>
          <w:p w14:paraId="1DBF64E1" w14:textId="77777777" w:rsidR="00E10737" w:rsidRPr="00E661DF" w:rsidRDefault="00E10737" w:rsidP="004179DE">
            <w:pPr>
              <w:ind w:left="0"/>
              <w:jc w:val="center"/>
              <w:rPr>
                <w:i/>
                <w:sz w:val="18"/>
                <w:szCs w:val="18"/>
              </w:rPr>
            </w:pPr>
            <w:r w:rsidRPr="00E661DF">
              <w:rPr>
                <w:i/>
                <w:sz w:val="18"/>
                <w:szCs w:val="18"/>
              </w:rPr>
              <w:t>35</w:t>
            </w:r>
          </w:p>
        </w:tc>
        <w:tc>
          <w:tcPr>
            <w:tcW w:w="759" w:type="dxa"/>
            <w:vAlign w:val="center"/>
          </w:tcPr>
          <w:p w14:paraId="528DBC37" w14:textId="77777777" w:rsidR="00E10737" w:rsidRPr="00E661DF" w:rsidRDefault="00E10737" w:rsidP="004179DE">
            <w:pPr>
              <w:ind w:left="0"/>
              <w:jc w:val="center"/>
              <w:rPr>
                <w:i/>
                <w:sz w:val="18"/>
                <w:szCs w:val="18"/>
              </w:rPr>
            </w:pPr>
            <w:r w:rsidRPr="00E661DF">
              <w:rPr>
                <w:i/>
                <w:sz w:val="18"/>
                <w:szCs w:val="18"/>
              </w:rPr>
              <w:t>ŠÚ SR</w:t>
            </w:r>
          </w:p>
        </w:tc>
        <w:tc>
          <w:tcPr>
            <w:tcW w:w="1186" w:type="dxa"/>
            <w:vAlign w:val="center"/>
          </w:tcPr>
          <w:p w14:paraId="227A77D4" w14:textId="77777777" w:rsidR="00E10737" w:rsidRPr="00E661DF" w:rsidRDefault="00E10737" w:rsidP="004179DE">
            <w:pPr>
              <w:ind w:left="0"/>
              <w:jc w:val="center"/>
              <w:rPr>
                <w:i/>
                <w:sz w:val="18"/>
                <w:szCs w:val="18"/>
              </w:rPr>
            </w:pPr>
            <w:r w:rsidRPr="00E661DF">
              <w:rPr>
                <w:i/>
                <w:sz w:val="18"/>
                <w:szCs w:val="18"/>
              </w:rPr>
              <w:t>ročne</w:t>
            </w:r>
          </w:p>
        </w:tc>
      </w:tr>
    </w:tbl>
    <w:p w14:paraId="5ABD6790" w14:textId="77777777" w:rsidR="00E10737" w:rsidRPr="00151195" w:rsidRDefault="00E10737" w:rsidP="00E10737">
      <w:pPr>
        <w:pStyle w:val="tl3"/>
        <w:tabs>
          <w:tab w:val="clear" w:pos="709"/>
          <w:tab w:val="clear" w:pos="864"/>
        </w:tabs>
        <w:ind w:left="851" w:hanging="851"/>
      </w:pPr>
      <w:r w:rsidRPr="00151195">
        <w:t>Opis typu a príklady aktivít</w:t>
      </w:r>
    </w:p>
    <w:p w14:paraId="2F3AE4D7" w14:textId="6B12E1F2" w:rsidR="00E10737" w:rsidRDefault="00E10737" w:rsidP="00E10737">
      <w:pPr>
        <w:pStyle w:val="Zkladntext"/>
        <w:spacing w:before="146"/>
        <w:jc w:val="both"/>
        <w:rPr>
          <w:sz w:val="22"/>
          <w:szCs w:val="22"/>
        </w:rPr>
      </w:pPr>
      <w:r w:rsidRPr="0040351A">
        <w:rPr>
          <w:i/>
          <w:sz w:val="22"/>
          <w:szCs w:val="22"/>
          <w:u w:val="single"/>
        </w:rPr>
        <w:t>Príklady aktivít pre špecifický cieľ 11.2</w:t>
      </w:r>
      <w:r w:rsidR="0040351A">
        <w:rPr>
          <w:sz w:val="22"/>
          <w:szCs w:val="22"/>
        </w:rPr>
        <w:t>:</w:t>
      </w:r>
    </w:p>
    <w:p w14:paraId="0219513B" w14:textId="77777777" w:rsidR="000957EA" w:rsidRDefault="00E10737" w:rsidP="00E10737">
      <w:pPr>
        <w:pStyle w:val="Zkladntext"/>
        <w:spacing w:before="108"/>
        <w:jc w:val="both"/>
        <w:rPr>
          <w:sz w:val="22"/>
          <w:szCs w:val="22"/>
        </w:rPr>
      </w:pPr>
      <w:r w:rsidRPr="00CF79E0">
        <w:rPr>
          <w:sz w:val="22"/>
          <w:szCs w:val="22"/>
        </w:rPr>
        <w:t xml:space="preserve">Účasť slovenských podnikov na prezentačných podujatiach. </w:t>
      </w:r>
    </w:p>
    <w:p w14:paraId="0169EAAB" w14:textId="204DFF41" w:rsidR="00E10737" w:rsidRPr="00CF79E0" w:rsidRDefault="00E10737" w:rsidP="00E10737">
      <w:pPr>
        <w:pStyle w:val="Zkladntext"/>
        <w:spacing w:before="108"/>
        <w:jc w:val="both"/>
        <w:rPr>
          <w:sz w:val="22"/>
          <w:szCs w:val="22"/>
        </w:rPr>
      </w:pPr>
      <w:r w:rsidRPr="00CF79E0">
        <w:rPr>
          <w:sz w:val="22"/>
          <w:szCs w:val="22"/>
        </w:rPr>
        <w:t>Cieľom aktivity je sanovať náklady MSP v kontexte ich snahy penetrovať a presadiť sa na zahraničných trhoch.</w:t>
      </w:r>
    </w:p>
    <w:p w14:paraId="575C5E70" w14:textId="77777777" w:rsidR="00E10737" w:rsidRDefault="00E10737" w:rsidP="00E10737">
      <w:pPr>
        <w:pStyle w:val="Zkladntext"/>
        <w:spacing w:before="8"/>
        <w:jc w:val="both"/>
        <w:rPr>
          <w:sz w:val="22"/>
          <w:szCs w:val="22"/>
        </w:rPr>
      </w:pPr>
      <w:r w:rsidRPr="00CF79E0">
        <w:rPr>
          <w:sz w:val="22"/>
          <w:szCs w:val="22"/>
        </w:rPr>
        <w:t>Aktivita bude zameraná na:</w:t>
      </w:r>
    </w:p>
    <w:p w14:paraId="0D9FD0FF" w14:textId="77777777" w:rsidR="00E10737" w:rsidRDefault="00E10737" w:rsidP="00E10737">
      <w:pPr>
        <w:pStyle w:val="Odsekzoznamu"/>
        <w:numPr>
          <w:ilvl w:val="0"/>
          <w:numId w:val="27"/>
        </w:numPr>
        <w:ind w:left="567" w:hanging="283"/>
        <w:jc w:val="both"/>
        <w:rPr>
          <w:sz w:val="22"/>
          <w:szCs w:val="22"/>
        </w:rPr>
      </w:pPr>
      <w:r w:rsidRPr="00CF79E0">
        <w:rPr>
          <w:sz w:val="22"/>
          <w:szCs w:val="22"/>
        </w:rPr>
        <w:t>tvorbu prezentačných produktov a materiálov MSP určených pre zahraničné trhy,</w:t>
      </w:r>
    </w:p>
    <w:p w14:paraId="47219191" w14:textId="543C2A75" w:rsidR="00E10737" w:rsidRDefault="00E10737" w:rsidP="00E10737">
      <w:pPr>
        <w:pStyle w:val="Odsekzoznamu"/>
        <w:numPr>
          <w:ilvl w:val="0"/>
          <w:numId w:val="27"/>
        </w:numPr>
        <w:ind w:left="567" w:hanging="283"/>
        <w:jc w:val="both"/>
        <w:rPr>
          <w:sz w:val="22"/>
          <w:szCs w:val="22"/>
        </w:rPr>
      </w:pPr>
      <w:r w:rsidRPr="00CF79E0">
        <w:rPr>
          <w:sz w:val="22"/>
          <w:szCs w:val="22"/>
        </w:rPr>
        <w:t>zabezpečenie účasti MSP na veľtrhoch, výstavách, kooper</w:t>
      </w:r>
      <w:r w:rsidR="006719B5">
        <w:rPr>
          <w:sz w:val="22"/>
          <w:szCs w:val="22"/>
        </w:rPr>
        <w:t>ačných stretnutiach, misiách za </w:t>
      </w:r>
      <w:r w:rsidRPr="00CF79E0">
        <w:rPr>
          <w:sz w:val="22"/>
          <w:szCs w:val="22"/>
        </w:rPr>
        <w:t>účelom medzinárodnej spolupráce,</w:t>
      </w:r>
    </w:p>
    <w:p w14:paraId="6DDA33BA" w14:textId="77777777" w:rsidR="00E10737" w:rsidRDefault="00E10737" w:rsidP="00E10737">
      <w:pPr>
        <w:pStyle w:val="Odsekzoznamu"/>
        <w:numPr>
          <w:ilvl w:val="0"/>
          <w:numId w:val="27"/>
        </w:numPr>
        <w:ind w:left="567" w:hanging="283"/>
        <w:jc w:val="both"/>
        <w:rPr>
          <w:sz w:val="22"/>
          <w:szCs w:val="22"/>
        </w:rPr>
      </w:pPr>
      <w:r w:rsidRPr="00CF79E0">
        <w:rPr>
          <w:sz w:val="22"/>
          <w:szCs w:val="22"/>
        </w:rPr>
        <w:t>krytie poradenských a konzultačných služieb poskytovaných jednorazovo v oblasti podpory marketingových, obchodných a investičných aktivít MSP</w:t>
      </w:r>
    </w:p>
    <w:p w14:paraId="66FF4E6B" w14:textId="77777777" w:rsidR="00E10737" w:rsidRDefault="00E10737" w:rsidP="00E10737">
      <w:pPr>
        <w:pStyle w:val="Odsekzoznamu"/>
        <w:numPr>
          <w:ilvl w:val="0"/>
          <w:numId w:val="27"/>
        </w:numPr>
        <w:ind w:left="567" w:hanging="283"/>
        <w:jc w:val="both"/>
        <w:rPr>
          <w:sz w:val="22"/>
          <w:szCs w:val="22"/>
        </w:rPr>
      </w:pPr>
      <w:r w:rsidRPr="00CF79E0">
        <w:rPr>
          <w:sz w:val="22"/>
          <w:szCs w:val="22"/>
        </w:rPr>
        <w:t>tvorbu odvetvových prezentačných materiálov a odvetvovú prezentáciu v zahraničí,</w:t>
      </w:r>
    </w:p>
    <w:p w14:paraId="6B7055C8" w14:textId="77777777" w:rsidR="00E10737" w:rsidRDefault="00E10737" w:rsidP="00E10737">
      <w:pPr>
        <w:pStyle w:val="Odsekzoznamu"/>
        <w:numPr>
          <w:ilvl w:val="0"/>
          <w:numId w:val="27"/>
        </w:numPr>
        <w:ind w:left="567" w:hanging="283"/>
        <w:jc w:val="both"/>
        <w:rPr>
          <w:sz w:val="22"/>
          <w:szCs w:val="22"/>
        </w:rPr>
      </w:pPr>
      <w:r w:rsidRPr="00CF79E0">
        <w:rPr>
          <w:sz w:val="22"/>
          <w:szCs w:val="22"/>
        </w:rPr>
        <w:t xml:space="preserve">organizáciu kooperačných podujatí (podnikateľské fóra, kooperačné burzy, odborné kooperačné semináre) zameraných na proexportnú a proinvestičnú prezentáciu jednotlivých </w:t>
      </w:r>
      <w:r>
        <w:rPr>
          <w:sz w:val="22"/>
          <w:szCs w:val="22"/>
        </w:rPr>
        <w:t>odvetví,</w:t>
      </w:r>
    </w:p>
    <w:p w14:paraId="4F97BD9C" w14:textId="77777777" w:rsidR="00E10737" w:rsidRDefault="00E10737" w:rsidP="00E10737">
      <w:pPr>
        <w:pStyle w:val="Odsekzoznamu"/>
        <w:numPr>
          <w:ilvl w:val="0"/>
          <w:numId w:val="27"/>
        </w:numPr>
        <w:ind w:left="567" w:hanging="283"/>
        <w:jc w:val="both"/>
        <w:rPr>
          <w:sz w:val="22"/>
          <w:szCs w:val="22"/>
        </w:rPr>
      </w:pPr>
      <w:r w:rsidRPr="00CF79E0">
        <w:rPr>
          <w:sz w:val="22"/>
          <w:szCs w:val="22"/>
        </w:rPr>
        <w:t>rozvoj spolupráce so zahraničnými partnermi v SR a v zahraničí.</w:t>
      </w:r>
    </w:p>
    <w:p w14:paraId="0B51EF81" w14:textId="77777777" w:rsidR="00E10737" w:rsidRDefault="00E10737" w:rsidP="00E10737">
      <w:pPr>
        <w:jc w:val="both"/>
        <w:rPr>
          <w:sz w:val="22"/>
          <w:szCs w:val="22"/>
        </w:rPr>
      </w:pPr>
    </w:p>
    <w:p w14:paraId="615DD591" w14:textId="77777777" w:rsidR="00E10737" w:rsidRDefault="00E10737" w:rsidP="00E10737">
      <w:pPr>
        <w:jc w:val="both"/>
        <w:rPr>
          <w:sz w:val="22"/>
          <w:szCs w:val="22"/>
        </w:rPr>
      </w:pPr>
      <w:r w:rsidRPr="00CF79E0">
        <w:rPr>
          <w:sz w:val="22"/>
          <w:szCs w:val="22"/>
        </w:rPr>
        <w:t>Aktivita bude realizovaná formou národného projektu a schémy pomoci.</w:t>
      </w:r>
    </w:p>
    <w:p w14:paraId="67D7143C" w14:textId="05130120" w:rsidR="00E10737" w:rsidRDefault="00E10737" w:rsidP="006719B5">
      <w:pPr>
        <w:pStyle w:val="Zkladntext"/>
        <w:spacing w:before="240" w:line="247" w:lineRule="auto"/>
        <w:ind w:right="-1"/>
        <w:jc w:val="both"/>
        <w:rPr>
          <w:sz w:val="22"/>
          <w:szCs w:val="22"/>
        </w:rPr>
      </w:pPr>
      <w:r w:rsidRPr="00CF79E0">
        <w:rPr>
          <w:sz w:val="22"/>
          <w:szCs w:val="22"/>
        </w:rPr>
        <w:t>Vytváranie špecifických kapacít a činností na podporu internacionalizácie MSP v SR. V súčasn</w:t>
      </w:r>
      <w:r w:rsidR="006719B5">
        <w:rPr>
          <w:sz w:val="22"/>
          <w:szCs w:val="22"/>
        </w:rPr>
        <w:t>osti v </w:t>
      </w:r>
      <w:r w:rsidRPr="00CF79E0">
        <w:rPr>
          <w:sz w:val="22"/>
          <w:szCs w:val="22"/>
        </w:rPr>
        <w:t>SR chýbajú špecifické nástroje zamerané na podporu MSP, najm</w:t>
      </w:r>
      <w:r w:rsidR="006719B5">
        <w:rPr>
          <w:sz w:val="22"/>
          <w:szCs w:val="22"/>
        </w:rPr>
        <w:t>ä menších kategórií podnikov, v </w:t>
      </w:r>
      <w:r w:rsidRPr="00CF79E0">
        <w:rPr>
          <w:sz w:val="22"/>
          <w:szCs w:val="22"/>
        </w:rPr>
        <w:t>procese internacionalizácie. Existujúce formy podpory sú obmedzené, nekoordinované a ťažko využiteľné pre veľkú časť MSP. Cieľom aktivity je vytvoriť komplexný systém pre MSP v oblasti podpory internacionalizácie, ktorý prispeje k eliminácii existujúcich bariér (vysoké náklady, neznalosť trhu, regulačné zaťaženie, nedostatočné kapacity a pod.). Aktivita je orientovaná na:</w:t>
      </w:r>
    </w:p>
    <w:p w14:paraId="4130259A" w14:textId="4AEBEEC2" w:rsidR="00E10737" w:rsidRDefault="00E10737" w:rsidP="00E10737">
      <w:pPr>
        <w:pStyle w:val="Odsekzoznamu"/>
        <w:numPr>
          <w:ilvl w:val="0"/>
          <w:numId w:val="27"/>
        </w:numPr>
        <w:ind w:left="567" w:hanging="283"/>
        <w:jc w:val="both"/>
        <w:rPr>
          <w:sz w:val="22"/>
          <w:szCs w:val="22"/>
        </w:rPr>
      </w:pPr>
      <w:r>
        <w:rPr>
          <w:sz w:val="22"/>
          <w:szCs w:val="22"/>
        </w:rPr>
        <w:t>poskytovanie</w:t>
      </w:r>
      <w:r w:rsidRPr="005042E2">
        <w:rPr>
          <w:sz w:val="22"/>
          <w:szCs w:val="22"/>
        </w:rPr>
        <w:t xml:space="preserve"> </w:t>
      </w:r>
      <w:r w:rsidRPr="00CF79E0">
        <w:rPr>
          <w:sz w:val="22"/>
          <w:szCs w:val="22"/>
        </w:rPr>
        <w:t>komplexných informácií a služieb (</w:t>
      </w:r>
      <w:r w:rsidR="006719B5">
        <w:rPr>
          <w:sz w:val="22"/>
          <w:szCs w:val="22"/>
        </w:rPr>
        <w:t>napr. vyhľadávanie obchodných a </w:t>
      </w:r>
      <w:r w:rsidRPr="00CF79E0">
        <w:rPr>
          <w:sz w:val="22"/>
          <w:szCs w:val="22"/>
        </w:rPr>
        <w:t>technologických partnerov, na partnerské kooperačné podujatia a obchodné misie,</w:t>
      </w:r>
    </w:p>
    <w:p w14:paraId="6F1F5CAF" w14:textId="77777777" w:rsidR="00E10737" w:rsidRDefault="00E10737" w:rsidP="00E10737">
      <w:pPr>
        <w:pStyle w:val="Odsekzoznamu"/>
        <w:numPr>
          <w:ilvl w:val="0"/>
          <w:numId w:val="27"/>
        </w:numPr>
        <w:ind w:left="567" w:hanging="283"/>
        <w:jc w:val="both"/>
        <w:rPr>
          <w:sz w:val="22"/>
          <w:szCs w:val="22"/>
        </w:rPr>
      </w:pPr>
      <w:r w:rsidRPr="00CF79E0">
        <w:rPr>
          <w:sz w:val="22"/>
          <w:szCs w:val="22"/>
        </w:rPr>
        <w:t>podporu pri vyjednávaní a uzatváraní obchodných kontraktov,</w:t>
      </w:r>
    </w:p>
    <w:p w14:paraId="21339A51" w14:textId="77777777" w:rsidR="00E10737" w:rsidRDefault="00E10737" w:rsidP="00E10737">
      <w:pPr>
        <w:pStyle w:val="Odsekzoznamu"/>
        <w:numPr>
          <w:ilvl w:val="0"/>
          <w:numId w:val="27"/>
        </w:numPr>
        <w:ind w:left="567" w:hanging="283"/>
        <w:jc w:val="both"/>
        <w:rPr>
          <w:sz w:val="22"/>
          <w:szCs w:val="22"/>
        </w:rPr>
      </w:pPr>
      <w:r w:rsidRPr="00CF79E0">
        <w:rPr>
          <w:sz w:val="22"/>
          <w:szCs w:val="22"/>
        </w:rPr>
        <w:t>prípravu obchodných a technologických profilov,</w:t>
      </w:r>
    </w:p>
    <w:p w14:paraId="53B3C8E7" w14:textId="77777777" w:rsidR="00E10737" w:rsidRDefault="00E10737" w:rsidP="00E10737">
      <w:pPr>
        <w:pStyle w:val="Odsekzoznamu"/>
        <w:numPr>
          <w:ilvl w:val="0"/>
          <w:numId w:val="27"/>
        </w:numPr>
        <w:ind w:left="567" w:hanging="283"/>
        <w:jc w:val="both"/>
        <w:rPr>
          <w:sz w:val="22"/>
          <w:szCs w:val="22"/>
        </w:rPr>
      </w:pPr>
      <w:r w:rsidRPr="00CF79E0">
        <w:rPr>
          <w:sz w:val="22"/>
          <w:szCs w:val="22"/>
        </w:rPr>
        <w:t>rozvoj odborných kapacít prostredníctvom špecializovaného poradenstva pre exportérov,</w:t>
      </w:r>
    </w:p>
    <w:p w14:paraId="332F1797" w14:textId="4455A5DC" w:rsidR="00E10737" w:rsidRDefault="00E10737" w:rsidP="00E10737">
      <w:pPr>
        <w:pStyle w:val="Odsekzoznamu"/>
        <w:numPr>
          <w:ilvl w:val="0"/>
          <w:numId w:val="27"/>
        </w:numPr>
        <w:ind w:left="567" w:hanging="283"/>
        <w:jc w:val="both"/>
        <w:rPr>
          <w:sz w:val="22"/>
          <w:szCs w:val="22"/>
        </w:rPr>
      </w:pPr>
      <w:r w:rsidRPr="00CF79E0">
        <w:rPr>
          <w:sz w:val="22"/>
          <w:szCs w:val="22"/>
        </w:rPr>
        <w:t>sprístupnenie aktuálnych a prehľadných informácií v oblasti</w:t>
      </w:r>
      <w:r w:rsidR="006719B5">
        <w:rPr>
          <w:sz w:val="22"/>
          <w:szCs w:val="22"/>
        </w:rPr>
        <w:t xml:space="preserve"> podpory zahraničnej expanzie a </w:t>
      </w:r>
      <w:r w:rsidRPr="00CF79E0">
        <w:rPr>
          <w:sz w:val="22"/>
          <w:szCs w:val="22"/>
        </w:rPr>
        <w:t>internacionalizácie MSP s využitím infraštruktúry projektu Elektronické služby MH SR, realizovaného v rámci programového obdobia 2007 – 2013.</w:t>
      </w:r>
    </w:p>
    <w:p w14:paraId="5809A01C" w14:textId="77777777" w:rsidR="00E10737" w:rsidRDefault="00E10737" w:rsidP="00E10737">
      <w:pPr>
        <w:jc w:val="both"/>
        <w:rPr>
          <w:sz w:val="22"/>
          <w:szCs w:val="22"/>
        </w:rPr>
      </w:pPr>
      <w:r w:rsidRPr="00CF79E0">
        <w:rPr>
          <w:sz w:val="22"/>
          <w:szCs w:val="22"/>
        </w:rPr>
        <w:t>Aktivita bude realizovaná formou národného projektu a schémy pomoci.</w:t>
      </w:r>
    </w:p>
    <w:p w14:paraId="165896DD" w14:textId="78375A95" w:rsidR="00E10737" w:rsidRDefault="00E10737" w:rsidP="00723147">
      <w:pPr>
        <w:pStyle w:val="Zkladntext"/>
        <w:spacing w:before="120"/>
        <w:jc w:val="both"/>
        <w:rPr>
          <w:sz w:val="22"/>
          <w:szCs w:val="22"/>
        </w:rPr>
      </w:pPr>
      <w:r w:rsidRPr="00CF79E0">
        <w:rPr>
          <w:sz w:val="22"/>
          <w:szCs w:val="22"/>
        </w:rPr>
        <w:t>Tvorba alternatívnych obchodných a podporných platforiem. Štruktúra MSP v SR v dôsledku rozdrobenosti a absentujúcej spolupráce subjektov znemožňuje efektívne zapojenie do medzinárodnej obchodnej výmeny. Cieľom aktivity je vytvoriť nástroj pre konkure</w:t>
      </w:r>
      <w:r w:rsidR="006719B5">
        <w:rPr>
          <w:sz w:val="22"/>
          <w:szCs w:val="22"/>
        </w:rPr>
        <w:t>ncieschopné a inovatívne MSP na </w:t>
      </w:r>
      <w:r w:rsidRPr="00CF79E0">
        <w:rPr>
          <w:sz w:val="22"/>
          <w:szCs w:val="22"/>
        </w:rPr>
        <w:t>zvýšenie ich exportného potenciálu a stimuláciu vzájomnej k</w:t>
      </w:r>
      <w:r w:rsidR="006719B5">
        <w:rPr>
          <w:sz w:val="22"/>
          <w:szCs w:val="22"/>
        </w:rPr>
        <w:t>ooperácie za účelom expanzie na </w:t>
      </w:r>
      <w:r w:rsidRPr="00CF79E0">
        <w:rPr>
          <w:sz w:val="22"/>
          <w:szCs w:val="22"/>
        </w:rPr>
        <w:t>medzinárodnom trhu, s dôrazom na tretie trhy. Alternatívne obchodné platformy (AOP) by mali predstavovať most medzi súkromnými investormi, vrátane podnikateľských anjelov, podnikmi a ich odberateľmi na zahraničných trhoch. Na Slovensku doposiaľ neboli realizované opatrenia tohto typu, avšak v minulosti boli využívané mechanizmy koordinácie medzinárodnej obchodnej výmeny. Aktivita bola navrhnutá na základe skúseností z iných krajín EÚ (Veľká Británia) ale aj odporúčaní domácich subjektov (Technická univerzita v Žiline) ako opatrenie na zvýšenie exportného potenciálu MSP. Aktivita je zameraná na podporu vytvárania AOP ako subjekto</w:t>
      </w:r>
      <w:r w:rsidR="006719B5">
        <w:rPr>
          <w:sz w:val="22"/>
          <w:szCs w:val="22"/>
        </w:rPr>
        <w:t>v na kapitálové investovanie do </w:t>
      </w:r>
      <w:r w:rsidRPr="00CF79E0">
        <w:rPr>
          <w:sz w:val="22"/>
          <w:szCs w:val="22"/>
        </w:rPr>
        <w:t>zapojených MSP s cieľom podporiť ich rast a medzinárodnú expanziu. Podporné platformy (exportné konzorciá) sú formy strategickej spolupráce medzi podnikmi, ktorá slúži ako poskytovateľ služieb sprostredkovania prístupu na zahraničný trh. Môžu to byť napríklad:</w:t>
      </w:r>
    </w:p>
    <w:p w14:paraId="5FA056CD"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lastRenderedPageBreak/>
        <w:t>základné administratívne funkcie, organizačná podpora, pomoc s prekladmi,</w:t>
      </w:r>
    </w:p>
    <w:p w14:paraId="252EF15B"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realizovanie výskumu trhu,</w:t>
      </w:r>
    </w:p>
    <w:p w14:paraId="14EE05B4"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pomoc pri vytvorení celkovej vývoznej stratégie,</w:t>
      </w:r>
    </w:p>
    <w:p w14:paraId="0A5D9579"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koordinácia spoločného nákupu vstupov,</w:t>
      </w:r>
    </w:p>
    <w:p w14:paraId="433BF695"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zabezpečenie právnej pomoci a poradenstva,</w:t>
      </w:r>
    </w:p>
    <w:p w14:paraId="6E6F91BC" w14:textId="77777777" w:rsidR="00E10737" w:rsidRDefault="00E10737" w:rsidP="00E10737">
      <w:pPr>
        <w:pStyle w:val="Odsekzoznamu"/>
        <w:numPr>
          <w:ilvl w:val="0"/>
          <w:numId w:val="27"/>
        </w:numPr>
        <w:ind w:left="567" w:hanging="283"/>
        <w:jc w:val="both"/>
        <w:rPr>
          <w:sz w:val="22"/>
          <w:szCs w:val="22"/>
        </w:rPr>
      </w:pPr>
      <w:r w:rsidRPr="00CF79E0">
        <w:rPr>
          <w:sz w:val="22"/>
          <w:szCs w:val="22"/>
        </w:rPr>
        <w:t>vytvorenia spoločnej značky aliancie a ďalšie marketingové služby.</w:t>
      </w:r>
    </w:p>
    <w:p w14:paraId="4936D0CF" w14:textId="77777777" w:rsidR="00E10737" w:rsidRDefault="00E10737" w:rsidP="00E10737">
      <w:pPr>
        <w:jc w:val="both"/>
        <w:rPr>
          <w:sz w:val="22"/>
          <w:szCs w:val="22"/>
        </w:rPr>
      </w:pPr>
    </w:p>
    <w:p w14:paraId="56F5643F" w14:textId="77777777" w:rsidR="00E10737" w:rsidRPr="00CF79E0" w:rsidRDefault="00E10737" w:rsidP="00E10737">
      <w:pPr>
        <w:pStyle w:val="Zkladntext"/>
        <w:spacing w:line="248" w:lineRule="auto"/>
        <w:ind w:right="117"/>
        <w:jc w:val="both"/>
        <w:rPr>
          <w:sz w:val="22"/>
          <w:szCs w:val="22"/>
        </w:rPr>
      </w:pPr>
      <w:r w:rsidRPr="00CF79E0">
        <w:rPr>
          <w:sz w:val="22"/>
          <w:szCs w:val="22"/>
        </w:rPr>
        <w:t>Podpora bude poskytovaná na vytvorenie a chod platforiem, v rámci nej by sa financovali štartovacie náklady, výskumné a marketingové služby a prevádzkové náklady v období pokiaľ platforma nedosiahne prah rentability. Ďalšou formou podpory by boli finančné stimuly pre súkromných investorov investujúcich do MSP zapojených do AOP. Aktivita bude realizovaná formou národného projektu a schémy pomoci.</w:t>
      </w:r>
    </w:p>
    <w:p w14:paraId="1F13B6EE" w14:textId="77777777" w:rsidR="00E10737" w:rsidRDefault="00E10737" w:rsidP="00E10737">
      <w:pPr>
        <w:pStyle w:val="Zkladntext"/>
        <w:spacing w:before="100" w:line="248" w:lineRule="auto"/>
        <w:ind w:right="117"/>
        <w:jc w:val="both"/>
        <w:rPr>
          <w:sz w:val="22"/>
          <w:szCs w:val="22"/>
        </w:rPr>
      </w:pPr>
      <w:r w:rsidRPr="00CF79E0">
        <w:rPr>
          <w:sz w:val="22"/>
          <w:szCs w:val="22"/>
        </w:rPr>
        <w:t>Zapájanie MSP do programov EÚ. Programy EÚ, napr. Horizont 2020, COSME, EaSI a iné, sú programy EÚ zamerané na integráciu politík EÚ prostredníctvom implementácie projektov podporujúcich a rozširujúcich spoluprácu medzi jednotlivými členskými aj kandidátskymi krajinami EÚ v dlhodobom časovom horizonte. V predchádzajúcom období neexistovala účinná forma podpory MSP, v dôsledku čoho SR dosahovalo nízku mieru zapojenia MSP do týchto programov. Aktivita je zameraná na zvýšenie možností pre získanie finančnej podpory pre MSP v rámci programov EÚ. Cieľom je zapojiť MSP do čo možno najväčšieho množstva projektov a pritom dbať na kvalitu podávaných projektov. V rámci opatrenia bude realizované:</w:t>
      </w:r>
    </w:p>
    <w:p w14:paraId="525D8D78"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informovanie o možnostiach podpory z rôznych programov EÚ,</w:t>
      </w:r>
    </w:p>
    <w:p w14:paraId="6A091998"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prezentovanie MSP s úspešnými projektmi v rámci programov EÚ,</w:t>
      </w:r>
    </w:p>
    <w:p w14:paraId="7A27D6B9"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podpora pri vyhľadávaní partnerov a projektov pre spoluprácu s využitím databáz EEN,</w:t>
      </w:r>
    </w:p>
    <w:p w14:paraId="656576BC"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finančná podpora grantovou formou, určená na prípravu projektu, resp. určitej časti projektovej dokumentácie do programu EÚ,</w:t>
      </w:r>
    </w:p>
    <w:p w14:paraId="0088EA22"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odborná konzultácia a posúdenie pripravovaných projektových zámerov.</w:t>
      </w:r>
    </w:p>
    <w:p w14:paraId="7FC72401" w14:textId="19B3DAA2" w:rsidR="00E10737" w:rsidRDefault="00E10737" w:rsidP="00E10737">
      <w:pPr>
        <w:pStyle w:val="Zkladntext"/>
        <w:widowControl w:val="0"/>
        <w:tabs>
          <w:tab w:val="left" w:pos="834"/>
        </w:tabs>
        <w:spacing w:before="60" w:after="0" w:line="288" w:lineRule="auto"/>
        <w:rPr>
          <w:sz w:val="22"/>
          <w:szCs w:val="22"/>
        </w:rPr>
      </w:pPr>
      <w:r w:rsidRPr="00CF79E0">
        <w:rPr>
          <w:sz w:val="22"/>
          <w:szCs w:val="22"/>
        </w:rPr>
        <w:t>Aktivita bude realizovaná formou národného projektu</w:t>
      </w:r>
      <w:r w:rsidR="006719B5">
        <w:rPr>
          <w:sz w:val="22"/>
          <w:szCs w:val="22"/>
        </w:rPr>
        <w:t xml:space="preserve"> a schémy pomoci.</w:t>
      </w:r>
    </w:p>
    <w:p w14:paraId="15BD2DF1" w14:textId="75128F5B" w:rsidR="00E10737" w:rsidRDefault="00E10737" w:rsidP="00723147">
      <w:pPr>
        <w:spacing w:before="120"/>
        <w:jc w:val="both"/>
        <w:rPr>
          <w:sz w:val="22"/>
          <w:szCs w:val="22"/>
        </w:rPr>
      </w:pPr>
      <w:r w:rsidRPr="005E00A2">
        <w:rPr>
          <w:sz w:val="22"/>
          <w:szCs w:val="22"/>
        </w:rPr>
        <w:t>Oprávnení prijímatelia</w:t>
      </w:r>
      <w:r w:rsidR="006719B5">
        <w:rPr>
          <w:rStyle w:val="Odkaznapoznmkupodiarou"/>
          <w:sz w:val="22"/>
          <w:szCs w:val="22"/>
        </w:rPr>
        <w:footnoteReference w:id="96"/>
      </w:r>
      <w:r w:rsidRPr="005E00A2">
        <w:rPr>
          <w:sz w:val="22"/>
          <w:szCs w:val="22"/>
        </w:rPr>
        <w:t xml:space="preserve">, cieľové skupiny a cieľové územie v rámci investičnej priority </w:t>
      </w:r>
      <w:r>
        <w:rPr>
          <w:sz w:val="22"/>
          <w:szCs w:val="22"/>
        </w:rPr>
        <w:t>3</w:t>
      </w:r>
      <w:r w:rsidR="000B4D66">
        <w:rPr>
          <w:sz w:val="22"/>
          <w:szCs w:val="22"/>
        </w:rPr>
        <w:t>b)</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63D27D1A" w14:textId="77777777" w:rsidTr="004179DE">
        <w:trPr>
          <w:trHeight w:val="284"/>
          <w:jc w:val="center"/>
        </w:trPr>
        <w:tc>
          <w:tcPr>
            <w:tcW w:w="3289" w:type="dxa"/>
            <w:shd w:val="clear" w:color="auto" w:fill="DBE5F1" w:themeFill="accent1" w:themeFillTint="33"/>
            <w:vAlign w:val="center"/>
          </w:tcPr>
          <w:p w14:paraId="15984441"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0D7F32F4"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MSP</w:t>
            </w:r>
          </w:p>
        </w:tc>
      </w:tr>
      <w:tr w:rsidR="00E10737" w14:paraId="6DA97ABD" w14:textId="77777777" w:rsidTr="004179DE">
        <w:trPr>
          <w:trHeight w:val="284"/>
          <w:jc w:val="center"/>
        </w:trPr>
        <w:tc>
          <w:tcPr>
            <w:tcW w:w="3289" w:type="dxa"/>
            <w:shd w:val="clear" w:color="auto" w:fill="DBE5F1" w:themeFill="accent1" w:themeFillTint="33"/>
            <w:vAlign w:val="center"/>
          </w:tcPr>
          <w:p w14:paraId="1D162CB5"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76BDE28F"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Menej rozvinuté regióny</w:t>
            </w:r>
          </w:p>
        </w:tc>
      </w:tr>
      <w:tr w:rsidR="00E10737" w14:paraId="71395F4B" w14:textId="77777777" w:rsidTr="004179DE">
        <w:trPr>
          <w:trHeight w:val="284"/>
          <w:jc w:val="center"/>
        </w:trPr>
        <w:tc>
          <w:tcPr>
            <w:tcW w:w="3289" w:type="dxa"/>
            <w:shd w:val="clear" w:color="auto" w:fill="DBE5F1" w:themeFill="accent1" w:themeFillTint="33"/>
            <w:vAlign w:val="center"/>
          </w:tcPr>
          <w:p w14:paraId="19D688FE"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56523424" w14:textId="77777777" w:rsidR="00E10737"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fyzické alebo právnické osoby oprávnené na podnikanie spĺňajúce definíciu MSP,</w:t>
            </w:r>
          </w:p>
          <w:p w14:paraId="2AA727F0" w14:textId="77777777" w:rsidR="00E10737"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združenia fyzických alebo právnických osôb,</w:t>
            </w:r>
          </w:p>
          <w:p w14:paraId="69B3FA60" w14:textId="77777777" w:rsidR="00E10737"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neziskový sekt</w:t>
            </w:r>
            <w:r>
              <w:rPr>
                <w:sz w:val="22"/>
                <w:szCs w:val="22"/>
              </w:rPr>
              <w:t>or,</w:t>
            </w:r>
          </w:p>
          <w:p w14:paraId="38992D10" w14:textId="77777777" w:rsidR="00E10737"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Slovak Business Agency,</w:t>
            </w:r>
          </w:p>
          <w:p w14:paraId="67627FC6" w14:textId="77777777" w:rsidR="00E10737"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 xml:space="preserve">štátne rozpočtové organizácie alebo štátne príspevkové organizácie v pôsobnosti MH </w:t>
            </w:r>
            <w:r>
              <w:rPr>
                <w:sz w:val="22"/>
                <w:szCs w:val="22"/>
              </w:rPr>
              <w:t>SR,</w:t>
            </w:r>
          </w:p>
          <w:p w14:paraId="48CCBB47"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verejnoprávne inštitúcie zriadené zo zákona,</w:t>
            </w:r>
          </w:p>
        </w:tc>
      </w:tr>
    </w:tbl>
    <w:p w14:paraId="4109AB8B" w14:textId="77777777" w:rsidR="00E10737" w:rsidRDefault="00E10737" w:rsidP="00E10737">
      <w:pPr>
        <w:pStyle w:val="Nadpis4"/>
        <w:tabs>
          <w:tab w:val="clear" w:pos="709"/>
          <w:tab w:val="clear" w:pos="864"/>
        </w:tabs>
        <w:ind w:left="851" w:hanging="851"/>
      </w:pPr>
      <w:r>
        <w:t>Hlavné princípy výberu projektov</w:t>
      </w:r>
    </w:p>
    <w:p w14:paraId="2B06D188" w14:textId="77777777" w:rsidR="00E10737" w:rsidRPr="00CF79E0" w:rsidRDefault="00E10737" w:rsidP="00E10737">
      <w:pPr>
        <w:pStyle w:val="Zkladntext"/>
        <w:spacing w:before="138" w:line="247" w:lineRule="auto"/>
        <w:rPr>
          <w:sz w:val="22"/>
          <w:szCs w:val="22"/>
        </w:rPr>
      </w:pPr>
      <w:r w:rsidRPr="00CF79E0">
        <w:rPr>
          <w:sz w:val="22"/>
          <w:szCs w:val="22"/>
        </w:rPr>
        <w:t>Vo vzťahu k výzvam na predkladanie žiadostí o príspevok budú zohľadnené všeobecné zásady</w:t>
      </w:r>
      <w:r>
        <w:rPr>
          <w:sz w:val="22"/>
          <w:szCs w:val="22"/>
        </w:rPr>
        <w:t xml:space="preserve"> </w:t>
      </w:r>
      <w:r w:rsidRPr="00CF79E0">
        <w:rPr>
          <w:sz w:val="22"/>
          <w:szCs w:val="22"/>
        </w:rPr>
        <w:t xml:space="preserve">výberu projektov pre tematický cieľ 3 uvedené v kapitole </w:t>
      </w:r>
      <w:r>
        <w:rPr>
          <w:sz w:val="22"/>
          <w:szCs w:val="22"/>
        </w:rPr>
        <w:t>2.11.2.3</w:t>
      </w:r>
      <w:r w:rsidRPr="00CF79E0">
        <w:rPr>
          <w:sz w:val="22"/>
          <w:szCs w:val="22"/>
        </w:rPr>
        <w:t>.</w:t>
      </w:r>
    </w:p>
    <w:p w14:paraId="3FA126AC" w14:textId="13BDDA01" w:rsidR="00E10737" w:rsidRDefault="00E10737" w:rsidP="00E10737">
      <w:pPr>
        <w:pStyle w:val="Zkladntext"/>
        <w:spacing w:before="100"/>
        <w:rPr>
          <w:sz w:val="22"/>
          <w:szCs w:val="22"/>
        </w:rPr>
      </w:pPr>
      <w:r w:rsidRPr="00CF79E0">
        <w:rPr>
          <w:sz w:val="22"/>
          <w:szCs w:val="22"/>
        </w:rPr>
        <w:t>Špecifické zásady výberu projektov v rámci investičnej priority 3</w:t>
      </w:r>
      <w:r w:rsidR="000B4D66">
        <w:rPr>
          <w:sz w:val="22"/>
          <w:szCs w:val="22"/>
        </w:rPr>
        <w:t>b)</w:t>
      </w:r>
      <w:r w:rsidRPr="00CF79E0">
        <w:rPr>
          <w:sz w:val="22"/>
          <w:szCs w:val="22"/>
        </w:rPr>
        <w:t>:</w:t>
      </w:r>
    </w:p>
    <w:p w14:paraId="24556D47" w14:textId="0740F759" w:rsidR="00E10737" w:rsidRPr="00CF79E0" w:rsidRDefault="00E10737" w:rsidP="00770D43">
      <w:pPr>
        <w:pStyle w:val="Zkladntext"/>
        <w:spacing w:before="108"/>
        <w:jc w:val="both"/>
        <w:rPr>
          <w:sz w:val="22"/>
          <w:szCs w:val="22"/>
        </w:rPr>
      </w:pPr>
      <w:r w:rsidRPr="00CF79E0">
        <w:rPr>
          <w:sz w:val="22"/>
          <w:szCs w:val="22"/>
        </w:rPr>
        <w:t xml:space="preserve">Na výber projektov v rámci špecifického cieľa </w:t>
      </w:r>
      <w:r>
        <w:rPr>
          <w:sz w:val="22"/>
          <w:szCs w:val="22"/>
        </w:rPr>
        <w:t>11</w:t>
      </w:r>
      <w:r w:rsidRPr="00CF79E0">
        <w:rPr>
          <w:sz w:val="22"/>
          <w:szCs w:val="22"/>
        </w:rPr>
        <w:t>.2 budú aplikované nasledovné špecifické zásady výberu projektov</w:t>
      </w:r>
      <w:r w:rsidR="00770D43">
        <w:rPr>
          <w:sz w:val="22"/>
          <w:szCs w:val="22"/>
        </w:rPr>
        <w:t>:</w:t>
      </w:r>
    </w:p>
    <w:p w14:paraId="7C4DF9A2" w14:textId="77777777" w:rsidR="00E10737" w:rsidRPr="00CF79E0" w:rsidRDefault="00E10737" w:rsidP="00E10737">
      <w:pPr>
        <w:pStyle w:val="Zkladntext"/>
        <w:widowControl w:val="0"/>
        <w:numPr>
          <w:ilvl w:val="0"/>
          <w:numId w:val="173"/>
        </w:numPr>
        <w:tabs>
          <w:tab w:val="left" w:pos="826"/>
        </w:tabs>
        <w:spacing w:before="68" w:after="0"/>
        <w:ind w:left="568" w:hanging="284"/>
        <w:rPr>
          <w:sz w:val="22"/>
          <w:szCs w:val="22"/>
        </w:rPr>
      </w:pPr>
      <w:r w:rsidRPr="00CF79E0">
        <w:rPr>
          <w:sz w:val="22"/>
          <w:szCs w:val="22"/>
        </w:rPr>
        <w:t>zvýhodňované budú také projekty, ktorých výsledkom bude zavádzanie produktov nových pre trh;</w:t>
      </w:r>
    </w:p>
    <w:p w14:paraId="566EA892" w14:textId="77777777" w:rsidR="00E10737" w:rsidRDefault="00E10737" w:rsidP="00E10737">
      <w:pPr>
        <w:pStyle w:val="Zkladntext"/>
        <w:widowControl w:val="0"/>
        <w:numPr>
          <w:ilvl w:val="0"/>
          <w:numId w:val="173"/>
        </w:numPr>
        <w:tabs>
          <w:tab w:val="left" w:pos="826"/>
        </w:tabs>
        <w:spacing w:before="68" w:after="0"/>
        <w:ind w:left="568" w:hanging="284"/>
        <w:rPr>
          <w:sz w:val="22"/>
          <w:szCs w:val="22"/>
        </w:rPr>
      </w:pPr>
      <w:r w:rsidRPr="00CF79E0">
        <w:rPr>
          <w:sz w:val="22"/>
          <w:szCs w:val="22"/>
        </w:rPr>
        <w:t>ak ide o odborné posúdenie projektu v prípade:</w:t>
      </w:r>
    </w:p>
    <w:p w14:paraId="6E45D874" w14:textId="77777777" w:rsidR="00E10737" w:rsidRDefault="00E10737" w:rsidP="00E10737">
      <w:pPr>
        <w:pStyle w:val="Zkladntext"/>
        <w:widowControl w:val="0"/>
        <w:numPr>
          <w:ilvl w:val="0"/>
          <w:numId w:val="176"/>
        </w:numPr>
        <w:tabs>
          <w:tab w:val="left" w:pos="834"/>
        </w:tabs>
        <w:spacing w:before="68" w:after="0"/>
        <w:ind w:left="1135" w:hanging="284"/>
        <w:rPr>
          <w:sz w:val="22"/>
          <w:szCs w:val="22"/>
        </w:rPr>
      </w:pPr>
      <w:r w:rsidRPr="00CF79E0">
        <w:rPr>
          <w:sz w:val="22"/>
          <w:szCs w:val="22"/>
        </w:rPr>
        <w:lastRenderedPageBreak/>
        <w:t>účasti slovenských podnikov na prezentačných podujatiach, ide o odborné posúdenie:</w:t>
      </w:r>
    </w:p>
    <w:p w14:paraId="088DDE2B"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vhodnosti a počtu plánovaných účastí podnikov na prezentačných podujatiach,</w:t>
      </w:r>
    </w:p>
    <w:p w14:paraId="4590CD32"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potenciálneho vplyvu týchto účastí na zlepšenie postavenia podniku a rastu jeho obchodných príležitostí na príslušných trhoch,</w:t>
      </w:r>
    </w:p>
    <w:p w14:paraId="5F1CCC22"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posúdenie pravdepodobnosti dosiahnutia stanovených cieľov.</w:t>
      </w:r>
    </w:p>
    <w:p w14:paraId="6ED00D70" w14:textId="77777777" w:rsidR="00E10737" w:rsidRDefault="00E10737" w:rsidP="00E10737">
      <w:pPr>
        <w:pStyle w:val="Zkladntext"/>
        <w:widowControl w:val="0"/>
        <w:numPr>
          <w:ilvl w:val="0"/>
          <w:numId w:val="177"/>
        </w:numPr>
        <w:tabs>
          <w:tab w:val="left" w:pos="834"/>
        </w:tabs>
        <w:spacing w:before="68" w:after="0"/>
        <w:ind w:left="1135" w:hanging="284"/>
        <w:rPr>
          <w:sz w:val="22"/>
          <w:szCs w:val="22"/>
        </w:rPr>
      </w:pPr>
      <w:r w:rsidRPr="00CF79E0">
        <w:rPr>
          <w:sz w:val="22"/>
          <w:szCs w:val="22"/>
        </w:rPr>
        <w:t>alternatívnych obchodných platforiem, ide o odborné posúdenie:</w:t>
      </w:r>
    </w:p>
    <w:p w14:paraId="3EA080C4"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stratégie investovania zdrojov investorov do zapojených MSP,</w:t>
      </w:r>
    </w:p>
    <w:p w14:paraId="2E78BB71"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princípy výberu zapojených MSP,</w:t>
      </w:r>
    </w:p>
    <w:p w14:paraId="68BBA887"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potreby a účelnosti finančných stimulov pre investorov,</w:t>
      </w:r>
    </w:p>
    <w:p w14:paraId="023D3204"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potenciálu vplyvu investícií do MSP na ich expanziu a etablovanie sa na medzinárodnom trhu,</w:t>
      </w:r>
    </w:p>
    <w:p w14:paraId="00B4774F" w14:textId="77777777" w:rsidR="00E10737"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posúdenie pravdepodobnosti dosiahnutia stanovených cieľov.</w:t>
      </w:r>
    </w:p>
    <w:p w14:paraId="2651B97E" w14:textId="77777777" w:rsidR="00E10737" w:rsidRDefault="00E10737" w:rsidP="00E10737">
      <w:pPr>
        <w:pStyle w:val="Zkladntext"/>
        <w:widowControl w:val="0"/>
        <w:numPr>
          <w:ilvl w:val="0"/>
          <w:numId w:val="178"/>
        </w:numPr>
        <w:tabs>
          <w:tab w:val="left" w:pos="834"/>
        </w:tabs>
        <w:spacing w:before="68" w:after="0"/>
        <w:ind w:left="1135" w:hanging="284"/>
        <w:rPr>
          <w:sz w:val="22"/>
          <w:szCs w:val="22"/>
        </w:rPr>
      </w:pPr>
      <w:r w:rsidRPr="00CF79E0">
        <w:rPr>
          <w:sz w:val="22"/>
          <w:szCs w:val="22"/>
        </w:rPr>
        <w:t>zapájania MSP do programov EÚ, ide o odborné posúdenie:</w:t>
      </w:r>
    </w:p>
    <w:p w14:paraId="2845CC31"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vhodnosti plánovaného projektu,</w:t>
      </w:r>
    </w:p>
    <w:p w14:paraId="18B74E0E" w14:textId="77777777" w:rsidR="00E10737" w:rsidRPr="00CF79E0" w:rsidRDefault="00E10737" w:rsidP="00E10737">
      <w:pPr>
        <w:pStyle w:val="Zkladntext"/>
        <w:widowControl w:val="0"/>
        <w:numPr>
          <w:ilvl w:val="0"/>
          <w:numId w:val="175"/>
        </w:numPr>
        <w:tabs>
          <w:tab w:val="left" w:pos="834"/>
        </w:tabs>
        <w:spacing w:before="68" w:after="0"/>
        <w:ind w:left="1418" w:hanging="284"/>
        <w:rPr>
          <w:sz w:val="22"/>
          <w:szCs w:val="22"/>
        </w:rPr>
      </w:pPr>
      <w:r w:rsidRPr="00CF79E0">
        <w:rPr>
          <w:sz w:val="22"/>
          <w:szCs w:val="22"/>
        </w:rPr>
        <w:t>pravdepodobnosti jeho úspechu v medzinárodnej konkurencii.</w:t>
      </w:r>
    </w:p>
    <w:p w14:paraId="4B3A2D8A" w14:textId="77777777" w:rsidR="00E10737" w:rsidRPr="00CF2C83" w:rsidRDefault="00E10737" w:rsidP="00E10737">
      <w:pPr>
        <w:pStyle w:val="Nadpis4"/>
        <w:tabs>
          <w:tab w:val="clear" w:pos="709"/>
          <w:tab w:val="clear" w:pos="864"/>
        </w:tabs>
        <w:spacing w:before="240"/>
        <w:ind w:left="851" w:hanging="851"/>
      </w:pPr>
      <w:r w:rsidRPr="00CF2C83">
        <w:t>Plánované využitie finančných nástrojov</w:t>
      </w:r>
    </w:p>
    <w:p w14:paraId="11F1DD0B" w14:textId="6935A2A7" w:rsidR="00E10737" w:rsidRDefault="00E10737" w:rsidP="00E10737">
      <w:pPr>
        <w:pStyle w:val="Zkladntext"/>
        <w:spacing w:before="98" w:line="247" w:lineRule="auto"/>
        <w:jc w:val="both"/>
        <w:rPr>
          <w:sz w:val="22"/>
          <w:szCs w:val="22"/>
        </w:rPr>
      </w:pPr>
      <w:r w:rsidRPr="00CF79E0">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w:t>
      </w:r>
      <w:r w:rsidR="00723147">
        <w:rPr>
          <w:sz w:val="22"/>
          <w:szCs w:val="22"/>
        </w:rPr>
        <w:t>ančné nástroje budú zamerané na </w:t>
      </w:r>
      <w:r w:rsidRPr="00CF79E0">
        <w:rPr>
          <w:sz w:val="22"/>
          <w:szCs w:val="22"/>
        </w:rPr>
        <w:t>podporu tých aktivít, ktoré nenachádzajú financovanie na trhu, prípadne nenachádzajú adekvátne financovanie, pri ktorom by ich realizácia bola efektívnou.</w:t>
      </w:r>
    </w:p>
    <w:p w14:paraId="06B998F6" w14:textId="1930E408" w:rsidR="00E10737" w:rsidRDefault="00E10737" w:rsidP="00E10737">
      <w:pPr>
        <w:pStyle w:val="Zkladntext"/>
        <w:spacing w:line="247" w:lineRule="auto"/>
        <w:jc w:val="both"/>
        <w:rPr>
          <w:sz w:val="22"/>
          <w:szCs w:val="22"/>
        </w:rPr>
      </w:pPr>
      <w:r w:rsidRPr="00CF79E0">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sidR="00723147">
        <w:rPr>
          <w:sz w:val="22"/>
          <w:szCs w:val="22"/>
        </w:rPr>
        <w:t>tálu je potrebné aj vzhľadom na </w:t>
      </w:r>
      <w:r w:rsidRPr="00CF79E0">
        <w:rPr>
          <w:sz w:val="22"/>
          <w:szCs w:val="22"/>
        </w:rPr>
        <w:t>nedostatočný objem prostriedkov z EŠIF na pokrytie všetkých investičných potrieb v príslušných oblastiach. Účasť súkromných investorov môže prispieť aj ku skvalitn</w:t>
      </w:r>
      <w:r w:rsidR="00723147">
        <w:rPr>
          <w:sz w:val="22"/>
          <w:szCs w:val="22"/>
        </w:rPr>
        <w:t>eniu implementácie projektov, a </w:t>
      </w:r>
      <w:r w:rsidRPr="00CF79E0">
        <w:rPr>
          <w:sz w:val="22"/>
          <w:szCs w:val="22"/>
        </w:rPr>
        <w:t>teda dodatočne prispieva k celkovo efektívnejšiemu použitiu finančných prostriedkov.</w:t>
      </w:r>
    </w:p>
    <w:p w14:paraId="192DBE0E" w14:textId="77777777" w:rsidR="00E10737" w:rsidRPr="00CF79E0" w:rsidRDefault="00E10737" w:rsidP="00E10737">
      <w:pPr>
        <w:pStyle w:val="Zkladntext"/>
        <w:spacing w:line="247" w:lineRule="auto"/>
        <w:jc w:val="both"/>
        <w:rPr>
          <w:sz w:val="22"/>
          <w:szCs w:val="22"/>
        </w:rPr>
      </w:pPr>
      <w:r w:rsidRPr="00CF79E0">
        <w:rPr>
          <w:sz w:val="22"/>
          <w:szCs w:val="22"/>
        </w:rPr>
        <w:t>S využitím finančných nástrojov bude možné podporiť príslušné aktivity vhodnými finančnými produktmi (úvery, záruky, rizikový kapitál,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0AE0EAC4" w14:textId="77777777" w:rsidR="00E10737" w:rsidRDefault="00E10737" w:rsidP="00E10737">
      <w:pPr>
        <w:pStyle w:val="Nadpis4"/>
        <w:tabs>
          <w:tab w:val="clear" w:pos="709"/>
          <w:tab w:val="clear" w:pos="864"/>
        </w:tabs>
        <w:ind w:left="851" w:hanging="862"/>
      </w:pPr>
      <w:r>
        <w:t>Plánované využitie veľkých projektov</w:t>
      </w:r>
    </w:p>
    <w:p w14:paraId="719B2636" w14:textId="7A09D760" w:rsidR="00E10737" w:rsidRPr="00CF79E0" w:rsidRDefault="00E10737" w:rsidP="00E10737">
      <w:pPr>
        <w:pStyle w:val="Zkladntext"/>
        <w:spacing w:before="98"/>
        <w:rPr>
          <w:sz w:val="22"/>
          <w:szCs w:val="22"/>
        </w:rPr>
      </w:pPr>
      <w:r w:rsidRPr="00CF79E0">
        <w:rPr>
          <w:sz w:val="22"/>
          <w:szCs w:val="22"/>
        </w:rPr>
        <w:t xml:space="preserve">V rámci špecifického cieľa </w:t>
      </w:r>
      <w:r w:rsidR="00B16E27">
        <w:rPr>
          <w:sz w:val="22"/>
          <w:szCs w:val="22"/>
        </w:rPr>
        <w:t>11</w:t>
      </w:r>
      <w:r w:rsidRPr="00CF79E0">
        <w:rPr>
          <w:sz w:val="22"/>
          <w:szCs w:val="22"/>
        </w:rPr>
        <w:t>.2 nie je plánovaná realizácia veľkého projektu.</w:t>
      </w:r>
    </w:p>
    <w:p w14:paraId="6815CA9E" w14:textId="3078F39A" w:rsidR="00E10737" w:rsidRDefault="00E10737" w:rsidP="00E10737">
      <w:pPr>
        <w:pStyle w:val="Nadpis4"/>
        <w:tabs>
          <w:tab w:val="clear" w:pos="709"/>
          <w:tab w:val="clear" w:pos="864"/>
        </w:tabs>
        <w:ind w:left="851" w:hanging="862"/>
      </w:pPr>
      <w:r>
        <w:t>Ukazovatele výstupov na úrovni investičnej priority 3</w:t>
      </w:r>
      <w:r w:rsidR="000B4D66">
        <w:t>b)</w:t>
      </w:r>
    </w:p>
    <w:p w14:paraId="270B09E8" w14:textId="74A3BB6C" w:rsidR="00E10737" w:rsidRPr="005042E2" w:rsidRDefault="00E10737" w:rsidP="00E661DF">
      <w:pPr>
        <w:pStyle w:val="Tab"/>
      </w:pPr>
      <w:r w:rsidRPr="005042E2">
        <w:t xml:space="preserve">Spoločné a špecifické ukazovatele výstupu na úrovni investičnej priority </w:t>
      </w:r>
      <w:r>
        <w:t>3</w:t>
      </w:r>
      <w:r w:rsidR="000B4D66">
        <w:t>b)</w:t>
      </w:r>
    </w:p>
    <w:tbl>
      <w:tblPr>
        <w:tblStyle w:val="Mriekatabuky"/>
        <w:tblW w:w="995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2"/>
        <w:gridCol w:w="2409"/>
        <w:gridCol w:w="1276"/>
        <w:gridCol w:w="851"/>
        <w:gridCol w:w="1071"/>
        <w:gridCol w:w="1174"/>
        <w:gridCol w:w="1147"/>
        <w:gridCol w:w="1177"/>
      </w:tblGrid>
      <w:tr w:rsidR="00E661DF" w:rsidRPr="008C1732" w14:paraId="4EBA6EE5" w14:textId="77777777" w:rsidTr="00D325D8">
        <w:trPr>
          <w:trHeight w:val="487"/>
          <w:jc w:val="center"/>
        </w:trPr>
        <w:tc>
          <w:tcPr>
            <w:tcW w:w="852" w:type="dxa"/>
            <w:shd w:val="clear" w:color="auto" w:fill="C6D9F1" w:themeFill="text2" w:themeFillTint="33"/>
            <w:vAlign w:val="center"/>
          </w:tcPr>
          <w:p w14:paraId="6D87E272" w14:textId="77777777" w:rsidR="00E10737" w:rsidRPr="002A01BC" w:rsidRDefault="00E10737" w:rsidP="004179DE">
            <w:pPr>
              <w:ind w:left="0"/>
              <w:jc w:val="center"/>
              <w:rPr>
                <w:b/>
                <w:sz w:val="18"/>
                <w:szCs w:val="18"/>
              </w:rPr>
            </w:pPr>
            <w:r w:rsidRPr="002A01BC">
              <w:rPr>
                <w:b/>
                <w:sz w:val="18"/>
                <w:szCs w:val="18"/>
              </w:rPr>
              <w:t>ID</w:t>
            </w:r>
          </w:p>
        </w:tc>
        <w:tc>
          <w:tcPr>
            <w:tcW w:w="2409" w:type="dxa"/>
            <w:shd w:val="clear" w:color="auto" w:fill="C6D9F1" w:themeFill="text2" w:themeFillTint="33"/>
            <w:vAlign w:val="center"/>
          </w:tcPr>
          <w:p w14:paraId="11070F1A" w14:textId="77777777" w:rsidR="00E10737" w:rsidRPr="002A01BC" w:rsidRDefault="00E10737" w:rsidP="004179DE">
            <w:pPr>
              <w:ind w:left="0"/>
              <w:jc w:val="center"/>
              <w:rPr>
                <w:b/>
                <w:sz w:val="18"/>
                <w:szCs w:val="18"/>
              </w:rPr>
            </w:pPr>
            <w:r w:rsidRPr="002A01BC">
              <w:rPr>
                <w:b/>
                <w:sz w:val="18"/>
                <w:szCs w:val="18"/>
              </w:rPr>
              <w:t>Ukazovateľ výstupu</w:t>
            </w:r>
          </w:p>
        </w:tc>
        <w:tc>
          <w:tcPr>
            <w:tcW w:w="1276" w:type="dxa"/>
            <w:shd w:val="clear" w:color="auto" w:fill="C6D9F1" w:themeFill="text2" w:themeFillTint="33"/>
            <w:vAlign w:val="center"/>
          </w:tcPr>
          <w:p w14:paraId="56DB0A46" w14:textId="77777777" w:rsidR="00E10737" w:rsidRPr="002A01BC" w:rsidRDefault="00E10737" w:rsidP="004179DE">
            <w:pPr>
              <w:ind w:left="0"/>
              <w:jc w:val="center"/>
              <w:rPr>
                <w:b/>
                <w:sz w:val="18"/>
                <w:szCs w:val="18"/>
              </w:rPr>
            </w:pPr>
            <w:r w:rsidRPr="002A01BC">
              <w:rPr>
                <w:b/>
                <w:sz w:val="18"/>
                <w:szCs w:val="18"/>
              </w:rPr>
              <w:t>Merná jednotka</w:t>
            </w:r>
          </w:p>
        </w:tc>
        <w:tc>
          <w:tcPr>
            <w:tcW w:w="851" w:type="dxa"/>
            <w:shd w:val="clear" w:color="auto" w:fill="C6D9F1" w:themeFill="text2" w:themeFillTint="33"/>
            <w:vAlign w:val="center"/>
          </w:tcPr>
          <w:p w14:paraId="2C25F141" w14:textId="77777777" w:rsidR="00E10737" w:rsidRPr="002A01BC" w:rsidRDefault="00E10737" w:rsidP="004179DE">
            <w:pPr>
              <w:ind w:left="0"/>
              <w:jc w:val="center"/>
              <w:rPr>
                <w:b/>
                <w:sz w:val="18"/>
                <w:szCs w:val="18"/>
              </w:rPr>
            </w:pPr>
            <w:r w:rsidRPr="002A01BC">
              <w:rPr>
                <w:b/>
                <w:sz w:val="18"/>
                <w:szCs w:val="18"/>
              </w:rPr>
              <w:t>Fond</w:t>
            </w:r>
          </w:p>
        </w:tc>
        <w:tc>
          <w:tcPr>
            <w:tcW w:w="1071" w:type="dxa"/>
            <w:shd w:val="clear" w:color="auto" w:fill="C6D9F1" w:themeFill="text2" w:themeFillTint="33"/>
            <w:vAlign w:val="center"/>
          </w:tcPr>
          <w:p w14:paraId="46A50B93" w14:textId="77777777" w:rsidR="00E10737" w:rsidRPr="002A01BC" w:rsidRDefault="00E10737" w:rsidP="004179DE">
            <w:pPr>
              <w:ind w:left="0"/>
              <w:jc w:val="center"/>
              <w:rPr>
                <w:b/>
                <w:sz w:val="18"/>
                <w:szCs w:val="18"/>
              </w:rPr>
            </w:pPr>
            <w:r w:rsidRPr="002A01BC">
              <w:rPr>
                <w:b/>
                <w:sz w:val="18"/>
                <w:szCs w:val="18"/>
              </w:rPr>
              <w:t>Kategória regiónu</w:t>
            </w:r>
          </w:p>
        </w:tc>
        <w:tc>
          <w:tcPr>
            <w:tcW w:w="1174" w:type="dxa"/>
            <w:shd w:val="clear" w:color="auto" w:fill="C6D9F1" w:themeFill="text2" w:themeFillTint="33"/>
            <w:vAlign w:val="center"/>
          </w:tcPr>
          <w:p w14:paraId="44B9F2C0" w14:textId="77777777" w:rsidR="00E10737" w:rsidRPr="002A01BC" w:rsidRDefault="00E10737" w:rsidP="004179DE">
            <w:pPr>
              <w:ind w:left="0"/>
              <w:jc w:val="center"/>
              <w:rPr>
                <w:b/>
                <w:sz w:val="18"/>
                <w:szCs w:val="18"/>
              </w:rPr>
            </w:pPr>
            <w:r w:rsidRPr="002A01BC">
              <w:rPr>
                <w:b/>
                <w:sz w:val="18"/>
                <w:szCs w:val="18"/>
              </w:rPr>
              <w:t>Cieľová hodnota (2023)</w:t>
            </w:r>
          </w:p>
        </w:tc>
        <w:tc>
          <w:tcPr>
            <w:tcW w:w="1147" w:type="dxa"/>
            <w:shd w:val="clear" w:color="auto" w:fill="C6D9F1" w:themeFill="text2" w:themeFillTint="33"/>
            <w:vAlign w:val="center"/>
          </w:tcPr>
          <w:p w14:paraId="2CA27C41" w14:textId="77777777" w:rsidR="00E10737" w:rsidRPr="002A01BC" w:rsidRDefault="00E10737" w:rsidP="004179DE">
            <w:pPr>
              <w:ind w:left="0"/>
              <w:jc w:val="center"/>
              <w:rPr>
                <w:b/>
                <w:sz w:val="18"/>
                <w:szCs w:val="18"/>
              </w:rPr>
            </w:pPr>
            <w:r w:rsidRPr="002A01BC">
              <w:rPr>
                <w:b/>
                <w:sz w:val="18"/>
                <w:szCs w:val="18"/>
              </w:rPr>
              <w:t>Zdroj údajov</w:t>
            </w:r>
          </w:p>
        </w:tc>
        <w:tc>
          <w:tcPr>
            <w:tcW w:w="1177" w:type="dxa"/>
            <w:shd w:val="clear" w:color="auto" w:fill="C6D9F1" w:themeFill="text2" w:themeFillTint="33"/>
            <w:vAlign w:val="center"/>
          </w:tcPr>
          <w:p w14:paraId="70858E8B" w14:textId="77777777" w:rsidR="00E10737" w:rsidRPr="002A01BC" w:rsidRDefault="00E10737" w:rsidP="004179DE">
            <w:pPr>
              <w:ind w:left="0"/>
              <w:jc w:val="center"/>
              <w:rPr>
                <w:b/>
                <w:sz w:val="18"/>
                <w:szCs w:val="18"/>
              </w:rPr>
            </w:pPr>
            <w:r w:rsidRPr="002A01BC">
              <w:rPr>
                <w:b/>
                <w:sz w:val="18"/>
                <w:szCs w:val="18"/>
              </w:rPr>
              <w:t>Frekvencia vykazovania</w:t>
            </w:r>
          </w:p>
        </w:tc>
      </w:tr>
      <w:tr w:rsidR="00E661DF" w:rsidRPr="005042E2" w14:paraId="2E447BAB" w14:textId="77777777" w:rsidTr="00D325D8">
        <w:trPr>
          <w:trHeight w:val="680"/>
          <w:jc w:val="center"/>
        </w:trPr>
        <w:tc>
          <w:tcPr>
            <w:tcW w:w="852" w:type="dxa"/>
            <w:shd w:val="clear" w:color="auto" w:fill="auto"/>
            <w:vAlign w:val="center"/>
          </w:tcPr>
          <w:p w14:paraId="613D1F88" w14:textId="77777777" w:rsidR="00E10737" w:rsidRPr="00094365" w:rsidRDefault="00E10737" w:rsidP="004179DE">
            <w:pPr>
              <w:ind w:left="0"/>
              <w:jc w:val="center"/>
              <w:rPr>
                <w:sz w:val="18"/>
                <w:szCs w:val="18"/>
              </w:rPr>
            </w:pPr>
            <w:r w:rsidRPr="00094365">
              <w:rPr>
                <w:sz w:val="18"/>
                <w:szCs w:val="18"/>
              </w:rPr>
              <w:t>CO01</w:t>
            </w:r>
          </w:p>
        </w:tc>
        <w:tc>
          <w:tcPr>
            <w:tcW w:w="2409" w:type="dxa"/>
            <w:shd w:val="clear" w:color="auto" w:fill="auto"/>
            <w:vAlign w:val="center"/>
          </w:tcPr>
          <w:p w14:paraId="00EF842B" w14:textId="77777777" w:rsidR="00E10737" w:rsidRPr="00094365" w:rsidRDefault="00E10737" w:rsidP="004179DE">
            <w:pPr>
              <w:ind w:left="0"/>
              <w:rPr>
                <w:sz w:val="18"/>
                <w:szCs w:val="18"/>
              </w:rPr>
            </w:pPr>
            <w:r w:rsidRPr="00094365">
              <w:rPr>
                <w:sz w:val="18"/>
                <w:szCs w:val="18"/>
              </w:rPr>
              <w:t>Počet podnikov, ktorým sa poskytuje podpora (spoločný)</w:t>
            </w:r>
          </w:p>
        </w:tc>
        <w:tc>
          <w:tcPr>
            <w:tcW w:w="1276" w:type="dxa"/>
            <w:shd w:val="clear" w:color="auto" w:fill="auto"/>
            <w:vAlign w:val="center"/>
          </w:tcPr>
          <w:p w14:paraId="7FAE1E57" w14:textId="77777777" w:rsidR="00E10737" w:rsidRPr="00E661DF" w:rsidRDefault="00E10737" w:rsidP="004179DE">
            <w:pPr>
              <w:ind w:left="0"/>
              <w:jc w:val="center"/>
              <w:rPr>
                <w:i/>
                <w:sz w:val="18"/>
                <w:szCs w:val="18"/>
              </w:rPr>
            </w:pPr>
            <w:r w:rsidRPr="00E661DF">
              <w:rPr>
                <w:i/>
                <w:sz w:val="18"/>
                <w:szCs w:val="18"/>
              </w:rPr>
              <w:t>podniky</w:t>
            </w:r>
          </w:p>
        </w:tc>
        <w:tc>
          <w:tcPr>
            <w:tcW w:w="851" w:type="dxa"/>
            <w:shd w:val="clear" w:color="auto" w:fill="auto"/>
            <w:vAlign w:val="center"/>
          </w:tcPr>
          <w:p w14:paraId="55CEDCB4"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7BF5B663"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1C62DB5E" w14:textId="77777777" w:rsidR="00E10737" w:rsidRPr="00E661DF" w:rsidRDefault="00E10737" w:rsidP="004179DE">
            <w:pPr>
              <w:ind w:left="0"/>
              <w:jc w:val="center"/>
              <w:rPr>
                <w:i/>
                <w:sz w:val="18"/>
                <w:szCs w:val="18"/>
              </w:rPr>
            </w:pPr>
            <w:r w:rsidRPr="00E661DF">
              <w:rPr>
                <w:i/>
                <w:sz w:val="18"/>
                <w:szCs w:val="18"/>
              </w:rPr>
              <w:t>región</w:t>
            </w:r>
          </w:p>
        </w:tc>
        <w:tc>
          <w:tcPr>
            <w:tcW w:w="1174" w:type="dxa"/>
            <w:shd w:val="clear" w:color="auto" w:fill="auto"/>
            <w:vAlign w:val="center"/>
          </w:tcPr>
          <w:p w14:paraId="1786721A" w14:textId="77777777" w:rsidR="00E10737" w:rsidRPr="00E661DF" w:rsidRDefault="00E10737" w:rsidP="004179DE">
            <w:pPr>
              <w:ind w:left="0"/>
              <w:jc w:val="center"/>
              <w:rPr>
                <w:i/>
                <w:sz w:val="18"/>
                <w:szCs w:val="18"/>
              </w:rPr>
            </w:pPr>
            <w:r w:rsidRPr="00E661DF">
              <w:rPr>
                <w:i/>
                <w:sz w:val="18"/>
                <w:szCs w:val="18"/>
              </w:rPr>
              <w:t>1 080</w:t>
            </w:r>
          </w:p>
        </w:tc>
        <w:tc>
          <w:tcPr>
            <w:tcW w:w="1147" w:type="dxa"/>
            <w:vAlign w:val="center"/>
          </w:tcPr>
          <w:p w14:paraId="1BD417D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2A2E553"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3F5D61F6" w14:textId="77777777" w:rsidTr="00D325D8">
        <w:trPr>
          <w:trHeight w:val="680"/>
          <w:jc w:val="center"/>
        </w:trPr>
        <w:tc>
          <w:tcPr>
            <w:tcW w:w="852" w:type="dxa"/>
            <w:shd w:val="clear" w:color="auto" w:fill="auto"/>
            <w:vAlign w:val="center"/>
          </w:tcPr>
          <w:p w14:paraId="144912C9" w14:textId="77777777" w:rsidR="00E10737" w:rsidRPr="00094365" w:rsidRDefault="00E10737" w:rsidP="004179DE">
            <w:pPr>
              <w:ind w:left="0"/>
              <w:jc w:val="center"/>
              <w:rPr>
                <w:sz w:val="18"/>
                <w:szCs w:val="18"/>
              </w:rPr>
            </w:pPr>
            <w:r w:rsidRPr="00094365">
              <w:rPr>
                <w:sz w:val="18"/>
                <w:szCs w:val="18"/>
              </w:rPr>
              <w:lastRenderedPageBreak/>
              <w:t>CO02</w:t>
            </w:r>
          </w:p>
        </w:tc>
        <w:tc>
          <w:tcPr>
            <w:tcW w:w="2409" w:type="dxa"/>
            <w:shd w:val="clear" w:color="auto" w:fill="auto"/>
            <w:vAlign w:val="center"/>
          </w:tcPr>
          <w:p w14:paraId="52625D52" w14:textId="77777777" w:rsidR="00E10737" w:rsidRPr="00094365" w:rsidRDefault="00E10737" w:rsidP="004179DE">
            <w:pPr>
              <w:ind w:left="0"/>
              <w:rPr>
                <w:sz w:val="18"/>
                <w:szCs w:val="18"/>
              </w:rPr>
            </w:pPr>
            <w:r w:rsidRPr="00094365">
              <w:rPr>
                <w:sz w:val="18"/>
                <w:szCs w:val="18"/>
              </w:rPr>
              <w:t>Počet podnikov, ktoré dostávajú granty (spoločný)</w:t>
            </w:r>
          </w:p>
        </w:tc>
        <w:tc>
          <w:tcPr>
            <w:tcW w:w="1276" w:type="dxa"/>
            <w:shd w:val="clear" w:color="auto" w:fill="auto"/>
            <w:vAlign w:val="center"/>
          </w:tcPr>
          <w:p w14:paraId="22A2E463" w14:textId="77777777" w:rsidR="00E10737" w:rsidRPr="00E661DF" w:rsidRDefault="00E10737" w:rsidP="004179DE">
            <w:pPr>
              <w:ind w:left="0"/>
              <w:jc w:val="center"/>
              <w:rPr>
                <w:i/>
                <w:sz w:val="18"/>
                <w:szCs w:val="18"/>
              </w:rPr>
            </w:pPr>
            <w:r w:rsidRPr="00E661DF">
              <w:rPr>
                <w:i/>
                <w:sz w:val="18"/>
                <w:szCs w:val="18"/>
              </w:rPr>
              <w:t>podniky</w:t>
            </w:r>
          </w:p>
        </w:tc>
        <w:tc>
          <w:tcPr>
            <w:tcW w:w="851" w:type="dxa"/>
            <w:shd w:val="clear" w:color="auto" w:fill="auto"/>
            <w:vAlign w:val="center"/>
          </w:tcPr>
          <w:p w14:paraId="5E207C62"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1F50B450" w14:textId="77777777" w:rsidR="00E10737" w:rsidRPr="00E661DF" w:rsidRDefault="00E10737" w:rsidP="004179DE">
            <w:pPr>
              <w:pStyle w:val="TableParagraph"/>
              <w:ind w:left="0"/>
              <w:jc w:val="center"/>
              <w:rPr>
                <w:rFonts w:ascii="Times New Roman" w:eastAsia="Lucida Sans" w:hAnsi="Times New Roman" w:cs="Times New Roman"/>
                <w:i/>
                <w:sz w:val="18"/>
                <w:szCs w:val="18"/>
                <w:lang w:val="sk-SK"/>
              </w:rPr>
            </w:pPr>
            <w:r w:rsidRPr="00E661DF">
              <w:rPr>
                <w:rFonts w:ascii="Times New Roman" w:hAnsi="Times New Roman" w:cs="Times New Roman"/>
                <w:i/>
                <w:sz w:val="18"/>
                <w:szCs w:val="18"/>
                <w:lang w:val="sk-SK"/>
              </w:rPr>
              <w:t>menej rozvinutý</w:t>
            </w:r>
          </w:p>
          <w:p w14:paraId="76222C70" w14:textId="77777777" w:rsidR="00E10737" w:rsidRPr="00E661DF" w:rsidRDefault="00E10737" w:rsidP="004179DE">
            <w:pPr>
              <w:ind w:left="0"/>
              <w:jc w:val="center"/>
              <w:rPr>
                <w:i/>
                <w:sz w:val="18"/>
                <w:szCs w:val="18"/>
              </w:rPr>
            </w:pPr>
            <w:r w:rsidRPr="00E661DF">
              <w:rPr>
                <w:i/>
                <w:sz w:val="18"/>
                <w:szCs w:val="18"/>
              </w:rPr>
              <w:t>región</w:t>
            </w:r>
          </w:p>
        </w:tc>
        <w:tc>
          <w:tcPr>
            <w:tcW w:w="1174" w:type="dxa"/>
            <w:shd w:val="clear" w:color="auto" w:fill="auto"/>
            <w:vAlign w:val="center"/>
          </w:tcPr>
          <w:p w14:paraId="180FBA8D" w14:textId="77777777" w:rsidR="00E10737" w:rsidRPr="00E661DF" w:rsidRDefault="00E10737" w:rsidP="004179DE">
            <w:pPr>
              <w:ind w:left="0"/>
              <w:jc w:val="center"/>
              <w:rPr>
                <w:i/>
                <w:sz w:val="18"/>
                <w:szCs w:val="18"/>
              </w:rPr>
            </w:pPr>
            <w:r w:rsidRPr="00E661DF">
              <w:rPr>
                <w:i/>
                <w:sz w:val="18"/>
                <w:szCs w:val="18"/>
              </w:rPr>
              <w:t>200</w:t>
            </w:r>
          </w:p>
        </w:tc>
        <w:tc>
          <w:tcPr>
            <w:tcW w:w="1147" w:type="dxa"/>
            <w:vAlign w:val="center"/>
          </w:tcPr>
          <w:p w14:paraId="2E74826C"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6BC42D9"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523B7739" w14:textId="77777777" w:rsidTr="00D325D8">
        <w:trPr>
          <w:trHeight w:val="680"/>
          <w:jc w:val="center"/>
        </w:trPr>
        <w:tc>
          <w:tcPr>
            <w:tcW w:w="852" w:type="dxa"/>
            <w:shd w:val="clear" w:color="auto" w:fill="auto"/>
            <w:vAlign w:val="center"/>
          </w:tcPr>
          <w:p w14:paraId="7C84001E" w14:textId="77777777" w:rsidR="00E10737" w:rsidRPr="00094365" w:rsidRDefault="00E10737" w:rsidP="004179DE">
            <w:pPr>
              <w:ind w:left="0"/>
              <w:jc w:val="center"/>
              <w:rPr>
                <w:sz w:val="18"/>
                <w:szCs w:val="18"/>
              </w:rPr>
            </w:pPr>
            <w:r w:rsidRPr="00094365">
              <w:rPr>
                <w:sz w:val="18"/>
                <w:szCs w:val="18"/>
              </w:rPr>
              <w:t>CO04</w:t>
            </w:r>
          </w:p>
        </w:tc>
        <w:tc>
          <w:tcPr>
            <w:tcW w:w="2409" w:type="dxa"/>
            <w:shd w:val="clear" w:color="auto" w:fill="auto"/>
            <w:vAlign w:val="center"/>
          </w:tcPr>
          <w:p w14:paraId="6F05725C" w14:textId="77777777" w:rsidR="00E10737" w:rsidRPr="00094365" w:rsidRDefault="00E10737" w:rsidP="004179DE">
            <w:pPr>
              <w:ind w:left="0"/>
              <w:rPr>
                <w:sz w:val="18"/>
                <w:szCs w:val="18"/>
              </w:rPr>
            </w:pPr>
            <w:r w:rsidRPr="00094365">
              <w:rPr>
                <w:sz w:val="18"/>
                <w:szCs w:val="18"/>
              </w:rPr>
              <w:t>Počet podnikov, ktoré dostávajú nefinančnú podporu (spoločný)</w:t>
            </w:r>
          </w:p>
        </w:tc>
        <w:tc>
          <w:tcPr>
            <w:tcW w:w="1276" w:type="dxa"/>
            <w:shd w:val="clear" w:color="auto" w:fill="auto"/>
            <w:vAlign w:val="center"/>
          </w:tcPr>
          <w:p w14:paraId="3F01302E" w14:textId="77777777" w:rsidR="00E10737" w:rsidRPr="00E661DF" w:rsidRDefault="00E10737" w:rsidP="004179DE">
            <w:pPr>
              <w:ind w:left="0"/>
              <w:jc w:val="center"/>
              <w:rPr>
                <w:i/>
                <w:sz w:val="18"/>
                <w:szCs w:val="18"/>
              </w:rPr>
            </w:pPr>
            <w:r w:rsidRPr="00E661DF">
              <w:rPr>
                <w:i/>
                <w:sz w:val="18"/>
                <w:szCs w:val="18"/>
              </w:rPr>
              <w:t>podniky</w:t>
            </w:r>
          </w:p>
        </w:tc>
        <w:tc>
          <w:tcPr>
            <w:tcW w:w="851" w:type="dxa"/>
            <w:shd w:val="clear" w:color="auto" w:fill="auto"/>
            <w:vAlign w:val="center"/>
          </w:tcPr>
          <w:p w14:paraId="2BA218D3"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64F83E49" w14:textId="7EADE64A"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227A718E" w14:textId="77777777" w:rsidR="00E10737" w:rsidRPr="00E661DF" w:rsidRDefault="00E10737" w:rsidP="004179DE">
            <w:pPr>
              <w:ind w:left="0"/>
              <w:jc w:val="center"/>
              <w:rPr>
                <w:i/>
                <w:sz w:val="18"/>
                <w:szCs w:val="18"/>
              </w:rPr>
            </w:pPr>
            <w:r w:rsidRPr="00E661DF">
              <w:rPr>
                <w:i/>
                <w:sz w:val="18"/>
                <w:szCs w:val="18"/>
              </w:rPr>
              <w:t>1 020</w:t>
            </w:r>
          </w:p>
        </w:tc>
        <w:tc>
          <w:tcPr>
            <w:tcW w:w="1147" w:type="dxa"/>
            <w:vAlign w:val="center"/>
          </w:tcPr>
          <w:p w14:paraId="4E6311CD"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49AECEAC"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3D6E0ADC" w14:textId="77777777" w:rsidTr="00D325D8">
        <w:trPr>
          <w:trHeight w:val="680"/>
          <w:jc w:val="center"/>
        </w:trPr>
        <w:tc>
          <w:tcPr>
            <w:tcW w:w="852" w:type="dxa"/>
            <w:shd w:val="clear" w:color="auto" w:fill="auto"/>
            <w:vAlign w:val="center"/>
          </w:tcPr>
          <w:p w14:paraId="4E599E46" w14:textId="77777777" w:rsidR="00E10737" w:rsidRPr="00094365" w:rsidRDefault="00E10737" w:rsidP="004179DE">
            <w:pPr>
              <w:ind w:left="0"/>
              <w:jc w:val="center"/>
              <w:rPr>
                <w:sz w:val="18"/>
                <w:szCs w:val="18"/>
              </w:rPr>
            </w:pPr>
            <w:r w:rsidRPr="00094365">
              <w:rPr>
                <w:sz w:val="18"/>
                <w:szCs w:val="18"/>
              </w:rPr>
              <w:t>CO06</w:t>
            </w:r>
          </w:p>
        </w:tc>
        <w:tc>
          <w:tcPr>
            <w:tcW w:w="2409" w:type="dxa"/>
            <w:shd w:val="clear" w:color="auto" w:fill="auto"/>
            <w:vAlign w:val="center"/>
          </w:tcPr>
          <w:p w14:paraId="5F19B1BA" w14:textId="77777777" w:rsidR="00E10737" w:rsidRPr="00094365" w:rsidRDefault="00E10737" w:rsidP="004179DE">
            <w:pPr>
              <w:ind w:left="0"/>
              <w:rPr>
                <w:sz w:val="18"/>
                <w:szCs w:val="18"/>
              </w:rPr>
            </w:pPr>
            <w:r w:rsidRPr="00094365">
              <w:rPr>
                <w:sz w:val="18"/>
                <w:szCs w:val="18"/>
              </w:rPr>
              <w:t>Súkromné investície zodpovedajúce verejnej podpore pre podniky (granty) (spoločný)</w:t>
            </w:r>
          </w:p>
        </w:tc>
        <w:tc>
          <w:tcPr>
            <w:tcW w:w="1276" w:type="dxa"/>
            <w:shd w:val="clear" w:color="auto" w:fill="auto"/>
            <w:vAlign w:val="center"/>
          </w:tcPr>
          <w:p w14:paraId="77C425A7" w14:textId="77777777" w:rsidR="00E10737" w:rsidRPr="00E661DF" w:rsidRDefault="00E10737" w:rsidP="004179DE">
            <w:pPr>
              <w:ind w:left="0"/>
              <w:jc w:val="center"/>
              <w:rPr>
                <w:i/>
                <w:sz w:val="18"/>
                <w:szCs w:val="18"/>
              </w:rPr>
            </w:pPr>
            <w:r w:rsidRPr="00E661DF">
              <w:rPr>
                <w:i/>
                <w:sz w:val="18"/>
                <w:szCs w:val="18"/>
              </w:rPr>
              <w:t>EUR</w:t>
            </w:r>
          </w:p>
        </w:tc>
        <w:tc>
          <w:tcPr>
            <w:tcW w:w="851" w:type="dxa"/>
            <w:shd w:val="clear" w:color="auto" w:fill="auto"/>
            <w:vAlign w:val="center"/>
          </w:tcPr>
          <w:p w14:paraId="3AE565E3"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65DFE813" w14:textId="784A5D7B"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59D7042E" w14:textId="77777777" w:rsidR="00E10737" w:rsidRPr="00E661DF" w:rsidRDefault="00E10737" w:rsidP="004179DE">
            <w:pPr>
              <w:ind w:left="0"/>
              <w:jc w:val="center"/>
              <w:rPr>
                <w:i/>
                <w:sz w:val="18"/>
                <w:szCs w:val="18"/>
              </w:rPr>
            </w:pPr>
            <w:r w:rsidRPr="00E661DF">
              <w:rPr>
                <w:i/>
                <w:sz w:val="18"/>
                <w:szCs w:val="18"/>
              </w:rPr>
              <w:t>41 700 000</w:t>
            </w:r>
          </w:p>
        </w:tc>
        <w:tc>
          <w:tcPr>
            <w:tcW w:w="1147" w:type="dxa"/>
            <w:vAlign w:val="center"/>
          </w:tcPr>
          <w:p w14:paraId="28C84C67"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727D047"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2FC234F2" w14:textId="77777777" w:rsidTr="00D325D8">
        <w:trPr>
          <w:trHeight w:val="680"/>
          <w:jc w:val="center"/>
        </w:trPr>
        <w:tc>
          <w:tcPr>
            <w:tcW w:w="852" w:type="dxa"/>
            <w:shd w:val="clear" w:color="auto" w:fill="auto"/>
            <w:vAlign w:val="center"/>
          </w:tcPr>
          <w:p w14:paraId="41A3764F" w14:textId="77777777" w:rsidR="00E10737" w:rsidRPr="00094365" w:rsidRDefault="00E10737" w:rsidP="004179DE">
            <w:pPr>
              <w:ind w:left="0"/>
              <w:jc w:val="center"/>
              <w:rPr>
                <w:sz w:val="18"/>
                <w:szCs w:val="18"/>
              </w:rPr>
            </w:pPr>
            <w:r w:rsidRPr="00094365">
              <w:rPr>
                <w:sz w:val="18"/>
                <w:szCs w:val="18"/>
              </w:rPr>
              <w:t>CO28</w:t>
            </w:r>
          </w:p>
        </w:tc>
        <w:tc>
          <w:tcPr>
            <w:tcW w:w="2409" w:type="dxa"/>
            <w:shd w:val="clear" w:color="auto" w:fill="auto"/>
            <w:vAlign w:val="center"/>
          </w:tcPr>
          <w:p w14:paraId="36FE8D1E" w14:textId="77777777" w:rsidR="00E10737" w:rsidRPr="00094365" w:rsidRDefault="00E10737" w:rsidP="004179DE">
            <w:pPr>
              <w:ind w:left="0"/>
              <w:rPr>
                <w:sz w:val="18"/>
                <w:szCs w:val="18"/>
              </w:rPr>
            </w:pPr>
            <w:r w:rsidRPr="00094365">
              <w:rPr>
                <w:sz w:val="18"/>
                <w:szCs w:val="18"/>
              </w:rPr>
              <w:t>Počet podnikov, ktoré dostávajú podporu s cieľom predstaviť výrobky, ktoré sú pre trh nové (spoločný)</w:t>
            </w:r>
          </w:p>
        </w:tc>
        <w:tc>
          <w:tcPr>
            <w:tcW w:w="1276" w:type="dxa"/>
            <w:shd w:val="clear" w:color="auto" w:fill="auto"/>
            <w:vAlign w:val="center"/>
          </w:tcPr>
          <w:p w14:paraId="5E787843" w14:textId="77777777" w:rsidR="00E10737" w:rsidRPr="00E661DF" w:rsidRDefault="00E10737" w:rsidP="004179DE">
            <w:pPr>
              <w:ind w:left="0"/>
              <w:jc w:val="center"/>
              <w:rPr>
                <w:i/>
                <w:sz w:val="18"/>
                <w:szCs w:val="18"/>
              </w:rPr>
            </w:pPr>
            <w:r w:rsidRPr="00E661DF">
              <w:rPr>
                <w:i/>
                <w:sz w:val="18"/>
                <w:szCs w:val="18"/>
              </w:rPr>
              <w:t>podniky</w:t>
            </w:r>
          </w:p>
        </w:tc>
        <w:tc>
          <w:tcPr>
            <w:tcW w:w="851" w:type="dxa"/>
            <w:shd w:val="clear" w:color="auto" w:fill="auto"/>
            <w:vAlign w:val="center"/>
          </w:tcPr>
          <w:p w14:paraId="4EAA7D4D"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79D03759" w14:textId="33939963"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43E84B8A" w14:textId="77777777" w:rsidR="00E10737" w:rsidRPr="00E661DF" w:rsidRDefault="00E10737" w:rsidP="004179DE">
            <w:pPr>
              <w:ind w:left="0"/>
              <w:jc w:val="center"/>
              <w:rPr>
                <w:i/>
                <w:sz w:val="18"/>
                <w:szCs w:val="18"/>
              </w:rPr>
            </w:pPr>
            <w:r w:rsidRPr="00E661DF">
              <w:rPr>
                <w:i/>
                <w:sz w:val="18"/>
                <w:szCs w:val="18"/>
              </w:rPr>
              <w:t>500</w:t>
            </w:r>
          </w:p>
        </w:tc>
        <w:tc>
          <w:tcPr>
            <w:tcW w:w="1147" w:type="dxa"/>
            <w:vAlign w:val="center"/>
          </w:tcPr>
          <w:p w14:paraId="41A6D0DD"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37A77F0F"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78FC90D6" w14:textId="77777777" w:rsidTr="00D325D8">
        <w:trPr>
          <w:trHeight w:val="680"/>
          <w:jc w:val="center"/>
        </w:trPr>
        <w:tc>
          <w:tcPr>
            <w:tcW w:w="852" w:type="dxa"/>
            <w:shd w:val="clear" w:color="auto" w:fill="auto"/>
            <w:vAlign w:val="center"/>
          </w:tcPr>
          <w:p w14:paraId="4876013A" w14:textId="77777777" w:rsidR="00E10737" w:rsidRPr="00094365" w:rsidRDefault="00E10737" w:rsidP="004179DE">
            <w:pPr>
              <w:ind w:left="0"/>
              <w:jc w:val="center"/>
              <w:rPr>
                <w:sz w:val="18"/>
                <w:szCs w:val="18"/>
              </w:rPr>
            </w:pPr>
            <w:r w:rsidRPr="00094365">
              <w:rPr>
                <w:sz w:val="18"/>
                <w:szCs w:val="18"/>
              </w:rPr>
              <w:t>CO29</w:t>
            </w:r>
          </w:p>
        </w:tc>
        <w:tc>
          <w:tcPr>
            <w:tcW w:w="2409" w:type="dxa"/>
            <w:shd w:val="clear" w:color="auto" w:fill="auto"/>
            <w:vAlign w:val="center"/>
          </w:tcPr>
          <w:p w14:paraId="7219FBB0" w14:textId="77777777" w:rsidR="00E10737" w:rsidRPr="00094365" w:rsidRDefault="00E10737" w:rsidP="004179DE">
            <w:pPr>
              <w:ind w:left="0"/>
              <w:rPr>
                <w:sz w:val="18"/>
                <w:szCs w:val="18"/>
              </w:rPr>
            </w:pPr>
            <w:r w:rsidRPr="00094365">
              <w:rPr>
                <w:sz w:val="18"/>
                <w:szCs w:val="18"/>
              </w:rPr>
              <w:t>Počet podnikov, ktoré do- stávajú podporu s cieľom predstaviť výrobky, ktoré sú pre firmu nové (spoločný)</w:t>
            </w:r>
          </w:p>
        </w:tc>
        <w:tc>
          <w:tcPr>
            <w:tcW w:w="1276" w:type="dxa"/>
            <w:shd w:val="clear" w:color="auto" w:fill="auto"/>
            <w:vAlign w:val="center"/>
          </w:tcPr>
          <w:p w14:paraId="69D9852C" w14:textId="77777777" w:rsidR="00E10737" w:rsidRPr="00E661DF" w:rsidRDefault="00E10737" w:rsidP="004179DE">
            <w:pPr>
              <w:ind w:left="0"/>
              <w:jc w:val="center"/>
              <w:rPr>
                <w:i/>
                <w:sz w:val="18"/>
                <w:szCs w:val="18"/>
              </w:rPr>
            </w:pPr>
            <w:r w:rsidRPr="00E661DF">
              <w:rPr>
                <w:i/>
                <w:sz w:val="18"/>
                <w:szCs w:val="18"/>
              </w:rPr>
              <w:t>podniky</w:t>
            </w:r>
          </w:p>
        </w:tc>
        <w:tc>
          <w:tcPr>
            <w:tcW w:w="851" w:type="dxa"/>
            <w:shd w:val="clear" w:color="auto" w:fill="auto"/>
            <w:vAlign w:val="center"/>
          </w:tcPr>
          <w:p w14:paraId="58D6DB19"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2FD4501E" w14:textId="2DC7679D"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7F12636A" w14:textId="77777777" w:rsidR="00E10737" w:rsidRPr="00E661DF" w:rsidRDefault="00E10737" w:rsidP="004179DE">
            <w:pPr>
              <w:ind w:left="0"/>
              <w:jc w:val="center"/>
              <w:rPr>
                <w:i/>
                <w:sz w:val="18"/>
                <w:szCs w:val="18"/>
              </w:rPr>
            </w:pPr>
            <w:r w:rsidRPr="00E661DF">
              <w:rPr>
                <w:i/>
                <w:sz w:val="18"/>
                <w:szCs w:val="18"/>
              </w:rPr>
              <w:t>140</w:t>
            </w:r>
          </w:p>
        </w:tc>
        <w:tc>
          <w:tcPr>
            <w:tcW w:w="1147" w:type="dxa"/>
            <w:vAlign w:val="center"/>
          </w:tcPr>
          <w:p w14:paraId="7F7CD583"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7317F41A"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637738B7" w14:textId="77777777" w:rsidTr="00D325D8">
        <w:trPr>
          <w:trHeight w:val="680"/>
          <w:jc w:val="center"/>
        </w:trPr>
        <w:tc>
          <w:tcPr>
            <w:tcW w:w="852" w:type="dxa"/>
            <w:shd w:val="clear" w:color="auto" w:fill="auto"/>
            <w:vAlign w:val="center"/>
          </w:tcPr>
          <w:p w14:paraId="0C4D6AA4" w14:textId="77777777" w:rsidR="00E10737" w:rsidRPr="00094365" w:rsidRDefault="00E10737" w:rsidP="004179DE">
            <w:pPr>
              <w:ind w:left="0"/>
              <w:jc w:val="center"/>
              <w:rPr>
                <w:sz w:val="18"/>
                <w:szCs w:val="18"/>
              </w:rPr>
            </w:pPr>
            <w:r w:rsidRPr="00094365">
              <w:rPr>
                <w:sz w:val="18"/>
                <w:szCs w:val="18"/>
              </w:rPr>
              <w:t>O0072</w:t>
            </w:r>
          </w:p>
        </w:tc>
        <w:tc>
          <w:tcPr>
            <w:tcW w:w="2409" w:type="dxa"/>
            <w:shd w:val="clear" w:color="auto" w:fill="auto"/>
            <w:vAlign w:val="center"/>
          </w:tcPr>
          <w:p w14:paraId="1100C3AA" w14:textId="77777777" w:rsidR="00E10737" w:rsidRPr="00094365" w:rsidRDefault="00E10737" w:rsidP="004179DE">
            <w:pPr>
              <w:ind w:left="0"/>
              <w:rPr>
                <w:sz w:val="18"/>
                <w:szCs w:val="18"/>
              </w:rPr>
            </w:pPr>
            <w:r w:rsidRPr="00094365">
              <w:rPr>
                <w:sz w:val="18"/>
                <w:szCs w:val="18"/>
              </w:rPr>
              <w:t>Počet prihlášok registrácie práv duševného vlastníctva (špecifický)</w:t>
            </w:r>
          </w:p>
        </w:tc>
        <w:tc>
          <w:tcPr>
            <w:tcW w:w="1276" w:type="dxa"/>
            <w:shd w:val="clear" w:color="auto" w:fill="auto"/>
            <w:vAlign w:val="center"/>
          </w:tcPr>
          <w:p w14:paraId="655EF911" w14:textId="77777777" w:rsidR="00E10737" w:rsidRPr="00E661DF" w:rsidRDefault="00E10737" w:rsidP="004179DE">
            <w:pPr>
              <w:ind w:left="0"/>
              <w:jc w:val="center"/>
              <w:rPr>
                <w:i/>
                <w:sz w:val="18"/>
                <w:szCs w:val="18"/>
              </w:rPr>
            </w:pPr>
            <w:r w:rsidRPr="00E661DF">
              <w:rPr>
                <w:i/>
                <w:sz w:val="18"/>
                <w:szCs w:val="18"/>
              </w:rPr>
              <w:t>počet</w:t>
            </w:r>
          </w:p>
        </w:tc>
        <w:tc>
          <w:tcPr>
            <w:tcW w:w="851" w:type="dxa"/>
            <w:shd w:val="clear" w:color="auto" w:fill="auto"/>
            <w:vAlign w:val="center"/>
          </w:tcPr>
          <w:p w14:paraId="0785F6BE" w14:textId="77777777" w:rsidR="00E10737" w:rsidRPr="00E661DF" w:rsidRDefault="00E10737" w:rsidP="004179DE">
            <w:pPr>
              <w:ind w:left="0"/>
              <w:jc w:val="center"/>
              <w:rPr>
                <w:i/>
                <w:sz w:val="18"/>
                <w:szCs w:val="18"/>
              </w:rPr>
            </w:pPr>
            <w:r w:rsidRPr="00E661DF">
              <w:rPr>
                <w:i/>
                <w:sz w:val="18"/>
                <w:szCs w:val="18"/>
              </w:rPr>
              <w:t>EFRR</w:t>
            </w:r>
          </w:p>
        </w:tc>
        <w:tc>
          <w:tcPr>
            <w:tcW w:w="1071" w:type="dxa"/>
            <w:shd w:val="clear" w:color="auto" w:fill="auto"/>
            <w:vAlign w:val="center"/>
          </w:tcPr>
          <w:p w14:paraId="6E60828F" w14:textId="5CC1FEC1"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077D8DB5" w14:textId="77777777" w:rsidR="00E10737" w:rsidRPr="00E661DF" w:rsidRDefault="00E10737" w:rsidP="004179DE">
            <w:pPr>
              <w:ind w:left="0"/>
              <w:jc w:val="center"/>
              <w:rPr>
                <w:i/>
                <w:sz w:val="18"/>
                <w:szCs w:val="18"/>
              </w:rPr>
            </w:pPr>
            <w:r w:rsidRPr="00E661DF">
              <w:rPr>
                <w:i/>
                <w:sz w:val="18"/>
                <w:szCs w:val="18"/>
              </w:rPr>
              <w:t>25</w:t>
            </w:r>
          </w:p>
        </w:tc>
        <w:tc>
          <w:tcPr>
            <w:tcW w:w="1147" w:type="dxa"/>
            <w:vAlign w:val="center"/>
          </w:tcPr>
          <w:p w14:paraId="76B1FFA4" w14:textId="77777777" w:rsidR="00E10737" w:rsidRPr="00E661DF" w:rsidRDefault="00E10737" w:rsidP="004179DE">
            <w:pPr>
              <w:ind w:left="0"/>
              <w:jc w:val="center"/>
              <w:rPr>
                <w:i/>
                <w:sz w:val="18"/>
                <w:szCs w:val="18"/>
              </w:rPr>
            </w:pPr>
            <w:r w:rsidRPr="00E661DF">
              <w:rPr>
                <w:i/>
                <w:sz w:val="18"/>
                <w:szCs w:val="18"/>
              </w:rPr>
              <w:t>ITMS</w:t>
            </w:r>
          </w:p>
        </w:tc>
        <w:tc>
          <w:tcPr>
            <w:tcW w:w="1177" w:type="dxa"/>
            <w:vAlign w:val="center"/>
          </w:tcPr>
          <w:p w14:paraId="25A91AD6" w14:textId="77777777" w:rsidR="00E10737" w:rsidRPr="00E661DF" w:rsidRDefault="00E10737" w:rsidP="004179DE">
            <w:pPr>
              <w:ind w:left="0"/>
              <w:jc w:val="center"/>
              <w:rPr>
                <w:i/>
                <w:sz w:val="18"/>
                <w:szCs w:val="18"/>
              </w:rPr>
            </w:pPr>
            <w:r w:rsidRPr="00E661DF">
              <w:rPr>
                <w:i/>
                <w:sz w:val="18"/>
                <w:szCs w:val="18"/>
              </w:rPr>
              <w:t>ročne</w:t>
            </w:r>
          </w:p>
        </w:tc>
      </w:tr>
      <w:tr w:rsidR="00E661DF" w:rsidRPr="005042E2" w14:paraId="7E45B9D9" w14:textId="77777777" w:rsidTr="00D325D8">
        <w:trPr>
          <w:trHeight w:val="680"/>
          <w:jc w:val="center"/>
        </w:trPr>
        <w:tc>
          <w:tcPr>
            <w:tcW w:w="852" w:type="dxa"/>
            <w:shd w:val="clear" w:color="auto" w:fill="auto"/>
            <w:vAlign w:val="center"/>
          </w:tcPr>
          <w:p w14:paraId="6FC7AE6D" w14:textId="77777777" w:rsidR="00E10737" w:rsidRPr="00094365" w:rsidRDefault="00E10737" w:rsidP="004179DE">
            <w:pPr>
              <w:pStyle w:val="TableParagraph"/>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O0075</w:t>
            </w:r>
          </w:p>
        </w:tc>
        <w:tc>
          <w:tcPr>
            <w:tcW w:w="2409" w:type="dxa"/>
            <w:shd w:val="clear" w:color="auto" w:fill="auto"/>
            <w:vAlign w:val="center"/>
          </w:tcPr>
          <w:p w14:paraId="5A7B85A8" w14:textId="77777777" w:rsidR="00E10737" w:rsidRPr="00094365" w:rsidRDefault="00E10737" w:rsidP="004179DE">
            <w:pPr>
              <w:ind w:left="0"/>
              <w:rPr>
                <w:sz w:val="18"/>
                <w:szCs w:val="18"/>
              </w:rPr>
            </w:pPr>
            <w:r w:rsidRPr="00094365">
              <w:rPr>
                <w:sz w:val="18"/>
                <w:szCs w:val="18"/>
              </w:rPr>
              <w:t>Počet účastníkov poradenských a vzdelávacích programov (špecifický)</w:t>
            </w:r>
          </w:p>
        </w:tc>
        <w:tc>
          <w:tcPr>
            <w:tcW w:w="1276" w:type="dxa"/>
            <w:shd w:val="clear" w:color="auto" w:fill="auto"/>
            <w:vAlign w:val="center"/>
          </w:tcPr>
          <w:p w14:paraId="4FC353D3"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počet</w:t>
            </w:r>
          </w:p>
        </w:tc>
        <w:tc>
          <w:tcPr>
            <w:tcW w:w="851" w:type="dxa"/>
            <w:shd w:val="clear" w:color="auto" w:fill="auto"/>
            <w:vAlign w:val="center"/>
          </w:tcPr>
          <w:p w14:paraId="13739EAC"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EFRR</w:t>
            </w:r>
          </w:p>
        </w:tc>
        <w:tc>
          <w:tcPr>
            <w:tcW w:w="1071" w:type="dxa"/>
            <w:shd w:val="clear" w:color="auto" w:fill="auto"/>
            <w:vAlign w:val="center"/>
          </w:tcPr>
          <w:p w14:paraId="30584002" w14:textId="4040A9F6"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449C56D5"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2 020</w:t>
            </w:r>
          </w:p>
        </w:tc>
        <w:tc>
          <w:tcPr>
            <w:tcW w:w="1147" w:type="dxa"/>
            <w:vAlign w:val="center"/>
          </w:tcPr>
          <w:p w14:paraId="3CBBF582"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ITMS</w:t>
            </w:r>
          </w:p>
        </w:tc>
        <w:tc>
          <w:tcPr>
            <w:tcW w:w="1177" w:type="dxa"/>
            <w:vAlign w:val="center"/>
          </w:tcPr>
          <w:p w14:paraId="11C644AF"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ročne</w:t>
            </w:r>
          </w:p>
        </w:tc>
      </w:tr>
      <w:tr w:rsidR="00E661DF" w:rsidRPr="005042E2" w14:paraId="718AAAFF" w14:textId="77777777" w:rsidTr="00D325D8">
        <w:trPr>
          <w:trHeight w:val="680"/>
          <w:jc w:val="center"/>
        </w:trPr>
        <w:tc>
          <w:tcPr>
            <w:tcW w:w="852" w:type="dxa"/>
            <w:shd w:val="clear" w:color="auto" w:fill="auto"/>
            <w:vAlign w:val="center"/>
          </w:tcPr>
          <w:p w14:paraId="53F7B696" w14:textId="77777777" w:rsidR="00E10737" w:rsidRPr="00094365" w:rsidRDefault="00E10737" w:rsidP="004179DE">
            <w:pPr>
              <w:pStyle w:val="TableParagraph"/>
              <w:spacing w:before="4"/>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O0080</w:t>
            </w:r>
          </w:p>
        </w:tc>
        <w:tc>
          <w:tcPr>
            <w:tcW w:w="2409" w:type="dxa"/>
            <w:shd w:val="clear" w:color="auto" w:fill="auto"/>
            <w:vAlign w:val="center"/>
          </w:tcPr>
          <w:p w14:paraId="612482F7" w14:textId="77777777" w:rsidR="00E10737" w:rsidRPr="00094365" w:rsidRDefault="00E10737" w:rsidP="004179DE">
            <w:pPr>
              <w:ind w:left="0"/>
              <w:rPr>
                <w:sz w:val="18"/>
                <w:szCs w:val="18"/>
              </w:rPr>
            </w:pPr>
            <w:r w:rsidRPr="00094365">
              <w:rPr>
                <w:sz w:val="18"/>
                <w:szCs w:val="18"/>
              </w:rPr>
              <w:t>Počet účastí MSP na veľtrhoch a výstavách v zahraničí (špecifický)</w:t>
            </w:r>
          </w:p>
        </w:tc>
        <w:tc>
          <w:tcPr>
            <w:tcW w:w="1276" w:type="dxa"/>
            <w:shd w:val="clear" w:color="auto" w:fill="auto"/>
            <w:vAlign w:val="center"/>
          </w:tcPr>
          <w:p w14:paraId="50C11BD7"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počet</w:t>
            </w:r>
          </w:p>
        </w:tc>
        <w:tc>
          <w:tcPr>
            <w:tcW w:w="851" w:type="dxa"/>
            <w:shd w:val="clear" w:color="auto" w:fill="auto"/>
            <w:vAlign w:val="center"/>
          </w:tcPr>
          <w:p w14:paraId="1B55E658"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EFRR</w:t>
            </w:r>
          </w:p>
        </w:tc>
        <w:tc>
          <w:tcPr>
            <w:tcW w:w="1071" w:type="dxa"/>
            <w:shd w:val="clear" w:color="auto" w:fill="auto"/>
            <w:vAlign w:val="center"/>
          </w:tcPr>
          <w:p w14:paraId="45B09D02" w14:textId="23E92E27"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23843EEE"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200</w:t>
            </w:r>
          </w:p>
        </w:tc>
        <w:tc>
          <w:tcPr>
            <w:tcW w:w="1147" w:type="dxa"/>
            <w:vAlign w:val="center"/>
          </w:tcPr>
          <w:p w14:paraId="236EE4D6"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ITMS</w:t>
            </w:r>
          </w:p>
        </w:tc>
        <w:tc>
          <w:tcPr>
            <w:tcW w:w="1177" w:type="dxa"/>
            <w:vAlign w:val="center"/>
          </w:tcPr>
          <w:p w14:paraId="704DBE4E"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ročne</w:t>
            </w:r>
          </w:p>
        </w:tc>
      </w:tr>
      <w:tr w:rsidR="00E661DF" w:rsidRPr="005042E2" w14:paraId="6BC66F91" w14:textId="77777777" w:rsidTr="00D325D8">
        <w:trPr>
          <w:trHeight w:val="680"/>
          <w:jc w:val="center"/>
        </w:trPr>
        <w:tc>
          <w:tcPr>
            <w:tcW w:w="852" w:type="dxa"/>
            <w:shd w:val="clear" w:color="auto" w:fill="auto"/>
            <w:vAlign w:val="center"/>
          </w:tcPr>
          <w:p w14:paraId="6FCEF1CB" w14:textId="77777777" w:rsidR="00E10737" w:rsidRPr="00094365" w:rsidRDefault="00E10737" w:rsidP="004179DE">
            <w:pPr>
              <w:pStyle w:val="TableParagraph"/>
              <w:spacing w:before="4"/>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O0081</w:t>
            </w:r>
          </w:p>
        </w:tc>
        <w:tc>
          <w:tcPr>
            <w:tcW w:w="2409" w:type="dxa"/>
            <w:shd w:val="clear" w:color="auto" w:fill="auto"/>
            <w:vAlign w:val="center"/>
          </w:tcPr>
          <w:p w14:paraId="711EEE02" w14:textId="77777777" w:rsidR="00E10737" w:rsidRPr="00094365" w:rsidRDefault="00E10737" w:rsidP="004179DE">
            <w:pPr>
              <w:ind w:left="0"/>
              <w:rPr>
                <w:sz w:val="18"/>
                <w:szCs w:val="18"/>
              </w:rPr>
            </w:pPr>
            <w:r w:rsidRPr="00094365">
              <w:rPr>
                <w:sz w:val="18"/>
                <w:szCs w:val="18"/>
              </w:rPr>
              <w:t>Počet podporených obchodných a podporných platforiem (špecifický)</w:t>
            </w:r>
          </w:p>
        </w:tc>
        <w:tc>
          <w:tcPr>
            <w:tcW w:w="1276" w:type="dxa"/>
            <w:shd w:val="clear" w:color="auto" w:fill="auto"/>
            <w:vAlign w:val="center"/>
          </w:tcPr>
          <w:p w14:paraId="4A9DA6E8"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počet</w:t>
            </w:r>
          </w:p>
        </w:tc>
        <w:tc>
          <w:tcPr>
            <w:tcW w:w="851" w:type="dxa"/>
            <w:shd w:val="clear" w:color="auto" w:fill="auto"/>
            <w:vAlign w:val="center"/>
          </w:tcPr>
          <w:p w14:paraId="1D18E694"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EFRR</w:t>
            </w:r>
          </w:p>
        </w:tc>
        <w:tc>
          <w:tcPr>
            <w:tcW w:w="1071" w:type="dxa"/>
            <w:shd w:val="clear" w:color="auto" w:fill="auto"/>
            <w:vAlign w:val="center"/>
          </w:tcPr>
          <w:p w14:paraId="7A7F384D" w14:textId="5E8911DA"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7D9FE133"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10</w:t>
            </w:r>
          </w:p>
        </w:tc>
        <w:tc>
          <w:tcPr>
            <w:tcW w:w="1147" w:type="dxa"/>
            <w:vAlign w:val="center"/>
          </w:tcPr>
          <w:p w14:paraId="798F4BD9"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ITMS</w:t>
            </w:r>
          </w:p>
        </w:tc>
        <w:tc>
          <w:tcPr>
            <w:tcW w:w="1177" w:type="dxa"/>
            <w:vAlign w:val="center"/>
          </w:tcPr>
          <w:p w14:paraId="095DBA72"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ročne</w:t>
            </w:r>
          </w:p>
        </w:tc>
      </w:tr>
      <w:tr w:rsidR="00E661DF" w:rsidRPr="005042E2" w14:paraId="40BABFA5" w14:textId="77777777" w:rsidTr="00D325D8">
        <w:trPr>
          <w:trHeight w:val="680"/>
          <w:jc w:val="center"/>
        </w:trPr>
        <w:tc>
          <w:tcPr>
            <w:tcW w:w="852" w:type="dxa"/>
            <w:shd w:val="clear" w:color="auto" w:fill="auto"/>
            <w:vAlign w:val="center"/>
          </w:tcPr>
          <w:p w14:paraId="36B30ACF" w14:textId="77777777" w:rsidR="00E10737" w:rsidRPr="00094365" w:rsidRDefault="00E10737" w:rsidP="004179DE">
            <w:pPr>
              <w:pStyle w:val="TableParagraph"/>
              <w:spacing w:before="4"/>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O0082</w:t>
            </w:r>
          </w:p>
        </w:tc>
        <w:tc>
          <w:tcPr>
            <w:tcW w:w="2409" w:type="dxa"/>
            <w:shd w:val="clear" w:color="auto" w:fill="auto"/>
            <w:vAlign w:val="center"/>
          </w:tcPr>
          <w:p w14:paraId="0DB267DE" w14:textId="77777777" w:rsidR="00E10737" w:rsidRPr="00094365" w:rsidRDefault="00E10737" w:rsidP="004179DE">
            <w:pPr>
              <w:ind w:left="0"/>
              <w:rPr>
                <w:sz w:val="18"/>
                <w:szCs w:val="18"/>
              </w:rPr>
            </w:pPr>
            <w:r w:rsidRPr="00094365">
              <w:rPr>
                <w:sz w:val="18"/>
                <w:szCs w:val="18"/>
              </w:rPr>
              <w:t>Počet zapojených MSP do programov EÚ (špecifický)</w:t>
            </w:r>
          </w:p>
        </w:tc>
        <w:tc>
          <w:tcPr>
            <w:tcW w:w="1276" w:type="dxa"/>
            <w:shd w:val="clear" w:color="auto" w:fill="auto"/>
            <w:vAlign w:val="center"/>
          </w:tcPr>
          <w:p w14:paraId="104759C3"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počet</w:t>
            </w:r>
          </w:p>
        </w:tc>
        <w:tc>
          <w:tcPr>
            <w:tcW w:w="851" w:type="dxa"/>
            <w:shd w:val="clear" w:color="auto" w:fill="auto"/>
            <w:vAlign w:val="center"/>
          </w:tcPr>
          <w:p w14:paraId="1C4B4477" w14:textId="77777777" w:rsidR="00E10737" w:rsidRPr="00E661DF" w:rsidRDefault="00E10737" w:rsidP="004179DE">
            <w:pPr>
              <w:pStyle w:val="TableParagraph"/>
              <w:spacing w:before="4"/>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EFRR</w:t>
            </w:r>
          </w:p>
        </w:tc>
        <w:tc>
          <w:tcPr>
            <w:tcW w:w="1071" w:type="dxa"/>
            <w:shd w:val="clear" w:color="auto" w:fill="auto"/>
            <w:vAlign w:val="center"/>
          </w:tcPr>
          <w:p w14:paraId="042001E2" w14:textId="56F98F82" w:rsidR="00E10737" w:rsidRPr="00E661DF" w:rsidRDefault="00E10737" w:rsidP="00E661DF">
            <w:pPr>
              <w:pStyle w:val="TableParagraph"/>
              <w:ind w:left="0"/>
              <w:jc w:val="center"/>
              <w:rPr>
                <w:rFonts w:ascii="Times New Roman" w:hAnsi="Times New Roman" w:cs="Times New Roman"/>
                <w:i/>
                <w:sz w:val="18"/>
                <w:szCs w:val="18"/>
                <w:lang w:val="sk-SK"/>
              </w:rPr>
            </w:pPr>
            <w:r w:rsidRPr="00E661DF">
              <w:rPr>
                <w:rFonts w:ascii="Times New Roman" w:hAnsi="Times New Roman" w:cs="Times New Roman"/>
                <w:i/>
                <w:sz w:val="18"/>
                <w:szCs w:val="18"/>
                <w:lang w:val="sk-SK"/>
              </w:rPr>
              <w:t>menej rozvinutý</w:t>
            </w:r>
            <w:r w:rsidR="00E661DF" w:rsidRPr="00E661DF">
              <w:rPr>
                <w:rFonts w:ascii="Times New Roman" w:hAnsi="Times New Roman" w:cs="Times New Roman"/>
                <w:i/>
                <w:sz w:val="18"/>
                <w:szCs w:val="18"/>
                <w:lang w:val="sk-SK"/>
              </w:rPr>
              <w:t xml:space="preserve"> </w:t>
            </w:r>
            <w:r w:rsidRPr="00E661DF">
              <w:rPr>
                <w:rFonts w:ascii="Times New Roman" w:hAnsi="Times New Roman" w:cs="Times New Roman"/>
                <w:i/>
                <w:sz w:val="18"/>
                <w:szCs w:val="18"/>
                <w:lang w:val="sk-SK"/>
              </w:rPr>
              <w:t>región</w:t>
            </w:r>
          </w:p>
        </w:tc>
        <w:tc>
          <w:tcPr>
            <w:tcW w:w="1174" w:type="dxa"/>
            <w:shd w:val="clear" w:color="auto" w:fill="auto"/>
            <w:vAlign w:val="center"/>
          </w:tcPr>
          <w:p w14:paraId="5AF4F2B2"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180</w:t>
            </w:r>
          </w:p>
        </w:tc>
        <w:tc>
          <w:tcPr>
            <w:tcW w:w="1147" w:type="dxa"/>
            <w:vAlign w:val="center"/>
          </w:tcPr>
          <w:p w14:paraId="020F8E54"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ITMS</w:t>
            </w:r>
          </w:p>
        </w:tc>
        <w:tc>
          <w:tcPr>
            <w:tcW w:w="1177" w:type="dxa"/>
            <w:vAlign w:val="center"/>
          </w:tcPr>
          <w:p w14:paraId="29D3E311" w14:textId="77777777" w:rsidR="00E10737" w:rsidRPr="00E661DF" w:rsidRDefault="00E10737" w:rsidP="004179DE">
            <w:pPr>
              <w:pStyle w:val="TableParagraph"/>
              <w:spacing w:before="11"/>
              <w:ind w:left="0"/>
              <w:jc w:val="center"/>
              <w:rPr>
                <w:rFonts w:ascii="Times New Roman" w:eastAsia="Gill Sans MT" w:hAnsi="Times New Roman" w:cs="Times New Roman"/>
                <w:i/>
                <w:sz w:val="18"/>
                <w:szCs w:val="18"/>
                <w:lang w:val="sk-SK"/>
              </w:rPr>
            </w:pPr>
            <w:r w:rsidRPr="00E661DF">
              <w:rPr>
                <w:rFonts w:ascii="Times New Roman" w:hAnsi="Times New Roman" w:cs="Times New Roman"/>
                <w:i/>
                <w:sz w:val="18"/>
                <w:szCs w:val="18"/>
                <w:lang w:val="sk-SK"/>
              </w:rPr>
              <w:t>ročne</w:t>
            </w:r>
          </w:p>
        </w:tc>
      </w:tr>
    </w:tbl>
    <w:p w14:paraId="5756FDD3" w14:textId="77777777" w:rsidR="00E10737" w:rsidRPr="00CF79E0" w:rsidRDefault="00E10737" w:rsidP="00E10737">
      <w:pPr>
        <w:pStyle w:val="Zkladntext"/>
        <w:spacing w:before="98" w:line="248" w:lineRule="auto"/>
        <w:ind w:right="118"/>
        <w:jc w:val="both"/>
        <w:rPr>
          <w:sz w:val="22"/>
          <w:szCs w:val="22"/>
        </w:rPr>
      </w:pPr>
    </w:p>
    <w:p w14:paraId="3F545C2C" w14:textId="3E486A5B" w:rsidR="00E10737" w:rsidRPr="00CF79E0" w:rsidRDefault="00E10737" w:rsidP="00E10737">
      <w:pPr>
        <w:pStyle w:val="Nadpis3"/>
        <w:tabs>
          <w:tab w:val="clear" w:pos="709"/>
        </w:tabs>
        <w:jc w:val="both"/>
      </w:pPr>
      <w:bookmarkStart w:id="125" w:name="_Toc28951658"/>
      <w:r>
        <w:t>INVESTIČNÁ PRIORITA 3</w:t>
      </w:r>
      <w:r w:rsidR="000B4D66">
        <w:t>c)</w:t>
      </w:r>
      <w:r>
        <w:t>: Podpora</w:t>
      </w:r>
      <w:r w:rsidRPr="00CF79E0">
        <w:t xml:space="preserve"> vytvárania a rozširovania vyspelých kapacít pre vývoj produktov a služieb</w:t>
      </w:r>
      <w:bookmarkEnd w:id="125"/>
    </w:p>
    <w:p w14:paraId="2260D9A1" w14:textId="77777777" w:rsidR="00E10737" w:rsidRDefault="00E10737" w:rsidP="00E10737">
      <w:pPr>
        <w:pStyle w:val="tl3"/>
        <w:tabs>
          <w:tab w:val="clear" w:pos="709"/>
          <w:tab w:val="clear" w:pos="864"/>
        </w:tabs>
        <w:ind w:left="851" w:hanging="851"/>
      </w:pPr>
      <w:r>
        <w:t>Špecifické ciele investičnej priority a očakávané výsledky</w:t>
      </w:r>
    </w:p>
    <w:p w14:paraId="7889C090" w14:textId="6E870B8F" w:rsidR="00E10737" w:rsidRDefault="00E10737" w:rsidP="00E10737">
      <w:pPr>
        <w:shd w:val="clear" w:color="auto" w:fill="FFFFCC"/>
        <w:spacing w:before="120"/>
        <w:jc w:val="both"/>
        <w:rPr>
          <w:b/>
          <w:i/>
        </w:rPr>
      </w:pPr>
      <w:r w:rsidRPr="004F0234">
        <w:rPr>
          <w:i/>
        </w:rPr>
        <w:t xml:space="preserve">ŠPECIFICKÝ CIEĽ </w:t>
      </w:r>
      <w:r>
        <w:rPr>
          <w:i/>
        </w:rPr>
        <w:t>11.3</w:t>
      </w:r>
      <w:r w:rsidRPr="004F0234">
        <w:rPr>
          <w:i/>
        </w:rPr>
        <w:t>:</w:t>
      </w:r>
      <w:r>
        <w:rPr>
          <w:i/>
        </w:rPr>
        <w:t xml:space="preserve"> </w:t>
      </w:r>
      <w:r>
        <w:rPr>
          <w:b/>
          <w:i/>
          <w:w w:val="95"/>
        </w:rPr>
        <w:t>Zvýšenie konkurencieschopnosti MSP vo fáze rozvoja</w:t>
      </w:r>
    </w:p>
    <w:p w14:paraId="57AD54AA" w14:textId="106F7E0D" w:rsidR="00E10737" w:rsidRPr="00CF79E0" w:rsidRDefault="00E10737" w:rsidP="00E10737">
      <w:pPr>
        <w:pStyle w:val="Zkladntext"/>
        <w:spacing w:before="135" w:line="248" w:lineRule="auto"/>
        <w:jc w:val="both"/>
        <w:rPr>
          <w:sz w:val="22"/>
          <w:szCs w:val="22"/>
        </w:rPr>
      </w:pPr>
      <w:r w:rsidRPr="00CF79E0">
        <w:rPr>
          <w:sz w:val="22"/>
          <w:szCs w:val="22"/>
        </w:rPr>
        <w:t>Špecifický cieľ je zameraný na podporu rastu a inovácií v etablo</w:t>
      </w:r>
      <w:r w:rsidR="00D325D8">
        <w:rPr>
          <w:sz w:val="22"/>
          <w:szCs w:val="22"/>
        </w:rPr>
        <w:t>vaných MSP nachádzajúcich sa vo </w:t>
      </w:r>
      <w:r w:rsidRPr="00CF79E0">
        <w:rPr>
          <w:sz w:val="22"/>
          <w:szCs w:val="22"/>
        </w:rPr>
        <w:t>fáze rozvoja. Prostredníctvom aktivít dôjde k zvýšeniu pridanej hodnoty a produktivity v rámci hodnotového reťazca, klastrov a kooperácie MSP s veľkými spoločnosťami. Súčasťou je aj osobitný prístup k znevýhodneným sociálnym skupinám a realizácia sociálne orientovaných opatrení.</w:t>
      </w:r>
    </w:p>
    <w:p w14:paraId="2F95DD71" w14:textId="6951FDF8" w:rsidR="00E10737" w:rsidRPr="00CF79E0" w:rsidRDefault="00E10737" w:rsidP="00E10737">
      <w:pPr>
        <w:pStyle w:val="Zkladntext"/>
        <w:spacing w:line="248" w:lineRule="auto"/>
        <w:rPr>
          <w:sz w:val="22"/>
          <w:szCs w:val="22"/>
        </w:rPr>
      </w:pPr>
      <w:r w:rsidRPr="00CF79E0">
        <w:rPr>
          <w:sz w:val="22"/>
          <w:szCs w:val="22"/>
        </w:rPr>
        <w:t xml:space="preserve">V rámci špecifického cieľa </w:t>
      </w:r>
      <w:r>
        <w:rPr>
          <w:sz w:val="22"/>
          <w:szCs w:val="22"/>
        </w:rPr>
        <w:t>11</w:t>
      </w:r>
      <w:r w:rsidRPr="00CF79E0">
        <w:rPr>
          <w:sz w:val="22"/>
          <w:szCs w:val="22"/>
        </w:rPr>
        <w:t>.3 budú uplatňované aj schémy štátnej pomoci a pomoci de minimis (zahŕňa aj implementáciu finančných nástrojov).</w:t>
      </w:r>
    </w:p>
    <w:p w14:paraId="235D102B" w14:textId="77777777" w:rsidR="00E10737" w:rsidRPr="00CF79E0"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44420C79" w14:textId="77777777" w:rsidR="00E10737" w:rsidRPr="00CF79E0" w:rsidRDefault="00E10737" w:rsidP="00D325D8">
      <w:pPr>
        <w:pStyle w:val="Zkladntext"/>
        <w:widowControl w:val="0"/>
        <w:numPr>
          <w:ilvl w:val="0"/>
          <w:numId w:val="179"/>
        </w:numPr>
        <w:tabs>
          <w:tab w:val="left" w:pos="1554"/>
        </w:tabs>
        <w:spacing w:after="0"/>
        <w:ind w:left="714" w:hanging="357"/>
        <w:rPr>
          <w:sz w:val="22"/>
          <w:szCs w:val="22"/>
        </w:rPr>
      </w:pPr>
      <w:r w:rsidRPr="00CF79E0">
        <w:rPr>
          <w:sz w:val="22"/>
          <w:szCs w:val="22"/>
        </w:rPr>
        <w:t>nárast počtu konkurencieschopných MSP v regiónoch SR;</w:t>
      </w:r>
    </w:p>
    <w:p w14:paraId="34E56968" w14:textId="77777777" w:rsidR="00E10737" w:rsidRPr="00CF79E0" w:rsidRDefault="00E10737" w:rsidP="00D325D8">
      <w:pPr>
        <w:pStyle w:val="Zkladntext"/>
        <w:widowControl w:val="0"/>
        <w:numPr>
          <w:ilvl w:val="0"/>
          <w:numId w:val="179"/>
        </w:numPr>
        <w:tabs>
          <w:tab w:val="left" w:pos="1614"/>
        </w:tabs>
        <w:spacing w:after="0"/>
        <w:ind w:left="714" w:hanging="357"/>
        <w:rPr>
          <w:sz w:val="22"/>
          <w:szCs w:val="22"/>
        </w:rPr>
      </w:pPr>
      <w:r w:rsidRPr="00CF79E0">
        <w:rPr>
          <w:sz w:val="22"/>
          <w:szCs w:val="22"/>
        </w:rPr>
        <w:t>do roku 2020 vytvoriť podmienky pre rast doma vytvorenej pridanej hodnoty na celkovom exporte o 5 p.b. oproti súčasnému stavu;</w:t>
      </w:r>
    </w:p>
    <w:p w14:paraId="60098063" w14:textId="77777777" w:rsidR="00E10737" w:rsidRPr="00CF79E0" w:rsidRDefault="00E10737" w:rsidP="00D325D8">
      <w:pPr>
        <w:pStyle w:val="Zkladntext"/>
        <w:widowControl w:val="0"/>
        <w:numPr>
          <w:ilvl w:val="0"/>
          <w:numId w:val="179"/>
        </w:numPr>
        <w:tabs>
          <w:tab w:val="left" w:pos="1554"/>
        </w:tabs>
        <w:spacing w:after="0"/>
        <w:ind w:left="714" w:hanging="357"/>
        <w:rPr>
          <w:sz w:val="22"/>
          <w:szCs w:val="22"/>
        </w:rPr>
      </w:pPr>
      <w:r w:rsidRPr="00CF79E0">
        <w:rPr>
          <w:sz w:val="22"/>
          <w:szCs w:val="22"/>
        </w:rPr>
        <w:t>zlepšenie prístupu k financiám pre MSP vo fáze rastu;</w:t>
      </w:r>
    </w:p>
    <w:p w14:paraId="678F4C59" w14:textId="48C3251B" w:rsidR="00E10737" w:rsidRPr="00CF79E0" w:rsidRDefault="00E10737" w:rsidP="00D325D8">
      <w:pPr>
        <w:pStyle w:val="Zkladntext"/>
        <w:widowControl w:val="0"/>
        <w:numPr>
          <w:ilvl w:val="0"/>
          <w:numId w:val="179"/>
        </w:numPr>
        <w:tabs>
          <w:tab w:val="left" w:pos="1580"/>
        </w:tabs>
        <w:spacing w:after="0"/>
        <w:ind w:left="714" w:hanging="357"/>
        <w:rPr>
          <w:sz w:val="22"/>
          <w:szCs w:val="22"/>
        </w:rPr>
      </w:pPr>
      <w:r w:rsidRPr="00CF79E0">
        <w:rPr>
          <w:sz w:val="22"/>
          <w:szCs w:val="22"/>
        </w:rPr>
        <w:t>zvýšenie počtu spoločností, ktoré sa zapoja do hodnotových výrobných reťazcov alebo posunú na vyššiu úroveň dodávateľského rebríčka nadnárodných spoločností</w:t>
      </w:r>
      <w:r w:rsidR="00437F63">
        <w:rPr>
          <w:sz w:val="22"/>
          <w:szCs w:val="22"/>
        </w:rPr>
        <w:t>;</w:t>
      </w:r>
    </w:p>
    <w:p w14:paraId="7F70F23B" w14:textId="77777777" w:rsidR="00E10737" w:rsidRDefault="00E10737" w:rsidP="00D325D8">
      <w:pPr>
        <w:pStyle w:val="Zkladntext"/>
        <w:widowControl w:val="0"/>
        <w:numPr>
          <w:ilvl w:val="0"/>
          <w:numId w:val="179"/>
        </w:numPr>
        <w:tabs>
          <w:tab w:val="left" w:pos="1554"/>
        </w:tabs>
        <w:spacing w:after="0"/>
        <w:ind w:left="714" w:hanging="357"/>
        <w:rPr>
          <w:sz w:val="22"/>
          <w:szCs w:val="22"/>
        </w:rPr>
      </w:pPr>
      <w:r w:rsidRPr="00CF79E0">
        <w:rPr>
          <w:sz w:val="22"/>
          <w:szCs w:val="22"/>
        </w:rPr>
        <w:t>podporiť zavádzanie rôznych typov inovácií do praxe pre potreby spoločnosti;</w:t>
      </w:r>
    </w:p>
    <w:p w14:paraId="2B09C3F6" w14:textId="77777777" w:rsidR="00E10737" w:rsidRPr="00CF79E0" w:rsidRDefault="00E10737" w:rsidP="00D325D8">
      <w:pPr>
        <w:pStyle w:val="Zkladntext"/>
        <w:widowControl w:val="0"/>
        <w:numPr>
          <w:ilvl w:val="0"/>
          <w:numId w:val="179"/>
        </w:numPr>
        <w:tabs>
          <w:tab w:val="left" w:pos="1554"/>
        </w:tabs>
        <w:spacing w:after="0"/>
        <w:ind w:left="714" w:hanging="357"/>
        <w:rPr>
          <w:sz w:val="22"/>
          <w:szCs w:val="22"/>
        </w:rPr>
      </w:pPr>
      <w:r w:rsidRPr="00CF79E0">
        <w:rPr>
          <w:sz w:val="22"/>
          <w:szCs w:val="22"/>
        </w:rPr>
        <w:t>zlepšenie spolupráce a prepojenia domácich MSP s dodávateľmi pre veľké nadnárodné spoločnosti.</w:t>
      </w:r>
    </w:p>
    <w:p w14:paraId="30AF7807" w14:textId="3F7E94B6" w:rsidR="00E10737" w:rsidRDefault="00E10737" w:rsidP="00E10737">
      <w:pPr>
        <w:pStyle w:val="Tab"/>
        <w:ind w:left="502"/>
      </w:pPr>
      <w:r w:rsidRPr="00BE4E38">
        <w:lastRenderedPageBreak/>
        <w:t>Špecifické ukazovatele výsledkov programu zodpovedajúce špecifickému cieľu 1</w:t>
      </w:r>
      <w:r>
        <w:t>1</w:t>
      </w:r>
      <w:r w:rsidRPr="00BE4E38">
        <w:t>.</w:t>
      </w:r>
      <w:r>
        <w:t>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E10737" w:rsidRPr="008C1732" w14:paraId="77BA03C1" w14:textId="77777777" w:rsidTr="004179DE">
        <w:trPr>
          <w:trHeight w:val="487"/>
          <w:jc w:val="center"/>
        </w:trPr>
        <w:tc>
          <w:tcPr>
            <w:tcW w:w="598" w:type="dxa"/>
            <w:shd w:val="clear" w:color="auto" w:fill="C6D9F1" w:themeFill="text2" w:themeFillTint="33"/>
            <w:vAlign w:val="center"/>
          </w:tcPr>
          <w:p w14:paraId="569C7F35"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4CC8E5DA"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5226AE9E"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3105B5BF"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431A2BC4" w14:textId="77777777" w:rsidR="00E10737" w:rsidRPr="008C1732" w:rsidRDefault="00E10737" w:rsidP="004179DE">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5E0DCDB3" w14:textId="77777777" w:rsidR="00E10737" w:rsidRPr="008C1732" w:rsidRDefault="00E10737" w:rsidP="004179DE">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52994184" w14:textId="77777777" w:rsidR="00E10737" w:rsidRPr="008C1732" w:rsidRDefault="00E10737" w:rsidP="004179DE">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5C733799" w14:textId="77777777" w:rsidR="00E10737" w:rsidRPr="008C1732" w:rsidRDefault="00E10737" w:rsidP="004179DE">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4B28CFD5"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7CAACCBF" w14:textId="77777777" w:rsidTr="004179DE">
        <w:trPr>
          <w:cantSplit/>
          <w:trHeight w:val="834"/>
          <w:jc w:val="center"/>
        </w:trPr>
        <w:tc>
          <w:tcPr>
            <w:tcW w:w="598" w:type="dxa"/>
            <w:shd w:val="clear" w:color="auto" w:fill="auto"/>
            <w:textDirection w:val="btLr"/>
            <w:vAlign w:val="center"/>
          </w:tcPr>
          <w:p w14:paraId="362EFA1A" w14:textId="77777777" w:rsidR="00E10737" w:rsidRPr="00C270B2" w:rsidRDefault="00E10737" w:rsidP="004179DE">
            <w:pPr>
              <w:ind w:left="113" w:right="113"/>
              <w:jc w:val="center"/>
              <w:rPr>
                <w:sz w:val="18"/>
                <w:szCs w:val="18"/>
              </w:rPr>
            </w:pPr>
            <w:r w:rsidRPr="00C270B2">
              <w:rPr>
                <w:sz w:val="18"/>
                <w:szCs w:val="18"/>
              </w:rPr>
              <w:t>R0171</w:t>
            </w:r>
          </w:p>
        </w:tc>
        <w:tc>
          <w:tcPr>
            <w:tcW w:w="1391" w:type="dxa"/>
            <w:shd w:val="clear" w:color="auto" w:fill="auto"/>
          </w:tcPr>
          <w:p w14:paraId="433D7C01" w14:textId="77777777" w:rsidR="00E10737" w:rsidRPr="00351D17" w:rsidRDefault="00E10737" w:rsidP="004179DE">
            <w:pPr>
              <w:ind w:left="0"/>
              <w:rPr>
                <w:sz w:val="18"/>
                <w:szCs w:val="18"/>
              </w:rPr>
            </w:pPr>
            <w:r w:rsidRPr="00351D17">
              <w:rPr>
                <w:sz w:val="18"/>
                <w:szCs w:val="18"/>
              </w:rPr>
              <w:t>Podiel MSP na tvorbe pridanej hodnoty v súkromnom sektore</w:t>
            </w:r>
          </w:p>
        </w:tc>
        <w:tc>
          <w:tcPr>
            <w:tcW w:w="897" w:type="dxa"/>
            <w:shd w:val="clear" w:color="auto" w:fill="auto"/>
            <w:vAlign w:val="center"/>
          </w:tcPr>
          <w:p w14:paraId="28CB13EC" w14:textId="77777777" w:rsidR="00E10737" w:rsidRPr="00F058A0" w:rsidRDefault="00E10737" w:rsidP="004179DE">
            <w:pPr>
              <w:ind w:left="0"/>
              <w:jc w:val="center"/>
              <w:rPr>
                <w:i/>
                <w:sz w:val="18"/>
                <w:szCs w:val="18"/>
              </w:rPr>
            </w:pPr>
            <w:r w:rsidRPr="00F058A0">
              <w:rPr>
                <w:i/>
                <w:sz w:val="18"/>
                <w:szCs w:val="18"/>
              </w:rPr>
              <w:t>%</w:t>
            </w:r>
          </w:p>
        </w:tc>
        <w:tc>
          <w:tcPr>
            <w:tcW w:w="997" w:type="dxa"/>
            <w:shd w:val="clear" w:color="auto" w:fill="auto"/>
            <w:vAlign w:val="center"/>
          </w:tcPr>
          <w:p w14:paraId="11C80B3F" w14:textId="77777777" w:rsidR="00E10737" w:rsidRPr="00F058A0" w:rsidRDefault="00E10737" w:rsidP="004179DE">
            <w:pPr>
              <w:ind w:left="0"/>
              <w:jc w:val="center"/>
              <w:rPr>
                <w:i/>
                <w:sz w:val="18"/>
                <w:szCs w:val="18"/>
              </w:rPr>
            </w:pPr>
            <w:r w:rsidRPr="00F058A0">
              <w:rPr>
                <w:i/>
                <w:sz w:val="18"/>
                <w:szCs w:val="18"/>
              </w:rPr>
              <w:t>menej rozvinutý región</w:t>
            </w:r>
          </w:p>
        </w:tc>
        <w:tc>
          <w:tcPr>
            <w:tcW w:w="1297" w:type="dxa"/>
            <w:vAlign w:val="center"/>
          </w:tcPr>
          <w:p w14:paraId="42642071" w14:textId="77777777" w:rsidR="00E10737" w:rsidRPr="00F058A0" w:rsidRDefault="00E10737" w:rsidP="004179DE">
            <w:pPr>
              <w:ind w:left="0"/>
              <w:jc w:val="center"/>
              <w:rPr>
                <w:i/>
                <w:sz w:val="18"/>
                <w:szCs w:val="18"/>
              </w:rPr>
            </w:pPr>
            <w:r w:rsidRPr="00F058A0">
              <w:rPr>
                <w:i/>
                <w:sz w:val="18"/>
                <w:szCs w:val="18"/>
              </w:rPr>
              <w:t>54,5</w:t>
            </w:r>
          </w:p>
        </w:tc>
        <w:tc>
          <w:tcPr>
            <w:tcW w:w="1297" w:type="dxa"/>
            <w:vAlign w:val="center"/>
          </w:tcPr>
          <w:p w14:paraId="163D5D81" w14:textId="77777777" w:rsidR="00E10737" w:rsidRPr="00F058A0" w:rsidRDefault="00E10737" w:rsidP="004179DE">
            <w:pPr>
              <w:ind w:left="0"/>
              <w:jc w:val="center"/>
              <w:rPr>
                <w:i/>
                <w:sz w:val="18"/>
                <w:szCs w:val="18"/>
              </w:rPr>
            </w:pPr>
            <w:r w:rsidRPr="00F058A0">
              <w:rPr>
                <w:i/>
                <w:sz w:val="18"/>
                <w:szCs w:val="18"/>
              </w:rPr>
              <w:t>2013</w:t>
            </w:r>
          </w:p>
        </w:tc>
        <w:tc>
          <w:tcPr>
            <w:tcW w:w="865" w:type="dxa"/>
            <w:shd w:val="clear" w:color="auto" w:fill="auto"/>
            <w:vAlign w:val="center"/>
          </w:tcPr>
          <w:p w14:paraId="4B38D828" w14:textId="77777777" w:rsidR="00E10737" w:rsidRPr="00F058A0" w:rsidRDefault="00E10737" w:rsidP="004179DE">
            <w:pPr>
              <w:ind w:left="0"/>
              <w:jc w:val="center"/>
              <w:rPr>
                <w:i/>
                <w:sz w:val="18"/>
                <w:szCs w:val="18"/>
              </w:rPr>
            </w:pPr>
            <w:r w:rsidRPr="00F058A0">
              <w:rPr>
                <w:i/>
                <w:sz w:val="18"/>
                <w:szCs w:val="18"/>
              </w:rPr>
              <w:t>59</w:t>
            </w:r>
          </w:p>
        </w:tc>
        <w:tc>
          <w:tcPr>
            <w:tcW w:w="759" w:type="dxa"/>
            <w:vAlign w:val="center"/>
          </w:tcPr>
          <w:p w14:paraId="5EC95C82" w14:textId="77777777" w:rsidR="00E10737" w:rsidRPr="00F058A0" w:rsidRDefault="00E10737" w:rsidP="004179DE">
            <w:pPr>
              <w:ind w:left="0"/>
              <w:jc w:val="center"/>
              <w:rPr>
                <w:i/>
                <w:sz w:val="18"/>
                <w:szCs w:val="18"/>
              </w:rPr>
            </w:pPr>
            <w:r w:rsidRPr="00F058A0">
              <w:rPr>
                <w:i/>
                <w:sz w:val="18"/>
                <w:szCs w:val="18"/>
              </w:rPr>
              <w:t>ŠÚ SR</w:t>
            </w:r>
          </w:p>
        </w:tc>
        <w:tc>
          <w:tcPr>
            <w:tcW w:w="1186" w:type="dxa"/>
            <w:vAlign w:val="center"/>
          </w:tcPr>
          <w:p w14:paraId="6DEEC93B" w14:textId="77777777" w:rsidR="00E10737" w:rsidRPr="00F058A0" w:rsidRDefault="00E10737" w:rsidP="004179DE">
            <w:pPr>
              <w:ind w:left="0"/>
              <w:jc w:val="center"/>
              <w:rPr>
                <w:i/>
                <w:sz w:val="18"/>
                <w:szCs w:val="18"/>
              </w:rPr>
            </w:pPr>
            <w:r w:rsidRPr="00F058A0">
              <w:rPr>
                <w:i/>
                <w:sz w:val="18"/>
                <w:szCs w:val="18"/>
              </w:rPr>
              <w:t>ročne</w:t>
            </w:r>
          </w:p>
        </w:tc>
      </w:tr>
    </w:tbl>
    <w:p w14:paraId="3F7DC661" w14:textId="77777777" w:rsidR="00E10737" w:rsidRPr="00CF79E0" w:rsidRDefault="00E10737" w:rsidP="00E10737">
      <w:pPr>
        <w:pStyle w:val="Zkladntext"/>
        <w:widowControl w:val="0"/>
        <w:tabs>
          <w:tab w:val="left" w:pos="826"/>
        </w:tabs>
        <w:spacing w:before="68" w:after="0"/>
        <w:rPr>
          <w:sz w:val="22"/>
          <w:szCs w:val="22"/>
        </w:rPr>
      </w:pPr>
    </w:p>
    <w:p w14:paraId="57304EFA" w14:textId="77777777" w:rsidR="00E10737" w:rsidRPr="00151195" w:rsidRDefault="00E10737" w:rsidP="00E10737">
      <w:pPr>
        <w:pStyle w:val="tl3"/>
        <w:tabs>
          <w:tab w:val="clear" w:pos="709"/>
          <w:tab w:val="clear" w:pos="864"/>
        </w:tabs>
        <w:ind w:left="851" w:hanging="851"/>
      </w:pPr>
      <w:r w:rsidRPr="00151195">
        <w:t>Opis typu a príklady aktivít</w:t>
      </w:r>
    </w:p>
    <w:p w14:paraId="7352C18E" w14:textId="4E72FB1F" w:rsidR="00E10737" w:rsidRDefault="00E10737" w:rsidP="00E10737">
      <w:pPr>
        <w:pStyle w:val="Zkladntext"/>
        <w:spacing w:before="146"/>
        <w:jc w:val="both"/>
        <w:rPr>
          <w:sz w:val="22"/>
          <w:szCs w:val="22"/>
        </w:rPr>
      </w:pPr>
      <w:r w:rsidRPr="0040351A">
        <w:rPr>
          <w:i/>
          <w:sz w:val="22"/>
          <w:szCs w:val="22"/>
          <w:u w:val="single"/>
        </w:rPr>
        <w:t>Príklady aktivít pre špecifický cieľ 11.3</w:t>
      </w:r>
      <w:r w:rsidR="0040351A">
        <w:rPr>
          <w:sz w:val="22"/>
          <w:szCs w:val="22"/>
        </w:rPr>
        <w:t>:</w:t>
      </w:r>
    </w:p>
    <w:p w14:paraId="48D864A3" w14:textId="3D9DF337" w:rsidR="00E10737" w:rsidRPr="00CF79E0" w:rsidRDefault="00E10737" w:rsidP="00E10737">
      <w:pPr>
        <w:pStyle w:val="Zkladntext"/>
        <w:spacing w:before="146"/>
        <w:jc w:val="both"/>
        <w:rPr>
          <w:sz w:val="22"/>
          <w:szCs w:val="22"/>
        </w:rPr>
      </w:pPr>
      <w:r w:rsidRPr="00CF79E0">
        <w:rPr>
          <w:sz w:val="22"/>
          <w:szCs w:val="22"/>
        </w:rPr>
        <w:t xml:space="preserve">Rozvoj existujúcich MSP prostredníctvom grantov a finančných </w:t>
      </w:r>
      <w:r w:rsidR="00F058A0">
        <w:rPr>
          <w:sz w:val="22"/>
          <w:szCs w:val="22"/>
        </w:rPr>
        <w:t>nástrojov (úverové programy pre </w:t>
      </w:r>
      <w:r w:rsidRPr="00CF79E0">
        <w:rPr>
          <w:sz w:val="22"/>
          <w:szCs w:val="22"/>
        </w:rPr>
        <w:t>rôzne segmenty MSP, resp. rôzne tematické oblasti, fond rizikového kapitálu pre rozvíjajúce sa MSP). V predchádzajúcom období prevládala v SR podpora podnikov formou nenávratných finančných príspevkov. Skúsenosti z predchádzajúceho programového obdobia ukazujú, že grantová forma podpory nie je optimálna pre všetky typy aktivít a formy podnikov. Preto sú navrhnuté diverzifikované finančné produkty so zameraním na rôzne cieľové skupiny MSP, ktoré vytvoria predpoklady pre kontinuitu fungovania MSP na trhu, resp. pre ich ďalší rast a rozvoj. Navrhnuté finančné nástroje zároveň predstavujú vhodné doplnenie aktivít nefinančnej podpory p</w:t>
      </w:r>
      <w:r w:rsidR="00664B4F">
        <w:rPr>
          <w:sz w:val="22"/>
          <w:szCs w:val="22"/>
        </w:rPr>
        <w:t>re existujúce MSP navrhnutých v </w:t>
      </w:r>
      <w:r w:rsidRPr="00CF79E0">
        <w:rPr>
          <w:sz w:val="22"/>
          <w:szCs w:val="22"/>
        </w:rPr>
        <w:t>rámci tohto špecifického cieľa. Popri návratných formách je súčasťou aktivity aj realizácia podpory MSP vo forme nenávratných finančných príspevkov, ktorá bude zameraná</w:t>
      </w:r>
      <w:r w:rsidR="00105712">
        <w:rPr>
          <w:sz w:val="22"/>
          <w:szCs w:val="22"/>
        </w:rPr>
        <w:t xml:space="preserve"> na</w:t>
      </w:r>
      <w:r w:rsidRPr="00CF79E0">
        <w:rPr>
          <w:sz w:val="22"/>
          <w:szCs w:val="22"/>
        </w:rPr>
        <w:t xml:space="preserve"> </w:t>
      </w:r>
      <w:r w:rsidR="00105712" w:rsidRPr="00105712">
        <w:rPr>
          <w:sz w:val="22"/>
          <w:szCs w:val="22"/>
        </w:rPr>
        <w:t xml:space="preserve">podporu rastu a inovácií vrátane podpory priorít špecifikovaných v iniciatívach Európskej komisie zameraných na dobiehajúce regióny a uhoľné regióny v transformácii a na </w:t>
      </w:r>
      <w:r w:rsidRPr="00CF79E0">
        <w:rPr>
          <w:sz w:val="22"/>
          <w:szCs w:val="22"/>
        </w:rPr>
        <w:t>stimuláciu kooperácie MSP v rámci lokálnych produkčnýc</w:t>
      </w:r>
      <w:r w:rsidR="00F058A0">
        <w:rPr>
          <w:sz w:val="22"/>
          <w:szCs w:val="22"/>
        </w:rPr>
        <w:t>h systémov s veľkými domácimi a </w:t>
      </w:r>
      <w:r w:rsidRPr="00CF79E0">
        <w:rPr>
          <w:sz w:val="22"/>
          <w:szCs w:val="22"/>
        </w:rPr>
        <w:t>nadnárodnými spoločnosťami, pričom podpora smeruje na krytie nákladov spojených s kreovaním takéhoto typu spolupráce (napr. vytvorenie lokálneho produkčného systému, splnenie požadovaných technických štandardov, auditovanie MSP pred vstupom do spolupráce s veľkým podnikom a pod.).</w:t>
      </w:r>
    </w:p>
    <w:p w14:paraId="3099AB64" w14:textId="77777777" w:rsidR="00E10737" w:rsidRDefault="00E10737" w:rsidP="00E10737">
      <w:pPr>
        <w:pStyle w:val="Zkladntext"/>
        <w:spacing w:before="40"/>
        <w:jc w:val="both"/>
        <w:rPr>
          <w:sz w:val="22"/>
          <w:szCs w:val="22"/>
        </w:rPr>
      </w:pPr>
      <w:r w:rsidRPr="00CF79E0">
        <w:rPr>
          <w:sz w:val="22"/>
          <w:szCs w:val="22"/>
        </w:rPr>
        <w:t>Cieľom aktivity je:</w:t>
      </w:r>
    </w:p>
    <w:p w14:paraId="1250DD91"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zabezpečiť prístup existujúcich MSP vo fáze rozvoja ku kapitálu,</w:t>
      </w:r>
    </w:p>
    <w:p w14:paraId="4350CD08"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zabezpečiť financovanie MSP v rôznych formách,</w:t>
      </w:r>
    </w:p>
    <w:p w14:paraId="0DD67F14"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riešiť problém obmedzeného prístupu niektorých skupín MSP ku kapitálu,</w:t>
      </w:r>
    </w:p>
    <w:p w14:paraId="78D5ED91"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zabezpečiť podmienky pre úspešnú spoluprácu MSP s veľkými domácimi a nadnárodnými podnikmi.</w:t>
      </w:r>
    </w:p>
    <w:p w14:paraId="4207C292" w14:textId="576A42CC" w:rsidR="00E10737" w:rsidRPr="00CF79E0" w:rsidRDefault="00E10737" w:rsidP="00E10737">
      <w:pPr>
        <w:pStyle w:val="Zkladntext"/>
        <w:spacing w:before="108" w:line="248" w:lineRule="auto"/>
        <w:ind w:right="117"/>
        <w:jc w:val="both"/>
        <w:rPr>
          <w:sz w:val="22"/>
          <w:szCs w:val="22"/>
        </w:rPr>
      </w:pPr>
      <w:r w:rsidRPr="00CF79E0">
        <w:rPr>
          <w:sz w:val="22"/>
          <w:szCs w:val="22"/>
        </w:rPr>
        <w:t>Jednotlivé produkty a formy podpory je možné vzájomne kombi</w:t>
      </w:r>
      <w:r w:rsidR="00664B4F">
        <w:rPr>
          <w:sz w:val="22"/>
          <w:szCs w:val="22"/>
        </w:rPr>
        <w:t>novať (napr. grantovú podporu a </w:t>
      </w:r>
      <w:r w:rsidRPr="00CF79E0">
        <w:rPr>
          <w:sz w:val="22"/>
          <w:szCs w:val="22"/>
        </w:rPr>
        <w:t>úverové schémy), segmentovať a špecializovať podľa typu MSP (mikro, malý, stredný). Navrhované nástroje budú smerované aj na podporu rozvoja podnikania aj v rámci znevýhodnených sociálnych skupín (ženy, mladí do 25 rokov, seniori nad 50 rokov, dlhodobo nez</w:t>
      </w:r>
      <w:r w:rsidR="00664B4F">
        <w:rPr>
          <w:sz w:val="22"/>
          <w:szCs w:val="22"/>
        </w:rPr>
        <w:t>amestnaní, štátni príslušníci z </w:t>
      </w:r>
      <w:r w:rsidRPr="00CF79E0">
        <w:rPr>
          <w:sz w:val="22"/>
          <w:szCs w:val="22"/>
        </w:rPr>
        <w:t>tretích krajín, sociálne znevýhodnení a osoby so zdravotným postihnutím, Rómovia). Aktivita bude realizovaná formou schém pomoci a finančných nástrojov</w:t>
      </w:r>
      <w:r w:rsidR="00765C94">
        <w:rPr>
          <w:rStyle w:val="Odkaznapoznmkupodiarou"/>
          <w:sz w:val="22"/>
          <w:szCs w:val="22"/>
        </w:rPr>
        <w:footnoteReference w:id="97"/>
      </w:r>
      <w:r w:rsidRPr="00CF79E0">
        <w:rPr>
          <w:sz w:val="22"/>
          <w:szCs w:val="22"/>
        </w:rPr>
        <w:t>.</w:t>
      </w:r>
    </w:p>
    <w:p w14:paraId="3EC02E49" w14:textId="79CB713E" w:rsidR="00E10737" w:rsidRDefault="00E10737" w:rsidP="00E10737">
      <w:pPr>
        <w:pStyle w:val="Zkladntext"/>
        <w:spacing w:line="247" w:lineRule="auto"/>
        <w:jc w:val="both"/>
        <w:rPr>
          <w:sz w:val="22"/>
          <w:szCs w:val="22"/>
        </w:rPr>
      </w:pPr>
      <w:r w:rsidRPr="00CF79E0">
        <w:rPr>
          <w:sz w:val="22"/>
          <w:szCs w:val="22"/>
        </w:rPr>
        <w:t xml:space="preserve">Poskytovanie informačných a poradenských služieb pre rozvoj </w:t>
      </w:r>
      <w:r w:rsidR="00664B4F">
        <w:rPr>
          <w:sz w:val="22"/>
          <w:szCs w:val="22"/>
        </w:rPr>
        <w:t>MSP. V predchádzajúcom období v </w:t>
      </w:r>
      <w:r w:rsidRPr="00CF79E0">
        <w:rPr>
          <w:sz w:val="22"/>
          <w:szCs w:val="22"/>
        </w:rPr>
        <w:t>rámci OP KaHR ani iných programov financovaných zo ŠF neboli realizované poradenské programy pre MSP. Určitý limitovaný rozsah podpory poskytovali štátne programy. Disponovanie potrebnými zručnosťami a kompetenciami je pritom kľúčovým faktorom rozvoja konkurencieschopnosti MSP. Cieľom aktivity je expertným poradenstvom, tradičnou osobnou, ale aj elektronickou formou podporovať rozvoj existujúcich MSP s rozvojovým potenciálom. Aktivita bude realizovaná prostredníctvom informačných a odborných poradenských služieb, špecializovaným poradenstvom spojeným s vyhľadávaním vhodných podnikateľských nápadov, exp</w:t>
      </w:r>
      <w:r w:rsidR="00664B4F">
        <w:rPr>
          <w:sz w:val="22"/>
          <w:szCs w:val="22"/>
        </w:rPr>
        <w:t>ertnými poradenskými službami s </w:t>
      </w:r>
      <w:r w:rsidRPr="00CF79E0">
        <w:rPr>
          <w:sz w:val="22"/>
          <w:szCs w:val="22"/>
        </w:rPr>
        <w:t xml:space="preserve">„vyššou pridanou hodnotou“ pre podnikanie založené na znalostiach </w:t>
      </w:r>
      <w:r w:rsidR="00664B4F">
        <w:rPr>
          <w:sz w:val="22"/>
          <w:szCs w:val="22"/>
        </w:rPr>
        <w:t>a inteligentnej špecializácii a </w:t>
      </w:r>
      <w:r w:rsidRPr="00CF79E0">
        <w:rPr>
          <w:sz w:val="22"/>
          <w:szCs w:val="22"/>
        </w:rPr>
        <w:t xml:space="preserve">pod. Realizácia aktivity bude súčasťou koncepcie podnikateľských centier uvedených v rámci </w:t>
      </w:r>
      <w:r w:rsidRPr="00CF79E0">
        <w:rPr>
          <w:sz w:val="22"/>
          <w:szCs w:val="22"/>
        </w:rPr>
        <w:lastRenderedPageBreak/>
        <w:t xml:space="preserve">špecifického cieľa </w:t>
      </w:r>
      <w:r>
        <w:rPr>
          <w:sz w:val="22"/>
          <w:szCs w:val="22"/>
        </w:rPr>
        <w:t>11</w:t>
      </w:r>
      <w:r w:rsidRPr="00CF79E0">
        <w:rPr>
          <w:sz w:val="22"/>
          <w:szCs w:val="22"/>
        </w:rPr>
        <w:t xml:space="preserve">.1 Primárnymi aktivitami, ktoré budú podnikateľské centrá poskytovať v rámci špecifického cieľa </w:t>
      </w:r>
      <w:r>
        <w:rPr>
          <w:sz w:val="22"/>
          <w:szCs w:val="22"/>
        </w:rPr>
        <w:t>11</w:t>
      </w:r>
      <w:r w:rsidRPr="00CF79E0">
        <w:rPr>
          <w:sz w:val="22"/>
          <w:szCs w:val="22"/>
        </w:rPr>
        <w:t>.3 sú:</w:t>
      </w:r>
    </w:p>
    <w:p w14:paraId="6DBC78CA"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odborné poradenstvo zamerané na zvyšovanie podnikateľských zručností,</w:t>
      </w:r>
    </w:p>
    <w:p w14:paraId="7272C827" w14:textId="26F1FA33" w:rsidR="00E10737" w:rsidRPr="00CF79E0" w:rsidRDefault="00E10737" w:rsidP="00E10737">
      <w:pPr>
        <w:pStyle w:val="Odsekzoznamu"/>
        <w:numPr>
          <w:ilvl w:val="0"/>
          <w:numId w:val="27"/>
        </w:numPr>
        <w:ind w:left="567" w:hanging="283"/>
        <w:jc w:val="both"/>
        <w:rPr>
          <w:sz w:val="22"/>
          <w:szCs w:val="22"/>
        </w:rPr>
      </w:pPr>
      <w:r w:rsidRPr="00CF79E0">
        <w:rPr>
          <w:sz w:val="22"/>
          <w:szCs w:val="22"/>
        </w:rPr>
        <w:t>odborné poradenstvo na zvyšovanie zručností prostredníctvom zavádzania štandardov kvality, napr. systémy manažérstva kvality, procesné riadenie, akreditácia</w:t>
      </w:r>
      <w:r w:rsidR="00931F6F">
        <w:rPr>
          <w:rStyle w:val="Odkaznapoznmkupodiarou"/>
          <w:sz w:val="22"/>
          <w:szCs w:val="22"/>
        </w:rPr>
        <w:footnoteReference w:id="98"/>
      </w:r>
      <w:r w:rsidRPr="00CF79E0">
        <w:rPr>
          <w:sz w:val="22"/>
          <w:szCs w:val="22"/>
        </w:rPr>
        <w:t xml:space="preserve"> a certifikácia, REACH, EMAS, ISO 14001 a pod.,</w:t>
      </w:r>
    </w:p>
    <w:p w14:paraId="38757A3A"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semináre/workshopy,</w:t>
      </w:r>
    </w:p>
    <w:p w14:paraId="0DDED8DE"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vytváranie databáz špecializovaného poradenstva vrátane sieťovania,</w:t>
      </w:r>
    </w:p>
    <w:p w14:paraId="39326F4D"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súťaže s cieľom podporenia príkladov dobrej podnikateľskej praxe,</w:t>
      </w:r>
    </w:p>
    <w:p w14:paraId="5EE4AEB8"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školenia zamerané na zvyšovanie kvality podnikateľského poradenstva,</w:t>
      </w:r>
    </w:p>
    <w:p w14:paraId="060FA935" w14:textId="77777777" w:rsidR="00E10737" w:rsidRPr="00CF79E0" w:rsidRDefault="00E10737" w:rsidP="00E10737">
      <w:pPr>
        <w:pStyle w:val="Odsekzoznamu"/>
        <w:numPr>
          <w:ilvl w:val="0"/>
          <w:numId w:val="27"/>
        </w:numPr>
        <w:ind w:left="567" w:hanging="283"/>
        <w:jc w:val="both"/>
      </w:pPr>
      <w:r w:rsidRPr="00CF79E0">
        <w:rPr>
          <w:sz w:val="22"/>
          <w:szCs w:val="22"/>
        </w:rPr>
        <w:t>marketingová komunikácia nových trendov a tém v podnikaní.</w:t>
      </w:r>
      <w:r>
        <w:rPr>
          <w:spacing w:val="23"/>
          <w:w w:val="108"/>
        </w:rPr>
        <w:t xml:space="preserve"> </w:t>
      </w:r>
    </w:p>
    <w:p w14:paraId="21DAF9FF" w14:textId="77777777" w:rsidR="00E10737" w:rsidRDefault="00E10737" w:rsidP="00E10737">
      <w:pPr>
        <w:ind w:left="284"/>
        <w:jc w:val="both"/>
        <w:rPr>
          <w:w w:val="110"/>
        </w:rPr>
      </w:pPr>
    </w:p>
    <w:p w14:paraId="68B577C3" w14:textId="77777777" w:rsidR="00E10737" w:rsidRDefault="00E10737" w:rsidP="00E10737">
      <w:pPr>
        <w:jc w:val="both"/>
        <w:rPr>
          <w:sz w:val="22"/>
          <w:szCs w:val="22"/>
        </w:rPr>
      </w:pPr>
      <w:r w:rsidRPr="00CF79E0">
        <w:rPr>
          <w:sz w:val="22"/>
          <w:szCs w:val="22"/>
        </w:rPr>
        <w:t>Aktivita bude realizovaná formou národného projektu a schém pomoci.</w:t>
      </w:r>
    </w:p>
    <w:p w14:paraId="14C062A9" w14:textId="77777777" w:rsidR="00E10737" w:rsidRDefault="00E10737" w:rsidP="00E10737">
      <w:pPr>
        <w:jc w:val="both"/>
        <w:rPr>
          <w:sz w:val="22"/>
          <w:szCs w:val="22"/>
        </w:rPr>
      </w:pPr>
    </w:p>
    <w:p w14:paraId="3395B9AC" w14:textId="1A9D39D8" w:rsidR="00E10737" w:rsidRPr="00CF79E0" w:rsidRDefault="00E10737" w:rsidP="00E10737">
      <w:pPr>
        <w:pStyle w:val="Zkladntext"/>
        <w:spacing w:line="247" w:lineRule="auto"/>
        <w:jc w:val="both"/>
        <w:rPr>
          <w:sz w:val="22"/>
          <w:szCs w:val="22"/>
        </w:rPr>
      </w:pPr>
      <w:r w:rsidRPr="00CF79E0">
        <w:rPr>
          <w:sz w:val="22"/>
          <w:szCs w:val="22"/>
        </w:rPr>
        <w:t>Využívanie nástrojov elektronického podnikania MSP. Internet a internetová ekonomika predstavujú pre SR jedinečnú príležitosť využiť potenciál globálnych trendov (mobilné technológie, cloud, sociálne siete), podporiť export slovenských produktov a služieb, zvýšiť ekonomický rast a vytvárať nové pracovné miesta. SR má potenciál, ale celkovo nízku úroveň kapacít pre moderné technologické riešenia, najmä v sektore MSP. V doterajšom období však neboli real</w:t>
      </w:r>
      <w:r w:rsidR="00664B4F">
        <w:rPr>
          <w:sz w:val="22"/>
          <w:szCs w:val="22"/>
        </w:rPr>
        <w:t>izované špecifické opatrenia na </w:t>
      </w:r>
      <w:r w:rsidRPr="00CF79E0">
        <w:rPr>
          <w:sz w:val="22"/>
          <w:szCs w:val="22"/>
        </w:rPr>
        <w:t>podporu elektronického podnikania v prostredí MSP. Aktivita bude zameraná na stimuláciu využívania elektronického podnikania (e-commerce, e-biznis) v prostredí MSP Jej cieľom je motivovať MSP, najmä v kategóriách mikro podnikov a malých podnikov, ktoré doposiaľ nemali skúsenosť s on-line podnikaním, pre zavedenie a rozvoj digitálnych technológií vo svojom podnikaní. Aktivita zahrňuje viacero opatrení:</w:t>
      </w:r>
    </w:p>
    <w:p w14:paraId="1200D1E1"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informovanie o možnostiach a výhodách elektronického podnikania pre MSP,</w:t>
      </w:r>
    </w:p>
    <w:p w14:paraId="448068C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poradenstvo o jednotlivých formách elektronického podnikania,</w:t>
      </w:r>
    </w:p>
    <w:p w14:paraId="0D404B13"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rozvoj znalostí a zručností MSP v oblasti elektronického podnikania,</w:t>
      </w:r>
    </w:p>
    <w:p w14:paraId="768CD4E4"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technická podpora pri tvorbe webových stránok firiem, e-shopov a pod. formou vytvorenia generických aplikácií,</w:t>
      </w:r>
    </w:p>
    <w:p w14:paraId="13D0297D"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finančná podpora na tvorbu aplikácií pre elektronické podnikanie.</w:t>
      </w:r>
    </w:p>
    <w:p w14:paraId="33D46139" w14:textId="77777777" w:rsidR="00E10737" w:rsidRPr="00CF79E0" w:rsidRDefault="00E10737" w:rsidP="00E10737">
      <w:pPr>
        <w:ind w:left="284"/>
        <w:jc w:val="both"/>
        <w:rPr>
          <w:sz w:val="22"/>
          <w:szCs w:val="22"/>
        </w:rPr>
      </w:pPr>
    </w:p>
    <w:p w14:paraId="75A2A61D" w14:textId="77777777" w:rsidR="00E10737" w:rsidRPr="00CF79E0" w:rsidRDefault="00E10737" w:rsidP="00E10737">
      <w:pPr>
        <w:pStyle w:val="Zkladntext"/>
        <w:spacing w:before="48" w:line="247" w:lineRule="auto"/>
        <w:jc w:val="both"/>
        <w:rPr>
          <w:sz w:val="22"/>
          <w:szCs w:val="22"/>
        </w:rPr>
      </w:pPr>
      <w:r w:rsidRPr="00CF79E0">
        <w:rPr>
          <w:sz w:val="22"/>
          <w:szCs w:val="22"/>
        </w:rPr>
        <w:t>Aktivita nezahŕňa elektronické služby štátu pre podnikateľov ktoré sú podporované v rámci Operačného programu Integrovaná infraštruktúra. Aktivita bude realizovaná formou národného projektu a schémy pomoci.</w:t>
      </w:r>
    </w:p>
    <w:p w14:paraId="7BCBA1A4" w14:textId="770DEA98" w:rsidR="00E10737" w:rsidRDefault="00E10737" w:rsidP="00E10737">
      <w:pPr>
        <w:pStyle w:val="Zkladntext"/>
        <w:spacing w:before="40" w:line="247" w:lineRule="auto"/>
        <w:jc w:val="both"/>
        <w:rPr>
          <w:sz w:val="22"/>
          <w:szCs w:val="22"/>
        </w:rPr>
      </w:pPr>
      <w:r w:rsidRPr="00CF79E0">
        <w:rPr>
          <w:sz w:val="22"/>
          <w:szCs w:val="22"/>
        </w:rPr>
        <w:t xml:space="preserve">Podpora rozvoja alternatívnych foriem podnikania </w:t>
      </w:r>
      <w:r w:rsidRPr="00351D17">
        <w:rPr>
          <w:b/>
          <w:sz w:val="22"/>
          <w:szCs w:val="22"/>
        </w:rPr>
        <w:t>a využívania sociálnych inovácií</w:t>
      </w:r>
      <w:r w:rsidRPr="00CF79E0">
        <w:rPr>
          <w:sz w:val="22"/>
          <w:szCs w:val="22"/>
        </w:rPr>
        <w:t>. Obsahovým východiskom aktivity sú štúdie alternatívnych foriem podnikania (napr. rodinné podnikanie, zjednodušená akciová spoločnosť) spracované v predchádzajúcom období, ktoré preukázali potrebu alternatívnych foriem podnikania v niektorých typoch podnikateľskej činnosti (</w:t>
      </w:r>
      <w:r w:rsidRPr="00351D17">
        <w:rPr>
          <w:b/>
          <w:sz w:val="22"/>
          <w:szCs w:val="22"/>
        </w:rPr>
        <w:t>napr.</w:t>
      </w:r>
      <w:r w:rsidRPr="00CF79E0">
        <w:rPr>
          <w:sz w:val="22"/>
          <w:szCs w:val="22"/>
        </w:rPr>
        <w:t xml:space="preserve"> poľnohospodárska činnosť, remeselné činnosti, kapitálové investovanie). Opatrenie bude zamerané najmä na vytvorenie priaznivých podmienok pre podnikanie znevýhodnených </w:t>
      </w:r>
      <w:r w:rsidRPr="00351D17">
        <w:rPr>
          <w:b/>
          <w:sz w:val="22"/>
          <w:szCs w:val="22"/>
        </w:rPr>
        <w:t>a zraniteľných osôb</w:t>
      </w:r>
      <w:r w:rsidRPr="00CF79E0">
        <w:rPr>
          <w:sz w:val="22"/>
          <w:szCs w:val="22"/>
        </w:rPr>
        <w:t xml:space="preserve"> (</w:t>
      </w:r>
      <w:r w:rsidRPr="00351D17">
        <w:rPr>
          <w:b/>
          <w:sz w:val="22"/>
          <w:szCs w:val="22"/>
        </w:rPr>
        <w:t>napr.</w:t>
      </w:r>
      <w:r w:rsidRPr="00CF79E0">
        <w:rPr>
          <w:sz w:val="22"/>
          <w:szCs w:val="22"/>
        </w:rPr>
        <w:t xml:space="preserve"> ženy, mladí do 25 rokov, seniori nad 50 rokov, dlhodobo nez</w:t>
      </w:r>
      <w:r w:rsidR="00664B4F">
        <w:rPr>
          <w:sz w:val="22"/>
          <w:szCs w:val="22"/>
        </w:rPr>
        <w:t>amestnaní, štátni príslušníci z </w:t>
      </w:r>
      <w:r w:rsidRPr="00CF79E0">
        <w:rPr>
          <w:sz w:val="22"/>
          <w:szCs w:val="22"/>
        </w:rPr>
        <w:t xml:space="preserve">tretích krajín, sociálne znevýhodnení a osoby so zdravotným postihnutím, Rómovia) </w:t>
      </w:r>
      <w:r w:rsidRPr="00351D17">
        <w:rPr>
          <w:b/>
          <w:sz w:val="22"/>
          <w:szCs w:val="22"/>
        </w:rPr>
        <w:t>na podporu podnikateľských subjektov sledujúcich dosahovanie pozitívneho sociálneho vplyvu</w:t>
      </w:r>
      <w:r w:rsidR="00664B4F">
        <w:rPr>
          <w:sz w:val="22"/>
          <w:szCs w:val="22"/>
        </w:rPr>
        <w:t xml:space="preserve"> a taktiež na </w:t>
      </w:r>
      <w:r w:rsidRPr="00CF79E0">
        <w:rPr>
          <w:sz w:val="22"/>
          <w:szCs w:val="22"/>
        </w:rPr>
        <w:t>zvýhodnenie foriem podnikania špecializujúcich sa na podporu sociálnej ekonomiky a špecifické formy podnikania. V rámci aktivity bude realizované:</w:t>
      </w:r>
    </w:p>
    <w:p w14:paraId="4E04FB33"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analýza legislatívneho prostredia,</w:t>
      </w:r>
    </w:p>
    <w:p w14:paraId="3025BFA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spracovanie návrhov legislatívnych úpravy pre definovanie právneho postavenia alternatívnych modelov podnikania,</w:t>
      </w:r>
    </w:p>
    <w:p w14:paraId="33362144"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definovanie systémových podporných mechanizmov a stimulov pre podporu a stabilizáciu alternatívnych foriem podnikania,</w:t>
      </w:r>
    </w:p>
    <w:p w14:paraId="3EA6FF00"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lastRenderedPageBreak/>
        <w:t>podpora špecializovaných štruktúr orientovaných na stimulovanie podnikania žien a iných znevýhodnených sociálnych skupín,</w:t>
      </w:r>
    </w:p>
    <w:p w14:paraId="27917FEA"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pilotné projekty na testovanie navrhnutých alternatívnych foriem podnikania, podporných mechanizmov a opatrení,</w:t>
      </w:r>
    </w:p>
    <w:p w14:paraId="13E4F07A"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podpora informovanosti, rozvíjania zručností a kompetencií podnikateľov zo znevýhodnených sociálnych skupín,</w:t>
      </w:r>
    </w:p>
    <w:p w14:paraId="50EA4233" w14:textId="77777777" w:rsidR="00E10737" w:rsidRPr="00351D17" w:rsidRDefault="00E10737" w:rsidP="00E10737">
      <w:pPr>
        <w:pStyle w:val="Odsekzoznamu"/>
        <w:numPr>
          <w:ilvl w:val="0"/>
          <w:numId w:val="27"/>
        </w:numPr>
        <w:ind w:left="567" w:hanging="283"/>
        <w:jc w:val="both"/>
        <w:rPr>
          <w:b/>
          <w:sz w:val="22"/>
          <w:szCs w:val="22"/>
        </w:rPr>
      </w:pPr>
      <w:r w:rsidRPr="00CF79E0">
        <w:rPr>
          <w:sz w:val="22"/>
          <w:szCs w:val="22"/>
        </w:rPr>
        <w:t xml:space="preserve">podpora vytvárania trhovo uplatniteľných produktov a služieb podnikateľov zo znevýhodnených sociálnych skupín </w:t>
      </w:r>
      <w:r w:rsidRPr="00351D17">
        <w:rPr>
          <w:b/>
          <w:sz w:val="22"/>
          <w:szCs w:val="22"/>
        </w:rPr>
        <w:t>a/alebo trhovo uplatniteľných sociálnych inovácií,</w:t>
      </w:r>
    </w:p>
    <w:p w14:paraId="45FA7C1D" w14:textId="77777777" w:rsidR="00E10737" w:rsidRPr="00351D17" w:rsidRDefault="00E10737" w:rsidP="00E10737">
      <w:pPr>
        <w:pStyle w:val="Odsekzoznamu"/>
        <w:numPr>
          <w:ilvl w:val="0"/>
          <w:numId w:val="27"/>
        </w:numPr>
        <w:ind w:left="567" w:hanging="283"/>
        <w:jc w:val="both"/>
        <w:rPr>
          <w:b/>
          <w:sz w:val="22"/>
          <w:szCs w:val="22"/>
        </w:rPr>
      </w:pPr>
      <w:r w:rsidRPr="00351D17">
        <w:rPr>
          <w:b/>
          <w:sz w:val="22"/>
          <w:szCs w:val="22"/>
        </w:rPr>
        <w:t>podpora vytvárania trhovo uplatniteľných produktov a služieb podnikateľov využívajúcich alternatívne (špecifické) formy podnikania.</w:t>
      </w:r>
    </w:p>
    <w:p w14:paraId="3578395B" w14:textId="77777777" w:rsidR="00E10737" w:rsidRDefault="00E10737" w:rsidP="00E10737">
      <w:pPr>
        <w:ind w:left="284"/>
        <w:jc w:val="both"/>
        <w:rPr>
          <w:sz w:val="22"/>
          <w:szCs w:val="22"/>
        </w:rPr>
      </w:pPr>
    </w:p>
    <w:p w14:paraId="603D2336" w14:textId="77777777" w:rsidR="00E10737" w:rsidRDefault="00E10737" w:rsidP="00E10737">
      <w:pPr>
        <w:pStyle w:val="Zkladntext"/>
        <w:spacing w:before="40" w:line="247" w:lineRule="auto"/>
        <w:jc w:val="both"/>
        <w:rPr>
          <w:sz w:val="22"/>
          <w:szCs w:val="22"/>
        </w:rPr>
      </w:pPr>
      <w:r w:rsidRPr="00CF79E0">
        <w:rPr>
          <w:sz w:val="22"/>
          <w:szCs w:val="22"/>
        </w:rPr>
        <w:t>V rámci aktivity sa predpokladá realizácia sociálnych inovácií. Aktivita bude realizovaná formou národného projektu a schémy pomoci.</w:t>
      </w:r>
    </w:p>
    <w:p w14:paraId="247CAF94" w14:textId="77777777" w:rsidR="00E10737" w:rsidRDefault="00E10737" w:rsidP="00E10737">
      <w:pPr>
        <w:pStyle w:val="Zkladntext"/>
        <w:spacing w:before="40" w:line="247" w:lineRule="auto"/>
        <w:jc w:val="both"/>
        <w:rPr>
          <w:sz w:val="22"/>
          <w:szCs w:val="22"/>
        </w:rPr>
      </w:pPr>
      <w:r w:rsidRPr="00CF79E0">
        <w:rPr>
          <w:sz w:val="22"/>
          <w:szCs w:val="22"/>
        </w:rPr>
        <w:t>Tvorba nových obchodných modelov kreatívneho priemyslu. Kreatívny priemysel patrí medzi rýchlo sa rozvíjajúce odvetvia s veľkým rozvojovým potenciálom. Cieľom aktivity bude podporovať rozvoj sektora prostredníctvom realizácie cieleného poradenstva, vzdelávacích a iných podporných aktivít zameraných aj na medzisektorovú spoluprácu a internacionalizáciu. Podporované budú tiež činnosti smerujúce k rastu vývojových kapacít a ich sieťovaniu so zámerom dosiahnuť zefektívnenie</w:t>
      </w:r>
      <w:r>
        <w:rPr>
          <w:sz w:val="22"/>
          <w:szCs w:val="22"/>
        </w:rPr>
        <w:t xml:space="preserve"> </w:t>
      </w:r>
      <w:r w:rsidRPr="00CF79E0">
        <w:rPr>
          <w:sz w:val="22"/>
          <w:szCs w:val="22"/>
        </w:rPr>
        <w:t>tvorivého procesu a komercionalizácie výsledkov tvorivej činnosti subjektov pôsobiacich v sektore kreatívneho priemyslu. Budú realizované aktivity propagujúce kreatívny priemysel, ako aj aktivity budovania trhu. Aktivita bude realizovaná formou národného projektu a schémy pomoci.</w:t>
      </w:r>
    </w:p>
    <w:p w14:paraId="5E6875E3" w14:textId="77777777" w:rsidR="00E10737" w:rsidRPr="00CF79E0" w:rsidRDefault="00E10737" w:rsidP="00E10737">
      <w:pPr>
        <w:pStyle w:val="Zkladntext"/>
        <w:spacing w:before="40" w:line="248" w:lineRule="auto"/>
        <w:ind w:right="117"/>
        <w:jc w:val="both"/>
        <w:rPr>
          <w:sz w:val="22"/>
          <w:szCs w:val="22"/>
        </w:rPr>
      </w:pPr>
      <w:r w:rsidRPr="00CF79E0">
        <w:rPr>
          <w:sz w:val="22"/>
          <w:szCs w:val="22"/>
        </w:rPr>
        <w:t>Podpora zvyšovania štandardov výkonnosti a funkčnosti MSP vrátane zelenej ekonomiky. Aktivita je pokračovaním úspešného</w:t>
      </w:r>
      <w:r>
        <w:rPr>
          <w:sz w:val="22"/>
          <w:szCs w:val="22"/>
        </w:rPr>
        <w:t xml:space="preserve"> </w:t>
      </w:r>
      <w:r w:rsidRPr="00CF79E0">
        <w:rPr>
          <w:sz w:val="22"/>
          <w:szCs w:val="22"/>
        </w:rPr>
        <w:t>opatrenia OPKaHR</w:t>
      </w:r>
      <w:r>
        <w:rPr>
          <w:sz w:val="22"/>
          <w:szCs w:val="22"/>
        </w:rPr>
        <w:t xml:space="preserve"> </w:t>
      </w:r>
      <w:r w:rsidRPr="00CF79E0">
        <w:rPr>
          <w:sz w:val="22"/>
          <w:szCs w:val="22"/>
        </w:rPr>
        <w:t>(opatrenie 1.3). Jej</w:t>
      </w:r>
      <w:r>
        <w:rPr>
          <w:sz w:val="22"/>
          <w:szCs w:val="22"/>
        </w:rPr>
        <w:t xml:space="preserve"> </w:t>
      </w:r>
      <w:r w:rsidRPr="00CF79E0">
        <w:rPr>
          <w:sz w:val="22"/>
          <w:szCs w:val="22"/>
        </w:rPr>
        <w:t>cieľom</w:t>
      </w:r>
      <w:r>
        <w:rPr>
          <w:sz w:val="22"/>
          <w:szCs w:val="22"/>
        </w:rPr>
        <w:t xml:space="preserve"> </w:t>
      </w:r>
      <w:r w:rsidRPr="00CF79E0">
        <w:rPr>
          <w:sz w:val="22"/>
          <w:szCs w:val="22"/>
        </w:rPr>
        <w:t>je</w:t>
      </w:r>
      <w:r>
        <w:rPr>
          <w:sz w:val="22"/>
          <w:szCs w:val="22"/>
        </w:rPr>
        <w:t xml:space="preserve"> </w:t>
      </w:r>
      <w:r w:rsidRPr="00CF79E0">
        <w:rPr>
          <w:sz w:val="22"/>
          <w:szCs w:val="22"/>
        </w:rPr>
        <w:t>podpora</w:t>
      </w:r>
      <w:r>
        <w:rPr>
          <w:sz w:val="22"/>
          <w:szCs w:val="22"/>
        </w:rPr>
        <w:t xml:space="preserve"> </w:t>
      </w:r>
      <w:r w:rsidRPr="00CF79E0">
        <w:rPr>
          <w:sz w:val="22"/>
          <w:szCs w:val="22"/>
        </w:rPr>
        <w:t>udržania</w:t>
      </w:r>
      <w:r>
        <w:rPr>
          <w:sz w:val="22"/>
          <w:szCs w:val="22"/>
        </w:rPr>
        <w:t xml:space="preserve"> </w:t>
      </w:r>
      <w:r w:rsidRPr="00CF79E0">
        <w:rPr>
          <w:sz w:val="22"/>
          <w:szCs w:val="22"/>
        </w:rPr>
        <w:t>konkurencieschopnosti MSP</w:t>
      </w:r>
      <w:r>
        <w:rPr>
          <w:sz w:val="22"/>
          <w:szCs w:val="22"/>
        </w:rPr>
        <w:t xml:space="preserve"> </w:t>
      </w:r>
      <w:r w:rsidRPr="00CF79E0">
        <w:rPr>
          <w:sz w:val="22"/>
          <w:szCs w:val="22"/>
        </w:rPr>
        <w:t xml:space="preserve">kompenzovaním nákladov, ktoré vznikajú MSP pri napĺňaní podmienok špecifických regulácií EÚ (napr. európska legislatíva v oblasti spracovania osobných údajov, smernica REACH, legislatíva v oblasti platobných služieb, špecifická legislatíva pre oblasť niektorých výrobkov, resp. určitých </w:t>
      </w:r>
      <w:r>
        <w:rPr>
          <w:sz w:val="22"/>
          <w:szCs w:val="22"/>
        </w:rPr>
        <w:t>služieb)</w:t>
      </w:r>
      <w:r w:rsidRPr="00CF79E0">
        <w:rPr>
          <w:sz w:val="22"/>
          <w:szCs w:val="22"/>
        </w:rPr>
        <w:t>. Podpora bude zameraná na:</w:t>
      </w:r>
    </w:p>
    <w:p w14:paraId="687F7D59"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prípravu a budovanie systémov manažérstva kvality,</w:t>
      </w:r>
    </w:p>
    <w:p w14:paraId="7DF8B125"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realizáciu externého certifikačného procesu súvisiaceho so zavádzaním podmienok kompatibility s požiadavkami príslušnej regulácie EÚ,</w:t>
      </w:r>
    </w:p>
    <w:p w14:paraId="48B0D54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realizáciu predcertifikačného auditu pre overenie stavu v akom sa podnik nachádza,</w:t>
      </w:r>
    </w:p>
    <w:p w14:paraId="42F2A995"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zavádzanie technických noriem do výrobnej praxe a služieb,</w:t>
      </w:r>
    </w:p>
    <w:p w14:paraId="7F04197A" w14:textId="3CD6E9D9" w:rsidR="00E10737" w:rsidRPr="00664B4F" w:rsidRDefault="00E10737" w:rsidP="00664B4F">
      <w:pPr>
        <w:pStyle w:val="Odsekzoznamu"/>
        <w:numPr>
          <w:ilvl w:val="0"/>
          <w:numId w:val="27"/>
        </w:numPr>
        <w:ind w:left="567" w:hanging="283"/>
        <w:jc w:val="both"/>
        <w:rPr>
          <w:sz w:val="22"/>
          <w:szCs w:val="22"/>
        </w:rPr>
      </w:pPr>
      <w:r w:rsidRPr="00CF79E0">
        <w:rPr>
          <w:sz w:val="22"/>
          <w:szCs w:val="22"/>
        </w:rPr>
        <w:t>zavádzanie systémov a štandardov v súlade s požiadavkami EÚ a/alebo medzinárodnými normami.</w:t>
      </w:r>
    </w:p>
    <w:p w14:paraId="009E7DA8" w14:textId="162F560A" w:rsidR="00E10737" w:rsidRDefault="00E10737" w:rsidP="00664B4F">
      <w:pPr>
        <w:pStyle w:val="Zkladntext"/>
        <w:widowControl w:val="0"/>
        <w:tabs>
          <w:tab w:val="left" w:pos="1554"/>
        </w:tabs>
        <w:rPr>
          <w:sz w:val="22"/>
          <w:szCs w:val="22"/>
        </w:rPr>
      </w:pPr>
      <w:r w:rsidRPr="00CF79E0">
        <w:rPr>
          <w:sz w:val="22"/>
          <w:szCs w:val="22"/>
        </w:rPr>
        <w:t>Aktivita bude realizovaná formou národného projektu a schémy pomoci.</w:t>
      </w:r>
    </w:p>
    <w:p w14:paraId="5B4748FB" w14:textId="7A72E129" w:rsidR="00E10737" w:rsidRPr="00CF79E0" w:rsidRDefault="00E10737" w:rsidP="00E10737">
      <w:pPr>
        <w:pStyle w:val="Zkladntext"/>
        <w:spacing w:before="43" w:line="248" w:lineRule="auto"/>
        <w:ind w:right="117"/>
        <w:jc w:val="both"/>
        <w:rPr>
          <w:sz w:val="22"/>
          <w:szCs w:val="22"/>
        </w:rPr>
      </w:pPr>
      <w:r w:rsidRPr="00CF79E0">
        <w:rPr>
          <w:sz w:val="22"/>
          <w:szCs w:val="22"/>
        </w:rPr>
        <w:t>Monitorovanie podnikateľského prostredia v súlade s uplatňovaním princípu „Think Small First“. Aktivita je doplnením ostatných aktivít zameraných na priame f</w:t>
      </w:r>
      <w:r w:rsidR="00664B4F">
        <w:rPr>
          <w:sz w:val="22"/>
          <w:szCs w:val="22"/>
        </w:rPr>
        <w:t>ormy podpory MSP. Jej cieľom je </w:t>
      </w:r>
      <w:r w:rsidRPr="00CF79E0">
        <w:rPr>
          <w:sz w:val="22"/>
          <w:szCs w:val="22"/>
        </w:rPr>
        <w:t>vytváranie priaznivých podmienok pre činnosť MSP v súlade s jednotlivými princípmi iniciatívy Small Business Act za účelom posilnenia ich rastu a inovatívnosti. V predchádzajúcom období SBA vykonávala monitoring podnikateľského prostredia, čiastočne</w:t>
      </w:r>
      <w:r w:rsidR="00664B4F">
        <w:rPr>
          <w:sz w:val="22"/>
          <w:szCs w:val="22"/>
        </w:rPr>
        <w:t xml:space="preserve"> s podporu štátneho programu. V </w:t>
      </w:r>
      <w:r w:rsidRPr="00CF79E0">
        <w:rPr>
          <w:sz w:val="22"/>
          <w:szCs w:val="22"/>
        </w:rPr>
        <w:t>súvislosti s činnosťou Vyslanca pre MSP (SME Envoy) vzrástla potreba identifikovania prekážok a potrieb MSP vo vzťahu k uplatňovaniu princípu Think Small First ako aj ostatných princípov iniciatívy Small Business Act. Aktivita je zameraná prípravu podkladov pre činnosť Vyslanca pre MSP (SME Envoy), MH SR ako aj ďalšie ministerstvá. Zámerom je zohľadniť princíp „think small first“ a ostatné princípy iniciatívy Small Business Act pri tvorbe leg</w:t>
      </w:r>
      <w:r w:rsidR="00664B4F">
        <w:rPr>
          <w:sz w:val="22"/>
          <w:szCs w:val="22"/>
        </w:rPr>
        <w:t>islatívnych návrhov, opatrení a </w:t>
      </w:r>
      <w:r w:rsidRPr="00CF79E0">
        <w:rPr>
          <w:sz w:val="22"/>
          <w:szCs w:val="22"/>
        </w:rPr>
        <w:t>politík zameraných na zlepšenie podnikateľského prostredia a riešenie problémov podnikania MSP. V rámci aktivity bude vykonávané:</w:t>
      </w:r>
    </w:p>
    <w:p w14:paraId="58C7B2CE"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kontinuálne monitorovanie podnikateľského prostredia,</w:t>
      </w:r>
    </w:p>
    <w:p w14:paraId="0023642E"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spracovanie analýz a prieskumov, vytváranie a udržiavanie bázy dát ukazovateľov MSP,</w:t>
      </w:r>
    </w:p>
    <w:p w14:paraId="68C6D5EE"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mapovanie skutkového stavu a situácie MSP z pohľadu uplatňovania princípov iniciatívy Small Business Act,</w:t>
      </w:r>
    </w:p>
    <w:p w14:paraId="2F0A058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identifikovanie a analyzovanie bariér rozvoja podnikania MSP,</w:t>
      </w:r>
    </w:p>
    <w:p w14:paraId="2E82A36C" w14:textId="19B0B882" w:rsidR="00E10737" w:rsidRPr="00CF79E0" w:rsidRDefault="00E10737" w:rsidP="00E10737">
      <w:pPr>
        <w:pStyle w:val="Odsekzoznamu"/>
        <w:numPr>
          <w:ilvl w:val="0"/>
          <w:numId w:val="27"/>
        </w:numPr>
        <w:ind w:left="567" w:hanging="283"/>
        <w:jc w:val="both"/>
        <w:rPr>
          <w:sz w:val="22"/>
          <w:szCs w:val="22"/>
        </w:rPr>
      </w:pPr>
      <w:r w:rsidRPr="00CF79E0">
        <w:rPr>
          <w:sz w:val="22"/>
          <w:szCs w:val="22"/>
        </w:rPr>
        <w:lastRenderedPageBreak/>
        <w:t>porovnávanie situácie v SR s podmienkami podnikania</w:t>
      </w:r>
      <w:r w:rsidR="00664B4F">
        <w:rPr>
          <w:sz w:val="22"/>
          <w:szCs w:val="22"/>
        </w:rPr>
        <w:t xml:space="preserve"> v ostatných krajinách (najmä v </w:t>
      </w:r>
      <w:r w:rsidRPr="00CF79E0">
        <w:rPr>
          <w:sz w:val="22"/>
          <w:szCs w:val="22"/>
        </w:rPr>
        <w:t>susedných krajinách EÚ),</w:t>
      </w:r>
    </w:p>
    <w:p w14:paraId="64C4337C"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identifikovanie vhodných príkladov opatrení pre prenos do podmienok SR.</w:t>
      </w:r>
    </w:p>
    <w:p w14:paraId="2630652A" w14:textId="77777777" w:rsidR="00E10737" w:rsidRPr="00CF79E0" w:rsidRDefault="00E10737" w:rsidP="00664B4F">
      <w:pPr>
        <w:pStyle w:val="Zkladntext"/>
        <w:widowControl w:val="0"/>
        <w:tabs>
          <w:tab w:val="left" w:pos="1554"/>
        </w:tabs>
        <w:spacing w:before="120"/>
        <w:rPr>
          <w:sz w:val="22"/>
          <w:szCs w:val="22"/>
        </w:rPr>
      </w:pPr>
      <w:r w:rsidRPr="00CF79E0">
        <w:rPr>
          <w:sz w:val="22"/>
          <w:szCs w:val="22"/>
        </w:rPr>
        <w:t>Aktivita bude realizovaná formou národného projektu.</w:t>
      </w:r>
    </w:p>
    <w:p w14:paraId="54A6ED38" w14:textId="6A1971A1" w:rsidR="00E10737" w:rsidRDefault="00E10737" w:rsidP="00E10737">
      <w:pPr>
        <w:jc w:val="both"/>
        <w:rPr>
          <w:sz w:val="22"/>
          <w:szCs w:val="22"/>
        </w:rPr>
      </w:pPr>
      <w:r w:rsidRPr="005E00A2">
        <w:rPr>
          <w:sz w:val="22"/>
          <w:szCs w:val="22"/>
        </w:rPr>
        <w:t xml:space="preserve">Oprávnení prijímatelia, cieľové skupiny a cieľové územie v rámci investičnej priority </w:t>
      </w:r>
      <w:r>
        <w:rPr>
          <w:sz w:val="22"/>
          <w:szCs w:val="22"/>
        </w:rPr>
        <w:t>3</w:t>
      </w:r>
      <w:r w:rsidR="000B4D66">
        <w:rPr>
          <w:sz w:val="22"/>
          <w:szCs w:val="22"/>
        </w:rPr>
        <w:t>c)</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0005D0E3" w14:textId="77777777" w:rsidTr="004179DE">
        <w:trPr>
          <w:trHeight w:val="284"/>
          <w:jc w:val="center"/>
        </w:trPr>
        <w:tc>
          <w:tcPr>
            <w:tcW w:w="3289" w:type="dxa"/>
            <w:shd w:val="clear" w:color="auto" w:fill="DBE5F1" w:themeFill="accent1" w:themeFillTint="33"/>
            <w:vAlign w:val="center"/>
          </w:tcPr>
          <w:p w14:paraId="22E75251"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1F4DA028"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MSP</w:t>
            </w:r>
          </w:p>
        </w:tc>
      </w:tr>
      <w:tr w:rsidR="00E10737" w14:paraId="60894088" w14:textId="77777777" w:rsidTr="004179DE">
        <w:trPr>
          <w:trHeight w:val="284"/>
          <w:jc w:val="center"/>
        </w:trPr>
        <w:tc>
          <w:tcPr>
            <w:tcW w:w="3289" w:type="dxa"/>
            <w:shd w:val="clear" w:color="auto" w:fill="DBE5F1" w:themeFill="accent1" w:themeFillTint="33"/>
            <w:vAlign w:val="center"/>
          </w:tcPr>
          <w:p w14:paraId="7A2B4A56"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69CFB615" w14:textId="77777777" w:rsidR="00E10737" w:rsidRDefault="00E10737" w:rsidP="00E10737">
            <w:pPr>
              <w:pStyle w:val="Odsekzoznamu"/>
              <w:numPr>
                <w:ilvl w:val="0"/>
                <w:numId w:val="27"/>
              </w:numPr>
              <w:autoSpaceDE w:val="0"/>
              <w:autoSpaceDN w:val="0"/>
              <w:adjustRightInd w:val="0"/>
              <w:ind w:left="284" w:hanging="284"/>
              <w:rPr>
                <w:sz w:val="22"/>
                <w:szCs w:val="22"/>
              </w:rPr>
            </w:pPr>
            <w:r w:rsidRPr="001322A1">
              <w:rPr>
                <w:sz w:val="22"/>
                <w:szCs w:val="22"/>
              </w:rPr>
              <w:t>Menej rozvinuté regióny</w:t>
            </w:r>
          </w:p>
        </w:tc>
      </w:tr>
      <w:tr w:rsidR="00E10737" w14:paraId="2122262E" w14:textId="77777777" w:rsidTr="004179DE">
        <w:trPr>
          <w:trHeight w:val="284"/>
          <w:jc w:val="center"/>
        </w:trPr>
        <w:tc>
          <w:tcPr>
            <w:tcW w:w="3289" w:type="dxa"/>
            <w:shd w:val="clear" w:color="auto" w:fill="DBE5F1" w:themeFill="accent1" w:themeFillTint="33"/>
            <w:vAlign w:val="center"/>
          </w:tcPr>
          <w:p w14:paraId="0C7D99BF"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497FDCEC"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Pr>
                <w:sz w:val="22"/>
                <w:szCs w:val="22"/>
              </w:rPr>
              <w:t>f</w:t>
            </w:r>
            <w:r w:rsidRPr="00CF79E0">
              <w:rPr>
                <w:sz w:val="22"/>
                <w:szCs w:val="22"/>
              </w:rPr>
              <w:t>yzické alebo právnické osoby oprávnené na podnikanie spĺňajúce definíciu MSP,</w:t>
            </w:r>
          </w:p>
          <w:p w14:paraId="494B2DD7"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združenia fyzických alebo právnických osôb,</w:t>
            </w:r>
          </w:p>
          <w:p w14:paraId="642A5E5B"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neziskový sektor,</w:t>
            </w:r>
          </w:p>
          <w:p w14:paraId="4872AD50"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Slovak Business Agency,</w:t>
            </w:r>
          </w:p>
          <w:p w14:paraId="726FB13F"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štátne rozpočtové organizácie alebo štátne príspevkové organizácie v pôsobnosti MH SR,</w:t>
            </w:r>
          </w:p>
          <w:p w14:paraId="41EFC043"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verejnoprávne inštitúcie zriadené zo zákona,</w:t>
            </w:r>
          </w:p>
          <w:p w14:paraId="25AFA647"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orgány územnej samosprávy,</w:t>
            </w:r>
          </w:p>
          <w:p w14:paraId="5E8AC6C3"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Ministerstvo hospodárstva SR,</w:t>
            </w:r>
          </w:p>
          <w:p w14:paraId="0CF7FFEF"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CVTI SR (v prípade národného projektu rozvoj podnikateľských centier).</w:t>
            </w:r>
          </w:p>
        </w:tc>
      </w:tr>
    </w:tbl>
    <w:p w14:paraId="361F6896" w14:textId="77777777" w:rsidR="00E10737" w:rsidRPr="00CF79E0" w:rsidRDefault="00E10737" w:rsidP="00E10737">
      <w:pPr>
        <w:jc w:val="both"/>
        <w:rPr>
          <w:sz w:val="22"/>
          <w:szCs w:val="22"/>
        </w:rPr>
      </w:pPr>
    </w:p>
    <w:p w14:paraId="6DFC0CF8" w14:textId="77777777" w:rsidR="00E10737" w:rsidRDefault="00E10737" w:rsidP="00E10737">
      <w:pPr>
        <w:pStyle w:val="Nadpis4"/>
        <w:tabs>
          <w:tab w:val="clear" w:pos="709"/>
          <w:tab w:val="clear" w:pos="864"/>
        </w:tabs>
        <w:ind w:left="851" w:hanging="851"/>
      </w:pPr>
      <w:r>
        <w:t>Hlavné princípy výberu projektov</w:t>
      </w:r>
    </w:p>
    <w:p w14:paraId="798A750F" w14:textId="77777777" w:rsidR="00E10737" w:rsidRPr="00CF79E0" w:rsidRDefault="00E10737" w:rsidP="00664B4F">
      <w:pPr>
        <w:pStyle w:val="Zkladntext"/>
        <w:spacing w:line="248" w:lineRule="auto"/>
        <w:jc w:val="both"/>
        <w:rPr>
          <w:sz w:val="22"/>
          <w:szCs w:val="22"/>
        </w:rPr>
      </w:pPr>
      <w:r w:rsidRPr="00CF79E0">
        <w:rPr>
          <w:sz w:val="22"/>
          <w:szCs w:val="22"/>
        </w:rPr>
        <w:t xml:space="preserve">Vo vzťahu k výzvam na predkladanie žiadostí o príspevok budú zohľadnené všeobecné zásady výberu projektov pre tematický cieľ 3 uvedené v kapitole </w:t>
      </w:r>
      <w:r>
        <w:rPr>
          <w:sz w:val="22"/>
          <w:szCs w:val="22"/>
        </w:rPr>
        <w:t>2.11.2.3</w:t>
      </w:r>
      <w:r w:rsidRPr="00CF79E0">
        <w:rPr>
          <w:sz w:val="22"/>
          <w:szCs w:val="22"/>
        </w:rPr>
        <w:t>.</w:t>
      </w:r>
    </w:p>
    <w:p w14:paraId="4FB9C11A" w14:textId="705697AB" w:rsidR="00E10737" w:rsidRPr="00CF79E0" w:rsidRDefault="00E10737" w:rsidP="00664B4F">
      <w:pPr>
        <w:pStyle w:val="Zkladntext"/>
        <w:jc w:val="both"/>
        <w:rPr>
          <w:sz w:val="22"/>
          <w:szCs w:val="22"/>
        </w:rPr>
      </w:pPr>
      <w:r w:rsidRPr="00CF79E0">
        <w:rPr>
          <w:sz w:val="22"/>
          <w:szCs w:val="22"/>
        </w:rPr>
        <w:t>Špecifické zásady výberu projektov v rámci investičnej priority 3</w:t>
      </w:r>
      <w:r w:rsidR="000B4D66">
        <w:rPr>
          <w:sz w:val="22"/>
          <w:szCs w:val="22"/>
        </w:rPr>
        <w:t>c)</w:t>
      </w:r>
      <w:r w:rsidRPr="00CF79E0">
        <w:rPr>
          <w:sz w:val="22"/>
          <w:szCs w:val="22"/>
        </w:rPr>
        <w:t>:</w:t>
      </w:r>
    </w:p>
    <w:p w14:paraId="2431D7A4" w14:textId="0FF7C552" w:rsidR="00E10737" w:rsidRPr="00CF79E0" w:rsidRDefault="00E10737" w:rsidP="00664B4F">
      <w:pPr>
        <w:pStyle w:val="Zkladntext"/>
        <w:spacing w:line="247" w:lineRule="auto"/>
        <w:jc w:val="both"/>
        <w:rPr>
          <w:sz w:val="22"/>
          <w:szCs w:val="22"/>
        </w:rPr>
      </w:pPr>
      <w:r w:rsidRPr="00CF79E0">
        <w:rPr>
          <w:sz w:val="22"/>
          <w:szCs w:val="22"/>
        </w:rPr>
        <w:t xml:space="preserve">Špecifické zásady výberu projektov pre špecifický cieľ </w:t>
      </w:r>
      <w:r>
        <w:rPr>
          <w:sz w:val="22"/>
          <w:szCs w:val="22"/>
        </w:rPr>
        <w:t>11</w:t>
      </w:r>
      <w:r w:rsidRPr="00CF79E0">
        <w:rPr>
          <w:sz w:val="22"/>
          <w:szCs w:val="22"/>
        </w:rPr>
        <w:t xml:space="preserve">.3 zodpovedajú špecifickým zásadám výberu projektov v rámci špecifického cieľa </w:t>
      </w:r>
      <w:r>
        <w:rPr>
          <w:sz w:val="22"/>
          <w:szCs w:val="22"/>
        </w:rPr>
        <w:t>11</w:t>
      </w:r>
      <w:r w:rsidRPr="00CF79E0">
        <w:rPr>
          <w:sz w:val="22"/>
          <w:szCs w:val="22"/>
        </w:rPr>
        <w:t>.1 s výnimkou prvých troch špecifických z</w:t>
      </w:r>
      <w:r w:rsidR="00664B4F">
        <w:rPr>
          <w:sz w:val="22"/>
          <w:szCs w:val="22"/>
        </w:rPr>
        <w:t>ásad. Zároveň sa k </w:t>
      </w:r>
      <w:r w:rsidRPr="00CF79E0">
        <w:rPr>
          <w:sz w:val="22"/>
          <w:szCs w:val="22"/>
        </w:rPr>
        <w:t>špecifickým zásadám dopĺňa:</w:t>
      </w:r>
    </w:p>
    <w:p w14:paraId="272A7636" w14:textId="310AF28A" w:rsidR="00E10737" w:rsidRPr="00CF79E0" w:rsidRDefault="00E10737" w:rsidP="00664B4F">
      <w:pPr>
        <w:pStyle w:val="Zkladntext"/>
        <w:spacing w:line="247" w:lineRule="auto"/>
        <w:ind w:left="284" w:hanging="284"/>
        <w:jc w:val="both"/>
        <w:rPr>
          <w:sz w:val="22"/>
          <w:szCs w:val="22"/>
        </w:rPr>
      </w:pPr>
      <w:r>
        <w:rPr>
          <w:w w:val="110"/>
        </w:rPr>
        <w:t>-</w:t>
      </w:r>
      <w:r>
        <w:rPr>
          <w:spacing w:val="-33"/>
          <w:w w:val="110"/>
        </w:rPr>
        <w:t xml:space="preserve"> </w:t>
      </w:r>
      <w:r>
        <w:rPr>
          <w:spacing w:val="-33"/>
          <w:w w:val="110"/>
        </w:rPr>
        <w:tab/>
      </w:r>
      <w:r w:rsidRPr="00CF79E0">
        <w:rPr>
          <w:sz w:val="22"/>
          <w:szCs w:val="22"/>
        </w:rPr>
        <w:t>pri výbere projektov bude kladený dôraz na kvalitu projektu, t. j. odborné posúdenie prispôsobenia sa špecifickým reguláciám EÚ, stupňa inovácie výrobného procesu/produktu/služby a vplyvu realizácie projektu na zlepšenie konkurencieschopnosti po</w:t>
      </w:r>
      <w:r w:rsidR="00664B4F">
        <w:rPr>
          <w:sz w:val="22"/>
          <w:szCs w:val="22"/>
        </w:rPr>
        <w:t>dniku v regionálnom, národnom a </w:t>
      </w:r>
      <w:r w:rsidRPr="00CF79E0">
        <w:rPr>
          <w:sz w:val="22"/>
          <w:szCs w:val="22"/>
        </w:rPr>
        <w:t>európskom priestore, a pravdepodobnosti dosiahnutia stanovených cieľo</w:t>
      </w:r>
      <w:r>
        <w:rPr>
          <w:sz w:val="22"/>
          <w:szCs w:val="22"/>
        </w:rPr>
        <w:t>v.</w:t>
      </w:r>
    </w:p>
    <w:p w14:paraId="2305C1F9" w14:textId="77777777" w:rsidR="00E10737" w:rsidRPr="00CF2C83" w:rsidRDefault="00E10737" w:rsidP="00E10737">
      <w:pPr>
        <w:pStyle w:val="Nadpis4"/>
        <w:tabs>
          <w:tab w:val="clear" w:pos="709"/>
          <w:tab w:val="clear" w:pos="864"/>
        </w:tabs>
        <w:spacing w:before="240"/>
        <w:ind w:left="851" w:hanging="851"/>
      </w:pPr>
      <w:r w:rsidRPr="00CF2C83">
        <w:t>Plánované využitie finančných nástrojov</w:t>
      </w:r>
    </w:p>
    <w:p w14:paraId="2EEF2475" w14:textId="3E8A6DDA" w:rsidR="00E10737" w:rsidRPr="00CF79E0" w:rsidRDefault="00E10737" w:rsidP="00E10737">
      <w:pPr>
        <w:pStyle w:val="Zkladntext"/>
        <w:spacing w:before="39" w:line="248" w:lineRule="auto"/>
        <w:ind w:right="117"/>
        <w:jc w:val="both"/>
        <w:rPr>
          <w:sz w:val="22"/>
          <w:szCs w:val="22"/>
        </w:rPr>
      </w:pPr>
      <w:r w:rsidRPr="00CF79E0">
        <w:rPr>
          <w:sz w:val="22"/>
          <w:szCs w:val="22"/>
        </w:rPr>
        <w:t>Finančné nástroje môžu byť použité na podporu implementácie tých aktivít, pri ktorých bude preukázané efektívnejšie využitie finančných prostriedko</w:t>
      </w:r>
      <w:r w:rsidR="00664B4F">
        <w:rPr>
          <w:sz w:val="22"/>
          <w:szCs w:val="22"/>
        </w:rPr>
        <w:t>v z Európskych štrukturálnych a </w:t>
      </w:r>
      <w:r w:rsidRPr="00CF79E0">
        <w:rPr>
          <w:sz w:val="22"/>
          <w:szCs w:val="22"/>
        </w:rPr>
        <w:t>investičných fondov (EŠIF) takouto formou podpory. Pri ekonomicky životaschopných projektoch, kde sa predpokladá návratnosť prostriedkov alebo úspora nákladov, predstavujú finančné nástroje vhodnejšiu formu podpory, ktorá má menší dopad na deformáciu trhu. Finančné nástroje budú zamerané na podporu tých aktivít, ktoré nenachádzajú financovanie na trhu, prípadne nenachádzajú adekvátne financovanie, pri ktorom by ich realizácia bola efektívnou.</w:t>
      </w:r>
    </w:p>
    <w:p w14:paraId="27565C6B" w14:textId="6CC4AB86" w:rsidR="00E10737" w:rsidRPr="00CF79E0" w:rsidRDefault="00E10737" w:rsidP="00E10737">
      <w:pPr>
        <w:pStyle w:val="Zkladntext"/>
        <w:spacing w:line="247" w:lineRule="auto"/>
        <w:jc w:val="both"/>
        <w:rPr>
          <w:sz w:val="22"/>
          <w:szCs w:val="22"/>
        </w:rPr>
      </w:pPr>
      <w:r w:rsidRPr="00CF79E0">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w:t>
      </w:r>
      <w:r w:rsidR="00664B4F">
        <w:rPr>
          <w:sz w:val="22"/>
          <w:szCs w:val="22"/>
        </w:rPr>
        <w:t>tálu je potrebné aj vzhľadom na </w:t>
      </w:r>
      <w:r w:rsidRPr="00CF79E0">
        <w:rPr>
          <w:sz w:val="22"/>
          <w:szCs w:val="22"/>
        </w:rPr>
        <w:t>nedostatočný objem prostriedkov z EŠIF na pokrytie všetkých investičných potrieb v príslušných oblastiach. Účasť súkromných investorov môže prispieť aj ku skvalitn</w:t>
      </w:r>
      <w:r w:rsidR="00664B4F">
        <w:rPr>
          <w:sz w:val="22"/>
          <w:szCs w:val="22"/>
        </w:rPr>
        <w:t>eniu implementácie projektov, a </w:t>
      </w:r>
      <w:r w:rsidRPr="00CF79E0">
        <w:rPr>
          <w:sz w:val="22"/>
          <w:szCs w:val="22"/>
        </w:rPr>
        <w:t>teda dodatočne prispieva k celkovo efektívnejšiemu použitiu finančných prostriedkov.</w:t>
      </w:r>
    </w:p>
    <w:p w14:paraId="37244C63" w14:textId="77777777" w:rsidR="00E10737" w:rsidRPr="00CF79E0" w:rsidRDefault="00E10737" w:rsidP="00E10737">
      <w:pPr>
        <w:pStyle w:val="Zkladntext"/>
        <w:spacing w:before="20" w:line="247" w:lineRule="auto"/>
        <w:jc w:val="both"/>
        <w:rPr>
          <w:sz w:val="22"/>
          <w:szCs w:val="22"/>
        </w:rPr>
      </w:pPr>
      <w:r w:rsidRPr="00CF79E0">
        <w:rPr>
          <w:sz w:val="22"/>
          <w:szCs w:val="22"/>
        </w:rPr>
        <w:lastRenderedPageBreak/>
        <w:t>S využitím finančných nástrojov bude možné podporiť príslušné aktivity vhodnými finančnými produktmi (úvery, záruky, rizikový kapitál,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069351CD" w14:textId="77777777" w:rsidR="00E10737" w:rsidRDefault="00E10737" w:rsidP="00E10737">
      <w:pPr>
        <w:pStyle w:val="Nadpis4"/>
        <w:tabs>
          <w:tab w:val="clear" w:pos="709"/>
          <w:tab w:val="clear" w:pos="864"/>
        </w:tabs>
        <w:ind w:left="851" w:hanging="862"/>
      </w:pPr>
      <w:r>
        <w:t>Plánované využitie veľkých projektov</w:t>
      </w:r>
    </w:p>
    <w:p w14:paraId="5CB5E529" w14:textId="4FF52CC3" w:rsidR="00E10737" w:rsidRPr="00CF79E0" w:rsidRDefault="00E10737" w:rsidP="00E10737">
      <w:pPr>
        <w:pStyle w:val="Zkladntext"/>
        <w:spacing w:before="120"/>
        <w:rPr>
          <w:sz w:val="22"/>
          <w:szCs w:val="22"/>
        </w:rPr>
      </w:pPr>
      <w:r w:rsidRPr="00CF79E0">
        <w:rPr>
          <w:sz w:val="22"/>
          <w:szCs w:val="22"/>
        </w:rPr>
        <w:t xml:space="preserve">V rámci špecifického cieľa </w:t>
      </w:r>
      <w:r>
        <w:rPr>
          <w:sz w:val="22"/>
          <w:szCs w:val="22"/>
        </w:rPr>
        <w:t>11</w:t>
      </w:r>
      <w:r w:rsidRPr="00CF79E0">
        <w:rPr>
          <w:sz w:val="22"/>
          <w:szCs w:val="22"/>
        </w:rPr>
        <w:t>.3 nie je plánovaná realizácia veľkého projektu</w:t>
      </w:r>
      <w:r w:rsidR="00664B4F">
        <w:rPr>
          <w:sz w:val="22"/>
          <w:szCs w:val="22"/>
        </w:rPr>
        <w:t>.</w:t>
      </w:r>
    </w:p>
    <w:p w14:paraId="685124F7" w14:textId="5BB60156" w:rsidR="00F058A0" w:rsidRPr="00F058A0" w:rsidRDefault="00E10737" w:rsidP="00F058A0">
      <w:pPr>
        <w:pStyle w:val="Nadpis4"/>
        <w:tabs>
          <w:tab w:val="clear" w:pos="709"/>
          <w:tab w:val="clear" w:pos="864"/>
        </w:tabs>
        <w:ind w:left="851" w:hanging="862"/>
      </w:pPr>
      <w:r>
        <w:t>Ukazovatele výstupov na úrovni investičnej priority 3</w:t>
      </w:r>
      <w:r w:rsidR="000B4D66">
        <w:t>c)</w:t>
      </w:r>
    </w:p>
    <w:p w14:paraId="34E9B6D9" w14:textId="39770123" w:rsidR="00E10737" w:rsidRPr="005042E2" w:rsidRDefault="00E10737" w:rsidP="00081C2B">
      <w:pPr>
        <w:pStyle w:val="Tab"/>
        <w:tabs>
          <w:tab w:val="clear" w:pos="0"/>
          <w:tab w:val="clear" w:pos="851"/>
        </w:tabs>
        <w:ind w:left="1134" w:hanging="1134"/>
      </w:pPr>
      <w:r w:rsidRPr="005042E2">
        <w:rPr>
          <w:szCs w:val="22"/>
        </w:rPr>
        <w:t xml:space="preserve">Spoločné a špecifické ukazovatele výstupu na úrovni investičnej priority </w:t>
      </w:r>
      <w:r>
        <w:rPr>
          <w:szCs w:val="22"/>
        </w:rPr>
        <w:t>3</w:t>
      </w:r>
      <w:r w:rsidR="000B4D66">
        <w:rPr>
          <w:szCs w:val="22"/>
        </w:rPr>
        <w:t>c)</w:t>
      </w:r>
    </w:p>
    <w:tbl>
      <w:tblPr>
        <w:tblStyle w:val="Mriekatabuky"/>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95"/>
        <w:gridCol w:w="2456"/>
        <w:gridCol w:w="1113"/>
        <w:gridCol w:w="705"/>
        <w:gridCol w:w="1054"/>
        <w:gridCol w:w="1182"/>
        <w:gridCol w:w="1157"/>
        <w:gridCol w:w="1177"/>
      </w:tblGrid>
      <w:tr w:rsidR="00E10737" w:rsidRPr="008C1732" w14:paraId="53578E30" w14:textId="77777777" w:rsidTr="00081C2B">
        <w:trPr>
          <w:trHeight w:val="487"/>
          <w:jc w:val="center"/>
        </w:trPr>
        <w:tc>
          <w:tcPr>
            <w:tcW w:w="795" w:type="dxa"/>
            <w:shd w:val="clear" w:color="auto" w:fill="C6D9F1" w:themeFill="text2" w:themeFillTint="33"/>
            <w:vAlign w:val="center"/>
          </w:tcPr>
          <w:p w14:paraId="05186167" w14:textId="77777777" w:rsidR="00E10737" w:rsidRPr="008C1732" w:rsidRDefault="00E10737" w:rsidP="004179DE">
            <w:pPr>
              <w:ind w:left="0"/>
              <w:jc w:val="center"/>
              <w:rPr>
                <w:b/>
                <w:sz w:val="18"/>
                <w:szCs w:val="18"/>
              </w:rPr>
            </w:pPr>
            <w:r>
              <w:rPr>
                <w:b/>
                <w:sz w:val="18"/>
                <w:szCs w:val="18"/>
              </w:rPr>
              <w:t>ID</w:t>
            </w:r>
          </w:p>
        </w:tc>
        <w:tc>
          <w:tcPr>
            <w:tcW w:w="2456" w:type="dxa"/>
            <w:shd w:val="clear" w:color="auto" w:fill="C6D9F1" w:themeFill="text2" w:themeFillTint="33"/>
            <w:vAlign w:val="center"/>
          </w:tcPr>
          <w:p w14:paraId="135D533C" w14:textId="77777777" w:rsidR="00E10737" w:rsidRPr="008C1732" w:rsidRDefault="00E10737" w:rsidP="004179DE">
            <w:pPr>
              <w:ind w:left="0"/>
              <w:jc w:val="center"/>
              <w:rPr>
                <w:b/>
                <w:sz w:val="18"/>
                <w:szCs w:val="18"/>
              </w:rPr>
            </w:pPr>
            <w:r w:rsidRPr="008C1732">
              <w:rPr>
                <w:b/>
                <w:sz w:val="18"/>
                <w:szCs w:val="18"/>
              </w:rPr>
              <w:t>Ukazovateľ výstupu</w:t>
            </w:r>
          </w:p>
        </w:tc>
        <w:tc>
          <w:tcPr>
            <w:tcW w:w="1113" w:type="dxa"/>
            <w:shd w:val="clear" w:color="auto" w:fill="C6D9F1" w:themeFill="text2" w:themeFillTint="33"/>
            <w:vAlign w:val="center"/>
          </w:tcPr>
          <w:p w14:paraId="7E4EDBB7" w14:textId="77777777" w:rsidR="00E10737" w:rsidRPr="008C1732" w:rsidRDefault="00E10737" w:rsidP="004179DE">
            <w:pPr>
              <w:ind w:left="0"/>
              <w:jc w:val="center"/>
              <w:rPr>
                <w:b/>
                <w:sz w:val="18"/>
                <w:szCs w:val="18"/>
              </w:rPr>
            </w:pPr>
            <w:r w:rsidRPr="008C1732">
              <w:rPr>
                <w:b/>
                <w:sz w:val="18"/>
                <w:szCs w:val="18"/>
              </w:rPr>
              <w:t>Merná jednotka</w:t>
            </w:r>
          </w:p>
        </w:tc>
        <w:tc>
          <w:tcPr>
            <w:tcW w:w="705" w:type="dxa"/>
            <w:shd w:val="clear" w:color="auto" w:fill="C6D9F1" w:themeFill="text2" w:themeFillTint="33"/>
            <w:vAlign w:val="center"/>
          </w:tcPr>
          <w:p w14:paraId="32500127" w14:textId="77777777" w:rsidR="00E10737" w:rsidRPr="008C1732" w:rsidRDefault="00E10737" w:rsidP="004179DE">
            <w:pPr>
              <w:ind w:left="0"/>
              <w:jc w:val="center"/>
              <w:rPr>
                <w:b/>
                <w:sz w:val="18"/>
                <w:szCs w:val="18"/>
              </w:rPr>
            </w:pPr>
            <w:r w:rsidRPr="008C1732">
              <w:rPr>
                <w:b/>
                <w:sz w:val="18"/>
                <w:szCs w:val="18"/>
              </w:rPr>
              <w:t>Fond</w:t>
            </w:r>
          </w:p>
        </w:tc>
        <w:tc>
          <w:tcPr>
            <w:tcW w:w="1054" w:type="dxa"/>
            <w:shd w:val="clear" w:color="auto" w:fill="C6D9F1" w:themeFill="text2" w:themeFillTint="33"/>
            <w:vAlign w:val="center"/>
          </w:tcPr>
          <w:p w14:paraId="424910CE" w14:textId="77777777" w:rsidR="00E10737" w:rsidRPr="008C1732" w:rsidRDefault="00E10737" w:rsidP="004179DE">
            <w:pPr>
              <w:ind w:left="0"/>
              <w:jc w:val="center"/>
              <w:rPr>
                <w:b/>
                <w:sz w:val="18"/>
                <w:szCs w:val="18"/>
              </w:rPr>
            </w:pPr>
            <w:r w:rsidRPr="008C1732">
              <w:rPr>
                <w:b/>
                <w:sz w:val="18"/>
                <w:szCs w:val="18"/>
              </w:rPr>
              <w:t>Kategória regiónu</w:t>
            </w:r>
          </w:p>
        </w:tc>
        <w:tc>
          <w:tcPr>
            <w:tcW w:w="1182" w:type="dxa"/>
            <w:shd w:val="clear" w:color="auto" w:fill="C6D9F1" w:themeFill="text2" w:themeFillTint="33"/>
            <w:vAlign w:val="center"/>
          </w:tcPr>
          <w:p w14:paraId="08168E4C" w14:textId="77777777" w:rsidR="00E10737" w:rsidRPr="008C1732" w:rsidRDefault="00E10737" w:rsidP="004179DE">
            <w:pPr>
              <w:ind w:left="0"/>
              <w:jc w:val="center"/>
              <w:rPr>
                <w:b/>
                <w:sz w:val="18"/>
                <w:szCs w:val="18"/>
              </w:rPr>
            </w:pPr>
            <w:r w:rsidRPr="008C1732">
              <w:rPr>
                <w:b/>
                <w:sz w:val="18"/>
                <w:szCs w:val="18"/>
              </w:rPr>
              <w:t>Cieľová hodnota (2023)</w:t>
            </w:r>
          </w:p>
        </w:tc>
        <w:tc>
          <w:tcPr>
            <w:tcW w:w="1157" w:type="dxa"/>
            <w:shd w:val="clear" w:color="auto" w:fill="C6D9F1" w:themeFill="text2" w:themeFillTint="33"/>
            <w:vAlign w:val="center"/>
          </w:tcPr>
          <w:p w14:paraId="645DBCD1" w14:textId="77777777" w:rsidR="00E10737" w:rsidRPr="008C1732" w:rsidRDefault="00E10737" w:rsidP="004179DE">
            <w:pPr>
              <w:ind w:left="0"/>
              <w:jc w:val="center"/>
              <w:rPr>
                <w:b/>
                <w:sz w:val="18"/>
                <w:szCs w:val="18"/>
              </w:rPr>
            </w:pPr>
            <w:r w:rsidRPr="008C1732">
              <w:rPr>
                <w:b/>
                <w:sz w:val="18"/>
                <w:szCs w:val="18"/>
              </w:rPr>
              <w:t>Zdroj údajov</w:t>
            </w:r>
          </w:p>
        </w:tc>
        <w:tc>
          <w:tcPr>
            <w:tcW w:w="1177" w:type="dxa"/>
            <w:shd w:val="clear" w:color="auto" w:fill="C6D9F1" w:themeFill="text2" w:themeFillTint="33"/>
            <w:vAlign w:val="center"/>
          </w:tcPr>
          <w:p w14:paraId="7B219B81"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5042E2" w14:paraId="35C8BFA6" w14:textId="77777777" w:rsidTr="00081C2B">
        <w:trPr>
          <w:trHeight w:val="680"/>
          <w:jc w:val="center"/>
        </w:trPr>
        <w:tc>
          <w:tcPr>
            <w:tcW w:w="795" w:type="dxa"/>
            <w:shd w:val="clear" w:color="auto" w:fill="auto"/>
            <w:vAlign w:val="center"/>
          </w:tcPr>
          <w:p w14:paraId="60F697AF" w14:textId="77777777" w:rsidR="00E10737" w:rsidRPr="00094365" w:rsidRDefault="00E10737">
            <w:pPr>
              <w:ind w:left="0"/>
              <w:jc w:val="center"/>
              <w:rPr>
                <w:sz w:val="18"/>
                <w:szCs w:val="18"/>
              </w:rPr>
            </w:pPr>
            <w:r w:rsidRPr="00094365">
              <w:rPr>
                <w:sz w:val="18"/>
                <w:szCs w:val="18"/>
              </w:rPr>
              <w:t>CO01</w:t>
            </w:r>
          </w:p>
        </w:tc>
        <w:tc>
          <w:tcPr>
            <w:tcW w:w="2456" w:type="dxa"/>
            <w:shd w:val="clear" w:color="auto" w:fill="auto"/>
            <w:vAlign w:val="center"/>
          </w:tcPr>
          <w:p w14:paraId="6F260304" w14:textId="77777777" w:rsidR="00E10737" w:rsidRPr="00094365" w:rsidRDefault="00E10737">
            <w:pPr>
              <w:ind w:left="0"/>
              <w:rPr>
                <w:sz w:val="18"/>
                <w:szCs w:val="18"/>
              </w:rPr>
            </w:pPr>
            <w:r w:rsidRPr="00351D17">
              <w:rPr>
                <w:sz w:val="18"/>
                <w:szCs w:val="18"/>
              </w:rPr>
              <w:t>Počet podnikov, ktorým sa poskytuje podpora (spoločný)</w:t>
            </w:r>
          </w:p>
        </w:tc>
        <w:tc>
          <w:tcPr>
            <w:tcW w:w="1113" w:type="dxa"/>
            <w:shd w:val="clear" w:color="auto" w:fill="auto"/>
            <w:vAlign w:val="center"/>
          </w:tcPr>
          <w:p w14:paraId="204EA69E" w14:textId="77777777" w:rsidR="00E10737" w:rsidRPr="00F058A0" w:rsidRDefault="00E10737">
            <w:pPr>
              <w:ind w:left="0"/>
              <w:jc w:val="center"/>
              <w:rPr>
                <w:i/>
                <w:sz w:val="18"/>
                <w:szCs w:val="18"/>
              </w:rPr>
            </w:pPr>
            <w:r w:rsidRPr="00F058A0">
              <w:rPr>
                <w:i/>
                <w:sz w:val="18"/>
                <w:szCs w:val="18"/>
              </w:rPr>
              <w:t>podniky</w:t>
            </w:r>
          </w:p>
        </w:tc>
        <w:tc>
          <w:tcPr>
            <w:tcW w:w="705" w:type="dxa"/>
            <w:shd w:val="clear" w:color="auto" w:fill="auto"/>
            <w:vAlign w:val="center"/>
          </w:tcPr>
          <w:p w14:paraId="045AC01D"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2888BB4E" w14:textId="776D9BAD"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20865D9B" w14:textId="77777777" w:rsidR="00E10737" w:rsidRPr="00F058A0" w:rsidRDefault="00E10737">
            <w:pPr>
              <w:widowControl w:val="0"/>
              <w:ind w:left="0"/>
              <w:jc w:val="center"/>
              <w:rPr>
                <w:i/>
                <w:sz w:val="18"/>
                <w:szCs w:val="18"/>
              </w:rPr>
            </w:pPr>
            <w:r w:rsidRPr="00F058A0">
              <w:rPr>
                <w:i/>
                <w:sz w:val="18"/>
                <w:szCs w:val="18"/>
              </w:rPr>
              <w:t>región</w:t>
            </w:r>
          </w:p>
        </w:tc>
        <w:tc>
          <w:tcPr>
            <w:tcW w:w="1182" w:type="dxa"/>
            <w:shd w:val="clear" w:color="auto" w:fill="auto"/>
            <w:vAlign w:val="center"/>
          </w:tcPr>
          <w:p w14:paraId="5DC1B49C" w14:textId="42BF6190" w:rsidR="00E10737" w:rsidRPr="00F058A0" w:rsidRDefault="00105712" w:rsidP="00105712">
            <w:pPr>
              <w:ind w:left="0"/>
              <w:jc w:val="center"/>
              <w:rPr>
                <w:i/>
                <w:sz w:val="18"/>
                <w:szCs w:val="18"/>
              </w:rPr>
            </w:pPr>
            <w:r>
              <w:rPr>
                <w:i/>
                <w:sz w:val="18"/>
                <w:szCs w:val="18"/>
              </w:rPr>
              <w:t>2 590</w:t>
            </w:r>
          </w:p>
        </w:tc>
        <w:tc>
          <w:tcPr>
            <w:tcW w:w="1157" w:type="dxa"/>
            <w:vAlign w:val="center"/>
          </w:tcPr>
          <w:p w14:paraId="6B3AB271"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45DC76DC" w14:textId="77777777" w:rsidR="00E10737" w:rsidRPr="00F058A0" w:rsidRDefault="00E10737">
            <w:pPr>
              <w:ind w:left="0"/>
              <w:jc w:val="center"/>
              <w:rPr>
                <w:i/>
                <w:sz w:val="18"/>
                <w:szCs w:val="18"/>
              </w:rPr>
            </w:pPr>
            <w:r w:rsidRPr="00F058A0">
              <w:rPr>
                <w:i/>
                <w:sz w:val="18"/>
                <w:szCs w:val="18"/>
              </w:rPr>
              <w:t>ročne</w:t>
            </w:r>
          </w:p>
        </w:tc>
      </w:tr>
      <w:tr w:rsidR="00E10737" w:rsidRPr="005042E2" w14:paraId="683BA8A9" w14:textId="77777777" w:rsidTr="00081C2B">
        <w:trPr>
          <w:trHeight w:val="680"/>
          <w:jc w:val="center"/>
        </w:trPr>
        <w:tc>
          <w:tcPr>
            <w:tcW w:w="795" w:type="dxa"/>
            <w:shd w:val="clear" w:color="auto" w:fill="auto"/>
            <w:vAlign w:val="center"/>
          </w:tcPr>
          <w:p w14:paraId="716D0218" w14:textId="77777777" w:rsidR="00E10737" w:rsidRPr="00094365" w:rsidRDefault="00E10737">
            <w:pPr>
              <w:ind w:left="0"/>
              <w:jc w:val="center"/>
              <w:rPr>
                <w:sz w:val="18"/>
                <w:szCs w:val="18"/>
              </w:rPr>
            </w:pPr>
            <w:r w:rsidRPr="00094365">
              <w:rPr>
                <w:sz w:val="18"/>
                <w:szCs w:val="18"/>
              </w:rPr>
              <w:t>CO02</w:t>
            </w:r>
          </w:p>
        </w:tc>
        <w:tc>
          <w:tcPr>
            <w:tcW w:w="2456" w:type="dxa"/>
            <w:shd w:val="clear" w:color="auto" w:fill="auto"/>
            <w:vAlign w:val="center"/>
          </w:tcPr>
          <w:p w14:paraId="7DF634CC" w14:textId="77777777" w:rsidR="00E10737" w:rsidRPr="00094365" w:rsidRDefault="00E10737">
            <w:pPr>
              <w:ind w:left="0"/>
              <w:rPr>
                <w:sz w:val="18"/>
                <w:szCs w:val="18"/>
              </w:rPr>
            </w:pPr>
            <w:r w:rsidRPr="00351D17">
              <w:rPr>
                <w:sz w:val="18"/>
                <w:szCs w:val="18"/>
              </w:rPr>
              <w:t>Počet podnikov, ktoré dostávajú granty (spoločný)</w:t>
            </w:r>
          </w:p>
        </w:tc>
        <w:tc>
          <w:tcPr>
            <w:tcW w:w="1113" w:type="dxa"/>
            <w:shd w:val="clear" w:color="auto" w:fill="auto"/>
            <w:vAlign w:val="center"/>
          </w:tcPr>
          <w:p w14:paraId="69546D78" w14:textId="77777777" w:rsidR="00E10737" w:rsidRPr="00F058A0" w:rsidRDefault="00E10737">
            <w:pPr>
              <w:ind w:left="0"/>
              <w:jc w:val="center"/>
              <w:rPr>
                <w:i/>
                <w:sz w:val="18"/>
                <w:szCs w:val="18"/>
              </w:rPr>
            </w:pPr>
            <w:r w:rsidRPr="00F058A0">
              <w:rPr>
                <w:i/>
                <w:sz w:val="18"/>
                <w:szCs w:val="18"/>
              </w:rPr>
              <w:t>podniky</w:t>
            </w:r>
          </w:p>
        </w:tc>
        <w:tc>
          <w:tcPr>
            <w:tcW w:w="705" w:type="dxa"/>
            <w:shd w:val="clear" w:color="auto" w:fill="auto"/>
            <w:vAlign w:val="center"/>
          </w:tcPr>
          <w:p w14:paraId="66F87C11"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65BC9275"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0E4B7D21" w14:textId="77777777" w:rsidR="00E10737" w:rsidRPr="00F058A0" w:rsidRDefault="00E10737">
            <w:pPr>
              <w:ind w:left="0"/>
              <w:jc w:val="center"/>
              <w:rPr>
                <w:i/>
                <w:sz w:val="18"/>
                <w:szCs w:val="18"/>
              </w:rPr>
            </w:pPr>
            <w:r w:rsidRPr="00F058A0">
              <w:rPr>
                <w:i/>
                <w:sz w:val="18"/>
                <w:szCs w:val="18"/>
              </w:rPr>
              <w:t>región</w:t>
            </w:r>
          </w:p>
        </w:tc>
        <w:tc>
          <w:tcPr>
            <w:tcW w:w="1182" w:type="dxa"/>
            <w:shd w:val="clear" w:color="auto" w:fill="auto"/>
            <w:vAlign w:val="center"/>
          </w:tcPr>
          <w:p w14:paraId="010C20AD" w14:textId="430E9905" w:rsidR="00E10737" w:rsidRPr="00F058A0" w:rsidRDefault="00105712" w:rsidP="00105712">
            <w:pPr>
              <w:ind w:left="0"/>
              <w:jc w:val="center"/>
              <w:rPr>
                <w:i/>
                <w:sz w:val="18"/>
                <w:szCs w:val="18"/>
              </w:rPr>
            </w:pPr>
            <w:r>
              <w:rPr>
                <w:i/>
                <w:sz w:val="18"/>
                <w:szCs w:val="18"/>
              </w:rPr>
              <w:t>490</w:t>
            </w:r>
          </w:p>
        </w:tc>
        <w:tc>
          <w:tcPr>
            <w:tcW w:w="1157" w:type="dxa"/>
            <w:vAlign w:val="center"/>
          </w:tcPr>
          <w:p w14:paraId="494E3D7A"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599946BD" w14:textId="77777777" w:rsidR="00E10737" w:rsidRPr="00F058A0" w:rsidRDefault="00E10737">
            <w:pPr>
              <w:ind w:left="0"/>
              <w:jc w:val="center"/>
              <w:rPr>
                <w:i/>
                <w:sz w:val="18"/>
                <w:szCs w:val="18"/>
              </w:rPr>
            </w:pPr>
            <w:r w:rsidRPr="00F058A0">
              <w:rPr>
                <w:i/>
                <w:sz w:val="18"/>
                <w:szCs w:val="18"/>
              </w:rPr>
              <w:t>ročne</w:t>
            </w:r>
          </w:p>
        </w:tc>
      </w:tr>
      <w:tr w:rsidR="00E10737" w:rsidRPr="005042E2" w14:paraId="5DA5DF92" w14:textId="77777777" w:rsidTr="00081C2B">
        <w:trPr>
          <w:trHeight w:val="680"/>
          <w:jc w:val="center"/>
        </w:trPr>
        <w:tc>
          <w:tcPr>
            <w:tcW w:w="795" w:type="dxa"/>
            <w:shd w:val="clear" w:color="auto" w:fill="auto"/>
            <w:vAlign w:val="center"/>
          </w:tcPr>
          <w:p w14:paraId="53C239BA" w14:textId="77777777" w:rsidR="00E10737" w:rsidRPr="00094365" w:rsidRDefault="00E10737">
            <w:pPr>
              <w:ind w:left="0"/>
              <w:jc w:val="center"/>
              <w:rPr>
                <w:sz w:val="18"/>
                <w:szCs w:val="18"/>
              </w:rPr>
            </w:pPr>
            <w:r w:rsidRPr="00094365">
              <w:rPr>
                <w:sz w:val="18"/>
                <w:szCs w:val="18"/>
              </w:rPr>
              <w:t>CO03</w:t>
            </w:r>
          </w:p>
        </w:tc>
        <w:tc>
          <w:tcPr>
            <w:tcW w:w="2456" w:type="dxa"/>
            <w:shd w:val="clear" w:color="auto" w:fill="auto"/>
            <w:vAlign w:val="center"/>
          </w:tcPr>
          <w:p w14:paraId="5D2D88B5" w14:textId="77777777" w:rsidR="00E10737" w:rsidRPr="00094365" w:rsidRDefault="00E10737" w:rsidP="00351D17">
            <w:pPr>
              <w:pStyle w:val="TableParagraph"/>
              <w:spacing w:line="247" w:lineRule="auto"/>
              <w:ind w:left="0"/>
              <w:rPr>
                <w:rFonts w:eastAsia="Gill Sans MT"/>
                <w:sz w:val="18"/>
                <w:szCs w:val="18"/>
              </w:rPr>
            </w:pPr>
            <w:r w:rsidRPr="00351D17">
              <w:rPr>
                <w:rFonts w:ascii="Times New Roman" w:hAnsi="Times New Roman" w:cs="Times New Roman"/>
                <w:sz w:val="18"/>
                <w:szCs w:val="18"/>
                <w:lang w:val="sk-SK"/>
              </w:rPr>
              <w:t>Počet podnikov, ktoré dostávajú finančnú podporu inú ako granty (spoločný)</w:t>
            </w:r>
          </w:p>
        </w:tc>
        <w:tc>
          <w:tcPr>
            <w:tcW w:w="1113" w:type="dxa"/>
            <w:shd w:val="clear" w:color="auto" w:fill="auto"/>
            <w:vAlign w:val="center"/>
          </w:tcPr>
          <w:p w14:paraId="36E2766D" w14:textId="77777777" w:rsidR="00E10737" w:rsidRPr="00F058A0" w:rsidRDefault="00E10737">
            <w:pPr>
              <w:widowControl w:val="0"/>
              <w:spacing w:line="247" w:lineRule="auto"/>
              <w:ind w:left="0"/>
              <w:jc w:val="center"/>
              <w:rPr>
                <w:i/>
                <w:sz w:val="18"/>
                <w:szCs w:val="18"/>
              </w:rPr>
            </w:pPr>
            <w:r w:rsidRPr="00F058A0">
              <w:rPr>
                <w:i/>
                <w:sz w:val="18"/>
                <w:szCs w:val="18"/>
              </w:rPr>
              <w:t>podniky</w:t>
            </w:r>
          </w:p>
        </w:tc>
        <w:tc>
          <w:tcPr>
            <w:tcW w:w="705" w:type="dxa"/>
            <w:shd w:val="clear" w:color="auto" w:fill="auto"/>
            <w:vAlign w:val="center"/>
          </w:tcPr>
          <w:p w14:paraId="28E5F1F1" w14:textId="77777777" w:rsidR="00E10737" w:rsidRPr="00F058A0" w:rsidRDefault="00E10737">
            <w:pPr>
              <w:widowControl w:val="0"/>
              <w:spacing w:line="247" w:lineRule="auto"/>
              <w:ind w:left="0"/>
              <w:jc w:val="center"/>
              <w:rPr>
                <w:i/>
                <w:sz w:val="18"/>
                <w:szCs w:val="18"/>
              </w:rPr>
            </w:pPr>
            <w:r w:rsidRPr="00F058A0">
              <w:rPr>
                <w:i/>
                <w:sz w:val="18"/>
                <w:szCs w:val="18"/>
              </w:rPr>
              <w:t>EFRR</w:t>
            </w:r>
          </w:p>
        </w:tc>
        <w:tc>
          <w:tcPr>
            <w:tcW w:w="1054" w:type="dxa"/>
            <w:shd w:val="clear" w:color="auto" w:fill="auto"/>
            <w:vAlign w:val="center"/>
          </w:tcPr>
          <w:p w14:paraId="187F62D3" w14:textId="77777777" w:rsidR="00E10737" w:rsidRPr="00F058A0" w:rsidRDefault="00E10737">
            <w:pPr>
              <w:pStyle w:val="TableParagraph"/>
              <w:spacing w:line="247" w:lineRule="auto"/>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69FEFBF0" w14:textId="77777777" w:rsidR="00E10737" w:rsidRPr="00F058A0" w:rsidRDefault="00E10737">
            <w:pPr>
              <w:widowControl w:val="0"/>
              <w:spacing w:before="35"/>
              <w:ind w:left="0"/>
              <w:jc w:val="center"/>
              <w:rPr>
                <w:i/>
                <w:sz w:val="18"/>
                <w:szCs w:val="18"/>
              </w:rPr>
            </w:pPr>
            <w:r w:rsidRPr="00F058A0">
              <w:rPr>
                <w:i/>
                <w:sz w:val="18"/>
                <w:szCs w:val="18"/>
              </w:rPr>
              <w:t>región</w:t>
            </w:r>
          </w:p>
        </w:tc>
        <w:tc>
          <w:tcPr>
            <w:tcW w:w="1182" w:type="dxa"/>
            <w:shd w:val="clear" w:color="auto" w:fill="auto"/>
            <w:vAlign w:val="center"/>
          </w:tcPr>
          <w:p w14:paraId="7614045F" w14:textId="77777777" w:rsidR="00E10737" w:rsidRPr="00F058A0" w:rsidRDefault="00E10737">
            <w:pPr>
              <w:ind w:left="0"/>
              <w:jc w:val="center"/>
              <w:rPr>
                <w:i/>
                <w:sz w:val="18"/>
                <w:szCs w:val="18"/>
              </w:rPr>
            </w:pPr>
            <w:r w:rsidRPr="00F058A0">
              <w:rPr>
                <w:i/>
                <w:sz w:val="18"/>
                <w:szCs w:val="18"/>
              </w:rPr>
              <w:t>90</w:t>
            </w:r>
          </w:p>
        </w:tc>
        <w:tc>
          <w:tcPr>
            <w:tcW w:w="1157" w:type="dxa"/>
            <w:vAlign w:val="center"/>
          </w:tcPr>
          <w:p w14:paraId="78F896B6"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73BABB07" w14:textId="77777777" w:rsidR="00E10737" w:rsidRPr="00F058A0" w:rsidRDefault="00E10737">
            <w:pPr>
              <w:ind w:left="0"/>
              <w:jc w:val="center"/>
              <w:rPr>
                <w:i/>
                <w:sz w:val="18"/>
                <w:szCs w:val="18"/>
              </w:rPr>
            </w:pPr>
            <w:r w:rsidRPr="00F058A0">
              <w:rPr>
                <w:i/>
                <w:sz w:val="18"/>
                <w:szCs w:val="18"/>
              </w:rPr>
              <w:t>ročne</w:t>
            </w:r>
          </w:p>
        </w:tc>
      </w:tr>
      <w:tr w:rsidR="00E10737" w:rsidRPr="005042E2" w14:paraId="619E8B5E" w14:textId="77777777" w:rsidTr="00081C2B">
        <w:trPr>
          <w:trHeight w:val="680"/>
          <w:jc w:val="center"/>
        </w:trPr>
        <w:tc>
          <w:tcPr>
            <w:tcW w:w="795" w:type="dxa"/>
            <w:shd w:val="clear" w:color="auto" w:fill="auto"/>
            <w:vAlign w:val="center"/>
          </w:tcPr>
          <w:p w14:paraId="3F7ED0C3" w14:textId="77777777" w:rsidR="00E10737" w:rsidRPr="00094365" w:rsidRDefault="00E10737">
            <w:pPr>
              <w:widowControl w:val="0"/>
              <w:ind w:left="0"/>
              <w:jc w:val="center"/>
              <w:rPr>
                <w:sz w:val="18"/>
                <w:szCs w:val="18"/>
              </w:rPr>
            </w:pPr>
            <w:r w:rsidRPr="00094365">
              <w:rPr>
                <w:sz w:val="18"/>
                <w:szCs w:val="18"/>
              </w:rPr>
              <w:t>CO04</w:t>
            </w:r>
          </w:p>
        </w:tc>
        <w:tc>
          <w:tcPr>
            <w:tcW w:w="2456" w:type="dxa"/>
            <w:shd w:val="clear" w:color="auto" w:fill="auto"/>
            <w:vAlign w:val="center"/>
          </w:tcPr>
          <w:p w14:paraId="7F1B91D1" w14:textId="77777777" w:rsidR="00E10737" w:rsidRPr="00094365" w:rsidRDefault="00E10737">
            <w:pPr>
              <w:ind w:left="0"/>
              <w:rPr>
                <w:sz w:val="18"/>
                <w:szCs w:val="18"/>
              </w:rPr>
            </w:pPr>
            <w:r w:rsidRPr="00351D17">
              <w:rPr>
                <w:sz w:val="18"/>
                <w:szCs w:val="18"/>
              </w:rPr>
              <w:t>Počet podnikov, ktoré dostávajú nefinančnú podporu (spoločný)</w:t>
            </w:r>
          </w:p>
        </w:tc>
        <w:tc>
          <w:tcPr>
            <w:tcW w:w="1113" w:type="dxa"/>
            <w:shd w:val="clear" w:color="auto" w:fill="auto"/>
            <w:vAlign w:val="center"/>
          </w:tcPr>
          <w:p w14:paraId="5FB5FBFB" w14:textId="77777777" w:rsidR="00E10737" w:rsidRPr="00F058A0" w:rsidRDefault="00E10737">
            <w:pPr>
              <w:ind w:left="0"/>
              <w:jc w:val="center"/>
              <w:rPr>
                <w:i/>
                <w:sz w:val="18"/>
                <w:szCs w:val="18"/>
              </w:rPr>
            </w:pPr>
            <w:r w:rsidRPr="00F058A0">
              <w:rPr>
                <w:i/>
                <w:sz w:val="18"/>
                <w:szCs w:val="18"/>
              </w:rPr>
              <w:t>podniky</w:t>
            </w:r>
          </w:p>
        </w:tc>
        <w:tc>
          <w:tcPr>
            <w:tcW w:w="705" w:type="dxa"/>
            <w:shd w:val="clear" w:color="auto" w:fill="auto"/>
            <w:vAlign w:val="center"/>
          </w:tcPr>
          <w:p w14:paraId="6390AC2A"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4029BB3F"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1C01409F" w14:textId="77777777" w:rsidR="00E10737" w:rsidRPr="00F058A0" w:rsidRDefault="00E10737">
            <w:pPr>
              <w:widowControl w:val="0"/>
              <w:spacing w:before="35"/>
              <w:ind w:left="0"/>
              <w:jc w:val="center"/>
              <w:rPr>
                <w:i/>
                <w:sz w:val="18"/>
                <w:szCs w:val="18"/>
              </w:rPr>
            </w:pPr>
            <w:r w:rsidRPr="00F058A0">
              <w:rPr>
                <w:i/>
                <w:sz w:val="18"/>
                <w:szCs w:val="18"/>
              </w:rPr>
              <w:t>región</w:t>
            </w:r>
          </w:p>
        </w:tc>
        <w:tc>
          <w:tcPr>
            <w:tcW w:w="1182" w:type="dxa"/>
            <w:shd w:val="clear" w:color="auto" w:fill="auto"/>
            <w:vAlign w:val="center"/>
          </w:tcPr>
          <w:p w14:paraId="7718DA57" w14:textId="77777777" w:rsidR="00E10737" w:rsidRPr="00F058A0" w:rsidRDefault="00E10737">
            <w:pPr>
              <w:ind w:left="0"/>
              <w:jc w:val="center"/>
              <w:rPr>
                <w:i/>
                <w:sz w:val="18"/>
                <w:szCs w:val="18"/>
              </w:rPr>
            </w:pPr>
            <w:r w:rsidRPr="00F058A0">
              <w:rPr>
                <w:i/>
                <w:sz w:val="18"/>
                <w:szCs w:val="18"/>
              </w:rPr>
              <w:t>2 390</w:t>
            </w:r>
          </w:p>
        </w:tc>
        <w:tc>
          <w:tcPr>
            <w:tcW w:w="1157" w:type="dxa"/>
            <w:vAlign w:val="center"/>
          </w:tcPr>
          <w:p w14:paraId="0F7D3FDB"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53077EF6" w14:textId="77777777" w:rsidR="00E10737" w:rsidRPr="00F058A0" w:rsidRDefault="00E10737">
            <w:pPr>
              <w:ind w:left="0"/>
              <w:jc w:val="center"/>
              <w:rPr>
                <w:i/>
                <w:sz w:val="18"/>
                <w:szCs w:val="18"/>
              </w:rPr>
            </w:pPr>
            <w:r w:rsidRPr="00F058A0">
              <w:rPr>
                <w:i/>
                <w:sz w:val="18"/>
                <w:szCs w:val="18"/>
              </w:rPr>
              <w:t>ročne</w:t>
            </w:r>
          </w:p>
        </w:tc>
      </w:tr>
      <w:tr w:rsidR="00E10737" w:rsidRPr="005042E2" w14:paraId="02DEAAD1" w14:textId="77777777" w:rsidTr="00081C2B">
        <w:trPr>
          <w:trHeight w:val="680"/>
          <w:jc w:val="center"/>
        </w:trPr>
        <w:tc>
          <w:tcPr>
            <w:tcW w:w="795" w:type="dxa"/>
            <w:shd w:val="clear" w:color="auto" w:fill="auto"/>
            <w:vAlign w:val="center"/>
          </w:tcPr>
          <w:p w14:paraId="1A55737C" w14:textId="77777777" w:rsidR="00E10737" w:rsidRPr="00094365" w:rsidRDefault="00E10737">
            <w:pPr>
              <w:ind w:left="0"/>
              <w:jc w:val="center"/>
              <w:rPr>
                <w:sz w:val="18"/>
                <w:szCs w:val="18"/>
              </w:rPr>
            </w:pPr>
            <w:r w:rsidRPr="00094365">
              <w:rPr>
                <w:sz w:val="18"/>
                <w:szCs w:val="18"/>
              </w:rPr>
              <w:t>CO06</w:t>
            </w:r>
          </w:p>
        </w:tc>
        <w:tc>
          <w:tcPr>
            <w:tcW w:w="2456" w:type="dxa"/>
            <w:shd w:val="clear" w:color="auto" w:fill="auto"/>
            <w:vAlign w:val="center"/>
          </w:tcPr>
          <w:p w14:paraId="5B3C29D2" w14:textId="77777777" w:rsidR="00E10737" w:rsidRPr="00094365" w:rsidRDefault="00E10737">
            <w:pPr>
              <w:ind w:left="0"/>
              <w:rPr>
                <w:sz w:val="18"/>
                <w:szCs w:val="18"/>
              </w:rPr>
            </w:pPr>
            <w:r w:rsidRPr="00351D17">
              <w:rPr>
                <w:sz w:val="18"/>
                <w:szCs w:val="18"/>
              </w:rPr>
              <w:t>Súkromné investície zodpovedajúce verejnej podpore pre podniky (granty) (spoločný)</w:t>
            </w:r>
          </w:p>
        </w:tc>
        <w:tc>
          <w:tcPr>
            <w:tcW w:w="1113" w:type="dxa"/>
            <w:shd w:val="clear" w:color="auto" w:fill="auto"/>
            <w:vAlign w:val="center"/>
          </w:tcPr>
          <w:p w14:paraId="2E1D4BF6" w14:textId="77777777" w:rsidR="00E10737" w:rsidRPr="00F058A0" w:rsidRDefault="00E10737">
            <w:pPr>
              <w:ind w:left="0"/>
              <w:jc w:val="center"/>
              <w:rPr>
                <w:i/>
                <w:sz w:val="18"/>
                <w:szCs w:val="18"/>
              </w:rPr>
            </w:pPr>
            <w:r w:rsidRPr="00F058A0">
              <w:rPr>
                <w:i/>
                <w:sz w:val="18"/>
                <w:szCs w:val="18"/>
              </w:rPr>
              <w:t>EUR</w:t>
            </w:r>
          </w:p>
        </w:tc>
        <w:tc>
          <w:tcPr>
            <w:tcW w:w="705" w:type="dxa"/>
            <w:shd w:val="clear" w:color="auto" w:fill="auto"/>
            <w:vAlign w:val="center"/>
          </w:tcPr>
          <w:p w14:paraId="34F7DAB5"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238E3064"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20E32F9E" w14:textId="77777777" w:rsidR="00E10737" w:rsidRPr="00F058A0" w:rsidRDefault="00E10737">
            <w:pPr>
              <w:widowControl w:val="0"/>
              <w:spacing w:before="35"/>
              <w:ind w:left="0"/>
              <w:jc w:val="center"/>
              <w:rPr>
                <w:i/>
                <w:sz w:val="18"/>
                <w:szCs w:val="18"/>
              </w:rPr>
            </w:pPr>
            <w:r w:rsidRPr="00F058A0">
              <w:rPr>
                <w:i/>
                <w:sz w:val="18"/>
                <w:szCs w:val="18"/>
              </w:rPr>
              <w:t>región</w:t>
            </w:r>
          </w:p>
        </w:tc>
        <w:tc>
          <w:tcPr>
            <w:tcW w:w="1182" w:type="dxa"/>
            <w:shd w:val="clear" w:color="auto" w:fill="auto"/>
            <w:vAlign w:val="center"/>
          </w:tcPr>
          <w:p w14:paraId="46A67838" w14:textId="22112824" w:rsidR="00E10737" w:rsidRPr="00F058A0" w:rsidRDefault="00105712" w:rsidP="00105712">
            <w:pPr>
              <w:ind w:left="0"/>
              <w:jc w:val="center"/>
              <w:rPr>
                <w:i/>
                <w:sz w:val="18"/>
                <w:szCs w:val="18"/>
              </w:rPr>
            </w:pPr>
            <w:r>
              <w:rPr>
                <w:i/>
                <w:sz w:val="18"/>
                <w:szCs w:val="18"/>
              </w:rPr>
              <w:t>74 438 462</w:t>
            </w:r>
          </w:p>
        </w:tc>
        <w:tc>
          <w:tcPr>
            <w:tcW w:w="1157" w:type="dxa"/>
            <w:vAlign w:val="center"/>
          </w:tcPr>
          <w:p w14:paraId="7B5EE28B"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0225E569" w14:textId="77777777" w:rsidR="00E10737" w:rsidRPr="00F058A0" w:rsidRDefault="00E10737">
            <w:pPr>
              <w:ind w:left="0"/>
              <w:jc w:val="center"/>
              <w:rPr>
                <w:i/>
                <w:sz w:val="18"/>
                <w:szCs w:val="18"/>
              </w:rPr>
            </w:pPr>
            <w:r w:rsidRPr="00F058A0">
              <w:rPr>
                <w:i/>
                <w:sz w:val="18"/>
                <w:szCs w:val="18"/>
              </w:rPr>
              <w:t>ročne</w:t>
            </w:r>
          </w:p>
        </w:tc>
      </w:tr>
      <w:tr w:rsidR="00E10737" w:rsidRPr="005042E2" w14:paraId="2A633A19" w14:textId="77777777" w:rsidTr="00081C2B">
        <w:trPr>
          <w:trHeight w:val="680"/>
          <w:jc w:val="center"/>
        </w:trPr>
        <w:tc>
          <w:tcPr>
            <w:tcW w:w="795" w:type="dxa"/>
            <w:shd w:val="clear" w:color="auto" w:fill="auto"/>
            <w:vAlign w:val="center"/>
          </w:tcPr>
          <w:p w14:paraId="334BB3D9" w14:textId="77777777" w:rsidR="00E10737" w:rsidRPr="00094365" w:rsidRDefault="00E10737">
            <w:pPr>
              <w:ind w:left="0"/>
              <w:jc w:val="center"/>
              <w:rPr>
                <w:sz w:val="18"/>
                <w:szCs w:val="18"/>
              </w:rPr>
            </w:pPr>
            <w:r w:rsidRPr="00094365">
              <w:rPr>
                <w:sz w:val="18"/>
                <w:szCs w:val="18"/>
              </w:rPr>
              <w:t>CO07</w:t>
            </w:r>
          </w:p>
        </w:tc>
        <w:tc>
          <w:tcPr>
            <w:tcW w:w="2456" w:type="dxa"/>
            <w:shd w:val="clear" w:color="auto" w:fill="auto"/>
            <w:vAlign w:val="center"/>
          </w:tcPr>
          <w:p w14:paraId="7A3F64D7" w14:textId="680C6156" w:rsidR="00E10737" w:rsidRPr="00094365" w:rsidRDefault="00E10737" w:rsidP="00664B4F">
            <w:pPr>
              <w:ind w:left="0"/>
              <w:rPr>
                <w:sz w:val="18"/>
                <w:szCs w:val="18"/>
              </w:rPr>
            </w:pPr>
            <w:r w:rsidRPr="00351D17">
              <w:rPr>
                <w:sz w:val="18"/>
                <w:szCs w:val="18"/>
              </w:rPr>
              <w:t>Súkromné investície zodpovedajúce verejnej podpore pre podniky (iné ako granty) (spoločný)</w:t>
            </w:r>
          </w:p>
        </w:tc>
        <w:tc>
          <w:tcPr>
            <w:tcW w:w="1113" w:type="dxa"/>
            <w:shd w:val="clear" w:color="auto" w:fill="auto"/>
            <w:vAlign w:val="center"/>
          </w:tcPr>
          <w:p w14:paraId="6D0C7C92" w14:textId="77777777" w:rsidR="00E10737" w:rsidRPr="00F058A0" w:rsidRDefault="00E10737">
            <w:pPr>
              <w:ind w:left="0"/>
              <w:jc w:val="center"/>
              <w:rPr>
                <w:i/>
                <w:sz w:val="18"/>
                <w:szCs w:val="18"/>
              </w:rPr>
            </w:pPr>
            <w:r w:rsidRPr="00F058A0">
              <w:rPr>
                <w:i/>
                <w:sz w:val="18"/>
                <w:szCs w:val="18"/>
              </w:rPr>
              <w:t>EUR</w:t>
            </w:r>
          </w:p>
        </w:tc>
        <w:tc>
          <w:tcPr>
            <w:tcW w:w="705" w:type="dxa"/>
            <w:shd w:val="clear" w:color="auto" w:fill="auto"/>
            <w:vAlign w:val="center"/>
          </w:tcPr>
          <w:p w14:paraId="1313DF9C"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7C760CCE"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57D63053" w14:textId="77777777" w:rsidR="00E10737" w:rsidRPr="00F058A0" w:rsidRDefault="00E10737">
            <w:pPr>
              <w:widowControl w:val="0"/>
              <w:spacing w:before="35"/>
              <w:ind w:left="0"/>
              <w:jc w:val="center"/>
              <w:rPr>
                <w:i/>
                <w:sz w:val="18"/>
                <w:szCs w:val="18"/>
              </w:rPr>
            </w:pPr>
            <w:r w:rsidRPr="00F058A0">
              <w:rPr>
                <w:i/>
                <w:sz w:val="18"/>
                <w:szCs w:val="18"/>
              </w:rPr>
              <w:t>región</w:t>
            </w:r>
          </w:p>
        </w:tc>
        <w:tc>
          <w:tcPr>
            <w:tcW w:w="1182" w:type="dxa"/>
            <w:shd w:val="clear" w:color="auto" w:fill="auto"/>
            <w:vAlign w:val="center"/>
          </w:tcPr>
          <w:p w14:paraId="4F08B2CC" w14:textId="77777777" w:rsidR="00E10737" w:rsidRPr="00F058A0" w:rsidRDefault="00E10737">
            <w:pPr>
              <w:ind w:left="0"/>
              <w:jc w:val="center"/>
              <w:rPr>
                <w:i/>
                <w:sz w:val="18"/>
                <w:szCs w:val="18"/>
              </w:rPr>
            </w:pPr>
            <w:r w:rsidRPr="00F058A0">
              <w:rPr>
                <w:i/>
                <w:sz w:val="18"/>
                <w:szCs w:val="18"/>
              </w:rPr>
              <w:t>67 500 000</w:t>
            </w:r>
          </w:p>
        </w:tc>
        <w:tc>
          <w:tcPr>
            <w:tcW w:w="1157" w:type="dxa"/>
            <w:vAlign w:val="center"/>
          </w:tcPr>
          <w:p w14:paraId="1BC0235D"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351965CD" w14:textId="77777777" w:rsidR="00E10737" w:rsidRPr="00F058A0" w:rsidRDefault="00E10737">
            <w:pPr>
              <w:ind w:left="0"/>
              <w:jc w:val="center"/>
              <w:rPr>
                <w:i/>
                <w:sz w:val="18"/>
                <w:szCs w:val="18"/>
              </w:rPr>
            </w:pPr>
            <w:r w:rsidRPr="00F058A0">
              <w:rPr>
                <w:i/>
                <w:sz w:val="18"/>
                <w:szCs w:val="18"/>
              </w:rPr>
              <w:t>ročne</w:t>
            </w:r>
          </w:p>
        </w:tc>
      </w:tr>
      <w:tr w:rsidR="00E10737" w:rsidRPr="005042E2" w14:paraId="58C8ABE3" w14:textId="77777777" w:rsidTr="00081C2B">
        <w:trPr>
          <w:trHeight w:val="680"/>
          <w:jc w:val="center"/>
        </w:trPr>
        <w:tc>
          <w:tcPr>
            <w:tcW w:w="795" w:type="dxa"/>
            <w:shd w:val="clear" w:color="auto" w:fill="auto"/>
            <w:vAlign w:val="center"/>
          </w:tcPr>
          <w:p w14:paraId="3BB895A4" w14:textId="77777777" w:rsidR="00E10737" w:rsidRPr="00094365" w:rsidRDefault="00E10737">
            <w:pPr>
              <w:ind w:left="0"/>
              <w:jc w:val="center"/>
              <w:rPr>
                <w:sz w:val="18"/>
                <w:szCs w:val="18"/>
              </w:rPr>
            </w:pPr>
            <w:r w:rsidRPr="00094365">
              <w:rPr>
                <w:sz w:val="18"/>
                <w:szCs w:val="18"/>
              </w:rPr>
              <w:t>CO08</w:t>
            </w:r>
          </w:p>
        </w:tc>
        <w:tc>
          <w:tcPr>
            <w:tcW w:w="2456" w:type="dxa"/>
            <w:shd w:val="clear" w:color="auto" w:fill="auto"/>
            <w:vAlign w:val="center"/>
          </w:tcPr>
          <w:p w14:paraId="5BF98339" w14:textId="7C172EEA" w:rsidR="00E10737" w:rsidRPr="00094365" w:rsidRDefault="00E10737" w:rsidP="00664B4F">
            <w:pPr>
              <w:ind w:left="0"/>
              <w:rPr>
                <w:sz w:val="18"/>
                <w:szCs w:val="18"/>
              </w:rPr>
            </w:pPr>
            <w:r w:rsidRPr="00351D17">
              <w:rPr>
                <w:sz w:val="18"/>
                <w:szCs w:val="18"/>
              </w:rPr>
              <w:t>Nárast zamestnanosti v podporovaných podnikoch (spoločný)</w:t>
            </w:r>
          </w:p>
        </w:tc>
        <w:tc>
          <w:tcPr>
            <w:tcW w:w="1113" w:type="dxa"/>
            <w:shd w:val="clear" w:color="auto" w:fill="auto"/>
            <w:vAlign w:val="center"/>
          </w:tcPr>
          <w:p w14:paraId="0E2BF8A1" w14:textId="77777777" w:rsidR="00E10737" w:rsidRPr="00F058A0" w:rsidRDefault="00E10737">
            <w:pPr>
              <w:ind w:left="0"/>
              <w:jc w:val="center"/>
              <w:rPr>
                <w:i/>
                <w:sz w:val="18"/>
                <w:szCs w:val="18"/>
              </w:rPr>
            </w:pPr>
            <w:r w:rsidRPr="00F058A0">
              <w:rPr>
                <w:i/>
                <w:sz w:val="18"/>
                <w:szCs w:val="18"/>
              </w:rPr>
              <w:t>FTE</w:t>
            </w:r>
          </w:p>
        </w:tc>
        <w:tc>
          <w:tcPr>
            <w:tcW w:w="705" w:type="dxa"/>
            <w:shd w:val="clear" w:color="auto" w:fill="auto"/>
            <w:vAlign w:val="center"/>
          </w:tcPr>
          <w:p w14:paraId="47EDE093" w14:textId="77777777" w:rsidR="00E10737" w:rsidRPr="00F058A0" w:rsidRDefault="00E10737">
            <w:pPr>
              <w:ind w:left="0"/>
              <w:jc w:val="center"/>
              <w:rPr>
                <w:i/>
                <w:sz w:val="18"/>
                <w:szCs w:val="18"/>
              </w:rPr>
            </w:pPr>
            <w:r w:rsidRPr="00F058A0">
              <w:rPr>
                <w:i/>
                <w:sz w:val="18"/>
                <w:szCs w:val="18"/>
              </w:rPr>
              <w:t>EFRR</w:t>
            </w:r>
          </w:p>
        </w:tc>
        <w:tc>
          <w:tcPr>
            <w:tcW w:w="1054" w:type="dxa"/>
            <w:shd w:val="clear" w:color="auto" w:fill="auto"/>
            <w:vAlign w:val="center"/>
          </w:tcPr>
          <w:p w14:paraId="0BCD4810"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5D524D6D" w14:textId="77777777" w:rsidR="00E10737" w:rsidRPr="00F058A0" w:rsidRDefault="00E10737">
            <w:pPr>
              <w:widowControl w:val="0"/>
              <w:ind w:left="0"/>
              <w:jc w:val="center"/>
              <w:rPr>
                <w:i/>
                <w:sz w:val="18"/>
                <w:szCs w:val="18"/>
              </w:rPr>
            </w:pPr>
            <w:r w:rsidRPr="00F058A0">
              <w:rPr>
                <w:i/>
                <w:sz w:val="18"/>
                <w:szCs w:val="18"/>
              </w:rPr>
              <w:t>región</w:t>
            </w:r>
          </w:p>
        </w:tc>
        <w:tc>
          <w:tcPr>
            <w:tcW w:w="1182" w:type="dxa"/>
            <w:shd w:val="clear" w:color="auto" w:fill="auto"/>
            <w:vAlign w:val="center"/>
          </w:tcPr>
          <w:p w14:paraId="3971309B" w14:textId="073D9FF5" w:rsidR="00E10737" w:rsidRPr="00F058A0" w:rsidRDefault="00105712" w:rsidP="00105712">
            <w:pPr>
              <w:ind w:left="0"/>
              <w:jc w:val="center"/>
              <w:rPr>
                <w:i/>
                <w:sz w:val="18"/>
                <w:szCs w:val="18"/>
              </w:rPr>
            </w:pPr>
            <w:r>
              <w:rPr>
                <w:i/>
                <w:sz w:val="18"/>
                <w:szCs w:val="18"/>
              </w:rPr>
              <w:t>740</w:t>
            </w:r>
          </w:p>
        </w:tc>
        <w:tc>
          <w:tcPr>
            <w:tcW w:w="1157" w:type="dxa"/>
            <w:vAlign w:val="center"/>
          </w:tcPr>
          <w:p w14:paraId="46627443" w14:textId="77777777" w:rsidR="00E10737" w:rsidRPr="00F058A0" w:rsidRDefault="00E10737">
            <w:pPr>
              <w:ind w:left="0"/>
              <w:jc w:val="center"/>
              <w:rPr>
                <w:i/>
                <w:sz w:val="18"/>
                <w:szCs w:val="18"/>
              </w:rPr>
            </w:pPr>
            <w:r w:rsidRPr="00F058A0">
              <w:rPr>
                <w:i/>
                <w:sz w:val="18"/>
                <w:szCs w:val="18"/>
              </w:rPr>
              <w:t>ITMS</w:t>
            </w:r>
          </w:p>
        </w:tc>
        <w:tc>
          <w:tcPr>
            <w:tcW w:w="1177" w:type="dxa"/>
            <w:vAlign w:val="center"/>
          </w:tcPr>
          <w:p w14:paraId="4A1312E5" w14:textId="77777777" w:rsidR="00E10737" w:rsidRPr="00F058A0" w:rsidRDefault="00E10737">
            <w:pPr>
              <w:ind w:left="0"/>
              <w:jc w:val="center"/>
              <w:rPr>
                <w:i/>
                <w:sz w:val="18"/>
                <w:szCs w:val="18"/>
              </w:rPr>
            </w:pPr>
            <w:r w:rsidRPr="00F058A0">
              <w:rPr>
                <w:i/>
                <w:sz w:val="18"/>
                <w:szCs w:val="18"/>
              </w:rPr>
              <w:t>ročne</w:t>
            </w:r>
          </w:p>
        </w:tc>
      </w:tr>
      <w:tr w:rsidR="00E10737" w:rsidRPr="005042E2" w14:paraId="5113B85E" w14:textId="77777777" w:rsidTr="00081C2B">
        <w:trPr>
          <w:trHeight w:val="680"/>
          <w:jc w:val="center"/>
        </w:trPr>
        <w:tc>
          <w:tcPr>
            <w:tcW w:w="795" w:type="dxa"/>
            <w:shd w:val="clear" w:color="auto" w:fill="auto"/>
            <w:vAlign w:val="center"/>
          </w:tcPr>
          <w:p w14:paraId="2577155C" w14:textId="77777777" w:rsidR="00E10737" w:rsidRPr="00094365" w:rsidRDefault="00E10737">
            <w:pPr>
              <w:pStyle w:val="TableParagraph"/>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CO28</w:t>
            </w:r>
          </w:p>
        </w:tc>
        <w:tc>
          <w:tcPr>
            <w:tcW w:w="2456" w:type="dxa"/>
            <w:shd w:val="clear" w:color="auto" w:fill="auto"/>
            <w:vAlign w:val="center"/>
          </w:tcPr>
          <w:p w14:paraId="647B217E" w14:textId="77777777" w:rsidR="00E10737" w:rsidRPr="00351D17" w:rsidRDefault="00E10737">
            <w:pPr>
              <w:ind w:left="0"/>
              <w:rPr>
                <w:sz w:val="18"/>
                <w:szCs w:val="18"/>
              </w:rPr>
            </w:pPr>
            <w:r w:rsidRPr="00351D17">
              <w:rPr>
                <w:sz w:val="18"/>
                <w:szCs w:val="18"/>
              </w:rPr>
              <w:t>Počet podnikov, ktoré dostávajú podporu s cieľom predstaviť výrobky, ktoré sú pre trh nové (spoločný)</w:t>
            </w:r>
          </w:p>
        </w:tc>
        <w:tc>
          <w:tcPr>
            <w:tcW w:w="1113" w:type="dxa"/>
            <w:shd w:val="clear" w:color="auto" w:fill="auto"/>
            <w:vAlign w:val="center"/>
          </w:tcPr>
          <w:p w14:paraId="62C0CC04"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podniky</w:t>
            </w:r>
          </w:p>
        </w:tc>
        <w:tc>
          <w:tcPr>
            <w:tcW w:w="705" w:type="dxa"/>
            <w:shd w:val="clear" w:color="auto" w:fill="auto"/>
            <w:vAlign w:val="center"/>
          </w:tcPr>
          <w:p w14:paraId="195FAF37"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06D18AD4"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2FC7A32F"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18CC1672"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1 090</w:t>
            </w:r>
          </w:p>
        </w:tc>
        <w:tc>
          <w:tcPr>
            <w:tcW w:w="1157" w:type="dxa"/>
            <w:vAlign w:val="center"/>
          </w:tcPr>
          <w:p w14:paraId="6885DB1E"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72340794"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r w:rsidR="00E10737" w:rsidRPr="005042E2" w14:paraId="6D058EDA" w14:textId="77777777" w:rsidTr="00081C2B">
        <w:trPr>
          <w:trHeight w:val="680"/>
          <w:jc w:val="center"/>
        </w:trPr>
        <w:tc>
          <w:tcPr>
            <w:tcW w:w="795" w:type="dxa"/>
            <w:shd w:val="clear" w:color="auto" w:fill="auto"/>
            <w:vAlign w:val="center"/>
          </w:tcPr>
          <w:p w14:paraId="7C94D4DF" w14:textId="77777777" w:rsidR="00E10737" w:rsidRPr="00094365" w:rsidRDefault="00E10737">
            <w:pPr>
              <w:pStyle w:val="TableParagraph"/>
              <w:spacing w:before="4"/>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CO29</w:t>
            </w:r>
          </w:p>
        </w:tc>
        <w:tc>
          <w:tcPr>
            <w:tcW w:w="2456" w:type="dxa"/>
            <w:shd w:val="clear" w:color="auto" w:fill="auto"/>
            <w:vAlign w:val="center"/>
          </w:tcPr>
          <w:p w14:paraId="74B77056" w14:textId="77777777" w:rsidR="00E10737" w:rsidRPr="00351D17" w:rsidRDefault="00E10737">
            <w:pPr>
              <w:ind w:left="0"/>
              <w:rPr>
                <w:sz w:val="18"/>
                <w:szCs w:val="18"/>
              </w:rPr>
            </w:pPr>
            <w:r w:rsidRPr="00351D17">
              <w:rPr>
                <w:sz w:val="18"/>
                <w:szCs w:val="18"/>
              </w:rPr>
              <w:t>Počet podnikov, ktoré dostávajú podporu s cieľom predstaviť výrobky, ktoré sú pre firmu nové (spoločný)</w:t>
            </w:r>
          </w:p>
        </w:tc>
        <w:tc>
          <w:tcPr>
            <w:tcW w:w="1113" w:type="dxa"/>
            <w:shd w:val="clear" w:color="auto" w:fill="auto"/>
            <w:vAlign w:val="center"/>
          </w:tcPr>
          <w:p w14:paraId="3C5D80DD"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podniky</w:t>
            </w:r>
          </w:p>
        </w:tc>
        <w:tc>
          <w:tcPr>
            <w:tcW w:w="705" w:type="dxa"/>
            <w:shd w:val="clear" w:color="auto" w:fill="auto"/>
            <w:vAlign w:val="center"/>
          </w:tcPr>
          <w:p w14:paraId="6A256E3B"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3902C65E"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3A80E46F"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7DC83975"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1 700</w:t>
            </w:r>
          </w:p>
        </w:tc>
        <w:tc>
          <w:tcPr>
            <w:tcW w:w="1157" w:type="dxa"/>
            <w:vAlign w:val="center"/>
          </w:tcPr>
          <w:p w14:paraId="0551341F"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17492B0F"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r w:rsidR="00E10737" w:rsidRPr="005042E2" w14:paraId="3E4BC097" w14:textId="77777777" w:rsidTr="00081C2B">
        <w:trPr>
          <w:trHeight w:val="680"/>
          <w:jc w:val="center"/>
        </w:trPr>
        <w:tc>
          <w:tcPr>
            <w:tcW w:w="795" w:type="dxa"/>
            <w:shd w:val="clear" w:color="auto" w:fill="auto"/>
            <w:vAlign w:val="center"/>
          </w:tcPr>
          <w:p w14:paraId="09462813" w14:textId="77777777" w:rsidR="00E10737" w:rsidRPr="00094365" w:rsidRDefault="00E10737">
            <w:pPr>
              <w:pStyle w:val="TableParagraph"/>
              <w:spacing w:before="4"/>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O0072</w:t>
            </w:r>
          </w:p>
        </w:tc>
        <w:tc>
          <w:tcPr>
            <w:tcW w:w="2456" w:type="dxa"/>
            <w:shd w:val="clear" w:color="auto" w:fill="auto"/>
            <w:vAlign w:val="center"/>
          </w:tcPr>
          <w:p w14:paraId="637C2383" w14:textId="77777777" w:rsidR="00E10737" w:rsidRPr="00351D17" w:rsidRDefault="00E10737">
            <w:pPr>
              <w:ind w:left="0"/>
              <w:rPr>
                <w:sz w:val="18"/>
                <w:szCs w:val="18"/>
              </w:rPr>
            </w:pPr>
            <w:r w:rsidRPr="00351D17">
              <w:rPr>
                <w:sz w:val="18"/>
                <w:szCs w:val="18"/>
              </w:rPr>
              <w:t>Počet prihlášok registrácie práv duševného vlastníctva (špecifický)</w:t>
            </w:r>
          </w:p>
        </w:tc>
        <w:tc>
          <w:tcPr>
            <w:tcW w:w="1113" w:type="dxa"/>
            <w:shd w:val="clear" w:color="auto" w:fill="auto"/>
            <w:vAlign w:val="center"/>
          </w:tcPr>
          <w:p w14:paraId="2C6B44CA"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počet</w:t>
            </w:r>
          </w:p>
        </w:tc>
        <w:tc>
          <w:tcPr>
            <w:tcW w:w="705" w:type="dxa"/>
            <w:shd w:val="clear" w:color="auto" w:fill="auto"/>
            <w:vAlign w:val="center"/>
          </w:tcPr>
          <w:p w14:paraId="2A3AB7F3"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29AFB275"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545DE96D"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31D0D9E8"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60</w:t>
            </w:r>
          </w:p>
        </w:tc>
        <w:tc>
          <w:tcPr>
            <w:tcW w:w="1157" w:type="dxa"/>
            <w:vAlign w:val="center"/>
          </w:tcPr>
          <w:p w14:paraId="344474EB"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41463AD4"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r w:rsidR="00E10737" w:rsidRPr="005042E2" w14:paraId="5C32C30E" w14:textId="77777777" w:rsidTr="00081C2B">
        <w:trPr>
          <w:trHeight w:val="680"/>
          <w:jc w:val="center"/>
        </w:trPr>
        <w:tc>
          <w:tcPr>
            <w:tcW w:w="795" w:type="dxa"/>
            <w:shd w:val="clear" w:color="auto" w:fill="auto"/>
            <w:vAlign w:val="center"/>
          </w:tcPr>
          <w:p w14:paraId="7B283812" w14:textId="77777777" w:rsidR="00E10737" w:rsidRPr="00094365" w:rsidRDefault="00E10737">
            <w:pPr>
              <w:pStyle w:val="TableParagraph"/>
              <w:spacing w:before="4"/>
              <w:ind w:left="0"/>
              <w:jc w:val="center"/>
              <w:rPr>
                <w:rFonts w:ascii="Times New Roman" w:eastAsia="Gill Sans MT" w:hAnsi="Times New Roman" w:cs="Times New Roman"/>
                <w:sz w:val="18"/>
                <w:szCs w:val="18"/>
                <w:lang w:val="sk-SK"/>
              </w:rPr>
            </w:pPr>
            <w:r w:rsidRPr="00351D17">
              <w:rPr>
                <w:rFonts w:ascii="Times New Roman" w:hAnsi="Times New Roman" w:cs="Times New Roman"/>
                <w:sz w:val="18"/>
                <w:szCs w:val="18"/>
                <w:lang w:val="sk-SK"/>
              </w:rPr>
              <w:t>O0075</w:t>
            </w:r>
          </w:p>
        </w:tc>
        <w:tc>
          <w:tcPr>
            <w:tcW w:w="2456" w:type="dxa"/>
            <w:shd w:val="clear" w:color="auto" w:fill="auto"/>
            <w:vAlign w:val="center"/>
          </w:tcPr>
          <w:p w14:paraId="50FBF4DD" w14:textId="77777777" w:rsidR="00E10737" w:rsidRPr="00351D17" w:rsidRDefault="00E10737">
            <w:pPr>
              <w:ind w:left="0"/>
              <w:rPr>
                <w:sz w:val="18"/>
                <w:szCs w:val="18"/>
              </w:rPr>
            </w:pPr>
            <w:r w:rsidRPr="00351D17">
              <w:rPr>
                <w:sz w:val="18"/>
                <w:szCs w:val="18"/>
              </w:rPr>
              <w:t>Počet účastníkov poradenských a vzdelávacích programov (špecifický)</w:t>
            </w:r>
          </w:p>
        </w:tc>
        <w:tc>
          <w:tcPr>
            <w:tcW w:w="1113" w:type="dxa"/>
            <w:shd w:val="clear" w:color="auto" w:fill="auto"/>
            <w:vAlign w:val="center"/>
          </w:tcPr>
          <w:p w14:paraId="6CED9288"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počet</w:t>
            </w:r>
          </w:p>
        </w:tc>
        <w:tc>
          <w:tcPr>
            <w:tcW w:w="705" w:type="dxa"/>
            <w:shd w:val="clear" w:color="auto" w:fill="auto"/>
            <w:vAlign w:val="center"/>
          </w:tcPr>
          <w:p w14:paraId="711B59D9" w14:textId="77777777" w:rsidR="00E10737" w:rsidRPr="00F058A0" w:rsidRDefault="00E10737">
            <w:pPr>
              <w:pStyle w:val="TableParagraph"/>
              <w:spacing w:before="4"/>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4152D025"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2107EE17"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4845A93E"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7 000</w:t>
            </w:r>
          </w:p>
        </w:tc>
        <w:tc>
          <w:tcPr>
            <w:tcW w:w="1157" w:type="dxa"/>
            <w:vAlign w:val="center"/>
          </w:tcPr>
          <w:p w14:paraId="337A94E7"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00AF328C" w14:textId="77777777" w:rsidR="00E10737" w:rsidRPr="00F058A0" w:rsidRDefault="00E10737">
            <w:pPr>
              <w:pStyle w:val="TableParagraph"/>
              <w:spacing w:before="11"/>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r w:rsidR="00E10737" w:rsidRPr="005042E2" w14:paraId="70764181" w14:textId="77777777" w:rsidTr="00081C2B">
        <w:trPr>
          <w:trHeight w:val="680"/>
          <w:jc w:val="center"/>
        </w:trPr>
        <w:tc>
          <w:tcPr>
            <w:tcW w:w="795" w:type="dxa"/>
            <w:shd w:val="clear" w:color="auto" w:fill="auto"/>
            <w:vAlign w:val="center"/>
          </w:tcPr>
          <w:p w14:paraId="2271D1A5" w14:textId="77777777" w:rsidR="00E10737" w:rsidRPr="00094365" w:rsidRDefault="00E10737">
            <w:pPr>
              <w:pStyle w:val="TableParagraph"/>
              <w:spacing w:before="10"/>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O0083</w:t>
            </w:r>
          </w:p>
        </w:tc>
        <w:tc>
          <w:tcPr>
            <w:tcW w:w="2456" w:type="dxa"/>
            <w:shd w:val="clear" w:color="auto" w:fill="auto"/>
            <w:vAlign w:val="center"/>
          </w:tcPr>
          <w:p w14:paraId="038478EB" w14:textId="77777777" w:rsidR="00E10737" w:rsidRPr="00351D17" w:rsidRDefault="00E10737">
            <w:pPr>
              <w:ind w:left="0"/>
              <w:rPr>
                <w:sz w:val="18"/>
                <w:szCs w:val="18"/>
              </w:rPr>
            </w:pPr>
            <w:r w:rsidRPr="00351D17">
              <w:rPr>
                <w:sz w:val="18"/>
                <w:szCs w:val="18"/>
              </w:rPr>
              <w:t>Počet podnikov, ktoré dostávajú nefinančnú podporu v rámci podpory poskytovania informačných, poradenských a mentorských služieb pre rozvoj MSP (špecifický)</w:t>
            </w:r>
          </w:p>
        </w:tc>
        <w:tc>
          <w:tcPr>
            <w:tcW w:w="1113" w:type="dxa"/>
            <w:shd w:val="clear" w:color="auto" w:fill="auto"/>
            <w:vAlign w:val="center"/>
          </w:tcPr>
          <w:p w14:paraId="0C1F77E9"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počet</w:t>
            </w:r>
          </w:p>
        </w:tc>
        <w:tc>
          <w:tcPr>
            <w:tcW w:w="705" w:type="dxa"/>
            <w:shd w:val="clear" w:color="auto" w:fill="auto"/>
            <w:vAlign w:val="center"/>
          </w:tcPr>
          <w:p w14:paraId="2E47E363" w14:textId="77777777" w:rsidR="00E10737" w:rsidRPr="00F058A0" w:rsidRDefault="00E10737">
            <w:pPr>
              <w:pStyle w:val="TableParagraph"/>
              <w:spacing w:before="10"/>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16EB1A38"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 xml:space="preserve">menej rozvinutý </w:t>
            </w:r>
          </w:p>
          <w:p w14:paraId="5459943C"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0B989CFD" w14:textId="77777777" w:rsidR="00E10737" w:rsidRPr="00F058A0" w:rsidRDefault="00E10737">
            <w:pPr>
              <w:pStyle w:val="TableParagraph"/>
              <w:spacing w:before="10"/>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1 030</w:t>
            </w:r>
          </w:p>
        </w:tc>
        <w:tc>
          <w:tcPr>
            <w:tcW w:w="1157" w:type="dxa"/>
            <w:vAlign w:val="center"/>
          </w:tcPr>
          <w:p w14:paraId="78CB4B8E"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2A1E88E3"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r w:rsidR="00E10737" w:rsidRPr="005042E2" w14:paraId="2615B609" w14:textId="77777777" w:rsidTr="00081C2B">
        <w:trPr>
          <w:trHeight w:val="680"/>
          <w:jc w:val="center"/>
        </w:trPr>
        <w:tc>
          <w:tcPr>
            <w:tcW w:w="795" w:type="dxa"/>
            <w:shd w:val="clear" w:color="auto" w:fill="auto"/>
            <w:vAlign w:val="center"/>
          </w:tcPr>
          <w:p w14:paraId="03BBF84A" w14:textId="77777777" w:rsidR="00E10737" w:rsidRPr="00094365" w:rsidRDefault="00E10737">
            <w:pPr>
              <w:pStyle w:val="TableParagraph"/>
              <w:spacing w:before="10"/>
              <w:ind w:left="0"/>
              <w:jc w:val="center"/>
              <w:rPr>
                <w:rFonts w:ascii="Times New Roman" w:eastAsia="Gill Sans MT" w:hAnsi="Times New Roman" w:cs="Times New Roman"/>
                <w:sz w:val="18"/>
                <w:szCs w:val="18"/>
                <w:lang w:val="sk-SK"/>
              </w:rPr>
            </w:pPr>
            <w:r w:rsidRPr="00094365">
              <w:rPr>
                <w:rFonts w:ascii="Times New Roman" w:hAnsi="Times New Roman" w:cs="Times New Roman"/>
                <w:sz w:val="18"/>
                <w:szCs w:val="18"/>
                <w:lang w:val="sk-SK"/>
              </w:rPr>
              <w:t>O0084</w:t>
            </w:r>
          </w:p>
        </w:tc>
        <w:tc>
          <w:tcPr>
            <w:tcW w:w="2456" w:type="dxa"/>
            <w:shd w:val="clear" w:color="auto" w:fill="auto"/>
            <w:vAlign w:val="center"/>
          </w:tcPr>
          <w:p w14:paraId="5D30DD43" w14:textId="77777777" w:rsidR="00E10737" w:rsidRPr="00351D17" w:rsidRDefault="00E10737">
            <w:pPr>
              <w:ind w:left="0"/>
              <w:rPr>
                <w:sz w:val="18"/>
                <w:szCs w:val="18"/>
              </w:rPr>
            </w:pPr>
            <w:r w:rsidRPr="00351D17">
              <w:rPr>
                <w:sz w:val="18"/>
                <w:szCs w:val="18"/>
              </w:rPr>
              <w:t xml:space="preserve">Počet podnikov, ktoré dostávajú nefinančnú podporu v rámci tvorby nových obchodných modelov </w:t>
            </w:r>
            <w:r w:rsidRPr="00351D17">
              <w:rPr>
                <w:sz w:val="18"/>
                <w:szCs w:val="18"/>
              </w:rPr>
              <w:lastRenderedPageBreak/>
              <w:t>kreatívneho priemyslu</w:t>
            </w:r>
          </w:p>
        </w:tc>
        <w:tc>
          <w:tcPr>
            <w:tcW w:w="1113" w:type="dxa"/>
            <w:shd w:val="clear" w:color="auto" w:fill="auto"/>
            <w:vAlign w:val="center"/>
          </w:tcPr>
          <w:p w14:paraId="36A53DE4"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lastRenderedPageBreak/>
              <w:t>počet</w:t>
            </w:r>
          </w:p>
        </w:tc>
        <w:tc>
          <w:tcPr>
            <w:tcW w:w="705" w:type="dxa"/>
            <w:shd w:val="clear" w:color="auto" w:fill="auto"/>
            <w:vAlign w:val="center"/>
          </w:tcPr>
          <w:p w14:paraId="7C44128A" w14:textId="77777777" w:rsidR="00E10737" w:rsidRPr="00F058A0" w:rsidRDefault="00E10737">
            <w:pPr>
              <w:pStyle w:val="TableParagraph"/>
              <w:spacing w:before="10"/>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EFRR</w:t>
            </w:r>
          </w:p>
        </w:tc>
        <w:tc>
          <w:tcPr>
            <w:tcW w:w="1054" w:type="dxa"/>
            <w:shd w:val="clear" w:color="auto" w:fill="auto"/>
            <w:vAlign w:val="center"/>
          </w:tcPr>
          <w:p w14:paraId="5A88399C"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menej rozvinutý</w:t>
            </w:r>
          </w:p>
          <w:p w14:paraId="3716EAB7" w14:textId="77777777" w:rsidR="00E10737" w:rsidRPr="00F058A0" w:rsidRDefault="00E1073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182" w:type="dxa"/>
            <w:shd w:val="clear" w:color="auto" w:fill="auto"/>
            <w:vAlign w:val="center"/>
          </w:tcPr>
          <w:p w14:paraId="05374E8B" w14:textId="77777777" w:rsidR="00E10737" w:rsidRPr="00F058A0" w:rsidRDefault="00E10737">
            <w:pPr>
              <w:pStyle w:val="TableParagraph"/>
              <w:spacing w:before="10"/>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1 160</w:t>
            </w:r>
          </w:p>
        </w:tc>
        <w:tc>
          <w:tcPr>
            <w:tcW w:w="1157" w:type="dxa"/>
            <w:vAlign w:val="center"/>
          </w:tcPr>
          <w:p w14:paraId="35CCD8BA"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177" w:type="dxa"/>
            <w:vAlign w:val="center"/>
          </w:tcPr>
          <w:p w14:paraId="0EA3342F" w14:textId="77777777" w:rsidR="00E10737" w:rsidRPr="00F058A0" w:rsidRDefault="00E10737">
            <w:pPr>
              <w:pStyle w:val="TableParagraph"/>
              <w:spacing w:before="5"/>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ročne</w:t>
            </w:r>
          </w:p>
        </w:tc>
      </w:tr>
    </w:tbl>
    <w:p w14:paraId="29F52B45" w14:textId="77777777" w:rsidR="00E10737" w:rsidRPr="00CF79E0" w:rsidRDefault="00E10737" w:rsidP="00E10737">
      <w:pPr>
        <w:jc w:val="both"/>
        <w:rPr>
          <w:sz w:val="22"/>
          <w:szCs w:val="22"/>
        </w:rPr>
      </w:pPr>
    </w:p>
    <w:p w14:paraId="3D89D227" w14:textId="77777777" w:rsidR="00E10737" w:rsidRPr="002A01BC" w:rsidRDefault="00E10737" w:rsidP="00E10737">
      <w:pPr>
        <w:pStyle w:val="Nadpis3"/>
      </w:pPr>
      <w:bookmarkStart w:id="126" w:name="_Toc28951659"/>
      <w:r>
        <w:t>Výkonnostný rámec prioritnej osi</w:t>
      </w:r>
      <w:bookmarkEnd w:id="126"/>
    </w:p>
    <w:p w14:paraId="6B500512" w14:textId="77777777" w:rsidR="00E10737" w:rsidRPr="007B3B80" w:rsidRDefault="00E10737" w:rsidP="00E10737">
      <w:pPr>
        <w:pStyle w:val="Tab"/>
        <w:ind w:left="502"/>
      </w:pPr>
      <w:r>
        <w:t>Výkonnostný rámec Prioritnej osi 11</w:t>
      </w:r>
    </w:p>
    <w:tbl>
      <w:tblPr>
        <w:tblStyle w:val="Mriekatabuky"/>
        <w:tblW w:w="1034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29"/>
        <w:gridCol w:w="1636"/>
        <w:gridCol w:w="1021"/>
        <w:gridCol w:w="804"/>
        <w:gridCol w:w="986"/>
        <w:gridCol w:w="987"/>
        <w:gridCol w:w="801"/>
        <w:gridCol w:w="805"/>
        <w:gridCol w:w="1397"/>
      </w:tblGrid>
      <w:tr w:rsidR="00E10737" w14:paraId="4E03DA0E" w14:textId="77777777" w:rsidTr="004179DE">
        <w:trPr>
          <w:trHeight w:val="340"/>
          <w:jc w:val="center"/>
        </w:trPr>
        <w:tc>
          <w:tcPr>
            <w:tcW w:w="1476" w:type="dxa"/>
            <w:shd w:val="clear" w:color="auto" w:fill="C6D9F1" w:themeFill="text2" w:themeFillTint="33"/>
          </w:tcPr>
          <w:p w14:paraId="77DF7ABF" w14:textId="77777777" w:rsidR="00E10737" w:rsidRPr="008C1732" w:rsidRDefault="00E10737" w:rsidP="004179DE">
            <w:pPr>
              <w:ind w:left="0"/>
              <w:rPr>
                <w:b/>
                <w:sz w:val="18"/>
                <w:szCs w:val="18"/>
              </w:rPr>
            </w:pPr>
            <w:r w:rsidRPr="008C1732">
              <w:rPr>
                <w:b/>
                <w:sz w:val="18"/>
                <w:szCs w:val="18"/>
              </w:rPr>
              <w:t>Typ ukazovateľa</w:t>
            </w:r>
          </w:p>
          <w:p w14:paraId="5374F14A" w14:textId="77777777" w:rsidR="00E10737" w:rsidRPr="008C1732" w:rsidRDefault="00E10737" w:rsidP="004179DE">
            <w:pPr>
              <w:ind w:left="0"/>
              <w:rPr>
                <w:b/>
                <w:sz w:val="18"/>
                <w:szCs w:val="18"/>
              </w:rPr>
            </w:pPr>
          </w:p>
          <w:p w14:paraId="4859801F" w14:textId="77777777" w:rsidR="00E10737" w:rsidRPr="008C1732" w:rsidRDefault="00E10737" w:rsidP="004179DE">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29" w:type="dxa"/>
            <w:shd w:val="clear" w:color="auto" w:fill="C6D9F1" w:themeFill="text2" w:themeFillTint="33"/>
          </w:tcPr>
          <w:p w14:paraId="2C94EFBE" w14:textId="77777777" w:rsidR="00E10737" w:rsidRPr="008C1732" w:rsidRDefault="00E10737" w:rsidP="004179DE">
            <w:pPr>
              <w:ind w:left="0"/>
              <w:rPr>
                <w:b/>
                <w:sz w:val="18"/>
                <w:szCs w:val="18"/>
              </w:rPr>
            </w:pPr>
            <w:r>
              <w:rPr>
                <w:b/>
                <w:sz w:val="18"/>
                <w:szCs w:val="18"/>
              </w:rPr>
              <w:t>ID</w:t>
            </w:r>
          </w:p>
        </w:tc>
        <w:tc>
          <w:tcPr>
            <w:tcW w:w="2091" w:type="dxa"/>
            <w:shd w:val="clear" w:color="auto" w:fill="C6D9F1" w:themeFill="text2" w:themeFillTint="33"/>
          </w:tcPr>
          <w:p w14:paraId="68BE14A0" w14:textId="77777777" w:rsidR="00E10737" w:rsidRPr="008C1732" w:rsidRDefault="00E10737" w:rsidP="004179DE">
            <w:pPr>
              <w:ind w:left="0"/>
              <w:rPr>
                <w:b/>
                <w:sz w:val="18"/>
                <w:szCs w:val="18"/>
              </w:rPr>
            </w:pPr>
            <w:r w:rsidRPr="008C1732">
              <w:rPr>
                <w:b/>
                <w:sz w:val="18"/>
                <w:szCs w:val="18"/>
              </w:rPr>
              <w:t>Definícia ukazovateľa alebo implementačného kroku</w:t>
            </w:r>
          </w:p>
        </w:tc>
        <w:tc>
          <w:tcPr>
            <w:tcW w:w="1945" w:type="dxa"/>
            <w:shd w:val="clear" w:color="auto" w:fill="C6D9F1" w:themeFill="text2" w:themeFillTint="33"/>
          </w:tcPr>
          <w:p w14:paraId="5F2A3EB3" w14:textId="77777777" w:rsidR="00E10737" w:rsidRPr="008C1732" w:rsidRDefault="00E10737" w:rsidP="004179DE">
            <w:pPr>
              <w:ind w:left="0"/>
              <w:rPr>
                <w:b/>
                <w:sz w:val="18"/>
                <w:szCs w:val="18"/>
              </w:rPr>
            </w:pPr>
            <w:r w:rsidRPr="008C1732">
              <w:rPr>
                <w:b/>
                <w:sz w:val="18"/>
                <w:szCs w:val="18"/>
              </w:rPr>
              <w:t>Merná jednotka</w:t>
            </w:r>
          </w:p>
        </w:tc>
        <w:tc>
          <w:tcPr>
            <w:tcW w:w="810" w:type="dxa"/>
            <w:shd w:val="clear" w:color="auto" w:fill="C6D9F1" w:themeFill="text2" w:themeFillTint="33"/>
          </w:tcPr>
          <w:p w14:paraId="72B44D8A" w14:textId="77777777" w:rsidR="00E10737" w:rsidRPr="008C1732" w:rsidRDefault="00E10737" w:rsidP="004179DE">
            <w:pPr>
              <w:ind w:left="0"/>
              <w:rPr>
                <w:b/>
                <w:sz w:val="18"/>
                <w:szCs w:val="18"/>
              </w:rPr>
            </w:pPr>
            <w:r w:rsidRPr="008C1732">
              <w:rPr>
                <w:b/>
                <w:sz w:val="18"/>
                <w:szCs w:val="18"/>
              </w:rPr>
              <w:t>Fond</w:t>
            </w:r>
          </w:p>
        </w:tc>
        <w:tc>
          <w:tcPr>
            <w:tcW w:w="986" w:type="dxa"/>
            <w:shd w:val="clear" w:color="auto" w:fill="C6D9F1" w:themeFill="text2" w:themeFillTint="33"/>
          </w:tcPr>
          <w:p w14:paraId="0A0F9249" w14:textId="77777777" w:rsidR="00E10737" w:rsidRPr="008C1732" w:rsidRDefault="00E10737" w:rsidP="004179DE">
            <w:pPr>
              <w:ind w:left="0"/>
              <w:rPr>
                <w:b/>
                <w:sz w:val="18"/>
                <w:szCs w:val="18"/>
              </w:rPr>
            </w:pPr>
            <w:r w:rsidRPr="008C1732">
              <w:rPr>
                <w:b/>
                <w:sz w:val="18"/>
                <w:szCs w:val="18"/>
              </w:rPr>
              <w:t>Kategória regiónu</w:t>
            </w:r>
          </w:p>
        </w:tc>
        <w:tc>
          <w:tcPr>
            <w:tcW w:w="987" w:type="dxa"/>
            <w:shd w:val="clear" w:color="auto" w:fill="C6D9F1" w:themeFill="text2" w:themeFillTint="33"/>
          </w:tcPr>
          <w:p w14:paraId="126BA468" w14:textId="77777777" w:rsidR="00E10737" w:rsidRPr="008C1732" w:rsidRDefault="00E10737" w:rsidP="004179DE">
            <w:pPr>
              <w:ind w:left="0"/>
              <w:rPr>
                <w:b/>
                <w:sz w:val="18"/>
                <w:szCs w:val="18"/>
              </w:rPr>
            </w:pPr>
            <w:r w:rsidRPr="008C1732">
              <w:rPr>
                <w:b/>
                <w:sz w:val="18"/>
                <w:szCs w:val="18"/>
              </w:rPr>
              <w:t>Čiastkový cieľ pre rok 2018</w:t>
            </w:r>
          </w:p>
        </w:tc>
        <w:tc>
          <w:tcPr>
            <w:tcW w:w="736" w:type="dxa"/>
            <w:shd w:val="clear" w:color="auto" w:fill="C6D9F1" w:themeFill="text2" w:themeFillTint="33"/>
          </w:tcPr>
          <w:p w14:paraId="468EF1DD" w14:textId="77777777" w:rsidR="00E10737" w:rsidRPr="008C1732" w:rsidRDefault="00E10737" w:rsidP="004179DE">
            <w:pPr>
              <w:ind w:left="0"/>
              <w:rPr>
                <w:b/>
                <w:sz w:val="18"/>
                <w:szCs w:val="18"/>
              </w:rPr>
            </w:pPr>
            <w:r w:rsidRPr="008C1732">
              <w:rPr>
                <w:b/>
                <w:sz w:val="18"/>
                <w:szCs w:val="18"/>
              </w:rPr>
              <w:t>Zámer</w:t>
            </w:r>
          </w:p>
          <w:p w14:paraId="74E17B15" w14:textId="77777777" w:rsidR="00E10737" w:rsidRPr="008C1732" w:rsidRDefault="00E10737" w:rsidP="004179DE">
            <w:pPr>
              <w:ind w:left="0"/>
              <w:rPr>
                <w:b/>
                <w:sz w:val="18"/>
                <w:szCs w:val="18"/>
              </w:rPr>
            </w:pPr>
            <w:r w:rsidRPr="008C1732">
              <w:rPr>
                <w:b/>
                <w:sz w:val="18"/>
                <w:szCs w:val="18"/>
              </w:rPr>
              <w:t>(2023)</w:t>
            </w:r>
          </w:p>
        </w:tc>
        <w:tc>
          <w:tcPr>
            <w:tcW w:w="871" w:type="dxa"/>
            <w:shd w:val="clear" w:color="auto" w:fill="C6D9F1" w:themeFill="text2" w:themeFillTint="33"/>
          </w:tcPr>
          <w:p w14:paraId="093BBFA1" w14:textId="77777777" w:rsidR="00E10737" w:rsidRPr="008C1732" w:rsidRDefault="00E10737" w:rsidP="004179DE">
            <w:pPr>
              <w:ind w:left="0"/>
              <w:rPr>
                <w:b/>
                <w:sz w:val="18"/>
                <w:szCs w:val="18"/>
              </w:rPr>
            </w:pPr>
            <w:r w:rsidRPr="008C1732">
              <w:rPr>
                <w:b/>
                <w:sz w:val="18"/>
                <w:szCs w:val="18"/>
              </w:rPr>
              <w:t>Zdroj údajov</w:t>
            </w:r>
          </w:p>
        </w:tc>
        <w:tc>
          <w:tcPr>
            <w:tcW w:w="1402" w:type="dxa"/>
            <w:shd w:val="clear" w:color="auto" w:fill="C6D9F1" w:themeFill="text2" w:themeFillTint="33"/>
          </w:tcPr>
          <w:p w14:paraId="543345A6" w14:textId="77777777" w:rsidR="00E10737" w:rsidRPr="008C1732" w:rsidRDefault="00E10737" w:rsidP="004179DE">
            <w:pPr>
              <w:ind w:left="0"/>
              <w:rPr>
                <w:b/>
                <w:sz w:val="18"/>
                <w:szCs w:val="18"/>
              </w:rPr>
            </w:pPr>
            <w:r w:rsidRPr="008C1732">
              <w:rPr>
                <w:b/>
                <w:sz w:val="18"/>
                <w:szCs w:val="18"/>
              </w:rPr>
              <w:t>Zdôvodnenie výberu ukazovateľa</w:t>
            </w:r>
          </w:p>
        </w:tc>
      </w:tr>
      <w:tr w:rsidR="00E10737" w14:paraId="47C4D7BE" w14:textId="77777777" w:rsidTr="004179DE">
        <w:trPr>
          <w:cantSplit/>
          <w:trHeight w:val="1134"/>
          <w:jc w:val="center"/>
        </w:trPr>
        <w:tc>
          <w:tcPr>
            <w:tcW w:w="1476" w:type="dxa"/>
            <w:vAlign w:val="center"/>
          </w:tcPr>
          <w:p w14:paraId="04D12262" w14:textId="77777777" w:rsidR="00E10737" w:rsidRPr="00C270B2" w:rsidRDefault="00E10737" w:rsidP="004179DE">
            <w:pPr>
              <w:ind w:left="0"/>
              <w:rPr>
                <w:i/>
                <w:sz w:val="18"/>
                <w:szCs w:val="18"/>
              </w:rPr>
            </w:pPr>
            <w:r w:rsidRPr="00C270B2">
              <w:rPr>
                <w:i/>
                <w:sz w:val="18"/>
                <w:szCs w:val="18"/>
              </w:rPr>
              <w:t>finančný ukazovateľ</w:t>
            </w:r>
          </w:p>
        </w:tc>
        <w:tc>
          <w:tcPr>
            <w:tcW w:w="429" w:type="dxa"/>
            <w:textDirection w:val="btLr"/>
          </w:tcPr>
          <w:p w14:paraId="6620AE2A" w14:textId="77777777" w:rsidR="00E10737" w:rsidRPr="00C270B2" w:rsidRDefault="00E10737" w:rsidP="004179DE">
            <w:pPr>
              <w:ind w:left="113" w:right="113"/>
              <w:jc w:val="center"/>
              <w:rPr>
                <w:sz w:val="18"/>
                <w:szCs w:val="18"/>
              </w:rPr>
            </w:pPr>
            <w:r w:rsidRPr="00C270B2">
              <w:rPr>
                <w:sz w:val="18"/>
                <w:szCs w:val="18"/>
              </w:rPr>
              <w:t>F0002</w:t>
            </w:r>
          </w:p>
        </w:tc>
        <w:tc>
          <w:tcPr>
            <w:tcW w:w="2091" w:type="dxa"/>
            <w:vAlign w:val="center"/>
          </w:tcPr>
          <w:p w14:paraId="0EC673AD" w14:textId="42FA2D37" w:rsidR="00E10737" w:rsidRPr="00C270B2" w:rsidRDefault="00E10737" w:rsidP="00704FB6">
            <w:pPr>
              <w:ind w:left="0"/>
              <w:rPr>
                <w:sz w:val="18"/>
                <w:szCs w:val="18"/>
              </w:rPr>
            </w:pPr>
            <w:r w:rsidRPr="00351D17">
              <w:rPr>
                <w:sz w:val="18"/>
                <w:szCs w:val="18"/>
              </w:rPr>
              <w:t xml:space="preserve">Celková suma oprávnených výdavkov po </w:t>
            </w:r>
            <w:r w:rsidRPr="00C270B2">
              <w:rPr>
                <w:sz w:val="18"/>
                <w:szCs w:val="18"/>
              </w:rPr>
              <w:t>ich</w:t>
            </w:r>
            <w:r w:rsidRPr="00351D17">
              <w:rPr>
                <w:sz w:val="18"/>
                <w:szCs w:val="18"/>
              </w:rPr>
              <w:t xml:space="preserve"> </w:t>
            </w:r>
            <w:r w:rsidRPr="00C270B2">
              <w:rPr>
                <w:sz w:val="18"/>
                <w:szCs w:val="18"/>
              </w:rPr>
              <w:t>certifikácii</w:t>
            </w:r>
            <w:r w:rsidRPr="00351D17">
              <w:rPr>
                <w:sz w:val="18"/>
                <w:szCs w:val="18"/>
              </w:rPr>
              <w:t xml:space="preserve"> </w:t>
            </w:r>
            <w:r w:rsidRPr="00C270B2">
              <w:rPr>
                <w:sz w:val="18"/>
                <w:szCs w:val="18"/>
              </w:rPr>
              <w:t>certifikačným</w:t>
            </w:r>
            <w:r w:rsidRPr="00351D17">
              <w:rPr>
                <w:sz w:val="18"/>
                <w:szCs w:val="18"/>
              </w:rPr>
              <w:t xml:space="preserve"> orgánom a predložení žiadosti o platbu EK</w:t>
            </w:r>
          </w:p>
        </w:tc>
        <w:tc>
          <w:tcPr>
            <w:tcW w:w="1945" w:type="dxa"/>
            <w:vAlign w:val="center"/>
          </w:tcPr>
          <w:p w14:paraId="6E507555" w14:textId="77777777" w:rsidR="00E10737" w:rsidRPr="00F058A0" w:rsidRDefault="00E10737" w:rsidP="004179DE">
            <w:pPr>
              <w:ind w:left="0"/>
              <w:jc w:val="center"/>
              <w:rPr>
                <w:i/>
                <w:sz w:val="18"/>
                <w:szCs w:val="18"/>
              </w:rPr>
            </w:pPr>
            <w:r w:rsidRPr="00F058A0">
              <w:rPr>
                <w:i/>
                <w:sz w:val="18"/>
                <w:szCs w:val="18"/>
              </w:rPr>
              <w:t>EUR</w:t>
            </w:r>
          </w:p>
        </w:tc>
        <w:tc>
          <w:tcPr>
            <w:tcW w:w="810" w:type="dxa"/>
            <w:vAlign w:val="center"/>
          </w:tcPr>
          <w:p w14:paraId="1FB234A4"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129A4DAD" w14:textId="7F5762E4" w:rsidR="00E10737" w:rsidRPr="00F058A0" w:rsidRDefault="00664B4F" w:rsidP="004179DE">
            <w:pPr>
              <w:ind w:left="0"/>
              <w:jc w:val="center"/>
              <w:rPr>
                <w:i/>
                <w:sz w:val="18"/>
                <w:szCs w:val="18"/>
              </w:rPr>
            </w:pPr>
            <w:r w:rsidRPr="00F058A0">
              <w:rPr>
                <w:i/>
                <w:sz w:val="18"/>
                <w:szCs w:val="18"/>
              </w:rPr>
              <w:t>m</w:t>
            </w:r>
            <w:r w:rsidR="00E10737" w:rsidRPr="00F058A0">
              <w:rPr>
                <w:i/>
                <w:sz w:val="18"/>
                <w:szCs w:val="18"/>
              </w:rPr>
              <w:t>enej rozvinutý región</w:t>
            </w:r>
          </w:p>
        </w:tc>
        <w:tc>
          <w:tcPr>
            <w:tcW w:w="987" w:type="dxa"/>
            <w:vAlign w:val="center"/>
          </w:tcPr>
          <w:p w14:paraId="44A28E02" w14:textId="77777777" w:rsidR="00E10737" w:rsidRPr="00F058A0" w:rsidRDefault="00E10737" w:rsidP="004179DE">
            <w:pPr>
              <w:ind w:left="0"/>
              <w:jc w:val="center"/>
              <w:rPr>
                <w:i/>
                <w:sz w:val="18"/>
                <w:szCs w:val="18"/>
              </w:rPr>
            </w:pPr>
            <w:r w:rsidRPr="00F058A0">
              <w:rPr>
                <w:i/>
                <w:sz w:val="18"/>
                <w:szCs w:val="18"/>
              </w:rPr>
              <w:t>97 657 333</w:t>
            </w:r>
          </w:p>
        </w:tc>
        <w:tc>
          <w:tcPr>
            <w:tcW w:w="736" w:type="dxa"/>
            <w:vAlign w:val="center"/>
          </w:tcPr>
          <w:p w14:paraId="2B2ECA5B" w14:textId="622E3A4A" w:rsidR="00E10737" w:rsidRPr="00F058A0" w:rsidRDefault="00105712" w:rsidP="00105712">
            <w:pPr>
              <w:ind w:left="0"/>
              <w:jc w:val="center"/>
              <w:rPr>
                <w:i/>
                <w:sz w:val="18"/>
                <w:szCs w:val="18"/>
              </w:rPr>
            </w:pPr>
            <w:r>
              <w:rPr>
                <w:i/>
                <w:sz w:val="18"/>
                <w:szCs w:val="18"/>
              </w:rPr>
              <w:t>625 515 366</w:t>
            </w:r>
          </w:p>
        </w:tc>
        <w:tc>
          <w:tcPr>
            <w:tcW w:w="871" w:type="dxa"/>
            <w:vAlign w:val="center"/>
          </w:tcPr>
          <w:p w14:paraId="3D15C08D" w14:textId="77777777" w:rsidR="00E10737" w:rsidRPr="00F058A0" w:rsidRDefault="00E10737" w:rsidP="004179DE">
            <w:pPr>
              <w:ind w:left="0"/>
              <w:jc w:val="center"/>
              <w:rPr>
                <w:i/>
                <w:sz w:val="18"/>
                <w:szCs w:val="18"/>
              </w:rPr>
            </w:pPr>
            <w:r w:rsidRPr="00F058A0">
              <w:rPr>
                <w:i/>
                <w:sz w:val="18"/>
                <w:szCs w:val="18"/>
              </w:rPr>
              <w:t>ITMS/ CO (MFSR)</w:t>
            </w:r>
          </w:p>
        </w:tc>
        <w:tc>
          <w:tcPr>
            <w:tcW w:w="1402" w:type="dxa"/>
            <w:vAlign w:val="center"/>
          </w:tcPr>
          <w:p w14:paraId="0688C39B" w14:textId="77777777" w:rsidR="00E10737" w:rsidRPr="00F058A0" w:rsidRDefault="00E10737" w:rsidP="004179DE">
            <w:pPr>
              <w:pStyle w:val="TableParagraph"/>
              <w:rPr>
                <w:rFonts w:ascii="Times New Roman" w:hAnsi="Times New Roman" w:cs="Times New Roman"/>
                <w:i/>
                <w:sz w:val="18"/>
                <w:szCs w:val="18"/>
              </w:rPr>
            </w:pPr>
          </w:p>
        </w:tc>
      </w:tr>
      <w:tr w:rsidR="00E10737" w14:paraId="5DF71C8A" w14:textId="77777777" w:rsidTr="004179DE">
        <w:trPr>
          <w:trHeight w:val="454"/>
          <w:jc w:val="center"/>
        </w:trPr>
        <w:tc>
          <w:tcPr>
            <w:tcW w:w="1476" w:type="dxa"/>
            <w:vAlign w:val="center"/>
          </w:tcPr>
          <w:p w14:paraId="659563F8" w14:textId="77777777" w:rsidR="00E10737" w:rsidRPr="00C270B2" w:rsidRDefault="00E10737" w:rsidP="004179DE">
            <w:pPr>
              <w:ind w:left="0"/>
              <w:rPr>
                <w:i/>
                <w:sz w:val="18"/>
                <w:szCs w:val="18"/>
              </w:rPr>
            </w:pPr>
            <w:r w:rsidRPr="00C270B2">
              <w:rPr>
                <w:i/>
                <w:sz w:val="18"/>
                <w:szCs w:val="18"/>
              </w:rPr>
              <w:t>kľúčový vykonávací krok</w:t>
            </w:r>
          </w:p>
        </w:tc>
        <w:tc>
          <w:tcPr>
            <w:tcW w:w="429" w:type="dxa"/>
            <w:textDirection w:val="btLr"/>
          </w:tcPr>
          <w:p w14:paraId="2F291A08" w14:textId="77777777" w:rsidR="00E10737" w:rsidRPr="00C270B2" w:rsidRDefault="00E10737" w:rsidP="004179DE">
            <w:pPr>
              <w:ind w:left="0"/>
              <w:jc w:val="center"/>
              <w:rPr>
                <w:sz w:val="18"/>
                <w:szCs w:val="18"/>
              </w:rPr>
            </w:pPr>
            <w:r w:rsidRPr="00C270B2">
              <w:rPr>
                <w:sz w:val="18"/>
                <w:szCs w:val="18"/>
              </w:rPr>
              <w:t>K0001</w:t>
            </w:r>
          </w:p>
        </w:tc>
        <w:tc>
          <w:tcPr>
            <w:tcW w:w="2091" w:type="dxa"/>
            <w:vAlign w:val="center"/>
          </w:tcPr>
          <w:p w14:paraId="56D85ED3" w14:textId="77777777" w:rsidR="00E10737" w:rsidRPr="00351D17" w:rsidRDefault="00E10737" w:rsidP="004179DE">
            <w:pPr>
              <w:ind w:left="0"/>
              <w:rPr>
                <w:sz w:val="18"/>
                <w:szCs w:val="18"/>
              </w:rPr>
            </w:pPr>
            <w:r w:rsidRPr="00351D17">
              <w:rPr>
                <w:sz w:val="18"/>
                <w:szCs w:val="18"/>
              </w:rPr>
              <w:t>Počet podporených podnikov prostredníctvom poradenských centier pre MSP</w:t>
            </w:r>
          </w:p>
        </w:tc>
        <w:tc>
          <w:tcPr>
            <w:tcW w:w="1945" w:type="dxa"/>
            <w:vAlign w:val="center"/>
          </w:tcPr>
          <w:p w14:paraId="45BAAE27" w14:textId="77777777" w:rsidR="00E10737" w:rsidRPr="00F058A0" w:rsidRDefault="00E10737" w:rsidP="004179DE">
            <w:pPr>
              <w:ind w:left="0"/>
              <w:jc w:val="center"/>
              <w:rPr>
                <w:i/>
                <w:sz w:val="18"/>
                <w:szCs w:val="18"/>
              </w:rPr>
            </w:pPr>
            <w:r w:rsidRPr="00F058A0">
              <w:rPr>
                <w:i/>
                <w:sz w:val="18"/>
                <w:szCs w:val="18"/>
              </w:rPr>
              <w:t>počet</w:t>
            </w:r>
          </w:p>
        </w:tc>
        <w:tc>
          <w:tcPr>
            <w:tcW w:w="810" w:type="dxa"/>
            <w:vAlign w:val="center"/>
          </w:tcPr>
          <w:p w14:paraId="25B7DE6B"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19DC76F4" w14:textId="198E29F6" w:rsidR="00E10737" w:rsidRPr="00F058A0" w:rsidRDefault="00664B4F" w:rsidP="004179DE">
            <w:pPr>
              <w:ind w:left="0"/>
              <w:jc w:val="center"/>
              <w:rPr>
                <w:i/>
                <w:sz w:val="18"/>
                <w:szCs w:val="18"/>
              </w:rPr>
            </w:pPr>
            <w:r w:rsidRPr="00F058A0">
              <w:rPr>
                <w:i/>
                <w:sz w:val="18"/>
                <w:szCs w:val="18"/>
              </w:rPr>
              <w:t>m</w:t>
            </w:r>
            <w:r w:rsidR="00E10737" w:rsidRPr="00F058A0">
              <w:rPr>
                <w:i/>
                <w:sz w:val="18"/>
                <w:szCs w:val="18"/>
              </w:rPr>
              <w:t>enej rozvinutý región</w:t>
            </w:r>
          </w:p>
        </w:tc>
        <w:tc>
          <w:tcPr>
            <w:tcW w:w="987" w:type="dxa"/>
            <w:vAlign w:val="center"/>
          </w:tcPr>
          <w:p w14:paraId="39CC3E71" w14:textId="77777777" w:rsidR="00E10737" w:rsidRPr="00F058A0" w:rsidRDefault="00E10737" w:rsidP="004179DE">
            <w:pPr>
              <w:ind w:left="0"/>
              <w:jc w:val="center"/>
              <w:rPr>
                <w:i/>
                <w:sz w:val="18"/>
                <w:szCs w:val="18"/>
              </w:rPr>
            </w:pPr>
            <w:r w:rsidRPr="00F058A0">
              <w:rPr>
                <w:i/>
                <w:sz w:val="18"/>
                <w:szCs w:val="18"/>
              </w:rPr>
              <w:t>900</w:t>
            </w:r>
          </w:p>
        </w:tc>
        <w:tc>
          <w:tcPr>
            <w:tcW w:w="736" w:type="dxa"/>
            <w:vAlign w:val="center"/>
          </w:tcPr>
          <w:p w14:paraId="6B8439AF" w14:textId="77777777" w:rsidR="00E10737" w:rsidRPr="00F058A0" w:rsidRDefault="00E10737" w:rsidP="004179DE">
            <w:pPr>
              <w:ind w:left="0"/>
              <w:jc w:val="center"/>
              <w:rPr>
                <w:i/>
                <w:sz w:val="18"/>
                <w:szCs w:val="18"/>
              </w:rPr>
            </w:pPr>
            <w:r w:rsidRPr="00F058A0">
              <w:rPr>
                <w:i/>
                <w:sz w:val="18"/>
                <w:szCs w:val="18"/>
              </w:rPr>
              <w:t>3 200</w:t>
            </w:r>
          </w:p>
        </w:tc>
        <w:tc>
          <w:tcPr>
            <w:tcW w:w="871" w:type="dxa"/>
            <w:vAlign w:val="center"/>
          </w:tcPr>
          <w:p w14:paraId="4AA5D719" w14:textId="77777777" w:rsidR="00E10737" w:rsidRPr="00F058A0" w:rsidRDefault="00E10737" w:rsidP="004179DE">
            <w:pPr>
              <w:ind w:left="0"/>
              <w:jc w:val="center"/>
              <w:rPr>
                <w:i/>
                <w:sz w:val="18"/>
                <w:szCs w:val="18"/>
              </w:rPr>
            </w:pPr>
            <w:r w:rsidRPr="00F058A0">
              <w:rPr>
                <w:i/>
                <w:sz w:val="18"/>
                <w:szCs w:val="18"/>
              </w:rPr>
              <w:t>ITMS</w:t>
            </w:r>
          </w:p>
        </w:tc>
        <w:tc>
          <w:tcPr>
            <w:tcW w:w="1402" w:type="dxa"/>
            <w:vAlign w:val="center"/>
          </w:tcPr>
          <w:p w14:paraId="5739C2E8" w14:textId="77777777" w:rsidR="00E10737" w:rsidRPr="00F058A0" w:rsidRDefault="00E10737" w:rsidP="004179DE">
            <w:pPr>
              <w:pStyle w:val="TableParagraph"/>
              <w:ind w:left="0"/>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Podiel na alokácii prioritnej osi 5,05%, priebežné výstupy monitorované prostredníctvom národného projektu s realizáciou počas programového obdobia</w:t>
            </w:r>
          </w:p>
        </w:tc>
      </w:tr>
      <w:tr w:rsidR="00E10737" w14:paraId="00182A8E" w14:textId="77777777" w:rsidTr="004179DE">
        <w:trPr>
          <w:cantSplit/>
          <w:trHeight w:val="1134"/>
          <w:jc w:val="center"/>
        </w:trPr>
        <w:tc>
          <w:tcPr>
            <w:tcW w:w="1476" w:type="dxa"/>
            <w:vAlign w:val="center"/>
          </w:tcPr>
          <w:p w14:paraId="6C0EC74D" w14:textId="77777777" w:rsidR="00E10737" w:rsidRPr="00C270B2" w:rsidRDefault="00E10737" w:rsidP="004179DE">
            <w:pPr>
              <w:ind w:left="0"/>
              <w:rPr>
                <w:sz w:val="18"/>
                <w:szCs w:val="18"/>
              </w:rPr>
            </w:pPr>
            <w:r w:rsidRPr="00C270B2">
              <w:rPr>
                <w:i/>
                <w:sz w:val="18"/>
                <w:szCs w:val="18"/>
              </w:rPr>
              <w:t>Ukazovateľ výstupu</w:t>
            </w:r>
          </w:p>
        </w:tc>
        <w:tc>
          <w:tcPr>
            <w:tcW w:w="429" w:type="dxa"/>
            <w:textDirection w:val="btLr"/>
          </w:tcPr>
          <w:p w14:paraId="0E00C7C4" w14:textId="77777777" w:rsidR="00E10737" w:rsidRPr="00304AFD" w:rsidRDefault="00E10737" w:rsidP="004179DE">
            <w:pPr>
              <w:ind w:left="113" w:right="113"/>
              <w:jc w:val="center"/>
              <w:rPr>
                <w:sz w:val="18"/>
                <w:szCs w:val="18"/>
              </w:rPr>
            </w:pPr>
            <w:r w:rsidRPr="00304AFD">
              <w:rPr>
                <w:sz w:val="18"/>
                <w:szCs w:val="18"/>
              </w:rPr>
              <w:t>O0077</w:t>
            </w:r>
          </w:p>
        </w:tc>
        <w:tc>
          <w:tcPr>
            <w:tcW w:w="2091" w:type="dxa"/>
            <w:vAlign w:val="center"/>
          </w:tcPr>
          <w:p w14:paraId="4EFC682B" w14:textId="77777777" w:rsidR="00E10737" w:rsidRPr="00C270B2" w:rsidRDefault="00E10737" w:rsidP="004179DE">
            <w:pPr>
              <w:ind w:left="0"/>
              <w:rPr>
                <w:sz w:val="18"/>
                <w:szCs w:val="18"/>
              </w:rPr>
            </w:pPr>
            <w:r w:rsidRPr="00351D17">
              <w:rPr>
                <w:sz w:val="18"/>
                <w:szCs w:val="18"/>
              </w:rPr>
              <w:t>Počet podporených podnikov prostredníctvom poradenských centier pre MSP</w:t>
            </w:r>
          </w:p>
        </w:tc>
        <w:tc>
          <w:tcPr>
            <w:tcW w:w="1945" w:type="dxa"/>
            <w:vAlign w:val="center"/>
          </w:tcPr>
          <w:p w14:paraId="44351BC7" w14:textId="77777777" w:rsidR="00E10737" w:rsidRPr="00F058A0" w:rsidRDefault="00E10737" w:rsidP="004179DE">
            <w:pPr>
              <w:ind w:left="0"/>
              <w:jc w:val="center"/>
              <w:rPr>
                <w:i/>
                <w:sz w:val="18"/>
                <w:szCs w:val="18"/>
              </w:rPr>
            </w:pPr>
            <w:r w:rsidRPr="00F058A0">
              <w:rPr>
                <w:i/>
                <w:sz w:val="18"/>
                <w:szCs w:val="18"/>
              </w:rPr>
              <w:t>počet</w:t>
            </w:r>
          </w:p>
        </w:tc>
        <w:tc>
          <w:tcPr>
            <w:tcW w:w="810" w:type="dxa"/>
            <w:vAlign w:val="center"/>
          </w:tcPr>
          <w:p w14:paraId="4477792F"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3670DC63" w14:textId="77777777" w:rsidR="00E10737" w:rsidRPr="00F058A0" w:rsidRDefault="00E10737" w:rsidP="004179DE">
            <w:pPr>
              <w:ind w:left="0"/>
              <w:jc w:val="center"/>
              <w:rPr>
                <w:i/>
                <w:sz w:val="18"/>
                <w:szCs w:val="18"/>
              </w:rPr>
            </w:pPr>
            <w:r w:rsidRPr="00F058A0">
              <w:rPr>
                <w:i/>
                <w:sz w:val="18"/>
                <w:szCs w:val="18"/>
              </w:rPr>
              <w:t>menej rozvinutý región</w:t>
            </w:r>
          </w:p>
        </w:tc>
        <w:tc>
          <w:tcPr>
            <w:tcW w:w="987" w:type="dxa"/>
            <w:vAlign w:val="center"/>
          </w:tcPr>
          <w:p w14:paraId="22C3936A" w14:textId="77777777" w:rsidR="00E10737" w:rsidRPr="00F058A0" w:rsidRDefault="00E10737" w:rsidP="004179DE">
            <w:pPr>
              <w:ind w:left="0"/>
              <w:jc w:val="center"/>
              <w:rPr>
                <w:i/>
                <w:sz w:val="18"/>
                <w:szCs w:val="18"/>
              </w:rPr>
            </w:pPr>
            <w:r w:rsidRPr="00F058A0">
              <w:rPr>
                <w:i/>
                <w:sz w:val="18"/>
                <w:szCs w:val="18"/>
              </w:rPr>
              <w:t>0</w:t>
            </w:r>
          </w:p>
        </w:tc>
        <w:tc>
          <w:tcPr>
            <w:tcW w:w="736" w:type="dxa"/>
            <w:vAlign w:val="center"/>
          </w:tcPr>
          <w:p w14:paraId="43FB0DFE" w14:textId="77777777" w:rsidR="00E10737" w:rsidRPr="00F058A0" w:rsidRDefault="00E10737" w:rsidP="004179DE">
            <w:pPr>
              <w:ind w:left="0"/>
              <w:jc w:val="center"/>
              <w:rPr>
                <w:i/>
                <w:sz w:val="18"/>
                <w:szCs w:val="18"/>
              </w:rPr>
            </w:pPr>
            <w:r w:rsidRPr="00F058A0">
              <w:rPr>
                <w:i/>
                <w:sz w:val="18"/>
                <w:szCs w:val="18"/>
              </w:rPr>
              <w:t>3 200</w:t>
            </w:r>
          </w:p>
        </w:tc>
        <w:tc>
          <w:tcPr>
            <w:tcW w:w="871" w:type="dxa"/>
            <w:vAlign w:val="center"/>
          </w:tcPr>
          <w:p w14:paraId="1154A3DD" w14:textId="77777777" w:rsidR="00E10737" w:rsidRPr="00F058A0" w:rsidRDefault="00E10737" w:rsidP="004179DE">
            <w:pPr>
              <w:ind w:left="0"/>
              <w:jc w:val="center"/>
              <w:rPr>
                <w:i/>
                <w:sz w:val="18"/>
                <w:szCs w:val="18"/>
              </w:rPr>
            </w:pPr>
            <w:r w:rsidRPr="00F058A0">
              <w:rPr>
                <w:i/>
                <w:sz w:val="18"/>
                <w:szCs w:val="18"/>
              </w:rPr>
              <w:t>ITMS</w:t>
            </w:r>
          </w:p>
        </w:tc>
        <w:tc>
          <w:tcPr>
            <w:tcW w:w="1402" w:type="dxa"/>
            <w:vAlign w:val="center"/>
          </w:tcPr>
          <w:p w14:paraId="771F1FE9" w14:textId="77777777" w:rsidR="00E10737" w:rsidRPr="00F058A0" w:rsidRDefault="00E10737" w:rsidP="004179DE">
            <w:pPr>
              <w:ind w:left="0"/>
              <w:rPr>
                <w:i/>
                <w:sz w:val="18"/>
                <w:szCs w:val="18"/>
              </w:rPr>
            </w:pPr>
            <w:r w:rsidRPr="00F058A0">
              <w:rPr>
                <w:i/>
                <w:sz w:val="18"/>
                <w:szCs w:val="18"/>
              </w:rPr>
              <w:t>Cieľ kľúčového vykonávacieho kroku, podiel na alokácii prioritnej osi 5,05 %</w:t>
            </w:r>
          </w:p>
        </w:tc>
      </w:tr>
      <w:tr w:rsidR="00E10737" w14:paraId="6FF42C44" w14:textId="77777777" w:rsidTr="004179DE">
        <w:trPr>
          <w:cantSplit/>
          <w:trHeight w:val="1134"/>
          <w:jc w:val="center"/>
        </w:trPr>
        <w:tc>
          <w:tcPr>
            <w:tcW w:w="1476" w:type="dxa"/>
            <w:vAlign w:val="center"/>
          </w:tcPr>
          <w:p w14:paraId="3A253545" w14:textId="77777777" w:rsidR="00E10737" w:rsidRPr="00C270B2" w:rsidRDefault="00E10737" w:rsidP="004179DE">
            <w:pPr>
              <w:ind w:left="0"/>
              <w:rPr>
                <w:i/>
                <w:sz w:val="18"/>
                <w:szCs w:val="18"/>
              </w:rPr>
            </w:pPr>
            <w:r w:rsidRPr="00351D17">
              <w:rPr>
                <w:i/>
                <w:sz w:val="18"/>
                <w:szCs w:val="18"/>
              </w:rPr>
              <w:t>kľúčový vykonávací krok</w:t>
            </w:r>
          </w:p>
        </w:tc>
        <w:tc>
          <w:tcPr>
            <w:tcW w:w="429" w:type="dxa"/>
            <w:textDirection w:val="btLr"/>
          </w:tcPr>
          <w:p w14:paraId="40796DF0" w14:textId="77777777" w:rsidR="00E10737" w:rsidRPr="00C270B2" w:rsidRDefault="00E10737" w:rsidP="004179DE">
            <w:pPr>
              <w:ind w:left="113" w:right="113"/>
              <w:jc w:val="center"/>
              <w:rPr>
                <w:sz w:val="18"/>
                <w:szCs w:val="18"/>
              </w:rPr>
            </w:pPr>
            <w:r w:rsidRPr="00C270B2">
              <w:rPr>
                <w:sz w:val="18"/>
                <w:szCs w:val="18"/>
              </w:rPr>
              <w:t>K0004</w:t>
            </w:r>
          </w:p>
        </w:tc>
        <w:tc>
          <w:tcPr>
            <w:tcW w:w="2091" w:type="dxa"/>
            <w:vAlign w:val="center"/>
          </w:tcPr>
          <w:p w14:paraId="0D7B5773" w14:textId="77777777" w:rsidR="00E10737" w:rsidRPr="00C270B2" w:rsidRDefault="00E10737" w:rsidP="004179DE">
            <w:pPr>
              <w:pStyle w:val="TableParagraph"/>
              <w:spacing w:before="78" w:line="247" w:lineRule="auto"/>
              <w:ind w:left="0" w:right="147"/>
              <w:rPr>
                <w:rFonts w:ascii="Times New Roman" w:eastAsia="Gill Sans MT" w:hAnsi="Times New Roman" w:cs="Times New Roman"/>
                <w:sz w:val="18"/>
                <w:szCs w:val="18"/>
                <w:lang w:val="sk-SK"/>
              </w:rPr>
            </w:pPr>
            <w:r w:rsidRPr="00351D17">
              <w:rPr>
                <w:rFonts w:ascii="Times New Roman" w:hAnsi="Times New Roman" w:cs="Times New Roman"/>
                <w:sz w:val="18"/>
                <w:szCs w:val="18"/>
                <w:lang w:val="sk-SK"/>
              </w:rPr>
              <w:t>Počet podnikov, ktoré dostávajú nefinančnú podporu v rámci podpory poskytovania informačných, poradenských</w:t>
            </w:r>
          </w:p>
          <w:p w14:paraId="4FD68049" w14:textId="77777777" w:rsidR="00E10737" w:rsidRPr="00351D17" w:rsidRDefault="00E10737" w:rsidP="004179DE">
            <w:pPr>
              <w:ind w:left="0"/>
              <w:rPr>
                <w:sz w:val="18"/>
                <w:szCs w:val="18"/>
              </w:rPr>
            </w:pPr>
            <w:r w:rsidRPr="00351D17">
              <w:rPr>
                <w:sz w:val="18"/>
                <w:szCs w:val="18"/>
              </w:rPr>
              <w:t>a mentorských služieb pre rozvoj MSP</w:t>
            </w:r>
          </w:p>
        </w:tc>
        <w:tc>
          <w:tcPr>
            <w:tcW w:w="1945" w:type="dxa"/>
            <w:vAlign w:val="center"/>
          </w:tcPr>
          <w:p w14:paraId="7304627C" w14:textId="77777777" w:rsidR="00E10737" w:rsidRPr="00F058A0" w:rsidRDefault="00E10737" w:rsidP="004179DE">
            <w:pPr>
              <w:ind w:left="0"/>
              <w:jc w:val="center"/>
              <w:rPr>
                <w:i/>
                <w:sz w:val="18"/>
                <w:szCs w:val="18"/>
              </w:rPr>
            </w:pPr>
            <w:r w:rsidRPr="00F058A0">
              <w:rPr>
                <w:i/>
                <w:sz w:val="18"/>
                <w:szCs w:val="18"/>
              </w:rPr>
              <w:t>počet</w:t>
            </w:r>
          </w:p>
        </w:tc>
        <w:tc>
          <w:tcPr>
            <w:tcW w:w="810" w:type="dxa"/>
            <w:vAlign w:val="center"/>
          </w:tcPr>
          <w:p w14:paraId="0A431374"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4A4E0BE7" w14:textId="77777777" w:rsidR="00E10737" w:rsidRPr="00F058A0" w:rsidRDefault="00E10737" w:rsidP="004179DE">
            <w:pPr>
              <w:ind w:left="0"/>
              <w:jc w:val="center"/>
              <w:rPr>
                <w:i/>
                <w:sz w:val="18"/>
                <w:szCs w:val="18"/>
              </w:rPr>
            </w:pPr>
            <w:r w:rsidRPr="00F058A0">
              <w:rPr>
                <w:i/>
                <w:sz w:val="18"/>
                <w:szCs w:val="18"/>
              </w:rPr>
              <w:t>menej rozvinutý región</w:t>
            </w:r>
          </w:p>
        </w:tc>
        <w:tc>
          <w:tcPr>
            <w:tcW w:w="987" w:type="dxa"/>
            <w:vAlign w:val="center"/>
          </w:tcPr>
          <w:p w14:paraId="2F2B70B0" w14:textId="77777777" w:rsidR="00E10737" w:rsidRPr="00F058A0" w:rsidRDefault="00E10737" w:rsidP="004179DE">
            <w:pPr>
              <w:pStyle w:val="TableParagraph"/>
              <w:widowControl/>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290</w:t>
            </w:r>
          </w:p>
        </w:tc>
        <w:tc>
          <w:tcPr>
            <w:tcW w:w="736" w:type="dxa"/>
            <w:vAlign w:val="center"/>
          </w:tcPr>
          <w:p w14:paraId="308EECA0" w14:textId="77777777" w:rsidR="00E10737" w:rsidRPr="00F058A0" w:rsidRDefault="00E10737" w:rsidP="004179DE">
            <w:pPr>
              <w:pStyle w:val="TableParagraph"/>
              <w:widowControl/>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1 030</w:t>
            </w:r>
          </w:p>
        </w:tc>
        <w:tc>
          <w:tcPr>
            <w:tcW w:w="871" w:type="dxa"/>
            <w:vAlign w:val="center"/>
          </w:tcPr>
          <w:p w14:paraId="7618840C" w14:textId="77777777" w:rsidR="00E10737" w:rsidRPr="00F058A0" w:rsidRDefault="00E10737" w:rsidP="004179DE">
            <w:pPr>
              <w:pStyle w:val="TableParagraph"/>
              <w:widowControl/>
              <w:ind w:left="0"/>
              <w:jc w:val="center"/>
              <w:rPr>
                <w:rFonts w:ascii="Times New Roman" w:eastAsia="Gill Sans MT" w:hAnsi="Times New Roman" w:cs="Times New Roman"/>
                <w:i/>
                <w:sz w:val="18"/>
                <w:szCs w:val="18"/>
                <w:lang w:val="sk-SK"/>
              </w:rPr>
            </w:pPr>
            <w:r w:rsidRPr="00F058A0">
              <w:rPr>
                <w:rFonts w:ascii="Times New Roman" w:hAnsi="Times New Roman" w:cs="Times New Roman"/>
                <w:i/>
                <w:sz w:val="18"/>
                <w:szCs w:val="18"/>
                <w:lang w:val="sk-SK"/>
              </w:rPr>
              <w:t>ITMS</w:t>
            </w:r>
          </w:p>
        </w:tc>
        <w:tc>
          <w:tcPr>
            <w:tcW w:w="1402" w:type="dxa"/>
            <w:vAlign w:val="center"/>
          </w:tcPr>
          <w:p w14:paraId="258EBCF8" w14:textId="064054FF" w:rsidR="00E10737" w:rsidRPr="00F058A0" w:rsidRDefault="00E10737" w:rsidP="007C783C">
            <w:pPr>
              <w:ind w:left="0"/>
              <w:rPr>
                <w:i/>
                <w:sz w:val="18"/>
                <w:szCs w:val="18"/>
              </w:rPr>
            </w:pPr>
            <w:r w:rsidRPr="00F058A0">
              <w:rPr>
                <w:i/>
                <w:sz w:val="18"/>
                <w:szCs w:val="18"/>
              </w:rPr>
              <w:t>Podiel na alokácii prioritnej osi 4,27 %, priebežné výstupy monitorované prostredníctvom národného projektu s realizáciou počas programového obdobia.</w:t>
            </w:r>
          </w:p>
        </w:tc>
      </w:tr>
      <w:tr w:rsidR="00E10737" w14:paraId="03A2D7F4" w14:textId="77777777" w:rsidTr="004179DE">
        <w:trPr>
          <w:cantSplit/>
          <w:trHeight w:val="1134"/>
          <w:jc w:val="center"/>
        </w:trPr>
        <w:tc>
          <w:tcPr>
            <w:tcW w:w="1476" w:type="dxa"/>
            <w:vAlign w:val="center"/>
          </w:tcPr>
          <w:p w14:paraId="0553130F" w14:textId="77777777" w:rsidR="00E10737" w:rsidRPr="00C270B2" w:rsidRDefault="00E10737" w:rsidP="004179DE">
            <w:pPr>
              <w:pStyle w:val="TableParagraph"/>
              <w:ind w:left="0"/>
              <w:rPr>
                <w:rFonts w:ascii="Times New Roman" w:eastAsia="Gill Sans MT" w:hAnsi="Times New Roman" w:cs="Times New Roman"/>
                <w:i/>
                <w:sz w:val="18"/>
                <w:szCs w:val="18"/>
                <w:lang w:val="sk-SK"/>
              </w:rPr>
            </w:pPr>
            <w:r w:rsidRPr="00351D17">
              <w:rPr>
                <w:rFonts w:ascii="Times New Roman" w:hAnsi="Times New Roman" w:cs="Times New Roman"/>
                <w:i/>
                <w:sz w:val="18"/>
                <w:szCs w:val="18"/>
                <w:lang w:val="sk-SK"/>
              </w:rPr>
              <w:lastRenderedPageBreak/>
              <w:t>ukazovateľ</w:t>
            </w:r>
          </w:p>
          <w:p w14:paraId="5F0EDEB8" w14:textId="77777777" w:rsidR="00E10737" w:rsidRPr="00351D17" w:rsidRDefault="00E10737" w:rsidP="004179DE">
            <w:pPr>
              <w:widowControl w:val="0"/>
              <w:ind w:left="0"/>
              <w:rPr>
                <w:i/>
                <w:sz w:val="18"/>
                <w:szCs w:val="18"/>
              </w:rPr>
            </w:pPr>
            <w:r w:rsidRPr="00351D17">
              <w:rPr>
                <w:i/>
                <w:sz w:val="18"/>
                <w:szCs w:val="18"/>
              </w:rPr>
              <w:t>výstupu</w:t>
            </w:r>
          </w:p>
        </w:tc>
        <w:tc>
          <w:tcPr>
            <w:tcW w:w="429" w:type="dxa"/>
            <w:textDirection w:val="btLr"/>
          </w:tcPr>
          <w:p w14:paraId="5883227E" w14:textId="77777777" w:rsidR="00E10737" w:rsidRPr="00C270B2" w:rsidRDefault="00E10737" w:rsidP="004179DE">
            <w:pPr>
              <w:ind w:left="113" w:right="113"/>
              <w:jc w:val="center"/>
              <w:rPr>
                <w:sz w:val="18"/>
                <w:szCs w:val="18"/>
              </w:rPr>
            </w:pPr>
            <w:r w:rsidRPr="00C270B2">
              <w:rPr>
                <w:sz w:val="18"/>
                <w:szCs w:val="18"/>
              </w:rPr>
              <w:t>O0083</w:t>
            </w:r>
          </w:p>
        </w:tc>
        <w:tc>
          <w:tcPr>
            <w:tcW w:w="2091" w:type="dxa"/>
            <w:vAlign w:val="center"/>
          </w:tcPr>
          <w:p w14:paraId="39CF19F6" w14:textId="77777777" w:rsidR="00E10737" w:rsidRPr="00C270B2" w:rsidRDefault="00E10737" w:rsidP="004179DE">
            <w:pPr>
              <w:pStyle w:val="TableParagraph"/>
              <w:widowControl/>
              <w:ind w:left="0"/>
              <w:rPr>
                <w:rFonts w:ascii="Times New Roman" w:eastAsia="Gill Sans MT" w:hAnsi="Times New Roman" w:cs="Times New Roman"/>
                <w:sz w:val="18"/>
                <w:szCs w:val="18"/>
                <w:lang w:val="sk-SK"/>
              </w:rPr>
            </w:pPr>
            <w:r w:rsidRPr="00351D17">
              <w:rPr>
                <w:rFonts w:ascii="Times New Roman" w:hAnsi="Times New Roman" w:cs="Times New Roman"/>
                <w:sz w:val="18"/>
                <w:szCs w:val="18"/>
                <w:lang w:val="sk-SK"/>
              </w:rPr>
              <w:t>Počet podnikov, ktoré dostávajú nefinančnú podporu v rámci podpory poskytovania informačných, poradenských</w:t>
            </w:r>
          </w:p>
          <w:p w14:paraId="5923B234" w14:textId="77777777" w:rsidR="00E10737" w:rsidRPr="00351D17" w:rsidRDefault="00E10737" w:rsidP="004179DE">
            <w:pPr>
              <w:pStyle w:val="TableParagraph"/>
              <w:widowControl/>
              <w:ind w:left="0"/>
              <w:rPr>
                <w:rFonts w:ascii="Times New Roman" w:hAnsi="Times New Roman" w:cs="Times New Roman"/>
                <w:sz w:val="18"/>
                <w:szCs w:val="18"/>
                <w:lang w:val="sk-SK"/>
              </w:rPr>
            </w:pPr>
            <w:r w:rsidRPr="00351D17">
              <w:rPr>
                <w:rFonts w:ascii="Times New Roman" w:hAnsi="Times New Roman" w:cs="Times New Roman"/>
                <w:sz w:val="18"/>
                <w:szCs w:val="18"/>
                <w:lang w:val="sk-SK"/>
              </w:rPr>
              <w:t>a mentorských služieb pre rozvoj MSP</w:t>
            </w:r>
          </w:p>
        </w:tc>
        <w:tc>
          <w:tcPr>
            <w:tcW w:w="1945" w:type="dxa"/>
            <w:vAlign w:val="center"/>
          </w:tcPr>
          <w:p w14:paraId="49786BCD" w14:textId="77777777" w:rsidR="00E10737" w:rsidRPr="00F058A0" w:rsidRDefault="00E10737" w:rsidP="004179DE">
            <w:pPr>
              <w:ind w:left="0"/>
              <w:jc w:val="center"/>
              <w:rPr>
                <w:i/>
                <w:sz w:val="18"/>
                <w:szCs w:val="18"/>
              </w:rPr>
            </w:pPr>
            <w:r w:rsidRPr="00F058A0">
              <w:rPr>
                <w:i/>
                <w:sz w:val="18"/>
                <w:szCs w:val="18"/>
              </w:rPr>
              <w:t>počet</w:t>
            </w:r>
          </w:p>
        </w:tc>
        <w:tc>
          <w:tcPr>
            <w:tcW w:w="810" w:type="dxa"/>
            <w:vAlign w:val="center"/>
          </w:tcPr>
          <w:p w14:paraId="2BCC7B6E"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5EA7EA46" w14:textId="77777777" w:rsidR="00E10737" w:rsidRPr="00F058A0" w:rsidRDefault="00E10737" w:rsidP="004179DE">
            <w:pPr>
              <w:ind w:left="0"/>
              <w:jc w:val="center"/>
              <w:rPr>
                <w:i/>
                <w:sz w:val="18"/>
                <w:szCs w:val="18"/>
              </w:rPr>
            </w:pPr>
            <w:r w:rsidRPr="00F058A0">
              <w:rPr>
                <w:i/>
                <w:sz w:val="18"/>
                <w:szCs w:val="18"/>
              </w:rPr>
              <w:t>menej rozvinutý región</w:t>
            </w:r>
          </w:p>
        </w:tc>
        <w:tc>
          <w:tcPr>
            <w:tcW w:w="987" w:type="dxa"/>
            <w:vAlign w:val="center"/>
          </w:tcPr>
          <w:p w14:paraId="6AD36BEC"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0</w:t>
            </w:r>
          </w:p>
        </w:tc>
        <w:tc>
          <w:tcPr>
            <w:tcW w:w="736" w:type="dxa"/>
            <w:vAlign w:val="center"/>
          </w:tcPr>
          <w:p w14:paraId="4BE03D89"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1 030</w:t>
            </w:r>
          </w:p>
        </w:tc>
        <w:tc>
          <w:tcPr>
            <w:tcW w:w="871" w:type="dxa"/>
            <w:vAlign w:val="center"/>
          </w:tcPr>
          <w:p w14:paraId="74A593E6"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ITMS</w:t>
            </w:r>
          </w:p>
        </w:tc>
        <w:tc>
          <w:tcPr>
            <w:tcW w:w="1402" w:type="dxa"/>
            <w:vAlign w:val="center"/>
          </w:tcPr>
          <w:p w14:paraId="0F27C450" w14:textId="77777777" w:rsidR="00E10737" w:rsidRPr="00F058A0" w:rsidRDefault="00E10737" w:rsidP="004179DE">
            <w:pPr>
              <w:widowControl w:val="0"/>
              <w:ind w:left="0"/>
              <w:rPr>
                <w:i/>
                <w:sz w:val="18"/>
                <w:szCs w:val="18"/>
              </w:rPr>
            </w:pPr>
            <w:r w:rsidRPr="00F058A0">
              <w:rPr>
                <w:i/>
                <w:sz w:val="18"/>
                <w:szCs w:val="18"/>
              </w:rPr>
              <w:t>Cieľ kľúčového vykonávacieho kroku, podiel na alokácii prioritnej osi 4,27 %.</w:t>
            </w:r>
          </w:p>
        </w:tc>
      </w:tr>
      <w:tr w:rsidR="00E10737" w14:paraId="61401BFE" w14:textId="77777777" w:rsidTr="004179DE">
        <w:trPr>
          <w:cantSplit/>
          <w:trHeight w:val="1134"/>
          <w:jc w:val="center"/>
        </w:trPr>
        <w:tc>
          <w:tcPr>
            <w:tcW w:w="1476" w:type="dxa"/>
            <w:vAlign w:val="center"/>
          </w:tcPr>
          <w:p w14:paraId="19436989" w14:textId="77777777" w:rsidR="00E10737" w:rsidRPr="00351D17" w:rsidRDefault="00E10737" w:rsidP="004179DE">
            <w:pPr>
              <w:ind w:left="0"/>
              <w:rPr>
                <w:i/>
                <w:sz w:val="18"/>
                <w:szCs w:val="18"/>
              </w:rPr>
            </w:pPr>
            <w:r w:rsidRPr="00351D17">
              <w:rPr>
                <w:i/>
                <w:sz w:val="18"/>
                <w:szCs w:val="18"/>
              </w:rPr>
              <w:t>kľúčový vykonávací krok</w:t>
            </w:r>
          </w:p>
        </w:tc>
        <w:tc>
          <w:tcPr>
            <w:tcW w:w="429" w:type="dxa"/>
            <w:textDirection w:val="btLr"/>
            <w:vAlign w:val="center"/>
          </w:tcPr>
          <w:p w14:paraId="4A346198" w14:textId="77777777" w:rsidR="00E10737" w:rsidRPr="00C270B2" w:rsidRDefault="00E10737" w:rsidP="004179DE">
            <w:pPr>
              <w:ind w:left="113" w:right="113"/>
              <w:jc w:val="center"/>
              <w:rPr>
                <w:sz w:val="18"/>
                <w:szCs w:val="18"/>
              </w:rPr>
            </w:pPr>
            <w:r w:rsidRPr="00C270B2">
              <w:rPr>
                <w:sz w:val="18"/>
                <w:szCs w:val="18"/>
              </w:rPr>
              <w:t>K0005</w:t>
            </w:r>
          </w:p>
        </w:tc>
        <w:tc>
          <w:tcPr>
            <w:tcW w:w="2091" w:type="dxa"/>
            <w:vAlign w:val="center"/>
          </w:tcPr>
          <w:p w14:paraId="5690E03B" w14:textId="77777777" w:rsidR="00E10737" w:rsidRPr="00351D17" w:rsidRDefault="00E10737" w:rsidP="004179DE">
            <w:pPr>
              <w:pStyle w:val="TableParagraph"/>
              <w:widowControl/>
              <w:ind w:left="0"/>
              <w:rPr>
                <w:rFonts w:ascii="Times New Roman" w:hAnsi="Times New Roman" w:cs="Times New Roman"/>
                <w:sz w:val="18"/>
                <w:szCs w:val="18"/>
                <w:lang w:val="sk-SK"/>
              </w:rPr>
            </w:pPr>
            <w:r w:rsidRPr="00351D17">
              <w:rPr>
                <w:rFonts w:ascii="Times New Roman" w:hAnsi="Times New Roman" w:cs="Times New Roman"/>
                <w:sz w:val="18"/>
                <w:szCs w:val="18"/>
                <w:lang w:val="sk-SK"/>
              </w:rPr>
              <w:t>Počet podnikov, ktoré dostávajú nefinančnú podporu v rámci tvorby nových obchodných modelov kreatívneho priemyslu</w:t>
            </w:r>
          </w:p>
        </w:tc>
        <w:tc>
          <w:tcPr>
            <w:tcW w:w="1945" w:type="dxa"/>
            <w:vAlign w:val="center"/>
          </w:tcPr>
          <w:p w14:paraId="0EF71360" w14:textId="77777777" w:rsidR="00E10737" w:rsidRPr="00F058A0" w:rsidRDefault="00E10737" w:rsidP="004179DE">
            <w:pPr>
              <w:ind w:left="0"/>
              <w:jc w:val="center"/>
              <w:rPr>
                <w:i/>
                <w:sz w:val="18"/>
                <w:szCs w:val="18"/>
              </w:rPr>
            </w:pPr>
            <w:r w:rsidRPr="00F058A0">
              <w:rPr>
                <w:i/>
                <w:sz w:val="18"/>
                <w:szCs w:val="18"/>
              </w:rPr>
              <w:t>počet</w:t>
            </w:r>
          </w:p>
        </w:tc>
        <w:tc>
          <w:tcPr>
            <w:tcW w:w="810" w:type="dxa"/>
            <w:vAlign w:val="center"/>
          </w:tcPr>
          <w:p w14:paraId="37AEF87B" w14:textId="77777777" w:rsidR="00E10737" w:rsidRPr="00F058A0" w:rsidRDefault="00E10737" w:rsidP="004179DE">
            <w:pPr>
              <w:ind w:left="0"/>
              <w:jc w:val="center"/>
              <w:rPr>
                <w:i/>
                <w:sz w:val="18"/>
                <w:szCs w:val="18"/>
              </w:rPr>
            </w:pPr>
            <w:r w:rsidRPr="00F058A0">
              <w:rPr>
                <w:i/>
                <w:sz w:val="18"/>
                <w:szCs w:val="18"/>
              </w:rPr>
              <w:t>EFRR</w:t>
            </w:r>
          </w:p>
        </w:tc>
        <w:tc>
          <w:tcPr>
            <w:tcW w:w="986" w:type="dxa"/>
            <w:vAlign w:val="center"/>
          </w:tcPr>
          <w:p w14:paraId="4E7F5FC6" w14:textId="77777777" w:rsidR="00E10737" w:rsidRPr="00F058A0" w:rsidRDefault="00E10737" w:rsidP="004179DE">
            <w:pPr>
              <w:ind w:left="0"/>
              <w:jc w:val="center"/>
              <w:rPr>
                <w:i/>
                <w:sz w:val="18"/>
                <w:szCs w:val="18"/>
              </w:rPr>
            </w:pPr>
            <w:r w:rsidRPr="00F058A0">
              <w:rPr>
                <w:i/>
                <w:sz w:val="18"/>
                <w:szCs w:val="18"/>
              </w:rPr>
              <w:t>menej rozvinutý región</w:t>
            </w:r>
          </w:p>
        </w:tc>
        <w:tc>
          <w:tcPr>
            <w:tcW w:w="987" w:type="dxa"/>
            <w:vAlign w:val="center"/>
          </w:tcPr>
          <w:p w14:paraId="078A07A6"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330</w:t>
            </w:r>
          </w:p>
        </w:tc>
        <w:tc>
          <w:tcPr>
            <w:tcW w:w="736" w:type="dxa"/>
            <w:vAlign w:val="center"/>
          </w:tcPr>
          <w:p w14:paraId="5554212D"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1 160</w:t>
            </w:r>
          </w:p>
        </w:tc>
        <w:tc>
          <w:tcPr>
            <w:tcW w:w="871" w:type="dxa"/>
            <w:vAlign w:val="center"/>
          </w:tcPr>
          <w:p w14:paraId="1789AC31"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ITMS</w:t>
            </w:r>
          </w:p>
        </w:tc>
        <w:tc>
          <w:tcPr>
            <w:tcW w:w="1402" w:type="dxa"/>
            <w:vAlign w:val="center"/>
          </w:tcPr>
          <w:p w14:paraId="179F9C69" w14:textId="49ECD1C9" w:rsidR="00E10737" w:rsidRPr="00F058A0" w:rsidRDefault="00E10737" w:rsidP="007C783C">
            <w:pPr>
              <w:ind w:left="0"/>
              <w:rPr>
                <w:i/>
                <w:sz w:val="18"/>
                <w:szCs w:val="18"/>
              </w:rPr>
            </w:pPr>
            <w:r w:rsidRPr="00F058A0">
              <w:rPr>
                <w:i/>
                <w:sz w:val="18"/>
                <w:szCs w:val="18"/>
              </w:rPr>
              <w:t>Podiel na alokácii prioritnej osi 5,31 %, priebežné výstupy monitorované prostred</w:t>
            </w:r>
            <w:r w:rsidR="007C783C" w:rsidRPr="00F058A0">
              <w:rPr>
                <w:i/>
                <w:sz w:val="18"/>
                <w:szCs w:val="18"/>
              </w:rPr>
              <w:t xml:space="preserve">níctvom </w:t>
            </w:r>
            <w:r w:rsidRPr="00F058A0">
              <w:rPr>
                <w:i/>
                <w:sz w:val="18"/>
                <w:szCs w:val="18"/>
              </w:rPr>
              <w:t>národného projektu s realizáciou počas programového obdobia</w:t>
            </w:r>
          </w:p>
        </w:tc>
      </w:tr>
      <w:tr w:rsidR="00E10737" w14:paraId="5CF69970" w14:textId="77777777" w:rsidTr="004179DE">
        <w:trPr>
          <w:cantSplit/>
          <w:trHeight w:val="1134"/>
          <w:jc w:val="center"/>
        </w:trPr>
        <w:tc>
          <w:tcPr>
            <w:tcW w:w="1476" w:type="dxa"/>
            <w:vAlign w:val="center"/>
          </w:tcPr>
          <w:p w14:paraId="737ED3C9" w14:textId="77777777" w:rsidR="00E10737" w:rsidRPr="00C270B2" w:rsidRDefault="00E10737" w:rsidP="004179DE">
            <w:pPr>
              <w:pStyle w:val="TableParagraph"/>
              <w:ind w:left="0"/>
              <w:rPr>
                <w:rFonts w:ascii="Times New Roman" w:eastAsia="Gill Sans MT" w:hAnsi="Times New Roman" w:cs="Times New Roman"/>
                <w:i/>
                <w:sz w:val="18"/>
                <w:szCs w:val="18"/>
                <w:lang w:val="sk-SK"/>
              </w:rPr>
            </w:pPr>
            <w:r w:rsidRPr="00351D17">
              <w:rPr>
                <w:rFonts w:ascii="Times New Roman" w:hAnsi="Times New Roman" w:cs="Times New Roman"/>
                <w:i/>
                <w:sz w:val="18"/>
                <w:szCs w:val="18"/>
                <w:lang w:val="sk-SK"/>
              </w:rPr>
              <w:t>ukazovateľ</w:t>
            </w:r>
          </w:p>
          <w:p w14:paraId="638FB12A" w14:textId="77777777" w:rsidR="00E10737" w:rsidRPr="00351D17" w:rsidRDefault="00E10737" w:rsidP="004179DE">
            <w:pPr>
              <w:widowControl w:val="0"/>
              <w:ind w:left="0"/>
              <w:rPr>
                <w:i/>
                <w:sz w:val="18"/>
                <w:szCs w:val="18"/>
              </w:rPr>
            </w:pPr>
            <w:r w:rsidRPr="00351D17">
              <w:rPr>
                <w:i/>
                <w:sz w:val="18"/>
                <w:szCs w:val="18"/>
              </w:rPr>
              <w:t>výstupu</w:t>
            </w:r>
          </w:p>
        </w:tc>
        <w:tc>
          <w:tcPr>
            <w:tcW w:w="429" w:type="dxa"/>
            <w:textDirection w:val="btLr"/>
            <w:vAlign w:val="center"/>
          </w:tcPr>
          <w:p w14:paraId="1A8C8EDF" w14:textId="77777777" w:rsidR="00E10737" w:rsidRPr="00C270B2" w:rsidRDefault="00E10737" w:rsidP="004179DE">
            <w:pPr>
              <w:ind w:left="113" w:right="113"/>
              <w:jc w:val="center"/>
              <w:rPr>
                <w:sz w:val="18"/>
                <w:szCs w:val="18"/>
              </w:rPr>
            </w:pPr>
            <w:r w:rsidRPr="00C270B2">
              <w:rPr>
                <w:sz w:val="18"/>
                <w:szCs w:val="18"/>
              </w:rPr>
              <w:t>O0084</w:t>
            </w:r>
          </w:p>
        </w:tc>
        <w:tc>
          <w:tcPr>
            <w:tcW w:w="2091" w:type="dxa"/>
            <w:vAlign w:val="center"/>
          </w:tcPr>
          <w:p w14:paraId="1D51C918" w14:textId="77777777" w:rsidR="00E10737" w:rsidRPr="00351D17" w:rsidRDefault="00E10737" w:rsidP="004179DE">
            <w:pPr>
              <w:pStyle w:val="TableParagraph"/>
              <w:ind w:left="0" w:right="147"/>
              <w:rPr>
                <w:rFonts w:ascii="Times New Roman" w:hAnsi="Times New Roman" w:cs="Times New Roman"/>
                <w:sz w:val="18"/>
                <w:szCs w:val="18"/>
                <w:lang w:val="sk-SK"/>
              </w:rPr>
            </w:pPr>
            <w:r w:rsidRPr="00351D17">
              <w:rPr>
                <w:rFonts w:ascii="Times New Roman" w:hAnsi="Times New Roman" w:cs="Times New Roman"/>
                <w:sz w:val="18"/>
                <w:szCs w:val="18"/>
                <w:lang w:val="sk-SK"/>
              </w:rPr>
              <w:t>Počet podnikov, ktoré dostávajú nefinančnú podporu v rámci tvorby nových obchodných modelov kreatívneho priemyslu</w:t>
            </w:r>
          </w:p>
        </w:tc>
        <w:tc>
          <w:tcPr>
            <w:tcW w:w="1945" w:type="dxa"/>
            <w:vAlign w:val="center"/>
          </w:tcPr>
          <w:p w14:paraId="659C6D84" w14:textId="77777777" w:rsidR="00E10737" w:rsidRPr="00F058A0" w:rsidRDefault="00E10737" w:rsidP="00F058A0">
            <w:pPr>
              <w:widowControl w:val="0"/>
              <w:ind w:left="0"/>
              <w:jc w:val="center"/>
              <w:rPr>
                <w:i/>
                <w:sz w:val="18"/>
                <w:szCs w:val="18"/>
              </w:rPr>
            </w:pPr>
            <w:r w:rsidRPr="00F058A0">
              <w:rPr>
                <w:i/>
                <w:sz w:val="18"/>
                <w:szCs w:val="18"/>
              </w:rPr>
              <w:t>počet</w:t>
            </w:r>
          </w:p>
        </w:tc>
        <w:tc>
          <w:tcPr>
            <w:tcW w:w="810" w:type="dxa"/>
            <w:vAlign w:val="center"/>
          </w:tcPr>
          <w:p w14:paraId="3D224BF4" w14:textId="77777777" w:rsidR="00E10737" w:rsidRPr="00F058A0" w:rsidRDefault="00E10737" w:rsidP="004179DE">
            <w:pPr>
              <w:widowControl w:val="0"/>
              <w:ind w:left="0" w:right="147"/>
              <w:jc w:val="center"/>
              <w:rPr>
                <w:i/>
                <w:sz w:val="18"/>
                <w:szCs w:val="18"/>
              </w:rPr>
            </w:pPr>
            <w:r w:rsidRPr="00F058A0">
              <w:rPr>
                <w:i/>
                <w:sz w:val="18"/>
                <w:szCs w:val="18"/>
              </w:rPr>
              <w:t>EFRR</w:t>
            </w:r>
          </w:p>
        </w:tc>
        <w:tc>
          <w:tcPr>
            <w:tcW w:w="986" w:type="dxa"/>
            <w:vAlign w:val="center"/>
          </w:tcPr>
          <w:p w14:paraId="67C891CD" w14:textId="77777777" w:rsidR="00E10737" w:rsidRPr="00F058A0" w:rsidRDefault="00E10737" w:rsidP="007C783C">
            <w:pPr>
              <w:widowControl w:val="0"/>
              <w:ind w:left="0"/>
              <w:jc w:val="center"/>
              <w:rPr>
                <w:i/>
                <w:sz w:val="18"/>
                <w:szCs w:val="18"/>
              </w:rPr>
            </w:pPr>
            <w:r w:rsidRPr="00F058A0">
              <w:rPr>
                <w:i/>
                <w:sz w:val="18"/>
                <w:szCs w:val="18"/>
              </w:rPr>
              <w:t>menej rozvinutý región</w:t>
            </w:r>
          </w:p>
        </w:tc>
        <w:tc>
          <w:tcPr>
            <w:tcW w:w="987" w:type="dxa"/>
            <w:vAlign w:val="center"/>
          </w:tcPr>
          <w:p w14:paraId="148E4E3A"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0</w:t>
            </w:r>
          </w:p>
        </w:tc>
        <w:tc>
          <w:tcPr>
            <w:tcW w:w="736" w:type="dxa"/>
            <w:vAlign w:val="center"/>
          </w:tcPr>
          <w:p w14:paraId="325BB800"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1 160</w:t>
            </w:r>
          </w:p>
        </w:tc>
        <w:tc>
          <w:tcPr>
            <w:tcW w:w="871" w:type="dxa"/>
            <w:vAlign w:val="center"/>
          </w:tcPr>
          <w:p w14:paraId="03AEA2EF"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ITMS</w:t>
            </w:r>
          </w:p>
        </w:tc>
        <w:tc>
          <w:tcPr>
            <w:tcW w:w="1402" w:type="dxa"/>
            <w:vAlign w:val="center"/>
          </w:tcPr>
          <w:p w14:paraId="5DAD5083" w14:textId="77777777" w:rsidR="00E10737" w:rsidRPr="00F058A0" w:rsidRDefault="00E10737" w:rsidP="004179DE">
            <w:pPr>
              <w:ind w:left="0"/>
              <w:rPr>
                <w:i/>
                <w:sz w:val="18"/>
                <w:szCs w:val="18"/>
              </w:rPr>
            </w:pPr>
            <w:r w:rsidRPr="00F058A0">
              <w:rPr>
                <w:i/>
                <w:sz w:val="18"/>
                <w:szCs w:val="18"/>
              </w:rPr>
              <w:t>Cieľ kľúčového vykonávacieho kroku, podiel na alokácii prioritnej osi 5,31 %</w:t>
            </w:r>
          </w:p>
        </w:tc>
      </w:tr>
      <w:tr w:rsidR="00E10737" w14:paraId="00BC03A1" w14:textId="77777777" w:rsidTr="004179DE">
        <w:trPr>
          <w:cantSplit/>
          <w:trHeight w:val="1134"/>
          <w:jc w:val="center"/>
        </w:trPr>
        <w:tc>
          <w:tcPr>
            <w:tcW w:w="1476" w:type="dxa"/>
            <w:vAlign w:val="center"/>
          </w:tcPr>
          <w:p w14:paraId="7B695472" w14:textId="77777777" w:rsidR="00E10737" w:rsidRPr="00C270B2" w:rsidRDefault="00E10737" w:rsidP="004179DE">
            <w:pPr>
              <w:pStyle w:val="TableParagraph"/>
              <w:ind w:left="0"/>
              <w:rPr>
                <w:rFonts w:ascii="Times New Roman" w:eastAsia="Gill Sans MT" w:hAnsi="Times New Roman" w:cs="Times New Roman"/>
                <w:i/>
                <w:sz w:val="18"/>
                <w:szCs w:val="18"/>
                <w:lang w:val="sk-SK"/>
              </w:rPr>
            </w:pPr>
            <w:r w:rsidRPr="00351D17">
              <w:rPr>
                <w:rFonts w:ascii="Times New Roman" w:hAnsi="Times New Roman" w:cs="Times New Roman"/>
                <w:i/>
                <w:sz w:val="18"/>
                <w:szCs w:val="18"/>
                <w:lang w:val="sk-SK"/>
              </w:rPr>
              <w:t>ukazovateľ</w:t>
            </w:r>
          </w:p>
          <w:p w14:paraId="12D995CC" w14:textId="77777777" w:rsidR="00E10737" w:rsidRPr="00351D17" w:rsidRDefault="00E10737" w:rsidP="004179DE">
            <w:pPr>
              <w:ind w:left="0"/>
              <w:rPr>
                <w:sz w:val="18"/>
                <w:szCs w:val="18"/>
              </w:rPr>
            </w:pPr>
            <w:r w:rsidRPr="00351D17">
              <w:rPr>
                <w:i/>
                <w:sz w:val="18"/>
                <w:szCs w:val="18"/>
              </w:rPr>
              <w:t>výstupu</w:t>
            </w:r>
          </w:p>
        </w:tc>
        <w:tc>
          <w:tcPr>
            <w:tcW w:w="429" w:type="dxa"/>
            <w:textDirection w:val="btLr"/>
            <w:vAlign w:val="center"/>
          </w:tcPr>
          <w:p w14:paraId="40547AAB" w14:textId="77777777" w:rsidR="00E10737" w:rsidRPr="00C270B2" w:rsidRDefault="00E10737" w:rsidP="004179DE">
            <w:pPr>
              <w:ind w:left="113" w:right="113"/>
              <w:jc w:val="center"/>
              <w:rPr>
                <w:sz w:val="18"/>
                <w:szCs w:val="18"/>
              </w:rPr>
            </w:pPr>
            <w:r w:rsidRPr="00C270B2">
              <w:rPr>
                <w:sz w:val="18"/>
                <w:szCs w:val="18"/>
              </w:rPr>
              <w:t>CO02</w:t>
            </w:r>
          </w:p>
        </w:tc>
        <w:tc>
          <w:tcPr>
            <w:tcW w:w="2091" w:type="dxa"/>
            <w:vAlign w:val="center"/>
          </w:tcPr>
          <w:p w14:paraId="03F2B782" w14:textId="77777777" w:rsidR="00E10737" w:rsidRPr="00351D17" w:rsidRDefault="00E10737" w:rsidP="004179DE">
            <w:pPr>
              <w:pStyle w:val="TableParagraph"/>
              <w:ind w:left="0" w:right="147"/>
              <w:rPr>
                <w:rFonts w:ascii="Times New Roman" w:hAnsi="Times New Roman" w:cs="Times New Roman"/>
                <w:sz w:val="18"/>
                <w:szCs w:val="18"/>
                <w:lang w:val="sk-SK"/>
              </w:rPr>
            </w:pPr>
            <w:r w:rsidRPr="00351D17">
              <w:rPr>
                <w:rFonts w:ascii="Times New Roman" w:hAnsi="Times New Roman" w:cs="Times New Roman"/>
                <w:sz w:val="18"/>
                <w:szCs w:val="18"/>
                <w:lang w:val="sk-SK"/>
              </w:rPr>
              <w:t>Počet podnikov, ktoré dostávajú granty</w:t>
            </w:r>
          </w:p>
        </w:tc>
        <w:tc>
          <w:tcPr>
            <w:tcW w:w="1945" w:type="dxa"/>
            <w:vAlign w:val="center"/>
          </w:tcPr>
          <w:p w14:paraId="1176B159" w14:textId="77777777" w:rsidR="00E10737" w:rsidRPr="00F058A0" w:rsidRDefault="00E10737" w:rsidP="00F058A0">
            <w:pPr>
              <w:widowControl w:val="0"/>
              <w:ind w:left="0"/>
              <w:jc w:val="center"/>
              <w:rPr>
                <w:i/>
                <w:sz w:val="18"/>
                <w:szCs w:val="18"/>
              </w:rPr>
            </w:pPr>
            <w:r w:rsidRPr="00F058A0">
              <w:rPr>
                <w:i/>
                <w:sz w:val="18"/>
                <w:szCs w:val="18"/>
              </w:rPr>
              <w:t>podniky</w:t>
            </w:r>
          </w:p>
        </w:tc>
        <w:tc>
          <w:tcPr>
            <w:tcW w:w="810" w:type="dxa"/>
            <w:vAlign w:val="center"/>
          </w:tcPr>
          <w:p w14:paraId="117E62E0" w14:textId="77777777" w:rsidR="00E10737" w:rsidRPr="00F058A0" w:rsidRDefault="00E10737" w:rsidP="004179DE">
            <w:pPr>
              <w:widowControl w:val="0"/>
              <w:ind w:left="0" w:right="147"/>
              <w:jc w:val="center"/>
              <w:rPr>
                <w:i/>
                <w:sz w:val="18"/>
                <w:szCs w:val="18"/>
              </w:rPr>
            </w:pPr>
            <w:r w:rsidRPr="00F058A0">
              <w:rPr>
                <w:i/>
                <w:sz w:val="18"/>
                <w:szCs w:val="18"/>
              </w:rPr>
              <w:t>EFRR</w:t>
            </w:r>
          </w:p>
        </w:tc>
        <w:tc>
          <w:tcPr>
            <w:tcW w:w="986" w:type="dxa"/>
            <w:vAlign w:val="center"/>
          </w:tcPr>
          <w:p w14:paraId="38A3E00D" w14:textId="77777777" w:rsidR="00E10737" w:rsidRPr="00F058A0" w:rsidRDefault="00E10737" w:rsidP="007C783C">
            <w:pPr>
              <w:widowControl w:val="0"/>
              <w:ind w:left="0"/>
              <w:jc w:val="center"/>
              <w:rPr>
                <w:i/>
                <w:sz w:val="18"/>
                <w:szCs w:val="18"/>
              </w:rPr>
            </w:pPr>
            <w:r w:rsidRPr="00F058A0">
              <w:rPr>
                <w:i/>
                <w:sz w:val="18"/>
                <w:szCs w:val="18"/>
              </w:rPr>
              <w:t>menej rozvinutý región</w:t>
            </w:r>
          </w:p>
        </w:tc>
        <w:tc>
          <w:tcPr>
            <w:tcW w:w="987" w:type="dxa"/>
            <w:vAlign w:val="center"/>
          </w:tcPr>
          <w:p w14:paraId="01D720CD"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80</w:t>
            </w:r>
          </w:p>
        </w:tc>
        <w:tc>
          <w:tcPr>
            <w:tcW w:w="736" w:type="dxa"/>
            <w:vAlign w:val="center"/>
          </w:tcPr>
          <w:p w14:paraId="3512164A"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300</w:t>
            </w:r>
          </w:p>
        </w:tc>
        <w:tc>
          <w:tcPr>
            <w:tcW w:w="871" w:type="dxa"/>
            <w:vAlign w:val="center"/>
          </w:tcPr>
          <w:p w14:paraId="11EDE91C" w14:textId="77777777" w:rsidR="00E10737" w:rsidRPr="00F058A0" w:rsidRDefault="00E10737" w:rsidP="004179DE">
            <w:pPr>
              <w:pStyle w:val="TableParagraph"/>
              <w:widowControl/>
              <w:ind w:left="0"/>
              <w:jc w:val="center"/>
              <w:rPr>
                <w:rFonts w:ascii="Times New Roman" w:hAnsi="Times New Roman" w:cs="Times New Roman"/>
                <w:i/>
                <w:sz w:val="18"/>
                <w:szCs w:val="18"/>
                <w:lang w:val="sk-SK"/>
              </w:rPr>
            </w:pPr>
            <w:r w:rsidRPr="00F058A0">
              <w:rPr>
                <w:rFonts w:ascii="Times New Roman" w:hAnsi="Times New Roman" w:cs="Times New Roman"/>
                <w:i/>
                <w:sz w:val="18"/>
                <w:szCs w:val="18"/>
                <w:lang w:val="sk-SK"/>
              </w:rPr>
              <w:t>ITMS</w:t>
            </w:r>
          </w:p>
        </w:tc>
        <w:tc>
          <w:tcPr>
            <w:tcW w:w="1402" w:type="dxa"/>
            <w:vAlign w:val="center"/>
          </w:tcPr>
          <w:p w14:paraId="6F148194" w14:textId="291F2E62" w:rsidR="00E10737" w:rsidRPr="00F058A0" w:rsidRDefault="00E10737" w:rsidP="007C783C">
            <w:pPr>
              <w:ind w:left="0"/>
              <w:rPr>
                <w:i/>
                <w:sz w:val="18"/>
                <w:szCs w:val="18"/>
              </w:rPr>
            </w:pPr>
            <w:r w:rsidRPr="00F058A0">
              <w:rPr>
                <w:i/>
                <w:sz w:val="18"/>
                <w:szCs w:val="18"/>
              </w:rPr>
              <w:t>Podiel na alokácii prioritnej osi 39,55 %</w:t>
            </w:r>
          </w:p>
        </w:tc>
      </w:tr>
    </w:tbl>
    <w:p w14:paraId="47E3EA84" w14:textId="77777777" w:rsidR="00E10737" w:rsidRPr="008E4FC8" w:rsidRDefault="00E10737" w:rsidP="008E4FC8">
      <w:pPr>
        <w:pStyle w:val="Nadpis4"/>
      </w:pPr>
      <w:r w:rsidRPr="008E4FC8">
        <w:t>Predpokladaný vývoj finančného pokroku na prioritnej osi 11</w:t>
      </w:r>
    </w:p>
    <w:p w14:paraId="6C9F2FF3" w14:textId="2BF0BE4D" w:rsidR="002E1CB6" w:rsidRPr="002E1CB6" w:rsidRDefault="008E4FC8" w:rsidP="008E4FC8">
      <w:pPr>
        <w:pStyle w:val="Zkladntext"/>
        <w:spacing w:before="139" w:line="248" w:lineRule="auto"/>
        <w:ind w:right="118"/>
        <w:jc w:val="both"/>
        <w:rPr>
          <w:sz w:val="22"/>
          <w:szCs w:val="22"/>
        </w:rPr>
      </w:pPr>
      <w:r>
        <w:rPr>
          <w:sz w:val="22"/>
          <w:szCs w:val="22"/>
        </w:rPr>
        <w:t>Pozri Prílohu 21</w:t>
      </w:r>
      <w:r w:rsidR="002E1CB6" w:rsidRPr="002E1CB6">
        <w:rPr>
          <w:sz w:val="22"/>
          <w:szCs w:val="22"/>
        </w:rPr>
        <w:t>.</w:t>
      </w:r>
    </w:p>
    <w:p w14:paraId="3D2F379F" w14:textId="09C5C80B" w:rsidR="00E10737" w:rsidRPr="00AF51CC" w:rsidRDefault="00E10737" w:rsidP="00E10737">
      <w:pPr>
        <w:pStyle w:val="Nadpis3"/>
      </w:pPr>
      <w:bookmarkStart w:id="127" w:name="_Toc28951660"/>
      <w:r w:rsidRPr="00AF51CC">
        <w:t>Kategórie intervencií</w:t>
      </w:r>
      <w:bookmarkEnd w:id="127"/>
    </w:p>
    <w:p w14:paraId="5775AA40"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25A2B962" w14:textId="77777777" w:rsidTr="004179DE">
        <w:trPr>
          <w:trHeight w:val="255"/>
          <w:jc w:val="center"/>
        </w:trPr>
        <w:tc>
          <w:tcPr>
            <w:tcW w:w="9072" w:type="dxa"/>
            <w:gridSpan w:val="3"/>
            <w:shd w:val="clear" w:color="auto" w:fill="DBE5F1"/>
            <w:vAlign w:val="center"/>
          </w:tcPr>
          <w:p w14:paraId="58112AC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E10737" w:rsidRPr="003A7F56" w14:paraId="288FE398" w14:textId="77777777" w:rsidTr="004179DE">
        <w:trPr>
          <w:trHeight w:val="255"/>
          <w:jc w:val="center"/>
        </w:trPr>
        <w:tc>
          <w:tcPr>
            <w:tcW w:w="4912" w:type="dxa"/>
            <w:shd w:val="clear" w:color="auto" w:fill="DBE5F1"/>
            <w:vAlign w:val="center"/>
          </w:tcPr>
          <w:p w14:paraId="6EAEBB11"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404B6C8B"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141DCD09" w14:textId="77777777" w:rsidTr="004179DE">
        <w:trPr>
          <w:trHeight w:val="255"/>
          <w:jc w:val="center"/>
        </w:trPr>
        <w:tc>
          <w:tcPr>
            <w:tcW w:w="4912" w:type="dxa"/>
            <w:shd w:val="clear" w:color="auto" w:fill="DBE5F1"/>
            <w:vAlign w:val="center"/>
          </w:tcPr>
          <w:p w14:paraId="331B028E"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2E3DCE3D"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248C2562" w14:textId="77777777" w:rsidTr="004179DE">
        <w:trPr>
          <w:trHeight w:val="255"/>
          <w:jc w:val="center"/>
        </w:trPr>
        <w:tc>
          <w:tcPr>
            <w:tcW w:w="4912" w:type="dxa"/>
            <w:shd w:val="clear" w:color="auto" w:fill="auto"/>
            <w:vAlign w:val="center"/>
          </w:tcPr>
          <w:p w14:paraId="564F81B3"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432F890B"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11A93CBF"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19ED9D3B" w14:textId="77777777" w:rsidTr="00351D17">
        <w:trPr>
          <w:trHeight w:val="255"/>
          <w:jc w:val="center"/>
        </w:trPr>
        <w:tc>
          <w:tcPr>
            <w:tcW w:w="4912" w:type="dxa"/>
            <w:vMerge w:val="restart"/>
            <w:shd w:val="clear" w:color="auto" w:fill="auto"/>
            <w:vAlign w:val="center"/>
          </w:tcPr>
          <w:p w14:paraId="2F82EAB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11</w:t>
            </w:r>
            <w:r w:rsidRPr="003A7F56">
              <w:rPr>
                <w:rFonts w:ascii="TimesNewRoman" w:hAnsi="TimesNewRoman" w:cs="TimesNewRoman"/>
                <w:sz w:val="20"/>
                <w:szCs w:val="20"/>
              </w:rPr>
              <w:t xml:space="preserve"> – </w:t>
            </w:r>
            <w:r>
              <w:rPr>
                <w:rFonts w:ascii="TimesNewRoman" w:hAnsi="TimesNewRoman" w:cs="TimesNewRoman"/>
                <w:sz w:val="20"/>
                <w:szCs w:val="20"/>
              </w:rPr>
              <w:t>Posilnenie konkurencieschopnosti a rastu MSP</w:t>
            </w:r>
          </w:p>
        </w:tc>
        <w:tc>
          <w:tcPr>
            <w:tcW w:w="2120" w:type="dxa"/>
            <w:shd w:val="clear" w:color="auto" w:fill="auto"/>
            <w:vAlign w:val="center"/>
          </w:tcPr>
          <w:p w14:paraId="4C72EDE1" w14:textId="77777777" w:rsidR="00E10737" w:rsidRPr="00C270B2" w:rsidRDefault="00E10737" w:rsidP="004179DE">
            <w:pPr>
              <w:autoSpaceDE w:val="0"/>
              <w:autoSpaceDN w:val="0"/>
              <w:adjustRightInd w:val="0"/>
              <w:jc w:val="center"/>
              <w:rPr>
                <w:sz w:val="18"/>
              </w:rPr>
            </w:pPr>
            <w:r w:rsidRPr="00C270B2">
              <w:rPr>
                <w:sz w:val="18"/>
              </w:rPr>
              <w:t>001</w:t>
            </w:r>
          </w:p>
        </w:tc>
        <w:tc>
          <w:tcPr>
            <w:tcW w:w="2040" w:type="dxa"/>
            <w:shd w:val="clear" w:color="auto" w:fill="auto"/>
            <w:vAlign w:val="center"/>
          </w:tcPr>
          <w:p w14:paraId="701CBF8E" w14:textId="227F233E" w:rsidR="00E10737" w:rsidRPr="00C270B2" w:rsidRDefault="00105712" w:rsidP="00105712">
            <w:pPr>
              <w:autoSpaceDE w:val="0"/>
              <w:autoSpaceDN w:val="0"/>
              <w:adjustRightInd w:val="0"/>
              <w:jc w:val="center"/>
              <w:rPr>
                <w:sz w:val="18"/>
                <w:szCs w:val="18"/>
              </w:rPr>
            </w:pPr>
            <w:r>
              <w:rPr>
                <w:sz w:val="18"/>
                <w:szCs w:val="18"/>
              </w:rPr>
              <w:t>175</w:t>
            </w:r>
            <w:r w:rsidR="002E1CB6">
              <w:rPr>
                <w:sz w:val="18"/>
                <w:szCs w:val="18"/>
              </w:rPr>
              <w:t xml:space="preserve"> </w:t>
            </w:r>
            <w:r w:rsidR="00E10737" w:rsidRPr="00351D17">
              <w:rPr>
                <w:sz w:val="18"/>
                <w:szCs w:val="18"/>
              </w:rPr>
              <w:t>551</w:t>
            </w:r>
            <w:r w:rsidR="00E10737" w:rsidRPr="00351D17">
              <w:rPr>
                <w:spacing w:val="-5"/>
                <w:sz w:val="18"/>
                <w:szCs w:val="18"/>
              </w:rPr>
              <w:t xml:space="preserve"> </w:t>
            </w:r>
            <w:r w:rsidR="00E10737" w:rsidRPr="00351D17">
              <w:rPr>
                <w:sz w:val="18"/>
                <w:szCs w:val="18"/>
              </w:rPr>
              <w:t>395,00</w:t>
            </w:r>
          </w:p>
        </w:tc>
      </w:tr>
      <w:tr w:rsidR="00E10737" w:rsidRPr="003A7F56" w14:paraId="70345E3A" w14:textId="77777777" w:rsidTr="00351D17">
        <w:trPr>
          <w:trHeight w:val="255"/>
          <w:jc w:val="center"/>
        </w:trPr>
        <w:tc>
          <w:tcPr>
            <w:tcW w:w="4912" w:type="dxa"/>
            <w:vMerge/>
            <w:shd w:val="clear" w:color="auto" w:fill="auto"/>
            <w:vAlign w:val="center"/>
          </w:tcPr>
          <w:p w14:paraId="4BB5909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F79A903" w14:textId="77777777" w:rsidR="00E10737" w:rsidRPr="00C270B2" w:rsidRDefault="00E10737" w:rsidP="004179DE">
            <w:pPr>
              <w:autoSpaceDE w:val="0"/>
              <w:autoSpaceDN w:val="0"/>
              <w:adjustRightInd w:val="0"/>
              <w:jc w:val="center"/>
              <w:rPr>
                <w:sz w:val="18"/>
              </w:rPr>
            </w:pPr>
            <w:r w:rsidRPr="00C270B2">
              <w:rPr>
                <w:sz w:val="18"/>
              </w:rPr>
              <w:t>056</w:t>
            </w:r>
          </w:p>
        </w:tc>
        <w:tc>
          <w:tcPr>
            <w:tcW w:w="2040" w:type="dxa"/>
            <w:shd w:val="clear" w:color="auto" w:fill="auto"/>
            <w:vAlign w:val="center"/>
          </w:tcPr>
          <w:p w14:paraId="495580A0" w14:textId="0277CCC1" w:rsidR="00E10737" w:rsidRPr="00C270B2" w:rsidRDefault="00E10737" w:rsidP="00105712">
            <w:pPr>
              <w:autoSpaceDE w:val="0"/>
              <w:autoSpaceDN w:val="0"/>
              <w:adjustRightInd w:val="0"/>
              <w:jc w:val="center"/>
              <w:rPr>
                <w:sz w:val="18"/>
                <w:szCs w:val="18"/>
                <w:lang w:val="en-US"/>
              </w:rPr>
            </w:pPr>
            <w:r w:rsidRPr="00351D17">
              <w:rPr>
                <w:spacing w:val="-6"/>
                <w:sz w:val="18"/>
                <w:szCs w:val="18"/>
              </w:rPr>
              <w:t xml:space="preserve"> </w:t>
            </w:r>
            <w:r w:rsidR="00105712">
              <w:rPr>
                <w:spacing w:val="-6"/>
                <w:sz w:val="18"/>
                <w:szCs w:val="18"/>
              </w:rPr>
              <w:t>15</w:t>
            </w:r>
            <w:r w:rsidR="002E1CB6">
              <w:rPr>
                <w:spacing w:val="-6"/>
                <w:sz w:val="18"/>
                <w:szCs w:val="18"/>
              </w:rPr>
              <w:t xml:space="preserve"> </w:t>
            </w:r>
            <w:r w:rsidRPr="00351D17">
              <w:rPr>
                <w:sz w:val="18"/>
                <w:szCs w:val="18"/>
              </w:rPr>
              <w:t>900</w:t>
            </w:r>
            <w:r w:rsidRPr="00351D17">
              <w:rPr>
                <w:spacing w:val="-5"/>
                <w:sz w:val="18"/>
                <w:szCs w:val="18"/>
              </w:rPr>
              <w:t xml:space="preserve"> </w:t>
            </w:r>
            <w:r w:rsidRPr="00351D17">
              <w:rPr>
                <w:sz w:val="18"/>
                <w:szCs w:val="18"/>
              </w:rPr>
              <w:t>000,00</w:t>
            </w:r>
          </w:p>
        </w:tc>
      </w:tr>
      <w:tr w:rsidR="00E10737" w:rsidRPr="003A7F56" w14:paraId="658EE7CB" w14:textId="77777777" w:rsidTr="00351D17">
        <w:trPr>
          <w:trHeight w:val="255"/>
          <w:jc w:val="center"/>
        </w:trPr>
        <w:tc>
          <w:tcPr>
            <w:tcW w:w="4912" w:type="dxa"/>
            <w:vMerge/>
            <w:shd w:val="clear" w:color="auto" w:fill="auto"/>
            <w:vAlign w:val="center"/>
          </w:tcPr>
          <w:p w14:paraId="240FCAB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CDF7FE8" w14:textId="77777777" w:rsidR="00E10737" w:rsidRPr="00C270B2" w:rsidRDefault="00E10737" w:rsidP="004179DE">
            <w:pPr>
              <w:autoSpaceDE w:val="0"/>
              <w:autoSpaceDN w:val="0"/>
              <w:adjustRightInd w:val="0"/>
              <w:jc w:val="center"/>
              <w:rPr>
                <w:sz w:val="18"/>
              </w:rPr>
            </w:pPr>
            <w:r w:rsidRPr="00C270B2">
              <w:rPr>
                <w:sz w:val="18"/>
              </w:rPr>
              <w:t>063</w:t>
            </w:r>
          </w:p>
        </w:tc>
        <w:tc>
          <w:tcPr>
            <w:tcW w:w="2040" w:type="dxa"/>
            <w:shd w:val="clear" w:color="auto" w:fill="auto"/>
            <w:vAlign w:val="center"/>
          </w:tcPr>
          <w:p w14:paraId="753AA312" w14:textId="77777777" w:rsidR="00E10737" w:rsidRPr="00C270B2" w:rsidRDefault="00E10737" w:rsidP="00C270B2">
            <w:pPr>
              <w:autoSpaceDE w:val="0"/>
              <w:autoSpaceDN w:val="0"/>
              <w:adjustRightInd w:val="0"/>
              <w:jc w:val="center"/>
              <w:rPr>
                <w:sz w:val="18"/>
                <w:szCs w:val="18"/>
                <w:lang w:val="en-US"/>
              </w:rPr>
            </w:pPr>
            <w:r w:rsidRPr="00351D17">
              <w:rPr>
                <w:sz w:val="18"/>
                <w:szCs w:val="18"/>
              </w:rPr>
              <w:t>12</w:t>
            </w:r>
            <w:r w:rsidRPr="00351D17">
              <w:rPr>
                <w:spacing w:val="-6"/>
                <w:sz w:val="18"/>
                <w:szCs w:val="18"/>
              </w:rPr>
              <w:t xml:space="preserve"> </w:t>
            </w:r>
            <w:r w:rsidRPr="00351D17">
              <w:rPr>
                <w:sz w:val="18"/>
                <w:szCs w:val="18"/>
              </w:rPr>
              <w:t>657</w:t>
            </w:r>
            <w:r w:rsidRPr="00351D17">
              <w:rPr>
                <w:spacing w:val="-5"/>
                <w:sz w:val="18"/>
                <w:szCs w:val="18"/>
              </w:rPr>
              <w:t xml:space="preserve"> </w:t>
            </w:r>
            <w:r w:rsidRPr="00351D17">
              <w:rPr>
                <w:sz w:val="18"/>
                <w:szCs w:val="18"/>
              </w:rPr>
              <w:t>370,00</w:t>
            </w:r>
          </w:p>
        </w:tc>
      </w:tr>
      <w:tr w:rsidR="00E10737" w:rsidRPr="003A7F56" w14:paraId="47C30580" w14:textId="77777777" w:rsidTr="00351D17">
        <w:trPr>
          <w:trHeight w:val="255"/>
          <w:jc w:val="center"/>
        </w:trPr>
        <w:tc>
          <w:tcPr>
            <w:tcW w:w="4912" w:type="dxa"/>
            <w:vMerge/>
            <w:shd w:val="clear" w:color="auto" w:fill="auto"/>
            <w:vAlign w:val="center"/>
          </w:tcPr>
          <w:p w14:paraId="365F3322"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D3977C3" w14:textId="77777777" w:rsidR="00E10737" w:rsidRPr="00C270B2" w:rsidRDefault="00E10737" w:rsidP="004179DE">
            <w:pPr>
              <w:autoSpaceDE w:val="0"/>
              <w:autoSpaceDN w:val="0"/>
              <w:adjustRightInd w:val="0"/>
              <w:jc w:val="center"/>
              <w:rPr>
                <w:sz w:val="18"/>
              </w:rPr>
            </w:pPr>
            <w:r w:rsidRPr="00C270B2">
              <w:rPr>
                <w:sz w:val="18"/>
              </w:rPr>
              <w:t>064</w:t>
            </w:r>
          </w:p>
        </w:tc>
        <w:tc>
          <w:tcPr>
            <w:tcW w:w="2040" w:type="dxa"/>
            <w:shd w:val="clear" w:color="auto" w:fill="auto"/>
            <w:vAlign w:val="center"/>
          </w:tcPr>
          <w:p w14:paraId="20B480EF" w14:textId="77777777" w:rsidR="00E10737" w:rsidRPr="00C270B2" w:rsidRDefault="00E10737" w:rsidP="00C270B2">
            <w:pPr>
              <w:autoSpaceDE w:val="0"/>
              <w:autoSpaceDN w:val="0"/>
              <w:adjustRightInd w:val="0"/>
              <w:jc w:val="center"/>
              <w:rPr>
                <w:sz w:val="18"/>
                <w:szCs w:val="18"/>
              </w:rPr>
            </w:pPr>
            <w:r w:rsidRPr="00351D17">
              <w:rPr>
                <w:sz w:val="18"/>
                <w:szCs w:val="18"/>
              </w:rPr>
              <w:t>12</w:t>
            </w:r>
            <w:r w:rsidRPr="00351D17">
              <w:rPr>
                <w:spacing w:val="-6"/>
                <w:sz w:val="18"/>
                <w:szCs w:val="18"/>
              </w:rPr>
              <w:t xml:space="preserve"> </w:t>
            </w:r>
            <w:r w:rsidRPr="00351D17">
              <w:rPr>
                <w:sz w:val="18"/>
                <w:szCs w:val="18"/>
              </w:rPr>
              <w:t>170</w:t>
            </w:r>
            <w:r w:rsidRPr="00351D17">
              <w:rPr>
                <w:spacing w:val="-5"/>
                <w:sz w:val="18"/>
                <w:szCs w:val="18"/>
              </w:rPr>
              <w:t xml:space="preserve"> </w:t>
            </w:r>
            <w:r w:rsidRPr="00351D17">
              <w:rPr>
                <w:sz w:val="18"/>
                <w:szCs w:val="18"/>
              </w:rPr>
              <w:t>000,00</w:t>
            </w:r>
          </w:p>
        </w:tc>
      </w:tr>
      <w:tr w:rsidR="00E10737" w:rsidRPr="003A7F56" w14:paraId="7F734276" w14:textId="77777777" w:rsidTr="00351D17">
        <w:trPr>
          <w:trHeight w:val="255"/>
          <w:jc w:val="center"/>
        </w:trPr>
        <w:tc>
          <w:tcPr>
            <w:tcW w:w="4912" w:type="dxa"/>
            <w:vMerge/>
            <w:shd w:val="clear" w:color="auto" w:fill="auto"/>
            <w:vAlign w:val="center"/>
          </w:tcPr>
          <w:p w14:paraId="1FB6CD94"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2F96495" w14:textId="77777777" w:rsidR="00E10737" w:rsidRPr="00C270B2" w:rsidRDefault="00E10737" w:rsidP="004179DE">
            <w:pPr>
              <w:autoSpaceDE w:val="0"/>
              <w:autoSpaceDN w:val="0"/>
              <w:adjustRightInd w:val="0"/>
              <w:jc w:val="center"/>
              <w:rPr>
                <w:sz w:val="18"/>
              </w:rPr>
            </w:pPr>
            <w:r w:rsidRPr="00C270B2">
              <w:rPr>
                <w:sz w:val="18"/>
              </w:rPr>
              <w:t>066</w:t>
            </w:r>
          </w:p>
        </w:tc>
        <w:tc>
          <w:tcPr>
            <w:tcW w:w="2040" w:type="dxa"/>
            <w:shd w:val="clear" w:color="auto" w:fill="auto"/>
            <w:vAlign w:val="center"/>
          </w:tcPr>
          <w:p w14:paraId="74947C58" w14:textId="3EA3C937" w:rsidR="00E10737" w:rsidRPr="00C270B2" w:rsidRDefault="00105712" w:rsidP="00105712">
            <w:pPr>
              <w:autoSpaceDE w:val="0"/>
              <w:autoSpaceDN w:val="0"/>
              <w:adjustRightInd w:val="0"/>
              <w:jc w:val="center"/>
              <w:rPr>
                <w:sz w:val="18"/>
                <w:szCs w:val="18"/>
              </w:rPr>
            </w:pPr>
            <w:r>
              <w:rPr>
                <w:spacing w:val="-6"/>
                <w:sz w:val="18"/>
                <w:szCs w:val="18"/>
              </w:rPr>
              <w:t>72</w:t>
            </w:r>
            <w:r w:rsidR="002E1CB6">
              <w:rPr>
                <w:spacing w:val="-6"/>
                <w:sz w:val="18"/>
                <w:szCs w:val="18"/>
              </w:rPr>
              <w:t xml:space="preserve"> </w:t>
            </w:r>
            <w:r w:rsidR="00E10737" w:rsidRPr="00351D17">
              <w:rPr>
                <w:sz w:val="18"/>
                <w:szCs w:val="18"/>
              </w:rPr>
              <w:t>890</w:t>
            </w:r>
            <w:r w:rsidR="00E10737" w:rsidRPr="00351D17">
              <w:rPr>
                <w:spacing w:val="-5"/>
                <w:sz w:val="18"/>
                <w:szCs w:val="18"/>
              </w:rPr>
              <w:t xml:space="preserve"> </w:t>
            </w:r>
            <w:r w:rsidR="00E10737" w:rsidRPr="00351D17">
              <w:rPr>
                <w:sz w:val="18"/>
                <w:szCs w:val="18"/>
              </w:rPr>
              <w:t>420,00</w:t>
            </w:r>
          </w:p>
        </w:tc>
      </w:tr>
      <w:tr w:rsidR="00E10737" w:rsidRPr="003A7F56" w14:paraId="647787B5" w14:textId="77777777" w:rsidTr="00351D17">
        <w:trPr>
          <w:trHeight w:val="255"/>
          <w:jc w:val="center"/>
        </w:trPr>
        <w:tc>
          <w:tcPr>
            <w:tcW w:w="4912" w:type="dxa"/>
            <w:vMerge/>
            <w:shd w:val="clear" w:color="auto" w:fill="auto"/>
            <w:vAlign w:val="center"/>
          </w:tcPr>
          <w:p w14:paraId="03C9AAD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AACE62E" w14:textId="77777777" w:rsidR="00E10737" w:rsidRPr="00C270B2" w:rsidRDefault="00E10737" w:rsidP="004179DE">
            <w:pPr>
              <w:autoSpaceDE w:val="0"/>
              <w:autoSpaceDN w:val="0"/>
              <w:adjustRightInd w:val="0"/>
              <w:jc w:val="center"/>
              <w:rPr>
                <w:sz w:val="18"/>
              </w:rPr>
            </w:pPr>
            <w:r w:rsidRPr="00C270B2">
              <w:rPr>
                <w:sz w:val="18"/>
              </w:rPr>
              <w:t>067</w:t>
            </w:r>
          </w:p>
        </w:tc>
        <w:tc>
          <w:tcPr>
            <w:tcW w:w="2040" w:type="dxa"/>
            <w:shd w:val="clear" w:color="auto" w:fill="auto"/>
            <w:vAlign w:val="center"/>
          </w:tcPr>
          <w:p w14:paraId="06076342" w14:textId="2C6B2BE2" w:rsidR="00E10737" w:rsidRPr="00C270B2" w:rsidRDefault="00E10737" w:rsidP="00105712">
            <w:pPr>
              <w:autoSpaceDE w:val="0"/>
              <w:autoSpaceDN w:val="0"/>
              <w:adjustRightInd w:val="0"/>
              <w:jc w:val="center"/>
              <w:rPr>
                <w:sz w:val="18"/>
                <w:szCs w:val="18"/>
              </w:rPr>
            </w:pPr>
            <w:r w:rsidRPr="00351D17">
              <w:rPr>
                <w:spacing w:val="-6"/>
                <w:sz w:val="18"/>
                <w:szCs w:val="18"/>
              </w:rPr>
              <w:t xml:space="preserve"> </w:t>
            </w:r>
            <w:r w:rsidR="00105712">
              <w:rPr>
                <w:spacing w:val="-6"/>
                <w:sz w:val="18"/>
                <w:szCs w:val="18"/>
              </w:rPr>
              <w:t>63</w:t>
            </w:r>
            <w:r w:rsidR="002E1CB6">
              <w:rPr>
                <w:spacing w:val="-6"/>
                <w:sz w:val="18"/>
                <w:szCs w:val="18"/>
              </w:rPr>
              <w:t xml:space="preserve"> </w:t>
            </w:r>
            <w:r w:rsidRPr="00351D17">
              <w:rPr>
                <w:sz w:val="18"/>
                <w:szCs w:val="18"/>
              </w:rPr>
              <w:t>645</w:t>
            </w:r>
            <w:r w:rsidRPr="00351D17">
              <w:rPr>
                <w:spacing w:val="-5"/>
                <w:sz w:val="18"/>
                <w:szCs w:val="18"/>
              </w:rPr>
              <w:t xml:space="preserve"> </w:t>
            </w:r>
            <w:r w:rsidRPr="00351D17">
              <w:rPr>
                <w:sz w:val="18"/>
                <w:szCs w:val="18"/>
              </w:rPr>
              <w:t>815,00</w:t>
            </w:r>
          </w:p>
        </w:tc>
      </w:tr>
      <w:tr w:rsidR="00E10737" w:rsidRPr="003A7F56" w14:paraId="54349031" w14:textId="77777777" w:rsidTr="00351D17">
        <w:trPr>
          <w:trHeight w:val="255"/>
          <w:jc w:val="center"/>
        </w:trPr>
        <w:tc>
          <w:tcPr>
            <w:tcW w:w="4912" w:type="dxa"/>
            <w:vMerge/>
            <w:shd w:val="clear" w:color="auto" w:fill="auto"/>
            <w:vAlign w:val="center"/>
          </w:tcPr>
          <w:p w14:paraId="589E157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3A9CFCB" w14:textId="77777777" w:rsidR="00E10737" w:rsidRPr="00C270B2" w:rsidRDefault="00E10737" w:rsidP="004179DE">
            <w:pPr>
              <w:autoSpaceDE w:val="0"/>
              <w:autoSpaceDN w:val="0"/>
              <w:adjustRightInd w:val="0"/>
              <w:jc w:val="center"/>
              <w:rPr>
                <w:sz w:val="18"/>
              </w:rPr>
            </w:pPr>
            <w:r w:rsidRPr="00C270B2">
              <w:rPr>
                <w:sz w:val="18"/>
              </w:rPr>
              <w:t>068</w:t>
            </w:r>
          </w:p>
        </w:tc>
        <w:tc>
          <w:tcPr>
            <w:tcW w:w="2040" w:type="dxa"/>
            <w:shd w:val="clear" w:color="auto" w:fill="auto"/>
            <w:vAlign w:val="center"/>
          </w:tcPr>
          <w:p w14:paraId="6495719D" w14:textId="77777777" w:rsidR="00E10737" w:rsidRPr="00C270B2" w:rsidRDefault="00E10737" w:rsidP="00C270B2">
            <w:pPr>
              <w:autoSpaceDE w:val="0"/>
              <w:autoSpaceDN w:val="0"/>
              <w:adjustRightInd w:val="0"/>
              <w:jc w:val="center"/>
              <w:rPr>
                <w:sz w:val="18"/>
                <w:szCs w:val="18"/>
              </w:rPr>
            </w:pPr>
            <w:r w:rsidRPr="00351D17">
              <w:rPr>
                <w:sz w:val="18"/>
                <w:szCs w:val="18"/>
              </w:rPr>
              <w:t>2</w:t>
            </w:r>
            <w:r w:rsidRPr="00351D17">
              <w:rPr>
                <w:spacing w:val="-7"/>
                <w:sz w:val="18"/>
                <w:szCs w:val="18"/>
              </w:rPr>
              <w:t xml:space="preserve"> </w:t>
            </w:r>
            <w:r w:rsidRPr="00351D17">
              <w:rPr>
                <w:sz w:val="18"/>
                <w:szCs w:val="18"/>
              </w:rPr>
              <w:t>500</w:t>
            </w:r>
            <w:r w:rsidRPr="00351D17">
              <w:rPr>
                <w:spacing w:val="-6"/>
                <w:sz w:val="18"/>
                <w:szCs w:val="18"/>
              </w:rPr>
              <w:t xml:space="preserve"> </w:t>
            </w:r>
            <w:r w:rsidRPr="00351D17">
              <w:rPr>
                <w:sz w:val="18"/>
                <w:szCs w:val="18"/>
              </w:rPr>
              <w:t>000,00</w:t>
            </w:r>
          </w:p>
        </w:tc>
      </w:tr>
      <w:tr w:rsidR="00E10737" w:rsidRPr="003A7F56" w14:paraId="7F1B5171" w14:textId="77777777" w:rsidTr="00351D17">
        <w:trPr>
          <w:trHeight w:val="255"/>
          <w:jc w:val="center"/>
        </w:trPr>
        <w:tc>
          <w:tcPr>
            <w:tcW w:w="4912" w:type="dxa"/>
            <w:vMerge/>
            <w:shd w:val="clear" w:color="auto" w:fill="auto"/>
            <w:vAlign w:val="center"/>
          </w:tcPr>
          <w:p w14:paraId="7F8C80D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C36A3AC" w14:textId="77777777" w:rsidR="00E10737" w:rsidRPr="00C270B2" w:rsidRDefault="00E10737" w:rsidP="004179DE">
            <w:pPr>
              <w:autoSpaceDE w:val="0"/>
              <w:autoSpaceDN w:val="0"/>
              <w:adjustRightInd w:val="0"/>
              <w:jc w:val="center"/>
              <w:rPr>
                <w:sz w:val="18"/>
              </w:rPr>
            </w:pPr>
            <w:r w:rsidRPr="00C270B2">
              <w:rPr>
                <w:sz w:val="18"/>
              </w:rPr>
              <w:t>069</w:t>
            </w:r>
          </w:p>
        </w:tc>
        <w:tc>
          <w:tcPr>
            <w:tcW w:w="2040" w:type="dxa"/>
            <w:shd w:val="clear" w:color="auto" w:fill="auto"/>
            <w:vAlign w:val="center"/>
          </w:tcPr>
          <w:p w14:paraId="6731DDEA" w14:textId="77777777" w:rsidR="00E10737" w:rsidRPr="00C270B2" w:rsidRDefault="00E10737" w:rsidP="00C270B2">
            <w:pPr>
              <w:autoSpaceDE w:val="0"/>
              <w:autoSpaceDN w:val="0"/>
              <w:adjustRightInd w:val="0"/>
              <w:jc w:val="center"/>
              <w:rPr>
                <w:sz w:val="18"/>
                <w:szCs w:val="18"/>
              </w:rPr>
            </w:pPr>
            <w:r w:rsidRPr="00351D17">
              <w:rPr>
                <w:sz w:val="18"/>
                <w:szCs w:val="18"/>
              </w:rPr>
              <w:t>21</w:t>
            </w:r>
            <w:r w:rsidRPr="00351D17">
              <w:rPr>
                <w:spacing w:val="-6"/>
                <w:sz w:val="18"/>
                <w:szCs w:val="18"/>
              </w:rPr>
              <w:t xml:space="preserve"> </w:t>
            </w:r>
            <w:r w:rsidRPr="00351D17">
              <w:rPr>
                <w:sz w:val="18"/>
                <w:szCs w:val="18"/>
              </w:rPr>
              <w:t>900</w:t>
            </w:r>
            <w:r w:rsidRPr="00351D17">
              <w:rPr>
                <w:spacing w:val="-5"/>
                <w:sz w:val="18"/>
                <w:szCs w:val="18"/>
              </w:rPr>
              <w:t xml:space="preserve"> </w:t>
            </w:r>
            <w:r w:rsidRPr="00351D17">
              <w:rPr>
                <w:sz w:val="18"/>
                <w:szCs w:val="18"/>
              </w:rPr>
              <w:t>000,00</w:t>
            </w:r>
          </w:p>
        </w:tc>
      </w:tr>
      <w:tr w:rsidR="00E10737" w:rsidRPr="003A7F56" w14:paraId="3F78AA81" w14:textId="77777777" w:rsidTr="00351D17">
        <w:trPr>
          <w:trHeight w:val="255"/>
          <w:jc w:val="center"/>
        </w:trPr>
        <w:tc>
          <w:tcPr>
            <w:tcW w:w="4912" w:type="dxa"/>
            <w:vMerge/>
            <w:shd w:val="clear" w:color="auto" w:fill="auto"/>
            <w:vAlign w:val="center"/>
          </w:tcPr>
          <w:p w14:paraId="56104A6B"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A03DA24" w14:textId="77777777" w:rsidR="00E10737" w:rsidRPr="00C270B2" w:rsidRDefault="00E10737" w:rsidP="004179DE">
            <w:pPr>
              <w:autoSpaceDE w:val="0"/>
              <w:autoSpaceDN w:val="0"/>
              <w:adjustRightInd w:val="0"/>
              <w:jc w:val="center"/>
              <w:rPr>
                <w:sz w:val="18"/>
              </w:rPr>
            </w:pPr>
            <w:r w:rsidRPr="00C270B2">
              <w:rPr>
                <w:sz w:val="18"/>
              </w:rPr>
              <w:t>073</w:t>
            </w:r>
          </w:p>
        </w:tc>
        <w:tc>
          <w:tcPr>
            <w:tcW w:w="2040" w:type="dxa"/>
            <w:shd w:val="clear" w:color="auto" w:fill="auto"/>
            <w:vAlign w:val="center"/>
          </w:tcPr>
          <w:p w14:paraId="10D466CE" w14:textId="267F3BF8" w:rsidR="00E10737" w:rsidRPr="00C270B2" w:rsidRDefault="00E10737" w:rsidP="00105712">
            <w:pPr>
              <w:autoSpaceDE w:val="0"/>
              <w:autoSpaceDN w:val="0"/>
              <w:adjustRightInd w:val="0"/>
              <w:jc w:val="center"/>
              <w:rPr>
                <w:sz w:val="18"/>
                <w:szCs w:val="18"/>
              </w:rPr>
            </w:pPr>
            <w:r w:rsidRPr="00351D17">
              <w:rPr>
                <w:spacing w:val="-7"/>
                <w:sz w:val="18"/>
                <w:szCs w:val="18"/>
              </w:rPr>
              <w:t xml:space="preserve"> </w:t>
            </w:r>
            <w:r w:rsidR="00105712">
              <w:rPr>
                <w:spacing w:val="-7"/>
                <w:sz w:val="18"/>
                <w:szCs w:val="18"/>
              </w:rPr>
              <w:t>12</w:t>
            </w:r>
            <w:r w:rsidR="002E1CB6">
              <w:rPr>
                <w:spacing w:val="-7"/>
                <w:sz w:val="18"/>
                <w:szCs w:val="18"/>
              </w:rPr>
              <w:t xml:space="preserve"> </w:t>
            </w:r>
            <w:r w:rsidRPr="00351D17">
              <w:rPr>
                <w:sz w:val="18"/>
                <w:szCs w:val="18"/>
              </w:rPr>
              <w:t>600</w:t>
            </w:r>
            <w:r w:rsidRPr="00351D17">
              <w:rPr>
                <w:spacing w:val="-6"/>
                <w:sz w:val="18"/>
                <w:szCs w:val="18"/>
              </w:rPr>
              <w:t xml:space="preserve"> </w:t>
            </w:r>
            <w:r w:rsidRPr="00351D17">
              <w:rPr>
                <w:sz w:val="18"/>
                <w:szCs w:val="18"/>
              </w:rPr>
              <w:t>000,00</w:t>
            </w:r>
          </w:p>
        </w:tc>
      </w:tr>
      <w:tr w:rsidR="00E10737" w:rsidRPr="003A7F56" w14:paraId="31C1CA32" w14:textId="77777777" w:rsidTr="00351D17">
        <w:trPr>
          <w:trHeight w:val="255"/>
          <w:jc w:val="center"/>
        </w:trPr>
        <w:tc>
          <w:tcPr>
            <w:tcW w:w="4912" w:type="dxa"/>
            <w:vMerge/>
            <w:shd w:val="clear" w:color="auto" w:fill="auto"/>
            <w:vAlign w:val="center"/>
          </w:tcPr>
          <w:p w14:paraId="1331DD2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AFDBCD0" w14:textId="77777777" w:rsidR="00E10737" w:rsidRPr="00C270B2" w:rsidRDefault="00E10737" w:rsidP="004179DE">
            <w:pPr>
              <w:autoSpaceDE w:val="0"/>
              <w:autoSpaceDN w:val="0"/>
              <w:adjustRightInd w:val="0"/>
              <w:jc w:val="center"/>
              <w:rPr>
                <w:sz w:val="18"/>
              </w:rPr>
            </w:pPr>
            <w:r w:rsidRPr="00C270B2">
              <w:rPr>
                <w:sz w:val="18"/>
              </w:rPr>
              <w:t>076</w:t>
            </w:r>
          </w:p>
        </w:tc>
        <w:tc>
          <w:tcPr>
            <w:tcW w:w="2040" w:type="dxa"/>
            <w:shd w:val="clear" w:color="auto" w:fill="auto"/>
            <w:vAlign w:val="center"/>
          </w:tcPr>
          <w:p w14:paraId="734178BC" w14:textId="77777777" w:rsidR="00E10737" w:rsidRPr="00C270B2" w:rsidRDefault="00E10737" w:rsidP="00C270B2">
            <w:pPr>
              <w:autoSpaceDE w:val="0"/>
              <w:autoSpaceDN w:val="0"/>
              <w:adjustRightInd w:val="0"/>
              <w:jc w:val="center"/>
              <w:rPr>
                <w:sz w:val="18"/>
                <w:szCs w:val="18"/>
              </w:rPr>
            </w:pPr>
            <w:r w:rsidRPr="00351D17">
              <w:rPr>
                <w:sz w:val="18"/>
                <w:szCs w:val="18"/>
              </w:rPr>
              <w:t>10</w:t>
            </w:r>
            <w:r w:rsidRPr="00351D17">
              <w:rPr>
                <w:spacing w:val="-6"/>
                <w:sz w:val="18"/>
                <w:szCs w:val="18"/>
              </w:rPr>
              <w:t xml:space="preserve"> </w:t>
            </w:r>
            <w:r w:rsidRPr="00351D17">
              <w:rPr>
                <w:sz w:val="18"/>
                <w:szCs w:val="18"/>
              </w:rPr>
              <w:t>000</w:t>
            </w:r>
            <w:r w:rsidRPr="00351D17">
              <w:rPr>
                <w:spacing w:val="-5"/>
                <w:sz w:val="18"/>
                <w:szCs w:val="18"/>
              </w:rPr>
              <w:t xml:space="preserve"> </w:t>
            </w:r>
            <w:r w:rsidRPr="00351D17">
              <w:rPr>
                <w:sz w:val="18"/>
                <w:szCs w:val="18"/>
              </w:rPr>
              <w:t>000,00</w:t>
            </w:r>
          </w:p>
        </w:tc>
      </w:tr>
      <w:tr w:rsidR="00E10737" w:rsidRPr="003A7F56" w14:paraId="00A73B31" w14:textId="77777777" w:rsidTr="00351D17">
        <w:trPr>
          <w:trHeight w:val="255"/>
          <w:jc w:val="center"/>
        </w:trPr>
        <w:tc>
          <w:tcPr>
            <w:tcW w:w="4912" w:type="dxa"/>
            <w:vMerge/>
            <w:shd w:val="clear" w:color="auto" w:fill="auto"/>
            <w:vAlign w:val="center"/>
          </w:tcPr>
          <w:p w14:paraId="7276AA6A"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D74A4EF" w14:textId="77777777" w:rsidR="00E10737" w:rsidRPr="00C270B2" w:rsidRDefault="00E10737" w:rsidP="004179DE">
            <w:pPr>
              <w:autoSpaceDE w:val="0"/>
              <w:autoSpaceDN w:val="0"/>
              <w:adjustRightInd w:val="0"/>
              <w:jc w:val="center"/>
              <w:rPr>
                <w:sz w:val="18"/>
              </w:rPr>
            </w:pPr>
            <w:r w:rsidRPr="00C270B2">
              <w:rPr>
                <w:sz w:val="18"/>
              </w:rPr>
              <w:t>077</w:t>
            </w:r>
          </w:p>
        </w:tc>
        <w:tc>
          <w:tcPr>
            <w:tcW w:w="2040" w:type="dxa"/>
            <w:shd w:val="clear" w:color="auto" w:fill="auto"/>
            <w:vAlign w:val="center"/>
          </w:tcPr>
          <w:p w14:paraId="0EE84B8E" w14:textId="77777777" w:rsidR="00E10737" w:rsidRPr="00C270B2" w:rsidRDefault="00E10737" w:rsidP="00C270B2">
            <w:pPr>
              <w:autoSpaceDE w:val="0"/>
              <w:autoSpaceDN w:val="0"/>
              <w:adjustRightInd w:val="0"/>
              <w:jc w:val="center"/>
              <w:rPr>
                <w:sz w:val="18"/>
                <w:szCs w:val="18"/>
              </w:rPr>
            </w:pPr>
            <w:r w:rsidRPr="00351D17">
              <w:rPr>
                <w:sz w:val="18"/>
                <w:szCs w:val="18"/>
              </w:rPr>
              <w:t>10</w:t>
            </w:r>
            <w:r w:rsidRPr="00351D17">
              <w:rPr>
                <w:spacing w:val="-6"/>
                <w:sz w:val="18"/>
                <w:szCs w:val="18"/>
              </w:rPr>
              <w:t xml:space="preserve"> </w:t>
            </w:r>
            <w:r w:rsidRPr="00351D17">
              <w:rPr>
                <w:sz w:val="18"/>
                <w:szCs w:val="18"/>
              </w:rPr>
              <w:t>000</w:t>
            </w:r>
            <w:r w:rsidRPr="00351D17">
              <w:rPr>
                <w:spacing w:val="-5"/>
                <w:sz w:val="18"/>
                <w:szCs w:val="18"/>
              </w:rPr>
              <w:t xml:space="preserve"> </w:t>
            </w:r>
            <w:r w:rsidRPr="00351D17">
              <w:rPr>
                <w:sz w:val="18"/>
                <w:szCs w:val="18"/>
              </w:rPr>
              <w:t>000,00</w:t>
            </w:r>
          </w:p>
        </w:tc>
      </w:tr>
      <w:tr w:rsidR="00E10737" w:rsidRPr="003A7F56" w14:paraId="205D007C" w14:textId="77777777" w:rsidTr="00351D17">
        <w:trPr>
          <w:trHeight w:val="255"/>
          <w:jc w:val="center"/>
        </w:trPr>
        <w:tc>
          <w:tcPr>
            <w:tcW w:w="4912" w:type="dxa"/>
            <w:vMerge/>
            <w:shd w:val="clear" w:color="auto" w:fill="auto"/>
            <w:vAlign w:val="center"/>
          </w:tcPr>
          <w:p w14:paraId="2A96678C"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70F27CC" w14:textId="77777777" w:rsidR="00E10737" w:rsidRPr="00C270B2" w:rsidRDefault="00E10737" w:rsidP="004179DE">
            <w:pPr>
              <w:autoSpaceDE w:val="0"/>
              <w:autoSpaceDN w:val="0"/>
              <w:adjustRightInd w:val="0"/>
              <w:jc w:val="center"/>
              <w:rPr>
                <w:sz w:val="18"/>
              </w:rPr>
            </w:pPr>
            <w:r w:rsidRPr="00C270B2">
              <w:rPr>
                <w:sz w:val="18"/>
              </w:rPr>
              <w:t>082</w:t>
            </w:r>
          </w:p>
        </w:tc>
        <w:tc>
          <w:tcPr>
            <w:tcW w:w="2040" w:type="dxa"/>
            <w:shd w:val="clear" w:color="auto" w:fill="auto"/>
            <w:vAlign w:val="center"/>
          </w:tcPr>
          <w:p w14:paraId="4B769C75" w14:textId="77777777" w:rsidR="00E10737" w:rsidRPr="00C270B2" w:rsidRDefault="00E10737" w:rsidP="00C270B2">
            <w:pPr>
              <w:autoSpaceDE w:val="0"/>
              <w:autoSpaceDN w:val="0"/>
              <w:adjustRightInd w:val="0"/>
              <w:jc w:val="center"/>
              <w:rPr>
                <w:sz w:val="18"/>
                <w:szCs w:val="18"/>
              </w:rPr>
            </w:pPr>
            <w:r w:rsidRPr="00351D17">
              <w:rPr>
                <w:sz w:val="18"/>
                <w:szCs w:val="18"/>
              </w:rPr>
              <w:t>6</w:t>
            </w:r>
            <w:r w:rsidRPr="00351D17">
              <w:rPr>
                <w:spacing w:val="-7"/>
                <w:sz w:val="18"/>
                <w:szCs w:val="18"/>
              </w:rPr>
              <w:t xml:space="preserve"> </w:t>
            </w:r>
            <w:r w:rsidRPr="00351D17">
              <w:rPr>
                <w:sz w:val="18"/>
                <w:szCs w:val="18"/>
              </w:rPr>
              <w:t>600</w:t>
            </w:r>
            <w:r w:rsidRPr="00351D17">
              <w:rPr>
                <w:spacing w:val="-6"/>
                <w:sz w:val="18"/>
                <w:szCs w:val="18"/>
              </w:rPr>
              <w:t xml:space="preserve"> </w:t>
            </w:r>
            <w:r w:rsidRPr="00351D17">
              <w:rPr>
                <w:sz w:val="18"/>
                <w:szCs w:val="18"/>
              </w:rPr>
              <w:t>000,00</w:t>
            </w:r>
          </w:p>
        </w:tc>
      </w:tr>
    </w:tbl>
    <w:p w14:paraId="2AE84F91"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3B954DCF" w14:textId="77777777" w:rsidTr="004179DE">
        <w:trPr>
          <w:trHeight w:val="255"/>
          <w:jc w:val="center"/>
        </w:trPr>
        <w:tc>
          <w:tcPr>
            <w:tcW w:w="9072" w:type="dxa"/>
            <w:gridSpan w:val="3"/>
            <w:shd w:val="clear" w:color="auto" w:fill="DBE5F1"/>
            <w:vAlign w:val="center"/>
          </w:tcPr>
          <w:p w14:paraId="2D414232"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E10737" w:rsidRPr="003A7F56" w14:paraId="124A1245" w14:textId="77777777" w:rsidTr="004179DE">
        <w:trPr>
          <w:trHeight w:val="255"/>
          <w:jc w:val="center"/>
        </w:trPr>
        <w:tc>
          <w:tcPr>
            <w:tcW w:w="4912" w:type="dxa"/>
            <w:shd w:val="clear" w:color="auto" w:fill="DBE5F1"/>
            <w:vAlign w:val="center"/>
          </w:tcPr>
          <w:p w14:paraId="69D6C946"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6FF482C7"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4A03D1B1" w14:textId="77777777" w:rsidTr="004179DE">
        <w:trPr>
          <w:trHeight w:val="255"/>
          <w:jc w:val="center"/>
        </w:trPr>
        <w:tc>
          <w:tcPr>
            <w:tcW w:w="4912" w:type="dxa"/>
            <w:shd w:val="clear" w:color="auto" w:fill="DBE5F1"/>
            <w:vAlign w:val="center"/>
          </w:tcPr>
          <w:p w14:paraId="3EAB8BDA"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5620F92B"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5E1567E7" w14:textId="77777777" w:rsidTr="004179DE">
        <w:trPr>
          <w:trHeight w:val="255"/>
          <w:jc w:val="center"/>
        </w:trPr>
        <w:tc>
          <w:tcPr>
            <w:tcW w:w="4912" w:type="dxa"/>
            <w:shd w:val="clear" w:color="auto" w:fill="auto"/>
            <w:vAlign w:val="center"/>
          </w:tcPr>
          <w:p w14:paraId="0F9062CC"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312AEA60"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566E3C8A"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3B49B402" w14:textId="77777777" w:rsidTr="00351D17">
        <w:trPr>
          <w:trHeight w:val="255"/>
          <w:jc w:val="center"/>
        </w:trPr>
        <w:tc>
          <w:tcPr>
            <w:tcW w:w="4912" w:type="dxa"/>
            <w:vMerge w:val="restart"/>
            <w:shd w:val="clear" w:color="auto" w:fill="auto"/>
            <w:vAlign w:val="center"/>
          </w:tcPr>
          <w:p w14:paraId="763FE6BA"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11</w:t>
            </w:r>
            <w:r w:rsidRPr="003A7F56">
              <w:rPr>
                <w:rFonts w:ascii="TimesNewRoman" w:hAnsi="TimesNewRoman" w:cs="TimesNewRoman"/>
                <w:sz w:val="20"/>
                <w:szCs w:val="20"/>
              </w:rPr>
              <w:t xml:space="preserve"> – </w:t>
            </w:r>
            <w:r>
              <w:rPr>
                <w:rFonts w:ascii="TimesNewRoman" w:hAnsi="TimesNewRoman" w:cs="TimesNewRoman"/>
                <w:sz w:val="20"/>
                <w:szCs w:val="20"/>
              </w:rPr>
              <w:t>Posilnenie konkurencieschopnosti a rastu MSP</w:t>
            </w:r>
          </w:p>
        </w:tc>
        <w:tc>
          <w:tcPr>
            <w:tcW w:w="2120" w:type="dxa"/>
            <w:shd w:val="clear" w:color="auto" w:fill="auto"/>
            <w:vAlign w:val="center"/>
          </w:tcPr>
          <w:p w14:paraId="0C83574C" w14:textId="77777777" w:rsidR="00E10737" w:rsidRPr="00C270B2" w:rsidRDefault="00E10737" w:rsidP="00C270B2">
            <w:pPr>
              <w:autoSpaceDE w:val="0"/>
              <w:autoSpaceDN w:val="0"/>
              <w:adjustRightInd w:val="0"/>
              <w:jc w:val="center"/>
              <w:rPr>
                <w:sz w:val="20"/>
                <w:szCs w:val="20"/>
              </w:rPr>
            </w:pPr>
            <w:r w:rsidRPr="00C270B2">
              <w:rPr>
                <w:sz w:val="18"/>
              </w:rPr>
              <w:t>01</w:t>
            </w:r>
          </w:p>
        </w:tc>
        <w:tc>
          <w:tcPr>
            <w:tcW w:w="2040" w:type="dxa"/>
            <w:shd w:val="clear" w:color="auto" w:fill="auto"/>
            <w:vAlign w:val="center"/>
          </w:tcPr>
          <w:p w14:paraId="25B8BD7A" w14:textId="7A2C5BC7" w:rsidR="00E10737" w:rsidRPr="00351D17" w:rsidRDefault="00105712" w:rsidP="00105712">
            <w:pPr>
              <w:autoSpaceDE w:val="0"/>
              <w:autoSpaceDN w:val="0"/>
              <w:adjustRightInd w:val="0"/>
              <w:jc w:val="center"/>
              <w:rPr>
                <w:sz w:val="18"/>
                <w:szCs w:val="18"/>
              </w:rPr>
            </w:pPr>
            <w:r>
              <w:rPr>
                <w:sz w:val="18"/>
                <w:szCs w:val="18"/>
              </w:rPr>
              <w:t>296 243 685</w:t>
            </w:r>
            <w:r w:rsidR="002E1CB6">
              <w:rPr>
                <w:sz w:val="18"/>
                <w:szCs w:val="18"/>
              </w:rPr>
              <w:t xml:space="preserve">,00 </w:t>
            </w:r>
          </w:p>
        </w:tc>
      </w:tr>
      <w:tr w:rsidR="00E10737" w:rsidRPr="003A7F56" w14:paraId="09CCB528" w14:textId="77777777" w:rsidTr="00351D17">
        <w:trPr>
          <w:trHeight w:val="255"/>
          <w:jc w:val="center"/>
        </w:trPr>
        <w:tc>
          <w:tcPr>
            <w:tcW w:w="4912" w:type="dxa"/>
            <w:vMerge/>
            <w:shd w:val="clear" w:color="auto" w:fill="auto"/>
            <w:vAlign w:val="center"/>
          </w:tcPr>
          <w:p w14:paraId="158B7D88"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35B84DA" w14:textId="77777777" w:rsidR="00E10737" w:rsidRPr="00C270B2" w:rsidRDefault="00E10737" w:rsidP="00C270B2">
            <w:pPr>
              <w:autoSpaceDE w:val="0"/>
              <w:autoSpaceDN w:val="0"/>
              <w:adjustRightInd w:val="0"/>
              <w:jc w:val="center"/>
              <w:rPr>
                <w:sz w:val="20"/>
                <w:szCs w:val="20"/>
              </w:rPr>
            </w:pPr>
            <w:r w:rsidRPr="00C270B2">
              <w:rPr>
                <w:sz w:val="18"/>
              </w:rPr>
              <w:t>03</w:t>
            </w:r>
          </w:p>
        </w:tc>
        <w:tc>
          <w:tcPr>
            <w:tcW w:w="2040" w:type="dxa"/>
            <w:shd w:val="clear" w:color="auto" w:fill="auto"/>
            <w:vAlign w:val="center"/>
          </w:tcPr>
          <w:p w14:paraId="09046CC0" w14:textId="77777777" w:rsidR="00E10737" w:rsidRPr="00351D17" w:rsidRDefault="00E10737" w:rsidP="00C270B2">
            <w:pPr>
              <w:autoSpaceDE w:val="0"/>
              <w:autoSpaceDN w:val="0"/>
              <w:adjustRightInd w:val="0"/>
              <w:jc w:val="center"/>
              <w:rPr>
                <w:sz w:val="18"/>
                <w:szCs w:val="18"/>
              </w:rPr>
            </w:pPr>
            <w:r w:rsidRPr="00351D17">
              <w:rPr>
                <w:sz w:val="18"/>
                <w:szCs w:val="18"/>
              </w:rPr>
              <w:t>30 734 263,00</w:t>
            </w:r>
          </w:p>
        </w:tc>
      </w:tr>
      <w:tr w:rsidR="00E10737" w:rsidRPr="003A7F56" w14:paraId="2AFDC1AF" w14:textId="77777777" w:rsidTr="00351D17">
        <w:trPr>
          <w:trHeight w:val="255"/>
          <w:jc w:val="center"/>
        </w:trPr>
        <w:tc>
          <w:tcPr>
            <w:tcW w:w="4912" w:type="dxa"/>
            <w:vMerge/>
            <w:shd w:val="clear" w:color="auto" w:fill="auto"/>
            <w:vAlign w:val="center"/>
          </w:tcPr>
          <w:p w14:paraId="0D4E63E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35A3F86" w14:textId="77777777" w:rsidR="00E10737" w:rsidRPr="00C270B2" w:rsidRDefault="00E10737" w:rsidP="00C270B2">
            <w:pPr>
              <w:autoSpaceDE w:val="0"/>
              <w:autoSpaceDN w:val="0"/>
              <w:adjustRightInd w:val="0"/>
              <w:jc w:val="center"/>
              <w:rPr>
                <w:sz w:val="20"/>
                <w:szCs w:val="20"/>
              </w:rPr>
            </w:pPr>
            <w:r w:rsidRPr="00C270B2">
              <w:rPr>
                <w:sz w:val="18"/>
              </w:rPr>
              <w:t>04</w:t>
            </w:r>
          </w:p>
        </w:tc>
        <w:tc>
          <w:tcPr>
            <w:tcW w:w="2040" w:type="dxa"/>
            <w:shd w:val="clear" w:color="auto" w:fill="auto"/>
            <w:vAlign w:val="center"/>
          </w:tcPr>
          <w:p w14:paraId="0843C589" w14:textId="77777777" w:rsidR="00E10737" w:rsidRPr="00351D17" w:rsidRDefault="00E10737" w:rsidP="00C270B2">
            <w:pPr>
              <w:autoSpaceDE w:val="0"/>
              <w:autoSpaceDN w:val="0"/>
              <w:adjustRightInd w:val="0"/>
              <w:jc w:val="center"/>
              <w:rPr>
                <w:sz w:val="18"/>
                <w:szCs w:val="18"/>
              </w:rPr>
            </w:pPr>
            <w:r w:rsidRPr="00351D17">
              <w:rPr>
                <w:sz w:val="18"/>
                <w:szCs w:val="18"/>
              </w:rPr>
              <w:t>41 368 526,00</w:t>
            </w:r>
          </w:p>
        </w:tc>
      </w:tr>
      <w:tr w:rsidR="00E10737" w:rsidRPr="003A7F56" w14:paraId="3F7EC81A" w14:textId="77777777" w:rsidTr="00351D17">
        <w:trPr>
          <w:trHeight w:val="255"/>
          <w:jc w:val="center"/>
        </w:trPr>
        <w:tc>
          <w:tcPr>
            <w:tcW w:w="4912" w:type="dxa"/>
            <w:vMerge/>
            <w:shd w:val="clear" w:color="auto" w:fill="auto"/>
            <w:vAlign w:val="center"/>
          </w:tcPr>
          <w:p w14:paraId="63FC10CB"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81D1AC1" w14:textId="77777777" w:rsidR="00E10737" w:rsidRPr="00C270B2" w:rsidRDefault="00E10737" w:rsidP="00C270B2">
            <w:pPr>
              <w:autoSpaceDE w:val="0"/>
              <w:autoSpaceDN w:val="0"/>
              <w:adjustRightInd w:val="0"/>
              <w:jc w:val="center"/>
              <w:rPr>
                <w:sz w:val="20"/>
                <w:szCs w:val="20"/>
              </w:rPr>
            </w:pPr>
            <w:r w:rsidRPr="00351D17">
              <w:rPr>
                <w:sz w:val="18"/>
              </w:rPr>
              <w:t>05</w:t>
            </w:r>
          </w:p>
        </w:tc>
        <w:tc>
          <w:tcPr>
            <w:tcW w:w="2040" w:type="dxa"/>
            <w:shd w:val="clear" w:color="auto" w:fill="auto"/>
            <w:vAlign w:val="center"/>
          </w:tcPr>
          <w:p w14:paraId="6F98443D" w14:textId="77777777" w:rsidR="00E10737" w:rsidRPr="00351D17" w:rsidRDefault="00E10737" w:rsidP="00C270B2">
            <w:pPr>
              <w:autoSpaceDE w:val="0"/>
              <w:autoSpaceDN w:val="0"/>
              <w:adjustRightInd w:val="0"/>
              <w:jc w:val="center"/>
              <w:rPr>
                <w:sz w:val="18"/>
                <w:szCs w:val="18"/>
              </w:rPr>
            </w:pPr>
            <w:r w:rsidRPr="00351D17">
              <w:rPr>
                <w:sz w:val="18"/>
                <w:szCs w:val="18"/>
              </w:rPr>
              <w:t>32 701 395,00</w:t>
            </w:r>
          </w:p>
        </w:tc>
      </w:tr>
      <w:tr w:rsidR="00E10737" w:rsidRPr="003A7F56" w14:paraId="5A582EB2" w14:textId="77777777" w:rsidTr="00351D17">
        <w:trPr>
          <w:trHeight w:val="255"/>
          <w:jc w:val="center"/>
        </w:trPr>
        <w:tc>
          <w:tcPr>
            <w:tcW w:w="4912" w:type="dxa"/>
            <w:vMerge/>
            <w:shd w:val="clear" w:color="auto" w:fill="auto"/>
            <w:vAlign w:val="center"/>
          </w:tcPr>
          <w:p w14:paraId="7DCF75AB"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AE2145D" w14:textId="77777777" w:rsidR="00E10737" w:rsidRPr="00C270B2" w:rsidRDefault="00E10737" w:rsidP="00C270B2">
            <w:pPr>
              <w:autoSpaceDE w:val="0"/>
              <w:autoSpaceDN w:val="0"/>
              <w:adjustRightInd w:val="0"/>
              <w:jc w:val="center"/>
              <w:rPr>
                <w:sz w:val="20"/>
                <w:szCs w:val="20"/>
              </w:rPr>
            </w:pPr>
            <w:r w:rsidRPr="00C270B2">
              <w:rPr>
                <w:sz w:val="18"/>
              </w:rPr>
              <w:t>06</w:t>
            </w:r>
          </w:p>
        </w:tc>
        <w:tc>
          <w:tcPr>
            <w:tcW w:w="2040" w:type="dxa"/>
            <w:shd w:val="clear" w:color="auto" w:fill="auto"/>
            <w:vAlign w:val="center"/>
          </w:tcPr>
          <w:p w14:paraId="6E33F558" w14:textId="77777777" w:rsidR="00E10737" w:rsidRPr="00351D17" w:rsidRDefault="00E10737" w:rsidP="00C270B2">
            <w:pPr>
              <w:autoSpaceDE w:val="0"/>
              <w:autoSpaceDN w:val="0"/>
              <w:adjustRightInd w:val="0"/>
              <w:jc w:val="center"/>
              <w:rPr>
                <w:sz w:val="18"/>
                <w:szCs w:val="18"/>
              </w:rPr>
            </w:pPr>
            <w:r w:rsidRPr="00351D17">
              <w:rPr>
                <w:sz w:val="18"/>
                <w:szCs w:val="18"/>
              </w:rPr>
              <w:t>15 367 131,00</w:t>
            </w:r>
          </w:p>
        </w:tc>
      </w:tr>
    </w:tbl>
    <w:p w14:paraId="04045B14"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074B0E8E" w14:textId="77777777" w:rsidTr="004179DE">
        <w:trPr>
          <w:trHeight w:val="255"/>
          <w:jc w:val="center"/>
        </w:trPr>
        <w:tc>
          <w:tcPr>
            <w:tcW w:w="9072" w:type="dxa"/>
            <w:gridSpan w:val="3"/>
            <w:shd w:val="clear" w:color="auto" w:fill="DBE5F1"/>
            <w:vAlign w:val="center"/>
          </w:tcPr>
          <w:p w14:paraId="3626BDC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E10737" w:rsidRPr="003A7F56" w14:paraId="755F5641" w14:textId="77777777" w:rsidTr="004179DE">
        <w:trPr>
          <w:trHeight w:val="255"/>
          <w:jc w:val="center"/>
        </w:trPr>
        <w:tc>
          <w:tcPr>
            <w:tcW w:w="4912" w:type="dxa"/>
            <w:shd w:val="clear" w:color="auto" w:fill="DBE5F1"/>
            <w:vAlign w:val="center"/>
          </w:tcPr>
          <w:p w14:paraId="657A04D9"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1518D991"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03ABC6F1" w14:textId="77777777" w:rsidTr="004179DE">
        <w:trPr>
          <w:trHeight w:val="255"/>
          <w:jc w:val="center"/>
        </w:trPr>
        <w:tc>
          <w:tcPr>
            <w:tcW w:w="4912" w:type="dxa"/>
            <w:shd w:val="clear" w:color="auto" w:fill="DBE5F1"/>
            <w:vAlign w:val="center"/>
          </w:tcPr>
          <w:p w14:paraId="657CFFDC"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07708BB1"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4002FAA5" w14:textId="77777777" w:rsidTr="004179DE">
        <w:trPr>
          <w:trHeight w:val="255"/>
          <w:jc w:val="center"/>
        </w:trPr>
        <w:tc>
          <w:tcPr>
            <w:tcW w:w="4912" w:type="dxa"/>
            <w:shd w:val="clear" w:color="auto" w:fill="auto"/>
            <w:vAlign w:val="center"/>
          </w:tcPr>
          <w:p w14:paraId="6FFBC385"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2888B975"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03F85F6"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04830F2F" w14:textId="77777777" w:rsidTr="00094365">
        <w:trPr>
          <w:trHeight w:val="255"/>
          <w:jc w:val="center"/>
        </w:trPr>
        <w:tc>
          <w:tcPr>
            <w:tcW w:w="4912" w:type="dxa"/>
            <w:vMerge w:val="restart"/>
            <w:shd w:val="clear" w:color="auto" w:fill="auto"/>
            <w:vAlign w:val="center"/>
          </w:tcPr>
          <w:p w14:paraId="4D56625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11</w:t>
            </w:r>
            <w:r w:rsidRPr="003A7F56">
              <w:rPr>
                <w:rFonts w:ascii="TimesNewRoman" w:hAnsi="TimesNewRoman" w:cs="TimesNewRoman"/>
                <w:sz w:val="20"/>
                <w:szCs w:val="20"/>
              </w:rPr>
              <w:t xml:space="preserve"> – </w:t>
            </w:r>
            <w:r>
              <w:rPr>
                <w:rFonts w:ascii="TimesNewRoman" w:hAnsi="TimesNewRoman" w:cs="TimesNewRoman"/>
                <w:sz w:val="20"/>
                <w:szCs w:val="20"/>
              </w:rPr>
              <w:t>Posilnenie konkurencieschopnosti a rastu MSP</w:t>
            </w:r>
          </w:p>
        </w:tc>
        <w:tc>
          <w:tcPr>
            <w:tcW w:w="2120" w:type="dxa"/>
            <w:shd w:val="clear" w:color="auto" w:fill="auto"/>
            <w:vAlign w:val="center"/>
          </w:tcPr>
          <w:p w14:paraId="06074148" w14:textId="77777777" w:rsidR="00E10737" w:rsidRPr="00C270B2" w:rsidRDefault="00E10737" w:rsidP="004179DE">
            <w:pPr>
              <w:autoSpaceDE w:val="0"/>
              <w:autoSpaceDN w:val="0"/>
              <w:adjustRightInd w:val="0"/>
              <w:jc w:val="center"/>
              <w:rPr>
                <w:sz w:val="20"/>
                <w:szCs w:val="20"/>
              </w:rPr>
            </w:pPr>
            <w:r w:rsidRPr="00C270B2">
              <w:rPr>
                <w:sz w:val="18"/>
              </w:rPr>
              <w:t>01</w:t>
            </w:r>
          </w:p>
        </w:tc>
        <w:tc>
          <w:tcPr>
            <w:tcW w:w="2040" w:type="dxa"/>
            <w:shd w:val="clear" w:color="auto" w:fill="auto"/>
            <w:vAlign w:val="center"/>
          </w:tcPr>
          <w:p w14:paraId="5F6017EF" w14:textId="12C9D476" w:rsidR="00E10737" w:rsidRPr="00351D17" w:rsidRDefault="00105712" w:rsidP="00105712">
            <w:pPr>
              <w:autoSpaceDE w:val="0"/>
              <w:autoSpaceDN w:val="0"/>
              <w:adjustRightInd w:val="0"/>
              <w:jc w:val="center"/>
              <w:rPr>
                <w:sz w:val="18"/>
                <w:szCs w:val="18"/>
              </w:rPr>
            </w:pPr>
            <w:r>
              <w:rPr>
                <w:sz w:val="18"/>
                <w:szCs w:val="18"/>
              </w:rPr>
              <w:t>151 315</w:t>
            </w:r>
            <w:r w:rsidR="005A7DE6">
              <w:rPr>
                <w:sz w:val="18"/>
                <w:szCs w:val="18"/>
              </w:rPr>
              <w:t> 000,00</w:t>
            </w:r>
          </w:p>
        </w:tc>
      </w:tr>
      <w:tr w:rsidR="00E10737" w:rsidRPr="003A7F56" w14:paraId="4A9E2C59" w14:textId="77777777" w:rsidTr="00094365">
        <w:trPr>
          <w:trHeight w:val="255"/>
          <w:jc w:val="center"/>
        </w:trPr>
        <w:tc>
          <w:tcPr>
            <w:tcW w:w="4912" w:type="dxa"/>
            <w:vMerge/>
            <w:shd w:val="clear" w:color="auto" w:fill="auto"/>
            <w:vAlign w:val="center"/>
          </w:tcPr>
          <w:p w14:paraId="32EA2C02"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CA70977" w14:textId="77777777" w:rsidR="00E10737" w:rsidRPr="00C270B2" w:rsidRDefault="00E10737" w:rsidP="004179DE">
            <w:pPr>
              <w:autoSpaceDE w:val="0"/>
              <w:autoSpaceDN w:val="0"/>
              <w:adjustRightInd w:val="0"/>
              <w:jc w:val="center"/>
              <w:rPr>
                <w:sz w:val="20"/>
                <w:szCs w:val="20"/>
              </w:rPr>
            </w:pPr>
            <w:r w:rsidRPr="00C270B2">
              <w:rPr>
                <w:sz w:val="18"/>
              </w:rPr>
              <w:t>02</w:t>
            </w:r>
          </w:p>
        </w:tc>
        <w:tc>
          <w:tcPr>
            <w:tcW w:w="2040" w:type="dxa"/>
            <w:shd w:val="clear" w:color="auto" w:fill="auto"/>
            <w:vAlign w:val="center"/>
          </w:tcPr>
          <w:p w14:paraId="0F22F1AD" w14:textId="63E86D62" w:rsidR="00E10737" w:rsidRPr="00351D17" w:rsidRDefault="00105712" w:rsidP="00105712">
            <w:pPr>
              <w:autoSpaceDE w:val="0"/>
              <w:autoSpaceDN w:val="0"/>
              <w:adjustRightInd w:val="0"/>
              <w:jc w:val="center"/>
              <w:rPr>
                <w:sz w:val="18"/>
                <w:szCs w:val="18"/>
              </w:rPr>
            </w:pPr>
            <w:r>
              <w:rPr>
                <w:sz w:val="18"/>
                <w:szCs w:val="18"/>
              </w:rPr>
              <w:t>162 430</w:t>
            </w:r>
            <w:r w:rsidR="005A7DE6">
              <w:rPr>
                <w:sz w:val="18"/>
                <w:szCs w:val="18"/>
              </w:rPr>
              <w:t> 000,00</w:t>
            </w:r>
          </w:p>
        </w:tc>
      </w:tr>
      <w:tr w:rsidR="00E10737" w:rsidRPr="003A7F56" w14:paraId="7568C4A9" w14:textId="77777777" w:rsidTr="00094365">
        <w:trPr>
          <w:trHeight w:val="255"/>
          <w:jc w:val="center"/>
        </w:trPr>
        <w:tc>
          <w:tcPr>
            <w:tcW w:w="4912" w:type="dxa"/>
            <w:vMerge/>
            <w:shd w:val="clear" w:color="auto" w:fill="auto"/>
            <w:vAlign w:val="center"/>
          </w:tcPr>
          <w:p w14:paraId="31183C82"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9D60978" w14:textId="77777777" w:rsidR="00E10737" w:rsidRPr="00C270B2" w:rsidRDefault="00E10737" w:rsidP="004179DE">
            <w:pPr>
              <w:autoSpaceDE w:val="0"/>
              <w:autoSpaceDN w:val="0"/>
              <w:adjustRightInd w:val="0"/>
              <w:jc w:val="center"/>
              <w:rPr>
                <w:sz w:val="20"/>
                <w:szCs w:val="20"/>
              </w:rPr>
            </w:pPr>
            <w:r w:rsidRPr="00C270B2">
              <w:rPr>
                <w:sz w:val="18"/>
              </w:rPr>
              <w:t>03</w:t>
            </w:r>
          </w:p>
        </w:tc>
        <w:tc>
          <w:tcPr>
            <w:tcW w:w="2040" w:type="dxa"/>
            <w:shd w:val="clear" w:color="auto" w:fill="auto"/>
            <w:vAlign w:val="center"/>
          </w:tcPr>
          <w:p w14:paraId="7335E395" w14:textId="6C5EC1B0" w:rsidR="00E10737" w:rsidRPr="00351D17" w:rsidRDefault="00105712" w:rsidP="00105712">
            <w:pPr>
              <w:autoSpaceDE w:val="0"/>
              <w:autoSpaceDN w:val="0"/>
              <w:adjustRightInd w:val="0"/>
              <w:jc w:val="center"/>
              <w:rPr>
                <w:sz w:val="18"/>
                <w:szCs w:val="18"/>
              </w:rPr>
            </w:pPr>
            <w:r>
              <w:rPr>
                <w:sz w:val="18"/>
                <w:szCs w:val="18"/>
              </w:rPr>
              <w:t>102 670</w:t>
            </w:r>
            <w:r w:rsidR="005A7DE6">
              <w:rPr>
                <w:sz w:val="18"/>
                <w:szCs w:val="18"/>
              </w:rPr>
              <w:t> 000,00</w:t>
            </w:r>
          </w:p>
        </w:tc>
      </w:tr>
    </w:tbl>
    <w:p w14:paraId="4F4D7936"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4A2A6DDE" w14:textId="77777777" w:rsidTr="004179DE">
        <w:trPr>
          <w:trHeight w:val="255"/>
          <w:jc w:val="center"/>
        </w:trPr>
        <w:tc>
          <w:tcPr>
            <w:tcW w:w="9072" w:type="dxa"/>
            <w:gridSpan w:val="3"/>
            <w:shd w:val="clear" w:color="auto" w:fill="DBE5F1"/>
            <w:vAlign w:val="center"/>
          </w:tcPr>
          <w:p w14:paraId="6A2FE328"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4 – Územné mechanizmy realizácie</w:t>
            </w:r>
          </w:p>
        </w:tc>
      </w:tr>
      <w:tr w:rsidR="00E10737" w:rsidRPr="003A7F56" w14:paraId="74A382FB" w14:textId="77777777" w:rsidTr="004179DE">
        <w:trPr>
          <w:trHeight w:val="255"/>
          <w:jc w:val="center"/>
        </w:trPr>
        <w:tc>
          <w:tcPr>
            <w:tcW w:w="4912" w:type="dxa"/>
            <w:shd w:val="clear" w:color="auto" w:fill="DBE5F1"/>
            <w:vAlign w:val="center"/>
          </w:tcPr>
          <w:p w14:paraId="58C5AC8C"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32795AF7"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68D03720" w14:textId="77777777" w:rsidTr="004179DE">
        <w:trPr>
          <w:trHeight w:val="255"/>
          <w:jc w:val="center"/>
        </w:trPr>
        <w:tc>
          <w:tcPr>
            <w:tcW w:w="4912" w:type="dxa"/>
            <w:shd w:val="clear" w:color="auto" w:fill="DBE5F1"/>
            <w:vAlign w:val="center"/>
          </w:tcPr>
          <w:p w14:paraId="3FE4BB70"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44F79306"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E10737" w:rsidRPr="003A7F56" w14:paraId="5E2C0D1D" w14:textId="77777777" w:rsidTr="004179DE">
        <w:trPr>
          <w:trHeight w:val="255"/>
          <w:jc w:val="center"/>
        </w:trPr>
        <w:tc>
          <w:tcPr>
            <w:tcW w:w="4912" w:type="dxa"/>
            <w:shd w:val="clear" w:color="auto" w:fill="auto"/>
            <w:vAlign w:val="center"/>
          </w:tcPr>
          <w:p w14:paraId="16DFC0B0"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20EFCF4B"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AF0424B"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1BA1851B" w14:textId="77777777" w:rsidTr="004179DE">
        <w:trPr>
          <w:trHeight w:val="255"/>
          <w:jc w:val="center"/>
        </w:trPr>
        <w:tc>
          <w:tcPr>
            <w:tcW w:w="4912" w:type="dxa"/>
            <w:shd w:val="clear" w:color="auto" w:fill="auto"/>
            <w:vAlign w:val="center"/>
          </w:tcPr>
          <w:p w14:paraId="5AFFF184"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11</w:t>
            </w:r>
            <w:r w:rsidRPr="003A7F56">
              <w:rPr>
                <w:rFonts w:ascii="TimesNewRoman" w:hAnsi="TimesNewRoman" w:cs="TimesNewRoman"/>
                <w:sz w:val="20"/>
                <w:szCs w:val="20"/>
              </w:rPr>
              <w:t xml:space="preserve"> – </w:t>
            </w:r>
            <w:r>
              <w:rPr>
                <w:rFonts w:ascii="TimesNewRoman" w:hAnsi="TimesNewRoman" w:cs="TimesNewRoman"/>
                <w:sz w:val="20"/>
                <w:szCs w:val="20"/>
              </w:rPr>
              <w:t>Posilnenie konkurencieschopnosti a rastu MSP</w:t>
            </w:r>
          </w:p>
        </w:tc>
        <w:tc>
          <w:tcPr>
            <w:tcW w:w="2120" w:type="dxa"/>
            <w:shd w:val="clear" w:color="auto" w:fill="auto"/>
            <w:vAlign w:val="center"/>
          </w:tcPr>
          <w:p w14:paraId="27E148F2" w14:textId="77777777" w:rsidR="00E10737" w:rsidRPr="00C270B2" w:rsidRDefault="00E10737" w:rsidP="004179DE">
            <w:pPr>
              <w:autoSpaceDE w:val="0"/>
              <w:autoSpaceDN w:val="0"/>
              <w:adjustRightInd w:val="0"/>
              <w:jc w:val="center"/>
              <w:rPr>
                <w:sz w:val="20"/>
                <w:szCs w:val="20"/>
              </w:rPr>
            </w:pPr>
            <w:r w:rsidRPr="00C270B2">
              <w:rPr>
                <w:sz w:val="18"/>
              </w:rPr>
              <w:t>07</w:t>
            </w:r>
          </w:p>
        </w:tc>
        <w:tc>
          <w:tcPr>
            <w:tcW w:w="2040" w:type="dxa"/>
            <w:shd w:val="clear" w:color="auto" w:fill="auto"/>
            <w:vAlign w:val="center"/>
          </w:tcPr>
          <w:p w14:paraId="08B82649" w14:textId="584C5960" w:rsidR="00E10737" w:rsidRPr="00C270B2" w:rsidRDefault="00105712" w:rsidP="00105712">
            <w:pPr>
              <w:autoSpaceDE w:val="0"/>
              <w:autoSpaceDN w:val="0"/>
              <w:adjustRightInd w:val="0"/>
              <w:jc w:val="center"/>
              <w:rPr>
                <w:sz w:val="18"/>
                <w:szCs w:val="18"/>
              </w:rPr>
            </w:pPr>
            <w:r>
              <w:rPr>
                <w:sz w:val="18"/>
                <w:szCs w:val="18"/>
              </w:rPr>
              <w:t>416 415</w:t>
            </w:r>
            <w:r w:rsidR="00E10737" w:rsidRPr="00351D17">
              <w:rPr>
                <w:sz w:val="18"/>
                <w:szCs w:val="18"/>
              </w:rPr>
              <w:t> 000,00</w:t>
            </w:r>
          </w:p>
        </w:tc>
      </w:tr>
    </w:tbl>
    <w:p w14:paraId="1E7C1455" w14:textId="77777777" w:rsidR="00E10737" w:rsidRDefault="00E10737" w:rsidP="00E10737">
      <w:pPr>
        <w:pStyle w:val="Nadpis3"/>
        <w:tabs>
          <w:tab w:val="clear" w:pos="709"/>
        </w:tabs>
        <w:jc w:val="both"/>
      </w:pPr>
      <w:bookmarkStart w:id="128" w:name="_Toc28951661"/>
      <w:r>
        <w:t>Prípadný p</w:t>
      </w:r>
      <w:r w:rsidRPr="00F229BB">
        <w:t xml:space="preserve">rehľad o plánovanom použití technickej pomoci, </w:t>
      </w:r>
      <w:r>
        <w:t xml:space="preserve">v prípade potreby </w:t>
      </w:r>
      <w:r w:rsidRPr="00F229BB">
        <w:t>vrátane aktivít na posilnenie administratívnej kapacity orgánov a</w:t>
      </w:r>
      <w:r>
        <w:t> </w:t>
      </w:r>
      <w:r w:rsidRPr="00F229BB">
        <w:t>prijímateľov</w:t>
      </w:r>
      <w:r>
        <w:t xml:space="preserve"> v rámci prioritnej osi 11</w:t>
      </w:r>
      <w:bookmarkEnd w:id="128"/>
    </w:p>
    <w:p w14:paraId="1924CB36" w14:textId="77777777" w:rsidR="00E10737" w:rsidRPr="00CF79E0" w:rsidRDefault="00E10737" w:rsidP="00E10737">
      <w:pPr>
        <w:rPr>
          <w:szCs w:val="22"/>
        </w:rPr>
      </w:pPr>
      <w:r w:rsidRPr="00CF79E0">
        <w:rPr>
          <w:sz w:val="22"/>
          <w:szCs w:val="22"/>
        </w:rPr>
        <w:t>N/A</w:t>
      </w:r>
    </w:p>
    <w:p w14:paraId="53EA9FDC" w14:textId="77777777" w:rsidR="00EB6AF6" w:rsidRDefault="00EB6AF6" w:rsidP="00E10737">
      <w:pPr>
        <w:pStyle w:val="Zkladntext"/>
        <w:spacing w:before="146"/>
        <w:jc w:val="both"/>
        <w:rPr>
          <w:sz w:val="22"/>
          <w:szCs w:val="22"/>
        </w:rPr>
        <w:sectPr w:rsidR="00EB6AF6" w:rsidSect="00D1658B">
          <w:headerReference w:type="default" r:id="rId34"/>
          <w:pgSz w:w="11906" w:h="16838"/>
          <w:pgMar w:top="1418" w:right="1361" w:bottom="1304" w:left="1474" w:header="709" w:footer="709" w:gutter="0"/>
          <w:cols w:space="708"/>
          <w:docGrid w:linePitch="360"/>
        </w:sectPr>
      </w:pPr>
    </w:p>
    <w:p w14:paraId="39FC0625" w14:textId="77777777" w:rsidR="00E10737" w:rsidRPr="008E22E0" w:rsidRDefault="00E10737" w:rsidP="00E10737">
      <w:pPr>
        <w:pStyle w:val="Nadpis2"/>
        <w:tabs>
          <w:tab w:val="clear" w:pos="709"/>
          <w:tab w:val="clear" w:pos="851"/>
        </w:tabs>
      </w:pPr>
      <w:bookmarkStart w:id="129" w:name="_Toc28951662"/>
      <w:r>
        <w:lastRenderedPageBreak/>
        <w:t>PRIORITNÁ OS 12: Rozvoj konkurencieschopných MSP v Bratislavskom kraji</w:t>
      </w:r>
      <w:bookmarkEnd w:id="129"/>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9"/>
        <w:gridCol w:w="6803"/>
      </w:tblGrid>
      <w:tr w:rsidR="00E10737" w14:paraId="7C5084AD" w14:textId="77777777" w:rsidTr="004179DE">
        <w:trPr>
          <w:trHeight w:val="284"/>
          <w:jc w:val="center"/>
        </w:trPr>
        <w:tc>
          <w:tcPr>
            <w:tcW w:w="2269" w:type="dxa"/>
            <w:shd w:val="clear" w:color="auto" w:fill="DBE5F1" w:themeFill="accent1" w:themeFillTint="33"/>
            <w:vAlign w:val="center"/>
          </w:tcPr>
          <w:p w14:paraId="148482A6" w14:textId="77777777" w:rsidR="00E10737" w:rsidRDefault="00E10737" w:rsidP="004179DE">
            <w:pPr>
              <w:ind w:left="0"/>
            </w:pPr>
            <w:r w:rsidRPr="00863337">
              <w:rPr>
                <w:b/>
                <w:i/>
                <w:sz w:val="20"/>
                <w:szCs w:val="20"/>
              </w:rPr>
              <w:t>ID prioritnej osi</w:t>
            </w:r>
          </w:p>
        </w:tc>
        <w:tc>
          <w:tcPr>
            <w:tcW w:w="6803" w:type="dxa"/>
            <w:vAlign w:val="center"/>
          </w:tcPr>
          <w:p w14:paraId="3A94DF8A" w14:textId="77777777" w:rsidR="00E10737" w:rsidRDefault="00E10737" w:rsidP="004179DE">
            <w:pPr>
              <w:pStyle w:val="PRIORITNA"/>
              <w:numPr>
                <w:ilvl w:val="0"/>
                <w:numId w:val="0"/>
              </w:numPr>
              <w:spacing w:after="0"/>
              <w:jc w:val="left"/>
            </w:pPr>
            <w:r>
              <w:t>12</w:t>
            </w:r>
          </w:p>
        </w:tc>
      </w:tr>
      <w:tr w:rsidR="00E10737" w14:paraId="5288E92C" w14:textId="77777777" w:rsidTr="004179DE">
        <w:trPr>
          <w:trHeight w:val="284"/>
          <w:jc w:val="center"/>
        </w:trPr>
        <w:tc>
          <w:tcPr>
            <w:tcW w:w="2269" w:type="dxa"/>
            <w:shd w:val="clear" w:color="auto" w:fill="DBE5F1" w:themeFill="accent1" w:themeFillTint="33"/>
            <w:vAlign w:val="center"/>
          </w:tcPr>
          <w:p w14:paraId="37FECEFE" w14:textId="77777777" w:rsidR="00E10737" w:rsidRPr="003D6170" w:rsidRDefault="00E10737" w:rsidP="004179DE">
            <w:pPr>
              <w:ind w:left="0"/>
            </w:pPr>
            <w:r w:rsidRPr="003D6170">
              <w:rPr>
                <w:b/>
                <w:i/>
                <w:sz w:val="20"/>
                <w:szCs w:val="20"/>
              </w:rPr>
              <w:t>Názov prioritnej osi</w:t>
            </w:r>
          </w:p>
        </w:tc>
        <w:tc>
          <w:tcPr>
            <w:tcW w:w="6803" w:type="dxa"/>
            <w:vAlign w:val="center"/>
          </w:tcPr>
          <w:p w14:paraId="4557C0B6" w14:textId="77777777" w:rsidR="00E10737" w:rsidRPr="00750A42" w:rsidRDefault="00E10737" w:rsidP="004179DE">
            <w:pPr>
              <w:ind w:left="0"/>
              <w:rPr>
                <w:sz w:val="20"/>
                <w:szCs w:val="20"/>
              </w:rPr>
            </w:pPr>
            <w:r>
              <w:rPr>
                <w:sz w:val="20"/>
                <w:szCs w:val="20"/>
              </w:rPr>
              <w:t>Posilnenie konkurencieschopných MSP v Bratislavskom kraji</w:t>
            </w:r>
          </w:p>
        </w:tc>
      </w:tr>
    </w:tbl>
    <w:p w14:paraId="69661BC4" w14:textId="77777777" w:rsidR="00E10737" w:rsidRDefault="00E10737" w:rsidP="00E10737">
      <w:pPr>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10737" w:rsidRPr="00765DFA" w14:paraId="3496331B" w14:textId="77777777" w:rsidTr="004179DE">
        <w:trPr>
          <w:trHeight w:val="255"/>
          <w:jc w:val="center"/>
        </w:trPr>
        <w:tc>
          <w:tcPr>
            <w:tcW w:w="5024" w:type="dxa"/>
            <w:shd w:val="clear" w:color="auto" w:fill="DBE5F1" w:themeFill="accent1" w:themeFillTint="33"/>
            <w:vAlign w:val="center"/>
          </w:tcPr>
          <w:p w14:paraId="0D4425CB" w14:textId="77777777" w:rsidR="00E10737" w:rsidRPr="00765DFA" w:rsidRDefault="00E10737" w:rsidP="004179DE">
            <w:pPr>
              <w:ind w:left="0"/>
              <w:rPr>
                <w:b/>
                <w:i/>
                <w:sz w:val="20"/>
                <w:szCs w:val="20"/>
              </w:rPr>
            </w:pPr>
            <w:r>
              <w:rPr>
                <w:b/>
                <w:i/>
                <w:sz w:val="20"/>
                <w:szCs w:val="20"/>
              </w:rPr>
              <w:t xml:space="preserve">Celá prioritná os bude realizovaná výhradne prostredníctvom finančných nástrojov </w:t>
            </w:r>
          </w:p>
        </w:tc>
        <w:tc>
          <w:tcPr>
            <w:tcW w:w="4048" w:type="dxa"/>
            <w:vAlign w:val="center"/>
          </w:tcPr>
          <w:p w14:paraId="0A6A8C54" w14:textId="77777777" w:rsidR="00E10737" w:rsidRPr="00765DFA" w:rsidRDefault="00E10737" w:rsidP="004179DE">
            <w:pPr>
              <w:ind w:left="0"/>
              <w:rPr>
                <w:sz w:val="20"/>
                <w:szCs w:val="20"/>
              </w:rPr>
            </w:pPr>
            <w:r>
              <w:rPr>
                <w:sz w:val="20"/>
                <w:szCs w:val="20"/>
              </w:rPr>
              <w:t>N/A</w:t>
            </w:r>
          </w:p>
        </w:tc>
      </w:tr>
      <w:tr w:rsidR="00E10737" w:rsidRPr="00765DFA" w14:paraId="244F3D0C" w14:textId="77777777" w:rsidTr="004179DE">
        <w:trPr>
          <w:trHeight w:val="255"/>
          <w:jc w:val="center"/>
        </w:trPr>
        <w:tc>
          <w:tcPr>
            <w:tcW w:w="5024" w:type="dxa"/>
            <w:shd w:val="clear" w:color="auto" w:fill="DBE5F1" w:themeFill="accent1" w:themeFillTint="33"/>
            <w:vAlign w:val="center"/>
          </w:tcPr>
          <w:p w14:paraId="01335C51" w14:textId="77777777" w:rsidR="00E10737" w:rsidRPr="00765DFA" w:rsidRDefault="00E10737" w:rsidP="004179DE">
            <w:pPr>
              <w:ind w:left="0"/>
              <w:rPr>
                <w:b/>
                <w:i/>
                <w:sz w:val="20"/>
                <w:szCs w:val="20"/>
              </w:rPr>
            </w:pPr>
            <w:r>
              <w:rPr>
                <w:b/>
                <w:i/>
                <w:sz w:val="20"/>
                <w:szCs w:val="20"/>
              </w:rPr>
              <w:t>Celá prioritná os bude realizovaná výhradne prostredníctvom finančných nástrojov vytvorených na úrovni Únie</w:t>
            </w:r>
          </w:p>
        </w:tc>
        <w:tc>
          <w:tcPr>
            <w:tcW w:w="4048" w:type="dxa"/>
            <w:vAlign w:val="center"/>
          </w:tcPr>
          <w:p w14:paraId="2A694A2C" w14:textId="77777777" w:rsidR="00E10737" w:rsidRPr="00765DFA" w:rsidRDefault="00E10737" w:rsidP="004179DE">
            <w:pPr>
              <w:ind w:left="0"/>
              <w:rPr>
                <w:sz w:val="20"/>
                <w:szCs w:val="20"/>
              </w:rPr>
            </w:pPr>
            <w:r>
              <w:rPr>
                <w:sz w:val="20"/>
                <w:szCs w:val="20"/>
              </w:rPr>
              <w:t>N/A</w:t>
            </w:r>
          </w:p>
        </w:tc>
      </w:tr>
      <w:tr w:rsidR="00E10737" w:rsidRPr="00750A42" w14:paraId="34B8F74C" w14:textId="77777777" w:rsidTr="004179DE">
        <w:trPr>
          <w:trHeight w:val="70"/>
          <w:jc w:val="center"/>
        </w:trPr>
        <w:tc>
          <w:tcPr>
            <w:tcW w:w="5024" w:type="dxa"/>
            <w:shd w:val="clear" w:color="auto" w:fill="DBE5F1" w:themeFill="accent1" w:themeFillTint="33"/>
            <w:vAlign w:val="center"/>
          </w:tcPr>
          <w:p w14:paraId="0EE5CA25" w14:textId="77777777" w:rsidR="00E10737" w:rsidRPr="00765DFA" w:rsidRDefault="00E10737" w:rsidP="004179DE">
            <w:pPr>
              <w:ind w:left="0"/>
              <w:rPr>
                <w:b/>
                <w:i/>
                <w:sz w:val="20"/>
                <w:szCs w:val="20"/>
              </w:rPr>
            </w:pPr>
            <w:r>
              <w:rPr>
                <w:b/>
                <w:i/>
                <w:sz w:val="20"/>
                <w:szCs w:val="20"/>
              </w:rPr>
              <w:t>Celá prioritná os bude realizovaná prostredníctvom komunitne vedeného miestneho rozvoja</w:t>
            </w:r>
          </w:p>
        </w:tc>
        <w:tc>
          <w:tcPr>
            <w:tcW w:w="4048" w:type="dxa"/>
            <w:vAlign w:val="center"/>
          </w:tcPr>
          <w:p w14:paraId="2088A1EE" w14:textId="77777777" w:rsidR="00E10737" w:rsidRPr="00750A42" w:rsidRDefault="00E10737" w:rsidP="004179DE">
            <w:pPr>
              <w:ind w:left="0"/>
              <w:rPr>
                <w:sz w:val="20"/>
                <w:szCs w:val="20"/>
              </w:rPr>
            </w:pPr>
            <w:r>
              <w:rPr>
                <w:sz w:val="20"/>
                <w:szCs w:val="20"/>
              </w:rPr>
              <w:t>Nie</w:t>
            </w:r>
          </w:p>
        </w:tc>
      </w:tr>
      <w:tr w:rsidR="00E10737" w:rsidRPr="00765DFA" w14:paraId="1CF99700" w14:textId="77777777" w:rsidTr="004179DE">
        <w:trPr>
          <w:jc w:val="center"/>
        </w:trPr>
        <w:tc>
          <w:tcPr>
            <w:tcW w:w="5024" w:type="dxa"/>
            <w:shd w:val="clear" w:color="auto" w:fill="DBE5F1" w:themeFill="accent1" w:themeFillTint="33"/>
          </w:tcPr>
          <w:p w14:paraId="36F3F9E9" w14:textId="77777777" w:rsidR="00E10737" w:rsidRPr="00765DFA" w:rsidRDefault="00E10737" w:rsidP="004179DE">
            <w:pPr>
              <w:ind w:left="0"/>
              <w:rPr>
                <w:b/>
                <w:i/>
                <w:sz w:val="20"/>
                <w:szCs w:val="20"/>
              </w:rPr>
            </w:pPr>
            <w:r>
              <w:rPr>
                <w:b/>
                <w:i/>
                <w:sz w:val="20"/>
                <w:szCs w:val="20"/>
              </w:rPr>
              <w:t>Pre ESF: Celá prioritná os je zameraná na sociálnu inováciu alebo nadnárodnú spoluprácu, alebo oboje</w:t>
            </w:r>
          </w:p>
        </w:tc>
        <w:tc>
          <w:tcPr>
            <w:tcW w:w="4048" w:type="dxa"/>
            <w:vAlign w:val="center"/>
          </w:tcPr>
          <w:p w14:paraId="48C732ED" w14:textId="77777777" w:rsidR="00E10737" w:rsidRPr="00765DFA" w:rsidRDefault="00E10737" w:rsidP="004179DE">
            <w:pPr>
              <w:ind w:left="0"/>
              <w:rPr>
                <w:sz w:val="20"/>
                <w:szCs w:val="20"/>
              </w:rPr>
            </w:pPr>
            <w:r>
              <w:rPr>
                <w:sz w:val="20"/>
                <w:szCs w:val="20"/>
              </w:rPr>
              <w:t>N/A</w:t>
            </w:r>
          </w:p>
        </w:tc>
      </w:tr>
    </w:tbl>
    <w:p w14:paraId="2E2299DE" w14:textId="77777777" w:rsidR="00E10737" w:rsidRPr="007F1C63" w:rsidRDefault="00E10737" w:rsidP="00E10737">
      <w:pPr>
        <w:pStyle w:val="Nadpis3"/>
      </w:pPr>
      <w:bookmarkStart w:id="130" w:name="_Toc28951663"/>
      <w:r w:rsidRPr="007F1C63">
        <w:t>Fond, kategória regiónu a základ pre výpočet podpory Únie</w:t>
      </w:r>
      <w:bookmarkEnd w:id="130"/>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10737" w:rsidRPr="007F1C63" w14:paraId="5806F2CE" w14:textId="77777777" w:rsidTr="004179DE">
        <w:trPr>
          <w:trHeight w:val="255"/>
          <w:jc w:val="center"/>
        </w:trPr>
        <w:tc>
          <w:tcPr>
            <w:tcW w:w="4334" w:type="dxa"/>
            <w:shd w:val="clear" w:color="auto" w:fill="DBE5F1" w:themeFill="accent1" w:themeFillTint="33"/>
            <w:vAlign w:val="center"/>
          </w:tcPr>
          <w:p w14:paraId="00759C57" w14:textId="77777777" w:rsidR="00E10737" w:rsidRPr="007F1C63" w:rsidRDefault="00E10737" w:rsidP="004179DE">
            <w:pPr>
              <w:ind w:left="0"/>
              <w:rPr>
                <w:b/>
                <w:i/>
                <w:sz w:val="20"/>
                <w:szCs w:val="20"/>
              </w:rPr>
            </w:pPr>
            <w:r w:rsidRPr="007F1C63">
              <w:rPr>
                <w:b/>
                <w:i/>
                <w:sz w:val="20"/>
                <w:szCs w:val="20"/>
              </w:rPr>
              <w:t>Fond</w:t>
            </w:r>
          </w:p>
        </w:tc>
        <w:tc>
          <w:tcPr>
            <w:tcW w:w="3604" w:type="dxa"/>
            <w:vAlign w:val="center"/>
          </w:tcPr>
          <w:p w14:paraId="3AFB5C0B" w14:textId="77777777" w:rsidR="00E10737" w:rsidRPr="007F1C63" w:rsidRDefault="00E10737" w:rsidP="004179DE">
            <w:pPr>
              <w:ind w:left="0"/>
              <w:rPr>
                <w:sz w:val="20"/>
                <w:szCs w:val="20"/>
              </w:rPr>
            </w:pPr>
            <w:r w:rsidRPr="007F1C63">
              <w:rPr>
                <w:sz w:val="20"/>
                <w:szCs w:val="20"/>
              </w:rPr>
              <w:t>EFRR</w:t>
            </w:r>
          </w:p>
        </w:tc>
      </w:tr>
      <w:tr w:rsidR="00E10737" w:rsidRPr="007F1C63" w14:paraId="7ABF72E8" w14:textId="77777777" w:rsidTr="004179DE">
        <w:trPr>
          <w:trHeight w:val="255"/>
          <w:jc w:val="center"/>
        </w:trPr>
        <w:tc>
          <w:tcPr>
            <w:tcW w:w="4334" w:type="dxa"/>
            <w:shd w:val="clear" w:color="auto" w:fill="DBE5F1" w:themeFill="accent1" w:themeFillTint="33"/>
            <w:vAlign w:val="center"/>
          </w:tcPr>
          <w:p w14:paraId="1D9DA1DA" w14:textId="77777777" w:rsidR="00E10737" w:rsidRPr="007F1C63" w:rsidRDefault="00E10737" w:rsidP="004179DE">
            <w:pPr>
              <w:ind w:left="0"/>
              <w:rPr>
                <w:b/>
                <w:i/>
                <w:sz w:val="20"/>
                <w:szCs w:val="20"/>
              </w:rPr>
            </w:pPr>
            <w:r w:rsidRPr="007F1C63">
              <w:rPr>
                <w:b/>
                <w:i/>
                <w:sz w:val="20"/>
                <w:szCs w:val="20"/>
              </w:rPr>
              <w:t>Kategória regiónu</w:t>
            </w:r>
          </w:p>
        </w:tc>
        <w:tc>
          <w:tcPr>
            <w:tcW w:w="3604" w:type="dxa"/>
            <w:vAlign w:val="center"/>
          </w:tcPr>
          <w:p w14:paraId="4356F9F1" w14:textId="77777777" w:rsidR="00E10737" w:rsidRPr="007F1C63" w:rsidRDefault="00E10737" w:rsidP="004179DE">
            <w:pPr>
              <w:ind w:left="0"/>
              <w:rPr>
                <w:sz w:val="20"/>
                <w:szCs w:val="20"/>
              </w:rPr>
            </w:pPr>
            <w:r>
              <w:rPr>
                <w:sz w:val="20"/>
                <w:szCs w:val="20"/>
              </w:rPr>
              <w:t>Rozvinutejší región</w:t>
            </w:r>
          </w:p>
        </w:tc>
      </w:tr>
      <w:tr w:rsidR="00E10737" w:rsidRPr="007F1C63" w14:paraId="6DF69B10" w14:textId="77777777" w:rsidTr="004179DE">
        <w:trPr>
          <w:trHeight w:val="255"/>
          <w:jc w:val="center"/>
        </w:trPr>
        <w:tc>
          <w:tcPr>
            <w:tcW w:w="4334" w:type="dxa"/>
            <w:shd w:val="clear" w:color="auto" w:fill="DBE5F1" w:themeFill="accent1" w:themeFillTint="33"/>
            <w:vAlign w:val="center"/>
          </w:tcPr>
          <w:p w14:paraId="1DA81EC0" w14:textId="77777777" w:rsidR="00E10737" w:rsidRPr="007F1C63" w:rsidRDefault="00E10737" w:rsidP="004179DE">
            <w:pPr>
              <w:ind w:left="0"/>
              <w:rPr>
                <w:b/>
                <w:i/>
                <w:sz w:val="20"/>
                <w:szCs w:val="20"/>
              </w:rPr>
            </w:pPr>
            <w:r w:rsidRPr="007F1C63">
              <w:rPr>
                <w:b/>
                <w:i/>
                <w:sz w:val="20"/>
                <w:szCs w:val="20"/>
              </w:rPr>
              <w:t>Základ pre výpočet (celkový príspevok)</w:t>
            </w:r>
          </w:p>
        </w:tc>
        <w:tc>
          <w:tcPr>
            <w:tcW w:w="3604" w:type="dxa"/>
            <w:vAlign w:val="center"/>
          </w:tcPr>
          <w:p w14:paraId="55B077F3" w14:textId="040DA56D" w:rsidR="00E10737" w:rsidRPr="007F1C63" w:rsidRDefault="00105712" w:rsidP="00105712">
            <w:pPr>
              <w:ind w:left="0"/>
              <w:rPr>
                <w:sz w:val="20"/>
                <w:szCs w:val="20"/>
                <w:lang w:val="en-US"/>
              </w:rPr>
            </w:pPr>
            <w:r>
              <w:rPr>
                <w:sz w:val="20"/>
                <w:szCs w:val="20"/>
              </w:rPr>
              <w:t>33 496 401</w:t>
            </w:r>
            <w:r w:rsidR="00F40FC7">
              <w:rPr>
                <w:sz w:val="20"/>
                <w:szCs w:val="20"/>
              </w:rPr>
              <w:t xml:space="preserve"> EUR</w:t>
            </w:r>
          </w:p>
        </w:tc>
      </w:tr>
      <w:tr w:rsidR="00E10737" w:rsidRPr="007F1C63" w14:paraId="0B3AE2B1" w14:textId="77777777" w:rsidTr="004179DE">
        <w:trPr>
          <w:trHeight w:val="255"/>
          <w:jc w:val="center"/>
        </w:trPr>
        <w:tc>
          <w:tcPr>
            <w:tcW w:w="4334" w:type="dxa"/>
            <w:shd w:val="clear" w:color="auto" w:fill="DBE5F1" w:themeFill="accent1" w:themeFillTint="33"/>
          </w:tcPr>
          <w:p w14:paraId="28A7A355" w14:textId="77777777" w:rsidR="00E10737" w:rsidRPr="007F1C63" w:rsidRDefault="00E10737" w:rsidP="004179DE">
            <w:pPr>
              <w:ind w:left="0"/>
              <w:rPr>
                <w:b/>
                <w:i/>
                <w:sz w:val="20"/>
                <w:szCs w:val="20"/>
              </w:rPr>
            </w:pPr>
            <w:r w:rsidRPr="007F1C63">
              <w:rPr>
                <w:b/>
                <w:i/>
                <w:sz w:val="20"/>
                <w:szCs w:val="20"/>
              </w:rPr>
              <w:t>Kategória regiónu pre najvzdialenejšie a severné riedko osídlené regióny (ak je to vhodné)</w:t>
            </w:r>
          </w:p>
        </w:tc>
        <w:tc>
          <w:tcPr>
            <w:tcW w:w="3604" w:type="dxa"/>
            <w:vAlign w:val="center"/>
          </w:tcPr>
          <w:p w14:paraId="4231CAB9" w14:textId="77777777" w:rsidR="00E10737" w:rsidRPr="007F1C63" w:rsidRDefault="00E10737" w:rsidP="004179DE">
            <w:pPr>
              <w:ind w:left="0"/>
              <w:rPr>
                <w:sz w:val="20"/>
                <w:szCs w:val="20"/>
              </w:rPr>
            </w:pPr>
            <w:r w:rsidRPr="007F1C63">
              <w:rPr>
                <w:sz w:val="20"/>
                <w:szCs w:val="20"/>
              </w:rPr>
              <w:t>N/A</w:t>
            </w:r>
          </w:p>
        </w:tc>
      </w:tr>
    </w:tbl>
    <w:p w14:paraId="6D175EB7" w14:textId="1C1514E9" w:rsidR="00E10737" w:rsidRDefault="00E10737" w:rsidP="00E10737">
      <w:pPr>
        <w:pStyle w:val="Nadpis3"/>
        <w:tabs>
          <w:tab w:val="clear" w:pos="709"/>
        </w:tabs>
        <w:jc w:val="both"/>
      </w:pPr>
      <w:bookmarkStart w:id="131" w:name="_Toc28951664"/>
      <w:r>
        <w:t xml:space="preserve">INVESTIČNÁ PRIORITA </w:t>
      </w:r>
      <w:r w:rsidR="000B4D66">
        <w:t>3d)</w:t>
      </w:r>
      <w:r>
        <w:t>: Podpora kapacity MSP pre rast na regionálnych, celoštátnych a medzinárodných trhoch a zapojenia sa do procesov inovácií</w:t>
      </w:r>
      <w:bookmarkEnd w:id="131"/>
    </w:p>
    <w:p w14:paraId="34997816" w14:textId="77777777" w:rsidR="00E10737" w:rsidRDefault="00E10737" w:rsidP="00E10737">
      <w:pPr>
        <w:pStyle w:val="tl3"/>
        <w:tabs>
          <w:tab w:val="clear" w:pos="709"/>
          <w:tab w:val="clear" w:pos="864"/>
        </w:tabs>
        <w:ind w:left="851" w:hanging="851"/>
      </w:pPr>
      <w:r>
        <w:t>Špecifické ciele investičnej priority a očakávané výsledky</w:t>
      </w:r>
    </w:p>
    <w:p w14:paraId="7EA0A327" w14:textId="68499320" w:rsidR="00E10737" w:rsidRDefault="00E10737" w:rsidP="00E10737">
      <w:pPr>
        <w:shd w:val="clear" w:color="auto" w:fill="FFFFCC"/>
        <w:spacing w:before="120"/>
        <w:jc w:val="both"/>
        <w:rPr>
          <w:b/>
          <w:i/>
        </w:rPr>
      </w:pPr>
      <w:r w:rsidRPr="004F0234">
        <w:rPr>
          <w:i/>
        </w:rPr>
        <w:t xml:space="preserve">ŠPECIFICKÝ CIEĽ </w:t>
      </w:r>
      <w:r>
        <w:rPr>
          <w:i/>
        </w:rPr>
        <w:t>12.1</w:t>
      </w:r>
      <w:r w:rsidRPr="004F0234">
        <w:rPr>
          <w:i/>
        </w:rPr>
        <w:t>:</w:t>
      </w:r>
      <w:r>
        <w:rPr>
          <w:i/>
        </w:rPr>
        <w:t xml:space="preserve"> </w:t>
      </w:r>
      <w:r>
        <w:rPr>
          <w:b/>
          <w:i/>
          <w:w w:val="95"/>
        </w:rPr>
        <w:t xml:space="preserve">Nárast podielu ziskových </w:t>
      </w:r>
      <w:r w:rsidRPr="00E6633A">
        <w:rPr>
          <w:b/>
          <w:i/>
          <w:w w:val="95"/>
        </w:rPr>
        <w:t>MSP</w:t>
      </w:r>
      <w:r>
        <w:rPr>
          <w:b/>
          <w:i/>
          <w:w w:val="95"/>
        </w:rPr>
        <w:t xml:space="preserve"> v Bratislavskom kraji</w:t>
      </w:r>
    </w:p>
    <w:p w14:paraId="73A01417" w14:textId="77777777" w:rsidR="00E10737" w:rsidRDefault="00E10737" w:rsidP="00E10737">
      <w:pPr>
        <w:pStyle w:val="Zkladntext"/>
        <w:spacing w:after="0" w:line="247" w:lineRule="auto"/>
        <w:jc w:val="both"/>
        <w:rPr>
          <w:w w:val="110"/>
          <w:lang w:val="de-DE"/>
        </w:rPr>
      </w:pPr>
    </w:p>
    <w:p w14:paraId="5F2F992F" w14:textId="77777777" w:rsidR="00E10737" w:rsidRPr="00CF79E0" w:rsidRDefault="00E10737" w:rsidP="00E10737">
      <w:pPr>
        <w:pStyle w:val="Zkladntext"/>
        <w:spacing w:line="248" w:lineRule="auto"/>
        <w:jc w:val="both"/>
        <w:rPr>
          <w:sz w:val="22"/>
          <w:szCs w:val="22"/>
        </w:rPr>
      </w:pPr>
      <w:r w:rsidRPr="00CF79E0">
        <w:rPr>
          <w:sz w:val="22"/>
          <w:szCs w:val="22"/>
        </w:rPr>
        <w:t>Špecifický cieľ je zameraný na komplexné riešenia podporujúce vznik a rozvoj nových perspektívnych MSP v BSK vrátane start-up a spin-off ako aj ich podporu, resp. akceleráciu do ďalších fáz životného cyklu. Zabezpečí sa systematická podpora počas všetkých štádií podnikania, vytvorenie podmienok pre rast konkurencieschopnosti MSP a zníženie miery ich zániku. Súčasťou je aj rozvoj nových odvetví (napr. kreatívny priemysel).</w:t>
      </w:r>
    </w:p>
    <w:p w14:paraId="40149064" w14:textId="77777777" w:rsidR="00E10737" w:rsidRPr="00B42303" w:rsidRDefault="00E10737" w:rsidP="00E10737">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6FF430E1" w14:textId="77777777"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zvýšenie miery prežitia nových podnikov v BSK;</w:t>
      </w:r>
    </w:p>
    <w:p w14:paraId="06041ECE" w14:textId="518A23E2"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nárast vzniku a rozvoja inovatívnych, technologických firie</w:t>
      </w:r>
      <w:r w:rsidR="002532FC">
        <w:rPr>
          <w:sz w:val="22"/>
          <w:szCs w:val="22"/>
        </w:rPr>
        <w:t>m vrátane start-up a spin-off a </w:t>
      </w:r>
      <w:r w:rsidRPr="00CF79E0">
        <w:rPr>
          <w:sz w:val="22"/>
          <w:szCs w:val="22"/>
        </w:rPr>
        <w:t>kreatívnych podnikov v BSK;</w:t>
      </w:r>
    </w:p>
    <w:p w14:paraId="671E6A13" w14:textId="77777777"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zlepšenie prístupu k financiám a rizikovému kapitálu pre začínajúce a existujúce MSP;</w:t>
      </w:r>
    </w:p>
    <w:p w14:paraId="14D83F4F" w14:textId="77777777"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zvýšenie podielu ziskových podnikov v BSK;</w:t>
      </w:r>
    </w:p>
    <w:p w14:paraId="47017C76" w14:textId="77777777"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zvýšenie počtu MSP v BSK, ktoré realizujú inovačné aktivity;</w:t>
      </w:r>
    </w:p>
    <w:p w14:paraId="1F108EA4" w14:textId="77777777" w:rsidR="00E10737" w:rsidRDefault="00E10737" w:rsidP="002532FC">
      <w:pPr>
        <w:pStyle w:val="Zkladntext"/>
        <w:widowControl w:val="0"/>
        <w:numPr>
          <w:ilvl w:val="0"/>
          <w:numId w:val="183"/>
        </w:numPr>
        <w:tabs>
          <w:tab w:val="left" w:pos="1554"/>
        </w:tabs>
        <w:spacing w:after="0"/>
        <w:ind w:left="714" w:hanging="357"/>
        <w:rPr>
          <w:sz w:val="22"/>
          <w:szCs w:val="22"/>
        </w:rPr>
      </w:pPr>
      <w:r w:rsidRPr="00CF79E0">
        <w:rPr>
          <w:sz w:val="22"/>
          <w:szCs w:val="22"/>
        </w:rPr>
        <w:t>nárast počtu konkurencieschopných podnikov;</w:t>
      </w:r>
    </w:p>
    <w:p w14:paraId="593CDFE6" w14:textId="77777777" w:rsidR="00E10737" w:rsidRPr="002A01BC" w:rsidRDefault="00E10737" w:rsidP="002532FC">
      <w:pPr>
        <w:pStyle w:val="Zkladntext"/>
        <w:widowControl w:val="0"/>
        <w:numPr>
          <w:ilvl w:val="0"/>
          <w:numId w:val="183"/>
        </w:numPr>
        <w:tabs>
          <w:tab w:val="left" w:pos="1533"/>
        </w:tabs>
        <w:spacing w:after="0"/>
        <w:ind w:left="714" w:hanging="357"/>
        <w:rPr>
          <w:sz w:val="22"/>
          <w:szCs w:val="22"/>
        </w:rPr>
      </w:pPr>
      <w:r w:rsidRPr="00CF79E0">
        <w:rPr>
          <w:sz w:val="22"/>
          <w:szCs w:val="22"/>
        </w:rPr>
        <w:t>vytvorenie podmienok pre aplikáciu sociálnych inovácií a podnikanie znevýhodnených skupín.</w:t>
      </w:r>
    </w:p>
    <w:p w14:paraId="0F666ED9" w14:textId="72B41370" w:rsidR="00E10737" w:rsidRDefault="00E10737" w:rsidP="00E10737">
      <w:pPr>
        <w:pStyle w:val="Tab"/>
        <w:ind w:left="502"/>
      </w:pPr>
      <w:r w:rsidRPr="00BE4E38">
        <w:t>Špecifické ukazovatele výsledkov programu zodpovedajúce špecifickému cieľu 1</w:t>
      </w:r>
      <w:r>
        <w:t>2</w:t>
      </w:r>
      <w:r w:rsidRPr="00BE4E38">
        <w:t>.</w:t>
      </w:r>
      <w:r>
        <w:t>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024"/>
        <w:gridCol w:w="850"/>
        <w:gridCol w:w="992"/>
        <w:gridCol w:w="1241"/>
      </w:tblGrid>
      <w:tr w:rsidR="00E10737" w:rsidRPr="008C1732" w14:paraId="6FF89C7E" w14:textId="77777777" w:rsidTr="00F058A0">
        <w:trPr>
          <w:trHeight w:val="487"/>
          <w:jc w:val="center"/>
        </w:trPr>
        <w:tc>
          <w:tcPr>
            <w:tcW w:w="598" w:type="dxa"/>
            <w:shd w:val="clear" w:color="auto" w:fill="C6D9F1" w:themeFill="text2" w:themeFillTint="33"/>
            <w:vAlign w:val="center"/>
          </w:tcPr>
          <w:p w14:paraId="67B72AB6" w14:textId="77777777" w:rsidR="00E10737" w:rsidRPr="008C1732" w:rsidRDefault="00E10737" w:rsidP="004179DE">
            <w:pPr>
              <w:ind w:left="0"/>
              <w:jc w:val="center"/>
              <w:rPr>
                <w:b/>
                <w:sz w:val="18"/>
                <w:szCs w:val="18"/>
              </w:rPr>
            </w:pPr>
            <w:r>
              <w:rPr>
                <w:b/>
                <w:sz w:val="18"/>
                <w:szCs w:val="18"/>
              </w:rPr>
              <w:t>ID</w:t>
            </w:r>
          </w:p>
        </w:tc>
        <w:tc>
          <w:tcPr>
            <w:tcW w:w="1391" w:type="dxa"/>
            <w:shd w:val="clear" w:color="auto" w:fill="C6D9F1" w:themeFill="text2" w:themeFillTint="33"/>
            <w:vAlign w:val="center"/>
          </w:tcPr>
          <w:p w14:paraId="78EE6493" w14:textId="77777777" w:rsidR="00E10737" w:rsidRPr="008C1732" w:rsidRDefault="00E10737" w:rsidP="004179DE">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6C956126" w14:textId="77777777" w:rsidR="00E10737" w:rsidRPr="008C1732" w:rsidRDefault="00E10737" w:rsidP="004179DE">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39BCD17C" w14:textId="77777777" w:rsidR="00E10737" w:rsidRPr="008C1732" w:rsidRDefault="00E10737" w:rsidP="004179DE">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1BBD646E" w14:textId="77777777" w:rsidR="00E10737" w:rsidRPr="008C1732" w:rsidRDefault="00E10737" w:rsidP="004179DE">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4BC29665" w14:textId="77777777" w:rsidR="00E10737" w:rsidRPr="008C1732" w:rsidRDefault="00E10737" w:rsidP="004179DE">
            <w:pPr>
              <w:ind w:left="0"/>
              <w:jc w:val="center"/>
              <w:rPr>
                <w:b/>
                <w:sz w:val="18"/>
                <w:szCs w:val="18"/>
              </w:rPr>
            </w:pPr>
            <w:r>
              <w:rPr>
                <w:b/>
                <w:sz w:val="18"/>
                <w:szCs w:val="18"/>
              </w:rPr>
              <w:t>Východiskový rok</w:t>
            </w:r>
          </w:p>
        </w:tc>
        <w:tc>
          <w:tcPr>
            <w:tcW w:w="850" w:type="dxa"/>
            <w:shd w:val="clear" w:color="auto" w:fill="C6D9F1" w:themeFill="text2" w:themeFillTint="33"/>
            <w:vAlign w:val="center"/>
          </w:tcPr>
          <w:p w14:paraId="031070A5" w14:textId="77777777" w:rsidR="00E10737" w:rsidRPr="008C1732" w:rsidRDefault="00E10737" w:rsidP="004179DE">
            <w:pPr>
              <w:ind w:left="0"/>
              <w:jc w:val="center"/>
              <w:rPr>
                <w:b/>
                <w:sz w:val="18"/>
                <w:szCs w:val="18"/>
              </w:rPr>
            </w:pPr>
            <w:r w:rsidRPr="008C1732">
              <w:rPr>
                <w:b/>
                <w:sz w:val="18"/>
                <w:szCs w:val="18"/>
              </w:rPr>
              <w:t>Cieľová hodnota (2023)</w:t>
            </w:r>
          </w:p>
        </w:tc>
        <w:tc>
          <w:tcPr>
            <w:tcW w:w="992" w:type="dxa"/>
            <w:shd w:val="clear" w:color="auto" w:fill="C6D9F1" w:themeFill="text2" w:themeFillTint="33"/>
            <w:vAlign w:val="center"/>
          </w:tcPr>
          <w:p w14:paraId="28BE1627" w14:textId="77777777" w:rsidR="00E10737" w:rsidRPr="008C1732" w:rsidRDefault="00E10737" w:rsidP="004179DE">
            <w:pPr>
              <w:ind w:left="0"/>
              <w:jc w:val="center"/>
              <w:rPr>
                <w:b/>
                <w:sz w:val="18"/>
                <w:szCs w:val="18"/>
              </w:rPr>
            </w:pPr>
            <w:r w:rsidRPr="008C1732">
              <w:rPr>
                <w:b/>
                <w:sz w:val="18"/>
                <w:szCs w:val="18"/>
              </w:rPr>
              <w:t>Zdroj údajov</w:t>
            </w:r>
          </w:p>
        </w:tc>
        <w:tc>
          <w:tcPr>
            <w:tcW w:w="1241" w:type="dxa"/>
            <w:shd w:val="clear" w:color="auto" w:fill="C6D9F1" w:themeFill="text2" w:themeFillTint="33"/>
            <w:vAlign w:val="center"/>
          </w:tcPr>
          <w:p w14:paraId="1F649018"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DA54A1" w14:paraId="0F1600F8" w14:textId="77777777" w:rsidTr="00F058A0">
        <w:trPr>
          <w:cantSplit/>
          <w:trHeight w:val="834"/>
          <w:jc w:val="center"/>
        </w:trPr>
        <w:tc>
          <w:tcPr>
            <w:tcW w:w="598" w:type="dxa"/>
            <w:shd w:val="clear" w:color="auto" w:fill="auto"/>
            <w:textDirection w:val="btLr"/>
            <w:vAlign w:val="center"/>
          </w:tcPr>
          <w:p w14:paraId="2F987B52" w14:textId="77777777" w:rsidR="00E10737" w:rsidRPr="00843A6B" w:rsidRDefault="00E10737" w:rsidP="004179DE">
            <w:pPr>
              <w:ind w:left="113" w:right="113"/>
              <w:jc w:val="center"/>
              <w:rPr>
                <w:sz w:val="18"/>
                <w:szCs w:val="18"/>
              </w:rPr>
            </w:pPr>
            <w:r w:rsidRPr="00843A6B">
              <w:rPr>
                <w:sz w:val="18"/>
                <w:szCs w:val="18"/>
              </w:rPr>
              <w:t>R0130</w:t>
            </w:r>
          </w:p>
        </w:tc>
        <w:tc>
          <w:tcPr>
            <w:tcW w:w="1391" w:type="dxa"/>
            <w:shd w:val="clear" w:color="auto" w:fill="auto"/>
            <w:vAlign w:val="center"/>
          </w:tcPr>
          <w:p w14:paraId="07BFC1D9" w14:textId="77777777" w:rsidR="00E10737" w:rsidRPr="00351D17" w:rsidRDefault="00E10737" w:rsidP="004179DE">
            <w:pPr>
              <w:ind w:left="0"/>
              <w:rPr>
                <w:sz w:val="18"/>
                <w:szCs w:val="18"/>
              </w:rPr>
            </w:pPr>
            <w:r w:rsidRPr="00351D17">
              <w:rPr>
                <w:sz w:val="18"/>
                <w:szCs w:val="18"/>
              </w:rPr>
              <w:t>Podiel ziskových MSP v Bratislavskom kraji</w:t>
            </w:r>
          </w:p>
        </w:tc>
        <w:tc>
          <w:tcPr>
            <w:tcW w:w="897" w:type="dxa"/>
            <w:shd w:val="clear" w:color="auto" w:fill="auto"/>
            <w:vAlign w:val="center"/>
          </w:tcPr>
          <w:p w14:paraId="627C5921" w14:textId="77777777" w:rsidR="00E10737" w:rsidRPr="00F058A0" w:rsidRDefault="00E10737" w:rsidP="004179DE">
            <w:pPr>
              <w:ind w:left="0"/>
              <w:jc w:val="center"/>
              <w:rPr>
                <w:i/>
                <w:sz w:val="18"/>
                <w:szCs w:val="18"/>
              </w:rPr>
            </w:pPr>
            <w:r w:rsidRPr="00F058A0">
              <w:rPr>
                <w:i/>
                <w:sz w:val="18"/>
                <w:szCs w:val="18"/>
              </w:rPr>
              <w:t>%</w:t>
            </w:r>
          </w:p>
        </w:tc>
        <w:tc>
          <w:tcPr>
            <w:tcW w:w="997" w:type="dxa"/>
            <w:shd w:val="clear" w:color="auto" w:fill="auto"/>
            <w:vAlign w:val="center"/>
          </w:tcPr>
          <w:p w14:paraId="577422C6" w14:textId="77777777" w:rsidR="00E10737" w:rsidRPr="00F058A0" w:rsidRDefault="00E10737" w:rsidP="004179DE">
            <w:pPr>
              <w:ind w:left="0"/>
              <w:jc w:val="center"/>
              <w:rPr>
                <w:i/>
                <w:sz w:val="18"/>
                <w:szCs w:val="18"/>
              </w:rPr>
            </w:pPr>
            <w:r w:rsidRPr="00F058A0">
              <w:rPr>
                <w:i/>
                <w:sz w:val="18"/>
                <w:szCs w:val="18"/>
              </w:rPr>
              <w:t>rozvinutejší región</w:t>
            </w:r>
          </w:p>
        </w:tc>
        <w:tc>
          <w:tcPr>
            <w:tcW w:w="1297" w:type="dxa"/>
            <w:vAlign w:val="center"/>
          </w:tcPr>
          <w:p w14:paraId="1D66F354" w14:textId="77777777" w:rsidR="00E10737" w:rsidRPr="00F058A0" w:rsidRDefault="00E10737" w:rsidP="004179DE">
            <w:pPr>
              <w:ind w:left="0"/>
              <w:jc w:val="center"/>
              <w:rPr>
                <w:i/>
                <w:sz w:val="18"/>
                <w:szCs w:val="18"/>
              </w:rPr>
            </w:pPr>
            <w:r w:rsidRPr="00F058A0">
              <w:rPr>
                <w:i/>
                <w:sz w:val="18"/>
                <w:szCs w:val="18"/>
              </w:rPr>
              <w:t>51,8</w:t>
            </w:r>
          </w:p>
        </w:tc>
        <w:tc>
          <w:tcPr>
            <w:tcW w:w="1024" w:type="dxa"/>
            <w:vAlign w:val="center"/>
          </w:tcPr>
          <w:p w14:paraId="1191987D" w14:textId="77777777" w:rsidR="00E10737" w:rsidRPr="00F058A0" w:rsidRDefault="00E10737" w:rsidP="004179DE">
            <w:pPr>
              <w:ind w:left="0"/>
              <w:jc w:val="center"/>
              <w:rPr>
                <w:i/>
                <w:sz w:val="18"/>
                <w:szCs w:val="18"/>
              </w:rPr>
            </w:pPr>
            <w:r w:rsidRPr="00F058A0">
              <w:rPr>
                <w:i/>
                <w:sz w:val="18"/>
                <w:szCs w:val="18"/>
              </w:rPr>
              <w:t>2011</w:t>
            </w:r>
          </w:p>
        </w:tc>
        <w:tc>
          <w:tcPr>
            <w:tcW w:w="850" w:type="dxa"/>
            <w:shd w:val="clear" w:color="auto" w:fill="auto"/>
            <w:vAlign w:val="center"/>
          </w:tcPr>
          <w:p w14:paraId="1993A504" w14:textId="77777777" w:rsidR="00E10737" w:rsidRPr="00F058A0" w:rsidRDefault="00E10737" w:rsidP="004179DE">
            <w:pPr>
              <w:ind w:left="0"/>
              <w:jc w:val="center"/>
              <w:rPr>
                <w:i/>
                <w:sz w:val="18"/>
                <w:szCs w:val="18"/>
              </w:rPr>
            </w:pPr>
            <w:r w:rsidRPr="00F058A0">
              <w:rPr>
                <w:i/>
                <w:sz w:val="18"/>
                <w:szCs w:val="18"/>
              </w:rPr>
              <w:t>57</w:t>
            </w:r>
          </w:p>
        </w:tc>
        <w:tc>
          <w:tcPr>
            <w:tcW w:w="992" w:type="dxa"/>
            <w:vAlign w:val="center"/>
          </w:tcPr>
          <w:p w14:paraId="502E475F" w14:textId="77777777" w:rsidR="00E10737" w:rsidRPr="00F058A0" w:rsidRDefault="00E10737" w:rsidP="004179DE">
            <w:pPr>
              <w:ind w:left="0"/>
              <w:jc w:val="center"/>
              <w:rPr>
                <w:i/>
                <w:sz w:val="18"/>
                <w:szCs w:val="18"/>
              </w:rPr>
            </w:pPr>
            <w:r w:rsidRPr="00F058A0">
              <w:rPr>
                <w:i/>
                <w:sz w:val="18"/>
                <w:szCs w:val="18"/>
              </w:rPr>
              <w:t>Register účtovných závierok</w:t>
            </w:r>
          </w:p>
        </w:tc>
        <w:tc>
          <w:tcPr>
            <w:tcW w:w="1241" w:type="dxa"/>
            <w:vAlign w:val="center"/>
          </w:tcPr>
          <w:p w14:paraId="1A74D4D7" w14:textId="77777777" w:rsidR="00E10737" w:rsidRPr="00F058A0" w:rsidRDefault="00E10737" w:rsidP="004179DE">
            <w:pPr>
              <w:ind w:left="0"/>
              <w:jc w:val="center"/>
              <w:rPr>
                <w:i/>
                <w:sz w:val="18"/>
                <w:szCs w:val="18"/>
              </w:rPr>
            </w:pPr>
            <w:r w:rsidRPr="00F058A0">
              <w:rPr>
                <w:i/>
                <w:sz w:val="18"/>
                <w:szCs w:val="18"/>
              </w:rPr>
              <w:t>ročne</w:t>
            </w:r>
          </w:p>
        </w:tc>
      </w:tr>
    </w:tbl>
    <w:p w14:paraId="5A2FDACC" w14:textId="77777777" w:rsidR="00E10737" w:rsidRPr="00151195" w:rsidRDefault="00E10737" w:rsidP="00E10737">
      <w:pPr>
        <w:pStyle w:val="tl3"/>
        <w:tabs>
          <w:tab w:val="clear" w:pos="709"/>
          <w:tab w:val="clear" w:pos="864"/>
        </w:tabs>
        <w:ind w:left="851" w:hanging="851"/>
      </w:pPr>
      <w:r w:rsidRPr="00151195">
        <w:t>Opis typu a príklady aktivít</w:t>
      </w:r>
    </w:p>
    <w:p w14:paraId="78E9A07E" w14:textId="56E8BE1D" w:rsidR="00E10737" w:rsidRPr="002532FC" w:rsidRDefault="00E10737" w:rsidP="00E10737">
      <w:pPr>
        <w:pStyle w:val="Zkladntext"/>
        <w:spacing w:before="146"/>
        <w:jc w:val="both"/>
        <w:rPr>
          <w:i/>
          <w:sz w:val="22"/>
          <w:szCs w:val="22"/>
        </w:rPr>
      </w:pPr>
      <w:r w:rsidRPr="002532FC">
        <w:rPr>
          <w:i/>
          <w:sz w:val="22"/>
          <w:szCs w:val="22"/>
          <w:u w:val="single"/>
        </w:rPr>
        <w:t>Príklady aktivít pre špecifický cieľ 12.1</w:t>
      </w:r>
      <w:r w:rsidR="002532FC">
        <w:rPr>
          <w:i/>
          <w:sz w:val="22"/>
          <w:szCs w:val="22"/>
        </w:rPr>
        <w:t>:</w:t>
      </w:r>
    </w:p>
    <w:p w14:paraId="35BF008E" w14:textId="1DDD894B" w:rsidR="00E10737" w:rsidRPr="00CF79E0" w:rsidRDefault="00E10737" w:rsidP="00E10737">
      <w:pPr>
        <w:pStyle w:val="Zkladntext"/>
        <w:spacing w:before="108" w:line="247" w:lineRule="auto"/>
        <w:jc w:val="both"/>
        <w:rPr>
          <w:sz w:val="22"/>
          <w:szCs w:val="22"/>
        </w:rPr>
      </w:pPr>
      <w:r w:rsidRPr="00CF79E0">
        <w:rPr>
          <w:sz w:val="22"/>
          <w:szCs w:val="22"/>
        </w:rPr>
        <w:lastRenderedPageBreak/>
        <w:t>Podpora nových a začínajúcich MSP prostredníctvom finančných</w:t>
      </w:r>
      <w:r w:rsidR="002532FC">
        <w:rPr>
          <w:sz w:val="22"/>
          <w:szCs w:val="22"/>
        </w:rPr>
        <w:t xml:space="preserve"> nástrojov (úverový program pre </w:t>
      </w:r>
      <w:r w:rsidRPr="00CF79E0">
        <w:rPr>
          <w:sz w:val="22"/>
          <w:szCs w:val="22"/>
        </w:rPr>
        <w:t>podporu nových a začínajúcich MSP, fond rizikového kapitálu pre začínajúce podniky vo fázach seed a start up), resp. grantov zameraných na podporu priemyslu a služieb, najmä poznatkovo intenzívnych služieb (KIS) a nových, progresívnych odvetví. Na základe ú</w:t>
      </w:r>
      <w:r w:rsidR="005370B9">
        <w:rPr>
          <w:sz w:val="22"/>
          <w:szCs w:val="22"/>
        </w:rPr>
        <w:t>spešne realizovaných opatrení v </w:t>
      </w:r>
      <w:r w:rsidRPr="00CF79E0">
        <w:rPr>
          <w:sz w:val="22"/>
          <w:szCs w:val="22"/>
        </w:rPr>
        <w:t>predchádzajúcom období (mikropôžičkové programy SBA a SZRB) ukazuje sa potreba podpory začínajúcich ako aj časti etablovaných MSP, ktoré predstavujú medzeru na trhu komerčného financovania, prostredníctvom špecifických finančných nástrojov. Aktivita je navrhnutá na riešenie problému obmedzeného prístupu k financovaniu spôsobujúceho ohrozenie životaschopnost</w:t>
      </w:r>
      <w:r w:rsidR="005370B9">
        <w:rPr>
          <w:sz w:val="22"/>
          <w:szCs w:val="22"/>
        </w:rPr>
        <w:t>i nových a </w:t>
      </w:r>
      <w:r w:rsidRPr="00CF79E0">
        <w:rPr>
          <w:sz w:val="22"/>
          <w:szCs w:val="22"/>
        </w:rPr>
        <w:t xml:space="preserve">začínajúcich MSP v BSK. Aktivita zároveň vytvára predpoklady pre udržateľné fungovanie MSP. Finančné nástroje predstavujú vhodné doplnenie portfólia nefinančných opatrení realizovaných prostredníctvom podnikateľského centra. Finančné schémy môžu byť kombinované s grantovou zložkou (viazanou na splnenie určitých podmienok). Vytvorí sa tak možnosť podpory aj pre MSP bez podnikateľskej histórie, ktorí predstavujú najväčšie riziko z hľadiska </w:t>
      </w:r>
      <w:r w:rsidR="005370B9">
        <w:rPr>
          <w:sz w:val="22"/>
          <w:szCs w:val="22"/>
        </w:rPr>
        <w:t>komerčného sektora a preto sa v </w:t>
      </w:r>
      <w:r w:rsidRPr="00CF79E0">
        <w:rPr>
          <w:sz w:val="22"/>
          <w:szCs w:val="22"/>
        </w:rPr>
        <w:t>tomto prípade prejavuje najväčšie trhové zlyhanie. Charakteristickým znakom týchto finančných nástrojov je skĺbenie finančnej pomoci (úveru, kapitálového vstupu) a odborného poradenstva. Navrhované nástroje majú za cieľ podporiť rozvoj podnikania aj v rámci sociálnych inovácií, t.</w:t>
      </w:r>
      <w:r w:rsidR="002532FC">
        <w:rPr>
          <w:sz w:val="22"/>
          <w:szCs w:val="22"/>
        </w:rPr>
        <w:t> </w:t>
      </w:r>
      <w:r w:rsidRPr="00CF79E0">
        <w:rPr>
          <w:sz w:val="22"/>
          <w:szCs w:val="22"/>
        </w:rPr>
        <w:t>j. podpory znevýhodnených sociálnych skupín (ženy, mladí do 25 rokov, seniori nad 50 rokov, dlhodobo nezamestnaní, štátni príslušníci z tretích krajín, sociálne znevýhodnení a osoby so zdravotným postihnutím, Rómovia).</w:t>
      </w:r>
    </w:p>
    <w:p w14:paraId="7B8507F2" w14:textId="77777777" w:rsidR="00E10737" w:rsidRDefault="00E10737" w:rsidP="00E10737">
      <w:pPr>
        <w:pStyle w:val="Zkladntext"/>
        <w:spacing w:before="120"/>
        <w:jc w:val="both"/>
        <w:rPr>
          <w:sz w:val="22"/>
          <w:szCs w:val="22"/>
        </w:rPr>
      </w:pPr>
      <w:r w:rsidRPr="00B42303">
        <w:rPr>
          <w:sz w:val="22"/>
          <w:szCs w:val="22"/>
        </w:rPr>
        <w:t>Cieľom aktivity je:</w:t>
      </w:r>
    </w:p>
    <w:p w14:paraId="398ED03E" w14:textId="77777777" w:rsidR="00E10737" w:rsidRDefault="00E10737" w:rsidP="00E10737">
      <w:pPr>
        <w:pStyle w:val="Odsekzoznamu"/>
        <w:numPr>
          <w:ilvl w:val="0"/>
          <w:numId w:val="27"/>
        </w:numPr>
        <w:ind w:left="567" w:hanging="283"/>
        <w:jc w:val="both"/>
        <w:rPr>
          <w:sz w:val="22"/>
          <w:szCs w:val="22"/>
        </w:rPr>
      </w:pPr>
      <w:r w:rsidRPr="00CF79E0">
        <w:rPr>
          <w:sz w:val="22"/>
          <w:szCs w:val="22"/>
        </w:rPr>
        <w:t>zlepšiť prístup k financiám pre nových a začínajúcich MSP,</w:t>
      </w:r>
    </w:p>
    <w:p w14:paraId="36D7A1C8" w14:textId="77777777" w:rsidR="00E10737" w:rsidRDefault="00E10737" w:rsidP="00E10737">
      <w:pPr>
        <w:pStyle w:val="Odsekzoznamu"/>
        <w:numPr>
          <w:ilvl w:val="0"/>
          <w:numId w:val="27"/>
        </w:numPr>
        <w:ind w:left="567" w:hanging="283"/>
        <w:jc w:val="both"/>
        <w:rPr>
          <w:sz w:val="22"/>
          <w:szCs w:val="22"/>
        </w:rPr>
      </w:pPr>
      <w:r w:rsidRPr="00CF79E0">
        <w:rPr>
          <w:sz w:val="22"/>
          <w:szCs w:val="22"/>
        </w:rPr>
        <w:t>pomoc a podpora pri začatí a rozvíjaní podnikania,</w:t>
      </w:r>
    </w:p>
    <w:p w14:paraId="09664589" w14:textId="77777777" w:rsidR="00E10737" w:rsidRDefault="00E10737" w:rsidP="00E10737">
      <w:pPr>
        <w:pStyle w:val="Odsekzoznamu"/>
        <w:numPr>
          <w:ilvl w:val="0"/>
          <w:numId w:val="27"/>
        </w:numPr>
        <w:ind w:left="567" w:hanging="283"/>
        <w:jc w:val="both"/>
        <w:rPr>
          <w:sz w:val="22"/>
          <w:szCs w:val="22"/>
        </w:rPr>
      </w:pPr>
      <w:r w:rsidRPr="00CF79E0">
        <w:rPr>
          <w:sz w:val="22"/>
          <w:szCs w:val="22"/>
        </w:rPr>
        <w:t>podpora pri prenose osobných skúseností a odborných znalostí pri štarte podnikania,</w:t>
      </w:r>
    </w:p>
    <w:p w14:paraId="33863E03" w14:textId="77777777" w:rsidR="00E10737" w:rsidRDefault="00E10737" w:rsidP="00E10737">
      <w:pPr>
        <w:pStyle w:val="Odsekzoznamu"/>
        <w:numPr>
          <w:ilvl w:val="0"/>
          <w:numId w:val="27"/>
        </w:numPr>
        <w:ind w:left="567" w:hanging="283"/>
        <w:jc w:val="both"/>
        <w:rPr>
          <w:sz w:val="22"/>
          <w:szCs w:val="22"/>
        </w:rPr>
      </w:pPr>
      <w:r w:rsidRPr="00CF79E0">
        <w:rPr>
          <w:sz w:val="22"/>
          <w:szCs w:val="22"/>
        </w:rPr>
        <w:t>poskytovanie finančnej podpory v kombinácii s odborným poradenstvom,</w:t>
      </w:r>
    </w:p>
    <w:p w14:paraId="4005B721" w14:textId="77777777" w:rsidR="00E10737" w:rsidRDefault="00E10737" w:rsidP="00E10737">
      <w:pPr>
        <w:pStyle w:val="Odsekzoznamu"/>
        <w:numPr>
          <w:ilvl w:val="0"/>
          <w:numId w:val="27"/>
        </w:numPr>
        <w:ind w:left="567" w:hanging="283"/>
        <w:jc w:val="both"/>
        <w:rPr>
          <w:sz w:val="22"/>
          <w:szCs w:val="22"/>
        </w:rPr>
      </w:pPr>
      <w:r w:rsidRPr="00CF79E0">
        <w:rPr>
          <w:sz w:val="22"/>
          <w:szCs w:val="22"/>
        </w:rPr>
        <w:t>sprístupnenie finančných prostriedkov etablovaným MSP formou úverov za zvýhodnených podmienok s minimálnym deformatívnym dopadom na trh</w:t>
      </w:r>
      <w:r>
        <w:rPr>
          <w:sz w:val="22"/>
          <w:szCs w:val="22"/>
        </w:rPr>
        <w:t>,</w:t>
      </w:r>
    </w:p>
    <w:p w14:paraId="364F561D"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sprístupnenie finančných prostriedkov za zvýhodnených podmienok podnikateľom zo sociálne znevýhodneného prostredia.</w:t>
      </w:r>
    </w:p>
    <w:p w14:paraId="1CA76A4F" w14:textId="77777777" w:rsidR="00E10737" w:rsidRDefault="00E10737" w:rsidP="00351D17">
      <w:pPr>
        <w:pStyle w:val="Zkladntext"/>
        <w:widowControl w:val="0"/>
        <w:spacing w:before="120"/>
        <w:rPr>
          <w:sz w:val="22"/>
          <w:szCs w:val="22"/>
        </w:rPr>
      </w:pPr>
      <w:r w:rsidRPr="00CF79E0">
        <w:rPr>
          <w:sz w:val="22"/>
          <w:szCs w:val="22"/>
        </w:rPr>
        <w:t>Aktivita bude realizovaná formou finančných nástrojov.</w:t>
      </w:r>
    </w:p>
    <w:p w14:paraId="469B271B" w14:textId="3EE90A0F" w:rsidR="00E10737" w:rsidRPr="00CF79E0" w:rsidRDefault="00E10737" w:rsidP="00E10737">
      <w:pPr>
        <w:jc w:val="both"/>
        <w:rPr>
          <w:sz w:val="22"/>
          <w:szCs w:val="22"/>
        </w:rPr>
      </w:pPr>
      <w:r w:rsidRPr="00CF79E0">
        <w:rPr>
          <w:sz w:val="22"/>
          <w:szCs w:val="22"/>
        </w:rPr>
        <w:t>Podpora činnosti a rozvoj podnikateľského centra v BSK (NPC v Bratislave) s cieľom etablovania podpornej inštitúcie pre MSP, ako aj záujemcov o podnikanie. V predchádzajúcom období nebola realizovaná systematická podpora MSP v BSK nakoľko región bol vylúčený z väčšiny podporných opatrení financovaných zo ŠF. Systém verejnej podpory b</w:t>
      </w:r>
      <w:r w:rsidR="005370B9">
        <w:rPr>
          <w:sz w:val="22"/>
          <w:szCs w:val="22"/>
        </w:rPr>
        <w:t>ol fragmentovaný, nesystémový a </w:t>
      </w:r>
      <w:r w:rsidRPr="00CF79E0">
        <w:rPr>
          <w:sz w:val="22"/>
          <w:szCs w:val="22"/>
        </w:rPr>
        <w:t>nekoordinovaný. Cieľom aktivity je vytvoriť funkčnú štruktúru pre zabezpečenie systémovej podpory MSP. Jej obsahom je koncept podnikateľských centier ako komplexných podporných centier typu one-stop-shop, v ktorých záujemca o podnikanie (vrátane znevýhodnených sociálnych skupín), podnik v počiatočnom štádiu rozvoja alebo už existujúci MSP získa informácie, rady, podporu, priestor na vlastný rast, či kooperáciu, možnosť financovania a pod. S</w:t>
      </w:r>
      <w:r w:rsidR="005370B9">
        <w:rPr>
          <w:sz w:val="22"/>
          <w:szCs w:val="22"/>
        </w:rPr>
        <w:t>lužby centier budú rozdelené do </w:t>
      </w:r>
      <w:r w:rsidRPr="00CF79E0">
        <w:rPr>
          <w:sz w:val="22"/>
          <w:szCs w:val="22"/>
        </w:rPr>
        <w:t>niekoľkých základných foriem, napr. služby akcelerátora, služby i</w:t>
      </w:r>
      <w:r w:rsidR="005370B9">
        <w:rPr>
          <w:sz w:val="22"/>
          <w:szCs w:val="22"/>
        </w:rPr>
        <w:t>nkubátora, služby co-workingu a </w:t>
      </w:r>
      <w:r w:rsidRPr="00CF79E0">
        <w:rPr>
          <w:sz w:val="22"/>
          <w:szCs w:val="22"/>
        </w:rPr>
        <w:t xml:space="preserve">pod., vrátane existujúcich podporných nástrojov, ktoré v súčasnosti realizuje SBA. Koncept podnikateľských centier predpokladá vznik NPC v Bratislave, ktoré bude východiskom pre budovanie ďalších centier v regiónoch SR. Medzi centrami bude prebiehať úzka súčinnosť a kooperácia tak, aby bola zabezpečená dostupnosť a kvalita poskytovaných služieb pre MSP. NPC v Bratislave s pokrytím BSK sa bude implementovať ako vzorový, resp. pilotný projekt budúcej siete alokovanej v regiónoch SR. Pilotná fáza NPC Bratislava je spoločne realizovaná partnermi SBA a </w:t>
      </w:r>
      <w:r w:rsidR="005370B9">
        <w:rPr>
          <w:sz w:val="22"/>
          <w:szCs w:val="22"/>
        </w:rPr>
        <w:t>CVTI SR už v </w:t>
      </w:r>
      <w:r w:rsidRPr="00CF79E0">
        <w:rPr>
          <w:sz w:val="22"/>
          <w:szCs w:val="22"/>
        </w:rPr>
        <w:t>programovacom období 2007 – 2013 s plným nábehom služieb v rámci programového obdobia 2014 – 2020. S využitím skúseností NPC v Bratislave budú v spolupráci SBA a CVTI SR následne iniciované podnikateľské centrá v ostatných regiónoch SR. Zámerom nie je budovať novú infraštruktúru, ale naopak vytvoriť NPC s využitím existujúcej infraštruktúry a so zapojením rôznych partnerov, ako napr. regionálnej a miestnej samosprávy, akademickej obce, VaV kapacít, podnikateľských organizácií a pod. Primárnymi aktivitami, ktoré bude poskytovať NPC sú:</w:t>
      </w:r>
    </w:p>
    <w:p w14:paraId="49380D0D" w14:textId="77777777" w:rsidR="00E10737" w:rsidRDefault="00E10737" w:rsidP="00E10737">
      <w:pPr>
        <w:jc w:val="both"/>
        <w:rPr>
          <w:spacing w:val="-9"/>
          <w:w w:val="110"/>
        </w:rPr>
      </w:pPr>
    </w:p>
    <w:p w14:paraId="06598830"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lastRenderedPageBreak/>
        <w:t>vytváranie infraštruktúry pre podporu začínajúcich podnikov (kancelárske a prevádzkové priestory, technologické zariadenia),</w:t>
      </w:r>
    </w:p>
    <w:p w14:paraId="33CA527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individuálne podnikateľské poradenstvo,</w:t>
      </w:r>
    </w:p>
    <w:p w14:paraId="73CA351B"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odborné poradenstvo pre podnikateľov zo sociálne znevýhodneného prostredia a pre podniky poskytujúce sociálne služby,</w:t>
      </w:r>
    </w:p>
    <w:p w14:paraId="2F644E83" w14:textId="5F428D37" w:rsidR="00E10737" w:rsidRPr="00CF79E0" w:rsidRDefault="00E10737" w:rsidP="00E10737">
      <w:pPr>
        <w:pStyle w:val="Odsekzoznamu"/>
        <w:numPr>
          <w:ilvl w:val="0"/>
          <w:numId w:val="27"/>
        </w:numPr>
        <w:ind w:left="567" w:hanging="283"/>
        <w:jc w:val="both"/>
        <w:rPr>
          <w:sz w:val="22"/>
          <w:szCs w:val="22"/>
        </w:rPr>
      </w:pPr>
      <w:r w:rsidRPr="00CF79E0">
        <w:rPr>
          <w:sz w:val="22"/>
          <w:szCs w:val="22"/>
        </w:rPr>
        <w:t>odborné poradenstvo zamerané na zvyšovanie podnikateľských zručností a na zvyšovanie zručností prostredníctvom</w:t>
      </w:r>
      <w:r w:rsidR="00BE0BA9">
        <w:rPr>
          <w:sz w:val="22"/>
          <w:szCs w:val="22"/>
        </w:rPr>
        <w:t xml:space="preserve"> </w:t>
      </w:r>
      <w:r w:rsidRPr="00CF79E0">
        <w:rPr>
          <w:sz w:val="22"/>
          <w:szCs w:val="22"/>
        </w:rPr>
        <w:t>zavádzania</w:t>
      </w:r>
      <w:r w:rsidR="00BE0BA9">
        <w:rPr>
          <w:sz w:val="22"/>
          <w:szCs w:val="22"/>
        </w:rPr>
        <w:t xml:space="preserve"> </w:t>
      </w:r>
      <w:r w:rsidRPr="00CF79E0">
        <w:rPr>
          <w:sz w:val="22"/>
          <w:szCs w:val="22"/>
        </w:rPr>
        <w:t>štandardov</w:t>
      </w:r>
      <w:r w:rsidR="00BE0BA9">
        <w:rPr>
          <w:sz w:val="22"/>
          <w:szCs w:val="22"/>
        </w:rPr>
        <w:t xml:space="preserve"> </w:t>
      </w:r>
      <w:r w:rsidRPr="00CF79E0">
        <w:rPr>
          <w:sz w:val="22"/>
          <w:szCs w:val="22"/>
        </w:rPr>
        <w:t>kvality, napr. systémy</w:t>
      </w:r>
      <w:r w:rsidR="00BE0BA9">
        <w:rPr>
          <w:sz w:val="22"/>
          <w:szCs w:val="22"/>
        </w:rPr>
        <w:t xml:space="preserve"> </w:t>
      </w:r>
      <w:r w:rsidRPr="00CF79E0">
        <w:rPr>
          <w:sz w:val="22"/>
          <w:szCs w:val="22"/>
        </w:rPr>
        <w:t>manažérstva</w:t>
      </w:r>
      <w:r w:rsidR="00BE0BA9">
        <w:rPr>
          <w:sz w:val="22"/>
          <w:szCs w:val="22"/>
        </w:rPr>
        <w:t xml:space="preserve"> </w:t>
      </w:r>
      <w:r w:rsidRPr="00CF79E0">
        <w:rPr>
          <w:sz w:val="22"/>
          <w:szCs w:val="22"/>
        </w:rPr>
        <w:t>kvality, procesné</w:t>
      </w:r>
      <w:r w:rsidR="00BE0BA9">
        <w:rPr>
          <w:sz w:val="22"/>
          <w:szCs w:val="22"/>
        </w:rPr>
        <w:t xml:space="preserve"> </w:t>
      </w:r>
      <w:r w:rsidRPr="00CF79E0">
        <w:rPr>
          <w:sz w:val="22"/>
          <w:szCs w:val="22"/>
        </w:rPr>
        <w:t>riadenie, akreditácia</w:t>
      </w:r>
      <w:r w:rsidR="00BE0BA9">
        <w:rPr>
          <w:rStyle w:val="Odkaznapoznmkupodiarou"/>
          <w:sz w:val="22"/>
          <w:szCs w:val="22"/>
        </w:rPr>
        <w:footnoteReference w:id="99"/>
      </w:r>
      <w:r w:rsidRPr="00CF79E0">
        <w:rPr>
          <w:sz w:val="22"/>
          <w:szCs w:val="22"/>
        </w:rPr>
        <w:t xml:space="preserve"> a certifikácia, REACH, EMAS, ISO 14001 a pod.,</w:t>
      </w:r>
    </w:p>
    <w:p w14:paraId="3624BB40"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organizácia odborných podujatí – semináre, webináre, prednášky, diskusné fóra, workshopy, konferencie, B2B, B2G podujatia, kooperačné podujatia a pod.,</w:t>
      </w:r>
    </w:p>
    <w:p w14:paraId="3A3060EA" w14:textId="0245C265" w:rsidR="00E10737" w:rsidRPr="00CF79E0" w:rsidRDefault="00E10737" w:rsidP="00E10737">
      <w:pPr>
        <w:pStyle w:val="Odsekzoznamu"/>
        <w:numPr>
          <w:ilvl w:val="0"/>
          <w:numId w:val="27"/>
        </w:numPr>
        <w:ind w:left="567" w:hanging="283"/>
        <w:jc w:val="both"/>
        <w:rPr>
          <w:sz w:val="22"/>
          <w:szCs w:val="22"/>
        </w:rPr>
      </w:pPr>
      <w:r w:rsidRPr="00CF79E0">
        <w:rPr>
          <w:sz w:val="22"/>
          <w:szCs w:val="22"/>
        </w:rPr>
        <w:t>školenia a vzdelávacie programy zamerané na prípravu na podn</w:t>
      </w:r>
      <w:r w:rsidR="002532FC">
        <w:rPr>
          <w:sz w:val="22"/>
          <w:szCs w:val="22"/>
        </w:rPr>
        <w:t>ikanie, špecifické školenia pre </w:t>
      </w:r>
      <w:r w:rsidRPr="00CF79E0">
        <w:rPr>
          <w:sz w:val="22"/>
          <w:szCs w:val="22"/>
        </w:rPr>
        <w:t>inkubovaných a start-up podnikateľov, tréningové programy pre externých MSP,</w:t>
      </w:r>
    </w:p>
    <w:p w14:paraId="6D02C29A"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sprostredkovanie financovania – mikropôžičky, úvery, rizikový kapitál, podnikateľskí anjeli, inovačné vouchre a pod.,</w:t>
      </w:r>
    </w:p>
    <w:p w14:paraId="1DF086BB"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on-line platforma a dopytové služby (prepojenie na sieť Enterprise Europe Network a iné siete), vyhľadávanie v databázach projektov, partnerov a ponúk na spoluprácu, zdieľanie dokumentov, blogy a pod., aktivita nadväzuje na národný projekt Elektronické služby MH SR,</w:t>
      </w:r>
    </w:p>
    <w:p w14:paraId="2F6D8648"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stážové pobyty v zahraničných hi-tech centrách a parkoch,</w:t>
      </w:r>
    </w:p>
    <w:p w14:paraId="17C54389"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podpora pri internacionalizácii a etablovaní sa na globálnom trhu,</w:t>
      </w:r>
    </w:p>
    <w:p w14:paraId="05BCAE46"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prezentácia úspešných podnikateľov a príkladov dobrej podnikateľskej praxe,</w:t>
      </w:r>
    </w:p>
    <w:p w14:paraId="32765C31"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súťaže a popularizačné podujatia pre stredné a vysoké školy a širokú verejnosť zamerané na zvýšenie motivácie podnikať,</w:t>
      </w:r>
    </w:p>
    <w:p w14:paraId="01BB9673"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informovanie o možnostiach podpory z komunitárnych programov EÚ,</w:t>
      </w:r>
    </w:p>
    <w:p w14:paraId="14877AAB"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poradenstvo pri príprave žiadostí o podporu z komunitárnych programov EÚ,</w:t>
      </w:r>
    </w:p>
    <w:p w14:paraId="2C79B124"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asistencia pri vyhľadávaní partnerov pre potrebu komunitárnych programov EÚ,</w:t>
      </w:r>
    </w:p>
    <w:p w14:paraId="538D7357"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zber dát o podnikateľskom prostredí/realizácia prieskumov,</w:t>
      </w:r>
    </w:p>
    <w:p w14:paraId="748EB275"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spracovanie analýz segmentov podnikateľského prostredia a trendov v podnikaní MSP,</w:t>
      </w:r>
    </w:p>
    <w:p w14:paraId="21613B40"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monitorovanie vplyvu administratívnych pravidiel a legislatívnych noriem, príprava legislatívnych návrhov na zlepšenie podmienok pre MSP,</w:t>
      </w:r>
    </w:p>
    <w:p w14:paraId="2A2ACCC2"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identifikácia zlyhaní trhu, monitorovanie a vyhodnocovanie efektívnosti podporných programov, príprava návrhov opatrení/programov na podporu MSP,</w:t>
      </w:r>
    </w:p>
    <w:p w14:paraId="46FE0565" w14:textId="77777777" w:rsidR="00E10737" w:rsidRDefault="00E10737" w:rsidP="00E10737">
      <w:pPr>
        <w:pStyle w:val="Odsekzoznamu"/>
        <w:numPr>
          <w:ilvl w:val="0"/>
          <w:numId w:val="27"/>
        </w:numPr>
        <w:ind w:left="567" w:hanging="283"/>
        <w:jc w:val="both"/>
        <w:rPr>
          <w:sz w:val="22"/>
          <w:szCs w:val="22"/>
        </w:rPr>
      </w:pPr>
      <w:r w:rsidRPr="00CF79E0">
        <w:rPr>
          <w:sz w:val="22"/>
          <w:szCs w:val="22"/>
        </w:rPr>
        <w:t>monitoring uplatňovania princípov Small Business Act v podmienkach SR.</w:t>
      </w:r>
    </w:p>
    <w:p w14:paraId="1A21C225" w14:textId="77777777" w:rsidR="00E10737" w:rsidRDefault="00E10737" w:rsidP="00E10737">
      <w:pPr>
        <w:pStyle w:val="Zkladntext"/>
        <w:widowControl w:val="0"/>
        <w:tabs>
          <w:tab w:val="left" w:pos="952"/>
        </w:tabs>
        <w:spacing w:before="120" w:after="0"/>
        <w:rPr>
          <w:sz w:val="22"/>
          <w:szCs w:val="22"/>
        </w:rPr>
      </w:pPr>
      <w:r w:rsidRPr="00CF79E0">
        <w:rPr>
          <w:sz w:val="22"/>
          <w:szCs w:val="22"/>
        </w:rPr>
        <w:t>Aktivita bude realizovaná formou národného projektu a schémy pomoci.</w:t>
      </w:r>
    </w:p>
    <w:p w14:paraId="1C21BFBD" w14:textId="77777777" w:rsidR="00E10737" w:rsidRDefault="00E10737" w:rsidP="00E10737">
      <w:pPr>
        <w:pStyle w:val="Zkladntext"/>
        <w:widowControl w:val="0"/>
        <w:tabs>
          <w:tab w:val="left" w:pos="952"/>
        </w:tabs>
        <w:spacing w:after="0"/>
        <w:rPr>
          <w:sz w:val="22"/>
          <w:szCs w:val="22"/>
        </w:rPr>
      </w:pPr>
    </w:p>
    <w:p w14:paraId="55C57546" w14:textId="58450299" w:rsidR="00E10737" w:rsidRPr="00CF79E0" w:rsidRDefault="00E10737" w:rsidP="00E10737">
      <w:pPr>
        <w:pStyle w:val="Zkladntext"/>
        <w:spacing w:after="0"/>
        <w:jc w:val="both"/>
        <w:rPr>
          <w:sz w:val="22"/>
          <w:szCs w:val="22"/>
        </w:rPr>
      </w:pPr>
      <w:r w:rsidRPr="00CF79E0">
        <w:rPr>
          <w:sz w:val="22"/>
          <w:szCs w:val="22"/>
        </w:rPr>
        <w:t>Podpora kreatívneho priemyslu v rámci BSK. Kreatívny priemysel definovaný ako jedna z prioritných rozvojových oblastí RIS3 SK má v rámci BSK z hľadiska SR nadpriemernú koncentráciu podnikateľských subjektov. Podľa zisťovaní SIEA pôsobilo v rámci na</w:t>
      </w:r>
      <w:r w:rsidR="005370B9">
        <w:rPr>
          <w:sz w:val="22"/>
          <w:szCs w:val="22"/>
        </w:rPr>
        <w:t>jperspektívnejších kultúrnych a </w:t>
      </w:r>
      <w:r w:rsidRPr="00CF79E0">
        <w:rPr>
          <w:sz w:val="22"/>
          <w:szCs w:val="22"/>
        </w:rPr>
        <w:t>kreatívnych odvetví viac ako 20 000 podnikov, pričom viac ako pol</w:t>
      </w:r>
      <w:r w:rsidR="005370B9">
        <w:rPr>
          <w:sz w:val="22"/>
          <w:szCs w:val="22"/>
        </w:rPr>
        <w:t>ovica bola lokalizovaná práve v </w:t>
      </w:r>
      <w:r w:rsidRPr="00CF79E0">
        <w:rPr>
          <w:sz w:val="22"/>
          <w:szCs w:val="22"/>
        </w:rPr>
        <w:t>BSK. Z tohto dôvodu bude podporovaný okrem samotných po</w:t>
      </w:r>
      <w:r w:rsidR="005370B9">
        <w:rPr>
          <w:sz w:val="22"/>
          <w:szCs w:val="22"/>
        </w:rPr>
        <w:t>dnikateľských subjektov vznik a </w:t>
      </w:r>
      <w:r w:rsidRPr="00CF79E0">
        <w:rPr>
          <w:sz w:val="22"/>
          <w:szCs w:val="22"/>
        </w:rPr>
        <w:t>rozvoj lokálnych kreatívnych klastrov, ako aj ich spájanie s inými najmä perspektívnymi odvetviami. Pre zvýšenie potenciálu podnikateľských subjektov budú realizované vzdelávacie a poradenské aktivity šité na mieru uvedených odvetví s cieľom stimulovať ich ekonomický rast prostredníctvom tvorby a implementácie nových biznis modelov prostredníctvom rozvoja zvýšenia kreativity. Bude podporovaná internacionalizácia kreatívneho priemyslu v rámci oprávnených teritórií EU. Taktiež bude podporované zvyšovanie povedomia o aktivitách a potenciáli kreatívneho priemyslu tak, aby vznikali prepojenia s inými odvetviami a sektormi, ktoré budú cielene podporované. Rozvoj kreatívneho priemyslu bude rozvíjaný prostredníctvom aktivít budovania lokálneho, ale aj celoslovenského trhu. Aktivita bude realizovaná formou národného projektu a schémy pomoci.</w:t>
      </w:r>
    </w:p>
    <w:p w14:paraId="1330E070" w14:textId="77777777" w:rsidR="00E10737" w:rsidRPr="00CF79E0" w:rsidRDefault="00E10737" w:rsidP="00E10737">
      <w:pPr>
        <w:autoSpaceDE w:val="0"/>
        <w:autoSpaceDN w:val="0"/>
        <w:adjustRightInd w:val="0"/>
        <w:jc w:val="both"/>
        <w:rPr>
          <w:sz w:val="22"/>
          <w:szCs w:val="22"/>
        </w:rPr>
      </w:pPr>
      <w:r w:rsidRPr="00CF79E0">
        <w:rPr>
          <w:b/>
          <w:sz w:val="22"/>
          <w:szCs w:val="22"/>
        </w:rPr>
        <w:t>Zapájanie MSP do programov EÚ.</w:t>
      </w:r>
      <w:r w:rsidRPr="00CF79E0">
        <w:rPr>
          <w:sz w:val="22"/>
          <w:szCs w:val="22"/>
        </w:rPr>
        <w:t xml:space="preserve"> V predchádzajúcom období neexistovala účinná forma podpory zapájania MSP do komunitárnych programov EÚ, v dôsledku čoho SR dosahovala nízku mieru účasti a úspešnosti v týchto programoch. Aktivita je zameraná na zvýšenie možností pre získanie finančnej podpory pre MSP v rámci programov EÚ. Cieľom je zapojiť MSP do čo možno najväčšieho počtu </w:t>
      </w:r>
      <w:r w:rsidRPr="00CF79E0">
        <w:rPr>
          <w:sz w:val="22"/>
          <w:szCs w:val="22"/>
        </w:rPr>
        <w:lastRenderedPageBreak/>
        <w:t>projektov a pritom dbať na kvalitu podávaných projektov. Zároveň je aktivita zameraná na už predložené projekty so slovenskou účasťou v rámci programov EÚ, ktoré boli hodnotené ako kvalitné, ale neboli financované z dôvodu nedostatku finančných zdrojov (napr. projekty, ktoré dosiahli tzv. seal of excellence). V rámci aktivity bude poskytovaná finančná podpora grantovou formu určená najmä na:</w:t>
      </w:r>
    </w:p>
    <w:p w14:paraId="551EF2A4" w14:textId="77777777" w:rsidR="00E10737" w:rsidRPr="00CF79E0" w:rsidRDefault="00E10737" w:rsidP="00E10737">
      <w:pPr>
        <w:pStyle w:val="Odsekzoznamu"/>
        <w:numPr>
          <w:ilvl w:val="0"/>
          <w:numId w:val="27"/>
        </w:numPr>
        <w:spacing w:before="120"/>
        <w:ind w:left="568" w:hanging="284"/>
        <w:contextualSpacing w:val="0"/>
        <w:jc w:val="both"/>
        <w:rPr>
          <w:sz w:val="22"/>
          <w:szCs w:val="22"/>
        </w:rPr>
      </w:pPr>
      <w:r w:rsidRPr="00CF79E0">
        <w:rPr>
          <w:sz w:val="22"/>
          <w:szCs w:val="22"/>
        </w:rPr>
        <w:t>prípravu projektu, resp. určitej časti projektovej dokumentácie do programu EÚ</w:t>
      </w:r>
    </w:p>
    <w:p w14:paraId="1F4F6222"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 xml:space="preserve">realizáciu projektov, ktoré boli hodnotené ako kvalitné, ale neboli podporené z programov EÚ </w:t>
      </w:r>
    </w:p>
    <w:p w14:paraId="4374830D" w14:textId="77777777" w:rsidR="00E10737" w:rsidRPr="00CF79E0" w:rsidRDefault="00E10737" w:rsidP="00E10737">
      <w:pPr>
        <w:spacing w:before="120"/>
        <w:rPr>
          <w:sz w:val="22"/>
          <w:szCs w:val="22"/>
        </w:rPr>
      </w:pPr>
      <w:r w:rsidRPr="00CF79E0">
        <w:rPr>
          <w:sz w:val="22"/>
          <w:szCs w:val="22"/>
        </w:rPr>
        <w:t>Aktivita bude realizovaná formou schémy pomoci.</w:t>
      </w:r>
    </w:p>
    <w:p w14:paraId="67D45540" w14:textId="77777777" w:rsidR="00E10737" w:rsidRDefault="00E10737" w:rsidP="00E10737">
      <w:pPr>
        <w:jc w:val="both"/>
        <w:rPr>
          <w:sz w:val="22"/>
          <w:szCs w:val="22"/>
        </w:rPr>
      </w:pPr>
    </w:p>
    <w:p w14:paraId="57D755AF" w14:textId="488F733D" w:rsidR="00E10737" w:rsidRPr="00CF79E0" w:rsidRDefault="00E10737" w:rsidP="00E10737">
      <w:pPr>
        <w:autoSpaceDE w:val="0"/>
        <w:autoSpaceDN w:val="0"/>
        <w:adjustRightInd w:val="0"/>
        <w:jc w:val="both"/>
        <w:rPr>
          <w:sz w:val="22"/>
          <w:szCs w:val="22"/>
        </w:rPr>
      </w:pPr>
      <w:r w:rsidRPr="00CF79E0">
        <w:rPr>
          <w:b/>
          <w:sz w:val="22"/>
          <w:szCs w:val="22"/>
        </w:rPr>
        <w:t xml:space="preserve">Podpora </w:t>
      </w:r>
      <w:r w:rsidR="00105712">
        <w:rPr>
          <w:b/>
          <w:sz w:val="22"/>
          <w:szCs w:val="22"/>
        </w:rPr>
        <w:t>start</w:t>
      </w:r>
      <w:r w:rsidR="00A26290">
        <w:rPr>
          <w:b/>
          <w:sz w:val="22"/>
          <w:szCs w:val="22"/>
        </w:rPr>
        <w:t>u</w:t>
      </w:r>
      <w:r w:rsidR="00105712">
        <w:rPr>
          <w:b/>
          <w:sz w:val="22"/>
          <w:szCs w:val="22"/>
        </w:rPr>
        <w:t xml:space="preserve">pov a </w:t>
      </w:r>
      <w:r w:rsidRPr="00CF79E0">
        <w:rPr>
          <w:b/>
          <w:sz w:val="22"/>
          <w:szCs w:val="22"/>
        </w:rPr>
        <w:t>sieťovania neformálnych investorov pri financovaní úvodných fáz podnikateľského cyklu.</w:t>
      </w:r>
      <w:r w:rsidRPr="00424290">
        <w:rPr>
          <w:sz w:val="22"/>
          <w:szCs w:val="22"/>
        </w:rPr>
        <w:t xml:space="preserve"> </w:t>
      </w:r>
      <w:r w:rsidRPr="00CF79E0">
        <w:rPr>
          <w:sz w:val="22"/>
          <w:szCs w:val="22"/>
        </w:rPr>
        <w:t>V úvodných štádiách podnikateľskej či</w:t>
      </w:r>
      <w:r w:rsidR="005370B9">
        <w:rPr>
          <w:sz w:val="22"/>
          <w:szCs w:val="22"/>
        </w:rPr>
        <w:t>nnosti sa podnikateľ nachádza v </w:t>
      </w:r>
      <w:r w:rsidRPr="00CF79E0">
        <w:rPr>
          <w:sz w:val="22"/>
          <w:szCs w:val="22"/>
        </w:rPr>
        <w:t>tz</w:t>
      </w:r>
      <w:r w:rsidR="005370B9">
        <w:rPr>
          <w:sz w:val="22"/>
          <w:szCs w:val="22"/>
        </w:rPr>
        <w:t>v. </w:t>
      </w:r>
      <w:r w:rsidRPr="00CF79E0">
        <w:rPr>
          <w:sz w:val="22"/>
          <w:szCs w:val="22"/>
        </w:rPr>
        <w:t>„údolí smrti“ (death valley) kedy je riziko úspechu/neúspechu podnikateľského zámeru tak vysoké, že tento nedokáže získať finančné zdroje komerčných bánk ani inštitucionalizovaných investorov rizikového kapitálu.</w:t>
      </w:r>
    </w:p>
    <w:p w14:paraId="7AFF07D1" w14:textId="0509AA0C" w:rsidR="00E10737" w:rsidRPr="00CF79E0" w:rsidRDefault="00E10737" w:rsidP="00351D17">
      <w:pPr>
        <w:autoSpaceDE w:val="0"/>
        <w:autoSpaceDN w:val="0"/>
        <w:adjustRightInd w:val="0"/>
        <w:spacing w:before="120"/>
        <w:jc w:val="both"/>
        <w:rPr>
          <w:sz w:val="22"/>
          <w:szCs w:val="22"/>
        </w:rPr>
      </w:pPr>
      <w:r w:rsidRPr="00CF79E0">
        <w:rPr>
          <w:sz w:val="22"/>
          <w:szCs w:val="22"/>
        </w:rPr>
        <w:t>V týchto situáciách je financovanie zabezpečované pros</w:t>
      </w:r>
      <w:r w:rsidR="005370B9">
        <w:rPr>
          <w:sz w:val="22"/>
          <w:szCs w:val="22"/>
        </w:rPr>
        <w:t>tredníctvom </w:t>
      </w:r>
      <w:r w:rsidR="00105712">
        <w:rPr>
          <w:sz w:val="22"/>
          <w:szCs w:val="22"/>
        </w:rPr>
        <w:t xml:space="preserve">grantovej podpory a </w:t>
      </w:r>
      <w:r w:rsidRPr="00CF79E0">
        <w:rPr>
          <w:sz w:val="22"/>
          <w:szCs w:val="22"/>
        </w:rPr>
        <w:t>neformálnych investorov – crowdfundingu alebo podnikateľských anjelov. Podnikateľskí anjeli sú individuálni investori využívajúci vlastný kapitál na financovanie MSP s výrazným rastovým potenciálom. Vypĺňajú medzeru medzi financovaním podnikania z vlas</w:t>
      </w:r>
      <w:r w:rsidR="005370B9">
        <w:rPr>
          <w:sz w:val="22"/>
          <w:szCs w:val="22"/>
        </w:rPr>
        <w:t>tných zdrojov, resp. zdrojov od </w:t>
      </w:r>
      <w:r w:rsidRPr="00CF79E0">
        <w:rPr>
          <w:sz w:val="22"/>
          <w:szCs w:val="22"/>
        </w:rPr>
        <w:t>rodinných príslušníkov a financovaním prostredníctvom formálnych aktérov (fondov rizikov</w:t>
      </w:r>
      <w:r w:rsidR="002532FC">
        <w:rPr>
          <w:sz w:val="22"/>
          <w:szCs w:val="22"/>
        </w:rPr>
        <w:t>ého kapitálu alebo bánk). Siete </w:t>
      </w:r>
      <w:r w:rsidRPr="00CF79E0">
        <w:rPr>
          <w:sz w:val="22"/>
          <w:szCs w:val="22"/>
        </w:rPr>
        <w:t>podnikateľských anjelov úspešne fungujú vo viacerých kr</w:t>
      </w:r>
      <w:r w:rsidR="002532FC">
        <w:rPr>
          <w:sz w:val="22"/>
          <w:szCs w:val="22"/>
        </w:rPr>
        <w:t xml:space="preserve">ajinách EÚ, kde sa podieľajú na </w:t>
      </w:r>
      <w:r w:rsidRPr="00CF79E0">
        <w:rPr>
          <w:sz w:val="22"/>
          <w:szCs w:val="22"/>
        </w:rPr>
        <w:t>identifikovaní a podpore začínajúcich inovatívnych MSP</w:t>
      </w:r>
      <w:r w:rsidR="005370B9">
        <w:rPr>
          <w:sz w:val="22"/>
          <w:szCs w:val="22"/>
        </w:rPr>
        <w:t xml:space="preserve"> v prvých fázach ich rastu. Pri </w:t>
      </w:r>
      <w:r w:rsidRPr="00CF79E0">
        <w:rPr>
          <w:sz w:val="22"/>
          <w:szCs w:val="22"/>
        </w:rPr>
        <w:t>prevádzkovaní sietí tohto typu zohráva verejný sektor nezastupiteľnú funkciu, pretože takéto entity sú takmer vždy závislé od podpory z verejných zdrojov, resp. od inej formy sponzoringu.</w:t>
      </w:r>
    </w:p>
    <w:p w14:paraId="24DBD6B0" w14:textId="77777777" w:rsidR="00E10737" w:rsidRPr="00351D17" w:rsidRDefault="00E10737" w:rsidP="00E10737">
      <w:pPr>
        <w:autoSpaceDE w:val="0"/>
        <w:autoSpaceDN w:val="0"/>
        <w:adjustRightInd w:val="0"/>
        <w:spacing w:before="120" w:after="120"/>
        <w:jc w:val="both"/>
        <w:rPr>
          <w:rFonts w:eastAsia="Gill Sans MT"/>
          <w:sz w:val="22"/>
          <w:szCs w:val="22"/>
        </w:rPr>
      </w:pPr>
      <w:r w:rsidRPr="00351D17">
        <w:rPr>
          <w:rFonts w:eastAsia="Gill Sans MT"/>
          <w:sz w:val="22"/>
          <w:szCs w:val="22"/>
        </w:rPr>
        <w:t>Cieľom aktivity je:</w:t>
      </w:r>
    </w:p>
    <w:p w14:paraId="20C7D7DC"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podporiť rozvoj trhu rizikového financovania v SR,</w:t>
      </w:r>
    </w:p>
    <w:p w14:paraId="2DB0D60F" w14:textId="77777777" w:rsidR="00E10737" w:rsidRPr="00CF79E0" w:rsidRDefault="00E10737" w:rsidP="00E10737">
      <w:pPr>
        <w:pStyle w:val="Odsekzoznamu"/>
        <w:numPr>
          <w:ilvl w:val="0"/>
          <w:numId w:val="27"/>
        </w:numPr>
        <w:ind w:left="567" w:hanging="283"/>
        <w:jc w:val="both"/>
        <w:rPr>
          <w:sz w:val="22"/>
          <w:szCs w:val="22"/>
        </w:rPr>
      </w:pPr>
      <w:r w:rsidRPr="00CF79E0">
        <w:rPr>
          <w:sz w:val="22"/>
          <w:szCs w:val="22"/>
        </w:rPr>
        <w:t>podporiť motiváciu individuálnych investorov na investovanie do začínajúcich podnikov,</w:t>
      </w:r>
    </w:p>
    <w:p w14:paraId="7410CDB2" w14:textId="77777777" w:rsidR="00E10737" w:rsidRDefault="00E10737" w:rsidP="00E10737">
      <w:pPr>
        <w:pStyle w:val="Odsekzoznamu"/>
        <w:numPr>
          <w:ilvl w:val="0"/>
          <w:numId w:val="27"/>
        </w:numPr>
        <w:ind w:left="567" w:hanging="283"/>
        <w:jc w:val="both"/>
        <w:rPr>
          <w:sz w:val="22"/>
          <w:szCs w:val="22"/>
        </w:rPr>
      </w:pPr>
      <w:r w:rsidRPr="00CF79E0">
        <w:rPr>
          <w:sz w:val="22"/>
          <w:szCs w:val="22"/>
        </w:rPr>
        <w:t>stimulovať záujem začínajúcich podnikov o túto formu financovania,</w:t>
      </w:r>
    </w:p>
    <w:p w14:paraId="5ECD50E5" w14:textId="05A5466C" w:rsidR="00105712" w:rsidRPr="00CF79E0" w:rsidRDefault="00105712" w:rsidP="00E10737">
      <w:pPr>
        <w:pStyle w:val="Odsekzoznamu"/>
        <w:numPr>
          <w:ilvl w:val="0"/>
          <w:numId w:val="27"/>
        </w:numPr>
        <w:ind w:left="567" w:hanging="283"/>
        <w:jc w:val="both"/>
        <w:rPr>
          <w:sz w:val="22"/>
          <w:szCs w:val="22"/>
        </w:rPr>
      </w:pPr>
      <w:r>
        <w:rPr>
          <w:sz w:val="22"/>
          <w:szCs w:val="22"/>
        </w:rPr>
        <w:t>podporiť vznik startupov,</w:t>
      </w:r>
    </w:p>
    <w:p w14:paraId="5500461F" w14:textId="5AB301F9" w:rsidR="00E10737" w:rsidRPr="00CF79E0" w:rsidRDefault="00E10737" w:rsidP="00E10737">
      <w:pPr>
        <w:pStyle w:val="Odsekzoznamu"/>
        <w:numPr>
          <w:ilvl w:val="0"/>
          <w:numId w:val="27"/>
        </w:numPr>
        <w:ind w:left="567" w:hanging="283"/>
        <w:jc w:val="both"/>
        <w:rPr>
          <w:sz w:val="22"/>
          <w:szCs w:val="22"/>
        </w:rPr>
      </w:pPr>
      <w:r w:rsidRPr="00CF79E0">
        <w:rPr>
          <w:sz w:val="22"/>
          <w:szCs w:val="22"/>
        </w:rPr>
        <w:t>vytvoriť siete združujúce neformálnych investorov za úče</w:t>
      </w:r>
      <w:r w:rsidR="005370B9">
        <w:rPr>
          <w:sz w:val="22"/>
          <w:szCs w:val="22"/>
        </w:rPr>
        <w:t>lom financovania začínajúcich a </w:t>
      </w:r>
      <w:r w:rsidRPr="00CF79E0">
        <w:rPr>
          <w:sz w:val="22"/>
          <w:szCs w:val="22"/>
        </w:rPr>
        <w:t>nových MSP,</w:t>
      </w:r>
    </w:p>
    <w:p w14:paraId="068EE5D6" w14:textId="77777777" w:rsidR="00E10737" w:rsidRDefault="00E10737" w:rsidP="00E10737">
      <w:pPr>
        <w:pStyle w:val="Odsekzoznamu"/>
        <w:numPr>
          <w:ilvl w:val="0"/>
          <w:numId w:val="27"/>
        </w:numPr>
        <w:ind w:left="567" w:hanging="283"/>
        <w:jc w:val="both"/>
        <w:rPr>
          <w:sz w:val="22"/>
          <w:szCs w:val="22"/>
        </w:rPr>
      </w:pPr>
      <w:r w:rsidRPr="00CF79E0">
        <w:rPr>
          <w:sz w:val="22"/>
          <w:szCs w:val="22"/>
        </w:rPr>
        <w:t>zabezpečenie podporných činností potrebných k vzniku a fungovaniu trhu s neformálnym rizikovým kapitálom.</w:t>
      </w:r>
    </w:p>
    <w:p w14:paraId="3313FCAA" w14:textId="77777777" w:rsidR="00E10737" w:rsidRDefault="00E10737" w:rsidP="00E10737">
      <w:pPr>
        <w:ind w:left="284"/>
        <w:jc w:val="both"/>
        <w:rPr>
          <w:rFonts w:ascii="Gill Sans MT" w:eastAsia="Gill Sans MT" w:hAnsi="Gill Sans MT"/>
          <w:w w:val="110"/>
          <w:sz w:val="20"/>
          <w:szCs w:val="20"/>
        </w:rPr>
      </w:pPr>
    </w:p>
    <w:p w14:paraId="20D0C8E5" w14:textId="77777777" w:rsidR="00E10737" w:rsidRPr="00351D17" w:rsidRDefault="00E10737" w:rsidP="005370B9">
      <w:pPr>
        <w:jc w:val="both"/>
        <w:rPr>
          <w:sz w:val="22"/>
          <w:szCs w:val="22"/>
        </w:rPr>
      </w:pPr>
      <w:r w:rsidRPr="00351D17">
        <w:rPr>
          <w:sz w:val="22"/>
          <w:szCs w:val="22"/>
        </w:rPr>
        <w:t>Aktivita bude realizovaná formou schémy pomoci.</w:t>
      </w:r>
    </w:p>
    <w:p w14:paraId="04B7C972" w14:textId="77777777" w:rsidR="00E10737" w:rsidRPr="00CF79E0" w:rsidRDefault="00E10737" w:rsidP="00E10737">
      <w:pPr>
        <w:ind w:left="284"/>
        <w:jc w:val="both"/>
        <w:rPr>
          <w:sz w:val="22"/>
          <w:szCs w:val="22"/>
        </w:rPr>
      </w:pPr>
    </w:p>
    <w:p w14:paraId="19B7BC22" w14:textId="661A23A4" w:rsidR="00E10737" w:rsidRDefault="00E10737" w:rsidP="00E10737">
      <w:pPr>
        <w:jc w:val="both"/>
        <w:rPr>
          <w:sz w:val="22"/>
          <w:szCs w:val="22"/>
        </w:rPr>
      </w:pPr>
      <w:r w:rsidRPr="005E00A2">
        <w:rPr>
          <w:sz w:val="22"/>
          <w:szCs w:val="22"/>
        </w:rPr>
        <w:t xml:space="preserve">Oprávnení prijímatelia, cieľové skupiny a cieľové územie v rámci investičnej priority </w:t>
      </w:r>
      <w:r w:rsidR="000B4D66">
        <w:rPr>
          <w:sz w:val="22"/>
          <w:szCs w:val="22"/>
        </w:rPr>
        <w:t>3d)</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10737" w14:paraId="44E420FF" w14:textId="77777777" w:rsidTr="004179DE">
        <w:trPr>
          <w:trHeight w:val="284"/>
          <w:jc w:val="center"/>
        </w:trPr>
        <w:tc>
          <w:tcPr>
            <w:tcW w:w="3289" w:type="dxa"/>
            <w:shd w:val="clear" w:color="auto" w:fill="DBE5F1" w:themeFill="accent1" w:themeFillTint="33"/>
            <w:vAlign w:val="center"/>
          </w:tcPr>
          <w:p w14:paraId="38B93427" w14:textId="77777777" w:rsidR="00E10737" w:rsidRPr="009553A0" w:rsidRDefault="00E10737" w:rsidP="004179DE">
            <w:pPr>
              <w:autoSpaceDE w:val="0"/>
              <w:autoSpaceDN w:val="0"/>
              <w:adjustRightInd w:val="0"/>
              <w:ind w:left="0"/>
              <w:rPr>
                <w:i/>
                <w:sz w:val="22"/>
                <w:szCs w:val="22"/>
              </w:rPr>
            </w:pPr>
            <w:r w:rsidRPr="009553A0">
              <w:rPr>
                <w:i/>
                <w:sz w:val="22"/>
                <w:szCs w:val="22"/>
              </w:rPr>
              <w:t>Cieľové skupiny:</w:t>
            </w:r>
          </w:p>
        </w:tc>
        <w:tc>
          <w:tcPr>
            <w:tcW w:w="5783" w:type="dxa"/>
            <w:vAlign w:val="center"/>
          </w:tcPr>
          <w:p w14:paraId="341280CE"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MSP, záujemcovia o podnikanie vrátane znevýhodnených sociálnych skupín</w:t>
            </w:r>
          </w:p>
        </w:tc>
      </w:tr>
      <w:tr w:rsidR="00E10737" w14:paraId="3B4D7EFB" w14:textId="77777777" w:rsidTr="004179DE">
        <w:trPr>
          <w:trHeight w:val="284"/>
          <w:jc w:val="center"/>
        </w:trPr>
        <w:tc>
          <w:tcPr>
            <w:tcW w:w="3289" w:type="dxa"/>
            <w:shd w:val="clear" w:color="auto" w:fill="DBE5F1" w:themeFill="accent1" w:themeFillTint="33"/>
            <w:vAlign w:val="center"/>
          </w:tcPr>
          <w:p w14:paraId="7ED2BF62" w14:textId="77777777" w:rsidR="00E10737" w:rsidRPr="009553A0" w:rsidRDefault="00E10737" w:rsidP="004179DE">
            <w:pPr>
              <w:autoSpaceDE w:val="0"/>
              <w:autoSpaceDN w:val="0"/>
              <w:adjustRightInd w:val="0"/>
              <w:ind w:left="0"/>
              <w:rPr>
                <w:i/>
                <w:sz w:val="22"/>
                <w:szCs w:val="22"/>
              </w:rPr>
            </w:pPr>
            <w:r w:rsidRPr="009553A0">
              <w:rPr>
                <w:i/>
                <w:sz w:val="22"/>
                <w:szCs w:val="22"/>
              </w:rPr>
              <w:t>Cieľové územia:</w:t>
            </w:r>
          </w:p>
        </w:tc>
        <w:tc>
          <w:tcPr>
            <w:tcW w:w="5783" w:type="dxa"/>
            <w:vAlign w:val="center"/>
          </w:tcPr>
          <w:p w14:paraId="76051041" w14:textId="77777777" w:rsidR="00E10737" w:rsidRDefault="00E10737" w:rsidP="00E10737">
            <w:pPr>
              <w:pStyle w:val="Odsekzoznamu"/>
              <w:numPr>
                <w:ilvl w:val="0"/>
                <w:numId w:val="27"/>
              </w:numPr>
              <w:autoSpaceDE w:val="0"/>
              <w:autoSpaceDN w:val="0"/>
              <w:adjustRightInd w:val="0"/>
              <w:ind w:left="284" w:hanging="284"/>
              <w:rPr>
                <w:sz w:val="22"/>
                <w:szCs w:val="22"/>
              </w:rPr>
            </w:pPr>
            <w:r>
              <w:rPr>
                <w:sz w:val="22"/>
                <w:szCs w:val="22"/>
              </w:rPr>
              <w:t>Rozvinutejší región</w:t>
            </w:r>
          </w:p>
        </w:tc>
      </w:tr>
      <w:tr w:rsidR="00E10737" w14:paraId="3A528D90" w14:textId="77777777" w:rsidTr="004179DE">
        <w:trPr>
          <w:trHeight w:val="284"/>
          <w:jc w:val="center"/>
        </w:trPr>
        <w:tc>
          <w:tcPr>
            <w:tcW w:w="3289" w:type="dxa"/>
            <w:shd w:val="clear" w:color="auto" w:fill="DBE5F1" w:themeFill="accent1" w:themeFillTint="33"/>
            <w:vAlign w:val="center"/>
          </w:tcPr>
          <w:p w14:paraId="270D3648" w14:textId="77777777" w:rsidR="00E10737" w:rsidRPr="00D23B7E" w:rsidRDefault="00E10737" w:rsidP="004179DE">
            <w:pPr>
              <w:autoSpaceDE w:val="0"/>
              <w:autoSpaceDN w:val="0"/>
              <w:adjustRightInd w:val="0"/>
              <w:ind w:left="0"/>
              <w:rPr>
                <w:i/>
                <w:sz w:val="22"/>
                <w:szCs w:val="22"/>
              </w:rPr>
            </w:pPr>
            <w:r w:rsidRPr="00D23B7E">
              <w:rPr>
                <w:i/>
                <w:sz w:val="22"/>
                <w:szCs w:val="22"/>
              </w:rPr>
              <w:t>Prijímatelia:</w:t>
            </w:r>
          </w:p>
        </w:tc>
        <w:tc>
          <w:tcPr>
            <w:tcW w:w="5783" w:type="dxa"/>
            <w:vAlign w:val="center"/>
          </w:tcPr>
          <w:p w14:paraId="40E82C7E"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Pr>
                <w:sz w:val="22"/>
                <w:szCs w:val="22"/>
              </w:rPr>
              <w:t>f</w:t>
            </w:r>
            <w:r w:rsidRPr="00CF79E0">
              <w:rPr>
                <w:sz w:val="22"/>
                <w:szCs w:val="22"/>
              </w:rPr>
              <w:t>yzické alebo právnické osoby oprávnené na podnikanie spĺňajúce definíciu MSP,</w:t>
            </w:r>
          </w:p>
          <w:p w14:paraId="25FFAA6D"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združenia fyzických alebo právnických osôb,</w:t>
            </w:r>
          </w:p>
          <w:p w14:paraId="5C39EA78"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Slovak Business Agency,</w:t>
            </w:r>
          </w:p>
          <w:p w14:paraId="34E4D363"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štátne rozpočtové organizácie alebo štátne príspevkové organizácie v pôsobnosti MH SR,</w:t>
            </w:r>
          </w:p>
          <w:p w14:paraId="498E55FB"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verejnoprávne inštitúcie zriadené zo zákona,</w:t>
            </w:r>
          </w:p>
          <w:p w14:paraId="74854FED"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orgány územnej samosprávy,</w:t>
            </w:r>
          </w:p>
          <w:p w14:paraId="39583DD2"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Centrum vedecko-technických informácií Slovenskej republiky (v prípade národného projektu NPC),</w:t>
            </w:r>
          </w:p>
          <w:p w14:paraId="09486B8C" w14:textId="77777777" w:rsidR="00E10737" w:rsidRPr="00CF79E0" w:rsidRDefault="00E10737" w:rsidP="00E10737">
            <w:pPr>
              <w:pStyle w:val="Odsekzoznamu"/>
              <w:numPr>
                <w:ilvl w:val="0"/>
                <w:numId w:val="27"/>
              </w:numPr>
              <w:autoSpaceDE w:val="0"/>
              <w:autoSpaceDN w:val="0"/>
              <w:adjustRightInd w:val="0"/>
              <w:ind w:left="284" w:hanging="284"/>
              <w:rPr>
                <w:sz w:val="22"/>
                <w:szCs w:val="22"/>
              </w:rPr>
            </w:pPr>
            <w:r w:rsidRPr="00CF79E0">
              <w:rPr>
                <w:sz w:val="22"/>
                <w:szCs w:val="22"/>
              </w:rPr>
              <w:t>neziskový sektor.</w:t>
            </w:r>
          </w:p>
        </w:tc>
      </w:tr>
    </w:tbl>
    <w:p w14:paraId="0C0D8D88" w14:textId="77777777" w:rsidR="00E10737" w:rsidRDefault="00E10737" w:rsidP="00E10737">
      <w:pPr>
        <w:pStyle w:val="Nadpis4"/>
        <w:tabs>
          <w:tab w:val="clear" w:pos="709"/>
          <w:tab w:val="clear" w:pos="864"/>
        </w:tabs>
        <w:ind w:left="851" w:hanging="851"/>
      </w:pPr>
      <w:r>
        <w:lastRenderedPageBreak/>
        <w:t>Hlavné princípy výberu projektov</w:t>
      </w:r>
    </w:p>
    <w:p w14:paraId="7EFB4111" w14:textId="77777777" w:rsidR="00E10737" w:rsidRPr="00CF79E0" w:rsidRDefault="00E10737" w:rsidP="002532FC">
      <w:pPr>
        <w:pStyle w:val="Zkladntext"/>
        <w:jc w:val="both"/>
        <w:rPr>
          <w:sz w:val="22"/>
          <w:szCs w:val="22"/>
        </w:rPr>
      </w:pPr>
      <w:r w:rsidRPr="00CF79E0">
        <w:rPr>
          <w:sz w:val="22"/>
          <w:szCs w:val="22"/>
        </w:rPr>
        <w:t xml:space="preserve">Vo vzťahu k výzvam na predkladanie žiadostí o príspevok budú zohľadnené všeobecné zásady výberu projektov pre tematický cieľ 3 uvedené v kapitole </w:t>
      </w:r>
      <w:r w:rsidRPr="00424290">
        <w:rPr>
          <w:sz w:val="22"/>
          <w:szCs w:val="22"/>
        </w:rPr>
        <w:t>2.11.2.3</w:t>
      </w:r>
      <w:r w:rsidRPr="00CF79E0">
        <w:rPr>
          <w:sz w:val="22"/>
          <w:szCs w:val="22"/>
        </w:rPr>
        <w:t>.</w:t>
      </w:r>
    </w:p>
    <w:p w14:paraId="07FC1EE4" w14:textId="2ED1778A" w:rsidR="00E10737" w:rsidRPr="00CF79E0" w:rsidRDefault="00E10737" w:rsidP="002532FC">
      <w:pPr>
        <w:pStyle w:val="Zkladntext"/>
        <w:jc w:val="both"/>
        <w:rPr>
          <w:sz w:val="22"/>
          <w:szCs w:val="22"/>
        </w:rPr>
      </w:pPr>
      <w:r w:rsidRPr="00CF79E0">
        <w:rPr>
          <w:sz w:val="22"/>
          <w:szCs w:val="22"/>
        </w:rPr>
        <w:t xml:space="preserve">Špecifické zásady výberu projektov v rámci investičnej priority </w:t>
      </w:r>
      <w:r w:rsidR="000B4D66">
        <w:rPr>
          <w:sz w:val="22"/>
          <w:szCs w:val="22"/>
        </w:rPr>
        <w:t>3d)</w:t>
      </w:r>
      <w:r w:rsidRPr="00CF79E0">
        <w:rPr>
          <w:sz w:val="22"/>
          <w:szCs w:val="22"/>
        </w:rPr>
        <w:t>:</w:t>
      </w:r>
    </w:p>
    <w:p w14:paraId="594BAF9A" w14:textId="4FD632A4" w:rsidR="009D6232" w:rsidRPr="00351D17" w:rsidRDefault="00E10737" w:rsidP="002532FC">
      <w:pPr>
        <w:pStyle w:val="Nadpis4"/>
        <w:numPr>
          <w:ilvl w:val="0"/>
          <w:numId w:val="0"/>
        </w:numPr>
        <w:tabs>
          <w:tab w:val="clear" w:pos="709"/>
        </w:tabs>
        <w:spacing w:before="0"/>
        <w:jc w:val="both"/>
        <w:rPr>
          <w:rFonts w:ascii="Times New Roman" w:hAnsi="Times New Roman"/>
          <w:b w:val="0"/>
          <w:bCs w:val="0"/>
          <w:i w:val="0"/>
          <w:color w:val="auto"/>
          <w:szCs w:val="22"/>
        </w:rPr>
      </w:pPr>
      <w:r w:rsidRPr="00351D17">
        <w:rPr>
          <w:rFonts w:ascii="Times New Roman" w:hAnsi="Times New Roman"/>
          <w:b w:val="0"/>
          <w:bCs w:val="0"/>
          <w:i w:val="0"/>
          <w:color w:val="auto"/>
          <w:szCs w:val="22"/>
        </w:rPr>
        <w:t xml:space="preserve">Špecifické zásady výberu projektov pre špecifický cieľ 12.1 </w:t>
      </w:r>
      <w:r w:rsidR="009D6232">
        <w:rPr>
          <w:rFonts w:ascii="Times New Roman" w:hAnsi="Times New Roman"/>
          <w:b w:val="0"/>
          <w:bCs w:val="0"/>
          <w:i w:val="0"/>
          <w:color w:val="auto"/>
          <w:szCs w:val="22"/>
        </w:rPr>
        <w:t xml:space="preserve">zodpovedajú špecifickým zásadám </w:t>
      </w:r>
      <w:r w:rsidRPr="00351D17">
        <w:rPr>
          <w:rFonts w:ascii="Times New Roman" w:hAnsi="Times New Roman"/>
          <w:b w:val="0"/>
          <w:bCs w:val="0"/>
          <w:i w:val="0"/>
          <w:color w:val="auto"/>
          <w:szCs w:val="22"/>
        </w:rPr>
        <w:t>výberu projektov v rámci špecifického cieľa 11.1 s výnimkou zásad regionálneho aspektu.</w:t>
      </w:r>
    </w:p>
    <w:p w14:paraId="6E39D217" w14:textId="479C86EE" w:rsidR="00E10737" w:rsidRPr="00351D17" w:rsidRDefault="00E10737" w:rsidP="00E10737">
      <w:pPr>
        <w:pStyle w:val="Nadpis4"/>
        <w:tabs>
          <w:tab w:val="clear" w:pos="709"/>
          <w:tab w:val="clear" w:pos="864"/>
        </w:tabs>
        <w:spacing w:before="240"/>
        <w:ind w:left="851" w:hanging="851"/>
      </w:pPr>
      <w:r w:rsidRPr="00351D17">
        <w:t>Plánované využitie finančných nástrojov</w:t>
      </w:r>
    </w:p>
    <w:p w14:paraId="3B3D9E36" w14:textId="3035626C" w:rsidR="00E10737" w:rsidRDefault="00E10737" w:rsidP="0065259E">
      <w:pPr>
        <w:pStyle w:val="Zkladntext"/>
        <w:spacing w:before="120" w:after="0"/>
        <w:jc w:val="both"/>
        <w:rPr>
          <w:sz w:val="22"/>
          <w:szCs w:val="22"/>
        </w:rPr>
      </w:pPr>
      <w:r w:rsidRPr="00CF79E0">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má menší dopad na deformáciu trhu. Finančné nástroje budú zamerané na</w:t>
      </w:r>
      <w:r w:rsidR="009D6232">
        <w:rPr>
          <w:sz w:val="22"/>
          <w:szCs w:val="22"/>
        </w:rPr>
        <w:t> </w:t>
      </w:r>
      <w:r w:rsidRPr="00CF79E0">
        <w:rPr>
          <w:sz w:val="22"/>
          <w:szCs w:val="22"/>
        </w:rPr>
        <w:t>podporu tých aktivít, ktoré nenachádzajú financovanie na trhu, prípadne nenachádzajú adekvátne financovanie, pri ktorom by ich realizácia bola efektívnou.</w:t>
      </w:r>
    </w:p>
    <w:p w14:paraId="71D4662C" w14:textId="60BE2A07" w:rsidR="00E10737" w:rsidRPr="00CF79E0" w:rsidRDefault="00E10737" w:rsidP="0065259E">
      <w:pPr>
        <w:pStyle w:val="Zkladntext"/>
        <w:spacing w:before="120" w:after="0"/>
        <w:jc w:val="both"/>
        <w:rPr>
          <w:sz w:val="22"/>
          <w:szCs w:val="22"/>
        </w:rPr>
      </w:pPr>
      <w:r w:rsidRPr="00CF79E0">
        <w:rPr>
          <w:sz w:val="22"/>
          <w:szCs w:val="22"/>
        </w:rPr>
        <w:t>Možnosť opätovného využitia prostriedkov za predpokladu prispievania k dosiahnutiu cieľov prioritných osí patrí medzi výhody využitia finančných nástrojov. Ďalšou výhodou využitia finančných nástrojov je možnosť navýšenia prostriedkov pre dosiahnutie špecifických cieľov programu prostredníctvom mobilizovania dodatočného kapitálu, ktoré bude založené na vhodnom nastavení týchto nástrojov. Mobilizovanie dodatočného kapitálu je potrebné aj vzhľadom na</w:t>
      </w:r>
      <w:r w:rsidR="009D6232">
        <w:rPr>
          <w:sz w:val="22"/>
          <w:szCs w:val="22"/>
        </w:rPr>
        <w:t> </w:t>
      </w:r>
      <w:r w:rsidRPr="00CF79E0">
        <w:rPr>
          <w:sz w:val="22"/>
          <w:szCs w:val="22"/>
        </w:rPr>
        <w:t>nedostatočný objem prostriedkov z EŠIF na pokrytie všetkých investičných potrieb v príslušných oblastiach. Účasť súkromných investorov môže prispieť aj ku skvalitneniu implementácie projektov, a</w:t>
      </w:r>
      <w:r w:rsidR="009D6232">
        <w:rPr>
          <w:sz w:val="22"/>
          <w:szCs w:val="22"/>
        </w:rPr>
        <w:t> </w:t>
      </w:r>
      <w:r w:rsidRPr="00CF79E0">
        <w:rPr>
          <w:sz w:val="22"/>
          <w:szCs w:val="22"/>
        </w:rPr>
        <w:t>teda dodatočne prispieva k celkovo efektívnejšiemu použitiu finančných prostriedkov. S využitím finančných nástrojov bude možné podporiť príslušné aktivity vhodnými finančnými produktmi (úvery, záruky, rizikový kapitál, mezzanine a pod). Konkrétne aktivity, vhodný objem prostriedkov a</w:t>
      </w:r>
      <w:r w:rsidR="009D6232">
        <w:rPr>
          <w:sz w:val="22"/>
          <w:szCs w:val="22"/>
        </w:rPr>
        <w:t> </w:t>
      </w:r>
      <w:r w:rsidRPr="00CF79E0">
        <w:rPr>
          <w:sz w:val="22"/>
          <w:szCs w:val="22"/>
        </w:rPr>
        <w:t>podmienky implementácie konkrétnych finančných nástrojov, vrátane očakávaného znásobenia alokovaných prostriedkov EŠIF a ich kombinácie s inými formami podpory, budú vychádzať z</w:t>
      </w:r>
      <w:r w:rsidR="009D6232">
        <w:rPr>
          <w:sz w:val="22"/>
          <w:szCs w:val="22"/>
        </w:rPr>
        <w:t> </w:t>
      </w:r>
      <w:r w:rsidRPr="00CF79E0">
        <w:rPr>
          <w:sz w:val="22"/>
          <w:szCs w:val="22"/>
        </w:rPr>
        <w:t>výsledkov ex ante hodnotenia pre finančné nástroje, vyžadovaného podľa čl. 37 ods. 2 všeobecného nariadenia pre finančné nástroje na programové obdobie 2014 – 2020.</w:t>
      </w:r>
    </w:p>
    <w:p w14:paraId="7C60940D" w14:textId="77777777" w:rsidR="00E10737" w:rsidRDefault="00E10737" w:rsidP="00E10737">
      <w:pPr>
        <w:pStyle w:val="Nadpis4"/>
        <w:tabs>
          <w:tab w:val="clear" w:pos="709"/>
          <w:tab w:val="clear" w:pos="864"/>
        </w:tabs>
        <w:ind w:left="851" w:hanging="862"/>
      </w:pPr>
      <w:r>
        <w:t>Plánované využitie veľkých projektov</w:t>
      </w:r>
    </w:p>
    <w:p w14:paraId="201CB07C" w14:textId="66A2C1DB" w:rsidR="00E10737" w:rsidRPr="00CF79E0" w:rsidRDefault="00E10737" w:rsidP="00E10737">
      <w:pPr>
        <w:pStyle w:val="Zkladntext"/>
        <w:spacing w:before="95"/>
        <w:rPr>
          <w:sz w:val="22"/>
          <w:szCs w:val="22"/>
        </w:rPr>
      </w:pPr>
      <w:r w:rsidRPr="00CF79E0">
        <w:rPr>
          <w:sz w:val="22"/>
          <w:szCs w:val="22"/>
        </w:rPr>
        <w:t xml:space="preserve">V rámci špecifického cieľa </w:t>
      </w:r>
      <w:r>
        <w:rPr>
          <w:sz w:val="22"/>
          <w:szCs w:val="22"/>
        </w:rPr>
        <w:t>12</w:t>
      </w:r>
      <w:r w:rsidRPr="00CF79E0">
        <w:rPr>
          <w:sz w:val="22"/>
          <w:szCs w:val="22"/>
        </w:rPr>
        <w:t>.1 nie je plánovaná realizácia veľkého projektu.</w:t>
      </w:r>
    </w:p>
    <w:p w14:paraId="07AB3EF8" w14:textId="5BB3A749" w:rsidR="00E10737" w:rsidRDefault="00E10737" w:rsidP="00E10737">
      <w:pPr>
        <w:pStyle w:val="Nadpis4"/>
        <w:tabs>
          <w:tab w:val="clear" w:pos="709"/>
          <w:tab w:val="clear" w:pos="864"/>
        </w:tabs>
        <w:ind w:left="851" w:hanging="862"/>
      </w:pPr>
      <w:r>
        <w:t xml:space="preserve">Ukazovatele výstupov na úrovni investičnej priority </w:t>
      </w:r>
      <w:r w:rsidR="000B4D66">
        <w:t>3d)</w:t>
      </w:r>
    </w:p>
    <w:p w14:paraId="4F9B733B" w14:textId="26009DD1" w:rsidR="00E10737" w:rsidRPr="005042E2" w:rsidRDefault="00E10737" w:rsidP="00E10737">
      <w:pPr>
        <w:pStyle w:val="Tab"/>
      </w:pPr>
      <w:r w:rsidRPr="00CF79E0">
        <w:t xml:space="preserve">Spoločné a špecifické ukazovatele výstupu na úrovni investičnej priority </w:t>
      </w:r>
      <w:r w:rsidR="008E4A65">
        <w:t>3d)</w:t>
      </w:r>
    </w:p>
    <w:tbl>
      <w:tblPr>
        <w:tblStyle w:val="Mriekatabuky"/>
        <w:tblW w:w="1034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96"/>
        <w:gridCol w:w="2076"/>
        <w:gridCol w:w="1107"/>
        <w:gridCol w:w="1001"/>
        <w:gridCol w:w="1505"/>
        <w:gridCol w:w="1082"/>
        <w:gridCol w:w="1035"/>
        <w:gridCol w:w="1240"/>
      </w:tblGrid>
      <w:tr w:rsidR="00E10737" w:rsidRPr="008C1732" w14:paraId="10A0E288" w14:textId="77777777" w:rsidTr="004179DE">
        <w:trPr>
          <w:trHeight w:val="487"/>
          <w:jc w:val="center"/>
        </w:trPr>
        <w:tc>
          <w:tcPr>
            <w:tcW w:w="1296" w:type="dxa"/>
            <w:shd w:val="clear" w:color="auto" w:fill="C6D9F1" w:themeFill="text2" w:themeFillTint="33"/>
            <w:vAlign w:val="center"/>
          </w:tcPr>
          <w:p w14:paraId="19A06EAF" w14:textId="77777777" w:rsidR="00E10737" w:rsidRPr="008C1732" w:rsidRDefault="00E10737" w:rsidP="004179DE">
            <w:pPr>
              <w:ind w:left="0"/>
              <w:jc w:val="center"/>
              <w:rPr>
                <w:b/>
                <w:sz w:val="18"/>
                <w:szCs w:val="18"/>
              </w:rPr>
            </w:pPr>
            <w:r>
              <w:rPr>
                <w:b/>
                <w:sz w:val="18"/>
                <w:szCs w:val="18"/>
              </w:rPr>
              <w:t>ID</w:t>
            </w:r>
          </w:p>
        </w:tc>
        <w:tc>
          <w:tcPr>
            <w:tcW w:w="2076" w:type="dxa"/>
            <w:shd w:val="clear" w:color="auto" w:fill="C6D9F1" w:themeFill="text2" w:themeFillTint="33"/>
            <w:vAlign w:val="center"/>
          </w:tcPr>
          <w:p w14:paraId="3AC2F7A8" w14:textId="77777777" w:rsidR="00E10737" w:rsidRPr="008C1732" w:rsidRDefault="00E10737" w:rsidP="004179DE">
            <w:pPr>
              <w:ind w:left="0"/>
              <w:jc w:val="center"/>
              <w:rPr>
                <w:b/>
                <w:sz w:val="18"/>
                <w:szCs w:val="18"/>
              </w:rPr>
            </w:pPr>
            <w:r w:rsidRPr="008C1732">
              <w:rPr>
                <w:b/>
                <w:sz w:val="18"/>
                <w:szCs w:val="18"/>
              </w:rPr>
              <w:t>Ukazovateľ výstupu</w:t>
            </w:r>
          </w:p>
        </w:tc>
        <w:tc>
          <w:tcPr>
            <w:tcW w:w="1107" w:type="dxa"/>
            <w:shd w:val="clear" w:color="auto" w:fill="C6D9F1" w:themeFill="text2" w:themeFillTint="33"/>
            <w:vAlign w:val="center"/>
          </w:tcPr>
          <w:p w14:paraId="64A3B7D4" w14:textId="77777777" w:rsidR="00E10737" w:rsidRPr="008C1732" w:rsidRDefault="00E10737" w:rsidP="004179DE">
            <w:pPr>
              <w:ind w:left="0"/>
              <w:jc w:val="center"/>
              <w:rPr>
                <w:b/>
                <w:sz w:val="18"/>
                <w:szCs w:val="18"/>
              </w:rPr>
            </w:pPr>
            <w:r w:rsidRPr="008C1732">
              <w:rPr>
                <w:b/>
                <w:sz w:val="18"/>
                <w:szCs w:val="18"/>
              </w:rPr>
              <w:t>Merná jednotka</w:t>
            </w:r>
          </w:p>
        </w:tc>
        <w:tc>
          <w:tcPr>
            <w:tcW w:w="1001" w:type="dxa"/>
            <w:shd w:val="clear" w:color="auto" w:fill="C6D9F1" w:themeFill="text2" w:themeFillTint="33"/>
            <w:vAlign w:val="center"/>
          </w:tcPr>
          <w:p w14:paraId="77D02B03" w14:textId="77777777" w:rsidR="00E10737" w:rsidRPr="008C1732" w:rsidRDefault="00E10737" w:rsidP="004179DE">
            <w:pPr>
              <w:ind w:left="0"/>
              <w:jc w:val="center"/>
              <w:rPr>
                <w:b/>
                <w:sz w:val="18"/>
                <w:szCs w:val="18"/>
              </w:rPr>
            </w:pPr>
            <w:r w:rsidRPr="008C1732">
              <w:rPr>
                <w:b/>
                <w:sz w:val="18"/>
                <w:szCs w:val="18"/>
              </w:rPr>
              <w:t>Fond</w:t>
            </w:r>
          </w:p>
        </w:tc>
        <w:tc>
          <w:tcPr>
            <w:tcW w:w="1505" w:type="dxa"/>
            <w:shd w:val="clear" w:color="auto" w:fill="C6D9F1" w:themeFill="text2" w:themeFillTint="33"/>
            <w:vAlign w:val="center"/>
          </w:tcPr>
          <w:p w14:paraId="080EFA9E" w14:textId="77777777" w:rsidR="00E10737" w:rsidRPr="008C1732" w:rsidRDefault="00E10737" w:rsidP="004179DE">
            <w:pPr>
              <w:ind w:left="0"/>
              <w:jc w:val="center"/>
              <w:rPr>
                <w:b/>
                <w:sz w:val="18"/>
                <w:szCs w:val="18"/>
              </w:rPr>
            </w:pPr>
            <w:r w:rsidRPr="008C1732">
              <w:rPr>
                <w:b/>
                <w:sz w:val="18"/>
                <w:szCs w:val="18"/>
              </w:rPr>
              <w:t>Kategória regiónu</w:t>
            </w:r>
          </w:p>
        </w:tc>
        <w:tc>
          <w:tcPr>
            <w:tcW w:w="1082" w:type="dxa"/>
            <w:shd w:val="clear" w:color="auto" w:fill="C6D9F1" w:themeFill="text2" w:themeFillTint="33"/>
            <w:vAlign w:val="center"/>
          </w:tcPr>
          <w:p w14:paraId="41B141DC" w14:textId="77777777" w:rsidR="00E10737" w:rsidRPr="008C1732" w:rsidRDefault="00E10737" w:rsidP="004179DE">
            <w:pPr>
              <w:ind w:left="0"/>
              <w:jc w:val="center"/>
              <w:rPr>
                <w:b/>
                <w:sz w:val="18"/>
                <w:szCs w:val="18"/>
              </w:rPr>
            </w:pPr>
            <w:r w:rsidRPr="008C1732">
              <w:rPr>
                <w:b/>
                <w:sz w:val="18"/>
                <w:szCs w:val="18"/>
              </w:rPr>
              <w:t>Cieľová hodnota (2023)</w:t>
            </w:r>
          </w:p>
        </w:tc>
        <w:tc>
          <w:tcPr>
            <w:tcW w:w="1035" w:type="dxa"/>
            <w:shd w:val="clear" w:color="auto" w:fill="C6D9F1" w:themeFill="text2" w:themeFillTint="33"/>
            <w:vAlign w:val="center"/>
          </w:tcPr>
          <w:p w14:paraId="4838732E" w14:textId="77777777" w:rsidR="00E10737" w:rsidRPr="008C1732" w:rsidRDefault="00E10737" w:rsidP="004179DE">
            <w:pPr>
              <w:ind w:left="0"/>
              <w:jc w:val="center"/>
              <w:rPr>
                <w:b/>
                <w:sz w:val="18"/>
                <w:szCs w:val="18"/>
              </w:rPr>
            </w:pPr>
            <w:r w:rsidRPr="008C1732">
              <w:rPr>
                <w:b/>
                <w:sz w:val="18"/>
                <w:szCs w:val="18"/>
              </w:rPr>
              <w:t>Zdroj údajov</w:t>
            </w:r>
          </w:p>
        </w:tc>
        <w:tc>
          <w:tcPr>
            <w:tcW w:w="1240" w:type="dxa"/>
            <w:shd w:val="clear" w:color="auto" w:fill="C6D9F1" w:themeFill="text2" w:themeFillTint="33"/>
            <w:vAlign w:val="center"/>
          </w:tcPr>
          <w:p w14:paraId="38A798E2" w14:textId="77777777" w:rsidR="00E10737" w:rsidRPr="008C1732" w:rsidRDefault="00E10737" w:rsidP="004179DE">
            <w:pPr>
              <w:ind w:left="0"/>
              <w:jc w:val="center"/>
              <w:rPr>
                <w:b/>
                <w:sz w:val="18"/>
                <w:szCs w:val="18"/>
              </w:rPr>
            </w:pPr>
            <w:r w:rsidRPr="008C1732">
              <w:rPr>
                <w:b/>
                <w:sz w:val="18"/>
                <w:szCs w:val="18"/>
              </w:rPr>
              <w:t>Frekvencia vykazovania</w:t>
            </w:r>
          </w:p>
        </w:tc>
      </w:tr>
      <w:tr w:rsidR="00E10737" w:rsidRPr="002A01BC" w14:paraId="47983B96" w14:textId="77777777" w:rsidTr="004179DE">
        <w:trPr>
          <w:trHeight w:val="680"/>
          <w:jc w:val="center"/>
        </w:trPr>
        <w:tc>
          <w:tcPr>
            <w:tcW w:w="1296" w:type="dxa"/>
            <w:shd w:val="clear" w:color="auto" w:fill="auto"/>
            <w:vAlign w:val="center"/>
          </w:tcPr>
          <w:p w14:paraId="071F3960" w14:textId="77777777" w:rsidR="00E10737" w:rsidRPr="00B21BC0" w:rsidRDefault="00E10737" w:rsidP="001A09C7">
            <w:pPr>
              <w:ind w:left="0"/>
              <w:jc w:val="center"/>
              <w:rPr>
                <w:sz w:val="18"/>
                <w:szCs w:val="18"/>
              </w:rPr>
            </w:pPr>
            <w:r w:rsidRPr="00B21BC0">
              <w:rPr>
                <w:sz w:val="18"/>
                <w:szCs w:val="18"/>
              </w:rPr>
              <w:t>CO01</w:t>
            </w:r>
          </w:p>
        </w:tc>
        <w:tc>
          <w:tcPr>
            <w:tcW w:w="2076" w:type="dxa"/>
            <w:shd w:val="clear" w:color="auto" w:fill="auto"/>
            <w:vAlign w:val="center"/>
          </w:tcPr>
          <w:p w14:paraId="53E8D3AB" w14:textId="77777777" w:rsidR="00E10737" w:rsidRPr="00B21BC0" w:rsidRDefault="00E10737" w:rsidP="001A09C7">
            <w:pPr>
              <w:ind w:left="0"/>
              <w:rPr>
                <w:sz w:val="18"/>
                <w:szCs w:val="18"/>
              </w:rPr>
            </w:pPr>
            <w:r w:rsidRPr="00B21BC0">
              <w:rPr>
                <w:sz w:val="18"/>
                <w:szCs w:val="18"/>
              </w:rPr>
              <w:t>Počet podnikov, ktorým sa poskytuje podpora (spoločný)</w:t>
            </w:r>
          </w:p>
        </w:tc>
        <w:tc>
          <w:tcPr>
            <w:tcW w:w="1107" w:type="dxa"/>
            <w:shd w:val="clear" w:color="auto" w:fill="auto"/>
            <w:vAlign w:val="center"/>
          </w:tcPr>
          <w:p w14:paraId="260D1F04"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606B9266"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19DC4ADE"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3330EB22" w14:textId="77777777" w:rsidR="00E10737" w:rsidRPr="00F058A0" w:rsidRDefault="00E10737" w:rsidP="001A09C7">
            <w:pPr>
              <w:pStyle w:val="TableParagraph"/>
              <w:ind w:left="0"/>
              <w:jc w:val="center"/>
              <w:rPr>
                <w:rFonts w:ascii="Times New Roman" w:hAnsi="Times New Roman" w:cs="Times New Roman"/>
                <w:i/>
                <w:sz w:val="18"/>
                <w:szCs w:val="18"/>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76B951F0" w14:textId="1A8FE924" w:rsidR="00E10737" w:rsidRPr="00F058A0" w:rsidRDefault="00105712" w:rsidP="00105712">
            <w:pPr>
              <w:ind w:left="0"/>
              <w:jc w:val="center"/>
              <w:rPr>
                <w:i/>
                <w:sz w:val="18"/>
                <w:szCs w:val="18"/>
              </w:rPr>
            </w:pPr>
            <w:r>
              <w:rPr>
                <w:i/>
                <w:sz w:val="18"/>
                <w:szCs w:val="18"/>
              </w:rPr>
              <w:t>2 916</w:t>
            </w:r>
          </w:p>
        </w:tc>
        <w:tc>
          <w:tcPr>
            <w:tcW w:w="1035" w:type="dxa"/>
            <w:vAlign w:val="center"/>
          </w:tcPr>
          <w:p w14:paraId="3E89552E"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35959C41"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26EE8FD9" w14:textId="77777777" w:rsidTr="004179DE">
        <w:trPr>
          <w:trHeight w:val="680"/>
          <w:jc w:val="center"/>
        </w:trPr>
        <w:tc>
          <w:tcPr>
            <w:tcW w:w="1296" w:type="dxa"/>
            <w:shd w:val="clear" w:color="auto" w:fill="auto"/>
            <w:vAlign w:val="center"/>
          </w:tcPr>
          <w:p w14:paraId="3632B865" w14:textId="77777777" w:rsidR="00E10737" w:rsidRPr="00B21BC0" w:rsidRDefault="00E10737" w:rsidP="001A09C7">
            <w:pPr>
              <w:ind w:left="0"/>
              <w:jc w:val="center"/>
              <w:rPr>
                <w:sz w:val="18"/>
                <w:szCs w:val="18"/>
              </w:rPr>
            </w:pPr>
            <w:r w:rsidRPr="00B21BC0">
              <w:rPr>
                <w:sz w:val="18"/>
                <w:szCs w:val="18"/>
              </w:rPr>
              <w:t>CO02</w:t>
            </w:r>
          </w:p>
        </w:tc>
        <w:tc>
          <w:tcPr>
            <w:tcW w:w="2076" w:type="dxa"/>
            <w:shd w:val="clear" w:color="auto" w:fill="auto"/>
            <w:vAlign w:val="center"/>
          </w:tcPr>
          <w:p w14:paraId="52D8B86E" w14:textId="77777777" w:rsidR="00E10737" w:rsidRPr="00B21BC0" w:rsidRDefault="00E10737" w:rsidP="001A09C7">
            <w:pPr>
              <w:ind w:left="0"/>
              <w:rPr>
                <w:sz w:val="18"/>
                <w:szCs w:val="18"/>
              </w:rPr>
            </w:pPr>
            <w:r w:rsidRPr="00B21BC0">
              <w:rPr>
                <w:sz w:val="18"/>
                <w:szCs w:val="18"/>
              </w:rPr>
              <w:t>Počet podnikov, ktoré dostávajú granty (spoločný)</w:t>
            </w:r>
          </w:p>
        </w:tc>
        <w:tc>
          <w:tcPr>
            <w:tcW w:w="1107" w:type="dxa"/>
            <w:shd w:val="clear" w:color="auto" w:fill="auto"/>
            <w:vAlign w:val="center"/>
          </w:tcPr>
          <w:p w14:paraId="5F284793" w14:textId="77777777" w:rsidR="00E10737" w:rsidRPr="00F058A0" w:rsidRDefault="00E10737" w:rsidP="001A09C7">
            <w:pPr>
              <w:ind w:left="0"/>
              <w:jc w:val="center"/>
              <w:rPr>
                <w:i/>
                <w:sz w:val="18"/>
                <w:szCs w:val="18"/>
              </w:rPr>
            </w:pPr>
            <w:r w:rsidRPr="00F058A0">
              <w:rPr>
                <w:i/>
                <w:sz w:val="18"/>
                <w:szCs w:val="18"/>
              </w:rPr>
              <w:t>podniky</w:t>
            </w:r>
          </w:p>
        </w:tc>
        <w:tc>
          <w:tcPr>
            <w:tcW w:w="1001" w:type="dxa"/>
            <w:shd w:val="clear" w:color="auto" w:fill="auto"/>
            <w:vAlign w:val="center"/>
          </w:tcPr>
          <w:p w14:paraId="274EB6A9"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11C22639"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60410E5B" w14:textId="77777777" w:rsidR="00E10737" w:rsidRPr="00F058A0" w:rsidRDefault="00E10737" w:rsidP="001A09C7">
            <w:pPr>
              <w:ind w:left="0"/>
              <w:jc w:val="center"/>
              <w:rPr>
                <w:i/>
                <w:sz w:val="18"/>
                <w:szCs w:val="18"/>
              </w:rPr>
            </w:pPr>
            <w:r w:rsidRPr="00F058A0">
              <w:rPr>
                <w:i/>
                <w:sz w:val="18"/>
                <w:szCs w:val="18"/>
              </w:rPr>
              <w:t>región</w:t>
            </w:r>
          </w:p>
        </w:tc>
        <w:tc>
          <w:tcPr>
            <w:tcW w:w="1082" w:type="dxa"/>
            <w:shd w:val="clear" w:color="auto" w:fill="auto"/>
            <w:vAlign w:val="center"/>
          </w:tcPr>
          <w:p w14:paraId="3AD094FF" w14:textId="1DEFD9CE" w:rsidR="00E10737" w:rsidRPr="00F058A0" w:rsidRDefault="00105712" w:rsidP="00105712">
            <w:pPr>
              <w:ind w:left="0"/>
              <w:jc w:val="center"/>
              <w:rPr>
                <w:i/>
                <w:sz w:val="18"/>
                <w:szCs w:val="18"/>
              </w:rPr>
            </w:pPr>
            <w:r>
              <w:rPr>
                <w:i/>
                <w:sz w:val="18"/>
                <w:szCs w:val="18"/>
              </w:rPr>
              <w:t>54</w:t>
            </w:r>
          </w:p>
        </w:tc>
        <w:tc>
          <w:tcPr>
            <w:tcW w:w="1035" w:type="dxa"/>
            <w:vAlign w:val="center"/>
          </w:tcPr>
          <w:p w14:paraId="6EF0CF9A"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27594666"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26957CA9" w14:textId="77777777" w:rsidTr="004179DE">
        <w:trPr>
          <w:trHeight w:val="680"/>
          <w:jc w:val="center"/>
        </w:trPr>
        <w:tc>
          <w:tcPr>
            <w:tcW w:w="1296" w:type="dxa"/>
            <w:shd w:val="clear" w:color="auto" w:fill="auto"/>
            <w:vAlign w:val="center"/>
          </w:tcPr>
          <w:p w14:paraId="291134AD" w14:textId="77777777" w:rsidR="00E10737" w:rsidRPr="00B21BC0" w:rsidRDefault="00E10737" w:rsidP="001A09C7">
            <w:pPr>
              <w:ind w:left="0"/>
              <w:jc w:val="center"/>
              <w:rPr>
                <w:sz w:val="18"/>
                <w:szCs w:val="18"/>
              </w:rPr>
            </w:pPr>
            <w:r w:rsidRPr="00B21BC0">
              <w:rPr>
                <w:sz w:val="18"/>
                <w:szCs w:val="18"/>
              </w:rPr>
              <w:t>CO03</w:t>
            </w:r>
          </w:p>
        </w:tc>
        <w:tc>
          <w:tcPr>
            <w:tcW w:w="2076" w:type="dxa"/>
            <w:shd w:val="clear" w:color="auto" w:fill="auto"/>
            <w:vAlign w:val="center"/>
          </w:tcPr>
          <w:p w14:paraId="141E9735" w14:textId="77777777" w:rsidR="00E10737" w:rsidRPr="00B21BC0" w:rsidRDefault="00E10737" w:rsidP="001A09C7">
            <w:pPr>
              <w:pStyle w:val="TableParagraph"/>
              <w:spacing w:line="247" w:lineRule="auto"/>
              <w:ind w:left="0"/>
              <w:rPr>
                <w:rFonts w:ascii="Times New Roman" w:eastAsia="Gill Sans MT" w:hAnsi="Times New Roman" w:cs="Times New Roman"/>
                <w:sz w:val="18"/>
                <w:szCs w:val="18"/>
              </w:rPr>
            </w:pPr>
            <w:r w:rsidRPr="00B21BC0">
              <w:rPr>
                <w:rFonts w:ascii="Times New Roman" w:hAnsi="Times New Roman" w:cs="Times New Roman"/>
                <w:sz w:val="18"/>
                <w:szCs w:val="18"/>
                <w:lang w:val="sk-SK"/>
              </w:rPr>
              <w:t>Počet podnikov, ktoré dostávajú finančnú podporu inú ako granty (spoločný)</w:t>
            </w:r>
          </w:p>
        </w:tc>
        <w:tc>
          <w:tcPr>
            <w:tcW w:w="1107" w:type="dxa"/>
            <w:shd w:val="clear" w:color="auto" w:fill="auto"/>
            <w:vAlign w:val="center"/>
          </w:tcPr>
          <w:p w14:paraId="749B953B" w14:textId="77777777" w:rsidR="00E10737" w:rsidRPr="00F058A0" w:rsidRDefault="00E10737" w:rsidP="001A09C7">
            <w:pPr>
              <w:widowControl w:val="0"/>
              <w:spacing w:line="247" w:lineRule="auto"/>
              <w:ind w:left="0"/>
              <w:jc w:val="center"/>
              <w:rPr>
                <w:i/>
                <w:sz w:val="18"/>
                <w:szCs w:val="18"/>
              </w:rPr>
            </w:pPr>
            <w:r w:rsidRPr="00F058A0">
              <w:rPr>
                <w:i/>
                <w:sz w:val="18"/>
                <w:szCs w:val="18"/>
              </w:rPr>
              <w:t>počet</w:t>
            </w:r>
          </w:p>
        </w:tc>
        <w:tc>
          <w:tcPr>
            <w:tcW w:w="1001" w:type="dxa"/>
            <w:shd w:val="clear" w:color="auto" w:fill="auto"/>
            <w:vAlign w:val="center"/>
          </w:tcPr>
          <w:p w14:paraId="0FB8F57E" w14:textId="77777777" w:rsidR="00E10737" w:rsidRPr="00F058A0" w:rsidRDefault="00E10737" w:rsidP="001A09C7">
            <w:pPr>
              <w:widowControl w:val="0"/>
              <w:spacing w:line="247" w:lineRule="auto"/>
              <w:ind w:left="0"/>
              <w:jc w:val="center"/>
              <w:rPr>
                <w:i/>
                <w:sz w:val="18"/>
                <w:szCs w:val="18"/>
              </w:rPr>
            </w:pPr>
            <w:r w:rsidRPr="00F058A0">
              <w:rPr>
                <w:i/>
                <w:sz w:val="18"/>
                <w:szCs w:val="18"/>
              </w:rPr>
              <w:t>EFRR</w:t>
            </w:r>
          </w:p>
        </w:tc>
        <w:tc>
          <w:tcPr>
            <w:tcW w:w="1505" w:type="dxa"/>
            <w:shd w:val="clear" w:color="auto" w:fill="auto"/>
            <w:vAlign w:val="center"/>
          </w:tcPr>
          <w:p w14:paraId="45AE9C65"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56B29C51" w14:textId="77777777" w:rsidR="00E10737" w:rsidRPr="00F058A0" w:rsidRDefault="00E10737" w:rsidP="001A09C7">
            <w:pPr>
              <w:widowControl w:val="0"/>
              <w:spacing w:before="35"/>
              <w:ind w:left="0"/>
              <w:jc w:val="center"/>
              <w:rPr>
                <w:i/>
                <w:sz w:val="18"/>
                <w:szCs w:val="18"/>
              </w:rPr>
            </w:pPr>
            <w:r w:rsidRPr="00F058A0">
              <w:rPr>
                <w:i/>
                <w:sz w:val="18"/>
                <w:szCs w:val="18"/>
              </w:rPr>
              <w:t>región</w:t>
            </w:r>
          </w:p>
        </w:tc>
        <w:tc>
          <w:tcPr>
            <w:tcW w:w="1082" w:type="dxa"/>
            <w:shd w:val="clear" w:color="auto" w:fill="auto"/>
            <w:vAlign w:val="center"/>
          </w:tcPr>
          <w:p w14:paraId="1D23B029" w14:textId="77777777" w:rsidR="00E10737" w:rsidRPr="00F058A0" w:rsidRDefault="00E10737" w:rsidP="001A09C7">
            <w:pPr>
              <w:ind w:left="0"/>
              <w:jc w:val="center"/>
              <w:rPr>
                <w:i/>
                <w:sz w:val="18"/>
                <w:szCs w:val="18"/>
              </w:rPr>
            </w:pPr>
            <w:r w:rsidRPr="00F058A0">
              <w:rPr>
                <w:i/>
                <w:sz w:val="18"/>
                <w:szCs w:val="18"/>
              </w:rPr>
              <w:t>200</w:t>
            </w:r>
          </w:p>
        </w:tc>
        <w:tc>
          <w:tcPr>
            <w:tcW w:w="1035" w:type="dxa"/>
            <w:vAlign w:val="center"/>
          </w:tcPr>
          <w:p w14:paraId="7D29DB79"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49D5B535"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722F399D" w14:textId="77777777" w:rsidTr="004179DE">
        <w:trPr>
          <w:trHeight w:val="680"/>
          <w:jc w:val="center"/>
        </w:trPr>
        <w:tc>
          <w:tcPr>
            <w:tcW w:w="1296" w:type="dxa"/>
            <w:shd w:val="clear" w:color="auto" w:fill="auto"/>
            <w:vAlign w:val="center"/>
          </w:tcPr>
          <w:p w14:paraId="4FDC2108" w14:textId="77777777" w:rsidR="00E10737" w:rsidRPr="00B21BC0" w:rsidRDefault="00E10737" w:rsidP="001A09C7">
            <w:pPr>
              <w:widowControl w:val="0"/>
              <w:ind w:left="0"/>
              <w:jc w:val="center"/>
              <w:rPr>
                <w:sz w:val="18"/>
                <w:szCs w:val="18"/>
              </w:rPr>
            </w:pPr>
            <w:r w:rsidRPr="00B21BC0">
              <w:rPr>
                <w:sz w:val="18"/>
                <w:szCs w:val="18"/>
              </w:rPr>
              <w:t>CO04</w:t>
            </w:r>
          </w:p>
        </w:tc>
        <w:tc>
          <w:tcPr>
            <w:tcW w:w="2076" w:type="dxa"/>
            <w:shd w:val="clear" w:color="auto" w:fill="auto"/>
            <w:vAlign w:val="center"/>
          </w:tcPr>
          <w:p w14:paraId="4AEC0E3E" w14:textId="77777777" w:rsidR="00E10737" w:rsidRPr="00B21BC0" w:rsidRDefault="00E10737" w:rsidP="001A09C7">
            <w:pPr>
              <w:ind w:left="0"/>
              <w:rPr>
                <w:sz w:val="18"/>
                <w:szCs w:val="18"/>
              </w:rPr>
            </w:pPr>
            <w:r w:rsidRPr="00B21BC0">
              <w:rPr>
                <w:sz w:val="18"/>
                <w:szCs w:val="18"/>
              </w:rPr>
              <w:t>Počet podnikov, ktoré dostávajú nefinančnú podporu (spoločný)</w:t>
            </w:r>
          </w:p>
        </w:tc>
        <w:tc>
          <w:tcPr>
            <w:tcW w:w="1107" w:type="dxa"/>
            <w:shd w:val="clear" w:color="auto" w:fill="auto"/>
            <w:vAlign w:val="center"/>
          </w:tcPr>
          <w:p w14:paraId="5CEB2E4C"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455C0847"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76B6707E"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500696C5" w14:textId="77777777" w:rsidR="00E10737" w:rsidRPr="00F058A0" w:rsidRDefault="00E10737" w:rsidP="001A09C7">
            <w:pPr>
              <w:widowControl w:val="0"/>
              <w:spacing w:before="35"/>
              <w:ind w:left="0"/>
              <w:jc w:val="center"/>
              <w:rPr>
                <w:i/>
                <w:sz w:val="18"/>
                <w:szCs w:val="18"/>
              </w:rPr>
            </w:pPr>
            <w:r w:rsidRPr="00F058A0">
              <w:rPr>
                <w:i/>
                <w:sz w:val="18"/>
                <w:szCs w:val="18"/>
              </w:rPr>
              <w:t>región</w:t>
            </w:r>
          </w:p>
        </w:tc>
        <w:tc>
          <w:tcPr>
            <w:tcW w:w="1082" w:type="dxa"/>
            <w:shd w:val="clear" w:color="auto" w:fill="auto"/>
            <w:vAlign w:val="center"/>
          </w:tcPr>
          <w:p w14:paraId="27D2ED4B" w14:textId="77777777" w:rsidR="00E10737" w:rsidRPr="00F058A0" w:rsidRDefault="00E10737" w:rsidP="001A09C7">
            <w:pPr>
              <w:ind w:left="0"/>
              <w:jc w:val="center"/>
              <w:rPr>
                <w:i/>
                <w:sz w:val="18"/>
                <w:szCs w:val="18"/>
              </w:rPr>
            </w:pPr>
            <w:r w:rsidRPr="00F058A0">
              <w:rPr>
                <w:i/>
                <w:sz w:val="18"/>
                <w:szCs w:val="18"/>
              </w:rPr>
              <w:t>2 800</w:t>
            </w:r>
          </w:p>
        </w:tc>
        <w:tc>
          <w:tcPr>
            <w:tcW w:w="1035" w:type="dxa"/>
            <w:vAlign w:val="center"/>
          </w:tcPr>
          <w:p w14:paraId="61E61509"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52C1DC5A"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54308646" w14:textId="77777777" w:rsidTr="004179DE">
        <w:trPr>
          <w:trHeight w:val="680"/>
          <w:jc w:val="center"/>
        </w:trPr>
        <w:tc>
          <w:tcPr>
            <w:tcW w:w="1296" w:type="dxa"/>
            <w:shd w:val="clear" w:color="auto" w:fill="auto"/>
            <w:vAlign w:val="center"/>
          </w:tcPr>
          <w:p w14:paraId="18C242D5" w14:textId="10F80DCD" w:rsidR="00E10737" w:rsidRPr="00B21BC0" w:rsidRDefault="00237F4D" w:rsidP="001A09C7">
            <w:pPr>
              <w:widowControl w:val="0"/>
              <w:ind w:left="0"/>
              <w:jc w:val="center"/>
              <w:rPr>
                <w:sz w:val="18"/>
                <w:szCs w:val="18"/>
              </w:rPr>
            </w:pPr>
            <w:r>
              <w:rPr>
                <w:sz w:val="18"/>
                <w:szCs w:val="18"/>
              </w:rPr>
              <w:t>CO0</w:t>
            </w:r>
            <w:r w:rsidR="00E10737" w:rsidRPr="00B21BC0">
              <w:rPr>
                <w:sz w:val="18"/>
                <w:szCs w:val="18"/>
              </w:rPr>
              <w:t>5</w:t>
            </w:r>
          </w:p>
        </w:tc>
        <w:tc>
          <w:tcPr>
            <w:tcW w:w="2076" w:type="dxa"/>
            <w:shd w:val="clear" w:color="auto" w:fill="auto"/>
            <w:vAlign w:val="center"/>
          </w:tcPr>
          <w:p w14:paraId="6F8AB686" w14:textId="12A56A14" w:rsidR="00E10737" w:rsidRPr="00B21BC0" w:rsidRDefault="00E10737" w:rsidP="00704FB6">
            <w:pPr>
              <w:widowControl w:val="0"/>
              <w:ind w:left="0"/>
              <w:rPr>
                <w:sz w:val="18"/>
                <w:szCs w:val="18"/>
              </w:rPr>
            </w:pPr>
            <w:r w:rsidRPr="00B21BC0">
              <w:rPr>
                <w:sz w:val="18"/>
                <w:szCs w:val="18"/>
              </w:rPr>
              <w:t>Počet podporených nových podnikov (spoločný)</w:t>
            </w:r>
          </w:p>
        </w:tc>
        <w:tc>
          <w:tcPr>
            <w:tcW w:w="1107" w:type="dxa"/>
            <w:shd w:val="clear" w:color="auto" w:fill="auto"/>
            <w:vAlign w:val="center"/>
          </w:tcPr>
          <w:p w14:paraId="37892805" w14:textId="77777777" w:rsidR="00E10737" w:rsidRPr="00F058A0" w:rsidRDefault="00E10737" w:rsidP="001A09C7">
            <w:pPr>
              <w:widowControl w:val="0"/>
              <w:ind w:left="0"/>
              <w:jc w:val="center"/>
              <w:rPr>
                <w:i/>
                <w:sz w:val="18"/>
                <w:szCs w:val="18"/>
              </w:rPr>
            </w:pPr>
            <w:r w:rsidRPr="00F058A0">
              <w:rPr>
                <w:i/>
                <w:sz w:val="18"/>
                <w:szCs w:val="18"/>
              </w:rPr>
              <w:t>počet</w:t>
            </w:r>
          </w:p>
        </w:tc>
        <w:tc>
          <w:tcPr>
            <w:tcW w:w="1001" w:type="dxa"/>
            <w:shd w:val="clear" w:color="auto" w:fill="auto"/>
            <w:vAlign w:val="center"/>
          </w:tcPr>
          <w:p w14:paraId="23D10CAD" w14:textId="77777777" w:rsidR="00E10737" w:rsidRPr="00F058A0" w:rsidRDefault="00E10737" w:rsidP="001A09C7">
            <w:pPr>
              <w:widowControl w:val="0"/>
              <w:ind w:left="0"/>
              <w:jc w:val="center"/>
              <w:rPr>
                <w:i/>
                <w:sz w:val="18"/>
                <w:szCs w:val="18"/>
              </w:rPr>
            </w:pPr>
            <w:r w:rsidRPr="00F058A0">
              <w:rPr>
                <w:i/>
                <w:sz w:val="18"/>
                <w:szCs w:val="18"/>
              </w:rPr>
              <w:t>EFRR</w:t>
            </w:r>
          </w:p>
        </w:tc>
        <w:tc>
          <w:tcPr>
            <w:tcW w:w="1505" w:type="dxa"/>
            <w:shd w:val="clear" w:color="auto" w:fill="auto"/>
            <w:vAlign w:val="center"/>
          </w:tcPr>
          <w:p w14:paraId="25E01FEB"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22353066"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6D8E6B1B" w14:textId="77777777" w:rsidR="00E10737" w:rsidRPr="00F058A0" w:rsidRDefault="00E10737" w:rsidP="001A09C7">
            <w:pPr>
              <w:widowControl w:val="0"/>
              <w:ind w:left="0"/>
              <w:jc w:val="center"/>
              <w:rPr>
                <w:i/>
                <w:sz w:val="18"/>
                <w:szCs w:val="18"/>
              </w:rPr>
            </w:pPr>
            <w:r w:rsidRPr="00F058A0">
              <w:rPr>
                <w:i/>
                <w:sz w:val="18"/>
                <w:szCs w:val="18"/>
              </w:rPr>
              <w:t>900</w:t>
            </w:r>
          </w:p>
        </w:tc>
        <w:tc>
          <w:tcPr>
            <w:tcW w:w="1035" w:type="dxa"/>
            <w:vAlign w:val="center"/>
          </w:tcPr>
          <w:p w14:paraId="0BAFD18A" w14:textId="77777777" w:rsidR="00E10737" w:rsidRPr="00F058A0" w:rsidRDefault="00E10737" w:rsidP="001A09C7">
            <w:pPr>
              <w:widowControl w:val="0"/>
              <w:ind w:left="0"/>
              <w:jc w:val="center"/>
              <w:rPr>
                <w:i/>
                <w:sz w:val="18"/>
                <w:szCs w:val="18"/>
              </w:rPr>
            </w:pPr>
            <w:r w:rsidRPr="00F058A0">
              <w:rPr>
                <w:i/>
                <w:sz w:val="18"/>
                <w:szCs w:val="18"/>
              </w:rPr>
              <w:t>ITMS</w:t>
            </w:r>
          </w:p>
        </w:tc>
        <w:tc>
          <w:tcPr>
            <w:tcW w:w="1240" w:type="dxa"/>
            <w:vAlign w:val="center"/>
          </w:tcPr>
          <w:p w14:paraId="73064FCE" w14:textId="77777777" w:rsidR="00E10737" w:rsidRPr="00F058A0" w:rsidRDefault="00E10737" w:rsidP="001A09C7">
            <w:pPr>
              <w:widowControl w:val="0"/>
              <w:ind w:left="0"/>
              <w:jc w:val="center"/>
              <w:rPr>
                <w:i/>
                <w:sz w:val="18"/>
                <w:szCs w:val="18"/>
              </w:rPr>
            </w:pPr>
            <w:r w:rsidRPr="00F058A0">
              <w:rPr>
                <w:i/>
                <w:sz w:val="18"/>
                <w:szCs w:val="18"/>
              </w:rPr>
              <w:t>ročne</w:t>
            </w:r>
          </w:p>
        </w:tc>
      </w:tr>
      <w:tr w:rsidR="00E10737" w:rsidRPr="002A01BC" w14:paraId="1EF15268" w14:textId="77777777" w:rsidTr="004179DE">
        <w:trPr>
          <w:trHeight w:val="680"/>
          <w:jc w:val="center"/>
        </w:trPr>
        <w:tc>
          <w:tcPr>
            <w:tcW w:w="1296" w:type="dxa"/>
            <w:shd w:val="clear" w:color="auto" w:fill="auto"/>
            <w:vAlign w:val="center"/>
          </w:tcPr>
          <w:p w14:paraId="649C0FC2" w14:textId="77777777" w:rsidR="00E10737" w:rsidRPr="00B21BC0" w:rsidRDefault="00E10737" w:rsidP="001A09C7">
            <w:pPr>
              <w:ind w:left="0"/>
              <w:jc w:val="center"/>
              <w:rPr>
                <w:sz w:val="18"/>
                <w:szCs w:val="18"/>
              </w:rPr>
            </w:pPr>
            <w:r w:rsidRPr="00B21BC0">
              <w:rPr>
                <w:sz w:val="18"/>
                <w:szCs w:val="18"/>
              </w:rPr>
              <w:lastRenderedPageBreak/>
              <w:t>CO06</w:t>
            </w:r>
          </w:p>
        </w:tc>
        <w:tc>
          <w:tcPr>
            <w:tcW w:w="2076" w:type="dxa"/>
            <w:shd w:val="clear" w:color="auto" w:fill="auto"/>
            <w:vAlign w:val="center"/>
          </w:tcPr>
          <w:p w14:paraId="521567A2" w14:textId="77777777" w:rsidR="00E10737" w:rsidRPr="00B21BC0" w:rsidRDefault="00E10737" w:rsidP="001A09C7">
            <w:pPr>
              <w:ind w:left="0"/>
              <w:rPr>
                <w:sz w:val="18"/>
                <w:szCs w:val="18"/>
              </w:rPr>
            </w:pPr>
            <w:r w:rsidRPr="00B21BC0">
              <w:rPr>
                <w:sz w:val="18"/>
                <w:szCs w:val="18"/>
              </w:rPr>
              <w:t>Súkromné investície zodpovedajúce verejnej podpore pre podniky (granty) (spoločný)</w:t>
            </w:r>
          </w:p>
        </w:tc>
        <w:tc>
          <w:tcPr>
            <w:tcW w:w="1107" w:type="dxa"/>
            <w:shd w:val="clear" w:color="auto" w:fill="auto"/>
            <w:vAlign w:val="center"/>
          </w:tcPr>
          <w:p w14:paraId="1A3589BF" w14:textId="77777777" w:rsidR="00E10737" w:rsidRPr="00F058A0" w:rsidRDefault="00E10737" w:rsidP="001A09C7">
            <w:pPr>
              <w:ind w:left="0"/>
              <w:jc w:val="center"/>
              <w:rPr>
                <w:i/>
                <w:sz w:val="18"/>
                <w:szCs w:val="18"/>
              </w:rPr>
            </w:pPr>
            <w:r w:rsidRPr="00F058A0">
              <w:rPr>
                <w:i/>
                <w:sz w:val="18"/>
                <w:szCs w:val="18"/>
              </w:rPr>
              <w:t>EUR</w:t>
            </w:r>
          </w:p>
        </w:tc>
        <w:tc>
          <w:tcPr>
            <w:tcW w:w="1001" w:type="dxa"/>
            <w:shd w:val="clear" w:color="auto" w:fill="auto"/>
            <w:vAlign w:val="center"/>
          </w:tcPr>
          <w:p w14:paraId="12F21A57"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6CE926B0"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477E18C9" w14:textId="77777777" w:rsidR="00E10737" w:rsidRPr="00F058A0" w:rsidRDefault="00E10737" w:rsidP="001A09C7">
            <w:pPr>
              <w:widowControl w:val="0"/>
              <w:spacing w:before="35"/>
              <w:ind w:left="0"/>
              <w:jc w:val="center"/>
              <w:rPr>
                <w:i/>
                <w:sz w:val="18"/>
                <w:szCs w:val="18"/>
              </w:rPr>
            </w:pPr>
            <w:r w:rsidRPr="00F058A0">
              <w:rPr>
                <w:i/>
                <w:sz w:val="18"/>
                <w:szCs w:val="18"/>
              </w:rPr>
              <w:t>región</w:t>
            </w:r>
          </w:p>
        </w:tc>
        <w:tc>
          <w:tcPr>
            <w:tcW w:w="1082" w:type="dxa"/>
            <w:shd w:val="clear" w:color="auto" w:fill="auto"/>
            <w:vAlign w:val="center"/>
          </w:tcPr>
          <w:p w14:paraId="4B89B1C2" w14:textId="15837181" w:rsidR="00E10737" w:rsidRPr="00F058A0" w:rsidRDefault="00105712" w:rsidP="00105712">
            <w:pPr>
              <w:ind w:left="0"/>
              <w:jc w:val="center"/>
              <w:rPr>
                <w:i/>
                <w:sz w:val="18"/>
                <w:szCs w:val="18"/>
              </w:rPr>
            </w:pPr>
            <w:r>
              <w:rPr>
                <w:i/>
                <w:sz w:val="18"/>
                <w:szCs w:val="18"/>
              </w:rPr>
              <w:t>7 649 025</w:t>
            </w:r>
          </w:p>
        </w:tc>
        <w:tc>
          <w:tcPr>
            <w:tcW w:w="1035" w:type="dxa"/>
            <w:vAlign w:val="center"/>
          </w:tcPr>
          <w:p w14:paraId="7C75380A"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37F3CC4C"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11F9554D" w14:textId="77777777" w:rsidTr="004179DE">
        <w:trPr>
          <w:trHeight w:val="680"/>
          <w:jc w:val="center"/>
        </w:trPr>
        <w:tc>
          <w:tcPr>
            <w:tcW w:w="1296" w:type="dxa"/>
            <w:shd w:val="clear" w:color="auto" w:fill="auto"/>
            <w:vAlign w:val="center"/>
          </w:tcPr>
          <w:p w14:paraId="2AF32E9C" w14:textId="77777777" w:rsidR="00E10737" w:rsidRPr="00B21BC0" w:rsidRDefault="00E10737" w:rsidP="001A09C7">
            <w:pPr>
              <w:ind w:left="0"/>
              <w:jc w:val="center"/>
              <w:rPr>
                <w:sz w:val="18"/>
                <w:szCs w:val="18"/>
              </w:rPr>
            </w:pPr>
            <w:r w:rsidRPr="00B21BC0">
              <w:rPr>
                <w:sz w:val="18"/>
                <w:szCs w:val="18"/>
              </w:rPr>
              <w:t>CO07</w:t>
            </w:r>
          </w:p>
        </w:tc>
        <w:tc>
          <w:tcPr>
            <w:tcW w:w="2076" w:type="dxa"/>
            <w:shd w:val="clear" w:color="auto" w:fill="auto"/>
            <w:vAlign w:val="center"/>
          </w:tcPr>
          <w:p w14:paraId="4E4FCD72" w14:textId="77777777" w:rsidR="00E10737" w:rsidRPr="00B21BC0" w:rsidRDefault="00E10737" w:rsidP="001A09C7">
            <w:pPr>
              <w:ind w:left="0"/>
              <w:rPr>
                <w:sz w:val="18"/>
                <w:szCs w:val="18"/>
              </w:rPr>
            </w:pPr>
            <w:r w:rsidRPr="00B21BC0">
              <w:rPr>
                <w:sz w:val="18"/>
                <w:szCs w:val="18"/>
              </w:rPr>
              <w:t>Súkromné investície zodpovedajúce verejnej podpore pre podniky (iné ako granty) (spoločný)</w:t>
            </w:r>
          </w:p>
        </w:tc>
        <w:tc>
          <w:tcPr>
            <w:tcW w:w="1107" w:type="dxa"/>
            <w:shd w:val="clear" w:color="auto" w:fill="auto"/>
            <w:vAlign w:val="center"/>
          </w:tcPr>
          <w:p w14:paraId="66895FC9" w14:textId="77777777" w:rsidR="00E10737" w:rsidRPr="00F058A0" w:rsidRDefault="00E10737" w:rsidP="001A09C7">
            <w:pPr>
              <w:ind w:left="0"/>
              <w:jc w:val="center"/>
              <w:rPr>
                <w:i/>
                <w:sz w:val="18"/>
                <w:szCs w:val="18"/>
              </w:rPr>
            </w:pPr>
            <w:r w:rsidRPr="00F058A0">
              <w:rPr>
                <w:i/>
                <w:sz w:val="18"/>
                <w:szCs w:val="18"/>
              </w:rPr>
              <w:t>EUR</w:t>
            </w:r>
          </w:p>
        </w:tc>
        <w:tc>
          <w:tcPr>
            <w:tcW w:w="1001" w:type="dxa"/>
            <w:shd w:val="clear" w:color="auto" w:fill="auto"/>
            <w:vAlign w:val="center"/>
          </w:tcPr>
          <w:p w14:paraId="3F2C85E6"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2A19A744"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3532A5F5" w14:textId="77777777" w:rsidR="00E10737" w:rsidRPr="00F058A0" w:rsidRDefault="00E10737" w:rsidP="001A09C7">
            <w:pPr>
              <w:widowControl w:val="0"/>
              <w:spacing w:before="35"/>
              <w:ind w:left="0"/>
              <w:jc w:val="center"/>
              <w:rPr>
                <w:i/>
                <w:sz w:val="18"/>
                <w:szCs w:val="18"/>
              </w:rPr>
            </w:pPr>
            <w:r w:rsidRPr="00F058A0">
              <w:rPr>
                <w:i/>
                <w:sz w:val="18"/>
                <w:szCs w:val="18"/>
              </w:rPr>
              <w:t>región</w:t>
            </w:r>
          </w:p>
        </w:tc>
        <w:tc>
          <w:tcPr>
            <w:tcW w:w="1082" w:type="dxa"/>
            <w:shd w:val="clear" w:color="auto" w:fill="auto"/>
            <w:vAlign w:val="center"/>
          </w:tcPr>
          <w:p w14:paraId="73158211" w14:textId="77777777" w:rsidR="00E10737" w:rsidRPr="00F058A0" w:rsidRDefault="00E10737" w:rsidP="001A09C7">
            <w:pPr>
              <w:ind w:left="0"/>
              <w:jc w:val="center"/>
              <w:rPr>
                <w:i/>
                <w:sz w:val="18"/>
                <w:szCs w:val="18"/>
              </w:rPr>
            </w:pPr>
            <w:r w:rsidRPr="00F058A0">
              <w:rPr>
                <w:i/>
                <w:sz w:val="18"/>
                <w:szCs w:val="18"/>
              </w:rPr>
              <w:t>9 900 000</w:t>
            </w:r>
          </w:p>
        </w:tc>
        <w:tc>
          <w:tcPr>
            <w:tcW w:w="1035" w:type="dxa"/>
            <w:vAlign w:val="center"/>
          </w:tcPr>
          <w:p w14:paraId="1B2BACC1"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758F3536"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65E851A9" w14:textId="77777777" w:rsidTr="004179DE">
        <w:trPr>
          <w:trHeight w:val="680"/>
          <w:jc w:val="center"/>
        </w:trPr>
        <w:tc>
          <w:tcPr>
            <w:tcW w:w="1296" w:type="dxa"/>
            <w:shd w:val="clear" w:color="auto" w:fill="auto"/>
          </w:tcPr>
          <w:p w14:paraId="254A280B" w14:textId="77777777" w:rsidR="00E10737" w:rsidRPr="00B21BC0" w:rsidRDefault="00E10737" w:rsidP="001A09C7">
            <w:pPr>
              <w:pStyle w:val="TableParagraph"/>
              <w:spacing w:before="6"/>
              <w:ind w:left="0"/>
              <w:rPr>
                <w:rFonts w:ascii="Times New Roman" w:eastAsia="Times New Roman" w:hAnsi="Times New Roman" w:cs="Times New Roman"/>
                <w:sz w:val="18"/>
                <w:szCs w:val="18"/>
                <w:lang w:val="sk-SK" w:eastAsia="sk-SK"/>
              </w:rPr>
            </w:pPr>
          </w:p>
          <w:p w14:paraId="28EEE2E6" w14:textId="77777777" w:rsidR="00E10737" w:rsidRPr="00B21BC0" w:rsidRDefault="00E10737" w:rsidP="001A09C7">
            <w:pPr>
              <w:ind w:left="0"/>
              <w:jc w:val="center"/>
              <w:rPr>
                <w:sz w:val="18"/>
                <w:szCs w:val="18"/>
              </w:rPr>
            </w:pPr>
            <w:r w:rsidRPr="00B21BC0">
              <w:rPr>
                <w:sz w:val="18"/>
                <w:szCs w:val="18"/>
              </w:rPr>
              <w:t>CO08</w:t>
            </w:r>
          </w:p>
        </w:tc>
        <w:tc>
          <w:tcPr>
            <w:tcW w:w="2076" w:type="dxa"/>
            <w:shd w:val="clear" w:color="auto" w:fill="auto"/>
          </w:tcPr>
          <w:p w14:paraId="6F834E2B" w14:textId="77777777" w:rsidR="00E10737" w:rsidRPr="00B21BC0" w:rsidRDefault="00E10737" w:rsidP="001A09C7">
            <w:pPr>
              <w:pStyle w:val="TableParagraph"/>
              <w:widowControl/>
              <w:ind w:left="0"/>
              <w:rPr>
                <w:rFonts w:ascii="Times New Roman" w:hAnsi="Times New Roman" w:cs="Times New Roman"/>
                <w:sz w:val="18"/>
                <w:szCs w:val="18"/>
              </w:rPr>
            </w:pPr>
            <w:r w:rsidRPr="00B21BC0">
              <w:rPr>
                <w:rFonts w:ascii="Times New Roman" w:eastAsia="Times New Roman" w:hAnsi="Times New Roman" w:cs="Times New Roman"/>
                <w:sz w:val="18"/>
                <w:szCs w:val="18"/>
                <w:lang w:val="sk-SK" w:eastAsia="sk-SK"/>
              </w:rPr>
              <w:t>Nárast zamestnanosti v podporovaných podnikoch (spoločný)</w:t>
            </w:r>
          </w:p>
        </w:tc>
        <w:tc>
          <w:tcPr>
            <w:tcW w:w="1107" w:type="dxa"/>
            <w:shd w:val="clear" w:color="auto" w:fill="auto"/>
            <w:vAlign w:val="center"/>
          </w:tcPr>
          <w:p w14:paraId="1B5AC5CE" w14:textId="77777777" w:rsidR="00E10737" w:rsidRPr="00F058A0" w:rsidRDefault="00E10737" w:rsidP="001A09C7">
            <w:pPr>
              <w:ind w:left="0"/>
              <w:jc w:val="center"/>
              <w:rPr>
                <w:i/>
                <w:sz w:val="18"/>
                <w:szCs w:val="18"/>
              </w:rPr>
            </w:pPr>
            <w:r w:rsidRPr="00F058A0">
              <w:rPr>
                <w:i/>
                <w:sz w:val="18"/>
                <w:szCs w:val="18"/>
              </w:rPr>
              <w:t>FTE</w:t>
            </w:r>
          </w:p>
        </w:tc>
        <w:tc>
          <w:tcPr>
            <w:tcW w:w="1001" w:type="dxa"/>
            <w:shd w:val="clear" w:color="auto" w:fill="auto"/>
            <w:vAlign w:val="center"/>
          </w:tcPr>
          <w:p w14:paraId="04631ED2"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69A20D7E"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08EC8540"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74C09FFE" w14:textId="77777777" w:rsidR="00E10737" w:rsidRPr="00F058A0" w:rsidRDefault="00E10737" w:rsidP="001A09C7">
            <w:pPr>
              <w:ind w:left="0"/>
              <w:jc w:val="center"/>
              <w:rPr>
                <w:i/>
                <w:sz w:val="18"/>
                <w:szCs w:val="18"/>
              </w:rPr>
            </w:pPr>
            <w:r w:rsidRPr="00F058A0">
              <w:rPr>
                <w:i/>
                <w:sz w:val="18"/>
                <w:szCs w:val="18"/>
              </w:rPr>
              <w:t>50</w:t>
            </w:r>
          </w:p>
        </w:tc>
        <w:tc>
          <w:tcPr>
            <w:tcW w:w="1035" w:type="dxa"/>
            <w:vAlign w:val="center"/>
          </w:tcPr>
          <w:p w14:paraId="1CC6D8E0"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137AB7C2"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41281349" w14:textId="77777777" w:rsidTr="004179DE">
        <w:trPr>
          <w:trHeight w:val="680"/>
          <w:jc w:val="center"/>
        </w:trPr>
        <w:tc>
          <w:tcPr>
            <w:tcW w:w="1296" w:type="dxa"/>
            <w:shd w:val="clear" w:color="auto" w:fill="auto"/>
            <w:vAlign w:val="center"/>
          </w:tcPr>
          <w:p w14:paraId="1C91A57A" w14:textId="77777777" w:rsidR="00E10737" w:rsidRPr="00B21BC0" w:rsidRDefault="00E10737" w:rsidP="001A09C7">
            <w:pPr>
              <w:ind w:left="0"/>
              <w:jc w:val="center"/>
              <w:rPr>
                <w:sz w:val="18"/>
                <w:szCs w:val="18"/>
              </w:rPr>
            </w:pPr>
            <w:r w:rsidRPr="00B21BC0">
              <w:rPr>
                <w:sz w:val="18"/>
                <w:szCs w:val="18"/>
              </w:rPr>
              <w:t>CO28</w:t>
            </w:r>
          </w:p>
        </w:tc>
        <w:tc>
          <w:tcPr>
            <w:tcW w:w="2076" w:type="dxa"/>
            <w:shd w:val="clear" w:color="auto" w:fill="auto"/>
            <w:vAlign w:val="center"/>
          </w:tcPr>
          <w:p w14:paraId="1A85EE13" w14:textId="77777777" w:rsidR="00E10737" w:rsidRPr="00B21BC0" w:rsidRDefault="00E10737" w:rsidP="001A09C7">
            <w:pPr>
              <w:ind w:left="0"/>
              <w:rPr>
                <w:sz w:val="18"/>
                <w:szCs w:val="18"/>
              </w:rPr>
            </w:pPr>
            <w:r w:rsidRPr="00B21BC0">
              <w:rPr>
                <w:sz w:val="18"/>
                <w:szCs w:val="18"/>
              </w:rPr>
              <w:t>Počet podnikov, ktoré dostávajú podporu s cieľom predstaviť výrobky, ktoré sú pre trh nové (spoločný)</w:t>
            </w:r>
          </w:p>
        </w:tc>
        <w:tc>
          <w:tcPr>
            <w:tcW w:w="1107" w:type="dxa"/>
            <w:shd w:val="clear" w:color="auto" w:fill="auto"/>
            <w:vAlign w:val="center"/>
          </w:tcPr>
          <w:p w14:paraId="1F0AFD96"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03AF1D31"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6FFF8F07"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3A1F0285"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52B06F46" w14:textId="77777777" w:rsidR="00E10737" w:rsidRPr="00F058A0" w:rsidRDefault="00E10737" w:rsidP="001A09C7">
            <w:pPr>
              <w:ind w:left="0"/>
              <w:jc w:val="center"/>
              <w:rPr>
                <w:i/>
                <w:sz w:val="18"/>
                <w:szCs w:val="18"/>
              </w:rPr>
            </w:pPr>
            <w:r w:rsidRPr="00F058A0">
              <w:rPr>
                <w:i/>
                <w:sz w:val="18"/>
                <w:szCs w:val="18"/>
              </w:rPr>
              <w:t>110</w:t>
            </w:r>
          </w:p>
        </w:tc>
        <w:tc>
          <w:tcPr>
            <w:tcW w:w="1035" w:type="dxa"/>
            <w:vAlign w:val="center"/>
          </w:tcPr>
          <w:p w14:paraId="55A9AACB"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690A09D5"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3EE055F4" w14:textId="77777777" w:rsidTr="004179DE">
        <w:trPr>
          <w:trHeight w:val="680"/>
          <w:jc w:val="center"/>
        </w:trPr>
        <w:tc>
          <w:tcPr>
            <w:tcW w:w="1296" w:type="dxa"/>
            <w:shd w:val="clear" w:color="auto" w:fill="auto"/>
            <w:vAlign w:val="center"/>
          </w:tcPr>
          <w:p w14:paraId="3978A85E" w14:textId="77777777" w:rsidR="00E10737" w:rsidRPr="00B21BC0" w:rsidRDefault="00E10737" w:rsidP="001A09C7">
            <w:pPr>
              <w:ind w:left="0"/>
              <w:jc w:val="center"/>
              <w:rPr>
                <w:sz w:val="18"/>
                <w:szCs w:val="18"/>
              </w:rPr>
            </w:pPr>
            <w:r w:rsidRPr="00B21BC0">
              <w:rPr>
                <w:sz w:val="18"/>
                <w:szCs w:val="18"/>
              </w:rPr>
              <w:t>CO29</w:t>
            </w:r>
          </w:p>
        </w:tc>
        <w:tc>
          <w:tcPr>
            <w:tcW w:w="2076" w:type="dxa"/>
            <w:shd w:val="clear" w:color="auto" w:fill="auto"/>
            <w:vAlign w:val="center"/>
          </w:tcPr>
          <w:p w14:paraId="64DFF79C" w14:textId="77777777" w:rsidR="00E10737" w:rsidRPr="00B21BC0" w:rsidRDefault="00E10737" w:rsidP="001A09C7">
            <w:pPr>
              <w:ind w:left="0"/>
              <w:rPr>
                <w:sz w:val="18"/>
                <w:szCs w:val="18"/>
              </w:rPr>
            </w:pPr>
            <w:r w:rsidRPr="00B21BC0">
              <w:rPr>
                <w:sz w:val="18"/>
                <w:szCs w:val="18"/>
              </w:rPr>
              <w:t>Počet podnikov, ktoré dostávajú podporu s cieľom predstaviť výrobky, ktoré sú pre firmu nové (spoločný)</w:t>
            </w:r>
          </w:p>
        </w:tc>
        <w:tc>
          <w:tcPr>
            <w:tcW w:w="1107" w:type="dxa"/>
            <w:shd w:val="clear" w:color="auto" w:fill="auto"/>
            <w:vAlign w:val="center"/>
          </w:tcPr>
          <w:p w14:paraId="7F2B173A"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3326FA11"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79542A86"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2CF05A68"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1BC907D9" w14:textId="77777777" w:rsidR="00E10737" w:rsidRPr="00F058A0" w:rsidRDefault="00E10737" w:rsidP="001A09C7">
            <w:pPr>
              <w:ind w:left="0"/>
              <w:jc w:val="center"/>
              <w:rPr>
                <w:i/>
                <w:sz w:val="18"/>
                <w:szCs w:val="18"/>
              </w:rPr>
            </w:pPr>
            <w:r w:rsidRPr="00F058A0">
              <w:rPr>
                <w:i/>
                <w:sz w:val="18"/>
                <w:szCs w:val="18"/>
              </w:rPr>
              <w:t>180</w:t>
            </w:r>
          </w:p>
        </w:tc>
        <w:tc>
          <w:tcPr>
            <w:tcW w:w="1035" w:type="dxa"/>
            <w:vAlign w:val="center"/>
          </w:tcPr>
          <w:p w14:paraId="0A3ECEED"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26950B54"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726D7B13" w14:textId="77777777" w:rsidTr="004179DE">
        <w:trPr>
          <w:trHeight w:val="680"/>
          <w:jc w:val="center"/>
        </w:trPr>
        <w:tc>
          <w:tcPr>
            <w:tcW w:w="1296" w:type="dxa"/>
            <w:shd w:val="clear" w:color="auto" w:fill="auto"/>
            <w:vAlign w:val="center"/>
          </w:tcPr>
          <w:p w14:paraId="3F4E5393" w14:textId="77777777" w:rsidR="00E10737" w:rsidRPr="00B21BC0" w:rsidRDefault="00E10737" w:rsidP="001A09C7">
            <w:pPr>
              <w:ind w:left="0"/>
              <w:jc w:val="center"/>
              <w:rPr>
                <w:sz w:val="18"/>
                <w:szCs w:val="18"/>
              </w:rPr>
            </w:pPr>
            <w:r w:rsidRPr="00B21BC0">
              <w:rPr>
                <w:sz w:val="18"/>
                <w:szCs w:val="18"/>
              </w:rPr>
              <w:t>O0072</w:t>
            </w:r>
          </w:p>
        </w:tc>
        <w:tc>
          <w:tcPr>
            <w:tcW w:w="2076" w:type="dxa"/>
            <w:shd w:val="clear" w:color="auto" w:fill="auto"/>
            <w:vAlign w:val="center"/>
          </w:tcPr>
          <w:p w14:paraId="3AE8F164" w14:textId="77777777" w:rsidR="00E10737" w:rsidRPr="00B21BC0" w:rsidRDefault="00E10737" w:rsidP="001A09C7">
            <w:pPr>
              <w:ind w:left="0"/>
              <w:rPr>
                <w:sz w:val="18"/>
                <w:szCs w:val="18"/>
              </w:rPr>
            </w:pPr>
            <w:r w:rsidRPr="00B21BC0">
              <w:rPr>
                <w:sz w:val="18"/>
                <w:szCs w:val="18"/>
              </w:rPr>
              <w:t>Počet prihlášok registrácie práv duševného vlastníctva (špecifický)</w:t>
            </w:r>
          </w:p>
        </w:tc>
        <w:tc>
          <w:tcPr>
            <w:tcW w:w="1107" w:type="dxa"/>
            <w:shd w:val="clear" w:color="auto" w:fill="auto"/>
            <w:vAlign w:val="center"/>
          </w:tcPr>
          <w:p w14:paraId="15814BA5"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1C3FA2E7"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505946F7"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0C0463C6"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1F7467F1" w14:textId="77777777" w:rsidR="00E10737" w:rsidRPr="00F058A0" w:rsidRDefault="00E10737" w:rsidP="001A09C7">
            <w:pPr>
              <w:ind w:left="0"/>
              <w:jc w:val="center"/>
              <w:rPr>
                <w:i/>
                <w:sz w:val="18"/>
                <w:szCs w:val="18"/>
              </w:rPr>
            </w:pPr>
            <w:r w:rsidRPr="00F058A0">
              <w:rPr>
                <w:i/>
                <w:sz w:val="18"/>
                <w:szCs w:val="18"/>
              </w:rPr>
              <w:t>18</w:t>
            </w:r>
          </w:p>
        </w:tc>
        <w:tc>
          <w:tcPr>
            <w:tcW w:w="1035" w:type="dxa"/>
            <w:vAlign w:val="center"/>
          </w:tcPr>
          <w:p w14:paraId="4FC44731"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37EBF6F2"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2C39B1AA" w14:textId="77777777" w:rsidTr="004179DE">
        <w:trPr>
          <w:trHeight w:val="680"/>
          <w:jc w:val="center"/>
        </w:trPr>
        <w:tc>
          <w:tcPr>
            <w:tcW w:w="1296" w:type="dxa"/>
            <w:shd w:val="clear" w:color="auto" w:fill="auto"/>
            <w:vAlign w:val="center"/>
          </w:tcPr>
          <w:p w14:paraId="6D178DF2" w14:textId="77777777" w:rsidR="00E10737" w:rsidRPr="00B21BC0" w:rsidRDefault="00E10737" w:rsidP="001A09C7">
            <w:pPr>
              <w:ind w:left="0"/>
              <w:jc w:val="center"/>
              <w:rPr>
                <w:sz w:val="18"/>
                <w:szCs w:val="18"/>
              </w:rPr>
            </w:pPr>
            <w:r w:rsidRPr="00B21BC0">
              <w:rPr>
                <w:sz w:val="18"/>
                <w:szCs w:val="18"/>
              </w:rPr>
              <w:t>O0075</w:t>
            </w:r>
          </w:p>
        </w:tc>
        <w:tc>
          <w:tcPr>
            <w:tcW w:w="2076" w:type="dxa"/>
            <w:shd w:val="clear" w:color="auto" w:fill="auto"/>
            <w:vAlign w:val="center"/>
          </w:tcPr>
          <w:p w14:paraId="3BAD7B78" w14:textId="77777777" w:rsidR="00E10737" w:rsidRPr="00B21BC0" w:rsidRDefault="00E10737" w:rsidP="001A09C7">
            <w:pPr>
              <w:ind w:left="0"/>
              <w:rPr>
                <w:sz w:val="18"/>
                <w:szCs w:val="18"/>
              </w:rPr>
            </w:pPr>
            <w:r w:rsidRPr="00B21BC0">
              <w:rPr>
                <w:sz w:val="18"/>
                <w:szCs w:val="18"/>
              </w:rPr>
              <w:t>Počet účastníkov poradenských a vzdelávacích programov (špecifický)</w:t>
            </w:r>
          </w:p>
        </w:tc>
        <w:tc>
          <w:tcPr>
            <w:tcW w:w="1107" w:type="dxa"/>
            <w:shd w:val="clear" w:color="auto" w:fill="auto"/>
            <w:vAlign w:val="center"/>
          </w:tcPr>
          <w:p w14:paraId="09667C7E"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3BC2B5B5"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37C1A29E"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1A885447"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7B15E934" w14:textId="77777777" w:rsidR="00E10737" w:rsidRPr="00F058A0" w:rsidRDefault="00E10737" w:rsidP="001A09C7">
            <w:pPr>
              <w:ind w:left="0"/>
              <w:jc w:val="center"/>
              <w:rPr>
                <w:i/>
                <w:sz w:val="18"/>
                <w:szCs w:val="18"/>
              </w:rPr>
            </w:pPr>
            <w:r w:rsidRPr="00F058A0">
              <w:rPr>
                <w:i/>
                <w:sz w:val="18"/>
                <w:szCs w:val="18"/>
              </w:rPr>
              <w:t>3 300</w:t>
            </w:r>
          </w:p>
        </w:tc>
        <w:tc>
          <w:tcPr>
            <w:tcW w:w="1035" w:type="dxa"/>
            <w:vAlign w:val="center"/>
          </w:tcPr>
          <w:p w14:paraId="12A05FB0"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2D8396B7"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636D1403" w14:textId="77777777" w:rsidTr="004179DE">
        <w:trPr>
          <w:trHeight w:val="680"/>
          <w:jc w:val="center"/>
        </w:trPr>
        <w:tc>
          <w:tcPr>
            <w:tcW w:w="1296" w:type="dxa"/>
            <w:shd w:val="clear" w:color="auto" w:fill="auto"/>
            <w:vAlign w:val="center"/>
          </w:tcPr>
          <w:p w14:paraId="3C618FAA" w14:textId="77777777" w:rsidR="00E10737" w:rsidRPr="00B21BC0" w:rsidRDefault="00E10737" w:rsidP="001A09C7">
            <w:pPr>
              <w:ind w:left="0"/>
              <w:jc w:val="center"/>
              <w:rPr>
                <w:sz w:val="18"/>
                <w:szCs w:val="18"/>
              </w:rPr>
            </w:pPr>
            <w:r w:rsidRPr="00B21BC0">
              <w:rPr>
                <w:sz w:val="18"/>
                <w:szCs w:val="18"/>
              </w:rPr>
              <w:t>O0077</w:t>
            </w:r>
          </w:p>
        </w:tc>
        <w:tc>
          <w:tcPr>
            <w:tcW w:w="2076" w:type="dxa"/>
            <w:shd w:val="clear" w:color="auto" w:fill="auto"/>
            <w:vAlign w:val="center"/>
          </w:tcPr>
          <w:p w14:paraId="05D13C7C" w14:textId="77777777" w:rsidR="00E10737" w:rsidRPr="00B21BC0" w:rsidRDefault="00E10737" w:rsidP="001A09C7">
            <w:pPr>
              <w:ind w:left="0"/>
              <w:rPr>
                <w:sz w:val="18"/>
                <w:szCs w:val="18"/>
              </w:rPr>
            </w:pPr>
            <w:r w:rsidRPr="00B21BC0">
              <w:rPr>
                <w:sz w:val="18"/>
                <w:szCs w:val="18"/>
              </w:rPr>
              <w:t>Počet podporených podnikov prostredníctvom poradenských centier pre MSP (špecifický)</w:t>
            </w:r>
          </w:p>
        </w:tc>
        <w:tc>
          <w:tcPr>
            <w:tcW w:w="1107" w:type="dxa"/>
            <w:shd w:val="clear" w:color="auto" w:fill="auto"/>
            <w:vAlign w:val="center"/>
          </w:tcPr>
          <w:p w14:paraId="470A1EB6"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6A4918C3"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1147D938"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0C64EDCC"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17036448" w14:textId="77777777" w:rsidR="00E10737" w:rsidRPr="00F058A0" w:rsidRDefault="00E10737" w:rsidP="001A09C7">
            <w:pPr>
              <w:ind w:left="0"/>
              <w:jc w:val="center"/>
              <w:rPr>
                <w:i/>
                <w:sz w:val="18"/>
                <w:szCs w:val="18"/>
              </w:rPr>
            </w:pPr>
            <w:r w:rsidRPr="00F058A0">
              <w:rPr>
                <w:i/>
                <w:sz w:val="18"/>
                <w:szCs w:val="18"/>
              </w:rPr>
              <w:t>2 670</w:t>
            </w:r>
          </w:p>
        </w:tc>
        <w:tc>
          <w:tcPr>
            <w:tcW w:w="1035" w:type="dxa"/>
            <w:vAlign w:val="center"/>
          </w:tcPr>
          <w:p w14:paraId="782AE855"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211FFE57"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073C9127" w14:textId="77777777" w:rsidTr="004179DE">
        <w:trPr>
          <w:trHeight w:val="680"/>
          <w:jc w:val="center"/>
        </w:trPr>
        <w:tc>
          <w:tcPr>
            <w:tcW w:w="1296" w:type="dxa"/>
            <w:shd w:val="clear" w:color="auto" w:fill="auto"/>
            <w:vAlign w:val="center"/>
          </w:tcPr>
          <w:p w14:paraId="6AA5B112" w14:textId="77777777" w:rsidR="00E10737" w:rsidRPr="00B21BC0" w:rsidRDefault="00E10737" w:rsidP="001A09C7">
            <w:pPr>
              <w:ind w:left="0"/>
              <w:jc w:val="center"/>
              <w:rPr>
                <w:sz w:val="18"/>
                <w:szCs w:val="18"/>
              </w:rPr>
            </w:pPr>
            <w:r w:rsidRPr="00B21BC0">
              <w:rPr>
                <w:sz w:val="18"/>
                <w:szCs w:val="18"/>
              </w:rPr>
              <w:t>O0079</w:t>
            </w:r>
          </w:p>
        </w:tc>
        <w:tc>
          <w:tcPr>
            <w:tcW w:w="2076" w:type="dxa"/>
            <w:shd w:val="clear" w:color="auto" w:fill="auto"/>
            <w:vAlign w:val="center"/>
          </w:tcPr>
          <w:p w14:paraId="7186F4A6" w14:textId="77777777" w:rsidR="00E10737" w:rsidRPr="00B21BC0" w:rsidRDefault="00E10737" w:rsidP="001A09C7">
            <w:pPr>
              <w:ind w:left="0"/>
              <w:rPr>
                <w:sz w:val="18"/>
                <w:szCs w:val="18"/>
              </w:rPr>
            </w:pPr>
            <w:r w:rsidRPr="00B21BC0">
              <w:rPr>
                <w:sz w:val="18"/>
                <w:szCs w:val="18"/>
              </w:rPr>
              <w:t>Počet podporených MSP prevádzkovaných osobami zo znevýhodnených sociálnych skupín (špecifický)</w:t>
            </w:r>
          </w:p>
        </w:tc>
        <w:tc>
          <w:tcPr>
            <w:tcW w:w="1107" w:type="dxa"/>
            <w:shd w:val="clear" w:color="auto" w:fill="auto"/>
            <w:vAlign w:val="center"/>
          </w:tcPr>
          <w:p w14:paraId="616480D5"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67AF6762"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4F1E0C0B"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4EC0DBFC"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57C43227" w14:textId="6EA62825" w:rsidR="00E10737" w:rsidRPr="00F058A0" w:rsidRDefault="00105712" w:rsidP="00105712">
            <w:pPr>
              <w:ind w:left="0"/>
              <w:jc w:val="center"/>
              <w:rPr>
                <w:i/>
                <w:sz w:val="18"/>
                <w:szCs w:val="18"/>
              </w:rPr>
            </w:pPr>
            <w:r>
              <w:rPr>
                <w:i/>
                <w:sz w:val="18"/>
                <w:szCs w:val="18"/>
              </w:rPr>
              <w:t>304</w:t>
            </w:r>
          </w:p>
        </w:tc>
        <w:tc>
          <w:tcPr>
            <w:tcW w:w="1035" w:type="dxa"/>
            <w:vAlign w:val="center"/>
          </w:tcPr>
          <w:p w14:paraId="1CC4F9AE"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4BAB572F" w14:textId="77777777" w:rsidR="00E10737" w:rsidRPr="00F058A0" w:rsidRDefault="00E10737" w:rsidP="001A09C7">
            <w:pPr>
              <w:ind w:left="0"/>
              <w:jc w:val="center"/>
              <w:rPr>
                <w:i/>
                <w:sz w:val="18"/>
                <w:szCs w:val="18"/>
              </w:rPr>
            </w:pPr>
            <w:r w:rsidRPr="00F058A0">
              <w:rPr>
                <w:i/>
                <w:sz w:val="18"/>
                <w:szCs w:val="18"/>
              </w:rPr>
              <w:t>ročne</w:t>
            </w:r>
          </w:p>
        </w:tc>
      </w:tr>
      <w:tr w:rsidR="00E10737" w:rsidRPr="002A01BC" w14:paraId="32F3B719" w14:textId="77777777" w:rsidTr="004179DE">
        <w:trPr>
          <w:trHeight w:val="680"/>
          <w:jc w:val="center"/>
        </w:trPr>
        <w:tc>
          <w:tcPr>
            <w:tcW w:w="1296" w:type="dxa"/>
            <w:shd w:val="clear" w:color="auto" w:fill="auto"/>
            <w:vAlign w:val="center"/>
          </w:tcPr>
          <w:p w14:paraId="399927EF" w14:textId="77777777" w:rsidR="00E10737" w:rsidRPr="00B21BC0" w:rsidRDefault="00E10737" w:rsidP="001A09C7">
            <w:pPr>
              <w:ind w:left="0"/>
              <w:jc w:val="center"/>
              <w:rPr>
                <w:sz w:val="18"/>
                <w:szCs w:val="18"/>
              </w:rPr>
            </w:pPr>
            <w:r w:rsidRPr="00B21BC0">
              <w:rPr>
                <w:sz w:val="18"/>
                <w:szCs w:val="18"/>
              </w:rPr>
              <w:t>O0082</w:t>
            </w:r>
          </w:p>
        </w:tc>
        <w:tc>
          <w:tcPr>
            <w:tcW w:w="2076" w:type="dxa"/>
            <w:shd w:val="clear" w:color="auto" w:fill="auto"/>
            <w:vAlign w:val="center"/>
          </w:tcPr>
          <w:p w14:paraId="439DE074" w14:textId="77777777" w:rsidR="00E10737" w:rsidRPr="00B21BC0" w:rsidRDefault="00E10737" w:rsidP="001A09C7">
            <w:pPr>
              <w:ind w:left="0"/>
              <w:rPr>
                <w:sz w:val="18"/>
                <w:szCs w:val="18"/>
              </w:rPr>
            </w:pPr>
            <w:r w:rsidRPr="00B21BC0">
              <w:rPr>
                <w:sz w:val="18"/>
                <w:szCs w:val="18"/>
              </w:rPr>
              <w:t>Počet zapojených MSP do programov EÚ špecifický)</w:t>
            </w:r>
          </w:p>
        </w:tc>
        <w:tc>
          <w:tcPr>
            <w:tcW w:w="1107" w:type="dxa"/>
            <w:shd w:val="clear" w:color="auto" w:fill="auto"/>
            <w:vAlign w:val="center"/>
          </w:tcPr>
          <w:p w14:paraId="1AB899CF" w14:textId="77777777" w:rsidR="00E10737" w:rsidRPr="00F058A0" w:rsidRDefault="00E10737" w:rsidP="001A09C7">
            <w:pPr>
              <w:ind w:left="0"/>
              <w:jc w:val="center"/>
              <w:rPr>
                <w:i/>
                <w:sz w:val="18"/>
                <w:szCs w:val="18"/>
              </w:rPr>
            </w:pPr>
            <w:r w:rsidRPr="00F058A0">
              <w:rPr>
                <w:i/>
                <w:sz w:val="18"/>
                <w:szCs w:val="18"/>
              </w:rPr>
              <w:t>počet</w:t>
            </w:r>
          </w:p>
        </w:tc>
        <w:tc>
          <w:tcPr>
            <w:tcW w:w="1001" w:type="dxa"/>
            <w:shd w:val="clear" w:color="auto" w:fill="auto"/>
            <w:vAlign w:val="center"/>
          </w:tcPr>
          <w:p w14:paraId="36F1619B" w14:textId="77777777" w:rsidR="00E10737" w:rsidRPr="00F058A0" w:rsidRDefault="00E10737" w:rsidP="001A09C7">
            <w:pPr>
              <w:ind w:left="0"/>
              <w:jc w:val="center"/>
              <w:rPr>
                <w:i/>
                <w:sz w:val="18"/>
                <w:szCs w:val="18"/>
              </w:rPr>
            </w:pPr>
            <w:r w:rsidRPr="00F058A0">
              <w:rPr>
                <w:i/>
                <w:sz w:val="18"/>
                <w:szCs w:val="18"/>
              </w:rPr>
              <w:t>EFRR</w:t>
            </w:r>
          </w:p>
        </w:tc>
        <w:tc>
          <w:tcPr>
            <w:tcW w:w="1505" w:type="dxa"/>
            <w:shd w:val="clear" w:color="auto" w:fill="auto"/>
            <w:vAlign w:val="center"/>
          </w:tcPr>
          <w:p w14:paraId="653A551E" w14:textId="77777777" w:rsidR="00E10737" w:rsidRPr="00F058A0" w:rsidRDefault="00E10737" w:rsidP="001A09C7">
            <w:pPr>
              <w:pStyle w:val="TableParagraph"/>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rozvinutejší</w:t>
            </w:r>
          </w:p>
          <w:p w14:paraId="09E049A0" w14:textId="77777777" w:rsidR="00E10737" w:rsidRPr="00F058A0" w:rsidRDefault="00E10737" w:rsidP="001A09C7">
            <w:pPr>
              <w:pStyle w:val="TableParagraph"/>
              <w:widowControl/>
              <w:ind w:left="0"/>
              <w:jc w:val="center"/>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región</w:t>
            </w:r>
          </w:p>
        </w:tc>
        <w:tc>
          <w:tcPr>
            <w:tcW w:w="1082" w:type="dxa"/>
            <w:shd w:val="clear" w:color="auto" w:fill="auto"/>
            <w:vAlign w:val="center"/>
          </w:tcPr>
          <w:p w14:paraId="7C753DE9" w14:textId="77777777" w:rsidR="00E10737" w:rsidRPr="00F058A0" w:rsidRDefault="00E10737" w:rsidP="001A09C7">
            <w:pPr>
              <w:ind w:left="0"/>
              <w:jc w:val="center"/>
              <w:rPr>
                <w:i/>
                <w:sz w:val="18"/>
                <w:szCs w:val="18"/>
              </w:rPr>
            </w:pPr>
            <w:r w:rsidRPr="00F058A0">
              <w:rPr>
                <w:i/>
                <w:sz w:val="18"/>
                <w:szCs w:val="18"/>
              </w:rPr>
              <w:t>130</w:t>
            </w:r>
          </w:p>
        </w:tc>
        <w:tc>
          <w:tcPr>
            <w:tcW w:w="1035" w:type="dxa"/>
            <w:vAlign w:val="center"/>
          </w:tcPr>
          <w:p w14:paraId="38D51C17" w14:textId="77777777" w:rsidR="00E10737" w:rsidRPr="00F058A0" w:rsidRDefault="00E10737" w:rsidP="001A09C7">
            <w:pPr>
              <w:ind w:left="0"/>
              <w:jc w:val="center"/>
              <w:rPr>
                <w:i/>
                <w:sz w:val="18"/>
                <w:szCs w:val="18"/>
              </w:rPr>
            </w:pPr>
            <w:r w:rsidRPr="00F058A0">
              <w:rPr>
                <w:i/>
                <w:sz w:val="18"/>
                <w:szCs w:val="18"/>
              </w:rPr>
              <w:t>ITMS</w:t>
            </w:r>
          </w:p>
        </w:tc>
        <w:tc>
          <w:tcPr>
            <w:tcW w:w="1240" w:type="dxa"/>
            <w:vAlign w:val="center"/>
          </w:tcPr>
          <w:p w14:paraId="62A36F5A" w14:textId="77777777" w:rsidR="00E10737" w:rsidRPr="00F058A0" w:rsidRDefault="00E10737" w:rsidP="001A09C7">
            <w:pPr>
              <w:ind w:left="0"/>
              <w:jc w:val="center"/>
              <w:rPr>
                <w:i/>
                <w:sz w:val="18"/>
                <w:szCs w:val="18"/>
              </w:rPr>
            </w:pPr>
            <w:r w:rsidRPr="00F058A0">
              <w:rPr>
                <w:i/>
                <w:sz w:val="18"/>
                <w:szCs w:val="18"/>
              </w:rPr>
              <w:t>ročne</w:t>
            </w:r>
          </w:p>
        </w:tc>
      </w:tr>
    </w:tbl>
    <w:p w14:paraId="4AC40708" w14:textId="77777777" w:rsidR="00E10737" w:rsidRDefault="00E10737" w:rsidP="00E10737">
      <w:pPr>
        <w:rPr>
          <w:szCs w:val="22"/>
        </w:rPr>
      </w:pPr>
    </w:p>
    <w:p w14:paraId="5D4EACA6" w14:textId="77777777" w:rsidR="00E10737" w:rsidRPr="002A01BC" w:rsidRDefault="00E10737" w:rsidP="00E10737">
      <w:pPr>
        <w:pStyle w:val="Nadpis3"/>
      </w:pPr>
      <w:bookmarkStart w:id="132" w:name="_Toc28951665"/>
      <w:r>
        <w:t>Výkonnostný rámec prioritnej osi</w:t>
      </w:r>
      <w:bookmarkEnd w:id="132"/>
    </w:p>
    <w:p w14:paraId="2E4247FA" w14:textId="77777777" w:rsidR="00E10737" w:rsidRDefault="00E10737" w:rsidP="00E10737">
      <w:pPr>
        <w:pStyle w:val="Tab"/>
        <w:spacing w:before="240"/>
      </w:pPr>
      <w:r>
        <w:t>Výkonnostný rámec Prioritnej osi 12</w:t>
      </w:r>
    </w:p>
    <w:tbl>
      <w:tblPr>
        <w:tblStyle w:val="Mriekatabuky"/>
        <w:tblW w:w="1034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29"/>
        <w:gridCol w:w="1622"/>
        <w:gridCol w:w="993"/>
        <w:gridCol w:w="662"/>
        <w:gridCol w:w="1096"/>
        <w:gridCol w:w="987"/>
        <w:gridCol w:w="736"/>
        <w:gridCol w:w="825"/>
        <w:gridCol w:w="1516"/>
      </w:tblGrid>
      <w:tr w:rsidR="00E10737" w:rsidRPr="008C1732" w14:paraId="2371B21E" w14:textId="77777777" w:rsidTr="004179DE">
        <w:trPr>
          <w:trHeight w:val="340"/>
          <w:jc w:val="center"/>
        </w:trPr>
        <w:tc>
          <w:tcPr>
            <w:tcW w:w="1476" w:type="dxa"/>
            <w:shd w:val="clear" w:color="auto" w:fill="C6D9F1" w:themeFill="text2" w:themeFillTint="33"/>
          </w:tcPr>
          <w:p w14:paraId="3FD01C56" w14:textId="77777777" w:rsidR="00E10737" w:rsidRPr="008C1732" w:rsidRDefault="00E10737" w:rsidP="004179DE">
            <w:pPr>
              <w:ind w:left="0"/>
              <w:rPr>
                <w:b/>
                <w:sz w:val="18"/>
                <w:szCs w:val="18"/>
              </w:rPr>
            </w:pPr>
            <w:r w:rsidRPr="008C1732">
              <w:rPr>
                <w:b/>
                <w:sz w:val="18"/>
                <w:szCs w:val="18"/>
              </w:rPr>
              <w:t>Typ ukazovateľa</w:t>
            </w:r>
          </w:p>
          <w:p w14:paraId="2DDBD2E7" w14:textId="77777777" w:rsidR="00E10737" w:rsidRPr="008C1732" w:rsidRDefault="00E10737" w:rsidP="004179DE">
            <w:pPr>
              <w:ind w:left="0"/>
              <w:rPr>
                <w:b/>
                <w:sz w:val="18"/>
                <w:szCs w:val="18"/>
              </w:rPr>
            </w:pPr>
          </w:p>
          <w:p w14:paraId="6536C294" w14:textId="77777777" w:rsidR="00E10737" w:rsidRPr="008C1732" w:rsidRDefault="00E10737" w:rsidP="004179DE">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29" w:type="dxa"/>
            <w:shd w:val="clear" w:color="auto" w:fill="C6D9F1" w:themeFill="text2" w:themeFillTint="33"/>
          </w:tcPr>
          <w:p w14:paraId="00D39FBB" w14:textId="77777777" w:rsidR="00E10737" w:rsidRPr="008C1732" w:rsidRDefault="00E10737" w:rsidP="004179DE">
            <w:pPr>
              <w:ind w:left="0"/>
              <w:rPr>
                <w:b/>
                <w:sz w:val="18"/>
                <w:szCs w:val="18"/>
              </w:rPr>
            </w:pPr>
            <w:r>
              <w:rPr>
                <w:b/>
                <w:sz w:val="18"/>
                <w:szCs w:val="18"/>
              </w:rPr>
              <w:t>ID</w:t>
            </w:r>
          </w:p>
        </w:tc>
        <w:tc>
          <w:tcPr>
            <w:tcW w:w="1623" w:type="dxa"/>
            <w:shd w:val="clear" w:color="auto" w:fill="C6D9F1" w:themeFill="text2" w:themeFillTint="33"/>
          </w:tcPr>
          <w:p w14:paraId="51A374FE" w14:textId="77777777" w:rsidR="00E10737" w:rsidRPr="008C1732" w:rsidRDefault="00E10737" w:rsidP="004179DE">
            <w:pPr>
              <w:ind w:left="0"/>
              <w:rPr>
                <w:b/>
                <w:sz w:val="18"/>
                <w:szCs w:val="18"/>
              </w:rPr>
            </w:pPr>
            <w:r w:rsidRPr="008C1732">
              <w:rPr>
                <w:b/>
                <w:sz w:val="18"/>
                <w:szCs w:val="18"/>
              </w:rPr>
              <w:t>Definícia ukazovateľa alebo implementačného kroku</w:t>
            </w:r>
          </w:p>
        </w:tc>
        <w:tc>
          <w:tcPr>
            <w:tcW w:w="996" w:type="dxa"/>
            <w:shd w:val="clear" w:color="auto" w:fill="C6D9F1" w:themeFill="text2" w:themeFillTint="33"/>
          </w:tcPr>
          <w:p w14:paraId="06CC06A0" w14:textId="77777777" w:rsidR="00E10737" w:rsidRPr="008C1732" w:rsidRDefault="00E10737" w:rsidP="004179DE">
            <w:pPr>
              <w:ind w:left="0"/>
              <w:rPr>
                <w:b/>
                <w:sz w:val="18"/>
                <w:szCs w:val="18"/>
              </w:rPr>
            </w:pPr>
            <w:r w:rsidRPr="008C1732">
              <w:rPr>
                <w:b/>
                <w:sz w:val="18"/>
                <w:szCs w:val="18"/>
              </w:rPr>
              <w:t>Merná jednotka</w:t>
            </w:r>
          </w:p>
        </w:tc>
        <w:tc>
          <w:tcPr>
            <w:tcW w:w="662" w:type="dxa"/>
            <w:shd w:val="clear" w:color="auto" w:fill="C6D9F1" w:themeFill="text2" w:themeFillTint="33"/>
          </w:tcPr>
          <w:p w14:paraId="5C26D89A" w14:textId="77777777" w:rsidR="00E10737" w:rsidRPr="008C1732" w:rsidRDefault="00E10737" w:rsidP="004179DE">
            <w:pPr>
              <w:ind w:left="0"/>
              <w:rPr>
                <w:b/>
                <w:sz w:val="18"/>
                <w:szCs w:val="18"/>
              </w:rPr>
            </w:pPr>
            <w:r w:rsidRPr="008C1732">
              <w:rPr>
                <w:b/>
                <w:sz w:val="18"/>
                <w:szCs w:val="18"/>
              </w:rPr>
              <w:t>Fond</w:t>
            </w:r>
          </w:p>
        </w:tc>
        <w:tc>
          <w:tcPr>
            <w:tcW w:w="1087" w:type="dxa"/>
            <w:shd w:val="clear" w:color="auto" w:fill="C6D9F1" w:themeFill="text2" w:themeFillTint="33"/>
          </w:tcPr>
          <w:p w14:paraId="595079CA" w14:textId="77777777" w:rsidR="00E10737" w:rsidRPr="008C1732" w:rsidRDefault="00E10737" w:rsidP="004179DE">
            <w:pPr>
              <w:ind w:left="0"/>
              <w:rPr>
                <w:b/>
                <w:sz w:val="18"/>
                <w:szCs w:val="18"/>
              </w:rPr>
            </w:pPr>
            <w:r w:rsidRPr="008C1732">
              <w:rPr>
                <w:b/>
                <w:sz w:val="18"/>
                <w:szCs w:val="18"/>
              </w:rPr>
              <w:t>Kategória regiónu</w:t>
            </w:r>
          </w:p>
        </w:tc>
        <w:tc>
          <w:tcPr>
            <w:tcW w:w="987" w:type="dxa"/>
            <w:shd w:val="clear" w:color="auto" w:fill="C6D9F1" w:themeFill="text2" w:themeFillTint="33"/>
          </w:tcPr>
          <w:p w14:paraId="7F5D1F28" w14:textId="77777777" w:rsidR="00E10737" w:rsidRPr="008C1732" w:rsidRDefault="00E10737" w:rsidP="004179DE">
            <w:pPr>
              <w:ind w:left="0"/>
              <w:rPr>
                <w:b/>
                <w:sz w:val="18"/>
                <w:szCs w:val="18"/>
              </w:rPr>
            </w:pPr>
            <w:r w:rsidRPr="008C1732">
              <w:rPr>
                <w:b/>
                <w:sz w:val="18"/>
                <w:szCs w:val="18"/>
              </w:rPr>
              <w:t>Čiastkový cieľ pre rok 2018</w:t>
            </w:r>
          </w:p>
        </w:tc>
        <w:tc>
          <w:tcPr>
            <w:tcW w:w="736" w:type="dxa"/>
            <w:shd w:val="clear" w:color="auto" w:fill="C6D9F1" w:themeFill="text2" w:themeFillTint="33"/>
          </w:tcPr>
          <w:p w14:paraId="32814D80" w14:textId="77777777" w:rsidR="00E10737" w:rsidRPr="008C1732" w:rsidRDefault="00E10737" w:rsidP="004179DE">
            <w:pPr>
              <w:ind w:left="0"/>
              <w:rPr>
                <w:b/>
                <w:sz w:val="18"/>
                <w:szCs w:val="18"/>
              </w:rPr>
            </w:pPr>
            <w:r w:rsidRPr="008C1732">
              <w:rPr>
                <w:b/>
                <w:sz w:val="18"/>
                <w:szCs w:val="18"/>
              </w:rPr>
              <w:t>Zámer</w:t>
            </w:r>
          </w:p>
          <w:p w14:paraId="2586E6AB" w14:textId="77777777" w:rsidR="00E10737" w:rsidRPr="008C1732" w:rsidRDefault="00E10737" w:rsidP="004179DE">
            <w:pPr>
              <w:ind w:left="0"/>
              <w:rPr>
                <w:b/>
                <w:sz w:val="18"/>
                <w:szCs w:val="18"/>
              </w:rPr>
            </w:pPr>
            <w:r w:rsidRPr="008C1732">
              <w:rPr>
                <w:b/>
                <w:sz w:val="18"/>
                <w:szCs w:val="18"/>
              </w:rPr>
              <w:t>(2023)</w:t>
            </w:r>
          </w:p>
        </w:tc>
        <w:tc>
          <w:tcPr>
            <w:tcW w:w="826" w:type="dxa"/>
            <w:shd w:val="clear" w:color="auto" w:fill="C6D9F1" w:themeFill="text2" w:themeFillTint="33"/>
          </w:tcPr>
          <w:p w14:paraId="434BE651" w14:textId="77777777" w:rsidR="00E10737" w:rsidRPr="008C1732" w:rsidRDefault="00E10737" w:rsidP="004179DE">
            <w:pPr>
              <w:ind w:left="0"/>
              <w:rPr>
                <w:b/>
                <w:sz w:val="18"/>
                <w:szCs w:val="18"/>
              </w:rPr>
            </w:pPr>
            <w:r w:rsidRPr="008C1732">
              <w:rPr>
                <w:b/>
                <w:sz w:val="18"/>
                <w:szCs w:val="18"/>
              </w:rPr>
              <w:t>Zdroj údajov</w:t>
            </w:r>
          </w:p>
        </w:tc>
        <w:tc>
          <w:tcPr>
            <w:tcW w:w="1520" w:type="dxa"/>
            <w:shd w:val="clear" w:color="auto" w:fill="C6D9F1" w:themeFill="text2" w:themeFillTint="33"/>
          </w:tcPr>
          <w:p w14:paraId="51CF941B" w14:textId="77777777" w:rsidR="00E10737" w:rsidRPr="008C1732" w:rsidRDefault="00E10737" w:rsidP="004179DE">
            <w:pPr>
              <w:ind w:left="0"/>
              <w:rPr>
                <w:b/>
                <w:sz w:val="18"/>
                <w:szCs w:val="18"/>
              </w:rPr>
            </w:pPr>
            <w:r w:rsidRPr="008C1732">
              <w:rPr>
                <w:b/>
                <w:sz w:val="18"/>
                <w:szCs w:val="18"/>
              </w:rPr>
              <w:t>Zdôvodnenie výberu ukazovateľa</w:t>
            </w:r>
          </w:p>
        </w:tc>
      </w:tr>
      <w:tr w:rsidR="00E10737" w:rsidRPr="005A1FB5" w14:paraId="0B214F12" w14:textId="77777777" w:rsidTr="004179DE">
        <w:trPr>
          <w:cantSplit/>
          <w:trHeight w:val="1134"/>
          <w:jc w:val="center"/>
        </w:trPr>
        <w:tc>
          <w:tcPr>
            <w:tcW w:w="1476" w:type="dxa"/>
            <w:vAlign w:val="center"/>
          </w:tcPr>
          <w:p w14:paraId="5BCAE85D" w14:textId="77777777" w:rsidR="00E10737" w:rsidRPr="002A01BC" w:rsidRDefault="00E10737" w:rsidP="004179DE">
            <w:pPr>
              <w:ind w:left="0"/>
              <w:rPr>
                <w:i/>
                <w:sz w:val="18"/>
                <w:szCs w:val="18"/>
              </w:rPr>
            </w:pPr>
            <w:r w:rsidRPr="005A1FB5">
              <w:rPr>
                <w:i/>
                <w:sz w:val="18"/>
                <w:szCs w:val="18"/>
              </w:rPr>
              <w:t>finančný ukazovateľ</w:t>
            </w:r>
          </w:p>
        </w:tc>
        <w:tc>
          <w:tcPr>
            <w:tcW w:w="429" w:type="dxa"/>
            <w:textDirection w:val="btLr"/>
          </w:tcPr>
          <w:p w14:paraId="12410BDC" w14:textId="77777777" w:rsidR="00E10737" w:rsidRPr="00127948" w:rsidRDefault="00E10737" w:rsidP="004179DE">
            <w:pPr>
              <w:ind w:left="113" w:right="113"/>
              <w:jc w:val="center"/>
              <w:rPr>
                <w:sz w:val="18"/>
                <w:szCs w:val="18"/>
              </w:rPr>
            </w:pPr>
            <w:r w:rsidRPr="00127948">
              <w:rPr>
                <w:sz w:val="18"/>
                <w:szCs w:val="18"/>
              </w:rPr>
              <w:t>F0002</w:t>
            </w:r>
          </w:p>
        </w:tc>
        <w:tc>
          <w:tcPr>
            <w:tcW w:w="1623" w:type="dxa"/>
            <w:vAlign w:val="center"/>
          </w:tcPr>
          <w:p w14:paraId="6470A2C1" w14:textId="6EE34599" w:rsidR="00E10737" w:rsidRPr="00B21BC0" w:rsidRDefault="00E10737" w:rsidP="00704FB6">
            <w:pPr>
              <w:ind w:left="0"/>
              <w:rPr>
                <w:sz w:val="18"/>
                <w:szCs w:val="18"/>
              </w:rPr>
            </w:pPr>
            <w:r w:rsidRPr="00B21BC0">
              <w:rPr>
                <w:sz w:val="18"/>
                <w:szCs w:val="18"/>
              </w:rPr>
              <w:t>Celková suma oprávnených výdavkov po ich certifikácii certifikačným orgánom a predložení žiadosti o platbu EK</w:t>
            </w:r>
          </w:p>
        </w:tc>
        <w:tc>
          <w:tcPr>
            <w:tcW w:w="996" w:type="dxa"/>
            <w:vAlign w:val="center"/>
          </w:tcPr>
          <w:p w14:paraId="5020A9EB" w14:textId="77777777" w:rsidR="00E10737" w:rsidRPr="00F058A0" w:rsidRDefault="00E10737" w:rsidP="004179DE">
            <w:pPr>
              <w:ind w:left="0"/>
              <w:jc w:val="center"/>
              <w:rPr>
                <w:i/>
                <w:sz w:val="18"/>
                <w:szCs w:val="18"/>
              </w:rPr>
            </w:pPr>
            <w:r w:rsidRPr="00F058A0">
              <w:rPr>
                <w:i/>
                <w:sz w:val="18"/>
                <w:szCs w:val="18"/>
              </w:rPr>
              <w:t>EUR</w:t>
            </w:r>
          </w:p>
        </w:tc>
        <w:tc>
          <w:tcPr>
            <w:tcW w:w="662" w:type="dxa"/>
            <w:vAlign w:val="center"/>
          </w:tcPr>
          <w:p w14:paraId="1023741E" w14:textId="77777777" w:rsidR="00E10737" w:rsidRPr="00F058A0" w:rsidRDefault="00E10737" w:rsidP="004179DE">
            <w:pPr>
              <w:ind w:left="0"/>
              <w:jc w:val="center"/>
              <w:rPr>
                <w:i/>
                <w:sz w:val="18"/>
                <w:szCs w:val="18"/>
              </w:rPr>
            </w:pPr>
            <w:r w:rsidRPr="00F058A0">
              <w:rPr>
                <w:i/>
                <w:sz w:val="18"/>
                <w:szCs w:val="18"/>
              </w:rPr>
              <w:t>EFRR</w:t>
            </w:r>
          </w:p>
        </w:tc>
        <w:tc>
          <w:tcPr>
            <w:tcW w:w="1087" w:type="dxa"/>
            <w:vAlign w:val="center"/>
          </w:tcPr>
          <w:p w14:paraId="3B2A4AE9" w14:textId="77777777" w:rsidR="00E10737" w:rsidRPr="00F058A0" w:rsidRDefault="00E10737" w:rsidP="004179DE">
            <w:pPr>
              <w:ind w:left="0"/>
              <w:jc w:val="center"/>
              <w:rPr>
                <w:i/>
                <w:sz w:val="18"/>
                <w:szCs w:val="18"/>
              </w:rPr>
            </w:pPr>
            <w:r w:rsidRPr="00F058A0">
              <w:rPr>
                <w:i/>
                <w:sz w:val="18"/>
                <w:szCs w:val="18"/>
              </w:rPr>
              <w:t>Rozvinutejší región</w:t>
            </w:r>
          </w:p>
        </w:tc>
        <w:tc>
          <w:tcPr>
            <w:tcW w:w="987" w:type="dxa"/>
            <w:vAlign w:val="center"/>
          </w:tcPr>
          <w:p w14:paraId="6088A655" w14:textId="77777777" w:rsidR="00E10737" w:rsidRPr="00F058A0" w:rsidRDefault="00E10737" w:rsidP="004179DE">
            <w:pPr>
              <w:ind w:left="0"/>
              <w:jc w:val="center"/>
              <w:rPr>
                <w:i/>
                <w:sz w:val="18"/>
                <w:szCs w:val="18"/>
              </w:rPr>
            </w:pPr>
            <w:r w:rsidRPr="00F058A0">
              <w:rPr>
                <w:i/>
                <w:sz w:val="18"/>
                <w:szCs w:val="18"/>
              </w:rPr>
              <w:t>9 826 155</w:t>
            </w:r>
          </w:p>
        </w:tc>
        <w:tc>
          <w:tcPr>
            <w:tcW w:w="736" w:type="dxa"/>
            <w:vAlign w:val="center"/>
          </w:tcPr>
          <w:p w14:paraId="7561F4F9" w14:textId="775EFBD0" w:rsidR="00E10737" w:rsidRPr="00F058A0" w:rsidRDefault="00105712" w:rsidP="00105712">
            <w:pPr>
              <w:ind w:left="0"/>
              <w:jc w:val="center"/>
              <w:rPr>
                <w:i/>
                <w:sz w:val="18"/>
                <w:szCs w:val="18"/>
              </w:rPr>
            </w:pPr>
            <w:r>
              <w:rPr>
                <w:i/>
                <w:sz w:val="18"/>
                <w:szCs w:val="18"/>
              </w:rPr>
              <w:t>66 992 802</w:t>
            </w:r>
          </w:p>
        </w:tc>
        <w:tc>
          <w:tcPr>
            <w:tcW w:w="826" w:type="dxa"/>
            <w:vAlign w:val="center"/>
          </w:tcPr>
          <w:p w14:paraId="49FFFC74" w14:textId="77777777" w:rsidR="00E10737" w:rsidRPr="00F058A0" w:rsidRDefault="00E10737" w:rsidP="004179DE">
            <w:pPr>
              <w:ind w:left="0"/>
              <w:jc w:val="center"/>
              <w:rPr>
                <w:i/>
                <w:sz w:val="18"/>
                <w:szCs w:val="18"/>
              </w:rPr>
            </w:pPr>
            <w:r w:rsidRPr="00F058A0">
              <w:rPr>
                <w:i/>
                <w:sz w:val="18"/>
                <w:szCs w:val="18"/>
              </w:rPr>
              <w:t>ITMS/ CO (MFSR)</w:t>
            </w:r>
          </w:p>
        </w:tc>
        <w:tc>
          <w:tcPr>
            <w:tcW w:w="1520" w:type="dxa"/>
            <w:vAlign w:val="center"/>
          </w:tcPr>
          <w:p w14:paraId="7C84BBB0" w14:textId="77777777" w:rsidR="00E10737" w:rsidRPr="00F058A0" w:rsidRDefault="00E10737" w:rsidP="004179DE">
            <w:pPr>
              <w:pStyle w:val="TableParagraph"/>
              <w:rPr>
                <w:rFonts w:ascii="Times New Roman" w:hAnsi="Times New Roman" w:cs="Times New Roman"/>
                <w:i/>
                <w:sz w:val="18"/>
                <w:szCs w:val="18"/>
              </w:rPr>
            </w:pPr>
          </w:p>
        </w:tc>
      </w:tr>
      <w:tr w:rsidR="00E10737" w:rsidRPr="005A1FB5" w14:paraId="2B664B71" w14:textId="77777777" w:rsidTr="004179DE">
        <w:trPr>
          <w:trHeight w:val="454"/>
          <w:jc w:val="center"/>
        </w:trPr>
        <w:tc>
          <w:tcPr>
            <w:tcW w:w="1476" w:type="dxa"/>
            <w:vAlign w:val="center"/>
          </w:tcPr>
          <w:p w14:paraId="17E30A08" w14:textId="77777777" w:rsidR="00E10737" w:rsidRPr="002A01BC" w:rsidRDefault="00E10737" w:rsidP="004179DE">
            <w:pPr>
              <w:ind w:left="0"/>
              <w:rPr>
                <w:i/>
                <w:sz w:val="18"/>
                <w:szCs w:val="18"/>
              </w:rPr>
            </w:pPr>
            <w:r w:rsidRPr="005A1FB5">
              <w:rPr>
                <w:i/>
                <w:sz w:val="18"/>
                <w:szCs w:val="18"/>
              </w:rPr>
              <w:lastRenderedPageBreak/>
              <w:t>kľúčový vykonávací krok</w:t>
            </w:r>
          </w:p>
        </w:tc>
        <w:tc>
          <w:tcPr>
            <w:tcW w:w="429" w:type="dxa"/>
            <w:textDirection w:val="btLr"/>
          </w:tcPr>
          <w:p w14:paraId="7C0499FD" w14:textId="77777777" w:rsidR="00E10737" w:rsidRPr="00B21BC0" w:rsidRDefault="00E10737" w:rsidP="004179DE">
            <w:pPr>
              <w:ind w:left="0"/>
              <w:jc w:val="center"/>
              <w:rPr>
                <w:sz w:val="18"/>
                <w:szCs w:val="18"/>
              </w:rPr>
            </w:pPr>
            <w:r w:rsidRPr="00B21BC0">
              <w:rPr>
                <w:sz w:val="18"/>
                <w:szCs w:val="18"/>
              </w:rPr>
              <w:t>K0001</w:t>
            </w:r>
          </w:p>
        </w:tc>
        <w:tc>
          <w:tcPr>
            <w:tcW w:w="1623" w:type="dxa"/>
            <w:vAlign w:val="center"/>
          </w:tcPr>
          <w:p w14:paraId="57946AE1" w14:textId="77777777" w:rsidR="00E10737" w:rsidRPr="00B21BC0" w:rsidRDefault="00E10737" w:rsidP="004179DE">
            <w:pPr>
              <w:ind w:left="0"/>
              <w:rPr>
                <w:sz w:val="18"/>
                <w:szCs w:val="18"/>
              </w:rPr>
            </w:pPr>
            <w:r w:rsidRPr="00B21BC0">
              <w:rPr>
                <w:sz w:val="18"/>
                <w:szCs w:val="18"/>
              </w:rPr>
              <w:t>Počet podporených podnikov prostredníctvom poradenských centier pre MSP</w:t>
            </w:r>
          </w:p>
        </w:tc>
        <w:tc>
          <w:tcPr>
            <w:tcW w:w="996" w:type="dxa"/>
            <w:vAlign w:val="center"/>
          </w:tcPr>
          <w:p w14:paraId="73D53032" w14:textId="77777777" w:rsidR="00E10737" w:rsidRPr="00F058A0" w:rsidRDefault="00E10737" w:rsidP="004179DE">
            <w:pPr>
              <w:ind w:left="0"/>
              <w:jc w:val="center"/>
              <w:rPr>
                <w:i/>
                <w:sz w:val="18"/>
                <w:szCs w:val="18"/>
              </w:rPr>
            </w:pPr>
            <w:r w:rsidRPr="00F058A0">
              <w:rPr>
                <w:i/>
                <w:sz w:val="18"/>
                <w:szCs w:val="18"/>
              </w:rPr>
              <w:t>počet</w:t>
            </w:r>
          </w:p>
        </w:tc>
        <w:tc>
          <w:tcPr>
            <w:tcW w:w="662" w:type="dxa"/>
            <w:vAlign w:val="center"/>
          </w:tcPr>
          <w:p w14:paraId="54A6F509" w14:textId="77777777" w:rsidR="00E10737" w:rsidRPr="00F058A0" w:rsidRDefault="00E10737" w:rsidP="004179DE">
            <w:pPr>
              <w:ind w:left="0"/>
              <w:jc w:val="center"/>
              <w:rPr>
                <w:i/>
                <w:sz w:val="18"/>
                <w:szCs w:val="18"/>
              </w:rPr>
            </w:pPr>
            <w:r w:rsidRPr="00F058A0">
              <w:rPr>
                <w:i/>
                <w:sz w:val="18"/>
                <w:szCs w:val="18"/>
              </w:rPr>
              <w:t>EFRR</w:t>
            </w:r>
          </w:p>
        </w:tc>
        <w:tc>
          <w:tcPr>
            <w:tcW w:w="1087" w:type="dxa"/>
            <w:vAlign w:val="center"/>
          </w:tcPr>
          <w:p w14:paraId="24133250" w14:textId="77777777" w:rsidR="00E10737" w:rsidRPr="00F058A0" w:rsidRDefault="00E10737" w:rsidP="004179DE">
            <w:pPr>
              <w:ind w:left="0"/>
              <w:jc w:val="center"/>
              <w:rPr>
                <w:i/>
                <w:sz w:val="18"/>
                <w:szCs w:val="18"/>
              </w:rPr>
            </w:pPr>
            <w:r w:rsidRPr="00F058A0">
              <w:rPr>
                <w:i/>
                <w:sz w:val="18"/>
                <w:szCs w:val="18"/>
              </w:rPr>
              <w:t>Rozvinutejší región</w:t>
            </w:r>
          </w:p>
        </w:tc>
        <w:tc>
          <w:tcPr>
            <w:tcW w:w="987" w:type="dxa"/>
            <w:vAlign w:val="center"/>
          </w:tcPr>
          <w:p w14:paraId="0F7DEAF3" w14:textId="77777777" w:rsidR="00E10737" w:rsidRPr="00F058A0" w:rsidRDefault="00E10737" w:rsidP="004179DE">
            <w:pPr>
              <w:ind w:left="0"/>
              <w:jc w:val="center"/>
              <w:rPr>
                <w:i/>
                <w:sz w:val="18"/>
                <w:szCs w:val="18"/>
              </w:rPr>
            </w:pPr>
            <w:r w:rsidRPr="00F058A0">
              <w:rPr>
                <w:i/>
                <w:sz w:val="18"/>
                <w:szCs w:val="18"/>
              </w:rPr>
              <w:t>800</w:t>
            </w:r>
          </w:p>
        </w:tc>
        <w:tc>
          <w:tcPr>
            <w:tcW w:w="736" w:type="dxa"/>
            <w:vAlign w:val="center"/>
          </w:tcPr>
          <w:p w14:paraId="6CAB357B" w14:textId="77777777" w:rsidR="00E10737" w:rsidRPr="00F058A0" w:rsidRDefault="00E10737" w:rsidP="004179DE">
            <w:pPr>
              <w:ind w:left="0"/>
              <w:jc w:val="center"/>
              <w:rPr>
                <w:i/>
                <w:sz w:val="18"/>
                <w:szCs w:val="18"/>
              </w:rPr>
            </w:pPr>
            <w:r w:rsidRPr="00F058A0">
              <w:rPr>
                <w:i/>
                <w:sz w:val="18"/>
                <w:szCs w:val="18"/>
              </w:rPr>
              <w:t>2 670</w:t>
            </w:r>
          </w:p>
        </w:tc>
        <w:tc>
          <w:tcPr>
            <w:tcW w:w="826" w:type="dxa"/>
            <w:vAlign w:val="center"/>
          </w:tcPr>
          <w:p w14:paraId="7F2F9B47" w14:textId="77777777" w:rsidR="00E10737" w:rsidRPr="00F058A0" w:rsidRDefault="00E10737" w:rsidP="004179DE">
            <w:pPr>
              <w:ind w:left="0"/>
              <w:jc w:val="center"/>
              <w:rPr>
                <w:i/>
                <w:sz w:val="18"/>
                <w:szCs w:val="18"/>
              </w:rPr>
            </w:pPr>
            <w:r w:rsidRPr="00F058A0">
              <w:rPr>
                <w:i/>
                <w:sz w:val="18"/>
                <w:szCs w:val="18"/>
              </w:rPr>
              <w:t>ITMS</w:t>
            </w:r>
          </w:p>
        </w:tc>
        <w:tc>
          <w:tcPr>
            <w:tcW w:w="1520" w:type="dxa"/>
            <w:vAlign w:val="center"/>
          </w:tcPr>
          <w:p w14:paraId="6064ECB3" w14:textId="77777777" w:rsidR="00E10737" w:rsidRPr="00F058A0" w:rsidRDefault="00E10737" w:rsidP="00F058A0">
            <w:pPr>
              <w:pStyle w:val="TableParagraph"/>
              <w:spacing w:line="248" w:lineRule="auto"/>
              <w:ind w:left="0" w:hanging="1"/>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Podiel na alokácii prioritnej osi 52,24</w:t>
            </w:r>
          </w:p>
          <w:p w14:paraId="1AD97D40" w14:textId="77777777" w:rsidR="00E10737" w:rsidRPr="00F058A0" w:rsidRDefault="00E10737" w:rsidP="00F058A0">
            <w:pPr>
              <w:pStyle w:val="TableParagraph"/>
              <w:spacing w:line="246" w:lineRule="auto"/>
              <w:ind w:left="0"/>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 priebežné výstupy monitorované prostredníctvom národného projektu</w:t>
            </w:r>
          </w:p>
          <w:p w14:paraId="24A6BB25" w14:textId="77777777" w:rsidR="00E10737" w:rsidRPr="00F058A0" w:rsidRDefault="00E10737" w:rsidP="00F058A0">
            <w:pPr>
              <w:pStyle w:val="TableParagraph"/>
              <w:ind w:left="0"/>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s realizáciou počas programového obdobia</w:t>
            </w:r>
          </w:p>
        </w:tc>
      </w:tr>
      <w:tr w:rsidR="00E10737" w:rsidRPr="005A1FB5" w14:paraId="66D05399" w14:textId="77777777" w:rsidTr="004179DE">
        <w:trPr>
          <w:trHeight w:val="454"/>
          <w:jc w:val="center"/>
        </w:trPr>
        <w:tc>
          <w:tcPr>
            <w:tcW w:w="1476" w:type="dxa"/>
            <w:vAlign w:val="center"/>
          </w:tcPr>
          <w:p w14:paraId="0E68EF18" w14:textId="77777777" w:rsidR="00E10737" w:rsidRPr="00CF79E0" w:rsidRDefault="00E10737" w:rsidP="004179DE">
            <w:pPr>
              <w:pStyle w:val="TableParagraph"/>
              <w:ind w:left="0"/>
              <w:rPr>
                <w:rFonts w:ascii="Times New Roman" w:eastAsia="Times New Roman" w:hAnsi="Times New Roman" w:cs="Times New Roman"/>
                <w:i/>
                <w:sz w:val="18"/>
                <w:szCs w:val="18"/>
                <w:lang w:val="sk-SK" w:eastAsia="sk-SK"/>
              </w:rPr>
            </w:pPr>
            <w:r w:rsidRPr="00CF79E0">
              <w:rPr>
                <w:rFonts w:ascii="Times New Roman" w:eastAsia="Times New Roman" w:hAnsi="Times New Roman" w:cs="Times New Roman"/>
                <w:i/>
                <w:sz w:val="18"/>
                <w:szCs w:val="18"/>
                <w:lang w:val="sk-SK" w:eastAsia="sk-SK"/>
              </w:rPr>
              <w:t>ukazovateľ</w:t>
            </w:r>
          </w:p>
          <w:p w14:paraId="6AA9124E" w14:textId="77777777" w:rsidR="00E10737" w:rsidRPr="005A1FB5" w:rsidRDefault="00E10737" w:rsidP="004179DE">
            <w:pPr>
              <w:ind w:left="0"/>
              <w:rPr>
                <w:i/>
                <w:sz w:val="18"/>
                <w:szCs w:val="18"/>
              </w:rPr>
            </w:pPr>
            <w:r w:rsidRPr="00CF79E0">
              <w:rPr>
                <w:i/>
                <w:sz w:val="18"/>
                <w:szCs w:val="18"/>
              </w:rPr>
              <w:t>výstupu</w:t>
            </w:r>
          </w:p>
        </w:tc>
        <w:tc>
          <w:tcPr>
            <w:tcW w:w="429" w:type="dxa"/>
            <w:textDirection w:val="btLr"/>
          </w:tcPr>
          <w:p w14:paraId="73302914" w14:textId="77777777" w:rsidR="00E10737" w:rsidRPr="00B21BC0" w:rsidRDefault="00E10737" w:rsidP="004179DE">
            <w:pPr>
              <w:widowControl w:val="0"/>
              <w:ind w:left="0"/>
              <w:jc w:val="center"/>
              <w:rPr>
                <w:sz w:val="18"/>
                <w:szCs w:val="18"/>
              </w:rPr>
            </w:pPr>
            <w:r w:rsidRPr="00B21BC0">
              <w:rPr>
                <w:sz w:val="18"/>
                <w:szCs w:val="18"/>
              </w:rPr>
              <w:t>O0077</w:t>
            </w:r>
          </w:p>
        </w:tc>
        <w:tc>
          <w:tcPr>
            <w:tcW w:w="1623" w:type="dxa"/>
            <w:vAlign w:val="center"/>
          </w:tcPr>
          <w:p w14:paraId="19A4CFF1" w14:textId="77777777" w:rsidR="00E10737" w:rsidRPr="00B21BC0" w:rsidRDefault="00E10737" w:rsidP="004179DE">
            <w:pPr>
              <w:widowControl w:val="0"/>
              <w:ind w:left="0"/>
              <w:rPr>
                <w:sz w:val="18"/>
                <w:szCs w:val="18"/>
              </w:rPr>
            </w:pPr>
            <w:r w:rsidRPr="00B21BC0">
              <w:rPr>
                <w:sz w:val="18"/>
                <w:szCs w:val="18"/>
              </w:rPr>
              <w:t>Počet podporených podnikov prostredníctvom poradenských centier pre MSP</w:t>
            </w:r>
          </w:p>
        </w:tc>
        <w:tc>
          <w:tcPr>
            <w:tcW w:w="996" w:type="dxa"/>
            <w:vAlign w:val="center"/>
          </w:tcPr>
          <w:p w14:paraId="62CA04C6" w14:textId="77777777" w:rsidR="00E10737" w:rsidRPr="00F058A0" w:rsidRDefault="00E10737" w:rsidP="004179DE">
            <w:pPr>
              <w:widowControl w:val="0"/>
              <w:ind w:left="0"/>
              <w:jc w:val="center"/>
              <w:rPr>
                <w:i/>
                <w:sz w:val="18"/>
                <w:szCs w:val="18"/>
              </w:rPr>
            </w:pPr>
            <w:r w:rsidRPr="00F058A0">
              <w:rPr>
                <w:i/>
                <w:sz w:val="18"/>
                <w:szCs w:val="18"/>
              </w:rPr>
              <w:t>počet</w:t>
            </w:r>
          </w:p>
        </w:tc>
        <w:tc>
          <w:tcPr>
            <w:tcW w:w="662" w:type="dxa"/>
            <w:vAlign w:val="center"/>
          </w:tcPr>
          <w:p w14:paraId="7B2610EB" w14:textId="77777777" w:rsidR="00E10737" w:rsidRPr="00F058A0" w:rsidRDefault="00E10737" w:rsidP="004179DE">
            <w:pPr>
              <w:widowControl w:val="0"/>
              <w:ind w:left="0"/>
              <w:jc w:val="center"/>
              <w:rPr>
                <w:i/>
                <w:sz w:val="18"/>
                <w:szCs w:val="18"/>
              </w:rPr>
            </w:pPr>
            <w:r w:rsidRPr="00F058A0">
              <w:rPr>
                <w:i/>
                <w:sz w:val="18"/>
                <w:szCs w:val="18"/>
              </w:rPr>
              <w:t>EFRR</w:t>
            </w:r>
          </w:p>
        </w:tc>
        <w:tc>
          <w:tcPr>
            <w:tcW w:w="1087" w:type="dxa"/>
            <w:vAlign w:val="center"/>
          </w:tcPr>
          <w:p w14:paraId="7E640446" w14:textId="77777777" w:rsidR="00E10737" w:rsidRPr="00F058A0" w:rsidRDefault="00E10737" w:rsidP="004179DE">
            <w:pPr>
              <w:widowControl w:val="0"/>
              <w:ind w:left="0"/>
              <w:jc w:val="center"/>
              <w:rPr>
                <w:i/>
                <w:sz w:val="18"/>
                <w:szCs w:val="18"/>
              </w:rPr>
            </w:pPr>
            <w:r w:rsidRPr="00F058A0">
              <w:rPr>
                <w:i/>
                <w:sz w:val="18"/>
                <w:szCs w:val="18"/>
              </w:rPr>
              <w:t>Rozvinutejší región</w:t>
            </w:r>
          </w:p>
        </w:tc>
        <w:tc>
          <w:tcPr>
            <w:tcW w:w="987" w:type="dxa"/>
            <w:vAlign w:val="center"/>
          </w:tcPr>
          <w:p w14:paraId="5E04E9D7" w14:textId="77777777" w:rsidR="00E10737" w:rsidRPr="00F058A0" w:rsidRDefault="00E10737" w:rsidP="004179DE">
            <w:pPr>
              <w:widowControl w:val="0"/>
              <w:ind w:left="0"/>
              <w:jc w:val="center"/>
              <w:rPr>
                <w:i/>
                <w:sz w:val="18"/>
                <w:szCs w:val="18"/>
              </w:rPr>
            </w:pPr>
            <w:r w:rsidRPr="00F058A0">
              <w:rPr>
                <w:i/>
                <w:sz w:val="18"/>
                <w:szCs w:val="18"/>
              </w:rPr>
              <w:t>0</w:t>
            </w:r>
          </w:p>
        </w:tc>
        <w:tc>
          <w:tcPr>
            <w:tcW w:w="736" w:type="dxa"/>
            <w:vAlign w:val="center"/>
          </w:tcPr>
          <w:p w14:paraId="7D8BB30B" w14:textId="77777777" w:rsidR="00E10737" w:rsidRPr="00F058A0" w:rsidRDefault="00E10737" w:rsidP="004179DE">
            <w:pPr>
              <w:widowControl w:val="0"/>
              <w:ind w:left="0"/>
              <w:jc w:val="center"/>
              <w:rPr>
                <w:i/>
                <w:sz w:val="18"/>
                <w:szCs w:val="18"/>
              </w:rPr>
            </w:pPr>
            <w:r w:rsidRPr="00F058A0">
              <w:rPr>
                <w:i/>
                <w:sz w:val="18"/>
                <w:szCs w:val="18"/>
              </w:rPr>
              <w:t>2670</w:t>
            </w:r>
          </w:p>
        </w:tc>
        <w:tc>
          <w:tcPr>
            <w:tcW w:w="826" w:type="dxa"/>
            <w:vAlign w:val="center"/>
          </w:tcPr>
          <w:p w14:paraId="7360BA4F" w14:textId="77777777" w:rsidR="00E10737" w:rsidRPr="00F058A0" w:rsidRDefault="00E10737" w:rsidP="004179DE">
            <w:pPr>
              <w:widowControl w:val="0"/>
              <w:ind w:left="0"/>
              <w:jc w:val="center"/>
              <w:rPr>
                <w:i/>
                <w:sz w:val="18"/>
                <w:szCs w:val="18"/>
              </w:rPr>
            </w:pPr>
            <w:r w:rsidRPr="00F058A0">
              <w:rPr>
                <w:i/>
                <w:sz w:val="18"/>
                <w:szCs w:val="18"/>
              </w:rPr>
              <w:t>ITMS</w:t>
            </w:r>
          </w:p>
        </w:tc>
        <w:tc>
          <w:tcPr>
            <w:tcW w:w="1520" w:type="dxa"/>
          </w:tcPr>
          <w:p w14:paraId="60D858B7" w14:textId="77777777" w:rsidR="00E10737" w:rsidRPr="00F058A0" w:rsidRDefault="00E10737" w:rsidP="00F058A0">
            <w:pPr>
              <w:pStyle w:val="TableParagraph"/>
              <w:ind w:left="0"/>
              <w:rPr>
                <w:rFonts w:ascii="Times New Roman" w:eastAsia="Times New Roman" w:hAnsi="Times New Roman" w:cs="Times New Roman"/>
                <w:i/>
                <w:sz w:val="18"/>
                <w:szCs w:val="18"/>
                <w:lang w:val="sk-SK" w:eastAsia="sk-SK"/>
              </w:rPr>
            </w:pPr>
            <w:r w:rsidRPr="00F058A0">
              <w:rPr>
                <w:rFonts w:ascii="Times New Roman" w:eastAsia="Times New Roman" w:hAnsi="Times New Roman" w:cs="Times New Roman"/>
                <w:i/>
                <w:sz w:val="18"/>
                <w:szCs w:val="18"/>
                <w:lang w:val="sk-SK" w:eastAsia="sk-SK"/>
              </w:rPr>
              <w:t>Cieľ kľúčového vykonávacieho kroku, podiel na alokácii prioritnej osi 52,24 %</w:t>
            </w:r>
          </w:p>
        </w:tc>
      </w:tr>
    </w:tbl>
    <w:p w14:paraId="6123FCBB" w14:textId="77777777" w:rsidR="00E10737" w:rsidRDefault="00E10737" w:rsidP="00E10737">
      <w:pPr>
        <w:rPr>
          <w:szCs w:val="22"/>
        </w:rPr>
      </w:pPr>
    </w:p>
    <w:p w14:paraId="3CA37E35" w14:textId="77777777" w:rsidR="00E10737" w:rsidRPr="00D03884" w:rsidRDefault="00E10737" w:rsidP="00D03884">
      <w:pPr>
        <w:pStyle w:val="Nadpis4"/>
      </w:pPr>
      <w:r w:rsidRPr="00D03884">
        <w:t>Predpokladaný vývoj finančného pokroku na prioritnej osi 12</w:t>
      </w:r>
    </w:p>
    <w:p w14:paraId="48C71341" w14:textId="36C75C71" w:rsidR="00E10737" w:rsidRDefault="00E10737" w:rsidP="00D03884">
      <w:pPr>
        <w:pStyle w:val="Zkladntext"/>
        <w:spacing w:before="139" w:line="247" w:lineRule="auto"/>
        <w:jc w:val="both"/>
        <w:rPr>
          <w:szCs w:val="22"/>
        </w:rPr>
      </w:pPr>
      <w:r>
        <w:rPr>
          <w:sz w:val="22"/>
          <w:szCs w:val="22"/>
        </w:rPr>
        <w:t>P</w:t>
      </w:r>
      <w:r w:rsidR="00D03884">
        <w:rPr>
          <w:sz w:val="22"/>
          <w:szCs w:val="22"/>
        </w:rPr>
        <w:t>ozri Prílohu 21</w:t>
      </w:r>
      <w:r w:rsidR="005E73E1" w:rsidRPr="00351D17">
        <w:rPr>
          <w:sz w:val="22"/>
          <w:szCs w:val="22"/>
        </w:rPr>
        <w:t>.</w:t>
      </w:r>
    </w:p>
    <w:p w14:paraId="183A70BE" w14:textId="77777777" w:rsidR="00E10737" w:rsidRPr="00CF79E0" w:rsidRDefault="00E10737" w:rsidP="00E10737">
      <w:pPr>
        <w:pStyle w:val="Nadpis3"/>
      </w:pPr>
      <w:bookmarkStart w:id="133" w:name="_Toc28951666"/>
      <w:r w:rsidRPr="00AF51CC">
        <w:t>Kategórie intervencií</w:t>
      </w:r>
      <w:bookmarkEnd w:id="133"/>
    </w:p>
    <w:p w14:paraId="1503F17B"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502AFEC2" w14:textId="77777777" w:rsidTr="004179DE">
        <w:trPr>
          <w:trHeight w:val="255"/>
          <w:jc w:val="center"/>
        </w:trPr>
        <w:tc>
          <w:tcPr>
            <w:tcW w:w="9072" w:type="dxa"/>
            <w:gridSpan w:val="3"/>
            <w:shd w:val="clear" w:color="auto" w:fill="DBE5F1"/>
            <w:vAlign w:val="center"/>
          </w:tcPr>
          <w:p w14:paraId="5353C7F6"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E10737" w:rsidRPr="003A7F56" w14:paraId="36B6454F" w14:textId="77777777" w:rsidTr="004179DE">
        <w:trPr>
          <w:trHeight w:val="255"/>
          <w:jc w:val="center"/>
        </w:trPr>
        <w:tc>
          <w:tcPr>
            <w:tcW w:w="4912" w:type="dxa"/>
            <w:shd w:val="clear" w:color="auto" w:fill="DBE5F1"/>
            <w:vAlign w:val="center"/>
          </w:tcPr>
          <w:p w14:paraId="1C7C42E1"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661E6284"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359FC851" w14:textId="77777777" w:rsidTr="004179DE">
        <w:trPr>
          <w:trHeight w:val="255"/>
          <w:jc w:val="center"/>
        </w:trPr>
        <w:tc>
          <w:tcPr>
            <w:tcW w:w="4912" w:type="dxa"/>
            <w:shd w:val="clear" w:color="auto" w:fill="DBE5F1"/>
            <w:vAlign w:val="center"/>
          </w:tcPr>
          <w:p w14:paraId="098DBBF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D71E661"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389D834B" w14:textId="77777777" w:rsidTr="004179DE">
        <w:trPr>
          <w:trHeight w:val="255"/>
          <w:jc w:val="center"/>
        </w:trPr>
        <w:tc>
          <w:tcPr>
            <w:tcW w:w="4912" w:type="dxa"/>
            <w:shd w:val="clear" w:color="auto" w:fill="auto"/>
            <w:vAlign w:val="center"/>
          </w:tcPr>
          <w:p w14:paraId="4DD4A44A"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71AF950E"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77F622AF"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14E24044" w14:textId="77777777" w:rsidTr="00C36296">
        <w:trPr>
          <w:trHeight w:val="255"/>
          <w:jc w:val="center"/>
        </w:trPr>
        <w:tc>
          <w:tcPr>
            <w:tcW w:w="4912" w:type="dxa"/>
            <w:vMerge w:val="restart"/>
            <w:shd w:val="clear" w:color="auto" w:fill="auto"/>
            <w:vAlign w:val="center"/>
          </w:tcPr>
          <w:p w14:paraId="0DC2A77F"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12</w:t>
            </w:r>
            <w:r w:rsidRPr="003A7F56">
              <w:rPr>
                <w:rFonts w:ascii="TimesNewRoman" w:hAnsi="TimesNewRoman" w:cs="TimesNewRoman"/>
                <w:sz w:val="20"/>
                <w:szCs w:val="20"/>
              </w:rPr>
              <w:t xml:space="preserve"> – </w:t>
            </w:r>
            <w:r>
              <w:rPr>
                <w:rFonts w:ascii="TimesNewRoman" w:hAnsi="TimesNewRoman" w:cs="TimesNewRoman"/>
                <w:sz w:val="20"/>
                <w:szCs w:val="20"/>
              </w:rPr>
              <w:t>Rozvoj konkurencieschopnosti MSP v Bratislavskom kraji</w:t>
            </w:r>
          </w:p>
        </w:tc>
        <w:tc>
          <w:tcPr>
            <w:tcW w:w="2120" w:type="dxa"/>
            <w:shd w:val="clear" w:color="auto" w:fill="auto"/>
            <w:vAlign w:val="center"/>
          </w:tcPr>
          <w:p w14:paraId="7FA05F0B" w14:textId="77777777" w:rsidR="00E10737" w:rsidRPr="0090045C" w:rsidRDefault="00E10737" w:rsidP="004179DE">
            <w:pPr>
              <w:autoSpaceDE w:val="0"/>
              <w:autoSpaceDN w:val="0"/>
              <w:adjustRightInd w:val="0"/>
              <w:jc w:val="center"/>
              <w:rPr>
                <w:sz w:val="18"/>
              </w:rPr>
            </w:pPr>
            <w:r w:rsidRPr="0090045C">
              <w:rPr>
                <w:sz w:val="18"/>
              </w:rPr>
              <w:t>001</w:t>
            </w:r>
          </w:p>
        </w:tc>
        <w:tc>
          <w:tcPr>
            <w:tcW w:w="2040" w:type="dxa"/>
            <w:shd w:val="clear" w:color="auto" w:fill="auto"/>
            <w:vAlign w:val="center"/>
          </w:tcPr>
          <w:p w14:paraId="466B13C5" w14:textId="77777777" w:rsidR="00E10737" w:rsidRPr="00CF79E0" w:rsidRDefault="00E10737" w:rsidP="00C36296">
            <w:pPr>
              <w:autoSpaceDE w:val="0"/>
              <w:autoSpaceDN w:val="0"/>
              <w:adjustRightInd w:val="0"/>
              <w:jc w:val="center"/>
              <w:rPr>
                <w:sz w:val="18"/>
              </w:rPr>
            </w:pPr>
            <w:r w:rsidRPr="00CF79E0">
              <w:rPr>
                <w:sz w:val="18"/>
              </w:rPr>
              <w:t>4 941 310,00</w:t>
            </w:r>
          </w:p>
        </w:tc>
      </w:tr>
      <w:tr w:rsidR="00E10737" w:rsidRPr="003A7F56" w14:paraId="58DEA558" w14:textId="77777777" w:rsidTr="00C36296">
        <w:trPr>
          <w:trHeight w:val="255"/>
          <w:jc w:val="center"/>
        </w:trPr>
        <w:tc>
          <w:tcPr>
            <w:tcW w:w="4912" w:type="dxa"/>
            <w:vMerge/>
            <w:shd w:val="clear" w:color="auto" w:fill="auto"/>
            <w:vAlign w:val="center"/>
          </w:tcPr>
          <w:p w14:paraId="46C8200F"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682B180" w14:textId="77777777" w:rsidR="00E10737" w:rsidRPr="0090045C" w:rsidRDefault="00E10737" w:rsidP="004179DE">
            <w:pPr>
              <w:autoSpaceDE w:val="0"/>
              <w:autoSpaceDN w:val="0"/>
              <w:adjustRightInd w:val="0"/>
              <w:jc w:val="center"/>
              <w:rPr>
                <w:sz w:val="18"/>
              </w:rPr>
            </w:pPr>
            <w:r>
              <w:rPr>
                <w:sz w:val="18"/>
              </w:rPr>
              <w:t>056</w:t>
            </w:r>
          </w:p>
        </w:tc>
        <w:tc>
          <w:tcPr>
            <w:tcW w:w="2040" w:type="dxa"/>
            <w:shd w:val="clear" w:color="auto" w:fill="auto"/>
            <w:vAlign w:val="center"/>
          </w:tcPr>
          <w:p w14:paraId="5EE02B01" w14:textId="11EF5BD1" w:rsidR="00E10737" w:rsidRPr="00CF79E0" w:rsidRDefault="00105712" w:rsidP="00105712">
            <w:pPr>
              <w:autoSpaceDE w:val="0"/>
              <w:autoSpaceDN w:val="0"/>
              <w:adjustRightInd w:val="0"/>
              <w:jc w:val="center"/>
              <w:rPr>
                <w:sz w:val="18"/>
              </w:rPr>
            </w:pPr>
            <w:r>
              <w:rPr>
                <w:sz w:val="18"/>
              </w:rPr>
              <w:t>5 052 654</w:t>
            </w:r>
            <w:r w:rsidR="00E10737" w:rsidRPr="00CF79E0">
              <w:rPr>
                <w:sz w:val="18"/>
              </w:rPr>
              <w:t>,00</w:t>
            </w:r>
          </w:p>
        </w:tc>
      </w:tr>
      <w:tr w:rsidR="00E10737" w:rsidRPr="003A7F56" w14:paraId="402A1048" w14:textId="77777777" w:rsidTr="00C36296">
        <w:trPr>
          <w:trHeight w:val="255"/>
          <w:jc w:val="center"/>
        </w:trPr>
        <w:tc>
          <w:tcPr>
            <w:tcW w:w="4912" w:type="dxa"/>
            <w:vMerge/>
            <w:shd w:val="clear" w:color="auto" w:fill="auto"/>
            <w:vAlign w:val="center"/>
          </w:tcPr>
          <w:p w14:paraId="707A14F5"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682DBBD" w14:textId="77777777" w:rsidR="00E10737" w:rsidRPr="0090045C" w:rsidRDefault="00E10737" w:rsidP="004179DE">
            <w:pPr>
              <w:autoSpaceDE w:val="0"/>
              <w:autoSpaceDN w:val="0"/>
              <w:adjustRightInd w:val="0"/>
              <w:jc w:val="center"/>
              <w:rPr>
                <w:sz w:val="18"/>
              </w:rPr>
            </w:pPr>
            <w:r>
              <w:rPr>
                <w:sz w:val="18"/>
              </w:rPr>
              <w:t>066</w:t>
            </w:r>
          </w:p>
        </w:tc>
        <w:tc>
          <w:tcPr>
            <w:tcW w:w="2040" w:type="dxa"/>
            <w:shd w:val="clear" w:color="auto" w:fill="auto"/>
            <w:vAlign w:val="center"/>
          </w:tcPr>
          <w:p w14:paraId="3534A852" w14:textId="77777777" w:rsidR="00E10737" w:rsidRPr="00CF79E0" w:rsidRDefault="00E10737" w:rsidP="00C36296">
            <w:pPr>
              <w:autoSpaceDE w:val="0"/>
              <w:autoSpaceDN w:val="0"/>
              <w:adjustRightInd w:val="0"/>
              <w:jc w:val="center"/>
              <w:rPr>
                <w:sz w:val="18"/>
              </w:rPr>
            </w:pPr>
            <w:r w:rsidRPr="00CF79E0">
              <w:rPr>
                <w:sz w:val="18"/>
              </w:rPr>
              <w:t>7 076 723,00</w:t>
            </w:r>
          </w:p>
        </w:tc>
      </w:tr>
      <w:tr w:rsidR="00E10737" w:rsidRPr="003A7F56" w14:paraId="639CA274" w14:textId="77777777" w:rsidTr="00C36296">
        <w:trPr>
          <w:trHeight w:val="255"/>
          <w:jc w:val="center"/>
        </w:trPr>
        <w:tc>
          <w:tcPr>
            <w:tcW w:w="4912" w:type="dxa"/>
            <w:vMerge/>
            <w:shd w:val="clear" w:color="auto" w:fill="auto"/>
            <w:vAlign w:val="center"/>
          </w:tcPr>
          <w:p w14:paraId="28BF605E"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50E0B131" w14:textId="77777777" w:rsidR="00E10737" w:rsidRPr="0090045C" w:rsidRDefault="00E10737" w:rsidP="004179DE">
            <w:pPr>
              <w:autoSpaceDE w:val="0"/>
              <w:autoSpaceDN w:val="0"/>
              <w:adjustRightInd w:val="0"/>
              <w:jc w:val="center"/>
              <w:rPr>
                <w:sz w:val="18"/>
              </w:rPr>
            </w:pPr>
            <w:r>
              <w:rPr>
                <w:sz w:val="18"/>
              </w:rPr>
              <w:t>067</w:t>
            </w:r>
          </w:p>
        </w:tc>
        <w:tc>
          <w:tcPr>
            <w:tcW w:w="2040" w:type="dxa"/>
            <w:shd w:val="clear" w:color="auto" w:fill="auto"/>
            <w:vAlign w:val="center"/>
          </w:tcPr>
          <w:p w14:paraId="56FA83BC" w14:textId="77777777" w:rsidR="00E10737" w:rsidRPr="00CF79E0" w:rsidRDefault="00E10737" w:rsidP="00C36296">
            <w:pPr>
              <w:autoSpaceDE w:val="0"/>
              <w:autoSpaceDN w:val="0"/>
              <w:adjustRightInd w:val="0"/>
              <w:jc w:val="center"/>
              <w:rPr>
                <w:sz w:val="18"/>
              </w:rPr>
            </w:pPr>
            <w:r w:rsidRPr="00CF79E0">
              <w:rPr>
                <w:sz w:val="18"/>
              </w:rPr>
              <w:t>7 766 570,00</w:t>
            </w:r>
          </w:p>
        </w:tc>
      </w:tr>
      <w:tr w:rsidR="00E10737" w:rsidRPr="003A7F56" w14:paraId="4AE56878" w14:textId="77777777" w:rsidTr="00C36296">
        <w:trPr>
          <w:trHeight w:val="255"/>
          <w:jc w:val="center"/>
        </w:trPr>
        <w:tc>
          <w:tcPr>
            <w:tcW w:w="4912" w:type="dxa"/>
            <w:vMerge/>
            <w:shd w:val="clear" w:color="auto" w:fill="auto"/>
            <w:vAlign w:val="center"/>
          </w:tcPr>
          <w:p w14:paraId="0B113035"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D732298" w14:textId="77777777" w:rsidR="00E10737" w:rsidRPr="0090045C" w:rsidRDefault="00E10737" w:rsidP="004179DE">
            <w:pPr>
              <w:autoSpaceDE w:val="0"/>
              <w:autoSpaceDN w:val="0"/>
              <w:adjustRightInd w:val="0"/>
              <w:jc w:val="center"/>
              <w:rPr>
                <w:sz w:val="18"/>
              </w:rPr>
            </w:pPr>
            <w:r>
              <w:rPr>
                <w:sz w:val="18"/>
              </w:rPr>
              <w:t>069</w:t>
            </w:r>
          </w:p>
        </w:tc>
        <w:tc>
          <w:tcPr>
            <w:tcW w:w="2040" w:type="dxa"/>
            <w:shd w:val="clear" w:color="auto" w:fill="auto"/>
            <w:vAlign w:val="center"/>
          </w:tcPr>
          <w:p w14:paraId="3502E3AE" w14:textId="77777777" w:rsidR="00E10737" w:rsidRPr="00CF79E0" w:rsidRDefault="00E10737" w:rsidP="00C36296">
            <w:pPr>
              <w:autoSpaceDE w:val="0"/>
              <w:autoSpaceDN w:val="0"/>
              <w:adjustRightInd w:val="0"/>
              <w:jc w:val="center"/>
              <w:rPr>
                <w:sz w:val="18"/>
              </w:rPr>
            </w:pPr>
            <w:r w:rsidRPr="00CF79E0">
              <w:rPr>
                <w:sz w:val="18"/>
              </w:rPr>
              <w:t>1 976 524,00</w:t>
            </w:r>
          </w:p>
        </w:tc>
      </w:tr>
      <w:tr w:rsidR="00E10737" w:rsidRPr="003A7F56" w14:paraId="580DDB15" w14:textId="77777777" w:rsidTr="00C36296">
        <w:trPr>
          <w:trHeight w:val="255"/>
          <w:jc w:val="center"/>
        </w:trPr>
        <w:tc>
          <w:tcPr>
            <w:tcW w:w="4912" w:type="dxa"/>
            <w:vMerge/>
            <w:shd w:val="clear" w:color="auto" w:fill="auto"/>
            <w:vAlign w:val="center"/>
          </w:tcPr>
          <w:p w14:paraId="5DE5B0C3"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FBB1BA1" w14:textId="77777777" w:rsidR="00E10737" w:rsidRPr="0090045C" w:rsidRDefault="00E10737" w:rsidP="004179DE">
            <w:pPr>
              <w:autoSpaceDE w:val="0"/>
              <w:autoSpaceDN w:val="0"/>
              <w:adjustRightInd w:val="0"/>
              <w:jc w:val="center"/>
              <w:rPr>
                <w:sz w:val="18"/>
              </w:rPr>
            </w:pPr>
            <w:r>
              <w:rPr>
                <w:sz w:val="18"/>
              </w:rPr>
              <w:t>076</w:t>
            </w:r>
          </w:p>
        </w:tc>
        <w:tc>
          <w:tcPr>
            <w:tcW w:w="2040" w:type="dxa"/>
            <w:shd w:val="clear" w:color="auto" w:fill="auto"/>
            <w:vAlign w:val="center"/>
          </w:tcPr>
          <w:p w14:paraId="581FD3D1" w14:textId="26A22124" w:rsidR="00E10737" w:rsidRPr="00CF79E0" w:rsidRDefault="00105712" w:rsidP="00105712">
            <w:pPr>
              <w:autoSpaceDE w:val="0"/>
              <w:autoSpaceDN w:val="0"/>
              <w:adjustRightInd w:val="0"/>
              <w:jc w:val="center"/>
              <w:rPr>
                <w:sz w:val="18"/>
              </w:rPr>
            </w:pPr>
            <w:r>
              <w:rPr>
                <w:sz w:val="18"/>
              </w:rPr>
              <w:t>3 341 310</w:t>
            </w:r>
            <w:r w:rsidR="00E10737" w:rsidRPr="00CF79E0">
              <w:rPr>
                <w:sz w:val="18"/>
              </w:rPr>
              <w:t>,00</w:t>
            </w:r>
          </w:p>
        </w:tc>
      </w:tr>
      <w:tr w:rsidR="00E10737" w:rsidRPr="003A7F56" w14:paraId="0DA79EAD" w14:textId="77777777" w:rsidTr="00C36296">
        <w:trPr>
          <w:trHeight w:val="255"/>
          <w:jc w:val="center"/>
        </w:trPr>
        <w:tc>
          <w:tcPr>
            <w:tcW w:w="4912" w:type="dxa"/>
            <w:vMerge/>
            <w:shd w:val="clear" w:color="auto" w:fill="auto"/>
            <w:vAlign w:val="center"/>
          </w:tcPr>
          <w:p w14:paraId="269A8C8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20DA6A2" w14:textId="77777777" w:rsidR="00E10737" w:rsidRPr="0090045C" w:rsidRDefault="00E10737" w:rsidP="004179DE">
            <w:pPr>
              <w:autoSpaceDE w:val="0"/>
              <w:autoSpaceDN w:val="0"/>
              <w:adjustRightInd w:val="0"/>
              <w:jc w:val="center"/>
              <w:rPr>
                <w:sz w:val="18"/>
              </w:rPr>
            </w:pPr>
            <w:r>
              <w:rPr>
                <w:sz w:val="18"/>
              </w:rPr>
              <w:t>077</w:t>
            </w:r>
          </w:p>
        </w:tc>
        <w:tc>
          <w:tcPr>
            <w:tcW w:w="2040" w:type="dxa"/>
            <w:shd w:val="clear" w:color="auto" w:fill="auto"/>
            <w:vAlign w:val="center"/>
          </w:tcPr>
          <w:p w14:paraId="30BE3FF0" w14:textId="34DE2F1B" w:rsidR="00E10737" w:rsidRPr="00CF79E0" w:rsidRDefault="00105712" w:rsidP="00105712">
            <w:pPr>
              <w:autoSpaceDE w:val="0"/>
              <w:autoSpaceDN w:val="0"/>
              <w:adjustRightInd w:val="0"/>
              <w:jc w:val="center"/>
              <w:rPr>
                <w:sz w:val="18"/>
              </w:rPr>
            </w:pPr>
            <w:r>
              <w:rPr>
                <w:sz w:val="18"/>
              </w:rPr>
              <w:t>3 341 310</w:t>
            </w:r>
            <w:r w:rsidR="00E10737" w:rsidRPr="00CF79E0">
              <w:rPr>
                <w:sz w:val="18"/>
              </w:rPr>
              <w:t>,00</w:t>
            </w:r>
          </w:p>
        </w:tc>
      </w:tr>
    </w:tbl>
    <w:p w14:paraId="727F0712"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28E8EDF3" w14:textId="77777777" w:rsidTr="004179DE">
        <w:trPr>
          <w:trHeight w:val="255"/>
          <w:jc w:val="center"/>
        </w:trPr>
        <w:tc>
          <w:tcPr>
            <w:tcW w:w="9072" w:type="dxa"/>
            <w:gridSpan w:val="3"/>
            <w:shd w:val="clear" w:color="auto" w:fill="DBE5F1"/>
            <w:vAlign w:val="center"/>
          </w:tcPr>
          <w:p w14:paraId="0E3F2E89"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E10737" w:rsidRPr="003A7F56" w14:paraId="590260E8" w14:textId="77777777" w:rsidTr="004179DE">
        <w:trPr>
          <w:trHeight w:val="255"/>
          <w:jc w:val="center"/>
        </w:trPr>
        <w:tc>
          <w:tcPr>
            <w:tcW w:w="4912" w:type="dxa"/>
            <w:shd w:val="clear" w:color="auto" w:fill="DBE5F1"/>
            <w:vAlign w:val="center"/>
          </w:tcPr>
          <w:p w14:paraId="0AFD5541"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33BC4727"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50BFC09A" w14:textId="77777777" w:rsidTr="004179DE">
        <w:trPr>
          <w:trHeight w:val="255"/>
          <w:jc w:val="center"/>
        </w:trPr>
        <w:tc>
          <w:tcPr>
            <w:tcW w:w="4912" w:type="dxa"/>
            <w:shd w:val="clear" w:color="auto" w:fill="DBE5F1"/>
            <w:vAlign w:val="center"/>
          </w:tcPr>
          <w:p w14:paraId="4B4C97E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546C1072"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4AC1BE68" w14:textId="77777777" w:rsidTr="004179DE">
        <w:trPr>
          <w:trHeight w:val="255"/>
          <w:jc w:val="center"/>
        </w:trPr>
        <w:tc>
          <w:tcPr>
            <w:tcW w:w="4912" w:type="dxa"/>
            <w:shd w:val="clear" w:color="auto" w:fill="auto"/>
            <w:vAlign w:val="center"/>
          </w:tcPr>
          <w:p w14:paraId="674CAFF5"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040725F2"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1476386"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13220CAB" w14:textId="77777777" w:rsidTr="00C36296">
        <w:trPr>
          <w:trHeight w:val="255"/>
          <w:jc w:val="center"/>
        </w:trPr>
        <w:tc>
          <w:tcPr>
            <w:tcW w:w="4912" w:type="dxa"/>
            <w:vMerge w:val="restart"/>
            <w:shd w:val="clear" w:color="auto" w:fill="auto"/>
            <w:vAlign w:val="center"/>
          </w:tcPr>
          <w:p w14:paraId="05B27480"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12</w:t>
            </w:r>
            <w:r w:rsidRPr="003A7F56">
              <w:rPr>
                <w:rFonts w:ascii="TimesNewRoman" w:hAnsi="TimesNewRoman" w:cs="TimesNewRoman"/>
                <w:sz w:val="20"/>
                <w:szCs w:val="20"/>
              </w:rPr>
              <w:t xml:space="preserve"> – </w:t>
            </w:r>
            <w:r>
              <w:rPr>
                <w:rFonts w:ascii="TimesNewRoman" w:hAnsi="TimesNewRoman" w:cs="TimesNewRoman"/>
                <w:sz w:val="20"/>
                <w:szCs w:val="20"/>
              </w:rPr>
              <w:t>Rozvoj konkurencieschopnosti MSP v Bratislavskom kraji</w:t>
            </w:r>
          </w:p>
        </w:tc>
        <w:tc>
          <w:tcPr>
            <w:tcW w:w="2120" w:type="dxa"/>
            <w:shd w:val="clear" w:color="auto" w:fill="auto"/>
            <w:vAlign w:val="center"/>
          </w:tcPr>
          <w:p w14:paraId="2A2C0860" w14:textId="77777777" w:rsidR="00E10737" w:rsidRPr="00F72E4C" w:rsidRDefault="00E10737" w:rsidP="004179DE">
            <w:pPr>
              <w:autoSpaceDE w:val="0"/>
              <w:autoSpaceDN w:val="0"/>
              <w:adjustRightInd w:val="0"/>
              <w:jc w:val="center"/>
              <w:rPr>
                <w:sz w:val="20"/>
                <w:szCs w:val="20"/>
              </w:rPr>
            </w:pPr>
            <w:r w:rsidRPr="00F72E4C">
              <w:rPr>
                <w:sz w:val="18"/>
              </w:rPr>
              <w:t>01</w:t>
            </w:r>
          </w:p>
        </w:tc>
        <w:tc>
          <w:tcPr>
            <w:tcW w:w="2040" w:type="dxa"/>
            <w:shd w:val="clear" w:color="auto" w:fill="auto"/>
            <w:vAlign w:val="center"/>
          </w:tcPr>
          <w:p w14:paraId="764A155A" w14:textId="4AC1EE28" w:rsidR="00E10737" w:rsidRPr="00CF79E0" w:rsidRDefault="00105712" w:rsidP="00105712">
            <w:pPr>
              <w:autoSpaceDE w:val="0"/>
              <w:autoSpaceDN w:val="0"/>
              <w:adjustRightInd w:val="0"/>
              <w:jc w:val="center"/>
              <w:rPr>
                <w:sz w:val="18"/>
              </w:rPr>
            </w:pPr>
            <w:r>
              <w:rPr>
                <w:sz w:val="18"/>
              </w:rPr>
              <w:t>23 613 781</w:t>
            </w:r>
            <w:r w:rsidR="00E10737" w:rsidRPr="00CF79E0">
              <w:rPr>
                <w:sz w:val="18"/>
              </w:rPr>
              <w:t>,00</w:t>
            </w:r>
          </w:p>
        </w:tc>
      </w:tr>
      <w:tr w:rsidR="00E10737" w:rsidRPr="003A7F56" w14:paraId="47C112CE" w14:textId="77777777" w:rsidTr="00C36296">
        <w:trPr>
          <w:trHeight w:val="255"/>
          <w:jc w:val="center"/>
        </w:trPr>
        <w:tc>
          <w:tcPr>
            <w:tcW w:w="4912" w:type="dxa"/>
            <w:vMerge/>
            <w:shd w:val="clear" w:color="auto" w:fill="auto"/>
            <w:vAlign w:val="center"/>
          </w:tcPr>
          <w:p w14:paraId="1C4CB00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50A917A" w14:textId="77777777" w:rsidR="00E10737" w:rsidRPr="00F72E4C" w:rsidRDefault="00E10737" w:rsidP="004179DE">
            <w:pPr>
              <w:autoSpaceDE w:val="0"/>
              <w:autoSpaceDN w:val="0"/>
              <w:adjustRightInd w:val="0"/>
              <w:jc w:val="center"/>
              <w:rPr>
                <w:sz w:val="20"/>
                <w:szCs w:val="20"/>
              </w:rPr>
            </w:pPr>
            <w:r w:rsidRPr="00F72E4C">
              <w:rPr>
                <w:sz w:val="18"/>
              </w:rPr>
              <w:t>03</w:t>
            </w:r>
          </w:p>
        </w:tc>
        <w:tc>
          <w:tcPr>
            <w:tcW w:w="2040" w:type="dxa"/>
            <w:shd w:val="clear" w:color="auto" w:fill="auto"/>
            <w:vAlign w:val="center"/>
          </w:tcPr>
          <w:p w14:paraId="417BDC59" w14:textId="77777777" w:rsidR="00E10737" w:rsidRPr="00CF79E0" w:rsidRDefault="00E10737" w:rsidP="00C36296">
            <w:pPr>
              <w:autoSpaceDE w:val="0"/>
              <w:autoSpaceDN w:val="0"/>
              <w:adjustRightInd w:val="0"/>
              <w:jc w:val="center"/>
              <w:rPr>
                <w:sz w:val="18"/>
              </w:rPr>
            </w:pPr>
            <w:r w:rsidRPr="00CF79E0">
              <w:rPr>
                <w:sz w:val="18"/>
              </w:rPr>
              <w:t>2 964 786,00</w:t>
            </w:r>
          </w:p>
        </w:tc>
      </w:tr>
      <w:tr w:rsidR="00E10737" w:rsidRPr="003A7F56" w14:paraId="6648D97E" w14:textId="77777777" w:rsidTr="00C36296">
        <w:trPr>
          <w:trHeight w:val="255"/>
          <w:jc w:val="center"/>
        </w:trPr>
        <w:tc>
          <w:tcPr>
            <w:tcW w:w="4912" w:type="dxa"/>
            <w:vMerge/>
            <w:shd w:val="clear" w:color="auto" w:fill="auto"/>
            <w:vAlign w:val="center"/>
          </w:tcPr>
          <w:p w14:paraId="54FB45D2"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46B27316" w14:textId="77777777" w:rsidR="00E10737" w:rsidRPr="00F72E4C" w:rsidRDefault="00E10737" w:rsidP="004179DE">
            <w:pPr>
              <w:autoSpaceDE w:val="0"/>
              <w:autoSpaceDN w:val="0"/>
              <w:adjustRightInd w:val="0"/>
              <w:jc w:val="center"/>
              <w:rPr>
                <w:sz w:val="20"/>
                <w:szCs w:val="20"/>
              </w:rPr>
            </w:pPr>
            <w:r w:rsidRPr="00F72E4C">
              <w:rPr>
                <w:sz w:val="18"/>
              </w:rPr>
              <w:t>04</w:t>
            </w:r>
          </w:p>
        </w:tc>
        <w:tc>
          <w:tcPr>
            <w:tcW w:w="2040" w:type="dxa"/>
            <w:shd w:val="clear" w:color="auto" w:fill="auto"/>
            <w:vAlign w:val="center"/>
          </w:tcPr>
          <w:p w14:paraId="46F5FF1D" w14:textId="77777777" w:rsidR="00E10737" w:rsidRPr="00CF79E0" w:rsidRDefault="00E10737" w:rsidP="00C36296">
            <w:pPr>
              <w:autoSpaceDE w:val="0"/>
              <w:autoSpaceDN w:val="0"/>
              <w:adjustRightInd w:val="0"/>
              <w:jc w:val="center"/>
              <w:rPr>
                <w:sz w:val="18"/>
              </w:rPr>
            </w:pPr>
            <w:r w:rsidRPr="00CF79E0">
              <w:rPr>
                <w:sz w:val="18"/>
              </w:rPr>
              <w:t>2 964 786,00</w:t>
            </w:r>
          </w:p>
        </w:tc>
      </w:tr>
      <w:tr w:rsidR="00E10737" w:rsidRPr="003A7F56" w14:paraId="3832675E" w14:textId="77777777" w:rsidTr="00C36296">
        <w:trPr>
          <w:trHeight w:val="255"/>
          <w:jc w:val="center"/>
        </w:trPr>
        <w:tc>
          <w:tcPr>
            <w:tcW w:w="4912" w:type="dxa"/>
            <w:vMerge/>
            <w:shd w:val="clear" w:color="auto" w:fill="auto"/>
            <w:vAlign w:val="center"/>
          </w:tcPr>
          <w:p w14:paraId="13CCAE70"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E4CB53D" w14:textId="77777777" w:rsidR="00E10737" w:rsidRPr="00F72E4C" w:rsidRDefault="00E10737" w:rsidP="004179DE">
            <w:pPr>
              <w:autoSpaceDE w:val="0"/>
              <w:autoSpaceDN w:val="0"/>
              <w:adjustRightInd w:val="0"/>
              <w:jc w:val="center"/>
              <w:rPr>
                <w:sz w:val="20"/>
                <w:szCs w:val="20"/>
              </w:rPr>
            </w:pPr>
            <w:r w:rsidRPr="00F72E4C">
              <w:rPr>
                <w:w w:val="110"/>
                <w:sz w:val="18"/>
              </w:rPr>
              <w:t>05</w:t>
            </w:r>
          </w:p>
        </w:tc>
        <w:tc>
          <w:tcPr>
            <w:tcW w:w="2040" w:type="dxa"/>
            <w:shd w:val="clear" w:color="auto" w:fill="auto"/>
            <w:vAlign w:val="center"/>
          </w:tcPr>
          <w:p w14:paraId="4FD1A1A0" w14:textId="77777777" w:rsidR="00E10737" w:rsidRPr="00CF79E0" w:rsidRDefault="00E10737" w:rsidP="00C36296">
            <w:pPr>
              <w:autoSpaceDE w:val="0"/>
              <w:autoSpaceDN w:val="0"/>
              <w:adjustRightInd w:val="0"/>
              <w:jc w:val="center"/>
              <w:rPr>
                <w:sz w:val="18"/>
              </w:rPr>
            </w:pPr>
            <w:r w:rsidRPr="00CF79E0">
              <w:rPr>
                <w:sz w:val="18"/>
              </w:rPr>
              <w:t>2 470 655,00</w:t>
            </w:r>
          </w:p>
        </w:tc>
      </w:tr>
      <w:tr w:rsidR="00E10737" w:rsidRPr="003A7F56" w14:paraId="4037602F" w14:textId="77777777" w:rsidTr="00C36296">
        <w:trPr>
          <w:trHeight w:val="255"/>
          <w:jc w:val="center"/>
        </w:trPr>
        <w:tc>
          <w:tcPr>
            <w:tcW w:w="4912" w:type="dxa"/>
            <w:vMerge/>
            <w:shd w:val="clear" w:color="auto" w:fill="auto"/>
            <w:vAlign w:val="center"/>
          </w:tcPr>
          <w:p w14:paraId="00B45EBD"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22A3271E" w14:textId="77777777" w:rsidR="00E10737" w:rsidRPr="00F72E4C" w:rsidRDefault="00E10737" w:rsidP="004179DE">
            <w:pPr>
              <w:autoSpaceDE w:val="0"/>
              <w:autoSpaceDN w:val="0"/>
              <w:adjustRightInd w:val="0"/>
              <w:jc w:val="center"/>
              <w:rPr>
                <w:sz w:val="20"/>
                <w:szCs w:val="20"/>
              </w:rPr>
            </w:pPr>
            <w:r w:rsidRPr="00F72E4C">
              <w:rPr>
                <w:sz w:val="18"/>
              </w:rPr>
              <w:t>06</w:t>
            </w:r>
          </w:p>
        </w:tc>
        <w:tc>
          <w:tcPr>
            <w:tcW w:w="2040" w:type="dxa"/>
            <w:shd w:val="clear" w:color="auto" w:fill="auto"/>
            <w:vAlign w:val="center"/>
          </w:tcPr>
          <w:p w14:paraId="6820750D" w14:textId="77777777" w:rsidR="00E10737" w:rsidRPr="00CF79E0" w:rsidRDefault="00E10737" w:rsidP="00C36296">
            <w:pPr>
              <w:autoSpaceDE w:val="0"/>
              <w:autoSpaceDN w:val="0"/>
              <w:adjustRightInd w:val="0"/>
              <w:jc w:val="center"/>
              <w:rPr>
                <w:sz w:val="18"/>
              </w:rPr>
            </w:pPr>
            <w:r w:rsidRPr="00CF79E0">
              <w:rPr>
                <w:sz w:val="18"/>
              </w:rPr>
              <w:t>1 482 393,00</w:t>
            </w:r>
          </w:p>
        </w:tc>
      </w:tr>
    </w:tbl>
    <w:p w14:paraId="2771AED0"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35FAE4DB" w14:textId="77777777" w:rsidTr="004179DE">
        <w:trPr>
          <w:trHeight w:val="255"/>
          <w:jc w:val="center"/>
        </w:trPr>
        <w:tc>
          <w:tcPr>
            <w:tcW w:w="9072" w:type="dxa"/>
            <w:gridSpan w:val="3"/>
            <w:shd w:val="clear" w:color="auto" w:fill="DBE5F1"/>
            <w:vAlign w:val="center"/>
          </w:tcPr>
          <w:p w14:paraId="4F4C1CD5"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E10737" w:rsidRPr="003A7F56" w14:paraId="4180003D" w14:textId="77777777" w:rsidTr="004179DE">
        <w:trPr>
          <w:trHeight w:val="255"/>
          <w:jc w:val="center"/>
        </w:trPr>
        <w:tc>
          <w:tcPr>
            <w:tcW w:w="4912" w:type="dxa"/>
            <w:shd w:val="clear" w:color="auto" w:fill="DBE5F1"/>
            <w:vAlign w:val="center"/>
          </w:tcPr>
          <w:p w14:paraId="752A785A"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795809E1"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6150A71E" w14:textId="77777777" w:rsidTr="004179DE">
        <w:trPr>
          <w:trHeight w:val="255"/>
          <w:jc w:val="center"/>
        </w:trPr>
        <w:tc>
          <w:tcPr>
            <w:tcW w:w="4912" w:type="dxa"/>
            <w:shd w:val="clear" w:color="auto" w:fill="DBE5F1"/>
            <w:vAlign w:val="center"/>
          </w:tcPr>
          <w:p w14:paraId="6695F59B"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21FC2629"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2BC7A4D2" w14:textId="77777777" w:rsidTr="004179DE">
        <w:trPr>
          <w:trHeight w:val="255"/>
          <w:jc w:val="center"/>
        </w:trPr>
        <w:tc>
          <w:tcPr>
            <w:tcW w:w="4912" w:type="dxa"/>
            <w:shd w:val="clear" w:color="auto" w:fill="auto"/>
            <w:vAlign w:val="center"/>
          </w:tcPr>
          <w:p w14:paraId="6E281AE3"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139C7360"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7402D58E"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3A7F56" w14:paraId="48CA6B76" w14:textId="77777777" w:rsidTr="00C36296">
        <w:trPr>
          <w:trHeight w:val="255"/>
          <w:jc w:val="center"/>
        </w:trPr>
        <w:tc>
          <w:tcPr>
            <w:tcW w:w="4912" w:type="dxa"/>
            <w:vMerge w:val="restart"/>
            <w:shd w:val="clear" w:color="auto" w:fill="auto"/>
            <w:vAlign w:val="center"/>
          </w:tcPr>
          <w:p w14:paraId="250AC610"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12</w:t>
            </w:r>
            <w:r w:rsidRPr="003A7F56">
              <w:rPr>
                <w:rFonts w:ascii="TimesNewRoman" w:hAnsi="TimesNewRoman" w:cs="TimesNewRoman"/>
                <w:sz w:val="20"/>
                <w:szCs w:val="20"/>
              </w:rPr>
              <w:t xml:space="preserve"> – </w:t>
            </w:r>
            <w:r>
              <w:rPr>
                <w:rFonts w:ascii="TimesNewRoman" w:hAnsi="TimesNewRoman" w:cs="TimesNewRoman"/>
                <w:sz w:val="20"/>
                <w:szCs w:val="20"/>
              </w:rPr>
              <w:t>Rozvoj konkurencieschopnosti MSP v Bratislavskom kraji</w:t>
            </w:r>
          </w:p>
        </w:tc>
        <w:tc>
          <w:tcPr>
            <w:tcW w:w="2120" w:type="dxa"/>
            <w:shd w:val="clear" w:color="auto" w:fill="auto"/>
            <w:vAlign w:val="center"/>
          </w:tcPr>
          <w:p w14:paraId="295D0903" w14:textId="77777777" w:rsidR="00E10737" w:rsidRPr="00F229BB" w:rsidRDefault="00E10737" w:rsidP="004179DE">
            <w:pPr>
              <w:autoSpaceDE w:val="0"/>
              <w:autoSpaceDN w:val="0"/>
              <w:adjustRightInd w:val="0"/>
              <w:jc w:val="center"/>
              <w:rPr>
                <w:sz w:val="20"/>
                <w:szCs w:val="20"/>
              </w:rPr>
            </w:pPr>
            <w:r w:rsidRPr="003D0898">
              <w:rPr>
                <w:sz w:val="18"/>
              </w:rPr>
              <w:t>01</w:t>
            </w:r>
          </w:p>
        </w:tc>
        <w:tc>
          <w:tcPr>
            <w:tcW w:w="2040" w:type="dxa"/>
            <w:shd w:val="clear" w:color="auto" w:fill="auto"/>
            <w:vAlign w:val="center"/>
          </w:tcPr>
          <w:p w14:paraId="712F9094" w14:textId="0CDA5C16" w:rsidR="00E10737" w:rsidRPr="00CF79E0" w:rsidRDefault="00105712" w:rsidP="00105712">
            <w:pPr>
              <w:autoSpaceDE w:val="0"/>
              <w:autoSpaceDN w:val="0"/>
              <w:adjustRightInd w:val="0"/>
              <w:jc w:val="center"/>
              <w:rPr>
                <w:sz w:val="18"/>
              </w:rPr>
            </w:pPr>
            <w:r>
              <w:rPr>
                <w:sz w:val="18"/>
              </w:rPr>
              <w:t>24 751 949</w:t>
            </w:r>
            <w:r w:rsidR="00E10737" w:rsidRPr="00CF79E0">
              <w:rPr>
                <w:sz w:val="18"/>
              </w:rPr>
              <w:t>,00</w:t>
            </w:r>
          </w:p>
        </w:tc>
      </w:tr>
      <w:tr w:rsidR="00E10737" w:rsidRPr="003A7F56" w14:paraId="1C242207" w14:textId="77777777" w:rsidTr="00C36296">
        <w:trPr>
          <w:trHeight w:val="255"/>
          <w:jc w:val="center"/>
        </w:trPr>
        <w:tc>
          <w:tcPr>
            <w:tcW w:w="4912" w:type="dxa"/>
            <w:vMerge/>
            <w:shd w:val="clear" w:color="auto" w:fill="auto"/>
            <w:vAlign w:val="center"/>
          </w:tcPr>
          <w:p w14:paraId="188964B6"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9E96199" w14:textId="77777777" w:rsidR="00E10737" w:rsidRPr="00F229BB" w:rsidRDefault="00E10737" w:rsidP="004179DE">
            <w:pPr>
              <w:autoSpaceDE w:val="0"/>
              <w:autoSpaceDN w:val="0"/>
              <w:adjustRightInd w:val="0"/>
              <w:jc w:val="center"/>
              <w:rPr>
                <w:sz w:val="20"/>
                <w:szCs w:val="20"/>
              </w:rPr>
            </w:pPr>
            <w:r w:rsidRPr="003D0898">
              <w:rPr>
                <w:sz w:val="18"/>
              </w:rPr>
              <w:t>02</w:t>
            </w:r>
          </w:p>
        </w:tc>
        <w:tc>
          <w:tcPr>
            <w:tcW w:w="2040" w:type="dxa"/>
            <w:shd w:val="clear" w:color="auto" w:fill="auto"/>
            <w:vAlign w:val="center"/>
          </w:tcPr>
          <w:p w14:paraId="39520F5C" w14:textId="77777777" w:rsidR="00E10737" w:rsidRPr="00CF79E0" w:rsidRDefault="00E10737" w:rsidP="00C36296">
            <w:pPr>
              <w:autoSpaceDE w:val="0"/>
              <w:autoSpaceDN w:val="0"/>
              <w:adjustRightInd w:val="0"/>
              <w:jc w:val="center"/>
              <w:rPr>
                <w:sz w:val="18"/>
              </w:rPr>
            </w:pPr>
            <w:r w:rsidRPr="00CF79E0">
              <w:rPr>
                <w:sz w:val="18"/>
              </w:rPr>
              <w:t>6 246 038,00</w:t>
            </w:r>
          </w:p>
        </w:tc>
      </w:tr>
      <w:tr w:rsidR="00E10737" w:rsidRPr="003A7F56" w14:paraId="61438554" w14:textId="77777777" w:rsidTr="00C36296">
        <w:trPr>
          <w:trHeight w:val="255"/>
          <w:jc w:val="center"/>
        </w:trPr>
        <w:tc>
          <w:tcPr>
            <w:tcW w:w="4912" w:type="dxa"/>
            <w:vMerge/>
            <w:shd w:val="clear" w:color="auto" w:fill="auto"/>
            <w:vAlign w:val="center"/>
          </w:tcPr>
          <w:p w14:paraId="313A25B5" w14:textId="77777777" w:rsidR="00E10737" w:rsidRPr="003A7F56" w:rsidRDefault="00E10737" w:rsidP="004179DE">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1EC56F51" w14:textId="77777777" w:rsidR="00E10737" w:rsidRPr="00F229BB" w:rsidRDefault="00E10737" w:rsidP="004179DE">
            <w:pPr>
              <w:autoSpaceDE w:val="0"/>
              <w:autoSpaceDN w:val="0"/>
              <w:adjustRightInd w:val="0"/>
              <w:jc w:val="center"/>
              <w:rPr>
                <w:sz w:val="20"/>
                <w:szCs w:val="20"/>
              </w:rPr>
            </w:pPr>
            <w:r w:rsidRPr="003D0898">
              <w:rPr>
                <w:sz w:val="18"/>
              </w:rPr>
              <w:t>03</w:t>
            </w:r>
          </w:p>
        </w:tc>
        <w:tc>
          <w:tcPr>
            <w:tcW w:w="2040" w:type="dxa"/>
            <w:shd w:val="clear" w:color="auto" w:fill="auto"/>
            <w:vAlign w:val="center"/>
          </w:tcPr>
          <w:p w14:paraId="174C32BF" w14:textId="77777777" w:rsidR="00E10737" w:rsidRPr="00CF79E0" w:rsidRDefault="00E10737" w:rsidP="00C36296">
            <w:pPr>
              <w:autoSpaceDE w:val="0"/>
              <w:autoSpaceDN w:val="0"/>
              <w:adjustRightInd w:val="0"/>
              <w:jc w:val="center"/>
              <w:rPr>
                <w:sz w:val="18"/>
              </w:rPr>
            </w:pPr>
            <w:r w:rsidRPr="00CF79E0">
              <w:rPr>
                <w:sz w:val="18"/>
              </w:rPr>
              <w:t>2 498 414,00</w:t>
            </w:r>
          </w:p>
        </w:tc>
      </w:tr>
    </w:tbl>
    <w:p w14:paraId="765ECD57" w14:textId="77777777" w:rsidR="00E10737" w:rsidRDefault="00E10737" w:rsidP="00E10737">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E10737" w:rsidRPr="003A7F56" w14:paraId="30E1BAFB" w14:textId="77777777" w:rsidTr="004179DE">
        <w:trPr>
          <w:trHeight w:val="255"/>
          <w:jc w:val="center"/>
        </w:trPr>
        <w:tc>
          <w:tcPr>
            <w:tcW w:w="9072" w:type="dxa"/>
            <w:gridSpan w:val="3"/>
            <w:shd w:val="clear" w:color="auto" w:fill="DBE5F1"/>
            <w:vAlign w:val="center"/>
          </w:tcPr>
          <w:p w14:paraId="2DF87D0A"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4 – Územné mechanizmy realizácie</w:t>
            </w:r>
          </w:p>
        </w:tc>
      </w:tr>
      <w:tr w:rsidR="00E10737" w:rsidRPr="003A7F56" w14:paraId="56703BB0" w14:textId="77777777" w:rsidTr="004179DE">
        <w:trPr>
          <w:trHeight w:val="255"/>
          <w:jc w:val="center"/>
        </w:trPr>
        <w:tc>
          <w:tcPr>
            <w:tcW w:w="4912" w:type="dxa"/>
            <w:shd w:val="clear" w:color="auto" w:fill="DBE5F1"/>
            <w:vAlign w:val="center"/>
          </w:tcPr>
          <w:p w14:paraId="5ECEFA8F" w14:textId="77777777" w:rsidR="00E10737" w:rsidRPr="003A7F56" w:rsidRDefault="00E10737" w:rsidP="004179DE">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456F35D0" w14:textId="77777777" w:rsidR="00E10737" w:rsidRPr="003A7F56" w:rsidRDefault="00E10737" w:rsidP="004179DE">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E10737" w:rsidRPr="003A7F56" w14:paraId="40A3469E" w14:textId="77777777" w:rsidTr="004179DE">
        <w:trPr>
          <w:trHeight w:val="255"/>
          <w:jc w:val="center"/>
        </w:trPr>
        <w:tc>
          <w:tcPr>
            <w:tcW w:w="4912" w:type="dxa"/>
            <w:shd w:val="clear" w:color="auto" w:fill="DBE5F1"/>
            <w:vAlign w:val="center"/>
          </w:tcPr>
          <w:p w14:paraId="2AAEA196"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0879B862" w14:textId="77777777" w:rsidR="00E10737" w:rsidRPr="003A7F56" w:rsidRDefault="00E10737" w:rsidP="004179DE">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E10737" w:rsidRPr="003A7F56" w14:paraId="5B9E24DA" w14:textId="77777777" w:rsidTr="004179DE">
        <w:trPr>
          <w:trHeight w:val="255"/>
          <w:jc w:val="center"/>
        </w:trPr>
        <w:tc>
          <w:tcPr>
            <w:tcW w:w="4912" w:type="dxa"/>
            <w:shd w:val="clear" w:color="auto" w:fill="auto"/>
            <w:vAlign w:val="center"/>
          </w:tcPr>
          <w:p w14:paraId="52D8EC05" w14:textId="77777777" w:rsidR="00E10737" w:rsidRPr="003A7F56" w:rsidRDefault="00E10737" w:rsidP="004179DE">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66E366BD"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3CE94238" w14:textId="77777777" w:rsidR="00E10737" w:rsidRPr="003A7F56" w:rsidRDefault="00E10737" w:rsidP="004179DE">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E10737" w:rsidRPr="005337FF" w14:paraId="6C6208DE" w14:textId="77777777" w:rsidTr="004179DE">
        <w:trPr>
          <w:trHeight w:val="255"/>
          <w:jc w:val="center"/>
        </w:trPr>
        <w:tc>
          <w:tcPr>
            <w:tcW w:w="4912" w:type="dxa"/>
            <w:shd w:val="clear" w:color="auto" w:fill="auto"/>
            <w:vAlign w:val="center"/>
          </w:tcPr>
          <w:p w14:paraId="5CF8961C" w14:textId="77777777" w:rsidR="00E10737" w:rsidRPr="003A7F56" w:rsidRDefault="00E10737" w:rsidP="004179DE">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12</w:t>
            </w:r>
            <w:r w:rsidRPr="003A7F56">
              <w:rPr>
                <w:rFonts w:ascii="TimesNewRoman" w:hAnsi="TimesNewRoman" w:cs="TimesNewRoman"/>
                <w:sz w:val="20"/>
                <w:szCs w:val="20"/>
              </w:rPr>
              <w:t xml:space="preserve"> – </w:t>
            </w:r>
            <w:r>
              <w:rPr>
                <w:rFonts w:ascii="TimesNewRoman" w:hAnsi="TimesNewRoman" w:cs="TimesNewRoman"/>
                <w:sz w:val="20"/>
                <w:szCs w:val="20"/>
              </w:rPr>
              <w:t>Rozvoj konkurencieschopnosti MSP v Bratislavskom kraji</w:t>
            </w:r>
          </w:p>
        </w:tc>
        <w:tc>
          <w:tcPr>
            <w:tcW w:w="2120" w:type="dxa"/>
            <w:shd w:val="clear" w:color="auto" w:fill="auto"/>
            <w:vAlign w:val="center"/>
          </w:tcPr>
          <w:p w14:paraId="47A3A4FC" w14:textId="77777777" w:rsidR="00E10737" w:rsidRPr="00F229BB" w:rsidRDefault="00E10737" w:rsidP="004179DE">
            <w:pPr>
              <w:autoSpaceDE w:val="0"/>
              <w:autoSpaceDN w:val="0"/>
              <w:adjustRightInd w:val="0"/>
              <w:jc w:val="center"/>
              <w:rPr>
                <w:sz w:val="20"/>
                <w:szCs w:val="20"/>
              </w:rPr>
            </w:pPr>
            <w:r w:rsidRPr="003D0898">
              <w:rPr>
                <w:sz w:val="18"/>
              </w:rPr>
              <w:t>07</w:t>
            </w:r>
          </w:p>
        </w:tc>
        <w:tc>
          <w:tcPr>
            <w:tcW w:w="2040" w:type="dxa"/>
            <w:shd w:val="clear" w:color="auto" w:fill="auto"/>
            <w:vAlign w:val="center"/>
          </w:tcPr>
          <w:p w14:paraId="6BFD3834" w14:textId="300B6C85" w:rsidR="00E10737" w:rsidRPr="00CF79E0" w:rsidRDefault="00B1338B" w:rsidP="00B1338B">
            <w:pPr>
              <w:autoSpaceDE w:val="0"/>
              <w:autoSpaceDN w:val="0"/>
              <w:adjustRightInd w:val="0"/>
              <w:jc w:val="center"/>
              <w:rPr>
                <w:sz w:val="18"/>
              </w:rPr>
            </w:pPr>
            <w:r>
              <w:rPr>
                <w:sz w:val="18"/>
              </w:rPr>
              <w:t>33 496 401</w:t>
            </w:r>
            <w:r w:rsidR="00E10737" w:rsidRPr="00CF79E0">
              <w:rPr>
                <w:sz w:val="18"/>
              </w:rPr>
              <w:t>,00</w:t>
            </w:r>
          </w:p>
        </w:tc>
      </w:tr>
    </w:tbl>
    <w:p w14:paraId="4570ECEE" w14:textId="6EF0CA14" w:rsidR="00E10737" w:rsidRDefault="00E10737" w:rsidP="00E10737">
      <w:pPr>
        <w:pStyle w:val="Nadpis3"/>
        <w:tabs>
          <w:tab w:val="clear" w:pos="709"/>
        </w:tabs>
        <w:jc w:val="both"/>
      </w:pPr>
      <w:bookmarkStart w:id="134" w:name="_Toc28951667"/>
      <w:r>
        <w:t>Prípadný p</w:t>
      </w:r>
      <w:r w:rsidRPr="00F229BB">
        <w:t xml:space="preserve">rehľad o plánovanom použití technickej pomoci, </w:t>
      </w:r>
      <w:r>
        <w:t xml:space="preserve">v prípade potreby </w:t>
      </w:r>
      <w:r w:rsidR="001174FD">
        <w:t>vrátane aktivít na </w:t>
      </w:r>
      <w:r w:rsidRPr="00F229BB">
        <w:t>posilnenie administratívnej kapacity orgánov a</w:t>
      </w:r>
      <w:r>
        <w:t> </w:t>
      </w:r>
      <w:r w:rsidRPr="00F229BB">
        <w:t>prijímateľov</w:t>
      </w:r>
      <w:r>
        <w:t xml:space="preserve"> v rámci prioritnej osi 12</w:t>
      </w:r>
      <w:bookmarkEnd w:id="134"/>
    </w:p>
    <w:p w14:paraId="19B1EDE6" w14:textId="01FBBF13" w:rsidR="006B762B" w:rsidRDefault="00E10737" w:rsidP="00351D17">
      <w:r w:rsidRPr="005A1FB5">
        <w:rPr>
          <w:sz w:val="22"/>
          <w:szCs w:val="22"/>
        </w:rPr>
        <w:t>N/A</w:t>
      </w:r>
    </w:p>
    <w:p w14:paraId="44E389FD" w14:textId="77777777" w:rsidR="00274CA5" w:rsidRDefault="00274CA5" w:rsidP="006B762B">
      <w:pPr>
        <w:spacing w:before="180"/>
        <w:sectPr w:rsidR="00274CA5" w:rsidSect="00D1658B">
          <w:headerReference w:type="default" r:id="rId35"/>
          <w:pgSz w:w="11906" w:h="16838"/>
          <w:pgMar w:top="1418" w:right="1361" w:bottom="1304" w:left="1474" w:header="709" w:footer="709" w:gutter="0"/>
          <w:cols w:space="708"/>
          <w:docGrid w:linePitch="360"/>
        </w:sectPr>
      </w:pPr>
    </w:p>
    <w:p w14:paraId="663110B5" w14:textId="5B5A3106" w:rsidR="00274CA5" w:rsidRPr="008E22E0" w:rsidRDefault="00274CA5" w:rsidP="00274CA5">
      <w:pPr>
        <w:pStyle w:val="PRIORITNA"/>
        <w:numPr>
          <w:ilvl w:val="0"/>
          <w:numId w:val="0"/>
        </w:numPr>
        <w:rPr>
          <w:iCs w:val="0"/>
          <w:color w:val="1F497D" w:themeColor="text2"/>
          <w:sz w:val="22"/>
          <w:szCs w:val="26"/>
        </w:rPr>
      </w:pPr>
      <w:bookmarkStart w:id="135" w:name="_Toc28951668"/>
      <w:r w:rsidRPr="008E22E0">
        <w:rPr>
          <w:iCs w:val="0"/>
          <w:color w:val="1F497D" w:themeColor="text2"/>
          <w:sz w:val="22"/>
          <w:szCs w:val="26"/>
        </w:rPr>
        <w:lastRenderedPageBreak/>
        <w:t xml:space="preserve">Popis prioritných osí </w:t>
      </w:r>
      <w:r>
        <w:rPr>
          <w:iCs w:val="0"/>
          <w:color w:val="1F497D" w:themeColor="text2"/>
          <w:sz w:val="22"/>
          <w:szCs w:val="26"/>
        </w:rPr>
        <w:t>pre technickú pomoc</w:t>
      </w:r>
      <w:bookmarkEnd w:id="135"/>
    </w:p>
    <w:p w14:paraId="035AD044" w14:textId="36E91280" w:rsidR="00274CA5" w:rsidRDefault="00274CA5" w:rsidP="00274CA5">
      <w:pPr>
        <w:pStyle w:val="Nadpis2"/>
      </w:pPr>
      <w:bookmarkStart w:id="136" w:name="_Toc28951669"/>
      <w:r>
        <w:t>Prioritná os 13 – Technická pomoc</w:t>
      </w:r>
      <w:r w:rsidR="00BB3058">
        <w:t xml:space="preserve"> VaI</w:t>
      </w:r>
      <w:bookmarkEnd w:id="136"/>
    </w:p>
    <w:tbl>
      <w:tblPr>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274CA5" w:rsidRPr="00B0529F" w14:paraId="4241CD9E" w14:textId="77777777" w:rsidTr="005C0B99">
        <w:trPr>
          <w:trHeight w:val="284"/>
          <w:jc w:val="center"/>
        </w:trPr>
        <w:tc>
          <w:tcPr>
            <w:tcW w:w="4396" w:type="dxa"/>
            <w:shd w:val="clear" w:color="auto" w:fill="DBE5F1"/>
            <w:vAlign w:val="center"/>
          </w:tcPr>
          <w:p w14:paraId="4DF47261" w14:textId="77777777" w:rsidR="00274CA5" w:rsidRPr="00B0529F" w:rsidRDefault="00274CA5" w:rsidP="005C0B99">
            <w:pPr>
              <w:jc w:val="both"/>
            </w:pPr>
            <w:r w:rsidRPr="00B0529F">
              <w:rPr>
                <w:b/>
                <w:i/>
              </w:rPr>
              <w:t>ID prioritnej osi</w:t>
            </w:r>
          </w:p>
        </w:tc>
        <w:tc>
          <w:tcPr>
            <w:tcW w:w="3542" w:type="dxa"/>
            <w:shd w:val="clear" w:color="auto" w:fill="auto"/>
            <w:vAlign w:val="center"/>
          </w:tcPr>
          <w:p w14:paraId="35D4DD7D" w14:textId="77777777" w:rsidR="00274CA5" w:rsidRPr="00756D41" w:rsidRDefault="00274CA5" w:rsidP="005C0B99">
            <w:pPr>
              <w:jc w:val="both"/>
              <w:rPr>
                <w:b/>
                <w:bCs/>
                <w:iCs/>
                <w:color w:val="4F81BD" w:themeColor="accent1"/>
              </w:rPr>
            </w:pPr>
            <w:r>
              <w:rPr>
                <w:b/>
                <w:bCs/>
                <w:iCs/>
                <w:color w:val="4F81BD" w:themeColor="accent1"/>
              </w:rPr>
              <w:t>13</w:t>
            </w:r>
          </w:p>
        </w:tc>
      </w:tr>
      <w:tr w:rsidR="00274CA5" w:rsidRPr="00B0529F" w14:paraId="69AB05E9" w14:textId="77777777" w:rsidTr="005C0B99">
        <w:trPr>
          <w:trHeight w:val="284"/>
          <w:jc w:val="center"/>
        </w:trPr>
        <w:tc>
          <w:tcPr>
            <w:tcW w:w="4396" w:type="dxa"/>
            <w:shd w:val="clear" w:color="auto" w:fill="DBE5F1"/>
            <w:vAlign w:val="center"/>
          </w:tcPr>
          <w:p w14:paraId="7179EBA1" w14:textId="77777777" w:rsidR="00274CA5" w:rsidRPr="00B0529F" w:rsidRDefault="00274CA5" w:rsidP="005C0B99">
            <w:pPr>
              <w:jc w:val="both"/>
              <w:rPr>
                <w:b/>
                <w:i/>
              </w:rPr>
            </w:pPr>
            <w:r w:rsidRPr="00B0529F">
              <w:rPr>
                <w:b/>
                <w:i/>
              </w:rPr>
              <w:t>Názov prioritnej osi</w:t>
            </w:r>
          </w:p>
        </w:tc>
        <w:tc>
          <w:tcPr>
            <w:tcW w:w="3542" w:type="dxa"/>
            <w:shd w:val="clear" w:color="auto" w:fill="auto"/>
            <w:vAlign w:val="center"/>
          </w:tcPr>
          <w:p w14:paraId="6D517965" w14:textId="3D364147" w:rsidR="00274CA5" w:rsidRPr="00B0529F" w:rsidRDefault="00274CA5" w:rsidP="005C0B99">
            <w:pPr>
              <w:jc w:val="both"/>
            </w:pPr>
            <w:r w:rsidRPr="00B0529F">
              <w:t>Technická pomoc</w:t>
            </w:r>
            <w:r w:rsidR="00BB3058">
              <w:t xml:space="preserve"> VaI</w:t>
            </w:r>
          </w:p>
        </w:tc>
      </w:tr>
    </w:tbl>
    <w:p w14:paraId="610E9CFA" w14:textId="77777777" w:rsidR="00274CA5" w:rsidRDefault="00274CA5" w:rsidP="00274CA5">
      <w:pPr>
        <w:pStyle w:val="Nadpis3"/>
      </w:pPr>
      <w:bookmarkStart w:id="137" w:name="_Toc28951670"/>
      <w:r>
        <w:t>Fond, kategória regiónu a základ pre výpočet podpory Únie</w:t>
      </w:r>
      <w:bookmarkEnd w:id="137"/>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82"/>
        <w:gridCol w:w="3556"/>
      </w:tblGrid>
      <w:tr w:rsidR="00274CA5" w14:paraId="6F425B4C" w14:textId="77777777" w:rsidTr="005C0B99">
        <w:trPr>
          <w:trHeight w:val="255"/>
          <w:jc w:val="center"/>
        </w:trPr>
        <w:tc>
          <w:tcPr>
            <w:tcW w:w="4309" w:type="dxa"/>
            <w:shd w:val="clear" w:color="auto" w:fill="DBE5F1" w:themeFill="accent1" w:themeFillTint="33"/>
            <w:vAlign w:val="center"/>
          </w:tcPr>
          <w:p w14:paraId="08A8FACA" w14:textId="77777777" w:rsidR="00274CA5" w:rsidRPr="00D75844" w:rsidRDefault="00274CA5" w:rsidP="005C0B99">
            <w:pPr>
              <w:ind w:left="0"/>
              <w:rPr>
                <w:b/>
                <w:i/>
                <w:sz w:val="20"/>
                <w:szCs w:val="20"/>
              </w:rPr>
            </w:pPr>
            <w:r w:rsidRPr="00D75844">
              <w:rPr>
                <w:b/>
                <w:i/>
                <w:sz w:val="20"/>
                <w:szCs w:val="20"/>
              </w:rPr>
              <w:t>Fond</w:t>
            </w:r>
          </w:p>
        </w:tc>
        <w:tc>
          <w:tcPr>
            <w:tcW w:w="3496" w:type="dxa"/>
            <w:vAlign w:val="center"/>
          </w:tcPr>
          <w:p w14:paraId="55A9D44C" w14:textId="77777777" w:rsidR="00274CA5" w:rsidRPr="00D75844" w:rsidRDefault="00274CA5" w:rsidP="005C0B99">
            <w:pPr>
              <w:ind w:left="0"/>
              <w:rPr>
                <w:sz w:val="20"/>
                <w:szCs w:val="20"/>
              </w:rPr>
            </w:pPr>
            <w:r w:rsidRPr="00D75844">
              <w:rPr>
                <w:sz w:val="20"/>
                <w:szCs w:val="20"/>
              </w:rPr>
              <w:t>EFRR</w:t>
            </w:r>
          </w:p>
        </w:tc>
      </w:tr>
      <w:tr w:rsidR="00274CA5" w14:paraId="2AA9AAC8" w14:textId="77777777" w:rsidTr="005C0B99">
        <w:trPr>
          <w:trHeight w:val="255"/>
          <w:jc w:val="center"/>
        </w:trPr>
        <w:tc>
          <w:tcPr>
            <w:tcW w:w="4309" w:type="dxa"/>
            <w:shd w:val="clear" w:color="auto" w:fill="DBE5F1" w:themeFill="accent1" w:themeFillTint="33"/>
            <w:vAlign w:val="center"/>
          </w:tcPr>
          <w:p w14:paraId="5FB55DD5" w14:textId="77777777" w:rsidR="00274CA5" w:rsidRPr="00D75844" w:rsidRDefault="00274CA5" w:rsidP="005C0B99">
            <w:pPr>
              <w:ind w:left="0"/>
              <w:rPr>
                <w:b/>
                <w:i/>
                <w:sz w:val="20"/>
                <w:szCs w:val="20"/>
              </w:rPr>
            </w:pPr>
            <w:r w:rsidRPr="00D75844">
              <w:rPr>
                <w:b/>
                <w:i/>
                <w:sz w:val="20"/>
                <w:szCs w:val="20"/>
              </w:rPr>
              <w:t>Kategória regiónu</w:t>
            </w:r>
          </w:p>
        </w:tc>
        <w:tc>
          <w:tcPr>
            <w:tcW w:w="3496" w:type="dxa"/>
            <w:vAlign w:val="center"/>
          </w:tcPr>
          <w:p w14:paraId="4BDD8B85" w14:textId="77777777" w:rsidR="00274CA5" w:rsidRDefault="00274CA5" w:rsidP="005C0B99">
            <w:pPr>
              <w:ind w:left="0"/>
              <w:rPr>
                <w:sz w:val="20"/>
                <w:szCs w:val="20"/>
              </w:rPr>
            </w:pPr>
            <w:r>
              <w:rPr>
                <w:sz w:val="20"/>
                <w:szCs w:val="20"/>
              </w:rPr>
              <w:t>Menej rozvinutý</w:t>
            </w:r>
          </w:p>
          <w:p w14:paraId="0D3E50AD" w14:textId="77777777" w:rsidR="00274CA5" w:rsidRPr="00D75844" w:rsidRDefault="00274CA5" w:rsidP="005C0B99">
            <w:pPr>
              <w:ind w:left="0"/>
              <w:rPr>
                <w:sz w:val="20"/>
                <w:szCs w:val="20"/>
              </w:rPr>
            </w:pPr>
            <w:r>
              <w:rPr>
                <w:sz w:val="20"/>
                <w:szCs w:val="20"/>
              </w:rPr>
              <w:t>Rozvinutejší</w:t>
            </w:r>
          </w:p>
        </w:tc>
      </w:tr>
      <w:tr w:rsidR="00274CA5" w14:paraId="01985638" w14:textId="77777777" w:rsidTr="005C0B99">
        <w:trPr>
          <w:trHeight w:val="255"/>
          <w:jc w:val="center"/>
        </w:trPr>
        <w:tc>
          <w:tcPr>
            <w:tcW w:w="4309" w:type="dxa"/>
            <w:shd w:val="clear" w:color="auto" w:fill="DBE5F1" w:themeFill="accent1" w:themeFillTint="33"/>
            <w:vAlign w:val="center"/>
          </w:tcPr>
          <w:p w14:paraId="4A097B65" w14:textId="77777777" w:rsidR="00274CA5" w:rsidRPr="00D75844" w:rsidRDefault="00274CA5" w:rsidP="005C0B99">
            <w:pPr>
              <w:ind w:left="0"/>
              <w:rPr>
                <w:b/>
                <w:i/>
                <w:sz w:val="20"/>
                <w:szCs w:val="20"/>
              </w:rPr>
            </w:pPr>
            <w:r w:rsidRPr="00D75844">
              <w:rPr>
                <w:b/>
                <w:i/>
                <w:sz w:val="20"/>
                <w:szCs w:val="20"/>
              </w:rPr>
              <w:t>Základ pre výpočet (celkový príspevok)</w:t>
            </w:r>
          </w:p>
        </w:tc>
        <w:tc>
          <w:tcPr>
            <w:tcW w:w="3496" w:type="dxa"/>
            <w:vAlign w:val="center"/>
          </w:tcPr>
          <w:p w14:paraId="68CFA921" w14:textId="77777777" w:rsidR="00274CA5" w:rsidRPr="00D75844" w:rsidRDefault="00274CA5" w:rsidP="005C0B99">
            <w:pPr>
              <w:ind w:left="0"/>
              <w:rPr>
                <w:sz w:val="20"/>
                <w:szCs w:val="20"/>
                <w:lang w:val="en-US"/>
              </w:rPr>
            </w:pPr>
            <w:r>
              <w:rPr>
                <w:sz w:val="20"/>
                <w:szCs w:val="20"/>
                <w:lang w:val="en-US"/>
              </w:rPr>
              <w:t>70 000 000 EUR</w:t>
            </w:r>
          </w:p>
        </w:tc>
      </w:tr>
      <w:tr w:rsidR="00274CA5" w14:paraId="60C83062" w14:textId="77777777" w:rsidTr="005C0B99">
        <w:trPr>
          <w:trHeight w:val="255"/>
          <w:jc w:val="center"/>
        </w:trPr>
        <w:tc>
          <w:tcPr>
            <w:tcW w:w="4309" w:type="dxa"/>
            <w:shd w:val="clear" w:color="auto" w:fill="DBE5F1" w:themeFill="accent1" w:themeFillTint="33"/>
            <w:vAlign w:val="center"/>
          </w:tcPr>
          <w:p w14:paraId="4C306627" w14:textId="77777777" w:rsidR="00274CA5" w:rsidRPr="00D75844" w:rsidRDefault="00274CA5" w:rsidP="005C0B99">
            <w:pPr>
              <w:ind w:left="0"/>
              <w:rPr>
                <w:b/>
                <w:i/>
                <w:sz w:val="20"/>
                <w:szCs w:val="20"/>
              </w:rPr>
            </w:pPr>
            <w:r w:rsidRPr="005836D7">
              <w:rPr>
                <w:b/>
                <w:i/>
                <w:sz w:val="20"/>
                <w:szCs w:val="20"/>
              </w:rPr>
              <w:t>Kategória regiónu pre najvzdialenejšie a severné riedko osídlené</w:t>
            </w:r>
            <w:r>
              <w:rPr>
                <w:b/>
                <w:i/>
                <w:sz w:val="20"/>
                <w:szCs w:val="20"/>
              </w:rPr>
              <w:t xml:space="preserve"> </w:t>
            </w:r>
            <w:r w:rsidRPr="005836D7">
              <w:rPr>
                <w:b/>
                <w:i/>
                <w:sz w:val="20"/>
                <w:szCs w:val="20"/>
              </w:rPr>
              <w:t>(v prípade potreby)</w:t>
            </w:r>
          </w:p>
        </w:tc>
        <w:tc>
          <w:tcPr>
            <w:tcW w:w="3496" w:type="dxa"/>
            <w:vAlign w:val="center"/>
          </w:tcPr>
          <w:p w14:paraId="77CBCEC4" w14:textId="77777777" w:rsidR="00274CA5" w:rsidRDefault="00274CA5" w:rsidP="005C0B99">
            <w:pPr>
              <w:ind w:left="0"/>
              <w:rPr>
                <w:sz w:val="20"/>
                <w:szCs w:val="20"/>
                <w:lang w:val="en-US"/>
              </w:rPr>
            </w:pPr>
            <w:r>
              <w:rPr>
                <w:sz w:val="20"/>
                <w:szCs w:val="20"/>
                <w:lang w:val="en-US"/>
              </w:rPr>
              <w:t>N/A</w:t>
            </w:r>
          </w:p>
        </w:tc>
      </w:tr>
    </w:tbl>
    <w:p w14:paraId="7AF5111D" w14:textId="77777777" w:rsidR="00274CA5" w:rsidRDefault="00274CA5" w:rsidP="00274CA5">
      <w:pPr>
        <w:pStyle w:val="Nadpis3"/>
      </w:pPr>
      <w:bookmarkStart w:id="138" w:name="_Toc28951671"/>
      <w:r w:rsidRPr="007A5492">
        <w:t>Špecifické ciele pre investičné priority a očakávané výsledky</w:t>
      </w:r>
      <w:bookmarkEnd w:id="138"/>
    </w:p>
    <w:p w14:paraId="269E8CDC" w14:textId="4AB35554" w:rsidR="00274CA5" w:rsidRPr="004F0234" w:rsidRDefault="00274CA5" w:rsidP="00274CA5">
      <w:pPr>
        <w:shd w:val="clear" w:color="auto" w:fill="FFFFCC"/>
        <w:jc w:val="both"/>
        <w:rPr>
          <w:b/>
          <w:i/>
        </w:rPr>
      </w:pPr>
      <w:r w:rsidRPr="004F0234">
        <w:rPr>
          <w:i/>
        </w:rPr>
        <w:t xml:space="preserve">ŠPECIFICKÝ CIEĽ </w:t>
      </w:r>
      <w:r>
        <w:rPr>
          <w:i/>
        </w:rPr>
        <w:t>13.1</w:t>
      </w:r>
      <w:r w:rsidRPr="004F0234">
        <w:rPr>
          <w:i/>
        </w:rPr>
        <w:t xml:space="preserve">: </w:t>
      </w:r>
      <w:r w:rsidRPr="005836D7">
        <w:rPr>
          <w:b/>
          <w:i/>
        </w:rPr>
        <w:t>Podpora efektívnej implementácie operačného programu</w:t>
      </w:r>
      <w:r>
        <w:rPr>
          <w:b/>
          <w:i/>
        </w:rPr>
        <w:t xml:space="preserve"> </w:t>
      </w:r>
    </w:p>
    <w:p w14:paraId="2B8E8933" w14:textId="77777777" w:rsidR="00274CA5" w:rsidRDefault="00274CA5" w:rsidP="00274CA5">
      <w:pPr>
        <w:spacing w:before="180"/>
        <w:jc w:val="both"/>
        <w:rPr>
          <w:sz w:val="22"/>
          <w:szCs w:val="22"/>
        </w:rPr>
      </w:pPr>
      <w:r w:rsidRPr="005836D7">
        <w:rPr>
          <w:sz w:val="22"/>
          <w:szCs w:val="22"/>
        </w:rPr>
        <w:t>Špecifický cieľ je zameraný na podporu a zabezpečenie efektívneho riadenia a implementácie OP</w:t>
      </w:r>
      <w:r>
        <w:rPr>
          <w:sz w:val="22"/>
          <w:szCs w:val="22"/>
        </w:rPr>
        <w:t>I</w:t>
      </w:r>
      <w:r w:rsidRPr="005836D7">
        <w:rPr>
          <w:sz w:val="22"/>
          <w:szCs w:val="22"/>
        </w:rPr>
        <w:t>I</w:t>
      </w:r>
      <w:r>
        <w:rPr>
          <w:sz w:val="22"/>
          <w:szCs w:val="22"/>
        </w:rPr>
        <w:t xml:space="preserve"> (časť VaI)</w:t>
      </w:r>
      <w:r w:rsidRPr="005836D7">
        <w:rPr>
          <w:sz w:val="22"/>
          <w:szCs w:val="22"/>
        </w:rPr>
        <w:t>. Špecifický cieľ sleduje ambíciu dosiahnutia a udržania stab</w:t>
      </w:r>
      <w:r>
        <w:rPr>
          <w:sz w:val="22"/>
          <w:szCs w:val="22"/>
        </w:rPr>
        <w:t>ilného vnútorného prostredia so </w:t>
      </w:r>
      <w:r w:rsidRPr="005836D7">
        <w:rPr>
          <w:sz w:val="22"/>
          <w:szCs w:val="22"/>
        </w:rPr>
        <w:t>zabezpečovaním kvalitne spracovaných výstupov a dokumentov. Podpora efektívnej implementácie operačného programu bude zabezpečovaná nielen prostredníc</w:t>
      </w:r>
      <w:r>
        <w:rPr>
          <w:sz w:val="22"/>
          <w:szCs w:val="22"/>
        </w:rPr>
        <w:t>tvom kvalitných, motivovaných a </w:t>
      </w:r>
      <w:r w:rsidRPr="005836D7">
        <w:rPr>
          <w:sz w:val="22"/>
          <w:szCs w:val="22"/>
        </w:rPr>
        <w:t>morálne stabilizovaných administratívnych kapacít pri zavedení systémových prístupov ich vzdelávania, hodnotenia a odmeňovania, ale aj podporou zabezpečenia ich materiálno-technického vybavenia a zabezpečenia odborných a právnych náležitostí pre podporu implementačných štruktúr.</w:t>
      </w:r>
    </w:p>
    <w:p w14:paraId="163222A0" w14:textId="77777777" w:rsidR="00274CA5" w:rsidRPr="00B42303" w:rsidRDefault="00274CA5" w:rsidP="00274CA5">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1C671757" w14:textId="77777777" w:rsidR="00274CA5" w:rsidRPr="00047B2B" w:rsidRDefault="00274CA5" w:rsidP="00274CA5">
      <w:pPr>
        <w:pStyle w:val="Zkladntext"/>
        <w:widowControl w:val="0"/>
        <w:numPr>
          <w:ilvl w:val="0"/>
          <w:numId w:val="219"/>
        </w:numPr>
        <w:tabs>
          <w:tab w:val="left" w:pos="1533"/>
        </w:tabs>
        <w:spacing w:before="48"/>
        <w:jc w:val="both"/>
        <w:rPr>
          <w:sz w:val="22"/>
          <w:szCs w:val="22"/>
        </w:rPr>
      </w:pPr>
      <w:r w:rsidRPr="00047B2B">
        <w:rPr>
          <w:sz w:val="22"/>
          <w:szCs w:val="22"/>
        </w:rPr>
        <w:t>stabilizované, kvalifikované a kooperujúce administratívne kapacity s odborným potenciálom pre kvalitný manažment a proces implementácie operačného programu;</w:t>
      </w:r>
    </w:p>
    <w:p w14:paraId="39F71576" w14:textId="1CC06F0F" w:rsidR="00274CA5" w:rsidRPr="00047B2B" w:rsidRDefault="00274CA5" w:rsidP="00274CA5">
      <w:pPr>
        <w:pStyle w:val="Zkladntext"/>
        <w:widowControl w:val="0"/>
        <w:numPr>
          <w:ilvl w:val="0"/>
          <w:numId w:val="219"/>
        </w:numPr>
        <w:tabs>
          <w:tab w:val="left" w:pos="1533"/>
        </w:tabs>
        <w:spacing w:before="48"/>
        <w:jc w:val="both"/>
        <w:rPr>
          <w:sz w:val="22"/>
          <w:szCs w:val="22"/>
        </w:rPr>
      </w:pPr>
      <w:r w:rsidRPr="00047B2B">
        <w:rPr>
          <w:sz w:val="22"/>
          <w:szCs w:val="22"/>
        </w:rPr>
        <w:t>efektívnosť procesov implementačných štruktúr zabezpečených modernými materiálno-technickými pod</w:t>
      </w:r>
      <w:r>
        <w:rPr>
          <w:sz w:val="22"/>
          <w:szCs w:val="22"/>
        </w:rPr>
        <w:t>mienkami a podpornými službami.</w:t>
      </w:r>
    </w:p>
    <w:p w14:paraId="56FF13D3" w14:textId="53B5E6A4" w:rsidR="00274CA5" w:rsidRDefault="00274CA5" w:rsidP="00175C51">
      <w:pPr>
        <w:pStyle w:val="Tab"/>
        <w:tabs>
          <w:tab w:val="clear" w:pos="0"/>
          <w:tab w:val="clear" w:pos="851"/>
        </w:tabs>
        <w:ind w:left="1134" w:hanging="1134"/>
      </w:pPr>
      <w:r w:rsidRPr="00BE4E38">
        <w:t>Špecifické ukazovatele výsledkov programu zodpovedajúce špecifickému cieľu 1</w:t>
      </w:r>
      <w:r>
        <w:t>3</w:t>
      </w:r>
      <w:r w:rsidRPr="00BE4E38">
        <w:t>.</w:t>
      </w:r>
      <w:r>
        <w:t>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637"/>
        <w:gridCol w:w="992"/>
        <w:gridCol w:w="1417"/>
        <w:gridCol w:w="1418"/>
        <w:gridCol w:w="992"/>
        <w:gridCol w:w="1047"/>
        <w:gridCol w:w="1186"/>
      </w:tblGrid>
      <w:tr w:rsidR="00274CA5" w:rsidRPr="008C1732" w14:paraId="28EBD478" w14:textId="77777777" w:rsidTr="005C0B99">
        <w:trPr>
          <w:trHeight w:val="487"/>
          <w:jc w:val="center"/>
        </w:trPr>
        <w:tc>
          <w:tcPr>
            <w:tcW w:w="598" w:type="dxa"/>
            <w:shd w:val="clear" w:color="auto" w:fill="C6D9F1" w:themeFill="text2" w:themeFillTint="33"/>
            <w:vAlign w:val="center"/>
          </w:tcPr>
          <w:p w14:paraId="12A87C31" w14:textId="77777777" w:rsidR="00274CA5" w:rsidRPr="008C1732" w:rsidRDefault="00274CA5" w:rsidP="005C0B99">
            <w:pPr>
              <w:ind w:left="0"/>
              <w:jc w:val="center"/>
              <w:rPr>
                <w:b/>
                <w:sz w:val="18"/>
                <w:szCs w:val="18"/>
              </w:rPr>
            </w:pPr>
            <w:r>
              <w:rPr>
                <w:b/>
                <w:sz w:val="18"/>
                <w:szCs w:val="18"/>
              </w:rPr>
              <w:t>ID</w:t>
            </w:r>
          </w:p>
        </w:tc>
        <w:tc>
          <w:tcPr>
            <w:tcW w:w="1637" w:type="dxa"/>
            <w:shd w:val="clear" w:color="auto" w:fill="C6D9F1" w:themeFill="text2" w:themeFillTint="33"/>
            <w:vAlign w:val="center"/>
          </w:tcPr>
          <w:p w14:paraId="64B124E9" w14:textId="77777777" w:rsidR="00274CA5" w:rsidRPr="008C1732" w:rsidRDefault="00274CA5" w:rsidP="005C0B99">
            <w:pPr>
              <w:ind w:left="0"/>
              <w:jc w:val="center"/>
              <w:rPr>
                <w:b/>
                <w:sz w:val="18"/>
                <w:szCs w:val="18"/>
              </w:rPr>
            </w:pPr>
            <w:r w:rsidRPr="008C1732">
              <w:rPr>
                <w:b/>
                <w:sz w:val="18"/>
                <w:szCs w:val="18"/>
              </w:rPr>
              <w:t>Ukazovateľ</w:t>
            </w:r>
          </w:p>
        </w:tc>
        <w:tc>
          <w:tcPr>
            <w:tcW w:w="992" w:type="dxa"/>
            <w:shd w:val="clear" w:color="auto" w:fill="C6D9F1" w:themeFill="text2" w:themeFillTint="33"/>
            <w:vAlign w:val="center"/>
          </w:tcPr>
          <w:p w14:paraId="7AE1F8ED" w14:textId="77777777" w:rsidR="00274CA5" w:rsidRPr="008C1732" w:rsidRDefault="00274CA5" w:rsidP="005C0B99">
            <w:pPr>
              <w:ind w:left="0"/>
              <w:jc w:val="center"/>
              <w:rPr>
                <w:b/>
                <w:sz w:val="18"/>
                <w:szCs w:val="18"/>
              </w:rPr>
            </w:pPr>
            <w:r w:rsidRPr="008C1732">
              <w:rPr>
                <w:b/>
                <w:sz w:val="18"/>
                <w:szCs w:val="18"/>
              </w:rPr>
              <w:t>Merná jednotka</w:t>
            </w:r>
          </w:p>
        </w:tc>
        <w:tc>
          <w:tcPr>
            <w:tcW w:w="1417" w:type="dxa"/>
            <w:shd w:val="clear" w:color="auto" w:fill="C6D9F1" w:themeFill="text2" w:themeFillTint="33"/>
            <w:vAlign w:val="center"/>
          </w:tcPr>
          <w:p w14:paraId="4A1786B8" w14:textId="77777777" w:rsidR="00274CA5" w:rsidRPr="008C1732" w:rsidRDefault="00274CA5" w:rsidP="005C0B99">
            <w:pPr>
              <w:ind w:left="0"/>
              <w:jc w:val="center"/>
              <w:rPr>
                <w:b/>
                <w:sz w:val="18"/>
                <w:szCs w:val="18"/>
              </w:rPr>
            </w:pPr>
            <w:r>
              <w:rPr>
                <w:b/>
                <w:sz w:val="18"/>
                <w:szCs w:val="18"/>
              </w:rPr>
              <w:t>Východisková hodnota</w:t>
            </w:r>
          </w:p>
        </w:tc>
        <w:tc>
          <w:tcPr>
            <w:tcW w:w="1418" w:type="dxa"/>
            <w:shd w:val="clear" w:color="auto" w:fill="C6D9F1" w:themeFill="text2" w:themeFillTint="33"/>
            <w:vAlign w:val="center"/>
          </w:tcPr>
          <w:p w14:paraId="03982CF8" w14:textId="77777777" w:rsidR="00274CA5" w:rsidRPr="008C1732" w:rsidRDefault="00274CA5" w:rsidP="005C0B99">
            <w:pPr>
              <w:ind w:left="0"/>
              <w:jc w:val="center"/>
              <w:rPr>
                <w:b/>
                <w:sz w:val="18"/>
                <w:szCs w:val="18"/>
              </w:rPr>
            </w:pPr>
            <w:r>
              <w:rPr>
                <w:b/>
                <w:sz w:val="18"/>
                <w:szCs w:val="18"/>
              </w:rPr>
              <w:t>Východiskový rok</w:t>
            </w:r>
          </w:p>
        </w:tc>
        <w:tc>
          <w:tcPr>
            <w:tcW w:w="992" w:type="dxa"/>
            <w:shd w:val="clear" w:color="auto" w:fill="C6D9F1" w:themeFill="text2" w:themeFillTint="33"/>
            <w:vAlign w:val="center"/>
          </w:tcPr>
          <w:p w14:paraId="0001DDB2" w14:textId="77777777" w:rsidR="00274CA5" w:rsidRPr="008C1732" w:rsidRDefault="00274CA5" w:rsidP="005C0B99">
            <w:pPr>
              <w:ind w:left="0"/>
              <w:jc w:val="center"/>
              <w:rPr>
                <w:b/>
                <w:sz w:val="18"/>
                <w:szCs w:val="18"/>
              </w:rPr>
            </w:pPr>
            <w:r w:rsidRPr="008C1732">
              <w:rPr>
                <w:b/>
                <w:sz w:val="18"/>
                <w:szCs w:val="18"/>
              </w:rPr>
              <w:t>Cieľová hodnota (2023)</w:t>
            </w:r>
          </w:p>
        </w:tc>
        <w:tc>
          <w:tcPr>
            <w:tcW w:w="1047" w:type="dxa"/>
            <w:shd w:val="clear" w:color="auto" w:fill="C6D9F1" w:themeFill="text2" w:themeFillTint="33"/>
            <w:vAlign w:val="center"/>
          </w:tcPr>
          <w:p w14:paraId="62A2A099" w14:textId="77777777" w:rsidR="00274CA5" w:rsidRPr="008C1732" w:rsidRDefault="00274CA5" w:rsidP="005C0B99">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13F7EA7F" w14:textId="77777777" w:rsidR="00274CA5" w:rsidRPr="008C1732" w:rsidRDefault="00274CA5" w:rsidP="005C0B99">
            <w:pPr>
              <w:ind w:left="0"/>
              <w:jc w:val="center"/>
              <w:rPr>
                <w:b/>
                <w:sz w:val="18"/>
                <w:szCs w:val="18"/>
              </w:rPr>
            </w:pPr>
            <w:r w:rsidRPr="008C1732">
              <w:rPr>
                <w:b/>
                <w:sz w:val="18"/>
                <w:szCs w:val="18"/>
              </w:rPr>
              <w:t>Frekvencia vykazovania</w:t>
            </w:r>
          </w:p>
        </w:tc>
      </w:tr>
      <w:tr w:rsidR="00274CA5" w:rsidRPr="00DA54A1" w14:paraId="28305EDC" w14:textId="77777777" w:rsidTr="005C0B99">
        <w:trPr>
          <w:cantSplit/>
          <w:trHeight w:val="834"/>
          <w:jc w:val="center"/>
        </w:trPr>
        <w:tc>
          <w:tcPr>
            <w:tcW w:w="598" w:type="dxa"/>
            <w:shd w:val="clear" w:color="auto" w:fill="auto"/>
            <w:textDirection w:val="btLr"/>
            <w:vAlign w:val="center"/>
          </w:tcPr>
          <w:p w14:paraId="7A42BA42" w14:textId="77777777" w:rsidR="00274CA5" w:rsidRPr="00902CFA" w:rsidRDefault="00274CA5" w:rsidP="005C0B99">
            <w:pPr>
              <w:ind w:left="113" w:right="113"/>
              <w:jc w:val="center"/>
              <w:rPr>
                <w:sz w:val="18"/>
                <w:szCs w:val="18"/>
              </w:rPr>
            </w:pPr>
            <w:r w:rsidRPr="00902CFA">
              <w:rPr>
                <w:sz w:val="18"/>
                <w:szCs w:val="18"/>
              </w:rPr>
              <w:t>R0117</w:t>
            </w:r>
          </w:p>
        </w:tc>
        <w:tc>
          <w:tcPr>
            <w:tcW w:w="1637" w:type="dxa"/>
            <w:shd w:val="clear" w:color="auto" w:fill="auto"/>
            <w:vAlign w:val="center"/>
          </w:tcPr>
          <w:p w14:paraId="6CF07ECB" w14:textId="77777777" w:rsidR="00274CA5" w:rsidRPr="00351D17" w:rsidRDefault="00274CA5" w:rsidP="005C0B99">
            <w:pPr>
              <w:ind w:left="0"/>
              <w:jc w:val="center"/>
              <w:rPr>
                <w:sz w:val="18"/>
                <w:szCs w:val="18"/>
              </w:rPr>
            </w:pPr>
            <w:r w:rsidRPr="00351D17">
              <w:rPr>
                <w:sz w:val="18"/>
                <w:szCs w:val="18"/>
              </w:rPr>
              <w:t>Miera fluktuácie administratívnych kapacít</w:t>
            </w:r>
          </w:p>
        </w:tc>
        <w:tc>
          <w:tcPr>
            <w:tcW w:w="992" w:type="dxa"/>
            <w:shd w:val="clear" w:color="auto" w:fill="auto"/>
            <w:vAlign w:val="center"/>
          </w:tcPr>
          <w:p w14:paraId="613D25A9" w14:textId="77777777" w:rsidR="00274CA5" w:rsidRPr="00F058A0" w:rsidRDefault="00274CA5" w:rsidP="005C0B99">
            <w:pPr>
              <w:ind w:left="0"/>
              <w:jc w:val="center"/>
              <w:rPr>
                <w:i/>
                <w:sz w:val="18"/>
                <w:szCs w:val="18"/>
              </w:rPr>
            </w:pPr>
            <w:r w:rsidRPr="00F058A0">
              <w:rPr>
                <w:i/>
                <w:sz w:val="18"/>
                <w:szCs w:val="18"/>
              </w:rPr>
              <w:t>%</w:t>
            </w:r>
          </w:p>
        </w:tc>
        <w:tc>
          <w:tcPr>
            <w:tcW w:w="1417" w:type="dxa"/>
            <w:vAlign w:val="center"/>
          </w:tcPr>
          <w:p w14:paraId="01DA9E3D" w14:textId="77777777" w:rsidR="00274CA5" w:rsidRPr="00F058A0" w:rsidRDefault="00274CA5" w:rsidP="005C0B99">
            <w:pPr>
              <w:ind w:left="0"/>
              <w:jc w:val="center"/>
              <w:rPr>
                <w:i/>
                <w:sz w:val="18"/>
                <w:szCs w:val="18"/>
              </w:rPr>
            </w:pPr>
            <w:r w:rsidRPr="00F058A0">
              <w:rPr>
                <w:i/>
                <w:sz w:val="18"/>
                <w:szCs w:val="18"/>
              </w:rPr>
              <w:t>12,93</w:t>
            </w:r>
          </w:p>
        </w:tc>
        <w:tc>
          <w:tcPr>
            <w:tcW w:w="1418" w:type="dxa"/>
            <w:vAlign w:val="center"/>
          </w:tcPr>
          <w:p w14:paraId="3AF53578" w14:textId="77777777" w:rsidR="00274CA5" w:rsidRPr="00F058A0" w:rsidRDefault="00274CA5" w:rsidP="005C0B99">
            <w:pPr>
              <w:ind w:left="0"/>
              <w:jc w:val="center"/>
              <w:rPr>
                <w:i/>
                <w:sz w:val="18"/>
                <w:szCs w:val="18"/>
              </w:rPr>
            </w:pPr>
            <w:r w:rsidRPr="00F058A0">
              <w:rPr>
                <w:i/>
                <w:sz w:val="18"/>
                <w:szCs w:val="18"/>
              </w:rPr>
              <w:t>2013</w:t>
            </w:r>
          </w:p>
        </w:tc>
        <w:tc>
          <w:tcPr>
            <w:tcW w:w="992" w:type="dxa"/>
            <w:shd w:val="clear" w:color="auto" w:fill="auto"/>
            <w:vAlign w:val="center"/>
          </w:tcPr>
          <w:p w14:paraId="6C1115FC" w14:textId="77777777" w:rsidR="00274CA5" w:rsidRPr="00F058A0" w:rsidRDefault="00274CA5" w:rsidP="005C0B99">
            <w:pPr>
              <w:ind w:left="0"/>
              <w:jc w:val="center"/>
              <w:rPr>
                <w:i/>
                <w:sz w:val="18"/>
                <w:szCs w:val="18"/>
              </w:rPr>
            </w:pPr>
            <w:r w:rsidRPr="00F058A0">
              <w:rPr>
                <w:i/>
                <w:sz w:val="18"/>
                <w:szCs w:val="18"/>
              </w:rPr>
              <w:t>11,00</w:t>
            </w:r>
          </w:p>
        </w:tc>
        <w:tc>
          <w:tcPr>
            <w:tcW w:w="1047" w:type="dxa"/>
            <w:vAlign w:val="center"/>
          </w:tcPr>
          <w:p w14:paraId="668549C6" w14:textId="75434F2F" w:rsidR="00274CA5" w:rsidRPr="00F058A0" w:rsidRDefault="00274CA5" w:rsidP="005C0B99">
            <w:pPr>
              <w:ind w:left="0"/>
              <w:jc w:val="center"/>
              <w:rPr>
                <w:i/>
                <w:sz w:val="18"/>
                <w:szCs w:val="18"/>
              </w:rPr>
            </w:pPr>
            <w:r w:rsidRPr="00F058A0">
              <w:rPr>
                <w:i/>
                <w:sz w:val="18"/>
                <w:szCs w:val="18"/>
              </w:rPr>
              <w:t>SO</w:t>
            </w:r>
          </w:p>
        </w:tc>
        <w:tc>
          <w:tcPr>
            <w:tcW w:w="1186" w:type="dxa"/>
            <w:vAlign w:val="center"/>
          </w:tcPr>
          <w:p w14:paraId="226C1A0E" w14:textId="77777777" w:rsidR="00274CA5" w:rsidRPr="00F058A0" w:rsidRDefault="00274CA5" w:rsidP="005C0B99">
            <w:pPr>
              <w:ind w:left="0"/>
              <w:jc w:val="center"/>
              <w:rPr>
                <w:i/>
                <w:sz w:val="18"/>
                <w:szCs w:val="18"/>
              </w:rPr>
            </w:pPr>
            <w:r w:rsidRPr="00F058A0">
              <w:rPr>
                <w:i/>
                <w:sz w:val="18"/>
                <w:szCs w:val="18"/>
              </w:rPr>
              <w:t>ročne</w:t>
            </w:r>
          </w:p>
        </w:tc>
      </w:tr>
      <w:tr w:rsidR="00274CA5" w:rsidRPr="00DA54A1" w14:paraId="7E0FA1E3" w14:textId="77777777" w:rsidTr="005C0B99">
        <w:trPr>
          <w:cantSplit/>
          <w:trHeight w:val="834"/>
          <w:jc w:val="center"/>
        </w:trPr>
        <w:tc>
          <w:tcPr>
            <w:tcW w:w="598" w:type="dxa"/>
            <w:shd w:val="clear" w:color="auto" w:fill="auto"/>
            <w:textDirection w:val="btLr"/>
            <w:vAlign w:val="center"/>
          </w:tcPr>
          <w:p w14:paraId="62B3D43E" w14:textId="77777777" w:rsidR="00274CA5" w:rsidRPr="00902CFA" w:rsidRDefault="00274CA5" w:rsidP="005C0B99">
            <w:pPr>
              <w:ind w:left="113" w:right="113"/>
              <w:jc w:val="center"/>
              <w:rPr>
                <w:sz w:val="18"/>
                <w:szCs w:val="18"/>
              </w:rPr>
            </w:pPr>
            <w:r w:rsidRPr="00902CFA">
              <w:rPr>
                <w:sz w:val="18"/>
                <w:szCs w:val="18"/>
              </w:rPr>
              <w:t>R0116</w:t>
            </w:r>
          </w:p>
        </w:tc>
        <w:tc>
          <w:tcPr>
            <w:tcW w:w="1637" w:type="dxa"/>
            <w:shd w:val="clear" w:color="auto" w:fill="auto"/>
            <w:vAlign w:val="center"/>
          </w:tcPr>
          <w:p w14:paraId="27E242D0" w14:textId="77777777" w:rsidR="00274CA5" w:rsidRPr="00351D17" w:rsidRDefault="00274CA5" w:rsidP="005C0B99">
            <w:pPr>
              <w:ind w:left="0"/>
              <w:jc w:val="center"/>
              <w:rPr>
                <w:sz w:val="18"/>
                <w:szCs w:val="18"/>
              </w:rPr>
            </w:pPr>
            <w:r w:rsidRPr="00351D17">
              <w:rPr>
                <w:sz w:val="18"/>
                <w:szCs w:val="18"/>
              </w:rPr>
              <w:t>Miera dodržiavania lehôt na úhradu platieb prijímateľom</w:t>
            </w:r>
          </w:p>
        </w:tc>
        <w:tc>
          <w:tcPr>
            <w:tcW w:w="992" w:type="dxa"/>
            <w:shd w:val="clear" w:color="auto" w:fill="auto"/>
            <w:vAlign w:val="center"/>
          </w:tcPr>
          <w:p w14:paraId="2E29FBCE" w14:textId="77777777" w:rsidR="00274CA5" w:rsidRPr="00F058A0" w:rsidRDefault="00274CA5" w:rsidP="005C0B99">
            <w:pPr>
              <w:ind w:left="0"/>
              <w:jc w:val="center"/>
              <w:rPr>
                <w:i/>
                <w:sz w:val="18"/>
                <w:szCs w:val="18"/>
              </w:rPr>
            </w:pPr>
            <w:r w:rsidRPr="00F058A0">
              <w:rPr>
                <w:i/>
                <w:sz w:val="18"/>
                <w:szCs w:val="18"/>
              </w:rPr>
              <w:t>%</w:t>
            </w:r>
          </w:p>
        </w:tc>
        <w:tc>
          <w:tcPr>
            <w:tcW w:w="1417" w:type="dxa"/>
            <w:vAlign w:val="center"/>
          </w:tcPr>
          <w:p w14:paraId="1BADEA4D" w14:textId="77777777" w:rsidR="00274CA5" w:rsidRPr="00F058A0" w:rsidRDefault="00274CA5" w:rsidP="005C0B99">
            <w:pPr>
              <w:ind w:left="0"/>
              <w:jc w:val="center"/>
              <w:rPr>
                <w:i/>
                <w:sz w:val="18"/>
                <w:szCs w:val="18"/>
              </w:rPr>
            </w:pPr>
            <w:r w:rsidRPr="00F058A0">
              <w:rPr>
                <w:i/>
                <w:sz w:val="18"/>
                <w:szCs w:val="18"/>
              </w:rPr>
              <w:t>15,76</w:t>
            </w:r>
          </w:p>
        </w:tc>
        <w:tc>
          <w:tcPr>
            <w:tcW w:w="1418" w:type="dxa"/>
            <w:vAlign w:val="center"/>
          </w:tcPr>
          <w:p w14:paraId="7A0244FD" w14:textId="77777777" w:rsidR="00274CA5" w:rsidRPr="00F058A0" w:rsidRDefault="00274CA5" w:rsidP="005C0B99">
            <w:pPr>
              <w:ind w:left="0"/>
              <w:jc w:val="center"/>
              <w:rPr>
                <w:i/>
                <w:sz w:val="18"/>
                <w:szCs w:val="18"/>
              </w:rPr>
            </w:pPr>
            <w:r w:rsidRPr="00F058A0">
              <w:rPr>
                <w:i/>
                <w:sz w:val="18"/>
                <w:szCs w:val="18"/>
              </w:rPr>
              <w:t>2014</w:t>
            </w:r>
          </w:p>
        </w:tc>
        <w:tc>
          <w:tcPr>
            <w:tcW w:w="992" w:type="dxa"/>
            <w:shd w:val="clear" w:color="auto" w:fill="auto"/>
            <w:vAlign w:val="center"/>
          </w:tcPr>
          <w:p w14:paraId="441DA6E1" w14:textId="77777777" w:rsidR="00274CA5" w:rsidRPr="00F058A0" w:rsidRDefault="00274CA5" w:rsidP="005C0B99">
            <w:pPr>
              <w:ind w:left="0"/>
              <w:jc w:val="center"/>
              <w:rPr>
                <w:i/>
                <w:sz w:val="18"/>
                <w:szCs w:val="18"/>
              </w:rPr>
            </w:pPr>
            <w:r w:rsidRPr="00F058A0">
              <w:rPr>
                <w:i/>
                <w:sz w:val="18"/>
                <w:szCs w:val="18"/>
              </w:rPr>
              <w:t>85,00</w:t>
            </w:r>
          </w:p>
        </w:tc>
        <w:tc>
          <w:tcPr>
            <w:tcW w:w="1047" w:type="dxa"/>
            <w:vAlign w:val="center"/>
          </w:tcPr>
          <w:p w14:paraId="4097E113" w14:textId="77777777" w:rsidR="00274CA5" w:rsidRPr="00F058A0" w:rsidRDefault="00274CA5" w:rsidP="005C0B99">
            <w:pPr>
              <w:ind w:left="0"/>
              <w:jc w:val="center"/>
              <w:rPr>
                <w:i/>
                <w:sz w:val="18"/>
                <w:szCs w:val="18"/>
              </w:rPr>
            </w:pPr>
            <w:r w:rsidRPr="00F058A0">
              <w:rPr>
                <w:i/>
                <w:sz w:val="18"/>
                <w:szCs w:val="18"/>
              </w:rPr>
              <w:t>ITMS</w:t>
            </w:r>
          </w:p>
        </w:tc>
        <w:tc>
          <w:tcPr>
            <w:tcW w:w="1186" w:type="dxa"/>
            <w:vAlign w:val="center"/>
          </w:tcPr>
          <w:p w14:paraId="1DA27FDA" w14:textId="77777777" w:rsidR="00274CA5" w:rsidRPr="00F058A0" w:rsidRDefault="00274CA5" w:rsidP="005C0B99">
            <w:pPr>
              <w:ind w:left="0"/>
              <w:jc w:val="center"/>
              <w:rPr>
                <w:i/>
                <w:sz w:val="18"/>
                <w:szCs w:val="18"/>
              </w:rPr>
            </w:pPr>
            <w:r w:rsidRPr="00F058A0">
              <w:rPr>
                <w:i/>
                <w:sz w:val="18"/>
                <w:szCs w:val="18"/>
              </w:rPr>
              <w:t>ročne</w:t>
            </w:r>
          </w:p>
        </w:tc>
      </w:tr>
    </w:tbl>
    <w:p w14:paraId="38C27D8C" w14:textId="77777777" w:rsidR="00274CA5" w:rsidRDefault="00274CA5" w:rsidP="00274CA5">
      <w:pPr>
        <w:spacing w:before="180"/>
        <w:jc w:val="both"/>
        <w:rPr>
          <w:sz w:val="22"/>
          <w:szCs w:val="22"/>
        </w:rPr>
      </w:pPr>
    </w:p>
    <w:p w14:paraId="185735E9" w14:textId="3338EE34" w:rsidR="00274CA5" w:rsidRPr="004F0234" w:rsidRDefault="00274CA5" w:rsidP="00274CA5">
      <w:pPr>
        <w:shd w:val="clear" w:color="auto" w:fill="FFFFCC"/>
        <w:jc w:val="both"/>
        <w:rPr>
          <w:b/>
          <w:i/>
        </w:rPr>
      </w:pPr>
      <w:r w:rsidRPr="004F0234">
        <w:rPr>
          <w:i/>
        </w:rPr>
        <w:t xml:space="preserve">ŠPECIFICKÝ CIEĽ </w:t>
      </w:r>
      <w:r>
        <w:rPr>
          <w:i/>
        </w:rPr>
        <w:t>13.2</w:t>
      </w:r>
      <w:r w:rsidRPr="004F0234">
        <w:rPr>
          <w:i/>
        </w:rPr>
        <w:t xml:space="preserve">: </w:t>
      </w:r>
      <w:r w:rsidRPr="00F90877">
        <w:rPr>
          <w:b/>
          <w:i/>
        </w:rPr>
        <w:t>Zabezpečenie publicity, informovania a podpory posilnenia administratívnych kapacít prijímateľov v procese implementácie</w:t>
      </w:r>
      <w:r>
        <w:rPr>
          <w:b/>
          <w:i/>
        </w:rPr>
        <w:t xml:space="preserve"> </w:t>
      </w:r>
    </w:p>
    <w:p w14:paraId="64BBDB26" w14:textId="77777777" w:rsidR="00274CA5" w:rsidRDefault="00274CA5" w:rsidP="00274CA5">
      <w:pPr>
        <w:spacing w:before="180"/>
        <w:jc w:val="both"/>
        <w:rPr>
          <w:sz w:val="22"/>
          <w:szCs w:val="22"/>
        </w:rPr>
      </w:pPr>
      <w:r w:rsidRPr="00437E72">
        <w:rPr>
          <w:sz w:val="22"/>
          <w:szCs w:val="22"/>
        </w:rPr>
        <w:t>Špecifický cieľ je zameraný na zabezpečenie podpory procesov informovania a komunikácie, vrátane podpory realizácie procesov súvisiacich s posilnením administratívnych kapacít prijímateľov. Smerovanie podpory v tejto oblasti bude zabezpečované prostredníctvom zvýšenej dostupnosti informácií ale aj poradenstva pre verejnosť a administratívne kapacity prijímateľov, uľahčením prípravy podkladov spojených s implementáciou projektu a zabezpečením systému vzdelávania prijímateľov o podmienkach implementácie EŠIF.</w:t>
      </w:r>
    </w:p>
    <w:p w14:paraId="2D18CFE5" w14:textId="77777777" w:rsidR="00F058A0" w:rsidRDefault="00F058A0" w:rsidP="00274CA5">
      <w:pPr>
        <w:spacing w:before="180"/>
        <w:jc w:val="both"/>
        <w:rPr>
          <w:sz w:val="22"/>
          <w:szCs w:val="22"/>
        </w:rPr>
      </w:pPr>
    </w:p>
    <w:p w14:paraId="15D320CA" w14:textId="77777777" w:rsidR="00274CA5" w:rsidRPr="00B42303" w:rsidRDefault="00274CA5" w:rsidP="00274CA5">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lastRenderedPageBreak/>
        <w:t>VÝSLEDKY</w:t>
      </w:r>
    </w:p>
    <w:p w14:paraId="5F9DB302" w14:textId="77777777" w:rsidR="00274CA5" w:rsidRPr="00902CFA" w:rsidRDefault="00274CA5" w:rsidP="00274CA5">
      <w:pPr>
        <w:pStyle w:val="Odsekzoznamu"/>
        <w:numPr>
          <w:ilvl w:val="0"/>
          <w:numId w:val="220"/>
        </w:numPr>
        <w:jc w:val="both"/>
        <w:rPr>
          <w:sz w:val="22"/>
          <w:szCs w:val="22"/>
        </w:rPr>
      </w:pPr>
      <w:r w:rsidRPr="00902CFA">
        <w:rPr>
          <w:sz w:val="22"/>
          <w:szCs w:val="22"/>
        </w:rPr>
        <w:t>kvalitné a odborne pripravené výstupy a dokumenty zo strany administratívnych kapacít prijímateľov pre plynulú a riadnu implementáciu operačného programu;</w:t>
      </w:r>
    </w:p>
    <w:p w14:paraId="3FE93476" w14:textId="77777777" w:rsidR="00274CA5" w:rsidRPr="00DD0B15" w:rsidRDefault="00274CA5" w:rsidP="00274CA5">
      <w:pPr>
        <w:pStyle w:val="Odsekzoznamu"/>
        <w:numPr>
          <w:ilvl w:val="0"/>
          <w:numId w:val="220"/>
        </w:numPr>
        <w:rPr>
          <w:sz w:val="22"/>
          <w:szCs w:val="22"/>
        </w:rPr>
      </w:pPr>
      <w:r w:rsidRPr="00902CFA">
        <w:rPr>
          <w:sz w:val="22"/>
          <w:szCs w:val="22"/>
        </w:rPr>
        <w:t>zabezpečená komunikácia v oblasti informovania, publicity a posilnenia povedomia.</w:t>
      </w:r>
    </w:p>
    <w:p w14:paraId="708E5972" w14:textId="49BBFDCB" w:rsidR="00274CA5" w:rsidRDefault="00274CA5" w:rsidP="00175C51">
      <w:pPr>
        <w:pStyle w:val="Tab"/>
        <w:tabs>
          <w:tab w:val="clear" w:pos="0"/>
          <w:tab w:val="clear" w:pos="851"/>
        </w:tabs>
        <w:ind w:left="1134" w:hanging="1134"/>
      </w:pPr>
      <w:r w:rsidRPr="00BE4E38">
        <w:t>Špecifické ukazovatele výsledkov programu zodpovedajúce špecifickému cieľu 1</w:t>
      </w:r>
      <w:r>
        <w:t>3</w:t>
      </w:r>
      <w:r w:rsidRPr="00BE4E38">
        <w:t>.</w:t>
      </w:r>
      <w:r>
        <w:t>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637"/>
        <w:gridCol w:w="992"/>
        <w:gridCol w:w="1417"/>
        <w:gridCol w:w="1418"/>
        <w:gridCol w:w="992"/>
        <w:gridCol w:w="1047"/>
        <w:gridCol w:w="1186"/>
      </w:tblGrid>
      <w:tr w:rsidR="00274CA5" w:rsidRPr="008C1732" w14:paraId="3E94443B" w14:textId="77777777" w:rsidTr="005C0B99">
        <w:trPr>
          <w:trHeight w:val="487"/>
          <w:jc w:val="center"/>
        </w:trPr>
        <w:tc>
          <w:tcPr>
            <w:tcW w:w="598" w:type="dxa"/>
            <w:shd w:val="clear" w:color="auto" w:fill="C6D9F1" w:themeFill="text2" w:themeFillTint="33"/>
            <w:vAlign w:val="center"/>
          </w:tcPr>
          <w:p w14:paraId="200A6EAA" w14:textId="77777777" w:rsidR="00274CA5" w:rsidRPr="008C1732" w:rsidRDefault="00274CA5" w:rsidP="005C0B99">
            <w:pPr>
              <w:ind w:left="0"/>
              <w:jc w:val="center"/>
              <w:rPr>
                <w:b/>
                <w:sz w:val="18"/>
                <w:szCs w:val="18"/>
              </w:rPr>
            </w:pPr>
            <w:r>
              <w:rPr>
                <w:b/>
                <w:sz w:val="18"/>
                <w:szCs w:val="18"/>
              </w:rPr>
              <w:t>ID</w:t>
            </w:r>
          </w:p>
        </w:tc>
        <w:tc>
          <w:tcPr>
            <w:tcW w:w="1637" w:type="dxa"/>
            <w:shd w:val="clear" w:color="auto" w:fill="C6D9F1" w:themeFill="text2" w:themeFillTint="33"/>
            <w:vAlign w:val="center"/>
          </w:tcPr>
          <w:p w14:paraId="4B443A29" w14:textId="77777777" w:rsidR="00274CA5" w:rsidRPr="008C1732" w:rsidRDefault="00274CA5" w:rsidP="005C0B99">
            <w:pPr>
              <w:ind w:left="0"/>
              <w:jc w:val="center"/>
              <w:rPr>
                <w:b/>
                <w:sz w:val="18"/>
                <w:szCs w:val="18"/>
              </w:rPr>
            </w:pPr>
            <w:r w:rsidRPr="008C1732">
              <w:rPr>
                <w:b/>
                <w:sz w:val="18"/>
                <w:szCs w:val="18"/>
              </w:rPr>
              <w:t>Ukazovateľ</w:t>
            </w:r>
          </w:p>
        </w:tc>
        <w:tc>
          <w:tcPr>
            <w:tcW w:w="992" w:type="dxa"/>
            <w:shd w:val="clear" w:color="auto" w:fill="C6D9F1" w:themeFill="text2" w:themeFillTint="33"/>
            <w:vAlign w:val="center"/>
          </w:tcPr>
          <w:p w14:paraId="13781EE6" w14:textId="77777777" w:rsidR="00274CA5" w:rsidRPr="008C1732" w:rsidRDefault="00274CA5" w:rsidP="005C0B99">
            <w:pPr>
              <w:ind w:left="0"/>
              <w:jc w:val="center"/>
              <w:rPr>
                <w:b/>
                <w:sz w:val="18"/>
                <w:szCs w:val="18"/>
              </w:rPr>
            </w:pPr>
            <w:r w:rsidRPr="008C1732">
              <w:rPr>
                <w:b/>
                <w:sz w:val="18"/>
                <w:szCs w:val="18"/>
              </w:rPr>
              <w:t>Merná jednotka</w:t>
            </w:r>
          </w:p>
        </w:tc>
        <w:tc>
          <w:tcPr>
            <w:tcW w:w="1417" w:type="dxa"/>
            <w:shd w:val="clear" w:color="auto" w:fill="C6D9F1" w:themeFill="text2" w:themeFillTint="33"/>
            <w:vAlign w:val="center"/>
          </w:tcPr>
          <w:p w14:paraId="02461588" w14:textId="77777777" w:rsidR="00274CA5" w:rsidRPr="008C1732" w:rsidRDefault="00274CA5" w:rsidP="005C0B99">
            <w:pPr>
              <w:ind w:left="0"/>
              <w:jc w:val="center"/>
              <w:rPr>
                <w:b/>
                <w:sz w:val="18"/>
                <w:szCs w:val="18"/>
              </w:rPr>
            </w:pPr>
            <w:r>
              <w:rPr>
                <w:b/>
                <w:sz w:val="18"/>
                <w:szCs w:val="18"/>
              </w:rPr>
              <w:t>Východisková hodnota</w:t>
            </w:r>
          </w:p>
        </w:tc>
        <w:tc>
          <w:tcPr>
            <w:tcW w:w="1418" w:type="dxa"/>
            <w:shd w:val="clear" w:color="auto" w:fill="C6D9F1" w:themeFill="text2" w:themeFillTint="33"/>
            <w:vAlign w:val="center"/>
          </w:tcPr>
          <w:p w14:paraId="55B4A9D1" w14:textId="77777777" w:rsidR="00274CA5" w:rsidRPr="008C1732" w:rsidRDefault="00274CA5" w:rsidP="005C0B99">
            <w:pPr>
              <w:ind w:left="0"/>
              <w:jc w:val="center"/>
              <w:rPr>
                <w:b/>
                <w:sz w:val="18"/>
                <w:szCs w:val="18"/>
              </w:rPr>
            </w:pPr>
            <w:r>
              <w:rPr>
                <w:b/>
                <w:sz w:val="18"/>
                <w:szCs w:val="18"/>
              </w:rPr>
              <w:t>Východiskový rok</w:t>
            </w:r>
          </w:p>
        </w:tc>
        <w:tc>
          <w:tcPr>
            <w:tcW w:w="992" w:type="dxa"/>
            <w:shd w:val="clear" w:color="auto" w:fill="C6D9F1" w:themeFill="text2" w:themeFillTint="33"/>
            <w:vAlign w:val="center"/>
          </w:tcPr>
          <w:p w14:paraId="0EE3A59A" w14:textId="77777777" w:rsidR="00274CA5" w:rsidRPr="008C1732" w:rsidRDefault="00274CA5" w:rsidP="005C0B99">
            <w:pPr>
              <w:ind w:left="0"/>
              <w:jc w:val="center"/>
              <w:rPr>
                <w:b/>
                <w:sz w:val="18"/>
                <w:szCs w:val="18"/>
              </w:rPr>
            </w:pPr>
            <w:r w:rsidRPr="008C1732">
              <w:rPr>
                <w:b/>
                <w:sz w:val="18"/>
                <w:szCs w:val="18"/>
              </w:rPr>
              <w:t>Cieľová hodnota (2023)</w:t>
            </w:r>
          </w:p>
        </w:tc>
        <w:tc>
          <w:tcPr>
            <w:tcW w:w="1047" w:type="dxa"/>
            <w:shd w:val="clear" w:color="auto" w:fill="C6D9F1" w:themeFill="text2" w:themeFillTint="33"/>
            <w:vAlign w:val="center"/>
          </w:tcPr>
          <w:p w14:paraId="4E54B3ED" w14:textId="77777777" w:rsidR="00274CA5" w:rsidRPr="008C1732" w:rsidRDefault="00274CA5" w:rsidP="005C0B99">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228760AB" w14:textId="77777777" w:rsidR="00274CA5" w:rsidRPr="008C1732" w:rsidRDefault="00274CA5" w:rsidP="005C0B99">
            <w:pPr>
              <w:ind w:left="0"/>
              <w:jc w:val="center"/>
              <w:rPr>
                <w:b/>
                <w:sz w:val="18"/>
                <w:szCs w:val="18"/>
              </w:rPr>
            </w:pPr>
            <w:r w:rsidRPr="008C1732">
              <w:rPr>
                <w:b/>
                <w:sz w:val="18"/>
                <w:szCs w:val="18"/>
              </w:rPr>
              <w:t>Frekvencia vykazovania</w:t>
            </w:r>
          </w:p>
        </w:tc>
      </w:tr>
      <w:tr w:rsidR="00274CA5" w:rsidRPr="00DA54A1" w14:paraId="3C2C317C" w14:textId="77777777" w:rsidTr="005C0B99">
        <w:trPr>
          <w:cantSplit/>
          <w:trHeight w:val="834"/>
          <w:jc w:val="center"/>
        </w:trPr>
        <w:tc>
          <w:tcPr>
            <w:tcW w:w="598" w:type="dxa"/>
            <w:shd w:val="clear" w:color="auto" w:fill="auto"/>
            <w:textDirection w:val="btLr"/>
            <w:vAlign w:val="center"/>
          </w:tcPr>
          <w:p w14:paraId="590A698B" w14:textId="77777777" w:rsidR="00274CA5" w:rsidRPr="005042E2" w:rsidRDefault="00274CA5" w:rsidP="005C0B99">
            <w:pPr>
              <w:ind w:left="113" w:right="113"/>
              <w:jc w:val="center"/>
              <w:rPr>
                <w:sz w:val="18"/>
                <w:szCs w:val="18"/>
              </w:rPr>
            </w:pPr>
            <w:r>
              <w:rPr>
                <w:sz w:val="18"/>
                <w:szCs w:val="18"/>
              </w:rPr>
              <w:t>R0119</w:t>
            </w:r>
          </w:p>
        </w:tc>
        <w:tc>
          <w:tcPr>
            <w:tcW w:w="1637" w:type="dxa"/>
            <w:shd w:val="clear" w:color="auto" w:fill="auto"/>
            <w:vAlign w:val="center"/>
          </w:tcPr>
          <w:p w14:paraId="7F7FD8BA" w14:textId="77777777" w:rsidR="00274CA5" w:rsidRPr="00DD0B15" w:rsidRDefault="00274CA5" w:rsidP="005C0B99">
            <w:pPr>
              <w:ind w:left="0"/>
              <w:jc w:val="center"/>
              <w:rPr>
                <w:sz w:val="18"/>
                <w:szCs w:val="18"/>
              </w:rPr>
            </w:pPr>
            <w:r w:rsidRPr="00DD0B15">
              <w:rPr>
                <w:sz w:val="18"/>
                <w:szCs w:val="18"/>
              </w:rPr>
              <w:t>Miera riadne zrealizovaných projektov</w:t>
            </w:r>
          </w:p>
        </w:tc>
        <w:tc>
          <w:tcPr>
            <w:tcW w:w="992" w:type="dxa"/>
            <w:shd w:val="clear" w:color="auto" w:fill="auto"/>
            <w:vAlign w:val="center"/>
          </w:tcPr>
          <w:p w14:paraId="66AA529A" w14:textId="77777777" w:rsidR="00274CA5" w:rsidRPr="00F058A0" w:rsidRDefault="00274CA5" w:rsidP="005C0B99">
            <w:pPr>
              <w:ind w:left="0"/>
              <w:jc w:val="center"/>
              <w:rPr>
                <w:i/>
                <w:spacing w:val="-2"/>
                <w:w w:val="110"/>
                <w:sz w:val="18"/>
                <w:szCs w:val="18"/>
              </w:rPr>
            </w:pPr>
            <w:r w:rsidRPr="00F058A0">
              <w:rPr>
                <w:i/>
                <w:w w:val="110"/>
                <w:sz w:val="18"/>
                <w:szCs w:val="18"/>
              </w:rPr>
              <w:t>%</w:t>
            </w:r>
          </w:p>
        </w:tc>
        <w:tc>
          <w:tcPr>
            <w:tcW w:w="1417" w:type="dxa"/>
            <w:vAlign w:val="center"/>
          </w:tcPr>
          <w:p w14:paraId="2F2FC1AD" w14:textId="77777777" w:rsidR="00274CA5" w:rsidRPr="00F058A0" w:rsidRDefault="00274CA5" w:rsidP="005C0B99">
            <w:pPr>
              <w:ind w:left="0"/>
              <w:jc w:val="center"/>
              <w:rPr>
                <w:i/>
                <w:w w:val="110"/>
                <w:sz w:val="18"/>
                <w:szCs w:val="18"/>
              </w:rPr>
            </w:pPr>
            <w:r w:rsidRPr="00F058A0">
              <w:rPr>
                <w:i/>
                <w:w w:val="110"/>
                <w:sz w:val="18"/>
                <w:szCs w:val="18"/>
              </w:rPr>
              <w:t>86,12</w:t>
            </w:r>
          </w:p>
        </w:tc>
        <w:tc>
          <w:tcPr>
            <w:tcW w:w="1418" w:type="dxa"/>
            <w:vAlign w:val="center"/>
          </w:tcPr>
          <w:p w14:paraId="5625DA9F" w14:textId="77777777" w:rsidR="00274CA5" w:rsidRPr="00F058A0" w:rsidRDefault="00274CA5" w:rsidP="005C0B99">
            <w:pPr>
              <w:ind w:left="0"/>
              <w:jc w:val="center"/>
              <w:rPr>
                <w:i/>
                <w:spacing w:val="-2"/>
                <w:w w:val="110"/>
                <w:sz w:val="18"/>
                <w:szCs w:val="18"/>
              </w:rPr>
            </w:pPr>
            <w:r w:rsidRPr="00F058A0">
              <w:rPr>
                <w:i/>
                <w:sz w:val="18"/>
                <w:szCs w:val="18"/>
              </w:rPr>
              <w:t>2014</w:t>
            </w:r>
          </w:p>
        </w:tc>
        <w:tc>
          <w:tcPr>
            <w:tcW w:w="992" w:type="dxa"/>
            <w:shd w:val="clear" w:color="auto" w:fill="auto"/>
            <w:vAlign w:val="center"/>
          </w:tcPr>
          <w:p w14:paraId="0540D843" w14:textId="77777777" w:rsidR="00274CA5" w:rsidRPr="00F058A0" w:rsidRDefault="00274CA5" w:rsidP="005C0B99">
            <w:pPr>
              <w:ind w:left="0"/>
              <w:jc w:val="center"/>
              <w:rPr>
                <w:i/>
                <w:spacing w:val="-2"/>
                <w:w w:val="110"/>
                <w:sz w:val="18"/>
                <w:szCs w:val="18"/>
              </w:rPr>
            </w:pPr>
            <w:r w:rsidRPr="00F058A0">
              <w:rPr>
                <w:i/>
                <w:w w:val="110"/>
                <w:sz w:val="18"/>
                <w:szCs w:val="18"/>
              </w:rPr>
              <w:t>90,00</w:t>
            </w:r>
          </w:p>
        </w:tc>
        <w:tc>
          <w:tcPr>
            <w:tcW w:w="1047" w:type="dxa"/>
            <w:vAlign w:val="center"/>
          </w:tcPr>
          <w:p w14:paraId="23B5354B" w14:textId="77777777" w:rsidR="00274CA5" w:rsidRPr="00F058A0" w:rsidRDefault="00274CA5" w:rsidP="005C0B99">
            <w:pPr>
              <w:ind w:left="0"/>
              <w:jc w:val="center"/>
              <w:rPr>
                <w:i/>
                <w:spacing w:val="-2"/>
                <w:w w:val="110"/>
                <w:sz w:val="18"/>
                <w:szCs w:val="18"/>
              </w:rPr>
            </w:pPr>
            <w:r w:rsidRPr="00F058A0">
              <w:rPr>
                <w:i/>
                <w:spacing w:val="-2"/>
                <w:w w:val="110"/>
                <w:sz w:val="18"/>
                <w:szCs w:val="18"/>
              </w:rPr>
              <w:t>ITMS</w:t>
            </w:r>
          </w:p>
        </w:tc>
        <w:tc>
          <w:tcPr>
            <w:tcW w:w="1186" w:type="dxa"/>
            <w:vAlign w:val="center"/>
          </w:tcPr>
          <w:p w14:paraId="79CA4580" w14:textId="77777777" w:rsidR="00274CA5" w:rsidRPr="00F058A0" w:rsidRDefault="00274CA5" w:rsidP="005C0B99">
            <w:pPr>
              <w:ind w:left="0"/>
              <w:jc w:val="center"/>
              <w:rPr>
                <w:i/>
                <w:spacing w:val="-2"/>
                <w:w w:val="105"/>
                <w:sz w:val="18"/>
                <w:szCs w:val="18"/>
              </w:rPr>
            </w:pPr>
            <w:r w:rsidRPr="00F058A0">
              <w:rPr>
                <w:i/>
                <w:spacing w:val="-2"/>
                <w:w w:val="105"/>
                <w:sz w:val="18"/>
                <w:szCs w:val="18"/>
              </w:rPr>
              <w:t>31.12.2018</w:t>
            </w:r>
          </w:p>
          <w:p w14:paraId="5FD935BC" w14:textId="77777777" w:rsidR="00274CA5" w:rsidRPr="00F058A0" w:rsidRDefault="00274CA5" w:rsidP="005C0B99">
            <w:pPr>
              <w:ind w:left="0"/>
              <w:jc w:val="center"/>
              <w:rPr>
                <w:i/>
                <w:spacing w:val="-2"/>
                <w:w w:val="105"/>
                <w:sz w:val="18"/>
                <w:szCs w:val="18"/>
              </w:rPr>
            </w:pPr>
            <w:r w:rsidRPr="00F058A0">
              <w:rPr>
                <w:i/>
                <w:spacing w:val="-2"/>
                <w:w w:val="105"/>
                <w:sz w:val="18"/>
                <w:szCs w:val="18"/>
              </w:rPr>
              <w:t>31.12.2020</w:t>
            </w:r>
          </w:p>
          <w:p w14:paraId="2AEF5F6A" w14:textId="77777777" w:rsidR="00274CA5" w:rsidRPr="00F058A0" w:rsidRDefault="00274CA5" w:rsidP="005C0B99">
            <w:pPr>
              <w:ind w:left="0"/>
              <w:jc w:val="center"/>
              <w:rPr>
                <w:i/>
                <w:spacing w:val="-2"/>
                <w:w w:val="110"/>
                <w:sz w:val="18"/>
                <w:szCs w:val="18"/>
              </w:rPr>
            </w:pPr>
            <w:r w:rsidRPr="00F058A0">
              <w:rPr>
                <w:i/>
                <w:spacing w:val="-2"/>
                <w:w w:val="110"/>
                <w:sz w:val="18"/>
                <w:szCs w:val="18"/>
              </w:rPr>
              <w:t>31.12.2023</w:t>
            </w:r>
          </w:p>
        </w:tc>
      </w:tr>
      <w:tr w:rsidR="00274CA5" w:rsidRPr="00DA54A1" w14:paraId="72A76F34" w14:textId="77777777" w:rsidTr="005C0B99">
        <w:trPr>
          <w:cantSplit/>
          <w:trHeight w:val="834"/>
          <w:jc w:val="center"/>
        </w:trPr>
        <w:tc>
          <w:tcPr>
            <w:tcW w:w="598" w:type="dxa"/>
            <w:shd w:val="clear" w:color="auto" w:fill="auto"/>
            <w:textDirection w:val="btLr"/>
            <w:vAlign w:val="center"/>
          </w:tcPr>
          <w:p w14:paraId="067342EF" w14:textId="77777777" w:rsidR="00274CA5" w:rsidRDefault="00274CA5" w:rsidP="005C0B99">
            <w:pPr>
              <w:ind w:left="113" w:right="113"/>
              <w:jc w:val="center"/>
              <w:rPr>
                <w:sz w:val="18"/>
                <w:szCs w:val="18"/>
              </w:rPr>
            </w:pPr>
            <w:r>
              <w:rPr>
                <w:sz w:val="18"/>
                <w:szCs w:val="18"/>
              </w:rPr>
              <w:t>R0025</w:t>
            </w:r>
          </w:p>
        </w:tc>
        <w:tc>
          <w:tcPr>
            <w:tcW w:w="1637" w:type="dxa"/>
            <w:shd w:val="clear" w:color="auto" w:fill="auto"/>
            <w:vAlign w:val="center"/>
          </w:tcPr>
          <w:p w14:paraId="0EDB78FC" w14:textId="77777777" w:rsidR="00274CA5" w:rsidRPr="00DD0B15" w:rsidRDefault="00274CA5" w:rsidP="005C0B99">
            <w:pPr>
              <w:ind w:left="0"/>
              <w:jc w:val="center"/>
              <w:rPr>
                <w:sz w:val="18"/>
                <w:szCs w:val="18"/>
              </w:rPr>
            </w:pPr>
            <w:r w:rsidRPr="00DD0B15">
              <w:rPr>
                <w:sz w:val="18"/>
                <w:szCs w:val="18"/>
              </w:rPr>
              <w:t>Miera informovanosti</w:t>
            </w:r>
          </w:p>
          <w:p w14:paraId="14BD0AD4" w14:textId="77777777" w:rsidR="00274CA5" w:rsidRPr="00DD0B15" w:rsidRDefault="00274CA5" w:rsidP="005C0B99">
            <w:pPr>
              <w:ind w:left="0"/>
              <w:jc w:val="center"/>
              <w:rPr>
                <w:sz w:val="18"/>
                <w:szCs w:val="18"/>
              </w:rPr>
            </w:pPr>
            <w:r w:rsidRPr="00DD0B15">
              <w:rPr>
                <w:sz w:val="18"/>
                <w:szCs w:val="18"/>
              </w:rPr>
              <w:t>o možnostiach podpory z OP</w:t>
            </w:r>
          </w:p>
        </w:tc>
        <w:tc>
          <w:tcPr>
            <w:tcW w:w="992" w:type="dxa"/>
            <w:shd w:val="clear" w:color="auto" w:fill="auto"/>
            <w:vAlign w:val="center"/>
          </w:tcPr>
          <w:p w14:paraId="33553218" w14:textId="77777777" w:rsidR="00274CA5" w:rsidRPr="00F058A0" w:rsidRDefault="00274CA5" w:rsidP="005C0B99">
            <w:pPr>
              <w:ind w:left="0"/>
              <w:jc w:val="center"/>
              <w:rPr>
                <w:i/>
                <w:spacing w:val="-2"/>
                <w:sz w:val="18"/>
                <w:szCs w:val="18"/>
              </w:rPr>
            </w:pPr>
            <w:r w:rsidRPr="00F058A0">
              <w:rPr>
                <w:i/>
                <w:w w:val="110"/>
                <w:sz w:val="18"/>
                <w:szCs w:val="18"/>
              </w:rPr>
              <w:t>%</w:t>
            </w:r>
          </w:p>
        </w:tc>
        <w:tc>
          <w:tcPr>
            <w:tcW w:w="1417" w:type="dxa"/>
            <w:vAlign w:val="center"/>
          </w:tcPr>
          <w:p w14:paraId="666F9CB5" w14:textId="02C3BBFB" w:rsidR="00274CA5" w:rsidRPr="00F058A0" w:rsidRDefault="002C3BEA" w:rsidP="005C0B99">
            <w:pPr>
              <w:ind w:left="0"/>
              <w:jc w:val="center"/>
              <w:rPr>
                <w:i/>
                <w:w w:val="110"/>
                <w:sz w:val="18"/>
                <w:szCs w:val="18"/>
              </w:rPr>
            </w:pPr>
            <w:r w:rsidRPr="00F058A0">
              <w:rPr>
                <w:i/>
                <w:w w:val="110"/>
                <w:sz w:val="18"/>
                <w:szCs w:val="18"/>
              </w:rPr>
              <w:t>14,4</w:t>
            </w:r>
          </w:p>
        </w:tc>
        <w:tc>
          <w:tcPr>
            <w:tcW w:w="1418" w:type="dxa"/>
            <w:vAlign w:val="center"/>
          </w:tcPr>
          <w:p w14:paraId="62DBAB5C" w14:textId="77777777" w:rsidR="00274CA5" w:rsidRPr="00F058A0" w:rsidRDefault="00274CA5" w:rsidP="005C0B99">
            <w:pPr>
              <w:ind w:left="0"/>
              <w:jc w:val="center"/>
              <w:rPr>
                <w:i/>
                <w:sz w:val="18"/>
                <w:szCs w:val="18"/>
              </w:rPr>
            </w:pPr>
            <w:r w:rsidRPr="00F058A0">
              <w:rPr>
                <w:i/>
                <w:sz w:val="18"/>
                <w:szCs w:val="18"/>
              </w:rPr>
              <w:t>2014</w:t>
            </w:r>
          </w:p>
        </w:tc>
        <w:tc>
          <w:tcPr>
            <w:tcW w:w="992" w:type="dxa"/>
            <w:shd w:val="clear" w:color="auto" w:fill="auto"/>
            <w:vAlign w:val="center"/>
          </w:tcPr>
          <w:p w14:paraId="2049DFEF" w14:textId="5218CAF2" w:rsidR="00274CA5" w:rsidRPr="00F058A0" w:rsidRDefault="002C3BEA" w:rsidP="005C0B99">
            <w:pPr>
              <w:ind w:left="0"/>
              <w:jc w:val="center"/>
              <w:rPr>
                <w:i/>
                <w:w w:val="110"/>
                <w:sz w:val="18"/>
                <w:szCs w:val="18"/>
              </w:rPr>
            </w:pPr>
            <w:r w:rsidRPr="00F058A0">
              <w:rPr>
                <w:i/>
                <w:w w:val="110"/>
                <w:sz w:val="18"/>
                <w:szCs w:val="18"/>
              </w:rPr>
              <w:t>20,36</w:t>
            </w:r>
          </w:p>
        </w:tc>
        <w:tc>
          <w:tcPr>
            <w:tcW w:w="1047" w:type="dxa"/>
            <w:vAlign w:val="center"/>
          </w:tcPr>
          <w:p w14:paraId="4D20A2CC" w14:textId="1C2E8C0B" w:rsidR="00274CA5" w:rsidRPr="00F058A0" w:rsidRDefault="00274CA5" w:rsidP="005C0B99">
            <w:pPr>
              <w:ind w:left="0"/>
              <w:jc w:val="center"/>
              <w:rPr>
                <w:i/>
                <w:w w:val="110"/>
                <w:sz w:val="18"/>
                <w:szCs w:val="18"/>
              </w:rPr>
            </w:pPr>
            <w:r w:rsidRPr="00F058A0">
              <w:rPr>
                <w:i/>
                <w:w w:val="110"/>
                <w:sz w:val="18"/>
                <w:szCs w:val="18"/>
              </w:rPr>
              <w:t>ITMS</w:t>
            </w:r>
            <w:r w:rsidR="002C3BEA" w:rsidRPr="00F058A0">
              <w:rPr>
                <w:i/>
                <w:w w:val="110"/>
                <w:sz w:val="18"/>
                <w:szCs w:val="18"/>
              </w:rPr>
              <w:t>, prieskum</w:t>
            </w:r>
          </w:p>
        </w:tc>
        <w:tc>
          <w:tcPr>
            <w:tcW w:w="1186" w:type="dxa"/>
            <w:vAlign w:val="center"/>
          </w:tcPr>
          <w:p w14:paraId="7812572E" w14:textId="77777777" w:rsidR="00274CA5" w:rsidRPr="00F058A0" w:rsidRDefault="00274CA5" w:rsidP="005C0B99">
            <w:pPr>
              <w:ind w:left="0"/>
              <w:jc w:val="center"/>
              <w:rPr>
                <w:i/>
                <w:spacing w:val="-2"/>
                <w:w w:val="105"/>
                <w:sz w:val="18"/>
                <w:szCs w:val="18"/>
              </w:rPr>
            </w:pPr>
            <w:r w:rsidRPr="00F058A0">
              <w:rPr>
                <w:i/>
                <w:spacing w:val="-2"/>
                <w:w w:val="110"/>
                <w:sz w:val="18"/>
                <w:szCs w:val="18"/>
              </w:rPr>
              <w:t>31.12.2023</w:t>
            </w:r>
          </w:p>
        </w:tc>
      </w:tr>
    </w:tbl>
    <w:p w14:paraId="1C620286" w14:textId="77777777" w:rsidR="00274CA5" w:rsidRDefault="00274CA5" w:rsidP="00274CA5">
      <w:pPr>
        <w:pStyle w:val="Nadpis3"/>
      </w:pPr>
      <w:bookmarkStart w:id="139" w:name="_Toc28951672"/>
      <w:r w:rsidRPr="005B0A12">
        <w:t>Aktivity, ktoré sa majú podporiť a ich očakávaný prínos pre špecifické ciele</w:t>
      </w:r>
      <w:bookmarkEnd w:id="139"/>
    </w:p>
    <w:p w14:paraId="7707800E" w14:textId="11F9CA67" w:rsidR="00274CA5" w:rsidRPr="00DD0B15" w:rsidRDefault="00274CA5" w:rsidP="00274CA5">
      <w:pPr>
        <w:spacing w:before="180"/>
        <w:jc w:val="both"/>
        <w:rPr>
          <w:i/>
          <w:sz w:val="22"/>
          <w:szCs w:val="22"/>
        </w:rPr>
      </w:pPr>
      <w:r w:rsidRPr="0040351A">
        <w:rPr>
          <w:i/>
          <w:sz w:val="22"/>
          <w:szCs w:val="22"/>
          <w:u w:val="single"/>
        </w:rPr>
        <w:t>Príklady aktivít pre špecifický cieľ 13.1</w:t>
      </w:r>
      <w:r>
        <w:rPr>
          <w:rStyle w:val="Odkaznapoznmkupodiarou"/>
          <w:i/>
          <w:sz w:val="22"/>
          <w:szCs w:val="22"/>
        </w:rPr>
        <w:footnoteReference w:id="100"/>
      </w:r>
      <w:r w:rsidRPr="00DD0B15">
        <w:rPr>
          <w:i/>
          <w:sz w:val="22"/>
          <w:szCs w:val="22"/>
        </w:rPr>
        <w:t>:</w:t>
      </w:r>
    </w:p>
    <w:p w14:paraId="75C88DD2" w14:textId="77777777" w:rsidR="00274CA5" w:rsidRPr="00351D17" w:rsidRDefault="00274CA5" w:rsidP="00274CA5">
      <w:pPr>
        <w:spacing w:before="120"/>
        <w:jc w:val="both"/>
        <w:rPr>
          <w:i/>
          <w:sz w:val="22"/>
          <w:szCs w:val="22"/>
        </w:rPr>
      </w:pPr>
      <w:r w:rsidRPr="00351D17">
        <w:rPr>
          <w:i/>
          <w:sz w:val="22"/>
          <w:szCs w:val="22"/>
        </w:rPr>
        <w:t>Financovanie miezd administratívnych kapacít so zavedením a realizáciou systému hodnotenia ich výkonnosti s previazaním na spravodlivý motivačný systém odmeňovania;</w:t>
      </w:r>
    </w:p>
    <w:p w14:paraId="29F5B17E" w14:textId="6DDB9573" w:rsidR="00274CA5" w:rsidRPr="005B0A12" w:rsidRDefault="00274CA5" w:rsidP="00274CA5">
      <w:pPr>
        <w:spacing w:before="120"/>
        <w:jc w:val="both"/>
        <w:rPr>
          <w:sz w:val="22"/>
          <w:szCs w:val="22"/>
        </w:rPr>
      </w:pPr>
      <w:r w:rsidRPr="005B0A12">
        <w:rPr>
          <w:sz w:val="22"/>
          <w:szCs w:val="22"/>
        </w:rPr>
        <w:t>Základným predpokladom stabilizovaných administratívnych kapacít je okrem zabezpečenia financovania miezd aj zavedenie a realizácia spravodlivého mot</w:t>
      </w:r>
      <w:r>
        <w:rPr>
          <w:sz w:val="22"/>
          <w:szCs w:val="22"/>
        </w:rPr>
        <w:t>ivačného systému odmeňovania so </w:t>
      </w:r>
      <w:r w:rsidRPr="005B0A12">
        <w:rPr>
          <w:sz w:val="22"/>
          <w:szCs w:val="22"/>
        </w:rPr>
        <w:t xml:space="preserve">zavedením a realizáciou kvalitného a transparentného systému hodnotenia výkonnosti zamestnancov </w:t>
      </w:r>
      <w:r w:rsidRPr="00C270B2">
        <w:rPr>
          <w:sz w:val="22"/>
          <w:szCs w:val="22"/>
        </w:rPr>
        <w:t>SO</w:t>
      </w:r>
      <w:r w:rsidRPr="005B0A12">
        <w:rPr>
          <w:sz w:val="22"/>
          <w:szCs w:val="22"/>
        </w:rPr>
        <w:t>, a to na základe získaných vedomostí, ich aplikácie v praxi v rámci implementácie operačného programu a kvality ich vykonanej práce pre efektívne riadenie OP</w:t>
      </w:r>
      <w:r>
        <w:rPr>
          <w:sz w:val="22"/>
          <w:szCs w:val="22"/>
        </w:rPr>
        <w:t>I</w:t>
      </w:r>
      <w:r w:rsidRPr="005B0A12">
        <w:rPr>
          <w:sz w:val="22"/>
          <w:szCs w:val="22"/>
        </w:rPr>
        <w:t>I</w:t>
      </w:r>
      <w:r>
        <w:rPr>
          <w:sz w:val="22"/>
          <w:szCs w:val="22"/>
        </w:rPr>
        <w:t xml:space="preserve"> (časť VaI)</w:t>
      </w:r>
      <w:r w:rsidRPr="005B0A12">
        <w:rPr>
          <w:sz w:val="22"/>
          <w:szCs w:val="22"/>
        </w:rPr>
        <w:t xml:space="preserve"> a prípravy nového programového obdobia po roku 202</w:t>
      </w:r>
      <w:r w:rsidRPr="00127948">
        <w:rPr>
          <w:sz w:val="22"/>
          <w:szCs w:val="22"/>
        </w:rPr>
        <w:t>0</w:t>
      </w:r>
      <w:r w:rsidR="00127948">
        <w:rPr>
          <w:rStyle w:val="Odkaznapoznmkupodiarou"/>
          <w:sz w:val="22"/>
          <w:szCs w:val="22"/>
        </w:rPr>
        <w:footnoteReference w:id="101"/>
      </w:r>
      <w:r w:rsidRPr="00351D17">
        <w:rPr>
          <w:sz w:val="22"/>
          <w:szCs w:val="22"/>
        </w:rPr>
        <w:t>.</w:t>
      </w:r>
    </w:p>
    <w:p w14:paraId="51A70085" w14:textId="77777777" w:rsidR="00274CA5" w:rsidRPr="00DD0B15" w:rsidRDefault="00274CA5" w:rsidP="00274CA5">
      <w:pPr>
        <w:spacing w:before="180"/>
        <w:jc w:val="both"/>
        <w:rPr>
          <w:i/>
          <w:sz w:val="22"/>
          <w:szCs w:val="22"/>
        </w:rPr>
      </w:pPr>
      <w:r w:rsidRPr="00DD0B15">
        <w:rPr>
          <w:i/>
          <w:sz w:val="22"/>
          <w:szCs w:val="22"/>
        </w:rPr>
        <w:t>Interné a externé vzdelávanie administratívnych kapacít a výmena skúseností na národnej a medzinárodnej úrovni (semináre, školenia, kurzy, odborné stáže, tuzemské a zahraničné pracovné cesty a pod.).</w:t>
      </w:r>
    </w:p>
    <w:p w14:paraId="0ECBCEAD" w14:textId="77777777" w:rsidR="00274CA5" w:rsidRPr="005B0A12" w:rsidRDefault="00274CA5" w:rsidP="00274CA5">
      <w:pPr>
        <w:spacing w:before="180"/>
        <w:jc w:val="both"/>
        <w:rPr>
          <w:sz w:val="22"/>
          <w:szCs w:val="22"/>
        </w:rPr>
      </w:pPr>
      <w:r w:rsidRPr="005B0A12">
        <w:rPr>
          <w:sz w:val="22"/>
          <w:szCs w:val="22"/>
        </w:rPr>
        <w:t>Základným predpokladom kvalitných a stabilizovaných administrat</w:t>
      </w:r>
      <w:r>
        <w:rPr>
          <w:sz w:val="22"/>
          <w:szCs w:val="22"/>
        </w:rPr>
        <w:t>ívnych kapacít orientovaných na </w:t>
      </w:r>
      <w:r w:rsidRPr="005B0A12">
        <w:rPr>
          <w:sz w:val="22"/>
          <w:szCs w:val="22"/>
        </w:rPr>
        <w:t>výsledky je zavedenie systémov a nástrojov pre ich vzdelávanie a výmenu skúseností. Aktivity budú smerované do oblastí vzdelávania vo vybraných špecifick</w:t>
      </w:r>
      <w:r>
        <w:rPr>
          <w:sz w:val="22"/>
          <w:szCs w:val="22"/>
        </w:rPr>
        <w:t>ých odvetviach nevyhnutných pre </w:t>
      </w:r>
      <w:r w:rsidRPr="005B0A12">
        <w:rPr>
          <w:sz w:val="22"/>
          <w:szCs w:val="22"/>
        </w:rPr>
        <w:t>jednotlivé pracovné pozície. Vybrané oblasti vzdelávania budú úzko prepojené so špecifikami riadenia a implementácie projektov v oblasti výskumu a inovácii.</w:t>
      </w:r>
    </w:p>
    <w:p w14:paraId="3BC48CF4" w14:textId="687BD29A" w:rsidR="00274CA5" w:rsidRPr="005B0A12" w:rsidRDefault="00274CA5" w:rsidP="00274CA5">
      <w:pPr>
        <w:spacing w:before="180"/>
        <w:jc w:val="both"/>
        <w:rPr>
          <w:sz w:val="22"/>
          <w:szCs w:val="22"/>
        </w:rPr>
      </w:pPr>
      <w:r w:rsidRPr="005B0A12">
        <w:rPr>
          <w:sz w:val="22"/>
          <w:szCs w:val="22"/>
        </w:rPr>
        <w:t>Materiálno-technické zabezpečenie procesov týkajúcich sa prípravy, riadenia, monitorovania, hodnotenia, informovania a komunikácie, vytvárania sietí, vybavovania sťažností, kontroly a auditu OP</w:t>
      </w:r>
      <w:r w:rsidR="00EB6AF6">
        <w:rPr>
          <w:sz w:val="22"/>
          <w:szCs w:val="22"/>
        </w:rPr>
        <w:t>II (časť VaI)</w:t>
      </w:r>
      <w:r w:rsidRPr="005B0A12">
        <w:rPr>
          <w:sz w:val="22"/>
          <w:szCs w:val="22"/>
        </w:rPr>
        <w:t>; podpora skvalitňovania pracovného prostredia a pracovných podmienok a</w:t>
      </w:r>
      <w:r w:rsidR="00BE0BA9">
        <w:rPr>
          <w:sz w:val="22"/>
          <w:szCs w:val="22"/>
        </w:rPr>
        <w:t> </w:t>
      </w:r>
      <w:r w:rsidRPr="005B0A12">
        <w:rPr>
          <w:sz w:val="22"/>
          <w:szCs w:val="22"/>
        </w:rPr>
        <w:t>zefektívňovania postupov;</w:t>
      </w:r>
    </w:p>
    <w:p w14:paraId="7E6038C4" w14:textId="3F14922B" w:rsidR="00274CA5" w:rsidRPr="005836D7" w:rsidRDefault="00274CA5" w:rsidP="00274CA5">
      <w:pPr>
        <w:spacing w:before="180"/>
        <w:jc w:val="both"/>
        <w:rPr>
          <w:sz w:val="22"/>
          <w:szCs w:val="22"/>
        </w:rPr>
      </w:pPr>
      <w:r w:rsidRPr="005B0A12">
        <w:rPr>
          <w:sz w:val="22"/>
          <w:szCs w:val="22"/>
        </w:rPr>
        <w:t xml:space="preserve">Realizáciou uvedených aktivít bude </w:t>
      </w:r>
      <w:r w:rsidR="00301F95">
        <w:rPr>
          <w:sz w:val="22"/>
          <w:szCs w:val="22"/>
        </w:rPr>
        <w:t>SO</w:t>
      </w:r>
      <w:r w:rsidRPr="005B0A12">
        <w:rPr>
          <w:sz w:val="22"/>
          <w:szCs w:val="22"/>
        </w:rPr>
        <w:t xml:space="preserve"> zabezpečovať adekvátne materiálne, prevádzkové a technické vybavenie vrátane režijných aktivít pre oprávnené subjekty zapojené do riadenia, implementácie, kontroly a auditu OP</w:t>
      </w:r>
      <w:r>
        <w:rPr>
          <w:sz w:val="22"/>
          <w:szCs w:val="22"/>
        </w:rPr>
        <w:t>I</w:t>
      </w:r>
      <w:r w:rsidRPr="005B0A12">
        <w:rPr>
          <w:sz w:val="22"/>
          <w:szCs w:val="22"/>
        </w:rPr>
        <w:t xml:space="preserve">I </w:t>
      </w:r>
      <w:r>
        <w:rPr>
          <w:sz w:val="22"/>
          <w:szCs w:val="22"/>
        </w:rPr>
        <w:t xml:space="preserve">(časť VaI) </w:t>
      </w:r>
      <w:r w:rsidRPr="005B0A12">
        <w:rPr>
          <w:sz w:val="22"/>
          <w:szCs w:val="22"/>
        </w:rPr>
        <w:t>tak, aby boli vytvárané vhodné pracovné podmienky zamestnancov oprávnených subjektov. Realizáciou uvedených aktivít sa zabezpečí vybudovanie modernej technickej infraštruktúry. Zabezpečením špecifických úprav informačných systém</w:t>
      </w:r>
      <w:r>
        <w:rPr>
          <w:sz w:val="22"/>
          <w:szCs w:val="22"/>
        </w:rPr>
        <w:t xml:space="preserve">ov a tvorby databáz </w:t>
      </w:r>
      <w:r>
        <w:rPr>
          <w:sz w:val="22"/>
          <w:szCs w:val="22"/>
        </w:rPr>
        <w:lastRenderedPageBreak/>
        <w:t>pre </w:t>
      </w:r>
      <w:r w:rsidRPr="005B0A12">
        <w:rPr>
          <w:sz w:val="22"/>
          <w:szCs w:val="22"/>
        </w:rPr>
        <w:t>podmienky OP</w:t>
      </w:r>
      <w:r>
        <w:rPr>
          <w:sz w:val="22"/>
          <w:szCs w:val="22"/>
        </w:rPr>
        <w:t>I</w:t>
      </w:r>
      <w:r w:rsidRPr="005B0A12">
        <w:rPr>
          <w:sz w:val="22"/>
          <w:szCs w:val="22"/>
        </w:rPr>
        <w:t>I</w:t>
      </w:r>
      <w:r>
        <w:rPr>
          <w:sz w:val="22"/>
          <w:szCs w:val="22"/>
        </w:rPr>
        <w:t xml:space="preserve"> (časť VaI)</w:t>
      </w:r>
      <w:r w:rsidRPr="005B0A12">
        <w:rPr>
          <w:sz w:val="22"/>
          <w:szCs w:val="22"/>
        </w:rPr>
        <w:t xml:space="preserve"> posilní </w:t>
      </w:r>
      <w:r w:rsidR="00301F95">
        <w:rPr>
          <w:sz w:val="22"/>
          <w:szCs w:val="22"/>
        </w:rPr>
        <w:t>SO</w:t>
      </w:r>
      <w:r w:rsidRPr="005B0A12">
        <w:rPr>
          <w:sz w:val="22"/>
          <w:szCs w:val="22"/>
        </w:rPr>
        <w:t xml:space="preserve"> efektívne spracovanie a odovzdávanie informácií pri riadení, implementácii a dosahovaní stanovených cieľov OP</w:t>
      </w:r>
      <w:r>
        <w:rPr>
          <w:sz w:val="22"/>
          <w:szCs w:val="22"/>
        </w:rPr>
        <w:t>I</w:t>
      </w:r>
      <w:r w:rsidRPr="005B0A12">
        <w:rPr>
          <w:sz w:val="22"/>
          <w:szCs w:val="22"/>
        </w:rPr>
        <w:t xml:space="preserve">I </w:t>
      </w:r>
      <w:r>
        <w:rPr>
          <w:sz w:val="22"/>
          <w:szCs w:val="22"/>
        </w:rPr>
        <w:t>(časť VaI)</w:t>
      </w:r>
      <w:r w:rsidRPr="005B0A12">
        <w:rPr>
          <w:sz w:val="22"/>
          <w:szCs w:val="22"/>
        </w:rPr>
        <w:t>.</w:t>
      </w:r>
    </w:p>
    <w:p w14:paraId="4C6EA606" w14:textId="77777777" w:rsidR="00274CA5" w:rsidRPr="00DD0B15" w:rsidRDefault="00274CA5" w:rsidP="00274CA5">
      <w:pPr>
        <w:spacing w:before="180"/>
        <w:jc w:val="both"/>
        <w:rPr>
          <w:i/>
          <w:sz w:val="22"/>
          <w:szCs w:val="22"/>
        </w:rPr>
      </w:pPr>
      <w:r w:rsidRPr="00DD0B15">
        <w:rPr>
          <w:i/>
          <w:sz w:val="22"/>
          <w:szCs w:val="22"/>
        </w:rPr>
        <w:t>Interné a externé expertné služby a aktivity súvisiace s prípravou, riadením, monitorovaním, hodnotením, informovaním a komunikáciou, vytváraním sietí, vyba</w:t>
      </w:r>
      <w:r>
        <w:rPr>
          <w:i/>
          <w:sz w:val="22"/>
          <w:szCs w:val="22"/>
        </w:rPr>
        <w:t>vovaním sťažností a kontrolou a </w:t>
      </w:r>
      <w:r w:rsidRPr="00DD0B15">
        <w:rPr>
          <w:i/>
          <w:sz w:val="22"/>
          <w:szCs w:val="22"/>
        </w:rPr>
        <w:t>auditom OP</w:t>
      </w:r>
      <w:r>
        <w:rPr>
          <w:i/>
          <w:sz w:val="22"/>
          <w:szCs w:val="22"/>
        </w:rPr>
        <w:t>I</w:t>
      </w:r>
      <w:r w:rsidRPr="00DD0B15">
        <w:rPr>
          <w:i/>
          <w:sz w:val="22"/>
          <w:szCs w:val="22"/>
        </w:rPr>
        <w:t>I</w:t>
      </w:r>
      <w:r>
        <w:rPr>
          <w:i/>
          <w:sz w:val="22"/>
          <w:szCs w:val="22"/>
        </w:rPr>
        <w:t xml:space="preserve"> (časť VaI)</w:t>
      </w:r>
      <w:r w:rsidRPr="00DD0B15">
        <w:rPr>
          <w:i/>
          <w:sz w:val="22"/>
          <w:szCs w:val="22"/>
        </w:rPr>
        <w:t>;</w:t>
      </w:r>
    </w:p>
    <w:p w14:paraId="4BE40088" w14:textId="04D1A4FE" w:rsidR="00274CA5" w:rsidRDefault="00274CA5" w:rsidP="00274CA5">
      <w:pPr>
        <w:spacing w:before="180"/>
        <w:jc w:val="both"/>
        <w:rPr>
          <w:sz w:val="22"/>
          <w:szCs w:val="22"/>
        </w:rPr>
      </w:pPr>
      <w:r w:rsidRPr="001C585E">
        <w:rPr>
          <w:sz w:val="22"/>
          <w:szCs w:val="22"/>
        </w:rPr>
        <w:t xml:space="preserve">Realizáciou uvedených aktivít bude </w:t>
      </w:r>
      <w:r w:rsidR="00301F95">
        <w:rPr>
          <w:sz w:val="22"/>
          <w:szCs w:val="22"/>
        </w:rPr>
        <w:t>SO</w:t>
      </w:r>
      <w:r w:rsidRPr="001C585E">
        <w:rPr>
          <w:sz w:val="22"/>
          <w:szCs w:val="22"/>
        </w:rPr>
        <w:t xml:space="preserve"> zabezpečovať plynulú implementáciu OP</w:t>
      </w:r>
      <w:r>
        <w:rPr>
          <w:sz w:val="22"/>
          <w:szCs w:val="22"/>
        </w:rPr>
        <w:t>I</w:t>
      </w:r>
      <w:r w:rsidRPr="001C585E">
        <w:rPr>
          <w:sz w:val="22"/>
          <w:szCs w:val="22"/>
        </w:rPr>
        <w:t xml:space="preserve">I </w:t>
      </w:r>
      <w:r>
        <w:rPr>
          <w:sz w:val="22"/>
          <w:szCs w:val="22"/>
        </w:rPr>
        <w:t>(časť VaI) s </w:t>
      </w:r>
      <w:r w:rsidRPr="001C585E">
        <w:rPr>
          <w:sz w:val="22"/>
          <w:szCs w:val="22"/>
        </w:rPr>
        <w:t>cieľom efektívneho využívania finančných prostriedkov alokovaných v rámci jednotlivých prioritných osí. Jednotlivé aktivity budú nastavené tak, aby zabezpečovali maximálnu podporu procesov riadenia, implementácie, kontroly a auditu OP</w:t>
      </w:r>
      <w:r>
        <w:rPr>
          <w:sz w:val="22"/>
          <w:szCs w:val="22"/>
        </w:rPr>
        <w:t>I</w:t>
      </w:r>
      <w:r w:rsidRPr="001C585E">
        <w:rPr>
          <w:sz w:val="22"/>
          <w:szCs w:val="22"/>
        </w:rPr>
        <w:t xml:space="preserve">I </w:t>
      </w:r>
      <w:r>
        <w:rPr>
          <w:sz w:val="22"/>
          <w:szCs w:val="22"/>
        </w:rPr>
        <w:t xml:space="preserve">(časť VaI) </w:t>
      </w:r>
      <w:r w:rsidRPr="001C585E">
        <w:rPr>
          <w:sz w:val="22"/>
          <w:szCs w:val="22"/>
        </w:rPr>
        <w:t xml:space="preserve">s cieľom minimalizovať administratívnu záťaž na strane </w:t>
      </w:r>
      <w:r w:rsidRPr="00C270B2">
        <w:rPr>
          <w:sz w:val="22"/>
          <w:szCs w:val="22"/>
        </w:rPr>
        <w:t>SO</w:t>
      </w:r>
      <w:r w:rsidRPr="001C585E">
        <w:rPr>
          <w:sz w:val="22"/>
          <w:szCs w:val="22"/>
        </w:rPr>
        <w:t xml:space="preserve"> a prijímateľov.</w:t>
      </w:r>
    </w:p>
    <w:p w14:paraId="04F53EC5" w14:textId="44225E4C" w:rsidR="00274CA5" w:rsidRDefault="00274CA5" w:rsidP="00274CA5">
      <w:pPr>
        <w:spacing w:before="180"/>
        <w:jc w:val="both"/>
        <w:rPr>
          <w:sz w:val="22"/>
          <w:szCs w:val="22"/>
        </w:rPr>
      </w:pPr>
      <w:r w:rsidRPr="001C585E">
        <w:rPr>
          <w:sz w:val="22"/>
          <w:szCs w:val="22"/>
        </w:rPr>
        <w:t>Podporné aktivity v tejto oblasti budú tiež smerovať do oblasti boja proti korupcii a podvodom. Ide najmä o zadefinovanie zákazu konfliktu záujmov osôb podieľajúcich sa na procese implementácie, rozšírenie možnosti dožadovať sa nápravy v prípade neschválenia žiadostí o podporu, ako aj efektívne zapojenie partnerov dozerajúcich na proces schvaľovania, vrátane posilnenia ich kapacít dohľadu nad transparentnosťou a objektívnosťou procesu implementácie. Podrobnejšie opatrenia v tejto oblasti sú pripravované na úrovni Systému riadenia EŠIF na programové obdobie 2014 – 2020 ako súboru</w:t>
      </w:r>
      <w:r w:rsidR="000752A7">
        <w:rPr>
          <w:rStyle w:val="Odkaznapoznmkupodiarou"/>
          <w:sz w:val="22"/>
          <w:szCs w:val="22"/>
        </w:rPr>
        <w:footnoteReference w:id="102"/>
      </w:r>
      <w:r w:rsidRPr="001C585E">
        <w:rPr>
          <w:sz w:val="22"/>
          <w:szCs w:val="22"/>
        </w:rPr>
        <w:t>.</w:t>
      </w:r>
    </w:p>
    <w:p w14:paraId="4F75CB7B" w14:textId="77777777" w:rsidR="00274CA5" w:rsidRDefault="00274CA5" w:rsidP="00274CA5">
      <w:pPr>
        <w:spacing w:before="180"/>
        <w:jc w:val="both"/>
        <w:rPr>
          <w:sz w:val="22"/>
          <w:szCs w:val="22"/>
        </w:rPr>
      </w:pPr>
      <w:r w:rsidRPr="001C585E">
        <w:rPr>
          <w:sz w:val="22"/>
          <w:szCs w:val="22"/>
        </w:rPr>
        <w:t>Interné a externé kapacity budú využívané pri príprave tvorby</w:t>
      </w:r>
      <w:r>
        <w:rPr>
          <w:sz w:val="22"/>
          <w:szCs w:val="22"/>
        </w:rPr>
        <w:t xml:space="preserve"> a aktualizácie strategických a </w:t>
      </w:r>
      <w:r w:rsidRPr="001C585E">
        <w:rPr>
          <w:sz w:val="22"/>
          <w:szCs w:val="22"/>
        </w:rPr>
        <w:t>metodických dokumentov, tvorby plánov, príručiek, analýz, monitorovania plnenia stratégií (napr. RIS3 SK), hodnotení, benchmarkov, odborných stanovísk a konzultácií relevantných pre jednotlivé oblasti procesov riadenia, implementácie, kontroly</w:t>
      </w:r>
      <w:r>
        <w:rPr>
          <w:sz w:val="22"/>
          <w:szCs w:val="22"/>
        </w:rPr>
        <w:t xml:space="preserve"> </w:t>
      </w:r>
      <w:r w:rsidRPr="001C585E">
        <w:rPr>
          <w:sz w:val="22"/>
          <w:szCs w:val="22"/>
        </w:rPr>
        <w:t>a auditu OP</w:t>
      </w:r>
      <w:r>
        <w:rPr>
          <w:sz w:val="22"/>
          <w:szCs w:val="22"/>
        </w:rPr>
        <w:t>I</w:t>
      </w:r>
      <w:r w:rsidRPr="001C585E">
        <w:rPr>
          <w:sz w:val="22"/>
          <w:szCs w:val="22"/>
        </w:rPr>
        <w:t>I</w:t>
      </w:r>
      <w:r>
        <w:rPr>
          <w:sz w:val="22"/>
          <w:szCs w:val="22"/>
        </w:rPr>
        <w:t xml:space="preserve"> (časť VaI)</w:t>
      </w:r>
      <w:r w:rsidRPr="001C585E">
        <w:rPr>
          <w:sz w:val="22"/>
          <w:szCs w:val="22"/>
        </w:rPr>
        <w:t>, príprave nového programového obdobia po roku 2020, vrátane organizovania a zabezpečovaní technickej podpory rokovania pracovných skupín, komisií a výborov. Podpora aktiv</w:t>
      </w:r>
      <w:r>
        <w:rPr>
          <w:sz w:val="22"/>
          <w:szCs w:val="22"/>
        </w:rPr>
        <w:t>ít na zabezpečenie interných a </w:t>
      </w:r>
      <w:r w:rsidRPr="001C585E">
        <w:rPr>
          <w:sz w:val="22"/>
          <w:szCs w:val="22"/>
        </w:rPr>
        <w:t>externých expertov, realizovania štúdii uskutočniteľnosti vrátane hodnotenia a monitorovania plnenia cieľov RIS3 SK bude sledovať posúdenie efektívneho nastavenia činností v rámci projektov systémového charakteru a ďalšieho vývoja a smerovania činností, ktoré začali v programovom období 2007 – 2013.</w:t>
      </w:r>
    </w:p>
    <w:p w14:paraId="750C0532" w14:textId="77777777" w:rsidR="00274CA5" w:rsidRDefault="00274CA5" w:rsidP="00274CA5">
      <w:pPr>
        <w:spacing w:before="180"/>
        <w:jc w:val="both"/>
        <w:rPr>
          <w:sz w:val="22"/>
          <w:szCs w:val="22"/>
        </w:rPr>
      </w:pPr>
      <w:r w:rsidRPr="00C22D75">
        <w:rPr>
          <w:sz w:val="22"/>
          <w:szCs w:val="22"/>
        </w:rPr>
        <w:t>Aktivity súvisiace s prípravou ďalšieho programového obdobia po roku 2020.</w:t>
      </w:r>
    </w:p>
    <w:p w14:paraId="6930555C" w14:textId="70B39659" w:rsidR="00274CA5" w:rsidRPr="00DD0B15" w:rsidRDefault="00274CA5" w:rsidP="00274CA5">
      <w:pPr>
        <w:spacing w:before="180"/>
        <w:jc w:val="both"/>
        <w:rPr>
          <w:i/>
          <w:sz w:val="22"/>
          <w:szCs w:val="22"/>
        </w:rPr>
      </w:pPr>
      <w:r w:rsidRPr="0040351A">
        <w:rPr>
          <w:i/>
          <w:sz w:val="22"/>
          <w:szCs w:val="22"/>
          <w:u w:val="single"/>
        </w:rPr>
        <w:t xml:space="preserve">Príklady aktivít pre špecifický cieľ </w:t>
      </w:r>
      <w:r w:rsidR="00AF7F4D" w:rsidRPr="0040351A">
        <w:rPr>
          <w:i/>
          <w:sz w:val="22"/>
          <w:szCs w:val="22"/>
          <w:u w:val="single"/>
        </w:rPr>
        <w:t>13</w:t>
      </w:r>
      <w:r w:rsidRPr="0040351A">
        <w:rPr>
          <w:i/>
          <w:sz w:val="22"/>
          <w:szCs w:val="22"/>
          <w:u w:val="single"/>
        </w:rPr>
        <w:t>.2</w:t>
      </w:r>
      <w:r w:rsidRPr="00DD0B15">
        <w:rPr>
          <w:i/>
          <w:sz w:val="22"/>
          <w:szCs w:val="22"/>
        </w:rPr>
        <w:t>:</w:t>
      </w:r>
    </w:p>
    <w:p w14:paraId="7E47908C" w14:textId="29C2EE7C" w:rsidR="00274CA5" w:rsidRPr="00DD0B15" w:rsidRDefault="00274CA5" w:rsidP="00274CA5">
      <w:pPr>
        <w:spacing w:before="120"/>
        <w:jc w:val="both"/>
        <w:rPr>
          <w:i/>
          <w:sz w:val="22"/>
          <w:szCs w:val="22"/>
        </w:rPr>
      </w:pPr>
      <w:r w:rsidRPr="00DD0B15">
        <w:rPr>
          <w:i/>
          <w:sz w:val="22"/>
          <w:szCs w:val="22"/>
        </w:rPr>
        <w:t>Aktivity súvisiace s posilnením administratívnych kapacít prijímateľov pre plynulú a riadnu implementáciu operačného programu</w:t>
      </w:r>
      <w:r w:rsidR="000752A7">
        <w:rPr>
          <w:rStyle w:val="Odkaznapoznmkupodiarou"/>
          <w:i/>
          <w:sz w:val="22"/>
          <w:szCs w:val="22"/>
        </w:rPr>
        <w:footnoteReference w:id="103"/>
      </w:r>
    </w:p>
    <w:p w14:paraId="1A813ACE" w14:textId="2BC423C0" w:rsidR="00274CA5" w:rsidRPr="00C22D75" w:rsidRDefault="00274CA5" w:rsidP="00274CA5">
      <w:pPr>
        <w:spacing w:before="120"/>
        <w:jc w:val="both"/>
        <w:rPr>
          <w:sz w:val="22"/>
          <w:szCs w:val="22"/>
        </w:rPr>
      </w:pPr>
      <w:r w:rsidRPr="00C22D75">
        <w:rPr>
          <w:sz w:val="22"/>
          <w:szCs w:val="22"/>
        </w:rPr>
        <w:t>Realizácia uvedených aktivít bude smerovať do oblasti zvýšenej dostupnosti informácií a poradenstva pre administratívne kapacity prijímateľov; zmenu systému impl</w:t>
      </w:r>
      <w:r>
        <w:rPr>
          <w:sz w:val="22"/>
          <w:szCs w:val="22"/>
        </w:rPr>
        <w:t>ementácie národných projektov a </w:t>
      </w:r>
      <w:r w:rsidRPr="00C22D75">
        <w:rPr>
          <w:sz w:val="22"/>
          <w:szCs w:val="22"/>
        </w:rPr>
        <w:t xml:space="preserve">veľkých projektov pri zvýšení dôrazu na aktívnu spoluprácu </w:t>
      </w:r>
      <w:r w:rsidR="006508DC">
        <w:rPr>
          <w:sz w:val="22"/>
          <w:szCs w:val="22"/>
        </w:rPr>
        <w:t>S</w:t>
      </w:r>
      <w:r w:rsidRPr="00C22D75">
        <w:rPr>
          <w:sz w:val="22"/>
          <w:szCs w:val="22"/>
        </w:rPr>
        <w:t>O a prijímateľa podpory pri príprave projektov; uľahčeniu prípravy podkladov spojených s implementáciou projektu a zabezpečením systému vzdelávania prijímateľov o podmienkach implementácie EŠIF</w:t>
      </w:r>
      <w:r w:rsidR="000752A7">
        <w:rPr>
          <w:rStyle w:val="Odkaznapoznmkupodiarou"/>
          <w:sz w:val="22"/>
          <w:szCs w:val="22"/>
        </w:rPr>
        <w:footnoteReference w:id="104"/>
      </w:r>
      <w:r w:rsidRPr="00C22D75">
        <w:rPr>
          <w:sz w:val="22"/>
          <w:szCs w:val="22"/>
        </w:rPr>
        <w:t>.</w:t>
      </w:r>
    </w:p>
    <w:p w14:paraId="6AB9B2B2" w14:textId="77777777" w:rsidR="00274CA5" w:rsidRPr="00DD0B15" w:rsidRDefault="00274CA5" w:rsidP="00274CA5">
      <w:pPr>
        <w:spacing w:before="120"/>
        <w:jc w:val="both"/>
        <w:rPr>
          <w:i/>
          <w:sz w:val="22"/>
          <w:szCs w:val="22"/>
        </w:rPr>
      </w:pPr>
      <w:r w:rsidRPr="00DD0B15">
        <w:rPr>
          <w:i/>
          <w:sz w:val="22"/>
          <w:szCs w:val="22"/>
        </w:rPr>
        <w:t>Zabezpečenie komunikácie v oblasti informovania, publicity a posilnenia povedomia</w:t>
      </w:r>
    </w:p>
    <w:p w14:paraId="710949E7" w14:textId="6EDDCE96" w:rsidR="00274CA5" w:rsidRDefault="00274CA5" w:rsidP="00274CA5">
      <w:pPr>
        <w:spacing w:before="120"/>
        <w:jc w:val="both"/>
        <w:rPr>
          <w:sz w:val="22"/>
          <w:szCs w:val="22"/>
        </w:rPr>
      </w:pPr>
      <w:r w:rsidRPr="00C22D75">
        <w:rPr>
          <w:sz w:val="22"/>
          <w:szCs w:val="22"/>
        </w:rPr>
        <w:t xml:space="preserve">Prostredníctvom nástrojov v oblasti informovania a komunikácie zabezpečí </w:t>
      </w:r>
      <w:r w:rsidR="006508DC">
        <w:rPr>
          <w:sz w:val="22"/>
          <w:szCs w:val="22"/>
        </w:rPr>
        <w:t>S</w:t>
      </w:r>
      <w:r w:rsidRPr="00C22D75">
        <w:rPr>
          <w:sz w:val="22"/>
          <w:szCs w:val="22"/>
        </w:rPr>
        <w:t>O propagáciu s cieľom zdôrazniť odkazy Európskej únie, posilňovanie transparentnosti poskytovania finančných prostriedkov z EŠIF, pričom dôraz bude kladený na zisťovanie spätnej väzby zo strany prijímateľov.</w:t>
      </w:r>
    </w:p>
    <w:p w14:paraId="2BEC4D53" w14:textId="77777777" w:rsidR="00F058A0" w:rsidRDefault="00F058A0" w:rsidP="00274CA5">
      <w:pPr>
        <w:spacing w:before="120"/>
        <w:jc w:val="both"/>
        <w:rPr>
          <w:sz w:val="22"/>
          <w:szCs w:val="22"/>
        </w:rPr>
      </w:pPr>
    </w:p>
    <w:p w14:paraId="0C650AB2" w14:textId="77777777" w:rsidR="00274CA5" w:rsidRDefault="00274CA5" w:rsidP="00F058A0">
      <w:pPr>
        <w:pStyle w:val="Tab"/>
      </w:pPr>
      <w:r w:rsidRPr="00F058A0">
        <w:lastRenderedPageBreak/>
        <w:t>Ukazovatele</w:t>
      </w:r>
      <w:r w:rsidRPr="00DD0B15">
        <w:t xml:space="preserve"> výstupu na úrovni prioritnej osi 13</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52"/>
        <w:gridCol w:w="4383"/>
        <w:gridCol w:w="1256"/>
        <w:gridCol w:w="1256"/>
        <w:gridCol w:w="1325"/>
      </w:tblGrid>
      <w:tr w:rsidR="00274CA5" w:rsidRPr="008C1732" w14:paraId="0D5136D4" w14:textId="77777777" w:rsidTr="005C0B99">
        <w:trPr>
          <w:trHeight w:val="487"/>
          <w:jc w:val="center"/>
        </w:trPr>
        <w:tc>
          <w:tcPr>
            <w:tcW w:w="852" w:type="dxa"/>
            <w:shd w:val="clear" w:color="auto" w:fill="C6D9F1" w:themeFill="text2" w:themeFillTint="33"/>
            <w:vAlign w:val="center"/>
          </w:tcPr>
          <w:p w14:paraId="1B58182C" w14:textId="77777777" w:rsidR="00274CA5" w:rsidRPr="00DC1B08" w:rsidRDefault="00274CA5" w:rsidP="005C0B99">
            <w:pPr>
              <w:ind w:left="0"/>
              <w:jc w:val="center"/>
              <w:rPr>
                <w:b/>
                <w:sz w:val="18"/>
                <w:szCs w:val="18"/>
              </w:rPr>
            </w:pPr>
            <w:r w:rsidRPr="00DC1B08">
              <w:rPr>
                <w:b/>
                <w:sz w:val="18"/>
                <w:szCs w:val="18"/>
              </w:rPr>
              <w:t>ID</w:t>
            </w:r>
          </w:p>
        </w:tc>
        <w:tc>
          <w:tcPr>
            <w:tcW w:w="4383" w:type="dxa"/>
            <w:shd w:val="clear" w:color="auto" w:fill="C6D9F1" w:themeFill="text2" w:themeFillTint="33"/>
            <w:vAlign w:val="center"/>
          </w:tcPr>
          <w:p w14:paraId="1DA40ABB" w14:textId="77777777" w:rsidR="00274CA5" w:rsidRPr="00DC1B08" w:rsidRDefault="00274CA5" w:rsidP="005C0B99">
            <w:pPr>
              <w:ind w:left="0"/>
              <w:jc w:val="center"/>
              <w:rPr>
                <w:b/>
                <w:sz w:val="18"/>
                <w:szCs w:val="18"/>
              </w:rPr>
            </w:pPr>
            <w:r w:rsidRPr="00DC1B08">
              <w:rPr>
                <w:b/>
                <w:sz w:val="18"/>
                <w:szCs w:val="18"/>
              </w:rPr>
              <w:t>Ukazovateľ</w:t>
            </w:r>
          </w:p>
        </w:tc>
        <w:tc>
          <w:tcPr>
            <w:tcW w:w="1256" w:type="dxa"/>
            <w:shd w:val="clear" w:color="auto" w:fill="C6D9F1" w:themeFill="text2" w:themeFillTint="33"/>
            <w:vAlign w:val="center"/>
          </w:tcPr>
          <w:p w14:paraId="393C6AFF" w14:textId="77777777" w:rsidR="00274CA5" w:rsidRPr="00DC1B08" w:rsidRDefault="00274CA5" w:rsidP="005C0B99">
            <w:pPr>
              <w:ind w:left="0"/>
              <w:jc w:val="center"/>
              <w:rPr>
                <w:b/>
                <w:sz w:val="18"/>
                <w:szCs w:val="18"/>
              </w:rPr>
            </w:pPr>
            <w:r w:rsidRPr="00DC1B08">
              <w:rPr>
                <w:b/>
                <w:sz w:val="18"/>
                <w:szCs w:val="18"/>
              </w:rPr>
              <w:t>Merná jednotka</w:t>
            </w:r>
          </w:p>
        </w:tc>
        <w:tc>
          <w:tcPr>
            <w:tcW w:w="1256" w:type="dxa"/>
            <w:shd w:val="clear" w:color="auto" w:fill="C6D9F1" w:themeFill="text2" w:themeFillTint="33"/>
            <w:vAlign w:val="center"/>
          </w:tcPr>
          <w:p w14:paraId="5DE181EA" w14:textId="77777777" w:rsidR="00274CA5" w:rsidRPr="00DC1B08" w:rsidRDefault="00274CA5" w:rsidP="005C0B99">
            <w:pPr>
              <w:ind w:left="0"/>
              <w:jc w:val="center"/>
              <w:rPr>
                <w:b/>
                <w:sz w:val="18"/>
                <w:szCs w:val="18"/>
              </w:rPr>
            </w:pPr>
            <w:r w:rsidRPr="00DC1B08">
              <w:rPr>
                <w:b/>
                <w:sz w:val="18"/>
                <w:szCs w:val="18"/>
              </w:rPr>
              <w:t>Cieľová hodnota (2023)</w:t>
            </w:r>
          </w:p>
        </w:tc>
        <w:tc>
          <w:tcPr>
            <w:tcW w:w="1325" w:type="dxa"/>
            <w:shd w:val="clear" w:color="auto" w:fill="C6D9F1" w:themeFill="text2" w:themeFillTint="33"/>
            <w:vAlign w:val="center"/>
          </w:tcPr>
          <w:p w14:paraId="2F41E093" w14:textId="77777777" w:rsidR="00274CA5" w:rsidRPr="00DC1B08" w:rsidRDefault="00274CA5" w:rsidP="005C0B99">
            <w:pPr>
              <w:ind w:left="0"/>
              <w:jc w:val="center"/>
              <w:rPr>
                <w:b/>
                <w:sz w:val="18"/>
                <w:szCs w:val="18"/>
              </w:rPr>
            </w:pPr>
            <w:r w:rsidRPr="00DC1B08">
              <w:rPr>
                <w:b/>
                <w:sz w:val="18"/>
                <w:szCs w:val="18"/>
              </w:rPr>
              <w:t>Zdroj údajov</w:t>
            </w:r>
          </w:p>
        </w:tc>
      </w:tr>
      <w:tr w:rsidR="00274CA5" w:rsidRPr="00DA54A1" w14:paraId="7D54D1F9" w14:textId="77777777" w:rsidTr="005C0B99">
        <w:trPr>
          <w:cantSplit/>
          <w:trHeight w:val="328"/>
          <w:jc w:val="center"/>
        </w:trPr>
        <w:tc>
          <w:tcPr>
            <w:tcW w:w="852" w:type="dxa"/>
            <w:shd w:val="clear" w:color="auto" w:fill="auto"/>
            <w:vAlign w:val="center"/>
          </w:tcPr>
          <w:p w14:paraId="7FB12B2B" w14:textId="77777777" w:rsidR="00274CA5" w:rsidRPr="00BE0BA9" w:rsidRDefault="00274CA5" w:rsidP="005C0B99">
            <w:pPr>
              <w:ind w:left="0"/>
              <w:rPr>
                <w:sz w:val="18"/>
                <w:szCs w:val="18"/>
              </w:rPr>
            </w:pPr>
            <w:r w:rsidRPr="00BE0BA9">
              <w:rPr>
                <w:sz w:val="18"/>
                <w:szCs w:val="18"/>
              </w:rPr>
              <w:t>O0175</w:t>
            </w:r>
          </w:p>
        </w:tc>
        <w:tc>
          <w:tcPr>
            <w:tcW w:w="4383" w:type="dxa"/>
            <w:shd w:val="clear" w:color="auto" w:fill="auto"/>
            <w:vAlign w:val="center"/>
          </w:tcPr>
          <w:p w14:paraId="4AD20DC0" w14:textId="77777777" w:rsidR="00274CA5" w:rsidRPr="00BE0BA9" w:rsidRDefault="00274CA5" w:rsidP="005C0B99">
            <w:pPr>
              <w:ind w:left="0"/>
              <w:rPr>
                <w:sz w:val="18"/>
                <w:szCs w:val="18"/>
              </w:rPr>
            </w:pPr>
            <w:r w:rsidRPr="00BE0BA9">
              <w:rPr>
                <w:sz w:val="18"/>
                <w:szCs w:val="18"/>
              </w:rPr>
              <w:t>Počet administratívnych kapacít financovaných z technickej pomoci</w:t>
            </w:r>
          </w:p>
        </w:tc>
        <w:tc>
          <w:tcPr>
            <w:tcW w:w="1256" w:type="dxa"/>
            <w:shd w:val="clear" w:color="auto" w:fill="auto"/>
            <w:vAlign w:val="center"/>
          </w:tcPr>
          <w:p w14:paraId="776665C6" w14:textId="77777777" w:rsidR="00274CA5" w:rsidRPr="00BE0BA9" w:rsidRDefault="00274CA5" w:rsidP="005C0B99">
            <w:pPr>
              <w:ind w:left="0"/>
              <w:jc w:val="center"/>
              <w:rPr>
                <w:spacing w:val="-2"/>
                <w:w w:val="110"/>
                <w:sz w:val="18"/>
                <w:szCs w:val="18"/>
              </w:rPr>
            </w:pPr>
            <w:r w:rsidRPr="00BE0BA9">
              <w:rPr>
                <w:spacing w:val="-2"/>
                <w:w w:val="110"/>
                <w:sz w:val="18"/>
                <w:szCs w:val="18"/>
              </w:rPr>
              <w:t>FTE</w:t>
            </w:r>
          </w:p>
        </w:tc>
        <w:tc>
          <w:tcPr>
            <w:tcW w:w="1256" w:type="dxa"/>
            <w:shd w:val="clear" w:color="auto" w:fill="auto"/>
            <w:vAlign w:val="center"/>
          </w:tcPr>
          <w:p w14:paraId="2E5B53C4" w14:textId="77777777" w:rsidR="00274CA5" w:rsidRPr="00BE0BA9" w:rsidRDefault="00274CA5" w:rsidP="005C0B99">
            <w:pPr>
              <w:ind w:left="0"/>
              <w:jc w:val="center"/>
              <w:rPr>
                <w:spacing w:val="-2"/>
                <w:w w:val="110"/>
                <w:sz w:val="18"/>
                <w:szCs w:val="18"/>
              </w:rPr>
            </w:pPr>
            <w:r w:rsidRPr="00BE0BA9">
              <w:rPr>
                <w:spacing w:val="-2"/>
                <w:w w:val="110"/>
                <w:sz w:val="18"/>
                <w:szCs w:val="18"/>
              </w:rPr>
              <w:t>399</w:t>
            </w:r>
          </w:p>
        </w:tc>
        <w:tc>
          <w:tcPr>
            <w:tcW w:w="1325" w:type="dxa"/>
            <w:vAlign w:val="center"/>
          </w:tcPr>
          <w:p w14:paraId="00A96358" w14:textId="2B0A3CE6" w:rsidR="00274CA5" w:rsidRPr="00BE0BA9" w:rsidRDefault="00274CA5" w:rsidP="005C0B99">
            <w:pPr>
              <w:ind w:left="0"/>
              <w:jc w:val="center"/>
              <w:rPr>
                <w:spacing w:val="-2"/>
                <w:w w:val="110"/>
                <w:sz w:val="18"/>
                <w:szCs w:val="18"/>
              </w:rPr>
            </w:pPr>
            <w:r w:rsidRPr="00BE0BA9">
              <w:rPr>
                <w:spacing w:val="-2"/>
                <w:w w:val="110"/>
                <w:sz w:val="18"/>
                <w:szCs w:val="18"/>
              </w:rPr>
              <w:t>SO</w:t>
            </w:r>
          </w:p>
        </w:tc>
      </w:tr>
      <w:tr w:rsidR="00274CA5" w:rsidRPr="00DA54A1" w14:paraId="5F0C921E" w14:textId="77777777" w:rsidTr="005C0B99">
        <w:trPr>
          <w:cantSplit/>
          <w:trHeight w:val="328"/>
          <w:jc w:val="center"/>
        </w:trPr>
        <w:tc>
          <w:tcPr>
            <w:tcW w:w="852" w:type="dxa"/>
            <w:shd w:val="clear" w:color="auto" w:fill="auto"/>
            <w:vAlign w:val="center"/>
          </w:tcPr>
          <w:p w14:paraId="3A0847B4" w14:textId="77777777" w:rsidR="00274CA5" w:rsidRPr="00BE0BA9" w:rsidRDefault="00274CA5" w:rsidP="005C0B99">
            <w:pPr>
              <w:ind w:left="0"/>
              <w:rPr>
                <w:sz w:val="18"/>
                <w:szCs w:val="18"/>
              </w:rPr>
            </w:pPr>
            <w:r w:rsidRPr="00BE0BA9">
              <w:rPr>
                <w:sz w:val="18"/>
                <w:szCs w:val="18"/>
              </w:rPr>
              <w:t>O0163</w:t>
            </w:r>
          </w:p>
        </w:tc>
        <w:tc>
          <w:tcPr>
            <w:tcW w:w="4383" w:type="dxa"/>
            <w:shd w:val="clear" w:color="auto" w:fill="auto"/>
            <w:vAlign w:val="center"/>
          </w:tcPr>
          <w:p w14:paraId="6AB38859" w14:textId="77777777" w:rsidR="00274CA5" w:rsidRPr="00BE0BA9" w:rsidRDefault="00274CA5" w:rsidP="005C0B99">
            <w:pPr>
              <w:ind w:left="0"/>
              <w:rPr>
                <w:sz w:val="18"/>
                <w:szCs w:val="18"/>
              </w:rPr>
            </w:pPr>
            <w:r w:rsidRPr="00BE0BA9">
              <w:rPr>
                <w:sz w:val="18"/>
                <w:szCs w:val="18"/>
              </w:rPr>
              <w:t>Počet zrealizovaných vzdelávacích aktivít</w:t>
            </w:r>
          </w:p>
        </w:tc>
        <w:tc>
          <w:tcPr>
            <w:tcW w:w="1256" w:type="dxa"/>
            <w:shd w:val="clear" w:color="auto" w:fill="auto"/>
            <w:vAlign w:val="center"/>
          </w:tcPr>
          <w:p w14:paraId="0482B4DF" w14:textId="77777777" w:rsidR="00274CA5" w:rsidRPr="00BE0BA9" w:rsidRDefault="00274CA5" w:rsidP="005C0B99">
            <w:pPr>
              <w:ind w:left="0"/>
              <w:jc w:val="center"/>
              <w:rPr>
                <w:spacing w:val="-2"/>
                <w:w w:val="110"/>
                <w:sz w:val="18"/>
                <w:szCs w:val="18"/>
              </w:rPr>
            </w:pPr>
            <w:r w:rsidRPr="00BE0BA9">
              <w:rPr>
                <w:w w:val="110"/>
                <w:sz w:val="18"/>
                <w:szCs w:val="18"/>
              </w:rPr>
              <w:t>počet</w:t>
            </w:r>
          </w:p>
        </w:tc>
        <w:tc>
          <w:tcPr>
            <w:tcW w:w="1256" w:type="dxa"/>
            <w:shd w:val="clear" w:color="auto" w:fill="auto"/>
            <w:vAlign w:val="center"/>
          </w:tcPr>
          <w:p w14:paraId="25619020" w14:textId="77777777" w:rsidR="00274CA5" w:rsidRPr="00BE0BA9" w:rsidRDefault="00274CA5" w:rsidP="005C0B99">
            <w:pPr>
              <w:ind w:left="0"/>
              <w:jc w:val="center"/>
              <w:rPr>
                <w:spacing w:val="-2"/>
                <w:w w:val="110"/>
                <w:sz w:val="18"/>
                <w:szCs w:val="18"/>
              </w:rPr>
            </w:pPr>
            <w:r w:rsidRPr="00BE0BA9">
              <w:rPr>
                <w:spacing w:val="-2"/>
                <w:w w:val="110"/>
                <w:sz w:val="18"/>
                <w:szCs w:val="18"/>
              </w:rPr>
              <w:t>50</w:t>
            </w:r>
          </w:p>
        </w:tc>
        <w:tc>
          <w:tcPr>
            <w:tcW w:w="1325" w:type="dxa"/>
            <w:vAlign w:val="center"/>
          </w:tcPr>
          <w:p w14:paraId="2AE2EF8C" w14:textId="5630E97D" w:rsidR="00274CA5" w:rsidRPr="00BE0BA9" w:rsidRDefault="00274CA5" w:rsidP="005C0B99">
            <w:pPr>
              <w:ind w:left="0"/>
              <w:jc w:val="center"/>
              <w:rPr>
                <w:spacing w:val="-2"/>
                <w:w w:val="110"/>
                <w:sz w:val="18"/>
                <w:szCs w:val="18"/>
              </w:rPr>
            </w:pPr>
            <w:r w:rsidRPr="00BE0BA9">
              <w:rPr>
                <w:spacing w:val="-2"/>
                <w:w w:val="110"/>
                <w:sz w:val="18"/>
                <w:szCs w:val="18"/>
              </w:rPr>
              <w:t>SO</w:t>
            </w:r>
          </w:p>
        </w:tc>
      </w:tr>
      <w:tr w:rsidR="00274CA5" w:rsidRPr="00DA54A1" w14:paraId="3DC9F732" w14:textId="77777777" w:rsidTr="005C0B99">
        <w:trPr>
          <w:cantSplit/>
          <w:trHeight w:val="328"/>
          <w:jc w:val="center"/>
        </w:trPr>
        <w:tc>
          <w:tcPr>
            <w:tcW w:w="852" w:type="dxa"/>
            <w:shd w:val="clear" w:color="auto" w:fill="auto"/>
            <w:vAlign w:val="center"/>
          </w:tcPr>
          <w:p w14:paraId="004E74F3" w14:textId="77777777" w:rsidR="00274CA5" w:rsidRPr="00BE0BA9" w:rsidRDefault="00274CA5" w:rsidP="005C0B99">
            <w:pPr>
              <w:ind w:left="0"/>
              <w:rPr>
                <w:sz w:val="18"/>
                <w:szCs w:val="18"/>
              </w:rPr>
            </w:pPr>
            <w:r w:rsidRPr="00BE0BA9">
              <w:rPr>
                <w:sz w:val="18"/>
                <w:szCs w:val="18"/>
              </w:rPr>
              <w:t>O0182</w:t>
            </w:r>
          </w:p>
        </w:tc>
        <w:tc>
          <w:tcPr>
            <w:tcW w:w="4383" w:type="dxa"/>
            <w:shd w:val="clear" w:color="auto" w:fill="auto"/>
            <w:vAlign w:val="center"/>
          </w:tcPr>
          <w:p w14:paraId="5CE93EE8" w14:textId="77777777" w:rsidR="00274CA5" w:rsidRPr="00BE0BA9" w:rsidRDefault="00274CA5" w:rsidP="005C0B99">
            <w:pPr>
              <w:ind w:left="0"/>
              <w:rPr>
                <w:sz w:val="18"/>
                <w:szCs w:val="18"/>
              </w:rPr>
            </w:pPr>
            <w:r w:rsidRPr="00BE0BA9">
              <w:rPr>
                <w:sz w:val="18"/>
                <w:szCs w:val="18"/>
              </w:rPr>
              <w:t>Podiel administratívnych kapacít vybavených materiálno- technickým vybavením z TP</w:t>
            </w:r>
          </w:p>
        </w:tc>
        <w:tc>
          <w:tcPr>
            <w:tcW w:w="1256" w:type="dxa"/>
            <w:shd w:val="clear" w:color="auto" w:fill="auto"/>
            <w:vAlign w:val="center"/>
          </w:tcPr>
          <w:p w14:paraId="7B1F1FB3" w14:textId="77777777" w:rsidR="00274CA5" w:rsidRPr="00BE0BA9" w:rsidRDefault="00274CA5" w:rsidP="005C0B99">
            <w:pPr>
              <w:ind w:left="0"/>
              <w:jc w:val="center"/>
              <w:rPr>
                <w:spacing w:val="-2"/>
                <w:w w:val="110"/>
                <w:sz w:val="18"/>
                <w:szCs w:val="18"/>
              </w:rPr>
            </w:pPr>
            <w:r w:rsidRPr="00BE0BA9">
              <w:rPr>
                <w:w w:val="110"/>
                <w:sz w:val="18"/>
                <w:szCs w:val="18"/>
              </w:rPr>
              <w:t>%</w:t>
            </w:r>
          </w:p>
        </w:tc>
        <w:tc>
          <w:tcPr>
            <w:tcW w:w="1256" w:type="dxa"/>
            <w:shd w:val="clear" w:color="auto" w:fill="auto"/>
            <w:vAlign w:val="center"/>
          </w:tcPr>
          <w:p w14:paraId="741000F2" w14:textId="77777777" w:rsidR="00274CA5" w:rsidRPr="00BE0BA9" w:rsidRDefault="00274CA5" w:rsidP="005C0B99">
            <w:pPr>
              <w:ind w:left="0"/>
              <w:jc w:val="center"/>
              <w:rPr>
                <w:spacing w:val="-2"/>
                <w:w w:val="110"/>
                <w:sz w:val="18"/>
                <w:szCs w:val="18"/>
              </w:rPr>
            </w:pPr>
            <w:r w:rsidRPr="00BE0BA9">
              <w:rPr>
                <w:spacing w:val="-2"/>
                <w:w w:val="110"/>
                <w:sz w:val="18"/>
                <w:szCs w:val="18"/>
              </w:rPr>
              <w:t>100</w:t>
            </w:r>
          </w:p>
        </w:tc>
        <w:tc>
          <w:tcPr>
            <w:tcW w:w="1325" w:type="dxa"/>
            <w:vAlign w:val="center"/>
          </w:tcPr>
          <w:p w14:paraId="25014BE9" w14:textId="7252C9B1" w:rsidR="00274CA5" w:rsidRPr="00BE0BA9" w:rsidRDefault="00274CA5" w:rsidP="005C0B99">
            <w:pPr>
              <w:ind w:left="0"/>
              <w:jc w:val="center"/>
              <w:rPr>
                <w:spacing w:val="-2"/>
                <w:w w:val="110"/>
                <w:sz w:val="18"/>
                <w:szCs w:val="18"/>
              </w:rPr>
            </w:pPr>
            <w:r w:rsidRPr="00BE0BA9">
              <w:rPr>
                <w:spacing w:val="-2"/>
                <w:w w:val="110"/>
                <w:sz w:val="18"/>
                <w:szCs w:val="18"/>
              </w:rPr>
              <w:t>SO</w:t>
            </w:r>
          </w:p>
        </w:tc>
      </w:tr>
      <w:tr w:rsidR="00274CA5" w:rsidRPr="00DA54A1" w14:paraId="1D85E5E6" w14:textId="77777777" w:rsidTr="005C0B99">
        <w:trPr>
          <w:cantSplit/>
          <w:trHeight w:val="328"/>
          <w:jc w:val="center"/>
        </w:trPr>
        <w:tc>
          <w:tcPr>
            <w:tcW w:w="852" w:type="dxa"/>
            <w:shd w:val="clear" w:color="auto" w:fill="auto"/>
            <w:vAlign w:val="center"/>
          </w:tcPr>
          <w:p w14:paraId="081D12EF" w14:textId="77777777" w:rsidR="00274CA5" w:rsidRPr="00BE0BA9" w:rsidRDefault="00274CA5" w:rsidP="005C0B99">
            <w:pPr>
              <w:ind w:left="0"/>
              <w:rPr>
                <w:sz w:val="18"/>
                <w:szCs w:val="18"/>
              </w:rPr>
            </w:pPr>
            <w:r w:rsidRPr="00BE0BA9">
              <w:rPr>
                <w:sz w:val="18"/>
                <w:szCs w:val="18"/>
              </w:rPr>
              <w:t>O0181</w:t>
            </w:r>
          </w:p>
        </w:tc>
        <w:tc>
          <w:tcPr>
            <w:tcW w:w="4383" w:type="dxa"/>
            <w:shd w:val="clear" w:color="auto" w:fill="auto"/>
            <w:vAlign w:val="center"/>
          </w:tcPr>
          <w:p w14:paraId="5E6BFF2A" w14:textId="77777777" w:rsidR="00274CA5" w:rsidRPr="00BE0BA9" w:rsidRDefault="00274CA5" w:rsidP="005C0B99">
            <w:pPr>
              <w:ind w:left="0"/>
              <w:rPr>
                <w:sz w:val="18"/>
                <w:szCs w:val="18"/>
              </w:rPr>
            </w:pPr>
            <w:r w:rsidRPr="00BE0BA9">
              <w:rPr>
                <w:sz w:val="18"/>
                <w:szCs w:val="18"/>
              </w:rPr>
              <w:t>Počet zrealizovaných hodnotení, analýz a štúdií</w:t>
            </w:r>
          </w:p>
        </w:tc>
        <w:tc>
          <w:tcPr>
            <w:tcW w:w="1256" w:type="dxa"/>
            <w:shd w:val="clear" w:color="auto" w:fill="auto"/>
            <w:vAlign w:val="center"/>
          </w:tcPr>
          <w:p w14:paraId="7028CBC4" w14:textId="77777777" w:rsidR="00274CA5" w:rsidRPr="00BE0BA9" w:rsidRDefault="00274CA5" w:rsidP="005C0B99">
            <w:pPr>
              <w:ind w:left="0"/>
              <w:jc w:val="center"/>
              <w:rPr>
                <w:spacing w:val="-2"/>
                <w:w w:val="110"/>
                <w:sz w:val="18"/>
                <w:szCs w:val="18"/>
              </w:rPr>
            </w:pPr>
            <w:r w:rsidRPr="00BE0BA9">
              <w:rPr>
                <w:w w:val="110"/>
                <w:sz w:val="18"/>
                <w:szCs w:val="18"/>
              </w:rPr>
              <w:t>počet</w:t>
            </w:r>
          </w:p>
        </w:tc>
        <w:tc>
          <w:tcPr>
            <w:tcW w:w="1256" w:type="dxa"/>
            <w:shd w:val="clear" w:color="auto" w:fill="auto"/>
            <w:vAlign w:val="center"/>
          </w:tcPr>
          <w:p w14:paraId="681E126A" w14:textId="77777777" w:rsidR="00274CA5" w:rsidRPr="00BE0BA9" w:rsidRDefault="00274CA5" w:rsidP="005C0B99">
            <w:pPr>
              <w:ind w:left="0"/>
              <w:jc w:val="center"/>
              <w:rPr>
                <w:spacing w:val="-2"/>
                <w:w w:val="110"/>
                <w:sz w:val="18"/>
                <w:szCs w:val="18"/>
              </w:rPr>
            </w:pPr>
            <w:r w:rsidRPr="00BE0BA9">
              <w:rPr>
                <w:spacing w:val="-2"/>
                <w:w w:val="110"/>
                <w:sz w:val="18"/>
                <w:szCs w:val="18"/>
              </w:rPr>
              <w:t>30</w:t>
            </w:r>
          </w:p>
        </w:tc>
        <w:tc>
          <w:tcPr>
            <w:tcW w:w="1325" w:type="dxa"/>
            <w:vAlign w:val="center"/>
          </w:tcPr>
          <w:p w14:paraId="64B56238" w14:textId="4910B3F7" w:rsidR="00274CA5" w:rsidRPr="00BE0BA9" w:rsidRDefault="00274CA5" w:rsidP="005C0B99">
            <w:pPr>
              <w:ind w:left="0"/>
              <w:jc w:val="center"/>
              <w:rPr>
                <w:spacing w:val="-2"/>
                <w:w w:val="110"/>
                <w:sz w:val="18"/>
                <w:szCs w:val="18"/>
              </w:rPr>
            </w:pPr>
            <w:r w:rsidRPr="00BE0BA9">
              <w:rPr>
                <w:spacing w:val="-2"/>
                <w:w w:val="110"/>
                <w:sz w:val="18"/>
                <w:szCs w:val="18"/>
              </w:rPr>
              <w:t>SO</w:t>
            </w:r>
          </w:p>
        </w:tc>
      </w:tr>
      <w:tr w:rsidR="00274CA5" w:rsidRPr="00DA54A1" w14:paraId="0DCBB11B" w14:textId="77777777" w:rsidTr="005C0B99">
        <w:trPr>
          <w:cantSplit/>
          <w:trHeight w:val="328"/>
          <w:jc w:val="center"/>
        </w:trPr>
        <w:tc>
          <w:tcPr>
            <w:tcW w:w="852" w:type="dxa"/>
            <w:shd w:val="clear" w:color="auto" w:fill="auto"/>
            <w:vAlign w:val="center"/>
          </w:tcPr>
          <w:p w14:paraId="34D15D15" w14:textId="3E4E4234" w:rsidR="00274CA5" w:rsidRPr="00BE0BA9" w:rsidRDefault="00274CA5">
            <w:pPr>
              <w:ind w:left="0"/>
              <w:rPr>
                <w:sz w:val="18"/>
                <w:szCs w:val="18"/>
              </w:rPr>
            </w:pPr>
            <w:r w:rsidRPr="00BE0BA9">
              <w:rPr>
                <w:sz w:val="18"/>
                <w:szCs w:val="18"/>
              </w:rPr>
              <w:t>O</w:t>
            </w:r>
            <w:r w:rsidR="007D7929">
              <w:rPr>
                <w:sz w:val="18"/>
                <w:szCs w:val="18"/>
              </w:rPr>
              <w:t>00</w:t>
            </w:r>
            <w:r w:rsidRPr="00BE0BA9">
              <w:rPr>
                <w:sz w:val="18"/>
                <w:szCs w:val="18"/>
              </w:rPr>
              <w:t>48</w:t>
            </w:r>
          </w:p>
        </w:tc>
        <w:tc>
          <w:tcPr>
            <w:tcW w:w="4383" w:type="dxa"/>
            <w:shd w:val="clear" w:color="auto" w:fill="auto"/>
            <w:vAlign w:val="center"/>
          </w:tcPr>
          <w:p w14:paraId="5EECAEC4" w14:textId="77777777" w:rsidR="00274CA5" w:rsidRPr="00BE0BA9" w:rsidRDefault="00274CA5" w:rsidP="005C0B99">
            <w:pPr>
              <w:ind w:left="0"/>
              <w:rPr>
                <w:sz w:val="18"/>
                <w:szCs w:val="18"/>
              </w:rPr>
            </w:pPr>
            <w:r w:rsidRPr="00BE0BA9">
              <w:rPr>
                <w:sz w:val="18"/>
                <w:szCs w:val="18"/>
              </w:rPr>
              <w:t>Počet opatrení pre zníženie administratívnej záťaže</w:t>
            </w:r>
          </w:p>
        </w:tc>
        <w:tc>
          <w:tcPr>
            <w:tcW w:w="1256" w:type="dxa"/>
            <w:shd w:val="clear" w:color="auto" w:fill="auto"/>
            <w:vAlign w:val="center"/>
          </w:tcPr>
          <w:p w14:paraId="38F981A0" w14:textId="77777777" w:rsidR="00274CA5" w:rsidRPr="00BE0BA9" w:rsidRDefault="00274CA5" w:rsidP="005C0B99">
            <w:pPr>
              <w:ind w:left="0"/>
              <w:jc w:val="center"/>
              <w:rPr>
                <w:spacing w:val="-2"/>
                <w:w w:val="110"/>
                <w:sz w:val="18"/>
                <w:szCs w:val="18"/>
              </w:rPr>
            </w:pPr>
            <w:r w:rsidRPr="00BE0BA9">
              <w:rPr>
                <w:w w:val="110"/>
                <w:sz w:val="18"/>
                <w:szCs w:val="18"/>
              </w:rPr>
              <w:t>počet</w:t>
            </w:r>
          </w:p>
        </w:tc>
        <w:tc>
          <w:tcPr>
            <w:tcW w:w="1256" w:type="dxa"/>
            <w:shd w:val="clear" w:color="auto" w:fill="auto"/>
            <w:vAlign w:val="center"/>
          </w:tcPr>
          <w:p w14:paraId="56EEAA98" w14:textId="77777777" w:rsidR="00274CA5" w:rsidRPr="00BE0BA9" w:rsidRDefault="00274CA5" w:rsidP="005C0B99">
            <w:pPr>
              <w:ind w:left="0"/>
              <w:jc w:val="center"/>
              <w:rPr>
                <w:spacing w:val="-2"/>
                <w:w w:val="110"/>
                <w:sz w:val="18"/>
                <w:szCs w:val="18"/>
              </w:rPr>
            </w:pPr>
            <w:r w:rsidRPr="00BE0BA9">
              <w:rPr>
                <w:spacing w:val="-2"/>
                <w:w w:val="110"/>
                <w:sz w:val="18"/>
                <w:szCs w:val="18"/>
              </w:rPr>
              <w:t>16</w:t>
            </w:r>
          </w:p>
        </w:tc>
        <w:tc>
          <w:tcPr>
            <w:tcW w:w="1325" w:type="dxa"/>
            <w:vAlign w:val="center"/>
          </w:tcPr>
          <w:p w14:paraId="1D137066" w14:textId="022BB1B0" w:rsidR="00274CA5" w:rsidRPr="00BE0BA9" w:rsidRDefault="00274CA5" w:rsidP="005C0B99">
            <w:pPr>
              <w:ind w:left="0"/>
              <w:jc w:val="center"/>
              <w:rPr>
                <w:spacing w:val="-2"/>
                <w:w w:val="110"/>
                <w:sz w:val="18"/>
                <w:szCs w:val="18"/>
              </w:rPr>
            </w:pPr>
            <w:r w:rsidRPr="00BE0BA9">
              <w:rPr>
                <w:spacing w:val="-2"/>
                <w:w w:val="110"/>
                <w:sz w:val="18"/>
                <w:szCs w:val="18"/>
              </w:rPr>
              <w:t>SO</w:t>
            </w:r>
          </w:p>
        </w:tc>
      </w:tr>
      <w:tr w:rsidR="00274CA5" w:rsidRPr="00DA54A1" w14:paraId="577F2B06" w14:textId="77777777" w:rsidTr="005C0B99">
        <w:trPr>
          <w:cantSplit/>
          <w:trHeight w:val="328"/>
          <w:jc w:val="center"/>
        </w:trPr>
        <w:tc>
          <w:tcPr>
            <w:tcW w:w="852" w:type="dxa"/>
            <w:shd w:val="clear" w:color="auto" w:fill="auto"/>
            <w:vAlign w:val="center"/>
          </w:tcPr>
          <w:p w14:paraId="5A560730" w14:textId="703AF3FA" w:rsidR="00274CA5" w:rsidRPr="00BE0BA9" w:rsidRDefault="00274CA5" w:rsidP="005C0B99">
            <w:pPr>
              <w:ind w:left="0"/>
              <w:rPr>
                <w:sz w:val="18"/>
                <w:szCs w:val="18"/>
              </w:rPr>
            </w:pPr>
            <w:r w:rsidRPr="00BE0BA9">
              <w:rPr>
                <w:sz w:val="18"/>
                <w:szCs w:val="18"/>
              </w:rPr>
              <w:t>O</w:t>
            </w:r>
            <w:r w:rsidR="007D7929">
              <w:rPr>
                <w:sz w:val="18"/>
                <w:szCs w:val="18"/>
              </w:rPr>
              <w:t>0</w:t>
            </w:r>
            <w:r w:rsidRPr="00BE0BA9">
              <w:rPr>
                <w:sz w:val="18"/>
                <w:szCs w:val="18"/>
              </w:rPr>
              <w:t>178</w:t>
            </w:r>
          </w:p>
        </w:tc>
        <w:tc>
          <w:tcPr>
            <w:tcW w:w="4383" w:type="dxa"/>
            <w:shd w:val="clear" w:color="auto" w:fill="auto"/>
            <w:vAlign w:val="center"/>
          </w:tcPr>
          <w:p w14:paraId="315EA6FD" w14:textId="77777777" w:rsidR="00274CA5" w:rsidRPr="00BE0BA9" w:rsidRDefault="00274CA5" w:rsidP="005C0B99">
            <w:pPr>
              <w:ind w:left="0"/>
              <w:rPr>
                <w:sz w:val="18"/>
                <w:szCs w:val="18"/>
              </w:rPr>
            </w:pPr>
            <w:r w:rsidRPr="00BE0BA9">
              <w:rPr>
                <w:sz w:val="18"/>
                <w:szCs w:val="18"/>
              </w:rPr>
              <w:t>Počet zrealizovaných informačných aktivít</w:t>
            </w:r>
          </w:p>
        </w:tc>
        <w:tc>
          <w:tcPr>
            <w:tcW w:w="1256" w:type="dxa"/>
            <w:shd w:val="clear" w:color="auto" w:fill="auto"/>
            <w:vAlign w:val="center"/>
          </w:tcPr>
          <w:p w14:paraId="1738F6A1" w14:textId="77777777" w:rsidR="00274CA5" w:rsidRPr="00BE0BA9" w:rsidRDefault="00274CA5" w:rsidP="005C0B99">
            <w:pPr>
              <w:ind w:left="0"/>
              <w:jc w:val="center"/>
              <w:rPr>
                <w:spacing w:val="-2"/>
                <w:w w:val="110"/>
                <w:sz w:val="18"/>
                <w:szCs w:val="18"/>
              </w:rPr>
            </w:pPr>
            <w:r w:rsidRPr="00BE0BA9">
              <w:rPr>
                <w:w w:val="110"/>
                <w:sz w:val="18"/>
                <w:szCs w:val="18"/>
              </w:rPr>
              <w:t>počet</w:t>
            </w:r>
          </w:p>
        </w:tc>
        <w:tc>
          <w:tcPr>
            <w:tcW w:w="1256" w:type="dxa"/>
            <w:shd w:val="clear" w:color="auto" w:fill="auto"/>
            <w:vAlign w:val="center"/>
          </w:tcPr>
          <w:p w14:paraId="7F5A333C" w14:textId="77777777" w:rsidR="00274CA5" w:rsidRPr="00BE0BA9" w:rsidRDefault="00274CA5" w:rsidP="005C0B99">
            <w:pPr>
              <w:ind w:left="0"/>
              <w:jc w:val="center"/>
              <w:rPr>
                <w:spacing w:val="-2"/>
                <w:w w:val="110"/>
                <w:sz w:val="18"/>
                <w:szCs w:val="18"/>
              </w:rPr>
            </w:pPr>
            <w:r w:rsidRPr="00BE0BA9">
              <w:rPr>
                <w:spacing w:val="-2"/>
                <w:w w:val="110"/>
                <w:sz w:val="18"/>
                <w:szCs w:val="18"/>
              </w:rPr>
              <w:t>2 500</w:t>
            </w:r>
          </w:p>
        </w:tc>
        <w:tc>
          <w:tcPr>
            <w:tcW w:w="1325" w:type="dxa"/>
            <w:vAlign w:val="center"/>
          </w:tcPr>
          <w:p w14:paraId="426C8034" w14:textId="65AD6720" w:rsidR="00274CA5" w:rsidRPr="00BE0BA9" w:rsidRDefault="00274CA5" w:rsidP="005C0B99">
            <w:pPr>
              <w:ind w:left="0"/>
              <w:jc w:val="center"/>
              <w:rPr>
                <w:spacing w:val="-2"/>
                <w:w w:val="110"/>
                <w:sz w:val="18"/>
                <w:szCs w:val="18"/>
              </w:rPr>
            </w:pPr>
            <w:r w:rsidRPr="00BE0BA9">
              <w:rPr>
                <w:spacing w:val="-2"/>
                <w:w w:val="110"/>
                <w:sz w:val="18"/>
                <w:szCs w:val="18"/>
              </w:rPr>
              <w:t>SO</w:t>
            </w:r>
          </w:p>
        </w:tc>
      </w:tr>
    </w:tbl>
    <w:p w14:paraId="44A260BE" w14:textId="77777777" w:rsidR="00274CA5" w:rsidRDefault="00274CA5" w:rsidP="00274CA5">
      <w:pPr>
        <w:pStyle w:val="Nadpis3"/>
      </w:pPr>
      <w:bookmarkStart w:id="140" w:name="_Toc28951673"/>
      <w:r>
        <w:t>Kategórie intervencií</w:t>
      </w:r>
      <w:bookmarkEnd w:id="140"/>
    </w:p>
    <w:p w14:paraId="24663184"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608F335C" w14:textId="77777777" w:rsidTr="005C0B99">
        <w:trPr>
          <w:trHeight w:val="255"/>
          <w:jc w:val="center"/>
        </w:trPr>
        <w:tc>
          <w:tcPr>
            <w:tcW w:w="9072" w:type="dxa"/>
            <w:gridSpan w:val="3"/>
            <w:shd w:val="clear" w:color="auto" w:fill="DBE5F1"/>
            <w:vAlign w:val="center"/>
          </w:tcPr>
          <w:p w14:paraId="7F865C48"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274CA5" w:rsidRPr="003A7F56" w14:paraId="239F0D54" w14:textId="77777777" w:rsidTr="005C0B99">
        <w:trPr>
          <w:trHeight w:val="255"/>
          <w:jc w:val="center"/>
        </w:trPr>
        <w:tc>
          <w:tcPr>
            <w:tcW w:w="4912" w:type="dxa"/>
            <w:shd w:val="clear" w:color="auto" w:fill="DBE5F1"/>
            <w:vAlign w:val="center"/>
          </w:tcPr>
          <w:p w14:paraId="70B23E57"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010E7B5B"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19403084" w14:textId="77777777" w:rsidTr="005C0B99">
        <w:trPr>
          <w:trHeight w:val="255"/>
          <w:jc w:val="center"/>
        </w:trPr>
        <w:tc>
          <w:tcPr>
            <w:tcW w:w="4912" w:type="dxa"/>
            <w:shd w:val="clear" w:color="auto" w:fill="DBE5F1"/>
            <w:vAlign w:val="center"/>
          </w:tcPr>
          <w:p w14:paraId="27CF1CFF"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4F981A92"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274CA5" w:rsidRPr="003A7F56" w14:paraId="343A1EAF" w14:textId="77777777" w:rsidTr="005C0B99">
        <w:trPr>
          <w:trHeight w:val="255"/>
          <w:jc w:val="center"/>
        </w:trPr>
        <w:tc>
          <w:tcPr>
            <w:tcW w:w="4912" w:type="dxa"/>
            <w:shd w:val="clear" w:color="auto" w:fill="auto"/>
            <w:vAlign w:val="center"/>
          </w:tcPr>
          <w:p w14:paraId="4E91EF1A"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4F8E864C"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29C2E0E3"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068F88AA" w14:textId="77777777" w:rsidTr="005C0B99">
        <w:trPr>
          <w:trHeight w:val="255"/>
          <w:jc w:val="center"/>
        </w:trPr>
        <w:tc>
          <w:tcPr>
            <w:tcW w:w="4912" w:type="dxa"/>
            <w:vMerge w:val="restart"/>
            <w:shd w:val="clear" w:color="auto" w:fill="auto"/>
            <w:vAlign w:val="center"/>
          </w:tcPr>
          <w:p w14:paraId="34B7FE96" w14:textId="65730A85"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11AE8042" w14:textId="77777777" w:rsidR="00274CA5" w:rsidRPr="0090045C" w:rsidRDefault="00274CA5" w:rsidP="005C0B99">
            <w:pPr>
              <w:autoSpaceDE w:val="0"/>
              <w:autoSpaceDN w:val="0"/>
              <w:adjustRightInd w:val="0"/>
              <w:jc w:val="center"/>
              <w:rPr>
                <w:sz w:val="18"/>
              </w:rPr>
            </w:pPr>
            <w:r>
              <w:rPr>
                <w:sz w:val="18"/>
              </w:rPr>
              <w:t>121</w:t>
            </w:r>
          </w:p>
        </w:tc>
        <w:tc>
          <w:tcPr>
            <w:tcW w:w="2040" w:type="dxa"/>
            <w:shd w:val="clear" w:color="auto" w:fill="auto"/>
            <w:vAlign w:val="center"/>
          </w:tcPr>
          <w:p w14:paraId="6E7B2D8E" w14:textId="77777777" w:rsidR="00274CA5" w:rsidRPr="00CF79E0" w:rsidRDefault="00274CA5" w:rsidP="005C0B99">
            <w:pPr>
              <w:autoSpaceDE w:val="0"/>
              <w:autoSpaceDN w:val="0"/>
              <w:adjustRightInd w:val="0"/>
              <w:jc w:val="center"/>
              <w:rPr>
                <w:sz w:val="18"/>
              </w:rPr>
            </w:pPr>
            <w:r>
              <w:rPr>
                <w:sz w:val="18"/>
              </w:rPr>
              <w:t>54 538 716</w:t>
            </w:r>
          </w:p>
        </w:tc>
      </w:tr>
      <w:tr w:rsidR="00274CA5" w:rsidRPr="003A7F56" w14:paraId="608544FF" w14:textId="77777777" w:rsidTr="005C0B99">
        <w:trPr>
          <w:trHeight w:val="255"/>
          <w:jc w:val="center"/>
        </w:trPr>
        <w:tc>
          <w:tcPr>
            <w:tcW w:w="4912" w:type="dxa"/>
            <w:vMerge/>
            <w:shd w:val="clear" w:color="auto" w:fill="auto"/>
            <w:vAlign w:val="center"/>
          </w:tcPr>
          <w:p w14:paraId="4B7AA0C6" w14:textId="77777777" w:rsidR="00274CA5" w:rsidRPr="003A7F56" w:rsidRDefault="00274CA5" w:rsidP="005C0B99">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3A769C8E" w14:textId="77777777" w:rsidR="00274CA5" w:rsidRPr="0090045C" w:rsidRDefault="00274CA5" w:rsidP="005C0B99">
            <w:pPr>
              <w:autoSpaceDE w:val="0"/>
              <w:autoSpaceDN w:val="0"/>
              <w:adjustRightInd w:val="0"/>
              <w:jc w:val="center"/>
              <w:rPr>
                <w:sz w:val="18"/>
              </w:rPr>
            </w:pPr>
            <w:r>
              <w:rPr>
                <w:sz w:val="18"/>
              </w:rPr>
              <w:t>122</w:t>
            </w:r>
          </w:p>
        </w:tc>
        <w:tc>
          <w:tcPr>
            <w:tcW w:w="2040" w:type="dxa"/>
            <w:shd w:val="clear" w:color="auto" w:fill="auto"/>
            <w:vAlign w:val="center"/>
          </w:tcPr>
          <w:p w14:paraId="7360B824" w14:textId="77777777" w:rsidR="00274CA5" w:rsidRPr="00CF79E0" w:rsidRDefault="00274CA5" w:rsidP="005C0B99">
            <w:pPr>
              <w:autoSpaceDE w:val="0"/>
              <w:autoSpaceDN w:val="0"/>
              <w:adjustRightInd w:val="0"/>
              <w:jc w:val="center"/>
              <w:rPr>
                <w:sz w:val="18"/>
              </w:rPr>
            </w:pPr>
            <w:r>
              <w:rPr>
                <w:sz w:val="18"/>
              </w:rPr>
              <w:t>5 617 551</w:t>
            </w:r>
          </w:p>
        </w:tc>
      </w:tr>
      <w:tr w:rsidR="00274CA5" w:rsidRPr="003A7F56" w14:paraId="471855B5" w14:textId="77777777" w:rsidTr="005C0B99">
        <w:trPr>
          <w:trHeight w:val="255"/>
          <w:jc w:val="center"/>
        </w:trPr>
        <w:tc>
          <w:tcPr>
            <w:tcW w:w="4912" w:type="dxa"/>
            <w:vMerge/>
            <w:shd w:val="clear" w:color="auto" w:fill="auto"/>
            <w:vAlign w:val="center"/>
          </w:tcPr>
          <w:p w14:paraId="73B4D7A8" w14:textId="77777777" w:rsidR="00274CA5" w:rsidRPr="003A7F56" w:rsidRDefault="00274CA5" w:rsidP="005C0B99">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7BC22CE2" w14:textId="77777777" w:rsidR="00274CA5" w:rsidRPr="0090045C" w:rsidRDefault="00274CA5" w:rsidP="005C0B99">
            <w:pPr>
              <w:autoSpaceDE w:val="0"/>
              <w:autoSpaceDN w:val="0"/>
              <w:adjustRightInd w:val="0"/>
              <w:jc w:val="center"/>
              <w:rPr>
                <w:sz w:val="18"/>
              </w:rPr>
            </w:pPr>
            <w:r>
              <w:rPr>
                <w:sz w:val="18"/>
              </w:rPr>
              <w:t>123</w:t>
            </w:r>
          </w:p>
        </w:tc>
        <w:tc>
          <w:tcPr>
            <w:tcW w:w="2040" w:type="dxa"/>
            <w:shd w:val="clear" w:color="auto" w:fill="auto"/>
            <w:vAlign w:val="center"/>
          </w:tcPr>
          <w:p w14:paraId="6340C6D2" w14:textId="77777777" w:rsidR="00274CA5" w:rsidRPr="00CF79E0" w:rsidRDefault="00274CA5" w:rsidP="005C0B99">
            <w:pPr>
              <w:autoSpaceDE w:val="0"/>
              <w:autoSpaceDN w:val="0"/>
              <w:adjustRightInd w:val="0"/>
              <w:jc w:val="center"/>
              <w:rPr>
                <w:sz w:val="18"/>
              </w:rPr>
            </w:pPr>
            <w:r>
              <w:rPr>
                <w:sz w:val="18"/>
              </w:rPr>
              <w:t>7 428 733</w:t>
            </w:r>
          </w:p>
        </w:tc>
      </w:tr>
    </w:tbl>
    <w:p w14:paraId="0B9CDE6B"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48CD7EA4" w14:textId="77777777" w:rsidTr="005C0B99">
        <w:trPr>
          <w:trHeight w:val="255"/>
          <w:jc w:val="center"/>
        </w:trPr>
        <w:tc>
          <w:tcPr>
            <w:tcW w:w="9072" w:type="dxa"/>
            <w:gridSpan w:val="3"/>
            <w:shd w:val="clear" w:color="auto" w:fill="DBE5F1"/>
            <w:vAlign w:val="center"/>
          </w:tcPr>
          <w:p w14:paraId="1C0D644C"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274CA5" w:rsidRPr="003A7F56" w14:paraId="65C947F3" w14:textId="77777777" w:rsidTr="005C0B99">
        <w:trPr>
          <w:trHeight w:val="255"/>
          <w:jc w:val="center"/>
        </w:trPr>
        <w:tc>
          <w:tcPr>
            <w:tcW w:w="4912" w:type="dxa"/>
            <w:shd w:val="clear" w:color="auto" w:fill="DBE5F1"/>
            <w:vAlign w:val="center"/>
          </w:tcPr>
          <w:p w14:paraId="0E803AEA"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6860D49C"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557A45C8" w14:textId="77777777" w:rsidTr="005C0B99">
        <w:trPr>
          <w:trHeight w:val="255"/>
          <w:jc w:val="center"/>
        </w:trPr>
        <w:tc>
          <w:tcPr>
            <w:tcW w:w="4912" w:type="dxa"/>
            <w:shd w:val="clear" w:color="auto" w:fill="DBE5F1"/>
            <w:vAlign w:val="center"/>
          </w:tcPr>
          <w:p w14:paraId="75DA28F7"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4D6276F4"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274CA5" w:rsidRPr="003A7F56" w14:paraId="0294AED6" w14:textId="77777777" w:rsidTr="005C0B99">
        <w:trPr>
          <w:trHeight w:val="255"/>
          <w:jc w:val="center"/>
        </w:trPr>
        <w:tc>
          <w:tcPr>
            <w:tcW w:w="4912" w:type="dxa"/>
            <w:shd w:val="clear" w:color="auto" w:fill="auto"/>
            <w:vAlign w:val="center"/>
          </w:tcPr>
          <w:p w14:paraId="4ED3ED03"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33386063"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14D676B5"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0B3F495C" w14:textId="77777777" w:rsidTr="005C0B99">
        <w:trPr>
          <w:trHeight w:val="255"/>
          <w:jc w:val="center"/>
        </w:trPr>
        <w:tc>
          <w:tcPr>
            <w:tcW w:w="4912" w:type="dxa"/>
            <w:shd w:val="clear" w:color="auto" w:fill="auto"/>
            <w:vAlign w:val="center"/>
          </w:tcPr>
          <w:p w14:paraId="1D03FA3F" w14:textId="09678655"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3CA406B3" w14:textId="77777777" w:rsidR="00274CA5" w:rsidRPr="00F72E4C" w:rsidRDefault="00274CA5" w:rsidP="005C0B99">
            <w:pPr>
              <w:autoSpaceDE w:val="0"/>
              <w:autoSpaceDN w:val="0"/>
              <w:adjustRightInd w:val="0"/>
              <w:jc w:val="center"/>
              <w:rPr>
                <w:sz w:val="20"/>
                <w:szCs w:val="20"/>
              </w:rPr>
            </w:pPr>
            <w:r w:rsidRPr="00F72E4C">
              <w:rPr>
                <w:sz w:val="18"/>
              </w:rPr>
              <w:t>01</w:t>
            </w:r>
          </w:p>
        </w:tc>
        <w:tc>
          <w:tcPr>
            <w:tcW w:w="2040" w:type="dxa"/>
            <w:shd w:val="clear" w:color="auto" w:fill="auto"/>
            <w:vAlign w:val="center"/>
          </w:tcPr>
          <w:p w14:paraId="7BA1DA43" w14:textId="77777777" w:rsidR="00274CA5" w:rsidRPr="00CF79E0" w:rsidRDefault="00274CA5" w:rsidP="005C0B99">
            <w:pPr>
              <w:autoSpaceDE w:val="0"/>
              <w:autoSpaceDN w:val="0"/>
              <w:adjustRightInd w:val="0"/>
              <w:jc w:val="center"/>
              <w:rPr>
                <w:sz w:val="18"/>
              </w:rPr>
            </w:pPr>
            <w:r>
              <w:rPr>
                <w:sz w:val="18"/>
              </w:rPr>
              <w:t>67 585 000</w:t>
            </w:r>
          </w:p>
        </w:tc>
      </w:tr>
    </w:tbl>
    <w:p w14:paraId="15EDFC35"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70CD68C4" w14:textId="77777777" w:rsidTr="005C0B99">
        <w:trPr>
          <w:trHeight w:val="255"/>
          <w:jc w:val="center"/>
        </w:trPr>
        <w:tc>
          <w:tcPr>
            <w:tcW w:w="9072" w:type="dxa"/>
            <w:gridSpan w:val="3"/>
            <w:shd w:val="clear" w:color="auto" w:fill="DBE5F1"/>
            <w:vAlign w:val="center"/>
          </w:tcPr>
          <w:p w14:paraId="65F1300E"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274CA5" w:rsidRPr="003A7F56" w14:paraId="2610C20C" w14:textId="77777777" w:rsidTr="005C0B99">
        <w:trPr>
          <w:trHeight w:val="255"/>
          <w:jc w:val="center"/>
        </w:trPr>
        <w:tc>
          <w:tcPr>
            <w:tcW w:w="4912" w:type="dxa"/>
            <w:shd w:val="clear" w:color="auto" w:fill="DBE5F1"/>
            <w:vAlign w:val="center"/>
          </w:tcPr>
          <w:p w14:paraId="133925AF"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1267756E"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51B5CD70" w14:textId="77777777" w:rsidTr="005C0B99">
        <w:trPr>
          <w:trHeight w:val="255"/>
          <w:jc w:val="center"/>
        </w:trPr>
        <w:tc>
          <w:tcPr>
            <w:tcW w:w="4912" w:type="dxa"/>
            <w:shd w:val="clear" w:color="auto" w:fill="DBE5F1"/>
            <w:vAlign w:val="center"/>
          </w:tcPr>
          <w:p w14:paraId="6BF10BF7"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964F91F"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274CA5" w:rsidRPr="003A7F56" w14:paraId="2F24F386" w14:textId="77777777" w:rsidTr="005C0B99">
        <w:trPr>
          <w:trHeight w:val="255"/>
          <w:jc w:val="center"/>
        </w:trPr>
        <w:tc>
          <w:tcPr>
            <w:tcW w:w="4912" w:type="dxa"/>
            <w:shd w:val="clear" w:color="auto" w:fill="auto"/>
            <w:vAlign w:val="center"/>
          </w:tcPr>
          <w:p w14:paraId="46971DD9"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2E60F7B5"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590BA77B"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3F3A0919" w14:textId="77777777" w:rsidTr="005C0B99">
        <w:trPr>
          <w:trHeight w:val="255"/>
          <w:jc w:val="center"/>
        </w:trPr>
        <w:tc>
          <w:tcPr>
            <w:tcW w:w="4912" w:type="dxa"/>
            <w:shd w:val="clear" w:color="auto" w:fill="auto"/>
            <w:vAlign w:val="center"/>
          </w:tcPr>
          <w:p w14:paraId="379F2D5A" w14:textId="63992193"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709BAF15" w14:textId="77777777" w:rsidR="00274CA5" w:rsidRPr="00F229BB" w:rsidRDefault="00274CA5" w:rsidP="005C0B99">
            <w:pPr>
              <w:autoSpaceDE w:val="0"/>
              <w:autoSpaceDN w:val="0"/>
              <w:adjustRightInd w:val="0"/>
              <w:jc w:val="center"/>
              <w:rPr>
                <w:sz w:val="20"/>
                <w:szCs w:val="20"/>
              </w:rPr>
            </w:pPr>
            <w:r>
              <w:rPr>
                <w:sz w:val="18"/>
              </w:rPr>
              <w:t>07</w:t>
            </w:r>
          </w:p>
        </w:tc>
        <w:tc>
          <w:tcPr>
            <w:tcW w:w="2040" w:type="dxa"/>
            <w:shd w:val="clear" w:color="auto" w:fill="auto"/>
            <w:vAlign w:val="center"/>
          </w:tcPr>
          <w:p w14:paraId="1F98AD38" w14:textId="77777777" w:rsidR="00274CA5" w:rsidRPr="00CF79E0" w:rsidRDefault="00274CA5" w:rsidP="005C0B99">
            <w:pPr>
              <w:autoSpaceDE w:val="0"/>
              <w:autoSpaceDN w:val="0"/>
              <w:adjustRightInd w:val="0"/>
              <w:jc w:val="center"/>
              <w:rPr>
                <w:sz w:val="18"/>
              </w:rPr>
            </w:pPr>
            <w:r>
              <w:rPr>
                <w:sz w:val="18"/>
              </w:rPr>
              <w:t>67 585 000</w:t>
            </w:r>
          </w:p>
        </w:tc>
      </w:tr>
    </w:tbl>
    <w:p w14:paraId="307BD010"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581E8166" w14:textId="77777777" w:rsidTr="005C0B99">
        <w:trPr>
          <w:trHeight w:val="255"/>
          <w:jc w:val="center"/>
        </w:trPr>
        <w:tc>
          <w:tcPr>
            <w:tcW w:w="9072" w:type="dxa"/>
            <w:gridSpan w:val="3"/>
            <w:shd w:val="clear" w:color="auto" w:fill="DBE5F1"/>
            <w:vAlign w:val="center"/>
          </w:tcPr>
          <w:p w14:paraId="18E9B056"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274CA5" w:rsidRPr="003A7F56" w14:paraId="27835ECD" w14:textId="77777777" w:rsidTr="005C0B99">
        <w:trPr>
          <w:trHeight w:val="255"/>
          <w:jc w:val="center"/>
        </w:trPr>
        <w:tc>
          <w:tcPr>
            <w:tcW w:w="4912" w:type="dxa"/>
            <w:shd w:val="clear" w:color="auto" w:fill="DBE5F1"/>
            <w:vAlign w:val="center"/>
          </w:tcPr>
          <w:p w14:paraId="2556FBB3"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1502CD1C"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0F1A6553" w14:textId="77777777" w:rsidTr="005C0B99">
        <w:trPr>
          <w:trHeight w:val="255"/>
          <w:jc w:val="center"/>
        </w:trPr>
        <w:tc>
          <w:tcPr>
            <w:tcW w:w="4912" w:type="dxa"/>
            <w:shd w:val="clear" w:color="auto" w:fill="DBE5F1"/>
            <w:vAlign w:val="center"/>
          </w:tcPr>
          <w:p w14:paraId="75D897B7"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11413EFF"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274CA5" w:rsidRPr="003A7F56" w14:paraId="27AC733E" w14:textId="77777777" w:rsidTr="005C0B99">
        <w:trPr>
          <w:trHeight w:val="255"/>
          <w:jc w:val="center"/>
        </w:trPr>
        <w:tc>
          <w:tcPr>
            <w:tcW w:w="4912" w:type="dxa"/>
            <w:shd w:val="clear" w:color="auto" w:fill="auto"/>
            <w:vAlign w:val="center"/>
          </w:tcPr>
          <w:p w14:paraId="02ADECD6"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65636C63"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3241F6F9"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77F9C221" w14:textId="77777777" w:rsidTr="005C0B99">
        <w:trPr>
          <w:trHeight w:val="255"/>
          <w:jc w:val="center"/>
        </w:trPr>
        <w:tc>
          <w:tcPr>
            <w:tcW w:w="4912" w:type="dxa"/>
            <w:vMerge w:val="restart"/>
            <w:shd w:val="clear" w:color="auto" w:fill="auto"/>
            <w:vAlign w:val="center"/>
          </w:tcPr>
          <w:p w14:paraId="1DCDE1A0" w14:textId="04A9F52C"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7E557144" w14:textId="77777777" w:rsidR="00274CA5" w:rsidRPr="0090045C" w:rsidRDefault="00274CA5" w:rsidP="005C0B99">
            <w:pPr>
              <w:autoSpaceDE w:val="0"/>
              <w:autoSpaceDN w:val="0"/>
              <w:adjustRightInd w:val="0"/>
              <w:jc w:val="center"/>
              <w:rPr>
                <w:sz w:val="18"/>
              </w:rPr>
            </w:pPr>
            <w:r>
              <w:rPr>
                <w:sz w:val="18"/>
              </w:rPr>
              <w:t>121</w:t>
            </w:r>
          </w:p>
        </w:tc>
        <w:tc>
          <w:tcPr>
            <w:tcW w:w="2040" w:type="dxa"/>
            <w:shd w:val="clear" w:color="auto" w:fill="auto"/>
            <w:vAlign w:val="center"/>
          </w:tcPr>
          <w:p w14:paraId="2EE73C1C" w14:textId="77777777" w:rsidR="00274CA5" w:rsidRPr="00CF79E0" w:rsidRDefault="00274CA5" w:rsidP="005C0B99">
            <w:pPr>
              <w:autoSpaceDE w:val="0"/>
              <w:autoSpaceDN w:val="0"/>
              <w:adjustRightInd w:val="0"/>
              <w:jc w:val="center"/>
              <w:rPr>
                <w:sz w:val="18"/>
              </w:rPr>
            </w:pPr>
            <w:r>
              <w:rPr>
                <w:sz w:val="18"/>
              </w:rPr>
              <w:t>1 961 284</w:t>
            </w:r>
          </w:p>
        </w:tc>
      </w:tr>
      <w:tr w:rsidR="00274CA5" w:rsidRPr="003A7F56" w14:paraId="302E0A55" w14:textId="77777777" w:rsidTr="005C0B99">
        <w:trPr>
          <w:trHeight w:val="255"/>
          <w:jc w:val="center"/>
        </w:trPr>
        <w:tc>
          <w:tcPr>
            <w:tcW w:w="4912" w:type="dxa"/>
            <w:vMerge/>
            <w:shd w:val="clear" w:color="auto" w:fill="auto"/>
            <w:vAlign w:val="center"/>
          </w:tcPr>
          <w:p w14:paraId="43996286" w14:textId="77777777" w:rsidR="00274CA5" w:rsidRPr="003A7F56" w:rsidRDefault="00274CA5" w:rsidP="005C0B99">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6E65964E" w14:textId="77777777" w:rsidR="00274CA5" w:rsidRPr="0090045C" w:rsidRDefault="00274CA5" w:rsidP="005C0B99">
            <w:pPr>
              <w:autoSpaceDE w:val="0"/>
              <w:autoSpaceDN w:val="0"/>
              <w:adjustRightInd w:val="0"/>
              <w:jc w:val="center"/>
              <w:rPr>
                <w:sz w:val="18"/>
              </w:rPr>
            </w:pPr>
            <w:r>
              <w:rPr>
                <w:sz w:val="18"/>
              </w:rPr>
              <w:t>122</w:t>
            </w:r>
          </w:p>
        </w:tc>
        <w:tc>
          <w:tcPr>
            <w:tcW w:w="2040" w:type="dxa"/>
            <w:shd w:val="clear" w:color="auto" w:fill="auto"/>
            <w:vAlign w:val="center"/>
          </w:tcPr>
          <w:p w14:paraId="4A441031" w14:textId="77777777" w:rsidR="00274CA5" w:rsidRPr="00CF79E0" w:rsidRDefault="00274CA5" w:rsidP="005C0B99">
            <w:pPr>
              <w:autoSpaceDE w:val="0"/>
              <w:autoSpaceDN w:val="0"/>
              <w:adjustRightInd w:val="0"/>
              <w:jc w:val="center"/>
              <w:rPr>
                <w:sz w:val="18"/>
              </w:rPr>
            </w:pPr>
            <w:r>
              <w:rPr>
                <w:sz w:val="18"/>
              </w:rPr>
              <w:t>182 449</w:t>
            </w:r>
          </w:p>
        </w:tc>
      </w:tr>
      <w:tr w:rsidR="00274CA5" w:rsidRPr="003A7F56" w14:paraId="5FF11843" w14:textId="77777777" w:rsidTr="005C0B99">
        <w:trPr>
          <w:trHeight w:val="255"/>
          <w:jc w:val="center"/>
        </w:trPr>
        <w:tc>
          <w:tcPr>
            <w:tcW w:w="4912" w:type="dxa"/>
            <w:vMerge/>
            <w:shd w:val="clear" w:color="auto" w:fill="auto"/>
            <w:vAlign w:val="center"/>
          </w:tcPr>
          <w:p w14:paraId="714F333F" w14:textId="77777777" w:rsidR="00274CA5" w:rsidRPr="003A7F56" w:rsidRDefault="00274CA5" w:rsidP="005C0B99">
            <w:pPr>
              <w:autoSpaceDE w:val="0"/>
              <w:autoSpaceDN w:val="0"/>
              <w:adjustRightInd w:val="0"/>
              <w:rPr>
                <w:rFonts w:ascii="TimesNewRoman" w:hAnsi="TimesNewRoman" w:cs="TimesNewRoman"/>
                <w:sz w:val="20"/>
                <w:szCs w:val="20"/>
              </w:rPr>
            </w:pPr>
          </w:p>
        </w:tc>
        <w:tc>
          <w:tcPr>
            <w:tcW w:w="2120" w:type="dxa"/>
            <w:shd w:val="clear" w:color="auto" w:fill="auto"/>
            <w:vAlign w:val="center"/>
          </w:tcPr>
          <w:p w14:paraId="066DE5F6" w14:textId="77777777" w:rsidR="00274CA5" w:rsidRPr="0090045C" w:rsidRDefault="00274CA5" w:rsidP="005C0B99">
            <w:pPr>
              <w:autoSpaceDE w:val="0"/>
              <w:autoSpaceDN w:val="0"/>
              <w:adjustRightInd w:val="0"/>
              <w:jc w:val="center"/>
              <w:rPr>
                <w:sz w:val="18"/>
              </w:rPr>
            </w:pPr>
            <w:r>
              <w:rPr>
                <w:sz w:val="18"/>
              </w:rPr>
              <w:t>123</w:t>
            </w:r>
          </w:p>
        </w:tc>
        <w:tc>
          <w:tcPr>
            <w:tcW w:w="2040" w:type="dxa"/>
            <w:shd w:val="clear" w:color="auto" w:fill="auto"/>
            <w:vAlign w:val="center"/>
          </w:tcPr>
          <w:p w14:paraId="411BBB66" w14:textId="77777777" w:rsidR="00274CA5" w:rsidRPr="00CF79E0" w:rsidRDefault="00274CA5" w:rsidP="005C0B99">
            <w:pPr>
              <w:autoSpaceDE w:val="0"/>
              <w:autoSpaceDN w:val="0"/>
              <w:adjustRightInd w:val="0"/>
              <w:jc w:val="center"/>
              <w:rPr>
                <w:sz w:val="18"/>
              </w:rPr>
            </w:pPr>
            <w:r>
              <w:rPr>
                <w:sz w:val="18"/>
              </w:rPr>
              <w:t>271 267</w:t>
            </w:r>
          </w:p>
        </w:tc>
      </w:tr>
    </w:tbl>
    <w:p w14:paraId="3F3CA4DF"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1FF31E4F" w14:textId="77777777" w:rsidTr="005C0B99">
        <w:trPr>
          <w:trHeight w:val="255"/>
          <w:jc w:val="center"/>
        </w:trPr>
        <w:tc>
          <w:tcPr>
            <w:tcW w:w="9072" w:type="dxa"/>
            <w:gridSpan w:val="3"/>
            <w:shd w:val="clear" w:color="auto" w:fill="DBE5F1"/>
            <w:vAlign w:val="center"/>
          </w:tcPr>
          <w:p w14:paraId="148DD362"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2 – Forma financovania</w:t>
            </w:r>
          </w:p>
        </w:tc>
      </w:tr>
      <w:tr w:rsidR="00274CA5" w:rsidRPr="003A7F56" w14:paraId="0EC4A4BE" w14:textId="77777777" w:rsidTr="005C0B99">
        <w:trPr>
          <w:trHeight w:val="255"/>
          <w:jc w:val="center"/>
        </w:trPr>
        <w:tc>
          <w:tcPr>
            <w:tcW w:w="4912" w:type="dxa"/>
            <w:shd w:val="clear" w:color="auto" w:fill="DBE5F1"/>
            <w:vAlign w:val="center"/>
          </w:tcPr>
          <w:p w14:paraId="4CDE9005"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60" w:type="dxa"/>
            <w:gridSpan w:val="2"/>
            <w:shd w:val="clear" w:color="auto" w:fill="DBE5F1"/>
            <w:vAlign w:val="center"/>
          </w:tcPr>
          <w:p w14:paraId="1147E90F"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3F05EDE7" w14:textId="77777777" w:rsidTr="005C0B99">
        <w:trPr>
          <w:trHeight w:val="255"/>
          <w:jc w:val="center"/>
        </w:trPr>
        <w:tc>
          <w:tcPr>
            <w:tcW w:w="4912" w:type="dxa"/>
            <w:shd w:val="clear" w:color="auto" w:fill="DBE5F1"/>
            <w:vAlign w:val="center"/>
          </w:tcPr>
          <w:p w14:paraId="28F0BAA8"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36358A43"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274CA5" w:rsidRPr="003A7F56" w14:paraId="49EB48B3" w14:textId="77777777" w:rsidTr="005C0B99">
        <w:trPr>
          <w:trHeight w:val="255"/>
          <w:jc w:val="center"/>
        </w:trPr>
        <w:tc>
          <w:tcPr>
            <w:tcW w:w="4912" w:type="dxa"/>
            <w:shd w:val="clear" w:color="auto" w:fill="auto"/>
            <w:vAlign w:val="center"/>
          </w:tcPr>
          <w:p w14:paraId="61848E48"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3553586B"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5973C8CD"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0876A0DC" w14:textId="77777777" w:rsidTr="005C0B99">
        <w:trPr>
          <w:trHeight w:val="255"/>
          <w:jc w:val="center"/>
        </w:trPr>
        <w:tc>
          <w:tcPr>
            <w:tcW w:w="4912" w:type="dxa"/>
            <w:shd w:val="clear" w:color="auto" w:fill="auto"/>
            <w:vAlign w:val="center"/>
          </w:tcPr>
          <w:p w14:paraId="6250C7E7" w14:textId="072F5AA0"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5011D0B1" w14:textId="77777777" w:rsidR="00274CA5" w:rsidRPr="00F72E4C" w:rsidRDefault="00274CA5" w:rsidP="005C0B99">
            <w:pPr>
              <w:autoSpaceDE w:val="0"/>
              <w:autoSpaceDN w:val="0"/>
              <w:adjustRightInd w:val="0"/>
              <w:jc w:val="center"/>
              <w:rPr>
                <w:sz w:val="20"/>
                <w:szCs w:val="20"/>
              </w:rPr>
            </w:pPr>
            <w:r w:rsidRPr="00F72E4C">
              <w:rPr>
                <w:sz w:val="18"/>
              </w:rPr>
              <w:t>01</w:t>
            </w:r>
          </w:p>
        </w:tc>
        <w:tc>
          <w:tcPr>
            <w:tcW w:w="2040" w:type="dxa"/>
            <w:shd w:val="clear" w:color="auto" w:fill="auto"/>
            <w:vAlign w:val="center"/>
          </w:tcPr>
          <w:p w14:paraId="56800618" w14:textId="77777777" w:rsidR="00274CA5" w:rsidRPr="00CF79E0" w:rsidRDefault="00274CA5" w:rsidP="005C0B99">
            <w:pPr>
              <w:autoSpaceDE w:val="0"/>
              <w:autoSpaceDN w:val="0"/>
              <w:adjustRightInd w:val="0"/>
              <w:jc w:val="center"/>
              <w:rPr>
                <w:sz w:val="18"/>
              </w:rPr>
            </w:pPr>
            <w:r>
              <w:rPr>
                <w:sz w:val="18"/>
              </w:rPr>
              <w:t>2 415 000</w:t>
            </w:r>
          </w:p>
        </w:tc>
      </w:tr>
    </w:tbl>
    <w:p w14:paraId="4A05DF1A" w14:textId="77777777" w:rsidR="00274CA5" w:rsidRDefault="00274CA5" w:rsidP="00274CA5">
      <w:pPr>
        <w:pStyle w:val="Tab"/>
        <w:ind w:left="502"/>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274CA5" w:rsidRPr="003A7F56" w14:paraId="44FC5734" w14:textId="77777777" w:rsidTr="005C0B99">
        <w:trPr>
          <w:trHeight w:val="255"/>
          <w:jc w:val="center"/>
        </w:trPr>
        <w:tc>
          <w:tcPr>
            <w:tcW w:w="9072" w:type="dxa"/>
            <w:gridSpan w:val="3"/>
            <w:shd w:val="clear" w:color="auto" w:fill="DBE5F1"/>
            <w:vAlign w:val="center"/>
          </w:tcPr>
          <w:p w14:paraId="5E4CD7B6"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w:t>
            </w:r>
            <w:r>
              <w:rPr>
                <w:rFonts w:ascii="TimesNewRoman" w:hAnsi="TimesNewRoman" w:cs="TimesNewRoman"/>
                <w:b/>
                <w:bCs/>
                <w:sz w:val="20"/>
                <w:szCs w:val="20"/>
              </w:rPr>
              <w:t>3 – Typ územia</w:t>
            </w:r>
          </w:p>
        </w:tc>
      </w:tr>
      <w:tr w:rsidR="00274CA5" w:rsidRPr="003A7F56" w14:paraId="2C7AE6D4" w14:textId="77777777" w:rsidTr="005C0B99">
        <w:trPr>
          <w:trHeight w:val="255"/>
          <w:jc w:val="center"/>
        </w:trPr>
        <w:tc>
          <w:tcPr>
            <w:tcW w:w="4912" w:type="dxa"/>
            <w:shd w:val="clear" w:color="auto" w:fill="DBE5F1"/>
            <w:vAlign w:val="center"/>
          </w:tcPr>
          <w:p w14:paraId="1FAA49EC" w14:textId="77777777" w:rsidR="00274CA5" w:rsidRPr="003A7F56" w:rsidRDefault="00274CA5" w:rsidP="005C0B99">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lastRenderedPageBreak/>
              <w:t>Fond</w:t>
            </w:r>
          </w:p>
        </w:tc>
        <w:tc>
          <w:tcPr>
            <w:tcW w:w="4160" w:type="dxa"/>
            <w:gridSpan w:val="2"/>
            <w:shd w:val="clear" w:color="auto" w:fill="DBE5F1"/>
            <w:vAlign w:val="center"/>
          </w:tcPr>
          <w:p w14:paraId="62E2A904" w14:textId="77777777" w:rsidR="00274CA5" w:rsidRPr="003A7F56" w:rsidRDefault="00274CA5" w:rsidP="005C0B99">
            <w:pPr>
              <w:autoSpaceDE w:val="0"/>
              <w:autoSpaceDN w:val="0"/>
              <w:adjustRightInd w:val="0"/>
              <w:rPr>
                <w:rFonts w:ascii="TimesNewRoman" w:hAnsi="TimesNewRoman" w:cs="TimesNewRoman"/>
                <w:bCs/>
                <w:sz w:val="20"/>
                <w:szCs w:val="20"/>
              </w:rPr>
            </w:pPr>
            <w:r>
              <w:rPr>
                <w:rFonts w:ascii="TimesNewRoman" w:hAnsi="TimesNewRoman" w:cs="TimesNewRoman"/>
                <w:bCs/>
                <w:sz w:val="20"/>
                <w:szCs w:val="20"/>
              </w:rPr>
              <w:t>EFRR</w:t>
            </w:r>
          </w:p>
        </w:tc>
      </w:tr>
      <w:tr w:rsidR="00274CA5" w:rsidRPr="003A7F56" w14:paraId="7733D467" w14:textId="77777777" w:rsidTr="005C0B99">
        <w:trPr>
          <w:trHeight w:val="255"/>
          <w:jc w:val="center"/>
        </w:trPr>
        <w:tc>
          <w:tcPr>
            <w:tcW w:w="4912" w:type="dxa"/>
            <w:shd w:val="clear" w:color="auto" w:fill="DBE5F1"/>
            <w:vAlign w:val="center"/>
          </w:tcPr>
          <w:p w14:paraId="01F62DD5" w14:textId="77777777"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60" w:type="dxa"/>
            <w:gridSpan w:val="2"/>
            <w:shd w:val="clear" w:color="auto" w:fill="DBE5F1"/>
            <w:vAlign w:val="center"/>
          </w:tcPr>
          <w:p w14:paraId="5C48FD8C" w14:textId="77777777" w:rsidR="00274CA5" w:rsidRPr="003A7F56" w:rsidRDefault="00274CA5" w:rsidP="005C0B99">
            <w:pPr>
              <w:autoSpaceDE w:val="0"/>
              <w:autoSpaceDN w:val="0"/>
              <w:adjustRightInd w:val="0"/>
              <w:rPr>
                <w:rFonts w:ascii="TimesNewRoman" w:hAnsi="TimesNewRoman" w:cs="TimesNewRoman"/>
                <w:sz w:val="20"/>
                <w:szCs w:val="20"/>
              </w:rPr>
            </w:pPr>
            <w:r>
              <w:rPr>
                <w:rFonts w:ascii="TimesNewRoman" w:hAnsi="TimesNewRoman" w:cs="TimesNewRoman"/>
                <w:sz w:val="20"/>
                <w:szCs w:val="20"/>
              </w:rPr>
              <w:t>Rozvinutejší</w:t>
            </w:r>
          </w:p>
        </w:tc>
      </w:tr>
      <w:tr w:rsidR="00274CA5" w:rsidRPr="003A7F56" w14:paraId="67A849E3" w14:textId="77777777" w:rsidTr="005C0B99">
        <w:trPr>
          <w:trHeight w:val="255"/>
          <w:jc w:val="center"/>
        </w:trPr>
        <w:tc>
          <w:tcPr>
            <w:tcW w:w="4912" w:type="dxa"/>
            <w:shd w:val="clear" w:color="auto" w:fill="auto"/>
            <w:vAlign w:val="center"/>
          </w:tcPr>
          <w:p w14:paraId="1A685D85" w14:textId="77777777" w:rsidR="00274CA5" w:rsidRPr="003A7F56" w:rsidRDefault="00274CA5" w:rsidP="005C0B99">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30D87296"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0" w:type="dxa"/>
            <w:shd w:val="clear" w:color="auto" w:fill="auto"/>
            <w:vAlign w:val="center"/>
          </w:tcPr>
          <w:p w14:paraId="7AB0B1F7" w14:textId="77777777" w:rsidR="00274CA5" w:rsidRPr="003A7F56" w:rsidRDefault="00274CA5" w:rsidP="005C0B99">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(EUR)</w:t>
            </w:r>
          </w:p>
        </w:tc>
      </w:tr>
      <w:tr w:rsidR="00274CA5" w:rsidRPr="003A7F56" w14:paraId="0AEBC657" w14:textId="77777777" w:rsidTr="005C0B99">
        <w:trPr>
          <w:trHeight w:val="255"/>
          <w:jc w:val="center"/>
        </w:trPr>
        <w:tc>
          <w:tcPr>
            <w:tcW w:w="4912" w:type="dxa"/>
            <w:shd w:val="clear" w:color="auto" w:fill="auto"/>
            <w:vAlign w:val="center"/>
          </w:tcPr>
          <w:p w14:paraId="3E277EBA" w14:textId="3EB46419" w:rsidR="00274CA5" w:rsidRPr="003A7F56" w:rsidRDefault="00274CA5" w:rsidP="005C0B99">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 xml:space="preserve">Prioritná os </w:t>
            </w:r>
            <w:r>
              <w:rPr>
                <w:rFonts w:ascii="TimesNewRoman" w:hAnsi="TimesNewRoman" w:cs="TimesNewRoman"/>
                <w:sz w:val="20"/>
                <w:szCs w:val="20"/>
              </w:rPr>
              <w:t>13</w:t>
            </w:r>
            <w:r w:rsidRPr="003A7F56">
              <w:rPr>
                <w:rFonts w:ascii="TimesNewRoman" w:hAnsi="TimesNewRoman" w:cs="TimesNewRoman"/>
                <w:sz w:val="20"/>
                <w:szCs w:val="20"/>
              </w:rPr>
              <w:t xml:space="preserve"> – </w:t>
            </w:r>
            <w:r>
              <w:rPr>
                <w:rFonts w:ascii="TimesNewRoman" w:hAnsi="TimesNewRoman" w:cs="TimesNewRoman"/>
                <w:sz w:val="20"/>
                <w:szCs w:val="20"/>
              </w:rPr>
              <w:t>Technická pomoc</w:t>
            </w:r>
            <w:r w:rsidR="00BB3058">
              <w:rPr>
                <w:rFonts w:ascii="TimesNewRoman" w:hAnsi="TimesNewRoman" w:cs="TimesNewRoman"/>
                <w:sz w:val="20"/>
                <w:szCs w:val="20"/>
              </w:rPr>
              <w:t xml:space="preserve"> VaI</w:t>
            </w:r>
          </w:p>
        </w:tc>
        <w:tc>
          <w:tcPr>
            <w:tcW w:w="2120" w:type="dxa"/>
            <w:shd w:val="clear" w:color="auto" w:fill="auto"/>
            <w:vAlign w:val="center"/>
          </w:tcPr>
          <w:p w14:paraId="0C3589AE" w14:textId="77777777" w:rsidR="00274CA5" w:rsidRPr="00F229BB" w:rsidRDefault="00274CA5" w:rsidP="005C0B99">
            <w:pPr>
              <w:autoSpaceDE w:val="0"/>
              <w:autoSpaceDN w:val="0"/>
              <w:adjustRightInd w:val="0"/>
              <w:jc w:val="center"/>
              <w:rPr>
                <w:sz w:val="20"/>
                <w:szCs w:val="20"/>
              </w:rPr>
            </w:pPr>
            <w:r>
              <w:rPr>
                <w:sz w:val="18"/>
              </w:rPr>
              <w:t>07</w:t>
            </w:r>
          </w:p>
        </w:tc>
        <w:tc>
          <w:tcPr>
            <w:tcW w:w="2040" w:type="dxa"/>
            <w:shd w:val="clear" w:color="auto" w:fill="auto"/>
            <w:vAlign w:val="center"/>
          </w:tcPr>
          <w:p w14:paraId="7CEF7F18" w14:textId="77777777" w:rsidR="00274CA5" w:rsidRPr="00CF79E0" w:rsidRDefault="00274CA5" w:rsidP="005C0B99">
            <w:pPr>
              <w:autoSpaceDE w:val="0"/>
              <w:autoSpaceDN w:val="0"/>
              <w:adjustRightInd w:val="0"/>
              <w:jc w:val="center"/>
              <w:rPr>
                <w:sz w:val="18"/>
              </w:rPr>
            </w:pPr>
            <w:r>
              <w:rPr>
                <w:sz w:val="18"/>
              </w:rPr>
              <w:t>2 415 000</w:t>
            </w:r>
          </w:p>
        </w:tc>
      </w:tr>
    </w:tbl>
    <w:p w14:paraId="798D3E48" w14:textId="7FC5087C" w:rsidR="00E10737" w:rsidRDefault="00E10737" w:rsidP="006B762B">
      <w:pPr>
        <w:spacing w:before="180"/>
      </w:pPr>
    </w:p>
    <w:p w14:paraId="71F4F05A" w14:textId="77777777" w:rsidR="00E10737" w:rsidRDefault="00E10737" w:rsidP="006B762B">
      <w:pPr>
        <w:spacing w:before="180"/>
        <w:sectPr w:rsidR="00E10737" w:rsidSect="00D1658B">
          <w:headerReference w:type="default" r:id="rId36"/>
          <w:pgSz w:w="11906" w:h="16838"/>
          <w:pgMar w:top="1418" w:right="1361" w:bottom="1304" w:left="1474" w:header="709" w:footer="709" w:gutter="0"/>
          <w:cols w:space="708"/>
          <w:docGrid w:linePitch="360"/>
        </w:sectPr>
      </w:pPr>
    </w:p>
    <w:p w14:paraId="5A0049A6" w14:textId="77777777" w:rsidR="007029A7" w:rsidRDefault="0079492E" w:rsidP="002C1444">
      <w:pPr>
        <w:pStyle w:val="Nadpis1"/>
        <w:tabs>
          <w:tab w:val="clear" w:pos="709"/>
          <w:tab w:val="clear" w:pos="851"/>
        </w:tabs>
      </w:pPr>
      <w:bookmarkStart w:id="141" w:name="_Toc28951674"/>
      <w:r>
        <w:lastRenderedPageBreak/>
        <w:t>Finančný plán operačného programu</w:t>
      </w:r>
      <w:bookmarkEnd w:id="141"/>
      <w:r w:rsidR="00BA2CBF" w:rsidRPr="0079492E">
        <w:t xml:space="preserve"> </w:t>
      </w:r>
    </w:p>
    <w:p w14:paraId="58164EE1" w14:textId="77777777" w:rsidR="00A76697" w:rsidRDefault="0079492E" w:rsidP="00A94B83">
      <w:pPr>
        <w:pStyle w:val="Nadpis2"/>
        <w:tabs>
          <w:tab w:val="clear" w:pos="709"/>
          <w:tab w:val="clear" w:pos="851"/>
        </w:tabs>
        <w:spacing w:before="240"/>
        <w:jc w:val="both"/>
      </w:pPr>
      <w:bookmarkStart w:id="142" w:name="_Toc375238410"/>
      <w:bookmarkStart w:id="143" w:name="_Toc383209139"/>
      <w:bookmarkStart w:id="144" w:name="_Toc383236553"/>
      <w:bookmarkStart w:id="145" w:name="_Toc28951675"/>
      <w:r w:rsidRPr="00A30C13">
        <w:t xml:space="preserve">Prehľad podľa jednotlivých rokov, celková výška finančných prostriedkov navrhovaných na podporu z jednotlivých fondov </w:t>
      </w:r>
      <w:r>
        <w:t>s </w:t>
      </w:r>
      <w:r w:rsidRPr="00A30C13">
        <w:t>vymedzením zodpovedajúcej výšky výkonnostnej rezervy</w:t>
      </w:r>
      <w:bookmarkEnd w:id="142"/>
      <w:r>
        <w:t xml:space="preserve"> (zdroje EÚ)</w:t>
      </w:r>
      <w:bookmarkEnd w:id="143"/>
      <w:bookmarkEnd w:id="144"/>
      <w:bookmarkEnd w:id="145"/>
    </w:p>
    <w:p w14:paraId="6ADCE4F4" w14:textId="77777777" w:rsidR="001B597A" w:rsidRPr="00C63BEC" w:rsidRDefault="001B597A" w:rsidP="006F647A">
      <w:pPr>
        <w:pStyle w:val="Tab"/>
        <w:ind w:left="284"/>
      </w:pPr>
      <w:r>
        <w:t xml:space="preserve"> </w:t>
      </w:r>
      <w:r w:rsidRPr="00C63BEC">
        <w:t>Finančné prostriedky z každého fondu a sumy na výkonnostnú rezervu</w:t>
      </w:r>
    </w:p>
    <w:tbl>
      <w:tblPr>
        <w:tblStyle w:val="Mriekatabuky"/>
        <w:tblW w:w="155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9"/>
        <w:gridCol w:w="722"/>
        <w:gridCol w:w="889"/>
        <w:gridCol w:w="889"/>
        <w:gridCol w:w="889"/>
        <w:gridCol w:w="889"/>
        <w:gridCol w:w="889"/>
        <w:gridCol w:w="889"/>
        <w:gridCol w:w="889"/>
        <w:gridCol w:w="889"/>
        <w:gridCol w:w="889"/>
        <w:gridCol w:w="889"/>
        <w:gridCol w:w="889"/>
        <w:gridCol w:w="889"/>
        <w:gridCol w:w="889"/>
        <w:gridCol w:w="889"/>
        <w:gridCol w:w="988"/>
        <w:gridCol w:w="906"/>
      </w:tblGrid>
      <w:tr w:rsidR="0079492E" w:rsidRPr="00001F01" w14:paraId="0CB74FF6" w14:textId="77777777" w:rsidTr="00A127CB">
        <w:trPr>
          <w:trHeight w:val="454"/>
          <w:jc w:val="center"/>
        </w:trPr>
        <w:tc>
          <w:tcPr>
            <w:tcW w:w="529" w:type="dxa"/>
            <w:vMerge w:val="restart"/>
            <w:shd w:val="clear" w:color="auto" w:fill="C6D9F1" w:themeFill="text2" w:themeFillTint="33"/>
            <w:vAlign w:val="center"/>
          </w:tcPr>
          <w:p w14:paraId="37484EF7" w14:textId="77777777" w:rsidR="0079492E" w:rsidRPr="00001F01" w:rsidRDefault="0079492E" w:rsidP="00A46625">
            <w:pPr>
              <w:pStyle w:val="Tab"/>
              <w:numPr>
                <w:ilvl w:val="0"/>
                <w:numId w:val="0"/>
              </w:numPr>
              <w:spacing w:before="0"/>
              <w:rPr>
                <w:rFonts w:ascii="Arial Narrow" w:hAnsi="Arial Narrow"/>
                <w:b/>
                <w:sz w:val="13"/>
                <w:szCs w:val="13"/>
              </w:rPr>
            </w:pPr>
            <w:r w:rsidRPr="00001F01">
              <w:rPr>
                <w:rFonts w:ascii="Arial Narrow" w:hAnsi="Arial Narrow"/>
                <w:b/>
                <w:sz w:val="13"/>
                <w:szCs w:val="13"/>
              </w:rPr>
              <w:t>Fond</w:t>
            </w:r>
          </w:p>
        </w:tc>
        <w:tc>
          <w:tcPr>
            <w:tcW w:w="722" w:type="dxa"/>
            <w:vMerge w:val="restart"/>
            <w:shd w:val="clear" w:color="auto" w:fill="C6D9F1" w:themeFill="text2" w:themeFillTint="33"/>
            <w:vAlign w:val="center"/>
          </w:tcPr>
          <w:p w14:paraId="6C0A29FA"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Kategórie regiónov</w:t>
            </w:r>
          </w:p>
        </w:tc>
        <w:tc>
          <w:tcPr>
            <w:tcW w:w="1778" w:type="dxa"/>
            <w:gridSpan w:val="2"/>
            <w:shd w:val="clear" w:color="auto" w:fill="C6D9F1" w:themeFill="text2" w:themeFillTint="33"/>
            <w:vAlign w:val="center"/>
          </w:tcPr>
          <w:p w14:paraId="5CF94A43"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2014</w:t>
            </w:r>
          </w:p>
        </w:tc>
        <w:tc>
          <w:tcPr>
            <w:tcW w:w="1778" w:type="dxa"/>
            <w:gridSpan w:val="2"/>
            <w:shd w:val="clear" w:color="auto" w:fill="C6D9F1" w:themeFill="text2" w:themeFillTint="33"/>
            <w:vAlign w:val="center"/>
          </w:tcPr>
          <w:p w14:paraId="62A2E2A6"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2015</w:t>
            </w:r>
          </w:p>
        </w:tc>
        <w:tc>
          <w:tcPr>
            <w:tcW w:w="1778" w:type="dxa"/>
            <w:gridSpan w:val="2"/>
            <w:shd w:val="clear" w:color="auto" w:fill="C6D9F1" w:themeFill="text2" w:themeFillTint="33"/>
            <w:vAlign w:val="center"/>
          </w:tcPr>
          <w:p w14:paraId="1DDDF33E"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2016</w:t>
            </w:r>
          </w:p>
        </w:tc>
        <w:tc>
          <w:tcPr>
            <w:tcW w:w="1778" w:type="dxa"/>
            <w:gridSpan w:val="2"/>
            <w:shd w:val="clear" w:color="auto" w:fill="C6D9F1" w:themeFill="text2" w:themeFillTint="33"/>
            <w:vAlign w:val="center"/>
          </w:tcPr>
          <w:p w14:paraId="66C94B71"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2017</w:t>
            </w:r>
          </w:p>
        </w:tc>
        <w:tc>
          <w:tcPr>
            <w:tcW w:w="1778" w:type="dxa"/>
            <w:gridSpan w:val="2"/>
            <w:shd w:val="clear" w:color="auto" w:fill="C6D9F1" w:themeFill="text2" w:themeFillTint="33"/>
            <w:vAlign w:val="center"/>
          </w:tcPr>
          <w:p w14:paraId="5360178D"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2018</w:t>
            </w:r>
          </w:p>
        </w:tc>
        <w:tc>
          <w:tcPr>
            <w:tcW w:w="1778" w:type="dxa"/>
            <w:gridSpan w:val="2"/>
            <w:shd w:val="clear" w:color="auto" w:fill="C6D9F1" w:themeFill="text2" w:themeFillTint="33"/>
            <w:vAlign w:val="center"/>
          </w:tcPr>
          <w:p w14:paraId="28744C79"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2019</w:t>
            </w:r>
          </w:p>
        </w:tc>
        <w:tc>
          <w:tcPr>
            <w:tcW w:w="1778" w:type="dxa"/>
            <w:gridSpan w:val="2"/>
            <w:shd w:val="clear" w:color="auto" w:fill="C6D9F1" w:themeFill="text2" w:themeFillTint="33"/>
            <w:vAlign w:val="center"/>
          </w:tcPr>
          <w:p w14:paraId="10A6860B"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2020</w:t>
            </w:r>
          </w:p>
        </w:tc>
        <w:tc>
          <w:tcPr>
            <w:tcW w:w="1894" w:type="dxa"/>
            <w:gridSpan w:val="2"/>
            <w:shd w:val="clear" w:color="auto" w:fill="C6D9F1" w:themeFill="text2" w:themeFillTint="33"/>
            <w:vAlign w:val="center"/>
          </w:tcPr>
          <w:p w14:paraId="5F70FD6E" w14:textId="77777777" w:rsidR="0079492E" w:rsidRPr="00C17CCE" w:rsidRDefault="0079492E" w:rsidP="00A46625">
            <w:pPr>
              <w:pStyle w:val="Tab"/>
              <w:numPr>
                <w:ilvl w:val="0"/>
                <w:numId w:val="0"/>
              </w:numPr>
              <w:spacing w:before="0"/>
              <w:jc w:val="center"/>
              <w:rPr>
                <w:rFonts w:ascii="Arial Narrow" w:hAnsi="Arial Narrow"/>
                <w:b/>
                <w:sz w:val="16"/>
                <w:szCs w:val="16"/>
              </w:rPr>
            </w:pPr>
            <w:r w:rsidRPr="00C17CCE">
              <w:rPr>
                <w:rFonts w:ascii="Arial Narrow" w:hAnsi="Arial Narrow"/>
                <w:b/>
                <w:sz w:val="16"/>
                <w:szCs w:val="16"/>
              </w:rPr>
              <w:t>SPOLU</w:t>
            </w:r>
          </w:p>
        </w:tc>
      </w:tr>
      <w:tr w:rsidR="0079492E" w:rsidRPr="00001F01" w14:paraId="17020E43" w14:textId="77777777" w:rsidTr="00A127CB">
        <w:trPr>
          <w:trHeight w:val="454"/>
          <w:jc w:val="center"/>
        </w:trPr>
        <w:tc>
          <w:tcPr>
            <w:tcW w:w="529" w:type="dxa"/>
            <w:vMerge/>
            <w:shd w:val="clear" w:color="auto" w:fill="C6D9F1" w:themeFill="text2" w:themeFillTint="33"/>
            <w:vAlign w:val="center"/>
          </w:tcPr>
          <w:p w14:paraId="6F835287" w14:textId="77777777" w:rsidR="0079492E" w:rsidRPr="00001F01" w:rsidRDefault="0079492E" w:rsidP="00A46625">
            <w:pPr>
              <w:pStyle w:val="Tab"/>
              <w:numPr>
                <w:ilvl w:val="0"/>
                <w:numId w:val="0"/>
              </w:numPr>
              <w:spacing w:before="0"/>
              <w:rPr>
                <w:rFonts w:ascii="Arial Narrow" w:hAnsi="Arial Narrow"/>
                <w:b/>
                <w:sz w:val="13"/>
                <w:szCs w:val="13"/>
              </w:rPr>
            </w:pPr>
          </w:p>
        </w:tc>
        <w:tc>
          <w:tcPr>
            <w:tcW w:w="722" w:type="dxa"/>
            <w:vMerge/>
            <w:shd w:val="clear" w:color="auto" w:fill="C6D9F1" w:themeFill="text2" w:themeFillTint="33"/>
            <w:vAlign w:val="center"/>
          </w:tcPr>
          <w:p w14:paraId="1C01EDCC" w14:textId="77777777" w:rsidR="0079492E" w:rsidRPr="00001F01" w:rsidRDefault="0079492E" w:rsidP="00A46625">
            <w:pPr>
              <w:pStyle w:val="Tab"/>
              <w:numPr>
                <w:ilvl w:val="0"/>
                <w:numId w:val="0"/>
              </w:numPr>
              <w:spacing w:before="0"/>
              <w:jc w:val="center"/>
              <w:rPr>
                <w:rFonts w:ascii="Arial Narrow" w:hAnsi="Arial Narrow"/>
                <w:b/>
                <w:sz w:val="13"/>
                <w:szCs w:val="13"/>
              </w:rPr>
            </w:pPr>
          </w:p>
        </w:tc>
        <w:tc>
          <w:tcPr>
            <w:tcW w:w="889" w:type="dxa"/>
            <w:shd w:val="clear" w:color="auto" w:fill="C6D9F1" w:themeFill="text2" w:themeFillTint="33"/>
            <w:vAlign w:val="center"/>
          </w:tcPr>
          <w:p w14:paraId="110C5C31"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2239764E"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117C5226"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69683E0A"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5F20F559"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0E7150DE"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2C381FF4"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002E9C2D"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172A173C"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44CA04B5"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15236689"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0A21461A"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398B0CFE"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267E32EF"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988" w:type="dxa"/>
            <w:shd w:val="clear" w:color="auto" w:fill="C6D9F1" w:themeFill="text2" w:themeFillTint="33"/>
            <w:vAlign w:val="center"/>
          </w:tcPr>
          <w:p w14:paraId="5274B950"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906" w:type="dxa"/>
            <w:shd w:val="clear" w:color="auto" w:fill="C6D9F1" w:themeFill="text2" w:themeFillTint="33"/>
            <w:vAlign w:val="center"/>
          </w:tcPr>
          <w:p w14:paraId="62F61EA2"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r>
      <w:tr w:rsidR="00953951" w:rsidRPr="00C71FFD" w14:paraId="77AB297B" w14:textId="77777777" w:rsidTr="00351D17">
        <w:trPr>
          <w:trHeight w:val="454"/>
          <w:jc w:val="center"/>
        </w:trPr>
        <w:tc>
          <w:tcPr>
            <w:tcW w:w="529" w:type="dxa"/>
            <w:shd w:val="clear" w:color="auto" w:fill="auto"/>
            <w:vAlign w:val="center"/>
          </w:tcPr>
          <w:p w14:paraId="44E9D8E9" w14:textId="77777777" w:rsidR="00953951" w:rsidRPr="00C71FFD" w:rsidRDefault="00953951" w:rsidP="00953951">
            <w:pPr>
              <w:pStyle w:val="Tab"/>
              <w:numPr>
                <w:ilvl w:val="0"/>
                <w:numId w:val="0"/>
              </w:numPr>
              <w:spacing w:before="0"/>
              <w:rPr>
                <w:rFonts w:ascii="Arial Narrow" w:hAnsi="Arial Narrow"/>
                <w:sz w:val="13"/>
                <w:szCs w:val="13"/>
              </w:rPr>
            </w:pPr>
            <w:r w:rsidRPr="00C71FFD">
              <w:rPr>
                <w:rFonts w:ascii="Arial Narrow" w:hAnsi="Arial Narrow"/>
                <w:sz w:val="13"/>
                <w:szCs w:val="13"/>
              </w:rPr>
              <w:t>EFRR</w:t>
            </w:r>
          </w:p>
        </w:tc>
        <w:tc>
          <w:tcPr>
            <w:tcW w:w="722" w:type="dxa"/>
            <w:shd w:val="clear" w:color="auto" w:fill="auto"/>
            <w:vAlign w:val="center"/>
          </w:tcPr>
          <w:p w14:paraId="5A3341CD" w14:textId="77777777" w:rsidR="00953951" w:rsidRPr="005753EC" w:rsidRDefault="00953951" w:rsidP="00953951">
            <w:pPr>
              <w:pStyle w:val="Tab"/>
              <w:numPr>
                <w:ilvl w:val="0"/>
                <w:numId w:val="0"/>
              </w:numPr>
              <w:spacing w:before="0"/>
              <w:jc w:val="center"/>
              <w:rPr>
                <w:rFonts w:ascii="Arial Narrow" w:hAnsi="Arial Narrow"/>
                <w:i/>
                <w:sz w:val="14"/>
                <w:szCs w:val="14"/>
              </w:rPr>
            </w:pPr>
            <w:r w:rsidRPr="005753EC">
              <w:rPr>
                <w:rFonts w:ascii="Arial Narrow" w:hAnsi="Arial Narrow"/>
                <w:i/>
                <w:sz w:val="14"/>
                <w:szCs w:val="14"/>
              </w:rPr>
              <w:t>Menej rozvinuté</w:t>
            </w:r>
          </w:p>
        </w:tc>
        <w:tc>
          <w:tcPr>
            <w:tcW w:w="889" w:type="dxa"/>
            <w:shd w:val="clear" w:color="auto" w:fill="auto"/>
            <w:vAlign w:val="center"/>
          </w:tcPr>
          <w:p w14:paraId="7B704989" w14:textId="3D8849CD"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412 781 592</w:t>
            </w:r>
          </w:p>
        </w:tc>
        <w:tc>
          <w:tcPr>
            <w:tcW w:w="889" w:type="dxa"/>
            <w:shd w:val="clear" w:color="auto" w:fill="auto"/>
            <w:vAlign w:val="center"/>
          </w:tcPr>
          <w:p w14:paraId="1DC1F479" w14:textId="414EEA75" w:rsidR="00953951" w:rsidRPr="00953951" w:rsidRDefault="0051145C">
            <w:pPr>
              <w:pStyle w:val="Tab"/>
              <w:numPr>
                <w:ilvl w:val="0"/>
                <w:numId w:val="0"/>
              </w:numPr>
              <w:spacing w:before="0"/>
              <w:jc w:val="right"/>
              <w:rPr>
                <w:rFonts w:ascii="Arial Narrow" w:hAnsi="Arial Narrow"/>
                <w:sz w:val="14"/>
                <w:szCs w:val="14"/>
              </w:rPr>
            </w:pPr>
            <w:r w:rsidRPr="0051145C">
              <w:rPr>
                <w:rFonts w:ascii="Arial Narrow" w:hAnsi="Arial Narrow"/>
                <w:sz w:val="14"/>
                <w:szCs w:val="14"/>
              </w:rPr>
              <w:t>15</w:t>
            </w:r>
            <w:r>
              <w:rPr>
                <w:rFonts w:ascii="Arial Narrow" w:hAnsi="Arial Narrow"/>
                <w:sz w:val="14"/>
                <w:szCs w:val="14"/>
              </w:rPr>
              <w:t> </w:t>
            </w:r>
            <w:r w:rsidRPr="0051145C">
              <w:rPr>
                <w:rFonts w:ascii="Arial Narrow" w:hAnsi="Arial Narrow"/>
                <w:sz w:val="14"/>
                <w:szCs w:val="14"/>
              </w:rPr>
              <w:t>606</w:t>
            </w:r>
            <w:r>
              <w:rPr>
                <w:rFonts w:ascii="Arial Narrow" w:hAnsi="Arial Narrow"/>
                <w:sz w:val="14"/>
                <w:szCs w:val="14"/>
              </w:rPr>
              <w:t xml:space="preserve"> </w:t>
            </w:r>
            <w:r w:rsidRPr="0051145C">
              <w:rPr>
                <w:rFonts w:ascii="Arial Narrow" w:hAnsi="Arial Narrow"/>
                <w:sz w:val="14"/>
                <w:szCs w:val="14"/>
              </w:rPr>
              <w:t>525</w:t>
            </w:r>
          </w:p>
        </w:tc>
        <w:tc>
          <w:tcPr>
            <w:tcW w:w="889" w:type="dxa"/>
            <w:shd w:val="clear" w:color="auto" w:fill="auto"/>
            <w:vAlign w:val="center"/>
          </w:tcPr>
          <w:p w14:paraId="34CC886B" w14:textId="5781DE18"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388 607 835</w:t>
            </w:r>
          </w:p>
        </w:tc>
        <w:tc>
          <w:tcPr>
            <w:tcW w:w="889" w:type="dxa"/>
            <w:shd w:val="clear" w:color="auto" w:fill="auto"/>
            <w:vAlign w:val="center"/>
          </w:tcPr>
          <w:p w14:paraId="259A4F22" w14:textId="0B855091" w:rsidR="00953951" w:rsidRPr="00953951" w:rsidRDefault="0051145C">
            <w:pPr>
              <w:pStyle w:val="Tab"/>
              <w:numPr>
                <w:ilvl w:val="0"/>
                <w:numId w:val="0"/>
              </w:numPr>
              <w:spacing w:before="0"/>
              <w:jc w:val="right"/>
              <w:rPr>
                <w:rFonts w:ascii="Arial Narrow" w:hAnsi="Arial Narrow"/>
                <w:sz w:val="14"/>
                <w:szCs w:val="14"/>
              </w:rPr>
            </w:pPr>
            <w:r w:rsidRPr="0051145C">
              <w:rPr>
                <w:rFonts w:ascii="Arial Narrow" w:hAnsi="Arial Narrow"/>
                <w:sz w:val="14"/>
                <w:szCs w:val="14"/>
              </w:rPr>
              <w:t>16</w:t>
            </w:r>
            <w:r>
              <w:rPr>
                <w:rFonts w:ascii="Arial Narrow" w:hAnsi="Arial Narrow"/>
                <w:sz w:val="14"/>
                <w:szCs w:val="14"/>
              </w:rPr>
              <w:t> </w:t>
            </w:r>
            <w:r w:rsidRPr="0051145C">
              <w:rPr>
                <w:rFonts w:ascii="Arial Narrow" w:hAnsi="Arial Narrow"/>
                <w:sz w:val="14"/>
                <w:szCs w:val="14"/>
              </w:rPr>
              <w:t>384</w:t>
            </w:r>
            <w:r>
              <w:rPr>
                <w:rFonts w:ascii="Arial Narrow" w:hAnsi="Arial Narrow"/>
                <w:sz w:val="14"/>
                <w:szCs w:val="14"/>
              </w:rPr>
              <w:t xml:space="preserve"> </w:t>
            </w:r>
            <w:r w:rsidRPr="0051145C">
              <w:rPr>
                <w:rFonts w:ascii="Arial Narrow" w:hAnsi="Arial Narrow"/>
                <w:sz w:val="14"/>
                <w:szCs w:val="14"/>
              </w:rPr>
              <w:t>456</w:t>
            </w:r>
          </w:p>
        </w:tc>
        <w:tc>
          <w:tcPr>
            <w:tcW w:w="889" w:type="dxa"/>
            <w:shd w:val="clear" w:color="auto" w:fill="auto"/>
            <w:vAlign w:val="center"/>
          </w:tcPr>
          <w:p w14:paraId="2BDA9229" w14:textId="1ABC626A"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481 405 514</w:t>
            </w:r>
          </w:p>
        </w:tc>
        <w:tc>
          <w:tcPr>
            <w:tcW w:w="889" w:type="dxa"/>
            <w:shd w:val="clear" w:color="auto" w:fill="auto"/>
            <w:vAlign w:val="center"/>
          </w:tcPr>
          <w:p w14:paraId="7B25FB51" w14:textId="147077C9" w:rsidR="00953951" w:rsidRPr="00953951" w:rsidRDefault="0051145C" w:rsidP="0051145C">
            <w:pPr>
              <w:pStyle w:val="Tab"/>
              <w:numPr>
                <w:ilvl w:val="0"/>
                <w:numId w:val="0"/>
              </w:numPr>
              <w:spacing w:before="0"/>
              <w:jc w:val="right"/>
              <w:rPr>
                <w:rFonts w:ascii="Arial Narrow" w:hAnsi="Arial Narrow"/>
                <w:sz w:val="14"/>
                <w:szCs w:val="14"/>
              </w:rPr>
            </w:pPr>
            <w:r w:rsidRPr="0051145C">
              <w:rPr>
                <w:rFonts w:ascii="Arial Narrow" w:hAnsi="Arial Narrow"/>
                <w:sz w:val="14"/>
                <w:szCs w:val="14"/>
              </w:rPr>
              <w:t>17</w:t>
            </w:r>
            <w:r>
              <w:rPr>
                <w:rFonts w:ascii="Arial Narrow" w:hAnsi="Arial Narrow"/>
                <w:sz w:val="14"/>
                <w:szCs w:val="14"/>
              </w:rPr>
              <w:t> </w:t>
            </w:r>
            <w:r w:rsidRPr="0051145C">
              <w:rPr>
                <w:rFonts w:ascii="Arial Narrow" w:hAnsi="Arial Narrow"/>
                <w:sz w:val="14"/>
                <w:szCs w:val="14"/>
              </w:rPr>
              <w:t>172</w:t>
            </w:r>
            <w:r>
              <w:rPr>
                <w:rFonts w:ascii="Arial Narrow" w:hAnsi="Arial Narrow"/>
                <w:sz w:val="14"/>
                <w:szCs w:val="14"/>
              </w:rPr>
              <w:t xml:space="preserve"> </w:t>
            </w:r>
            <w:r w:rsidRPr="0051145C">
              <w:rPr>
                <w:rFonts w:ascii="Arial Narrow" w:hAnsi="Arial Narrow"/>
                <w:sz w:val="14"/>
                <w:szCs w:val="14"/>
              </w:rPr>
              <w:t>734</w:t>
            </w:r>
          </w:p>
        </w:tc>
        <w:tc>
          <w:tcPr>
            <w:tcW w:w="889" w:type="dxa"/>
            <w:shd w:val="clear" w:color="auto" w:fill="auto"/>
            <w:vAlign w:val="center"/>
          </w:tcPr>
          <w:p w14:paraId="7B275D1D" w14:textId="6517CFA5"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491 064 728</w:t>
            </w:r>
          </w:p>
        </w:tc>
        <w:tc>
          <w:tcPr>
            <w:tcW w:w="889" w:type="dxa"/>
            <w:shd w:val="clear" w:color="auto" w:fill="auto"/>
            <w:vAlign w:val="center"/>
          </w:tcPr>
          <w:p w14:paraId="302C2A21" w14:textId="39B01AD5"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17 699 527</w:t>
            </w:r>
          </w:p>
        </w:tc>
        <w:tc>
          <w:tcPr>
            <w:tcW w:w="889" w:type="dxa"/>
            <w:shd w:val="clear" w:color="auto" w:fill="auto"/>
            <w:vAlign w:val="center"/>
          </w:tcPr>
          <w:p w14:paraId="295912ED" w14:textId="737A920B"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514 147 607</w:t>
            </w:r>
          </w:p>
        </w:tc>
        <w:tc>
          <w:tcPr>
            <w:tcW w:w="889" w:type="dxa"/>
            <w:shd w:val="clear" w:color="auto" w:fill="auto"/>
            <w:vAlign w:val="center"/>
          </w:tcPr>
          <w:p w14:paraId="5937C6E4" w14:textId="34023BCA" w:rsidR="00953951" w:rsidRPr="00953951" w:rsidRDefault="0051145C" w:rsidP="0051145C">
            <w:pPr>
              <w:pStyle w:val="Tab"/>
              <w:numPr>
                <w:ilvl w:val="0"/>
                <w:numId w:val="0"/>
              </w:numPr>
              <w:spacing w:before="0"/>
              <w:jc w:val="right"/>
              <w:rPr>
                <w:rFonts w:ascii="Arial Narrow" w:hAnsi="Arial Narrow"/>
                <w:sz w:val="14"/>
                <w:szCs w:val="14"/>
              </w:rPr>
            </w:pPr>
            <w:r w:rsidRPr="0051145C">
              <w:rPr>
                <w:rFonts w:ascii="Arial Narrow" w:hAnsi="Arial Narrow"/>
                <w:sz w:val="14"/>
                <w:szCs w:val="14"/>
              </w:rPr>
              <w:t>18</w:t>
            </w:r>
            <w:r>
              <w:rPr>
                <w:rFonts w:ascii="Arial Narrow" w:hAnsi="Arial Narrow"/>
                <w:sz w:val="14"/>
                <w:szCs w:val="14"/>
              </w:rPr>
              <w:t> </w:t>
            </w:r>
            <w:r w:rsidRPr="0051145C">
              <w:rPr>
                <w:rFonts w:ascii="Arial Narrow" w:hAnsi="Arial Narrow"/>
                <w:sz w:val="14"/>
                <w:szCs w:val="14"/>
              </w:rPr>
              <w:t>526</w:t>
            </w:r>
            <w:r>
              <w:rPr>
                <w:rFonts w:ascii="Arial Narrow" w:hAnsi="Arial Narrow"/>
                <w:sz w:val="14"/>
                <w:szCs w:val="14"/>
              </w:rPr>
              <w:t xml:space="preserve"> </w:t>
            </w:r>
            <w:r w:rsidRPr="0051145C">
              <w:rPr>
                <w:rFonts w:ascii="Arial Narrow" w:hAnsi="Arial Narrow"/>
                <w:sz w:val="14"/>
                <w:szCs w:val="14"/>
              </w:rPr>
              <w:t>578</w:t>
            </w:r>
          </w:p>
        </w:tc>
        <w:tc>
          <w:tcPr>
            <w:tcW w:w="889" w:type="dxa"/>
            <w:shd w:val="clear" w:color="auto" w:fill="auto"/>
            <w:vAlign w:val="center"/>
          </w:tcPr>
          <w:p w14:paraId="4BD60CE4" w14:textId="342B199A"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538 879 365</w:t>
            </w:r>
          </w:p>
        </w:tc>
        <w:tc>
          <w:tcPr>
            <w:tcW w:w="889" w:type="dxa"/>
            <w:shd w:val="clear" w:color="auto" w:fill="auto"/>
            <w:vAlign w:val="center"/>
          </w:tcPr>
          <w:p w14:paraId="6DB96E87" w14:textId="54BC8920" w:rsidR="00953951" w:rsidRPr="00953951" w:rsidRDefault="0051145C" w:rsidP="0051145C">
            <w:pPr>
              <w:pStyle w:val="Tab"/>
              <w:numPr>
                <w:ilvl w:val="0"/>
                <w:numId w:val="0"/>
              </w:numPr>
              <w:spacing w:before="0"/>
              <w:jc w:val="right"/>
              <w:rPr>
                <w:rFonts w:ascii="Arial Narrow" w:hAnsi="Arial Narrow"/>
                <w:sz w:val="14"/>
                <w:szCs w:val="14"/>
              </w:rPr>
            </w:pPr>
            <w:r w:rsidRPr="0051145C">
              <w:rPr>
                <w:rFonts w:ascii="Arial Narrow" w:hAnsi="Arial Narrow"/>
                <w:sz w:val="14"/>
                <w:szCs w:val="14"/>
              </w:rPr>
              <w:t>19</w:t>
            </w:r>
            <w:r>
              <w:rPr>
                <w:rFonts w:ascii="Arial Narrow" w:hAnsi="Arial Narrow"/>
                <w:sz w:val="14"/>
                <w:szCs w:val="14"/>
              </w:rPr>
              <w:t> </w:t>
            </w:r>
            <w:r w:rsidRPr="0051145C">
              <w:rPr>
                <w:rFonts w:ascii="Arial Narrow" w:hAnsi="Arial Narrow"/>
                <w:sz w:val="14"/>
                <w:szCs w:val="14"/>
              </w:rPr>
              <w:t>412</w:t>
            </w:r>
            <w:r>
              <w:rPr>
                <w:rFonts w:ascii="Arial Narrow" w:hAnsi="Arial Narrow"/>
                <w:sz w:val="14"/>
                <w:szCs w:val="14"/>
              </w:rPr>
              <w:t xml:space="preserve"> </w:t>
            </w:r>
            <w:r w:rsidRPr="0051145C">
              <w:rPr>
                <w:rFonts w:ascii="Arial Narrow" w:hAnsi="Arial Narrow"/>
                <w:sz w:val="14"/>
                <w:szCs w:val="14"/>
              </w:rPr>
              <w:t>521</w:t>
            </w:r>
          </w:p>
        </w:tc>
        <w:tc>
          <w:tcPr>
            <w:tcW w:w="889" w:type="dxa"/>
            <w:shd w:val="clear" w:color="auto" w:fill="auto"/>
            <w:vAlign w:val="center"/>
          </w:tcPr>
          <w:p w14:paraId="7DD219DD" w14:textId="38A3A25C" w:rsidR="00953951" w:rsidRPr="00351D17"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552 175 748</w:t>
            </w:r>
          </w:p>
        </w:tc>
        <w:tc>
          <w:tcPr>
            <w:tcW w:w="889" w:type="dxa"/>
            <w:shd w:val="clear" w:color="auto" w:fill="auto"/>
            <w:vAlign w:val="center"/>
          </w:tcPr>
          <w:p w14:paraId="003737FD" w14:textId="5FE57B2C"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200 597 299</w:t>
            </w:r>
          </w:p>
        </w:tc>
        <w:tc>
          <w:tcPr>
            <w:tcW w:w="988" w:type="dxa"/>
            <w:shd w:val="clear" w:color="auto" w:fill="auto"/>
            <w:vAlign w:val="center"/>
          </w:tcPr>
          <w:p w14:paraId="616B8C65" w14:textId="0B04DC4B" w:rsidR="00953951" w:rsidRPr="00953951" w:rsidRDefault="00953951">
            <w:pPr>
              <w:pStyle w:val="Tab"/>
              <w:numPr>
                <w:ilvl w:val="0"/>
                <w:numId w:val="0"/>
              </w:numPr>
              <w:spacing w:before="0"/>
              <w:jc w:val="right"/>
              <w:rPr>
                <w:rFonts w:ascii="Arial Narrow" w:hAnsi="Arial Narrow"/>
                <w:sz w:val="14"/>
                <w:szCs w:val="14"/>
              </w:rPr>
            </w:pPr>
            <w:r w:rsidRPr="00953951">
              <w:rPr>
                <w:rFonts w:ascii="Arial Narrow" w:hAnsi="Arial Narrow"/>
                <w:sz w:val="14"/>
                <w:szCs w:val="14"/>
              </w:rPr>
              <w:t>3 379 062 389</w:t>
            </w:r>
          </w:p>
        </w:tc>
        <w:tc>
          <w:tcPr>
            <w:tcW w:w="906" w:type="dxa"/>
            <w:shd w:val="clear" w:color="auto" w:fill="auto"/>
            <w:vAlign w:val="center"/>
          </w:tcPr>
          <w:p w14:paraId="75F5F454" w14:textId="01B32C11"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305 399 640</w:t>
            </w:r>
          </w:p>
        </w:tc>
      </w:tr>
      <w:tr w:rsidR="00953951" w:rsidRPr="00C71FFD" w14:paraId="64590E7C" w14:textId="77777777" w:rsidTr="00351D17">
        <w:trPr>
          <w:trHeight w:val="454"/>
          <w:jc w:val="center"/>
        </w:trPr>
        <w:tc>
          <w:tcPr>
            <w:tcW w:w="529" w:type="dxa"/>
            <w:shd w:val="clear" w:color="auto" w:fill="auto"/>
            <w:vAlign w:val="center"/>
          </w:tcPr>
          <w:p w14:paraId="6DA2D01E" w14:textId="478D8BEE" w:rsidR="00953951" w:rsidRPr="00C71FFD" w:rsidRDefault="00953951" w:rsidP="00953951">
            <w:pPr>
              <w:pStyle w:val="Tab"/>
              <w:numPr>
                <w:ilvl w:val="0"/>
                <w:numId w:val="0"/>
              </w:numPr>
              <w:spacing w:before="0"/>
              <w:rPr>
                <w:rFonts w:ascii="Arial Narrow" w:hAnsi="Arial Narrow"/>
                <w:sz w:val="13"/>
                <w:szCs w:val="13"/>
              </w:rPr>
            </w:pPr>
            <w:r>
              <w:rPr>
                <w:rFonts w:ascii="Arial Narrow" w:hAnsi="Arial Narrow"/>
                <w:sz w:val="13"/>
                <w:szCs w:val="13"/>
              </w:rPr>
              <w:t>EFRR</w:t>
            </w:r>
          </w:p>
        </w:tc>
        <w:tc>
          <w:tcPr>
            <w:tcW w:w="722" w:type="dxa"/>
            <w:shd w:val="clear" w:color="auto" w:fill="auto"/>
            <w:vAlign w:val="center"/>
          </w:tcPr>
          <w:p w14:paraId="1A16F8C6" w14:textId="1C3DFDFC" w:rsidR="00953951" w:rsidRPr="005753EC" w:rsidRDefault="00953951" w:rsidP="00953951">
            <w:pPr>
              <w:pStyle w:val="Tab"/>
              <w:numPr>
                <w:ilvl w:val="0"/>
                <w:numId w:val="0"/>
              </w:numPr>
              <w:spacing w:before="0"/>
              <w:jc w:val="center"/>
              <w:rPr>
                <w:rFonts w:ascii="Arial Narrow" w:hAnsi="Arial Narrow"/>
                <w:i/>
                <w:sz w:val="14"/>
                <w:szCs w:val="14"/>
              </w:rPr>
            </w:pPr>
            <w:r>
              <w:rPr>
                <w:rFonts w:ascii="Arial Narrow" w:hAnsi="Arial Narrow"/>
                <w:i/>
                <w:sz w:val="14"/>
                <w:szCs w:val="14"/>
              </w:rPr>
              <w:t>Rozvinutejšie</w:t>
            </w:r>
          </w:p>
        </w:tc>
        <w:tc>
          <w:tcPr>
            <w:tcW w:w="889" w:type="dxa"/>
            <w:shd w:val="clear" w:color="auto" w:fill="auto"/>
            <w:vAlign w:val="center"/>
          </w:tcPr>
          <w:p w14:paraId="7E5290BA" w14:textId="6D7DD26C"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17 725 965</w:t>
            </w:r>
          </w:p>
        </w:tc>
        <w:tc>
          <w:tcPr>
            <w:tcW w:w="889" w:type="dxa"/>
            <w:shd w:val="clear" w:color="auto" w:fill="auto"/>
            <w:vAlign w:val="center"/>
          </w:tcPr>
          <w:p w14:paraId="408736BE" w14:textId="0EFE7D90"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1 288 189</w:t>
            </w:r>
          </w:p>
        </w:tc>
        <w:tc>
          <w:tcPr>
            <w:tcW w:w="889" w:type="dxa"/>
            <w:shd w:val="clear" w:color="auto" w:fill="auto"/>
            <w:vAlign w:val="center"/>
          </w:tcPr>
          <w:p w14:paraId="1E4BE494" w14:textId="5423A865"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10 225 525</w:t>
            </w:r>
          </w:p>
        </w:tc>
        <w:tc>
          <w:tcPr>
            <w:tcW w:w="889" w:type="dxa"/>
            <w:shd w:val="clear" w:color="auto" w:fill="auto"/>
            <w:vAlign w:val="center"/>
          </w:tcPr>
          <w:p w14:paraId="608CB52A" w14:textId="77001589"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1 352 400</w:t>
            </w:r>
          </w:p>
        </w:tc>
        <w:tc>
          <w:tcPr>
            <w:tcW w:w="889" w:type="dxa"/>
            <w:shd w:val="clear" w:color="auto" w:fill="auto"/>
            <w:vAlign w:val="center"/>
          </w:tcPr>
          <w:p w14:paraId="110EFD54" w14:textId="594729B8"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21 986 079</w:t>
            </w:r>
          </w:p>
        </w:tc>
        <w:tc>
          <w:tcPr>
            <w:tcW w:w="889" w:type="dxa"/>
            <w:shd w:val="clear" w:color="auto" w:fill="auto"/>
            <w:vAlign w:val="center"/>
          </w:tcPr>
          <w:p w14:paraId="071936AB" w14:textId="1A1868EA" w:rsidR="00953951" w:rsidRPr="003A78D4"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1 417 465</w:t>
            </w:r>
          </w:p>
        </w:tc>
        <w:tc>
          <w:tcPr>
            <w:tcW w:w="889" w:type="dxa"/>
            <w:shd w:val="clear" w:color="auto" w:fill="auto"/>
            <w:vAlign w:val="center"/>
          </w:tcPr>
          <w:p w14:paraId="6D52E59B" w14:textId="357D9028"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22 981 259</w:t>
            </w:r>
          </w:p>
        </w:tc>
        <w:tc>
          <w:tcPr>
            <w:tcW w:w="889" w:type="dxa"/>
            <w:shd w:val="clear" w:color="auto" w:fill="auto"/>
            <w:vAlign w:val="center"/>
          </w:tcPr>
          <w:p w14:paraId="203F60F3" w14:textId="2D101C62"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1 481 626</w:t>
            </w:r>
          </w:p>
        </w:tc>
        <w:tc>
          <w:tcPr>
            <w:tcW w:w="889" w:type="dxa"/>
            <w:shd w:val="clear" w:color="auto" w:fill="auto"/>
            <w:vAlign w:val="center"/>
          </w:tcPr>
          <w:p w14:paraId="3A7704A6" w14:textId="5E1DAAE0"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24 046 538</w:t>
            </w:r>
          </w:p>
        </w:tc>
        <w:tc>
          <w:tcPr>
            <w:tcW w:w="889" w:type="dxa"/>
            <w:shd w:val="clear" w:color="auto" w:fill="auto"/>
            <w:vAlign w:val="center"/>
          </w:tcPr>
          <w:p w14:paraId="02FA1AE4" w14:textId="333133F5"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1 550 306</w:t>
            </w:r>
          </w:p>
        </w:tc>
        <w:tc>
          <w:tcPr>
            <w:tcW w:w="889" w:type="dxa"/>
            <w:shd w:val="clear" w:color="auto" w:fill="auto"/>
            <w:vAlign w:val="center"/>
          </w:tcPr>
          <w:p w14:paraId="4FE65459" w14:textId="01A31D04"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25 187 346</w:t>
            </w:r>
          </w:p>
        </w:tc>
        <w:tc>
          <w:tcPr>
            <w:tcW w:w="889" w:type="dxa"/>
            <w:shd w:val="clear" w:color="auto" w:fill="auto"/>
            <w:vAlign w:val="center"/>
          </w:tcPr>
          <w:p w14:paraId="523ECB07" w14:textId="699CE237"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1 623 854</w:t>
            </w:r>
          </w:p>
        </w:tc>
        <w:tc>
          <w:tcPr>
            <w:tcW w:w="889" w:type="dxa"/>
            <w:shd w:val="clear" w:color="auto" w:fill="auto"/>
            <w:vAlign w:val="center"/>
          </w:tcPr>
          <w:p w14:paraId="4DFF9D37" w14:textId="429F47ED"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25 806 115</w:t>
            </w:r>
          </w:p>
        </w:tc>
        <w:tc>
          <w:tcPr>
            <w:tcW w:w="889" w:type="dxa"/>
            <w:shd w:val="clear" w:color="auto" w:fill="auto"/>
            <w:vAlign w:val="center"/>
          </w:tcPr>
          <w:p w14:paraId="623F205E" w14:textId="73971C45" w:rsidR="00953951"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1 663 749</w:t>
            </w:r>
          </w:p>
        </w:tc>
        <w:tc>
          <w:tcPr>
            <w:tcW w:w="988" w:type="dxa"/>
            <w:shd w:val="clear" w:color="auto" w:fill="auto"/>
            <w:vAlign w:val="center"/>
          </w:tcPr>
          <w:p w14:paraId="2AC9AABD" w14:textId="072486B8" w:rsidR="00953951" w:rsidRPr="004E02E3"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147 958 827</w:t>
            </w:r>
          </w:p>
        </w:tc>
        <w:tc>
          <w:tcPr>
            <w:tcW w:w="906" w:type="dxa"/>
            <w:shd w:val="clear" w:color="auto" w:fill="auto"/>
            <w:vAlign w:val="center"/>
          </w:tcPr>
          <w:p w14:paraId="15A7E06A" w14:textId="1F50F9DE" w:rsidR="00953951" w:rsidRPr="004E02E3" w:rsidRDefault="00953951" w:rsidP="00953951">
            <w:pPr>
              <w:pStyle w:val="Tab"/>
              <w:numPr>
                <w:ilvl w:val="0"/>
                <w:numId w:val="0"/>
              </w:numPr>
              <w:spacing w:before="0"/>
              <w:jc w:val="right"/>
              <w:rPr>
                <w:rFonts w:ascii="Arial Narrow" w:hAnsi="Arial Narrow"/>
                <w:sz w:val="14"/>
                <w:szCs w:val="14"/>
              </w:rPr>
            </w:pPr>
            <w:r w:rsidRPr="005C0B99">
              <w:rPr>
                <w:rFonts w:ascii="Arial Narrow" w:hAnsi="Arial Narrow"/>
                <w:sz w:val="14"/>
                <w:szCs w:val="14"/>
              </w:rPr>
              <w:t>10 377 589</w:t>
            </w:r>
          </w:p>
        </w:tc>
      </w:tr>
      <w:tr w:rsidR="00953951" w:rsidRPr="00C71FFD" w14:paraId="4BFB7EB5" w14:textId="77777777" w:rsidTr="00351D17">
        <w:trPr>
          <w:trHeight w:val="454"/>
          <w:jc w:val="center"/>
        </w:trPr>
        <w:tc>
          <w:tcPr>
            <w:tcW w:w="529" w:type="dxa"/>
            <w:shd w:val="clear" w:color="auto" w:fill="auto"/>
            <w:vAlign w:val="center"/>
          </w:tcPr>
          <w:p w14:paraId="7C635455" w14:textId="77777777" w:rsidR="00953951" w:rsidRPr="00C71FFD" w:rsidRDefault="00953951" w:rsidP="00953951">
            <w:pPr>
              <w:pStyle w:val="Tab"/>
              <w:numPr>
                <w:ilvl w:val="0"/>
                <w:numId w:val="0"/>
              </w:numPr>
              <w:spacing w:before="0"/>
              <w:rPr>
                <w:rFonts w:ascii="Arial Narrow" w:hAnsi="Arial Narrow"/>
                <w:sz w:val="13"/>
                <w:szCs w:val="13"/>
              </w:rPr>
            </w:pPr>
            <w:r w:rsidRPr="00C71FFD">
              <w:rPr>
                <w:rFonts w:ascii="Arial Narrow" w:hAnsi="Arial Narrow"/>
                <w:sz w:val="13"/>
                <w:szCs w:val="13"/>
              </w:rPr>
              <w:t>KF</w:t>
            </w:r>
          </w:p>
        </w:tc>
        <w:tc>
          <w:tcPr>
            <w:tcW w:w="722" w:type="dxa"/>
            <w:shd w:val="clear" w:color="auto" w:fill="auto"/>
            <w:vAlign w:val="center"/>
          </w:tcPr>
          <w:p w14:paraId="09A73C70" w14:textId="77777777" w:rsidR="00953951" w:rsidRPr="005753EC" w:rsidRDefault="00953951" w:rsidP="00953951">
            <w:pPr>
              <w:pStyle w:val="Tab"/>
              <w:numPr>
                <w:ilvl w:val="0"/>
                <w:numId w:val="0"/>
              </w:numPr>
              <w:spacing w:before="0"/>
              <w:jc w:val="center"/>
              <w:rPr>
                <w:rFonts w:ascii="Arial Narrow" w:hAnsi="Arial Narrow"/>
                <w:i/>
                <w:sz w:val="14"/>
                <w:szCs w:val="14"/>
              </w:rPr>
            </w:pPr>
            <w:r w:rsidRPr="005753EC">
              <w:rPr>
                <w:rFonts w:ascii="Arial Narrow" w:hAnsi="Arial Narrow"/>
                <w:i/>
                <w:sz w:val="14"/>
                <w:szCs w:val="14"/>
              </w:rPr>
              <w:t>N/A</w:t>
            </w:r>
          </w:p>
        </w:tc>
        <w:tc>
          <w:tcPr>
            <w:tcW w:w="889" w:type="dxa"/>
            <w:shd w:val="clear" w:color="auto" w:fill="auto"/>
            <w:vAlign w:val="center"/>
          </w:tcPr>
          <w:p w14:paraId="6FC65C64"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267 925 106</w:t>
            </w:r>
          </w:p>
        </w:tc>
        <w:tc>
          <w:tcPr>
            <w:tcW w:w="889" w:type="dxa"/>
            <w:shd w:val="clear" w:color="auto" w:fill="auto"/>
            <w:vAlign w:val="center"/>
          </w:tcPr>
          <w:p w14:paraId="27D36203" w14:textId="77777777" w:rsidR="00953951" w:rsidRPr="00CF2C83"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17 101 602</w:t>
            </w:r>
          </w:p>
        </w:tc>
        <w:tc>
          <w:tcPr>
            <w:tcW w:w="889" w:type="dxa"/>
            <w:shd w:val="clear" w:color="auto" w:fill="auto"/>
            <w:vAlign w:val="center"/>
          </w:tcPr>
          <w:p w14:paraId="7363E654"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282 181 260</w:t>
            </w:r>
          </w:p>
        </w:tc>
        <w:tc>
          <w:tcPr>
            <w:tcW w:w="889" w:type="dxa"/>
            <w:shd w:val="clear" w:color="auto" w:fill="auto"/>
            <w:vAlign w:val="center"/>
          </w:tcPr>
          <w:p w14:paraId="5A880B2B"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18 011 570</w:t>
            </w:r>
          </w:p>
        </w:tc>
        <w:tc>
          <w:tcPr>
            <w:tcW w:w="889" w:type="dxa"/>
            <w:shd w:val="clear" w:color="auto" w:fill="auto"/>
            <w:vAlign w:val="center"/>
          </w:tcPr>
          <w:p w14:paraId="302144C4" w14:textId="77777777" w:rsidR="00953951" w:rsidRPr="000A14BC" w:rsidRDefault="00953951" w:rsidP="00953951">
            <w:pPr>
              <w:pStyle w:val="Tab"/>
              <w:numPr>
                <w:ilvl w:val="0"/>
                <w:numId w:val="0"/>
              </w:numPr>
              <w:spacing w:before="0"/>
              <w:jc w:val="right"/>
              <w:rPr>
                <w:rFonts w:ascii="Arial Narrow" w:hAnsi="Arial Narrow"/>
                <w:sz w:val="14"/>
                <w:szCs w:val="14"/>
              </w:rPr>
            </w:pPr>
            <w:r>
              <w:rPr>
                <w:rFonts w:ascii="Arial Narrow" w:hAnsi="Arial Narrow"/>
                <w:sz w:val="14"/>
                <w:szCs w:val="14"/>
              </w:rPr>
              <w:t>296 590 745</w:t>
            </w:r>
          </w:p>
        </w:tc>
        <w:tc>
          <w:tcPr>
            <w:tcW w:w="889" w:type="dxa"/>
            <w:shd w:val="clear" w:color="auto" w:fill="auto"/>
            <w:vAlign w:val="center"/>
          </w:tcPr>
          <w:p w14:paraId="0757EC5F"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18 931 324</w:t>
            </w:r>
          </w:p>
        </w:tc>
        <w:tc>
          <w:tcPr>
            <w:tcW w:w="889" w:type="dxa"/>
            <w:shd w:val="clear" w:color="auto" w:fill="auto"/>
            <w:vAlign w:val="center"/>
          </w:tcPr>
          <w:p w14:paraId="5313B1D5"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310 270 527</w:t>
            </w:r>
          </w:p>
        </w:tc>
        <w:tc>
          <w:tcPr>
            <w:tcW w:w="889" w:type="dxa"/>
            <w:shd w:val="clear" w:color="auto" w:fill="auto"/>
            <w:vAlign w:val="center"/>
          </w:tcPr>
          <w:p w14:paraId="359A107F"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19 804 502</w:t>
            </w:r>
          </w:p>
        </w:tc>
        <w:tc>
          <w:tcPr>
            <w:tcW w:w="889" w:type="dxa"/>
            <w:shd w:val="clear" w:color="auto" w:fill="auto"/>
            <w:vAlign w:val="center"/>
          </w:tcPr>
          <w:p w14:paraId="7277A2FD"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324 312 761</w:t>
            </w:r>
          </w:p>
        </w:tc>
        <w:tc>
          <w:tcPr>
            <w:tcW w:w="889" w:type="dxa"/>
            <w:shd w:val="clear" w:color="auto" w:fill="auto"/>
            <w:vAlign w:val="center"/>
          </w:tcPr>
          <w:p w14:paraId="72B4AF5B" w14:textId="77777777" w:rsidR="00953951" w:rsidRPr="000A14BC" w:rsidRDefault="00953951" w:rsidP="00953951">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20 700 815</w:t>
            </w:r>
          </w:p>
        </w:tc>
        <w:tc>
          <w:tcPr>
            <w:tcW w:w="889" w:type="dxa"/>
            <w:shd w:val="clear" w:color="auto" w:fill="auto"/>
            <w:vAlign w:val="center"/>
          </w:tcPr>
          <w:p w14:paraId="18B8222F" w14:textId="77777777" w:rsidR="00953951" w:rsidRPr="000A14BC"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339 944 875</w:t>
            </w:r>
          </w:p>
        </w:tc>
        <w:tc>
          <w:tcPr>
            <w:tcW w:w="889" w:type="dxa"/>
            <w:shd w:val="clear" w:color="auto" w:fill="auto"/>
            <w:vAlign w:val="center"/>
          </w:tcPr>
          <w:p w14:paraId="6B041CBE" w14:textId="77777777" w:rsidR="00953951" w:rsidRPr="000A14BC"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21 698 609</w:t>
            </w:r>
          </w:p>
        </w:tc>
        <w:tc>
          <w:tcPr>
            <w:tcW w:w="889" w:type="dxa"/>
            <w:shd w:val="clear" w:color="auto" w:fill="auto"/>
            <w:vAlign w:val="center"/>
          </w:tcPr>
          <w:p w14:paraId="17CFA3A8" w14:textId="77777777" w:rsidR="00953951" w:rsidRPr="000A14BC"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347 485 542</w:t>
            </w:r>
          </w:p>
        </w:tc>
        <w:tc>
          <w:tcPr>
            <w:tcW w:w="889" w:type="dxa"/>
            <w:shd w:val="clear" w:color="auto" w:fill="auto"/>
            <w:vAlign w:val="center"/>
          </w:tcPr>
          <w:p w14:paraId="13C6169C" w14:textId="77777777" w:rsidR="00953951" w:rsidRPr="000A14BC"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22 179 928</w:t>
            </w:r>
          </w:p>
        </w:tc>
        <w:tc>
          <w:tcPr>
            <w:tcW w:w="988" w:type="dxa"/>
            <w:shd w:val="clear" w:color="auto" w:fill="auto"/>
            <w:vAlign w:val="center"/>
          </w:tcPr>
          <w:p w14:paraId="315E2974" w14:textId="77777777" w:rsidR="00953951" w:rsidRPr="0047405E"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2 168 710 816</w:t>
            </w:r>
          </w:p>
        </w:tc>
        <w:tc>
          <w:tcPr>
            <w:tcW w:w="906" w:type="dxa"/>
            <w:shd w:val="clear" w:color="auto" w:fill="auto"/>
            <w:vAlign w:val="center"/>
          </w:tcPr>
          <w:p w14:paraId="04690543" w14:textId="77777777" w:rsidR="00953951" w:rsidRPr="0047405E" w:rsidRDefault="00953951" w:rsidP="00953951">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138 428 350</w:t>
            </w:r>
          </w:p>
        </w:tc>
      </w:tr>
      <w:tr w:rsidR="008F12B4" w:rsidRPr="00C71FFD" w14:paraId="4F625A30" w14:textId="77777777" w:rsidTr="008F12B4">
        <w:trPr>
          <w:trHeight w:val="454"/>
          <w:jc w:val="center"/>
        </w:trPr>
        <w:tc>
          <w:tcPr>
            <w:tcW w:w="529" w:type="dxa"/>
            <w:shd w:val="clear" w:color="auto" w:fill="D9D9D9" w:themeFill="background1" w:themeFillShade="D9"/>
            <w:vAlign w:val="center"/>
          </w:tcPr>
          <w:p w14:paraId="0A38B568" w14:textId="77777777" w:rsidR="00953951" w:rsidRPr="00C71FFD" w:rsidRDefault="00953951" w:rsidP="00953951">
            <w:pPr>
              <w:pStyle w:val="Tab"/>
              <w:numPr>
                <w:ilvl w:val="0"/>
                <w:numId w:val="0"/>
              </w:numPr>
              <w:spacing w:before="0"/>
              <w:rPr>
                <w:rFonts w:ascii="Arial Narrow" w:hAnsi="Arial Narrow"/>
                <w:b/>
                <w:sz w:val="13"/>
                <w:szCs w:val="13"/>
              </w:rPr>
            </w:pPr>
            <w:r w:rsidRPr="00C71FFD">
              <w:rPr>
                <w:rFonts w:ascii="Arial Narrow" w:hAnsi="Arial Narrow"/>
                <w:b/>
                <w:sz w:val="13"/>
                <w:szCs w:val="13"/>
              </w:rPr>
              <w:t>Spolu</w:t>
            </w:r>
          </w:p>
        </w:tc>
        <w:tc>
          <w:tcPr>
            <w:tcW w:w="722" w:type="dxa"/>
            <w:shd w:val="clear" w:color="auto" w:fill="D9D9D9" w:themeFill="background1" w:themeFillShade="D9"/>
            <w:vAlign w:val="center"/>
          </w:tcPr>
          <w:p w14:paraId="3C940D7B" w14:textId="77777777" w:rsidR="00953951" w:rsidRPr="00C71FFD" w:rsidRDefault="00953951" w:rsidP="00953951">
            <w:pPr>
              <w:pStyle w:val="Tab"/>
              <w:numPr>
                <w:ilvl w:val="0"/>
                <w:numId w:val="0"/>
              </w:numPr>
              <w:spacing w:before="0"/>
              <w:jc w:val="center"/>
              <w:rPr>
                <w:rFonts w:ascii="Arial Narrow" w:hAnsi="Arial Narrow"/>
                <w:b/>
                <w:sz w:val="13"/>
                <w:szCs w:val="13"/>
              </w:rPr>
            </w:pPr>
            <w:r w:rsidRPr="00C71FFD">
              <w:rPr>
                <w:rFonts w:ascii="Arial Narrow" w:hAnsi="Arial Narrow"/>
                <w:b/>
                <w:sz w:val="13"/>
                <w:szCs w:val="13"/>
              </w:rPr>
              <w:t>-</w:t>
            </w:r>
          </w:p>
        </w:tc>
        <w:tc>
          <w:tcPr>
            <w:tcW w:w="889" w:type="dxa"/>
            <w:shd w:val="clear" w:color="auto" w:fill="D9D9D9" w:themeFill="background1" w:themeFillShade="D9"/>
            <w:vAlign w:val="center"/>
          </w:tcPr>
          <w:p w14:paraId="16D5F217" w14:textId="639A6126" w:rsidR="00953951" w:rsidRPr="00953951" w:rsidRDefault="00953951">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698 432 663</w:t>
            </w:r>
          </w:p>
        </w:tc>
        <w:tc>
          <w:tcPr>
            <w:tcW w:w="889" w:type="dxa"/>
            <w:shd w:val="clear" w:color="auto" w:fill="D9D9D9" w:themeFill="background1" w:themeFillShade="D9"/>
            <w:vAlign w:val="center"/>
          </w:tcPr>
          <w:p w14:paraId="28B51DFF" w14:textId="51AE3CED"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33 996 316</w:t>
            </w:r>
          </w:p>
        </w:tc>
        <w:tc>
          <w:tcPr>
            <w:tcW w:w="889" w:type="dxa"/>
            <w:shd w:val="clear" w:color="auto" w:fill="D9D9D9" w:themeFill="background1" w:themeFillShade="D9"/>
            <w:vAlign w:val="center"/>
          </w:tcPr>
          <w:p w14:paraId="474C779C" w14:textId="43C0B547" w:rsidR="00953951" w:rsidRPr="00953951" w:rsidRDefault="00953951">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681 014 620</w:t>
            </w:r>
          </w:p>
        </w:tc>
        <w:tc>
          <w:tcPr>
            <w:tcW w:w="889" w:type="dxa"/>
            <w:shd w:val="clear" w:color="auto" w:fill="D9D9D9" w:themeFill="background1" w:themeFillShade="D9"/>
            <w:vAlign w:val="center"/>
          </w:tcPr>
          <w:p w14:paraId="5B956972" w14:textId="24642525"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35 748 426</w:t>
            </w:r>
          </w:p>
        </w:tc>
        <w:tc>
          <w:tcPr>
            <w:tcW w:w="889" w:type="dxa"/>
            <w:shd w:val="clear" w:color="auto" w:fill="D9D9D9" w:themeFill="background1" w:themeFillShade="D9"/>
            <w:vAlign w:val="center"/>
          </w:tcPr>
          <w:p w14:paraId="0DFB2916" w14:textId="7361108E" w:rsidR="00953951" w:rsidRPr="00953951" w:rsidRDefault="00953951">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799 982 338</w:t>
            </w:r>
          </w:p>
        </w:tc>
        <w:tc>
          <w:tcPr>
            <w:tcW w:w="889" w:type="dxa"/>
            <w:shd w:val="clear" w:color="auto" w:fill="D9D9D9" w:themeFill="background1" w:themeFillShade="D9"/>
            <w:vAlign w:val="center"/>
          </w:tcPr>
          <w:p w14:paraId="7763EF54" w14:textId="4757A99B"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37 521 523</w:t>
            </w:r>
          </w:p>
        </w:tc>
        <w:tc>
          <w:tcPr>
            <w:tcW w:w="889" w:type="dxa"/>
            <w:shd w:val="clear" w:color="auto" w:fill="D9D9D9" w:themeFill="background1" w:themeFillShade="D9"/>
            <w:vAlign w:val="center"/>
          </w:tcPr>
          <w:p w14:paraId="4FE16E83" w14:textId="39A7DABD"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824 316 514</w:t>
            </w:r>
          </w:p>
        </w:tc>
        <w:tc>
          <w:tcPr>
            <w:tcW w:w="889" w:type="dxa"/>
            <w:shd w:val="clear" w:color="auto" w:fill="D9D9D9" w:themeFill="background1" w:themeFillShade="D9"/>
            <w:vAlign w:val="center"/>
          </w:tcPr>
          <w:p w14:paraId="16598151" w14:textId="09127CBF"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38 985 655</w:t>
            </w:r>
          </w:p>
        </w:tc>
        <w:tc>
          <w:tcPr>
            <w:tcW w:w="889" w:type="dxa"/>
            <w:shd w:val="clear" w:color="auto" w:fill="D9D9D9" w:themeFill="background1" w:themeFillShade="D9"/>
            <w:vAlign w:val="center"/>
          </w:tcPr>
          <w:p w14:paraId="02C2BF38" w14:textId="6BC96CA3"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862 506 906</w:t>
            </w:r>
          </w:p>
        </w:tc>
        <w:tc>
          <w:tcPr>
            <w:tcW w:w="889" w:type="dxa"/>
            <w:shd w:val="clear" w:color="auto" w:fill="D9D9D9" w:themeFill="background1" w:themeFillShade="D9"/>
            <w:vAlign w:val="center"/>
          </w:tcPr>
          <w:p w14:paraId="042E8311" w14:textId="25487245"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40 777 699</w:t>
            </w:r>
          </w:p>
        </w:tc>
        <w:tc>
          <w:tcPr>
            <w:tcW w:w="889" w:type="dxa"/>
            <w:shd w:val="clear" w:color="auto" w:fill="D9D9D9" w:themeFill="background1" w:themeFillShade="D9"/>
            <w:vAlign w:val="center"/>
          </w:tcPr>
          <w:p w14:paraId="0766CDBE" w14:textId="6C166A09"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904 011 586</w:t>
            </w:r>
          </w:p>
        </w:tc>
        <w:tc>
          <w:tcPr>
            <w:tcW w:w="889" w:type="dxa"/>
            <w:shd w:val="clear" w:color="auto" w:fill="D9D9D9" w:themeFill="background1" w:themeFillShade="D9"/>
            <w:vAlign w:val="center"/>
          </w:tcPr>
          <w:p w14:paraId="0DEF9CBA" w14:textId="67549476"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42 734 984</w:t>
            </w:r>
          </w:p>
        </w:tc>
        <w:tc>
          <w:tcPr>
            <w:tcW w:w="889" w:type="dxa"/>
            <w:shd w:val="clear" w:color="auto" w:fill="D9D9D9" w:themeFill="background1" w:themeFillShade="D9"/>
            <w:vAlign w:val="center"/>
          </w:tcPr>
          <w:p w14:paraId="3C5C4452" w14:textId="0CF9CA3A"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925 467 405</w:t>
            </w:r>
          </w:p>
        </w:tc>
        <w:tc>
          <w:tcPr>
            <w:tcW w:w="889" w:type="dxa"/>
            <w:shd w:val="clear" w:color="auto" w:fill="D9D9D9" w:themeFill="background1" w:themeFillShade="D9"/>
            <w:vAlign w:val="center"/>
          </w:tcPr>
          <w:p w14:paraId="3AB5CBF1" w14:textId="32D05314"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224 440 976</w:t>
            </w:r>
          </w:p>
        </w:tc>
        <w:tc>
          <w:tcPr>
            <w:tcW w:w="988" w:type="dxa"/>
            <w:shd w:val="clear" w:color="auto" w:fill="D9D9D9" w:themeFill="background1" w:themeFillShade="D9"/>
            <w:vAlign w:val="center"/>
          </w:tcPr>
          <w:p w14:paraId="6B5DA155" w14:textId="6FAA52E6" w:rsidR="00953951" w:rsidRPr="00953951" w:rsidRDefault="00953951" w:rsidP="00351D17">
            <w:pPr>
              <w:pStyle w:val="Tab"/>
              <w:numPr>
                <w:ilvl w:val="0"/>
                <w:numId w:val="0"/>
              </w:numPr>
              <w:spacing w:before="0"/>
              <w:jc w:val="right"/>
              <w:rPr>
                <w:rFonts w:ascii="Arial Narrow" w:hAnsi="Arial Narrow"/>
                <w:sz w:val="14"/>
                <w:szCs w:val="14"/>
              </w:rPr>
            </w:pPr>
            <w:r w:rsidRPr="00351D17">
              <w:rPr>
                <w:rFonts w:ascii="Arial Narrow" w:hAnsi="Arial Narrow"/>
                <w:sz w:val="14"/>
                <w:szCs w:val="14"/>
              </w:rPr>
              <w:t>5 695 732 032</w:t>
            </w:r>
          </w:p>
        </w:tc>
        <w:tc>
          <w:tcPr>
            <w:tcW w:w="906" w:type="dxa"/>
            <w:shd w:val="clear" w:color="auto" w:fill="D9D9D9" w:themeFill="background1" w:themeFillShade="D9"/>
            <w:vAlign w:val="center"/>
          </w:tcPr>
          <w:p w14:paraId="02033058" w14:textId="7D0FE26E" w:rsidR="00953951" w:rsidRPr="00953951" w:rsidRDefault="0051145C" w:rsidP="0051145C">
            <w:pPr>
              <w:pStyle w:val="Tab"/>
              <w:numPr>
                <w:ilvl w:val="0"/>
                <w:numId w:val="0"/>
              </w:numPr>
              <w:spacing w:before="0"/>
              <w:jc w:val="right"/>
              <w:rPr>
                <w:rFonts w:ascii="Arial Narrow" w:hAnsi="Arial Narrow"/>
                <w:sz w:val="14"/>
                <w:szCs w:val="14"/>
              </w:rPr>
            </w:pPr>
            <w:r>
              <w:rPr>
                <w:rFonts w:ascii="Arial Narrow" w:hAnsi="Arial Narrow"/>
                <w:sz w:val="14"/>
                <w:szCs w:val="14"/>
              </w:rPr>
              <w:t>454 205 579</w:t>
            </w:r>
          </w:p>
        </w:tc>
      </w:tr>
    </w:tbl>
    <w:p w14:paraId="0B2AC274" w14:textId="77777777" w:rsidR="0079492E" w:rsidRDefault="0079492E" w:rsidP="0079492E"/>
    <w:p w14:paraId="02728C8C" w14:textId="77777777" w:rsidR="0079492E" w:rsidRPr="0079492E" w:rsidRDefault="0079492E" w:rsidP="0079492E"/>
    <w:p w14:paraId="7F86975E" w14:textId="77777777" w:rsidR="0079492E" w:rsidRDefault="0079492E" w:rsidP="00550C65">
      <w:pPr>
        <w:pStyle w:val="Nadpis2"/>
        <w:spacing w:before="240"/>
        <w:jc w:val="both"/>
        <w:sectPr w:rsidR="0079492E" w:rsidSect="002E2353">
          <w:headerReference w:type="default" r:id="rId37"/>
          <w:footerReference w:type="default" r:id="rId38"/>
          <w:pgSz w:w="16838" w:h="11906" w:orient="landscape" w:code="9"/>
          <w:pgMar w:top="2041" w:right="1304" w:bottom="1474" w:left="1304" w:header="1474" w:footer="709" w:gutter="0"/>
          <w:cols w:space="708"/>
          <w:docGrid w:linePitch="360"/>
        </w:sectPr>
      </w:pPr>
      <w:bookmarkStart w:id="146" w:name="_Toc383209140"/>
      <w:bookmarkStart w:id="147" w:name="_Toc383236554"/>
    </w:p>
    <w:p w14:paraId="696A0069" w14:textId="77777777" w:rsidR="0079492E" w:rsidRDefault="0079492E" w:rsidP="002C1444">
      <w:pPr>
        <w:pStyle w:val="Nadpis2"/>
        <w:tabs>
          <w:tab w:val="clear" w:pos="709"/>
          <w:tab w:val="clear" w:pos="851"/>
        </w:tabs>
        <w:spacing w:before="240"/>
        <w:jc w:val="both"/>
      </w:pPr>
      <w:bookmarkStart w:id="148" w:name="_Toc28951676"/>
      <w:r w:rsidRPr="00273CD8">
        <w:lastRenderedPageBreak/>
        <w:t xml:space="preserve">Finančný plán </w:t>
      </w:r>
      <w:r>
        <w:t xml:space="preserve">operačného programu, ktorý stanovuje celkovú výšku finančných prostriedkov na programové obdobie 2014 – 2020 z každého fondu ako aj </w:t>
      </w:r>
      <w:r w:rsidRPr="001D46C6">
        <w:t xml:space="preserve">výšku národného spolufinancovania na úrovni programu a jednotlivých prioritných osí </w:t>
      </w:r>
      <w:r w:rsidRPr="00273CD8">
        <w:t>(EUR)</w:t>
      </w:r>
      <w:bookmarkEnd w:id="146"/>
      <w:bookmarkEnd w:id="147"/>
      <w:bookmarkEnd w:id="148"/>
    </w:p>
    <w:p w14:paraId="229EB874" w14:textId="77777777" w:rsidR="0079492E" w:rsidRPr="00C63BEC" w:rsidRDefault="0084414B" w:rsidP="002A3D53">
      <w:pPr>
        <w:pStyle w:val="Tab"/>
      </w:pPr>
      <w:r w:rsidRPr="00C63BEC">
        <w:t>Finančný plán operačného programu</w:t>
      </w:r>
    </w:p>
    <w:tbl>
      <w:tblPr>
        <w:tblW w:w="15077" w:type="dxa"/>
        <w:tblInd w:w="-244" w:type="dxa"/>
        <w:tblBorders>
          <w:top w:val="single" w:sz="6" w:space="0" w:color="auto"/>
          <w:left w:val="single" w:sz="6" w:space="0" w:color="auto"/>
          <w:bottom w:val="single" w:sz="6" w:space="0" w:color="auto"/>
          <w:right w:val="single" w:sz="6" w:space="0" w:color="auto"/>
          <w:insideH w:val="single" w:sz="4" w:space="0" w:color="auto"/>
          <w:insideV w:val="single" w:sz="6" w:space="0" w:color="auto"/>
        </w:tblBorders>
        <w:tblLayout w:type="fixed"/>
        <w:tblCellMar>
          <w:left w:w="40" w:type="dxa"/>
          <w:right w:w="40" w:type="dxa"/>
        </w:tblCellMar>
        <w:tblLook w:val="0000" w:firstRow="0" w:lastRow="0" w:firstColumn="0" w:lastColumn="0" w:noHBand="0" w:noVBand="0"/>
      </w:tblPr>
      <w:tblGrid>
        <w:gridCol w:w="704"/>
        <w:gridCol w:w="530"/>
        <w:gridCol w:w="879"/>
        <w:gridCol w:w="1194"/>
        <w:gridCol w:w="1068"/>
        <w:gridCol w:w="1057"/>
        <w:gridCol w:w="965"/>
        <w:gridCol w:w="980"/>
        <w:gridCol w:w="1148"/>
        <w:gridCol w:w="728"/>
        <w:gridCol w:w="784"/>
        <w:gridCol w:w="1080"/>
        <w:gridCol w:w="1023"/>
        <w:gridCol w:w="992"/>
        <w:gridCol w:w="952"/>
        <w:gridCol w:w="993"/>
      </w:tblGrid>
      <w:tr w:rsidR="0084414B" w:rsidRPr="00001F01" w14:paraId="570B4C2A" w14:textId="77777777" w:rsidTr="00A46625">
        <w:trPr>
          <w:trHeight w:val="492"/>
        </w:trPr>
        <w:tc>
          <w:tcPr>
            <w:tcW w:w="704" w:type="dxa"/>
            <w:vMerge w:val="restart"/>
            <w:shd w:val="clear" w:color="auto" w:fill="C6D9F1" w:themeFill="text2" w:themeFillTint="33"/>
            <w:vAlign w:val="center"/>
          </w:tcPr>
          <w:p w14:paraId="3E16FABB" w14:textId="77777777" w:rsidR="0084414B" w:rsidRPr="00001F01" w:rsidRDefault="0084414B" w:rsidP="00A46625">
            <w:pPr>
              <w:pStyle w:val="Style30"/>
              <w:widowControl/>
              <w:rPr>
                <w:rFonts w:ascii="Arial Narrow" w:hAnsi="Arial Narrow"/>
                <w:sz w:val="14"/>
                <w:szCs w:val="14"/>
              </w:rPr>
            </w:pPr>
            <w:r w:rsidRPr="00001F01">
              <w:rPr>
                <w:rFonts w:ascii="Arial Narrow" w:hAnsi="Arial Narrow"/>
                <w:sz w:val="14"/>
                <w:szCs w:val="14"/>
              </w:rPr>
              <w:t xml:space="preserve">Prioritná </w:t>
            </w:r>
          </w:p>
          <w:p w14:paraId="129DA171" w14:textId="77777777" w:rsidR="0084414B" w:rsidRPr="00001F01" w:rsidRDefault="0084414B" w:rsidP="00A46625">
            <w:pPr>
              <w:pStyle w:val="Style30"/>
              <w:widowControl/>
              <w:rPr>
                <w:rFonts w:ascii="Arial Narrow" w:hAnsi="Arial Narrow"/>
                <w:sz w:val="14"/>
                <w:szCs w:val="14"/>
              </w:rPr>
            </w:pPr>
            <w:r w:rsidRPr="00001F01">
              <w:rPr>
                <w:rFonts w:ascii="Arial Narrow" w:hAnsi="Arial Narrow"/>
                <w:sz w:val="14"/>
                <w:szCs w:val="14"/>
              </w:rPr>
              <w:t>os</w:t>
            </w:r>
          </w:p>
        </w:tc>
        <w:tc>
          <w:tcPr>
            <w:tcW w:w="530" w:type="dxa"/>
            <w:vMerge w:val="restart"/>
            <w:shd w:val="clear" w:color="auto" w:fill="C6D9F1" w:themeFill="text2" w:themeFillTint="33"/>
            <w:vAlign w:val="center"/>
          </w:tcPr>
          <w:p w14:paraId="444726CB"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Fond</w:t>
            </w:r>
          </w:p>
        </w:tc>
        <w:tc>
          <w:tcPr>
            <w:tcW w:w="879" w:type="dxa"/>
            <w:vMerge w:val="restart"/>
            <w:shd w:val="clear" w:color="auto" w:fill="C6D9F1" w:themeFill="text2" w:themeFillTint="33"/>
            <w:vAlign w:val="center"/>
          </w:tcPr>
          <w:p w14:paraId="78A8232B"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Kategória regiónov</w:t>
            </w:r>
          </w:p>
        </w:tc>
        <w:tc>
          <w:tcPr>
            <w:tcW w:w="1194" w:type="dxa"/>
            <w:vMerge w:val="restart"/>
            <w:shd w:val="clear" w:color="auto" w:fill="C6D9F1" w:themeFill="text2" w:themeFillTint="33"/>
            <w:vAlign w:val="center"/>
          </w:tcPr>
          <w:p w14:paraId="655A1843"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Základ pre výpočet podpory EÚ</w:t>
            </w:r>
          </w:p>
          <w:p w14:paraId="4C61B50E" w14:textId="77777777" w:rsidR="0084414B" w:rsidRPr="00001F01" w:rsidRDefault="0084414B" w:rsidP="00A46625">
            <w:pPr>
              <w:pStyle w:val="Style24"/>
              <w:widowControl/>
              <w:spacing w:line="192" w:lineRule="exact"/>
              <w:jc w:val="center"/>
              <w:rPr>
                <w:rStyle w:val="FontStyle88"/>
                <w:rFonts w:ascii="Arial Narrow" w:hAnsi="Arial Narrow"/>
                <w:lang w:eastAsia="en-US"/>
              </w:rPr>
            </w:pPr>
            <w:r w:rsidRPr="00001F01">
              <w:rPr>
                <w:rStyle w:val="FontStyle88"/>
                <w:rFonts w:ascii="Arial Narrow" w:hAnsi="Arial Narrow"/>
                <w:lang w:eastAsia="en-US"/>
              </w:rPr>
              <w:t>(celkové oprávnené výdavky, alebo verejné oprávnené výdavky)</w:t>
            </w:r>
          </w:p>
        </w:tc>
        <w:tc>
          <w:tcPr>
            <w:tcW w:w="1068" w:type="dxa"/>
            <w:vMerge w:val="restart"/>
            <w:shd w:val="clear" w:color="auto" w:fill="C6D9F1" w:themeFill="text2" w:themeFillTint="33"/>
            <w:vAlign w:val="center"/>
          </w:tcPr>
          <w:p w14:paraId="5B6BB772"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Podpora EÚ</w:t>
            </w:r>
          </w:p>
        </w:tc>
        <w:tc>
          <w:tcPr>
            <w:tcW w:w="1057" w:type="dxa"/>
            <w:vMerge w:val="restart"/>
            <w:shd w:val="clear" w:color="auto" w:fill="C6D9F1" w:themeFill="text2" w:themeFillTint="33"/>
            <w:vAlign w:val="center"/>
          </w:tcPr>
          <w:p w14:paraId="4E6976B1"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spolufinancovanie</w:t>
            </w:r>
          </w:p>
        </w:tc>
        <w:tc>
          <w:tcPr>
            <w:tcW w:w="1945" w:type="dxa"/>
            <w:gridSpan w:val="2"/>
            <w:shd w:val="clear" w:color="auto" w:fill="C6D9F1" w:themeFill="text2" w:themeFillTint="33"/>
            <w:vAlign w:val="center"/>
          </w:tcPr>
          <w:p w14:paraId="3EFB3BD1"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Indikatívne členenie národného spolufinancovania</w:t>
            </w:r>
          </w:p>
        </w:tc>
        <w:tc>
          <w:tcPr>
            <w:tcW w:w="1148" w:type="dxa"/>
            <w:vMerge w:val="restart"/>
            <w:shd w:val="clear" w:color="auto" w:fill="C6D9F1" w:themeFill="text2" w:themeFillTint="33"/>
            <w:vAlign w:val="center"/>
          </w:tcPr>
          <w:p w14:paraId="4732A0C2"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Celkové </w:t>
            </w:r>
          </w:p>
          <w:p w14:paraId="7C4E1887"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financovanie</w:t>
            </w:r>
          </w:p>
        </w:tc>
        <w:tc>
          <w:tcPr>
            <w:tcW w:w="728" w:type="dxa"/>
            <w:vMerge w:val="restart"/>
            <w:shd w:val="clear" w:color="auto" w:fill="C6D9F1" w:themeFill="text2" w:themeFillTint="33"/>
            <w:vAlign w:val="center"/>
          </w:tcPr>
          <w:p w14:paraId="5B0FDC04"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Miera spolufinancovania</w:t>
            </w:r>
          </w:p>
        </w:tc>
        <w:tc>
          <w:tcPr>
            <w:tcW w:w="784" w:type="dxa"/>
            <w:shd w:val="clear" w:color="auto" w:fill="C6D9F1" w:themeFill="text2" w:themeFillTint="33"/>
            <w:vAlign w:val="center"/>
          </w:tcPr>
          <w:p w14:paraId="0A7871BA"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Pre</w:t>
            </w:r>
          </w:p>
          <w:p w14:paraId="49AFB21A"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informácie</w:t>
            </w:r>
          </w:p>
        </w:tc>
        <w:tc>
          <w:tcPr>
            <w:tcW w:w="2103" w:type="dxa"/>
            <w:gridSpan w:val="2"/>
            <w:shd w:val="clear" w:color="auto" w:fill="C6D9F1" w:themeFill="text2" w:themeFillTint="33"/>
            <w:vAlign w:val="center"/>
          </w:tcPr>
          <w:p w14:paraId="74507EDC"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Hlavná alokácia</w:t>
            </w:r>
          </w:p>
        </w:tc>
        <w:tc>
          <w:tcPr>
            <w:tcW w:w="1944" w:type="dxa"/>
            <w:gridSpan w:val="2"/>
            <w:shd w:val="clear" w:color="auto" w:fill="C6D9F1" w:themeFill="text2" w:themeFillTint="33"/>
            <w:vAlign w:val="center"/>
          </w:tcPr>
          <w:p w14:paraId="4F1FC1F2"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Výkonnostná rezerva</w:t>
            </w:r>
          </w:p>
        </w:tc>
        <w:tc>
          <w:tcPr>
            <w:tcW w:w="993" w:type="dxa"/>
            <w:vMerge w:val="restart"/>
            <w:shd w:val="clear" w:color="auto" w:fill="C6D9F1" w:themeFill="text2" w:themeFillTint="33"/>
            <w:vAlign w:val="center"/>
          </w:tcPr>
          <w:p w14:paraId="10603CDB"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Fonts w:ascii="Arial Narrow" w:hAnsi="Arial Narrow"/>
                <w:sz w:val="14"/>
                <w:szCs w:val="14"/>
                <w:lang w:eastAsia="en-US"/>
              </w:rPr>
              <w:t>Podiel výkonnostnej rezervy (podpora EÚ) na celkovej podpore EÚ pre prioritnú</w:t>
            </w:r>
            <w:r>
              <w:rPr>
                <w:rFonts w:ascii="Arial Narrow" w:hAnsi="Arial Narrow"/>
                <w:sz w:val="14"/>
                <w:szCs w:val="14"/>
                <w:lang w:eastAsia="en-US"/>
              </w:rPr>
              <w:t xml:space="preserve"> os</w:t>
            </w:r>
          </w:p>
        </w:tc>
      </w:tr>
      <w:tr w:rsidR="0084414B" w:rsidRPr="00001F01" w14:paraId="0A5D7738" w14:textId="77777777" w:rsidTr="00A46625">
        <w:trPr>
          <w:trHeight w:val="144"/>
        </w:trPr>
        <w:tc>
          <w:tcPr>
            <w:tcW w:w="704" w:type="dxa"/>
            <w:vMerge/>
            <w:shd w:val="clear" w:color="auto" w:fill="C6D9F1" w:themeFill="text2" w:themeFillTint="33"/>
          </w:tcPr>
          <w:p w14:paraId="6775C058" w14:textId="77777777" w:rsidR="0084414B" w:rsidRPr="00001F01" w:rsidRDefault="0084414B" w:rsidP="00A46625">
            <w:pPr>
              <w:rPr>
                <w:rStyle w:val="FontStyle88"/>
                <w:rFonts w:ascii="Arial Narrow" w:hAnsi="Arial Narrow"/>
                <w:lang w:eastAsia="en-US"/>
              </w:rPr>
            </w:pPr>
          </w:p>
        </w:tc>
        <w:tc>
          <w:tcPr>
            <w:tcW w:w="530" w:type="dxa"/>
            <w:vMerge/>
            <w:shd w:val="clear" w:color="auto" w:fill="C6D9F1" w:themeFill="text2" w:themeFillTint="33"/>
          </w:tcPr>
          <w:p w14:paraId="2B60EF0C" w14:textId="77777777" w:rsidR="0084414B" w:rsidRPr="00001F01" w:rsidRDefault="0084414B" w:rsidP="00A46625">
            <w:pPr>
              <w:pStyle w:val="Style30"/>
              <w:widowControl/>
              <w:rPr>
                <w:rFonts w:ascii="Arial Narrow" w:hAnsi="Arial Narrow"/>
                <w:sz w:val="14"/>
                <w:szCs w:val="14"/>
              </w:rPr>
            </w:pPr>
          </w:p>
        </w:tc>
        <w:tc>
          <w:tcPr>
            <w:tcW w:w="879" w:type="dxa"/>
            <w:vMerge/>
            <w:shd w:val="clear" w:color="auto" w:fill="C6D9F1" w:themeFill="text2" w:themeFillTint="33"/>
            <w:vAlign w:val="center"/>
          </w:tcPr>
          <w:p w14:paraId="40BF7B99" w14:textId="77777777" w:rsidR="0084414B" w:rsidRPr="00001F01" w:rsidRDefault="0084414B" w:rsidP="00A46625">
            <w:pPr>
              <w:pStyle w:val="Style30"/>
              <w:widowControl/>
              <w:jc w:val="center"/>
              <w:rPr>
                <w:rFonts w:ascii="Arial Narrow" w:hAnsi="Arial Narrow"/>
                <w:sz w:val="14"/>
                <w:szCs w:val="14"/>
              </w:rPr>
            </w:pPr>
          </w:p>
        </w:tc>
        <w:tc>
          <w:tcPr>
            <w:tcW w:w="1194" w:type="dxa"/>
            <w:vMerge/>
            <w:shd w:val="clear" w:color="auto" w:fill="C6D9F1" w:themeFill="text2" w:themeFillTint="33"/>
          </w:tcPr>
          <w:p w14:paraId="0CF56710" w14:textId="77777777" w:rsidR="0084414B" w:rsidRPr="00001F01" w:rsidRDefault="0084414B" w:rsidP="00A46625">
            <w:pPr>
              <w:pStyle w:val="Style30"/>
              <w:widowControl/>
              <w:rPr>
                <w:rFonts w:ascii="Arial Narrow" w:hAnsi="Arial Narrow"/>
                <w:sz w:val="14"/>
                <w:szCs w:val="14"/>
              </w:rPr>
            </w:pPr>
          </w:p>
        </w:tc>
        <w:tc>
          <w:tcPr>
            <w:tcW w:w="1068" w:type="dxa"/>
            <w:vMerge/>
            <w:shd w:val="clear" w:color="auto" w:fill="C6D9F1" w:themeFill="text2" w:themeFillTint="33"/>
          </w:tcPr>
          <w:p w14:paraId="3D7F996B" w14:textId="77777777" w:rsidR="0084414B" w:rsidRPr="00001F01" w:rsidRDefault="0084414B" w:rsidP="00A46625">
            <w:pPr>
              <w:pStyle w:val="Style30"/>
              <w:widowControl/>
              <w:rPr>
                <w:rFonts w:ascii="Arial Narrow" w:hAnsi="Arial Narrow"/>
                <w:sz w:val="14"/>
                <w:szCs w:val="14"/>
              </w:rPr>
            </w:pPr>
          </w:p>
        </w:tc>
        <w:tc>
          <w:tcPr>
            <w:tcW w:w="1057" w:type="dxa"/>
            <w:vMerge/>
            <w:shd w:val="clear" w:color="auto" w:fill="C6D9F1" w:themeFill="text2" w:themeFillTint="33"/>
            <w:vAlign w:val="center"/>
          </w:tcPr>
          <w:p w14:paraId="632D7815" w14:textId="77777777" w:rsidR="0084414B" w:rsidRPr="00001F01" w:rsidRDefault="0084414B" w:rsidP="00A46625">
            <w:pPr>
              <w:pStyle w:val="Style30"/>
              <w:widowControl/>
              <w:jc w:val="center"/>
              <w:rPr>
                <w:rFonts w:ascii="Arial Narrow" w:hAnsi="Arial Narrow"/>
                <w:sz w:val="14"/>
                <w:szCs w:val="14"/>
              </w:rPr>
            </w:pPr>
          </w:p>
        </w:tc>
        <w:tc>
          <w:tcPr>
            <w:tcW w:w="965" w:type="dxa"/>
            <w:shd w:val="clear" w:color="auto" w:fill="C6D9F1" w:themeFill="text2" w:themeFillTint="33"/>
            <w:vAlign w:val="center"/>
          </w:tcPr>
          <w:p w14:paraId="6264B224"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Národné </w:t>
            </w:r>
          </w:p>
          <w:p w14:paraId="4C12FA3A"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verejné financovanie</w:t>
            </w:r>
          </w:p>
        </w:tc>
        <w:tc>
          <w:tcPr>
            <w:tcW w:w="980" w:type="dxa"/>
            <w:shd w:val="clear" w:color="auto" w:fill="C6D9F1" w:themeFill="text2" w:themeFillTint="33"/>
            <w:vAlign w:val="center"/>
          </w:tcPr>
          <w:p w14:paraId="0F16532C"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Národné </w:t>
            </w:r>
          </w:p>
          <w:p w14:paraId="66817920"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súkromné financovanie</w:t>
            </w:r>
          </w:p>
        </w:tc>
        <w:tc>
          <w:tcPr>
            <w:tcW w:w="1148" w:type="dxa"/>
            <w:vMerge/>
            <w:shd w:val="clear" w:color="auto" w:fill="C6D9F1" w:themeFill="text2" w:themeFillTint="33"/>
            <w:vAlign w:val="center"/>
          </w:tcPr>
          <w:p w14:paraId="1010BF08" w14:textId="77777777" w:rsidR="0084414B" w:rsidRPr="00001F01" w:rsidRDefault="0084414B" w:rsidP="00A46625">
            <w:pPr>
              <w:pStyle w:val="Style30"/>
              <w:widowControl/>
              <w:jc w:val="center"/>
              <w:rPr>
                <w:rFonts w:ascii="Arial Narrow" w:hAnsi="Arial Narrow"/>
                <w:sz w:val="14"/>
                <w:szCs w:val="14"/>
              </w:rPr>
            </w:pPr>
          </w:p>
        </w:tc>
        <w:tc>
          <w:tcPr>
            <w:tcW w:w="728" w:type="dxa"/>
            <w:vMerge/>
            <w:shd w:val="clear" w:color="auto" w:fill="C6D9F1" w:themeFill="text2" w:themeFillTint="33"/>
          </w:tcPr>
          <w:p w14:paraId="6D7D59CA" w14:textId="77777777" w:rsidR="0084414B" w:rsidRPr="00001F01" w:rsidRDefault="0084414B" w:rsidP="00A46625">
            <w:pPr>
              <w:pStyle w:val="Style30"/>
              <w:widowControl/>
              <w:rPr>
                <w:rFonts w:ascii="Arial Narrow" w:hAnsi="Arial Narrow"/>
                <w:sz w:val="14"/>
                <w:szCs w:val="14"/>
              </w:rPr>
            </w:pPr>
          </w:p>
        </w:tc>
        <w:tc>
          <w:tcPr>
            <w:tcW w:w="784" w:type="dxa"/>
            <w:shd w:val="clear" w:color="auto" w:fill="C6D9F1" w:themeFill="text2" w:themeFillTint="33"/>
            <w:vAlign w:val="center"/>
          </w:tcPr>
          <w:p w14:paraId="7CEA89F3"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Príspevky </w:t>
            </w:r>
          </w:p>
          <w:p w14:paraId="4CBB1AF3"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EIB</w:t>
            </w:r>
          </w:p>
        </w:tc>
        <w:tc>
          <w:tcPr>
            <w:tcW w:w="1080" w:type="dxa"/>
            <w:shd w:val="clear" w:color="auto" w:fill="C6D9F1" w:themeFill="text2" w:themeFillTint="33"/>
            <w:vAlign w:val="center"/>
          </w:tcPr>
          <w:p w14:paraId="4105B6DE"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Podpora </w:t>
            </w:r>
          </w:p>
          <w:p w14:paraId="13452D48"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EÚ</w:t>
            </w:r>
          </w:p>
        </w:tc>
        <w:tc>
          <w:tcPr>
            <w:tcW w:w="1023" w:type="dxa"/>
            <w:shd w:val="clear" w:color="auto" w:fill="C6D9F1" w:themeFill="text2" w:themeFillTint="33"/>
            <w:vAlign w:val="center"/>
          </w:tcPr>
          <w:p w14:paraId="5FE6D355"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spolufinancovanie</w:t>
            </w:r>
          </w:p>
        </w:tc>
        <w:tc>
          <w:tcPr>
            <w:tcW w:w="992" w:type="dxa"/>
            <w:shd w:val="clear" w:color="auto" w:fill="C6D9F1" w:themeFill="text2" w:themeFillTint="33"/>
            <w:vAlign w:val="center"/>
          </w:tcPr>
          <w:p w14:paraId="35465C37"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Podpora </w:t>
            </w:r>
          </w:p>
          <w:p w14:paraId="674C78E1"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EÚ</w:t>
            </w:r>
          </w:p>
        </w:tc>
        <w:tc>
          <w:tcPr>
            <w:tcW w:w="952" w:type="dxa"/>
            <w:shd w:val="clear" w:color="auto" w:fill="C6D9F1" w:themeFill="text2" w:themeFillTint="33"/>
            <w:vAlign w:val="center"/>
          </w:tcPr>
          <w:p w14:paraId="7BC633D7" w14:textId="77777777" w:rsidR="0084414B"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w:t>
            </w:r>
            <w:r>
              <w:rPr>
                <w:rStyle w:val="FontStyle88"/>
                <w:rFonts w:ascii="Arial Narrow" w:hAnsi="Arial Narrow"/>
                <w:lang w:eastAsia="en-US"/>
              </w:rPr>
              <w:t>-</w:t>
            </w:r>
          </w:p>
          <w:p w14:paraId="7DBFB2B7"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vanie</w:t>
            </w:r>
          </w:p>
        </w:tc>
        <w:tc>
          <w:tcPr>
            <w:tcW w:w="993" w:type="dxa"/>
            <w:vMerge/>
            <w:shd w:val="clear" w:color="auto" w:fill="C6D9F1" w:themeFill="text2" w:themeFillTint="33"/>
          </w:tcPr>
          <w:p w14:paraId="3E38212C" w14:textId="77777777" w:rsidR="0084414B" w:rsidRPr="00001F01" w:rsidRDefault="0084414B" w:rsidP="00A46625">
            <w:pPr>
              <w:pStyle w:val="Style24"/>
              <w:widowControl/>
              <w:jc w:val="center"/>
              <w:rPr>
                <w:rStyle w:val="FontStyle88"/>
                <w:rFonts w:ascii="Arial Narrow" w:hAnsi="Arial Narrow"/>
                <w:lang w:eastAsia="en-US"/>
              </w:rPr>
            </w:pPr>
          </w:p>
        </w:tc>
      </w:tr>
      <w:tr w:rsidR="0084414B" w:rsidRPr="00001F01" w14:paraId="23BECC73" w14:textId="77777777" w:rsidTr="00A46625">
        <w:trPr>
          <w:trHeight w:val="284"/>
        </w:trPr>
        <w:tc>
          <w:tcPr>
            <w:tcW w:w="704" w:type="dxa"/>
            <w:shd w:val="clear" w:color="auto" w:fill="C6D9F1" w:themeFill="text2" w:themeFillTint="33"/>
            <w:vAlign w:val="center"/>
          </w:tcPr>
          <w:p w14:paraId="3EB357D7" w14:textId="77777777" w:rsidR="0084414B" w:rsidRPr="00001F01" w:rsidRDefault="0084414B" w:rsidP="00A46625">
            <w:pPr>
              <w:jc w:val="center"/>
              <w:rPr>
                <w:rStyle w:val="FontStyle88"/>
                <w:rFonts w:ascii="Arial Narrow" w:hAnsi="Arial Narrow"/>
                <w:lang w:eastAsia="en-US"/>
              </w:rPr>
            </w:pPr>
          </w:p>
        </w:tc>
        <w:tc>
          <w:tcPr>
            <w:tcW w:w="530" w:type="dxa"/>
            <w:shd w:val="clear" w:color="auto" w:fill="C6D9F1" w:themeFill="text2" w:themeFillTint="33"/>
            <w:vAlign w:val="center"/>
          </w:tcPr>
          <w:p w14:paraId="013DAB4D" w14:textId="77777777" w:rsidR="0084414B" w:rsidRPr="00001F01" w:rsidRDefault="0084414B" w:rsidP="00A46625">
            <w:pPr>
              <w:pStyle w:val="Style30"/>
              <w:widowControl/>
              <w:jc w:val="center"/>
              <w:rPr>
                <w:rFonts w:ascii="Arial Narrow" w:hAnsi="Arial Narrow"/>
                <w:sz w:val="14"/>
                <w:szCs w:val="14"/>
              </w:rPr>
            </w:pPr>
          </w:p>
        </w:tc>
        <w:tc>
          <w:tcPr>
            <w:tcW w:w="879" w:type="dxa"/>
            <w:shd w:val="clear" w:color="auto" w:fill="C6D9F1" w:themeFill="text2" w:themeFillTint="33"/>
            <w:vAlign w:val="center"/>
          </w:tcPr>
          <w:p w14:paraId="35E1546F" w14:textId="77777777" w:rsidR="0084414B" w:rsidRPr="00001F01" w:rsidRDefault="0084414B" w:rsidP="00A46625">
            <w:pPr>
              <w:pStyle w:val="Style30"/>
              <w:widowControl/>
              <w:jc w:val="center"/>
              <w:rPr>
                <w:rFonts w:ascii="Arial Narrow" w:hAnsi="Arial Narrow"/>
                <w:sz w:val="14"/>
                <w:szCs w:val="14"/>
              </w:rPr>
            </w:pPr>
          </w:p>
        </w:tc>
        <w:tc>
          <w:tcPr>
            <w:tcW w:w="1194" w:type="dxa"/>
            <w:shd w:val="clear" w:color="auto" w:fill="C6D9F1" w:themeFill="text2" w:themeFillTint="33"/>
            <w:vAlign w:val="center"/>
          </w:tcPr>
          <w:p w14:paraId="2070E74A" w14:textId="77777777" w:rsidR="0084414B" w:rsidRPr="00001F01" w:rsidRDefault="0084414B" w:rsidP="00A46625">
            <w:pPr>
              <w:pStyle w:val="Style30"/>
              <w:widowControl/>
              <w:jc w:val="center"/>
              <w:rPr>
                <w:rFonts w:ascii="Arial Narrow" w:hAnsi="Arial Narrow"/>
                <w:sz w:val="14"/>
                <w:szCs w:val="14"/>
              </w:rPr>
            </w:pPr>
          </w:p>
        </w:tc>
        <w:tc>
          <w:tcPr>
            <w:tcW w:w="1068" w:type="dxa"/>
            <w:shd w:val="clear" w:color="auto" w:fill="C6D9F1" w:themeFill="text2" w:themeFillTint="33"/>
            <w:vAlign w:val="center"/>
          </w:tcPr>
          <w:p w14:paraId="2665D355" w14:textId="77777777"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(a)</w:t>
            </w:r>
          </w:p>
        </w:tc>
        <w:tc>
          <w:tcPr>
            <w:tcW w:w="1057" w:type="dxa"/>
            <w:shd w:val="clear" w:color="auto" w:fill="C6D9F1" w:themeFill="text2" w:themeFillTint="33"/>
            <w:vAlign w:val="center"/>
          </w:tcPr>
          <w:p w14:paraId="2B69285D" w14:textId="77777777"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eastAsia="en-US"/>
              </w:rPr>
              <w:t>(b) = (c) + (d)</w:t>
            </w:r>
          </w:p>
        </w:tc>
        <w:tc>
          <w:tcPr>
            <w:tcW w:w="965" w:type="dxa"/>
            <w:shd w:val="clear" w:color="auto" w:fill="C6D9F1" w:themeFill="text2" w:themeFillTint="33"/>
            <w:vAlign w:val="center"/>
          </w:tcPr>
          <w:p w14:paraId="7C3E525F"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(c)</w:t>
            </w:r>
          </w:p>
        </w:tc>
        <w:tc>
          <w:tcPr>
            <w:tcW w:w="980" w:type="dxa"/>
            <w:shd w:val="clear" w:color="auto" w:fill="C6D9F1" w:themeFill="text2" w:themeFillTint="33"/>
            <w:vAlign w:val="center"/>
          </w:tcPr>
          <w:p w14:paraId="7DEAF780"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(d)</w:t>
            </w:r>
          </w:p>
        </w:tc>
        <w:tc>
          <w:tcPr>
            <w:tcW w:w="1148" w:type="dxa"/>
            <w:shd w:val="clear" w:color="auto" w:fill="C6D9F1" w:themeFill="text2" w:themeFillTint="33"/>
            <w:vAlign w:val="center"/>
          </w:tcPr>
          <w:p w14:paraId="3A25E668" w14:textId="77777777"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val="en-US" w:eastAsia="en-US"/>
              </w:rPr>
              <w:t xml:space="preserve">(e) </w:t>
            </w:r>
            <w:r w:rsidRPr="00001F01">
              <w:rPr>
                <w:rStyle w:val="FontStyle88"/>
                <w:rFonts w:ascii="Arial Narrow" w:hAnsi="Arial Narrow"/>
                <w:i/>
                <w:lang w:eastAsia="en-US"/>
              </w:rPr>
              <w:t>= (a) + (b)</w:t>
            </w:r>
          </w:p>
        </w:tc>
        <w:tc>
          <w:tcPr>
            <w:tcW w:w="728" w:type="dxa"/>
            <w:shd w:val="clear" w:color="auto" w:fill="C6D9F1" w:themeFill="text2" w:themeFillTint="33"/>
            <w:vAlign w:val="center"/>
          </w:tcPr>
          <w:p w14:paraId="5B04F5D4" w14:textId="77777777"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eastAsia="en-US"/>
              </w:rPr>
              <w:t>(f) = (a) / (</w:t>
            </w:r>
            <w:r>
              <w:rPr>
                <w:rStyle w:val="FontStyle88"/>
                <w:rFonts w:ascii="Arial Narrow" w:hAnsi="Arial Narrow"/>
                <w:i/>
                <w:lang w:eastAsia="en-US"/>
              </w:rPr>
              <w:t>e</w:t>
            </w:r>
            <w:r w:rsidRPr="00001F01">
              <w:rPr>
                <w:rStyle w:val="FontStyle88"/>
                <w:rFonts w:ascii="Arial Narrow" w:hAnsi="Arial Narrow"/>
                <w:i/>
                <w:lang w:eastAsia="en-US"/>
              </w:rPr>
              <w:t>)</w:t>
            </w:r>
          </w:p>
        </w:tc>
        <w:tc>
          <w:tcPr>
            <w:tcW w:w="784" w:type="dxa"/>
            <w:shd w:val="clear" w:color="auto" w:fill="C6D9F1" w:themeFill="text2" w:themeFillTint="33"/>
            <w:vAlign w:val="center"/>
          </w:tcPr>
          <w:p w14:paraId="68579BE2"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(g)</w:t>
            </w:r>
          </w:p>
        </w:tc>
        <w:tc>
          <w:tcPr>
            <w:tcW w:w="1080" w:type="dxa"/>
            <w:shd w:val="clear" w:color="auto" w:fill="C6D9F1" w:themeFill="text2" w:themeFillTint="33"/>
            <w:vAlign w:val="center"/>
          </w:tcPr>
          <w:p w14:paraId="04040D17"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(h) = (a) – (j)</w:t>
            </w:r>
          </w:p>
        </w:tc>
        <w:tc>
          <w:tcPr>
            <w:tcW w:w="1023" w:type="dxa"/>
            <w:shd w:val="clear" w:color="auto" w:fill="C6D9F1" w:themeFill="text2" w:themeFillTint="33"/>
            <w:vAlign w:val="center"/>
          </w:tcPr>
          <w:p w14:paraId="2A76D29F"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(i) = (b) – (k)</w:t>
            </w:r>
          </w:p>
        </w:tc>
        <w:tc>
          <w:tcPr>
            <w:tcW w:w="992" w:type="dxa"/>
            <w:shd w:val="clear" w:color="auto" w:fill="C6D9F1" w:themeFill="text2" w:themeFillTint="33"/>
            <w:vAlign w:val="center"/>
          </w:tcPr>
          <w:p w14:paraId="2B7AD822"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(j)</w:t>
            </w:r>
          </w:p>
        </w:tc>
        <w:tc>
          <w:tcPr>
            <w:tcW w:w="952" w:type="dxa"/>
            <w:shd w:val="clear" w:color="auto" w:fill="C6D9F1" w:themeFill="text2" w:themeFillTint="33"/>
            <w:vAlign w:val="center"/>
          </w:tcPr>
          <w:p w14:paraId="22C256F0"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(k)</w:t>
            </w:r>
          </w:p>
        </w:tc>
        <w:tc>
          <w:tcPr>
            <w:tcW w:w="993" w:type="dxa"/>
            <w:shd w:val="clear" w:color="auto" w:fill="C6D9F1" w:themeFill="text2" w:themeFillTint="33"/>
            <w:vAlign w:val="center"/>
          </w:tcPr>
          <w:p w14:paraId="148DECB6"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p>
        </w:tc>
      </w:tr>
      <w:tr w:rsidR="0084414B" w:rsidRPr="00001F01" w14:paraId="38F29693" w14:textId="77777777" w:rsidTr="00A46625">
        <w:trPr>
          <w:trHeight w:val="339"/>
        </w:trPr>
        <w:tc>
          <w:tcPr>
            <w:tcW w:w="704" w:type="dxa"/>
            <w:vAlign w:val="center"/>
          </w:tcPr>
          <w:p w14:paraId="69B61272" w14:textId="77777777" w:rsidR="0084414B" w:rsidRPr="00001F01" w:rsidRDefault="0084414B" w:rsidP="00A46625">
            <w:pPr>
              <w:pStyle w:val="Style52"/>
              <w:widowControl/>
              <w:ind w:left="10" w:hanging="10"/>
              <w:jc w:val="left"/>
              <w:rPr>
                <w:rStyle w:val="FontStyle86"/>
                <w:rFonts w:ascii="Arial Narrow" w:eastAsiaTheme="majorEastAsia" w:hAnsi="Arial Narrow"/>
              </w:rPr>
            </w:pPr>
            <w:r w:rsidRPr="00001F01">
              <w:rPr>
                <w:rStyle w:val="FontStyle86"/>
                <w:rFonts w:ascii="Arial Narrow" w:eastAsiaTheme="majorEastAsia" w:hAnsi="Arial Narrow"/>
              </w:rPr>
              <w:t xml:space="preserve">PO 1 </w:t>
            </w:r>
          </w:p>
        </w:tc>
        <w:tc>
          <w:tcPr>
            <w:tcW w:w="530" w:type="dxa"/>
            <w:vAlign w:val="center"/>
          </w:tcPr>
          <w:p w14:paraId="08EE81E0"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40F9156A" w14:textId="77777777"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14:paraId="2EB74F56" w14:textId="77777777"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96B6930" w14:textId="77777777" w:rsidR="0084414B" w:rsidRPr="00001F01" w:rsidRDefault="0084414B" w:rsidP="00A46625">
            <w:pPr>
              <w:pStyle w:val="Style30"/>
              <w:widowControl/>
              <w:jc w:val="right"/>
              <w:rPr>
                <w:rFonts w:ascii="Arial Narrow" w:hAnsi="Arial Narrow"/>
                <w:sz w:val="14"/>
                <w:szCs w:val="14"/>
              </w:rPr>
            </w:pPr>
            <w:r w:rsidRPr="00522F37">
              <w:rPr>
                <w:rFonts w:ascii="Arial Narrow" w:hAnsi="Arial Narrow"/>
                <w:sz w:val="14"/>
                <w:szCs w:val="14"/>
              </w:rPr>
              <w:t>725 839 166</w:t>
            </w:r>
          </w:p>
        </w:tc>
        <w:tc>
          <w:tcPr>
            <w:tcW w:w="1057" w:type="dxa"/>
            <w:vAlign w:val="center"/>
          </w:tcPr>
          <w:p w14:paraId="38AF3333" w14:textId="77777777" w:rsidR="0084414B" w:rsidRPr="00001F01" w:rsidRDefault="0084414B" w:rsidP="00A46625">
            <w:pPr>
              <w:jc w:val="right"/>
              <w:rPr>
                <w:rFonts w:ascii="Arial Narrow" w:hAnsi="Arial Narrow"/>
                <w:color w:val="000000"/>
                <w:sz w:val="14"/>
                <w:szCs w:val="14"/>
              </w:rPr>
            </w:pPr>
            <w:r w:rsidRPr="00522F37">
              <w:rPr>
                <w:rFonts w:ascii="Arial Narrow" w:hAnsi="Arial Narrow"/>
                <w:color w:val="000000"/>
                <w:sz w:val="14"/>
                <w:szCs w:val="14"/>
              </w:rPr>
              <w:t>128 089 265</w:t>
            </w:r>
          </w:p>
        </w:tc>
        <w:tc>
          <w:tcPr>
            <w:tcW w:w="965" w:type="dxa"/>
            <w:vAlign w:val="center"/>
          </w:tcPr>
          <w:p w14:paraId="344C006C"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128 089 265</w:t>
            </w:r>
          </w:p>
        </w:tc>
        <w:tc>
          <w:tcPr>
            <w:tcW w:w="980" w:type="dxa"/>
            <w:vAlign w:val="center"/>
          </w:tcPr>
          <w:p w14:paraId="62B9015B" w14:textId="77777777"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6E75DCE4" w14:textId="77777777" w:rsidR="0084414B" w:rsidRPr="00001F01" w:rsidRDefault="0084414B" w:rsidP="00A46625">
            <w:pPr>
              <w:jc w:val="right"/>
              <w:rPr>
                <w:rFonts w:ascii="Arial Narrow" w:hAnsi="Arial Narrow"/>
                <w:b/>
                <w:bCs/>
                <w:color w:val="000000"/>
                <w:sz w:val="14"/>
                <w:szCs w:val="14"/>
              </w:rPr>
            </w:pPr>
            <w:r w:rsidRPr="00522F37">
              <w:rPr>
                <w:rFonts w:ascii="Arial Narrow" w:hAnsi="Arial Narrow"/>
                <w:b/>
                <w:bCs/>
                <w:color w:val="000000"/>
                <w:sz w:val="14"/>
                <w:szCs w:val="14"/>
              </w:rPr>
              <w:t>853 928 431</w:t>
            </w:r>
          </w:p>
        </w:tc>
        <w:tc>
          <w:tcPr>
            <w:tcW w:w="728" w:type="dxa"/>
            <w:vAlign w:val="center"/>
          </w:tcPr>
          <w:p w14:paraId="3AA8190E" w14:textId="1ACE70F1" w:rsidR="0084414B" w:rsidRPr="00001F01" w:rsidRDefault="0084414B" w:rsidP="00E61DFB">
            <w:pPr>
              <w:pStyle w:val="Style30"/>
              <w:widowControl/>
              <w:jc w:val="center"/>
              <w:rPr>
                <w:rFonts w:ascii="Arial Narrow" w:hAnsi="Arial Narrow"/>
                <w:sz w:val="14"/>
                <w:szCs w:val="14"/>
                <w:lang w:val="en-US"/>
              </w:rPr>
            </w:pPr>
            <w:r w:rsidRPr="00001F01">
              <w:rPr>
                <w:rFonts w:ascii="Arial Narrow" w:hAnsi="Arial Narrow"/>
                <w:sz w:val="14"/>
                <w:szCs w:val="14"/>
              </w:rPr>
              <w:t>85,0</w:t>
            </w:r>
            <w:r w:rsidR="00E61DFB">
              <w:rPr>
                <w:rFonts w:ascii="Arial Narrow" w:hAnsi="Arial Narrow"/>
                <w:sz w:val="14"/>
                <w:szCs w:val="14"/>
              </w:rPr>
              <w:t>0</w:t>
            </w:r>
            <w:r w:rsidRPr="00001F01">
              <w:rPr>
                <w:rFonts w:ascii="Arial Narrow" w:hAnsi="Arial Narrow"/>
                <w:sz w:val="14"/>
                <w:szCs w:val="14"/>
                <w:lang w:val="en-US"/>
              </w:rPr>
              <w:t>%</w:t>
            </w:r>
          </w:p>
        </w:tc>
        <w:tc>
          <w:tcPr>
            <w:tcW w:w="784" w:type="dxa"/>
            <w:vAlign w:val="center"/>
          </w:tcPr>
          <w:p w14:paraId="5DD5FC3C"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753A74F1" w14:textId="77777777" w:rsidR="0084414B" w:rsidRPr="00001F01" w:rsidRDefault="00771F19" w:rsidP="00A46625">
            <w:pPr>
              <w:jc w:val="right"/>
              <w:rPr>
                <w:rFonts w:ascii="Arial Narrow" w:hAnsi="Arial Narrow"/>
                <w:color w:val="000000"/>
                <w:sz w:val="14"/>
                <w:szCs w:val="14"/>
              </w:rPr>
            </w:pPr>
            <w:r>
              <w:rPr>
                <w:rFonts w:ascii="Arial Narrow" w:hAnsi="Arial Narrow"/>
                <w:color w:val="000000"/>
                <w:sz w:val="14"/>
                <w:szCs w:val="14"/>
              </w:rPr>
              <w:t>682 288 816</w:t>
            </w:r>
          </w:p>
        </w:tc>
        <w:tc>
          <w:tcPr>
            <w:tcW w:w="1023" w:type="dxa"/>
            <w:vAlign w:val="center"/>
          </w:tcPr>
          <w:p w14:paraId="5EA53803"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120 403 909</w:t>
            </w:r>
          </w:p>
        </w:tc>
        <w:tc>
          <w:tcPr>
            <w:tcW w:w="992" w:type="dxa"/>
            <w:vAlign w:val="center"/>
          </w:tcPr>
          <w:p w14:paraId="0362ABAD"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43 550 350</w:t>
            </w:r>
          </w:p>
        </w:tc>
        <w:tc>
          <w:tcPr>
            <w:tcW w:w="952" w:type="dxa"/>
            <w:vAlign w:val="center"/>
          </w:tcPr>
          <w:p w14:paraId="7B60C47D"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7 685 356</w:t>
            </w:r>
          </w:p>
        </w:tc>
        <w:tc>
          <w:tcPr>
            <w:tcW w:w="993" w:type="dxa"/>
            <w:vAlign w:val="center"/>
          </w:tcPr>
          <w:p w14:paraId="4A5EFBE7" w14:textId="77777777" w:rsidR="0084414B" w:rsidRPr="00001F01" w:rsidRDefault="0084414B" w:rsidP="00A46625">
            <w:pPr>
              <w:pStyle w:val="Style30"/>
              <w:widowControl/>
              <w:jc w:val="center"/>
              <w:rPr>
                <w:rFonts w:ascii="Arial Narrow" w:hAnsi="Arial Narrow"/>
                <w:sz w:val="14"/>
                <w:szCs w:val="14"/>
                <w:lang w:val="en-US"/>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14:paraId="16D36F0A" w14:textId="77777777" w:rsidTr="0066678E">
        <w:trPr>
          <w:trHeight w:val="339"/>
        </w:trPr>
        <w:tc>
          <w:tcPr>
            <w:tcW w:w="704" w:type="dxa"/>
            <w:vAlign w:val="center"/>
          </w:tcPr>
          <w:p w14:paraId="4D874E15" w14:textId="77777777" w:rsidR="0084414B" w:rsidRPr="00001F01" w:rsidRDefault="0084414B" w:rsidP="00A46625">
            <w:pPr>
              <w:pStyle w:val="Style52"/>
              <w:widowControl/>
              <w:ind w:left="10" w:hanging="10"/>
              <w:jc w:val="left"/>
              <w:rPr>
                <w:rStyle w:val="FontStyle86"/>
                <w:rFonts w:ascii="Arial Narrow" w:eastAsiaTheme="majorEastAsia" w:hAnsi="Arial Narrow"/>
              </w:rPr>
            </w:pPr>
            <w:r w:rsidRPr="00001F01">
              <w:rPr>
                <w:rStyle w:val="FontStyle86"/>
                <w:rFonts w:ascii="Arial Narrow" w:eastAsiaTheme="majorEastAsia" w:hAnsi="Arial Narrow"/>
              </w:rPr>
              <w:t xml:space="preserve">PO 2 </w:t>
            </w:r>
          </w:p>
        </w:tc>
        <w:tc>
          <w:tcPr>
            <w:tcW w:w="530" w:type="dxa"/>
            <w:vAlign w:val="center"/>
          </w:tcPr>
          <w:p w14:paraId="5ACB5CCF"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46B46197" w14:textId="77777777"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14:paraId="1110C961" w14:textId="77777777"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C0A5AD1" w14:textId="77777777" w:rsidR="0084414B" w:rsidRPr="00001F01" w:rsidRDefault="0084414B" w:rsidP="00A46625">
            <w:pPr>
              <w:pStyle w:val="Style30"/>
              <w:widowControl/>
              <w:jc w:val="right"/>
              <w:rPr>
                <w:rFonts w:ascii="Arial Narrow" w:hAnsi="Arial Narrow"/>
                <w:sz w:val="14"/>
                <w:szCs w:val="14"/>
              </w:rPr>
            </w:pPr>
            <w:r w:rsidRPr="00001F01">
              <w:rPr>
                <w:rFonts w:ascii="Arial Narrow" w:hAnsi="Arial Narrow"/>
                <w:sz w:val="14"/>
                <w:szCs w:val="14"/>
              </w:rPr>
              <w:t>1 142 500 000</w:t>
            </w:r>
          </w:p>
        </w:tc>
        <w:tc>
          <w:tcPr>
            <w:tcW w:w="1057" w:type="dxa"/>
            <w:vAlign w:val="center"/>
          </w:tcPr>
          <w:p w14:paraId="444ACFD4"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201 617 64</w:t>
            </w:r>
            <w:r>
              <w:rPr>
                <w:rFonts w:ascii="Arial Narrow" w:hAnsi="Arial Narrow"/>
                <w:color w:val="000000"/>
                <w:sz w:val="14"/>
                <w:szCs w:val="14"/>
              </w:rPr>
              <w:t>8</w:t>
            </w:r>
          </w:p>
        </w:tc>
        <w:tc>
          <w:tcPr>
            <w:tcW w:w="965" w:type="dxa"/>
            <w:vAlign w:val="center"/>
          </w:tcPr>
          <w:p w14:paraId="0513D1EF"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201 617 64</w:t>
            </w:r>
            <w:r>
              <w:rPr>
                <w:rFonts w:ascii="Arial Narrow" w:hAnsi="Arial Narrow"/>
                <w:color w:val="000000"/>
                <w:sz w:val="14"/>
                <w:szCs w:val="14"/>
              </w:rPr>
              <w:t>8</w:t>
            </w:r>
          </w:p>
        </w:tc>
        <w:tc>
          <w:tcPr>
            <w:tcW w:w="980" w:type="dxa"/>
            <w:vAlign w:val="center"/>
          </w:tcPr>
          <w:p w14:paraId="64697019" w14:textId="77777777"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3BFE6AB7" w14:textId="77777777" w:rsidR="0084414B" w:rsidRPr="00EF14C2" w:rsidRDefault="0084414B" w:rsidP="00A46625">
            <w:pPr>
              <w:jc w:val="right"/>
              <w:rPr>
                <w:rFonts w:ascii="Arial Narrow" w:hAnsi="Arial Narrow"/>
                <w:b/>
                <w:bCs/>
                <w:color w:val="000000"/>
                <w:sz w:val="14"/>
                <w:szCs w:val="14"/>
              </w:rPr>
            </w:pPr>
            <w:r w:rsidRPr="00EF14C2">
              <w:rPr>
                <w:rFonts w:ascii="Arial Narrow" w:hAnsi="Arial Narrow"/>
                <w:b/>
                <w:bCs/>
                <w:color w:val="000000"/>
                <w:sz w:val="14"/>
                <w:szCs w:val="14"/>
              </w:rPr>
              <w:t>1 344 117 648</w:t>
            </w:r>
          </w:p>
        </w:tc>
        <w:tc>
          <w:tcPr>
            <w:tcW w:w="728" w:type="dxa"/>
            <w:vAlign w:val="center"/>
          </w:tcPr>
          <w:p w14:paraId="2A50BD15" w14:textId="43A36C87" w:rsidR="0084414B" w:rsidRPr="00001F01" w:rsidRDefault="0084414B" w:rsidP="00E61DFB">
            <w:pPr>
              <w:pStyle w:val="Style30"/>
              <w:widowControl/>
              <w:jc w:val="center"/>
              <w:rPr>
                <w:rFonts w:ascii="Arial Narrow" w:hAnsi="Arial Narrow"/>
                <w:sz w:val="14"/>
                <w:szCs w:val="14"/>
              </w:rPr>
            </w:pPr>
            <w:r w:rsidRPr="00001F01">
              <w:rPr>
                <w:rFonts w:ascii="Arial Narrow" w:hAnsi="Arial Narrow"/>
                <w:sz w:val="14"/>
                <w:szCs w:val="14"/>
              </w:rPr>
              <w:t>85,0</w:t>
            </w:r>
            <w:r w:rsidR="00E61DFB">
              <w:rPr>
                <w:rFonts w:ascii="Arial Narrow" w:hAnsi="Arial Narrow"/>
                <w:sz w:val="14"/>
                <w:szCs w:val="14"/>
              </w:rPr>
              <w:t>0</w:t>
            </w:r>
            <w:r w:rsidRPr="00001F01">
              <w:rPr>
                <w:rFonts w:ascii="Arial Narrow" w:hAnsi="Arial Narrow"/>
                <w:sz w:val="14"/>
                <w:szCs w:val="14"/>
                <w:lang w:val="en-US"/>
              </w:rPr>
              <w:t>%</w:t>
            </w:r>
          </w:p>
        </w:tc>
        <w:tc>
          <w:tcPr>
            <w:tcW w:w="784" w:type="dxa"/>
            <w:vAlign w:val="center"/>
          </w:tcPr>
          <w:p w14:paraId="767296DB"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251253A9"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1 073 950 000</w:t>
            </w:r>
          </w:p>
        </w:tc>
        <w:tc>
          <w:tcPr>
            <w:tcW w:w="1023" w:type="dxa"/>
            <w:vAlign w:val="center"/>
          </w:tcPr>
          <w:p w14:paraId="4B2036DC"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189 520 58</w:t>
            </w:r>
            <w:r>
              <w:rPr>
                <w:rFonts w:ascii="Arial Narrow" w:hAnsi="Arial Narrow"/>
                <w:color w:val="000000"/>
                <w:sz w:val="14"/>
                <w:szCs w:val="14"/>
              </w:rPr>
              <w:t>9</w:t>
            </w:r>
          </w:p>
        </w:tc>
        <w:tc>
          <w:tcPr>
            <w:tcW w:w="992" w:type="dxa"/>
            <w:vAlign w:val="center"/>
          </w:tcPr>
          <w:p w14:paraId="2DE5862A"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68 550 000</w:t>
            </w:r>
          </w:p>
        </w:tc>
        <w:tc>
          <w:tcPr>
            <w:tcW w:w="952" w:type="dxa"/>
            <w:vAlign w:val="center"/>
          </w:tcPr>
          <w:p w14:paraId="5958D6D8"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12 097 059</w:t>
            </w:r>
          </w:p>
        </w:tc>
        <w:tc>
          <w:tcPr>
            <w:tcW w:w="993" w:type="dxa"/>
            <w:vAlign w:val="center"/>
          </w:tcPr>
          <w:p w14:paraId="4036F14A"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C777BD" w:rsidRPr="00001F01" w14:paraId="79F2192B" w14:textId="77777777" w:rsidTr="00351D17">
        <w:trPr>
          <w:trHeight w:val="339"/>
        </w:trPr>
        <w:tc>
          <w:tcPr>
            <w:tcW w:w="704" w:type="dxa"/>
            <w:vAlign w:val="center"/>
          </w:tcPr>
          <w:p w14:paraId="48578D3A" w14:textId="77777777" w:rsidR="00C777BD" w:rsidRPr="00001F01" w:rsidRDefault="00C777BD" w:rsidP="00C777BD">
            <w:pPr>
              <w:pStyle w:val="Style52"/>
              <w:widowControl/>
              <w:ind w:left="14" w:hanging="14"/>
              <w:jc w:val="left"/>
              <w:rPr>
                <w:rStyle w:val="FontStyle86"/>
                <w:rFonts w:ascii="Arial Narrow" w:eastAsiaTheme="majorEastAsia" w:hAnsi="Arial Narrow"/>
                <w:i w:val="0"/>
              </w:rPr>
            </w:pPr>
            <w:r w:rsidRPr="00001F01">
              <w:rPr>
                <w:rStyle w:val="FontStyle86"/>
                <w:rFonts w:ascii="Arial Narrow" w:eastAsiaTheme="majorEastAsia" w:hAnsi="Arial Narrow"/>
              </w:rPr>
              <w:t>PO 3</w:t>
            </w:r>
          </w:p>
        </w:tc>
        <w:tc>
          <w:tcPr>
            <w:tcW w:w="530" w:type="dxa"/>
            <w:vAlign w:val="center"/>
          </w:tcPr>
          <w:p w14:paraId="61D1C58E" w14:textId="77777777" w:rsidR="00C777BD" w:rsidRPr="00001F01" w:rsidRDefault="00C777BD" w:rsidP="00C777BD">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4794D079" w14:textId="77777777" w:rsidR="00C777BD" w:rsidRPr="00001F01" w:rsidRDefault="00C777BD" w:rsidP="00C777BD">
            <w:pPr>
              <w:pStyle w:val="Style30"/>
              <w:widowControl/>
              <w:jc w:val="center"/>
              <w:rPr>
                <w:rFonts w:ascii="Arial Narrow" w:hAnsi="Arial Narrow"/>
                <w:sz w:val="14"/>
                <w:szCs w:val="14"/>
              </w:rPr>
            </w:pPr>
            <w:r w:rsidRPr="00001F01">
              <w:rPr>
                <w:rFonts w:ascii="Arial Narrow" w:hAnsi="Arial Narrow"/>
                <w:i/>
                <w:sz w:val="14"/>
                <w:szCs w:val="14"/>
              </w:rPr>
              <w:t>N/A</w:t>
            </w:r>
          </w:p>
        </w:tc>
        <w:tc>
          <w:tcPr>
            <w:tcW w:w="1194" w:type="dxa"/>
            <w:vAlign w:val="center"/>
          </w:tcPr>
          <w:p w14:paraId="330E7D69" w14:textId="77777777" w:rsidR="00C777BD" w:rsidRPr="00001F01" w:rsidRDefault="00C777BD" w:rsidP="00C777BD">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DEDFB9C" w14:textId="656E90B1" w:rsidR="00C777BD" w:rsidRPr="005F5239" w:rsidRDefault="00D277F9" w:rsidP="00D277F9">
            <w:pPr>
              <w:pStyle w:val="Style30"/>
              <w:widowControl/>
              <w:jc w:val="right"/>
              <w:rPr>
                <w:rFonts w:ascii="Arial Narrow" w:hAnsi="Arial Narrow"/>
                <w:sz w:val="14"/>
                <w:szCs w:val="14"/>
              </w:rPr>
            </w:pPr>
            <w:r w:rsidRPr="00D277F9">
              <w:rPr>
                <w:rFonts w:ascii="Arial Narrow" w:hAnsi="Arial Narrow"/>
                <w:sz w:val="14"/>
                <w:szCs w:val="14"/>
              </w:rPr>
              <w:t>329</w:t>
            </w:r>
            <w:r>
              <w:rPr>
                <w:rFonts w:ascii="Arial Narrow" w:hAnsi="Arial Narrow"/>
                <w:sz w:val="14"/>
                <w:szCs w:val="14"/>
              </w:rPr>
              <w:t> </w:t>
            </w:r>
            <w:r w:rsidRPr="00D277F9">
              <w:rPr>
                <w:rFonts w:ascii="Arial Narrow" w:hAnsi="Arial Narrow"/>
                <w:sz w:val="14"/>
                <w:szCs w:val="14"/>
              </w:rPr>
              <w:t>337</w:t>
            </w:r>
            <w:r>
              <w:rPr>
                <w:rFonts w:ascii="Arial Narrow" w:hAnsi="Arial Narrow"/>
                <w:sz w:val="14"/>
                <w:szCs w:val="14"/>
              </w:rPr>
              <w:t xml:space="preserve"> </w:t>
            </w:r>
            <w:r w:rsidRPr="00D277F9">
              <w:rPr>
                <w:rFonts w:ascii="Arial Narrow" w:hAnsi="Arial Narrow"/>
                <w:sz w:val="14"/>
                <w:szCs w:val="14"/>
              </w:rPr>
              <w:t>000</w:t>
            </w:r>
          </w:p>
        </w:tc>
        <w:tc>
          <w:tcPr>
            <w:tcW w:w="1057" w:type="dxa"/>
            <w:vAlign w:val="center"/>
          </w:tcPr>
          <w:p w14:paraId="3DDA810A" w14:textId="5DB1C485" w:rsidR="00C777BD" w:rsidRPr="0066678E" w:rsidRDefault="00D277F9" w:rsidP="00D277F9">
            <w:pPr>
              <w:jc w:val="right"/>
              <w:rPr>
                <w:rFonts w:ascii="Arial Narrow" w:hAnsi="Arial Narrow"/>
                <w:sz w:val="14"/>
                <w:szCs w:val="14"/>
              </w:rPr>
            </w:pPr>
            <w:r w:rsidRPr="00D277F9">
              <w:rPr>
                <w:rFonts w:ascii="Arial Narrow" w:hAnsi="Arial Narrow"/>
                <w:sz w:val="14"/>
                <w:szCs w:val="14"/>
              </w:rPr>
              <w:t>58</w:t>
            </w:r>
            <w:r>
              <w:rPr>
                <w:rFonts w:ascii="Arial Narrow" w:hAnsi="Arial Narrow"/>
                <w:sz w:val="14"/>
                <w:szCs w:val="14"/>
              </w:rPr>
              <w:t> </w:t>
            </w:r>
            <w:r w:rsidRPr="00D277F9">
              <w:rPr>
                <w:rFonts w:ascii="Arial Narrow" w:hAnsi="Arial Narrow"/>
                <w:sz w:val="14"/>
                <w:szCs w:val="14"/>
              </w:rPr>
              <w:t>118</w:t>
            </w:r>
            <w:r>
              <w:rPr>
                <w:rFonts w:ascii="Arial Narrow" w:hAnsi="Arial Narrow"/>
                <w:sz w:val="14"/>
                <w:szCs w:val="14"/>
              </w:rPr>
              <w:t xml:space="preserve"> </w:t>
            </w:r>
            <w:r w:rsidRPr="00D277F9">
              <w:rPr>
                <w:rFonts w:ascii="Arial Narrow" w:hAnsi="Arial Narrow"/>
                <w:sz w:val="14"/>
                <w:szCs w:val="14"/>
              </w:rPr>
              <w:t>295</w:t>
            </w:r>
          </w:p>
        </w:tc>
        <w:tc>
          <w:tcPr>
            <w:tcW w:w="965" w:type="dxa"/>
            <w:vAlign w:val="center"/>
          </w:tcPr>
          <w:p w14:paraId="02952FA8" w14:textId="07CD0394" w:rsidR="00C777BD" w:rsidRPr="0066678E" w:rsidRDefault="00D277F9" w:rsidP="00D277F9">
            <w:pPr>
              <w:jc w:val="right"/>
              <w:rPr>
                <w:rFonts w:ascii="Arial Narrow" w:hAnsi="Arial Narrow"/>
                <w:sz w:val="14"/>
                <w:szCs w:val="14"/>
              </w:rPr>
            </w:pPr>
            <w:r w:rsidRPr="00D277F9">
              <w:rPr>
                <w:rFonts w:ascii="Arial Narrow" w:hAnsi="Arial Narrow"/>
                <w:sz w:val="14"/>
                <w:szCs w:val="14"/>
              </w:rPr>
              <w:t>58</w:t>
            </w:r>
            <w:r>
              <w:rPr>
                <w:rFonts w:ascii="Arial Narrow" w:hAnsi="Arial Narrow"/>
                <w:sz w:val="14"/>
                <w:szCs w:val="14"/>
              </w:rPr>
              <w:t> </w:t>
            </w:r>
            <w:r w:rsidRPr="00D277F9">
              <w:rPr>
                <w:rFonts w:ascii="Arial Narrow" w:hAnsi="Arial Narrow"/>
                <w:sz w:val="14"/>
                <w:szCs w:val="14"/>
              </w:rPr>
              <w:t>118</w:t>
            </w:r>
            <w:r>
              <w:rPr>
                <w:rFonts w:ascii="Arial Narrow" w:hAnsi="Arial Narrow"/>
                <w:sz w:val="14"/>
                <w:szCs w:val="14"/>
              </w:rPr>
              <w:t xml:space="preserve"> </w:t>
            </w:r>
            <w:r w:rsidRPr="00D277F9">
              <w:rPr>
                <w:rFonts w:ascii="Arial Narrow" w:hAnsi="Arial Narrow"/>
                <w:sz w:val="14"/>
                <w:szCs w:val="14"/>
              </w:rPr>
              <w:t>295</w:t>
            </w:r>
          </w:p>
        </w:tc>
        <w:tc>
          <w:tcPr>
            <w:tcW w:w="980" w:type="dxa"/>
            <w:vAlign w:val="center"/>
          </w:tcPr>
          <w:p w14:paraId="3051FD66" w14:textId="49BEAE44" w:rsidR="00C777BD" w:rsidRPr="0066678E" w:rsidRDefault="00C777BD" w:rsidP="00C777BD">
            <w:pPr>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547302D4" w14:textId="5F0EEF66" w:rsidR="00C777BD" w:rsidRPr="0066678E" w:rsidRDefault="00D277F9" w:rsidP="00D277F9">
            <w:pPr>
              <w:jc w:val="right"/>
              <w:rPr>
                <w:rFonts w:ascii="Arial Narrow" w:hAnsi="Arial Narrow"/>
                <w:b/>
                <w:sz w:val="14"/>
                <w:szCs w:val="14"/>
              </w:rPr>
            </w:pPr>
            <w:r>
              <w:rPr>
                <w:rFonts w:ascii="Arial Narrow" w:hAnsi="Arial Narrow"/>
                <w:b/>
                <w:sz w:val="14"/>
                <w:szCs w:val="14"/>
              </w:rPr>
              <w:t>387 455 295</w:t>
            </w:r>
          </w:p>
        </w:tc>
        <w:tc>
          <w:tcPr>
            <w:tcW w:w="728" w:type="dxa"/>
            <w:vAlign w:val="center"/>
          </w:tcPr>
          <w:p w14:paraId="5B406883" w14:textId="5BE134E9" w:rsidR="00C777BD" w:rsidRPr="005F5239" w:rsidRDefault="00C777BD" w:rsidP="00C777BD">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50F66033" w14:textId="77777777" w:rsidR="00C777BD" w:rsidRPr="00001F01" w:rsidRDefault="00C777BD" w:rsidP="00C777BD">
            <w:pPr>
              <w:pStyle w:val="Style30"/>
              <w:widowControl/>
              <w:jc w:val="center"/>
              <w:rPr>
                <w:rFonts w:ascii="Arial Narrow" w:hAnsi="Arial Narrow"/>
                <w:sz w:val="14"/>
                <w:szCs w:val="14"/>
              </w:rPr>
            </w:pPr>
          </w:p>
        </w:tc>
        <w:tc>
          <w:tcPr>
            <w:tcW w:w="1080" w:type="dxa"/>
            <w:vAlign w:val="center"/>
          </w:tcPr>
          <w:p w14:paraId="16D572F9" w14:textId="69B7B179" w:rsidR="00C777BD" w:rsidRPr="0066678E" w:rsidRDefault="00C777BD" w:rsidP="00C777BD">
            <w:pPr>
              <w:jc w:val="right"/>
              <w:rPr>
                <w:rFonts w:ascii="Arial Narrow" w:hAnsi="Arial Narrow"/>
                <w:sz w:val="14"/>
                <w:szCs w:val="14"/>
              </w:rPr>
            </w:pPr>
            <w:r w:rsidRPr="0066678E">
              <w:rPr>
                <w:rFonts w:ascii="Arial Narrow" w:hAnsi="Arial Narrow"/>
                <w:sz w:val="14"/>
                <w:szCs w:val="14"/>
              </w:rPr>
              <w:t>303 009 000</w:t>
            </w:r>
          </w:p>
        </w:tc>
        <w:tc>
          <w:tcPr>
            <w:tcW w:w="1023" w:type="dxa"/>
            <w:vAlign w:val="center"/>
          </w:tcPr>
          <w:p w14:paraId="15A88A42" w14:textId="47205F33" w:rsidR="00C777BD" w:rsidRPr="0066678E" w:rsidRDefault="00C777BD" w:rsidP="00C777BD">
            <w:pPr>
              <w:jc w:val="right"/>
              <w:rPr>
                <w:rFonts w:ascii="Arial Narrow" w:hAnsi="Arial Narrow"/>
                <w:sz w:val="14"/>
                <w:szCs w:val="14"/>
              </w:rPr>
            </w:pPr>
            <w:r w:rsidRPr="0066678E">
              <w:rPr>
                <w:rFonts w:ascii="Arial Narrow" w:hAnsi="Arial Narrow"/>
                <w:sz w:val="14"/>
                <w:szCs w:val="14"/>
              </w:rPr>
              <w:t>53 472 177</w:t>
            </w:r>
          </w:p>
        </w:tc>
        <w:tc>
          <w:tcPr>
            <w:tcW w:w="992" w:type="dxa"/>
            <w:vAlign w:val="center"/>
          </w:tcPr>
          <w:p w14:paraId="7DCCCA9C" w14:textId="5B030374" w:rsidR="00C777BD" w:rsidRPr="00C777BD" w:rsidRDefault="00C777BD" w:rsidP="00C777BD">
            <w:pPr>
              <w:jc w:val="right"/>
              <w:rPr>
                <w:rFonts w:ascii="Arial Narrow" w:hAnsi="Arial Narrow"/>
                <w:sz w:val="14"/>
                <w:szCs w:val="14"/>
              </w:rPr>
            </w:pPr>
            <w:r w:rsidRPr="00C777BD">
              <w:rPr>
                <w:rFonts w:ascii="Arial Narrow" w:hAnsi="Arial Narrow"/>
                <w:color w:val="000000"/>
                <w:sz w:val="14"/>
                <w:szCs w:val="14"/>
              </w:rPr>
              <w:t>26 328 000</w:t>
            </w:r>
          </w:p>
        </w:tc>
        <w:tc>
          <w:tcPr>
            <w:tcW w:w="952" w:type="dxa"/>
            <w:vAlign w:val="center"/>
          </w:tcPr>
          <w:p w14:paraId="3485AB33" w14:textId="1DA86C75" w:rsidR="00C777BD" w:rsidRPr="00C777BD" w:rsidRDefault="00C777BD" w:rsidP="00C777BD">
            <w:pPr>
              <w:jc w:val="right"/>
              <w:rPr>
                <w:rFonts w:ascii="Arial Narrow" w:hAnsi="Arial Narrow"/>
                <w:sz w:val="14"/>
                <w:szCs w:val="14"/>
              </w:rPr>
            </w:pPr>
            <w:r w:rsidRPr="00C777BD">
              <w:rPr>
                <w:rFonts w:ascii="Arial Narrow" w:hAnsi="Arial Narrow"/>
                <w:color w:val="000000"/>
                <w:sz w:val="14"/>
                <w:szCs w:val="14"/>
              </w:rPr>
              <w:t>4 646 118</w:t>
            </w:r>
          </w:p>
        </w:tc>
        <w:tc>
          <w:tcPr>
            <w:tcW w:w="993" w:type="dxa"/>
            <w:vAlign w:val="center"/>
          </w:tcPr>
          <w:p w14:paraId="070585FE" w14:textId="61558CE2" w:rsidR="00C777BD" w:rsidRPr="005F5239" w:rsidRDefault="00C777BD" w:rsidP="00C777BD">
            <w:pPr>
              <w:pStyle w:val="Style30"/>
              <w:widowControl/>
              <w:jc w:val="center"/>
              <w:rPr>
                <w:rFonts w:ascii="Arial Narrow" w:hAnsi="Arial Narrow"/>
                <w:sz w:val="14"/>
                <w:szCs w:val="14"/>
              </w:rPr>
            </w:pPr>
            <w:r>
              <w:rPr>
                <w:rFonts w:ascii="Arial Narrow" w:hAnsi="Arial Narrow"/>
                <w:sz w:val="14"/>
                <w:szCs w:val="14"/>
              </w:rPr>
              <w:t>7,99</w:t>
            </w:r>
            <w:r w:rsidRPr="0066678E">
              <w:rPr>
                <w:rFonts w:ascii="Arial Narrow" w:hAnsi="Arial Narrow"/>
                <w:sz w:val="14"/>
                <w:szCs w:val="14"/>
              </w:rPr>
              <w:t>%</w:t>
            </w:r>
          </w:p>
        </w:tc>
      </w:tr>
      <w:tr w:rsidR="0066678E" w:rsidRPr="00001F01" w14:paraId="09AF6CFE" w14:textId="77777777" w:rsidTr="00351D17">
        <w:trPr>
          <w:trHeight w:val="339"/>
        </w:trPr>
        <w:tc>
          <w:tcPr>
            <w:tcW w:w="704" w:type="dxa"/>
            <w:vAlign w:val="center"/>
          </w:tcPr>
          <w:p w14:paraId="57BC73CA" w14:textId="77777777" w:rsidR="0066678E" w:rsidRPr="00001F01" w:rsidRDefault="0066678E" w:rsidP="0066678E">
            <w:pPr>
              <w:pStyle w:val="Style52"/>
              <w:widowControl/>
              <w:ind w:left="14" w:hanging="14"/>
              <w:jc w:val="left"/>
              <w:rPr>
                <w:rStyle w:val="FontStyle86"/>
                <w:rFonts w:ascii="Arial Narrow" w:eastAsiaTheme="majorEastAsia" w:hAnsi="Arial Narrow"/>
              </w:rPr>
            </w:pPr>
            <w:r w:rsidRPr="00001F01">
              <w:rPr>
                <w:rStyle w:val="FontStyle86"/>
                <w:rFonts w:ascii="Arial Narrow" w:eastAsiaTheme="majorEastAsia" w:hAnsi="Arial Narrow"/>
              </w:rPr>
              <w:t>PO 4</w:t>
            </w:r>
          </w:p>
        </w:tc>
        <w:tc>
          <w:tcPr>
            <w:tcW w:w="530" w:type="dxa"/>
            <w:vAlign w:val="center"/>
          </w:tcPr>
          <w:p w14:paraId="73B2FF3F"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34F6FF2F" w14:textId="77777777" w:rsidR="0066678E" w:rsidRPr="00001F01" w:rsidRDefault="0066678E" w:rsidP="0066678E">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14:paraId="02A88C1D" w14:textId="77777777" w:rsidR="0066678E" w:rsidRPr="00001F01" w:rsidRDefault="0066678E" w:rsidP="0066678E">
            <w:pPr>
              <w:jc w:val="center"/>
              <w:rPr>
                <w:rFonts w:ascii="Arial Narrow" w:hAnsi="Arial Narrow"/>
                <w:bCs/>
                <w:color w:val="000000"/>
                <w:sz w:val="14"/>
                <w:szCs w:val="14"/>
                <w:lang w:val="en-US"/>
              </w:rPr>
            </w:pPr>
            <w:r>
              <w:rPr>
                <w:rFonts w:ascii="Arial Narrow" w:hAnsi="Arial Narrow"/>
                <w:bCs/>
                <w:color w:val="000000"/>
                <w:sz w:val="14"/>
                <w:szCs w:val="14"/>
              </w:rPr>
              <w:t>Celkové oprávnené výdavky</w:t>
            </w:r>
          </w:p>
        </w:tc>
        <w:tc>
          <w:tcPr>
            <w:tcW w:w="1068" w:type="dxa"/>
            <w:vAlign w:val="center"/>
          </w:tcPr>
          <w:p w14:paraId="1713E671" w14:textId="2A0AA5C6" w:rsidR="0066678E" w:rsidRPr="005F5239" w:rsidRDefault="00D277F9" w:rsidP="00D277F9">
            <w:pPr>
              <w:pStyle w:val="Style30"/>
              <w:widowControl/>
              <w:jc w:val="right"/>
              <w:rPr>
                <w:rFonts w:ascii="Arial Narrow" w:hAnsi="Arial Narrow"/>
                <w:sz w:val="14"/>
                <w:szCs w:val="14"/>
              </w:rPr>
            </w:pPr>
            <w:r w:rsidRPr="00D277F9">
              <w:rPr>
                <w:rFonts w:ascii="Arial Narrow" w:hAnsi="Arial Narrow"/>
                <w:sz w:val="14"/>
                <w:szCs w:val="14"/>
              </w:rPr>
              <w:t>109</w:t>
            </w:r>
            <w:r>
              <w:rPr>
                <w:rFonts w:ascii="Arial Narrow" w:hAnsi="Arial Narrow"/>
                <w:sz w:val="14"/>
                <w:szCs w:val="14"/>
              </w:rPr>
              <w:t> </w:t>
            </w:r>
            <w:r w:rsidRPr="00D277F9">
              <w:rPr>
                <w:rFonts w:ascii="Arial Narrow" w:hAnsi="Arial Narrow"/>
                <w:sz w:val="14"/>
                <w:szCs w:val="14"/>
              </w:rPr>
              <w:t>463</w:t>
            </w:r>
            <w:r>
              <w:rPr>
                <w:rFonts w:ascii="Arial Narrow" w:hAnsi="Arial Narrow"/>
                <w:sz w:val="14"/>
                <w:szCs w:val="14"/>
              </w:rPr>
              <w:t xml:space="preserve"> </w:t>
            </w:r>
            <w:r w:rsidRPr="00D277F9">
              <w:rPr>
                <w:rFonts w:ascii="Arial Narrow" w:hAnsi="Arial Narrow"/>
                <w:sz w:val="14"/>
                <w:szCs w:val="14"/>
              </w:rPr>
              <w:t>000</w:t>
            </w:r>
          </w:p>
        </w:tc>
        <w:tc>
          <w:tcPr>
            <w:tcW w:w="1057" w:type="dxa"/>
            <w:vAlign w:val="center"/>
          </w:tcPr>
          <w:p w14:paraId="717C2F7A" w14:textId="75867771" w:rsidR="0066678E" w:rsidRPr="0066678E" w:rsidRDefault="00D277F9" w:rsidP="00D277F9">
            <w:pPr>
              <w:jc w:val="right"/>
              <w:rPr>
                <w:rFonts w:ascii="Arial Narrow" w:hAnsi="Arial Narrow"/>
                <w:sz w:val="14"/>
                <w:szCs w:val="14"/>
              </w:rPr>
            </w:pPr>
            <w:r w:rsidRPr="00D277F9">
              <w:rPr>
                <w:rFonts w:ascii="Arial Narrow" w:hAnsi="Arial Narrow"/>
                <w:sz w:val="14"/>
                <w:szCs w:val="14"/>
              </w:rPr>
              <w:t>19</w:t>
            </w:r>
            <w:r>
              <w:rPr>
                <w:rFonts w:ascii="Arial Narrow" w:hAnsi="Arial Narrow"/>
                <w:sz w:val="14"/>
                <w:szCs w:val="14"/>
              </w:rPr>
              <w:t> </w:t>
            </w:r>
            <w:r w:rsidRPr="00D277F9">
              <w:rPr>
                <w:rFonts w:ascii="Arial Narrow" w:hAnsi="Arial Narrow"/>
                <w:sz w:val="14"/>
                <w:szCs w:val="14"/>
              </w:rPr>
              <w:t>317</w:t>
            </w:r>
            <w:r>
              <w:rPr>
                <w:rFonts w:ascii="Arial Narrow" w:hAnsi="Arial Narrow"/>
                <w:sz w:val="14"/>
                <w:szCs w:val="14"/>
              </w:rPr>
              <w:t xml:space="preserve"> </w:t>
            </w:r>
            <w:r w:rsidRPr="00D277F9">
              <w:rPr>
                <w:rFonts w:ascii="Arial Narrow" w:hAnsi="Arial Narrow"/>
                <w:sz w:val="14"/>
                <w:szCs w:val="14"/>
              </w:rPr>
              <w:t>000</w:t>
            </w:r>
          </w:p>
        </w:tc>
        <w:tc>
          <w:tcPr>
            <w:tcW w:w="965" w:type="dxa"/>
            <w:vAlign w:val="center"/>
          </w:tcPr>
          <w:p w14:paraId="44365587" w14:textId="42A11413" w:rsidR="0066678E" w:rsidRPr="0066678E" w:rsidRDefault="00D277F9" w:rsidP="00D277F9">
            <w:pPr>
              <w:jc w:val="right"/>
              <w:rPr>
                <w:rFonts w:ascii="Arial Narrow" w:hAnsi="Arial Narrow"/>
                <w:sz w:val="14"/>
                <w:szCs w:val="14"/>
              </w:rPr>
            </w:pPr>
            <w:r w:rsidRPr="00D277F9">
              <w:rPr>
                <w:rFonts w:ascii="Arial Narrow" w:hAnsi="Arial Narrow"/>
                <w:sz w:val="14"/>
                <w:szCs w:val="14"/>
              </w:rPr>
              <w:t>10</w:t>
            </w:r>
            <w:r>
              <w:rPr>
                <w:rFonts w:ascii="Arial Narrow" w:hAnsi="Arial Narrow"/>
                <w:sz w:val="14"/>
                <w:szCs w:val="14"/>
              </w:rPr>
              <w:t> </w:t>
            </w:r>
            <w:r w:rsidRPr="00D277F9">
              <w:rPr>
                <w:rFonts w:ascii="Arial Narrow" w:hAnsi="Arial Narrow"/>
                <w:sz w:val="14"/>
                <w:szCs w:val="14"/>
              </w:rPr>
              <w:t>862</w:t>
            </w:r>
            <w:r>
              <w:rPr>
                <w:rFonts w:ascii="Arial Narrow" w:hAnsi="Arial Narrow"/>
                <w:sz w:val="14"/>
                <w:szCs w:val="14"/>
              </w:rPr>
              <w:t xml:space="preserve"> </w:t>
            </w:r>
            <w:r w:rsidRPr="00D277F9">
              <w:rPr>
                <w:rFonts w:ascii="Arial Narrow" w:hAnsi="Arial Narrow"/>
                <w:sz w:val="14"/>
                <w:szCs w:val="14"/>
              </w:rPr>
              <w:t>532</w:t>
            </w:r>
          </w:p>
        </w:tc>
        <w:tc>
          <w:tcPr>
            <w:tcW w:w="980" w:type="dxa"/>
            <w:vAlign w:val="center"/>
          </w:tcPr>
          <w:p w14:paraId="737BFFC5" w14:textId="388BF7A4" w:rsidR="0066678E" w:rsidRPr="0066678E" w:rsidRDefault="00D277F9" w:rsidP="00D277F9">
            <w:pPr>
              <w:jc w:val="right"/>
              <w:rPr>
                <w:rFonts w:ascii="Arial Narrow" w:hAnsi="Arial Narrow"/>
                <w:sz w:val="14"/>
                <w:szCs w:val="14"/>
              </w:rPr>
            </w:pPr>
            <w:r w:rsidRPr="00D277F9">
              <w:rPr>
                <w:rFonts w:ascii="Arial Narrow" w:hAnsi="Arial Narrow"/>
                <w:sz w:val="14"/>
                <w:szCs w:val="14"/>
              </w:rPr>
              <w:t>8</w:t>
            </w:r>
            <w:r>
              <w:rPr>
                <w:rFonts w:ascii="Arial Narrow" w:hAnsi="Arial Narrow"/>
                <w:sz w:val="14"/>
                <w:szCs w:val="14"/>
              </w:rPr>
              <w:t> </w:t>
            </w:r>
            <w:r w:rsidRPr="00D277F9">
              <w:rPr>
                <w:rFonts w:ascii="Arial Narrow" w:hAnsi="Arial Narrow"/>
                <w:sz w:val="14"/>
                <w:szCs w:val="14"/>
              </w:rPr>
              <w:t>454</w:t>
            </w:r>
            <w:r>
              <w:rPr>
                <w:rFonts w:ascii="Arial Narrow" w:hAnsi="Arial Narrow"/>
                <w:sz w:val="14"/>
                <w:szCs w:val="14"/>
              </w:rPr>
              <w:t xml:space="preserve"> </w:t>
            </w:r>
            <w:r w:rsidRPr="00D277F9">
              <w:rPr>
                <w:rFonts w:ascii="Arial Narrow" w:hAnsi="Arial Narrow"/>
                <w:sz w:val="14"/>
                <w:szCs w:val="14"/>
              </w:rPr>
              <w:t>468</w:t>
            </w:r>
          </w:p>
        </w:tc>
        <w:tc>
          <w:tcPr>
            <w:tcW w:w="1148" w:type="dxa"/>
            <w:vAlign w:val="center"/>
          </w:tcPr>
          <w:p w14:paraId="77101FB3" w14:textId="6CA82724" w:rsidR="0066678E" w:rsidRPr="0066678E" w:rsidRDefault="00D277F9" w:rsidP="00D277F9">
            <w:pPr>
              <w:jc w:val="right"/>
              <w:rPr>
                <w:rFonts w:ascii="Arial Narrow" w:hAnsi="Arial Narrow"/>
                <w:b/>
                <w:sz w:val="14"/>
                <w:szCs w:val="14"/>
              </w:rPr>
            </w:pPr>
            <w:r>
              <w:rPr>
                <w:rFonts w:ascii="Arial Narrow" w:hAnsi="Arial Narrow"/>
                <w:b/>
                <w:sz w:val="14"/>
                <w:szCs w:val="14"/>
              </w:rPr>
              <w:t>128 780 000</w:t>
            </w:r>
          </w:p>
        </w:tc>
        <w:tc>
          <w:tcPr>
            <w:tcW w:w="728" w:type="dxa"/>
            <w:vAlign w:val="center"/>
          </w:tcPr>
          <w:p w14:paraId="409D0F09" w14:textId="1B99B24E"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6456B398" w14:textId="77777777" w:rsidR="0066678E" w:rsidRPr="00001F01" w:rsidRDefault="0066678E" w:rsidP="0066678E">
            <w:pPr>
              <w:pStyle w:val="Style30"/>
              <w:widowControl/>
              <w:jc w:val="center"/>
              <w:rPr>
                <w:rFonts w:ascii="Arial Narrow" w:hAnsi="Arial Narrow"/>
                <w:sz w:val="14"/>
                <w:szCs w:val="14"/>
              </w:rPr>
            </w:pPr>
          </w:p>
        </w:tc>
        <w:tc>
          <w:tcPr>
            <w:tcW w:w="1080" w:type="dxa"/>
            <w:vAlign w:val="center"/>
          </w:tcPr>
          <w:p w14:paraId="6D34BA90" w14:textId="725A293C" w:rsidR="0066678E" w:rsidRPr="0066678E" w:rsidRDefault="0066678E" w:rsidP="0066678E">
            <w:pPr>
              <w:jc w:val="right"/>
              <w:rPr>
                <w:rFonts w:ascii="Arial Narrow" w:hAnsi="Arial Narrow"/>
                <w:sz w:val="14"/>
                <w:szCs w:val="14"/>
              </w:rPr>
            </w:pPr>
            <w:r w:rsidRPr="0066678E">
              <w:rPr>
                <w:rFonts w:ascii="Arial Narrow" w:hAnsi="Arial Narrow"/>
                <w:sz w:val="14"/>
                <w:szCs w:val="14"/>
              </w:rPr>
              <w:t>109 463 000</w:t>
            </w:r>
          </w:p>
        </w:tc>
        <w:tc>
          <w:tcPr>
            <w:tcW w:w="1023" w:type="dxa"/>
            <w:vAlign w:val="center"/>
          </w:tcPr>
          <w:p w14:paraId="1AE6192E" w14:textId="07ECC6E8" w:rsidR="0066678E" w:rsidRPr="0066678E" w:rsidRDefault="0066678E" w:rsidP="0066678E">
            <w:pPr>
              <w:jc w:val="right"/>
              <w:rPr>
                <w:rFonts w:ascii="Arial Narrow" w:hAnsi="Arial Narrow"/>
                <w:sz w:val="14"/>
                <w:szCs w:val="14"/>
              </w:rPr>
            </w:pPr>
            <w:r w:rsidRPr="0066678E">
              <w:rPr>
                <w:rFonts w:ascii="Arial Narrow" w:hAnsi="Arial Narrow"/>
                <w:sz w:val="14"/>
                <w:szCs w:val="14"/>
              </w:rPr>
              <w:t>19 317 000</w:t>
            </w:r>
          </w:p>
        </w:tc>
        <w:tc>
          <w:tcPr>
            <w:tcW w:w="992" w:type="dxa"/>
            <w:vAlign w:val="center"/>
          </w:tcPr>
          <w:p w14:paraId="0860BEB9" w14:textId="09F284BF" w:rsidR="0066678E" w:rsidRPr="0066678E" w:rsidRDefault="00C777BD" w:rsidP="00C777BD">
            <w:pPr>
              <w:jc w:val="right"/>
              <w:rPr>
                <w:rFonts w:ascii="Arial Narrow" w:hAnsi="Arial Narrow"/>
                <w:sz w:val="14"/>
                <w:szCs w:val="14"/>
              </w:rPr>
            </w:pPr>
            <w:r>
              <w:rPr>
                <w:rFonts w:ascii="Arial Narrow" w:hAnsi="Arial Narrow"/>
                <w:sz w:val="14"/>
                <w:szCs w:val="14"/>
              </w:rPr>
              <w:t>0</w:t>
            </w:r>
          </w:p>
        </w:tc>
        <w:tc>
          <w:tcPr>
            <w:tcW w:w="952" w:type="dxa"/>
            <w:vAlign w:val="center"/>
          </w:tcPr>
          <w:p w14:paraId="02817DDA" w14:textId="37DB3FD2" w:rsidR="0066678E" w:rsidRPr="0066678E" w:rsidRDefault="00C777BD" w:rsidP="00C777BD">
            <w:pPr>
              <w:jc w:val="right"/>
              <w:rPr>
                <w:rFonts w:ascii="Arial Narrow" w:hAnsi="Arial Narrow"/>
                <w:sz w:val="14"/>
                <w:szCs w:val="14"/>
              </w:rPr>
            </w:pPr>
            <w:r>
              <w:rPr>
                <w:rFonts w:ascii="Arial Narrow" w:hAnsi="Arial Narrow"/>
                <w:sz w:val="14"/>
                <w:szCs w:val="14"/>
              </w:rPr>
              <w:t>0</w:t>
            </w:r>
          </w:p>
        </w:tc>
        <w:tc>
          <w:tcPr>
            <w:tcW w:w="993" w:type="dxa"/>
            <w:vAlign w:val="center"/>
          </w:tcPr>
          <w:p w14:paraId="3CC5C1FA" w14:textId="712C2A1C" w:rsidR="0066678E" w:rsidRPr="005F5239" w:rsidRDefault="00C777BD" w:rsidP="00C777BD">
            <w:pPr>
              <w:pStyle w:val="Style30"/>
              <w:widowControl/>
              <w:jc w:val="center"/>
              <w:rPr>
                <w:rFonts w:ascii="Arial Narrow" w:hAnsi="Arial Narrow"/>
                <w:sz w:val="14"/>
                <w:szCs w:val="14"/>
              </w:rPr>
            </w:pPr>
            <w:r>
              <w:rPr>
                <w:rFonts w:ascii="Arial Narrow" w:hAnsi="Arial Narrow"/>
                <w:sz w:val="14"/>
                <w:szCs w:val="14"/>
              </w:rPr>
              <w:t>0</w:t>
            </w:r>
            <w:r w:rsidR="0066678E" w:rsidRPr="0066678E">
              <w:rPr>
                <w:rFonts w:ascii="Arial Narrow" w:hAnsi="Arial Narrow"/>
                <w:sz w:val="14"/>
                <w:szCs w:val="14"/>
              </w:rPr>
              <w:t>,00%</w:t>
            </w:r>
          </w:p>
        </w:tc>
      </w:tr>
      <w:tr w:rsidR="0066678E" w:rsidRPr="00001F01" w14:paraId="36E2BAE0" w14:textId="77777777" w:rsidTr="00351D17">
        <w:trPr>
          <w:trHeight w:val="339"/>
        </w:trPr>
        <w:tc>
          <w:tcPr>
            <w:tcW w:w="704" w:type="dxa"/>
            <w:vAlign w:val="center"/>
          </w:tcPr>
          <w:p w14:paraId="29F4F63C" w14:textId="77777777" w:rsidR="0066678E" w:rsidRPr="00001F01" w:rsidRDefault="0066678E" w:rsidP="0066678E">
            <w:pPr>
              <w:rPr>
                <w:rFonts w:ascii="Arial Narrow" w:hAnsi="Arial Narrow"/>
                <w:sz w:val="14"/>
                <w:szCs w:val="14"/>
              </w:rPr>
            </w:pPr>
            <w:r w:rsidRPr="00001F01">
              <w:rPr>
                <w:rStyle w:val="FontStyle86"/>
                <w:rFonts w:ascii="Arial Narrow" w:eastAsiaTheme="majorEastAsia" w:hAnsi="Arial Narrow"/>
              </w:rPr>
              <w:t>PO 5</w:t>
            </w:r>
          </w:p>
        </w:tc>
        <w:tc>
          <w:tcPr>
            <w:tcW w:w="530" w:type="dxa"/>
            <w:vAlign w:val="center"/>
          </w:tcPr>
          <w:p w14:paraId="35972AD9"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14:paraId="03539283" w14:textId="77777777" w:rsidR="0066678E" w:rsidRPr="00001F01" w:rsidRDefault="0066678E" w:rsidP="0066678E">
            <w:pPr>
              <w:pStyle w:val="Style30"/>
              <w:widowControl/>
              <w:jc w:val="center"/>
              <w:rPr>
                <w:rFonts w:ascii="Arial Narrow" w:hAnsi="Arial Narrow"/>
                <w:sz w:val="14"/>
                <w:szCs w:val="14"/>
              </w:rPr>
            </w:pPr>
            <w:r w:rsidRPr="00001F01">
              <w:rPr>
                <w:rFonts w:ascii="Arial Narrow" w:hAnsi="Arial Narrow"/>
                <w:i/>
                <w:sz w:val="14"/>
                <w:szCs w:val="14"/>
              </w:rPr>
              <w:t>Menej rozvinuté</w:t>
            </w:r>
          </w:p>
        </w:tc>
        <w:tc>
          <w:tcPr>
            <w:tcW w:w="1194" w:type="dxa"/>
            <w:vAlign w:val="center"/>
          </w:tcPr>
          <w:p w14:paraId="38287099" w14:textId="77777777" w:rsidR="0066678E" w:rsidRPr="00001F01"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2748297" w14:textId="465877AC" w:rsidR="0066678E" w:rsidRPr="005F5239" w:rsidRDefault="009A1E13" w:rsidP="009A1E13">
            <w:pPr>
              <w:pStyle w:val="Style30"/>
              <w:widowControl/>
              <w:jc w:val="right"/>
              <w:rPr>
                <w:rFonts w:ascii="Arial Narrow" w:hAnsi="Arial Narrow"/>
                <w:sz w:val="14"/>
                <w:szCs w:val="14"/>
              </w:rPr>
            </w:pPr>
            <w:r w:rsidRPr="009A1E13">
              <w:rPr>
                <w:rFonts w:ascii="Arial Narrow" w:hAnsi="Arial Narrow"/>
                <w:sz w:val="14"/>
                <w:szCs w:val="14"/>
              </w:rPr>
              <w:t>263</w:t>
            </w:r>
            <w:r>
              <w:rPr>
                <w:rFonts w:ascii="Arial Narrow" w:hAnsi="Arial Narrow"/>
                <w:sz w:val="14"/>
                <w:szCs w:val="14"/>
              </w:rPr>
              <w:t> </w:t>
            </w:r>
            <w:r w:rsidRPr="009A1E13">
              <w:rPr>
                <w:rFonts w:ascii="Arial Narrow" w:hAnsi="Arial Narrow"/>
                <w:sz w:val="14"/>
                <w:szCs w:val="14"/>
              </w:rPr>
              <w:t>951</w:t>
            </w:r>
            <w:r>
              <w:rPr>
                <w:rFonts w:ascii="Arial Narrow" w:hAnsi="Arial Narrow"/>
                <w:sz w:val="14"/>
                <w:szCs w:val="14"/>
              </w:rPr>
              <w:t xml:space="preserve"> </w:t>
            </w:r>
            <w:r w:rsidRPr="009A1E13">
              <w:rPr>
                <w:rFonts w:ascii="Arial Narrow" w:hAnsi="Arial Narrow"/>
                <w:sz w:val="14"/>
                <w:szCs w:val="14"/>
              </w:rPr>
              <w:t>749</w:t>
            </w:r>
          </w:p>
        </w:tc>
        <w:tc>
          <w:tcPr>
            <w:tcW w:w="1057" w:type="dxa"/>
            <w:vAlign w:val="center"/>
          </w:tcPr>
          <w:p w14:paraId="4AC29FA4" w14:textId="4AF3D2EE" w:rsidR="0066678E" w:rsidRPr="0066678E" w:rsidRDefault="009A1E13" w:rsidP="009A1E13">
            <w:pPr>
              <w:jc w:val="right"/>
              <w:rPr>
                <w:rFonts w:ascii="Arial Narrow" w:hAnsi="Arial Narrow"/>
                <w:sz w:val="14"/>
                <w:szCs w:val="14"/>
              </w:rPr>
            </w:pPr>
            <w:r w:rsidRPr="009A1E13">
              <w:rPr>
                <w:rFonts w:ascii="Arial Narrow" w:hAnsi="Arial Narrow"/>
                <w:sz w:val="14"/>
                <w:szCs w:val="14"/>
              </w:rPr>
              <w:t>46</w:t>
            </w:r>
            <w:r>
              <w:rPr>
                <w:rFonts w:ascii="Arial Narrow" w:hAnsi="Arial Narrow"/>
                <w:sz w:val="14"/>
                <w:szCs w:val="14"/>
              </w:rPr>
              <w:t> </w:t>
            </w:r>
            <w:r w:rsidRPr="009A1E13">
              <w:rPr>
                <w:rFonts w:ascii="Arial Narrow" w:hAnsi="Arial Narrow"/>
                <w:sz w:val="14"/>
                <w:szCs w:val="14"/>
              </w:rPr>
              <w:t>579</w:t>
            </w:r>
            <w:r>
              <w:rPr>
                <w:rFonts w:ascii="Arial Narrow" w:hAnsi="Arial Narrow"/>
                <w:sz w:val="14"/>
                <w:szCs w:val="14"/>
              </w:rPr>
              <w:t xml:space="preserve"> </w:t>
            </w:r>
            <w:r w:rsidRPr="009A1E13">
              <w:rPr>
                <w:rFonts w:ascii="Arial Narrow" w:hAnsi="Arial Narrow"/>
                <w:sz w:val="14"/>
                <w:szCs w:val="14"/>
              </w:rPr>
              <w:t>721</w:t>
            </w:r>
          </w:p>
        </w:tc>
        <w:tc>
          <w:tcPr>
            <w:tcW w:w="965" w:type="dxa"/>
            <w:vAlign w:val="center"/>
          </w:tcPr>
          <w:p w14:paraId="277326AE" w14:textId="06EFDF50" w:rsidR="0066678E" w:rsidRPr="0066678E" w:rsidRDefault="009A1E13" w:rsidP="009A1E13">
            <w:pPr>
              <w:jc w:val="right"/>
              <w:rPr>
                <w:rFonts w:ascii="Arial Narrow" w:hAnsi="Arial Narrow"/>
                <w:sz w:val="14"/>
                <w:szCs w:val="14"/>
              </w:rPr>
            </w:pPr>
            <w:r w:rsidRPr="009A1E13">
              <w:rPr>
                <w:rFonts w:ascii="Arial Narrow" w:hAnsi="Arial Narrow"/>
                <w:sz w:val="14"/>
                <w:szCs w:val="14"/>
              </w:rPr>
              <w:t>46</w:t>
            </w:r>
            <w:r>
              <w:rPr>
                <w:rFonts w:ascii="Arial Narrow" w:hAnsi="Arial Narrow"/>
                <w:sz w:val="14"/>
                <w:szCs w:val="14"/>
              </w:rPr>
              <w:t> </w:t>
            </w:r>
            <w:r w:rsidRPr="009A1E13">
              <w:rPr>
                <w:rFonts w:ascii="Arial Narrow" w:hAnsi="Arial Narrow"/>
                <w:sz w:val="14"/>
                <w:szCs w:val="14"/>
              </w:rPr>
              <w:t>579</w:t>
            </w:r>
            <w:r>
              <w:rPr>
                <w:rFonts w:ascii="Arial Narrow" w:hAnsi="Arial Narrow"/>
                <w:sz w:val="14"/>
                <w:szCs w:val="14"/>
              </w:rPr>
              <w:t xml:space="preserve"> </w:t>
            </w:r>
            <w:r w:rsidRPr="009A1E13">
              <w:rPr>
                <w:rFonts w:ascii="Arial Narrow" w:hAnsi="Arial Narrow"/>
                <w:sz w:val="14"/>
                <w:szCs w:val="14"/>
              </w:rPr>
              <w:t>721</w:t>
            </w:r>
          </w:p>
        </w:tc>
        <w:tc>
          <w:tcPr>
            <w:tcW w:w="980" w:type="dxa"/>
            <w:vAlign w:val="center"/>
          </w:tcPr>
          <w:p w14:paraId="079FB25D" w14:textId="26757E3E"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148A4266" w14:textId="3B56B44A" w:rsidR="0066678E" w:rsidRPr="0066678E" w:rsidRDefault="00200311" w:rsidP="00200311">
            <w:pPr>
              <w:jc w:val="right"/>
              <w:rPr>
                <w:rFonts w:ascii="Arial Narrow" w:hAnsi="Arial Narrow"/>
                <w:b/>
                <w:sz w:val="14"/>
                <w:szCs w:val="14"/>
              </w:rPr>
            </w:pPr>
            <w:r>
              <w:rPr>
                <w:rFonts w:ascii="Arial Narrow" w:hAnsi="Arial Narrow"/>
                <w:b/>
                <w:sz w:val="14"/>
                <w:szCs w:val="14"/>
              </w:rPr>
              <w:t>310 531 470</w:t>
            </w:r>
          </w:p>
        </w:tc>
        <w:tc>
          <w:tcPr>
            <w:tcW w:w="728" w:type="dxa"/>
            <w:vAlign w:val="center"/>
          </w:tcPr>
          <w:p w14:paraId="172207C4" w14:textId="2D98A566"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0F90B356" w14:textId="77777777" w:rsidR="0066678E" w:rsidRPr="00001F01" w:rsidRDefault="0066678E" w:rsidP="0066678E">
            <w:pPr>
              <w:pStyle w:val="Style30"/>
              <w:widowControl/>
              <w:jc w:val="center"/>
              <w:rPr>
                <w:rFonts w:ascii="Arial Narrow" w:hAnsi="Arial Narrow"/>
                <w:sz w:val="14"/>
                <w:szCs w:val="14"/>
              </w:rPr>
            </w:pPr>
          </w:p>
        </w:tc>
        <w:tc>
          <w:tcPr>
            <w:tcW w:w="1080" w:type="dxa"/>
            <w:vAlign w:val="center"/>
          </w:tcPr>
          <w:p w14:paraId="3D3CA882" w14:textId="540E0488" w:rsidR="0066678E" w:rsidRPr="0066678E" w:rsidRDefault="0066678E" w:rsidP="0066678E">
            <w:pPr>
              <w:jc w:val="right"/>
              <w:rPr>
                <w:rFonts w:ascii="Arial Narrow" w:hAnsi="Arial Narrow"/>
                <w:sz w:val="14"/>
                <w:szCs w:val="14"/>
              </w:rPr>
            </w:pPr>
            <w:r w:rsidRPr="0066678E">
              <w:rPr>
                <w:rFonts w:ascii="Arial Narrow" w:hAnsi="Arial Narrow"/>
                <w:sz w:val="14"/>
                <w:szCs w:val="14"/>
              </w:rPr>
              <w:t>263 951 749</w:t>
            </w:r>
          </w:p>
        </w:tc>
        <w:tc>
          <w:tcPr>
            <w:tcW w:w="1023" w:type="dxa"/>
            <w:vAlign w:val="center"/>
          </w:tcPr>
          <w:p w14:paraId="5B195AE4" w14:textId="38D0C460" w:rsidR="0066678E" w:rsidRPr="0066678E" w:rsidRDefault="0066678E" w:rsidP="0066678E">
            <w:pPr>
              <w:jc w:val="right"/>
              <w:rPr>
                <w:rFonts w:ascii="Arial Narrow" w:hAnsi="Arial Narrow"/>
                <w:sz w:val="14"/>
                <w:szCs w:val="14"/>
              </w:rPr>
            </w:pPr>
            <w:r w:rsidRPr="0066678E">
              <w:rPr>
                <w:rFonts w:ascii="Arial Narrow" w:hAnsi="Arial Narrow"/>
                <w:sz w:val="14"/>
                <w:szCs w:val="14"/>
              </w:rPr>
              <w:t>46 579 721</w:t>
            </w:r>
          </w:p>
        </w:tc>
        <w:tc>
          <w:tcPr>
            <w:tcW w:w="992" w:type="dxa"/>
            <w:vAlign w:val="center"/>
          </w:tcPr>
          <w:p w14:paraId="76C0CA98" w14:textId="084F4584" w:rsidR="0066678E" w:rsidRPr="0066678E" w:rsidRDefault="00C777BD" w:rsidP="00C777BD">
            <w:pPr>
              <w:jc w:val="right"/>
              <w:rPr>
                <w:rFonts w:ascii="Arial Narrow" w:hAnsi="Arial Narrow"/>
                <w:sz w:val="14"/>
                <w:szCs w:val="14"/>
              </w:rPr>
            </w:pPr>
            <w:r>
              <w:rPr>
                <w:rFonts w:ascii="Arial Narrow" w:hAnsi="Arial Narrow"/>
                <w:sz w:val="14"/>
                <w:szCs w:val="14"/>
              </w:rPr>
              <w:t>0</w:t>
            </w:r>
          </w:p>
        </w:tc>
        <w:tc>
          <w:tcPr>
            <w:tcW w:w="952" w:type="dxa"/>
            <w:vAlign w:val="center"/>
          </w:tcPr>
          <w:p w14:paraId="5D292D64" w14:textId="642A8921" w:rsidR="0066678E" w:rsidRPr="0066678E" w:rsidRDefault="00C777BD" w:rsidP="00C777BD">
            <w:pPr>
              <w:jc w:val="right"/>
              <w:rPr>
                <w:rFonts w:ascii="Arial Narrow" w:hAnsi="Arial Narrow"/>
                <w:sz w:val="14"/>
                <w:szCs w:val="14"/>
              </w:rPr>
            </w:pPr>
            <w:r>
              <w:rPr>
                <w:rFonts w:ascii="Arial Narrow" w:hAnsi="Arial Narrow"/>
                <w:sz w:val="14"/>
                <w:szCs w:val="14"/>
              </w:rPr>
              <w:t>0</w:t>
            </w:r>
          </w:p>
        </w:tc>
        <w:tc>
          <w:tcPr>
            <w:tcW w:w="993" w:type="dxa"/>
            <w:vAlign w:val="center"/>
          </w:tcPr>
          <w:p w14:paraId="0FBF3F0E" w14:textId="4EDBAF53" w:rsidR="0066678E" w:rsidRPr="005F5239" w:rsidRDefault="00C777BD" w:rsidP="00C777BD">
            <w:pPr>
              <w:pStyle w:val="Style30"/>
              <w:widowControl/>
              <w:jc w:val="center"/>
              <w:rPr>
                <w:rFonts w:ascii="Arial Narrow" w:hAnsi="Arial Narrow"/>
                <w:sz w:val="14"/>
                <w:szCs w:val="14"/>
              </w:rPr>
            </w:pPr>
            <w:r>
              <w:rPr>
                <w:rFonts w:ascii="Arial Narrow" w:hAnsi="Arial Narrow"/>
                <w:sz w:val="14"/>
                <w:szCs w:val="14"/>
              </w:rPr>
              <w:t>0</w:t>
            </w:r>
            <w:r w:rsidR="0066678E" w:rsidRPr="0066678E">
              <w:rPr>
                <w:rFonts w:ascii="Arial Narrow" w:hAnsi="Arial Narrow"/>
                <w:sz w:val="14"/>
                <w:szCs w:val="14"/>
              </w:rPr>
              <w:t>%</w:t>
            </w:r>
          </w:p>
        </w:tc>
      </w:tr>
      <w:tr w:rsidR="0066678E" w:rsidRPr="00001F01" w14:paraId="0C014D52" w14:textId="77777777" w:rsidTr="00351D17">
        <w:trPr>
          <w:trHeight w:val="339"/>
        </w:trPr>
        <w:tc>
          <w:tcPr>
            <w:tcW w:w="704" w:type="dxa"/>
            <w:vAlign w:val="center"/>
          </w:tcPr>
          <w:p w14:paraId="33280575" w14:textId="77777777" w:rsidR="0066678E" w:rsidRPr="00001F01" w:rsidRDefault="0066678E" w:rsidP="0066678E">
            <w:pPr>
              <w:rPr>
                <w:rFonts w:ascii="Arial Narrow" w:hAnsi="Arial Narrow"/>
                <w:sz w:val="14"/>
                <w:szCs w:val="14"/>
              </w:rPr>
            </w:pPr>
            <w:r w:rsidRPr="00001F01">
              <w:rPr>
                <w:rStyle w:val="FontStyle86"/>
                <w:rFonts w:ascii="Arial Narrow" w:eastAsiaTheme="majorEastAsia" w:hAnsi="Arial Narrow"/>
              </w:rPr>
              <w:t>PO 6</w:t>
            </w:r>
          </w:p>
        </w:tc>
        <w:tc>
          <w:tcPr>
            <w:tcW w:w="530" w:type="dxa"/>
            <w:vAlign w:val="center"/>
          </w:tcPr>
          <w:p w14:paraId="21662A6E"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14:paraId="67767807" w14:textId="77777777" w:rsidR="0066678E" w:rsidRPr="00001F01" w:rsidRDefault="0066678E" w:rsidP="0066678E">
            <w:pPr>
              <w:pStyle w:val="Style30"/>
              <w:widowControl/>
              <w:jc w:val="center"/>
              <w:rPr>
                <w:rFonts w:ascii="Arial Narrow" w:hAnsi="Arial Narrow"/>
                <w:sz w:val="14"/>
                <w:szCs w:val="14"/>
              </w:rPr>
            </w:pPr>
            <w:r w:rsidRPr="00001F01">
              <w:rPr>
                <w:rFonts w:ascii="Arial Narrow" w:hAnsi="Arial Narrow"/>
                <w:i/>
                <w:sz w:val="14"/>
                <w:szCs w:val="14"/>
              </w:rPr>
              <w:t>Menej rozvinuté</w:t>
            </w:r>
          </w:p>
        </w:tc>
        <w:tc>
          <w:tcPr>
            <w:tcW w:w="1194" w:type="dxa"/>
            <w:vAlign w:val="center"/>
          </w:tcPr>
          <w:p w14:paraId="46E79BFB" w14:textId="77777777" w:rsidR="0066678E" w:rsidRPr="00001F01"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3E57B431" w14:textId="5CE1D20D" w:rsidR="0066678E" w:rsidRPr="005F5239" w:rsidRDefault="00080B36" w:rsidP="00080B36">
            <w:pPr>
              <w:pStyle w:val="Style30"/>
              <w:widowControl/>
              <w:jc w:val="right"/>
              <w:rPr>
                <w:rFonts w:ascii="Arial Narrow" w:hAnsi="Arial Narrow"/>
                <w:sz w:val="14"/>
                <w:szCs w:val="14"/>
              </w:rPr>
            </w:pPr>
            <w:r w:rsidRPr="00080B36">
              <w:rPr>
                <w:rFonts w:ascii="Arial Narrow" w:hAnsi="Arial Narrow"/>
                <w:sz w:val="14"/>
                <w:szCs w:val="14"/>
              </w:rPr>
              <w:t>804</w:t>
            </w:r>
            <w:r>
              <w:rPr>
                <w:rFonts w:ascii="Arial Narrow" w:hAnsi="Arial Narrow"/>
                <w:sz w:val="14"/>
                <w:szCs w:val="14"/>
              </w:rPr>
              <w:t> </w:t>
            </w:r>
            <w:r w:rsidRPr="00080B36">
              <w:rPr>
                <w:rFonts w:ascii="Arial Narrow" w:hAnsi="Arial Narrow"/>
                <w:sz w:val="14"/>
                <w:szCs w:val="14"/>
              </w:rPr>
              <w:t>886</w:t>
            </w:r>
            <w:r>
              <w:rPr>
                <w:rFonts w:ascii="Arial Narrow" w:hAnsi="Arial Narrow"/>
                <w:sz w:val="14"/>
                <w:szCs w:val="14"/>
              </w:rPr>
              <w:t xml:space="preserve"> </w:t>
            </w:r>
            <w:r w:rsidRPr="00080B36">
              <w:rPr>
                <w:rFonts w:ascii="Arial Narrow" w:hAnsi="Arial Narrow"/>
                <w:sz w:val="14"/>
                <w:szCs w:val="14"/>
              </w:rPr>
              <w:t>032</w:t>
            </w:r>
          </w:p>
        </w:tc>
        <w:tc>
          <w:tcPr>
            <w:tcW w:w="1057" w:type="dxa"/>
            <w:vAlign w:val="center"/>
          </w:tcPr>
          <w:p w14:paraId="45A884A2" w14:textId="5E4420D3" w:rsidR="0066678E" w:rsidRPr="0066678E" w:rsidRDefault="00080B36" w:rsidP="00080B36">
            <w:pPr>
              <w:jc w:val="right"/>
              <w:rPr>
                <w:rFonts w:ascii="Arial Narrow" w:hAnsi="Arial Narrow"/>
                <w:sz w:val="14"/>
                <w:szCs w:val="14"/>
              </w:rPr>
            </w:pPr>
            <w:r w:rsidRPr="00080B36">
              <w:rPr>
                <w:rFonts w:ascii="Arial Narrow" w:hAnsi="Arial Narrow"/>
                <w:sz w:val="14"/>
                <w:szCs w:val="14"/>
              </w:rPr>
              <w:t>142</w:t>
            </w:r>
            <w:r>
              <w:rPr>
                <w:rFonts w:ascii="Arial Narrow" w:hAnsi="Arial Narrow"/>
                <w:sz w:val="14"/>
                <w:szCs w:val="14"/>
              </w:rPr>
              <w:t> </w:t>
            </w:r>
            <w:r w:rsidRPr="00080B36">
              <w:rPr>
                <w:rFonts w:ascii="Arial Narrow" w:hAnsi="Arial Narrow"/>
                <w:sz w:val="14"/>
                <w:szCs w:val="14"/>
              </w:rPr>
              <w:t>038</w:t>
            </w:r>
            <w:r>
              <w:rPr>
                <w:rFonts w:ascii="Arial Narrow" w:hAnsi="Arial Narrow"/>
                <w:sz w:val="14"/>
                <w:szCs w:val="14"/>
              </w:rPr>
              <w:t xml:space="preserve"> </w:t>
            </w:r>
            <w:r w:rsidRPr="00080B36">
              <w:rPr>
                <w:rFonts w:ascii="Arial Narrow" w:hAnsi="Arial Narrow"/>
                <w:sz w:val="14"/>
                <w:szCs w:val="14"/>
              </w:rPr>
              <w:t>712</w:t>
            </w:r>
          </w:p>
        </w:tc>
        <w:tc>
          <w:tcPr>
            <w:tcW w:w="965" w:type="dxa"/>
            <w:vAlign w:val="center"/>
          </w:tcPr>
          <w:p w14:paraId="6CF5039B" w14:textId="76AC3244" w:rsidR="0066678E" w:rsidRPr="0066678E" w:rsidRDefault="00080B36" w:rsidP="00080B36">
            <w:pPr>
              <w:jc w:val="right"/>
              <w:rPr>
                <w:rFonts w:ascii="Arial Narrow" w:hAnsi="Arial Narrow"/>
                <w:sz w:val="14"/>
                <w:szCs w:val="14"/>
              </w:rPr>
            </w:pPr>
            <w:r w:rsidRPr="00080B36">
              <w:rPr>
                <w:rFonts w:ascii="Arial Narrow" w:hAnsi="Arial Narrow"/>
                <w:sz w:val="14"/>
                <w:szCs w:val="14"/>
              </w:rPr>
              <w:t>142</w:t>
            </w:r>
            <w:r>
              <w:rPr>
                <w:rFonts w:ascii="Arial Narrow" w:hAnsi="Arial Narrow"/>
                <w:sz w:val="14"/>
                <w:szCs w:val="14"/>
              </w:rPr>
              <w:t> </w:t>
            </w:r>
            <w:r w:rsidRPr="00080B36">
              <w:rPr>
                <w:rFonts w:ascii="Arial Narrow" w:hAnsi="Arial Narrow"/>
                <w:sz w:val="14"/>
                <w:szCs w:val="14"/>
              </w:rPr>
              <w:t>038</w:t>
            </w:r>
            <w:r>
              <w:rPr>
                <w:rFonts w:ascii="Arial Narrow" w:hAnsi="Arial Narrow"/>
                <w:sz w:val="14"/>
                <w:szCs w:val="14"/>
              </w:rPr>
              <w:t xml:space="preserve"> </w:t>
            </w:r>
            <w:r w:rsidRPr="00080B36">
              <w:rPr>
                <w:rFonts w:ascii="Arial Narrow" w:hAnsi="Arial Narrow"/>
                <w:sz w:val="14"/>
                <w:szCs w:val="14"/>
              </w:rPr>
              <w:t>712</w:t>
            </w:r>
          </w:p>
        </w:tc>
        <w:tc>
          <w:tcPr>
            <w:tcW w:w="980" w:type="dxa"/>
            <w:vAlign w:val="center"/>
          </w:tcPr>
          <w:p w14:paraId="0E983976" w14:textId="58F29397"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00E129EE" w14:textId="47113EF5" w:rsidR="0066678E" w:rsidRPr="0066678E" w:rsidRDefault="00080B36" w:rsidP="00080B36">
            <w:pPr>
              <w:jc w:val="right"/>
              <w:rPr>
                <w:rFonts w:ascii="Arial Narrow" w:hAnsi="Arial Narrow"/>
                <w:b/>
                <w:sz w:val="14"/>
                <w:szCs w:val="14"/>
              </w:rPr>
            </w:pPr>
            <w:r>
              <w:rPr>
                <w:rFonts w:ascii="Arial Narrow" w:hAnsi="Arial Narrow"/>
                <w:b/>
                <w:sz w:val="14"/>
                <w:szCs w:val="14"/>
              </w:rPr>
              <w:t>946 924 744</w:t>
            </w:r>
          </w:p>
        </w:tc>
        <w:tc>
          <w:tcPr>
            <w:tcW w:w="728" w:type="dxa"/>
            <w:vAlign w:val="center"/>
          </w:tcPr>
          <w:p w14:paraId="59123C91" w14:textId="5779206F"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2BAA6DDB" w14:textId="77777777" w:rsidR="0066678E" w:rsidRPr="00001F01" w:rsidRDefault="0066678E" w:rsidP="0066678E">
            <w:pPr>
              <w:pStyle w:val="Style30"/>
              <w:widowControl/>
              <w:jc w:val="center"/>
              <w:rPr>
                <w:rFonts w:ascii="Arial Narrow" w:hAnsi="Arial Narrow"/>
                <w:sz w:val="14"/>
                <w:szCs w:val="14"/>
              </w:rPr>
            </w:pPr>
          </w:p>
        </w:tc>
        <w:tc>
          <w:tcPr>
            <w:tcW w:w="1080" w:type="dxa"/>
            <w:vAlign w:val="center"/>
          </w:tcPr>
          <w:p w14:paraId="44452E12" w14:textId="7BA91857" w:rsidR="0066678E" w:rsidRPr="0066678E" w:rsidRDefault="00DA4E0D" w:rsidP="00DA4E0D">
            <w:pPr>
              <w:jc w:val="right"/>
              <w:rPr>
                <w:rFonts w:ascii="Arial Narrow" w:hAnsi="Arial Narrow"/>
                <w:sz w:val="14"/>
                <w:szCs w:val="14"/>
              </w:rPr>
            </w:pPr>
            <w:r>
              <w:rPr>
                <w:rFonts w:ascii="Arial Narrow" w:hAnsi="Arial Narrow"/>
                <w:sz w:val="14"/>
                <w:szCs w:val="14"/>
              </w:rPr>
              <w:t>523 358 992</w:t>
            </w:r>
          </w:p>
        </w:tc>
        <w:tc>
          <w:tcPr>
            <w:tcW w:w="1023" w:type="dxa"/>
            <w:vAlign w:val="center"/>
          </w:tcPr>
          <w:p w14:paraId="2D053544" w14:textId="241D3A6F" w:rsidR="0066678E" w:rsidRPr="0066678E" w:rsidRDefault="00DA4E0D" w:rsidP="00E61DFB">
            <w:pPr>
              <w:jc w:val="right"/>
              <w:rPr>
                <w:rFonts w:ascii="Arial Narrow" w:hAnsi="Arial Narrow"/>
                <w:sz w:val="14"/>
                <w:szCs w:val="14"/>
              </w:rPr>
            </w:pPr>
            <w:r>
              <w:rPr>
                <w:rFonts w:ascii="Arial Narrow" w:hAnsi="Arial Narrow"/>
                <w:sz w:val="14"/>
                <w:szCs w:val="14"/>
              </w:rPr>
              <w:t>92 357 4</w:t>
            </w:r>
            <w:r w:rsidR="00E61DFB">
              <w:rPr>
                <w:rFonts w:ascii="Arial Narrow" w:hAnsi="Arial Narrow"/>
                <w:sz w:val="14"/>
                <w:szCs w:val="14"/>
              </w:rPr>
              <w:t>69</w:t>
            </w:r>
          </w:p>
        </w:tc>
        <w:tc>
          <w:tcPr>
            <w:tcW w:w="992" w:type="dxa"/>
            <w:vAlign w:val="center"/>
          </w:tcPr>
          <w:p w14:paraId="3BD94B8B" w14:textId="05AE8435" w:rsidR="0066678E" w:rsidRPr="0066678E" w:rsidRDefault="00C777BD" w:rsidP="00C777BD">
            <w:pPr>
              <w:jc w:val="right"/>
              <w:rPr>
                <w:rFonts w:ascii="Arial Narrow" w:hAnsi="Arial Narrow"/>
                <w:sz w:val="14"/>
                <w:szCs w:val="14"/>
              </w:rPr>
            </w:pPr>
            <w:r>
              <w:rPr>
                <w:rFonts w:ascii="Arial Narrow" w:hAnsi="Arial Narrow"/>
                <w:sz w:val="14"/>
                <w:szCs w:val="14"/>
              </w:rPr>
              <w:t>281 527 040</w:t>
            </w:r>
          </w:p>
        </w:tc>
        <w:tc>
          <w:tcPr>
            <w:tcW w:w="952" w:type="dxa"/>
            <w:vAlign w:val="center"/>
          </w:tcPr>
          <w:p w14:paraId="1A33E52C" w14:textId="13129583" w:rsidR="0066678E" w:rsidRPr="0066678E" w:rsidRDefault="00C777BD" w:rsidP="00E61DFB">
            <w:pPr>
              <w:jc w:val="right"/>
              <w:rPr>
                <w:rFonts w:ascii="Arial Narrow" w:hAnsi="Arial Narrow"/>
                <w:sz w:val="14"/>
                <w:szCs w:val="14"/>
              </w:rPr>
            </w:pPr>
            <w:r>
              <w:rPr>
                <w:rFonts w:ascii="Arial Narrow" w:hAnsi="Arial Narrow"/>
                <w:sz w:val="14"/>
                <w:szCs w:val="14"/>
              </w:rPr>
              <w:t>49 681 24</w:t>
            </w:r>
            <w:r w:rsidR="00E61DFB">
              <w:rPr>
                <w:rFonts w:ascii="Arial Narrow" w:hAnsi="Arial Narrow"/>
                <w:sz w:val="14"/>
                <w:szCs w:val="14"/>
              </w:rPr>
              <w:t>3</w:t>
            </w:r>
          </w:p>
        </w:tc>
        <w:tc>
          <w:tcPr>
            <w:tcW w:w="993" w:type="dxa"/>
            <w:vAlign w:val="center"/>
          </w:tcPr>
          <w:p w14:paraId="53EB7C02" w14:textId="4AFE752B" w:rsidR="0066678E" w:rsidRPr="005F5239" w:rsidRDefault="00C777BD" w:rsidP="00C777BD">
            <w:pPr>
              <w:pStyle w:val="Style30"/>
              <w:widowControl/>
              <w:jc w:val="center"/>
              <w:rPr>
                <w:rFonts w:ascii="Arial Narrow" w:hAnsi="Arial Narrow"/>
                <w:sz w:val="14"/>
                <w:szCs w:val="14"/>
              </w:rPr>
            </w:pPr>
            <w:r>
              <w:rPr>
                <w:rFonts w:ascii="Arial Narrow" w:hAnsi="Arial Narrow"/>
                <w:sz w:val="14"/>
                <w:szCs w:val="14"/>
              </w:rPr>
              <w:t>34,98</w:t>
            </w:r>
            <w:r w:rsidR="0066678E" w:rsidRPr="0066678E">
              <w:rPr>
                <w:rFonts w:ascii="Arial Narrow" w:hAnsi="Arial Narrow"/>
                <w:sz w:val="14"/>
                <w:szCs w:val="14"/>
              </w:rPr>
              <w:t>%</w:t>
            </w:r>
          </w:p>
        </w:tc>
      </w:tr>
      <w:tr w:rsidR="0066678E" w:rsidRPr="00001F01" w14:paraId="480245C9" w14:textId="77777777" w:rsidTr="00351D17">
        <w:trPr>
          <w:trHeight w:val="339"/>
        </w:trPr>
        <w:tc>
          <w:tcPr>
            <w:tcW w:w="704" w:type="dxa"/>
            <w:vAlign w:val="center"/>
          </w:tcPr>
          <w:p w14:paraId="28FFE82E" w14:textId="77777777" w:rsidR="0066678E" w:rsidRPr="00001F01" w:rsidRDefault="0066678E" w:rsidP="0066678E">
            <w:pPr>
              <w:rPr>
                <w:rStyle w:val="FontStyle86"/>
                <w:rFonts w:ascii="Arial Narrow" w:eastAsiaTheme="majorEastAsia" w:hAnsi="Arial Narrow"/>
              </w:rPr>
            </w:pPr>
            <w:r w:rsidRPr="00001F01">
              <w:rPr>
                <w:rStyle w:val="FontStyle86"/>
                <w:rFonts w:ascii="Arial Narrow" w:eastAsiaTheme="majorEastAsia" w:hAnsi="Arial Narrow"/>
              </w:rPr>
              <w:t>PO 7</w:t>
            </w:r>
          </w:p>
        </w:tc>
        <w:tc>
          <w:tcPr>
            <w:tcW w:w="530" w:type="dxa"/>
            <w:vAlign w:val="center"/>
          </w:tcPr>
          <w:p w14:paraId="7C7AF8AF"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14:paraId="14A358D3" w14:textId="77777777" w:rsidR="0066678E" w:rsidRPr="00001F01" w:rsidRDefault="0066678E" w:rsidP="0066678E">
            <w:pPr>
              <w:pStyle w:val="Style30"/>
              <w:widowControl/>
              <w:jc w:val="center"/>
              <w:rPr>
                <w:rFonts w:ascii="Arial Narrow" w:hAnsi="Arial Narrow"/>
                <w:i/>
                <w:sz w:val="14"/>
                <w:szCs w:val="14"/>
              </w:rPr>
            </w:pPr>
            <w:r w:rsidRPr="00001F01">
              <w:rPr>
                <w:rFonts w:ascii="Arial Narrow" w:hAnsi="Arial Narrow"/>
                <w:i/>
                <w:sz w:val="14"/>
                <w:szCs w:val="14"/>
              </w:rPr>
              <w:t>Menej rozvinuté</w:t>
            </w:r>
          </w:p>
        </w:tc>
        <w:tc>
          <w:tcPr>
            <w:tcW w:w="1194" w:type="dxa"/>
            <w:vAlign w:val="center"/>
          </w:tcPr>
          <w:p w14:paraId="599344E2" w14:textId="77777777" w:rsidR="0066678E" w:rsidRPr="00001F01"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1C66EB8" w14:textId="1EE1BD67" w:rsidR="0066678E" w:rsidRPr="005F5239" w:rsidRDefault="00D9308B" w:rsidP="00D9308B">
            <w:pPr>
              <w:pStyle w:val="Style30"/>
              <w:widowControl/>
              <w:jc w:val="right"/>
              <w:rPr>
                <w:rFonts w:ascii="Arial Narrow" w:hAnsi="Arial Narrow"/>
                <w:sz w:val="14"/>
                <w:szCs w:val="14"/>
              </w:rPr>
            </w:pPr>
            <w:r w:rsidRPr="00D9308B">
              <w:rPr>
                <w:rFonts w:ascii="Arial Narrow" w:hAnsi="Arial Narrow"/>
                <w:sz w:val="14"/>
                <w:szCs w:val="14"/>
              </w:rPr>
              <w:t>736</w:t>
            </w:r>
            <w:r>
              <w:rPr>
                <w:rFonts w:ascii="Arial Narrow" w:hAnsi="Arial Narrow"/>
                <w:sz w:val="14"/>
                <w:szCs w:val="14"/>
              </w:rPr>
              <w:t> </w:t>
            </w:r>
            <w:r w:rsidRPr="00D9308B">
              <w:rPr>
                <w:rFonts w:ascii="Arial Narrow" w:hAnsi="Arial Narrow"/>
                <w:sz w:val="14"/>
                <w:szCs w:val="14"/>
              </w:rPr>
              <w:t>940</w:t>
            </w:r>
            <w:r>
              <w:rPr>
                <w:rFonts w:ascii="Arial Narrow" w:hAnsi="Arial Narrow"/>
                <w:sz w:val="14"/>
                <w:szCs w:val="14"/>
              </w:rPr>
              <w:t xml:space="preserve"> </w:t>
            </w:r>
            <w:r w:rsidRPr="00D9308B">
              <w:rPr>
                <w:rFonts w:ascii="Arial Narrow" w:hAnsi="Arial Narrow"/>
                <w:sz w:val="14"/>
                <w:szCs w:val="14"/>
              </w:rPr>
              <w:t>302</w:t>
            </w:r>
          </w:p>
        </w:tc>
        <w:tc>
          <w:tcPr>
            <w:tcW w:w="1057" w:type="dxa"/>
            <w:vAlign w:val="center"/>
          </w:tcPr>
          <w:p w14:paraId="34922970" w14:textId="552BD688" w:rsidR="0066678E" w:rsidRPr="0066678E" w:rsidRDefault="00D9308B" w:rsidP="00D9308B">
            <w:pPr>
              <w:jc w:val="right"/>
              <w:rPr>
                <w:rFonts w:ascii="Arial Narrow" w:hAnsi="Arial Narrow"/>
                <w:sz w:val="14"/>
                <w:szCs w:val="14"/>
              </w:rPr>
            </w:pPr>
            <w:r w:rsidRPr="00D9308B">
              <w:rPr>
                <w:rFonts w:ascii="Arial Narrow" w:hAnsi="Arial Narrow"/>
                <w:sz w:val="14"/>
                <w:szCs w:val="14"/>
              </w:rPr>
              <w:t>130</w:t>
            </w:r>
            <w:r>
              <w:rPr>
                <w:rFonts w:ascii="Arial Narrow" w:hAnsi="Arial Narrow"/>
                <w:sz w:val="14"/>
                <w:szCs w:val="14"/>
              </w:rPr>
              <w:t> </w:t>
            </w:r>
            <w:r w:rsidRPr="00D9308B">
              <w:rPr>
                <w:rFonts w:ascii="Arial Narrow" w:hAnsi="Arial Narrow"/>
                <w:sz w:val="14"/>
                <w:szCs w:val="14"/>
              </w:rPr>
              <w:t>048</w:t>
            </w:r>
            <w:r>
              <w:rPr>
                <w:rFonts w:ascii="Arial Narrow" w:hAnsi="Arial Narrow"/>
                <w:sz w:val="14"/>
                <w:szCs w:val="14"/>
              </w:rPr>
              <w:t xml:space="preserve"> </w:t>
            </w:r>
            <w:r w:rsidRPr="00D9308B">
              <w:rPr>
                <w:rFonts w:ascii="Arial Narrow" w:hAnsi="Arial Narrow"/>
                <w:sz w:val="14"/>
                <w:szCs w:val="14"/>
              </w:rPr>
              <w:t>289</w:t>
            </w:r>
          </w:p>
        </w:tc>
        <w:tc>
          <w:tcPr>
            <w:tcW w:w="965" w:type="dxa"/>
            <w:vAlign w:val="center"/>
          </w:tcPr>
          <w:p w14:paraId="664C880D" w14:textId="0DD20F81" w:rsidR="0066678E" w:rsidRPr="0066678E" w:rsidRDefault="00D9308B" w:rsidP="00D9308B">
            <w:pPr>
              <w:jc w:val="right"/>
              <w:rPr>
                <w:rFonts w:ascii="Arial Narrow" w:hAnsi="Arial Narrow"/>
                <w:sz w:val="14"/>
                <w:szCs w:val="14"/>
              </w:rPr>
            </w:pPr>
            <w:r w:rsidRPr="00D9308B">
              <w:rPr>
                <w:rFonts w:ascii="Arial Narrow" w:hAnsi="Arial Narrow"/>
                <w:sz w:val="14"/>
                <w:szCs w:val="14"/>
              </w:rPr>
              <w:t>130</w:t>
            </w:r>
            <w:r>
              <w:rPr>
                <w:rFonts w:ascii="Arial Narrow" w:hAnsi="Arial Narrow"/>
                <w:sz w:val="14"/>
                <w:szCs w:val="14"/>
              </w:rPr>
              <w:t> </w:t>
            </w:r>
            <w:r w:rsidRPr="00D9308B">
              <w:rPr>
                <w:rFonts w:ascii="Arial Narrow" w:hAnsi="Arial Narrow"/>
                <w:sz w:val="14"/>
                <w:szCs w:val="14"/>
              </w:rPr>
              <w:t>048</w:t>
            </w:r>
            <w:r>
              <w:rPr>
                <w:rFonts w:ascii="Arial Narrow" w:hAnsi="Arial Narrow"/>
                <w:sz w:val="14"/>
                <w:szCs w:val="14"/>
              </w:rPr>
              <w:t xml:space="preserve"> </w:t>
            </w:r>
            <w:r w:rsidRPr="00D9308B">
              <w:rPr>
                <w:rFonts w:ascii="Arial Narrow" w:hAnsi="Arial Narrow"/>
                <w:sz w:val="14"/>
                <w:szCs w:val="14"/>
              </w:rPr>
              <w:t>289</w:t>
            </w:r>
          </w:p>
        </w:tc>
        <w:tc>
          <w:tcPr>
            <w:tcW w:w="980" w:type="dxa"/>
            <w:vAlign w:val="center"/>
          </w:tcPr>
          <w:p w14:paraId="210C4DD1" w14:textId="131EC3A7"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7011FE66" w14:textId="4EA97126" w:rsidR="0066678E" w:rsidRPr="0066678E" w:rsidRDefault="00D9308B" w:rsidP="00D9308B">
            <w:pPr>
              <w:jc w:val="right"/>
              <w:rPr>
                <w:rFonts w:ascii="Arial Narrow" w:hAnsi="Arial Narrow"/>
                <w:b/>
                <w:sz w:val="14"/>
                <w:szCs w:val="14"/>
              </w:rPr>
            </w:pPr>
            <w:r>
              <w:rPr>
                <w:rFonts w:ascii="Arial Narrow" w:hAnsi="Arial Narrow"/>
                <w:b/>
                <w:sz w:val="14"/>
                <w:szCs w:val="14"/>
              </w:rPr>
              <w:t>866 988 591</w:t>
            </w:r>
          </w:p>
        </w:tc>
        <w:tc>
          <w:tcPr>
            <w:tcW w:w="728" w:type="dxa"/>
            <w:vAlign w:val="center"/>
          </w:tcPr>
          <w:p w14:paraId="7D598716" w14:textId="47CEA69F"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6EA056E4" w14:textId="77777777" w:rsidR="0066678E" w:rsidRPr="00001F01" w:rsidRDefault="0066678E" w:rsidP="0066678E">
            <w:pPr>
              <w:pStyle w:val="Style30"/>
              <w:widowControl/>
              <w:jc w:val="center"/>
              <w:rPr>
                <w:rFonts w:ascii="Arial Narrow" w:hAnsi="Arial Narrow"/>
                <w:sz w:val="14"/>
                <w:szCs w:val="14"/>
              </w:rPr>
            </w:pPr>
          </w:p>
        </w:tc>
        <w:tc>
          <w:tcPr>
            <w:tcW w:w="1080" w:type="dxa"/>
            <w:vAlign w:val="center"/>
          </w:tcPr>
          <w:p w14:paraId="18326B6E" w14:textId="5DDAFEF9" w:rsidR="0066678E" w:rsidRPr="0066678E" w:rsidRDefault="0066678E" w:rsidP="0066678E">
            <w:pPr>
              <w:jc w:val="right"/>
              <w:rPr>
                <w:rFonts w:ascii="Arial Narrow" w:hAnsi="Arial Narrow"/>
                <w:sz w:val="14"/>
                <w:szCs w:val="14"/>
              </w:rPr>
            </w:pPr>
            <w:r w:rsidRPr="0066678E">
              <w:rPr>
                <w:rFonts w:ascii="Arial Narrow" w:hAnsi="Arial Narrow"/>
                <w:sz w:val="14"/>
                <w:szCs w:val="14"/>
              </w:rPr>
              <w:t>736 940 302</w:t>
            </w:r>
          </w:p>
        </w:tc>
        <w:tc>
          <w:tcPr>
            <w:tcW w:w="1023" w:type="dxa"/>
            <w:vAlign w:val="center"/>
          </w:tcPr>
          <w:p w14:paraId="61502583" w14:textId="35746ECC" w:rsidR="0066678E" w:rsidRPr="0066678E" w:rsidRDefault="0066678E" w:rsidP="0066678E">
            <w:pPr>
              <w:jc w:val="right"/>
              <w:rPr>
                <w:rFonts w:ascii="Arial Narrow" w:hAnsi="Arial Narrow"/>
                <w:sz w:val="14"/>
                <w:szCs w:val="14"/>
              </w:rPr>
            </w:pPr>
            <w:r w:rsidRPr="0066678E">
              <w:rPr>
                <w:rFonts w:ascii="Arial Narrow" w:hAnsi="Arial Narrow"/>
                <w:sz w:val="14"/>
                <w:szCs w:val="14"/>
              </w:rPr>
              <w:t>130 048 289</w:t>
            </w:r>
          </w:p>
        </w:tc>
        <w:tc>
          <w:tcPr>
            <w:tcW w:w="992" w:type="dxa"/>
            <w:vAlign w:val="center"/>
          </w:tcPr>
          <w:p w14:paraId="5ABC0887" w14:textId="55669BDD" w:rsidR="0066678E" w:rsidRPr="0066678E" w:rsidRDefault="00C777BD" w:rsidP="00C777BD">
            <w:pPr>
              <w:jc w:val="right"/>
              <w:rPr>
                <w:rFonts w:ascii="Arial Narrow" w:hAnsi="Arial Narrow"/>
                <w:sz w:val="14"/>
                <w:szCs w:val="14"/>
              </w:rPr>
            </w:pPr>
            <w:r>
              <w:rPr>
                <w:rFonts w:ascii="Arial Narrow" w:hAnsi="Arial Narrow"/>
                <w:sz w:val="14"/>
                <w:szCs w:val="14"/>
              </w:rPr>
              <w:t>0</w:t>
            </w:r>
          </w:p>
        </w:tc>
        <w:tc>
          <w:tcPr>
            <w:tcW w:w="952" w:type="dxa"/>
            <w:vAlign w:val="center"/>
          </w:tcPr>
          <w:p w14:paraId="7A9FF922" w14:textId="5C765E0D" w:rsidR="0066678E" w:rsidRPr="0066678E" w:rsidRDefault="00C777BD" w:rsidP="00C777BD">
            <w:pPr>
              <w:jc w:val="right"/>
              <w:rPr>
                <w:rFonts w:ascii="Arial Narrow" w:hAnsi="Arial Narrow"/>
                <w:sz w:val="14"/>
                <w:szCs w:val="14"/>
              </w:rPr>
            </w:pPr>
            <w:r>
              <w:rPr>
                <w:rFonts w:ascii="Arial Narrow" w:hAnsi="Arial Narrow"/>
                <w:sz w:val="14"/>
                <w:szCs w:val="14"/>
              </w:rPr>
              <w:t>0</w:t>
            </w:r>
          </w:p>
        </w:tc>
        <w:tc>
          <w:tcPr>
            <w:tcW w:w="993" w:type="dxa"/>
            <w:vAlign w:val="center"/>
          </w:tcPr>
          <w:p w14:paraId="6625823D" w14:textId="440300B9" w:rsidR="0066678E" w:rsidRPr="005F5239" w:rsidRDefault="00C777BD" w:rsidP="00C777BD">
            <w:pPr>
              <w:pStyle w:val="Style30"/>
              <w:widowControl/>
              <w:jc w:val="center"/>
              <w:rPr>
                <w:rFonts w:ascii="Arial Narrow" w:hAnsi="Arial Narrow"/>
                <w:sz w:val="14"/>
                <w:szCs w:val="14"/>
              </w:rPr>
            </w:pPr>
            <w:r>
              <w:rPr>
                <w:rFonts w:ascii="Arial Narrow" w:hAnsi="Arial Narrow"/>
                <w:sz w:val="14"/>
                <w:szCs w:val="14"/>
              </w:rPr>
              <w:t>0</w:t>
            </w:r>
            <w:r w:rsidR="0066678E" w:rsidRPr="0066678E">
              <w:rPr>
                <w:rFonts w:ascii="Arial Narrow" w:hAnsi="Arial Narrow"/>
                <w:sz w:val="14"/>
                <w:szCs w:val="14"/>
              </w:rPr>
              <w:t>%</w:t>
            </w:r>
          </w:p>
        </w:tc>
      </w:tr>
      <w:tr w:rsidR="0084414B" w:rsidRPr="00001F01" w14:paraId="1C9C5495" w14:textId="77777777" w:rsidTr="0066678E">
        <w:trPr>
          <w:trHeight w:val="339"/>
        </w:trPr>
        <w:tc>
          <w:tcPr>
            <w:tcW w:w="704" w:type="dxa"/>
            <w:vAlign w:val="center"/>
          </w:tcPr>
          <w:p w14:paraId="1A3C11E1" w14:textId="77777777" w:rsidR="0084414B" w:rsidRPr="00001F01" w:rsidRDefault="0084414B" w:rsidP="00A46625">
            <w:pPr>
              <w:rPr>
                <w:rStyle w:val="FontStyle86"/>
                <w:rFonts w:ascii="Arial Narrow" w:eastAsiaTheme="majorEastAsia" w:hAnsi="Arial Narrow"/>
              </w:rPr>
            </w:pPr>
            <w:r w:rsidRPr="00001F01">
              <w:rPr>
                <w:rStyle w:val="FontStyle86"/>
                <w:rFonts w:ascii="Arial Narrow" w:eastAsiaTheme="majorEastAsia" w:hAnsi="Arial Narrow"/>
              </w:rPr>
              <w:t>PO 8</w:t>
            </w:r>
          </w:p>
        </w:tc>
        <w:tc>
          <w:tcPr>
            <w:tcW w:w="530" w:type="dxa"/>
            <w:vAlign w:val="center"/>
          </w:tcPr>
          <w:p w14:paraId="0D86A0C2" w14:textId="77777777"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00D1F8EA" w14:textId="77777777" w:rsidR="0084414B" w:rsidRPr="00001F01" w:rsidRDefault="0087471C" w:rsidP="00A46625">
            <w:pPr>
              <w:pStyle w:val="Style30"/>
              <w:widowControl/>
              <w:jc w:val="center"/>
              <w:rPr>
                <w:rFonts w:ascii="Arial Narrow" w:hAnsi="Arial Narrow"/>
                <w:sz w:val="14"/>
                <w:szCs w:val="14"/>
              </w:rPr>
            </w:pPr>
            <w:r>
              <w:rPr>
                <w:rFonts w:ascii="Arial Narrow" w:hAnsi="Arial Narrow"/>
                <w:i/>
                <w:sz w:val="14"/>
                <w:szCs w:val="14"/>
              </w:rPr>
              <w:t>Menej rozvinuté</w:t>
            </w:r>
          </w:p>
        </w:tc>
        <w:tc>
          <w:tcPr>
            <w:tcW w:w="1194" w:type="dxa"/>
            <w:vAlign w:val="center"/>
          </w:tcPr>
          <w:p w14:paraId="1246D299" w14:textId="77777777" w:rsidR="0084414B" w:rsidRPr="004741E0" w:rsidRDefault="0084414B" w:rsidP="00197539">
            <w:pPr>
              <w:jc w:val="center"/>
              <w:rPr>
                <w:rFonts w:ascii="Arial Narrow" w:hAnsi="Arial Narrow"/>
                <w:b/>
                <w:bCs/>
                <w:color w:val="000000"/>
                <w:sz w:val="14"/>
                <w:szCs w:val="14"/>
              </w:rPr>
            </w:pPr>
            <w:r>
              <w:rPr>
                <w:rFonts w:ascii="Arial Narrow" w:hAnsi="Arial Narrow"/>
                <w:bCs/>
                <w:color w:val="000000"/>
                <w:sz w:val="14"/>
                <w:szCs w:val="14"/>
              </w:rPr>
              <w:t>Celkové oprávnené výdavky</w:t>
            </w:r>
          </w:p>
        </w:tc>
        <w:tc>
          <w:tcPr>
            <w:tcW w:w="1068" w:type="dxa"/>
            <w:vAlign w:val="center"/>
          </w:tcPr>
          <w:p w14:paraId="4209E3CB" w14:textId="77777777" w:rsidR="0084414B" w:rsidRPr="00001F01" w:rsidRDefault="00B45E13" w:rsidP="00B45E13">
            <w:pPr>
              <w:pStyle w:val="Style30"/>
              <w:widowControl/>
              <w:jc w:val="right"/>
              <w:rPr>
                <w:rFonts w:ascii="Arial Narrow" w:hAnsi="Arial Narrow"/>
                <w:sz w:val="14"/>
                <w:szCs w:val="14"/>
              </w:rPr>
            </w:pPr>
            <w:r w:rsidRPr="00001F01">
              <w:rPr>
                <w:rFonts w:ascii="Arial Narrow" w:hAnsi="Arial Narrow"/>
                <w:sz w:val="14"/>
                <w:szCs w:val="14"/>
              </w:rPr>
              <w:t>8</w:t>
            </w:r>
            <w:r>
              <w:rPr>
                <w:rFonts w:ascii="Arial Narrow" w:hAnsi="Arial Narrow"/>
                <w:sz w:val="14"/>
                <w:szCs w:val="14"/>
              </w:rPr>
              <w:t>7</w:t>
            </w:r>
            <w:r w:rsidRPr="00001F01">
              <w:rPr>
                <w:rFonts w:ascii="Arial Narrow" w:hAnsi="Arial Narrow"/>
                <w:sz w:val="14"/>
                <w:szCs w:val="14"/>
              </w:rPr>
              <w:t> </w:t>
            </w:r>
            <w:r w:rsidR="0084414B" w:rsidRPr="00001F01">
              <w:rPr>
                <w:rFonts w:ascii="Arial Narrow" w:hAnsi="Arial Narrow"/>
                <w:sz w:val="14"/>
                <w:szCs w:val="14"/>
              </w:rPr>
              <w:t>000 000</w:t>
            </w:r>
          </w:p>
        </w:tc>
        <w:tc>
          <w:tcPr>
            <w:tcW w:w="1057" w:type="dxa"/>
            <w:vAlign w:val="center"/>
          </w:tcPr>
          <w:p w14:paraId="1074A82C" w14:textId="77777777" w:rsidR="001328F3" w:rsidRDefault="0084414B">
            <w:pPr>
              <w:jc w:val="right"/>
              <w:rPr>
                <w:rFonts w:ascii="Arial Narrow" w:hAnsi="Arial Narrow"/>
                <w:color w:val="000000"/>
                <w:sz w:val="14"/>
                <w:szCs w:val="14"/>
              </w:rPr>
            </w:pPr>
            <w:r w:rsidRPr="00001F01">
              <w:rPr>
                <w:rFonts w:ascii="Arial Narrow" w:hAnsi="Arial Narrow"/>
                <w:color w:val="000000"/>
                <w:sz w:val="14"/>
                <w:szCs w:val="14"/>
              </w:rPr>
              <w:t>15 </w:t>
            </w:r>
            <w:r w:rsidR="00B45E13">
              <w:rPr>
                <w:rFonts w:ascii="Arial Narrow" w:hAnsi="Arial Narrow"/>
                <w:color w:val="000000"/>
                <w:sz w:val="14"/>
                <w:szCs w:val="14"/>
              </w:rPr>
              <w:t>352 942</w:t>
            </w:r>
          </w:p>
        </w:tc>
        <w:tc>
          <w:tcPr>
            <w:tcW w:w="965" w:type="dxa"/>
            <w:vAlign w:val="center"/>
          </w:tcPr>
          <w:p w14:paraId="66644B71" w14:textId="77777777" w:rsidR="001328F3" w:rsidRDefault="0084414B">
            <w:pPr>
              <w:jc w:val="right"/>
              <w:rPr>
                <w:rFonts w:ascii="Arial Narrow" w:hAnsi="Arial Narrow"/>
                <w:color w:val="000000"/>
                <w:sz w:val="14"/>
                <w:szCs w:val="14"/>
              </w:rPr>
            </w:pPr>
            <w:r w:rsidRPr="00001F01">
              <w:rPr>
                <w:rFonts w:ascii="Arial Narrow" w:hAnsi="Arial Narrow"/>
                <w:color w:val="000000"/>
                <w:sz w:val="14"/>
                <w:szCs w:val="14"/>
              </w:rPr>
              <w:t>15 </w:t>
            </w:r>
            <w:r w:rsidR="00B45E13">
              <w:rPr>
                <w:rFonts w:ascii="Arial Narrow" w:hAnsi="Arial Narrow"/>
                <w:color w:val="000000"/>
                <w:sz w:val="14"/>
                <w:szCs w:val="14"/>
              </w:rPr>
              <w:t>352 942</w:t>
            </w:r>
          </w:p>
        </w:tc>
        <w:tc>
          <w:tcPr>
            <w:tcW w:w="980" w:type="dxa"/>
            <w:vAlign w:val="center"/>
          </w:tcPr>
          <w:p w14:paraId="30AF1561" w14:textId="77777777"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47D3F039" w14:textId="77777777" w:rsidR="001328F3" w:rsidRDefault="0084414B">
            <w:pPr>
              <w:jc w:val="right"/>
              <w:rPr>
                <w:rFonts w:ascii="Arial Narrow" w:hAnsi="Arial Narrow"/>
                <w:b/>
                <w:bCs/>
                <w:color w:val="000000"/>
                <w:sz w:val="14"/>
                <w:szCs w:val="14"/>
              </w:rPr>
            </w:pPr>
            <w:r w:rsidRPr="00001F01">
              <w:rPr>
                <w:rFonts w:ascii="Arial Narrow" w:hAnsi="Arial Narrow"/>
                <w:b/>
                <w:bCs/>
                <w:color w:val="000000"/>
                <w:sz w:val="14"/>
                <w:szCs w:val="14"/>
              </w:rPr>
              <w:t>10</w:t>
            </w:r>
            <w:r w:rsidR="00B45E13">
              <w:rPr>
                <w:rFonts w:ascii="Arial Narrow" w:hAnsi="Arial Narrow"/>
                <w:b/>
                <w:bCs/>
                <w:color w:val="000000"/>
                <w:sz w:val="14"/>
                <w:szCs w:val="14"/>
              </w:rPr>
              <w:t>2 352 942</w:t>
            </w:r>
          </w:p>
        </w:tc>
        <w:tc>
          <w:tcPr>
            <w:tcW w:w="728" w:type="dxa"/>
            <w:vAlign w:val="center"/>
          </w:tcPr>
          <w:p w14:paraId="28B38736" w14:textId="3AA4ADE2" w:rsidR="0084414B" w:rsidRPr="00001F01" w:rsidRDefault="0084414B" w:rsidP="00E61DFB">
            <w:pPr>
              <w:pStyle w:val="Style30"/>
              <w:widowControl/>
              <w:jc w:val="center"/>
              <w:rPr>
                <w:rFonts w:ascii="Arial Narrow" w:hAnsi="Arial Narrow"/>
                <w:sz w:val="14"/>
                <w:szCs w:val="14"/>
              </w:rPr>
            </w:pPr>
            <w:r w:rsidRPr="00001F01">
              <w:rPr>
                <w:rFonts w:ascii="Arial Narrow" w:hAnsi="Arial Narrow"/>
                <w:sz w:val="14"/>
                <w:szCs w:val="14"/>
              </w:rPr>
              <w:t>85,0</w:t>
            </w:r>
            <w:r w:rsidR="00E61DFB">
              <w:rPr>
                <w:rFonts w:ascii="Arial Narrow" w:hAnsi="Arial Narrow"/>
                <w:sz w:val="14"/>
                <w:szCs w:val="14"/>
              </w:rPr>
              <w:t>0</w:t>
            </w:r>
            <w:r w:rsidRPr="00001F01">
              <w:rPr>
                <w:rFonts w:ascii="Arial Narrow" w:hAnsi="Arial Narrow"/>
                <w:sz w:val="14"/>
                <w:szCs w:val="14"/>
                <w:lang w:val="en-US"/>
              </w:rPr>
              <w:t>%</w:t>
            </w:r>
          </w:p>
        </w:tc>
        <w:tc>
          <w:tcPr>
            <w:tcW w:w="784" w:type="dxa"/>
            <w:vAlign w:val="center"/>
          </w:tcPr>
          <w:p w14:paraId="0A56E78E"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42FDEA42" w14:textId="77777777" w:rsidR="001328F3" w:rsidRDefault="00B45E13">
            <w:pPr>
              <w:jc w:val="right"/>
              <w:rPr>
                <w:rFonts w:ascii="Arial Narrow" w:hAnsi="Arial Narrow"/>
                <w:color w:val="000000"/>
                <w:sz w:val="14"/>
                <w:szCs w:val="14"/>
              </w:rPr>
            </w:pPr>
            <w:r>
              <w:rPr>
                <w:rFonts w:ascii="Arial Narrow" w:hAnsi="Arial Narrow"/>
                <w:color w:val="000000"/>
                <w:sz w:val="14"/>
                <w:szCs w:val="14"/>
              </w:rPr>
              <w:t>87 </w:t>
            </w:r>
            <w:r w:rsidR="0084414B">
              <w:rPr>
                <w:rFonts w:ascii="Arial Narrow" w:hAnsi="Arial Narrow"/>
                <w:color w:val="000000"/>
                <w:sz w:val="14"/>
                <w:szCs w:val="14"/>
              </w:rPr>
              <w:t>000 000</w:t>
            </w:r>
          </w:p>
        </w:tc>
        <w:tc>
          <w:tcPr>
            <w:tcW w:w="1023" w:type="dxa"/>
            <w:vAlign w:val="center"/>
          </w:tcPr>
          <w:p w14:paraId="2210BE3F" w14:textId="77777777" w:rsidR="001328F3" w:rsidRDefault="0084414B">
            <w:pPr>
              <w:jc w:val="right"/>
              <w:rPr>
                <w:rFonts w:ascii="Arial Narrow" w:hAnsi="Arial Narrow"/>
                <w:color w:val="000000"/>
                <w:sz w:val="14"/>
                <w:szCs w:val="14"/>
              </w:rPr>
            </w:pPr>
            <w:r>
              <w:rPr>
                <w:rFonts w:ascii="Arial Narrow" w:hAnsi="Arial Narrow"/>
                <w:color w:val="000000"/>
                <w:sz w:val="14"/>
                <w:szCs w:val="14"/>
              </w:rPr>
              <w:t>15 </w:t>
            </w:r>
            <w:r w:rsidR="00B45E13">
              <w:rPr>
                <w:rFonts w:ascii="Arial Narrow" w:hAnsi="Arial Narrow"/>
                <w:color w:val="000000"/>
                <w:sz w:val="14"/>
                <w:szCs w:val="14"/>
              </w:rPr>
              <w:t>352 942</w:t>
            </w:r>
          </w:p>
        </w:tc>
        <w:tc>
          <w:tcPr>
            <w:tcW w:w="992" w:type="dxa"/>
            <w:vAlign w:val="center"/>
          </w:tcPr>
          <w:p w14:paraId="775F294F"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0</w:t>
            </w:r>
          </w:p>
        </w:tc>
        <w:tc>
          <w:tcPr>
            <w:tcW w:w="952" w:type="dxa"/>
            <w:vAlign w:val="center"/>
          </w:tcPr>
          <w:p w14:paraId="18C0C545"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0</w:t>
            </w:r>
          </w:p>
        </w:tc>
        <w:tc>
          <w:tcPr>
            <w:tcW w:w="993" w:type="dxa"/>
            <w:vAlign w:val="center"/>
          </w:tcPr>
          <w:p w14:paraId="365CAE6D" w14:textId="228C58CB" w:rsidR="0084414B" w:rsidRPr="00001F01" w:rsidRDefault="0098355B" w:rsidP="00A46625">
            <w:pPr>
              <w:pStyle w:val="Style30"/>
              <w:widowControl/>
              <w:jc w:val="center"/>
              <w:rPr>
                <w:rFonts w:ascii="Arial Narrow" w:hAnsi="Arial Narrow"/>
                <w:sz w:val="14"/>
                <w:szCs w:val="14"/>
              </w:rPr>
            </w:pPr>
            <w:r w:rsidRPr="00B46C24">
              <w:rPr>
                <w:rFonts w:ascii="Arial Narrow" w:hAnsi="Arial Narrow"/>
                <w:color w:val="000000"/>
                <w:sz w:val="14"/>
                <w:szCs w:val="14"/>
              </w:rPr>
              <w:t>0,00%</w:t>
            </w:r>
          </w:p>
        </w:tc>
      </w:tr>
      <w:tr w:rsidR="0066678E" w:rsidRPr="00001F01" w14:paraId="2AEFA2C4" w14:textId="77777777" w:rsidTr="00351D17">
        <w:trPr>
          <w:trHeight w:val="339"/>
        </w:trPr>
        <w:tc>
          <w:tcPr>
            <w:tcW w:w="704" w:type="dxa"/>
            <w:vAlign w:val="center"/>
          </w:tcPr>
          <w:p w14:paraId="7250721E" w14:textId="4644107F"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9</w:t>
            </w:r>
          </w:p>
        </w:tc>
        <w:tc>
          <w:tcPr>
            <w:tcW w:w="530" w:type="dxa"/>
            <w:vAlign w:val="center"/>
          </w:tcPr>
          <w:p w14:paraId="1336E4D5" w14:textId="6FD12AEC"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3BF583A4" w14:textId="1A01D539" w:rsidR="0066678E" w:rsidRDefault="0066678E" w:rsidP="0066678E">
            <w:pPr>
              <w:pStyle w:val="Style30"/>
              <w:widowControl/>
              <w:jc w:val="center"/>
              <w:rPr>
                <w:rFonts w:ascii="Arial Narrow" w:hAnsi="Arial Narrow"/>
                <w:i/>
                <w:sz w:val="14"/>
                <w:szCs w:val="14"/>
              </w:rPr>
            </w:pPr>
            <w:r>
              <w:rPr>
                <w:rFonts w:ascii="Arial Narrow" w:hAnsi="Arial Narrow"/>
                <w:i/>
                <w:sz w:val="14"/>
                <w:szCs w:val="14"/>
              </w:rPr>
              <w:t>Menej rozvinuté</w:t>
            </w:r>
          </w:p>
        </w:tc>
        <w:tc>
          <w:tcPr>
            <w:tcW w:w="1194" w:type="dxa"/>
            <w:vAlign w:val="center"/>
          </w:tcPr>
          <w:p w14:paraId="54C7F043" w14:textId="15DA29C7"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15591156" w14:textId="423F978B" w:rsidR="0066678E" w:rsidRPr="0066678E" w:rsidRDefault="00D9308B" w:rsidP="00D9308B">
            <w:pPr>
              <w:pStyle w:val="Style30"/>
              <w:widowControl/>
              <w:jc w:val="right"/>
              <w:rPr>
                <w:rFonts w:ascii="Arial Narrow" w:hAnsi="Arial Narrow"/>
                <w:sz w:val="14"/>
                <w:szCs w:val="14"/>
              </w:rPr>
            </w:pPr>
            <w:r w:rsidRPr="00D9308B">
              <w:rPr>
                <w:rFonts w:ascii="Arial Narrow" w:hAnsi="Arial Narrow"/>
                <w:sz w:val="14"/>
                <w:szCs w:val="14"/>
              </w:rPr>
              <w:t>1</w:t>
            </w:r>
            <w:r>
              <w:rPr>
                <w:rFonts w:ascii="Arial Narrow" w:hAnsi="Arial Narrow"/>
                <w:sz w:val="14"/>
                <w:szCs w:val="14"/>
              </w:rPr>
              <w:t> </w:t>
            </w:r>
            <w:r w:rsidRPr="00D9308B">
              <w:rPr>
                <w:rFonts w:ascii="Arial Narrow" w:hAnsi="Arial Narrow"/>
                <w:sz w:val="14"/>
                <w:szCs w:val="14"/>
              </w:rPr>
              <w:t>307</w:t>
            </w:r>
            <w:r>
              <w:rPr>
                <w:rFonts w:ascii="Arial Narrow" w:hAnsi="Arial Narrow"/>
                <w:sz w:val="14"/>
                <w:szCs w:val="14"/>
              </w:rPr>
              <w:t> </w:t>
            </w:r>
            <w:r w:rsidRPr="00D9308B">
              <w:rPr>
                <w:rFonts w:ascii="Arial Narrow" w:hAnsi="Arial Narrow"/>
                <w:sz w:val="14"/>
                <w:szCs w:val="14"/>
              </w:rPr>
              <w:t>683</w:t>
            </w:r>
            <w:r>
              <w:rPr>
                <w:rFonts w:ascii="Arial Narrow" w:hAnsi="Arial Narrow"/>
                <w:sz w:val="14"/>
                <w:szCs w:val="14"/>
              </w:rPr>
              <w:t xml:space="preserve"> </w:t>
            </w:r>
            <w:r w:rsidRPr="00D9308B">
              <w:rPr>
                <w:rFonts w:ascii="Arial Narrow" w:hAnsi="Arial Narrow"/>
                <w:sz w:val="14"/>
                <w:szCs w:val="14"/>
              </w:rPr>
              <w:t>946</w:t>
            </w:r>
          </w:p>
        </w:tc>
        <w:tc>
          <w:tcPr>
            <w:tcW w:w="1057" w:type="dxa"/>
            <w:vAlign w:val="center"/>
          </w:tcPr>
          <w:p w14:paraId="14FABF4D" w14:textId="1CA57D46" w:rsidR="0066678E" w:rsidRPr="0066678E" w:rsidRDefault="00D9308B" w:rsidP="00D9308B">
            <w:pPr>
              <w:jc w:val="right"/>
              <w:rPr>
                <w:rFonts w:ascii="Arial Narrow" w:hAnsi="Arial Narrow"/>
                <w:sz w:val="14"/>
                <w:szCs w:val="14"/>
              </w:rPr>
            </w:pPr>
            <w:r w:rsidRPr="00D9308B">
              <w:rPr>
                <w:rFonts w:ascii="Arial Narrow" w:hAnsi="Arial Narrow"/>
                <w:sz w:val="14"/>
                <w:szCs w:val="14"/>
              </w:rPr>
              <w:t>848</w:t>
            </w:r>
            <w:r>
              <w:rPr>
                <w:rFonts w:ascii="Arial Narrow" w:hAnsi="Arial Narrow"/>
                <w:sz w:val="14"/>
                <w:szCs w:val="14"/>
              </w:rPr>
              <w:t> </w:t>
            </w:r>
            <w:r w:rsidRPr="00D9308B">
              <w:rPr>
                <w:rFonts w:ascii="Arial Narrow" w:hAnsi="Arial Narrow"/>
                <w:sz w:val="14"/>
                <w:szCs w:val="14"/>
              </w:rPr>
              <w:t>516</w:t>
            </w:r>
            <w:r>
              <w:rPr>
                <w:rFonts w:ascii="Arial Narrow" w:hAnsi="Arial Narrow"/>
                <w:sz w:val="14"/>
                <w:szCs w:val="14"/>
              </w:rPr>
              <w:t xml:space="preserve"> </w:t>
            </w:r>
            <w:r w:rsidRPr="00D9308B">
              <w:rPr>
                <w:rFonts w:ascii="Arial Narrow" w:hAnsi="Arial Narrow"/>
                <w:sz w:val="14"/>
                <w:szCs w:val="14"/>
              </w:rPr>
              <w:t>422</w:t>
            </w:r>
          </w:p>
        </w:tc>
        <w:tc>
          <w:tcPr>
            <w:tcW w:w="965" w:type="dxa"/>
            <w:vAlign w:val="center"/>
          </w:tcPr>
          <w:p w14:paraId="7289A325" w14:textId="13C3AEBD" w:rsidR="0066678E" w:rsidRPr="0066678E" w:rsidRDefault="00D9308B" w:rsidP="00D9308B">
            <w:pPr>
              <w:jc w:val="right"/>
              <w:rPr>
                <w:rFonts w:ascii="Arial Narrow" w:hAnsi="Arial Narrow"/>
                <w:sz w:val="14"/>
                <w:szCs w:val="14"/>
              </w:rPr>
            </w:pPr>
            <w:r w:rsidRPr="00D9308B">
              <w:rPr>
                <w:rFonts w:ascii="Arial Narrow" w:hAnsi="Arial Narrow"/>
                <w:sz w:val="14"/>
                <w:szCs w:val="14"/>
              </w:rPr>
              <w:t>75</w:t>
            </w:r>
            <w:r>
              <w:rPr>
                <w:rFonts w:ascii="Arial Narrow" w:hAnsi="Arial Narrow"/>
                <w:sz w:val="14"/>
                <w:szCs w:val="14"/>
              </w:rPr>
              <w:t> </w:t>
            </w:r>
            <w:r w:rsidRPr="00D9308B">
              <w:rPr>
                <w:rFonts w:ascii="Arial Narrow" w:hAnsi="Arial Narrow"/>
                <w:sz w:val="14"/>
                <w:szCs w:val="14"/>
              </w:rPr>
              <w:t>454</w:t>
            </w:r>
            <w:r>
              <w:rPr>
                <w:rFonts w:ascii="Arial Narrow" w:hAnsi="Arial Narrow"/>
                <w:sz w:val="14"/>
                <w:szCs w:val="14"/>
              </w:rPr>
              <w:t xml:space="preserve"> </w:t>
            </w:r>
            <w:r w:rsidRPr="00D9308B">
              <w:rPr>
                <w:rFonts w:ascii="Arial Narrow" w:hAnsi="Arial Narrow"/>
                <w:sz w:val="14"/>
                <w:szCs w:val="14"/>
              </w:rPr>
              <w:t>358</w:t>
            </w:r>
          </w:p>
        </w:tc>
        <w:tc>
          <w:tcPr>
            <w:tcW w:w="980" w:type="dxa"/>
            <w:vAlign w:val="center"/>
          </w:tcPr>
          <w:p w14:paraId="2544A8CC" w14:textId="55134700" w:rsidR="0066678E" w:rsidRPr="0066678E" w:rsidRDefault="00D9308B" w:rsidP="00D9308B">
            <w:pPr>
              <w:pStyle w:val="Style30"/>
              <w:widowControl/>
              <w:jc w:val="right"/>
              <w:rPr>
                <w:rFonts w:ascii="Arial Narrow" w:hAnsi="Arial Narrow"/>
                <w:sz w:val="14"/>
                <w:szCs w:val="14"/>
              </w:rPr>
            </w:pPr>
            <w:r w:rsidRPr="00D9308B">
              <w:rPr>
                <w:rFonts w:ascii="Arial Narrow" w:hAnsi="Arial Narrow"/>
                <w:sz w:val="14"/>
                <w:szCs w:val="14"/>
              </w:rPr>
              <w:t>773</w:t>
            </w:r>
            <w:r>
              <w:rPr>
                <w:rFonts w:ascii="Arial Narrow" w:hAnsi="Arial Narrow"/>
                <w:sz w:val="14"/>
                <w:szCs w:val="14"/>
              </w:rPr>
              <w:t> </w:t>
            </w:r>
            <w:r w:rsidRPr="00D9308B">
              <w:rPr>
                <w:rFonts w:ascii="Arial Narrow" w:hAnsi="Arial Narrow"/>
                <w:sz w:val="14"/>
                <w:szCs w:val="14"/>
              </w:rPr>
              <w:t>062</w:t>
            </w:r>
            <w:r>
              <w:rPr>
                <w:rFonts w:ascii="Arial Narrow" w:hAnsi="Arial Narrow"/>
                <w:sz w:val="14"/>
                <w:szCs w:val="14"/>
              </w:rPr>
              <w:t xml:space="preserve"> </w:t>
            </w:r>
            <w:r w:rsidRPr="00D9308B">
              <w:rPr>
                <w:rFonts w:ascii="Arial Narrow" w:hAnsi="Arial Narrow"/>
                <w:sz w:val="14"/>
                <w:szCs w:val="14"/>
              </w:rPr>
              <w:t>064</w:t>
            </w:r>
          </w:p>
        </w:tc>
        <w:tc>
          <w:tcPr>
            <w:tcW w:w="1148" w:type="dxa"/>
            <w:vAlign w:val="center"/>
          </w:tcPr>
          <w:p w14:paraId="560C5261" w14:textId="5F97A9A2" w:rsidR="0066678E" w:rsidRPr="0066678E" w:rsidRDefault="00D9308B" w:rsidP="00D9308B">
            <w:pPr>
              <w:jc w:val="right"/>
              <w:rPr>
                <w:rFonts w:ascii="Arial Narrow" w:hAnsi="Arial Narrow"/>
                <w:b/>
                <w:sz w:val="14"/>
                <w:szCs w:val="14"/>
              </w:rPr>
            </w:pPr>
            <w:r>
              <w:rPr>
                <w:rFonts w:ascii="Arial Narrow" w:hAnsi="Arial Narrow"/>
                <w:b/>
                <w:sz w:val="14"/>
                <w:szCs w:val="14"/>
              </w:rPr>
              <w:t>2 156 200 368</w:t>
            </w:r>
          </w:p>
        </w:tc>
        <w:tc>
          <w:tcPr>
            <w:tcW w:w="728" w:type="dxa"/>
            <w:vAlign w:val="center"/>
          </w:tcPr>
          <w:p w14:paraId="31C13CE3" w14:textId="015CE406" w:rsidR="0066678E" w:rsidRPr="0066678E"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60,65%</w:t>
            </w:r>
          </w:p>
        </w:tc>
        <w:tc>
          <w:tcPr>
            <w:tcW w:w="784" w:type="dxa"/>
            <w:vAlign w:val="center"/>
          </w:tcPr>
          <w:p w14:paraId="5D49AEA6" w14:textId="63A45F0B" w:rsidR="0066678E" w:rsidRPr="0066678E"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6EBDFC81" w14:textId="58539580" w:rsidR="0066678E" w:rsidRPr="0066678E" w:rsidRDefault="00DA4E0D" w:rsidP="00DA4E0D">
            <w:pPr>
              <w:jc w:val="right"/>
              <w:rPr>
                <w:rFonts w:ascii="Arial Narrow" w:hAnsi="Arial Narrow"/>
                <w:sz w:val="14"/>
                <w:szCs w:val="14"/>
              </w:rPr>
            </w:pPr>
            <w:r>
              <w:rPr>
                <w:rFonts w:ascii="Arial Narrow" w:hAnsi="Arial Narrow"/>
                <w:sz w:val="14"/>
                <w:szCs w:val="14"/>
              </w:rPr>
              <w:t>1 307 683 946</w:t>
            </w:r>
          </w:p>
        </w:tc>
        <w:tc>
          <w:tcPr>
            <w:tcW w:w="1023" w:type="dxa"/>
            <w:vAlign w:val="center"/>
          </w:tcPr>
          <w:p w14:paraId="098CD7C7" w14:textId="199B2DB0" w:rsidR="0066678E" w:rsidRPr="0066678E" w:rsidRDefault="00DA4E0D" w:rsidP="0066678E">
            <w:pPr>
              <w:jc w:val="right"/>
              <w:rPr>
                <w:rFonts w:ascii="Arial Narrow" w:hAnsi="Arial Narrow"/>
                <w:sz w:val="14"/>
                <w:szCs w:val="14"/>
              </w:rPr>
            </w:pPr>
            <w:r>
              <w:rPr>
                <w:rFonts w:ascii="Arial Narrow" w:hAnsi="Arial Narrow"/>
                <w:sz w:val="14"/>
                <w:szCs w:val="14"/>
              </w:rPr>
              <w:t>848 516 422</w:t>
            </w:r>
          </w:p>
        </w:tc>
        <w:tc>
          <w:tcPr>
            <w:tcW w:w="992" w:type="dxa"/>
            <w:vAlign w:val="center"/>
          </w:tcPr>
          <w:p w14:paraId="7B3EAAF5" w14:textId="713478C6" w:rsidR="0066678E" w:rsidRPr="0066678E" w:rsidRDefault="00DA4E0D" w:rsidP="00DA4E0D">
            <w:pPr>
              <w:jc w:val="right"/>
              <w:rPr>
                <w:rFonts w:ascii="Arial Narrow" w:hAnsi="Arial Narrow"/>
                <w:sz w:val="14"/>
                <w:szCs w:val="14"/>
              </w:rPr>
            </w:pPr>
            <w:r>
              <w:rPr>
                <w:rFonts w:ascii="Arial Narrow" w:hAnsi="Arial Narrow"/>
                <w:sz w:val="14"/>
                <w:szCs w:val="14"/>
              </w:rPr>
              <w:t>0</w:t>
            </w:r>
          </w:p>
        </w:tc>
        <w:tc>
          <w:tcPr>
            <w:tcW w:w="952" w:type="dxa"/>
            <w:vAlign w:val="center"/>
          </w:tcPr>
          <w:p w14:paraId="2E3165A7" w14:textId="050A3AD8" w:rsidR="0066678E" w:rsidRPr="0066678E" w:rsidRDefault="00DA4E0D" w:rsidP="00DA4E0D">
            <w:pPr>
              <w:jc w:val="right"/>
              <w:rPr>
                <w:rFonts w:ascii="Arial Narrow" w:hAnsi="Arial Narrow"/>
                <w:sz w:val="14"/>
                <w:szCs w:val="14"/>
              </w:rPr>
            </w:pPr>
            <w:r>
              <w:rPr>
                <w:rFonts w:ascii="Arial Narrow" w:hAnsi="Arial Narrow"/>
                <w:sz w:val="14"/>
                <w:szCs w:val="14"/>
              </w:rPr>
              <w:t>0</w:t>
            </w:r>
          </w:p>
        </w:tc>
        <w:tc>
          <w:tcPr>
            <w:tcW w:w="993" w:type="dxa"/>
            <w:vAlign w:val="center"/>
          </w:tcPr>
          <w:p w14:paraId="381579D5" w14:textId="74802E22" w:rsidR="0066678E" w:rsidRPr="0066678E" w:rsidRDefault="00DA4E0D" w:rsidP="00DA4E0D">
            <w:pPr>
              <w:pStyle w:val="Style30"/>
              <w:widowControl/>
              <w:jc w:val="center"/>
              <w:rPr>
                <w:rFonts w:ascii="Arial Narrow" w:hAnsi="Arial Narrow"/>
                <w:sz w:val="14"/>
                <w:szCs w:val="14"/>
              </w:rPr>
            </w:pPr>
            <w:r>
              <w:rPr>
                <w:rFonts w:ascii="Arial Narrow" w:hAnsi="Arial Narrow"/>
                <w:sz w:val="14"/>
                <w:szCs w:val="14"/>
              </w:rPr>
              <w:t>0</w:t>
            </w:r>
            <w:r w:rsidR="0066678E" w:rsidRPr="0066678E">
              <w:rPr>
                <w:rFonts w:ascii="Arial Narrow" w:hAnsi="Arial Narrow"/>
                <w:sz w:val="14"/>
                <w:szCs w:val="14"/>
              </w:rPr>
              <w:t>%</w:t>
            </w:r>
          </w:p>
        </w:tc>
      </w:tr>
      <w:tr w:rsidR="0066678E" w:rsidRPr="00001F01" w14:paraId="181A9867" w14:textId="77777777" w:rsidTr="00351D17">
        <w:trPr>
          <w:trHeight w:val="339"/>
        </w:trPr>
        <w:tc>
          <w:tcPr>
            <w:tcW w:w="704" w:type="dxa"/>
            <w:vAlign w:val="center"/>
          </w:tcPr>
          <w:p w14:paraId="5089308A" w14:textId="3C39A311"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10</w:t>
            </w:r>
          </w:p>
        </w:tc>
        <w:tc>
          <w:tcPr>
            <w:tcW w:w="530" w:type="dxa"/>
            <w:vAlign w:val="center"/>
          </w:tcPr>
          <w:p w14:paraId="3A17F3A0" w14:textId="4668813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43EA24A1" w14:textId="57781DFE" w:rsidR="0066678E" w:rsidRDefault="0066678E" w:rsidP="0066678E">
            <w:pPr>
              <w:pStyle w:val="Style30"/>
              <w:widowControl/>
              <w:jc w:val="center"/>
              <w:rPr>
                <w:rFonts w:ascii="Arial Narrow" w:hAnsi="Arial Narrow"/>
                <w:i/>
                <w:sz w:val="14"/>
                <w:szCs w:val="14"/>
              </w:rPr>
            </w:pPr>
            <w:r w:rsidRPr="005C0B99">
              <w:rPr>
                <w:rFonts w:ascii="Arial Narrow" w:hAnsi="Arial Narrow"/>
                <w:i/>
                <w:sz w:val="14"/>
                <w:szCs w:val="14"/>
              </w:rPr>
              <w:t>Rozvinutejšie</w:t>
            </w:r>
          </w:p>
        </w:tc>
        <w:tc>
          <w:tcPr>
            <w:tcW w:w="1194" w:type="dxa"/>
            <w:vAlign w:val="center"/>
          </w:tcPr>
          <w:p w14:paraId="088C16B9" w14:textId="6D817E2C"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1506FB5" w14:textId="7476BAFF" w:rsidR="0066678E" w:rsidRPr="005F5239" w:rsidRDefault="00D9308B" w:rsidP="00D9308B">
            <w:pPr>
              <w:pStyle w:val="Style30"/>
              <w:widowControl/>
              <w:jc w:val="right"/>
              <w:rPr>
                <w:rFonts w:ascii="Arial Narrow" w:hAnsi="Arial Narrow"/>
                <w:sz w:val="14"/>
                <w:szCs w:val="14"/>
              </w:rPr>
            </w:pPr>
            <w:r w:rsidRPr="00D9308B">
              <w:rPr>
                <w:rFonts w:ascii="Arial Narrow" w:hAnsi="Arial Narrow"/>
                <w:sz w:val="14"/>
                <w:szCs w:val="14"/>
              </w:rPr>
              <w:t>122</w:t>
            </w:r>
            <w:r>
              <w:rPr>
                <w:rFonts w:ascii="Arial Narrow" w:hAnsi="Arial Narrow"/>
                <w:sz w:val="14"/>
                <w:szCs w:val="14"/>
              </w:rPr>
              <w:t> </w:t>
            </w:r>
            <w:r w:rsidRPr="00D9308B">
              <w:rPr>
                <w:rFonts w:ascii="Arial Narrow" w:hAnsi="Arial Narrow"/>
                <w:sz w:val="14"/>
                <w:szCs w:val="14"/>
              </w:rPr>
              <w:t>425</w:t>
            </w:r>
            <w:r>
              <w:rPr>
                <w:rFonts w:ascii="Arial Narrow" w:hAnsi="Arial Narrow"/>
                <w:sz w:val="14"/>
                <w:szCs w:val="14"/>
              </w:rPr>
              <w:t xml:space="preserve"> </w:t>
            </w:r>
            <w:r w:rsidRPr="00D9308B">
              <w:rPr>
                <w:rFonts w:ascii="Arial Narrow" w:hAnsi="Arial Narrow"/>
                <w:sz w:val="14"/>
                <w:szCs w:val="14"/>
              </w:rPr>
              <w:t>015</w:t>
            </w:r>
          </w:p>
        </w:tc>
        <w:tc>
          <w:tcPr>
            <w:tcW w:w="1057" w:type="dxa"/>
            <w:vAlign w:val="center"/>
          </w:tcPr>
          <w:p w14:paraId="05DA2496" w14:textId="09F0B12A" w:rsidR="0066678E" w:rsidRPr="0066678E" w:rsidRDefault="00D9308B" w:rsidP="00D9308B">
            <w:pPr>
              <w:jc w:val="right"/>
              <w:rPr>
                <w:rFonts w:ascii="Arial Narrow" w:hAnsi="Arial Narrow"/>
                <w:sz w:val="14"/>
                <w:szCs w:val="14"/>
              </w:rPr>
            </w:pPr>
            <w:r w:rsidRPr="00D9308B">
              <w:rPr>
                <w:rFonts w:ascii="Arial Narrow" w:hAnsi="Arial Narrow"/>
                <w:sz w:val="14"/>
                <w:szCs w:val="14"/>
              </w:rPr>
              <w:t>131</w:t>
            </w:r>
            <w:r>
              <w:rPr>
                <w:rFonts w:ascii="Arial Narrow" w:hAnsi="Arial Narrow"/>
                <w:sz w:val="14"/>
                <w:szCs w:val="14"/>
              </w:rPr>
              <w:t> </w:t>
            </w:r>
            <w:r w:rsidRPr="00D9308B">
              <w:rPr>
                <w:rFonts w:ascii="Arial Narrow" w:hAnsi="Arial Narrow"/>
                <w:sz w:val="14"/>
                <w:szCs w:val="14"/>
              </w:rPr>
              <w:t>887</w:t>
            </w:r>
            <w:r>
              <w:rPr>
                <w:rFonts w:ascii="Arial Narrow" w:hAnsi="Arial Narrow"/>
                <w:sz w:val="14"/>
                <w:szCs w:val="14"/>
              </w:rPr>
              <w:t xml:space="preserve"> </w:t>
            </w:r>
            <w:r w:rsidRPr="00D9308B">
              <w:rPr>
                <w:rFonts w:ascii="Arial Narrow" w:hAnsi="Arial Narrow"/>
                <w:sz w:val="14"/>
                <w:szCs w:val="14"/>
              </w:rPr>
              <w:t>136</w:t>
            </w:r>
          </w:p>
        </w:tc>
        <w:tc>
          <w:tcPr>
            <w:tcW w:w="965" w:type="dxa"/>
            <w:vAlign w:val="center"/>
          </w:tcPr>
          <w:p w14:paraId="1CBA39F4" w14:textId="54AA231A" w:rsidR="0066678E" w:rsidRPr="0066678E" w:rsidRDefault="00D9308B" w:rsidP="00D9308B">
            <w:pPr>
              <w:jc w:val="right"/>
              <w:rPr>
                <w:rFonts w:ascii="Arial Narrow" w:hAnsi="Arial Narrow"/>
                <w:sz w:val="14"/>
                <w:szCs w:val="14"/>
              </w:rPr>
            </w:pPr>
            <w:r w:rsidRPr="00D9308B">
              <w:rPr>
                <w:rFonts w:ascii="Arial Narrow" w:hAnsi="Arial Narrow"/>
                <w:sz w:val="14"/>
                <w:szCs w:val="14"/>
              </w:rPr>
              <w:t>84</w:t>
            </w:r>
            <w:r>
              <w:rPr>
                <w:rFonts w:ascii="Arial Narrow" w:hAnsi="Arial Narrow"/>
                <w:sz w:val="14"/>
                <w:szCs w:val="14"/>
              </w:rPr>
              <w:t> </w:t>
            </w:r>
            <w:r w:rsidRPr="00D9308B">
              <w:rPr>
                <w:rFonts w:ascii="Arial Narrow" w:hAnsi="Arial Narrow"/>
                <w:sz w:val="14"/>
                <w:szCs w:val="14"/>
              </w:rPr>
              <w:t>210</w:t>
            </w:r>
            <w:r>
              <w:rPr>
                <w:rFonts w:ascii="Arial Narrow" w:hAnsi="Arial Narrow"/>
                <w:sz w:val="14"/>
                <w:szCs w:val="14"/>
              </w:rPr>
              <w:t xml:space="preserve"> </w:t>
            </w:r>
            <w:r w:rsidRPr="00D9308B">
              <w:rPr>
                <w:rFonts w:ascii="Arial Narrow" w:hAnsi="Arial Narrow"/>
                <w:sz w:val="14"/>
                <w:szCs w:val="14"/>
              </w:rPr>
              <w:t>136</w:t>
            </w:r>
          </w:p>
        </w:tc>
        <w:tc>
          <w:tcPr>
            <w:tcW w:w="980" w:type="dxa"/>
            <w:vAlign w:val="center"/>
          </w:tcPr>
          <w:p w14:paraId="2F4E121A" w14:textId="1E1189C5" w:rsidR="0066678E" w:rsidRPr="005F5239" w:rsidRDefault="00D9308B" w:rsidP="00D9308B">
            <w:pPr>
              <w:pStyle w:val="Style30"/>
              <w:widowControl/>
              <w:jc w:val="right"/>
              <w:rPr>
                <w:rFonts w:ascii="Arial Narrow" w:hAnsi="Arial Narrow"/>
                <w:sz w:val="14"/>
                <w:szCs w:val="14"/>
              </w:rPr>
            </w:pPr>
            <w:r w:rsidRPr="00D9308B">
              <w:rPr>
                <w:rFonts w:ascii="Arial Narrow" w:hAnsi="Arial Narrow"/>
                <w:sz w:val="14"/>
                <w:szCs w:val="14"/>
              </w:rPr>
              <w:t>47</w:t>
            </w:r>
            <w:r>
              <w:rPr>
                <w:rFonts w:ascii="Arial Narrow" w:hAnsi="Arial Narrow"/>
                <w:sz w:val="14"/>
                <w:szCs w:val="14"/>
              </w:rPr>
              <w:t> </w:t>
            </w:r>
            <w:r w:rsidRPr="00D9308B">
              <w:rPr>
                <w:rFonts w:ascii="Arial Narrow" w:hAnsi="Arial Narrow"/>
                <w:sz w:val="14"/>
                <w:szCs w:val="14"/>
              </w:rPr>
              <w:t>677</w:t>
            </w:r>
            <w:r>
              <w:rPr>
                <w:rFonts w:ascii="Arial Narrow" w:hAnsi="Arial Narrow"/>
                <w:sz w:val="14"/>
                <w:szCs w:val="14"/>
              </w:rPr>
              <w:t xml:space="preserve"> </w:t>
            </w:r>
            <w:r w:rsidRPr="00D9308B">
              <w:rPr>
                <w:rFonts w:ascii="Arial Narrow" w:hAnsi="Arial Narrow"/>
                <w:sz w:val="14"/>
                <w:szCs w:val="14"/>
              </w:rPr>
              <w:t>000</w:t>
            </w:r>
          </w:p>
        </w:tc>
        <w:tc>
          <w:tcPr>
            <w:tcW w:w="1148" w:type="dxa"/>
            <w:vAlign w:val="center"/>
          </w:tcPr>
          <w:p w14:paraId="61193C6F" w14:textId="21DEFE92" w:rsidR="0066678E" w:rsidRPr="0066678E" w:rsidRDefault="00D9308B" w:rsidP="00D9308B">
            <w:pPr>
              <w:jc w:val="right"/>
              <w:rPr>
                <w:rFonts w:ascii="Arial Narrow" w:hAnsi="Arial Narrow"/>
                <w:b/>
                <w:sz w:val="14"/>
                <w:szCs w:val="14"/>
              </w:rPr>
            </w:pPr>
            <w:r>
              <w:rPr>
                <w:rFonts w:ascii="Arial Narrow" w:hAnsi="Arial Narrow"/>
                <w:b/>
                <w:sz w:val="14"/>
                <w:szCs w:val="14"/>
              </w:rPr>
              <w:t>254 312 151</w:t>
            </w:r>
          </w:p>
        </w:tc>
        <w:tc>
          <w:tcPr>
            <w:tcW w:w="728" w:type="dxa"/>
            <w:vAlign w:val="center"/>
          </w:tcPr>
          <w:p w14:paraId="20304D5F" w14:textId="2F03E8A9"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48,14%</w:t>
            </w:r>
          </w:p>
        </w:tc>
        <w:tc>
          <w:tcPr>
            <w:tcW w:w="784" w:type="dxa"/>
            <w:vAlign w:val="center"/>
          </w:tcPr>
          <w:p w14:paraId="78150BFA" w14:textId="440154DD" w:rsidR="0066678E" w:rsidRPr="005F5239"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5A79672F" w14:textId="02218857" w:rsidR="0066678E" w:rsidRPr="0066678E" w:rsidRDefault="0066678E" w:rsidP="0066678E">
            <w:pPr>
              <w:jc w:val="right"/>
              <w:rPr>
                <w:rFonts w:ascii="Arial Narrow" w:hAnsi="Arial Narrow"/>
                <w:sz w:val="14"/>
                <w:szCs w:val="14"/>
              </w:rPr>
            </w:pPr>
            <w:r w:rsidRPr="0066678E">
              <w:rPr>
                <w:rFonts w:ascii="Arial Narrow" w:hAnsi="Arial Narrow"/>
                <w:sz w:val="14"/>
                <w:szCs w:val="14"/>
              </w:rPr>
              <w:t>122 425 015</w:t>
            </w:r>
          </w:p>
        </w:tc>
        <w:tc>
          <w:tcPr>
            <w:tcW w:w="1023" w:type="dxa"/>
            <w:vAlign w:val="center"/>
          </w:tcPr>
          <w:p w14:paraId="7E786F88" w14:textId="02D8DCC4" w:rsidR="0066678E" w:rsidRPr="0066678E" w:rsidRDefault="00BD2C3E" w:rsidP="0066678E">
            <w:pPr>
              <w:jc w:val="right"/>
              <w:rPr>
                <w:rFonts w:ascii="Arial Narrow" w:hAnsi="Arial Narrow"/>
                <w:sz w:val="14"/>
                <w:szCs w:val="14"/>
              </w:rPr>
            </w:pPr>
            <w:r w:rsidRPr="00BD2C3E">
              <w:rPr>
                <w:rFonts w:ascii="Arial Narrow" w:hAnsi="Arial Narrow"/>
                <w:sz w:val="14"/>
                <w:szCs w:val="14"/>
              </w:rPr>
              <w:t>131 887 136</w:t>
            </w:r>
          </w:p>
        </w:tc>
        <w:tc>
          <w:tcPr>
            <w:tcW w:w="992" w:type="dxa"/>
            <w:vAlign w:val="center"/>
          </w:tcPr>
          <w:p w14:paraId="6D5B9F1A" w14:textId="549A07BF" w:rsidR="0066678E" w:rsidRPr="0066678E" w:rsidRDefault="00DA4E0D" w:rsidP="00DA4E0D">
            <w:pPr>
              <w:jc w:val="right"/>
              <w:rPr>
                <w:rFonts w:ascii="Arial Narrow" w:hAnsi="Arial Narrow"/>
                <w:sz w:val="14"/>
                <w:szCs w:val="14"/>
              </w:rPr>
            </w:pPr>
            <w:r>
              <w:rPr>
                <w:rFonts w:ascii="Arial Narrow" w:hAnsi="Arial Narrow"/>
                <w:sz w:val="14"/>
                <w:szCs w:val="14"/>
              </w:rPr>
              <w:t>0</w:t>
            </w:r>
          </w:p>
        </w:tc>
        <w:tc>
          <w:tcPr>
            <w:tcW w:w="952" w:type="dxa"/>
            <w:vAlign w:val="center"/>
          </w:tcPr>
          <w:p w14:paraId="6EF39B75" w14:textId="3427FB3D" w:rsidR="0066678E" w:rsidRPr="0066678E" w:rsidRDefault="00DA4E0D" w:rsidP="00DA4E0D">
            <w:pPr>
              <w:jc w:val="right"/>
              <w:rPr>
                <w:rFonts w:ascii="Arial Narrow" w:hAnsi="Arial Narrow"/>
                <w:sz w:val="14"/>
                <w:szCs w:val="14"/>
              </w:rPr>
            </w:pPr>
            <w:r>
              <w:rPr>
                <w:rFonts w:ascii="Arial Narrow" w:hAnsi="Arial Narrow"/>
                <w:sz w:val="14"/>
                <w:szCs w:val="14"/>
              </w:rPr>
              <w:t>0</w:t>
            </w:r>
          </w:p>
        </w:tc>
        <w:tc>
          <w:tcPr>
            <w:tcW w:w="993" w:type="dxa"/>
            <w:vAlign w:val="center"/>
          </w:tcPr>
          <w:p w14:paraId="129FD0D1" w14:textId="7CDE1D43" w:rsidR="0066678E" w:rsidRPr="005F5239" w:rsidRDefault="00DA4E0D" w:rsidP="00DA4E0D">
            <w:pPr>
              <w:pStyle w:val="Style30"/>
              <w:widowControl/>
              <w:jc w:val="center"/>
              <w:rPr>
                <w:rFonts w:ascii="Arial Narrow" w:hAnsi="Arial Narrow"/>
                <w:sz w:val="14"/>
                <w:szCs w:val="14"/>
              </w:rPr>
            </w:pPr>
            <w:r>
              <w:rPr>
                <w:rFonts w:ascii="Arial Narrow" w:hAnsi="Arial Narrow"/>
                <w:sz w:val="14"/>
                <w:szCs w:val="14"/>
              </w:rPr>
              <w:t>0</w:t>
            </w:r>
            <w:r w:rsidR="0066678E" w:rsidRPr="0066678E">
              <w:rPr>
                <w:rFonts w:ascii="Arial Narrow" w:hAnsi="Arial Narrow"/>
                <w:sz w:val="14"/>
                <w:szCs w:val="14"/>
              </w:rPr>
              <w:t>%</w:t>
            </w:r>
          </w:p>
        </w:tc>
      </w:tr>
      <w:tr w:rsidR="0066678E" w:rsidRPr="00001F01" w14:paraId="3FAA409E" w14:textId="77777777" w:rsidTr="00351D17">
        <w:trPr>
          <w:trHeight w:val="339"/>
        </w:trPr>
        <w:tc>
          <w:tcPr>
            <w:tcW w:w="704" w:type="dxa"/>
            <w:vAlign w:val="center"/>
          </w:tcPr>
          <w:p w14:paraId="327098AD" w14:textId="0A318F3B"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11</w:t>
            </w:r>
          </w:p>
        </w:tc>
        <w:tc>
          <w:tcPr>
            <w:tcW w:w="530" w:type="dxa"/>
            <w:vAlign w:val="center"/>
          </w:tcPr>
          <w:p w14:paraId="249DF253" w14:textId="323200F6"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5A662CF2" w14:textId="535DB1D7" w:rsidR="0066678E" w:rsidRDefault="0066678E" w:rsidP="0066678E">
            <w:pPr>
              <w:pStyle w:val="Style30"/>
              <w:widowControl/>
              <w:jc w:val="center"/>
              <w:rPr>
                <w:rFonts w:ascii="Arial Narrow" w:hAnsi="Arial Narrow"/>
                <w:i/>
                <w:sz w:val="14"/>
                <w:szCs w:val="14"/>
              </w:rPr>
            </w:pPr>
            <w:r>
              <w:rPr>
                <w:rFonts w:ascii="Arial Narrow" w:hAnsi="Arial Narrow"/>
                <w:i/>
                <w:sz w:val="14"/>
                <w:szCs w:val="14"/>
              </w:rPr>
              <w:t>Menej rozvinuté</w:t>
            </w:r>
          </w:p>
        </w:tc>
        <w:tc>
          <w:tcPr>
            <w:tcW w:w="1194" w:type="dxa"/>
            <w:vAlign w:val="center"/>
          </w:tcPr>
          <w:p w14:paraId="1CD7351B" w14:textId="1BD257BF"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71D0396" w14:textId="701585D4" w:rsidR="0066678E" w:rsidRPr="005F5239" w:rsidRDefault="006D1198" w:rsidP="006D1198">
            <w:pPr>
              <w:pStyle w:val="Style30"/>
              <w:widowControl/>
              <w:jc w:val="right"/>
              <w:rPr>
                <w:rFonts w:ascii="Arial Narrow" w:hAnsi="Arial Narrow"/>
                <w:sz w:val="14"/>
                <w:szCs w:val="14"/>
              </w:rPr>
            </w:pPr>
            <w:r w:rsidRPr="006D1198">
              <w:rPr>
                <w:rFonts w:ascii="Arial Narrow" w:hAnsi="Arial Narrow"/>
                <w:sz w:val="14"/>
                <w:szCs w:val="14"/>
              </w:rPr>
              <w:t>416</w:t>
            </w:r>
            <w:r>
              <w:rPr>
                <w:rFonts w:ascii="Arial Narrow" w:hAnsi="Arial Narrow"/>
                <w:sz w:val="14"/>
                <w:szCs w:val="14"/>
              </w:rPr>
              <w:t> </w:t>
            </w:r>
            <w:r w:rsidRPr="006D1198">
              <w:rPr>
                <w:rFonts w:ascii="Arial Narrow" w:hAnsi="Arial Narrow"/>
                <w:sz w:val="14"/>
                <w:szCs w:val="14"/>
              </w:rPr>
              <w:t>415</w:t>
            </w:r>
            <w:r>
              <w:rPr>
                <w:rFonts w:ascii="Arial Narrow" w:hAnsi="Arial Narrow"/>
                <w:sz w:val="14"/>
                <w:szCs w:val="14"/>
              </w:rPr>
              <w:t xml:space="preserve"> </w:t>
            </w:r>
            <w:r w:rsidRPr="006D1198">
              <w:rPr>
                <w:rFonts w:ascii="Arial Narrow" w:hAnsi="Arial Narrow"/>
                <w:sz w:val="14"/>
                <w:szCs w:val="14"/>
              </w:rPr>
              <w:t>000</w:t>
            </w:r>
          </w:p>
        </w:tc>
        <w:tc>
          <w:tcPr>
            <w:tcW w:w="1057" w:type="dxa"/>
            <w:vAlign w:val="center"/>
          </w:tcPr>
          <w:p w14:paraId="7F1F3C7F" w14:textId="04BC04D7" w:rsidR="0066678E" w:rsidRPr="0066678E" w:rsidRDefault="006D1198" w:rsidP="006D1198">
            <w:pPr>
              <w:jc w:val="right"/>
              <w:rPr>
                <w:rFonts w:ascii="Arial Narrow" w:hAnsi="Arial Narrow"/>
                <w:sz w:val="14"/>
                <w:szCs w:val="14"/>
              </w:rPr>
            </w:pPr>
            <w:r w:rsidRPr="006D1198">
              <w:rPr>
                <w:rFonts w:ascii="Arial Narrow" w:hAnsi="Arial Narrow"/>
                <w:sz w:val="14"/>
                <w:szCs w:val="14"/>
              </w:rPr>
              <w:t>209</w:t>
            </w:r>
            <w:r>
              <w:rPr>
                <w:rFonts w:ascii="Arial Narrow" w:hAnsi="Arial Narrow"/>
                <w:sz w:val="14"/>
                <w:szCs w:val="14"/>
              </w:rPr>
              <w:t> </w:t>
            </w:r>
            <w:r w:rsidRPr="006D1198">
              <w:rPr>
                <w:rFonts w:ascii="Arial Narrow" w:hAnsi="Arial Narrow"/>
                <w:sz w:val="14"/>
                <w:szCs w:val="14"/>
              </w:rPr>
              <w:t>100</w:t>
            </w:r>
            <w:r>
              <w:rPr>
                <w:rFonts w:ascii="Arial Narrow" w:hAnsi="Arial Narrow"/>
                <w:sz w:val="14"/>
                <w:szCs w:val="14"/>
              </w:rPr>
              <w:t xml:space="preserve"> </w:t>
            </w:r>
            <w:r w:rsidRPr="006D1198">
              <w:rPr>
                <w:rFonts w:ascii="Arial Narrow" w:hAnsi="Arial Narrow"/>
                <w:sz w:val="14"/>
                <w:szCs w:val="14"/>
              </w:rPr>
              <w:t>366</w:t>
            </w:r>
          </w:p>
        </w:tc>
        <w:tc>
          <w:tcPr>
            <w:tcW w:w="965" w:type="dxa"/>
            <w:vAlign w:val="center"/>
          </w:tcPr>
          <w:p w14:paraId="6C60DE61" w14:textId="3C125218" w:rsidR="0066678E" w:rsidRPr="0066678E" w:rsidRDefault="006D1198" w:rsidP="006D1198">
            <w:pPr>
              <w:jc w:val="right"/>
              <w:rPr>
                <w:rFonts w:ascii="Arial Narrow" w:hAnsi="Arial Narrow"/>
                <w:sz w:val="14"/>
                <w:szCs w:val="14"/>
              </w:rPr>
            </w:pPr>
            <w:r w:rsidRPr="006D1198">
              <w:rPr>
                <w:rFonts w:ascii="Arial Narrow" w:hAnsi="Arial Narrow"/>
                <w:sz w:val="14"/>
                <w:szCs w:val="14"/>
              </w:rPr>
              <w:t>44</w:t>
            </w:r>
            <w:r>
              <w:rPr>
                <w:rFonts w:ascii="Arial Narrow" w:hAnsi="Arial Narrow"/>
                <w:sz w:val="14"/>
                <w:szCs w:val="14"/>
              </w:rPr>
              <w:t> </w:t>
            </w:r>
            <w:r w:rsidRPr="006D1198">
              <w:rPr>
                <w:rFonts w:ascii="Arial Narrow" w:hAnsi="Arial Narrow"/>
                <w:sz w:val="14"/>
                <w:szCs w:val="14"/>
              </w:rPr>
              <w:t>424</w:t>
            </w:r>
            <w:r>
              <w:rPr>
                <w:rFonts w:ascii="Arial Narrow" w:hAnsi="Arial Narrow"/>
                <w:sz w:val="14"/>
                <w:szCs w:val="14"/>
              </w:rPr>
              <w:t xml:space="preserve"> </w:t>
            </w:r>
            <w:r w:rsidRPr="006D1198">
              <w:rPr>
                <w:rFonts w:ascii="Arial Narrow" w:hAnsi="Arial Narrow"/>
                <w:sz w:val="14"/>
                <w:szCs w:val="14"/>
              </w:rPr>
              <w:t>565</w:t>
            </w:r>
          </w:p>
        </w:tc>
        <w:tc>
          <w:tcPr>
            <w:tcW w:w="980" w:type="dxa"/>
            <w:vAlign w:val="center"/>
          </w:tcPr>
          <w:p w14:paraId="5B400E05" w14:textId="25E44015" w:rsidR="0066678E" w:rsidRPr="005F5239" w:rsidRDefault="006D1198" w:rsidP="006D1198">
            <w:pPr>
              <w:pStyle w:val="Style30"/>
              <w:widowControl/>
              <w:jc w:val="right"/>
              <w:rPr>
                <w:rFonts w:ascii="Arial Narrow" w:hAnsi="Arial Narrow"/>
                <w:sz w:val="14"/>
                <w:szCs w:val="14"/>
              </w:rPr>
            </w:pPr>
            <w:r w:rsidRPr="006D1198">
              <w:rPr>
                <w:rFonts w:ascii="Arial Narrow" w:hAnsi="Arial Narrow"/>
                <w:sz w:val="14"/>
                <w:szCs w:val="14"/>
              </w:rPr>
              <w:t>164</w:t>
            </w:r>
            <w:r>
              <w:rPr>
                <w:rFonts w:ascii="Arial Narrow" w:hAnsi="Arial Narrow"/>
                <w:sz w:val="14"/>
                <w:szCs w:val="14"/>
              </w:rPr>
              <w:t> </w:t>
            </w:r>
            <w:r w:rsidRPr="006D1198">
              <w:rPr>
                <w:rFonts w:ascii="Arial Narrow" w:hAnsi="Arial Narrow"/>
                <w:sz w:val="14"/>
                <w:szCs w:val="14"/>
              </w:rPr>
              <w:t>675</w:t>
            </w:r>
            <w:r>
              <w:rPr>
                <w:rFonts w:ascii="Arial Narrow" w:hAnsi="Arial Narrow"/>
                <w:sz w:val="14"/>
                <w:szCs w:val="14"/>
              </w:rPr>
              <w:t xml:space="preserve"> </w:t>
            </w:r>
            <w:r w:rsidRPr="006D1198">
              <w:rPr>
                <w:rFonts w:ascii="Arial Narrow" w:hAnsi="Arial Narrow"/>
                <w:sz w:val="14"/>
                <w:szCs w:val="14"/>
              </w:rPr>
              <w:t>801</w:t>
            </w:r>
          </w:p>
        </w:tc>
        <w:tc>
          <w:tcPr>
            <w:tcW w:w="1148" w:type="dxa"/>
            <w:vAlign w:val="center"/>
          </w:tcPr>
          <w:p w14:paraId="4366CD7A" w14:textId="407B258B" w:rsidR="0066678E" w:rsidRPr="0066678E" w:rsidRDefault="006D1198" w:rsidP="006D1198">
            <w:pPr>
              <w:jc w:val="right"/>
              <w:rPr>
                <w:rFonts w:ascii="Arial Narrow" w:hAnsi="Arial Narrow"/>
                <w:b/>
                <w:sz w:val="14"/>
                <w:szCs w:val="14"/>
              </w:rPr>
            </w:pPr>
            <w:r>
              <w:rPr>
                <w:rFonts w:ascii="Arial Narrow" w:hAnsi="Arial Narrow"/>
                <w:b/>
                <w:sz w:val="14"/>
                <w:szCs w:val="14"/>
              </w:rPr>
              <w:t>625 515 366</w:t>
            </w:r>
          </w:p>
        </w:tc>
        <w:tc>
          <w:tcPr>
            <w:tcW w:w="728" w:type="dxa"/>
            <w:vAlign w:val="center"/>
          </w:tcPr>
          <w:p w14:paraId="59E59E3B" w14:textId="5A15E243"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66,57%</w:t>
            </w:r>
          </w:p>
        </w:tc>
        <w:tc>
          <w:tcPr>
            <w:tcW w:w="784" w:type="dxa"/>
            <w:vAlign w:val="center"/>
          </w:tcPr>
          <w:p w14:paraId="58F42043" w14:textId="1495FEC8" w:rsidR="0066678E" w:rsidRPr="005F5239"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28869A96" w14:textId="4F5C1D03" w:rsidR="0066678E" w:rsidRPr="0066678E" w:rsidRDefault="00DA4E0D" w:rsidP="00DA4E0D">
            <w:pPr>
              <w:jc w:val="right"/>
              <w:rPr>
                <w:rFonts w:ascii="Arial Narrow" w:hAnsi="Arial Narrow"/>
                <w:sz w:val="14"/>
                <w:szCs w:val="14"/>
              </w:rPr>
            </w:pPr>
            <w:r w:rsidRPr="00DA4E0D">
              <w:rPr>
                <w:rFonts w:ascii="Arial Narrow" w:hAnsi="Arial Narrow"/>
                <w:sz w:val="14"/>
                <w:szCs w:val="14"/>
              </w:rPr>
              <w:t>392</w:t>
            </w:r>
            <w:r>
              <w:rPr>
                <w:rFonts w:ascii="Arial Narrow" w:hAnsi="Arial Narrow"/>
                <w:sz w:val="14"/>
                <w:szCs w:val="14"/>
              </w:rPr>
              <w:t> </w:t>
            </w:r>
            <w:r w:rsidRPr="00DA4E0D">
              <w:rPr>
                <w:rFonts w:ascii="Arial Narrow" w:hAnsi="Arial Narrow"/>
                <w:sz w:val="14"/>
                <w:szCs w:val="14"/>
              </w:rPr>
              <w:t>542</w:t>
            </w:r>
            <w:r>
              <w:rPr>
                <w:rFonts w:ascii="Arial Narrow" w:hAnsi="Arial Narrow"/>
                <w:sz w:val="14"/>
                <w:szCs w:val="14"/>
              </w:rPr>
              <w:t xml:space="preserve"> </w:t>
            </w:r>
            <w:r w:rsidRPr="00DA4E0D">
              <w:rPr>
                <w:rFonts w:ascii="Arial Narrow" w:hAnsi="Arial Narrow"/>
                <w:sz w:val="14"/>
                <w:szCs w:val="14"/>
              </w:rPr>
              <w:t>400</w:t>
            </w:r>
          </w:p>
        </w:tc>
        <w:tc>
          <w:tcPr>
            <w:tcW w:w="1023" w:type="dxa"/>
            <w:vAlign w:val="center"/>
          </w:tcPr>
          <w:p w14:paraId="4EE523B7" w14:textId="1BD1DBED" w:rsidR="0066678E" w:rsidRPr="0066678E" w:rsidRDefault="00DA4E0D" w:rsidP="0066678E">
            <w:pPr>
              <w:jc w:val="right"/>
              <w:rPr>
                <w:rFonts w:ascii="Arial Narrow" w:hAnsi="Arial Narrow"/>
                <w:sz w:val="14"/>
                <w:szCs w:val="14"/>
              </w:rPr>
            </w:pPr>
            <w:r w:rsidRPr="00DA4E0D">
              <w:rPr>
                <w:rFonts w:ascii="Arial Narrow" w:hAnsi="Arial Narrow"/>
                <w:sz w:val="14"/>
                <w:szCs w:val="14"/>
              </w:rPr>
              <w:t>197</w:t>
            </w:r>
            <w:r>
              <w:rPr>
                <w:rFonts w:ascii="Arial Narrow" w:hAnsi="Arial Narrow"/>
                <w:sz w:val="14"/>
                <w:szCs w:val="14"/>
              </w:rPr>
              <w:t> </w:t>
            </w:r>
            <w:r w:rsidRPr="00DA4E0D">
              <w:rPr>
                <w:rFonts w:ascii="Arial Narrow" w:hAnsi="Arial Narrow"/>
                <w:sz w:val="14"/>
                <w:szCs w:val="14"/>
              </w:rPr>
              <w:t>112</w:t>
            </w:r>
            <w:r>
              <w:rPr>
                <w:rFonts w:ascii="Arial Narrow" w:hAnsi="Arial Narrow"/>
                <w:sz w:val="14"/>
                <w:szCs w:val="14"/>
              </w:rPr>
              <w:t xml:space="preserve"> </w:t>
            </w:r>
            <w:r w:rsidRPr="00DA4E0D">
              <w:rPr>
                <w:rFonts w:ascii="Arial Narrow" w:hAnsi="Arial Narrow"/>
                <w:sz w:val="14"/>
                <w:szCs w:val="14"/>
              </w:rPr>
              <w:t>879</w:t>
            </w:r>
          </w:p>
        </w:tc>
        <w:tc>
          <w:tcPr>
            <w:tcW w:w="992" w:type="dxa"/>
            <w:vAlign w:val="center"/>
          </w:tcPr>
          <w:p w14:paraId="4797F84D" w14:textId="2DFBA41F" w:rsidR="0066678E" w:rsidRPr="0066678E" w:rsidRDefault="0066678E" w:rsidP="0066678E">
            <w:pPr>
              <w:jc w:val="right"/>
              <w:rPr>
                <w:rFonts w:ascii="Arial Narrow" w:hAnsi="Arial Narrow"/>
                <w:sz w:val="14"/>
                <w:szCs w:val="14"/>
              </w:rPr>
            </w:pPr>
            <w:r w:rsidRPr="0066678E">
              <w:rPr>
                <w:rFonts w:ascii="Arial Narrow" w:hAnsi="Arial Narrow"/>
                <w:sz w:val="14"/>
                <w:szCs w:val="14"/>
              </w:rPr>
              <w:t>23 872 600</w:t>
            </w:r>
          </w:p>
        </w:tc>
        <w:tc>
          <w:tcPr>
            <w:tcW w:w="952" w:type="dxa"/>
            <w:vAlign w:val="center"/>
          </w:tcPr>
          <w:p w14:paraId="2C1D6D21" w14:textId="29D40F35" w:rsidR="0066678E" w:rsidRPr="0066678E" w:rsidRDefault="0066678E" w:rsidP="0066678E">
            <w:pPr>
              <w:jc w:val="right"/>
              <w:rPr>
                <w:rFonts w:ascii="Arial Narrow" w:hAnsi="Arial Narrow"/>
                <w:sz w:val="14"/>
                <w:szCs w:val="14"/>
              </w:rPr>
            </w:pPr>
            <w:r w:rsidRPr="0066678E">
              <w:rPr>
                <w:rFonts w:ascii="Arial Narrow" w:hAnsi="Arial Narrow"/>
                <w:sz w:val="14"/>
                <w:szCs w:val="14"/>
              </w:rPr>
              <w:t>11 987 487</w:t>
            </w:r>
          </w:p>
        </w:tc>
        <w:tc>
          <w:tcPr>
            <w:tcW w:w="993" w:type="dxa"/>
            <w:vAlign w:val="center"/>
          </w:tcPr>
          <w:p w14:paraId="7FF04594" w14:textId="5CEED2C9" w:rsidR="0066678E" w:rsidRPr="005F5239" w:rsidRDefault="00DA4E0D" w:rsidP="00DA4E0D">
            <w:pPr>
              <w:pStyle w:val="Style30"/>
              <w:widowControl/>
              <w:jc w:val="center"/>
              <w:rPr>
                <w:rFonts w:ascii="Arial Narrow" w:hAnsi="Arial Narrow"/>
                <w:sz w:val="14"/>
                <w:szCs w:val="14"/>
              </w:rPr>
            </w:pPr>
            <w:r>
              <w:rPr>
                <w:rFonts w:ascii="Arial Narrow" w:hAnsi="Arial Narrow"/>
                <w:sz w:val="14"/>
                <w:szCs w:val="14"/>
              </w:rPr>
              <w:t>5,73</w:t>
            </w:r>
            <w:r w:rsidR="0066678E" w:rsidRPr="0066678E">
              <w:rPr>
                <w:rFonts w:ascii="Arial Narrow" w:hAnsi="Arial Narrow"/>
                <w:sz w:val="14"/>
                <w:szCs w:val="14"/>
              </w:rPr>
              <w:t>%</w:t>
            </w:r>
          </w:p>
        </w:tc>
      </w:tr>
      <w:tr w:rsidR="0066678E" w:rsidRPr="00001F01" w14:paraId="212C12B5" w14:textId="77777777" w:rsidTr="00351D17">
        <w:trPr>
          <w:trHeight w:val="339"/>
        </w:trPr>
        <w:tc>
          <w:tcPr>
            <w:tcW w:w="704" w:type="dxa"/>
            <w:vAlign w:val="center"/>
          </w:tcPr>
          <w:p w14:paraId="65482D1E" w14:textId="2A508BEC"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12</w:t>
            </w:r>
          </w:p>
        </w:tc>
        <w:tc>
          <w:tcPr>
            <w:tcW w:w="530" w:type="dxa"/>
            <w:vAlign w:val="center"/>
          </w:tcPr>
          <w:p w14:paraId="1CF7D4BB" w14:textId="435B9903"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6AA8D4EF" w14:textId="259D95B6" w:rsidR="0066678E" w:rsidRDefault="0066678E" w:rsidP="0066678E">
            <w:pPr>
              <w:pStyle w:val="Style30"/>
              <w:widowControl/>
              <w:jc w:val="center"/>
              <w:rPr>
                <w:rFonts w:ascii="Arial Narrow" w:hAnsi="Arial Narrow"/>
                <w:i/>
                <w:sz w:val="14"/>
                <w:szCs w:val="14"/>
              </w:rPr>
            </w:pPr>
            <w:r w:rsidRPr="005C0B99">
              <w:rPr>
                <w:rFonts w:ascii="Arial Narrow" w:hAnsi="Arial Narrow"/>
                <w:i/>
                <w:sz w:val="14"/>
                <w:szCs w:val="14"/>
              </w:rPr>
              <w:t>Rozvinutejšie</w:t>
            </w:r>
          </w:p>
        </w:tc>
        <w:tc>
          <w:tcPr>
            <w:tcW w:w="1194" w:type="dxa"/>
            <w:vAlign w:val="center"/>
          </w:tcPr>
          <w:p w14:paraId="69FDCE35" w14:textId="6F7CF44E"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8DCAAFC" w14:textId="511951FE" w:rsidR="0066678E" w:rsidRPr="005F5239" w:rsidRDefault="00B15FD4" w:rsidP="00B15FD4">
            <w:pPr>
              <w:pStyle w:val="Style30"/>
              <w:widowControl/>
              <w:jc w:val="right"/>
              <w:rPr>
                <w:rFonts w:ascii="Arial Narrow" w:hAnsi="Arial Narrow"/>
                <w:sz w:val="14"/>
                <w:szCs w:val="14"/>
              </w:rPr>
            </w:pPr>
            <w:r w:rsidRPr="00B15FD4">
              <w:rPr>
                <w:rFonts w:ascii="Arial Narrow" w:hAnsi="Arial Narrow"/>
                <w:sz w:val="14"/>
                <w:szCs w:val="14"/>
              </w:rPr>
              <w:t>33</w:t>
            </w:r>
            <w:r>
              <w:rPr>
                <w:rFonts w:ascii="Arial Narrow" w:hAnsi="Arial Narrow"/>
                <w:sz w:val="14"/>
                <w:szCs w:val="14"/>
              </w:rPr>
              <w:t> </w:t>
            </w:r>
            <w:r w:rsidRPr="00B15FD4">
              <w:rPr>
                <w:rFonts w:ascii="Arial Narrow" w:hAnsi="Arial Narrow"/>
                <w:sz w:val="14"/>
                <w:szCs w:val="14"/>
              </w:rPr>
              <w:t>496</w:t>
            </w:r>
            <w:r>
              <w:rPr>
                <w:rFonts w:ascii="Arial Narrow" w:hAnsi="Arial Narrow"/>
                <w:sz w:val="14"/>
                <w:szCs w:val="14"/>
              </w:rPr>
              <w:t xml:space="preserve"> </w:t>
            </w:r>
            <w:r w:rsidRPr="00B15FD4">
              <w:rPr>
                <w:rFonts w:ascii="Arial Narrow" w:hAnsi="Arial Narrow"/>
                <w:sz w:val="14"/>
                <w:szCs w:val="14"/>
              </w:rPr>
              <w:t>401</w:t>
            </w:r>
          </w:p>
        </w:tc>
        <w:tc>
          <w:tcPr>
            <w:tcW w:w="1057" w:type="dxa"/>
            <w:vAlign w:val="center"/>
          </w:tcPr>
          <w:p w14:paraId="54985652" w14:textId="5ABA0585" w:rsidR="0066678E" w:rsidRPr="0066678E" w:rsidRDefault="00B15FD4" w:rsidP="00B15FD4">
            <w:pPr>
              <w:jc w:val="right"/>
              <w:rPr>
                <w:rFonts w:ascii="Arial Narrow" w:hAnsi="Arial Narrow"/>
                <w:sz w:val="14"/>
                <w:szCs w:val="14"/>
              </w:rPr>
            </w:pPr>
            <w:r w:rsidRPr="00B15FD4">
              <w:rPr>
                <w:rFonts w:ascii="Arial Narrow" w:hAnsi="Arial Narrow"/>
                <w:sz w:val="14"/>
                <w:szCs w:val="14"/>
              </w:rPr>
              <w:t>33</w:t>
            </w:r>
            <w:r>
              <w:rPr>
                <w:rFonts w:ascii="Arial Narrow" w:hAnsi="Arial Narrow"/>
                <w:sz w:val="14"/>
                <w:szCs w:val="14"/>
              </w:rPr>
              <w:t> </w:t>
            </w:r>
            <w:r w:rsidRPr="00B15FD4">
              <w:rPr>
                <w:rFonts w:ascii="Arial Narrow" w:hAnsi="Arial Narrow"/>
                <w:sz w:val="14"/>
                <w:szCs w:val="14"/>
              </w:rPr>
              <w:t>496</w:t>
            </w:r>
            <w:r>
              <w:rPr>
                <w:rFonts w:ascii="Arial Narrow" w:hAnsi="Arial Narrow"/>
                <w:sz w:val="14"/>
                <w:szCs w:val="14"/>
              </w:rPr>
              <w:t xml:space="preserve"> </w:t>
            </w:r>
            <w:r w:rsidRPr="00B15FD4">
              <w:rPr>
                <w:rFonts w:ascii="Arial Narrow" w:hAnsi="Arial Narrow"/>
                <w:sz w:val="14"/>
                <w:szCs w:val="14"/>
              </w:rPr>
              <w:t>401</w:t>
            </w:r>
          </w:p>
        </w:tc>
        <w:tc>
          <w:tcPr>
            <w:tcW w:w="965" w:type="dxa"/>
            <w:vAlign w:val="center"/>
          </w:tcPr>
          <w:p w14:paraId="73345A48" w14:textId="2D72B2DB" w:rsidR="0066678E" w:rsidRPr="0066678E" w:rsidRDefault="00B15FD4" w:rsidP="00B15FD4">
            <w:pPr>
              <w:jc w:val="right"/>
              <w:rPr>
                <w:rFonts w:ascii="Arial Narrow" w:hAnsi="Arial Narrow"/>
                <w:sz w:val="14"/>
                <w:szCs w:val="14"/>
              </w:rPr>
            </w:pPr>
            <w:r w:rsidRPr="00B15FD4">
              <w:rPr>
                <w:rFonts w:ascii="Arial Narrow" w:hAnsi="Arial Narrow"/>
                <w:sz w:val="14"/>
                <w:szCs w:val="14"/>
              </w:rPr>
              <w:t>33</w:t>
            </w:r>
            <w:r>
              <w:rPr>
                <w:rFonts w:ascii="Arial Narrow" w:hAnsi="Arial Narrow"/>
                <w:sz w:val="14"/>
                <w:szCs w:val="14"/>
              </w:rPr>
              <w:t> </w:t>
            </w:r>
            <w:r w:rsidRPr="00B15FD4">
              <w:rPr>
                <w:rFonts w:ascii="Arial Narrow" w:hAnsi="Arial Narrow"/>
                <w:sz w:val="14"/>
                <w:szCs w:val="14"/>
              </w:rPr>
              <w:t>496</w:t>
            </w:r>
            <w:r>
              <w:rPr>
                <w:rFonts w:ascii="Arial Narrow" w:hAnsi="Arial Narrow"/>
                <w:sz w:val="14"/>
                <w:szCs w:val="14"/>
              </w:rPr>
              <w:t xml:space="preserve"> </w:t>
            </w:r>
            <w:r w:rsidRPr="00B15FD4">
              <w:rPr>
                <w:rFonts w:ascii="Arial Narrow" w:hAnsi="Arial Narrow"/>
                <w:sz w:val="14"/>
                <w:szCs w:val="14"/>
              </w:rPr>
              <w:t>401</w:t>
            </w:r>
          </w:p>
        </w:tc>
        <w:tc>
          <w:tcPr>
            <w:tcW w:w="980" w:type="dxa"/>
            <w:vAlign w:val="center"/>
          </w:tcPr>
          <w:p w14:paraId="3A787BD6" w14:textId="359F24F1"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3B338800" w14:textId="244458D9" w:rsidR="0066678E" w:rsidRPr="0066678E" w:rsidRDefault="00B15FD4" w:rsidP="00B15FD4">
            <w:pPr>
              <w:jc w:val="right"/>
              <w:rPr>
                <w:rFonts w:ascii="Arial Narrow" w:hAnsi="Arial Narrow"/>
                <w:b/>
                <w:sz w:val="14"/>
                <w:szCs w:val="14"/>
              </w:rPr>
            </w:pPr>
            <w:r>
              <w:rPr>
                <w:rFonts w:ascii="Arial Narrow" w:hAnsi="Arial Narrow"/>
                <w:b/>
                <w:sz w:val="14"/>
                <w:szCs w:val="14"/>
              </w:rPr>
              <w:t>66 992 802</w:t>
            </w:r>
          </w:p>
        </w:tc>
        <w:tc>
          <w:tcPr>
            <w:tcW w:w="728" w:type="dxa"/>
            <w:vAlign w:val="center"/>
          </w:tcPr>
          <w:p w14:paraId="42F537E0" w14:textId="320BA48A"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50,00%</w:t>
            </w:r>
          </w:p>
        </w:tc>
        <w:tc>
          <w:tcPr>
            <w:tcW w:w="784" w:type="dxa"/>
            <w:vAlign w:val="center"/>
          </w:tcPr>
          <w:p w14:paraId="546D57FA" w14:textId="03B40A4B" w:rsidR="0066678E" w:rsidRPr="005F5239"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01D4F63A" w14:textId="2CFB8FA7" w:rsidR="0066678E" w:rsidRPr="0066678E" w:rsidRDefault="0066678E" w:rsidP="0066678E">
            <w:pPr>
              <w:jc w:val="right"/>
              <w:rPr>
                <w:rFonts w:ascii="Arial Narrow" w:hAnsi="Arial Narrow"/>
                <w:sz w:val="14"/>
                <w:szCs w:val="14"/>
              </w:rPr>
            </w:pPr>
            <w:r w:rsidRPr="0066678E">
              <w:rPr>
                <w:rFonts w:ascii="Arial Narrow" w:hAnsi="Arial Narrow"/>
                <w:sz w:val="14"/>
                <w:szCs w:val="14"/>
              </w:rPr>
              <w:t>23 118 812</w:t>
            </w:r>
          </w:p>
        </w:tc>
        <w:tc>
          <w:tcPr>
            <w:tcW w:w="1023" w:type="dxa"/>
            <w:vAlign w:val="center"/>
          </w:tcPr>
          <w:p w14:paraId="61F6D1D4" w14:textId="49C2BA2E" w:rsidR="0066678E" w:rsidRPr="0066678E" w:rsidRDefault="0066678E" w:rsidP="0066678E">
            <w:pPr>
              <w:jc w:val="right"/>
              <w:rPr>
                <w:rFonts w:ascii="Arial Narrow" w:hAnsi="Arial Narrow"/>
                <w:sz w:val="14"/>
                <w:szCs w:val="14"/>
              </w:rPr>
            </w:pPr>
            <w:r w:rsidRPr="0066678E">
              <w:rPr>
                <w:rFonts w:ascii="Arial Narrow" w:hAnsi="Arial Narrow"/>
                <w:sz w:val="14"/>
                <w:szCs w:val="14"/>
              </w:rPr>
              <w:t>23 118 812</w:t>
            </w:r>
          </w:p>
        </w:tc>
        <w:tc>
          <w:tcPr>
            <w:tcW w:w="992" w:type="dxa"/>
            <w:vAlign w:val="center"/>
          </w:tcPr>
          <w:p w14:paraId="54DCAC26" w14:textId="6D1135C6" w:rsidR="0066678E" w:rsidRPr="0066678E" w:rsidRDefault="00DA4E0D" w:rsidP="0066678E">
            <w:pPr>
              <w:jc w:val="right"/>
              <w:rPr>
                <w:rFonts w:ascii="Arial Narrow" w:hAnsi="Arial Narrow"/>
                <w:sz w:val="14"/>
                <w:szCs w:val="14"/>
              </w:rPr>
            </w:pPr>
            <w:r>
              <w:rPr>
                <w:rFonts w:ascii="Arial Narrow" w:hAnsi="Arial Narrow"/>
                <w:sz w:val="14"/>
                <w:szCs w:val="14"/>
              </w:rPr>
              <w:t>10 377 589</w:t>
            </w:r>
          </w:p>
        </w:tc>
        <w:tc>
          <w:tcPr>
            <w:tcW w:w="952" w:type="dxa"/>
            <w:vAlign w:val="center"/>
          </w:tcPr>
          <w:p w14:paraId="30C5217F" w14:textId="4848EEEE" w:rsidR="0066678E" w:rsidRPr="0066678E" w:rsidRDefault="00DA4E0D" w:rsidP="00DA4E0D">
            <w:pPr>
              <w:jc w:val="right"/>
              <w:rPr>
                <w:rFonts w:ascii="Arial Narrow" w:hAnsi="Arial Narrow"/>
                <w:sz w:val="14"/>
                <w:szCs w:val="14"/>
              </w:rPr>
            </w:pPr>
            <w:r>
              <w:rPr>
                <w:rFonts w:ascii="Arial Narrow" w:hAnsi="Arial Narrow"/>
                <w:sz w:val="14"/>
                <w:szCs w:val="14"/>
              </w:rPr>
              <w:t>10 377 589</w:t>
            </w:r>
          </w:p>
        </w:tc>
        <w:tc>
          <w:tcPr>
            <w:tcW w:w="993" w:type="dxa"/>
            <w:vAlign w:val="center"/>
          </w:tcPr>
          <w:p w14:paraId="15A2CA00" w14:textId="3102FFFF" w:rsidR="0066678E" w:rsidRPr="005F5239" w:rsidRDefault="00DA4E0D" w:rsidP="00DA4E0D">
            <w:pPr>
              <w:pStyle w:val="Style30"/>
              <w:widowControl/>
              <w:jc w:val="center"/>
              <w:rPr>
                <w:rFonts w:ascii="Arial Narrow" w:hAnsi="Arial Narrow"/>
                <w:sz w:val="14"/>
                <w:szCs w:val="14"/>
              </w:rPr>
            </w:pPr>
            <w:r>
              <w:rPr>
                <w:rFonts w:ascii="Arial Narrow" w:hAnsi="Arial Narrow"/>
                <w:sz w:val="14"/>
                <w:szCs w:val="14"/>
              </w:rPr>
              <w:t>30,98</w:t>
            </w:r>
            <w:r w:rsidR="0066678E" w:rsidRPr="0066678E">
              <w:rPr>
                <w:rFonts w:ascii="Arial Narrow" w:hAnsi="Arial Narrow"/>
                <w:sz w:val="14"/>
                <w:szCs w:val="14"/>
              </w:rPr>
              <w:t>%</w:t>
            </w:r>
          </w:p>
        </w:tc>
      </w:tr>
      <w:tr w:rsidR="0066678E" w:rsidRPr="00001F01" w14:paraId="0920CD07" w14:textId="77777777" w:rsidTr="00351D17">
        <w:trPr>
          <w:trHeight w:val="339"/>
        </w:trPr>
        <w:tc>
          <w:tcPr>
            <w:tcW w:w="704" w:type="dxa"/>
            <w:vAlign w:val="center"/>
          </w:tcPr>
          <w:p w14:paraId="542035F0" w14:textId="6F14AD21"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13</w:t>
            </w:r>
          </w:p>
        </w:tc>
        <w:tc>
          <w:tcPr>
            <w:tcW w:w="530" w:type="dxa"/>
            <w:vAlign w:val="center"/>
          </w:tcPr>
          <w:p w14:paraId="72C22CEC" w14:textId="2C09D20C"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1E4259CA" w14:textId="4C7C5F8B" w:rsidR="0066678E" w:rsidRDefault="0066678E" w:rsidP="0066678E">
            <w:pPr>
              <w:pStyle w:val="Style30"/>
              <w:widowControl/>
              <w:jc w:val="center"/>
              <w:rPr>
                <w:rFonts w:ascii="Arial Narrow" w:hAnsi="Arial Narrow"/>
                <w:i/>
                <w:sz w:val="14"/>
                <w:szCs w:val="14"/>
              </w:rPr>
            </w:pPr>
            <w:r>
              <w:rPr>
                <w:rFonts w:ascii="Arial Narrow" w:hAnsi="Arial Narrow"/>
                <w:i/>
                <w:sz w:val="14"/>
                <w:szCs w:val="14"/>
              </w:rPr>
              <w:t>Menej rozvinuté</w:t>
            </w:r>
          </w:p>
        </w:tc>
        <w:tc>
          <w:tcPr>
            <w:tcW w:w="1194" w:type="dxa"/>
            <w:vAlign w:val="center"/>
          </w:tcPr>
          <w:p w14:paraId="727B5E31" w14:textId="27B53DD6"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1D96668" w14:textId="5C5FEF1C"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67 585 000</w:t>
            </w:r>
          </w:p>
        </w:tc>
        <w:tc>
          <w:tcPr>
            <w:tcW w:w="1057" w:type="dxa"/>
            <w:vAlign w:val="center"/>
          </w:tcPr>
          <w:p w14:paraId="0C3A46C7" w14:textId="6764E5FA" w:rsidR="0066678E" w:rsidRPr="0066678E" w:rsidRDefault="0066678E" w:rsidP="0066678E">
            <w:pPr>
              <w:jc w:val="right"/>
              <w:rPr>
                <w:rFonts w:ascii="Arial Narrow" w:hAnsi="Arial Narrow"/>
                <w:sz w:val="14"/>
                <w:szCs w:val="14"/>
              </w:rPr>
            </w:pPr>
            <w:r w:rsidRPr="0066678E">
              <w:rPr>
                <w:rFonts w:ascii="Arial Narrow" w:hAnsi="Arial Narrow"/>
                <w:sz w:val="14"/>
                <w:szCs w:val="14"/>
              </w:rPr>
              <w:t>11 926 765</w:t>
            </w:r>
          </w:p>
        </w:tc>
        <w:tc>
          <w:tcPr>
            <w:tcW w:w="965" w:type="dxa"/>
            <w:vAlign w:val="center"/>
          </w:tcPr>
          <w:p w14:paraId="32B9ED1B" w14:textId="24D79BBD" w:rsidR="0066678E" w:rsidRPr="0066678E" w:rsidRDefault="0066678E" w:rsidP="0066678E">
            <w:pPr>
              <w:jc w:val="right"/>
              <w:rPr>
                <w:rFonts w:ascii="Arial Narrow" w:hAnsi="Arial Narrow"/>
                <w:sz w:val="14"/>
                <w:szCs w:val="14"/>
              </w:rPr>
            </w:pPr>
            <w:r w:rsidRPr="0066678E">
              <w:rPr>
                <w:rFonts w:ascii="Arial Narrow" w:hAnsi="Arial Narrow"/>
                <w:sz w:val="14"/>
                <w:szCs w:val="14"/>
              </w:rPr>
              <w:t>11 926 765</w:t>
            </w:r>
          </w:p>
        </w:tc>
        <w:tc>
          <w:tcPr>
            <w:tcW w:w="980" w:type="dxa"/>
            <w:vAlign w:val="center"/>
          </w:tcPr>
          <w:p w14:paraId="21C9E0BE" w14:textId="7E7E550F"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58BFAF9A" w14:textId="4F921184"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79 511 765</w:t>
            </w:r>
          </w:p>
        </w:tc>
        <w:tc>
          <w:tcPr>
            <w:tcW w:w="728" w:type="dxa"/>
            <w:vAlign w:val="center"/>
          </w:tcPr>
          <w:p w14:paraId="4CC08F95" w14:textId="31B6D28A"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85,00%</w:t>
            </w:r>
          </w:p>
        </w:tc>
        <w:tc>
          <w:tcPr>
            <w:tcW w:w="784" w:type="dxa"/>
            <w:vAlign w:val="center"/>
          </w:tcPr>
          <w:p w14:paraId="12512731" w14:textId="4DB7CCF3" w:rsidR="0066678E" w:rsidRPr="005F5239"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4E593108" w14:textId="1F3E77CC" w:rsidR="0066678E" w:rsidRPr="0066678E" w:rsidRDefault="0066678E" w:rsidP="0066678E">
            <w:pPr>
              <w:jc w:val="right"/>
              <w:rPr>
                <w:rFonts w:ascii="Arial Narrow" w:hAnsi="Arial Narrow"/>
                <w:sz w:val="14"/>
                <w:szCs w:val="14"/>
              </w:rPr>
            </w:pPr>
            <w:r w:rsidRPr="0066678E">
              <w:rPr>
                <w:rFonts w:ascii="Arial Narrow" w:hAnsi="Arial Narrow"/>
                <w:sz w:val="14"/>
                <w:szCs w:val="14"/>
              </w:rPr>
              <w:t>67 585 000</w:t>
            </w:r>
          </w:p>
        </w:tc>
        <w:tc>
          <w:tcPr>
            <w:tcW w:w="1023" w:type="dxa"/>
            <w:vAlign w:val="center"/>
          </w:tcPr>
          <w:p w14:paraId="4EBADC84" w14:textId="3A8687B4" w:rsidR="0066678E" w:rsidRPr="0066678E" w:rsidRDefault="0066678E" w:rsidP="0066678E">
            <w:pPr>
              <w:jc w:val="right"/>
              <w:rPr>
                <w:rFonts w:ascii="Arial Narrow" w:hAnsi="Arial Narrow"/>
                <w:sz w:val="14"/>
                <w:szCs w:val="14"/>
              </w:rPr>
            </w:pPr>
            <w:r w:rsidRPr="0066678E">
              <w:rPr>
                <w:rFonts w:ascii="Arial Narrow" w:hAnsi="Arial Narrow"/>
                <w:sz w:val="14"/>
                <w:szCs w:val="14"/>
              </w:rPr>
              <w:t>11 926 765</w:t>
            </w:r>
          </w:p>
        </w:tc>
        <w:tc>
          <w:tcPr>
            <w:tcW w:w="992" w:type="dxa"/>
            <w:vAlign w:val="center"/>
          </w:tcPr>
          <w:p w14:paraId="71AAA145" w14:textId="5610DFE1" w:rsidR="0066678E" w:rsidRPr="0066678E" w:rsidRDefault="0066678E" w:rsidP="0066678E">
            <w:pPr>
              <w:jc w:val="right"/>
              <w:rPr>
                <w:rFonts w:ascii="Arial Narrow" w:hAnsi="Arial Narrow"/>
                <w:sz w:val="14"/>
                <w:szCs w:val="14"/>
              </w:rPr>
            </w:pPr>
            <w:r w:rsidRPr="0066678E">
              <w:rPr>
                <w:rFonts w:ascii="Arial Narrow" w:hAnsi="Arial Narrow"/>
                <w:sz w:val="14"/>
                <w:szCs w:val="14"/>
              </w:rPr>
              <w:t>0</w:t>
            </w:r>
          </w:p>
        </w:tc>
        <w:tc>
          <w:tcPr>
            <w:tcW w:w="952" w:type="dxa"/>
            <w:vAlign w:val="center"/>
          </w:tcPr>
          <w:p w14:paraId="39F9D4CB" w14:textId="60698C42" w:rsidR="0066678E" w:rsidRPr="0066678E" w:rsidRDefault="0066678E" w:rsidP="0066678E">
            <w:pPr>
              <w:jc w:val="right"/>
              <w:rPr>
                <w:rFonts w:ascii="Arial Narrow" w:hAnsi="Arial Narrow"/>
                <w:sz w:val="14"/>
                <w:szCs w:val="14"/>
              </w:rPr>
            </w:pPr>
            <w:r w:rsidRPr="0066678E">
              <w:rPr>
                <w:rFonts w:ascii="Arial Narrow" w:hAnsi="Arial Narrow"/>
                <w:sz w:val="14"/>
                <w:szCs w:val="14"/>
              </w:rPr>
              <w:t>0</w:t>
            </w:r>
          </w:p>
        </w:tc>
        <w:tc>
          <w:tcPr>
            <w:tcW w:w="993" w:type="dxa"/>
            <w:vAlign w:val="center"/>
          </w:tcPr>
          <w:p w14:paraId="40654BFC" w14:textId="4C36B1CB"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0,00%</w:t>
            </w:r>
          </w:p>
        </w:tc>
      </w:tr>
      <w:tr w:rsidR="0066678E" w:rsidRPr="00001F01" w14:paraId="35BB5D81" w14:textId="77777777" w:rsidTr="00351D17">
        <w:trPr>
          <w:trHeight w:val="339"/>
        </w:trPr>
        <w:tc>
          <w:tcPr>
            <w:tcW w:w="704" w:type="dxa"/>
            <w:vAlign w:val="center"/>
          </w:tcPr>
          <w:p w14:paraId="1A3A424C" w14:textId="0742C75F" w:rsidR="0066678E" w:rsidRPr="00001F01" w:rsidRDefault="0066678E" w:rsidP="0066678E">
            <w:pPr>
              <w:rPr>
                <w:rStyle w:val="FontStyle86"/>
                <w:rFonts w:ascii="Arial Narrow" w:eastAsiaTheme="majorEastAsia" w:hAnsi="Arial Narrow"/>
              </w:rPr>
            </w:pPr>
            <w:r>
              <w:rPr>
                <w:rStyle w:val="FontStyle86"/>
                <w:rFonts w:ascii="Arial Narrow" w:eastAsiaTheme="majorEastAsia" w:hAnsi="Arial Narrow"/>
              </w:rPr>
              <w:t>PO 13</w:t>
            </w:r>
          </w:p>
        </w:tc>
        <w:tc>
          <w:tcPr>
            <w:tcW w:w="530" w:type="dxa"/>
            <w:vAlign w:val="center"/>
          </w:tcPr>
          <w:p w14:paraId="480E1E59" w14:textId="0FCBD48E"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60AF13C6" w14:textId="6E48B04C" w:rsidR="0066678E" w:rsidRDefault="0066678E" w:rsidP="0066678E">
            <w:pPr>
              <w:pStyle w:val="Style30"/>
              <w:widowControl/>
              <w:jc w:val="center"/>
              <w:rPr>
                <w:rFonts w:ascii="Arial Narrow" w:hAnsi="Arial Narrow"/>
                <w:i/>
                <w:sz w:val="14"/>
                <w:szCs w:val="14"/>
              </w:rPr>
            </w:pPr>
            <w:r w:rsidRPr="005C0B99">
              <w:rPr>
                <w:rFonts w:ascii="Arial Narrow" w:hAnsi="Arial Narrow"/>
                <w:i/>
                <w:sz w:val="14"/>
                <w:szCs w:val="14"/>
              </w:rPr>
              <w:t>Rozvinutejšie</w:t>
            </w:r>
          </w:p>
        </w:tc>
        <w:tc>
          <w:tcPr>
            <w:tcW w:w="1194" w:type="dxa"/>
            <w:vAlign w:val="center"/>
          </w:tcPr>
          <w:p w14:paraId="37966BCC" w14:textId="6F120AFD" w:rsidR="0066678E" w:rsidRDefault="0066678E" w:rsidP="0066678E">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20B234EC" w14:textId="694F8F36"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2 415 000</w:t>
            </w:r>
          </w:p>
        </w:tc>
        <w:tc>
          <w:tcPr>
            <w:tcW w:w="1057" w:type="dxa"/>
            <w:vAlign w:val="center"/>
          </w:tcPr>
          <w:p w14:paraId="6FA503F8" w14:textId="2C35FBFC" w:rsidR="0066678E" w:rsidRPr="0066678E" w:rsidRDefault="0066678E" w:rsidP="0066678E">
            <w:pPr>
              <w:jc w:val="right"/>
              <w:rPr>
                <w:rFonts w:ascii="Arial Narrow" w:hAnsi="Arial Narrow"/>
                <w:sz w:val="14"/>
                <w:szCs w:val="14"/>
              </w:rPr>
            </w:pPr>
            <w:r w:rsidRPr="0066678E">
              <w:rPr>
                <w:rFonts w:ascii="Arial Narrow" w:hAnsi="Arial Narrow"/>
                <w:sz w:val="14"/>
                <w:szCs w:val="14"/>
              </w:rPr>
              <w:t>2 415 000</w:t>
            </w:r>
          </w:p>
        </w:tc>
        <w:tc>
          <w:tcPr>
            <w:tcW w:w="965" w:type="dxa"/>
            <w:vAlign w:val="center"/>
          </w:tcPr>
          <w:p w14:paraId="289630D0" w14:textId="2E10C592" w:rsidR="0066678E" w:rsidRPr="0066678E" w:rsidRDefault="0066678E" w:rsidP="0066678E">
            <w:pPr>
              <w:jc w:val="right"/>
              <w:rPr>
                <w:rFonts w:ascii="Arial Narrow" w:hAnsi="Arial Narrow"/>
                <w:sz w:val="14"/>
                <w:szCs w:val="14"/>
              </w:rPr>
            </w:pPr>
            <w:r w:rsidRPr="0066678E">
              <w:rPr>
                <w:rFonts w:ascii="Arial Narrow" w:hAnsi="Arial Narrow"/>
                <w:sz w:val="14"/>
                <w:szCs w:val="14"/>
              </w:rPr>
              <w:t>2 415 000</w:t>
            </w:r>
          </w:p>
        </w:tc>
        <w:tc>
          <w:tcPr>
            <w:tcW w:w="980" w:type="dxa"/>
            <w:vAlign w:val="center"/>
          </w:tcPr>
          <w:p w14:paraId="24DB6ECF" w14:textId="54782F68" w:rsidR="0066678E" w:rsidRPr="005F5239" w:rsidRDefault="0066678E" w:rsidP="0066678E">
            <w:pPr>
              <w:pStyle w:val="Style30"/>
              <w:widowControl/>
              <w:jc w:val="right"/>
              <w:rPr>
                <w:rFonts w:ascii="Arial Narrow" w:hAnsi="Arial Narrow"/>
                <w:sz w:val="14"/>
                <w:szCs w:val="14"/>
              </w:rPr>
            </w:pPr>
            <w:r w:rsidRPr="0066678E">
              <w:rPr>
                <w:rFonts w:ascii="Arial Narrow" w:hAnsi="Arial Narrow"/>
                <w:sz w:val="14"/>
                <w:szCs w:val="14"/>
              </w:rPr>
              <w:t>0</w:t>
            </w:r>
          </w:p>
        </w:tc>
        <w:tc>
          <w:tcPr>
            <w:tcW w:w="1148" w:type="dxa"/>
            <w:vAlign w:val="center"/>
          </w:tcPr>
          <w:p w14:paraId="1136CD79" w14:textId="21BF798E" w:rsidR="0066678E" w:rsidRPr="0066678E" w:rsidRDefault="0066678E" w:rsidP="0066678E">
            <w:pPr>
              <w:jc w:val="right"/>
              <w:rPr>
                <w:rFonts w:ascii="Arial Narrow" w:hAnsi="Arial Narrow"/>
                <w:b/>
                <w:sz w:val="14"/>
                <w:szCs w:val="14"/>
              </w:rPr>
            </w:pPr>
            <w:r w:rsidRPr="0066678E">
              <w:rPr>
                <w:rFonts w:ascii="Arial Narrow" w:hAnsi="Arial Narrow"/>
                <w:b/>
                <w:sz w:val="14"/>
                <w:szCs w:val="14"/>
              </w:rPr>
              <w:t>4 830 000</w:t>
            </w:r>
          </w:p>
        </w:tc>
        <w:tc>
          <w:tcPr>
            <w:tcW w:w="728" w:type="dxa"/>
            <w:vAlign w:val="center"/>
          </w:tcPr>
          <w:p w14:paraId="7E755F5D" w14:textId="49A70F15"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50,00%</w:t>
            </w:r>
          </w:p>
        </w:tc>
        <w:tc>
          <w:tcPr>
            <w:tcW w:w="784" w:type="dxa"/>
            <w:vAlign w:val="center"/>
          </w:tcPr>
          <w:p w14:paraId="77D86CC4" w14:textId="28FA71F2" w:rsidR="0066678E" w:rsidRPr="005F5239" w:rsidRDefault="0066678E" w:rsidP="00351D17">
            <w:pPr>
              <w:pStyle w:val="Style30"/>
              <w:widowControl/>
              <w:jc w:val="right"/>
              <w:rPr>
                <w:rFonts w:ascii="Arial Narrow" w:hAnsi="Arial Narrow"/>
                <w:sz w:val="14"/>
                <w:szCs w:val="14"/>
              </w:rPr>
            </w:pPr>
            <w:r w:rsidRPr="0066678E">
              <w:rPr>
                <w:rFonts w:ascii="Arial Narrow" w:hAnsi="Arial Narrow"/>
                <w:sz w:val="14"/>
                <w:szCs w:val="14"/>
              </w:rPr>
              <w:t> </w:t>
            </w:r>
          </w:p>
        </w:tc>
        <w:tc>
          <w:tcPr>
            <w:tcW w:w="1080" w:type="dxa"/>
            <w:vAlign w:val="center"/>
          </w:tcPr>
          <w:p w14:paraId="44D19051" w14:textId="2AF2182C" w:rsidR="0066678E" w:rsidRPr="0066678E" w:rsidRDefault="0066678E" w:rsidP="0066678E">
            <w:pPr>
              <w:jc w:val="right"/>
              <w:rPr>
                <w:rFonts w:ascii="Arial Narrow" w:hAnsi="Arial Narrow"/>
                <w:sz w:val="14"/>
                <w:szCs w:val="14"/>
              </w:rPr>
            </w:pPr>
            <w:r w:rsidRPr="0066678E">
              <w:rPr>
                <w:rFonts w:ascii="Arial Narrow" w:hAnsi="Arial Narrow"/>
                <w:sz w:val="14"/>
                <w:szCs w:val="14"/>
              </w:rPr>
              <w:t>2 415 000</w:t>
            </w:r>
          </w:p>
        </w:tc>
        <w:tc>
          <w:tcPr>
            <w:tcW w:w="1023" w:type="dxa"/>
            <w:vAlign w:val="center"/>
          </w:tcPr>
          <w:p w14:paraId="369A49AB" w14:textId="24961FDC" w:rsidR="0066678E" w:rsidRPr="0066678E" w:rsidRDefault="0066678E" w:rsidP="0066678E">
            <w:pPr>
              <w:jc w:val="right"/>
              <w:rPr>
                <w:rFonts w:ascii="Arial Narrow" w:hAnsi="Arial Narrow"/>
                <w:sz w:val="14"/>
                <w:szCs w:val="14"/>
              </w:rPr>
            </w:pPr>
            <w:r w:rsidRPr="0066678E">
              <w:rPr>
                <w:rFonts w:ascii="Arial Narrow" w:hAnsi="Arial Narrow"/>
                <w:sz w:val="14"/>
                <w:szCs w:val="14"/>
              </w:rPr>
              <w:t>2 415 000</w:t>
            </w:r>
          </w:p>
        </w:tc>
        <w:tc>
          <w:tcPr>
            <w:tcW w:w="992" w:type="dxa"/>
            <w:vAlign w:val="center"/>
          </w:tcPr>
          <w:p w14:paraId="58090195" w14:textId="2E510687" w:rsidR="0066678E" w:rsidRPr="0066678E" w:rsidRDefault="0066678E" w:rsidP="0066678E">
            <w:pPr>
              <w:jc w:val="right"/>
              <w:rPr>
                <w:rFonts w:ascii="Arial Narrow" w:hAnsi="Arial Narrow"/>
                <w:sz w:val="14"/>
                <w:szCs w:val="14"/>
              </w:rPr>
            </w:pPr>
            <w:r w:rsidRPr="0066678E">
              <w:rPr>
                <w:rFonts w:ascii="Arial Narrow" w:hAnsi="Arial Narrow"/>
                <w:sz w:val="14"/>
                <w:szCs w:val="14"/>
              </w:rPr>
              <w:t>0</w:t>
            </w:r>
          </w:p>
        </w:tc>
        <w:tc>
          <w:tcPr>
            <w:tcW w:w="952" w:type="dxa"/>
            <w:vAlign w:val="center"/>
          </w:tcPr>
          <w:p w14:paraId="6C8E9083" w14:textId="75742715" w:rsidR="0066678E" w:rsidRPr="0066678E" w:rsidRDefault="0066678E" w:rsidP="0066678E">
            <w:pPr>
              <w:jc w:val="right"/>
              <w:rPr>
                <w:rFonts w:ascii="Arial Narrow" w:hAnsi="Arial Narrow"/>
                <w:sz w:val="14"/>
                <w:szCs w:val="14"/>
              </w:rPr>
            </w:pPr>
            <w:r w:rsidRPr="0066678E">
              <w:rPr>
                <w:rFonts w:ascii="Arial Narrow" w:hAnsi="Arial Narrow"/>
                <w:sz w:val="14"/>
                <w:szCs w:val="14"/>
              </w:rPr>
              <w:t>0</w:t>
            </w:r>
          </w:p>
        </w:tc>
        <w:tc>
          <w:tcPr>
            <w:tcW w:w="993" w:type="dxa"/>
            <w:vAlign w:val="center"/>
          </w:tcPr>
          <w:p w14:paraId="344AD432" w14:textId="040C39C2" w:rsidR="0066678E" w:rsidRPr="005F5239" w:rsidRDefault="0066678E" w:rsidP="0066678E">
            <w:pPr>
              <w:pStyle w:val="Style30"/>
              <w:widowControl/>
              <w:jc w:val="center"/>
              <w:rPr>
                <w:rFonts w:ascii="Arial Narrow" w:hAnsi="Arial Narrow"/>
                <w:sz w:val="14"/>
                <w:szCs w:val="14"/>
              </w:rPr>
            </w:pPr>
            <w:r w:rsidRPr="0066678E">
              <w:rPr>
                <w:rFonts w:ascii="Arial Narrow" w:hAnsi="Arial Narrow"/>
                <w:sz w:val="14"/>
                <w:szCs w:val="14"/>
              </w:rPr>
              <w:t>0,00%</w:t>
            </w:r>
          </w:p>
        </w:tc>
      </w:tr>
      <w:tr w:rsidR="00351D17" w:rsidRPr="00001F01" w14:paraId="724BC590" w14:textId="77777777" w:rsidTr="00351D17">
        <w:trPr>
          <w:trHeight w:val="339"/>
        </w:trPr>
        <w:tc>
          <w:tcPr>
            <w:tcW w:w="704" w:type="dxa"/>
            <w:shd w:val="clear" w:color="auto" w:fill="F2F2F2" w:themeFill="background1" w:themeFillShade="F2"/>
            <w:vAlign w:val="center"/>
          </w:tcPr>
          <w:p w14:paraId="34658875" w14:textId="77777777" w:rsidR="0066678E" w:rsidRPr="00001F01" w:rsidRDefault="0066678E" w:rsidP="0066678E">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14:paraId="3630D06A" w14:textId="77777777" w:rsidR="0066678E" w:rsidRPr="00001F01" w:rsidRDefault="0066678E" w:rsidP="0066678E">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shd w:val="clear" w:color="auto" w:fill="F2F2F2" w:themeFill="background1" w:themeFillShade="F2"/>
            <w:vAlign w:val="center"/>
          </w:tcPr>
          <w:p w14:paraId="09B8392B" w14:textId="77777777" w:rsidR="0066678E" w:rsidRPr="00001F01" w:rsidRDefault="0066678E" w:rsidP="0066678E">
            <w:pPr>
              <w:pStyle w:val="Style68"/>
              <w:widowControl/>
              <w:jc w:val="center"/>
              <w:rPr>
                <w:rStyle w:val="FontStyle88"/>
                <w:rFonts w:ascii="Arial Narrow" w:hAnsi="Arial Narrow"/>
                <w:lang w:eastAsia="en-US"/>
              </w:rPr>
            </w:pPr>
            <w:r w:rsidRPr="00001F01">
              <w:rPr>
                <w:rFonts w:ascii="Arial Narrow" w:hAnsi="Arial Narrow"/>
                <w:i/>
                <w:sz w:val="14"/>
                <w:szCs w:val="14"/>
              </w:rPr>
              <w:t>N/A</w:t>
            </w:r>
          </w:p>
        </w:tc>
        <w:tc>
          <w:tcPr>
            <w:tcW w:w="1194" w:type="dxa"/>
            <w:shd w:val="clear" w:color="auto" w:fill="F2F2F2" w:themeFill="background1" w:themeFillShade="F2"/>
            <w:vAlign w:val="center"/>
          </w:tcPr>
          <w:p w14:paraId="7B75E51C" w14:textId="77777777" w:rsidR="0066678E" w:rsidRPr="00001F01" w:rsidRDefault="0066678E" w:rsidP="0066678E">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14:paraId="74E34FBD" w14:textId="41AE0CB1" w:rsidR="0066678E" w:rsidRPr="004C05C8" w:rsidRDefault="0066678E" w:rsidP="004C05C8">
            <w:pPr>
              <w:pStyle w:val="Style30"/>
              <w:widowControl/>
              <w:jc w:val="right"/>
              <w:rPr>
                <w:b/>
              </w:rPr>
            </w:pPr>
            <w:r w:rsidRPr="004C05C8">
              <w:rPr>
                <w:rFonts w:ascii="Arial Narrow" w:hAnsi="Arial Narrow"/>
                <w:b/>
                <w:sz w:val="14"/>
                <w:szCs w:val="14"/>
              </w:rPr>
              <w:t>2 307 139 166</w:t>
            </w:r>
          </w:p>
        </w:tc>
        <w:tc>
          <w:tcPr>
            <w:tcW w:w="1057" w:type="dxa"/>
            <w:shd w:val="clear" w:color="auto" w:fill="F2F2F2" w:themeFill="background1" w:themeFillShade="F2"/>
            <w:vAlign w:val="center"/>
          </w:tcPr>
          <w:p w14:paraId="4F770D81" w14:textId="79638358"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407 142 208</w:t>
            </w:r>
          </w:p>
        </w:tc>
        <w:tc>
          <w:tcPr>
            <w:tcW w:w="965" w:type="dxa"/>
            <w:shd w:val="clear" w:color="auto" w:fill="F2F2F2" w:themeFill="background1" w:themeFillShade="F2"/>
            <w:vAlign w:val="center"/>
          </w:tcPr>
          <w:p w14:paraId="254DF3D8" w14:textId="5B23A3D0" w:rsidR="0066678E" w:rsidRPr="004C05C8" w:rsidRDefault="00BD2C3E" w:rsidP="004C05C8">
            <w:pPr>
              <w:pStyle w:val="Style30"/>
              <w:widowControl/>
              <w:jc w:val="right"/>
              <w:rPr>
                <w:rFonts w:ascii="Arial Narrow" w:hAnsi="Arial Narrow"/>
                <w:b/>
                <w:sz w:val="14"/>
                <w:szCs w:val="14"/>
              </w:rPr>
            </w:pPr>
            <w:r w:rsidRPr="00BD2C3E">
              <w:rPr>
                <w:rFonts w:ascii="Arial Narrow" w:hAnsi="Arial Narrow"/>
                <w:b/>
                <w:sz w:val="14"/>
                <w:szCs w:val="14"/>
              </w:rPr>
              <w:t>398 687 740</w:t>
            </w:r>
          </w:p>
        </w:tc>
        <w:tc>
          <w:tcPr>
            <w:tcW w:w="980" w:type="dxa"/>
            <w:shd w:val="clear" w:color="auto" w:fill="F2F2F2" w:themeFill="background1" w:themeFillShade="F2"/>
            <w:vAlign w:val="center"/>
          </w:tcPr>
          <w:p w14:paraId="3A90611D" w14:textId="01505C07" w:rsidR="0066678E" w:rsidRPr="004C05C8" w:rsidRDefault="00B12678" w:rsidP="004C05C8">
            <w:pPr>
              <w:pStyle w:val="Style30"/>
              <w:widowControl/>
              <w:jc w:val="right"/>
              <w:rPr>
                <w:rFonts w:ascii="Arial Narrow" w:hAnsi="Arial Narrow"/>
                <w:b/>
                <w:sz w:val="14"/>
                <w:szCs w:val="14"/>
              </w:rPr>
            </w:pPr>
            <w:r w:rsidRPr="00B12678">
              <w:rPr>
                <w:rFonts w:ascii="Arial Narrow" w:hAnsi="Arial Narrow"/>
                <w:b/>
                <w:sz w:val="14"/>
                <w:szCs w:val="14"/>
              </w:rPr>
              <w:t>8 454 468</w:t>
            </w:r>
          </w:p>
        </w:tc>
        <w:tc>
          <w:tcPr>
            <w:tcW w:w="1148" w:type="dxa"/>
            <w:shd w:val="clear" w:color="auto" w:fill="F2F2F2" w:themeFill="background1" w:themeFillShade="F2"/>
            <w:vAlign w:val="center"/>
          </w:tcPr>
          <w:p w14:paraId="4FEA5F7D" w14:textId="1AB885EE"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2 714 281 374</w:t>
            </w:r>
          </w:p>
        </w:tc>
        <w:tc>
          <w:tcPr>
            <w:tcW w:w="728" w:type="dxa"/>
            <w:shd w:val="clear" w:color="auto" w:fill="F2F2F2" w:themeFill="background1" w:themeFillShade="F2"/>
            <w:vAlign w:val="center"/>
          </w:tcPr>
          <w:p w14:paraId="6D5E22F6" w14:textId="33F6AE1D" w:rsidR="0066678E" w:rsidRPr="004C05C8" w:rsidRDefault="0066678E" w:rsidP="004C05C8">
            <w:pPr>
              <w:pStyle w:val="Style30"/>
              <w:widowControl/>
              <w:jc w:val="center"/>
              <w:rPr>
                <w:rFonts w:ascii="Arial Narrow" w:hAnsi="Arial Narrow"/>
                <w:sz w:val="14"/>
                <w:szCs w:val="14"/>
              </w:rPr>
            </w:pPr>
            <w:r w:rsidRPr="004C05C8">
              <w:rPr>
                <w:rFonts w:ascii="Arial Narrow" w:hAnsi="Arial Narrow"/>
                <w:sz w:val="14"/>
                <w:szCs w:val="14"/>
              </w:rPr>
              <w:t>85,00%</w:t>
            </w:r>
          </w:p>
        </w:tc>
        <w:tc>
          <w:tcPr>
            <w:tcW w:w="784" w:type="dxa"/>
            <w:shd w:val="clear" w:color="auto" w:fill="F2F2F2" w:themeFill="background1" w:themeFillShade="F2"/>
            <w:vAlign w:val="center"/>
          </w:tcPr>
          <w:p w14:paraId="4F702E6D" w14:textId="19826049" w:rsidR="0066678E" w:rsidRPr="004C05C8" w:rsidRDefault="0066678E" w:rsidP="00351D17">
            <w:pPr>
              <w:pStyle w:val="Style30"/>
              <w:widowControl/>
              <w:jc w:val="right"/>
              <w:rPr>
                <w:rFonts w:ascii="Arial Narrow" w:hAnsi="Arial Narrow"/>
                <w:b/>
                <w:sz w:val="14"/>
                <w:szCs w:val="14"/>
              </w:rPr>
            </w:pPr>
            <w:r w:rsidRPr="004C05C8">
              <w:rPr>
                <w:rFonts w:ascii="Arial Narrow" w:hAnsi="Arial Narrow"/>
                <w:b/>
                <w:sz w:val="14"/>
                <w:szCs w:val="14"/>
              </w:rPr>
              <w:t> </w:t>
            </w:r>
          </w:p>
        </w:tc>
        <w:tc>
          <w:tcPr>
            <w:tcW w:w="1080" w:type="dxa"/>
            <w:shd w:val="clear" w:color="auto" w:fill="F2F2F2" w:themeFill="background1" w:themeFillShade="F2"/>
            <w:vAlign w:val="center"/>
          </w:tcPr>
          <w:p w14:paraId="1DB1FD91" w14:textId="39B48A84"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2 168 710 816</w:t>
            </w:r>
          </w:p>
        </w:tc>
        <w:tc>
          <w:tcPr>
            <w:tcW w:w="1023" w:type="dxa"/>
            <w:shd w:val="clear" w:color="auto" w:fill="F2F2F2" w:themeFill="background1" w:themeFillShade="F2"/>
            <w:vAlign w:val="center"/>
          </w:tcPr>
          <w:p w14:paraId="505961B7" w14:textId="5E32B40E"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382 713 675</w:t>
            </w:r>
          </w:p>
        </w:tc>
        <w:tc>
          <w:tcPr>
            <w:tcW w:w="992" w:type="dxa"/>
            <w:shd w:val="clear" w:color="auto" w:fill="F2F2F2" w:themeFill="background1" w:themeFillShade="F2"/>
            <w:vAlign w:val="center"/>
          </w:tcPr>
          <w:p w14:paraId="1006929C" w14:textId="5A326F93"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138 428 350</w:t>
            </w:r>
          </w:p>
        </w:tc>
        <w:tc>
          <w:tcPr>
            <w:tcW w:w="952" w:type="dxa"/>
            <w:shd w:val="clear" w:color="auto" w:fill="F2F2F2" w:themeFill="background1" w:themeFillShade="F2"/>
            <w:vAlign w:val="center"/>
          </w:tcPr>
          <w:p w14:paraId="67331814" w14:textId="5BEF4938" w:rsidR="0066678E" w:rsidRPr="004C05C8" w:rsidRDefault="0066678E" w:rsidP="004C05C8">
            <w:pPr>
              <w:pStyle w:val="Style30"/>
              <w:widowControl/>
              <w:jc w:val="right"/>
              <w:rPr>
                <w:rFonts w:ascii="Arial Narrow" w:hAnsi="Arial Narrow"/>
                <w:b/>
                <w:sz w:val="14"/>
                <w:szCs w:val="14"/>
              </w:rPr>
            </w:pPr>
            <w:r w:rsidRPr="004C05C8">
              <w:rPr>
                <w:rFonts w:ascii="Arial Narrow" w:hAnsi="Arial Narrow"/>
                <w:b/>
                <w:sz w:val="14"/>
                <w:szCs w:val="14"/>
              </w:rPr>
              <w:t>24 428 533</w:t>
            </w:r>
          </w:p>
        </w:tc>
        <w:tc>
          <w:tcPr>
            <w:tcW w:w="993" w:type="dxa"/>
            <w:shd w:val="clear" w:color="auto" w:fill="F2F2F2" w:themeFill="background1" w:themeFillShade="F2"/>
            <w:vAlign w:val="center"/>
          </w:tcPr>
          <w:p w14:paraId="2E2F93F4" w14:textId="05D8DBFD" w:rsidR="0066678E" w:rsidRPr="004C05C8" w:rsidRDefault="0066678E" w:rsidP="004C05C8">
            <w:pPr>
              <w:pStyle w:val="Style30"/>
              <w:widowControl/>
              <w:jc w:val="center"/>
              <w:rPr>
                <w:rFonts w:ascii="Arial Narrow" w:hAnsi="Arial Narrow"/>
                <w:b/>
                <w:sz w:val="14"/>
                <w:szCs w:val="14"/>
              </w:rPr>
            </w:pPr>
            <w:r w:rsidRPr="004C05C8">
              <w:rPr>
                <w:rFonts w:ascii="Arial Narrow" w:hAnsi="Arial Narrow"/>
                <w:b/>
                <w:sz w:val="14"/>
                <w:szCs w:val="14"/>
              </w:rPr>
              <w:t>6,00%</w:t>
            </w:r>
          </w:p>
        </w:tc>
      </w:tr>
      <w:tr w:rsidR="00A53780" w:rsidRPr="00001F01" w14:paraId="063646AD" w14:textId="77777777" w:rsidTr="00A53780">
        <w:trPr>
          <w:trHeight w:val="339"/>
        </w:trPr>
        <w:tc>
          <w:tcPr>
            <w:tcW w:w="704" w:type="dxa"/>
            <w:shd w:val="clear" w:color="auto" w:fill="F2F2F2" w:themeFill="background1" w:themeFillShade="F2"/>
            <w:vAlign w:val="center"/>
          </w:tcPr>
          <w:p w14:paraId="5FE721EB" w14:textId="77777777" w:rsidR="004C05C8" w:rsidRPr="00001F01" w:rsidRDefault="004C05C8" w:rsidP="004C05C8">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14:paraId="410D10E8" w14:textId="77777777" w:rsidR="004C05C8" w:rsidRPr="00001F01" w:rsidRDefault="004C05C8" w:rsidP="004C05C8">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14:paraId="2D4E7AA2" w14:textId="77777777" w:rsidR="004C05C8" w:rsidRPr="00001F01" w:rsidRDefault="004C05C8" w:rsidP="004C05C8">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Menej rozvinuté</w:t>
            </w:r>
          </w:p>
        </w:tc>
        <w:tc>
          <w:tcPr>
            <w:tcW w:w="1194" w:type="dxa"/>
            <w:shd w:val="clear" w:color="auto" w:fill="F2F2F2" w:themeFill="background1" w:themeFillShade="F2"/>
            <w:vAlign w:val="center"/>
          </w:tcPr>
          <w:p w14:paraId="36C37756" w14:textId="77777777" w:rsidR="004C05C8" w:rsidRPr="00001F01" w:rsidRDefault="004C05C8" w:rsidP="004C05C8">
            <w:pPr>
              <w:pStyle w:val="Style30"/>
              <w:widowControl/>
              <w:jc w:val="center"/>
              <w:rPr>
                <w:rFonts w:ascii="Arial Narrow" w:hAnsi="Arial Narrow"/>
                <w:sz w:val="14"/>
                <w:szCs w:val="14"/>
              </w:rPr>
            </w:pPr>
          </w:p>
        </w:tc>
        <w:tc>
          <w:tcPr>
            <w:tcW w:w="1068" w:type="dxa"/>
            <w:shd w:val="clear" w:color="auto" w:fill="F2F2F2" w:themeFill="background1" w:themeFillShade="F2"/>
            <w:vAlign w:val="center"/>
          </w:tcPr>
          <w:p w14:paraId="03C5F9F5" w14:textId="02E71685" w:rsidR="004C05C8" w:rsidRPr="005F5239" w:rsidRDefault="00B15FD4">
            <w:pPr>
              <w:pStyle w:val="Style68"/>
              <w:widowControl/>
              <w:spacing w:line="187" w:lineRule="exact"/>
              <w:ind w:firstLine="5"/>
              <w:jc w:val="right"/>
              <w:rPr>
                <w:rStyle w:val="FontStyle88"/>
                <w:rFonts w:ascii="Arial Narrow" w:hAnsi="Arial Narrow"/>
                <w:b/>
                <w:lang w:eastAsia="en-US"/>
              </w:rPr>
            </w:pPr>
            <w:r w:rsidRPr="00B15FD4">
              <w:rPr>
                <w:rStyle w:val="FontStyle88"/>
                <w:rFonts w:ascii="Arial Narrow" w:hAnsi="Arial Narrow"/>
                <w:b/>
                <w:lang w:eastAsia="en-US"/>
              </w:rPr>
              <w:t>3 684 462 029</w:t>
            </w:r>
          </w:p>
        </w:tc>
        <w:tc>
          <w:tcPr>
            <w:tcW w:w="1057" w:type="dxa"/>
            <w:shd w:val="clear" w:color="auto" w:fill="F2F2F2" w:themeFill="background1" w:themeFillShade="F2"/>
            <w:vAlign w:val="center"/>
          </w:tcPr>
          <w:p w14:paraId="5D12EC11" w14:textId="7657929A" w:rsidR="004C05C8" w:rsidRPr="005F5239" w:rsidRDefault="00B15FD4">
            <w:pPr>
              <w:pStyle w:val="Style30"/>
              <w:widowControl/>
              <w:jc w:val="right"/>
              <w:rPr>
                <w:rFonts w:ascii="Arial Narrow" w:hAnsi="Arial Narrow"/>
                <w:b/>
                <w:sz w:val="14"/>
                <w:szCs w:val="14"/>
              </w:rPr>
            </w:pPr>
            <w:r w:rsidRPr="00B15FD4">
              <w:rPr>
                <w:rFonts w:ascii="Arial Narrow" w:hAnsi="Arial Narrow"/>
                <w:b/>
                <w:sz w:val="14"/>
                <w:szCs w:val="14"/>
              </w:rPr>
              <w:t>1 403 563 217</w:t>
            </w:r>
          </w:p>
        </w:tc>
        <w:tc>
          <w:tcPr>
            <w:tcW w:w="965" w:type="dxa"/>
            <w:shd w:val="clear" w:color="auto" w:fill="F2F2F2" w:themeFill="background1" w:themeFillShade="F2"/>
            <w:vAlign w:val="center"/>
          </w:tcPr>
          <w:p w14:paraId="39F72DA1" w14:textId="18A022AE" w:rsidR="004C05C8" w:rsidRPr="00351D17" w:rsidRDefault="00B15FD4">
            <w:pPr>
              <w:pStyle w:val="Style30"/>
              <w:widowControl/>
              <w:jc w:val="right"/>
              <w:rPr>
                <w:rFonts w:ascii="Arial Narrow" w:hAnsi="Arial Narrow"/>
                <w:b/>
                <w:sz w:val="14"/>
                <w:szCs w:val="14"/>
              </w:rPr>
            </w:pPr>
            <w:r w:rsidRPr="00B15FD4">
              <w:rPr>
                <w:rFonts w:ascii="Arial Narrow" w:hAnsi="Arial Narrow"/>
                <w:b/>
                <w:sz w:val="14"/>
                <w:szCs w:val="14"/>
              </w:rPr>
              <w:t>465 825 352</w:t>
            </w:r>
          </w:p>
        </w:tc>
        <w:tc>
          <w:tcPr>
            <w:tcW w:w="980" w:type="dxa"/>
            <w:shd w:val="clear" w:color="auto" w:fill="F2F2F2" w:themeFill="background1" w:themeFillShade="F2"/>
            <w:vAlign w:val="center"/>
          </w:tcPr>
          <w:p w14:paraId="5A9E5114" w14:textId="525F3AC3" w:rsidR="004C05C8" w:rsidRPr="005F5239" w:rsidRDefault="00B15FD4">
            <w:pPr>
              <w:pStyle w:val="Style30"/>
              <w:widowControl/>
              <w:jc w:val="right"/>
              <w:rPr>
                <w:rFonts w:ascii="Arial Narrow" w:hAnsi="Arial Narrow"/>
                <w:b/>
                <w:sz w:val="14"/>
                <w:szCs w:val="14"/>
              </w:rPr>
            </w:pPr>
            <w:r w:rsidRPr="00B15FD4">
              <w:rPr>
                <w:rFonts w:ascii="Arial Narrow" w:hAnsi="Arial Narrow"/>
                <w:b/>
                <w:sz w:val="14"/>
                <w:szCs w:val="14"/>
              </w:rPr>
              <w:t>937 737 865</w:t>
            </w:r>
          </w:p>
        </w:tc>
        <w:tc>
          <w:tcPr>
            <w:tcW w:w="1148" w:type="dxa"/>
            <w:shd w:val="clear" w:color="auto" w:fill="F2F2F2" w:themeFill="background1" w:themeFillShade="F2"/>
            <w:vAlign w:val="center"/>
          </w:tcPr>
          <w:p w14:paraId="06995312" w14:textId="2A5E249B" w:rsidR="004C05C8" w:rsidRPr="005F5239" w:rsidRDefault="00B15FD4">
            <w:pPr>
              <w:pStyle w:val="Style30"/>
              <w:widowControl/>
              <w:jc w:val="right"/>
              <w:rPr>
                <w:rFonts w:ascii="Arial Narrow" w:hAnsi="Arial Narrow"/>
                <w:b/>
                <w:sz w:val="14"/>
                <w:szCs w:val="14"/>
              </w:rPr>
            </w:pPr>
            <w:r w:rsidRPr="00B15FD4">
              <w:rPr>
                <w:rFonts w:ascii="Arial Narrow" w:hAnsi="Arial Narrow"/>
                <w:b/>
                <w:sz w:val="14"/>
                <w:szCs w:val="14"/>
              </w:rPr>
              <w:t>5 088 025 246</w:t>
            </w:r>
          </w:p>
        </w:tc>
        <w:tc>
          <w:tcPr>
            <w:tcW w:w="728" w:type="dxa"/>
            <w:shd w:val="clear" w:color="auto" w:fill="F2F2F2" w:themeFill="background1" w:themeFillShade="F2"/>
            <w:vAlign w:val="center"/>
          </w:tcPr>
          <w:p w14:paraId="4314951B" w14:textId="78AF1902" w:rsidR="004C05C8" w:rsidRPr="004C05C8" w:rsidRDefault="00B15FD4" w:rsidP="00B15FD4">
            <w:pPr>
              <w:pStyle w:val="Style30"/>
              <w:widowControl/>
              <w:jc w:val="center"/>
              <w:rPr>
                <w:rFonts w:ascii="Arial Narrow" w:hAnsi="Arial Narrow"/>
                <w:sz w:val="14"/>
                <w:szCs w:val="14"/>
              </w:rPr>
            </w:pPr>
            <w:r>
              <w:rPr>
                <w:rFonts w:ascii="Arial Narrow" w:hAnsi="Arial Narrow"/>
                <w:sz w:val="14"/>
                <w:szCs w:val="14"/>
                <w:lang w:val="en-US"/>
              </w:rPr>
              <w:t>72,41</w:t>
            </w:r>
            <w:r w:rsidR="004C05C8">
              <w:rPr>
                <w:rFonts w:ascii="Arial Narrow" w:hAnsi="Arial Narrow"/>
                <w:sz w:val="14"/>
                <w:szCs w:val="14"/>
                <w:lang w:val="en-US"/>
              </w:rPr>
              <w:t>%</w:t>
            </w:r>
          </w:p>
        </w:tc>
        <w:tc>
          <w:tcPr>
            <w:tcW w:w="784" w:type="dxa"/>
            <w:shd w:val="clear" w:color="auto" w:fill="F2F2F2" w:themeFill="background1" w:themeFillShade="F2"/>
            <w:vAlign w:val="center"/>
          </w:tcPr>
          <w:p w14:paraId="07A91629" w14:textId="582D5BEB" w:rsidR="004C05C8" w:rsidRPr="00351D17" w:rsidRDefault="004C05C8" w:rsidP="00351D17">
            <w:pPr>
              <w:pStyle w:val="Style30"/>
              <w:widowControl/>
              <w:jc w:val="right"/>
              <w:rPr>
                <w:rFonts w:ascii="Arial Narrow" w:hAnsi="Arial Narrow"/>
                <w:b/>
                <w:sz w:val="14"/>
                <w:szCs w:val="14"/>
              </w:rPr>
            </w:pPr>
          </w:p>
        </w:tc>
        <w:tc>
          <w:tcPr>
            <w:tcW w:w="1080" w:type="dxa"/>
            <w:shd w:val="clear" w:color="auto" w:fill="F2F2F2" w:themeFill="background1" w:themeFillShade="F2"/>
            <w:vAlign w:val="center"/>
          </w:tcPr>
          <w:p w14:paraId="7CC3E534" w14:textId="1D020D3E" w:rsidR="004C05C8" w:rsidRPr="005F5239" w:rsidRDefault="004C05C8">
            <w:pPr>
              <w:jc w:val="right"/>
              <w:rPr>
                <w:rFonts w:ascii="Arial Narrow" w:hAnsi="Arial Narrow"/>
                <w:b/>
                <w:bCs/>
                <w:color w:val="000000"/>
                <w:sz w:val="14"/>
                <w:szCs w:val="14"/>
              </w:rPr>
            </w:pPr>
            <w:r>
              <w:rPr>
                <w:rFonts w:ascii="Arial Narrow" w:hAnsi="Arial Narrow"/>
                <w:b/>
                <w:bCs/>
                <w:color w:val="000000"/>
                <w:sz w:val="14"/>
                <w:szCs w:val="14"/>
              </w:rPr>
              <w:t>3 379 062 389</w:t>
            </w:r>
          </w:p>
        </w:tc>
        <w:tc>
          <w:tcPr>
            <w:tcW w:w="1023" w:type="dxa"/>
            <w:shd w:val="clear" w:color="auto" w:fill="F2F2F2" w:themeFill="background1" w:themeFillShade="F2"/>
            <w:vAlign w:val="center"/>
          </w:tcPr>
          <w:p w14:paraId="023CF295" w14:textId="705F6599" w:rsidR="004C05C8" w:rsidRPr="005F5239" w:rsidRDefault="00B15FD4">
            <w:pPr>
              <w:jc w:val="right"/>
              <w:rPr>
                <w:rFonts w:ascii="Arial Narrow" w:hAnsi="Arial Narrow"/>
                <w:b/>
                <w:bCs/>
                <w:color w:val="000000"/>
                <w:sz w:val="14"/>
                <w:szCs w:val="14"/>
              </w:rPr>
            </w:pPr>
            <w:r w:rsidRPr="00B15FD4">
              <w:rPr>
                <w:rFonts w:ascii="Arial Narrow" w:hAnsi="Arial Narrow"/>
                <w:b/>
                <w:bCs/>
                <w:color w:val="000000"/>
                <w:sz w:val="14"/>
                <w:szCs w:val="14"/>
              </w:rPr>
              <w:t>1 341 894 488</w:t>
            </w:r>
          </w:p>
        </w:tc>
        <w:tc>
          <w:tcPr>
            <w:tcW w:w="992" w:type="dxa"/>
            <w:shd w:val="clear" w:color="auto" w:fill="F2F2F2" w:themeFill="background1" w:themeFillShade="F2"/>
            <w:vAlign w:val="center"/>
          </w:tcPr>
          <w:p w14:paraId="7732E6D0" w14:textId="16C992CC" w:rsidR="004C05C8" w:rsidRPr="005F5239" w:rsidRDefault="00B15FD4">
            <w:pPr>
              <w:jc w:val="right"/>
              <w:rPr>
                <w:rFonts w:ascii="Arial Narrow" w:hAnsi="Arial Narrow"/>
                <w:b/>
                <w:bCs/>
                <w:color w:val="000000"/>
                <w:sz w:val="14"/>
                <w:szCs w:val="14"/>
              </w:rPr>
            </w:pPr>
            <w:r w:rsidRPr="00B15FD4">
              <w:rPr>
                <w:rFonts w:ascii="Arial Narrow" w:hAnsi="Arial Narrow"/>
                <w:b/>
                <w:bCs/>
                <w:color w:val="000000"/>
                <w:sz w:val="14"/>
                <w:szCs w:val="14"/>
              </w:rPr>
              <w:t>305 399 640</w:t>
            </w:r>
          </w:p>
        </w:tc>
        <w:tc>
          <w:tcPr>
            <w:tcW w:w="952" w:type="dxa"/>
            <w:shd w:val="clear" w:color="auto" w:fill="F2F2F2" w:themeFill="background1" w:themeFillShade="F2"/>
            <w:vAlign w:val="center"/>
          </w:tcPr>
          <w:p w14:paraId="76CDAB9A" w14:textId="4E116B75" w:rsidR="004C05C8" w:rsidRPr="005F5239" w:rsidRDefault="00B15FD4">
            <w:pPr>
              <w:jc w:val="right"/>
              <w:rPr>
                <w:rFonts w:ascii="Arial Narrow" w:hAnsi="Arial Narrow"/>
                <w:b/>
                <w:bCs/>
                <w:color w:val="000000"/>
                <w:sz w:val="14"/>
                <w:szCs w:val="14"/>
              </w:rPr>
            </w:pPr>
            <w:r w:rsidRPr="00B15FD4">
              <w:rPr>
                <w:rFonts w:ascii="Arial Narrow" w:hAnsi="Arial Narrow"/>
                <w:b/>
                <w:bCs/>
                <w:color w:val="000000"/>
                <w:sz w:val="14"/>
                <w:szCs w:val="14"/>
              </w:rPr>
              <w:t>61 668 729</w:t>
            </w:r>
          </w:p>
        </w:tc>
        <w:tc>
          <w:tcPr>
            <w:tcW w:w="993" w:type="dxa"/>
            <w:shd w:val="clear" w:color="auto" w:fill="F2F2F2" w:themeFill="background1" w:themeFillShade="F2"/>
            <w:vAlign w:val="center"/>
          </w:tcPr>
          <w:p w14:paraId="4B3D3565" w14:textId="0D544F0F" w:rsidR="004C05C8" w:rsidRPr="005F5239" w:rsidRDefault="00B15FD4" w:rsidP="00B15FD4">
            <w:pPr>
              <w:pStyle w:val="Style30"/>
              <w:widowControl/>
              <w:jc w:val="center"/>
              <w:rPr>
                <w:rFonts w:ascii="Arial Narrow" w:hAnsi="Arial Narrow"/>
                <w:b/>
                <w:sz w:val="14"/>
                <w:szCs w:val="14"/>
              </w:rPr>
            </w:pPr>
            <w:r>
              <w:rPr>
                <w:rFonts w:ascii="Arial Narrow" w:hAnsi="Arial Narrow"/>
                <w:b/>
                <w:sz w:val="14"/>
                <w:szCs w:val="14"/>
                <w:lang w:val="en-US"/>
              </w:rPr>
              <w:t>8,29</w:t>
            </w:r>
            <w:r w:rsidR="004C05C8">
              <w:rPr>
                <w:rFonts w:ascii="Arial Narrow" w:hAnsi="Arial Narrow"/>
                <w:b/>
                <w:sz w:val="14"/>
                <w:szCs w:val="14"/>
                <w:lang w:val="en-US"/>
              </w:rPr>
              <w:t>%</w:t>
            </w:r>
          </w:p>
        </w:tc>
      </w:tr>
      <w:tr w:rsidR="0084414B" w:rsidRPr="00001F01" w14:paraId="1A2D8536" w14:textId="77777777" w:rsidTr="00A46625">
        <w:trPr>
          <w:trHeight w:val="339"/>
        </w:trPr>
        <w:tc>
          <w:tcPr>
            <w:tcW w:w="704" w:type="dxa"/>
            <w:shd w:val="clear" w:color="auto" w:fill="F2F2F2" w:themeFill="background1" w:themeFillShade="F2"/>
            <w:vAlign w:val="center"/>
          </w:tcPr>
          <w:p w14:paraId="6B420C4C" w14:textId="77777777"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14:paraId="5FDEBB50" w14:textId="77777777"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14:paraId="7EC4E811" w14:textId="77777777" w:rsidR="0084414B" w:rsidRPr="00001F01" w:rsidRDefault="0084414B"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Prechodné</w:t>
            </w:r>
          </w:p>
        </w:tc>
        <w:tc>
          <w:tcPr>
            <w:tcW w:w="1194" w:type="dxa"/>
            <w:shd w:val="clear" w:color="auto" w:fill="F2F2F2" w:themeFill="background1" w:themeFillShade="F2"/>
            <w:vAlign w:val="center"/>
          </w:tcPr>
          <w:p w14:paraId="6307C59E" w14:textId="77777777"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14:paraId="3C35188A" w14:textId="77777777" w:rsidR="0084414B" w:rsidRPr="00001F01" w:rsidRDefault="0084414B" w:rsidP="00DA4E0D">
            <w:pPr>
              <w:pStyle w:val="Style68"/>
              <w:widowControl/>
              <w:ind w:firstLine="5"/>
              <w:jc w:val="right"/>
              <w:rPr>
                <w:rStyle w:val="FontStyle88"/>
                <w:rFonts w:ascii="Arial Narrow" w:hAnsi="Arial Narrow"/>
                <w:b/>
                <w:lang w:eastAsia="en-US"/>
              </w:rPr>
            </w:pPr>
            <w:r w:rsidRPr="00001F01">
              <w:rPr>
                <w:rStyle w:val="FontStyle88"/>
                <w:rFonts w:ascii="Arial Narrow" w:hAnsi="Arial Narrow"/>
                <w:b/>
                <w:lang w:eastAsia="en-US"/>
              </w:rPr>
              <w:t>0</w:t>
            </w:r>
          </w:p>
        </w:tc>
        <w:tc>
          <w:tcPr>
            <w:tcW w:w="1057" w:type="dxa"/>
            <w:shd w:val="clear" w:color="auto" w:fill="F2F2F2" w:themeFill="background1" w:themeFillShade="F2"/>
            <w:vAlign w:val="center"/>
          </w:tcPr>
          <w:p w14:paraId="5BFB2D50" w14:textId="77777777" w:rsidR="0084414B" w:rsidRPr="00001F01" w:rsidRDefault="0084414B" w:rsidP="00DA4E0D">
            <w:pPr>
              <w:pStyle w:val="Style30"/>
              <w:widowControl/>
              <w:jc w:val="right"/>
              <w:rPr>
                <w:rFonts w:ascii="Arial Narrow" w:hAnsi="Arial Narrow"/>
                <w:b/>
                <w:sz w:val="14"/>
                <w:szCs w:val="14"/>
              </w:rPr>
            </w:pPr>
            <w:r w:rsidRPr="00001F01">
              <w:rPr>
                <w:rFonts w:ascii="Arial Narrow" w:hAnsi="Arial Narrow"/>
                <w:b/>
                <w:sz w:val="14"/>
                <w:szCs w:val="14"/>
              </w:rPr>
              <w:t>0</w:t>
            </w:r>
          </w:p>
        </w:tc>
        <w:tc>
          <w:tcPr>
            <w:tcW w:w="965" w:type="dxa"/>
            <w:shd w:val="clear" w:color="auto" w:fill="F2F2F2" w:themeFill="background1" w:themeFillShade="F2"/>
            <w:vAlign w:val="center"/>
          </w:tcPr>
          <w:p w14:paraId="4E064555" w14:textId="77777777" w:rsidR="0084414B" w:rsidRPr="00001F01" w:rsidRDefault="0084414B" w:rsidP="00DA4E0D">
            <w:pPr>
              <w:pStyle w:val="Style30"/>
              <w:widowControl/>
              <w:jc w:val="right"/>
              <w:rPr>
                <w:rFonts w:ascii="Arial Narrow" w:hAnsi="Arial Narrow"/>
                <w:b/>
                <w:sz w:val="14"/>
                <w:szCs w:val="14"/>
              </w:rPr>
            </w:pPr>
            <w:r w:rsidRPr="00001F01">
              <w:rPr>
                <w:rFonts w:ascii="Arial Narrow" w:hAnsi="Arial Narrow"/>
                <w:b/>
                <w:sz w:val="14"/>
                <w:szCs w:val="14"/>
              </w:rPr>
              <w:t>0</w:t>
            </w:r>
          </w:p>
        </w:tc>
        <w:tc>
          <w:tcPr>
            <w:tcW w:w="980" w:type="dxa"/>
            <w:shd w:val="clear" w:color="auto" w:fill="F2F2F2" w:themeFill="background1" w:themeFillShade="F2"/>
            <w:vAlign w:val="center"/>
          </w:tcPr>
          <w:p w14:paraId="619E9D9A" w14:textId="77777777" w:rsidR="0084414B" w:rsidRPr="00001F01" w:rsidRDefault="0084414B" w:rsidP="00DA4E0D">
            <w:pPr>
              <w:pStyle w:val="Style30"/>
              <w:widowControl/>
              <w:jc w:val="right"/>
              <w:rPr>
                <w:rFonts w:ascii="Arial Narrow" w:hAnsi="Arial Narrow"/>
                <w:b/>
                <w:sz w:val="14"/>
                <w:szCs w:val="14"/>
              </w:rPr>
            </w:pPr>
            <w:r>
              <w:rPr>
                <w:rFonts w:ascii="Arial Narrow" w:hAnsi="Arial Narrow"/>
                <w:b/>
                <w:sz w:val="14"/>
                <w:szCs w:val="14"/>
              </w:rPr>
              <w:t>0</w:t>
            </w:r>
          </w:p>
        </w:tc>
        <w:tc>
          <w:tcPr>
            <w:tcW w:w="1148" w:type="dxa"/>
            <w:shd w:val="clear" w:color="auto" w:fill="F2F2F2" w:themeFill="background1" w:themeFillShade="F2"/>
            <w:vAlign w:val="center"/>
          </w:tcPr>
          <w:p w14:paraId="1D1100FA" w14:textId="77777777" w:rsidR="0084414B" w:rsidRPr="00001F01" w:rsidRDefault="0084414B" w:rsidP="00DA4E0D">
            <w:pPr>
              <w:pStyle w:val="Style30"/>
              <w:widowControl/>
              <w:jc w:val="right"/>
              <w:rPr>
                <w:rFonts w:ascii="Arial Narrow" w:hAnsi="Arial Narrow"/>
                <w:b/>
                <w:sz w:val="14"/>
                <w:szCs w:val="14"/>
              </w:rPr>
            </w:pPr>
            <w:r w:rsidRPr="00001F01">
              <w:rPr>
                <w:rFonts w:ascii="Arial Narrow" w:hAnsi="Arial Narrow"/>
                <w:b/>
                <w:sz w:val="14"/>
                <w:szCs w:val="14"/>
              </w:rPr>
              <w:t>0</w:t>
            </w:r>
          </w:p>
        </w:tc>
        <w:tc>
          <w:tcPr>
            <w:tcW w:w="728" w:type="dxa"/>
            <w:shd w:val="clear" w:color="auto" w:fill="F2F2F2" w:themeFill="background1" w:themeFillShade="F2"/>
            <w:vAlign w:val="center"/>
          </w:tcPr>
          <w:p w14:paraId="305F3D1B" w14:textId="77777777" w:rsidR="0084414B" w:rsidRPr="00001F01" w:rsidRDefault="0084414B" w:rsidP="00DA4E0D">
            <w:pPr>
              <w:pStyle w:val="Style30"/>
              <w:widowControl/>
              <w:jc w:val="center"/>
              <w:rPr>
                <w:rFonts w:ascii="Arial Narrow" w:hAnsi="Arial Narrow"/>
                <w:sz w:val="14"/>
                <w:szCs w:val="14"/>
              </w:rPr>
            </w:pPr>
          </w:p>
        </w:tc>
        <w:tc>
          <w:tcPr>
            <w:tcW w:w="784" w:type="dxa"/>
            <w:shd w:val="clear" w:color="auto" w:fill="F2F2F2" w:themeFill="background1" w:themeFillShade="F2"/>
            <w:vAlign w:val="center"/>
          </w:tcPr>
          <w:p w14:paraId="50B7F6D2" w14:textId="77777777" w:rsidR="0084414B" w:rsidRPr="00001F01" w:rsidRDefault="0084414B" w:rsidP="00DA4E0D">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14:paraId="3C84B11A" w14:textId="77777777" w:rsidR="0084414B" w:rsidRPr="00001F01" w:rsidRDefault="0084414B" w:rsidP="00DA4E0D">
            <w:pPr>
              <w:jc w:val="right"/>
              <w:rPr>
                <w:rFonts w:ascii="Arial Narrow" w:hAnsi="Arial Narrow"/>
                <w:b/>
                <w:bCs/>
                <w:color w:val="000000"/>
                <w:sz w:val="14"/>
                <w:szCs w:val="14"/>
              </w:rPr>
            </w:pPr>
            <w:r>
              <w:rPr>
                <w:rFonts w:ascii="Arial Narrow" w:hAnsi="Arial Narrow"/>
                <w:b/>
                <w:bCs/>
                <w:color w:val="000000"/>
                <w:sz w:val="14"/>
                <w:szCs w:val="14"/>
              </w:rPr>
              <w:t xml:space="preserve">0 </w:t>
            </w:r>
          </w:p>
        </w:tc>
        <w:tc>
          <w:tcPr>
            <w:tcW w:w="1023" w:type="dxa"/>
            <w:shd w:val="clear" w:color="auto" w:fill="F2F2F2" w:themeFill="background1" w:themeFillShade="F2"/>
            <w:vAlign w:val="center"/>
          </w:tcPr>
          <w:p w14:paraId="498B11FB" w14:textId="77777777" w:rsidR="0084414B" w:rsidRPr="00001F01" w:rsidRDefault="0084414B" w:rsidP="00DA4E0D">
            <w:pPr>
              <w:jc w:val="right"/>
              <w:rPr>
                <w:rFonts w:ascii="Arial Narrow" w:hAnsi="Arial Narrow"/>
                <w:b/>
                <w:bCs/>
                <w:color w:val="000000"/>
                <w:sz w:val="14"/>
                <w:szCs w:val="14"/>
              </w:rPr>
            </w:pPr>
            <w:r>
              <w:rPr>
                <w:rFonts w:ascii="Arial Narrow" w:hAnsi="Arial Narrow"/>
                <w:b/>
                <w:bCs/>
                <w:color w:val="000000"/>
                <w:sz w:val="14"/>
                <w:szCs w:val="14"/>
              </w:rPr>
              <w:t>0</w:t>
            </w:r>
          </w:p>
        </w:tc>
        <w:tc>
          <w:tcPr>
            <w:tcW w:w="992" w:type="dxa"/>
            <w:shd w:val="clear" w:color="auto" w:fill="F2F2F2" w:themeFill="background1" w:themeFillShade="F2"/>
            <w:vAlign w:val="center"/>
          </w:tcPr>
          <w:p w14:paraId="773D945C" w14:textId="77777777" w:rsidR="0084414B" w:rsidRPr="00001F01" w:rsidRDefault="0084414B" w:rsidP="00DA4E0D">
            <w:pPr>
              <w:jc w:val="right"/>
              <w:rPr>
                <w:rFonts w:ascii="Arial Narrow" w:hAnsi="Arial Narrow"/>
                <w:b/>
                <w:bCs/>
                <w:color w:val="000000"/>
                <w:sz w:val="14"/>
                <w:szCs w:val="14"/>
              </w:rPr>
            </w:pPr>
            <w:r>
              <w:rPr>
                <w:rFonts w:ascii="Arial Narrow" w:hAnsi="Arial Narrow"/>
                <w:b/>
                <w:bCs/>
                <w:color w:val="000000"/>
                <w:sz w:val="14"/>
                <w:szCs w:val="14"/>
              </w:rPr>
              <w:t>0</w:t>
            </w:r>
          </w:p>
        </w:tc>
        <w:tc>
          <w:tcPr>
            <w:tcW w:w="952" w:type="dxa"/>
            <w:shd w:val="clear" w:color="auto" w:fill="F2F2F2" w:themeFill="background1" w:themeFillShade="F2"/>
            <w:vAlign w:val="center"/>
          </w:tcPr>
          <w:p w14:paraId="107186E2" w14:textId="77777777" w:rsidR="0084414B" w:rsidRPr="00001F01" w:rsidRDefault="0084414B" w:rsidP="00DA4E0D">
            <w:pPr>
              <w:jc w:val="right"/>
              <w:rPr>
                <w:rFonts w:ascii="Arial Narrow" w:hAnsi="Arial Narrow"/>
                <w:b/>
                <w:bCs/>
                <w:color w:val="000000"/>
                <w:sz w:val="14"/>
                <w:szCs w:val="14"/>
              </w:rPr>
            </w:pPr>
            <w:r>
              <w:rPr>
                <w:rFonts w:ascii="Arial Narrow" w:hAnsi="Arial Narrow"/>
                <w:b/>
                <w:bCs/>
                <w:color w:val="000000"/>
                <w:sz w:val="14"/>
                <w:szCs w:val="14"/>
              </w:rPr>
              <w:t>0</w:t>
            </w:r>
          </w:p>
        </w:tc>
        <w:tc>
          <w:tcPr>
            <w:tcW w:w="993" w:type="dxa"/>
            <w:shd w:val="clear" w:color="auto" w:fill="F2F2F2" w:themeFill="background1" w:themeFillShade="F2"/>
            <w:vAlign w:val="center"/>
          </w:tcPr>
          <w:p w14:paraId="6E505082" w14:textId="77777777" w:rsidR="0084414B" w:rsidRPr="00001F01" w:rsidRDefault="00A166F8" w:rsidP="00A46625">
            <w:pPr>
              <w:pStyle w:val="Style30"/>
              <w:widowControl/>
              <w:jc w:val="center"/>
              <w:rPr>
                <w:rFonts w:ascii="Arial Narrow" w:hAnsi="Arial Narrow"/>
                <w:sz w:val="14"/>
                <w:szCs w:val="14"/>
              </w:rPr>
            </w:pPr>
            <w:r>
              <w:rPr>
                <w:rFonts w:ascii="Arial Narrow" w:hAnsi="Arial Narrow"/>
                <w:sz w:val="14"/>
                <w:szCs w:val="14"/>
              </w:rPr>
              <w:t>-</w:t>
            </w:r>
          </w:p>
        </w:tc>
      </w:tr>
      <w:tr w:rsidR="00351D17" w:rsidRPr="00001F01" w14:paraId="0FF9B293" w14:textId="77777777" w:rsidTr="00351D17">
        <w:trPr>
          <w:trHeight w:val="339"/>
        </w:trPr>
        <w:tc>
          <w:tcPr>
            <w:tcW w:w="704" w:type="dxa"/>
            <w:shd w:val="clear" w:color="auto" w:fill="F2F2F2" w:themeFill="background1" w:themeFillShade="F2"/>
            <w:vAlign w:val="center"/>
          </w:tcPr>
          <w:p w14:paraId="5F5C375E" w14:textId="77777777" w:rsidR="005F5239" w:rsidRPr="00001F01" w:rsidRDefault="005F5239" w:rsidP="005F5239">
            <w:pPr>
              <w:pStyle w:val="Style68"/>
              <w:widowControl/>
              <w:jc w:val="left"/>
              <w:rPr>
                <w:rStyle w:val="FontStyle88"/>
                <w:rFonts w:ascii="Arial Narrow" w:hAnsi="Arial Narrow"/>
                <w:lang w:eastAsia="en-US"/>
              </w:rPr>
            </w:pPr>
            <w:r w:rsidRPr="00001F01">
              <w:rPr>
                <w:rStyle w:val="FontStyle88"/>
                <w:rFonts w:ascii="Arial Narrow" w:hAnsi="Arial Narrow"/>
                <w:lang w:eastAsia="en-US"/>
              </w:rPr>
              <w:lastRenderedPageBreak/>
              <w:t>Spolu</w:t>
            </w:r>
          </w:p>
        </w:tc>
        <w:tc>
          <w:tcPr>
            <w:tcW w:w="530" w:type="dxa"/>
            <w:shd w:val="clear" w:color="auto" w:fill="F2F2F2" w:themeFill="background1" w:themeFillShade="F2"/>
            <w:vAlign w:val="center"/>
          </w:tcPr>
          <w:p w14:paraId="6FC4E750" w14:textId="77777777" w:rsidR="005F5239" w:rsidRPr="00001F01" w:rsidRDefault="005F5239" w:rsidP="005F5239">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14:paraId="6FEAE3EB" w14:textId="366059E0" w:rsidR="005F5239" w:rsidRPr="00001F01" w:rsidRDefault="009D5D8C" w:rsidP="009D5D8C">
            <w:pPr>
              <w:pStyle w:val="Style68"/>
              <w:widowControl/>
              <w:jc w:val="center"/>
              <w:rPr>
                <w:rStyle w:val="FontStyle88"/>
                <w:rFonts w:ascii="Arial Narrow" w:hAnsi="Arial Narrow"/>
                <w:i/>
                <w:lang w:eastAsia="en-US"/>
              </w:rPr>
            </w:pPr>
            <w:r>
              <w:rPr>
                <w:rStyle w:val="FontStyle88"/>
                <w:rFonts w:ascii="Arial Narrow" w:hAnsi="Arial Narrow"/>
                <w:i/>
                <w:lang w:eastAsia="en-US"/>
              </w:rPr>
              <w:t>Rozvinutejšie</w:t>
            </w:r>
          </w:p>
        </w:tc>
        <w:tc>
          <w:tcPr>
            <w:tcW w:w="1194" w:type="dxa"/>
            <w:shd w:val="clear" w:color="auto" w:fill="F2F2F2" w:themeFill="background1" w:themeFillShade="F2"/>
            <w:vAlign w:val="center"/>
          </w:tcPr>
          <w:p w14:paraId="213691F4" w14:textId="77777777" w:rsidR="005F5239" w:rsidRPr="00001F01" w:rsidRDefault="005F5239" w:rsidP="005F5239">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14:paraId="458A008D" w14:textId="6BD22A40" w:rsidR="005F5239" w:rsidRPr="005F5239" w:rsidRDefault="006B6022">
            <w:pPr>
              <w:pStyle w:val="Style68"/>
              <w:widowControl/>
              <w:spacing w:line="187" w:lineRule="exact"/>
              <w:ind w:firstLine="5"/>
              <w:jc w:val="right"/>
              <w:rPr>
                <w:rFonts w:ascii="Arial Narrow" w:hAnsi="Arial Narrow"/>
                <w:b/>
                <w:bCs/>
                <w:sz w:val="14"/>
                <w:szCs w:val="14"/>
              </w:rPr>
            </w:pPr>
            <w:r>
              <w:rPr>
                <w:rFonts w:ascii="Arial Narrow" w:hAnsi="Arial Narrow"/>
                <w:b/>
                <w:bCs/>
                <w:sz w:val="14"/>
                <w:szCs w:val="14"/>
              </w:rPr>
              <w:t>158 336 416</w:t>
            </w:r>
          </w:p>
        </w:tc>
        <w:tc>
          <w:tcPr>
            <w:tcW w:w="1057" w:type="dxa"/>
            <w:shd w:val="clear" w:color="auto" w:fill="F2F2F2" w:themeFill="background1" w:themeFillShade="F2"/>
            <w:vAlign w:val="center"/>
          </w:tcPr>
          <w:p w14:paraId="5A4402EE" w14:textId="7669A6F9" w:rsidR="005F5239" w:rsidRPr="005F5239" w:rsidRDefault="00B15FD4">
            <w:pPr>
              <w:pStyle w:val="Style30"/>
              <w:widowControl/>
              <w:jc w:val="right"/>
              <w:rPr>
                <w:rFonts w:ascii="Arial Narrow" w:hAnsi="Arial Narrow"/>
                <w:b/>
                <w:sz w:val="14"/>
                <w:szCs w:val="14"/>
              </w:rPr>
            </w:pPr>
            <w:r w:rsidRPr="00B15FD4">
              <w:rPr>
                <w:rFonts w:ascii="Arial Narrow" w:hAnsi="Arial Narrow"/>
                <w:b/>
                <w:sz w:val="14"/>
                <w:szCs w:val="14"/>
              </w:rPr>
              <w:t>167 798 537</w:t>
            </w:r>
          </w:p>
        </w:tc>
        <w:tc>
          <w:tcPr>
            <w:tcW w:w="965" w:type="dxa"/>
            <w:shd w:val="clear" w:color="auto" w:fill="F2F2F2" w:themeFill="background1" w:themeFillShade="F2"/>
            <w:vAlign w:val="center"/>
          </w:tcPr>
          <w:p w14:paraId="7E3138E7" w14:textId="4E3784F5" w:rsidR="005F5239" w:rsidRPr="005F5239" w:rsidRDefault="00B15FD4">
            <w:pPr>
              <w:pStyle w:val="Style30"/>
              <w:widowControl/>
              <w:jc w:val="right"/>
              <w:rPr>
                <w:rFonts w:ascii="Arial Narrow" w:hAnsi="Arial Narrow"/>
                <w:b/>
                <w:sz w:val="14"/>
                <w:szCs w:val="14"/>
              </w:rPr>
            </w:pPr>
            <w:r w:rsidRPr="00B15FD4">
              <w:rPr>
                <w:rFonts w:ascii="Arial Narrow" w:hAnsi="Arial Narrow"/>
                <w:b/>
                <w:sz w:val="14"/>
                <w:szCs w:val="14"/>
              </w:rPr>
              <w:t>120 121 537</w:t>
            </w:r>
          </w:p>
        </w:tc>
        <w:tc>
          <w:tcPr>
            <w:tcW w:w="980" w:type="dxa"/>
            <w:shd w:val="clear" w:color="auto" w:fill="F2F2F2" w:themeFill="background1" w:themeFillShade="F2"/>
            <w:vAlign w:val="center"/>
          </w:tcPr>
          <w:p w14:paraId="4160EAF5" w14:textId="42F4976D" w:rsidR="005F5239" w:rsidRPr="005F5239" w:rsidRDefault="00B15FD4">
            <w:pPr>
              <w:pStyle w:val="Style30"/>
              <w:widowControl/>
              <w:jc w:val="right"/>
              <w:rPr>
                <w:rFonts w:ascii="Arial Narrow" w:hAnsi="Arial Narrow"/>
                <w:b/>
                <w:sz w:val="14"/>
                <w:szCs w:val="14"/>
              </w:rPr>
            </w:pPr>
            <w:r w:rsidRPr="00B15FD4">
              <w:rPr>
                <w:rFonts w:ascii="Arial Narrow" w:hAnsi="Arial Narrow"/>
                <w:b/>
                <w:sz w:val="14"/>
                <w:szCs w:val="14"/>
              </w:rPr>
              <w:t>47 677 000</w:t>
            </w:r>
          </w:p>
        </w:tc>
        <w:tc>
          <w:tcPr>
            <w:tcW w:w="1148" w:type="dxa"/>
            <w:shd w:val="clear" w:color="auto" w:fill="F2F2F2" w:themeFill="background1" w:themeFillShade="F2"/>
            <w:vAlign w:val="center"/>
          </w:tcPr>
          <w:p w14:paraId="3E22885A" w14:textId="3C620411" w:rsidR="005F5239" w:rsidRPr="005F5239" w:rsidRDefault="00B15FD4">
            <w:pPr>
              <w:pStyle w:val="Style30"/>
              <w:widowControl/>
              <w:jc w:val="right"/>
              <w:rPr>
                <w:rFonts w:ascii="Arial Narrow" w:hAnsi="Arial Narrow"/>
                <w:b/>
                <w:sz w:val="14"/>
                <w:szCs w:val="14"/>
              </w:rPr>
            </w:pPr>
            <w:r w:rsidRPr="00B15FD4">
              <w:rPr>
                <w:rFonts w:ascii="Arial Narrow" w:hAnsi="Arial Narrow"/>
                <w:b/>
                <w:sz w:val="14"/>
                <w:szCs w:val="14"/>
              </w:rPr>
              <w:t>326 134 953</w:t>
            </w:r>
          </w:p>
        </w:tc>
        <w:tc>
          <w:tcPr>
            <w:tcW w:w="728" w:type="dxa"/>
            <w:shd w:val="clear" w:color="auto" w:fill="F2F2F2" w:themeFill="background1" w:themeFillShade="F2"/>
            <w:vAlign w:val="center"/>
          </w:tcPr>
          <w:p w14:paraId="4DD5CC3F" w14:textId="5E384E8D" w:rsidR="005F5239" w:rsidRPr="00351D17" w:rsidRDefault="00B15FD4">
            <w:pPr>
              <w:pStyle w:val="Style30"/>
              <w:widowControl/>
              <w:jc w:val="center"/>
              <w:rPr>
                <w:rFonts w:ascii="Arial Narrow" w:hAnsi="Arial Narrow"/>
                <w:b/>
                <w:sz w:val="14"/>
                <w:szCs w:val="14"/>
              </w:rPr>
            </w:pPr>
            <w:r>
              <w:rPr>
                <w:rFonts w:ascii="Arial Narrow" w:hAnsi="Arial Narrow"/>
                <w:b/>
                <w:color w:val="000000"/>
                <w:sz w:val="14"/>
                <w:szCs w:val="14"/>
              </w:rPr>
              <w:t>48,55</w:t>
            </w:r>
            <w:r w:rsidR="005F5239" w:rsidRPr="00351D17">
              <w:rPr>
                <w:rFonts w:ascii="Arial Narrow" w:hAnsi="Arial Narrow"/>
                <w:b/>
                <w:color w:val="000000"/>
                <w:sz w:val="14"/>
                <w:szCs w:val="14"/>
              </w:rPr>
              <w:t>%</w:t>
            </w:r>
          </w:p>
        </w:tc>
        <w:tc>
          <w:tcPr>
            <w:tcW w:w="784" w:type="dxa"/>
            <w:shd w:val="clear" w:color="auto" w:fill="F2F2F2" w:themeFill="background1" w:themeFillShade="F2"/>
            <w:vAlign w:val="center"/>
          </w:tcPr>
          <w:p w14:paraId="1E0967C7" w14:textId="77777777" w:rsidR="005F5239" w:rsidRPr="00351D17" w:rsidRDefault="005F5239" w:rsidP="00351D17">
            <w:pPr>
              <w:pStyle w:val="Style30"/>
              <w:widowControl/>
              <w:jc w:val="right"/>
              <w:rPr>
                <w:rFonts w:ascii="Arial Narrow" w:hAnsi="Arial Narrow"/>
                <w:b/>
                <w:sz w:val="14"/>
                <w:szCs w:val="14"/>
              </w:rPr>
            </w:pPr>
          </w:p>
        </w:tc>
        <w:tc>
          <w:tcPr>
            <w:tcW w:w="1080" w:type="dxa"/>
            <w:shd w:val="clear" w:color="auto" w:fill="F2F2F2" w:themeFill="background1" w:themeFillShade="F2"/>
            <w:vAlign w:val="center"/>
          </w:tcPr>
          <w:p w14:paraId="69DEFD6E" w14:textId="5B6F1026" w:rsidR="005F5239" w:rsidRPr="005F5239" w:rsidRDefault="006B6022">
            <w:pPr>
              <w:jc w:val="right"/>
              <w:rPr>
                <w:rFonts w:ascii="Arial Narrow" w:hAnsi="Arial Narrow"/>
                <w:b/>
                <w:bCs/>
                <w:color w:val="000000"/>
                <w:sz w:val="14"/>
                <w:szCs w:val="14"/>
              </w:rPr>
            </w:pPr>
            <w:r>
              <w:rPr>
                <w:rFonts w:ascii="Arial Narrow" w:hAnsi="Arial Narrow"/>
                <w:b/>
                <w:bCs/>
                <w:color w:val="000000"/>
                <w:sz w:val="14"/>
                <w:szCs w:val="14"/>
              </w:rPr>
              <w:t>147 958 827</w:t>
            </w:r>
          </w:p>
        </w:tc>
        <w:tc>
          <w:tcPr>
            <w:tcW w:w="1023" w:type="dxa"/>
            <w:shd w:val="clear" w:color="auto" w:fill="F2F2F2" w:themeFill="background1" w:themeFillShade="F2"/>
            <w:vAlign w:val="center"/>
          </w:tcPr>
          <w:p w14:paraId="2AAD5162" w14:textId="312A61D9" w:rsidR="005F5239" w:rsidRPr="005F5239" w:rsidRDefault="00B12678">
            <w:pPr>
              <w:jc w:val="right"/>
              <w:rPr>
                <w:rFonts w:ascii="Arial Narrow" w:hAnsi="Arial Narrow"/>
                <w:b/>
                <w:bCs/>
                <w:color w:val="000000"/>
                <w:sz w:val="14"/>
                <w:szCs w:val="14"/>
              </w:rPr>
            </w:pPr>
            <w:r w:rsidRPr="00B12678">
              <w:rPr>
                <w:rFonts w:ascii="Arial Narrow" w:hAnsi="Arial Narrow"/>
                <w:b/>
                <w:bCs/>
                <w:color w:val="000000"/>
                <w:sz w:val="14"/>
                <w:szCs w:val="14"/>
              </w:rPr>
              <w:t>157 420 948</w:t>
            </w:r>
          </w:p>
        </w:tc>
        <w:tc>
          <w:tcPr>
            <w:tcW w:w="992" w:type="dxa"/>
            <w:shd w:val="clear" w:color="auto" w:fill="F2F2F2" w:themeFill="background1" w:themeFillShade="F2"/>
            <w:vAlign w:val="center"/>
          </w:tcPr>
          <w:p w14:paraId="5617F012" w14:textId="6E646E1F" w:rsidR="005F5239" w:rsidRPr="005F5239" w:rsidRDefault="006B6022">
            <w:pPr>
              <w:jc w:val="right"/>
              <w:rPr>
                <w:rFonts w:ascii="Arial Narrow" w:hAnsi="Arial Narrow"/>
                <w:b/>
                <w:bCs/>
                <w:color w:val="000000"/>
                <w:sz w:val="14"/>
                <w:szCs w:val="14"/>
              </w:rPr>
            </w:pPr>
            <w:r>
              <w:rPr>
                <w:rFonts w:ascii="Arial Narrow" w:hAnsi="Arial Narrow"/>
                <w:b/>
                <w:bCs/>
                <w:color w:val="000000"/>
                <w:sz w:val="14"/>
                <w:szCs w:val="14"/>
              </w:rPr>
              <w:t>10 377 589</w:t>
            </w:r>
          </w:p>
        </w:tc>
        <w:tc>
          <w:tcPr>
            <w:tcW w:w="952" w:type="dxa"/>
            <w:shd w:val="clear" w:color="auto" w:fill="F2F2F2" w:themeFill="background1" w:themeFillShade="F2"/>
            <w:vAlign w:val="center"/>
          </w:tcPr>
          <w:p w14:paraId="6F61C9B6" w14:textId="41F88784" w:rsidR="005F5239" w:rsidRPr="005F5239" w:rsidRDefault="00B15FD4">
            <w:pPr>
              <w:jc w:val="right"/>
              <w:rPr>
                <w:rFonts w:ascii="Arial Narrow" w:hAnsi="Arial Narrow"/>
                <w:b/>
                <w:bCs/>
                <w:color w:val="000000"/>
                <w:sz w:val="14"/>
                <w:szCs w:val="14"/>
              </w:rPr>
            </w:pPr>
            <w:r w:rsidRPr="00B15FD4">
              <w:rPr>
                <w:rFonts w:ascii="Arial Narrow" w:hAnsi="Arial Narrow"/>
                <w:b/>
                <w:bCs/>
                <w:color w:val="000000"/>
                <w:sz w:val="14"/>
                <w:szCs w:val="14"/>
              </w:rPr>
              <w:t>10 377 589</w:t>
            </w:r>
          </w:p>
        </w:tc>
        <w:tc>
          <w:tcPr>
            <w:tcW w:w="993" w:type="dxa"/>
            <w:shd w:val="clear" w:color="auto" w:fill="F2F2F2" w:themeFill="background1" w:themeFillShade="F2"/>
            <w:vAlign w:val="center"/>
          </w:tcPr>
          <w:p w14:paraId="15844FE5" w14:textId="7349B3A6" w:rsidR="005F5239" w:rsidRPr="00351D17" w:rsidRDefault="005F5239">
            <w:pPr>
              <w:pStyle w:val="Style30"/>
              <w:widowControl/>
              <w:jc w:val="center"/>
              <w:rPr>
                <w:rFonts w:ascii="Arial Narrow" w:hAnsi="Arial Narrow"/>
                <w:b/>
                <w:sz w:val="14"/>
                <w:szCs w:val="14"/>
              </w:rPr>
            </w:pPr>
            <w:r w:rsidRPr="00351D17">
              <w:rPr>
                <w:rFonts w:ascii="Arial Narrow" w:hAnsi="Arial Narrow"/>
                <w:b/>
                <w:color w:val="000000"/>
                <w:sz w:val="14"/>
                <w:szCs w:val="14"/>
              </w:rPr>
              <w:t>6,55%</w:t>
            </w:r>
          </w:p>
        </w:tc>
      </w:tr>
      <w:tr w:rsidR="00351D17" w:rsidRPr="00001F01" w14:paraId="117B78D2" w14:textId="77777777" w:rsidTr="00351D17">
        <w:trPr>
          <w:trHeight w:val="339"/>
        </w:trPr>
        <w:tc>
          <w:tcPr>
            <w:tcW w:w="704" w:type="dxa"/>
            <w:shd w:val="clear" w:color="auto" w:fill="D9D9D9" w:themeFill="background1" w:themeFillShade="D9"/>
            <w:vAlign w:val="center"/>
          </w:tcPr>
          <w:p w14:paraId="79447595" w14:textId="77777777" w:rsidR="005F5239" w:rsidRPr="00001F01" w:rsidRDefault="005F5239" w:rsidP="005F5239">
            <w:pPr>
              <w:pStyle w:val="Style68"/>
              <w:widowControl/>
              <w:jc w:val="left"/>
              <w:rPr>
                <w:rStyle w:val="FontStyle88"/>
                <w:rFonts w:ascii="Arial Narrow" w:hAnsi="Arial Narrow"/>
                <w:b/>
                <w:lang w:eastAsia="en-US"/>
              </w:rPr>
            </w:pPr>
            <w:r w:rsidRPr="00001F01">
              <w:rPr>
                <w:rStyle w:val="FontStyle88"/>
                <w:rFonts w:ascii="Arial Narrow" w:hAnsi="Arial Narrow"/>
                <w:b/>
                <w:lang w:eastAsia="en-US"/>
              </w:rPr>
              <w:t>SPOLU</w:t>
            </w:r>
          </w:p>
        </w:tc>
        <w:tc>
          <w:tcPr>
            <w:tcW w:w="530" w:type="dxa"/>
            <w:shd w:val="clear" w:color="auto" w:fill="D9D9D9" w:themeFill="background1" w:themeFillShade="D9"/>
            <w:vAlign w:val="center"/>
          </w:tcPr>
          <w:p w14:paraId="525FE092" w14:textId="77777777" w:rsidR="005F5239" w:rsidRPr="00001F01" w:rsidRDefault="005F5239" w:rsidP="005F5239">
            <w:pPr>
              <w:pStyle w:val="Style30"/>
              <w:widowControl/>
              <w:ind w:right="57"/>
              <w:jc w:val="right"/>
              <w:rPr>
                <w:rFonts w:ascii="Arial Narrow" w:hAnsi="Arial Narrow"/>
                <w:b/>
                <w:sz w:val="14"/>
                <w:szCs w:val="14"/>
              </w:rPr>
            </w:pPr>
          </w:p>
        </w:tc>
        <w:tc>
          <w:tcPr>
            <w:tcW w:w="879" w:type="dxa"/>
            <w:shd w:val="clear" w:color="auto" w:fill="D9D9D9" w:themeFill="background1" w:themeFillShade="D9"/>
            <w:vAlign w:val="center"/>
          </w:tcPr>
          <w:p w14:paraId="43371C3A" w14:textId="77777777" w:rsidR="005F5239" w:rsidRPr="00001F01" w:rsidRDefault="005F5239" w:rsidP="005F5239">
            <w:pPr>
              <w:pStyle w:val="Style30"/>
              <w:widowControl/>
              <w:ind w:right="57"/>
              <w:jc w:val="right"/>
              <w:rPr>
                <w:rFonts w:ascii="Arial Narrow" w:hAnsi="Arial Narrow"/>
                <w:b/>
                <w:sz w:val="14"/>
                <w:szCs w:val="14"/>
              </w:rPr>
            </w:pPr>
          </w:p>
        </w:tc>
        <w:tc>
          <w:tcPr>
            <w:tcW w:w="1194" w:type="dxa"/>
            <w:shd w:val="clear" w:color="auto" w:fill="D9D9D9" w:themeFill="background1" w:themeFillShade="D9"/>
            <w:vAlign w:val="center"/>
          </w:tcPr>
          <w:p w14:paraId="3442B915" w14:textId="77777777" w:rsidR="005F5239" w:rsidRPr="00001F01" w:rsidRDefault="005F5239" w:rsidP="005F5239">
            <w:pPr>
              <w:pStyle w:val="Style30"/>
              <w:widowControl/>
              <w:jc w:val="center"/>
              <w:rPr>
                <w:rFonts w:ascii="Arial Narrow" w:hAnsi="Arial Narrow"/>
                <w:b/>
                <w:sz w:val="14"/>
                <w:szCs w:val="14"/>
              </w:rPr>
            </w:pPr>
          </w:p>
        </w:tc>
        <w:tc>
          <w:tcPr>
            <w:tcW w:w="1068" w:type="dxa"/>
            <w:shd w:val="clear" w:color="auto" w:fill="D9D9D9" w:themeFill="background1" w:themeFillShade="D9"/>
            <w:vAlign w:val="center"/>
          </w:tcPr>
          <w:p w14:paraId="7EC33690" w14:textId="413A5F6A" w:rsidR="005F5239" w:rsidRPr="00E61DFB" w:rsidRDefault="00B15FD4" w:rsidP="00E61DFB">
            <w:pPr>
              <w:jc w:val="right"/>
              <w:rPr>
                <w:rStyle w:val="FontStyle88"/>
                <w:rFonts w:ascii="Arial Narrow" w:hAnsi="Arial Narrow"/>
                <w:b/>
                <w:bCs/>
                <w:color w:val="000000"/>
              </w:rPr>
            </w:pPr>
            <w:r w:rsidRPr="00B15FD4">
              <w:rPr>
                <w:rFonts w:ascii="Arial Narrow" w:hAnsi="Arial Narrow"/>
                <w:b/>
                <w:bCs/>
                <w:color w:val="000000"/>
                <w:sz w:val="14"/>
                <w:szCs w:val="14"/>
              </w:rPr>
              <w:t>6 149 937 611</w:t>
            </w:r>
          </w:p>
        </w:tc>
        <w:tc>
          <w:tcPr>
            <w:tcW w:w="1057" w:type="dxa"/>
            <w:shd w:val="clear" w:color="auto" w:fill="D9D9D9" w:themeFill="background1" w:themeFillShade="D9"/>
            <w:vAlign w:val="center"/>
          </w:tcPr>
          <w:p w14:paraId="22112DA6" w14:textId="776B4BDB" w:rsidR="005F5239" w:rsidRPr="005F5239" w:rsidRDefault="00B15FD4">
            <w:pPr>
              <w:pStyle w:val="Style30"/>
              <w:widowControl/>
              <w:jc w:val="right"/>
              <w:rPr>
                <w:rFonts w:ascii="Arial Narrow" w:hAnsi="Arial Narrow"/>
                <w:b/>
                <w:sz w:val="14"/>
                <w:szCs w:val="14"/>
              </w:rPr>
            </w:pPr>
            <w:r w:rsidRPr="00B15FD4">
              <w:rPr>
                <w:rFonts w:ascii="Arial Narrow" w:hAnsi="Arial Narrow"/>
                <w:b/>
                <w:sz w:val="14"/>
                <w:szCs w:val="14"/>
              </w:rPr>
              <w:t>1 978 503 962</w:t>
            </w:r>
          </w:p>
        </w:tc>
        <w:tc>
          <w:tcPr>
            <w:tcW w:w="965" w:type="dxa"/>
            <w:shd w:val="clear" w:color="auto" w:fill="D9D9D9" w:themeFill="background1" w:themeFillShade="D9"/>
            <w:vAlign w:val="center"/>
          </w:tcPr>
          <w:p w14:paraId="0810EC2F" w14:textId="6A4A1567" w:rsidR="005F5239" w:rsidRPr="005F5239" w:rsidRDefault="00B15FD4" w:rsidP="00351D17">
            <w:pPr>
              <w:pStyle w:val="Style30"/>
              <w:widowControl/>
              <w:jc w:val="right"/>
              <w:rPr>
                <w:rFonts w:ascii="Arial Narrow" w:hAnsi="Arial Narrow"/>
                <w:b/>
                <w:sz w:val="14"/>
                <w:szCs w:val="14"/>
              </w:rPr>
            </w:pPr>
            <w:r w:rsidRPr="00B15FD4">
              <w:rPr>
                <w:rFonts w:ascii="Arial Narrow" w:hAnsi="Arial Narrow"/>
                <w:b/>
                <w:sz w:val="14"/>
                <w:szCs w:val="14"/>
              </w:rPr>
              <w:t>984 634 629</w:t>
            </w:r>
          </w:p>
        </w:tc>
        <w:tc>
          <w:tcPr>
            <w:tcW w:w="980" w:type="dxa"/>
            <w:shd w:val="clear" w:color="auto" w:fill="D9D9D9" w:themeFill="background1" w:themeFillShade="D9"/>
            <w:vAlign w:val="center"/>
          </w:tcPr>
          <w:p w14:paraId="0C41875E" w14:textId="37241292" w:rsidR="005F5239" w:rsidRPr="005F5239" w:rsidRDefault="00B15FD4">
            <w:pPr>
              <w:pStyle w:val="Style30"/>
              <w:widowControl/>
              <w:jc w:val="right"/>
              <w:rPr>
                <w:rFonts w:ascii="Arial Narrow" w:hAnsi="Arial Narrow"/>
                <w:b/>
                <w:sz w:val="14"/>
                <w:szCs w:val="14"/>
              </w:rPr>
            </w:pPr>
            <w:r w:rsidRPr="00B15FD4">
              <w:rPr>
                <w:rFonts w:ascii="Arial Narrow" w:hAnsi="Arial Narrow"/>
                <w:b/>
                <w:sz w:val="14"/>
                <w:szCs w:val="14"/>
              </w:rPr>
              <w:t>993 869 333</w:t>
            </w:r>
          </w:p>
        </w:tc>
        <w:tc>
          <w:tcPr>
            <w:tcW w:w="1148" w:type="dxa"/>
            <w:shd w:val="clear" w:color="auto" w:fill="D9D9D9" w:themeFill="background1" w:themeFillShade="D9"/>
            <w:vAlign w:val="center"/>
          </w:tcPr>
          <w:p w14:paraId="48F2CEC8" w14:textId="7DE93211" w:rsidR="005F5239" w:rsidRPr="005F5239" w:rsidRDefault="00B15FD4">
            <w:pPr>
              <w:pStyle w:val="Style30"/>
              <w:widowControl/>
              <w:jc w:val="right"/>
              <w:rPr>
                <w:rFonts w:ascii="Arial Narrow" w:hAnsi="Arial Narrow"/>
                <w:b/>
                <w:sz w:val="14"/>
                <w:szCs w:val="14"/>
              </w:rPr>
            </w:pPr>
            <w:r w:rsidRPr="00B15FD4">
              <w:rPr>
                <w:rFonts w:ascii="Arial Narrow" w:hAnsi="Arial Narrow"/>
                <w:b/>
                <w:sz w:val="14"/>
                <w:szCs w:val="14"/>
              </w:rPr>
              <w:t>8 128 441 573</w:t>
            </w:r>
          </w:p>
        </w:tc>
        <w:tc>
          <w:tcPr>
            <w:tcW w:w="728" w:type="dxa"/>
            <w:shd w:val="clear" w:color="auto" w:fill="D9D9D9" w:themeFill="background1" w:themeFillShade="D9"/>
            <w:vAlign w:val="center"/>
          </w:tcPr>
          <w:p w14:paraId="25F399E3" w14:textId="7632BDDE" w:rsidR="005F5239" w:rsidRPr="005F5239" w:rsidRDefault="00B15FD4" w:rsidP="00B15FD4">
            <w:pPr>
              <w:pStyle w:val="Style30"/>
              <w:widowControl/>
              <w:jc w:val="center"/>
              <w:rPr>
                <w:rFonts w:ascii="Arial Narrow" w:hAnsi="Arial Narrow"/>
                <w:b/>
                <w:sz w:val="14"/>
                <w:szCs w:val="14"/>
              </w:rPr>
            </w:pPr>
            <w:r>
              <w:rPr>
                <w:rFonts w:ascii="Arial Narrow" w:hAnsi="Arial Narrow"/>
                <w:b/>
                <w:sz w:val="14"/>
                <w:szCs w:val="14"/>
              </w:rPr>
              <w:t>75,66</w:t>
            </w:r>
            <w:r w:rsidR="00381CF7">
              <w:rPr>
                <w:rFonts w:ascii="Arial Narrow" w:hAnsi="Arial Narrow"/>
                <w:b/>
                <w:sz w:val="14"/>
                <w:szCs w:val="14"/>
              </w:rPr>
              <w:t>%</w:t>
            </w:r>
          </w:p>
        </w:tc>
        <w:tc>
          <w:tcPr>
            <w:tcW w:w="784" w:type="dxa"/>
            <w:shd w:val="clear" w:color="auto" w:fill="D9D9D9" w:themeFill="background1" w:themeFillShade="D9"/>
            <w:vAlign w:val="center"/>
          </w:tcPr>
          <w:p w14:paraId="0D635B08" w14:textId="77777777" w:rsidR="005F5239" w:rsidRPr="005F5239" w:rsidRDefault="005F5239" w:rsidP="00351D17">
            <w:pPr>
              <w:pStyle w:val="Style30"/>
              <w:widowControl/>
              <w:jc w:val="right"/>
              <w:rPr>
                <w:rFonts w:ascii="Arial Narrow" w:hAnsi="Arial Narrow"/>
                <w:b/>
                <w:sz w:val="14"/>
                <w:szCs w:val="14"/>
              </w:rPr>
            </w:pPr>
          </w:p>
        </w:tc>
        <w:tc>
          <w:tcPr>
            <w:tcW w:w="1080" w:type="dxa"/>
            <w:shd w:val="clear" w:color="auto" w:fill="D9D9D9" w:themeFill="background1" w:themeFillShade="D9"/>
            <w:vAlign w:val="center"/>
          </w:tcPr>
          <w:p w14:paraId="37A7F2E9" w14:textId="7C66E023" w:rsidR="005F5239" w:rsidRPr="005F5239" w:rsidRDefault="00381CF7">
            <w:pPr>
              <w:jc w:val="right"/>
              <w:rPr>
                <w:rFonts w:ascii="Arial Narrow" w:hAnsi="Arial Narrow"/>
                <w:b/>
                <w:bCs/>
                <w:color w:val="000000"/>
                <w:sz w:val="14"/>
                <w:szCs w:val="14"/>
              </w:rPr>
            </w:pPr>
            <w:r>
              <w:rPr>
                <w:rFonts w:ascii="Arial Narrow" w:hAnsi="Arial Narrow"/>
                <w:b/>
                <w:bCs/>
                <w:color w:val="000000"/>
                <w:sz w:val="14"/>
                <w:szCs w:val="14"/>
              </w:rPr>
              <w:t>5 695 732 032</w:t>
            </w:r>
          </w:p>
        </w:tc>
        <w:tc>
          <w:tcPr>
            <w:tcW w:w="1023" w:type="dxa"/>
            <w:shd w:val="clear" w:color="auto" w:fill="D9D9D9" w:themeFill="background1" w:themeFillShade="D9"/>
            <w:vAlign w:val="center"/>
          </w:tcPr>
          <w:p w14:paraId="411EA68B" w14:textId="13AAEC0E" w:rsidR="005F5239" w:rsidRPr="005F5239" w:rsidRDefault="00B15FD4" w:rsidP="00E61DFB">
            <w:pPr>
              <w:jc w:val="right"/>
              <w:rPr>
                <w:rFonts w:ascii="Arial Narrow" w:hAnsi="Arial Narrow"/>
                <w:b/>
                <w:bCs/>
                <w:color w:val="000000"/>
                <w:sz w:val="14"/>
                <w:szCs w:val="14"/>
              </w:rPr>
            </w:pPr>
            <w:r w:rsidRPr="00B15FD4">
              <w:rPr>
                <w:rFonts w:ascii="Arial Narrow" w:hAnsi="Arial Narrow"/>
                <w:b/>
                <w:bCs/>
                <w:color w:val="000000"/>
                <w:sz w:val="14"/>
                <w:szCs w:val="14"/>
              </w:rPr>
              <w:t>1 882 029 11</w:t>
            </w:r>
            <w:r w:rsidR="00E61DFB">
              <w:rPr>
                <w:rFonts w:ascii="Arial Narrow" w:hAnsi="Arial Narrow"/>
                <w:b/>
                <w:bCs/>
                <w:color w:val="000000"/>
                <w:sz w:val="14"/>
                <w:szCs w:val="14"/>
              </w:rPr>
              <w:t>0</w:t>
            </w:r>
          </w:p>
        </w:tc>
        <w:tc>
          <w:tcPr>
            <w:tcW w:w="992" w:type="dxa"/>
            <w:shd w:val="clear" w:color="auto" w:fill="D9D9D9" w:themeFill="background1" w:themeFillShade="D9"/>
            <w:vAlign w:val="center"/>
          </w:tcPr>
          <w:p w14:paraId="4FE7EA6D" w14:textId="1F2E990C" w:rsidR="005F5239" w:rsidRPr="005F5239" w:rsidRDefault="00B15FD4" w:rsidP="00351D17">
            <w:pPr>
              <w:jc w:val="right"/>
              <w:rPr>
                <w:rFonts w:ascii="Arial Narrow" w:hAnsi="Arial Narrow"/>
                <w:b/>
                <w:bCs/>
                <w:color w:val="000000"/>
                <w:sz w:val="14"/>
                <w:szCs w:val="14"/>
              </w:rPr>
            </w:pPr>
            <w:r w:rsidRPr="00B15FD4">
              <w:rPr>
                <w:rFonts w:ascii="Arial Narrow" w:hAnsi="Arial Narrow"/>
                <w:b/>
                <w:bCs/>
                <w:color w:val="000000"/>
                <w:sz w:val="14"/>
                <w:szCs w:val="14"/>
              </w:rPr>
              <w:t>454 205 579</w:t>
            </w:r>
          </w:p>
        </w:tc>
        <w:tc>
          <w:tcPr>
            <w:tcW w:w="952" w:type="dxa"/>
            <w:shd w:val="clear" w:color="auto" w:fill="D9D9D9" w:themeFill="background1" w:themeFillShade="D9"/>
            <w:vAlign w:val="center"/>
          </w:tcPr>
          <w:p w14:paraId="0F193FD4" w14:textId="59B23188" w:rsidR="005F5239" w:rsidRPr="005F5239" w:rsidRDefault="00B15FD4" w:rsidP="00E61DFB">
            <w:pPr>
              <w:jc w:val="right"/>
              <w:rPr>
                <w:rFonts w:ascii="Arial Narrow" w:hAnsi="Arial Narrow"/>
                <w:b/>
                <w:bCs/>
                <w:color w:val="000000"/>
                <w:sz w:val="14"/>
                <w:szCs w:val="14"/>
              </w:rPr>
            </w:pPr>
            <w:r w:rsidRPr="00B15FD4">
              <w:rPr>
                <w:rFonts w:ascii="Arial Narrow" w:hAnsi="Arial Narrow"/>
                <w:b/>
                <w:bCs/>
                <w:color w:val="000000"/>
                <w:sz w:val="14"/>
                <w:szCs w:val="14"/>
              </w:rPr>
              <w:t>96 474 85</w:t>
            </w:r>
            <w:r w:rsidR="00E61DFB">
              <w:rPr>
                <w:rFonts w:ascii="Arial Narrow" w:hAnsi="Arial Narrow"/>
                <w:b/>
                <w:bCs/>
                <w:color w:val="000000"/>
                <w:sz w:val="14"/>
                <w:szCs w:val="14"/>
              </w:rPr>
              <w:t>2</w:t>
            </w:r>
          </w:p>
        </w:tc>
        <w:tc>
          <w:tcPr>
            <w:tcW w:w="993" w:type="dxa"/>
            <w:shd w:val="clear" w:color="auto" w:fill="D9D9D9" w:themeFill="background1" w:themeFillShade="D9"/>
            <w:vAlign w:val="center"/>
          </w:tcPr>
          <w:p w14:paraId="56B24E87" w14:textId="6773E9C1" w:rsidR="005F5239" w:rsidRPr="005F5239" w:rsidRDefault="005F5239" w:rsidP="00351D17">
            <w:pPr>
              <w:pStyle w:val="Style30"/>
              <w:widowControl/>
              <w:jc w:val="right"/>
              <w:rPr>
                <w:rFonts w:ascii="Arial Narrow" w:hAnsi="Arial Narrow"/>
                <w:b/>
                <w:sz w:val="14"/>
                <w:szCs w:val="14"/>
              </w:rPr>
            </w:pPr>
          </w:p>
        </w:tc>
      </w:tr>
    </w:tbl>
    <w:p w14:paraId="5C33F9FD" w14:textId="77777777" w:rsidR="0084414B" w:rsidRDefault="0084414B" w:rsidP="00EA0D36">
      <w:pPr>
        <w:pStyle w:val="Tab"/>
      </w:pPr>
      <w:r w:rsidRPr="00DA632E">
        <w:t>Členenie finančného plánu operačného programu podľa prioritných osí, financovania, kategórií regiónov a tematického cieľa</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5"/>
        <w:gridCol w:w="851"/>
        <w:gridCol w:w="1559"/>
        <w:gridCol w:w="1559"/>
        <w:gridCol w:w="1418"/>
        <w:gridCol w:w="1559"/>
        <w:gridCol w:w="1444"/>
      </w:tblGrid>
      <w:tr w:rsidR="0084414B" w:rsidRPr="00BB4F4E" w14:paraId="4A433A48" w14:textId="77777777" w:rsidTr="00F058A0">
        <w:trPr>
          <w:trHeight w:val="567"/>
          <w:jc w:val="center"/>
        </w:trPr>
        <w:tc>
          <w:tcPr>
            <w:tcW w:w="5785" w:type="dxa"/>
            <w:shd w:val="clear" w:color="auto" w:fill="C6D9F1" w:themeFill="text2" w:themeFillTint="33"/>
            <w:vAlign w:val="center"/>
          </w:tcPr>
          <w:p w14:paraId="510A3C92"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sidRPr="00BB4F4E">
              <w:rPr>
                <w:snapToGrid w:val="0"/>
                <w:sz w:val="18"/>
                <w:szCs w:val="18"/>
                <w:lang w:eastAsia="cs-CZ"/>
              </w:rPr>
              <w:t>Prioritná os</w:t>
            </w:r>
          </w:p>
        </w:tc>
        <w:tc>
          <w:tcPr>
            <w:tcW w:w="851" w:type="dxa"/>
            <w:shd w:val="clear" w:color="auto" w:fill="C6D9F1" w:themeFill="text2" w:themeFillTint="33"/>
            <w:vAlign w:val="center"/>
          </w:tcPr>
          <w:p w14:paraId="10C288D4"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Fond</w:t>
            </w:r>
          </w:p>
        </w:tc>
        <w:tc>
          <w:tcPr>
            <w:tcW w:w="1559" w:type="dxa"/>
            <w:shd w:val="clear" w:color="auto" w:fill="C6D9F1" w:themeFill="text2" w:themeFillTint="33"/>
            <w:vAlign w:val="center"/>
          </w:tcPr>
          <w:p w14:paraId="1207F40D"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Kategória </w:t>
            </w:r>
          </w:p>
          <w:p w14:paraId="562A51B1"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regiónov</w:t>
            </w:r>
          </w:p>
        </w:tc>
        <w:tc>
          <w:tcPr>
            <w:tcW w:w="1559" w:type="dxa"/>
            <w:shd w:val="clear" w:color="auto" w:fill="C6D9F1" w:themeFill="text2" w:themeFillTint="33"/>
            <w:vAlign w:val="center"/>
          </w:tcPr>
          <w:p w14:paraId="308CCB45"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Tematický cieľ</w:t>
            </w:r>
          </w:p>
        </w:tc>
        <w:tc>
          <w:tcPr>
            <w:tcW w:w="1418" w:type="dxa"/>
            <w:shd w:val="clear" w:color="auto" w:fill="C6D9F1" w:themeFill="text2" w:themeFillTint="33"/>
            <w:vAlign w:val="center"/>
          </w:tcPr>
          <w:p w14:paraId="245ED2FC"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Podpora EÚ</w:t>
            </w:r>
            <w:r>
              <w:rPr>
                <w:snapToGrid w:val="0"/>
                <w:sz w:val="18"/>
                <w:szCs w:val="18"/>
                <w:lang w:eastAsia="cs-CZ"/>
              </w:rPr>
              <w:t xml:space="preserve"> </w:t>
            </w:r>
          </w:p>
          <w:p w14:paraId="64D0DADF"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(v EUR)</w:t>
            </w:r>
          </w:p>
        </w:tc>
        <w:tc>
          <w:tcPr>
            <w:tcW w:w="1559" w:type="dxa"/>
            <w:shd w:val="clear" w:color="auto" w:fill="C6D9F1" w:themeFill="text2" w:themeFillTint="33"/>
            <w:vAlign w:val="center"/>
          </w:tcPr>
          <w:p w14:paraId="3B69883C"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Národné </w:t>
            </w:r>
          </w:p>
          <w:p w14:paraId="5A9C3CDD"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s</w:t>
            </w:r>
            <w:r w:rsidRPr="00BB4F4E">
              <w:rPr>
                <w:snapToGrid w:val="0"/>
                <w:sz w:val="18"/>
                <w:szCs w:val="18"/>
                <w:lang w:eastAsia="cs-CZ"/>
              </w:rPr>
              <w:t>polufinancovanie</w:t>
            </w:r>
            <w:r>
              <w:rPr>
                <w:snapToGrid w:val="0"/>
                <w:sz w:val="18"/>
                <w:szCs w:val="18"/>
                <w:lang w:eastAsia="cs-CZ"/>
              </w:rPr>
              <w:t xml:space="preserve"> (v EUR)</w:t>
            </w:r>
          </w:p>
        </w:tc>
        <w:tc>
          <w:tcPr>
            <w:tcW w:w="1444" w:type="dxa"/>
            <w:shd w:val="clear" w:color="auto" w:fill="C6D9F1" w:themeFill="text2" w:themeFillTint="33"/>
            <w:vAlign w:val="center"/>
          </w:tcPr>
          <w:p w14:paraId="36D7C6AC"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Celkové </w:t>
            </w:r>
          </w:p>
          <w:p w14:paraId="0EED8CE7"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f</w:t>
            </w:r>
            <w:r w:rsidRPr="00BB4F4E">
              <w:rPr>
                <w:snapToGrid w:val="0"/>
                <w:sz w:val="18"/>
                <w:szCs w:val="18"/>
                <w:lang w:eastAsia="cs-CZ"/>
              </w:rPr>
              <w:t>inancovanie</w:t>
            </w:r>
            <w:r>
              <w:rPr>
                <w:snapToGrid w:val="0"/>
                <w:sz w:val="18"/>
                <w:szCs w:val="18"/>
                <w:lang w:eastAsia="cs-CZ"/>
              </w:rPr>
              <w:t xml:space="preserve"> (v EUR)</w:t>
            </w:r>
          </w:p>
        </w:tc>
      </w:tr>
      <w:tr w:rsidR="0084414B" w:rsidRPr="00BB4F4E" w14:paraId="321EEE2C" w14:textId="77777777" w:rsidTr="005F192E">
        <w:trPr>
          <w:trHeight w:val="312"/>
          <w:jc w:val="center"/>
        </w:trPr>
        <w:tc>
          <w:tcPr>
            <w:tcW w:w="5785" w:type="dxa"/>
            <w:shd w:val="clear" w:color="auto" w:fill="auto"/>
            <w:vAlign w:val="center"/>
          </w:tcPr>
          <w:p w14:paraId="101FB71F"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1</w:t>
            </w:r>
            <w:r>
              <w:rPr>
                <w:snapToGrid w:val="0"/>
                <w:sz w:val="18"/>
                <w:szCs w:val="18"/>
                <w:lang w:eastAsia="cs-CZ"/>
              </w:rPr>
              <w:t xml:space="preserve"> – Železničná infraštruktúra (TEN-T CORE)</w:t>
            </w:r>
            <w:r w:rsidR="00E343E0">
              <w:rPr>
                <w:snapToGrid w:val="0"/>
                <w:sz w:val="18"/>
                <w:szCs w:val="18"/>
                <w:lang w:eastAsia="cs-CZ"/>
              </w:rPr>
              <w:t xml:space="preserve"> a obnova mobilných prostriedkov</w:t>
            </w:r>
          </w:p>
        </w:tc>
        <w:tc>
          <w:tcPr>
            <w:tcW w:w="851" w:type="dxa"/>
            <w:vAlign w:val="center"/>
          </w:tcPr>
          <w:p w14:paraId="2BC0E75F"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559" w:type="dxa"/>
            <w:vAlign w:val="center"/>
          </w:tcPr>
          <w:p w14:paraId="2278E973"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559" w:type="dxa"/>
            <w:vAlign w:val="center"/>
          </w:tcPr>
          <w:p w14:paraId="13A0B4A0"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418" w:type="dxa"/>
            <w:vAlign w:val="center"/>
          </w:tcPr>
          <w:p w14:paraId="173E1B6B" w14:textId="77777777" w:rsidR="0084414B" w:rsidRPr="00BB4F4E" w:rsidRDefault="0084414B" w:rsidP="005F192E">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725 839 166</w:t>
            </w:r>
          </w:p>
        </w:tc>
        <w:tc>
          <w:tcPr>
            <w:tcW w:w="1559" w:type="dxa"/>
            <w:vAlign w:val="center"/>
          </w:tcPr>
          <w:p w14:paraId="44AEA1AD" w14:textId="77777777" w:rsidR="0084414B" w:rsidRPr="00BB4F4E" w:rsidRDefault="0084414B" w:rsidP="005F192E">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128 089 265</w:t>
            </w:r>
          </w:p>
        </w:tc>
        <w:tc>
          <w:tcPr>
            <w:tcW w:w="1444" w:type="dxa"/>
            <w:vAlign w:val="center"/>
          </w:tcPr>
          <w:p w14:paraId="7A7D4076" w14:textId="77777777" w:rsidR="0084414B" w:rsidRPr="00BB4F4E" w:rsidRDefault="0084414B" w:rsidP="005F192E">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853 928 431</w:t>
            </w:r>
          </w:p>
        </w:tc>
      </w:tr>
      <w:tr w:rsidR="0084414B" w:rsidRPr="00BB4F4E" w14:paraId="7F2D3617" w14:textId="77777777" w:rsidTr="005F192E">
        <w:trPr>
          <w:trHeight w:val="312"/>
          <w:jc w:val="center"/>
        </w:trPr>
        <w:tc>
          <w:tcPr>
            <w:tcW w:w="5785" w:type="dxa"/>
            <w:shd w:val="clear" w:color="auto" w:fill="auto"/>
            <w:vAlign w:val="center"/>
          </w:tcPr>
          <w:p w14:paraId="67A3D8D6" w14:textId="77777777" w:rsidR="0084414B" w:rsidRPr="00BB4F4E" w:rsidRDefault="0084414B" w:rsidP="00BB68C1">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2</w:t>
            </w:r>
            <w:r>
              <w:rPr>
                <w:snapToGrid w:val="0"/>
                <w:sz w:val="18"/>
                <w:szCs w:val="18"/>
                <w:lang w:eastAsia="cs-CZ"/>
              </w:rPr>
              <w:t xml:space="preserve"> – Cestná infraštruktúra (TEN-T)</w:t>
            </w:r>
          </w:p>
        </w:tc>
        <w:tc>
          <w:tcPr>
            <w:tcW w:w="851" w:type="dxa"/>
            <w:vAlign w:val="center"/>
          </w:tcPr>
          <w:p w14:paraId="13C27531"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559" w:type="dxa"/>
            <w:vAlign w:val="center"/>
          </w:tcPr>
          <w:p w14:paraId="26169E69"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559" w:type="dxa"/>
            <w:vAlign w:val="center"/>
          </w:tcPr>
          <w:p w14:paraId="4CC7F22B"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418" w:type="dxa"/>
            <w:vAlign w:val="center"/>
          </w:tcPr>
          <w:p w14:paraId="2DA23529" w14:textId="77777777" w:rsidR="0084414B" w:rsidRPr="00BB4F4E" w:rsidRDefault="0084414B" w:rsidP="005F192E">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1 142 500 000</w:t>
            </w:r>
          </w:p>
        </w:tc>
        <w:tc>
          <w:tcPr>
            <w:tcW w:w="1559" w:type="dxa"/>
            <w:vAlign w:val="center"/>
          </w:tcPr>
          <w:p w14:paraId="42DE420E" w14:textId="77777777" w:rsidR="0084414B" w:rsidRPr="00BB4F4E" w:rsidRDefault="0084414B" w:rsidP="005F192E">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201 617 648</w:t>
            </w:r>
          </w:p>
        </w:tc>
        <w:tc>
          <w:tcPr>
            <w:tcW w:w="1444" w:type="dxa"/>
            <w:vAlign w:val="center"/>
          </w:tcPr>
          <w:p w14:paraId="6398FCF5" w14:textId="77777777" w:rsidR="0084414B" w:rsidRPr="00BB4F4E" w:rsidRDefault="0084414B" w:rsidP="005F192E">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1 344 117 648</w:t>
            </w:r>
          </w:p>
        </w:tc>
      </w:tr>
      <w:tr w:rsidR="000B6426" w:rsidRPr="000B6426" w14:paraId="363777EE" w14:textId="77777777" w:rsidTr="005F192E">
        <w:trPr>
          <w:trHeight w:val="312"/>
          <w:jc w:val="center"/>
        </w:trPr>
        <w:tc>
          <w:tcPr>
            <w:tcW w:w="5785" w:type="dxa"/>
            <w:shd w:val="clear" w:color="auto" w:fill="auto"/>
            <w:vAlign w:val="center"/>
          </w:tcPr>
          <w:p w14:paraId="04811090" w14:textId="77777777" w:rsidR="000B6426" w:rsidRPr="000B6426" w:rsidRDefault="000B6426" w:rsidP="000B6426">
            <w:pPr>
              <w:widowControl w:val="0"/>
              <w:tabs>
                <w:tab w:val="left" w:pos="993"/>
              </w:tabs>
              <w:adjustRightInd w:val="0"/>
              <w:ind w:left="0"/>
              <w:jc w:val="both"/>
              <w:textAlignment w:val="baseline"/>
              <w:rPr>
                <w:snapToGrid w:val="0"/>
                <w:sz w:val="18"/>
                <w:szCs w:val="18"/>
                <w:lang w:eastAsia="cs-CZ"/>
              </w:rPr>
            </w:pPr>
            <w:r w:rsidRPr="000B6426">
              <w:rPr>
                <w:snapToGrid w:val="0"/>
                <w:sz w:val="18"/>
                <w:szCs w:val="18"/>
                <w:lang w:eastAsia="cs-CZ"/>
              </w:rPr>
              <w:t>PO 3 – Verejná osobná doprava</w:t>
            </w:r>
          </w:p>
        </w:tc>
        <w:tc>
          <w:tcPr>
            <w:tcW w:w="851" w:type="dxa"/>
            <w:vAlign w:val="center"/>
          </w:tcPr>
          <w:p w14:paraId="66650FB2" w14:textId="77777777" w:rsidR="000B6426" w:rsidRPr="000B6426" w:rsidRDefault="000B6426" w:rsidP="000B6426">
            <w:pPr>
              <w:widowControl w:val="0"/>
              <w:tabs>
                <w:tab w:val="left" w:pos="993"/>
              </w:tabs>
              <w:adjustRightInd w:val="0"/>
              <w:ind w:left="0"/>
              <w:jc w:val="center"/>
              <w:textAlignment w:val="baseline"/>
              <w:rPr>
                <w:snapToGrid w:val="0"/>
                <w:sz w:val="18"/>
                <w:szCs w:val="18"/>
                <w:lang w:eastAsia="cs-CZ"/>
              </w:rPr>
            </w:pPr>
            <w:r w:rsidRPr="000B6426">
              <w:rPr>
                <w:snapToGrid w:val="0"/>
                <w:sz w:val="18"/>
                <w:szCs w:val="18"/>
                <w:lang w:eastAsia="cs-CZ"/>
              </w:rPr>
              <w:t>KF</w:t>
            </w:r>
          </w:p>
        </w:tc>
        <w:tc>
          <w:tcPr>
            <w:tcW w:w="1559" w:type="dxa"/>
            <w:vAlign w:val="center"/>
          </w:tcPr>
          <w:p w14:paraId="4E180005" w14:textId="77777777" w:rsidR="000B6426" w:rsidRPr="000B6426" w:rsidRDefault="000B6426" w:rsidP="000B6426">
            <w:pPr>
              <w:widowControl w:val="0"/>
              <w:tabs>
                <w:tab w:val="left" w:pos="993"/>
              </w:tabs>
              <w:adjustRightInd w:val="0"/>
              <w:ind w:left="0"/>
              <w:jc w:val="center"/>
              <w:textAlignment w:val="baseline"/>
              <w:rPr>
                <w:i/>
                <w:snapToGrid w:val="0"/>
                <w:sz w:val="18"/>
                <w:szCs w:val="18"/>
                <w:lang w:eastAsia="cs-CZ"/>
              </w:rPr>
            </w:pPr>
            <w:r w:rsidRPr="000B6426">
              <w:rPr>
                <w:i/>
                <w:snapToGrid w:val="0"/>
                <w:sz w:val="18"/>
                <w:szCs w:val="18"/>
                <w:lang w:eastAsia="cs-CZ"/>
              </w:rPr>
              <w:t>N/A</w:t>
            </w:r>
          </w:p>
        </w:tc>
        <w:tc>
          <w:tcPr>
            <w:tcW w:w="1559" w:type="dxa"/>
            <w:vAlign w:val="center"/>
          </w:tcPr>
          <w:p w14:paraId="09C5B04A" w14:textId="77777777" w:rsidR="000B6426" w:rsidRPr="000B6426" w:rsidRDefault="000B6426" w:rsidP="000B6426">
            <w:pPr>
              <w:widowControl w:val="0"/>
              <w:tabs>
                <w:tab w:val="left" w:pos="993"/>
              </w:tabs>
              <w:adjustRightInd w:val="0"/>
              <w:ind w:left="0"/>
              <w:jc w:val="center"/>
              <w:textAlignment w:val="baseline"/>
              <w:rPr>
                <w:snapToGrid w:val="0"/>
                <w:sz w:val="18"/>
                <w:szCs w:val="18"/>
                <w:lang w:eastAsia="cs-CZ"/>
              </w:rPr>
            </w:pPr>
            <w:r w:rsidRPr="000B6426">
              <w:rPr>
                <w:snapToGrid w:val="0"/>
                <w:sz w:val="18"/>
                <w:szCs w:val="18"/>
                <w:lang w:eastAsia="cs-CZ"/>
              </w:rPr>
              <w:t>Tematický cieľ 7</w:t>
            </w:r>
          </w:p>
        </w:tc>
        <w:tc>
          <w:tcPr>
            <w:tcW w:w="1418" w:type="dxa"/>
            <w:vAlign w:val="center"/>
          </w:tcPr>
          <w:p w14:paraId="0008ACA7" w14:textId="242315E2"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z w:val="18"/>
                <w:szCs w:val="18"/>
              </w:rPr>
              <w:t>329 337 000</w:t>
            </w:r>
          </w:p>
        </w:tc>
        <w:tc>
          <w:tcPr>
            <w:tcW w:w="1559" w:type="dxa"/>
            <w:vAlign w:val="center"/>
          </w:tcPr>
          <w:p w14:paraId="67D424C2" w14:textId="710B5305"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z w:val="18"/>
                <w:szCs w:val="18"/>
              </w:rPr>
              <w:t>58 118 295</w:t>
            </w:r>
          </w:p>
        </w:tc>
        <w:tc>
          <w:tcPr>
            <w:tcW w:w="1444" w:type="dxa"/>
            <w:vAlign w:val="center"/>
          </w:tcPr>
          <w:p w14:paraId="5093191E" w14:textId="5A7CD170" w:rsidR="000B6426" w:rsidRPr="000B6426" w:rsidRDefault="000B6426" w:rsidP="005F192E">
            <w:pPr>
              <w:widowControl w:val="0"/>
              <w:tabs>
                <w:tab w:val="left" w:pos="993"/>
              </w:tabs>
              <w:adjustRightInd w:val="0"/>
              <w:ind w:left="0"/>
              <w:jc w:val="right"/>
              <w:textAlignment w:val="baseline"/>
              <w:rPr>
                <w:snapToGrid w:val="0"/>
                <w:sz w:val="18"/>
                <w:szCs w:val="18"/>
                <w:lang w:val="en-US" w:eastAsia="cs-CZ"/>
              </w:rPr>
            </w:pPr>
            <w:r w:rsidRPr="000B6426">
              <w:rPr>
                <w:snapToGrid w:val="0"/>
                <w:sz w:val="18"/>
                <w:szCs w:val="18"/>
                <w:lang w:val="en-US" w:eastAsia="cs-CZ"/>
              </w:rPr>
              <w:t>387 455 295</w:t>
            </w:r>
          </w:p>
        </w:tc>
      </w:tr>
      <w:tr w:rsidR="000B6426" w:rsidRPr="000B6426" w14:paraId="468D54CB" w14:textId="77777777" w:rsidTr="005F192E">
        <w:trPr>
          <w:trHeight w:val="312"/>
          <w:jc w:val="center"/>
        </w:trPr>
        <w:tc>
          <w:tcPr>
            <w:tcW w:w="5785" w:type="dxa"/>
            <w:shd w:val="clear" w:color="auto" w:fill="auto"/>
            <w:vAlign w:val="center"/>
          </w:tcPr>
          <w:p w14:paraId="0900ABBF" w14:textId="77777777" w:rsidR="000B6426" w:rsidRPr="000B6426" w:rsidRDefault="000B6426" w:rsidP="000B6426">
            <w:pPr>
              <w:widowControl w:val="0"/>
              <w:tabs>
                <w:tab w:val="left" w:pos="993"/>
              </w:tabs>
              <w:adjustRightInd w:val="0"/>
              <w:ind w:left="0"/>
              <w:jc w:val="both"/>
              <w:textAlignment w:val="baseline"/>
              <w:rPr>
                <w:snapToGrid w:val="0"/>
                <w:sz w:val="18"/>
                <w:szCs w:val="18"/>
                <w:lang w:eastAsia="cs-CZ"/>
              </w:rPr>
            </w:pPr>
            <w:r w:rsidRPr="000B6426">
              <w:rPr>
                <w:snapToGrid w:val="0"/>
                <w:sz w:val="18"/>
                <w:szCs w:val="18"/>
                <w:lang w:eastAsia="cs-CZ"/>
              </w:rPr>
              <w:t>PO 4 – Infraštruktúra vodnej dopravy (TEN-T CORE)</w:t>
            </w:r>
          </w:p>
        </w:tc>
        <w:tc>
          <w:tcPr>
            <w:tcW w:w="851" w:type="dxa"/>
            <w:vAlign w:val="center"/>
          </w:tcPr>
          <w:p w14:paraId="79C98065" w14:textId="77777777" w:rsidR="000B6426" w:rsidRPr="000B6426" w:rsidRDefault="000B6426" w:rsidP="000B6426">
            <w:pPr>
              <w:widowControl w:val="0"/>
              <w:tabs>
                <w:tab w:val="left" w:pos="993"/>
              </w:tabs>
              <w:adjustRightInd w:val="0"/>
              <w:ind w:left="0"/>
              <w:jc w:val="center"/>
              <w:textAlignment w:val="baseline"/>
              <w:rPr>
                <w:snapToGrid w:val="0"/>
                <w:sz w:val="18"/>
                <w:szCs w:val="18"/>
                <w:lang w:eastAsia="cs-CZ"/>
              </w:rPr>
            </w:pPr>
            <w:r w:rsidRPr="000B6426">
              <w:rPr>
                <w:snapToGrid w:val="0"/>
                <w:sz w:val="18"/>
                <w:szCs w:val="18"/>
                <w:lang w:eastAsia="cs-CZ"/>
              </w:rPr>
              <w:t>KF</w:t>
            </w:r>
          </w:p>
        </w:tc>
        <w:tc>
          <w:tcPr>
            <w:tcW w:w="1559" w:type="dxa"/>
            <w:vAlign w:val="center"/>
          </w:tcPr>
          <w:p w14:paraId="424FA3DE" w14:textId="77777777" w:rsidR="000B6426" w:rsidRPr="000B6426" w:rsidRDefault="000B6426" w:rsidP="000B6426">
            <w:pPr>
              <w:widowControl w:val="0"/>
              <w:tabs>
                <w:tab w:val="left" w:pos="993"/>
              </w:tabs>
              <w:adjustRightInd w:val="0"/>
              <w:ind w:left="0"/>
              <w:jc w:val="center"/>
              <w:textAlignment w:val="baseline"/>
              <w:rPr>
                <w:i/>
                <w:snapToGrid w:val="0"/>
                <w:sz w:val="18"/>
                <w:szCs w:val="18"/>
                <w:lang w:eastAsia="cs-CZ"/>
              </w:rPr>
            </w:pPr>
            <w:r w:rsidRPr="000B6426">
              <w:rPr>
                <w:i/>
                <w:snapToGrid w:val="0"/>
                <w:sz w:val="18"/>
                <w:szCs w:val="18"/>
                <w:lang w:eastAsia="cs-CZ"/>
              </w:rPr>
              <w:t>N/A</w:t>
            </w:r>
          </w:p>
        </w:tc>
        <w:tc>
          <w:tcPr>
            <w:tcW w:w="1559" w:type="dxa"/>
            <w:vAlign w:val="center"/>
          </w:tcPr>
          <w:p w14:paraId="044E5B30" w14:textId="77777777" w:rsidR="000B6426" w:rsidRPr="000B6426" w:rsidRDefault="000B6426" w:rsidP="000B6426">
            <w:pPr>
              <w:widowControl w:val="0"/>
              <w:tabs>
                <w:tab w:val="left" w:pos="993"/>
              </w:tabs>
              <w:adjustRightInd w:val="0"/>
              <w:ind w:left="0"/>
              <w:jc w:val="center"/>
              <w:textAlignment w:val="baseline"/>
              <w:rPr>
                <w:snapToGrid w:val="0"/>
                <w:sz w:val="18"/>
                <w:szCs w:val="18"/>
                <w:lang w:eastAsia="cs-CZ"/>
              </w:rPr>
            </w:pPr>
            <w:r w:rsidRPr="000B6426">
              <w:rPr>
                <w:snapToGrid w:val="0"/>
                <w:sz w:val="18"/>
                <w:szCs w:val="18"/>
                <w:lang w:eastAsia="cs-CZ"/>
              </w:rPr>
              <w:t>Tematický cieľ 7</w:t>
            </w:r>
          </w:p>
        </w:tc>
        <w:tc>
          <w:tcPr>
            <w:tcW w:w="1418" w:type="dxa"/>
            <w:vAlign w:val="center"/>
          </w:tcPr>
          <w:p w14:paraId="4D0CE441" w14:textId="017BA1D0"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z w:val="18"/>
                <w:szCs w:val="18"/>
              </w:rPr>
              <w:t>109 463 000</w:t>
            </w:r>
          </w:p>
        </w:tc>
        <w:tc>
          <w:tcPr>
            <w:tcW w:w="1559" w:type="dxa"/>
            <w:vAlign w:val="center"/>
          </w:tcPr>
          <w:p w14:paraId="029D64B6" w14:textId="7EFB6028"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z w:val="18"/>
                <w:szCs w:val="18"/>
              </w:rPr>
              <w:t>19 317 000</w:t>
            </w:r>
          </w:p>
        </w:tc>
        <w:tc>
          <w:tcPr>
            <w:tcW w:w="1444" w:type="dxa"/>
            <w:vAlign w:val="center"/>
          </w:tcPr>
          <w:p w14:paraId="6B2D5E73" w14:textId="0CA4D632"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napToGrid w:val="0"/>
                <w:sz w:val="18"/>
                <w:szCs w:val="18"/>
                <w:lang w:eastAsia="cs-CZ"/>
              </w:rPr>
              <w:t>128 780 000</w:t>
            </w:r>
          </w:p>
        </w:tc>
      </w:tr>
      <w:tr w:rsidR="000B6426" w:rsidRPr="007E5AD8" w14:paraId="50D2A542" w14:textId="77777777" w:rsidTr="005F192E">
        <w:trPr>
          <w:trHeight w:val="312"/>
          <w:jc w:val="center"/>
        </w:trPr>
        <w:tc>
          <w:tcPr>
            <w:tcW w:w="5785" w:type="dxa"/>
            <w:shd w:val="clear" w:color="auto" w:fill="auto"/>
            <w:vAlign w:val="center"/>
          </w:tcPr>
          <w:p w14:paraId="36FAD99F" w14:textId="5ECC40E2" w:rsidR="000B6426" w:rsidRPr="007E5AD8" w:rsidRDefault="000B6426" w:rsidP="000B6426">
            <w:pPr>
              <w:widowControl w:val="0"/>
              <w:tabs>
                <w:tab w:val="left" w:pos="993"/>
              </w:tabs>
              <w:adjustRightInd w:val="0"/>
              <w:ind w:left="0"/>
              <w:jc w:val="both"/>
              <w:textAlignment w:val="baseline"/>
              <w:rPr>
                <w:snapToGrid w:val="0"/>
                <w:sz w:val="18"/>
                <w:szCs w:val="18"/>
                <w:lang w:eastAsia="cs-CZ"/>
              </w:rPr>
            </w:pPr>
            <w:r w:rsidRPr="007E5AD8">
              <w:rPr>
                <w:snapToGrid w:val="0"/>
                <w:sz w:val="18"/>
                <w:szCs w:val="18"/>
                <w:lang w:eastAsia="cs-CZ"/>
              </w:rPr>
              <w:t>PO 5 – Železničná infraštruktúra a obnova mobilných prostriedkov</w:t>
            </w:r>
          </w:p>
        </w:tc>
        <w:tc>
          <w:tcPr>
            <w:tcW w:w="851" w:type="dxa"/>
            <w:vAlign w:val="center"/>
          </w:tcPr>
          <w:p w14:paraId="507B757D" w14:textId="77777777" w:rsidR="000B6426" w:rsidRPr="007E5AD8" w:rsidRDefault="000B6426" w:rsidP="000B6426">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EFRR</w:t>
            </w:r>
          </w:p>
        </w:tc>
        <w:tc>
          <w:tcPr>
            <w:tcW w:w="1559" w:type="dxa"/>
            <w:vAlign w:val="center"/>
          </w:tcPr>
          <w:p w14:paraId="2B571640" w14:textId="77777777" w:rsidR="000B6426" w:rsidRPr="007E5AD8" w:rsidRDefault="000B6426" w:rsidP="000B6426">
            <w:pPr>
              <w:widowControl w:val="0"/>
              <w:tabs>
                <w:tab w:val="left" w:pos="993"/>
              </w:tabs>
              <w:adjustRightInd w:val="0"/>
              <w:ind w:left="0"/>
              <w:jc w:val="center"/>
              <w:textAlignment w:val="baseline"/>
              <w:rPr>
                <w:i/>
                <w:snapToGrid w:val="0"/>
                <w:sz w:val="18"/>
                <w:szCs w:val="18"/>
                <w:lang w:eastAsia="cs-CZ"/>
              </w:rPr>
            </w:pPr>
            <w:r w:rsidRPr="007E5AD8">
              <w:rPr>
                <w:i/>
                <w:snapToGrid w:val="0"/>
                <w:sz w:val="18"/>
                <w:szCs w:val="18"/>
                <w:lang w:eastAsia="cs-CZ"/>
              </w:rPr>
              <w:t>Menej rozvinutý</w:t>
            </w:r>
          </w:p>
        </w:tc>
        <w:tc>
          <w:tcPr>
            <w:tcW w:w="1559" w:type="dxa"/>
            <w:vAlign w:val="center"/>
          </w:tcPr>
          <w:p w14:paraId="46FD66EC" w14:textId="77777777" w:rsidR="000B6426" w:rsidRPr="007E5AD8" w:rsidRDefault="000B6426" w:rsidP="000B6426">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Tematický cieľ 7</w:t>
            </w:r>
          </w:p>
        </w:tc>
        <w:tc>
          <w:tcPr>
            <w:tcW w:w="1418" w:type="dxa"/>
            <w:vAlign w:val="center"/>
          </w:tcPr>
          <w:p w14:paraId="02624521" w14:textId="2AB9FE54"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z w:val="18"/>
                <w:szCs w:val="18"/>
              </w:rPr>
              <w:t>263 951 749</w:t>
            </w:r>
          </w:p>
        </w:tc>
        <w:tc>
          <w:tcPr>
            <w:tcW w:w="1559" w:type="dxa"/>
            <w:vAlign w:val="center"/>
          </w:tcPr>
          <w:p w14:paraId="0F02AADA" w14:textId="3C5E9EE7"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z w:val="18"/>
                <w:szCs w:val="18"/>
              </w:rPr>
              <w:t>46 579 721</w:t>
            </w:r>
          </w:p>
        </w:tc>
        <w:tc>
          <w:tcPr>
            <w:tcW w:w="1444" w:type="dxa"/>
            <w:vAlign w:val="center"/>
          </w:tcPr>
          <w:p w14:paraId="746138F3" w14:textId="1502DB36" w:rsidR="000B6426" w:rsidRPr="007E5AD8" w:rsidRDefault="000B6426" w:rsidP="005F192E">
            <w:pPr>
              <w:widowControl w:val="0"/>
              <w:tabs>
                <w:tab w:val="left" w:pos="993"/>
              </w:tabs>
              <w:adjustRightInd w:val="0"/>
              <w:ind w:left="0"/>
              <w:jc w:val="right"/>
              <w:textAlignment w:val="baseline"/>
              <w:rPr>
                <w:snapToGrid w:val="0"/>
                <w:sz w:val="18"/>
                <w:szCs w:val="18"/>
                <w:lang w:eastAsia="cs-CZ"/>
              </w:rPr>
            </w:pPr>
            <w:r w:rsidRPr="000B6426">
              <w:rPr>
                <w:snapToGrid w:val="0"/>
                <w:sz w:val="18"/>
                <w:szCs w:val="18"/>
                <w:lang w:eastAsia="cs-CZ"/>
              </w:rPr>
              <w:t>310 531 470</w:t>
            </w:r>
          </w:p>
        </w:tc>
      </w:tr>
      <w:tr w:rsidR="000B6426" w:rsidRPr="007E5AD8" w14:paraId="45FB738D" w14:textId="77777777" w:rsidTr="005F192E">
        <w:trPr>
          <w:trHeight w:val="312"/>
          <w:jc w:val="center"/>
        </w:trPr>
        <w:tc>
          <w:tcPr>
            <w:tcW w:w="5785" w:type="dxa"/>
            <w:shd w:val="clear" w:color="auto" w:fill="auto"/>
            <w:vAlign w:val="center"/>
          </w:tcPr>
          <w:p w14:paraId="3C1AACDE" w14:textId="77777777" w:rsidR="000B6426" w:rsidRPr="007E5AD8" w:rsidRDefault="000B6426" w:rsidP="000B6426">
            <w:pPr>
              <w:widowControl w:val="0"/>
              <w:tabs>
                <w:tab w:val="left" w:pos="993"/>
              </w:tabs>
              <w:adjustRightInd w:val="0"/>
              <w:ind w:left="0"/>
              <w:jc w:val="both"/>
              <w:textAlignment w:val="baseline"/>
              <w:rPr>
                <w:snapToGrid w:val="0"/>
                <w:sz w:val="18"/>
                <w:szCs w:val="18"/>
                <w:lang w:eastAsia="cs-CZ"/>
              </w:rPr>
            </w:pPr>
            <w:r w:rsidRPr="007E5AD8">
              <w:rPr>
                <w:snapToGrid w:val="0"/>
                <w:sz w:val="18"/>
                <w:szCs w:val="18"/>
                <w:lang w:eastAsia="cs-CZ"/>
              </w:rPr>
              <w:t>PO 6 – Cestná infraštruktúra (mimo TEN-T CORE)</w:t>
            </w:r>
          </w:p>
        </w:tc>
        <w:tc>
          <w:tcPr>
            <w:tcW w:w="851" w:type="dxa"/>
            <w:vAlign w:val="center"/>
          </w:tcPr>
          <w:p w14:paraId="66669CF5" w14:textId="77777777" w:rsidR="000B6426" w:rsidRPr="007E5AD8" w:rsidRDefault="000B6426" w:rsidP="000B6426">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EFRR</w:t>
            </w:r>
          </w:p>
        </w:tc>
        <w:tc>
          <w:tcPr>
            <w:tcW w:w="1559" w:type="dxa"/>
            <w:vAlign w:val="center"/>
          </w:tcPr>
          <w:p w14:paraId="09A05AD1" w14:textId="77777777" w:rsidR="000B6426" w:rsidRPr="007E5AD8" w:rsidRDefault="000B6426" w:rsidP="000B6426">
            <w:pPr>
              <w:widowControl w:val="0"/>
              <w:tabs>
                <w:tab w:val="left" w:pos="993"/>
              </w:tabs>
              <w:adjustRightInd w:val="0"/>
              <w:ind w:left="0"/>
              <w:jc w:val="center"/>
              <w:textAlignment w:val="baseline"/>
              <w:rPr>
                <w:i/>
                <w:snapToGrid w:val="0"/>
                <w:sz w:val="18"/>
                <w:szCs w:val="18"/>
                <w:lang w:eastAsia="cs-CZ"/>
              </w:rPr>
            </w:pPr>
            <w:r w:rsidRPr="007E5AD8">
              <w:rPr>
                <w:i/>
                <w:snapToGrid w:val="0"/>
                <w:sz w:val="18"/>
                <w:szCs w:val="18"/>
                <w:lang w:eastAsia="cs-CZ"/>
              </w:rPr>
              <w:t>Menej rozvinutý</w:t>
            </w:r>
          </w:p>
        </w:tc>
        <w:tc>
          <w:tcPr>
            <w:tcW w:w="1559" w:type="dxa"/>
            <w:vAlign w:val="center"/>
          </w:tcPr>
          <w:p w14:paraId="67C8C868" w14:textId="77777777" w:rsidR="000B6426" w:rsidRPr="007E5AD8" w:rsidRDefault="000B6426" w:rsidP="000B6426">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Tematický cieľ 7</w:t>
            </w:r>
          </w:p>
        </w:tc>
        <w:tc>
          <w:tcPr>
            <w:tcW w:w="1418" w:type="dxa"/>
            <w:vAlign w:val="center"/>
          </w:tcPr>
          <w:p w14:paraId="1CBD3EBC" w14:textId="29A0718C"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z w:val="18"/>
                <w:szCs w:val="18"/>
              </w:rPr>
              <w:t>804 886 032</w:t>
            </w:r>
          </w:p>
        </w:tc>
        <w:tc>
          <w:tcPr>
            <w:tcW w:w="1559" w:type="dxa"/>
            <w:vAlign w:val="center"/>
          </w:tcPr>
          <w:p w14:paraId="231C7CED" w14:textId="0B30D3EA"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z w:val="18"/>
                <w:szCs w:val="18"/>
              </w:rPr>
              <w:t>142 038 712</w:t>
            </w:r>
          </w:p>
        </w:tc>
        <w:tc>
          <w:tcPr>
            <w:tcW w:w="1444" w:type="dxa"/>
            <w:vAlign w:val="center"/>
          </w:tcPr>
          <w:p w14:paraId="16F166A5" w14:textId="6B3E797E"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napToGrid w:val="0"/>
                <w:sz w:val="18"/>
                <w:szCs w:val="18"/>
                <w:lang w:eastAsia="cs-CZ"/>
              </w:rPr>
              <w:t>946 924 744</w:t>
            </w:r>
          </w:p>
        </w:tc>
      </w:tr>
      <w:tr w:rsidR="000B6426" w:rsidRPr="007E5AD8" w14:paraId="006E69F3" w14:textId="77777777" w:rsidTr="005F192E">
        <w:trPr>
          <w:trHeight w:val="312"/>
          <w:jc w:val="center"/>
        </w:trPr>
        <w:tc>
          <w:tcPr>
            <w:tcW w:w="5785" w:type="dxa"/>
            <w:shd w:val="clear" w:color="auto" w:fill="auto"/>
            <w:vAlign w:val="center"/>
          </w:tcPr>
          <w:p w14:paraId="5A8CB71F" w14:textId="77777777" w:rsidR="000B6426" w:rsidRPr="007E5AD8" w:rsidRDefault="000B6426" w:rsidP="000B6426">
            <w:pPr>
              <w:widowControl w:val="0"/>
              <w:tabs>
                <w:tab w:val="left" w:pos="993"/>
              </w:tabs>
              <w:adjustRightInd w:val="0"/>
              <w:ind w:left="0"/>
              <w:jc w:val="both"/>
              <w:textAlignment w:val="baseline"/>
              <w:rPr>
                <w:snapToGrid w:val="0"/>
                <w:sz w:val="18"/>
                <w:szCs w:val="18"/>
                <w:lang w:eastAsia="cs-CZ"/>
              </w:rPr>
            </w:pPr>
            <w:r w:rsidRPr="007E5AD8">
              <w:rPr>
                <w:snapToGrid w:val="0"/>
                <w:sz w:val="18"/>
                <w:szCs w:val="18"/>
                <w:lang w:eastAsia="cs-CZ"/>
              </w:rPr>
              <w:t>PO 7 – Informačná spoločnosť</w:t>
            </w:r>
          </w:p>
        </w:tc>
        <w:tc>
          <w:tcPr>
            <w:tcW w:w="851" w:type="dxa"/>
            <w:vAlign w:val="center"/>
          </w:tcPr>
          <w:p w14:paraId="635A045D" w14:textId="77777777" w:rsidR="000B6426" w:rsidRPr="007E5AD8" w:rsidRDefault="000B6426" w:rsidP="000B6426">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EFRR</w:t>
            </w:r>
          </w:p>
        </w:tc>
        <w:tc>
          <w:tcPr>
            <w:tcW w:w="1559" w:type="dxa"/>
            <w:vAlign w:val="center"/>
          </w:tcPr>
          <w:p w14:paraId="0F665767" w14:textId="77777777" w:rsidR="000B6426" w:rsidRPr="007E5AD8" w:rsidRDefault="000B6426" w:rsidP="000B6426">
            <w:pPr>
              <w:widowControl w:val="0"/>
              <w:tabs>
                <w:tab w:val="left" w:pos="993"/>
              </w:tabs>
              <w:adjustRightInd w:val="0"/>
              <w:ind w:left="0"/>
              <w:jc w:val="center"/>
              <w:textAlignment w:val="baseline"/>
              <w:rPr>
                <w:i/>
                <w:snapToGrid w:val="0"/>
                <w:sz w:val="18"/>
                <w:szCs w:val="18"/>
                <w:lang w:eastAsia="cs-CZ"/>
              </w:rPr>
            </w:pPr>
            <w:r w:rsidRPr="007E5AD8">
              <w:rPr>
                <w:i/>
                <w:snapToGrid w:val="0"/>
                <w:sz w:val="18"/>
                <w:szCs w:val="18"/>
                <w:lang w:eastAsia="cs-CZ"/>
              </w:rPr>
              <w:t>Menej rozvinutý</w:t>
            </w:r>
          </w:p>
        </w:tc>
        <w:tc>
          <w:tcPr>
            <w:tcW w:w="1559" w:type="dxa"/>
            <w:vAlign w:val="center"/>
          </w:tcPr>
          <w:p w14:paraId="6433C84F" w14:textId="77777777" w:rsidR="000B6426" w:rsidRPr="007E5AD8" w:rsidRDefault="000B6426" w:rsidP="000B6426">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Tematický cieľ 2</w:t>
            </w:r>
          </w:p>
        </w:tc>
        <w:tc>
          <w:tcPr>
            <w:tcW w:w="1418" w:type="dxa"/>
            <w:vAlign w:val="center"/>
          </w:tcPr>
          <w:p w14:paraId="319859E3" w14:textId="56C7CD89"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z w:val="18"/>
                <w:szCs w:val="18"/>
              </w:rPr>
              <w:t>736 940 302</w:t>
            </w:r>
          </w:p>
        </w:tc>
        <w:tc>
          <w:tcPr>
            <w:tcW w:w="1559" w:type="dxa"/>
            <w:vAlign w:val="center"/>
          </w:tcPr>
          <w:p w14:paraId="3CBD357A" w14:textId="4A24D6DD" w:rsidR="000B6426" w:rsidRPr="000B6426" w:rsidRDefault="000B6426" w:rsidP="005F192E">
            <w:pPr>
              <w:widowControl w:val="0"/>
              <w:tabs>
                <w:tab w:val="left" w:pos="993"/>
              </w:tabs>
              <w:adjustRightInd w:val="0"/>
              <w:ind w:left="0"/>
              <w:jc w:val="right"/>
              <w:textAlignment w:val="baseline"/>
              <w:rPr>
                <w:snapToGrid w:val="0"/>
                <w:sz w:val="18"/>
                <w:szCs w:val="18"/>
                <w:lang w:eastAsia="cs-CZ"/>
              </w:rPr>
            </w:pPr>
            <w:r w:rsidRPr="000B6426">
              <w:rPr>
                <w:sz w:val="18"/>
                <w:szCs w:val="18"/>
              </w:rPr>
              <w:t>130 048 289</w:t>
            </w:r>
          </w:p>
        </w:tc>
        <w:tc>
          <w:tcPr>
            <w:tcW w:w="1444" w:type="dxa"/>
            <w:vAlign w:val="center"/>
          </w:tcPr>
          <w:p w14:paraId="41B96542" w14:textId="0253AAD0" w:rsidR="000B6426" w:rsidRPr="007E5AD8" w:rsidRDefault="000B6426" w:rsidP="005F192E">
            <w:pPr>
              <w:widowControl w:val="0"/>
              <w:tabs>
                <w:tab w:val="left" w:pos="993"/>
              </w:tabs>
              <w:adjustRightInd w:val="0"/>
              <w:ind w:left="0"/>
              <w:jc w:val="right"/>
              <w:textAlignment w:val="baseline"/>
              <w:rPr>
                <w:snapToGrid w:val="0"/>
                <w:sz w:val="18"/>
                <w:szCs w:val="18"/>
                <w:lang w:eastAsia="cs-CZ"/>
              </w:rPr>
            </w:pPr>
            <w:r w:rsidRPr="000B6426">
              <w:rPr>
                <w:snapToGrid w:val="0"/>
                <w:sz w:val="18"/>
                <w:szCs w:val="18"/>
                <w:lang w:eastAsia="cs-CZ"/>
              </w:rPr>
              <w:t>866 988 591</w:t>
            </w:r>
          </w:p>
        </w:tc>
      </w:tr>
      <w:tr w:rsidR="0084414B" w:rsidRPr="00BB4F4E" w14:paraId="7DA5E624" w14:textId="77777777" w:rsidTr="005F192E">
        <w:trPr>
          <w:trHeight w:val="312"/>
          <w:jc w:val="center"/>
        </w:trPr>
        <w:tc>
          <w:tcPr>
            <w:tcW w:w="5785" w:type="dxa"/>
            <w:shd w:val="clear" w:color="auto" w:fill="auto"/>
            <w:vAlign w:val="center"/>
          </w:tcPr>
          <w:p w14:paraId="26E34201"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8 – Technická pomoc</w:t>
            </w:r>
          </w:p>
        </w:tc>
        <w:tc>
          <w:tcPr>
            <w:tcW w:w="851" w:type="dxa"/>
            <w:vAlign w:val="center"/>
          </w:tcPr>
          <w:p w14:paraId="7767F914"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6ACB5C00" w14:textId="77777777" w:rsidR="0084414B" w:rsidRPr="00984F39" w:rsidRDefault="00DB6A0D" w:rsidP="00A46625">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Menej rozvinutý</w:t>
            </w:r>
          </w:p>
        </w:tc>
        <w:tc>
          <w:tcPr>
            <w:tcW w:w="1559" w:type="dxa"/>
            <w:vAlign w:val="center"/>
          </w:tcPr>
          <w:p w14:paraId="16956B9B"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N/A</w:t>
            </w:r>
          </w:p>
        </w:tc>
        <w:tc>
          <w:tcPr>
            <w:tcW w:w="1418" w:type="dxa"/>
            <w:vAlign w:val="center"/>
          </w:tcPr>
          <w:p w14:paraId="7D4DD9AB" w14:textId="77777777" w:rsidR="0084414B" w:rsidRPr="00BB4F4E" w:rsidRDefault="0053317A" w:rsidP="005F192E">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87 000 000</w:t>
            </w:r>
          </w:p>
        </w:tc>
        <w:tc>
          <w:tcPr>
            <w:tcW w:w="1559" w:type="dxa"/>
            <w:vAlign w:val="center"/>
          </w:tcPr>
          <w:p w14:paraId="2EA47673" w14:textId="77777777" w:rsidR="0084414B" w:rsidRPr="00BB4F4E" w:rsidRDefault="0053317A" w:rsidP="005F192E">
            <w:pPr>
              <w:widowControl w:val="0"/>
              <w:tabs>
                <w:tab w:val="left" w:pos="993"/>
              </w:tabs>
              <w:adjustRightInd w:val="0"/>
              <w:ind w:left="0"/>
              <w:jc w:val="right"/>
              <w:textAlignment w:val="baseline"/>
              <w:rPr>
                <w:snapToGrid w:val="0"/>
                <w:color w:val="000000"/>
                <w:sz w:val="18"/>
                <w:szCs w:val="18"/>
                <w:lang w:eastAsia="cs-CZ"/>
              </w:rPr>
            </w:pPr>
            <w:r>
              <w:rPr>
                <w:snapToGrid w:val="0"/>
                <w:color w:val="000000"/>
                <w:sz w:val="18"/>
                <w:szCs w:val="18"/>
                <w:lang w:eastAsia="cs-CZ"/>
              </w:rPr>
              <w:t>15 352 942</w:t>
            </w:r>
          </w:p>
        </w:tc>
        <w:tc>
          <w:tcPr>
            <w:tcW w:w="1444" w:type="dxa"/>
            <w:vAlign w:val="center"/>
          </w:tcPr>
          <w:p w14:paraId="7660E108" w14:textId="77777777" w:rsidR="0084414B" w:rsidRPr="00BB4F4E" w:rsidRDefault="0053317A" w:rsidP="005F192E">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102 352 942</w:t>
            </w:r>
          </w:p>
        </w:tc>
      </w:tr>
      <w:tr w:rsidR="007E5AD8" w:rsidRPr="007E5AD8" w14:paraId="7E9EA06B" w14:textId="77777777" w:rsidTr="005F192E">
        <w:trPr>
          <w:trHeight w:val="312"/>
          <w:jc w:val="center"/>
        </w:trPr>
        <w:tc>
          <w:tcPr>
            <w:tcW w:w="5785" w:type="dxa"/>
            <w:shd w:val="clear" w:color="auto" w:fill="auto"/>
            <w:vAlign w:val="center"/>
          </w:tcPr>
          <w:p w14:paraId="1AD0C9E4" w14:textId="0F9A3440" w:rsidR="007E5AD8" w:rsidRPr="007E5AD8" w:rsidRDefault="007E5AD8" w:rsidP="007E5AD8">
            <w:pPr>
              <w:widowControl w:val="0"/>
              <w:tabs>
                <w:tab w:val="left" w:pos="993"/>
              </w:tabs>
              <w:adjustRightInd w:val="0"/>
              <w:ind w:left="0"/>
              <w:jc w:val="both"/>
              <w:textAlignment w:val="baseline"/>
              <w:rPr>
                <w:snapToGrid w:val="0"/>
                <w:sz w:val="18"/>
                <w:szCs w:val="18"/>
                <w:lang w:eastAsia="cs-CZ"/>
              </w:rPr>
            </w:pPr>
            <w:r w:rsidRPr="007E5AD8">
              <w:rPr>
                <w:snapToGrid w:val="0"/>
                <w:sz w:val="18"/>
                <w:szCs w:val="18"/>
                <w:lang w:eastAsia="cs-CZ"/>
              </w:rPr>
              <w:t>PO 9 – Podpora výskumu, vývoja a inovácií</w:t>
            </w:r>
          </w:p>
        </w:tc>
        <w:tc>
          <w:tcPr>
            <w:tcW w:w="851" w:type="dxa"/>
            <w:vAlign w:val="center"/>
          </w:tcPr>
          <w:p w14:paraId="56DDE600" w14:textId="4EBCD5B0" w:rsidR="007E5AD8" w:rsidRPr="007E5AD8" w:rsidRDefault="007E5AD8" w:rsidP="007E5AD8">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EFRR</w:t>
            </w:r>
          </w:p>
        </w:tc>
        <w:tc>
          <w:tcPr>
            <w:tcW w:w="1559" w:type="dxa"/>
            <w:vAlign w:val="center"/>
          </w:tcPr>
          <w:p w14:paraId="19CD745B" w14:textId="7583C661" w:rsidR="007E5AD8" w:rsidRPr="007E5AD8" w:rsidRDefault="007E5AD8" w:rsidP="007E5AD8">
            <w:pPr>
              <w:widowControl w:val="0"/>
              <w:tabs>
                <w:tab w:val="left" w:pos="993"/>
              </w:tabs>
              <w:adjustRightInd w:val="0"/>
              <w:ind w:left="0"/>
              <w:jc w:val="center"/>
              <w:textAlignment w:val="baseline"/>
              <w:rPr>
                <w:i/>
                <w:snapToGrid w:val="0"/>
                <w:sz w:val="18"/>
                <w:szCs w:val="18"/>
                <w:lang w:eastAsia="cs-CZ"/>
              </w:rPr>
            </w:pPr>
            <w:r w:rsidRPr="007E5AD8">
              <w:rPr>
                <w:i/>
                <w:snapToGrid w:val="0"/>
                <w:sz w:val="18"/>
                <w:szCs w:val="18"/>
                <w:lang w:eastAsia="cs-CZ"/>
              </w:rPr>
              <w:t>Menej rozvinutý</w:t>
            </w:r>
          </w:p>
        </w:tc>
        <w:tc>
          <w:tcPr>
            <w:tcW w:w="1559" w:type="dxa"/>
            <w:vAlign w:val="center"/>
          </w:tcPr>
          <w:p w14:paraId="79F57F2D" w14:textId="283EE3A4" w:rsidR="007E5AD8" w:rsidRPr="007E5AD8" w:rsidRDefault="007E5AD8" w:rsidP="007E5AD8">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Tematický cieľ 1</w:t>
            </w:r>
          </w:p>
        </w:tc>
        <w:tc>
          <w:tcPr>
            <w:tcW w:w="1418" w:type="dxa"/>
            <w:vAlign w:val="center"/>
          </w:tcPr>
          <w:p w14:paraId="5A1CE36C" w14:textId="5ECCAED3" w:rsidR="007E5AD8" w:rsidRPr="007E5AD8" w:rsidRDefault="007E5AD8" w:rsidP="005F192E">
            <w:pPr>
              <w:widowControl w:val="0"/>
              <w:tabs>
                <w:tab w:val="left" w:pos="993"/>
              </w:tabs>
              <w:adjustRightInd w:val="0"/>
              <w:ind w:left="0"/>
              <w:jc w:val="right"/>
              <w:textAlignment w:val="baseline"/>
              <w:rPr>
                <w:snapToGrid w:val="0"/>
                <w:sz w:val="18"/>
                <w:szCs w:val="18"/>
                <w:lang w:eastAsia="cs-CZ"/>
              </w:rPr>
            </w:pPr>
            <w:r w:rsidRPr="007E5AD8">
              <w:rPr>
                <w:sz w:val="18"/>
                <w:szCs w:val="18"/>
              </w:rPr>
              <w:t>1 307 683 946</w:t>
            </w:r>
          </w:p>
        </w:tc>
        <w:tc>
          <w:tcPr>
            <w:tcW w:w="1559" w:type="dxa"/>
            <w:vAlign w:val="center"/>
          </w:tcPr>
          <w:p w14:paraId="214D8CAA" w14:textId="6D5BB682" w:rsidR="007E5AD8" w:rsidRPr="007E5AD8" w:rsidRDefault="007E5AD8" w:rsidP="005F192E">
            <w:pPr>
              <w:widowControl w:val="0"/>
              <w:tabs>
                <w:tab w:val="left" w:pos="993"/>
              </w:tabs>
              <w:adjustRightInd w:val="0"/>
              <w:ind w:left="0"/>
              <w:jc w:val="right"/>
              <w:textAlignment w:val="baseline"/>
              <w:rPr>
                <w:snapToGrid w:val="0"/>
                <w:color w:val="000000"/>
                <w:sz w:val="18"/>
                <w:szCs w:val="18"/>
                <w:lang w:eastAsia="cs-CZ"/>
              </w:rPr>
            </w:pPr>
            <w:r w:rsidRPr="007E5AD8">
              <w:rPr>
                <w:sz w:val="18"/>
                <w:szCs w:val="18"/>
              </w:rPr>
              <w:t>848 516 422</w:t>
            </w:r>
          </w:p>
        </w:tc>
        <w:tc>
          <w:tcPr>
            <w:tcW w:w="1444" w:type="dxa"/>
            <w:vAlign w:val="center"/>
          </w:tcPr>
          <w:p w14:paraId="371A14D9" w14:textId="7275929C" w:rsidR="007E5AD8" w:rsidRPr="007E5AD8" w:rsidRDefault="007E5AD8" w:rsidP="005F192E">
            <w:pPr>
              <w:widowControl w:val="0"/>
              <w:tabs>
                <w:tab w:val="left" w:pos="993"/>
              </w:tabs>
              <w:adjustRightInd w:val="0"/>
              <w:ind w:left="0"/>
              <w:jc w:val="right"/>
              <w:textAlignment w:val="baseline"/>
              <w:rPr>
                <w:snapToGrid w:val="0"/>
                <w:sz w:val="18"/>
                <w:szCs w:val="18"/>
                <w:lang w:eastAsia="cs-CZ"/>
              </w:rPr>
            </w:pPr>
            <w:r w:rsidRPr="007E5AD8">
              <w:rPr>
                <w:sz w:val="18"/>
                <w:szCs w:val="18"/>
              </w:rPr>
              <w:t>2 156 200 368</w:t>
            </w:r>
          </w:p>
        </w:tc>
      </w:tr>
      <w:tr w:rsidR="007E5AD8" w:rsidRPr="007E5AD8" w14:paraId="4CC8D092" w14:textId="77777777" w:rsidTr="005F192E">
        <w:trPr>
          <w:trHeight w:val="312"/>
          <w:jc w:val="center"/>
        </w:trPr>
        <w:tc>
          <w:tcPr>
            <w:tcW w:w="5785" w:type="dxa"/>
            <w:shd w:val="clear" w:color="auto" w:fill="auto"/>
            <w:vAlign w:val="center"/>
          </w:tcPr>
          <w:p w14:paraId="73A9616F" w14:textId="77E815B6" w:rsidR="007E5AD8" w:rsidRPr="007E5AD8" w:rsidRDefault="007E5AD8" w:rsidP="007E5AD8">
            <w:pPr>
              <w:widowControl w:val="0"/>
              <w:tabs>
                <w:tab w:val="left" w:pos="993"/>
              </w:tabs>
              <w:adjustRightInd w:val="0"/>
              <w:ind w:left="0"/>
              <w:jc w:val="both"/>
              <w:textAlignment w:val="baseline"/>
              <w:rPr>
                <w:snapToGrid w:val="0"/>
                <w:sz w:val="18"/>
                <w:szCs w:val="18"/>
                <w:lang w:eastAsia="cs-CZ"/>
              </w:rPr>
            </w:pPr>
            <w:r w:rsidRPr="007E5AD8">
              <w:rPr>
                <w:snapToGrid w:val="0"/>
                <w:sz w:val="18"/>
                <w:szCs w:val="18"/>
                <w:lang w:eastAsia="cs-CZ"/>
              </w:rPr>
              <w:t>PO 10 – Podpora výskumu, vývoja a inovácií v Bratislavskom kraji</w:t>
            </w:r>
          </w:p>
        </w:tc>
        <w:tc>
          <w:tcPr>
            <w:tcW w:w="851" w:type="dxa"/>
            <w:vAlign w:val="center"/>
          </w:tcPr>
          <w:p w14:paraId="440BE020" w14:textId="3D5EB095" w:rsidR="007E5AD8" w:rsidRPr="007E5AD8" w:rsidRDefault="007E5AD8" w:rsidP="007E5AD8">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EFRR</w:t>
            </w:r>
          </w:p>
        </w:tc>
        <w:tc>
          <w:tcPr>
            <w:tcW w:w="1559" w:type="dxa"/>
            <w:vAlign w:val="center"/>
          </w:tcPr>
          <w:p w14:paraId="16A20EC2" w14:textId="15D4F3E0" w:rsidR="007E5AD8" w:rsidRPr="007E5AD8" w:rsidRDefault="007E5AD8" w:rsidP="007E5AD8">
            <w:pPr>
              <w:widowControl w:val="0"/>
              <w:tabs>
                <w:tab w:val="left" w:pos="993"/>
              </w:tabs>
              <w:adjustRightInd w:val="0"/>
              <w:ind w:left="0"/>
              <w:jc w:val="center"/>
              <w:textAlignment w:val="baseline"/>
              <w:rPr>
                <w:i/>
                <w:snapToGrid w:val="0"/>
                <w:sz w:val="18"/>
                <w:szCs w:val="18"/>
                <w:lang w:eastAsia="cs-CZ"/>
              </w:rPr>
            </w:pPr>
            <w:r w:rsidRPr="007E5AD8">
              <w:rPr>
                <w:i/>
                <w:snapToGrid w:val="0"/>
                <w:sz w:val="18"/>
                <w:szCs w:val="18"/>
                <w:lang w:eastAsia="cs-CZ"/>
              </w:rPr>
              <w:t>Rozvinutejší</w:t>
            </w:r>
          </w:p>
        </w:tc>
        <w:tc>
          <w:tcPr>
            <w:tcW w:w="1559" w:type="dxa"/>
            <w:vAlign w:val="center"/>
          </w:tcPr>
          <w:p w14:paraId="621CE7DD" w14:textId="0FAFC4E0" w:rsidR="007E5AD8" w:rsidRPr="007E5AD8" w:rsidRDefault="007E5AD8" w:rsidP="007E5AD8">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Tematický cieľ 1</w:t>
            </w:r>
          </w:p>
        </w:tc>
        <w:tc>
          <w:tcPr>
            <w:tcW w:w="1418" w:type="dxa"/>
            <w:vAlign w:val="center"/>
          </w:tcPr>
          <w:p w14:paraId="09F7FCC1" w14:textId="23864E67" w:rsidR="007E5AD8" w:rsidRPr="007E5AD8" w:rsidRDefault="007E5AD8" w:rsidP="005F192E">
            <w:pPr>
              <w:widowControl w:val="0"/>
              <w:tabs>
                <w:tab w:val="left" w:pos="993"/>
              </w:tabs>
              <w:adjustRightInd w:val="0"/>
              <w:ind w:left="0"/>
              <w:jc w:val="right"/>
              <w:textAlignment w:val="baseline"/>
              <w:rPr>
                <w:snapToGrid w:val="0"/>
                <w:sz w:val="18"/>
                <w:szCs w:val="18"/>
                <w:lang w:eastAsia="cs-CZ"/>
              </w:rPr>
            </w:pPr>
            <w:r w:rsidRPr="007E5AD8">
              <w:rPr>
                <w:sz w:val="18"/>
                <w:szCs w:val="18"/>
              </w:rPr>
              <w:t>122 425 015</w:t>
            </w:r>
          </w:p>
        </w:tc>
        <w:tc>
          <w:tcPr>
            <w:tcW w:w="1559" w:type="dxa"/>
            <w:vAlign w:val="center"/>
          </w:tcPr>
          <w:p w14:paraId="09A82812" w14:textId="727A9643" w:rsidR="007E5AD8" w:rsidRPr="007E5AD8" w:rsidRDefault="007E5AD8" w:rsidP="005F192E">
            <w:pPr>
              <w:widowControl w:val="0"/>
              <w:tabs>
                <w:tab w:val="left" w:pos="993"/>
              </w:tabs>
              <w:adjustRightInd w:val="0"/>
              <w:ind w:left="0"/>
              <w:jc w:val="right"/>
              <w:textAlignment w:val="baseline"/>
              <w:rPr>
                <w:snapToGrid w:val="0"/>
                <w:color w:val="000000"/>
                <w:sz w:val="18"/>
                <w:szCs w:val="18"/>
                <w:lang w:eastAsia="cs-CZ"/>
              </w:rPr>
            </w:pPr>
            <w:r w:rsidRPr="007E5AD8">
              <w:rPr>
                <w:sz w:val="18"/>
                <w:szCs w:val="18"/>
              </w:rPr>
              <w:t>131 887 136</w:t>
            </w:r>
          </w:p>
        </w:tc>
        <w:tc>
          <w:tcPr>
            <w:tcW w:w="1444" w:type="dxa"/>
            <w:vAlign w:val="center"/>
          </w:tcPr>
          <w:p w14:paraId="1315F79C" w14:textId="63E3882A" w:rsidR="007E5AD8" w:rsidRPr="007E5AD8" w:rsidRDefault="007E5AD8" w:rsidP="005F192E">
            <w:pPr>
              <w:widowControl w:val="0"/>
              <w:tabs>
                <w:tab w:val="left" w:pos="993"/>
              </w:tabs>
              <w:adjustRightInd w:val="0"/>
              <w:ind w:left="0"/>
              <w:jc w:val="right"/>
              <w:textAlignment w:val="baseline"/>
              <w:rPr>
                <w:snapToGrid w:val="0"/>
                <w:sz w:val="18"/>
                <w:szCs w:val="18"/>
                <w:lang w:eastAsia="cs-CZ"/>
              </w:rPr>
            </w:pPr>
            <w:r w:rsidRPr="007E5AD8">
              <w:rPr>
                <w:sz w:val="18"/>
                <w:szCs w:val="18"/>
              </w:rPr>
              <w:t>254 312 151</w:t>
            </w:r>
          </w:p>
        </w:tc>
      </w:tr>
      <w:tr w:rsidR="007E5AD8" w:rsidRPr="007E5AD8" w14:paraId="37B4086B" w14:textId="77777777" w:rsidTr="005F192E">
        <w:trPr>
          <w:trHeight w:val="312"/>
          <w:jc w:val="center"/>
        </w:trPr>
        <w:tc>
          <w:tcPr>
            <w:tcW w:w="5785" w:type="dxa"/>
            <w:shd w:val="clear" w:color="auto" w:fill="auto"/>
            <w:vAlign w:val="center"/>
          </w:tcPr>
          <w:p w14:paraId="666AE54E" w14:textId="466DA01A" w:rsidR="007E5AD8" w:rsidRPr="007E5AD8" w:rsidRDefault="007E5AD8" w:rsidP="007E5AD8">
            <w:pPr>
              <w:widowControl w:val="0"/>
              <w:tabs>
                <w:tab w:val="left" w:pos="993"/>
              </w:tabs>
              <w:adjustRightInd w:val="0"/>
              <w:ind w:left="0"/>
              <w:jc w:val="both"/>
              <w:textAlignment w:val="baseline"/>
              <w:rPr>
                <w:snapToGrid w:val="0"/>
                <w:sz w:val="18"/>
                <w:szCs w:val="18"/>
                <w:lang w:eastAsia="cs-CZ"/>
              </w:rPr>
            </w:pPr>
            <w:r w:rsidRPr="007E5AD8">
              <w:rPr>
                <w:snapToGrid w:val="0"/>
                <w:sz w:val="18"/>
                <w:szCs w:val="18"/>
                <w:lang w:eastAsia="cs-CZ"/>
              </w:rPr>
              <w:t>PO 11 – Posilnenie konkurencieschopnosti a rastu MSP</w:t>
            </w:r>
          </w:p>
        </w:tc>
        <w:tc>
          <w:tcPr>
            <w:tcW w:w="851" w:type="dxa"/>
            <w:vAlign w:val="center"/>
          </w:tcPr>
          <w:p w14:paraId="2DEBCEF5" w14:textId="74A91054" w:rsidR="007E5AD8" w:rsidRPr="007E5AD8" w:rsidRDefault="007E5AD8" w:rsidP="007E5AD8">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EFRR</w:t>
            </w:r>
          </w:p>
        </w:tc>
        <w:tc>
          <w:tcPr>
            <w:tcW w:w="1559" w:type="dxa"/>
            <w:vAlign w:val="center"/>
          </w:tcPr>
          <w:p w14:paraId="4A6F5CE1" w14:textId="338454C9" w:rsidR="007E5AD8" w:rsidRPr="007E5AD8" w:rsidRDefault="007E5AD8" w:rsidP="007E5AD8">
            <w:pPr>
              <w:widowControl w:val="0"/>
              <w:tabs>
                <w:tab w:val="left" w:pos="993"/>
              </w:tabs>
              <w:adjustRightInd w:val="0"/>
              <w:ind w:left="0"/>
              <w:jc w:val="center"/>
              <w:textAlignment w:val="baseline"/>
              <w:rPr>
                <w:i/>
                <w:snapToGrid w:val="0"/>
                <w:sz w:val="18"/>
                <w:szCs w:val="18"/>
                <w:lang w:eastAsia="cs-CZ"/>
              </w:rPr>
            </w:pPr>
            <w:r w:rsidRPr="007E5AD8">
              <w:rPr>
                <w:i/>
                <w:snapToGrid w:val="0"/>
                <w:sz w:val="18"/>
                <w:szCs w:val="18"/>
                <w:lang w:eastAsia="cs-CZ"/>
              </w:rPr>
              <w:t>Menej rozvinutý</w:t>
            </w:r>
          </w:p>
        </w:tc>
        <w:tc>
          <w:tcPr>
            <w:tcW w:w="1559" w:type="dxa"/>
            <w:vAlign w:val="center"/>
          </w:tcPr>
          <w:p w14:paraId="2D4AEF58" w14:textId="652084FD" w:rsidR="007E5AD8" w:rsidRPr="007E5AD8" w:rsidRDefault="007E5AD8" w:rsidP="007E5AD8">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Tematický cieľ 3</w:t>
            </w:r>
          </w:p>
        </w:tc>
        <w:tc>
          <w:tcPr>
            <w:tcW w:w="1418" w:type="dxa"/>
            <w:vAlign w:val="center"/>
          </w:tcPr>
          <w:p w14:paraId="2ECCC103" w14:textId="2AEBAEF7" w:rsidR="007E5AD8" w:rsidRPr="007E5AD8" w:rsidRDefault="007E5AD8" w:rsidP="005F192E">
            <w:pPr>
              <w:widowControl w:val="0"/>
              <w:tabs>
                <w:tab w:val="left" w:pos="993"/>
              </w:tabs>
              <w:adjustRightInd w:val="0"/>
              <w:ind w:left="0"/>
              <w:jc w:val="right"/>
              <w:textAlignment w:val="baseline"/>
              <w:rPr>
                <w:snapToGrid w:val="0"/>
                <w:sz w:val="18"/>
                <w:szCs w:val="18"/>
                <w:lang w:eastAsia="cs-CZ"/>
              </w:rPr>
            </w:pPr>
            <w:r w:rsidRPr="007E5AD8">
              <w:rPr>
                <w:sz w:val="18"/>
                <w:szCs w:val="18"/>
              </w:rPr>
              <w:t>416 415 000</w:t>
            </w:r>
          </w:p>
        </w:tc>
        <w:tc>
          <w:tcPr>
            <w:tcW w:w="1559" w:type="dxa"/>
            <w:vAlign w:val="center"/>
          </w:tcPr>
          <w:p w14:paraId="001552DB" w14:textId="66EBC115" w:rsidR="007E5AD8" w:rsidRPr="007E5AD8" w:rsidRDefault="007E5AD8" w:rsidP="005F192E">
            <w:pPr>
              <w:widowControl w:val="0"/>
              <w:tabs>
                <w:tab w:val="left" w:pos="993"/>
              </w:tabs>
              <w:adjustRightInd w:val="0"/>
              <w:ind w:left="0"/>
              <w:jc w:val="right"/>
              <w:textAlignment w:val="baseline"/>
              <w:rPr>
                <w:snapToGrid w:val="0"/>
                <w:color w:val="000000"/>
                <w:sz w:val="18"/>
                <w:szCs w:val="18"/>
                <w:lang w:eastAsia="cs-CZ"/>
              </w:rPr>
            </w:pPr>
            <w:r w:rsidRPr="007E5AD8">
              <w:rPr>
                <w:sz w:val="18"/>
                <w:szCs w:val="18"/>
              </w:rPr>
              <w:t>209 100 366</w:t>
            </w:r>
          </w:p>
        </w:tc>
        <w:tc>
          <w:tcPr>
            <w:tcW w:w="1444" w:type="dxa"/>
            <w:vAlign w:val="center"/>
          </w:tcPr>
          <w:p w14:paraId="4D1848F7" w14:textId="7D5B20BC" w:rsidR="007E5AD8" w:rsidRPr="007E5AD8" w:rsidRDefault="007E5AD8" w:rsidP="005F192E">
            <w:pPr>
              <w:widowControl w:val="0"/>
              <w:tabs>
                <w:tab w:val="left" w:pos="993"/>
              </w:tabs>
              <w:adjustRightInd w:val="0"/>
              <w:ind w:left="0"/>
              <w:jc w:val="right"/>
              <w:textAlignment w:val="baseline"/>
              <w:rPr>
                <w:snapToGrid w:val="0"/>
                <w:sz w:val="18"/>
                <w:szCs w:val="18"/>
                <w:lang w:eastAsia="cs-CZ"/>
              </w:rPr>
            </w:pPr>
            <w:r w:rsidRPr="007E5AD8">
              <w:rPr>
                <w:sz w:val="18"/>
                <w:szCs w:val="18"/>
              </w:rPr>
              <w:t>625 515 366</w:t>
            </w:r>
          </w:p>
        </w:tc>
      </w:tr>
      <w:tr w:rsidR="007E5AD8" w:rsidRPr="007E5AD8" w14:paraId="63873E2E" w14:textId="77777777" w:rsidTr="005F192E">
        <w:trPr>
          <w:trHeight w:val="312"/>
          <w:jc w:val="center"/>
        </w:trPr>
        <w:tc>
          <w:tcPr>
            <w:tcW w:w="5785" w:type="dxa"/>
            <w:shd w:val="clear" w:color="auto" w:fill="auto"/>
            <w:vAlign w:val="center"/>
          </w:tcPr>
          <w:p w14:paraId="47DF24A6" w14:textId="283AD610" w:rsidR="007E5AD8" w:rsidRPr="007E5AD8" w:rsidRDefault="007E5AD8" w:rsidP="007E5AD8">
            <w:pPr>
              <w:widowControl w:val="0"/>
              <w:tabs>
                <w:tab w:val="left" w:pos="993"/>
              </w:tabs>
              <w:adjustRightInd w:val="0"/>
              <w:ind w:left="0"/>
              <w:jc w:val="both"/>
              <w:textAlignment w:val="baseline"/>
              <w:rPr>
                <w:snapToGrid w:val="0"/>
                <w:sz w:val="18"/>
                <w:szCs w:val="18"/>
                <w:lang w:eastAsia="cs-CZ"/>
              </w:rPr>
            </w:pPr>
            <w:r w:rsidRPr="007E5AD8">
              <w:rPr>
                <w:snapToGrid w:val="0"/>
                <w:sz w:val="18"/>
                <w:szCs w:val="18"/>
                <w:lang w:eastAsia="cs-CZ"/>
              </w:rPr>
              <w:t>PO 12 – Rozvoj konkurencieschopných MSP v Bratislavskom kraji</w:t>
            </w:r>
          </w:p>
        </w:tc>
        <w:tc>
          <w:tcPr>
            <w:tcW w:w="851" w:type="dxa"/>
            <w:vAlign w:val="center"/>
          </w:tcPr>
          <w:p w14:paraId="568DDFD3" w14:textId="14E45C4E" w:rsidR="007E5AD8" w:rsidRPr="007E5AD8" w:rsidRDefault="007E5AD8" w:rsidP="007E5AD8">
            <w:pPr>
              <w:widowControl w:val="0"/>
              <w:tabs>
                <w:tab w:val="left" w:pos="993"/>
              </w:tabs>
              <w:adjustRightInd w:val="0"/>
              <w:ind w:left="0"/>
              <w:jc w:val="center"/>
              <w:textAlignment w:val="baseline"/>
              <w:rPr>
                <w:snapToGrid w:val="0"/>
                <w:sz w:val="18"/>
                <w:szCs w:val="18"/>
                <w:lang w:eastAsia="cs-CZ"/>
              </w:rPr>
            </w:pPr>
            <w:r w:rsidRPr="007E5AD8">
              <w:rPr>
                <w:snapToGrid w:val="0"/>
                <w:sz w:val="18"/>
                <w:szCs w:val="18"/>
                <w:lang w:eastAsia="cs-CZ"/>
              </w:rPr>
              <w:t>EFRR</w:t>
            </w:r>
          </w:p>
        </w:tc>
        <w:tc>
          <w:tcPr>
            <w:tcW w:w="1559" w:type="dxa"/>
            <w:vAlign w:val="center"/>
          </w:tcPr>
          <w:p w14:paraId="1BD09498" w14:textId="48974D64" w:rsidR="007E5AD8" w:rsidRPr="007E5AD8" w:rsidRDefault="007E5AD8" w:rsidP="007E5AD8">
            <w:pPr>
              <w:widowControl w:val="0"/>
              <w:tabs>
                <w:tab w:val="left" w:pos="993"/>
              </w:tabs>
              <w:adjustRightInd w:val="0"/>
              <w:ind w:left="0"/>
              <w:jc w:val="center"/>
              <w:textAlignment w:val="baseline"/>
              <w:rPr>
                <w:i/>
                <w:snapToGrid w:val="0"/>
                <w:sz w:val="18"/>
                <w:szCs w:val="18"/>
                <w:lang w:eastAsia="cs-CZ"/>
              </w:rPr>
            </w:pPr>
            <w:r w:rsidRPr="007E5AD8">
              <w:rPr>
                <w:i/>
                <w:snapToGrid w:val="0"/>
                <w:sz w:val="18"/>
                <w:szCs w:val="18"/>
                <w:lang w:eastAsia="cs-CZ"/>
              </w:rPr>
              <w:t>Rozvinutejší</w:t>
            </w:r>
          </w:p>
        </w:tc>
        <w:tc>
          <w:tcPr>
            <w:tcW w:w="1559" w:type="dxa"/>
            <w:vAlign w:val="center"/>
          </w:tcPr>
          <w:p w14:paraId="2BE1571F" w14:textId="2B9ABFEB" w:rsidR="007E5AD8" w:rsidRPr="00C62F22" w:rsidRDefault="007E5AD8" w:rsidP="007E5AD8">
            <w:pPr>
              <w:widowControl w:val="0"/>
              <w:tabs>
                <w:tab w:val="left" w:pos="993"/>
              </w:tabs>
              <w:adjustRightInd w:val="0"/>
              <w:ind w:left="0"/>
              <w:jc w:val="center"/>
              <w:textAlignment w:val="baseline"/>
              <w:rPr>
                <w:snapToGrid w:val="0"/>
                <w:sz w:val="18"/>
                <w:szCs w:val="18"/>
                <w:lang w:eastAsia="cs-CZ"/>
              </w:rPr>
            </w:pPr>
            <w:r w:rsidRPr="00C62F22">
              <w:rPr>
                <w:snapToGrid w:val="0"/>
                <w:sz w:val="18"/>
                <w:szCs w:val="18"/>
                <w:lang w:eastAsia="cs-CZ"/>
              </w:rPr>
              <w:t>Tematický cieľ 3</w:t>
            </w:r>
          </w:p>
        </w:tc>
        <w:tc>
          <w:tcPr>
            <w:tcW w:w="1418" w:type="dxa"/>
            <w:vAlign w:val="center"/>
          </w:tcPr>
          <w:p w14:paraId="7ED81A2C" w14:textId="2C03D1E5" w:rsidR="007E5AD8" w:rsidRPr="007E5AD8" w:rsidRDefault="007E5AD8" w:rsidP="005F192E">
            <w:pPr>
              <w:widowControl w:val="0"/>
              <w:tabs>
                <w:tab w:val="left" w:pos="993"/>
              </w:tabs>
              <w:adjustRightInd w:val="0"/>
              <w:ind w:left="0"/>
              <w:jc w:val="right"/>
              <w:textAlignment w:val="baseline"/>
              <w:rPr>
                <w:snapToGrid w:val="0"/>
                <w:sz w:val="18"/>
                <w:szCs w:val="18"/>
                <w:lang w:eastAsia="cs-CZ"/>
              </w:rPr>
            </w:pPr>
            <w:r w:rsidRPr="007E5AD8">
              <w:rPr>
                <w:sz w:val="18"/>
                <w:szCs w:val="18"/>
              </w:rPr>
              <w:t>33 496 401</w:t>
            </w:r>
          </w:p>
        </w:tc>
        <w:tc>
          <w:tcPr>
            <w:tcW w:w="1559" w:type="dxa"/>
            <w:vAlign w:val="center"/>
          </w:tcPr>
          <w:p w14:paraId="437108FD" w14:textId="299812F0" w:rsidR="007E5AD8" w:rsidRPr="007E5AD8" w:rsidRDefault="007E5AD8" w:rsidP="005F192E">
            <w:pPr>
              <w:widowControl w:val="0"/>
              <w:tabs>
                <w:tab w:val="left" w:pos="993"/>
              </w:tabs>
              <w:adjustRightInd w:val="0"/>
              <w:ind w:left="0"/>
              <w:jc w:val="right"/>
              <w:textAlignment w:val="baseline"/>
              <w:rPr>
                <w:snapToGrid w:val="0"/>
                <w:color w:val="000000"/>
                <w:sz w:val="18"/>
                <w:szCs w:val="18"/>
                <w:lang w:eastAsia="cs-CZ"/>
              </w:rPr>
            </w:pPr>
            <w:r w:rsidRPr="007E5AD8">
              <w:rPr>
                <w:sz w:val="18"/>
                <w:szCs w:val="18"/>
              </w:rPr>
              <w:t>33 496 401</w:t>
            </w:r>
          </w:p>
        </w:tc>
        <w:tc>
          <w:tcPr>
            <w:tcW w:w="1444" w:type="dxa"/>
            <w:vAlign w:val="center"/>
          </w:tcPr>
          <w:p w14:paraId="6272A740" w14:textId="4A1B455F" w:rsidR="007E5AD8" w:rsidRPr="007E5AD8" w:rsidRDefault="007E5AD8" w:rsidP="005F192E">
            <w:pPr>
              <w:widowControl w:val="0"/>
              <w:tabs>
                <w:tab w:val="left" w:pos="993"/>
              </w:tabs>
              <w:adjustRightInd w:val="0"/>
              <w:ind w:left="0"/>
              <w:jc w:val="right"/>
              <w:textAlignment w:val="baseline"/>
              <w:rPr>
                <w:snapToGrid w:val="0"/>
                <w:sz w:val="18"/>
                <w:szCs w:val="18"/>
                <w:lang w:eastAsia="cs-CZ"/>
              </w:rPr>
            </w:pPr>
            <w:r w:rsidRPr="007E5AD8">
              <w:rPr>
                <w:sz w:val="18"/>
                <w:szCs w:val="18"/>
              </w:rPr>
              <w:t>66 992 802</w:t>
            </w:r>
          </w:p>
        </w:tc>
      </w:tr>
      <w:tr w:rsidR="00953951" w:rsidRPr="00BB4F4E" w14:paraId="5D73F38F" w14:textId="77777777" w:rsidTr="005F192E">
        <w:trPr>
          <w:trHeight w:val="312"/>
          <w:jc w:val="center"/>
        </w:trPr>
        <w:tc>
          <w:tcPr>
            <w:tcW w:w="5785" w:type="dxa"/>
            <w:shd w:val="clear" w:color="auto" w:fill="auto"/>
            <w:vAlign w:val="center"/>
          </w:tcPr>
          <w:p w14:paraId="1648EBEA" w14:textId="2970E0DC" w:rsidR="00953951" w:rsidRDefault="00953951" w:rsidP="00351D17">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13 – Technická pomoc VaI</w:t>
            </w:r>
          </w:p>
        </w:tc>
        <w:tc>
          <w:tcPr>
            <w:tcW w:w="851" w:type="dxa"/>
            <w:vAlign w:val="center"/>
          </w:tcPr>
          <w:p w14:paraId="068F3CD0" w14:textId="17B5E47F"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401CB202" w14:textId="1BA87675" w:rsidR="00953951" w:rsidRDefault="00953951" w:rsidP="00351D17">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Menej rozvinutý</w:t>
            </w:r>
          </w:p>
        </w:tc>
        <w:tc>
          <w:tcPr>
            <w:tcW w:w="1559" w:type="dxa"/>
            <w:vAlign w:val="center"/>
          </w:tcPr>
          <w:p w14:paraId="27E5C447" w14:textId="6AC16453"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N/A</w:t>
            </w:r>
          </w:p>
        </w:tc>
        <w:tc>
          <w:tcPr>
            <w:tcW w:w="1418" w:type="dxa"/>
            <w:vAlign w:val="center"/>
          </w:tcPr>
          <w:p w14:paraId="34A7B18F" w14:textId="25937B8C" w:rsidR="00953951" w:rsidRPr="00953951" w:rsidRDefault="00953951" w:rsidP="005F192E">
            <w:pPr>
              <w:widowControl w:val="0"/>
              <w:tabs>
                <w:tab w:val="left" w:pos="993"/>
              </w:tabs>
              <w:adjustRightInd w:val="0"/>
              <w:ind w:left="0"/>
              <w:jc w:val="right"/>
              <w:textAlignment w:val="baseline"/>
              <w:rPr>
                <w:snapToGrid w:val="0"/>
                <w:sz w:val="18"/>
                <w:szCs w:val="18"/>
                <w:lang w:eastAsia="cs-CZ"/>
              </w:rPr>
            </w:pPr>
            <w:r w:rsidRPr="00351D17">
              <w:rPr>
                <w:sz w:val="18"/>
                <w:szCs w:val="18"/>
              </w:rPr>
              <w:t>67 585 000</w:t>
            </w:r>
          </w:p>
        </w:tc>
        <w:tc>
          <w:tcPr>
            <w:tcW w:w="1559" w:type="dxa"/>
            <w:vAlign w:val="center"/>
          </w:tcPr>
          <w:p w14:paraId="205385A8" w14:textId="25F7673A" w:rsidR="00953951" w:rsidRPr="00953951" w:rsidRDefault="00953951" w:rsidP="005F192E">
            <w:pPr>
              <w:widowControl w:val="0"/>
              <w:tabs>
                <w:tab w:val="left" w:pos="993"/>
              </w:tabs>
              <w:adjustRightInd w:val="0"/>
              <w:ind w:left="0"/>
              <w:jc w:val="right"/>
              <w:textAlignment w:val="baseline"/>
              <w:rPr>
                <w:snapToGrid w:val="0"/>
                <w:color w:val="000000"/>
                <w:sz w:val="18"/>
                <w:szCs w:val="18"/>
                <w:lang w:eastAsia="cs-CZ"/>
              </w:rPr>
            </w:pPr>
            <w:r w:rsidRPr="00351D17">
              <w:rPr>
                <w:sz w:val="18"/>
                <w:szCs w:val="18"/>
              </w:rPr>
              <w:t>11 926 765</w:t>
            </w:r>
          </w:p>
        </w:tc>
        <w:tc>
          <w:tcPr>
            <w:tcW w:w="1444" w:type="dxa"/>
            <w:vAlign w:val="center"/>
          </w:tcPr>
          <w:p w14:paraId="3F3B352E" w14:textId="672C35BE" w:rsidR="00953951" w:rsidRPr="00953951" w:rsidRDefault="00953951" w:rsidP="005F192E">
            <w:pPr>
              <w:widowControl w:val="0"/>
              <w:tabs>
                <w:tab w:val="left" w:pos="993"/>
              </w:tabs>
              <w:adjustRightInd w:val="0"/>
              <w:ind w:left="0"/>
              <w:jc w:val="right"/>
              <w:textAlignment w:val="baseline"/>
              <w:rPr>
                <w:snapToGrid w:val="0"/>
                <w:sz w:val="18"/>
                <w:szCs w:val="18"/>
                <w:lang w:eastAsia="cs-CZ"/>
              </w:rPr>
            </w:pPr>
            <w:r w:rsidRPr="00351D17">
              <w:rPr>
                <w:sz w:val="18"/>
                <w:szCs w:val="18"/>
              </w:rPr>
              <w:t>79 511 765</w:t>
            </w:r>
          </w:p>
        </w:tc>
      </w:tr>
      <w:tr w:rsidR="00953951" w:rsidRPr="00BB4F4E" w14:paraId="587EAADF" w14:textId="77777777" w:rsidTr="005F192E">
        <w:trPr>
          <w:trHeight w:val="312"/>
          <w:jc w:val="center"/>
        </w:trPr>
        <w:tc>
          <w:tcPr>
            <w:tcW w:w="5785" w:type="dxa"/>
            <w:shd w:val="clear" w:color="auto" w:fill="auto"/>
            <w:vAlign w:val="center"/>
          </w:tcPr>
          <w:p w14:paraId="06C399E9" w14:textId="6A6F203A" w:rsidR="00953951" w:rsidRDefault="00953951" w:rsidP="00351D17">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13 – Technická pomoc VaI</w:t>
            </w:r>
          </w:p>
        </w:tc>
        <w:tc>
          <w:tcPr>
            <w:tcW w:w="851" w:type="dxa"/>
            <w:vAlign w:val="center"/>
          </w:tcPr>
          <w:p w14:paraId="18F428DC" w14:textId="380B8C8B"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559" w:type="dxa"/>
            <w:vAlign w:val="center"/>
          </w:tcPr>
          <w:p w14:paraId="69D02FA6" w14:textId="28D516FC" w:rsidR="00953951" w:rsidRDefault="00953951" w:rsidP="00351D17">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Rozvinutejší</w:t>
            </w:r>
          </w:p>
        </w:tc>
        <w:tc>
          <w:tcPr>
            <w:tcW w:w="1559" w:type="dxa"/>
            <w:vAlign w:val="center"/>
          </w:tcPr>
          <w:p w14:paraId="72C0E831" w14:textId="1832A8B5" w:rsidR="00953951" w:rsidRDefault="00953951" w:rsidP="00351D17">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N/A</w:t>
            </w:r>
          </w:p>
        </w:tc>
        <w:tc>
          <w:tcPr>
            <w:tcW w:w="1418" w:type="dxa"/>
            <w:vAlign w:val="center"/>
          </w:tcPr>
          <w:p w14:paraId="6D98876D" w14:textId="1F3FECD8" w:rsidR="00953951" w:rsidRPr="00953951" w:rsidRDefault="00953951" w:rsidP="005F192E">
            <w:pPr>
              <w:widowControl w:val="0"/>
              <w:tabs>
                <w:tab w:val="left" w:pos="993"/>
              </w:tabs>
              <w:adjustRightInd w:val="0"/>
              <w:ind w:left="0"/>
              <w:jc w:val="right"/>
              <w:textAlignment w:val="baseline"/>
              <w:rPr>
                <w:snapToGrid w:val="0"/>
                <w:sz w:val="18"/>
                <w:szCs w:val="18"/>
                <w:lang w:eastAsia="cs-CZ"/>
              </w:rPr>
            </w:pPr>
            <w:r w:rsidRPr="00351D17">
              <w:rPr>
                <w:sz w:val="18"/>
                <w:szCs w:val="18"/>
              </w:rPr>
              <w:t>2 415 000</w:t>
            </w:r>
          </w:p>
        </w:tc>
        <w:tc>
          <w:tcPr>
            <w:tcW w:w="1559" w:type="dxa"/>
            <w:vAlign w:val="center"/>
          </w:tcPr>
          <w:p w14:paraId="0F904288" w14:textId="726DECF6" w:rsidR="00953951" w:rsidRPr="00953951" w:rsidRDefault="00953951" w:rsidP="005F192E">
            <w:pPr>
              <w:widowControl w:val="0"/>
              <w:tabs>
                <w:tab w:val="left" w:pos="993"/>
              </w:tabs>
              <w:adjustRightInd w:val="0"/>
              <w:ind w:left="0"/>
              <w:jc w:val="right"/>
              <w:textAlignment w:val="baseline"/>
              <w:rPr>
                <w:snapToGrid w:val="0"/>
                <w:color w:val="000000"/>
                <w:sz w:val="18"/>
                <w:szCs w:val="18"/>
                <w:lang w:eastAsia="cs-CZ"/>
              </w:rPr>
            </w:pPr>
            <w:r w:rsidRPr="00351D17">
              <w:rPr>
                <w:sz w:val="18"/>
                <w:szCs w:val="18"/>
              </w:rPr>
              <w:t>2 415 000</w:t>
            </w:r>
          </w:p>
        </w:tc>
        <w:tc>
          <w:tcPr>
            <w:tcW w:w="1444" w:type="dxa"/>
            <w:vAlign w:val="center"/>
          </w:tcPr>
          <w:p w14:paraId="2C551E78" w14:textId="2616A6B5" w:rsidR="00953951" w:rsidRPr="00953951" w:rsidRDefault="00953951" w:rsidP="005F192E">
            <w:pPr>
              <w:widowControl w:val="0"/>
              <w:tabs>
                <w:tab w:val="left" w:pos="993"/>
              </w:tabs>
              <w:adjustRightInd w:val="0"/>
              <w:ind w:left="0"/>
              <w:jc w:val="right"/>
              <w:textAlignment w:val="baseline"/>
              <w:rPr>
                <w:snapToGrid w:val="0"/>
                <w:sz w:val="18"/>
                <w:szCs w:val="18"/>
                <w:lang w:eastAsia="cs-CZ"/>
              </w:rPr>
            </w:pPr>
            <w:r w:rsidRPr="00351D17">
              <w:rPr>
                <w:sz w:val="18"/>
                <w:szCs w:val="18"/>
              </w:rPr>
              <w:t>4 830 000</w:t>
            </w:r>
          </w:p>
        </w:tc>
      </w:tr>
      <w:tr w:rsidR="007E5AD8" w:rsidRPr="00BB4F4E" w14:paraId="3CAB1D13" w14:textId="77777777" w:rsidTr="00F058A0">
        <w:trPr>
          <w:trHeight w:val="312"/>
          <w:jc w:val="center"/>
        </w:trPr>
        <w:tc>
          <w:tcPr>
            <w:tcW w:w="5785" w:type="dxa"/>
            <w:shd w:val="clear" w:color="auto" w:fill="D9D9D9" w:themeFill="background1" w:themeFillShade="D9"/>
            <w:vAlign w:val="center"/>
          </w:tcPr>
          <w:p w14:paraId="607AE531" w14:textId="77777777" w:rsidR="007E5AD8" w:rsidRPr="002F2C93" w:rsidRDefault="007E5AD8" w:rsidP="007E5AD8">
            <w:pPr>
              <w:widowControl w:val="0"/>
              <w:tabs>
                <w:tab w:val="left" w:pos="993"/>
              </w:tabs>
              <w:adjustRightInd w:val="0"/>
              <w:ind w:left="0"/>
              <w:jc w:val="both"/>
              <w:textAlignment w:val="baseline"/>
              <w:rPr>
                <w:b/>
                <w:snapToGrid w:val="0"/>
                <w:sz w:val="18"/>
                <w:szCs w:val="18"/>
                <w:lang w:eastAsia="cs-CZ"/>
              </w:rPr>
            </w:pPr>
            <w:r w:rsidRPr="002F2C93">
              <w:rPr>
                <w:b/>
                <w:snapToGrid w:val="0"/>
                <w:sz w:val="18"/>
                <w:szCs w:val="18"/>
                <w:lang w:eastAsia="cs-CZ"/>
              </w:rPr>
              <w:t>Spolu</w:t>
            </w:r>
            <w:r>
              <w:rPr>
                <w:b/>
                <w:snapToGrid w:val="0"/>
                <w:sz w:val="18"/>
                <w:szCs w:val="18"/>
                <w:lang w:eastAsia="cs-CZ"/>
              </w:rPr>
              <w:t xml:space="preserve"> OPII</w:t>
            </w:r>
          </w:p>
        </w:tc>
        <w:tc>
          <w:tcPr>
            <w:tcW w:w="851" w:type="dxa"/>
            <w:shd w:val="clear" w:color="auto" w:fill="D9D9D9" w:themeFill="background1" w:themeFillShade="D9"/>
            <w:vAlign w:val="center"/>
          </w:tcPr>
          <w:p w14:paraId="65B77B37" w14:textId="77777777" w:rsidR="007E5AD8" w:rsidRPr="00BB4F4E" w:rsidRDefault="007E5AD8" w:rsidP="007E5AD8">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559" w:type="dxa"/>
            <w:shd w:val="clear" w:color="auto" w:fill="D9D9D9" w:themeFill="background1" w:themeFillShade="D9"/>
            <w:vAlign w:val="center"/>
          </w:tcPr>
          <w:p w14:paraId="4AFED4D5" w14:textId="77777777" w:rsidR="007E5AD8" w:rsidRPr="00BB4F4E" w:rsidRDefault="007E5AD8" w:rsidP="007E5AD8">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559" w:type="dxa"/>
            <w:shd w:val="clear" w:color="auto" w:fill="D9D9D9" w:themeFill="background1" w:themeFillShade="D9"/>
            <w:vAlign w:val="center"/>
          </w:tcPr>
          <w:p w14:paraId="2D37BFC7" w14:textId="77777777" w:rsidR="007E5AD8" w:rsidRPr="00BB4F4E" w:rsidRDefault="007E5AD8" w:rsidP="007E5AD8">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418" w:type="dxa"/>
            <w:shd w:val="clear" w:color="auto" w:fill="D9D9D9" w:themeFill="background1" w:themeFillShade="D9"/>
            <w:vAlign w:val="center"/>
          </w:tcPr>
          <w:p w14:paraId="4EC50B4F" w14:textId="13413298" w:rsidR="007E5AD8" w:rsidRPr="007E5AD8" w:rsidRDefault="007E5AD8" w:rsidP="007E5AD8">
            <w:pPr>
              <w:widowControl w:val="0"/>
              <w:autoSpaceDE w:val="0"/>
              <w:autoSpaceDN w:val="0"/>
              <w:adjustRightInd w:val="0"/>
              <w:ind w:left="0"/>
              <w:jc w:val="right"/>
              <w:rPr>
                <w:b/>
                <w:snapToGrid w:val="0"/>
                <w:sz w:val="18"/>
                <w:szCs w:val="18"/>
                <w:lang w:eastAsia="en-US"/>
              </w:rPr>
            </w:pPr>
            <w:r w:rsidRPr="007E5AD8">
              <w:rPr>
                <w:b/>
                <w:bCs/>
                <w:color w:val="000000"/>
                <w:sz w:val="18"/>
                <w:szCs w:val="18"/>
              </w:rPr>
              <w:t>6 149 937 611</w:t>
            </w:r>
          </w:p>
        </w:tc>
        <w:tc>
          <w:tcPr>
            <w:tcW w:w="1559" w:type="dxa"/>
            <w:shd w:val="clear" w:color="auto" w:fill="D9D9D9" w:themeFill="background1" w:themeFillShade="D9"/>
            <w:vAlign w:val="center"/>
          </w:tcPr>
          <w:p w14:paraId="784FC39E" w14:textId="473EA5F8" w:rsidR="007E5AD8" w:rsidRPr="007E5AD8" w:rsidRDefault="007E5AD8" w:rsidP="007E5AD8">
            <w:pPr>
              <w:widowControl w:val="0"/>
              <w:autoSpaceDE w:val="0"/>
              <w:autoSpaceDN w:val="0"/>
              <w:adjustRightInd w:val="0"/>
              <w:ind w:left="0"/>
              <w:jc w:val="right"/>
              <w:rPr>
                <w:b/>
                <w:snapToGrid w:val="0"/>
                <w:sz w:val="18"/>
                <w:szCs w:val="18"/>
                <w:lang w:eastAsia="en-US"/>
              </w:rPr>
            </w:pPr>
            <w:r w:rsidRPr="007E5AD8">
              <w:rPr>
                <w:b/>
                <w:bCs/>
                <w:color w:val="000000"/>
                <w:sz w:val="18"/>
                <w:szCs w:val="18"/>
              </w:rPr>
              <w:t>1 978 503 962</w:t>
            </w:r>
          </w:p>
        </w:tc>
        <w:tc>
          <w:tcPr>
            <w:tcW w:w="1444" w:type="dxa"/>
            <w:shd w:val="clear" w:color="auto" w:fill="D9D9D9" w:themeFill="background1" w:themeFillShade="D9"/>
            <w:vAlign w:val="center"/>
          </w:tcPr>
          <w:p w14:paraId="27107026" w14:textId="4971F023" w:rsidR="007E5AD8" w:rsidRPr="000F5C48" w:rsidRDefault="007E5AD8" w:rsidP="007E5AD8">
            <w:pPr>
              <w:ind w:left="0"/>
              <w:jc w:val="right"/>
              <w:rPr>
                <w:b/>
                <w:snapToGrid w:val="0"/>
                <w:sz w:val="18"/>
                <w:szCs w:val="18"/>
                <w:lang w:eastAsia="en-US"/>
              </w:rPr>
            </w:pPr>
            <w:r w:rsidRPr="007E5AD8">
              <w:rPr>
                <w:b/>
                <w:snapToGrid w:val="0"/>
                <w:sz w:val="18"/>
                <w:szCs w:val="18"/>
                <w:lang w:eastAsia="en-US"/>
              </w:rPr>
              <w:t>8 128 441 573</w:t>
            </w:r>
          </w:p>
        </w:tc>
      </w:tr>
    </w:tbl>
    <w:p w14:paraId="355E6E44" w14:textId="77777777" w:rsidR="00287CE2" w:rsidRDefault="00287CE2" w:rsidP="00287CE2">
      <w:pPr>
        <w:pStyle w:val="Tab"/>
        <w:numPr>
          <w:ilvl w:val="0"/>
          <w:numId w:val="0"/>
        </w:numPr>
        <w:ind w:left="357" w:hanging="357"/>
      </w:pPr>
    </w:p>
    <w:p w14:paraId="2A9A04F5" w14:textId="77777777" w:rsidR="00F058A0" w:rsidRPr="00F058A0" w:rsidRDefault="00F058A0" w:rsidP="00F058A0">
      <w:pPr>
        <w:rPr>
          <w:lang w:eastAsia="cs-CZ"/>
        </w:rPr>
      </w:pPr>
    </w:p>
    <w:p w14:paraId="0B353E71" w14:textId="77777777" w:rsidR="00D8162E" w:rsidRDefault="00D8162E" w:rsidP="00D8162E">
      <w:pPr>
        <w:rPr>
          <w:lang w:eastAsia="cs-CZ"/>
        </w:rPr>
      </w:pPr>
    </w:p>
    <w:p w14:paraId="14A930EC" w14:textId="77777777" w:rsidR="00D8162E" w:rsidRPr="00D8162E" w:rsidRDefault="00D8162E" w:rsidP="00D8162E">
      <w:pPr>
        <w:rPr>
          <w:lang w:eastAsia="cs-CZ"/>
        </w:rPr>
      </w:pPr>
    </w:p>
    <w:p w14:paraId="02B908F0" w14:textId="77777777" w:rsidR="00287CE2" w:rsidRPr="00287CE2" w:rsidRDefault="00287CE2" w:rsidP="00287CE2">
      <w:pPr>
        <w:rPr>
          <w:lang w:eastAsia="cs-CZ"/>
        </w:rPr>
      </w:pPr>
    </w:p>
    <w:p w14:paraId="0B872F62" w14:textId="77777777" w:rsidR="0084414B" w:rsidRPr="00563AE2" w:rsidRDefault="0084414B" w:rsidP="00EA0D36">
      <w:pPr>
        <w:pStyle w:val="Tab"/>
      </w:pPr>
      <w:r w:rsidRPr="00174582">
        <w:lastRenderedPageBreak/>
        <w:t>Indikatívna alokácia na podporu cieľov zmeny klímy</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63"/>
        <w:gridCol w:w="3597"/>
        <w:gridCol w:w="3415"/>
      </w:tblGrid>
      <w:tr w:rsidR="0084414B" w:rsidRPr="00A3076E" w14:paraId="53DAB701" w14:textId="77777777" w:rsidTr="00A127CB">
        <w:trPr>
          <w:trHeight w:val="567"/>
          <w:jc w:val="center"/>
        </w:trPr>
        <w:tc>
          <w:tcPr>
            <w:tcW w:w="7163" w:type="dxa"/>
            <w:shd w:val="clear" w:color="auto" w:fill="C6D9F1" w:themeFill="text2" w:themeFillTint="33"/>
            <w:vAlign w:val="center"/>
          </w:tcPr>
          <w:p w14:paraId="5C316F08" w14:textId="77777777" w:rsidR="0084414B" w:rsidRPr="00A3076E" w:rsidRDefault="0084414B" w:rsidP="00A46625">
            <w:pPr>
              <w:widowControl w:val="0"/>
              <w:tabs>
                <w:tab w:val="left" w:pos="993"/>
              </w:tabs>
              <w:adjustRightInd w:val="0"/>
              <w:ind w:left="0"/>
              <w:jc w:val="both"/>
              <w:textAlignment w:val="baseline"/>
              <w:rPr>
                <w:snapToGrid w:val="0"/>
                <w:sz w:val="18"/>
                <w:szCs w:val="18"/>
                <w:lang w:eastAsia="cs-CZ"/>
              </w:rPr>
            </w:pPr>
            <w:r w:rsidRPr="00A3076E">
              <w:rPr>
                <w:snapToGrid w:val="0"/>
                <w:sz w:val="18"/>
                <w:szCs w:val="18"/>
                <w:lang w:eastAsia="cs-CZ"/>
              </w:rPr>
              <w:t>Prioritná os</w:t>
            </w:r>
          </w:p>
        </w:tc>
        <w:tc>
          <w:tcPr>
            <w:tcW w:w="3597" w:type="dxa"/>
            <w:shd w:val="clear" w:color="auto" w:fill="C6D9F1" w:themeFill="text2" w:themeFillTint="33"/>
            <w:vAlign w:val="center"/>
          </w:tcPr>
          <w:p w14:paraId="6F7D7B17" w14:textId="77777777" w:rsidR="0084414B" w:rsidRPr="00A3076E" w:rsidRDefault="0084414B" w:rsidP="00A46625">
            <w:pPr>
              <w:widowControl w:val="0"/>
              <w:tabs>
                <w:tab w:val="left" w:pos="993"/>
              </w:tabs>
              <w:adjustRightInd w:val="0"/>
              <w:ind w:left="0"/>
              <w:jc w:val="center"/>
              <w:textAlignment w:val="baseline"/>
              <w:rPr>
                <w:snapToGrid w:val="0"/>
                <w:sz w:val="18"/>
                <w:szCs w:val="18"/>
                <w:lang w:eastAsia="cs-CZ"/>
              </w:rPr>
            </w:pPr>
            <w:r w:rsidRPr="00A3076E">
              <w:rPr>
                <w:snapToGrid w:val="0"/>
                <w:sz w:val="18"/>
                <w:szCs w:val="18"/>
                <w:lang w:eastAsia="cs-CZ"/>
              </w:rPr>
              <w:t>Indikatívna alokácia na podporu cieľov zmeny klímy (EUR)</w:t>
            </w:r>
          </w:p>
        </w:tc>
        <w:tc>
          <w:tcPr>
            <w:tcW w:w="3415" w:type="dxa"/>
            <w:shd w:val="clear" w:color="auto" w:fill="C6D9F1" w:themeFill="text2" w:themeFillTint="33"/>
            <w:vAlign w:val="center"/>
          </w:tcPr>
          <w:p w14:paraId="3BE824DB" w14:textId="77777777" w:rsidR="0084414B" w:rsidRPr="00A3076E" w:rsidRDefault="0084414B" w:rsidP="00A46625">
            <w:pPr>
              <w:widowControl w:val="0"/>
              <w:tabs>
                <w:tab w:val="left" w:pos="993"/>
              </w:tabs>
              <w:adjustRightInd w:val="0"/>
              <w:ind w:left="0"/>
              <w:jc w:val="center"/>
              <w:textAlignment w:val="baseline"/>
              <w:rPr>
                <w:snapToGrid w:val="0"/>
                <w:sz w:val="18"/>
                <w:szCs w:val="18"/>
                <w:lang w:eastAsia="cs-CZ"/>
              </w:rPr>
            </w:pPr>
            <w:r w:rsidRPr="00A3076E">
              <w:rPr>
                <w:snapToGrid w:val="0"/>
                <w:sz w:val="18"/>
                <w:szCs w:val="18"/>
                <w:lang w:eastAsia="cs-CZ"/>
              </w:rPr>
              <w:t>Podiel z celkovej alokácie na operačný program (%)</w:t>
            </w:r>
          </w:p>
        </w:tc>
      </w:tr>
      <w:tr w:rsidR="009E3E3F" w:rsidRPr="00A3076E" w14:paraId="624E61A4" w14:textId="77777777" w:rsidTr="00351D17">
        <w:trPr>
          <w:trHeight w:val="312"/>
          <w:jc w:val="center"/>
        </w:trPr>
        <w:tc>
          <w:tcPr>
            <w:tcW w:w="7163" w:type="dxa"/>
            <w:shd w:val="clear" w:color="auto" w:fill="auto"/>
            <w:vAlign w:val="center"/>
          </w:tcPr>
          <w:p w14:paraId="08AB8C37" w14:textId="77777777" w:rsidR="009E3E3F" w:rsidRPr="00BB4F4E" w:rsidRDefault="009E3E3F" w:rsidP="009E3E3F">
            <w:pPr>
              <w:widowControl w:val="0"/>
              <w:tabs>
                <w:tab w:val="left" w:pos="993"/>
              </w:tabs>
              <w:adjustRightInd w:val="0"/>
              <w:ind w:left="0"/>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1</w:t>
            </w:r>
            <w:r>
              <w:rPr>
                <w:snapToGrid w:val="0"/>
                <w:sz w:val="18"/>
                <w:szCs w:val="18"/>
                <w:lang w:eastAsia="cs-CZ"/>
              </w:rPr>
              <w:t xml:space="preserve"> – Železničná infraštruktúra (TEN-T CORE) a obnova mobilných prostriedkov</w:t>
            </w:r>
          </w:p>
        </w:tc>
        <w:tc>
          <w:tcPr>
            <w:tcW w:w="3597" w:type="dxa"/>
            <w:shd w:val="clear" w:color="auto" w:fill="auto"/>
            <w:vAlign w:val="center"/>
          </w:tcPr>
          <w:p w14:paraId="382ECE35" w14:textId="6DA98C61" w:rsidR="009E3E3F" w:rsidRDefault="009E3E3F" w:rsidP="009E3E3F">
            <w:pPr>
              <w:ind w:left="0"/>
              <w:jc w:val="right"/>
              <w:rPr>
                <w:color w:val="000000"/>
                <w:sz w:val="18"/>
                <w:szCs w:val="18"/>
              </w:rPr>
            </w:pPr>
            <w:r>
              <w:rPr>
                <w:color w:val="000000"/>
                <w:sz w:val="18"/>
                <w:szCs w:val="18"/>
              </w:rPr>
              <w:t>290 335</w:t>
            </w:r>
            <w:r w:rsidR="001E11AB">
              <w:rPr>
                <w:color w:val="000000"/>
                <w:sz w:val="18"/>
                <w:szCs w:val="18"/>
              </w:rPr>
              <w:t> </w:t>
            </w:r>
            <w:r>
              <w:rPr>
                <w:color w:val="000000"/>
                <w:sz w:val="18"/>
                <w:szCs w:val="18"/>
              </w:rPr>
              <w:t>666</w:t>
            </w:r>
            <w:r w:rsidR="001E11AB">
              <w:rPr>
                <w:color w:val="000000"/>
                <w:sz w:val="18"/>
                <w:szCs w:val="18"/>
              </w:rPr>
              <w:t>,40</w:t>
            </w:r>
          </w:p>
        </w:tc>
        <w:tc>
          <w:tcPr>
            <w:tcW w:w="3415" w:type="dxa"/>
            <w:shd w:val="clear" w:color="auto" w:fill="auto"/>
            <w:vAlign w:val="center"/>
          </w:tcPr>
          <w:p w14:paraId="76A991E1" w14:textId="33164EC6" w:rsidR="009E3E3F" w:rsidRPr="009E3E3F" w:rsidRDefault="009E3E3F" w:rsidP="00C62F22">
            <w:pPr>
              <w:jc w:val="right"/>
              <w:rPr>
                <w:color w:val="000000"/>
                <w:sz w:val="18"/>
                <w:szCs w:val="18"/>
              </w:rPr>
            </w:pPr>
            <w:r w:rsidRPr="00351D17">
              <w:rPr>
                <w:sz w:val="18"/>
                <w:szCs w:val="18"/>
              </w:rPr>
              <w:t>4,7</w:t>
            </w:r>
            <w:r w:rsidR="00C62F22">
              <w:rPr>
                <w:sz w:val="18"/>
                <w:szCs w:val="18"/>
              </w:rPr>
              <w:t>2</w:t>
            </w:r>
            <w:r w:rsidRPr="00351D17">
              <w:rPr>
                <w:sz w:val="18"/>
                <w:szCs w:val="18"/>
              </w:rPr>
              <w:t>%</w:t>
            </w:r>
          </w:p>
        </w:tc>
      </w:tr>
      <w:tr w:rsidR="009E3E3F" w:rsidRPr="00A3076E" w14:paraId="7B3EBA3B" w14:textId="77777777" w:rsidTr="00351D17">
        <w:trPr>
          <w:trHeight w:val="312"/>
          <w:jc w:val="center"/>
        </w:trPr>
        <w:tc>
          <w:tcPr>
            <w:tcW w:w="7163" w:type="dxa"/>
            <w:shd w:val="clear" w:color="auto" w:fill="auto"/>
            <w:vAlign w:val="center"/>
          </w:tcPr>
          <w:p w14:paraId="7404C8FC" w14:textId="77777777" w:rsidR="009E3E3F" w:rsidRPr="00BB4F4E" w:rsidRDefault="009E3E3F" w:rsidP="009E3E3F">
            <w:pPr>
              <w:widowControl w:val="0"/>
              <w:tabs>
                <w:tab w:val="left" w:pos="993"/>
              </w:tabs>
              <w:adjustRightInd w:val="0"/>
              <w:ind w:left="0"/>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2</w:t>
            </w:r>
            <w:r>
              <w:rPr>
                <w:snapToGrid w:val="0"/>
                <w:sz w:val="18"/>
                <w:szCs w:val="18"/>
                <w:lang w:eastAsia="cs-CZ"/>
              </w:rPr>
              <w:t xml:space="preserve"> – Cestná infraštruktúra (TEN-T)</w:t>
            </w:r>
          </w:p>
        </w:tc>
        <w:tc>
          <w:tcPr>
            <w:tcW w:w="3597" w:type="dxa"/>
            <w:shd w:val="clear" w:color="auto" w:fill="auto"/>
            <w:vAlign w:val="center"/>
          </w:tcPr>
          <w:p w14:paraId="769F67C6" w14:textId="1AEC5190" w:rsidR="009E3E3F" w:rsidRDefault="009E3E3F" w:rsidP="009E3E3F">
            <w:pPr>
              <w:ind w:left="0"/>
              <w:jc w:val="right"/>
              <w:rPr>
                <w:color w:val="000000"/>
                <w:sz w:val="18"/>
                <w:szCs w:val="18"/>
              </w:rPr>
            </w:pPr>
            <w:r>
              <w:rPr>
                <w:color w:val="000000"/>
                <w:sz w:val="18"/>
                <w:szCs w:val="18"/>
              </w:rPr>
              <w:t>8 000</w:t>
            </w:r>
            <w:r w:rsidR="001E11AB">
              <w:rPr>
                <w:color w:val="000000"/>
                <w:sz w:val="18"/>
                <w:szCs w:val="18"/>
              </w:rPr>
              <w:t> </w:t>
            </w:r>
            <w:r>
              <w:rPr>
                <w:color w:val="000000"/>
                <w:sz w:val="18"/>
                <w:szCs w:val="18"/>
              </w:rPr>
              <w:t>000</w:t>
            </w:r>
            <w:r w:rsidR="001E11AB">
              <w:rPr>
                <w:color w:val="000000"/>
                <w:sz w:val="18"/>
                <w:szCs w:val="18"/>
              </w:rPr>
              <w:t>,00</w:t>
            </w:r>
          </w:p>
        </w:tc>
        <w:tc>
          <w:tcPr>
            <w:tcW w:w="3415" w:type="dxa"/>
            <w:shd w:val="clear" w:color="auto" w:fill="auto"/>
            <w:vAlign w:val="center"/>
          </w:tcPr>
          <w:p w14:paraId="5C5D1D6D" w14:textId="34BA56C6" w:rsidR="009E3E3F" w:rsidRPr="009E3E3F" w:rsidRDefault="009E3E3F">
            <w:pPr>
              <w:jc w:val="right"/>
              <w:rPr>
                <w:color w:val="000000"/>
                <w:sz w:val="18"/>
                <w:szCs w:val="18"/>
              </w:rPr>
            </w:pPr>
            <w:r w:rsidRPr="00351D17">
              <w:rPr>
                <w:sz w:val="18"/>
                <w:szCs w:val="18"/>
              </w:rPr>
              <w:t>0,13%</w:t>
            </w:r>
          </w:p>
        </w:tc>
      </w:tr>
      <w:tr w:rsidR="009E3E3F" w:rsidRPr="00A3076E" w14:paraId="3C5EF6C6" w14:textId="77777777" w:rsidTr="00351D17">
        <w:trPr>
          <w:trHeight w:val="312"/>
          <w:jc w:val="center"/>
        </w:trPr>
        <w:tc>
          <w:tcPr>
            <w:tcW w:w="7163" w:type="dxa"/>
            <w:shd w:val="clear" w:color="auto" w:fill="auto"/>
            <w:vAlign w:val="center"/>
          </w:tcPr>
          <w:p w14:paraId="307B6F42" w14:textId="77777777" w:rsidR="009E3E3F" w:rsidRPr="00BB4F4E" w:rsidRDefault="009E3E3F" w:rsidP="009E3E3F">
            <w:pPr>
              <w:widowControl w:val="0"/>
              <w:tabs>
                <w:tab w:val="left" w:pos="993"/>
              </w:tabs>
              <w:adjustRightInd w:val="0"/>
              <w:ind w:left="0"/>
              <w:textAlignment w:val="baseline"/>
              <w:rPr>
                <w:snapToGrid w:val="0"/>
                <w:sz w:val="18"/>
                <w:szCs w:val="18"/>
                <w:lang w:eastAsia="cs-CZ"/>
              </w:rPr>
            </w:pPr>
            <w:r>
              <w:rPr>
                <w:snapToGrid w:val="0"/>
                <w:sz w:val="18"/>
                <w:szCs w:val="18"/>
                <w:lang w:eastAsia="cs-CZ"/>
              </w:rPr>
              <w:t>PO 3 – Verejná osobná doprava</w:t>
            </w:r>
          </w:p>
        </w:tc>
        <w:tc>
          <w:tcPr>
            <w:tcW w:w="3597" w:type="dxa"/>
            <w:shd w:val="clear" w:color="auto" w:fill="auto"/>
            <w:vAlign w:val="center"/>
          </w:tcPr>
          <w:p w14:paraId="0A67FA57" w14:textId="1B9C8042" w:rsidR="009E3E3F" w:rsidRDefault="0014400A" w:rsidP="009E3E3F">
            <w:pPr>
              <w:ind w:left="0"/>
              <w:jc w:val="right"/>
              <w:rPr>
                <w:color w:val="000000"/>
                <w:sz w:val="18"/>
                <w:szCs w:val="18"/>
              </w:rPr>
            </w:pPr>
            <w:r>
              <w:rPr>
                <w:color w:val="000000"/>
                <w:sz w:val="18"/>
                <w:szCs w:val="18"/>
              </w:rPr>
              <w:t>131 734 800,00</w:t>
            </w:r>
          </w:p>
        </w:tc>
        <w:tc>
          <w:tcPr>
            <w:tcW w:w="3415" w:type="dxa"/>
            <w:shd w:val="clear" w:color="auto" w:fill="auto"/>
            <w:vAlign w:val="center"/>
          </w:tcPr>
          <w:p w14:paraId="51FB9A65" w14:textId="5DF119B3" w:rsidR="009E3E3F" w:rsidRPr="009E3E3F" w:rsidRDefault="009E3E3F" w:rsidP="00C62F22">
            <w:pPr>
              <w:jc w:val="right"/>
              <w:rPr>
                <w:color w:val="000000"/>
                <w:sz w:val="18"/>
                <w:szCs w:val="18"/>
              </w:rPr>
            </w:pPr>
            <w:r w:rsidRPr="00351D17">
              <w:rPr>
                <w:sz w:val="18"/>
                <w:szCs w:val="18"/>
              </w:rPr>
              <w:t>2,1</w:t>
            </w:r>
            <w:r w:rsidR="0014400A">
              <w:rPr>
                <w:sz w:val="18"/>
                <w:szCs w:val="18"/>
              </w:rPr>
              <w:t>4</w:t>
            </w:r>
            <w:r w:rsidRPr="00351D17">
              <w:rPr>
                <w:sz w:val="18"/>
                <w:szCs w:val="18"/>
              </w:rPr>
              <w:t>%</w:t>
            </w:r>
          </w:p>
        </w:tc>
      </w:tr>
      <w:tr w:rsidR="009E3E3F" w:rsidRPr="00A3076E" w14:paraId="49EA4E51" w14:textId="77777777" w:rsidTr="00351D17">
        <w:trPr>
          <w:trHeight w:val="312"/>
          <w:jc w:val="center"/>
        </w:trPr>
        <w:tc>
          <w:tcPr>
            <w:tcW w:w="7163" w:type="dxa"/>
            <w:shd w:val="clear" w:color="auto" w:fill="auto"/>
            <w:vAlign w:val="center"/>
          </w:tcPr>
          <w:p w14:paraId="222DDADB" w14:textId="77777777" w:rsidR="009E3E3F" w:rsidRPr="00BB4F4E" w:rsidRDefault="009E3E3F" w:rsidP="009E3E3F">
            <w:pPr>
              <w:widowControl w:val="0"/>
              <w:tabs>
                <w:tab w:val="left" w:pos="993"/>
              </w:tabs>
              <w:adjustRightInd w:val="0"/>
              <w:ind w:left="0"/>
              <w:textAlignment w:val="baseline"/>
              <w:rPr>
                <w:snapToGrid w:val="0"/>
                <w:sz w:val="18"/>
                <w:szCs w:val="18"/>
                <w:lang w:eastAsia="cs-CZ"/>
              </w:rPr>
            </w:pPr>
            <w:r>
              <w:rPr>
                <w:snapToGrid w:val="0"/>
                <w:sz w:val="18"/>
                <w:szCs w:val="18"/>
                <w:lang w:eastAsia="cs-CZ"/>
              </w:rPr>
              <w:t>PO 4 – Infraštruktúra vodnej dopravy (TEN-T CORE)</w:t>
            </w:r>
          </w:p>
        </w:tc>
        <w:tc>
          <w:tcPr>
            <w:tcW w:w="3597" w:type="dxa"/>
            <w:shd w:val="clear" w:color="auto" w:fill="auto"/>
            <w:vAlign w:val="center"/>
          </w:tcPr>
          <w:p w14:paraId="5431BDA1" w14:textId="21F15D79" w:rsidR="009E3E3F" w:rsidRPr="00395776" w:rsidRDefault="0014400A" w:rsidP="009E3E3F">
            <w:pPr>
              <w:ind w:left="0"/>
              <w:jc w:val="right"/>
              <w:rPr>
                <w:color w:val="000000"/>
                <w:sz w:val="18"/>
                <w:szCs w:val="18"/>
              </w:rPr>
            </w:pPr>
            <w:r>
              <w:rPr>
                <w:color w:val="000000"/>
                <w:sz w:val="18"/>
                <w:szCs w:val="18"/>
              </w:rPr>
              <w:t>43 785 200,00</w:t>
            </w:r>
          </w:p>
        </w:tc>
        <w:tc>
          <w:tcPr>
            <w:tcW w:w="3415" w:type="dxa"/>
            <w:shd w:val="clear" w:color="auto" w:fill="auto"/>
            <w:vAlign w:val="center"/>
          </w:tcPr>
          <w:p w14:paraId="13449A90" w14:textId="439BB297" w:rsidR="009E3E3F" w:rsidRPr="009E3E3F" w:rsidRDefault="009E3E3F" w:rsidP="00C62F22">
            <w:pPr>
              <w:jc w:val="right"/>
              <w:rPr>
                <w:color w:val="000000"/>
                <w:sz w:val="18"/>
                <w:szCs w:val="18"/>
              </w:rPr>
            </w:pPr>
            <w:r w:rsidRPr="00351D17">
              <w:rPr>
                <w:sz w:val="18"/>
                <w:szCs w:val="18"/>
              </w:rPr>
              <w:t>0,7</w:t>
            </w:r>
            <w:r w:rsidR="0014400A">
              <w:rPr>
                <w:sz w:val="18"/>
                <w:szCs w:val="18"/>
              </w:rPr>
              <w:t>1</w:t>
            </w:r>
            <w:r w:rsidRPr="00351D17">
              <w:rPr>
                <w:sz w:val="18"/>
                <w:szCs w:val="18"/>
              </w:rPr>
              <w:t>%</w:t>
            </w:r>
          </w:p>
        </w:tc>
      </w:tr>
      <w:tr w:rsidR="009E3E3F" w:rsidRPr="00A3076E" w14:paraId="5C3445B7" w14:textId="77777777" w:rsidTr="00351D17">
        <w:trPr>
          <w:trHeight w:val="312"/>
          <w:jc w:val="center"/>
        </w:trPr>
        <w:tc>
          <w:tcPr>
            <w:tcW w:w="7163" w:type="dxa"/>
            <w:shd w:val="clear" w:color="auto" w:fill="auto"/>
            <w:vAlign w:val="center"/>
          </w:tcPr>
          <w:p w14:paraId="3CCB689F" w14:textId="57176885" w:rsidR="009E3E3F" w:rsidRPr="00BB4F4E" w:rsidRDefault="009E3E3F" w:rsidP="008A2589">
            <w:pPr>
              <w:widowControl w:val="0"/>
              <w:tabs>
                <w:tab w:val="left" w:pos="993"/>
              </w:tabs>
              <w:adjustRightInd w:val="0"/>
              <w:ind w:left="0"/>
              <w:textAlignment w:val="baseline"/>
              <w:rPr>
                <w:snapToGrid w:val="0"/>
                <w:sz w:val="18"/>
                <w:szCs w:val="18"/>
                <w:lang w:eastAsia="cs-CZ"/>
              </w:rPr>
            </w:pPr>
            <w:r>
              <w:rPr>
                <w:snapToGrid w:val="0"/>
                <w:sz w:val="18"/>
                <w:szCs w:val="18"/>
                <w:lang w:eastAsia="cs-CZ"/>
              </w:rPr>
              <w:t>PO 5 – Železničná infraštruktúra</w:t>
            </w:r>
            <w:r w:rsidR="008A2589">
              <w:rPr>
                <w:snapToGrid w:val="0"/>
                <w:sz w:val="18"/>
                <w:szCs w:val="18"/>
                <w:lang w:eastAsia="cs-CZ"/>
              </w:rPr>
              <w:t xml:space="preserve"> a obnova mobilných prostriedkov</w:t>
            </w:r>
            <w:r>
              <w:rPr>
                <w:snapToGrid w:val="0"/>
                <w:sz w:val="18"/>
                <w:szCs w:val="18"/>
                <w:lang w:eastAsia="cs-CZ"/>
              </w:rPr>
              <w:t xml:space="preserve"> </w:t>
            </w:r>
          </w:p>
        </w:tc>
        <w:tc>
          <w:tcPr>
            <w:tcW w:w="3597" w:type="dxa"/>
            <w:shd w:val="clear" w:color="auto" w:fill="auto"/>
            <w:vAlign w:val="center"/>
          </w:tcPr>
          <w:p w14:paraId="62796484" w14:textId="471F1735" w:rsidR="009E3E3F" w:rsidRPr="00395776" w:rsidRDefault="0014400A" w:rsidP="009E3E3F">
            <w:pPr>
              <w:ind w:left="0"/>
              <w:jc w:val="right"/>
              <w:rPr>
                <w:color w:val="000000"/>
                <w:sz w:val="18"/>
                <w:szCs w:val="18"/>
              </w:rPr>
            </w:pPr>
            <w:r>
              <w:rPr>
                <w:color w:val="000000"/>
                <w:sz w:val="18"/>
                <w:szCs w:val="18"/>
              </w:rPr>
              <w:t>105 580 699,60</w:t>
            </w:r>
          </w:p>
        </w:tc>
        <w:tc>
          <w:tcPr>
            <w:tcW w:w="3415" w:type="dxa"/>
            <w:shd w:val="clear" w:color="auto" w:fill="auto"/>
            <w:vAlign w:val="center"/>
          </w:tcPr>
          <w:p w14:paraId="6612041A" w14:textId="7CAB524F" w:rsidR="009E3E3F" w:rsidRPr="009E3E3F" w:rsidRDefault="009E3E3F" w:rsidP="00C62F22">
            <w:pPr>
              <w:jc w:val="right"/>
              <w:rPr>
                <w:color w:val="000000"/>
                <w:sz w:val="18"/>
                <w:szCs w:val="18"/>
              </w:rPr>
            </w:pPr>
            <w:r w:rsidRPr="00351D17">
              <w:rPr>
                <w:sz w:val="18"/>
                <w:szCs w:val="18"/>
              </w:rPr>
              <w:t>1,</w:t>
            </w:r>
            <w:r w:rsidR="0014400A">
              <w:rPr>
                <w:sz w:val="18"/>
                <w:szCs w:val="18"/>
              </w:rPr>
              <w:t>72</w:t>
            </w:r>
            <w:r w:rsidRPr="00351D17">
              <w:rPr>
                <w:sz w:val="18"/>
                <w:szCs w:val="18"/>
              </w:rPr>
              <w:t>%</w:t>
            </w:r>
          </w:p>
        </w:tc>
      </w:tr>
      <w:tr w:rsidR="009E3E3F" w:rsidRPr="00A3076E" w14:paraId="2BC38138" w14:textId="77777777" w:rsidTr="00351D17">
        <w:trPr>
          <w:trHeight w:val="312"/>
          <w:jc w:val="center"/>
        </w:trPr>
        <w:tc>
          <w:tcPr>
            <w:tcW w:w="7163" w:type="dxa"/>
            <w:shd w:val="clear" w:color="auto" w:fill="auto"/>
            <w:vAlign w:val="center"/>
          </w:tcPr>
          <w:p w14:paraId="5C636960" w14:textId="77777777" w:rsidR="009E3E3F" w:rsidRPr="00BB4F4E" w:rsidRDefault="009E3E3F" w:rsidP="009E3E3F">
            <w:pPr>
              <w:widowControl w:val="0"/>
              <w:tabs>
                <w:tab w:val="left" w:pos="993"/>
              </w:tabs>
              <w:adjustRightInd w:val="0"/>
              <w:ind w:left="0"/>
              <w:textAlignment w:val="baseline"/>
              <w:rPr>
                <w:snapToGrid w:val="0"/>
                <w:sz w:val="18"/>
                <w:szCs w:val="18"/>
                <w:lang w:eastAsia="cs-CZ"/>
              </w:rPr>
            </w:pPr>
            <w:r>
              <w:rPr>
                <w:snapToGrid w:val="0"/>
                <w:sz w:val="18"/>
                <w:szCs w:val="18"/>
                <w:lang w:eastAsia="cs-CZ"/>
              </w:rPr>
              <w:t>PO 6 – Cestná infraštruktúra (mimo TEN-T CORE)</w:t>
            </w:r>
          </w:p>
        </w:tc>
        <w:tc>
          <w:tcPr>
            <w:tcW w:w="3597" w:type="dxa"/>
            <w:shd w:val="clear" w:color="auto" w:fill="auto"/>
            <w:vAlign w:val="center"/>
          </w:tcPr>
          <w:p w14:paraId="6CCE774A" w14:textId="003C4435" w:rsidR="009E3E3F" w:rsidRDefault="009E3E3F" w:rsidP="009E3E3F">
            <w:pPr>
              <w:ind w:left="0"/>
              <w:jc w:val="right"/>
              <w:rPr>
                <w:color w:val="000000"/>
                <w:sz w:val="18"/>
                <w:szCs w:val="18"/>
              </w:rPr>
            </w:pPr>
            <w:r>
              <w:rPr>
                <w:color w:val="000000"/>
                <w:sz w:val="18"/>
                <w:szCs w:val="18"/>
              </w:rPr>
              <w:t>4 000</w:t>
            </w:r>
            <w:r w:rsidR="001E11AB">
              <w:rPr>
                <w:color w:val="000000"/>
                <w:sz w:val="18"/>
                <w:szCs w:val="18"/>
              </w:rPr>
              <w:t> </w:t>
            </w:r>
            <w:r>
              <w:rPr>
                <w:color w:val="000000"/>
                <w:sz w:val="18"/>
                <w:szCs w:val="18"/>
              </w:rPr>
              <w:t>000</w:t>
            </w:r>
            <w:r w:rsidR="001E11AB">
              <w:rPr>
                <w:color w:val="000000"/>
                <w:sz w:val="18"/>
                <w:szCs w:val="18"/>
              </w:rPr>
              <w:t>,00</w:t>
            </w:r>
          </w:p>
        </w:tc>
        <w:tc>
          <w:tcPr>
            <w:tcW w:w="3415" w:type="dxa"/>
            <w:shd w:val="clear" w:color="auto" w:fill="auto"/>
            <w:vAlign w:val="center"/>
          </w:tcPr>
          <w:p w14:paraId="47C355E8" w14:textId="04E0AB4E" w:rsidR="009E3E3F" w:rsidRPr="009E3E3F" w:rsidRDefault="009E3E3F">
            <w:pPr>
              <w:jc w:val="right"/>
              <w:rPr>
                <w:color w:val="000000"/>
                <w:sz w:val="18"/>
                <w:szCs w:val="18"/>
              </w:rPr>
            </w:pPr>
            <w:r w:rsidRPr="00351D17">
              <w:rPr>
                <w:sz w:val="18"/>
                <w:szCs w:val="18"/>
              </w:rPr>
              <w:t>0,07%</w:t>
            </w:r>
          </w:p>
        </w:tc>
      </w:tr>
      <w:tr w:rsidR="0084414B" w:rsidRPr="00A3076E" w14:paraId="180C1E57" w14:textId="77777777" w:rsidTr="00A127CB">
        <w:trPr>
          <w:trHeight w:val="312"/>
          <w:jc w:val="center"/>
        </w:trPr>
        <w:tc>
          <w:tcPr>
            <w:tcW w:w="7163" w:type="dxa"/>
            <w:shd w:val="clear" w:color="auto" w:fill="auto"/>
            <w:vAlign w:val="center"/>
          </w:tcPr>
          <w:p w14:paraId="06411651" w14:textId="77777777" w:rsidR="0084414B" w:rsidRPr="00BB4F4E" w:rsidRDefault="0084414B" w:rsidP="00A46625">
            <w:pPr>
              <w:widowControl w:val="0"/>
              <w:tabs>
                <w:tab w:val="left" w:pos="993"/>
              </w:tabs>
              <w:adjustRightInd w:val="0"/>
              <w:ind w:left="0"/>
              <w:textAlignment w:val="baseline"/>
              <w:rPr>
                <w:snapToGrid w:val="0"/>
                <w:sz w:val="18"/>
                <w:szCs w:val="18"/>
                <w:lang w:eastAsia="cs-CZ"/>
              </w:rPr>
            </w:pPr>
            <w:r w:rsidRPr="00BB4F4E">
              <w:rPr>
                <w:snapToGrid w:val="0"/>
                <w:sz w:val="18"/>
                <w:szCs w:val="18"/>
                <w:lang w:eastAsia="cs-CZ"/>
              </w:rPr>
              <w:t>P</w:t>
            </w:r>
            <w:r>
              <w:rPr>
                <w:snapToGrid w:val="0"/>
                <w:sz w:val="18"/>
                <w:szCs w:val="18"/>
                <w:lang w:eastAsia="cs-CZ"/>
              </w:rPr>
              <w:t>O</w:t>
            </w:r>
            <w:r w:rsidRPr="00BB4F4E">
              <w:rPr>
                <w:snapToGrid w:val="0"/>
                <w:sz w:val="18"/>
                <w:szCs w:val="18"/>
                <w:lang w:eastAsia="cs-CZ"/>
              </w:rPr>
              <w:t xml:space="preserve"> 7</w:t>
            </w:r>
            <w:r>
              <w:rPr>
                <w:snapToGrid w:val="0"/>
                <w:sz w:val="18"/>
                <w:szCs w:val="18"/>
                <w:lang w:eastAsia="cs-CZ"/>
              </w:rPr>
              <w:t xml:space="preserve"> – Informačná spoločnosť</w:t>
            </w:r>
          </w:p>
        </w:tc>
        <w:tc>
          <w:tcPr>
            <w:tcW w:w="3597" w:type="dxa"/>
            <w:shd w:val="clear" w:color="auto" w:fill="auto"/>
            <w:vAlign w:val="center"/>
          </w:tcPr>
          <w:p w14:paraId="0A01D428" w14:textId="490BBA99" w:rsidR="0084414B" w:rsidRDefault="0084414B" w:rsidP="00A46625">
            <w:pPr>
              <w:ind w:left="0"/>
              <w:jc w:val="right"/>
              <w:rPr>
                <w:color w:val="000000"/>
                <w:sz w:val="18"/>
                <w:szCs w:val="18"/>
              </w:rPr>
            </w:pPr>
            <w:r>
              <w:rPr>
                <w:color w:val="000000"/>
                <w:sz w:val="18"/>
                <w:szCs w:val="18"/>
              </w:rPr>
              <w:t>0</w:t>
            </w:r>
            <w:r w:rsidR="001E11AB">
              <w:rPr>
                <w:color w:val="000000"/>
                <w:sz w:val="18"/>
                <w:szCs w:val="18"/>
              </w:rPr>
              <w:t>,00</w:t>
            </w:r>
          </w:p>
        </w:tc>
        <w:tc>
          <w:tcPr>
            <w:tcW w:w="3415" w:type="dxa"/>
            <w:shd w:val="clear" w:color="auto" w:fill="auto"/>
            <w:vAlign w:val="center"/>
          </w:tcPr>
          <w:p w14:paraId="0334B4E3" w14:textId="77777777" w:rsidR="0084414B" w:rsidRDefault="0084414B" w:rsidP="00A46625">
            <w:pPr>
              <w:jc w:val="right"/>
              <w:rPr>
                <w:color w:val="000000"/>
                <w:sz w:val="18"/>
                <w:szCs w:val="18"/>
              </w:rPr>
            </w:pPr>
            <w:r>
              <w:rPr>
                <w:color w:val="000000"/>
                <w:sz w:val="18"/>
                <w:szCs w:val="18"/>
              </w:rPr>
              <w:t>0,00%</w:t>
            </w:r>
          </w:p>
        </w:tc>
      </w:tr>
      <w:tr w:rsidR="0084414B" w:rsidRPr="00A3076E" w14:paraId="42A0FDC5" w14:textId="77777777" w:rsidTr="00A127CB">
        <w:trPr>
          <w:trHeight w:val="312"/>
          <w:jc w:val="center"/>
        </w:trPr>
        <w:tc>
          <w:tcPr>
            <w:tcW w:w="7163" w:type="dxa"/>
            <w:vAlign w:val="center"/>
          </w:tcPr>
          <w:p w14:paraId="23F4BA17" w14:textId="77777777"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8 – Technická pomoc</w:t>
            </w:r>
          </w:p>
        </w:tc>
        <w:tc>
          <w:tcPr>
            <w:tcW w:w="3597" w:type="dxa"/>
            <w:vAlign w:val="center"/>
          </w:tcPr>
          <w:p w14:paraId="7E93BD99" w14:textId="6CE6EF01" w:rsidR="0084414B" w:rsidRDefault="0084414B" w:rsidP="00A46625">
            <w:pPr>
              <w:ind w:left="0"/>
              <w:jc w:val="right"/>
              <w:rPr>
                <w:color w:val="000000"/>
                <w:sz w:val="18"/>
                <w:szCs w:val="18"/>
              </w:rPr>
            </w:pPr>
            <w:r>
              <w:rPr>
                <w:color w:val="000000"/>
                <w:sz w:val="18"/>
                <w:szCs w:val="18"/>
              </w:rPr>
              <w:t>0</w:t>
            </w:r>
            <w:r w:rsidR="001E11AB">
              <w:rPr>
                <w:color w:val="000000"/>
                <w:sz w:val="18"/>
                <w:szCs w:val="18"/>
              </w:rPr>
              <w:t>,00</w:t>
            </w:r>
          </w:p>
        </w:tc>
        <w:tc>
          <w:tcPr>
            <w:tcW w:w="3415" w:type="dxa"/>
            <w:vAlign w:val="center"/>
          </w:tcPr>
          <w:p w14:paraId="04DD8E19" w14:textId="77777777" w:rsidR="0084414B" w:rsidRDefault="0084414B" w:rsidP="00A46625">
            <w:pPr>
              <w:jc w:val="right"/>
              <w:rPr>
                <w:color w:val="000000"/>
                <w:sz w:val="18"/>
                <w:szCs w:val="18"/>
              </w:rPr>
            </w:pPr>
            <w:r>
              <w:rPr>
                <w:color w:val="000000"/>
                <w:sz w:val="18"/>
                <w:szCs w:val="18"/>
              </w:rPr>
              <w:t>0,00%</w:t>
            </w:r>
          </w:p>
        </w:tc>
      </w:tr>
      <w:tr w:rsidR="009E3E3F" w:rsidRPr="00A3076E" w14:paraId="605831B9" w14:textId="77777777" w:rsidTr="00351D17">
        <w:trPr>
          <w:trHeight w:val="312"/>
          <w:jc w:val="center"/>
        </w:trPr>
        <w:tc>
          <w:tcPr>
            <w:tcW w:w="7163" w:type="dxa"/>
            <w:vAlign w:val="center"/>
          </w:tcPr>
          <w:p w14:paraId="3BB27D05" w14:textId="4E9E5D10" w:rsidR="009E3E3F" w:rsidRDefault="009E3E3F" w:rsidP="00351D17">
            <w:pPr>
              <w:widowControl w:val="0"/>
              <w:tabs>
                <w:tab w:val="left" w:pos="993"/>
              </w:tabs>
              <w:adjustRightInd w:val="0"/>
              <w:ind w:left="0"/>
              <w:textAlignment w:val="baseline"/>
              <w:rPr>
                <w:snapToGrid w:val="0"/>
                <w:sz w:val="18"/>
                <w:szCs w:val="18"/>
                <w:lang w:eastAsia="cs-CZ"/>
              </w:rPr>
            </w:pPr>
            <w:r>
              <w:rPr>
                <w:snapToGrid w:val="0"/>
                <w:sz w:val="18"/>
                <w:szCs w:val="18"/>
                <w:lang w:eastAsia="cs-CZ"/>
              </w:rPr>
              <w:t>PO 9 –</w:t>
            </w:r>
            <w:r w:rsidRPr="00C0388E">
              <w:rPr>
                <w:snapToGrid w:val="0"/>
                <w:sz w:val="18"/>
                <w:szCs w:val="18"/>
                <w:lang w:eastAsia="cs-CZ"/>
              </w:rPr>
              <w:t xml:space="preserve"> Podpora výskumu, vývoja a inovácií</w:t>
            </w:r>
          </w:p>
        </w:tc>
        <w:tc>
          <w:tcPr>
            <w:tcW w:w="3597" w:type="dxa"/>
            <w:vAlign w:val="center"/>
          </w:tcPr>
          <w:p w14:paraId="49730E58" w14:textId="4F389AA2" w:rsidR="009E3E3F" w:rsidRPr="009E3E3F" w:rsidRDefault="00C62F22" w:rsidP="00C62F22">
            <w:pPr>
              <w:jc w:val="right"/>
              <w:rPr>
                <w:color w:val="000000"/>
                <w:sz w:val="18"/>
                <w:szCs w:val="18"/>
              </w:rPr>
            </w:pPr>
            <w:r>
              <w:rPr>
                <w:sz w:val="18"/>
                <w:szCs w:val="18"/>
              </w:rPr>
              <w:t>14 726 329</w:t>
            </w:r>
            <w:r w:rsidR="001E11AB">
              <w:rPr>
                <w:sz w:val="18"/>
                <w:szCs w:val="18"/>
              </w:rPr>
              <w:t>,00</w:t>
            </w:r>
          </w:p>
        </w:tc>
        <w:tc>
          <w:tcPr>
            <w:tcW w:w="3415" w:type="dxa"/>
            <w:vAlign w:val="center"/>
          </w:tcPr>
          <w:p w14:paraId="5DFA2487" w14:textId="499121D3" w:rsidR="009E3E3F" w:rsidRPr="009E3E3F" w:rsidRDefault="009E3E3F" w:rsidP="00C62F22">
            <w:pPr>
              <w:jc w:val="right"/>
              <w:rPr>
                <w:color w:val="000000"/>
                <w:sz w:val="18"/>
                <w:szCs w:val="18"/>
              </w:rPr>
            </w:pPr>
            <w:r w:rsidRPr="00351D17">
              <w:rPr>
                <w:sz w:val="18"/>
                <w:szCs w:val="18"/>
              </w:rPr>
              <w:t>0,</w:t>
            </w:r>
            <w:r w:rsidR="00C62F22">
              <w:rPr>
                <w:sz w:val="18"/>
                <w:szCs w:val="18"/>
              </w:rPr>
              <w:t>2</w:t>
            </w:r>
            <w:r w:rsidRPr="00351D17">
              <w:rPr>
                <w:sz w:val="18"/>
                <w:szCs w:val="18"/>
              </w:rPr>
              <w:t>4%</w:t>
            </w:r>
          </w:p>
        </w:tc>
      </w:tr>
      <w:tr w:rsidR="009E3E3F" w:rsidRPr="00A3076E" w14:paraId="001D70F4" w14:textId="77777777" w:rsidTr="00351D17">
        <w:trPr>
          <w:trHeight w:val="312"/>
          <w:jc w:val="center"/>
        </w:trPr>
        <w:tc>
          <w:tcPr>
            <w:tcW w:w="7163" w:type="dxa"/>
            <w:vAlign w:val="center"/>
          </w:tcPr>
          <w:p w14:paraId="5FE219D9" w14:textId="2C651D68" w:rsidR="009E3E3F" w:rsidRDefault="009E3E3F" w:rsidP="00351D17">
            <w:pPr>
              <w:widowControl w:val="0"/>
              <w:tabs>
                <w:tab w:val="left" w:pos="993"/>
              </w:tabs>
              <w:adjustRightInd w:val="0"/>
              <w:ind w:left="0"/>
              <w:textAlignment w:val="baseline"/>
              <w:rPr>
                <w:snapToGrid w:val="0"/>
                <w:sz w:val="18"/>
                <w:szCs w:val="18"/>
                <w:lang w:eastAsia="cs-CZ"/>
              </w:rPr>
            </w:pPr>
            <w:r>
              <w:rPr>
                <w:snapToGrid w:val="0"/>
                <w:sz w:val="18"/>
                <w:szCs w:val="18"/>
                <w:lang w:eastAsia="cs-CZ"/>
              </w:rPr>
              <w:t>PO 10 –</w:t>
            </w:r>
            <w:r w:rsidRPr="00B85198">
              <w:rPr>
                <w:snapToGrid w:val="0"/>
                <w:sz w:val="18"/>
                <w:szCs w:val="18"/>
                <w:lang w:eastAsia="cs-CZ"/>
              </w:rPr>
              <w:t xml:space="preserve"> Podpora výskumu,</w:t>
            </w:r>
            <w:r>
              <w:rPr>
                <w:snapToGrid w:val="0"/>
                <w:sz w:val="18"/>
                <w:szCs w:val="18"/>
                <w:lang w:eastAsia="cs-CZ"/>
              </w:rPr>
              <w:t xml:space="preserve"> </w:t>
            </w:r>
            <w:r w:rsidRPr="00B85198">
              <w:rPr>
                <w:snapToGrid w:val="0"/>
                <w:sz w:val="18"/>
                <w:szCs w:val="18"/>
                <w:lang w:eastAsia="cs-CZ"/>
              </w:rPr>
              <w:t>vývoja a inovácií v</w:t>
            </w:r>
            <w:r>
              <w:rPr>
                <w:snapToGrid w:val="0"/>
                <w:sz w:val="18"/>
                <w:szCs w:val="18"/>
                <w:lang w:eastAsia="cs-CZ"/>
              </w:rPr>
              <w:t xml:space="preserve"> </w:t>
            </w:r>
            <w:r w:rsidRPr="00B85198">
              <w:rPr>
                <w:snapToGrid w:val="0"/>
                <w:sz w:val="18"/>
                <w:szCs w:val="18"/>
                <w:lang w:eastAsia="cs-CZ"/>
              </w:rPr>
              <w:t>Bratislavskom kraji</w:t>
            </w:r>
          </w:p>
        </w:tc>
        <w:tc>
          <w:tcPr>
            <w:tcW w:w="3597" w:type="dxa"/>
            <w:vAlign w:val="center"/>
          </w:tcPr>
          <w:p w14:paraId="00068C54" w14:textId="1E2774C3" w:rsidR="009E3E3F" w:rsidRPr="009E3E3F" w:rsidRDefault="00C62F22" w:rsidP="00C62F22">
            <w:pPr>
              <w:jc w:val="right"/>
              <w:rPr>
                <w:color w:val="000000"/>
                <w:sz w:val="18"/>
                <w:szCs w:val="18"/>
              </w:rPr>
            </w:pPr>
            <w:r>
              <w:rPr>
                <w:sz w:val="18"/>
                <w:szCs w:val="18"/>
              </w:rPr>
              <w:t>967 692</w:t>
            </w:r>
            <w:r w:rsidR="001E11AB">
              <w:rPr>
                <w:sz w:val="18"/>
                <w:szCs w:val="18"/>
              </w:rPr>
              <w:t>,</w:t>
            </w:r>
            <w:r>
              <w:rPr>
                <w:sz w:val="18"/>
                <w:szCs w:val="18"/>
              </w:rPr>
              <w:t>1</w:t>
            </w:r>
            <w:r w:rsidR="001E11AB">
              <w:rPr>
                <w:sz w:val="18"/>
                <w:szCs w:val="18"/>
              </w:rPr>
              <w:t>0</w:t>
            </w:r>
          </w:p>
        </w:tc>
        <w:tc>
          <w:tcPr>
            <w:tcW w:w="3415" w:type="dxa"/>
            <w:vAlign w:val="center"/>
          </w:tcPr>
          <w:p w14:paraId="1642149C" w14:textId="6AB72A04" w:rsidR="009E3E3F" w:rsidRPr="009E3E3F" w:rsidRDefault="009E3E3F" w:rsidP="00C62F22">
            <w:pPr>
              <w:jc w:val="right"/>
              <w:rPr>
                <w:color w:val="000000"/>
                <w:sz w:val="18"/>
                <w:szCs w:val="18"/>
              </w:rPr>
            </w:pPr>
            <w:r w:rsidRPr="00351D17">
              <w:rPr>
                <w:sz w:val="18"/>
                <w:szCs w:val="18"/>
              </w:rPr>
              <w:t>0,0</w:t>
            </w:r>
            <w:r w:rsidR="00C62F22">
              <w:rPr>
                <w:sz w:val="18"/>
                <w:szCs w:val="18"/>
              </w:rPr>
              <w:t>2</w:t>
            </w:r>
            <w:r w:rsidRPr="00351D17">
              <w:rPr>
                <w:sz w:val="18"/>
                <w:szCs w:val="18"/>
              </w:rPr>
              <w:t>%</w:t>
            </w:r>
          </w:p>
        </w:tc>
      </w:tr>
      <w:tr w:rsidR="009E3E3F" w:rsidRPr="00A3076E" w14:paraId="68E13CC7" w14:textId="77777777" w:rsidTr="00351D17">
        <w:trPr>
          <w:trHeight w:val="312"/>
          <w:jc w:val="center"/>
        </w:trPr>
        <w:tc>
          <w:tcPr>
            <w:tcW w:w="7163" w:type="dxa"/>
            <w:vAlign w:val="center"/>
          </w:tcPr>
          <w:p w14:paraId="18FB58E9" w14:textId="3E25FC84" w:rsidR="009E3E3F" w:rsidRDefault="009E3E3F" w:rsidP="00351D17">
            <w:pPr>
              <w:widowControl w:val="0"/>
              <w:tabs>
                <w:tab w:val="left" w:pos="993"/>
              </w:tabs>
              <w:adjustRightInd w:val="0"/>
              <w:ind w:left="0"/>
              <w:textAlignment w:val="baseline"/>
              <w:rPr>
                <w:snapToGrid w:val="0"/>
                <w:sz w:val="18"/>
                <w:szCs w:val="18"/>
                <w:lang w:eastAsia="cs-CZ"/>
              </w:rPr>
            </w:pPr>
            <w:r>
              <w:rPr>
                <w:snapToGrid w:val="0"/>
                <w:sz w:val="18"/>
                <w:szCs w:val="18"/>
                <w:lang w:eastAsia="cs-CZ"/>
              </w:rPr>
              <w:t>PO 11 –</w:t>
            </w:r>
            <w:r w:rsidRPr="00D32F87">
              <w:rPr>
                <w:snapToGrid w:val="0"/>
                <w:sz w:val="18"/>
                <w:szCs w:val="18"/>
                <w:lang w:eastAsia="cs-CZ"/>
              </w:rPr>
              <w:t xml:space="preserve"> Posilnenie</w:t>
            </w:r>
            <w:r>
              <w:rPr>
                <w:snapToGrid w:val="0"/>
                <w:sz w:val="18"/>
                <w:szCs w:val="18"/>
                <w:lang w:eastAsia="cs-CZ"/>
              </w:rPr>
              <w:t xml:space="preserve"> </w:t>
            </w:r>
            <w:r w:rsidRPr="00D32F87">
              <w:rPr>
                <w:snapToGrid w:val="0"/>
                <w:sz w:val="18"/>
                <w:szCs w:val="18"/>
                <w:lang w:eastAsia="cs-CZ"/>
              </w:rPr>
              <w:t>konkurencieschopnosti a</w:t>
            </w:r>
            <w:r>
              <w:rPr>
                <w:snapToGrid w:val="0"/>
                <w:sz w:val="18"/>
                <w:szCs w:val="18"/>
                <w:lang w:eastAsia="cs-CZ"/>
              </w:rPr>
              <w:t xml:space="preserve"> </w:t>
            </w:r>
            <w:r w:rsidRPr="00D32F87">
              <w:rPr>
                <w:snapToGrid w:val="0"/>
                <w:sz w:val="18"/>
                <w:szCs w:val="18"/>
                <w:lang w:eastAsia="cs-CZ"/>
              </w:rPr>
              <w:t>rastu MSP</w:t>
            </w:r>
          </w:p>
        </w:tc>
        <w:tc>
          <w:tcPr>
            <w:tcW w:w="3597" w:type="dxa"/>
            <w:vAlign w:val="center"/>
          </w:tcPr>
          <w:p w14:paraId="7D8EA63A" w14:textId="48CB56C0" w:rsidR="009E3E3F" w:rsidRPr="009E3E3F" w:rsidRDefault="009E3E3F">
            <w:pPr>
              <w:jc w:val="right"/>
              <w:rPr>
                <w:color w:val="000000"/>
                <w:sz w:val="18"/>
                <w:szCs w:val="18"/>
              </w:rPr>
            </w:pPr>
            <w:r w:rsidRPr="00351D17">
              <w:rPr>
                <w:sz w:val="18"/>
                <w:szCs w:val="18"/>
              </w:rPr>
              <w:t>11 260</w:t>
            </w:r>
            <w:r w:rsidR="001E11AB">
              <w:rPr>
                <w:sz w:val="18"/>
                <w:szCs w:val="18"/>
              </w:rPr>
              <w:t> </w:t>
            </w:r>
            <w:r w:rsidRPr="00351D17">
              <w:rPr>
                <w:sz w:val="18"/>
                <w:szCs w:val="18"/>
              </w:rPr>
              <w:t>000</w:t>
            </w:r>
            <w:r w:rsidR="001E11AB">
              <w:rPr>
                <w:sz w:val="18"/>
                <w:szCs w:val="18"/>
              </w:rPr>
              <w:t>,00</w:t>
            </w:r>
          </w:p>
        </w:tc>
        <w:tc>
          <w:tcPr>
            <w:tcW w:w="3415" w:type="dxa"/>
            <w:vAlign w:val="center"/>
          </w:tcPr>
          <w:p w14:paraId="648BF920" w14:textId="0FD3B8BE" w:rsidR="009E3E3F" w:rsidRPr="009E3E3F" w:rsidRDefault="009E3E3F" w:rsidP="00C62F22">
            <w:pPr>
              <w:jc w:val="right"/>
              <w:rPr>
                <w:color w:val="000000"/>
                <w:sz w:val="18"/>
                <w:szCs w:val="18"/>
              </w:rPr>
            </w:pPr>
            <w:r w:rsidRPr="00351D17">
              <w:rPr>
                <w:sz w:val="18"/>
                <w:szCs w:val="18"/>
              </w:rPr>
              <w:t>0,1</w:t>
            </w:r>
            <w:r w:rsidR="00C62F22">
              <w:rPr>
                <w:sz w:val="18"/>
                <w:szCs w:val="18"/>
              </w:rPr>
              <w:t>8</w:t>
            </w:r>
            <w:r w:rsidRPr="00351D17">
              <w:rPr>
                <w:sz w:val="18"/>
                <w:szCs w:val="18"/>
              </w:rPr>
              <w:t>%</w:t>
            </w:r>
          </w:p>
        </w:tc>
      </w:tr>
      <w:tr w:rsidR="009E3E3F" w:rsidRPr="00A3076E" w14:paraId="52C10ECE" w14:textId="77777777" w:rsidTr="00351D17">
        <w:trPr>
          <w:trHeight w:val="312"/>
          <w:jc w:val="center"/>
        </w:trPr>
        <w:tc>
          <w:tcPr>
            <w:tcW w:w="7163" w:type="dxa"/>
            <w:vAlign w:val="center"/>
          </w:tcPr>
          <w:p w14:paraId="1F97B011" w14:textId="525536B5" w:rsidR="009E3E3F" w:rsidRDefault="009E3E3F" w:rsidP="00351D17">
            <w:pPr>
              <w:widowControl w:val="0"/>
              <w:tabs>
                <w:tab w:val="left" w:pos="993"/>
              </w:tabs>
              <w:adjustRightInd w:val="0"/>
              <w:ind w:left="0"/>
              <w:textAlignment w:val="baseline"/>
              <w:rPr>
                <w:snapToGrid w:val="0"/>
                <w:sz w:val="18"/>
                <w:szCs w:val="18"/>
                <w:lang w:eastAsia="cs-CZ"/>
              </w:rPr>
            </w:pPr>
            <w:r>
              <w:rPr>
                <w:snapToGrid w:val="0"/>
                <w:sz w:val="18"/>
                <w:szCs w:val="18"/>
                <w:lang w:eastAsia="cs-CZ"/>
              </w:rPr>
              <w:t xml:space="preserve">PO 12 – </w:t>
            </w:r>
            <w:r w:rsidRPr="00610341">
              <w:rPr>
                <w:snapToGrid w:val="0"/>
                <w:sz w:val="18"/>
                <w:szCs w:val="18"/>
                <w:lang w:eastAsia="cs-CZ"/>
              </w:rPr>
              <w:t>Rozvoj</w:t>
            </w:r>
            <w:r>
              <w:rPr>
                <w:snapToGrid w:val="0"/>
                <w:sz w:val="18"/>
                <w:szCs w:val="18"/>
                <w:lang w:eastAsia="cs-CZ"/>
              </w:rPr>
              <w:t xml:space="preserve"> </w:t>
            </w:r>
            <w:r w:rsidRPr="00610341">
              <w:rPr>
                <w:snapToGrid w:val="0"/>
                <w:sz w:val="18"/>
                <w:szCs w:val="18"/>
                <w:lang w:eastAsia="cs-CZ"/>
              </w:rPr>
              <w:t>konkurencieschopných</w:t>
            </w:r>
            <w:r>
              <w:rPr>
                <w:snapToGrid w:val="0"/>
                <w:sz w:val="18"/>
                <w:szCs w:val="18"/>
                <w:lang w:eastAsia="cs-CZ"/>
              </w:rPr>
              <w:t xml:space="preserve"> </w:t>
            </w:r>
            <w:r w:rsidRPr="00610341">
              <w:rPr>
                <w:snapToGrid w:val="0"/>
                <w:sz w:val="18"/>
                <w:szCs w:val="18"/>
                <w:lang w:eastAsia="cs-CZ"/>
              </w:rPr>
              <w:t>MSP v Bratislavskom kraji</w:t>
            </w:r>
          </w:p>
        </w:tc>
        <w:tc>
          <w:tcPr>
            <w:tcW w:w="3597" w:type="dxa"/>
            <w:vAlign w:val="center"/>
          </w:tcPr>
          <w:p w14:paraId="194A2C5B" w14:textId="312B8ADD" w:rsidR="009E3E3F" w:rsidRPr="009E3E3F" w:rsidRDefault="009E3E3F">
            <w:pPr>
              <w:jc w:val="right"/>
              <w:rPr>
                <w:color w:val="000000"/>
                <w:sz w:val="18"/>
                <w:szCs w:val="18"/>
              </w:rPr>
            </w:pPr>
            <w:r w:rsidRPr="00351D17">
              <w:rPr>
                <w:sz w:val="18"/>
                <w:szCs w:val="18"/>
              </w:rPr>
              <w:t>790</w:t>
            </w:r>
            <w:r w:rsidR="001E11AB">
              <w:rPr>
                <w:sz w:val="18"/>
                <w:szCs w:val="18"/>
              </w:rPr>
              <w:t> 609,60</w:t>
            </w:r>
          </w:p>
        </w:tc>
        <w:tc>
          <w:tcPr>
            <w:tcW w:w="3415" w:type="dxa"/>
            <w:vAlign w:val="center"/>
          </w:tcPr>
          <w:p w14:paraId="4D947108" w14:textId="7DE0DA71" w:rsidR="009E3E3F" w:rsidRPr="009E3E3F" w:rsidRDefault="009E3E3F">
            <w:pPr>
              <w:jc w:val="right"/>
              <w:rPr>
                <w:color w:val="000000"/>
                <w:sz w:val="18"/>
                <w:szCs w:val="18"/>
              </w:rPr>
            </w:pPr>
            <w:r w:rsidRPr="00351D17">
              <w:rPr>
                <w:sz w:val="18"/>
                <w:szCs w:val="18"/>
              </w:rPr>
              <w:t>0,01%</w:t>
            </w:r>
          </w:p>
        </w:tc>
      </w:tr>
      <w:tr w:rsidR="00395776" w:rsidRPr="00A3076E" w14:paraId="7FD25BAD" w14:textId="77777777" w:rsidTr="00A127CB">
        <w:trPr>
          <w:trHeight w:val="312"/>
          <w:jc w:val="center"/>
        </w:trPr>
        <w:tc>
          <w:tcPr>
            <w:tcW w:w="7163" w:type="dxa"/>
            <w:vAlign w:val="center"/>
          </w:tcPr>
          <w:p w14:paraId="11465EE2" w14:textId="443435C6" w:rsidR="00395776" w:rsidRDefault="00395776" w:rsidP="00351D17">
            <w:pPr>
              <w:widowControl w:val="0"/>
              <w:tabs>
                <w:tab w:val="left" w:pos="993"/>
              </w:tabs>
              <w:adjustRightInd w:val="0"/>
              <w:ind w:left="0"/>
              <w:textAlignment w:val="baseline"/>
              <w:rPr>
                <w:snapToGrid w:val="0"/>
                <w:sz w:val="18"/>
                <w:szCs w:val="18"/>
                <w:lang w:eastAsia="cs-CZ"/>
              </w:rPr>
            </w:pPr>
            <w:r>
              <w:rPr>
                <w:snapToGrid w:val="0"/>
                <w:sz w:val="18"/>
                <w:szCs w:val="18"/>
                <w:lang w:eastAsia="cs-CZ"/>
              </w:rPr>
              <w:t>PO 13 – Technická pomoc</w:t>
            </w:r>
            <w:r w:rsidR="00BB3058">
              <w:rPr>
                <w:snapToGrid w:val="0"/>
                <w:sz w:val="18"/>
                <w:szCs w:val="18"/>
                <w:lang w:eastAsia="cs-CZ"/>
              </w:rPr>
              <w:t xml:space="preserve"> VaI</w:t>
            </w:r>
          </w:p>
        </w:tc>
        <w:tc>
          <w:tcPr>
            <w:tcW w:w="3597" w:type="dxa"/>
            <w:vAlign w:val="center"/>
          </w:tcPr>
          <w:p w14:paraId="53B2AB83" w14:textId="2E894171" w:rsidR="00395776" w:rsidRPr="00395776" w:rsidRDefault="00395776" w:rsidP="00395776">
            <w:pPr>
              <w:jc w:val="right"/>
              <w:rPr>
                <w:color w:val="000000"/>
                <w:sz w:val="18"/>
                <w:szCs w:val="18"/>
              </w:rPr>
            </w:pPr>
            <w:r w:rsidRPr="00351D17">
              <w:rPr>
                <w:color w:val="000000"/>
                <w:sz w:val="18"/>
                <w:szCs w:val="18"/>
              </w:rPr>
              <w:t>0</w:t>
            </w:r>
            <w:r w:rsidR="001E11AB">
              <w:rPr>
                <w:color w:val="000000"/>
                <w:sz w:val="18"/>
                <w:szCs w:val="18"/>
              </w:rPr>
              <w:t>,00</w:t>
            </w:r>
          </w:p>
        </w:tc>
        <w:tc>
          <w:tcPr>
            <w:tcW w:w="3415" w:type="dxa"/>
            <w:vAlign w:val="center"/>
          </w:tcPr>
          <w:p w14:paraId="086AAF43" w14:textId="29F273AE" w:rsidR="00395776" w:rsidRDefault="00395776" w:rsidP="00395776">
            <w:pPr>
              <w:jc w:val="right"/>
              <w:rPr>
                <w:color w:val="000000"/>
                <w:sz w:val="18"/>
                <w:szCs w:val="18"/>
              </w:rPr>
            </w:pPr>
            <w:r>
              <w:rPr>
                <w:color w:val="000000"/>
                <w:sz w:val="18"/>
                <w:szCs w:val="18"/>
              </w:rPr>
              <w:t>0,00%</w:t>
            </w:r>
          </w:p>
        </w:tc>
      </w:tr>
      <w:tr w:rsidR="009E3E3F" w:rsidRPr="00A3076E" w14:paraId="5724AF4F" w14:textId="77777777" w:rsidTr="00351D17">
        <w:trPr>
          <w:trHeight w:val="312"/>
          <w:jc w:val="center"/>
        </w:trPr>
        <w:tc>
          <w:tcPr>
            <w:tcW w:w="7163" w:type="dxa"/>
            <w:shd w:val="clear" w:color="auto" w:fill="D9D9D9" w:themeFill="background1" w:themeFillShade="D9"/>
            <w:vAlign w:val="center"/>
          </w:tcPr>
          <w:p w14:paraId="35343A3F" w14:textId="77777777" w:rsidR="009E3E3F" w:rsidRPr="00984F39" w:rsidRDefault="009E3E3F" w:rsidP="009E3E3F">
            <w:pPr>
              <w:widowControl w:val="0"/>
              <w:tabs>
                <w:tab w:val="left" w:pos="993"/>
              </w:tabs>
              <w:adjustRightInd w:val="0"/>
              <w:ind w:left="0"/>
              <w:textAlignment w:val="baseline"/>
              <w:rPr>
                <w:b/>
                <w:snapToGrid w:val="0"/>
                <w:sz w:val="18"/>
                <w:szCs w:val="18"/>
                <w:lang w:eastAsia="cs-CZ"/>
              </w:rPr>
            </w:pPr>
            <w:r w:rsidRPr="00984F39">
              <w:rPr>
                <w:b/>
                <w:snapToGrid w:val="0"/>
                <w:sz w:val="18"/>
                <w:szCs w:val="18"/>
                <w:lang w:eastAsia="cs-CZ"/>
              </w:rPr>
              <w:t>Spolu OPII</w:t>
            </w:r>
          </w:p>
        </w:tc>
        <w:tc>
          <w:tcPr>
            <w:tcW w:w="3597" w:type="dxa"/>
            <w:shd w:val="clear" w:color="auto" w:fill="D9D9D9" w:themeFill="background1" w:themeFillShade="D9"/>
            <w:vAlign w:val="center"/>
          </w:tcPr>
          <w:p w14:paraId="2FAB47E6" w14:textId="3C2EBA28" w:rsidR="009E3E3F" w:rsidRPr="009E3E3F" w:rsidRDefault="0014400A" w:rsidP="00043882">
            <w:pPr>
              <w:ind w:left="0"/>
              <w:jc w:val="right"/>
              <w:rPr>
                <w:b/>
                <w:bCs/>
                <w:color w:val="000000"/>
                <w:sz w:val="18"/>
                <w:szCs w:val="18"/>
              </w:rPr>
            </w:pPr>
            <w:r>
              <w:rPr>
                <w:b/>
                <w:sz w:val="18"/>
                <w:szCs w:val="18"/>
              </w:rPr>
              <w:t>611 180 996,70</w:t>
            </w:r>
          </w:p>
        </w:tc>
        <w:tc>
          <w:tcPr>
            <w:tcW w:w="3415" w:type="dxa"/>
            <w:shd w:val="clear" w:color="auto" w:fill="D9D9D9" w:themeFill="background1" w:themeFillShade="D9"/>
            <w:vAlign w:val="center"/>
          </w:tcPr>
          <w:p w14:paraId="58F20132" w14:textId="4C7E33AD" w:rsidR="009E3E3F" w:rsidRPr="009E3E3F" w:rsidRDefault="0014400A" w:rsidP="00C62F22">
            <w:pPr>
              <w:jc w:val="right"/>
              <w:rPr>
                <w:b/>
                <w:bCs/>
                <w:color w:val="000000"/>
                <w:sz w:val="18"/>
                <w:szCs w:val="18"/>
              </w:rPr>
            </w:pPr>
            <w:r>
              <w:rPr>
                <w:b/>
                <w:sz w:val="18"/>
                <w:szCs w:val="18"/>
              </w:rPr>
              <w:t>9,94</w:t>
            </w:r>
            <w:r w:rsidR="009E3E3F" w:rsidRPr="00351D17">
              <w:rPr>
                <w:b/>
                <w:sz w:val="18"/>
                <w:szCs w:val="18"/>
              </w:rPr>
              <w:t>%</w:t>
            </w:r>
          </w:p>
        </w:tc>
      </w:tr>
    </w:tbl>
    <w:p w14:paraId="356642DD" w14:textId="77777777" w:rsidR="0079492E" w:rsidRDefault="0079492E" w:rsidP="002E2353">
      <w:pPr>
        <w:pStyle w:val="Nadpis2"/>
        <w:numPr>
          <w:ilvl w:val="0"/>
          <w:numId w:val="0"/>
        </w:numPr>
        <w:sectPr w:rsidR="0079492E" w:rsidSect="00E343E0">
          <w:footerReference w:type="default" r:id="rId39"/>
          <w:pgSz w:w="16838" w:h="11906" w:orient="landscape" w:code="9"/>
          <w:pgMar w:top="2041" w:right="1304" w:bottom="1304" w:left="1304" w:header="1474" w:footer="709" w:gutter="0"/>
          <w:cols w:space="708"/>
          <w:docGrid w:linePitch="360"/>
        </w:sectPr>
      </w:pPr>
    </w:p>
    <w:p w14:paraId="2F1FF7F8" w14:textId="77777777" w:rsidR="0079492E" w:rsidRDefault="005917D8" w:rsidP="005917D8">
      <w:pPr>
        <w:pStyle w:val="Nadpis1"/>
      </w:pPr>
      <w:bookmarkStart w:id="149" w:name="_Toc28951677"/>
      <w:r>
        <w:lastRenderedPageBreak/>
        <w:t>Integrovaný prístup k územnému rozvoju</w:t>
      </w:r>
      <w:bookmarkEnd w:id="149"/>
    </w:p>
    <w:p w14:paraId="7878BD35" w14:textId="77777777" w:rsidR="005917D8" w:rsidRDefault="005917D8" w:rsidP="005917D8">
      <w:pPr>
        <w:pStyle w:val="Nadpis2"/>
        <w:spacing w:before="240"/>
      </w:pPr>
      <w:bookmarkStart w:id="150" w:name="_Toc383209143"/>
      <w:bookmarkStart w:id="151" w:name="_Toc383236557"/>
      <w:bookmarkStart w:id="152" w:name="_Toc28951678"/>
      <w:bookmarkStart w:id="153" w:name="_Toc369171250"/>
      <w:r>
        <w:t>Miestny rozvoj vedený komunitou</w:t>
      </w:r>
      <w:bookmarkEnd w:id="150"/>
      <w:bookmarkEnd w:id="151"/>
      <w:bookmarkEnd w:id="152"/>
    </w:p>
    <w:p w14:paraId="4AFF8B78" w14:textId="48371FBA" w:rsidR="005917D8" w:rsidRPr="00810B40" w:rsidRDefault="005917D8" w:rsidP="005917D8">
      <w:pPr>
        <w:jc w:val="both"/>
        <w:rPr>
          <w:sz w:val="22"/>
          <w:szCs w:val="22"/>
        </w:rPr>
      </w:pPr>
      <w:r w:rsidRPr="00810B40">
        <w:rPr>
          <w:sz w:val="22"/>
          <w:szCs w:val="22"/>
        </w:rPr>
        <w:t>V súlade s kapitolou 3.1.1 PD SR sa v rá</w:t>
      </w:r>
      <w:r>
        <w:rPr>
          <w:sz w:val="22"/>
          <w:szCs w:val="22"/>
        </w:rPr>
        <w:t>mci OPII</w:t>
      </w:r>
      <w:r w:rsidRPr="00810B40">
        <w:rPr>
          <w:sz w:val="22"/>
          <w:szCs w:val="22"/>
        </w:rPr>
        <w:t xml:space="preserve"> neuplatňuje nástroj „miestny rozvoj vedený komunitou“</w:t>
      </w:r>
      <w:r w:rsidR="00B35980">
        <w:rPr>
          <w:rStyle w:val="Odkaznapoznmkupodiarou"/>
          <w:sz w:val="22"/>
          <w:szCs w:val="22"/>
        </w:rPr>
        <w:footnoteReference w:id="105"/>
      </w:r>
      <w:r w:rsidRPr="00810B40">
        <w:rPr>
          <w:sz w:val="22"/>
          <w:szCs w:val="22"/>
        </w:rPr>
        <w:t>.</w:t>
      </w:r>
    </w:p>
    <w:p w14:paraId="4896661E" w14:textId="77777777" w:rsidR="005917D8" w:rsidRDefault="00096444" w:rsidP="005917D8">
      <w:pPr>
        <w:pStyle w:val="Nadpis2"/>
        <w:spacing w:before="240"/>
      </w:pPr>
      <w:bookmarkStart w:id="154" w:name="_Toc383209144"/>
      <w:bookmarkStart w:id="155" w:name="_Toc383236558"/>
      <w:bookmarkStart w:id="156" w:name="_Toc28951679"/>
      <w:r>
        <w:t>U</w:t>
      </w:r>
      <w:r w:rsidR="005917D8">
        <w:t>držateľný mestský rozvoj</w:t>
      </w:r>
      <w:bookmarkEnd w:id="154"/>
      <w:bookmarkEnd w:id="155"/>
      <w:bookmarkEnd w:id="156"/>
    </w:p>
    <w:p w14:paraId="4CD8597A" w14:textId="43FD8DFF" w:rsidR="005917D8" w:rsidRPr="00810B40" w:rsidRDefault="005917D8" w:rsidP="005917D8">
      <w:pPr>
        <w:jc w:val="both"/>
        <w:rPr>
          <w:sz w:val="22"/>
          <w:szCs w:val="22"/>
        </w:rPr>
      </w:pPr>
      <w:r w:rsidRPr="00810B40">
        <w:rPr>
          <w:sz w:val="22"/>
          <w:szCs w:val="22"/>
        </w:rPr>
        <w:t>V súlade s kapitolou 3.1.3 PD SR OP</w:t>
      </w:r>
      <w:r>
        <w:rPr>
          <w:sz w:val="22"/>
          <w:szCs w:val="22"/>
        </w:rPr>
        <w:t>II</w:t>
      </w:r>
      <w:r w:rsidRPr="00810B40">
        <w:rPr>
          <w:sz w:val="22"/>
          <w:szCs w:val="22"/>
        </w:rPr>
        <w:t xml:space="preserve"> nie je relevantný vo vzťahu k podpore integrovaných opatrení udržateľného mestského rozvoja</w:t>
      </w:r>
      <w:r w:rsidR="00B35980">
        <w:rPr>
          <w:rStyle w:val="Odkaznapoznmkupodiarou"/>
          <w:sz w:val="22"/>
          <w:szCs w:val="22"/>
        </w:rPr>
        <w:footnoteReference w:id="106"/>
      </w:r>
      <w:r w:rsidRPr="00810B40">
        <w:rPr>
          <w:sz w:val="22"/>
          <w:szCs w:val="22"/>
        </w:rPr>
        <w:t>.</w:t>
      </w:r>
    </w:p>
    <w:p w14:paraId="22ED693A" w14:textId="77777777" w:rsidR="005917D8" w:rsidRDefault="005917D8" w:rsidP="005917D8">
      <w:pPr>
        <w:pStyle w:val="Nadpis2"/>
        <w:spacing w:before="240"/>
      </w:pPr>
      <w:bookmarkStart w:id="157" w:name="_Toc383209145"/>
      <w:bookmarkStart w:id="158" w:name="_Toc383236559"/>
      <w:bookmarkStart w:id="159" w:name="_Toc28951680"/>
      <w:r>
        <w:t>I</w:t>
      </w:r>
      <w:r w:rsidR="00FD59EA">
        <w:t>ntegrovaná územná investícia (IÚ</w:t>
      </w:r>
      <w:r>
        <w:t>I)</w:t>
      </w:r>
      <w:bookmarkEnd w:id="157"/>
      <w:bookmarkEnd w:id="158"/>
      <w:bookmarkEnd w:id="159"/>
    </w:p>
    <w:p w14:paraId="08EA89A0" w14:textId="57A8DC98" w:rsidR="005917D8" w:rsidRPr="00810B40" w:rsidRDefault="005917D8" w:rsidP="005917D8">
      <w:pPr>
        <w:rPr>
          <w:sz w:val="22"/>
          <w:szCs w:val="22"/>
        </w:rPr>
      </w:pPr>
      <w:r w:rsidRPr="00810B40">
        <w:rPr>
          <w:sz w:val="22"/>
          <w:szCs w:val="22"/>
        </w:rPr>
        <w:t>V súlade s kapitolou 3.1.2 PD SR sa v rá</w:t>
      </w:r>
      <w:r>
        <w:rPr>
          <w:sz w:val="22"/>
          <w:szCs w:val="22"/>
        </w:rPr>
        <w:t>mci OPII</w:t>
      </w:r>
      <w:r w:rsidRPr="00810B40">
        <w:rPr>
          <w:sz w:val="22"/>
          <w:szCs w:val="22"/>
        </w:rPr>
        <w:t xml:space="preserve"> neuplatňujú integrované územné investície</w:t>
      </w:r>
      <w:r w:rsidR="00B35980">
        <w:rPr>
          <w:rStyle w:val="Odkaznapoznmkupodiarou"/>
          <w:sz w:val="22"/>
          <w:szCs w:val="22"/>
        </w:rPr>
        <w:footnoteReference w:id="107"/>
      </w:r>
      <w:r w:rsidRPr="00810B40">
        <w:rPr>
          <w:sz w:val="22"/>
          <w:szCs w:val="22"/>
        </w:rPr>
        <w:t>.</w:t>
      </w:r>
    </w:p>
    <w:p w14:paraId="28AE7167" w14:textId="77777777" w:rsidR="005917D8" w:rsidRDefault="005917D8" w:rsidP="0072736B">
      <w:pPr>
        <w:pStyle w:val="Nadpis2"/>
        <w:tabs>
          <w:tab w:val="clear" w:pos="709"/>
          <w:tab w:val="clear" w:pos="851"/>
        </w:tabs>
        <w:spacing w:before="240"/>
        <w:ind w:left="709" w:hanging="709"/>
        <w:jc w:val="both"/>
      </w:pPr>
      <w:bookmarkStart w:id="160" w:name="_Toc383209146"/>
      <w:bookmarkStart w:id="161" w:name="_Toc383236560"/>
      <w:bookmarkStart w:id="162" w:name="_Toc28951681"/>
      <w:r w:rsidRPr="00810B40">
        <w:t xml:space="preserve">Opatrenia pre </w:t>
      </w:r>
      <w:r w:rsidR="00B476FF">
        <w:t>medziregionálne</w:t>
      </w:r>
      <w:r w:rsidRPr="00810B40">
        <w:t xml:space="preserve"> a nadnárodné akcie v rámci operačného programu, ktorých prijímatelia sa nachádzajú aspoň v jednom inom </w:t>
      </w:r>
      <w:r w:rsidR="00B476FF">
        <w:t xml:space="preserve">členskom </w:t>
      </w:r>
      <w:r w:rsidRPr="00810B40">
        <w:t>štáte</w:t>
      </w:r>
      <w:bookmarkEnd w:id="160"/>
      <w:bookmarkEnd w:id="161"/>
      <w:bookmarkEnd w:id="162"/>
    </w:p>
    <w:p w14:paraId="474151B0" w14:textId="3EB656B1" w:rsidR="005917D8" w:rsidRPr="00AD545D" w:rsidRDefault="005917D8" w:rsidP="005917D8">
      <w:pPr>
        <w:jc w:val="both"/>
        <w:rPr>
          <w:sz w:val="22"/>
          <w:szCs w:val="22"/>
        </w:rPr>
      </w:pPr>
      <w:r>
        <w:rPr>
          <w:sz w:val="22"/>
          <w:szCs w:val="22"/>
        </w:rPr>
        <w:t xml:space="preserve">V rámci </w:t>
      </w:r>
      <w:r w:rsidR="006B1995">
        <w:rPr>
          <w:sz w:val="22"/>
          <w:szCs w:val="22"/>
        </w:rPr>
        <w:t xml:space="preserve">prioritných osí 1 až 7 </w:t>
      </w:r>
      <w:r>
        <w:rPr>
          <w:sz w:val="22"/>
          <w:szCs w:val="22"/>
        </w:rPr>
        <w:t>OPII</w:t>
      </w:r>
      <w:r w:rsidRPr="00AD545D">
        <w:rPr>
          <w:sz w:val="22"/>
          <w:szCs w:val="22"/>
        </w:rPr>
        <w:t xml:space="preserve"> sa neuplatňujú m</w:t>
      </w:r>
      <w:r>
        <w:rPr>
          <w:sz w:val="22"/>
          <w:szCs w:val="22"/>
        </w:rPr>
        <w:t>edzinárodné a nadnárodné akcie.</w:t>
      </w:r>
      <w:r w:rsidR="006B1995">
        <w:rPr>
          <w:sz w:val="22"/>
          <w:szCs w:val="22"/>
        </w:rPr>
        <w:t xml:space="preserve"> </w:t>
      </w:r>
      <w:r w:rsidR="006B1995" w:rsidRPr="0067159F">
        <w:rPr>
          <w:sz w:val="22"/>
          <w:szCs w:val="22"/>
        </w:rPr>
        <w:t xml:space="preserve">Z pohľadu medzinárodných a nadnárodných akcií plánovaných v rámci </w:t>
      </w:r>
      <w:r w:rsidR="006B1995">
        <w:rPr>
          <w:sz w:val="22"/>
          <w:szCs w:val="22"/>
        </w:rPr>
        <w:t>prioritných osí 9 až 12</w:t>
      </w:r>
      <w:r w:rsidR="006B1995" w:rsidRPr="0067159F">
        <w:rPr>
          <w:sz w:val="22"/>
          <w:szCs w:val="22"/>
        </w:rPr>
        <w:t xml:space="preserve"> sú tieto priamo spojené s opatreniami, ktoré budú realizované v rámci špecifického cieľa </w:t>
      </w:r>
      <w:r w:rsidR="006B1995">
        <w:rPr>
          <w:sz w:val="22"/>
          <w:szCs w:val="22"/>
        </w:rPr>
        <w:t>„Zvýšenie účasti SR v </w:t>
      </w:r>
      <w:r w:rsidR="006B1995" w:rsidRPr="0067159F">
        <w:rPr>
          <w:sz w:val="22"/>
          <w:szCs w:val="22"/>
        </w:rPr>
        <w:t>projekt</w:t>
      </w:r>
      <w:r w:rsidR="001B244D">
        <w:rPr>
          <w:sz w:val="22"/>
          <w:szCs w:val="22"/>
        </w:rPr>
        <w:t>och medzinárodnej spolupráce“</w:t>
      </w:r>
      <w:r w:rsidR="001B244D">
        <w:rPr>
          <w:rStyle w:val="Odkaznapoznmkupodiarou"/>
          <w:sz w:val="22"/>
          <w:szCs w:val="22"/>
        </w:rPr>
        <w:footnoteReference w:id="108"/>
      </w:r>
      <w:r w:rsidR="006B1995" w:rsidRPr="0067159F">
        <w:rPr>
          <w:sz w:val="22"/>
          <w:szCs w:val="22"/>
        </w:rPr>
        <w:t>, ktorého všetky pláno</w:t>
      </w:r>
      <w:r w:rsidR="001B244D">
        <w:rPr>
          <w:sz w:val="22"/>
          <w:szCs w:val="22"/>
        </w:rPr>
        <w:t>vané aktivity</w:t>
      </w:r>
      <w:r w:rsidR="001B244D">
        <w:rPr>
          <w:rStyle w:val="Odkaznapoznmkupodiarou"/>
          <w:sz w:val="22"/>
          <w:szCs w:val="22"/>
        </w:rPr>
        <w:footnoteReference w:id="109"/>
      </w:r>
      <w:r w:rsidR="006B1995">
        <w:rPr>
          <w:sz w:val="22"/>
          <w:szCs w:val="22"/>
        </w:rPr>
        <w:t xml:space="preserve"> sú zamerané na </w:t>
      </w:r>
      <w:r w:rsidR="006B1995" w:rsidRPr="0067159F">
        <w:rPr>
          <w:sz w:val="22"/>
          <w:szCs w:val="22"/>
        </w:rPr>
        <w:t>zapájanie sa SR do medzinárodnej a nadnárodnej spolupráce, a to aj prostredníctvom vytvárania konzorcií so zahraničnými partnermi. Obdobný princíp plat</w:t>
      </w:r>
      <w:r w:rsidR="006B1995">
        <w:rPr>
          <w:sz w:val="22"/>
          <w:szCs w:val="22"/>
        </w:rPr>
        <w:t>í aj pre podporu synergického a </w:t>
      </w:r>
      <w:r w:rsidR="006B1995" w:rsidRPr="0067159F">
        <w:rPr>
          <w:sz w:val="22"/>
          <w:szCs w:val="22"/>
        </w:rPr>
        <w:t>komplementárneho financovani</w:t>
      </w:r>
      <w:r w:rsidR="00C97E44">
        <w:rPr>
          <w:sz w:val="22"/>
          <w:szCs w:val="22"/>
        </w:rPr>
        <w:t>a</w:t>
      </w:r>
      <w:r w:rsidR="006B1995" w:rsidRPr="0067159F">
        <w:rPr>
          <w:sz w:val="22"/>
          <w:szCs w:val="22"/>
        </w:rPr>
        <w:t xml:space="preserve"> projektov Horizontu 2020 zabezpečujúcich rozšírenie participácie nových členských štátov, ktorá je plánovaná v rámci špecifického cieľa </w:t>
      </w:r>
      <w:r w:rsidR="006B1995">
        <w:rPr>
          <w:sz w:val="22"/>
          <w:szCs w:val="22"/>
        </w:rPr>
        <w:t>10</w:t>
      </w:r>
      <w:r w:rsidR="006B1995" w:rsidRPr="0067159F">
        <w:rPr>
          <w:sz w:val="22"/>
          <w:szCs w:val="22"/>
        </w:rPr>
        <w:t>.1 OP</w:t>
      </w:r>
      <w:r w:rsidR="00B00E2B">
        <w:rPr>
          <w:sz w:val="22"/>
          <w:szCs w:val="22"/>
        </w:rPr>
        <w:t>II</w:t>
      </w:r>
      <w:r w:rsidR="00B00E2B">
        <w:rPr>
          <w:rStyle w:val="Odkaznapoznmkupodiarou"/>
          <w:sz w:val="22"/>
          <w:szCs w:val="22"/>
        </w:rPr>
        <w:footnoteReference w:id="110"/>
      </w:r>
      <w:r w:rsidR="006B1995" w:rsidRPr="0067159F">
        <w:rPr>
          <w:sz w:val="22"/>
          <w:szCs w:val="22"/>
        </w:rPr>
        <w:t>.</w:t>
      </w:r>
      <w:r w:rsidR="006B1995">
        <w:rPr>
          <w:sz w:val="22"/>
          <w:szCs w:val="22"/>
        </w:rPr>
        <w:t xml:space="preserve"> </w:t>
      </w:r>
      <w:r w:rsidR="006B1995" w:rsidRPr="0067159F">
        <w:rPr>
          <w:sz w:val="22"/>
          <w:szCs w:val="22"/>
        </w:rPr>
        <w:t>Komplementarita OP</w:t>
      </w:r>
      <w:r w:rsidR="006B1995">
        <w:rPr>
          <w:sz w:val="22"/>
          <w:szCs w:val="22"/>
        </w:rPr>
        <w:t>I</w:t>
      </w:r>
      <w:r w:rsidR="006B1995" w:rsidRPr="0067159F">
        <w:rPr>
          <w:sz w:val="22"/>
          <w:szCs w:val="22"/>
        </w:rPr>
        <w:t>I</w:t>
      </w:r>
      <w:r w:rsidR="006B1995">
        <w:rPr>
          <w:sz w:val="22"/>
          <w:szCs w:val="22"/>
        </w:rPr>
        <w:t xml:space="preserve"> (časť VaI)</w:t>
      </w:r>
      <w:r w:rsidR="006B1995" w:rsidRPr="0067159F">
        <w:rPr>
          <w:sz w:val="22"/>
          <w:szCs w:val="22"/>
        </w:rPr>
        <w:t xml:space="preserve"> k programom cezhraničnej, medziregionálnej a nadnárodnej spolupráce je popísaná </w:t>
      </w:r>
      <w:r w:rsidR="007F059A">
        <w:rPr>
          <w:sz w:val="22"/>
          <w:szCs w:val="22"/>
        </w:rPr>
        <w:t>v </w:t>
      </w:r>
      <w:r w:rsidR="006B1995" w:rsidRPr="00351D17">
        <w:rPr>
          <w:sz w:val="22"/>
          <w:szCs w:val="22"/>
        </w:rPr>
        <w:t>prílohe č. 1</w:t>
      </w:r>
      <w:r w:rsidR="00EB6AF6" w:rsidRPr="00351D17">
        <w:rPr>
          <w:sz w:val="22"/>
          <w:szCs w:val="22"/>
        </w:rPr>
        <w:t>8</w:t>
      </w:r>
      <w:r w:rsidR="006B1995" w:rsidRPr="00351D17">
        <w:rPr>
          <w:sz w:val="22"/>
          <w:szCs w:val="22"/>
        </w:rPr>
        <w:t>.</w:t>
      </w:r>
    </w:p>
    <w:p w14:paraId="2FE79B8A" w14:textId="77777777" w:rsidR="005917D8" w:rsidRPr="00AD545D" w:rsidRDefault="005917D8" w:rsidP="0072736B">
      <w:pPr>
        <w:pStyle w:val="Nadpis2"/>
        <w:tabs>
          <w:tab w:val="clear" w:pos="709"/>
          <w:tab w:val="clear" w:pos="851"/>
        </w:tabs>
        <w:spacing w:before="240"/>
        <w:ind w:left="709" w:hanging="709"/>
        <w:jc w:val="both"/>
      </w:pPr>
      <w:bookmarkStart w:id="163" w:name="_Toc383209147"/>
      <w:bookmarkStart w:id="164" w:name="_Toc383236561"/>
      <w:bookmarkStart w:id="165" w:name="_Toc28951682"/>
      <w:r w:rsidRPr="00AD545D">
        <w:t>Prínos plánovaných aktivít v rámci programu pre stratégie pre makroregióny a morské oblasti na základe potrieb oblasti programu identifikovaných členským štátom</w:t>
      </w:r>
      <w:bookmarkEnd w:id="163"/>
      <w:bookmarkEnd w:id="164"/>
      <w:bookmarkEnd w:id="165"/>
    </w:p>
    <w:p w14:paraId="6346C55D" w14:textId="77777777" w:rsidR="005917D8" w:rsidRPr="00DA54CE" w:rsidRDefault="005917D8" w:rsidP="005917D8">
      <w:pPr>
        <w:autoSpaceDE w:val="0"/>
        <w:autoSpaceDN w:val="0"/>
        <w:adjustRightInd w:val="0"/>
        <w:jc w:val="both"/>
        <w:rPr>
          <w:sz w:val="22"/>
          <w:szCs w:val="22"/>
        </w:rPr>
      </w:pPr>
      <w:r>
        <w:rPr>
          <w:sz w:val="22"/>
          <w:szCs w:val="22"/>
        </w:rPr>
        <w:t>Základným územnoplánovací</w:t>
      </w:r>
      <w:r w:rsidRPr="00DA54CE">
        <w:rPr>
          <w:sz w:val="22"/>
          <w:szCs w:val="22"/>
        </w:rPr>
        <w:t xml:space="preserve">m dokumentom </w:t>
      </w:r>
      <w:r>
        <w:rPr>
          <w:sz w:val="22"/>
          <w:szCs w:val="22"/>
        </w:rPr>
        <w:t xml:space="preserve">Slovenskej republiky </w:t>
      </w:r>
      <w:r w:rsidRPr="00DA54CE">
        <w:rPr>
          <w:sz w:val="22"/>
          <w:szCs w:val="22"/>
        </w:rPr>
        <w:t>je Koncepcia územného rozvoja SR 2001 (KURS 2001)</w:t>
      </w:r>
      <w:r w:rsidR="003162B7">
        <w:rPr>
          <w:rStyle w:val="Odkaznapoznmkupodiarou"/>
          <w:sz w:val="22"/>
          <w:szCs w:val="22"/>
        </w:rPr>
        <w:footnoteReference w:id="111"/>
      </w:r>
      <w:r w:rsidRPr="00DA54CE">
        <w:rPr>
          <w:sz w:val="22"/>
          <w:szCs w:val="22"/>
        </w:rPr>
        <w:t>. Ide o nástroj územnoplánovacej politiky, ktorý pri</w:t>
      </w:r>
      <w:r>
        <w:rPr>
          <w:sz w:val="22"/>
          <w:szCs w:val="22"/>
        </w:rPr>
        <w:t>spieva k rozvoju hospodárskej a </w:t>
      </w:r>
      <w:r w:rsidRPr="00DA54CE">
        <w:rPr>
          <w:sz w:val="22"/>
          <w:szCs w:val="22"/>
        </w:rPr>
        <w:t>sociálnej oblasti spoločnosti v súlade s požiadavkami trvalo udržateľ</w:t>
      </w:r>
      <w:r>
        <w:rPr>
          <w:sz w:val="22"/>
          <w:szCs w:val="22"/>
        </w:rPr>
        <w:t xml:space="preserve">ného rozvoja. </w:t>
      </w:r>
    </w:p>
    <w:p w14:paraId="2D0E5E86" w14:textId="77777777" w:rsidR="005917D8" w:rsidRPr="00DA54CE" w:rsidRDefault="005917D8" w:rsidP="005917D8">
      <w:pPr>
        <w:tabs>
          <w:tab w:val="left" w:pos="709"/>
        </w:tabs>
        <w:spacing w:before="180"/>
        <w:jc w:val="both"/>
        <w:rPr>
          <w:sz w:val="22"/>
          <w:szCs w:val="22"/>
        </w:rPr>
      </w:pPr>
      <w:r w:rsidRPr="00DA54CE">
        <w:rPr>
          <w:sz w:val="22"/>
          <w:szCs w:val="22"/>
        </w:rPr>
        <w:t>Skúsenosti z programového obdobia 2007 – 2013 poukázali na určité nedostatky najmä v oblasti strategického plánovania a prípravy komplexnejších územných stratégií. Bez vzájomnej previazanosti činností spojených s rozhodovaním na miestnej, regionálnej, národnej a európskej úrovni dochádza k presadzovaniu individuálnych projektov, ktoré v konečnom dôsledku majú slabší vplyv na celkové dosahovanie stanovených cieľov.</w:t>
      </w:r>
    </w:p>
    <w:p w14:paraId="1B4CF713" w14:textId="77777777" w:rsidR="005917D8" w:rsidRPr="00DA54CE" w:rsidRDefault="005917D8" w:rsidP="005917D8">
      <w:pPr>
        <w:tabs>
          <w:tab w:val="left" w:pos="709"/>
        </w:tabs>
        <w:spacing w:before="180"/>
        <w:jc w:val="both"/>
        <w:rPr>
          <w:sz w:val="22"/>
          <w:szCs w:val="22"/>
        </w:rPr>
      </w:pPr>
      <w:r w:rsidRPr="00DA54CE">
        <w:rPr>
          <w:sz w:val="22"/>
          <w:szCs w:val="22"/>
        </w:rPr>
        <w:t xml:space="preserve">Z tohto dôvodu </w:t>
      </w:r>
      <w:r w:rsidRPr="00DA54CE">
        <w:rPr>
          <w:b/>
          <w:sz w:val="22"/>
          <w:szCs w:val="22"/>
        </w:rPr>
        <w:t>sa v programovom období 2014 – 2020 pristupuje k uplatneniu integrovaného prístupu tak, aby EŠIF čo najvýraznejšie prispievali k cieľom stratégie Európa 2020</w:t>
      </w:r>
      <w:r w:rsidRPr="00DA54CE">
        <w:rPr>
          <w:sz w:val="22"/>
          <w:szCs w:val="22"/>
        </w:rPr>
        <w:t xml:space="preserve">. </w:t>
      </w:r>
      <w:r w:rsidRPr="00DA54CE">
        <w:rPr>
          <w:b/>
          <w:sz w:val="22"/>
          <w:szCs w:val="22"/>
        </w:rPr>
        <w:t>Cieľom nového prístupu je zabezpečiť dlhotrvajúce ekonomické a sociálne účinky fondov spoločného strategického rámca.</w:t>
      </w:r>
    </w:p>
    <w:p w14:paraId="72AF56CF" w14:textId="668C7403" w:rsidR="001E09F3" w:rsidRDefault="005917D8" w:rsidP="005917D8">
      <w:pPr>
        <w:tabs>
          <w:tab w:val="left" w:pos="709"/>
        </w:tabs>
        <w:spacing w:before="180"/>
        <w:jc w:val="both"/>
        <w:rPr>
          <w:b/>
          <w:sz w:val="22"/>
          <w:szCs w:val="22"/>
        </w:rPr>
      </w:pPr>
      <w:r w:rsidRPr="00DA54CE">
        <w:rPr>
          <w:sz w:val="22"/>
          <w:szCs w:val="22"/>
        </w:rPr>
        <w:lastRenderedPageBreak/>
        <w:t>Postavenie OPII-D v</w:t>
      </w:r>
      <w:r w:rsidR="008E24F3">
        <w:rPr>
          <w:sz w:val="22"/>
          <w:szCs w:val="22"/>
        </w:rPr>
        <w:t xml:space="preserve"> </w:t>
      </w:r>
      <w:r w:rsidRPr="00DA54CE">
        <w:rPr>
          <w:sz w:val="22"/>
          <w:szCs w:val="22"/>
        </w:rPr>
        <w:t>systéme operačných programov 2014 – 2020 vo vzťahu k</w:t>
      </w:r>
      <w:r w:rsidR="008E24F3">
        <w:rPr>
          <w:sz w:val="22"/>
          <w:szCs w:val="22"/>
        </w:rPr>
        <w:t xml:space="preserve"> </w:t>
      </w:r>
      <w:r w:rsidRPr="00DA54CE">
        <w:rPr>
          <w:sz w:val="22"/>
          <w:szCs w:val="22"/>
        </w:rPr>
        <w:t>územnému rozvoju je</w:t>
      </w:r>
      <w:r w:rsidR="008E24F3">
        <w:rPr>
          <w:sz w:val="22"/>
          <w:szCs w:val="22"/>
        </w:rPr>
        <w:t xml:space="preserve"> </w:t>
      </w:r>
      <w:r w:rsidRPr="00DA54CE">
        <w:rPr>
          <w:sz w:val="22"/>
          <w:szCs w:val="22"/>
        </w:rPr>
        <w:t>špecifické. Na</w:t>
      </w:r>
      <w:r w:rsidR="008E24F3">
        <w:rPr>
          <w:sz w:val="22"/>
          <w:szCs w:val="22"/>
        </w:rPr>
        <w:t xml:space="preserve"> </w:t>
      </w:r>
      <w:r w:rsidRPr="00DA54CE">
        <w:rPr>
          <w:sz w:val="22"/>
          <w:szCs w:val="22"/>
        </w:rPr>
        <w:t>rozdiel od programového obdobia 2007 – 2013 boli st</w:t>
      </w:r>
      <w:r>
        <w:rPr>
          <w:sz w:val="22"/>
          <w:szCs w:val="22"/>
        </w:rPr>
        <w:t>anovené prísnejšie kritériá pre</w:t>
      </w:r>
      <w:r w:rsidR="008E24F3">
        <w:rPr>
          <w:sz w:val="22"/>
          <w:szCs w:val="22"/>
        </w:rPr>
        <w:t> </w:t>
      </w:r>
      <w:r w:rsidRPr="00DA54CE">
        <w:rPr>
          <w:sz w:val="22"/>
          <w:szCs w:val="22"/>
        </w:rPr>
        <w:t xml:space="preserve">umiestnenie zdrojov. </w:t>
      </w:r>
      <w:r w:rsidRPr="00DA54CE">
        <w:rPr>
          <w:b/>
          <w:sz w:val="22"/>
          <w:szCs w:val="22"/>
        </w:rPr>
        <w:t>Investície do dopravy majú smerovať na</w:t>
      </w:r>
      <w:r w:rsidR="008E24F3">
        <w:rPr>
          <w:b/>
          <w:sz w:val="22"/>
          <w:szCs w:val="22"/>
        </w:rPr>
        <w:t xml:space="preserve"> </w:t>
      </w:r>
      <w:r w:rsidRPr="00DA54CE">
        <w:rPr>
          <w:b/>
          <w:sz w:val="22"/>
          <w:szCs w:val="22"/>
        </w:rPr>
        <w:t>budovanie kvalitnej infraštruktúry, ktorá zlepšuje dostupnosť a prepojenosť regiónov, zvyšuje ich atraktívnosť, kladie základy pre vyššiu konkurencieschopnosť, podnikat</w:t>
      </w:r>
      <w:r w:rsidR="008E24F3">
        <w:rPr>
          <w:b/>
          <w:sz w:val="22"/>
          <w:szCs w:val="22"/>
        </w:rPr>
        <w:t xml:space="preserve">eľský rozvoj, vytváranie nových </w:t>
      </w:r>
      <w:r w:rsidRPr="00DA54CE">
        <w:rPr>
          <w:b/>
          <w:sz w:val="22"/>
          <w:szCs w:val="22"/>
        </w:rPr>
        <w:t>pracovných miest, a</w:t>
      </w:r>
      <w:r w:rsidR="008E24F3">
        <w:rPr>
          <w:b/>
          <w:sz w:val="22"/>
          <w:szCs w:val="22"/>
        </w:rPr>
        <w:t xml:space="preserve"> </w:t>
      </w:r>
      <w:r w:rsidRPr="00DA54CE">
        <w:rPr>
          <w:b/>
          <w:sz w:val="22"/>
          <w:szCs w:val="22"/>
        </w:rPr>
        <w:t>tým aj hospodársky rast.</w:t>
      </w:r>
      <w:r w:rsidRPr="00DA54CE">
        <w:t xml:space="preserve"> </w:t>
      </w:r>
      <w:r w:rsidRPr="00DA54CE">
        <w:rPr>
          <w:b/>
          <w:sz w:val="22"/>
          <w:szCs w:val="22"/>
        </w:rPr>
        <w:t>Je potrebné sa zamerať taktiež na mestský rozmer dopravy, ktorá je dôležitá pre zabezpečen</w:t>
      </w:r>
      <w:r w:rsidR="008E24F3">
        <w:rPr>
          <w:b/>
          <w:sz w:val="22"/>
          <w:szCs w:val="22"/>
        </w:rPr>
        <w:t xml:space="preserve">ie udržateľnej mobility veľkých </w:t>
      </w:r>
      <w:r w:rsidRPr="00DA54CE">
        <w:rPr>
          <w:b/>
          <w:sz w:val="22"/>
          <w:szCs w:val="22"/>
        </w:rPr>
        <w:t>urbanizovaný</w:t>
      </w:r>
      <w:r w:rsidR="009A4FFB">
        <w:rPr>
          <w:b/>
          <w:sz w:val="22"/>
          <w:szCs w:val="22"/>
        </w:rPr>
        <w:t>ch oblastí.</w:t>
      </w:r>
    </w:p>
    <w:p w14:paraId="4BA24B45" w14:textId="227F87FE" w:rsidR="005917D8" w:rsidRPr="00DA54CE" w:rsidRDefault="005917D8" w:rsidP="005917D8">
      <w:pPr>
        <w:tabs>
          <w:tab w:val="left" w:pos="709"/>
        </w:tabs>
        <w:spacing w:before="180"/>
        <w:jc w:val="both"/>
        <w:rPr>
          <w:sz w:val="22"/>
          <w:szCs w:val="22"/>
        </w:rPr>
      </w:pPr>
      <w:r w:rsidRPr="00DA54CE">
        <w:rPr>
          <w:sz w:val="22"/>
          <w:szCs w:val="22"/>
        </w:rPr>
        <w:t>Investície do dopravy pritom musia vychádzať z</w:t>
      </w:r>
      <w:r w:rsidR="005D0CDF">
        <w:rPr>
          <w:sz w:val="22"/>
          <w:szCs w:val="22"/>
        </w:rPr>
        <w:t xml:space="preserve"> </w:t>
      </w:r>
      <w:r w:rsidRPr="00DA54CE">
        <w:rPr>
          <w:sz w:val="22"/>
          <w:szCs w:val="22"/>
        </w:rPr>
        <w:t xml:space="preserve">kľúčových priorít identifikovaných </w:t>
      </w:r>
      <w:r>
        <w:rPr>
          <w:sz w:val="22"/>
          <w:szCs w:val="22"/>
        </w:rPr>
        <w:t>v</w:t>
      </w:r>
      <w:r w:rsidR="005D0CDF">
        <w:rPr>
          <w:sz w:val="22"/>
          <w:szCs w:val="22"/>
        </w:rPr>
        <w:t xml:space="preserve"> </w:t>
      </w:r>
      <w:r>
        <w:rPr>
          <w:sz w:val="22"/>
          <w:szCs w:val="22"/>
        </w:rPr>
        <w:t xml:space="preserve">sektore </w:t>
      </w:r>
      <w:r w:rsidR="009A4FFB">
        <w:rPr>
          <w:sz w:val="22"/>
          <w:szCs w:val="22"/>
        </w:rPr>
        <w:t>s</w:t>
      </w:r>
      <w:r w:rsidR="005D0CDF">
        <w:rPr>
          <w:sz w:val="22"/>
          <w:szCs w:val="22"/>
        </w:rPr>
        <w:t> </w:t>
      </w:r>
      <w:r w:rsidRPr="00DA54CE">
        <w:rPr>
          <w:sz w:val="22"/>
          <w:szCs w:val="22"/>
        </w:rPr>
        <w:t>prioritnou orientáciou na</w:t>
      </w:r>
      <w:r w:rsidR="005D0CDF">
        <w:rPr>
          <w:sz w:val="22"/>
          <w:szCs w:val="22"/>
        </w:rPr>
        <w:t xml:space="preserve"> </w:t>
      </w:r>
      <w:r w:rsidRPr="00DA54CE">
        <w:rPr>
          <w:sz w:val="22"/>
          <w:szCs w:val="22"/>
        </w:rPr>
        <w:t>budovanie základnej siete TEN-T v</w:t>
      </w:r>
      <w:r w:rsidR="005D0CDF">
        <w:rPr>
          <w:sz w:val="22"/>
          <w:szCs w:val="22"/>
        </w:rPr>
        <w:t xml:space="preserve"> </w:t>
      </w:r>
      <w:r w:rsidRPr="00DA54CE">
        <w:rPr>
          <w:sz w:val="22"/>
          <w:szCs w:val="22"/>
        </w:rPr>
        <w:t>súlade s</w:t>
      </w:r>
      <w:r w:rsidR="00742DBF" w:rsidRPr="00DA54CE" w:rsidDel="00742DBF">
        <w:rPr>
          <w:sz w:val="22"/>
          <w:szCs w:val="22"/>
        </w:rPr>
        <w:t xml:space="preserve"> </w:t>
      </w:r>
      <w:r>
        <w:rPr>
          <w:sz w:val="22"/>
          <w:szCs w:val="22"/>
        </w:rPr>
        <w:t>nariaden</w:t>
      </w:r>
      <w:r w:rsidR="00742DBF">
        <w:rPr>
          <w:sz w:val="22"/>
          <w:szCs w:val="22"/>
        </w:rPr>
        <w:t>ím</w:t>
      </w:r>
      <w:r>
        <w:rPr>
          <w:sz w:val="22"/>
          <w:szCs w:val="22"/>
        </w:rPr>
        <w:t xml:space="preserve"> č.</w:t>
      </w:r>
      <w:r w:rsidR="005D0CDF">
        <w:rPr>
          <w:sz w:val="22"/>
          <w:szCs w:val="22"/>
        </w:rPr>
        <w:t xml:space="preserve"> </w:t>
      </w:r>
      <w:r w:rsidRPr="00DA54CE">
        <w:rPr>
          <w:sz w:val="22"/>
          <w:szCs w:val="22"/>
        </w:rPr>
        <w:t>1315/2013).</w:t>
      </w:r>
    </w:p>
    <w:p w14:paraId="2C2E6A83" w14:textId="7E214D58" w:rsidR="005917D8" w:rsidRDefault="005D0CDF" w:rsidP="005917D8">
      <w:pPr>
        <w:spacing w:before="180"/>
        <w:jc w:val="both"/>
        <w:rPr>
          <w:b/>
          <w:sz w:val="22"/>
          <w:szCs w:val="22"/>
        </w:rPr>
      </w:pPr>
      <w:r>
        <w:rPr>
          <w:sz w:val="22"/>
          <w:szCs w:val="22"/>
        </w:rPr>
        <w:t xml:space="preserve">V </w:t>
      </w:r>
      <w:r w:rsidR="005917D8" w:rsidRPr="00DA54CE">
        <w:rPr>
          <w:sz w:val="22"/>
          <w:szCs w:val="22"/>
        </w:rPr>
        <w:t>nadväznosti na požiadavku Komisie, aby došlo k zlepšeniu strategického plánovania</w:t>
      </w:r>
      <w:r w:rsidR="00742DBF">
        <w:rPr>
          <w:sz w:val="22"/>
          <w:szCs w:val="22"/>
        </w:rPr>
        <w:t>,</w:t>
      </w:r>
      <w:r w:rsidR="005917D8" w:rsidRPr="00DA54CE">
        <w:rPr>
          <w:sz w:val="22"/>
          <w:szCs w:val="22"/>
        </w:rPr>
        <w:t xml:space="preserve"> bol v roku 2013 vypracovan</w:t>
      </w:r>
      <w:r w:rsidR="00742DBF">
        <w:rPr>
          <w:sz w:val="22"/>
          <w:szCs w:val="22"/>
        </w:rPr>
        <w:t>ý</w:t>
      </w:r>
      <w:r w:rsidR="005917D8" w:rsidRPr="00DA54CE">
        <w:rPr>
          <w:sz w:val="22"/>
          <w:szCs w:val="22"/>
        </w:rPr>
        <w:t xml:space="preserve"> </w:t>
      </w:r>
      <w:r w:rsidR="005917D8" w:rsidRPr="00DA54CE">
        <w:rPr>
          <w:b/>
          <w:sz w:val="22"/>
          <w:szCs w:val="22"/>
        </w:rPr>
        <w:t>Strategický plán</w:t>
      </w:r>
      <w:r w:rsidR="005917D8" w:rsidRPr="00DA54CE">
        <w:rPr>
          <w:sz w:val="22"/>
          <w:szCs w:val="22"/>
        </w:rPr>
        <w:t>. Dokumentom sú identifikova</w:t>
      </w:r>
      <w:r w:rsidR="00354629">
        <w:rPr>
          <w:sz w:val="22"/>
          <w:szCs w:val="22"/>
        </w:rPr>
        <w:t>né národné potreby v sektore do </w:t>
      </w:r>
      <w:r w:rsidR="005917D8" w:rsidRPr="00DA54CE">
        <w:rPr>
          <w:sz w:val="22"/>
          <w:szCs w:val="22"/>
        </w:rPr>
        <w:t>roku 2020 (2023). Komplexným spôsobom rieši sieťové potreby vše</w:t>
      </w:r>
      <w:r w:rsidR="009A4FFB">
        <w:rPr>
          <w:sz w:val="22"/>
          <w:szCs w:val="22"/>
        </w:rPr>
        <w:t>tkých druhov dopravy/systémov v </w:t>
      </w:r>
      <w:r w:rsidR="005917D8" w:rsidRPr="00DA54CE">
        <w:rPr>
          <w:sz w:val="22"/>
          <w:szCs w:val="22"/>
        </w:rPr>
        <w:t>SR</w:t>
      </w:r>
      <w:r w:rsidR="00742DBF">
        <w:rPr>
          <w:sz w:val="22"/>
          <w:szCs w:val="22"/>
        </w:rPr>
        <w:t>.</w:t>
      </w:r>
      <w:r w:rsidR="00354629">
        <w:rPr>
          <w:sz w:val="22"/>
          <w:szCs w:val="22"/>
        </w:rPr>
        <w:t xml:space="preserve"> </w:t>
      </w:r>
      <w:r w:rsidR="005917D8" w:rsidRPr="00DA54CE">
        <w:rPr>
          <w:b/>
          <w:sz w:val="22"/>
          <w:szCs w:val="22"/>
        </w:rPr>
        <w:t>V dokumente sú stanovené taktiež prioritné koridory a dopravné projekty, ktoré majú v území rozhodujúci význam pre rast hospodárst</w:t>
      </w:r>
      <w:r w:rsidR="005917D8">
        <w:rPr>
          <w:b/>
          <w:sz w:val="22"/>
          <w:szCs w:val="22"/>
        </w:rPr>
        <w:t>va a zlepšenie mobility SR a na </w:t>
      </w:r>
      <w:r w:rsidR="005917D8" w:rsidRPr="00DA54CE">
        <w:rPr>
          <w:b/>
          <w:sz w:val="22"/>
          <w:szCs w:val="22"/>
        </w:rPr>
        <w:t>ktoré bude prioritne smerovaná podpora.</w:t>
      </w:r>
    </w:p>
    <w:p w14:paraId="0BB8F245" w14:textId="77777777" w:rsidR="00D3413F" w:rsidRDefault="009B1CB4" w:rsidP="005917D8">
      <w:pPr>
        <w:spacing w:before="180"/>
        <w:jc w:val="both"/>
        <w:rPr>
          <w:sz w:val="22"/>
          <w:szCs w:val="22"/>
        </w:rPr>
      </w:pPr>
      <w:r>
        <w:rPr>
          <w:sz w:val="22"/>
          <w:szCs w:val="22"/>
        </w:rPr>
        <w:t xml:space="preserve">Na zabezpečenie udržateľného mestského rozvoja budú </w:t>
      </w:r>
      <w:r w:rsidR="00331633" w:rsidRPr="00331633">
        <w:rPr>
          <w:sz w:val="22"/>
          <w:szCs w:val="22"/>
        </w:rPr>
        <w:t>na úrovni miest vypracované PUMM</w:t>
      </w:r>
      <w:r w:rsidR="00354629">
        <w:rPr>
          <w:sz w:val="22"/>
          <w:szCs w:val="22"/>
        </w:rPr>
        <w:t>, ktoré by </w:t>
      </w:r>
      <w:r w:rsidR="00D3413F">
        <w:rPr>
          <w:sz w:val="22"/>
          <w:szCs w:val="22"/>
        </w:rPr>
        <w:t>mali napomôcť</w:t>
      </w:r>
      <w:r w:rsidR="00A718FF">
        <w:rPr>
          <w:sz w:val="22"/>
          <w:szCs w:val="22"/>
        </w:rPr>
        <w:t xml:space="preserve"> v</w:t>
      </w:r>
      <w:r>
        <w:rPr>
          <w:sz w:val="22"/>
          <w:szCs w:val="22"/>
        </w:rPr>
        <w:t> mestských aglomeráciách</w:t>
      </w:r>
      <w:r w:rsidR="00A718FF">
        <w:rPr>
          <w:sz w:val="22"/>
          <w:szCs w:val="22"/>
        </w:rPr>
        <w:t xml:space="preserve"> vytvoriť udržateľn</w:t>
      </w:r>
      <w:r w:rsidR="00696194">
        <w:rPr>
          <w:sz w:val="22"/>
          <w:szCs w:val="22"/>
        </w:rPr>
        <w:t>é</w:t>
      </w:r>
      <w:r w:rsidR="00A718FF">
        <w:rPr>
          <w:sz w:val="22"/>
          <w:szCs w:val="22"/>
        </w:rPr>
        <w:t xml:space="preserve"> dopravn</w:t>
      </w:r>
      <w:r w:rsidR="00696194">
        <w:rPr>
          <w:sz w:val="22"/>
          <w:szCs w:val="22"/>
        </w:rPr>
        <w:t>é</w:t>
      </w:r>
      <w:r w:rsidR="00D3413F">
        <w:rPr>
          <w:sz w:val="22"/>
          <w:szCs w:val="22"/>
        </w:rPr>
        <w:t xml:space="preserve"> systém</w:t>
      </w:r>
      <w:r w:rsidR="00696194">
        <w:rPr>
          <w:sz w:val="22"/>
          <w:szCs w:val="22"/>
        </w:rPr>
        <w:t>y</w:t>
      </w:r>
      <w:r w:rsidR="00D3413F">
        <w:rPr>
          <w:sz w:val="22"/>
          <w:szCs w:val="22"/>
        </w:rPr>
        <w:t>.</w:t>
      </w:r>
      <w:r w:rsidR="00A718FF">
        <w:rPr>
          <w:sz w:val="22"/>
          <w:szCs w:val="22"/>
        </w:rPr>
        <w:t xml:space="preserve"> Udržateľný dopravný systém musí spĺňať hospodárske, sociálne a environmentálne</w:t>
      </w:r>
      <w:r w:rsidR="002C1444">
        <w:rPr>
          <w:sz w:val="22"/>
          <w:szCs w:val="22"/>
        </w:rPr>
        <w:t xml:space="preserve"> potreby spoločnosti pri </w:t>
      </w:r>
      <w:r w:rsidR="00A718FF">
        <w:rPr>
          <w:sz w:val="22"/>
          <w:szCs w:val="22"/>
        </w:rPr>
        <w:t>minimalizácii jeho nežiad</w:t>
      </w:r>
      <w:r w:rsidR="00B52A89">
        <w:rPr>
          <w:sz w:val="22"/>
          <w:szCs w:val="22"/>
        </w:rPr>
        <w:t>u</w:t>
      </w:r>
      <w:r w:rsidR="00A718FF">
        <w:rPr>
          <w:sz w:val="22"/>
          <w:szCs w:val="22"/>
        </w:rPr>
        <w:t>cich dopadov na hospodárstvo, spoločnosť a životné prostredie.</w:t>
      </w:r>
      <w:r w:rsidR="00D3413F">
        <w:rPr>
          <w:sz w:val="22"/>
          <w:szCs w:val="22"/>
        </w:rPr>
        <w:t xml:space="preserve"> Prostredníctvom PUMM</w:t>
      </w:r>
      <w:r w:rsidR="00820A31">
        <w:rPr>
          <w:sz w:val="22"/>
          <w:szCs w:val="22"/>
        </w:rPr>
        <w:t>, ktoré pri plánovaní využívajú integrovaný prístup,</w:t>
      </w:r>
      <w:r w:rsidR="00D3413F">
        <w:rPr>
          <w:sz w:val="22"/>
          <w:szCs w:val="22"/>
        </w:rPr>
        <w:t xml:space="preserve"> by sa malo dosiahnuť zlepšenie</w:t>
      </w:r>
      <w:r w:rsidR="00A718FF">
        <w:rPr>
          <w:sz w:val="22"/>
          <w:szCs w:val="22"/>
        </w:rPr>
        <w:t xml:space="preserve"> mobility a</w:t>
      </w:r>
      <w:r w:rsidR="00D3413F">
        <w:rPr>
          <w:sz w:val="22"/>
          <w:szCs w:val="22"/>
        </w:rPr>
        <w:t xml:space="preserve"> dostupnosti dopravného systému, zníženie znečistenia ovzdušia, emisií skleníkový</w:t>
      </w:r>
      <w:r w:rsidR="00B9120D">
        <w:rPr>
          <w:sz w:val="22"/>
          <w:szCs w:val="22"/>
        </w:rPr>
        <w:t>ch plynov a</w:t>
      </w:r>
      <w:r w:rsidR="00D3413F">
        <w:rPr>
          <w:sz w:val="22"/>
          <w:szCs w:val="22"/>
        </w:rPr>
        <w:t xml:space="preserve"> spotreby energií, ako aj</w:t>
      </w:r>
      <w:r w:rsidR="00A718FF">
        <w:rPr>
          <w:sz w:val="22"/>
          <w:szCs w:val="22"/>
        </w:rPr>
        <w:t xml:space="preserve"> zníženie zaťaženia hlukom</w:t>
      </w:r>
      <w:r w:rsidR="00D3413F">
        <w:rPr>
          <w:sz w:val="22"/>
          <w:szCs w:val="22"/>
        </w:rPr>
        <w:t>. Zároveň by sa mala zlepšiť účinnosť a znížiť nákladovosť dopravy osôb a tovaru, zlepšiť bezpečnosť a prispieť k zvýšeniu atraktívnosti dopravy a kvality života v urbanizovaných oblastiach. Okrem toho plánovanie udržateľnej mestskej mobility poskytuje príležitosť reagovať na výzv</w:t>
      </w:r>
      <w:r w:rsidR="002C1444">
        <w:rPr>
          <w:sz w:val="22"/>
          <w:szCs w:val="22"/>
        </w:rPr>
        <w:t>y spojené s meniacou sa klímou.</w:t>
      </w:r>
    </w:p>
    <w:p w14:paraId="5132E9E7" w14:textId="77777777" w:rsidR="006F3295" w:rsidRPr="006F3295" w:rsidRDefault="00331633" w:rsidP="005917D8">
      <w:pPr>
        <w:spacing w:before="180"/>
        <w:jc w:val="both"/>
        <w:rPr>
          <w:sz w:val="22"/>
          <w:szCs w:val="22"/>
        </w:rPr>
      </w:pPr>
      <w:r w:rsidRPr="00331633">
        <w:rPr>
          <w:sz w:val="22"/>
          <w:szCs w:val="22"/>
        </w:rPr>
        <w:t xml:space="preserve">Vypracovanie PUMM pre všetky dôležité aglomerácie SR </w:t>
      </w:r>
      <w:r w:rsidR="000C7996">
        <w:rPr>
          <w:sz w:val="22"/>
          <w:szCs w:val="22"/>
        </w:rPr>
        <w:t>bude v ďalšom období financovať</w:t>
      </w:r>
      <w:r w:rsidR="002C1444">
        <w:rPr>
          <w:sz w:val="22"/>
          <w:szCs w:val="22"/>
        </w:rPr>
        <w:t xml:space="preserve"> RO </w:t>
      </w:r>
      <w:r w:rsidRPr="00331633">
        <w:rPr>
          <w:sz w:val="22"/>
          <w:szCs w:val="22"/>
        </w:rPr>
        <w:t>IROP. Vo vzťahu k plánovaným aktivitám MDV SR bude dôleži</w:t>
      </w:r>
      <w:r w:rsidR="002C1444">
        <w:rPr>
          <w:sz w:val="22"/>
          <w:szCs w:val="22"/>
        </w:rPr>
        <w:t>té, aby PUMM boli vypracované a </w:t>
      </w:r>
      <w:r w:rsidRPr="00331633">
        <w:rPr>
          <w:sz w:val="22"/>
          <w:szCs w:val="22"/>
        </w:rPr>
        <w:t>slúžili ako dátová a rozhodovacia báza pri tvorbe 2. fázy Strategického plánu (pozri tiež kap. 1.1.1.3).</w:t>
      </w:r>
    </w:p>
    <w:p w14:paraId="29441C89" w14:textId="77777777" w:rsidR="005917D8" w:rsidRDefault="005917D8" w:rsidP="005917D8">
      <w:pPr>
        <w:spacing w:before="180"/>
        <w:jc w:val="both"/>
        <w:rPr>
          <w:sz w:val="22"/>
          <w:szCs w:val="22"/>
        </w:rPr>
      </w:pPr>
      <w:r w:rsidRPr="00DA54CE">
        <w:rPr>
          <w:sz w:val="22"/>
          <w:szCs w:val="22"/>
        </w:rPr>
        <w:t>Z ďalších dôležitých sub-stratégií OPII-D v oblasti územného rozvoja je možné spomenúť rozvoj podunajskej oblasti (Dunajská stratégia) a rozvoj špecifických dopravno-gravitačných uzlov (uzol Bratislava, Žilina, Košice).</w:t>
      </w:r>
    </w:p>
    <w:p w14:paraId="3507708A" w14:textId="77777777" w:rsidR="002F7BDD" w:rsidRDefault="00820A31" w:rsidP="0059698C">
      <w:pPr>
        <w:spacing w:before="180"/>
        <w:jc w:val="both"/>
        <w:rPr>
          <w:sz w:val="22"/>
          <w:szCs w:val="22"/>
        </w:rPr>
      </w:pPr>
      <w:r>
        <w:rPr>
          <w:sz w:val="22"/>
          <w:szCs w:val="22"/>
        </w:rPr>
        <w:t>Rozvoj dunajskej vodnej cesty, vytvorenie podmienok pre zabezpečenie splavnosti Dunaja a dobudovanie a modernizácia infraštruktúry v</w:t>
      </w:r>
      <w:r w:rsidR="00376D42">
        <w:rPr>
          <w:sz w:val="22"/>
          <w:szCs w:val="22"/>
        </w:rPr>
        <w:t>erejných</w:t>
      </w:r>
      <w:r>
        <w:rPr>
          <w:sz w:val="22"/>
          <w:szCs w:val="22"/>
        </w:rPr>
        <w:t xml:space="preserve"> prístav</w:t>
      </w:r>
      <w:r w:rsidR="00376D42">
        <w:rPr>
          <w:sz w:val="22"/>
          <w:szCs w:val="22"/>
        </w:rPr>
        <w:t>ov</w:t>
      </w:r>
      <w:r>
        <w:rPr>
          <w:sz w:val="22"/>
          <w:szCs w:val="22"/>
        </w:rPr>
        <w:t xml:space="preserve"> podnieti rozvoj </w:t>
      </w:r>
      <w:r w:rsidR="000D4AF7">
        <w:rPr>
          <w:sz w:val="22"/>
          <w:szCs w:val="22"/>
        </w:rPr>
        <w:t>celého dunajského</w:t>
      </w:r>
      <w:r>
        <w:rPr>
          <w:sz w:val="22"/>
          <w:szCs w:val="22"/>
        </w:rPr>
        <w:t xml:space="preserve"> regi</w:t>
      </w:r>
      <w:r w:rsidR="000D4AF7">
        <w:rPr>
          <w:sz w:val="22"/>
          <w:szCs w:val="22"/>
        </w:rPr>
        <w:t>ónu</w:t>
      </w:r>
      <w:r>
        <w:rPr>
          <w:sz w:val="22"/>
          <w:szCs w:val="22"/>
        </w:rPr>
        <w:t>. Potrebné je využiť potenciál splavnosti Dunaja v pôvodnom toku, vrátane vybudovania TEN-T, ktoré by odbremenili prepravné cesty regiónu, najmä od kamiónovej dopravy, čo by malo priaznivejšie dôsledky na životné prostredie a taktiež sa tým umožní cen</w:t>
      </w:r>
      <w:r w:rsidR="002C1444">
        <w:rPr>
          <w:sz w:val="22"/>
          <w:szCs w:val="22"/>
        </w:rPr>
        <w:t>ovo efektívna preprava tovarov.</w:t>
      </w:r>
    </w:p>
    <w:p w14:paraId="79751D85" w14:textId="77777777" w:rsidR="0059698C" w:rsidRDefault="0059698C" w:rsidP="0059698C">
      <w:pPr>
        <w:spacing w:before="180"/>
        <w:jc w:val="both"/>
        <w:rPr>
          <w:sz w:val="22"/>
          <w:szCs w:val="22"/>
          <w:u w:val="single"/>
        </w:rPr>
      </w:pPr>
      <w:r w:rsidRPr="0036667D">
        <w:rPr>
          <w:sz w:val="22"/>
          <w:szCs w:val="22"/>
          <w:u w:val="single"/>
        </w:rPr>
        <w:t>Informačná spoločnosť</w:t>
      </w:r>
    </w:p>
    <w:p w14:paraId="1CFA6AC9" w14:textId="0AEE065B" w:rsidR="0059698C" w:rsidRDefault="0059698C" w:rsidP="0059698C">
      <w:pPr>
        <w:spacing w:before="180"/>
        <w:jc w:val="both"/>
        <w:rPr>
          <w:sz w:val="22"/>
          <w:szCs w:val="22"/>
        </w:rPr>
      </w:pPr>
      <w:r>
        <w:rPr>
          <w:sz w:val="22"/>
          <w:szCs w:val="22"/>
        </w:rPr>
        <w:t xml:space="preserve">V rámci </w:t>
      </w:r>
      <w:r w:rsidRPr="00EE483E">
        <w:rPr>
          <w:sz w:val="22"/>
          <w:szCs w:val="22"/>
        </w:rPr>
        <w:t>Prioritnej osi 7 budú výsledky a ciele tejto prioritnej osi dosahované najmä implementáciou národných projektov, kde cieľovou skupinou sú všetci občania a podnikatelia bez ohľadu na ich trvalé bydlisko/sídlo. Z hľadiska aktivít, ktoré budú smerované do vopred de</w:t>
      </w:r>
      <w:r w:rsidR="00070C6D">
        <w:rPr>
          <w:sz w:val="22"/>
          <w:szCs w:val="22"/>
        </w:rPr>
        <w:t>finovaných územných oblastí, je </w:t>
      </w:r>
      <w:r w:rsidRPr="00EE483E">
        <w:rPr>
          <w:sz w:val="22"/>
          <w:szCs w:val="22"/>
        </w:rPr>
        <w:t>potrebné uviesť budovanie národných regionálnych optických sietí (prostredníctvom národných projektov) a budovanie prístupových sietí v oblastiach zlyhania trhu (prostredníctvom dopytových projektov) v rámci investičnej priority 2a</w:t>
      </w:r>
      <w:r>
        <w:rPr>
          <w:sz w:val="22"/>
          <w:szCs w:val="22"/>
        </w:rPr>
        <w:t>).</w:t>
      </w:r>
    </w:p>
    <w:p w14:paraId="68767971" w14:textId="7CD26638" w:rsidR="00B941F2" w:rsidRDefault="00B941F2" w:rsidP="0059698C">
      <w:pPr>
        <w:spacing w:before="180"/>
        <w:jc w:val="both"/>
        <w:rPr>
          <w:sz w:val="22"/>
          <w:szCs w:val="22"/>
        </w:rPr>
      </w:pPr>
    </w:p>
    <w:p w14:paraId="2EA85E51" w14:textId="77777777" w:rsidR="00B941F2" w:rsidRPr="00EE483E" w:rsidRDefault="00B941F2" w:rsidP="0059698C">
      <w:pPr>
        <w:spacing w:before="180"/>
        <w:jc w:val="both"/>
        <w:rPr>
          <w:sz w:val="22"/>
          <w:szCs w:val="22"/>
        </w:rPr>
      </w:pPr>
    </w:p>
    <w:p w14:paraId="17C0E630" w14:textId="6B2DB096" w:rsidR="006B1995" w:rsidRPr="0072736B" w:rsidRDefault="006B1995" w:rsidP="006B1995">
      <w:pPr>
        <w:spacing w:before="180"/>
        <w:jc w:val="both"/>
        <w:rPr>
          <w:sz w:val="22"/>
          <w:szCs w:val="22"/>
          <w:u w:val="single"/>
        </w:rPr>
      </w:pPr>
      <w:r w:rsidRPr="0072736B">
        <w:rPr>
          <w:sz w:val="22"/>
          <w:szCs w:val="22"/>
          <w:u w:val="single"/>
        </w:rPr>
        <w:lastRenderedPageBreak/>
        <w:t>Výskum a inovácie</w:t>
      </w:r>
    </w:p>
    <w:p w14:paraId="5E4B7443" w14:textId="0FBB23D0" w:rsidR="006B1995" w:rsidRPr="0067159F" w:rsidRDefault="006B1995" w:rsidP="006B1995">
      <w:pPr>
        <w:spacing w:before="180"/>
        <w:jc w:val="both"/>
        <w:rPr>
          <w:sz w:val="22"/>
          <w:szCs w:val="22"/>
        </w:rPr>
      </w:pPr>
      <w:r w:rsidRPr="0067159F">
        <w:rPr>
          <w:sz w:val="22"/>
          <w:szCs w:val="22"/>
        </w:rPr>
        <w:t xml:space="preserve">Prínos plánovaných aktivít </w:t>
      </w:r>
      <w:r>
        <w:rPr>
          <w:sz w:val="22"/>
          <w:szCs w:val="22"/>
        </w:rPr>
        <w:t>OPII (časť VaI)</w:t>
      </w:r>
      <w:r w:rsidRPr="0067159F">
        <w:rPr>
          <w:sz w:val="22"/>
          <w:szCs w:val="22"/>
        </w:rPr>
        <w:t xml:space="preserve"> sa prejaví naj</w:t>
      </w:r>
      <w:r>
        <w:rPr>
          <w:sz w:val="22"/>
          <w:szCs w:val="22"/>
        </w:rPr>
        <w:t xml:space="preserve">mä vo vzťahu k Stratégii EÚ pre </w:t>
      </w:r>
      <w:r w:rsidRPr="0067159F">
        <w:rPr>
          <w:sz w:val="22"/>
          <w:szCs w:val="22"/>
        </w:rPr>
        <w:t>dunajský región</w:t>
      </w:r>
      <w:r>
        <w:rPr>
          <w:sz w:val="22"/>
          <w:szCs w:val="22"/>
        </w:rPr>
        <w:t>,</w:t>
      </w:r>
      <w:r w:rsidRPr="0067159F">
        <w:rPr>
          <w:sz w:val="22"/>
          <w:szCs w:val="22"/>
        </w:rPr>
        <w:t xml:space="preserve"> a to prínosom k plneniu cieľov prioritných oblastí stratégie „Rozvíjať znalostnú spoločnosť prostredníctvom výskumu, vzdelávania a informačných technológií“, „Podporovať konkurencieschopnosť podnikov vrátane rozvoja zoskupení“ a</w:t>
      </w:r>
      <w:r>
        <w:rPr>
          <w:sz w:val="22"/>
          <w:szCs w:val="22"/>
        </w:rPr>
        <w:t xml:space="preserve"> </w:t>
      </w:r>
      <w:r w:rsidRPr="0067159F">
        <w:rPr>
          <w:sz w:val="22"/>
          <w:szCs w:val="22"/>
        </w:rPr>
        <w:t>sekundárne prispejú aktivity OP</w:t>
      </w:r>
      <w:r>
        <w:rPr>
          <w:sz w:val="22"/>
          <w:szCs w:val="22"/>
        </w:rPr>
        <w:t>II aj k </w:t>
      </w:r>
      <w:r w:rsidRPr="0067159F">
        <w:rPr>
          <w:sz w:val="22"/>
          <w:szCs w:val="22"/>
        </w:rPr>
        <w:t>prioritnej oblasti „Investovať do ľudí a zručností“, ako aj prínosom k plneniu opatrení zadefinovaných v rámci Akčného plánu</w:t>
      </w:r>
      <w:r w:rsidR="00B00E2B">
        <w:rPr>
          <w:rStyle w:val="Odkaznapoznmkupodiarou"/>
          <w:sz w:val="22"/>
          <w:szCs w:val="22"/>
        </w:rPr>
        <w:footnoteReference w:id="112"/>
      </w:r>
      <w:r w:rsidRPr="0067159F">
        <w:rPr>
          <w:sz w:val="22"/>
          <w:szCs w:val="22"/>
        </w:rPr>
        <w:t>, ktorý je sprievodným dokumentom k Stratégii Európskej únie pre dunajský región.</w:t>
      </w:r>
    </w:p>
    <w:p w14:paraId="0FB80A5B" w14:textId="0A23B266" w:rsidR="006B1995" w:rsidRPr="00DA54CE" w:rsidRDefault="006B1995" w:rsidP="006B1995">
      <w:pPr>
        <w:spacing w:before="180"/>
        <w:jc w:val="both"/>
        <w:rPr>
          <w:sz w:val="22"/>
          <w:szCs w:val="22"/>
        </w:rPr>
      </w:pPr>
      <w:r w:rsidRPr="0067159F">
        <w:rPr>
          <w:sz w:val="22"/>
          <w:szCs w:val="22"/>
        </w:rPr>
        <w:t xml:space="preserve">Čiastočne sa Stratégia EÚ pre dunajský región bude realizovať aj prostredníctvom spoločných projektov v rámci ERA/Horizontu 2020. Synergie vo vzťahu k </w:t>
      </w:r>
      <w:r>
        <w:rPr>
          <w:sz w:val="22"/>
          <w:szCs w:val="22"/>
        </w:rPr>
        <w:t xml:space="preserve">ERA a Horizontu 2020 popísané </w:t>
      </w:r>
      <w:r w:rsidRPr="003225CD">
        <w:rPr>
          <w:sz w:val="22"/>
          <w:szCs w:val="22"/>
        </w:rPr>
        <w:t>v prílohe č. 1</w:t>
      </w:r>
      <w:r w:rsidR="003225CD">
        <w:rPr>
          <w:sz w:val="22"/>
          <w:szCs w:val="22"/>
        </w:rPr>
        <w:t>8</w:t>
      </w:r>
      <w:r w:rsidRPr="0067159F">
        <w:rPr>
          <w:sz w:val="22"/>
          <w:szCs w:val="22"/>
        </w:rPr>
        <w:t xml:space="preserve"> budú súčasne zabezpečovať aj synergie so Stratégiou EÚ pre dunajský región. Príspevok projektov výskumného charakteru k plneniu cieľov Stratégie EÚ pre dunajský región bude zohľadnený aj v rámci schvaľovacieho procesu </w:t>
      </w:r>
      <w:r w:rsidRPr="00C270B2">
        <w:rPr>
          <w:sz w:val="22"/>
          <w:szCs w:val="22"/>
        </w:rPr>
        <w:t>v OP VaI</w:t>
      </w:r>
      <w:r w:rsidR="00C270B2">
        <w:rPr>
          <w:rStyle w:val="Odkaznapoznmkupodiarou"/>
          <w:sz w:val="22"/>
          <w:szCs w:val="22"/>
        </w:rPr>
        <w:footnoteReference w:id="113"/>
      </w:r>
      <w:r w:rsidRPr="0067159F">
        <w:rPr>
          <w:sz w:val="22"/>
          <w:szCs w:val="22"/>
        </w:rPr>
        <w:t>.</w:t>
      </w:r>
    </w:p>
    <w:p w14:paraId="4DDF510C" w14:textId="77777777" w:rsidR="0059698C" w:rsidRPr="00DA54CE" w:rsidRDefault="0059698C" w:rsidP="005917D8">
      <w:pPr>
        <w:spacing w:before="180"/>
        <w:jc w:val="both"/>
        <w:rPr>
          <w:sz w:val="22"/>
          <w:szCs w:val="22"/>
        </w:rPr>
      </w:pPr>
    </w:p>
    <w:p w14:paraId="0B3523C3" w14:textId="77777777" w:rsidR="005917D8" w:rsidRDefault="005917D8" w:rsidP="005917D8">
      <w:pPr>
        <w:pStyle w:val="Nadpis1"/>
        <w:jc w:val="both"/>
        <w:sectPr w:rsidR="005917D8" w:rsidSect="00D1658B">
          <w:headerReference w:type="default" r:id="rId40"/>
          <w:footerReference w:type="default" r:id="rId41"/>
          <w:pgSz w:w="11906" w:h="16838"/>
          <w:pgMar w:top="1418" w:right="1361" w:bottom="1304" w:left="1474" w:header="709" w:footer="709" w:gutter="0"/>
          <w:cols w:space="708"/>
          <w:docGrid w:linePitch="360"/>
        </w:sectPr>
      </w:pPr>
      <w:bookmarkStart w:id="166" w:name="_Toc383209148"/>
      <w:bookmarkStart w:id="167" w:name="_Toc383236562"/>
      <w:bookmarkEnd w:id="153"/>
    </w:p>
    <w:p w14:paraId="10A9A09F" w14:textId="77777777" w:rsidR="005917D8" w:rsidRDefault="005917D8" w:rsidP="002C1444">
      <w:pPr>
        <w:pStyle w:val="Nadpis1"/>
        <w:tabs>
          <w:tab w:val="clear" w:pos="709"/>
          <w:tab w:val="clear" w:pos="851"/>
        </w:tabs>
        <w:jc w:val="both"/>
      </w:pPr>
      <w:bookmarkStart w:id="168" w:name="_Toc28951683"/>
      <w:r>
        <w:lastRenderedPageBreak/>
        <w:t>Špecifické potreby geografických oblastí najviac postihnutých chudobou alebo cieľových skupín najviac ohrozených diskrimináciou alebo sociálnym vylúčením</w:t>
      </w:r>
      <w:bookmarkEnd w:id="166"/>
      <w:bookmarkEnd w:id="167"/>
      <w:bookmarkEnd w:id="168"/>
    </w:p>
    <w:p w14:paraId="5683B0C1" w14:textId="77777777" w:rsidR="00B476FF" w:rsidRDefault="00B476FF" w:rsidP="00B476FF">
      <w:pPr>
        <w:pStyle w:val="Nadpis2"/>
        <w:tabs>
          <w:tab w:val="clear" w:pos="709"/>
        </w:tabs>
        <w:spacing w:before="240" w:after="240"/>
        <w:jc w:val="both"/>
      </w:pPr>
      <w:bookmarkStart w:id="169" w:name="_Toc383091868"/>
      <w:bookmarkStart w:id="170" w:name="_Toc28951684"/>
      <w:r>
        <w:t>Geografické oblasti najviac postihnuté chudobou/cieľové skupiny najviac ohrozené diskrimináciou</w:t>
      </w:r>
      <w:bookmarkEnd w:id="169"/>
      <w:r>
        <w:t xml:space="preserve"> alebo sociálnym vylúčením</w:t>
      </w:r>
      <w:bookmarkEnd w:id="170"/>
    </w:p>
    <w:p w14:paraId="1520B069" w14:textId="77777777" w:rsidR="00746331" w:rsidRDefault="00B476FF" w:rsidP="008D6FCE">
      <w:pPr>
        <w:tabs>
          <w:tab w:val="left" w:pos="709"/>
        </w:tabs>
        <w:jc w:val="both"/>
        <w:rPr>
          <w:sz w:val="22"/>
          <w:szCs w:val="22"/>
        </w:rPr>
      </w:pPr>
      <w:r w:rsidRPr="00056C40">
        <w:rPr>
          <w:sz w:val="22"/>
          <w:szCs w:val="22"/>
        </w:rPr>
        <w:t>V SR bude integrovaný prístup na riešenie špecifických potrieb geografických oblastí najviac zasiahnutých chudobou, alebo cieľových skupín najviac ohrozených diskrimináciou, alebo sociálnym vylúčením realizovaný pre cieľovú s</w:t>
      </w:r>
      <w:r>
        <w:rPr>
          <w:sz w:val="22"/>
          <w:szCs w:val="22"/>
        </w:rPr>
        <w:t>kupinu marginalizovaných rómskych komunít (ďalej len „MRK“)</w:t>
      </w:r>
      <w:r w:rsidRPr="00056C40">
        <w:rPr>
          <w:sz w:val="22"/>
          <w:szCs w:val="22"/>
        </w:rPr>
        <w:t>.</w:t>
      </w:r>
      <w:r w:rsidR="00746331">
        <w:rPr>
          <w:sz w:val="22"/>
          <w:szCs w:val="22"/>
        </w:rPr>
        <w:t xml:space="preserve"> </w:t>
      </w:r>
      <w:r w:rsidR="00746331" w:rsidRPr="00746331">
        <w:rPr>
          <w:sz w:val="22"/>
          <w:szCs w:val="22"/>
        </w:rPr>
        <w:t>V súlade s princípom „osobitného, ale nie výlučného zamerania“ budú podporované aktivity zacielené na Rómov (najmä MRK), pričom však nebudú vylučovať i</w:t>
      </w:r>
      <w:r w:rsidR="002C1444">
        <w:rPr>
          <w:sz w:val="22"/>
          <w:szCs w:val="22"/>
        </w:rPr>
        <w:t>né osoby, ktoré sa nachádzajú v </w:t>
      </w:r>
      <w:r w:rsidR="00746331" w:rsidRPr="00746331">
        <w:rPr>
          <w:sz w:val="22"/>
          <w:szCs w:val="22"/>
        </w:rPr>
        <w:t>podobnej sociálno-ekonomickej situácii.</w:t>
      </w:r>
      <w:r>
        <w:rPr>
          <w:sz w:val="22"/>
          <w:szCs w:val="22"/>
        </w:rPr>
        <w:t xml:space="preserve"> </w:t>
      </w:r>
    </w:p>
    <w:p w14:paraId="221C6CE2" w14:textId="77777777" w:rsidR="00B476FF" w:rsidRDefault="00B476FF" w:rsidP="00746331">
      <w:pPr>
        <w:tabs>
          <w:tab w:val="left" w:pos="709"/>
        </w:tabs>
        <w:spacing w:before="180"/>
        <w:jc w:val="both"/>
        <w:rPr>
          <w:sz w:val="22"/>
          <w:szCs w:val="22"/>
        </w:rPr>
      </w:pPr>
      <w:r w:rsidRPr="00056C40">
        <w:rPr>
          <w:sz w:val="22"/>
          <w:szCs w:val="22"/>
        </w:rPr>
        <w:t>V podmienkach SR sú najviac zasiahnuté chudobou segregované a separované rómske komunity, ktorých priestorové rozptýlenie identifikuje Atlas rómskych komunít 2013 na úrovni LAU2</w:t>
      </w:r>
      <w:r>
        <w:rPr>
          <w:rStyle w:val="Odkaznapoznmkupodiarou"/>
          <w:sz w:val="22"/>
          <w:szCs w:val="22"/>
        </w:rPr>
        <w:footnoteReference w:id="114"/>
      </w:r>
      <w:r>
        <w:rPr>
          <w:sz w:val="22"/>
          <w:szCs w:val="22"/>
        </w:rPr>
        <w:t xml:space="preserve">. Integrovaný prístup bude na úrovni SR realizovaný najmä v rámci Operačného programu Ľudské zdroje </w:t>
      </w:r>
      <w:r w:rsidR="008D6FCE">
        <w:rPr>
          <w:sz w:val="22"/>
          <w:szCs w:val="22"/>
        </w:rPr>
        <w:t>prostredníctvom ESF a EFRR.</w:t>
      </w:r>
    </w:p>
    <w:p w14:paraId="6BB02C6F" w14:textId="66041132" w:rsidR="006B1995" w:rsidRPr="00014C2B" w:rsidRDefault="006B1995" w:rsidP="006B1995">
      <w:pPr>
        <w:tabs>
          <w:tab w:val="left" w:pos="709"/>
        </w:tabs>
        <w:spacing w:before="180"/>
        <w:jc w:val="both"/>
        <w:rPr>
          <w:sz w:val="22"/>
          <w:szCs w:val="22"/>
          <w:u w:val="single"/>
        </w:rPr>
      </w:pPr>
      <w:r w:rsidRPr="00014C2B">
        <w:rPr>
          <w:sz w:val="22"/>
          <w:szCs w:val="22"/>
          <w:u w:val="single"/>
        </w:rPr>
        <w:t>Výskum a inovácie</w:t>
      </w:r>
    </w:p>
    <w:p w14:paraId="60A57BE8" w14:textId="3A399828" w:rsidR="006B1995" w:rsidRPr="0067159F" w:rsidRDefault="006B1995" w:rsidP="006B1995">
      <w:pPr>
        <w:tabs>
          <w:tab w:val="left" w:pos="709"/>
        </w:tabs>
        <w:spacing w:before="180"/>
        <w:jc w:val="both"/>
        <w:rPr>
          <w:sz w:val="22"/>
          <w:szCs w:val="22"/>
        </w:rPr>
      </w:pPr>
      <w:r w:rsidRPr="0067159F">
        <w:rPr>
          <w:sz w:val="22"/>
          <w:szCs w:val="22"/>
        </w:rPr>
        <w:t>OP</w:t>
      </w:r>
      <w:r>
        <w:rPr>
          <w:sz w:val="22"/>
          <w:szCs w:val="22"/>
        </w:rPr>
        <w:t>I</w:t>
      </w:r>
      <w:r w:rsidRPr="0067159F">
        <w:rPr>
          <w:sz w:val="22"/>
          <w:szCs w:val="22"/>
        </w:rPr>
        <w:t xml:space="preserve">I </w:t>
      </w:r>
      <w:r>
        <w:rPr>
          <w:sz w:val="22"/>
          <w:szCs w:val="22"/>
        </w:rPr>
        <w:t xml:space="preserve">(časť VaI) </w:t>
      </w:r>
      <w:r w:rsidRPr="0067159F">
        <w:rPr>
          <w:sz w:val="22"/>
          <w:szCs w:val="22"/>
        </w:rPr>
        <w:t>plánuje podporiť sociálne znevýhodnené skupiny populácie formou zvýšenia motivácie pre vstup do podnikania a taktiež podporou ekonomických aktivít etab</w:t>
      </w:r>
      <w:r>
        <w:rPr>
          <w:sz w:val="22"/>
          <w:szCs w:val="22"/>
        </w:rPr>
        <w:t>lovaných podnikov zameraných na </w:t>
      </w:r>
      <w:r w:rsidRPr="0067159F">
        <w:rPr>
          <w:sz w:val="22"/>
          <w:szCs w:val="22"/>
        </w:rPr>
        <w:t>riešenie sociálnych potrieb týchto cieľových skupín, vrátane sociálneho podnikania. Zámerom je sociálnym podnikaním dosiahnuť ziskovú formu podniku, ktorej základný obchodný model spĺňa niektorú z existujúcich otvorených sociálnych potrieb spo</w:t>
      </w:r>
      <w:r>
        <w:rPr>
          <w:sz w:val="22"/>
          <w:szCs w:val="22"/>
        </w:rPr>
        <w:t>ločnosti alebo podnik, ktorý na </w:t>
      </w:r>
      <w:r w:rsidRPr="0067159F">
        <w:rPr>
          <w:sz w:val="22"/>
          <w:szCs w:val="22"/>
        </w:rPr>
        <w:t>plnenie svojho obchodného modelu používa sociálne postupy.</w:t>
      </w:r>
    </w:p>
    <w:p w14:paraId="2CB9E005" w14:textId="64907641" w:rsidR="006B1995" w:rsidRDefault="006B1995" w:rsidP="00746331">
      <w:pPr>
        <w:tabs>
          <w:tab w:val="left" w:pos="709"/>
        </w:tabs>
        <w:spacing w:before="180"/>
        <w:jc w:val="both"/>
        <w:rPr>
          <w:sz w:val="22"/>
          <w:szCs w:val="22"/>
        </w:rPr>
      </w:pPr>
      <w:r w:rsidRPr="0067159F">
        <w:rPr>
          <w:sz w:val="22"/>
          <w:szCs w:val="22"/>
        </w:rPr>
        <w:t>Sociálne potreby, ktoré sú predmetom sociálneho podnikania sú väčšinou okrajovými sociálnymi potrebami. Vyžadujú si buď vysokošpecializované zaangažovanie a sú vysokonáročné na pracovnú intenzívnosť (napr. starostlivosť o ťažko telesne a duševne postihnutých, začleňovanie drogovo závislých do pracovného pomeru a pod.), respektíve pokrývajú len veľmi úzku časť sociálnych potrieb a preto ziskové inštitúcie ani verejné inštitúcie nie sú schopné vybudovať infraštruktúru na ich uspokojovanie. Je preto potrebné realizovať sociálne inovácie ktoré zabezpečia, že investované pracovné vstupy (práca, hmotné vstupy, kapitál) dokážu okrem zisku generovať aj pozitívne sociálne externality.</w:t>
      </w:r>
    </w:p>
    <w:p w14:paraId="3789F18B" w14:textId="77777777" w:rsidR="00B476FF" w:rsidRDefault="00B476FF" w:rsidP="00B476FF">
      <w:pPr>
        <w:pStyle w:val="Nadpis2"/>
        <w:tabs>
          <w:tab w:val="clear" w:pos="709"/>
        </w:tabs>
        <w:spacing w:before="240" w:after="240"/>
        <w:jc w:val="both"/>
      </w:pPr>
      <w:bookmarkStart w:id="171" w:name="_Toc383091869"/>
      <w:bookmarkStart w:id="172" w:name="_Toc28951685"/>
      <w:r>
        <w:t>Stratégia pre riešenie špecifických potrieb geografických oblastí najviac postihnutých chudobou/cieľových skupín najviac</w:t>
      </w:r>
      <w:bookmarkEnd w:id="171"/>
      <w:r>
        <w:t xml:space="preserve"> ohrozených diskrimináciou alebo sociálnym vylúčením</w:t>
      </w:r>
      <w:bookmarkEnd w:id="172"/>
    </w:p>
    <w:p w14:paraId="42043A5C" w14:textId="77777777" w:rsidR="00B476FF" w:rsidRDefault="00B476FF" w:rsidP="00B476FF">
      <w:pPr>
        <w:tabs>
          <w:tab w:val="left" w:pos="709"/>
        </w:tabs>
        <w:jc w:val="both"/>
        <w:rPr>
          <w:sz w:val="22"/>
          <w:szCs w:val="22"/>
        </w:rPr>
      </w:pPr>
      <w:r w:rsidRPr="00473733">
        <w:rPr>
          <w:sz w:val="22"/>
          <w:szCs w:val="22"/>
        </w:rPr>
        <w:t>Stratégia Slovenskej republiky pre integráciu Rómov do roku 2020</w:t>
      </w:r>
      <w:r>
        <w:rPr>
          <w:rStyle w:val="Odkaznapoznmkupodiarou"/>
          <w:sz w:val="22"/>
          <w:szCs w:val="22"/>
        </w:rPr>
        <w:footnoteReference w:id="115"/>
      </w:r>
      <w:r w:rsidRPr="00473733">
        <w:rPr>
          <w:sz w:val="22"/>
          <w:szCs w:val="22"/>
        </w:rPr>
        <w:t xml:space="preserve"> a Revidovaný národný akčný plán Dekády začleňovania rómskej populácie 2005 – 2015 na roky 2011 – 2015</w:t>
      </w:r>
      <w:r>
        <w:rPr>
          <w:rStyle w:val="Odkaznapoznmkupodiarou"/>
          <w:sz w:val="22"/>
          <w:szCs w:val="22"/>
        </w:rPr>
        <w:footnoteReference w:id="116"/>
      </w:r>
      <w:r w:rsidRPr="00473733">
        <w:rPr>
          <w:sz w:val="22"/>
          <w:szCs w:val="22"/>
        </w:rPr>
        <w:t xml:space="preserve"> je v súlade s odporúčaniami Rady o účinných opatreniach na integráciu Rómov v členských štátoch</w:t>
      </w:r>
      <w:r>
        <w:rPr>
          <w:rStyle w:val="Odkaznapoznmkupodiarou"/>
          <w:sz w:val="22"/>
          <w:szCs w:val="22"/>
        </w:rPr>
        <w:footnoteReference w:id="117"/>
      </w:r>
      <w:r w:rsidRPr="00473733">
        <w:rPr>
          <w:sz w:val="22"/>
          <w:szCs w:val="22"/>
        </w:rPr>
        <w:t xml:space="preserve"> a Sociálnym investičným balíkom</w:t>
      </w:r>
      <w:r>
        <w:rPr>
          <w:rStyle w:val="Odkaznapoznmkupodiarou"/>
          <w:sz w:val="22"/>
          <w:szCs w:val="22"/>
        </w:rPr>
        <w:footnoteReference w:id="118"/>
      </w:r>
      <w:r w:rsidRPr="00473733">
        <w:rPr>
          <w:sz w:val="22"/>
          <w:szCs w:val="22"/>
        </w:rPr>
        <w:t>.</w:t>
      </w:r>
      <w:r>
        <w:rPr>
          <w:sz w:val="22"/>
          <w:szCs w:val="22"/>
        </w:rPr>
        <w:t xml:space="preserve"> Investičnou podporou štyroch opatrení (vzdelávanie, zamestnanosť, bývanie a zdravotná starostlivosť) sa dosiahne integrovaný prístup k inklúzii obyvateľov MRK.</w:t>
      </w:r>
    </w:p>
    <w:p w14:paraId="373FC599" w14:textId="77777777" w:rsidR="00B476FF" w:rsidRDefault="00B476FF" w:rsidP="00B476FF">
      <w:pPr>
        <w:tabs>
          <w:tab w:val="left" w:pos="709"/>
        </w:tabs>
        <w:spacing w:before="180"/>
        <w:jc w:val="both"/>
        <w:rPr>
          <w:sz w:val="22"/>
          <w:szCs w:val="22"/>
        </w:rPr>
      </w:pPr>
      <w:r>
        <w:rPr>
          <w:sz w:val="22"/>
          <w:szCs w:val="22"/>
        </w:rPr>
        <w:t xml:space="preserve">Prostredníctvom OPII bude možné čiastočne prispieť </w:t>
      </w:r>
      <w:r w:rsidR="00354629">
        <w:rPr>
          <w:sz w:val="22"/>
          <w:szCs w:val="22"/>
        </w:rPr>
        <w:t>k zvýšeniu zamestnanosti MRK, a </w:t>
      </w:r>
      <w:r>
        <w:rPr>
          <w:sz w:val="22"/>
          <w:szCs w:val="22"/>
        </w:rPr>
        <w:t xml:space="preserve">to predovšetkým vo fáze stavebnej realizácie dopravných projektov. </w:t>
      </w:r>
      <w:r w:rsidRPr="00B261AC">
        <w:rPr>
          <w:sz w:val="22"/>
          <w:szCs w:val="22"/>
        </w:rPr>
        <w:t xml:space="preserve">V rámci </w:t>
      </w:r>
      <w:r>
        <w:rPr>
          <w:sz w:val="22"/>
          <w:szCs w:val="22"/>
        </w:rPr>
        <w:t>OPII bude využitý</w:t>
      </w:r>
      <w:r w:rsidRPr="00B261AC">
        <w:rPr>
          <w:sz w:val="22"/>
          <w:szCs w:val="22"/>
        </w:rPr>
        <w:t xml:space="preserve"> sociálny aspekt vo VO, ktorý by mal priniesť vy</w:t>
      </w:r>
      <w:r>
        <w:rPr>
          <w:sz w:val="22"/>
          <w:szCs w:val="22"/>
        </w:rPr>
        <w:t>ššiu mieru účasti na trhu práce</w:t>
      </w:r>
      <w:r w:rsidR="00746331">
        <w:rPr>
          <w:sz w:val="22"/>
          <w:szCs w:val="22"/>
        </w:rPr>
        <w:t xml:space="preserve"> nielen</w:t>
      </w:r>
      <w:r>
        <w:rPr>
          <w:sz w:val="22"/>
          <w:szCs w:val="22"/>
        </w:rPr>
        <w:t xml:space="preserve"> pre MRK, </w:t>
      </w:r>
      <w:r w:rsidR="00746331">
        <w:rPr>
          <w:sz w:val="22"/>
          <w:szCs w:val="22"/>
        </w:rPr>
        <w:t>ale aj pre iné</w:t>
      </w:r>
      <w:r>
        <w:rPr>
          <w:sz w:val="22"/>
          <w:szCs w:val="22"/>
        </w:rPr>
        <w:t xml:space="preserve"> skupiny</w:t>
      </w:r>
      <w:r w:rsidR="00746331">
        <w:rPr>
          <w:sz w:val="22"/>
          <w:szCs w:val="22"/>
        </w:rPr>
        <w:t xml:space="preserve"> obyvateľstva</w:t>
      </w:r>
      <w:r>
        <w:rPr>
          <w:sz w:val="22"/>
          <w:szCs w:val="22"/>
        </w:rPr>
        <w:t xml:space="preserve"> ohrozené chudobou a sociálnym vylúčením</w:t>
      </w:r>
      <w:r w:rsidR="00746331">
        <w:rPr>
          <w:sz w:val="22"/>
          <w:szCs w:val="22"/>
        </w:rPr>
        <w:t>, ako sú napríklad dlhodobo nezamestnaní</w:t>
      </w:r>
      <w:r>
        <w:rPr>
          <w:sz w:val="22"/>
          <w:szCs w:val="22"/>
        </w:rPr>
        <w:t>. Vyššou mierou participácie MRK</w:t>
      </w:r>
      <w:r w:rsidR="00746331">
        <w:rPr>
          <w:sz w:val="22"/>
          <w:szCs w:val="22"/>
        </w:rPr>
        <w:t xml:space="preserve">, ako aj ďalších skupín obyvateľstva ohrozených </w:t>
      </w:r>
      <w:r w:rsidR="00746331">
        <w:rPr>
          <w:sz w:val="22"/>
          <w:szCs w:val="22"/>
        </w:rPr>
        <w:lastRenderedPageBreak/>
        <w:t>chudobou a sociálnym vylúčením</w:t>
      </w:r>
      <w:r>
        <w:rPr>
          <w:sz w:val="22"/>
          <w:szCs w:val="22"/>
        </w:rPr>
        <w:t xml:space="preserve"> na trhu práce sa vytvoria predpoklady pre zlepšenie sociálnej situácie a kvality života </w:t>
      </w:r>
      <w:r w:rsidR="00746331">
        <w:rPr>
          <w:sz w:val="22"/>
          <w:szCs w:val="22"/>
        </w:rPr>
        <w:t>týchto</w:t>
      </w:r>
      <w:r>
        <w:rPr>
          <w:sz w:val="22"/>
          <w:szCs w:val="22"/>
        </w:rPr>
        <w:t xml:space="preserve"> skup</w:t>
      </w:r>
      <w:r w:rsidR="00746331">
        <w:rPr>
          <w:sz w:val="22"/>
          <w:szCs w:val="22"/>
        </w:rPr>
        <w:t>í</w:t>
      </w:r>
      <w:r>
        <w:rPr>
          <w:sz w:val="22"/>
          <w:szCs w:val="22"/>
        </w:rPr>
        <w:t>n obyvateľstva.</w:t>
      </w:r>
    </w:p>
    <w:p w14:paraId="152B161E" w14:textId="2219FE21" w:rsidR="006B1995" w:rsidRDefault="006B1995" w:rsidP="006B1995">
      <w:pPr>
        <w:tabs>
          <w:tab w:val="left" w:pos="709"/>
        </w:tabs>
        <w:spacing w:before="180"/>
        <w:jc w:val="both"/>
        <w:rPr>
          <w:sz w:val="22"/>
          <w:szCs w:val="22"/>
        </w:rPr>
      </w:pPr>
      <w:r>
        <w:rPr>
          <w:sz w:val="22"/>
          <w:szCs w:val="22"/>
        </w:rPr>
        <w:t>Výskum a inovácie</w:t>
      </w:r>
    </w:p>
    <w:p w14:paraId="65374A52" w14:textId="6615F1CD" w:rsidR="006B1995" w:rsidRDefault="006B1995" w:rsidP="006B1995">
      <w:pPr>
        <w:tabs>
          <w:tab w:val="left" w:pos="709"/>
        </w:tabs>
        <w:spacing w:before="180"/>
        <w:jc w:val="both"/>
        <w:rPr>
          <w:sz w:val="22"/>
          <w:szCs w:val="22"/>
        </w:rPr>
      </w:pPr>
      <w:r w:rsidRPr="00BC27CC">
        <w:rPr>
          <w:sz w:val="22"/>
          <w:szCs w:val="22"/>
        </w:rPr>
        <w:t xml:space="preserve">V rámci špecifických cieľov </w:t>
      </w:r>
      <w:r>
        <w:rPr>
          <w:sz w:val="22"/>
          <w:szCs w:val="22"/>
        </w:rPr>
        <w:t>11</w:t>
      </w:r>
      <w:r w:rsidRPr="00BC27CC">
        <w:rPr>
          <w:sz w:val="22"/>
          <w:szCs w:val="22"/>
        </w:rPr>
        <w:t xml:space="preserve">.1, </w:t>
      </w:r>
      <w:r>
        <w:rPr>
          <w:sz w:val="22"/>
          <w:szCs w:val="22"/>
        </w:rPr>
        <w:t>11</w:t>
      </w:r>
      <w:r w:rsidRPr="00BC27CC">
        <w:rPr>
          <w:sz w:val="22"/>
          <w:szCs w:val="22"/>
        </w:rPr>
        <w:t xml:space="preserve">.3 a </w:t>
      </w:r>
      <w:r>
        <w:rPr>
          <w:sz w:val="22"/>
          <w:szCs w:val="22"/>
        </w:rPr>
        <w:t>12</w:t>
      </w:r>
      <w:r w:rsidRPr="00BC27CC">
        <w:rPr>
          <w:sz w:val="22"/>
          <w:szCs w:val="22"/>
        </w:rPr>
        <w:t>.1 sú navrhnuté viaceré aktivity zamerané na finančnú podporu podnikateľských subjektov pôsobiacich v oblasti sociálnej ekonomiky, zvyšovanie zručností, zlepšovanie podmienok pre podnikanie. Zároveň budú s využitím sociálnych inovácií realizované opatrenia s cieľom podpory vstupu do podnikania záujemcov z marginalizovaných skupín, zabezpečenia rastu existujúcich podnikov prevádzkovaných príslušníkmi marginalizovaných skupín spojeného s vytváraním nových pracovných miest, budovanie špecializovaných podporných štruktúr a</w:t>
      </w:r>
      <w:r>
        <w:rPr>
          <w:sz w:val="22"/>
          <w:szCs w:val="22"/>
        </w:rPr>
        <w:t> </w:t>
      </w:r>
      <w:r w:rsidRPr="00BC27CC">
        <w:rPr>
          <w:sz w:val="22"/>
          <w:szCs w:val="22"/>
        </w:rPr>
        <w:t>poskytovanie odborného poradenstva pre podnikateľov zo sociálne znevýhodneného prostredia ako aj pre podniky poskytujúce sociálne služby.</w:t>
      </w:r>
    </w:p>
    <w:p w14:paraId="248C40D2" w14:textId="77777777" w:rsidR="00B476FF" w:rsidRDefault="00B476FF" w:rsidP="005917D8">
      <w:pPr>
        <w:jc w:val="both"/>
        <w:rPr>
          <w:sz w:val="22"/>
          <w:szCs w:val="22"/>
        </w:rPr>
      </w:pPr>
    </w:p>
    <w:p w14:paraId="339F81A5" w14:textId="77777777" w:rsidR="005917D8" w:rsidRDefault="005917D8" w:rsidP="002C1444">
      <w:pPr>
        <w:pStyle w:val="Nadpis1"/>
        <w:tabs>
          <w:tab w:val="clear" w:pos="709"/>
          <w:tab w:val="clear" w:pos="851"/>
        </w:tabs>
        <w:jc w:val="both"/>
      </w:pPr>
      <w:bookmarkStart w:id="173" w:name="_Toc383209149"/>
      <w:bookmarkStart w:id="174" w:name="_Toc383236563"/>
      <w:bookmarkStart w:id="175" w:name="_Toc28951686"/>
      <w:r w:rsidRPr="00AD545D">
        <w:t>Špecifické potreby geografických oblastí so závažne a trvalo znevýhodnenými prírodnými alebo demografickými podmienkami</w:t>
      </w:r>
      <w:bookmarkEnd w:id="173"/>
      <w:bookmarkEnd w:id="174"/>
      <w:bookmarkEnd w:id="175"/>
    </w:p>
    <w:p w14:paraId="093D6A1E" w14:textId="77777777" w:rsidR="005917D8" w:rsidRPr="00AD545D" w:rsidRDefault="00C96E0F" w:rsidP="005917D8">
      <w:r>
        <w:t>N/A</w:t>
      </w:r>
    </w:p>
    <w:p w14:paraId="141CA5D7" w14:textId="77777777" w:rsidR="005917D8" w:rsidRDefault="005917D8" w:rsidP="005917D8">
      <w:pPr>
        <w:sectPr w:rsidR="005917D8" w:rsidSect="00D1658B">
          <w:headerReference w:type="default" r:id="rId42"/>
          <w:pgSz w:w="11906" w:h="16838"/>
          <w:pgMar w:top="1418" w:right="1361" w:bottom="1304" w:left="1474" w:header="709" w:footer="709" w:gutter="0"/>
          <w:cols w:space="708"/>
          <w:docGrid w:linePitch="360"/>
        </w:sectPr>
      </w:pPr>
    </w:p>
    <w:p w14:paraId="2A12F1A3" w14:textId="77777777" w:rsidR="005917D8" w:rsidRDefault="005917D8" w:rsidP="005D0CDF">
      <w:pPr>
        <w:pStyle w:val="Nadpis1"/>
        <w:tabs>
          <w:tab w:val="clear" w:pos="709"/>
          <w:tab w:val="clear" w:pos="851"/>
        </w:tabs>
        <w:ind w:left="709" w:hanging="709"/>
        <w:jc w:val="both"/>
      </w:pPr>
      <w:bookmarkStart w:id="176" w:name="_Toc383209150"/>
      <w:bookmarkStart w:id="177" w:name="_Toc383236564"/>
      <w:bookmarkStart w:id="178" w:name="_Toc28951687"/>
      <w:r>
        <w:lastRenderedPageBreak/>
        <w:t>Orgány a subjekty zodpo</w:t>
      </w:r>
      <w:r w:rsidRPr="00AD545D">
        <w:t>ve</w:t>
      </w:r>
      <w:r>
        <w:t>dné za riadenie, kontrolu a audit a úlohy príslušných partnerov</w:t>
      </w:r>
      <w:bookmarkEnd w:id="176"/>
      <w:bookmarkEnd w:id="177"/>
      <w:bookmarkEnd w:id="178"/>
    </w:p>
    <w:p w14:paraId="0C03723D" w14:textId="08EBD09C" w:rsidR="00975EAF" w:rsidRPr="00975EAF" w:rsidRDefault="005917D8">
      <w:pPr>
        <w:pStyle w:val="Nadpis2"/>
        <w:spacing w:before="240"/>
      </w:pPr>
      <w:bookmarkStart w:id="179" w:name="_Toc383209151"/>
      <w:bookmarkStart w:id="180" w:name="_Toc383236565"/>
      <w:bookmarkStart w:id="181" w:name="_Toc28951688"/>
      <w:r>
        <w:t>Identifikácia príslušných orgánov a</w:t>
      </w:r>
      <w:r w:rsidR="00975EAF">
        <w:t> </w:t>
      </w:r>
      <w:r>
        <w:t>subjektov</w:t>
      </w:r>
      <w:bookmarkEnd w:id="179"/>
      <w:bookmarkEnd w:id="180"/>
      <w:bookmarkEnd w:id="181"/>
    </w:p>
    <w:p w14:paraId="3B85A516" w14:textId="43A9CDDC" w:rsidR="00975EAF" w:rsidRPr="0059237E" w:rsidRDefault="00975EAF" w:rsidP="00975EAF">
      <w:pPr>
        <w:pStyle w:val="Zkladntext"/>
        <w:spacing w:before="240" w:after="0"/>
        <w:jc w:val="both"/>
        <w:rPr>
          <w:sz w:val="22"/>
          <w:szCs w:val="22"/>
        </w:rPr>
      </w:pPr>
      <w:r w:rsidRPr="0059237E">
        <w:rPr>
          <w:sz w:val="22"/>
          <w:szCs w:val="22"/>
        </w:rPr>
        <w:t xml:space="preserve">Štruktúra implementácie OP v rámci programového obdobia 2014 – 2020 bola určená uznesením vlády SR č. 139/2013 z 20. marca 2013 k návrhu štruktúry OP financovaných z EŠIF na programové obdobie 2014 – 2020. V zmysle </w:t>
      </w:r>
      <w:r w:rsidR="00D325F8">
        <w:rPr>
          <w:sz w:val="22"/>
          <w:szCs w:val="22"/>
        </w:rPr>
        <w:t>prijatých uznesení vlády SR</w:t>
      </w:r>
      <w:r w:rsidR="00CC565D">
        <w:rPr>
          <w:rStyle w:val="Odkaznapoznmkupodiarou"/>
          <w:sz w:val="22"/>
          <w:szCs w:val="22"/>
        </w:rPr>
        <w:footnoteReference w:id="119"/>
      </w:r>
      <w:r w:rsidR="00D325F8">
        <w:rPr>
          <w:sz w:val="22"/>
          <w:szCs w:val="22"/>
        </w:rPr>
        <w:t xml:space="preserve">, </w:t>
      </w:r>
      <w:r w:rsidRPr="0059237E">
        <w:rPr>
          <w:sz w:val="22"/>
          <w:szCs w:val="22"/>
        </w:rPr>
        <w:t>funkciu RO OP</w:t>
      </w:r>
      <w:r w:rsidR="008A2D18">
        <w:rPr>
          <w:sz w:val="22"/>
          <w:szCs w:val="22"/>
        </w:rPr>
        <w:t>I</w:t>
      </w:r>
      <w:r w:rsidRPr="0059237E">
        <w:rPr>
          <w:sz w:val="22"/>
          <w:szCs w:val="22"/>
        </w:rPr>
        <w:t xml:space="preserve">I vykonáva </w:t>
      </w:r>
      <w:r w:rsidR="008A2D18">
        <w:rPr>
          <w:sz w:val="22"/>
          <w:szCs w:val="22"/>
        </w:rPr>
        <w:t>MDV</w:t>
      </w:r>
      <w:r w:rsidRPr="0059237E">
        <w:rPr>
          <w:sz w:val="22"/>
          <w:szCs w:val="22"/>
        </w:rPr>
        <w:t xml:space="preserve"> SR a</w:t>
      </w:r>
      <w:r w:rsidR="008A2D18">
        <w:rPr>
          <w:sz w:val="22"/>
          <w:szCs w:val="22"/>
        </w:rPr>
        <w:t xml:space="preserve"> funkciu </w:t>
      </w:r>
      <w:r w:rsidRPr="0059237E">
        <w:rPr>
          <w:sz w:val="22"/>
          <w:szCs w:val="22"/>
        </w:rPr>
        <w:t>SO OP</w:t>
      </w:r>
      <w:r w:rsidR="00D325F8">
        <w:rPr>
          <w:sz w:val="22"/>
          <w:szCs w:val="22"/>
        </w:rPr>
        <w:t>I</w:t>
      </w:r>
      <w:r w:rsidRPr="0059237E">
        <w:rPr>
          <w:sz w:val="22"/>
          <w:szCs w:val="22"/>
        </w:rPr>
        <w:t>I vykonáva</w:t>
      </w:r>
      <w:r w:rsidR="00D325F8">
        <w:rPr>
          <w:sz w:val="22"/>
          <w:szCs w:val="22"/>
        </w:rPr>
        <w:t>jú ÚPVII, MŠVV</w:t>
      </w:r>
      <w:r w:rsidR="00014C2B">
        <w:rPr>
          <w:sz w:val="22"/>
          <w:szCs w:val="22"/>
        </w:rPr>
        <w:t>a</w:t>
      </w:r>
      <w:r w:rsidR="00D325F8">
        <w:rPr>
          <w:sz w:val="22"/>
          <w:szCs w:val="22"/>
        </w:rPr>
        <w:t>Š SR a</w:t>
      </w:r>
      <w:r w:rsidRPr="0059237E">
        <w:rPr>
          <w:sz w:val="22"/>
          <w:szCs w:val="22"/>
        </w:rPr>
        <w:t xml:space="preserve"> MH SR.</w:t>
      </w:r>
    </w:p>
    <w:p w14:paraId="111B0500" w14:textId="397CB59F" w:rsidR="00975EAF" w:rsidRPr="00AB52F0" w:rsidRDefault="00704FB6" w:rsidP="00975EAF">
      <w:pPr>
        <w:pStyle w:val="Zkladntext"/>
        <w:spacing w:before="120" w:after="0"/>
        <w:jc w:val="both"/>
        <w:rPr>
          <w:sz w:val="22"/>
          <w:szCs w:val="22"/>
        </w:rPr>
      </w:pPr>
      <w:r>
        <w:rPr>
          <w:sz w:val="22"/>
          <w:szCs w:val="22"/>
        </w:rPr>
        <w:t xml:space="preserve">Pozíciu </w:t>
      </w:r>
      <w:r w:rsidR="00975EAF" w:rsidRPr="00AB52F0">
        <w:rPr>
          <w:sz w:val="22"/>
          <w:szCs w:val="22"/>
        </w:rPr>
        <w:t>C</w:t>
      </w:r>
      <w:r>
        <w:rPr>
          <w:sz w:val="22"/>
          <w:szCs w:val="22"/>
        </w:rPr>
        <w:t>entrálneho koordinačného</w:t>
      </w:r>
      <w:r w:rsidR="00975EAF" w:rsidRPr="00AB52F0">
        <w:rPr>
          <w:sz w:val="22"/>
          <w:szCs w:val="22"/>
        </w:rPr>
        <w:t xml:space="preserve"> orgánu, zodpovedného za prípravu </w:t>
      </w:r>
      <w:r>
        <w:rPr>
          <w:sz w:val="22"/>
          <w:szCs w:val="22"/>
        </w:rPr>
        <w:t xml:space="preserve">PD </w:t>
      </w:r>
      <w:r w:rsidR="00975EAF" w:rsidRPr="00AB52F0">
        <w:rPr>
          <w:sz w:val="22"/>
          <w:szCs w:val="22"/>
        </w:rPr>
        <w:t>SR a koordináciu prípravy a implementácie OP a programov EŠIF na programové obdobie 2014 – 2020 vykonával do 31.5.2016 ÚV SR. Od 1.6.2016 úlohy Centrálneho koordinačného orgánu pln</w:t>
      </w:r>
      <w:r w:rsidR="00014C2B">
        <w:rPr>
          <w:sz w:val="22"/>
          <w:szCs w:val="22"/>
        </w:rPr>
        <w:t>í Úrad podpredsedu vlády SR pre </w:t>
      </w:r>
      <w:r w:rsidR="00975EAF" w:rsidRPr="00AB52F0">
        <w:rPr>
          <w:sz w:val="22"/>
          <w:szCs w:val="22"/>
        </w:rPr>
        <w:t>investície a informatizáciu (ÚPVII).</w:t>
      </w:r>
    </w:p>
    <w:p w14:paraId="549B99D4" w14:textId="430BDBAD" w:rsidR="00975EAF" w:rsidRDefault="00975EAF" w:rsidP="00975EAF">
      <w:pPr>
        <w:pStyle w:val="Zkladntext"/>
        <w:spacing w:before="120" w:after="0"/>
        <w:jc w:val="both"/>
        <w:rPr>
          <w:sz w:val="22"/>
          <w:szCs w:val="22"/>
        </w:rPr>
      </w:pPr>
      <w:r w:rsidRPr="00AB52F0">
        <w:rPr>
          <w:sz w:val="22"/>
          <w:szCs w:val="22"/>
        </w:rPr>
        <w:t xml:space="preserve">V zmysle uznesenia vlády SR č. 318/2013 z 19.06.2013 k návrhu na </w:t>
      </w:r>
      <w:r>
        <w:rPr>
          <w:sz w:val="22"/>
          <w:szCs w:val="22"/>
        </w:rPr>
        <w:t>určenie certifikačného orgánu a </w:t>
      </w:r>
      <w:r w:rsidRPr="00AB52F0">
        <w:rPr>
          <w:sz w:val="22"/>
          <w:szCs w:val="22"/>
        </w:rPr>
        <w:t>orgánu auditu pre OP programového obdobia 2014 – 2020 vykonáv</w:t>
      </w:r>
      <w:r>
        <w:rPr>
          <w:sz w:val="22"/>
          <w:szCs w:val="22"/>
        </w:rPr>
        <w:t>a úlohy certifikačného orgánu a </w:t>
      </w:r>
      <w:r w:rsidRPr="00AB52F0">
        <w:rPr>
          <w:sz w:val="22"/>
          <w:szCs w:val="22"/>
        </w:rPr>
        <w:t>orgánu auditu pre OP a programy EŠIF (okrem Programu rozvoja vidieka) v rámci programového obdobia 2014 – 2020 Ministerstvo financií SR.</w:t>
      </w:r>
    </w:p>
    <w:p w14:paraId="356DECA4" w14:textId="32EC90E0" w:rsidR="00975EAF" w:rsidRPr="00351D17" w:rsidRDefault="00975EAF" w:rsidP="00351D17">
      <w:pPr>
        <w:pStyle w:val="Zkladntext"/>
        <w:spacing w:before="120" w:after="0"/>
      </w:pPr>
      <w:r w:rsidRPr="00351D17">
        <w:rPr>
          <w:sz w:val="22"/>
          <w:szCs w:val="22"/>
        </w:rPr>
        <w:t>Vychádzajúc z uvedených uznesení vlády SR</w:t>
      </w:r>
      <w:r w:rsidRPr="00AB52F0">
        <w:rPr>
          <w:sz w:val="22"/>
          <w:szCs w:val="22"/>
        </w:rPr>
        <w:t xml:space="preserve"> je implementačná štruktúra OP</w:t>
      </w:r>
      <w:r>
        <w:rPr>
          <w:sz w:val="22"/>
          <w:szCs w:val="22"/>
        </w:rPr>
        <w:t>II</w:t>
      </w:r>
      <w:r w:rsidRPr="00AB52F0">
        <w:rPr>
          <w:sz w:val="22"/>
          <w:szCs w:val="22"/>
        </w:rPr>
        <w:t xml:space="preserve"> nasledovná:</w:t>
      </w:r>
    </w:p>
    <w:p w14:paraId="52F2FA23" w14:textId="004FD2BB" w:rsidR="005917D8" w:rsidRPr="005917D8" w:rsidRDefault="005917D8" w:rsidP="00F549C1">
      <w:pPr>
        <w:pStyle w:val="Tab"/>
      </w:pPr>
      <w:r>
        <w:t>Identifikácia príslušných orgánov a subjektov</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45"/>
        <w:gridCol w:w="3036"/>
        <w:gridCol w:w="2691"/>
      </w:tblGrid>
      <w:tr w:rsidR="005917D8" w:rsidRPr="00357BF6" w14:paraId="0A138E34" w14:textId="77777777" w:rsidTr="00A127CB">
        <w:trPr>
          <w:trHeight w:val="567"/>
          <w:jc w:val="center"/>
        </w:trPr>
        <w:tc>
          <w:tcPr>
            <w:tcW w:w="3345" w:type="dxa"/>
            <w:shd w:val="clear" w:color="auto" w:fill="C6D9F1" w:themeFill="text2" w:themeFillTint="33"/>
            <w:vAlign w:val="center"/>
          </w:tcPr>
          <w:p w14:paraId="4E72FB7D" w14:textId="77777777" w:rsidR="005917D8" w:rsidRPr="00001F01" w:rsidRDefault="005917D8" w:rsidP="005917D8">
            <w:pPr>
              <w:ind w:left="0"/>
              <w:rPr>
                <w:sz w:val="18"/>
                <w:szCs w:val="18"/>
              </w:rPr>
            </w:pPr>
            <w:r w:rsidRPr="00001F01">
              <w:rPr>
                <w:sz w:val="18"/>
                <w:szCs w:val="18"/>
              </w:rPr>
              <w:t>Subjekt/orgán</w:t>
            </w:r>
          </w:p>
        </w:tc>
        <w:tc>
          <w:tcPr>
            <w:tcW w:w="3036" w:type="dxa"/>
            <w:shd w:val="clear" w:color="auto" w:fill="C6D9F1" w:themeFill="text2" w:themeFillTint="33"/>
            <w:vAlign w:val="center"/>
          </w:tcPr>
          <w:p w14:paraId="2C26BE08" w14:textId="77777777" w:rsidR="005917D8" w:rsidRPr="00001F01" w:rsidRDefault="005917D8" w:rsidP="005917D8">
            <w:pPr>
              <w:ind w:left="0"/>
              <w:jc w:val="center"/>
              <w:rPr>
                <w:sz w:val="18"/>
                <w:szCs w:val="18"/>
              </w:rPr>
            </w:pPr>
            <w:r w:rsidRPr="00001F01">
              <w:rPr>
                <w:sz w:val="18"/>
                <w:szCs w:val="18"/>
              </w:rPr>
              <w:t>Názov subjektu/orgánu a útvaru</w:t>
            </w:r>
          </w:p>
        </w:tc>
        <w:tc>
          <w:tcPr>
            <w:tcW w:w="2691" w:type="dxa"/>
            <w:shd w:val="clear" w:color="auto" w:fill="C6D9F1" w:themeFill="text2" w:themeFillTint="33"/>
            <w:vAlign w:val="center"/>
          </w:tcPr>
          <w:p w14:paraId="655507A7" w14:textId="77777777" w:rsidR="005917D8" w:rsidRPr="00001F01" w:rsidRDefault="005917D8" w:rsidP="005917D8">
            <w:pPr>
              <w:ind w:left="0"/>
              <w:jc w:val="center"/>
              <w:rPr>
                <w:sz w:val="18"/>
                <w:szCs w:val="18"/>
              </w:rPr>
            </w:pPr>
            <w:r w:rsidRPr="00001F01">
              <w:rPr>
                <w:sz w:val="18"/>
                <w:szCs w:val="18"/>
              </w:rPr>
              <w:t>Vedúci subjektu/orgánu (pozícia)</w:t>
            </w:r>
          </w:p>
        </w:tc>
      </w:tr>
      <w:tr w:rsidR="005917D8" w:rsidRPr="005602F7" w14:paraId="0895E5AE" w14:textId="77777777" w:rsidTr="00A127CB">
        <w:trPr>
          <w:trHeight w:val="510"/>
          <w:jc w:val="center"/>
        </w:trPr>
        <w:tc>
          <w:tcPr>
            <w:tcW w:w="3345" w:type="dxa"/>
            <w:shd w:val="clear" w:color="auto" w:fill="F2F2F2" w:themeFill="background1" w:themeFillShade="F2"/>
            <w:vAlign w:val="center"/>
          </w:tcPr>
          <w:p w14:paraId="2B431006" w14:textId="77777777" w:rsidR="005917D8" w:rsidRPr="005602F7" w:rsidRDefault="005917D8" w:rsidP="005917D8">
            <w:pPr>
              <w:ind w:left="0"/>
              <w:rPr>
                <w:sz w:val="18"/>
                <w:szCs w:val="18"/>
              </w:rPr>
            </w:pPr>
            <w:r w:rsidRPr="005602F7">
              <w:rPr>
                <w:sz w:val="18"/>
                <w:szCs w:val="18"/>
              </w:rPr>
              <w:t>Riadiaci orgán</w:t>
            </w:r>
          </w:p>
        </w:tc>
        <w:tc>
          <w:tcPr>
            <w:tcW w:w="3036" w:type="dxa"/>
            <w:vAlign w:val="center"/>
          </w:tcPr>
          <w:p w14:paraId="46CA7352" w14:textId="77777777" w:rsidR="005917D8" w:rsidRPr="005602F7" w:rsidRDefault="005917D8">
            <w:pPr>
              <w:ind w:left="0"/>
              <w:jc w:val="center"/>
              <w:rPr>
                <w:sz w:val="18"/>
                <w:szCs w:val="18"/>
              </w:rPr>
            </w:pPr>
            <w:r w:rsidRPr="005602F7">
              <w:rPr>
                <w:sz w:val="18"/>
                <w:szCs w:val="18"/>
              </w:rPr>
              <w:t>Ministerstvo dopravy</w:t>
            </w:r>
            <w:r w:rsidR="001F123E">
              <w:rPr>
                <w:sz w:val="18"/>
                <w:szCs w:val="18"/>
              </w:rPr>
              <w:t xml:space="preserve"> a</w:t>
            </w:r>
            <w:r w:rsidRPr="005602F7">
              <w:rPr>
                <w:sz w:val="18"/>
                <w:szCs w:val="18"/>
              </w:rPr>
              <w:t xml:space="preserve"> výstavby SR</w:t>
            </w:r>
          </w:p>
        </w:tc>
        <w:tc>
          <w:tcPr>
            <w:tcW w:w="2691" w:type="dxa"/>
            <w:vAlign w:val="center"/>
          </w:tcPr>
          <w:p w14:paraId="5FB6F305" w14:textId="77777777" w:rsidR="005917D8" w:rsidRPr="005602F7" w:rsidRDefault="005917D8">
            <w:pPr>
              <w:ind w:left="0"/>
              <w:jc w:val="center"/>
              <w:rPr>
                <w:sz w:val="18"/>
                <w:szCs w:val="18"/>
              </w:rPr>
            </w:pPr>
            <w:r>
              <w:rPr>
                <w:sz w:val="18"/>
                <w:szCs w:val="18"/>
              </w:rPr>
              <w:t>minister dopravy</w:t>
            </w:r>
            <w:r w:rsidR="00B80579">
              <w:rPr>
                <w:sz w:val="18"/>
                <w:szCs w:val="18"/>
              </w:rPr>
              <w:t xml:space="preserve"> </w:t>
            </w:r>
            <w:r w:rsidR="001F123E">
              <w:rPr>
                <w:sz w:val="18"/>
                <w:szCs w:val="18"/>
              </w:rPr>
              <w:t>a</w:t>
            </w:r>
            <w:r>
              <w:rPr>
                <w:sz w:val="18"/>
                <w:szCs w:val="18"/>
              </w:rPr>
              <w:t xml:space="preserve"> výstavby SR</w:t>
            </w:r>
          </w:p>
        </w:tc>
      </w:tr>
      <w:tr w:rsidR="005917D8" w:rsidRPr="005602F7" w14:paraId="2E0EB324" w14:textId="77777777" w:rsidTr="00A127CB">
        <w:trPr>
          <w:trHeight w:val="510"/>
          <w:jc w:val="center"/>
        </w:trPr>
        <w:tc>
          <w:tcPr>
            <w:tcW w:w="3345" w:type="dxa"/>
            <w:shd w:val="clear" w:color="auto" w:fill="F2F2F2" w:themeFill="background1" w:themeFillShade="F2"/>
            <w:vAlign w:val="center"/>
          </w:tcPr>
          <w:p w14:paraId="7998F609" w14:textId="77777777" w:rsidR="005917D8" w:rsidRDefault="005917D8" w:rsidP="005917D8">
            <w:pPr>
              <w:ind w:left="0"/>
              <w:rPr>
                <w:sz w:val="18"/>
                <w:szCs w:val="18"/>
              </w:rPr>
            </w:pPr>
            <w:r>
              <w:rPr>
                <w:sz w:val="18"/>
                <w:szCs w:val="18"/>
              </w:rPr>
              <w:t>Certifikačný orgán</w:t>
            </w:r>
          </w:p>
        </w:tc>
        <w:tc>
          <w:tcPr>
            <w:tcW w:w="3036" w:type="dxa"/>
            <w:vAlign w:val="center"/>
          </w:tcPr>
          <w:p w14:paraId="7C23AF73" w14:textId="77777777" w:rsidR="00752A39" w:rsidRDefault="005917D8" w:rsidP="005917D8">
            <w:pPr>
              <w:ind w:left="0"/>
              <w:jc w:val="center"/>
              <w:rPr>
                <w:sz w:val="18"/>
                <w:szCs w:val="18"/>
              </w:rPr>
            </w:pPr>
            <w:r w:rsidRPr="005602F7">
              <w:rPr>
                <w:sz w:val="18"/>
                <w:szCs w:val="18"/>
              </w:rPr>
              <w:t>Ministerstvo financií SR</w:t>
            </w:r>
            <w:r w:rsidR="007500EF">
              <w:rPr>
                <w:sz w:val="18"/>
                <w:szCs w:val="18"/>
              </w:rPr>
              <w:t xml:space="preserve">, </w:t>
            </w:r>
          </w:p>
          <w:p w14:paraId="000EDC79" w14:textId="77777777" w:rsidR="005917D8" w:rsidRPr="005602F7" w:rsidRDefault="007500EF" w:rsidP="005917D8">
            <w:pPr>
              <w:ind w:left="0"/>
              <w:jc w:val="center"/>
              <w:rPr>
                <w:sz w:val="18"/>
                <w:szCs w:val="18"/>
              </w:rPr>
            </w:pPr>
            <w:r>
              <w:rPr>
                <w:sz w:val="18"/>
                <w:szCs w:val="18"/>
              </w:rPr>
              <w:t>sekcia európskych fondov</w:t>
            </w:r>
          </w:p>
        </w:tc>
        <w:tc>
          <w:tcPr>
            <w:tcW w:w="2691" w:type="dxa"/>
            <w:vAlign w:val="center"/>
          </w:tcPr>
          <w:p w14:paraId="552CADA7" w14:textId="77777777" w:rsidR="005917D8" w:rsidRPr="001C07CB"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r w:rsidR="005917D8" w:rsidRPr="005602F7" w14:paraId="15FA1078" w14:textId="77777777" w:rsidTr="00A127CB">
        <w:trPr>
          <w:trHeight w:val="510"/>
          <w:jc w:val="center"/>
        </w:trPr>
        <w:tc>
          <w:tcPr>
            <w:tcW w:w="3345" w:type="dxa"/>
            <w:shd w:val="clear" w:color="auto" w:fill="F2F2F2" w:themeFill="background1" w:themeFillShade="F2"/>
            <w:vAlign w:val="center"/>
          </w:tcPr>
          <w:p w14:paraId="04FB3A88" w14:textId="77777777" w:rsidR="005917D8" w:rsidRPr="005602F7" w:rsidRDefault="005917D8" w:rsidP="005917D8">
            <w:pPr>
              <w:ind w:left="0"/>
              <w:rPr>
                <w:sz w:val="18"/>
                <w:szCs w:val="18"/>
              </w:rPr>
            </w:pPr>
            <w:r w:rsidRPr="005602F7">
              <w:rPr>
                <w:sz w:val="18"/>
                <w:szCs w:val="18"/>
              </w:rPr>
              <w:t>Orgán auditu</w:t>
            </w:r>
            <w:r w:rsidR="00246473">
              <w:rPr>
                <w:sz w:val="18"/>
                <w:szCs w:val="18"/>
              </w:rPr>
              <w:t xml:space="preserve"> *</w:t>
            </w:r>
          </w:p>
        </w:tc>
        <w:tc>
          <w:tcPr>
            <w:tcW w:w="3036" w:type="dxa"/>
            <w:vAlign w:val="center"/>
          </w:tcPr>
          <w:p w14:paraId="35012DB4" w14:textId="77777777" w:rsidR="00752A39" w:rsidRDefault="005917D8" w:rsidP="005917D8">
            <w:pPr>
              <w:ind w:left="0"/>
              <w:jc w:val="center"/>
              <w:rPr>
                <w:sz w:val="18"/>
                <w:szCs w:val="18"/>
              </w:rPr>
            </w:pPr>
            <w:r w:rsidRPr="005602F7">
              <w:rPr>
                <w:sz w:val="18"/>
                <w:szCs w:val="18"/>
              </w:rPr>
              <w:t>Ministerstvo financií SR</w:t>
            </w:r>
            <w:r w:rsidR="007500EF">
              <w:rPr>
                <w:sz w:val="18"/>
                <w:szCs w:val="18"/>
              </w:rPr>
              <w:t xml:space="preserve">, </w:t>
            </w:r>
          </w:p>
          <w:p w14:paraId="09431202" w14:textId="77777777" w:rsidR="005917D8" w:rsidRPr="005602F7" w:rsidRDefault="007500EF" w:rsidP="005917D8">
            <w:pPr>
              <w:ind w:left="0"/>
              <w:jc w:val="center"/>
              <w:rPr>
                <w:sz w:val="18"/>
                <w:szCs w:val="18"/>
              </w:rPr>
            </w:pPr>
            <w:r>
              <w:rPr>
                <w:sz w:val="18"/>
                <w:szCs w:val="18"/>
              </w:rPr>
              <w:t>sekcia auditu a kontroly</w:t>
            </w:r>
          </w:p>
        </w:tc>
        <w:tc>
          <w:tcPr>
            <w:tcW w:w="2691" w:type="dxa"/>
            <w:vAlign w:val="center"/>
          </w:tcPr>
          <w:p w14:paraId="6D16925E" w14:textId="77777777" w:rsidR="005917D8" w:rsidRPr="005602F7"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r w:rsidR="005917D8" w:rsidRPr="005602F7" w14:paraId="4ECB6F87" w14:textId="77777777" w:rsidTr="00A127CB">
        <w:trPr>
          <w:trHeight w:val="510"/>
          <w:jc w:val="center"/>
        </w:trPr>
        <w:tc>
          <w:tcPr>
            <w:tcW w:w="3345" w:type="dxa"/>
            <w:shd w:val="clear" w:color="auto" w:fill="F2F2F2" w:themeFill="background1" w:themeFillShade="F2"/>
            <w:vAlign w:val="center"/>
          </w:tcPr>
          <w:p w14:paraId="355689DC" w14:textId="77777777" w:rsidR="005917D8" w:rsidRPr="005602F7" w:rsidRDefault="005917D8" w:rsidP="005917D8">
            <w:pPr>
              <w:ind w:left="0"/>
              <w:rPr>
                <w:sz w:val="18"/>
                <w:szCs w:val="18"/>
              </w:rPr>
            </w:pPr>
            <w:r w:rsidRPr="005602F7">
              <w:rPr>
                <w:sz w:val="18"/>
                <w:szCs w:val="18"/>
              </w:rPr>
              <w:t>Orgán, ktorému bude EK zasielať platby</w:t>
            </w:r>
          </w:p>
        </w:tc>
        <w:tc>
          <w:tcPr>
            <w:tcW w:w="3036" w:type="dxa"/>
            <w:vAlign w:val="center"/>
          </w:tcPr>
          <w:p w14:paraId="53F39496" w14:textId="77777777" w:rsidR="005917D8" w:rsidRDefault="005917D8" w:rsidP="005917D8">
            <w:pPr>
              <w:ind w:left="0"/>
              <w:jc w:val="center"/>
              <w:rPr>
                <w:sz w:val="18"/>
                <w:szCs w:val="18"/>
              </w:rPr>
            </w:pPr>
            <w:r w:rsidRPr="005602F7">
              <w:rPr>
                <w:sz w:val="18"/>
                <w:szCs w:val="18"/>
              </w:rPr>
              <w:t>Ministerstvo financií SR</w:t>
            </w:r>
            <w:r w:rsidR="00752A39">
              <w:rPr>
                <w:sz w:val="18"/>
                <w:szCs w:val="18"/>
              </w:rPr>
              <w:t>,</w:t>
            </w:r>
          </w:p>
          <w:p w14:paraId="42982C43" w14:textId="77777777" w:rsidR="00752A39" w:rsidRPr="005602F7" w:rsidRDefault="00752A39" w:rsidP="00752A39">
            <w:pPr>
              <w:ind w:left="0"/>
              <w:jc w:val="center"/>
              <w:rPr>
                <w:sz w:val="18"/>
                <w:szCs w:val="18"/>
              </w:rPr>
            </w:pPr>
            <w:r>
              <w:rPr>
                <w:sz w:val="18"/>
                <w:szCs w:val="18"/>
              </w:rPr>
              <w:t>sekcia európskych fondov</w:t>
            </w:r>
          </w:p>
        </w:tc>
        <w:tc>
          <w:tcPr>
            <w:tcW w:w="2691" w:type="dxa"/>
            <w:vAlign w:val="center"/>
          </w:tcPr>
          <w:p w14:paraId="62E6E426" w14:textId="77777777" w:rsidR="005917D8" w:rsidRPr="005602F7"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bl>
    <w:p w14:paraId="6D827332" w14:textId="77777777" w:rsidR="00246473" w:rsidRPr="00246473" w:rsidRDefault="00246473" w:rsidP="00246473">
      <w:pPr>
        <w:spacing w:before="60"/>
        <w:jc w:val="both"/>
        <w:rPr>
          <w:sz w:val="20"/>
          <w:szCs w:val="20"/>
        </w:rPr>
      </w:pPr>
      <w:bookmarkStart w:id="182" w:name="_Toc383209152"/>
      <w:bookmarkStart w:id="183" w:name="_Toc383236566"/>
      <w:r>
        <w:rPr>
          <w:sz w:val="20"/>
          <w:szCs w:val="20"/>
        </w:rPr>
        <w:t xml:space="preserve">* - </w:t>
      </w:r>
      <w:r w:rsidRPr="00246473">
        <w:rPr>
          <w:sz w:val="20"/>
          <w:szCs w:val="20"/>
        </w:rPr>
        <w:t>subjekt funkčne nezávislý od riadiaceho a certifikačného orgánu</w:t>
      </w:r>
      <w:r w:rsidR="0056386F">
        <w:rPr>
          <w:sz w:val="20"/>
          <w:szCs w:val="20"/>
        </w:rPr>
        <w:t>,</w:t>
      </w:r>
      <w:r w:rsidRPr="00246473">
        <w:rPr>
          <w:sz w:val="20"/>
          <w:szCs w:val="20"/>
        </w:rPr>
        <w:t xml:space="preserve"> určený členským štátom</w:t>
      </w:r>
      <w:r w:rsidR="00757F37">
        <w:rPr>
          <w:sz w:val="20"/>
          <w:szCs w:val="20"/>
        </w:rPr>
        <w:t xml:space="preserve"> pre</w:t>
      </w:r>
      <w:r w:rsidRPr="00246473">
        <w:rPr>
          <w:sz w:val="20"/>
          <w:szCs w:val="20"/>
        </w:rPr>
        <w:t xml:space="preserve"> operačn</w:t>
      </w:r>
      <w:r w:rsidR="00236E75">
        <w:rPr>
          <w:sz w:val="20"/>
          <w:szCs w:val="20"/>
        </w:rPr>
        <w:t>é</w:t>
      </w:r>
      <w:r w:rsidRPr="00246473">
        <w:rPr>
          <w:sz w:val="20"/>
          <w:szCs w:val="20"/>
        </w:rPr>
        <w:t xml:space="preserve"> program</w:t>
      </w:r>
      <w:r w:rsidR="00236E75">
        <w:rPr>
          <w:sz w:val="20"/>
          <w:szCs w:val="20"/>
        </w:rPr>
        <w:t>y</w:t>
      </w:r>
      <w:r w:rsidRPr="00246473">
        <w:rPr>
          <w:sz w:val="20"/>
          <w:szCs w:val="20"/>
        </w:rPr>
        <w:t xml:space="preserve"> a zodpovedný za overenie účinného fungova</w:t>
      </w:r>
      <w:r w:rsidR="00752A39">
        <w:rPr>
          <w:sz w:val="20"/>
          <w:szCs w:val="20"/>
        </w:rPr>
        <w:t>nia systému riadenia a kontroly</w:t>
      </w:r>
      <w:r w:rsidR="00275DF6">
        <w:rPr>
          <w:rStyle w:val="Odkaznapoznmkupodiarou"/>
          <w:sz w:val="20"/>
          <w:szCs w:val="20"/>
        </w:rPr>
        <w:footnoteReference w:id="120"/>
      </w:r>
    </w:p>
    <w:p w14:paraId="408A273F" w14:textId="77777777" w:rsidR="005917D8" w:rsidRDefault="005917D8" w:rsidP="002C1444">
      <w:pPr>
        <w:pStyle w:val="Nadpis2"/>
        <w:tabs>
          <w:tab w:val="clear" w:pos="709"/>
          <w:tab w:val="clear" w:pos="851"/>
        </w:tabs>
        <w:spacing w:before="240"/>
        <w:jc w:val="both"/>
      </w:pPr>
      <w:bookmarkStart w:id="184" w:name="_Toc28951689"/>
      <w:r>
        <w:t>Zapojenie príslušných partnerov do prípravy operačného programu a úlohy partnerov v rámci implementácie, monitorovania a hodnotenia operačného programu</w:t>
      </w:r>
      <w:bookmarkEnd w:id="182"/>
      <w:bookmarkEnd w:id="183"/>
      <w:bookmarkEnd w:id="184"/>
    </w:p>
    <w:p w14:paraId="0F106CE3" w14:textId="77777777" w:rsidR="005917D8" w:rsidRDefault="00B43824" w:rsidP="002C1444">
      <w:pPr>
        <w:pStyle w:val="Nadpis3"/>
        <w:tabs>
          <w:tab w:val="clear" w:pos="709"/>
          <w:tab w:val="clear" w:pos="851"/>
        </w:tabs>
        <w:jc w:val="both"/>
        <w:rPr>
          <w:sz w:val="23"/>
          <w:szCs w:val="23"/>
        </w:rPr>
      </w:pPr>
      <w:bookmarkStart w:id="185" w:name="_Toc28951690"/>
      <w:r>
        <w:rPr>
          <w:sz w:val="23"/>
          <w:szCs w:val="23"/>
        </w:rPr>
        <w:t>Úloha príslušných partnerov pri príprave, implementácii, monitorovaní a hodnotení operačného programu</w:t>
      </w:r>
      <w:bookmarkEnd w:id="185"/>
    </w:p>
    <w:p w14:paraId="042E0182" w14:textId="77777777" w:rsidR="00E92F9B" w:rsidRDefault="00B43824">
      <w:pPr>
        <w:spacing w:before="120"/>
        <w:jc w:val="both"/>
        <w:rPr>
          <w:sz w:val="22"/>
          <w:szCs w:val="22"/>
        </w:rPr>
      </w:pPr>
      <w:r w:rsidRPr="008813FB">
        <w:rPr>
          <w:sz w:val="22"/>
          <w:szCs w:val="22"/>
        </w:rPr>
        <w:t>Princíp partnerstva ako jeden zo základných princípov kohéznej a</w:t>
      </w:r>
      <w:r>
        <w:rPr>
          <w:sz w:val="22"/>
          <w:szCs w:val="22"/>
        </w:rPr>
        <w:t> </w:t>
      </w:r>
      <w:r w:rsidRPr="008813FB">
        <w:rPr>
          <w:sz w:val="22"/>
          <w:szCs w:val="22"/>
        </w:rPr>
        <w:t>štrukturálnej politiky EÚ zohráva významnú úlohu, a</w:t>
      </w:r>
      <w:r>
        <w:rPr>
          <w:sz w:val="22"/>
          <w:szCs w:val="22"/>
        </w:rPr>
        <w:t> </w:t>
      </w:r>
      <w:r w:rsidRPr="008813FB">
        <w:rPr>
          <w:sz w:val="22"/>
          <w:szCs w:val="22"/>
        </w:rPr>
        <w:t>to nielen v</w:t>
      </w:r>
      <w:r>
        <w:rPr>
          <w:sz w:val="22"/>
          <w:szCs w:val="22"/>
        </w:rPr>
        <w:t> </w:t>
      </w:r>
      <w:r w:rsidRPr="008813FB">
        <w:rPr>
          <w:sz w:val="22"/>
          <w:szCs w:val="22"/>
        </w:rPr>
        <w:t xml:space="preserve">procese tvorby strategického dokumentu, ale aj </w:t>
      </w:r>
      <w:r>
        <w:rPr>
          <w:sz w:val="22"/>
          <w:szCs w:val="22"/>
        </w:rPr>
        <w:t xml:space="preserve">ďalších nadväzujúcich etapách implementácie programu. </w:t>
      </w:r>
      <w:r w:rsidR="00822DDB" w:rsidRPr="00DC3389">
        <w:rPr>
          <w:sz w:val="22"/>
          <w:szCs w:val="22"/>
        </w:rPr>
        <w:t>V súlade s</w:t>
      </w:r>
      <w:r w:rsidR="00DC3389">
        <w:rPr>
          <w:sz w:val="22"/>
          <w:szCs w:val="22"/>
        </w:rPr>
        <w:t> </w:t>
      </w:r>
      <w:r w:rsidR="00822DDB" w:rsidRPr="00DC3389">
        <w:rPr>
          <w:sz w:val="22"/>
          <w:szCs w:val="22"/>
        </w:rPr>
        <w:t>č</w:t>
      </w:r>
      <w:r w:rsidR="00DC3389">
        <w:rPr>
          <w:sz w:val="22"/>
          <w:szCs w:val="22"/>
        </w:rPr>
        <w:t xml:space="preserve">l. </w:t>
      </w:r>
      <w:r w:rsidR="00822DDB" w:rsidRPr="00DC3389">
        <w:rPr>
          <w:sz w:val="22"/>
          <w:szCs w:val="22"/>
        </w:rPr>
        <w:t>5</w:t>
      </w:r>
      <w:r w:rsidR="00E420C5" w:rsidRPr="00E420C5">
        <w:rPr>
          <w:sz w:val="22"/>
          <w:szCs w:val="22"/>
        </w:rPr>
        <w:t xml:space="preserve"> </w:t>
      </w:r>
      <w:r w:rsidR="00E420C5" w:rsidRPr="002B0858">
        <w:rPr>
          <w:sz w:val="22"/>
          <w:szCs w:val="22"/>
        </w:rPr>
        <w:t>nariadenia Európskeho parlamentu a Rady (EÚ</w:t>
      </w:r>
      <w:r w:rsidR="00E420C5">
        <w:rPr>
          <w:sz w:val="22"/>
          <w:szCs w:val="22"/>
        </w:rPr>
        <w:t xml:space="preserve">) </w:t>
      </w:r>
      <w:r w:rsidR="007D7918">
        <w:rPr>
          <w:sz w:val="22"/>
          <w:szCs w:val="22"/>
        </w:rPr>
        <w:t>č. </w:t>
      </w:r>
      <w:r w:rsidR="00E420C5">
        <w:rPr>
          <w:sz w:val="22"/>
          <w:szCs w:val="22"/>
        </w:rPr>
        <w:t>1303/2013</w:t>
      </w:r>
      <w:r w:rsidR="00822DDB" w:rsidRPr="00DC3389">
        <w:rPr>
          <w:sz w:val="22"/>
          <w:szCs w:val="22"/>
        </w:rPr>
        <w:t>, delegovaný</w:t>
      </w:r>
      <w:r w:rsidR="00DC3389">
        <w:rPr>
          <w:sz w:val="22"/>
          <w:szCs w:val="22"/>
        </w:rPr>
        <w:t>m aktom EK k </w:t>
      </w:r>
      <w:r w:rsidR="00822DDB" w:rsidRPr="00DC3389">
        <w:rPr>
          <w:sz w:val="22"/>
          <w:szCs w:val="22"/>
        </w:rPr>
        <w:t>Európskemu kó</w:t>
      </w:r>
      <w:r w:rsidR="00DC3389">
        <w:rPr>
          <w:sz w:val="22"/>
          <w:szCs w:val="22"/>
        </w:rPr>
        <w:t>dexu pre </w:t>
      </w:r>
      <w:r w:rsidR="00822DDB" w:rsidRPr="00DC3389">
        <w:rPr>
          <w:sz w:val="22"/>
          <w:szCs w:val="22"/>
        </w:rPr>
        <w:t>partnerstvo a Metodickým usmernením CKO k príprave operačný</w:t>
      </w:r>
      <w:r w:rsidR="00DC3389">
        <w:rPr>
          <w:sz w:val="22"/>
          <w:szCs w:val="22"/>
        </w:rPr>
        <w:t>ch programov/programov na </w:t>
      </w:r>
      <w:r w:rsidR="00822DDB" w:rsidRPr="00DC3389">
        <w:rPr>
          <w:sz w:val="22"/>
          <w:szCs w:val="22"/>
        </w:rPr>
        <w:t>programové obdobie 2014 – 2020 boli v snahe vytvoriť transparentné prostredie pre efektí</w:t>
      </w:r>
      <w:r w:rsidR="00DC3389">
        <w:rPr>
          <w:sz w:val="22"/>
          <w:szCs w:val="22"/>
        </w:rPr>
        <w:t>vne a </w:t>
      </w:r>
      <w:r w:rsidR="00822DDB" w:rsidRPr="00DC3389">
        <w:rPr>
          <w:sz w:val="22"/>
          <w:szCs w:val="22"/>
        </w:rPr>
        <w:t>účinné riadenie prípravy OP</w:t>
      </w:r>
      <w:r w:rsidR="003162B7">
        <w:rPr>
          <w:sz w:val="22"/>
          <w:szCs w:val="22"/>
        </w:rPr>
        <w:t>II do </w:t>
      </w:r>
      <w:r w:rsidR="00DC3389">
        <w:rPr>
          <w:sz w:val="22"/>
          <w:szCs w:val="22"/>
        </w:rPr>
        <w:t xml:space="preserve">procesu jeho </w:t>
      </w:r>
      <w:r w:rsidR="00822DDB" w:rsidRPr="00DC3389">
        <w:rPr>
          <w:sz w:val="22"/>
          <w:szCs w:val="22"/>
        </w:rPr>
        <w:t>prípravy zapojení relevantní partneri</w:t>
      </w:r>
      <w:r w:rsidR="00DC3389">
        <w:rPr>
          <w:sz w:val="22"/>
          <w:szCs w:val="22"/>
        </w:rPr>
        <w:t>.</w:t>
      </w:r>
    </w:p>
    <w:p w14:paraId="73FC7ED0" w14:textId="77777777" w:rsidR="00E92F9B" w:rsidRDefault="00D50386">
      <w:pPr>
        <w:spacing w:before="180"/>
        <w:jc w:val="both"/>
        <w:rPr>
          <w:color w:val="000000"/>
          <w:sz w:val="22"/>
          <w:szCs w:val="22"/>
        </w:rPr>
      </w:pPr>
      <w:r w:rsidRPr="00CE3A02">
        <w:rPr>
          <w:color w:val="000000"/>
          <w:sz w:val="22"/>
          <w:szCs w:val="22"/>
        </w:rPr>
        <w:t xml:space="preserve">Rozhodnutím ministra </w:t>
      </w:r>
      <w:r>
        <w:rPr>
          <w:color w:val="000000"/>
          <w:sz w:val="22"/>
          <w:szCs w:val="22"/>
        </w:rPr>
        <w:t>MDVRR SR</w:t>
      </w:r>
      <w:r w:rsidRPr="00CE3A02">
        <w:rPr>
          <w:color w:val="000000"/>
          <w:sz w:val="22"/>
          <w:szCs w:val="22"/>
        </w:rPr>
        <w:t xml:space="preserve"> zo dňa 10.04.2013 bol zriadený „</w:t>
      </w:r>
      <w:r w:rsidRPr="00894893">
        <w:rPr>
          <w:i/>
          <w:color w:val="000000"/>
          <w:sz w:val="22"/>
          <w:szCs w:val="22"/>
        </w:rPr>
        <w:t>Riadiaci výbor pre prípravu Operačného programu Integrovaná infraštruktúra v programovom období 2014 – 2020</w:t>
      </w:r>
      <w:r w:rsidRPr="00CE3A02">
        <w:rPr>
          <w:color w:val="000000"/>
          <w:sz w:val="22"/>
          <w:szCs w:val="22"/>
        </w:rPr>
        <w:t>“.</w:t>
      </w:r>
      <w:r>
        <w:rPr>
          <w:color w:val="000000"/>
          <w:sz w:val="22"/>
          <w:szCs w:val="22"/>
        </w:rPr>
        <w:t xml:space="preserve"> </w:t>
      </w:r>
      <w:r w:rsidRPr="00CE3A02">
        <w:rPr>
          <w:color w:val="000000"/>
          <w:sz w:val="22"/>
          <w:szCs w:val="22"/>
        </w:rPr>
        <w:t xml:space="preserve">Riadiaci výbor bol zriadený </w:t>
      </w:r>
      <w:r>
        <w:rPr>
          <w:color w:val="000000"/>
          <w:sz w:val="22"/>
          <w:szCs w:val="22"/>
        </w:rPr>
        <w:t>s cieľom zabezpečiť prípravu</w:t>
      </w:r>
      <w:r w:rsidRPr="00CE3A02">
        <w:rPr>
          <w:color w:val="000000"/>
          <w:sz w:val="22"/>
          <w:szCs w:val="22"/>
        </w:rPr>
        <w:t xml:space="preserve"> na čer</w:t>
      </w:r>
      <w:r>
        <w:rPr>
          <w:color w:val="000000"/>
          <w:sz w:val="22"/>
          <w:szCs w:val="22"/>
        </w:rPr>
        <w:t>panie finančných prostriedkov z </w:t>
      </w:r>
      <w:r w:rsidRPr="00CE3A02">
        <w:rPr>
          <w:color w:val="000000"/>
          <w:sz w:val="22"/>
          <w:szCs w:val="22"/>
        </w:rPr>
        <w:t xml:space="preserve">fondov </w:t>
      </w:r>
      <w:r>
        <w:rPr>
          <w:color w:val="000000"/>
          <w:sz w:val="22"/>
          <w:szCs w:val="22"/>
        </w:rPr>
        <w:t xml:space="preserve">EÚ </w:t>
      </w:r>
      <w:r>
        <w:rPr>
          <w:color w:val="000000"/>
          <w:sz w:val="22"/>
          <w:szCs w:val="22"/>
        </w:rPr>
        <w:lastRenderedPageBreak/>
        <w:t>v </w:t>
      </w:r>
      <w:r w:rsidRPr="00CE3A02">
        <w:rPr>
          <w:color w:val="000000"/>
          <w:sz w:val="22"/>
          <w:szCs w:val="22"/>
        </w:rPr>
        <w:t xml:space="preserve">programovom období 2014 – 2020 za oblasť dopravy a informatizácie spoločnosti. Pod pojmom príprava sa rozumie vypracovanie </w:t>
      </w:r>
      <w:r>
        <w:rPr>
          <w:color w:val="000000"/>
          <w:sz w:val="22"/>
          <w:szCs w:val="22"/>
        </w:rPr>
        <w:t>OPII. Zloženie pracovnej skupiny je uvedené v </w:t>
      </w:r>
      <w:r w:rsidRPr="00CF2C83">
        <w:rPr>
          <w:color w:val="000000"/>
          <w:sz w:val="22"/>
          <w:szCs w:val="22"/>
        </w:rPr>
        <w:t xml:space="preserve">kapitole </w:t>
      </w:r>
      <w:r w:rsidR="002E328E" w:rsidRPr="00CF2C83">
        <w:rPr>
          <w:color w:val="000000"/>
          <w:sz w:val="22"/>
          <w:szCs w:val="22"/>
        </w:rPr>
        <w:t>12.3</w:t>
      </w:r>
      <w:r w:rsidRPr="00CF2C83">
        <w:rPr>
          <w:color w:val="000000"/>
          <w:sz w:val="22"/>
          <w:szCs w:val="22"/>
        </w:rPr>
        <w:t>.</w:t>
      </w:r>
    </w:p>
    <w:p w14:paraId="3899E04F" w14:textId="77777777" w:rsidR="00D50386" w:rsidRPr="00F94B5B" w:rsidRDefault="00D50386" w:rsidP="00D50386">
      <w:pPr>
        <w:spacing w:before="180"/>
        <w:jc w:val="both"/>
        <w:rPr>
          <w:sz w:val="22"/>
          <w:szCs w:val="22"/>
        </w:rPr>
      </w:pPr>
      <w:r w:rsidRPr="00F94B5B">
        <w:rPr>
          <w:sz w:val="22"/>
          <w:szCs w:val="22"/>
        </w:rPr>
        <w:t>V</w:t>
      </w:r>
      <w:r>
        <w:rPr>
          <w:sz w:val="22"/>
          <w:szCs w:val="22"/>
        </w:rPr>
        <w:t> </w:t>
      </w:r>
      <w:r w:rsidRPr="00F94B5B">
        <w:rPr>
          <w:sz w:val="22"/>
          <w:szCs w:val="22"/>
        </w:rPr>
        <w:t>súlade s</w:t>
      </w:r>
      <w:r>
        <w:rPr>
          <w:sz w:val="22"/>
          <w:szCs w:val="22"/>
        </w:rPr>
        <w:t> </w:t>
      </w:r>
      <w:r w:rsidRPr="00F94B5B">
        <w:rPr>
          <w:sz w:val="22"/>
          <w:szCs w:val="22"/>
        </w:rPr>
        <w:t xml:space="preserve">čl. 5 </w:t>
      </w:r>
      <w:r w:rsidRPr="002B0858">
        <w:rPr>
          <w:sz w:val="22"/>
          <w:szCs w:val="22"/>
        </w:rPr>
        <w:t>nariadenia Európskeho parlamentu a Rady (EÚ</w:t>
      </w:r>
      <w:r>
        <w:rPr>
          <w:sz w:val="22"/>
          <w:szCs w:val="22"/>
        </w:rPr>
        <w:t xml:space="preserve">) 1303/2013 </w:t>
      </w:r>
      <w:r w:rsidRPr="00F94B5B">
        <w:rPr>
          <w:sz w:val="22"/>
          <w:szCs w:val="22"/>
        </w:rPr>
        <w:t xml:space="preserve">bude RO </w:t>
      </w:r>
      <w:r>
        <w:rPr>
          <w:sz w:val="22"/>
          <w:szCs w:val="22"/>
        </w:rPr>
        <w:t xml:space="preserve">OPII </w:t>
      </w:r>
      <w:r w:rsidRPr="00F94B5B">
        <w:rPr>
          <w:sz w:val="22"/>
          <w:szCs w:val="22"/>
        </w:rPr>
        <w:t>pokračovať v</w:t>
      </w:r>
      <w:r>
        <w:rPr>
          <w:sz w:val="22"/>
          <w:szCs w:val="22"/>
        </w:rPr>
        <w:t> </w:t>
      </w:r>
      <w:r w:rsidRPr="00F94B5B">
        <w:rPr>
          <w:sz w:val="22"/>
          <w:szCs w:val="22"/>
        </w:rPr>
        <w:t>uplat</w:t>
      </w:r>
      <w:r>
        <w:rPr>
          <w:sz w:val="22"/>
          <w:szCs w:val="22"/>
        </w:rPr>
        <w:t>ňovaní princípu partnerstva aj pri </w:t>
      </w:r>
      <w:r w:rsidRPr="00F94B5B">
        <w:rPr>
          <w:sz w:val="22"/>
          <w:szCs w:val="22"/>
        </w:rPr>
        <w:t>samotnej implementácii, monitorovaní a</w:t>
      </w:r>
      <w:r>
        <w:rPr>
          <w:sz w:val="22"/>
          <w:szCs w:val="22"/>
        </w:rPr>
        <w:t> </w:t>
      </w:r>
      <w:r w:rsidRPr="00F94B5B">
        <w:rPr>
          <w:sz w:val="22"/>
          <w:szCs w:val="22"/>
        </w:rPr>
        <w:t xml:space="preserve">hodnotení programu. </w:t>
      </w:r>
      <w:r>
        <w:rPr>
          <w:sz w:val="22"/>
          <w:szCs w:val="22"/>
        </w:rPr>
        <w:t>V </w:t>
      </w:r>
      <w:r w:rsidRPr="00F94B5B">
        <w:rPr>
          <w:sz w:val="22"/>
          <w:szCs w:val="22"/>
        </w:rPr>
        <w:t>súlade s</w:t>
      </w:r>
      <w:r>
        <w:rPr>
          <w:sz w:val="22"/>
          <w:szCs w:val="22"/>
        </w:rPr>
        <w:t xml:space="preserve"> čl. 47 </w:t>
      </w:r>
      <w:r w:rsidRPr="002B0858">
        <w:rPr>
          <w:sz w:val="22"/>
          <w:szCs w:val="22"/>
        </w:rPr>
        <w:t>nariadenia Európskeho parlamentu a Rady (EÚ</w:t>
      </w:r>
      <w:r>
        <w:rPr>
          <w:sz w:val="22"/>
          <w:szCs w:val="22"/>
        </w:rPr>
        <w:t xml:space="preserve">) 1303/2013 </w:t>
      </w:r>
      <w:r w:rsidRPr="00894893">
        <w:rPr>
          <w:b/>
          <w:sz w:val="22"/>
          <w:szCs w:val="22"/>
        </w:rPr>
        <w:t>RO OPII</w:t>
      </w:r>
      <w:r w:rsidRPr="00A64646">
        <w:rPr>
          <w:b/>
          <w:sz w:val="22"/>
          <w:szCs w:val="22"/>
        </w:rPr>
        <w:t xml:space="preserve"> zriadi monitorovací výbor </w:t>
      </w:r>
      <w:r>
        <w:rPr>
          <w:b/>
          <w:sz w:val="22"/>
          <w:szCs w:val="22"/>
        </w:rPr>
        <w:t xml:space="preserve">pre OPII, a to </w:t>
      </w:r>
      <w:r w:rsidRPr="00A64646">
        <w:rPr>
          <w:b/>
          <w:sz w:val="22"/>
          <w:szCs w:val="22"/>
        </w:rPr>
        <w:t>najneskôr do 3 mesiacov odo dňa oznámenia rozhodnutia EK o schválení operačného programu</w:t>
      </w:r>
      <w:r w:rsidRPr="00F94B5B">
        <w:rPr>
          <w:sz w:val="22"/>
          <w:szCs w:val="22"/>
        </w:rPr>
        <w:t xml:space="preserve">. </w:t>
      </w:r>
      <w:r w:rsidRPr="00AB5D98">
        <w:rPr>
          <w:sz w:val="22"/>
          <w:szCs w:val="22"/>
        </w:rPr>
        <w:t>Monitorovací výbor bude poskytovať hlavnú platformu pre monitorovanie a hodnotenie dosiahnutého pokroku</w:t>
      </w:r>
      <w:r>
        <w:rPr>
          <w:sz w:val="22"/>
          <w:szCs w:val="22"/>
        </w:rPr>
        <w:t xml:space="preserve"> pri</w:t>
      </w:r>
      <w:r w:rsidRPr="00AB5D98">
        <w:rPr>
          <w:sz w:val="22"/>
          <w:szCs w:val="22"/>
        </w:rPr>
        <w:t> implementácii OPII.</w:t>
      </w:r>
      <w:r>
        <w:rPr>
          <w:sz w:val="22"/>
          <w:szCs w:val="22"/>
        </w:rPr>
        <w:t xml:space="preserve"> Úlohou partnerov bude dohliadať na efektívnosť implem</w:t>
      </w:r>
      <w:r w:rsidR="009011DB">
        <w:rPr>
          <w:sz w:val="22"/>
          <w:szCs w:val="22"/>
        </w:rPr>
        <w:t>entácie a v prípade potreby navrhnúť zmeny vo zvolenej stratégii</w:t>
      </w:r>
      <w:r>
        <w:rPr>
          <w:sz w:val="22"/>
          <w:szCs w:val="22"/>
        </w:rPr>
        <w:t>.</w:t>
      </w:r>
    </w:p>
    <w:p w14:paraId="023EFC29" w14:textId="77777777" w:rsidR="00D50386" w:rsidRDefault="00D50386" w:rsidP="00D50386">
      <w:pPr>
        <w:spacing w:before="180"/>
        <w:jc w:val="both"/>
        <w:rPr>
          <w:sz w:val="22"/>
          <w:szCs w:val="22"/>
        </w:rPr>
      </w:pPr>
      <w:r w:rsidRPr="00F94B5B">
        <w:rPr>
          <w:sz w:val="22"/>
          <w:szCs w:val="22"/>
        </w:rPr>
        <w:t>Zloženie partnerov zastúpených v</w:t>
      </w:r>
      <w:r>
        <w:rPr>
          <w:sz w:val="22"/>
          <w:szCs w:val="22"/>
        </w:rPr>
        <w:t> </w:t>
      </w:r>
      <w:r w:rsidRPr="00F94B5B">
        <w:rPr>
          <w:sz w:val="22"/>
          <w:szCs w:val="22"/>
        </w:rPr>
        <w:t>monitorovacom výbore bude odzrkadľova</w:t>
      </w:r>
      <w:r>
        <w:rPr>
          <w:sz w:val="22"/>
          <w:szCs w:val="22"/>
        </w:rPr>
        <w:t>ť charakter operačného programu. Č</w:t>
      </w:r>
      <w:r w:rsidRPr="00F94B5B">
        <w:rPr>
          <w:sz w:val="22"/>
          <w:szCs w:val="22"/>
        </w:rPr>
        <w:t xml:space="preserve">lenmi výboru budú </w:t>
      </w:r>
      <w:r>
        <w:rPr>
          <w:sz w:val="22"/>
          <w:szCs w:val="22"/>
        </w:rPr>
        <w:t>zástupcovia</w:t>
      </w:r>
      <w:r w:rsidRPr="00F94B5B">
        <w:rPr>
          <w:sz w:val="22"/>
          <w:szCs w:val="22"/>
        </w:rPr>
        <w:t xml:space="preserve"> </w:t>
      </w:r>
      <w:r>
        <w:rPr>
          <w:sz w:val="22"/>
          <w:szCs w:val="22"/>
        </w:rPr>
        <w:t xml:space="preserve">RO, SORO, CKO, CO, OA, </w:t>
      </w:r>
      <w:r w:rsidRPr="00F94B5B">
        <w:rPr>
          <w:sz w:val="22"/>
          <w:szCs w:val="22"/>
        </w:rPr>
        <w:t xml:space="preserve">zástupcovia relevantných </w:t>
      </w:r>
      <w:r>
        <w:rPr>
          <w:sz w:val="22"/>
          <w:szCs w:val="22"/>
        </w:rPr>
        <w:t xml:space="preserve">socioekonomických </w:t>
      </w:r>
      <w:r w:rsidRPr="00F94B5B">
        <w:rPr>
          <w:sz w:val="22"/>
          <w:szCs w:val="22"/>
        </w:rPr>
        <w:t>partnerov, regionálnej a</w:t>
      </w:r>
      <w:r>
        <w:rPr>
          <w:sz w:val="22"/>
          <w:szCs w:val="22"/>
        </w:rPr>
        <w:t> </w:t>
      </w:r>
      <w:r w:rsidRPr="00F94B5B">
        <w:rPr>
          <w:sz w:val="22"/>
          <w:szCs w:val="22"/>
        </w:rPr>
        <w:t>miestnej samosprávy, príslušn</w:t>
      </w:r>
      <w:r>
        <w:rPr>
          <w:sz w:val="22"/>
          <w:szCs w:val="22"/>
        </w:rPr>
        <w:t xml:space="preserve">ých orgánov </w:t>
      </w:r>
      <w:r w:rsidRPr="00F94B5B">
        <w:rPr>
          <w:sz w:val="22"/>
          <w:szCs w:val="22"/>
        </w:rPr>
        <w:t>ústrednej štátnej správy, hospodársk</w:t>
      </w:r>
      <w:r>
        <w:rPr>
          <w:sz w:val="22"/>
          <w:szCs w:val="22"/>
        </w:rPr>
        <w:t>i</w:t>
      </w:r>
      <w:r w:rsidRPr="00F94B5B">
        <w:rPr>
          <w:sz w:val="22"/>
          <w:szCs w:val="22"/>
        </w:rPr>
        <w:t xml:space="preserve"> a</w:t>
      </w:r>
      <w:r>
        <w:rPr>
          <w:sz w:val="22"/>
          <w:szCs w:val="22"/>
        </w:rPr>
        <w:t> </w:t>
      </w:r>
      <w:r w:rsidRPr="00F94B5B">
        <w:rPr>
          <w:sz w:val="22"/>
          <w:szCs w:val="22"/>
        </w:rPr>
        <w:t>sociáln</w:t>
      </w:r>
      <w:r>
        <w:rPr>
          <w:sz w:val="22"/>
          <w:szCs w:val="22"/>
        </w:rPr>
        <w:t>i</w:t>
      </w:r>
      <w:r w:rsidRPr="00F94B5B">
        <w:rPr>
          <w:sz w:val="22"/>
          <w:szCs w:val="22"/>
        </w:rPr>
        <w:t xml:space="preserve"> partneri, ako aj zást</w:t>
      </w:r>
      <w:r>
        <w:rPr>
          <w:sz w:val="22"/>
          <w:szCs w:val="22"/>
        </w:rPr>
        <w:t>upcovia mimovládnych organizácií</w:t>
      </w:r>
      <w:r w:rsidRPr="00F94B5B">
        <w:rPr>
          <w:sz w:val="22"/>
          <w:szCs w:val="22"/>
        </w:rPr>
        <w:t xml:space="preserve"> vrátane subjektov zodpovedných za</w:t>
      </w:r>
      <w:r w:rsidR="009011DB">
        <w:rPr>
          <w:sz w:val="22"/>
          <w:szCs w:val="22"/>
        </w:rPr>
        <w:t xml:space="preserve"> uplatňovanie horizontálnych princípov (udržateľný rozvoj, rovnosť príležitostí a nediskriminácia, rovnosť medzi mužmi a ženami)</w:t>
      </w:r>
      <w:r w:rsidRPr="00F94B5B">
        <w:rPr>
          <w:sz w:val="22"/>
          <w:szCs w:val="22"/>
        </w:rPr>
        <w:t>.</w:t>
      </w:r>
      <w:r>
        <w:rPr>
          <w:sz w:val="22"/>
          <w:szCs w:val="22"/>
        </w:rPr>
        <w:t xml:space="preserve"> Funkcia pozorovateľov bude patriť EK a </w:t>
      </w:r>
      <w:r w:rsidRPr="00F94B5B">
        <w:rPr>
          <w:sz w:val="22"/>
          <w:szCs w:val="22"/>
        </w:rPr>
        <w:t>JASPERS</w:t>
      </w:r>
      <w:r>
        <w:rPr>
          <w:sz w:val="22"/>
          <w:szCs w:val="22"/>
        </w:rPr>
        <w:t>.</w:t>
      </w:r>
    </w:p>
    <w:p w14:paraId="455C72FB" w14:textId="77777777" w:rsidR="00E95EDB" w:rsidRPr="00CF2C83" w:rsidRDefault="002E328E" w:rsidP="00D50386">
      <w:pPr>
        <w:spacing w:before="180"/>
        <w:jc w:val="both"/>
        <w:rPr>
          <w:sz w:val="22"/>
          <w:szCs w:val="22"/>
        </w:rPr>
      </w:pPr>
      <w:r w:rsidRPr="00CF2C83">
        <w:rPr>
          <w:sz w:val="22"/>
          <w:szCs w:val="22"/>
        </w:rPr>
        <w:t>Nakoľko aktivity v rámci OPII sú vysoko relevantné k potrebám osôb so zdravotným postihnutím, ktoré patria medzi skupiny obyvateľstva najviac ohrozené diskrimináciou a sociálnym vylúčením, bude mať v</w:t>
      </w:r>
      <w:r w:rsidR="00E95EDB" w:rsidRPr="00CF2C83">
        <w:rPr>
          <w:sz w:val="22"/>
          <w:szCs w:val="22"/>
        </w:rPr>
        <w:t xml:space="preserve"> monitorovacom výbore zastúpenie aj predstaviteľ </w:t>
      </w:r>
      <w:r w:rsidR="003718B6" w:rsidRPr="00CF2C83">
        <w:rPr>
          <w:sz w:val="22"/>
          <w:szCs w:val="22"/>
        </w:rPr>
        <w:t xml:space="preserve">zastrešujúcej </w:t>
      </w:r>
      <w:r w:rsidR="00E95EDB" w:rsidRPr="00CF2C83">
        <w:rPr>
          <w:sz w:val="22"/>
          <w:szCs w:val="22"/>
        </w:rPr>
        <w:t xml:space="preserve">organizácie, ktorá </w:t>
      </w:r>
      <w:r w:rsidR="009E732F" w:rsidRPr="00CF2C83">
        <w:rPr>
          <w:sz w:val="22"/>
          <w:szCs w:val="22"/>
        </w:rPr>
        <w:t xml:space="preserve">združuje a </w:t>
      </w:r>
      <w:r w:rsidR="00E95EDB" w:rsidRPr="00CF2C83">
        <w:rPr>
          <w:sz w:val="22"/>
          <w:szCs w:val="22"/>
        </w:rPr>
        <w:t xml:space="preserve">zastupuje osoby so zdravotným postihnutím. </w:t>
      </w:r>
    </w:p>
    <w:p w14:paraId="06B3E8F9" w14:textId="77777777" w:rsidR="00CF2C83" w:rsidRDefault="00AE5DAA" w:rsidP="003718B6">
      <w:pPr>
        <w:spacing w:before="180"/>
        <w:jc w:val="both"/>
        <w:rPr>
          <w:rStyle w:val="Zstupntext"/>
          <w:color w:val="000000"/>
          <w:sz w:val="22"/>
          <w:szCs w:val="22"/>
        </w:rPr>
      </w:pPr>
      <w:r w:rsidRPr="00CF2C83">
        <w:rPr>
          <w:sz w:val="22"/>
          <w:szCs w:val="22"/>
        </w:rPr>
        <w:t>Za účelom hlbšieho začlenenia environmentálnych politík do prípravy a implementácie dopravných projektov v rámci OPII bude zriadená pracovná skupina, v ktorej budú mať zastúpenie predstavitelia /experti MDV SR a MŽP SR. Predmetom činnosti skupiny bude predovšetkým zabezpečenie efektívnej integrácie environmentálnych aspektov pri plánovaní a realizácii intervencií v sektore dopravy, pričom</w:t>
      </w:r>
      <w:r w:rsidR="00FA61A3" w:rsidRPr="00CF2C83">
        <w:rPr>
          <w:sz w:val="22"/>
          <w:szCs w:val="22"/>
        </w:rPr>
        <w:t xml:space="preserve"> dôraz bude kladený najmä</w:t>
      </w:r>
      <w:r w:rsidRPr="00CF2C83">
        <w:rPr>
          <w:sz w:val="22"/>
          <w:szCs w:val="22"/>
        </w:rPr>
        <w:t xml:space="preserve"> na oblasť zlepšenia kvali</w:t>
      </w:r>
      <w:r w:rsidR="000229F0">
        <w:rPr>
          <w:sz w:val="22"/>
          <w:szCs w:val="22"/>
        </w:rPr>
        <w:t>ty ovzdušia s cieľom prispieť k </w:t>
      </w:r>
      <w:r w:rsidRPr="00CF2C83">
        <w:rPr>
          <w:sz w:val="22"/>
          <w:szCs w:val="22"/>
        </w:rPr>
        <w:t xml:space="preserve">zlepšeniu stavu v tejto oblasti, tzn. cieľom bude prispieť k plneniu záväzkov vyplývajúcich pre SR z európskej legislatívy - </w:t>
      </w:r>
      <w:r w:rsidRPr="00CF2C83">
        <w:rPr>
          <w:rStyle w:val="Zstupntext"/>
          <w:color w:val="000000"/>
          <w:sz w:val="22"/>
          <w:szCs w:val="22"/>
        </w:rPr>
        <w:t>Smernice Európskeho Parlamentu a Rady 2008/50/ES o kvalite okolitého ovzdušia a čistejšom ovzduší v Európe.</w:t>
      </w:r>
    </w:p>
    <w:p w14:paraId="3EFD3E25" w14:textId="77777777" w:rsidR="00E92F9B" w:rsidRDefault="001218A8" w:rsidP="003718B6">
      <w:pPr>
        <w:spacing w:before="180"/>
        <w:jc w:val="both"/>
        <w:rPr>
          <w:sz w:val="22"/>
          <w:szCs w:val="22"/>
        </w:rPr>
      </w:pPr>
      <w:r w:rsidRPr="001218A8">
        <w:rPr>
          <w:sz w:val="22"/>
          <w:szCs w:val="22"/>
          <w:u w:val="single"/>
        </w:rPr>
        <w:t>Doprava</w:t>
      </w:r>
    </w:p>
    <w:p w14:paraId="1445F94C" w14:textId="77777777" w:rsidR="00E92F9B" w:rsidRDefault="00DC3389">
      <w:pPr>
        <w:jc w:val="both"/>
        <w:rPr>
          <w:sz w:val="22"/>
          <w:szCs w:val="22"/>
        </w:rPr>
      </w:pPr>
      <w:r>
        <w:rPr>
          <w:sz w:val="22"/>
          <w:szCs w:val="22"/>
        </w:rPr>
        <w:t>S cieľom</w:t>
      </w:r>
      <w:r w:rsidR="00D50386" w:rsidRPr="00D50386">
        <w:rPr>
          <w:sz w:val="22"/>
          <w:szCs w:val="22"/>
        </w:rPr>
        <w:t xml:space="preserve"> </w:t>
      </w:r>
      <w:r w:rsidR="00D50386" w:rsidRPr="00DC3389">
        <w:rPr>
          <w:sz w:val="22"/>
          <w:szCs w:val="22"/>
        </w:rPr>
        <w:t>vytvoriť transparentné prostredie pre efektí</w:t>
      </w:r>
      <w:r w:rsidR="00D50386">
        <w:rPr>
          <w:sz w:val="22"/>
          <w:szCs w:val="22"/>
        </w:rPr>
        <w:t>vne a </w:t>
      </w:r>
      <w:r w:rsidR="00D50386" w:rsidRPr="00DC3389">
        <w:rPr>
          <w:sz w:val="22"/>
          <w:szCs w:val="22"/>
        </w:rPr>
        <w:t>účinné riadenie prípravy OP</w:t>
      </w:r>
      <w:r w:rsidR="007D7918">
        <w:rPr>
          <w:sz w:val="22"/>
          <w:szCs w:val="22"/>
        </w:rPr>
        <w:t>II a zapojiť do </w:t>
      </w:r>
      <w:r w:rsidR="00D50386">
        <w:rPr>
          <w:sz w:val="22"/>
          <w:szCs w:val="22"/>
        </w:rPr>
        <w:t xml:space="preserve">procesu jeho </w:t>
      </w:r>
      <w:r w:rsidR="00D50386" w:rsidRPr="00DC3389">
        <w:rPr>
          <w:sz w:val="22"/>
          <w:szCs w:val="22"/>
        </w:rPr>
        <w:t xml:space="preserve">prípravy </w:t>
      </w:r>
      <w:r w:rsidR="00D50386">
        <w:rPr>
          <w:sz w:val="22"/>
          <w:szCs w:val="22"/>
        </w:rPr>
        <w:t>relevantných</w:t>
      </w:r>
      <w:r w:rsidR="00D50386" w:rsidRPr="00DC3389">
        <w:rPr>
          <w:sz w:val="22"/>
          <w:szCs w:val="22"/>
        </w:rPr>
        <w:t xml:space="preserve"> partner</w:t>
      </w:r>
      <w:r w:rsidR="00D50386">
        <w:rPr>
          <w:sz w:val="22"/>
          <w:szCs w:val="22"/>
        </w:rPr>
        <w:t>ov</w:t>
      </w:r>
      <w:r w:rsidRPr="00DC3389">
        <w:rPr>
          <w:sz w:val="22"/>
          <w:szCs w:val="22"/>
        </w:rPr>
        <w:t xml:space="preserve"> bola rozhodnutím ministra </w:t>
      </w:r>
      <w:r w:rsidR="000229F0">
        <w:rPr>
          <w:sz w:val="22"/>
          <w:szCs w:val="22"/>
        </w:rPr>
        <w:t>dopravy, výstavby a regionálneho rozvoja</w:t>
      </w:r>
      <w:r w:rsidRPr="00DC3389">
        <w:rPr>
          <w:sz w:val="22"/>
          <w:szCs w:val="22"/>
        </w:rPr>
        <w:t xml:space="preserve"> zo dňa </w:t>
      </w:r>
      <w:r>
        <w:rPr>
          <w:sz w:val="22"/>
          <w:szCs w:val="22"/>
        </w:rPr>
        <w:t>1</w:t>
      </w:r>
      <w:r w:rsidRPr="00DC3389">
        <w:rPr>
          <w:sz w:val="22"/>
          <w:szCs w:val="22"/>
        </w:rPr>
        <w:t>4.</w:t>
      </w:r>
      <w:r>
        <w:rPr>
          <w:sz w:val="22"/>
          <w:szCs w:val="22"/>
        </w:rPr>
        <w:t>08.</w:t>
      </w:r>
      <w:r w:rsidRPr="00DC3389">
        <w:rPr>
          <w:sz w:val="22"/>
          <w:szCs w:val="22"/>
        </w:rPr>
        <w:t>201</w:t>
      </w:r>
      <w:r>
        <w:rPr>
          <w:sz w:val="22"/>
          <w:szCs w:val="22"/>
        </w:rPr>
        <w:t>2</w:t>
      </w:r>
      <w:r w:rsidRPr="00DC3389">
        <w:rPr>
          <w:sz w:val="22"/>
          <w:szCs w:val="22"/>
        </w:rPr>
        <w:t xml:space="preserve"> zriadená </w:t>
      </w:r>
      <w:r w:rsidRPr="00CE3A02">
        <w:rPr>
          <w:i/>
          <w:color w:val="000000"/>
          <w:sz w:val="22"/>
          <w:szCs w:val="22"/>
        </w:rPr>
        <w:t>Pracovn</w:t>
      </w:r>
      <w:r>
        <w:rPr>
          <w:i/>
          <w:color w:val="000000"/>
          <w:sz w:val="22"/>
          <w:szCs w:val="22"/>
        </w:rPr>
        <w:t>á</w:t>
      </w:r>
      <w:r w:rsidRPr="00CE3A02">
        <w:rPr>
          <w:i/>
          <w:color w:val="000000"/>
          <w:sz w:val="22"/>
          <w:szCs w:val="22"/>
        </w:rPr>
        <w:t xml:space="preserve"> skupi</w:t>
      </w:r>
      <w:r w:rsidRPr="008F6241">
        <w:rPr>
          <w:i/>
          <w:sz w:val="22"/>
          <w:szCs w:val="22"/>
        </w:rPr>
        <w:t>na</w:t>
      </w:r>
      <w:r w:rsidRPr="00CE3A02">
        <w:rPr>
          <w:i/>
          <w:color w:val="000000"/>
          <w:sz w:val="22"/>
          <w:szCs w:val="22"/>
        </w:rPr>
        <w:t xml:space="preserve"> pre </w:t>
      </w:r>
      <w:r>
        <w:rPr>
          <w:i/>
          <w:color w:val="000000"/>
          <w:sz w:val="22"/>
          <w:szCs w:val="22"/>
        </w:rPr>
        <w:t>programovanie v sektore dopravy</w:t>
      </w:r>
      <w:r w:rsidRPr="00CE3A02">
        <w:rPr>
          <w:i/>
          <w:color w:val="000000"/>
          <w:sz w:val="22"/>
          <w:szCs w:val="22"/>
        </w:rPr>
        <w:t xml:space="preserve"> </w:t>
      </w:r>
      <w:r>
        <w:rPr>
          <w:i/>
          <w:color w:val="000000"/>
          <w:sz w:val="22"/>
          <w:szCs w:val="22"/>
        </w:rPr>
        <w:t>v </w:t>
      </w:r>
      <w:r w:rsidRPr="00CE3A02">
        <w:rPr>
          <w:i/>
          <w:color w:val="000000"/>
          <w:sz w:val="22"/>
          <w:szCs w:val="22"/>
        </w:rPr>
        <w:t>progra</w:t>
      </w:r>
      <w:r>
        <w:rPr>
          <w:i/>
          <w:color w:val="000000"/>
          <w:sz w:val="22"/>
          <w:szCs w:val="22"/>
        </w:rPr>
        <w:t xml:space="preserve">movom období </w:t>
      </w:r>
      <w:r w:rsidRPr="00CE3A02">
        <w:rPr>
          <w:i/>
          <w:color w:val="000000"/>
          <w:sz w:val="22"/>
          <w:szCs w:val="22"/>
        </w:rPr>
        <w:t>2014 – 2020</w:t>
      </w:r>
      <w:r w:rsidRPr="00CE3A02">
        <w:rPr>
          <w:color w:val="000000"/>
          <w:sz w:val="22"/>
          <w:szCs w:val="22"/>
        </w:rPr>
        <w:t>“</w:t>
      </w:r>
      <w:r>
        <w:rPr>
          <w:color w:val="000000"/>
          <w:sz w:val="22"/>
          <w:szCs w:val="22"/>
        </w:rPr>
        <w:t xml:space="preserve">. </w:t>
      </w:r>
      <w:r w:rsidRPr="00DC3389">
        <w:rPr>
          <w:sz w:val="22"/>
          <w:szCs w:val="22"/>
        </w:rPr>
        <w:t>Členmi pracovnej skupiny boli zástupcovia územnej samosprávy, relevantných ministerstiev a ostatných orgánov verejnej sprá</w:t>
      </w:r>
      <w:r>
        <w:rPr>
          <w:sz w:val="22"/>
          <w:szCs w:val="22"/>
        </w:rPr>
        <w:t xml:space="preserve">vy </w:t>
      </w:r>
      <w:r w:rsidRPr="00DC3389">
        <w:rPr>
          <w:sz w:val="22"/>
          <w:szCs w:val="22"/>
        </w:rPr>
        <w:t>a sociálnoekonomických partnerov, vrátane subjektov akademickej sféry („široké partnerstvo“).</w:t>
      </w:r>
    </w:p>
    <w:p w14:paraId="5B7982A5" w14:textId="77777777" w:rsidR="00DC3389" w:rsidRPr="00CE3A02" w:rsidRDefault="00DC3389" w:rsidP="00DC3389">
      <w:pPr>
        <w:spacing w:before="180" w:after="120"/>
        <w:jc w:val="both"/>
        <w:rPr>
          <w:color w:val="000000"/>
          <w:sz w:val="22"/>
          <w:szCs w:val="22"/>
        </w:rPr>
      </w:pPr>
      <w:r w:rsidRPr="00CE3A02">
        <w:rPr>
          <w:color w:val="000000"/>
          <w:sz w:val="22"/>
          <w:szCs w:val="22"/>
        </w:rPr>
        <w:t xml:space="preserve">Úlohou pracovnej skupiny </w:t>
      </w:r>
      <w:r>
        <w:rPr>
          <w:color w:val="000000"/>
          <w:sz w:val="22"/>
          <w:szCs w:val="22"/>
        </w:rPr>
        <w:t>bolo</w:t>
      </w:r>
      <w:r w:rsidRPr="00CE3A02">
        <w:rPr>
          <w:color w:val="000000"/>
          <w:sz w:val="22"/>
          <w:szCs w:val="22"/>
        </w:rPr>
        <w:t> spolupracovať s</w:t>
      </w:r>
      <w:r>
        <w:rPr>
          <w:color w:val="000000"/>
          <w:sz w:val="22"/>
          <w:szCs w:val="22"/>
        </w:rPr>
        <w:t> MDVRR SR</w:t>
      </w:r>
      <w:r w:rsidRPr="00CE3A02">
        <w:rPr>
          <w:color w:val="000000"/>
          <w:sz w:val="22"/>
          <w:szCs w:val="22"/>
        </w:rPr>
        <w:t xml:space="preserve"> pri príprave strategických dokumentov, nevyhnutn</w:t>
      </w:r>
      <w:r>
        <w:rPr>
          <w:color w:val="000000"/>
          <w:sz w:val="22"/>
          <w:szCs w:val="22"/>
        </w:rPr>
        <w:t>ých</w:t>
      </w:r>
      <w:r w:rsidRPr="00CE3A02">
        <w:rPr>
          <w:color w:val="000000"/>
          <w:sz w:val="22"/>
          <w:szCs w:val="22"/>
        </w:rPr>
        <w:t xml:space="preserve"> pre prístup k fondom EÚ</w:t>
      </w:r>
      <w:r>
        <w:rPr>
          <w:color w:val="000000"/>
          <w:sz w:val="22"/>
          <w:szCs w:val="22"/>
        </w:rPr>
        <w:t xml:space="preserve"> v oblasti dopravy v programovom období 2014 – 2020. Ide </w:t>
      </w:r>
      <w:r w:rsidRPr="00CE3A02">
        <w:rPr>
          <w:color w:val="000000"/>
          <w:sz w:val="22"/>
          <w:szCs w:val="22"/>
        </w:rPr>
        <w:t>predovšetkým</w:t>
      </w:r>
      <w:r>
        <w:rPr>
          <w:color w:val="000000"/>
          <w:sz w:val="22"/>
          <w:szCs w:val="22"/>
        </w:rPr>
        <w:t xml:space="preserve"> o tieto dokumenty</w:t>
      </w:r>
      <w:r w:rsidRPr="00CE3A02">
        <w:rPr>
          <w:color w:val="000000"/>
          <w:sz w:val="22"/>
          <w:szCs w:val="22"/>
        </w:rPr>
        <w:t>:</w:t>
      </w:r>
    </w:p>
    <w:p w14:paraId="5F95C9F5" w14:textId="77777777" w:rsidR="009E0158" w:rsidRDefault="00DC3389" w:rsidP="00D26026">
      <w:pPr>
        <w:numPr>
          <w:ilvl w:val="0"/>
          <w:numId w:val="56"/>
        </w:numPr>
        <w:jc w:val="both"/>
        <w:rPr>
          <w:color w:val="000000"/>
          <w:sz w:val="22"/>
          <w:szCs w:val="22"/>
        </w:rPr>
      </w:pPr>
      <w:r w:rsidRPr="00CE3A02">
        <w:rPr>
          <w:color w:val="000000"/>
          <w:sz w:val="22"/>
          <w:szCs w:val="22"/>
        </w:rPr>
        <w:t>Strategický plán rozvoja dopravnej infraštruktúry SR do roku 2020,</w:t>
      </w:r>
    </w:p>
    <w:p w14:paraId="1071A9ED" w14:textId="77777777" w:rsidR="009E0158" w:rsidRDefault="00DC3389" w:rsidP="00D26026">
      <w:pPr>
        <w:numPr>
          <w:ilvl w:val="0"/>
          <w:numId w:val="56"/>
        </w:numPr>
        <w:jc w:val="both"/>
        <w:rPr>
          <w:sz w:val="22"/>
          <w:szCs w:val="22"/>
        </w:rPr>
      </w:pPr>
      <w:r w:rsidRPr="008F6241">
        <w:rPr>
          <w:sz w:val="22"/>
          <w:szCs w:val="22"/>
        </w:rPr>
        <w:t>Operačný program Integrovaná infraštruktúra 2014 – 2020</w:t>
      </w:r>
      <w:r>
        <w:rPr>
          <w:sz w:val="22"/>
          <w:szCs w:val="22"/>
        </w:rPr>
        <w:t xml:space="preserve"> (časť Doprava),</w:t>
      </w:r>
    </w:p>
    <w:p w14:paraId="7390AE7A" w14:textId="77777777" w:rsidR="009E0158" w:rsidRDefault="00DC3389" w:rsidP="00D26026">
      <w:pPr>
        <w:numPr>
          <w:ilvl w:val="0"/>
          <w:numId w:val="56"/>
        </w:numPr>
        <w:jc w:val="both"/>
        <w:rPr>
          <w:color w:val="000000"/>
          <w:sz w:val="22"/>
          <w:szCs w:val="22"/>
        </w:rPr>
      </w:pPr>
      <w:r>
        <w:rPr>
          <w:color w:val="000000"/>
          <w:sz w:val="22"/>
          <w:szCs w:val="22"/>
        </w:rPr>
        <w:t>Stratégia</w:t>
      </w:r>
      <w:r w:rsidRPr="00CE3A02">
        <w:rPr>
          <w:color w:val="000000"/>
          <w:sz w:val="22"/>
          <w:szCs w:val="22"/>
        </w:rPr>
        <w:t xml:space="preserve"> rozvoja verejnej osobnej </w:t>
      </w:r>
      <w:r>
        <w:rPr>
          <w:color w:val="000000"/>
          <w:sz w:val="22"/>
          <w:szCs w:val="22"/>
        </w:rPr>
        <w:t>a </w:t>
      </w:r>
      <w:r w:rsidRPr="0044578F">
        <w:rPr>
          <w:sz w:val="22"/>
          <w:szCs w:val="22"/>
        </w:rPr>
        <w:t>nemotorovej</w:t>
      </w:r>
      <w:r>
        <w:rPr>
          <w:color w:val="000000"/>
          <w:sz w:val="22"/>
          <w:szCs w:val="22"/>
        </w:rPr>
        <w:t xml:space="preserve"> </w:t>
      </w:r>
      <w:r w:rsidRPr="00CE3A02">
        <w:rPr>
          <w:color w:val="000000"/>
          <w:sz w:val="22"/>
          <w:szCs w:val="22"/>
        </w:rPr>
        <w:t>dopravy</w:t>
      </w:r>
      <w:r>
        <w:rPr>
          <w:color w:val="000000"/>
          <w:sz w:val="22"/>
          <w:szCs w:val="22"/>
        </w:rPr>
        <w:t xml:space="preserve"> </w:t>
      </w:r>
      <w:r w:rsidRPr="00A348ED">
        <w:rPr>
          <w:sz w:val="22"/>
          <w:szCs w:val="22"/>
        </w:rPr>
        <w:t>SR do roku 2020</w:t>
      </w:r>
      <w:r>
        <w:rPr>
          <w:color w:val="000000"/>
          <w:sz w:val="22"/>
          <w:szCs w:val="22"/>
        </w:rPr>
        <w:t>,</w:t>
      </w:r>
    </w:p>
    <w:p w14:paraId="1082862B" w14:textId="77777777" w:rsidR="009E0158" w:rsidRDefault="00DC3389" w:rsidP="00D26026">
      <w:pPr>
        <w:numPr>
          <w:ilvl w:val="0"/>
          <w:numId w:val="56"/>
        </w:numPr>
        <w:jc w:val="both"/>
        <w:rPr>
          <w:color w:val="000000"/>
          <w:sz w:val="22"/>
          <w:szCs w:val="22"/>
        </w:rPr>
      </w:pPr>
      <w:r w:rsidRPr="00CE3A02">
        <w:rPr>
          <w:color w:val="000000"/>
          <w:sz w:val="22"/>
          <w:szCs w:val="22"/>
        </w:rPr>
        <w:t xml:space="preserve">Strategický plán rozvoja a údržby ciest </w:t>
      </w:r>
      <w:r>
        <w:rPr>
          <w:color w:val="000000"/>
          <w:sz w:val="22"/>
          <w:szCs w:val="22"/>
        </w:rPr>
        <w:t>II. a III. triedy</w:t>
      </w:r>
      <w:r w:rsidRPr="00CE3A02">
        <w:rPr>
          <w:color w:val="000000"/>
          <w:sz w:val="22"/>
          <w:szCs w:val="22"/>
        </w:rPr>
        <w:t xml:space="preserve"> (Cestný regionálny Master Plán),</w:t>
      </w:r>
    </w:p>
    <w:p w14:paraId="7A61DF3B" w14:textId="77777777" w:rsidR="009E0158" w:rsidRDefault="00DC3389" w:rsidP="00D26026">
      <w:pPr>
        <w:numPr>
          <w:ilvl w:val="0"/>
          <w:numId w:val="56"/>
        </w:numPr>
        <w:jc w:val="both"/>
        <w:rPr>
          <w:color w:val="000000"/>
          <w:sz w:val="22"/>
          <w:szCs w:val="22"/>
        </w:rPr>
      </w:pPr>
      <w:r w:rsidRPr="00CE3A02">
        <w:rPr>
          <w:color w:val="000000"/>
          <w:sz w:val="22"/>
          <w:szCs w:val="22"/>
        </w:rPr>
        <w:t>Dopravný model SR.</w:t>
      </w:r>
    </w:p>
    <w:p w14:paraId="17BDE2CE" w14:textId="77777777" w:rsidR="00E92F9B" w:rsidRDefault="00D50386" w:rsidP="003718B6">
      <w:pPr>
        <w:spacing w:before="180"/>
        <w:jc w:val="both"/>
        <w:rPr>
          <w:color w:val="000000"/>
          <w:sz w:val="22"/>
          <w:szCs w:val="22"/>
          <w:u w:val="single"/>
        </w:rPr>
      </w:pPr>
      <w:r w:rsidRPr="002B39CB">
        <w:rPr>
          <w:color w:val="000000"/>
          <w:sz w:val="22"/>
          <w:szCs w:val="22"/>
          <w:u w:val="single"/>
        </w:rPr>
        <w:t>Informačná</w:t>
      </w:r>
      <w:r w:rsidR="001218A8" w:rsidRPr="001218A8">
        <w:rPr>
          <w:color w:val="000000"/>
          <w:sz w:val="22"/>
          <w:szCs w:val="22"/>
          <w:u w:val="single"/>
        </w:rPr>
        <w:t xml:space="preserve"> spoločnosť</w:t>
      </w:r>
    </w:p>
    <w:p w14:paraId="6AB2C2CA" w14:textId="77777777" w:rsidR="00D50386" w:rsidRPr="00241688" w:rsidRDefault="00D50386" w:rsidP="00D50386">
      <w:pPr>
        <w:pStyle w:val="06Normal"/>
        <w:spacing w:before="0" w:after="0"/>
        <w:rPr>
          <w:szCs w:val="22"/>
        </w:rPr>
      </w:pPr>
      <w:r w:rsidRPr="00241688">
        <w:rPr>
          <w:szCs w:val="22"/>
        </w:rPr>
        <w:t xml:space="preserve">V súvislosti s plnením ex ante kondicionalít a prípravou podkladov pre </w:t>
      </w:r>
      <w:r>
        <w:rPr>
          <w:szCs w:val="22"/>
        </w:rPr>
        <w:t xml:space="preserve">Prioritnú os 7 OPII v rámci tematického cieľa 2 </w:t>
      </w:r>
      <w:r w:rsidRPr="00241688">
        <w:rPr>
          <w:szCs w:val="22"/>
        </w:rPr>
        <w:t xml:space="preserve">bola rozhodnutím ministra financií SR dňa 13.07.2012 zriadená na </w:t>
      </w:r>
      <w:r>
        <w:rPr>
          <w:szCs w:val="22"/>
        </w:rPr>
        <w:t>MF SR</w:t>
      </w:r>
      <w:r w:rsidR="001742DB">
        <w:rPr>
          <w:rStyle w:val="Odkaznapoznmkupodiarou"/>
          <w:szCs w:val="22"/>
        </w:rPr>
        <w:footnoteReference w:id="121"/>
      </w:r>
      <w:r>
        <w:rPr>
          <w:szCs w:val="22"/>
        </w:rPr>
        <w:t xml:space="preserve"> </w:t>
      </w:r>
      <w:r w:rsidR="001218A8" w:rsidRPr="001218A8">
        <w:rPr>
          <w:i/>
          <w:szCs w:val="22"/>
        </w:rPr>
        <w:lastRenderedPageBreak/>
        <w:t>Pracovná skupina pre zabezpečenie plnenia ex ante kondicionalít Rast v oblasti digitálnych sl</w:t>
      </w:r>
      <w:r w:rsidR="007D7918">
        <w:rPr>
          <w:i/>
          <w:szCs w:val="22"/>
        </w:rPr>
        <w:t>užieb a </w:t>
      </w:r>
      <w:r w:rsidR="001218A8" w:rsidRPr="001218A8">
        <w:rPr>
          <w:i/>
          <w:szCs w:val="22"/>
        </w:rPr>
        <w:t>Infraštruktúra prístupovej siete novej generácie (ďalej len „pracovná skupina“).</w:t>
      </w:r>
    </w:p>
    <w:p w14:paraId="66E7A3EF" w14:textId="77777777" w:rsidR="00D50386" w:rsidRPr="00241688" w:rsidRDefault="00D50386" w:rsidP="00D50386">
      <w:pPr>
        <w:pStyle w:val="06Normal"/>
        <w:spacing w:after="0"/>
        <w:rPr>
          <w:szCs w:val="22"/>
        </w:rPr>
      </w:pPr>
      <w:r w:rsidRPr="00241688">
        <w:rPr>
          <w:szCs w:val="22"/>
        </w:rPr>
        <w:t>Pro</w:t>
      </w:r>
      <w:r>
        <w:rPr>
          <w:szCs w:val="22"/>
        </w:rPr>
        <w:t>stredníctvom pracovnej skupiny b</w:t>
      </w:r>
      <w:r w:rsidRPr="00241688">
        <w:rPr>
          <w:szCs w:val="22"/>
        </w:rPr>
        <w:t xml:space="preserve">oli do procesu prípravy podkladov pre </w:t>
      </w:r>
      <w:r>
        <w:rPr>
          <w:szCs w:val="22"/>
        </w:rPr>
        <w:t xml:space="preserve">Prioritnú os 7 OPII </w:t>
      </w:r>
      <w:r w:rsidRPr="00241688">
        <w:rPr>
          <w:szCs w:val="22"/>
        </w:rPr>
        <w:t>zapojení zástupcovia relevantných ministerstiev, samosprávy, akademickej obce, odborné a záujmové združenia vrátane zástupcu Centrálneho koordinačného orgánu. Funkciu predsedu pracovnej skup</w:t>
      </w:r>
      <w:r>
        <w:rPr>
          <w:szCs w:val="22"/>
        </w:rPr>
        <w:t>iny zastával štátny tajomník 1 M</w:t>
      </w:r>
      <w:r w:rsidRPr="00241688">
        <w:rPr>
          <w:szCs w:val="22"/>
        </w:rPr>
        <w:t>i</w:t>
      </w:r>
      <w:r>
        <w:rPr>
          <w:szCs w:val="22"/>
        </w:rPr>
        <w:t>nisterstva financií SR.</w:t>
      </w:r>
    </w:p>
    <w:p w14:paraId="5F88FEE2" w14:textId="77777777" w:rsidR="00D50386" w:rsidRPr="00241688" w:rsidRDefault="00D50386" w:rsidP="00D50386">
      <w:pPr>
        <w:pStyle w:val="06Normal"/>
        <w:spacing w:after="0"/>
        <w:rPr>
          <w:szCs w:val="22"/>
        </w:rPr>
      </w:pPr>
      <w:r w:rsidRPr="00241688">
        <w:rPr>
          <w:szCs w:val="22"/>
        </w:rPr>
        <w:t xml:space="preserve">Výstupom </w:t>
      </w:r>
      <w:r>
        <w:rPr>
          <w:szCs w:val="22"/>
        </w:rPr>
        <w:t>pracovnej skupiny bolo vypracova</w:t>
      </w:r>
      <w:r w:rsidRPr="00241688">
        <w:rPr>
          <w:szCs w:val="22"/>
        </w:rPr>
        <w:t xml:space="preserve">nie Strategického dokumentu pre oblasť rastu digitálnych služieb a oblasť infraštruktúry prístupovej siete novej generácie (ďalej len „Strategický dokument“), ktorý predstavoval základné východisko pre prípravu </w:t>
      </w:r>
      <w:r>
        <w:rPr>
          <w:szCs w:val="22"/>
        </w:rPr>
        <w:t>Prioritnej osi 7 OPII.</w:t>
      </w:r>
    </w:p>
    <w:p w14:paraId="25A715FF" w14:textId="77777777" w:rsidR="00D50386" w:rsidRPr="00241688" w:rsidRDefault="00D50386" w:rsidP="00D50386">
      <w:pPr>
        <w:spacing w:before="120" w:after="120"/>
        <w:jc w:val="both"/>
        <w:rPr>
          <w:sz w:val="22"/>
          <w:szCs w:val="22"/>
        </w:rPr>
      </w:pPr>
      <w:r>
        <w:rPr>
          <w:sz w:val="22"/>
          <w:szCs w:val="22"/>
        </w:rPr>
        <w:t>V rámci prípravy Strategického dokumentu</w:t>
      </w:r>
      <w:r w:rsidRPr="00241688">
        <w:rPr>
          <w:sz w:val="22"/>
          <w:szCs w:val="22"/>
        </w:rPr>
        <w:t xml:space="preserve"> bolo nevyhnutné zapojiť do prípravy a pripomienkovania Strategického dokumentu aj ďalšie relevantné subjekty (nominovaní členmi pracovnej skupiny), ktoré sa svojou odbornou participáciou a skúsenosťami z praxe podieľali na detailnejšej špecifikácii a analýze opatrení navrhovaných pre rozvoj digitálnych služieb a infraštruktúry prístupovej siete novej generácie v programovom období</w:t>
      </w:r>
      <w:r w:rsidR="002B39CB">
        <w:rPr>
          <w:sz w:val="22"/>
          <w:szCs w:val="22"/>
        </w:rPr>
        <w:t xml:space="preserve"> 2014 - 2020</w:t>
      </w:r>
      <w:r w:rsidRPr="00241688">
        <w:rPr>
          <w:sz w:val="22"/>
          <w:szCs w:val="22"/>
        </w:rPr>
        <w:t>. Za týmto účelom sa na MF SR zriadili pod pracovnou skupinou technické podskupiny pre nasledujúce prioritné oblasti:</w:t>
      </w:r>
    </w:p>
    <w:p w14:paraId="16038EB6"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 xml:space="preserve">Technická podskupina 1 – Government Cloud, </w:t>
      </w:r>
    </w:p>
    <w:p w14:paraId="2186A300"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Technická podskupina 2 – Broadband/NGA,</w:t>
      </w:r>
    </w:p>
    <w:p w14:paraId="45280A65"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Technická podskupina 3 – Služby</w:t>
      </w:r>
      <w:r>
        <w:rPr>
          <w:szCs w:val="22"/>
          <w:lang w:val="sk-SK"/>
        </w:rPr>
        <w:t xml:space="preserve"> </w:t>
      </w:r>
      <w:r w:rsidRPr="00600423">
        <w:rPr>
          <w:szCs w:val="22"/>
          <w:lang w:val="sk-SK"/>
        </w:rPr>
        <w:t xml:space="preserve">(mGov, eInclusion, Commerce atď.), </w:t>
      </w:r>
    </w:p>
    <w:p w14:paraId="2C23A4E7"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 xml:space="preserve">Technická podskupina 4 – ESO, </w:t>
      </w:r>
    </w:p>
    <w:p w14:paraId="6E79EE15"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 xml:space="preserve">Technická podskupina 5 – Open Data, </w:t>
      </w:r>
    </w:p>
    <w:p w14:paraId="56AF965C" w14:textId="77777777" w:rsidR="009E0158" w:rsidRDefault="00D50386" w:rsidP="00D26026">
      <w:pPr>
        <w:pStyle w:val="09Bullet2"/>
        <w:numPr>
          <w:ilvl w:val="0"/>
          <w:numId w:val="70"/>
        </w:numPr>
        <w:spacing w:before="0" w:after="0"/>
        <w:ind w:left="567" w:hanging="283"/>
        <w:rPr>
          <w:szCs w:val="22"/>
          <w:lang w:val="sk-SK"/>
        </w:rPr>
      </w:pPr>
      <w:r w:rsidRPr="00241688">
        <w:rPr>
          <w:szCs w:val="22"/>
          <w:lang w:val="sk-SK"/>
        </w:rPr>
        <w:t>Technická podskupina 6 – ŠF/komplementarita.</w:t>
      </w:r>
    </w:p>
    <w:p w14:paraId="2D96B1F4" w14:textId="77777777" w:rsidR="00975EAF" w:rsidRDefault="00975EAF" w:rsidP="00975EAF">
      <w:pPr>
        <w:tabs>
          <w:tab w:val="left" w:pos="709"/>
        </w:tabs>
        <w:spacing w:before="240"/>
        <w:jc w:val="both"/>
        <w:rPr>
          <w:sz w:val="22"/>
          <w:szCs w:val="22"/>
          <w:u w:val="single"/>
        </w:rPr>
      </w:pPr>
      <w:r w:rsidRPr="00FB7879">
        <w:rPr>
          <w:sz w:val="22"/>
          <w:szCs w:val="22"/>
          <w:u w:val="single"/>
        </w:rPr>
        <w:t>Výskum a</w:t>
      </w:r>
      <w:r>
        <w:rPr>
          <w:sz w:val="22"/>
          <w:szCs w:val="22"/>
          <w:u w:val="single"/>
        </w:rPr>
        <w:t> </w:t>
      </w:r>
      <w:r w:rsidRPr="00FB7879">
        <w:rPr>
          <w:sz w:val="22"/>
          <w:szCs w:val="22"/>
          <w:u w:val="single"/>
        </w:rPr>
        <w:t>inovácie</w:t>
      </w:r>
    </w:p>
    <w:p w14:paraId="0935ACEB" w14:textId="77777777" w:rsidR="00975EAF" w:rsidRDefault="00975EAF" w:rsidP="00975EAF">
      <w:pPr>
        <w:pStyle w:val="Zkladntext"/>
        <w:spacing w:after="0"/>
        <w:jc w:val="both"/>
        <w:rPr>
          <w:sz w:val="22"/>
          <w:szCs w:val="22"/>
        </w:rPr>
      </w:pPr>
      <w:r w:rsidRPr="00FD44D7">
        <w:rPr>
          <w:sz w:val="22"/>
          <w:szCs w:val="22"/>
        </w:rPr>
        <w:t>OP</w:t>
      </w:r>
      <w:r>
        <w:rPr>
          <w:sz w:val="22"/>
          <w:szCs w:val="22"/>
        </w:rPr>
        <w:t xml:space="preserve"> </w:t>
      </w:r>
      <w:r w:rsidRPr="00FD44D7">
        <w:rPr>
          <w:sz w:val="22"/>
          <w:szCs w:val="22"/>
        </w:rPr>
        <w:t>VaI</w:t>
      </w:r>
      <w:r>
        <w:rPr>
          <w:rStyle w:val="Odkaznapoznmkupodiarou"/>
          <w:sz w:val="22"/>
          <w:szCs w:val="22"/>
        </w:rPr>
        <w:footnoteReference w:id="122"/>
      </w:r>
      <w:r>
        <w:rPr>
          <w:sz w:val="22"/>
          <w:szCs w:val="22"/>
        </w:rPr>
        <w:t xml:space="preserve"> </w:t>
      </w:r>
      <w:r w:rsidRPr="00FD44D7">
        <w:rPr>
          <w:sz w:val="22"/>
          <w:szCs w:val="22"/>
        </w:rPr>
        <w:t>je</w:t>
      </w:r>
      <w:r>
        <w:rPr>
          <w:sz w:val="22"/>
          <w:szCs w:val="22"/>
        </w:rPr>
        <w:t xml:space="preserve"> </w:t>
      </w:r>
      <w:r w:rsidRPr="00FD44D7">
        <w:rPr>
          <w:sz w:val="22"/>
          <w:szCs w:val="22"/>
        </w:rPr>
        <w:t>programový</w:t>
      </w:r>
      <w:r>
        <w:rPr>
          <w:sz w:val="22"/>
          <w:szCs w:val="22"/>
        </w:rPr>
        <w:t xml:space="preserve"> </w:t>
      </w:r>
      <w:r w:rsidRPr="00FD44D7">
        <w:rPr>
          <w:sz w:val="22"/>
          <w:szCs w:val="22"/>
        </w:rPr>
        <w:t>dokument</w:t>
      </w:r>
      <w:r>
        <w:rPr>
          <w:sz w:val="22"/>
          <w:szCs w:val="22"/>
        </w:rPr>
        <w:t xml:space="preserve"> </w:t>
      </w:r>
      <w:r w:rsidRPr="00FD44D7">
        <w:rPr>
          <w:sz w:val="22"/>
          <w:szCs w:val="22"/>
        </w:rPr>
        <w:t>vytváraný MŠVVaŠ</w:t>
      </w:r>
      <w:r>
        <w:rPr>
          <w:sz w:val="22"/>
          <w:szCs w:val="22"/>
        </w:rPr>
        <w:t xml:space="preserve"> </w:t>
      </w:r>
      <w:r w:rsidRPr="00FD44D7">
        <w:rPr>
          <w:sz w:val="22"/>
          <w:szCs w:val="22"/>
        </w:rPr>
        <w:t>SR</w:t>
      </w:r>
      <w:r>
        <w:rPr>
          <w:sz w:val="22"/>
          <w:szCs w:val="22"/>
        </w:rPr>
        <w:t xml:space="preserve"> </w:t>
      </w:r>
      <w:r w:rsidRPr="00FD44D7">
        <w:rPr>
          <w:sz w:val="22"/>
          <w:szCs w:val="22"/>
        </w:rPr>
        <w:t>a</w:t>
      </w:r>
      <w:r>
        <w:rPr>
          <w:sz w:val="22"/>
          <w:szCs w:val="22"/>
        </w:rPr>
        <w:t> </w:t>
      </w:r>
      <w:r w:rsidRPr="00FD44D7">
        <w:rPr>
          <w:sz w:val="22"/>
          <w:szCs w:val="22"/>
        </w:rPr>
        <w:t>MH</w:t>
      </w:r>
      <w:r>
        <w:rPr>
          <w:sz w:val="22"/>
          <w:szCs w:val="22"/>
        </w:rPr>
        <w:t xml:space="preserve"> </w:t>
      </w:r>
      <w:r w:rsidRPr="00FD44D7">
        <w:rPr>
          <w:sz w:val="22"/>
          <w:szCs w:val="22"/>
        </w:rPr>
        <w:t>SR</w:t>
      </w:r>
      <w:r>
        <w:rPr>
          <w:sz w:val="22"/>
          <w:szCs w:val="22"/>
        </w:rPr>
        <w:t xml:space="preserve"> </w:t>
      </w:r>
      <w:r w:rsidRPr="00FD44D7">
        <w:rPr>
          <w:sz w:val="22"/>
          <w:szCs w:val="22"/>
        </w:rPr>
        <w:t>pri</w:t>
      </w:r>
      <w:r>
        <w:rPr>
          <w:sz w:val="22"/>
          <w:szCs w:val="22"/>
        </w:rPr>
        <w:t xml:space="preserve"> </w:t>
      </w:r>
      <w:r w:rsidRPr="00FD44D7">
        <w:rPr>
          <w:sz w:val="22"/>
          <w:szCs w:val="22"/>
        </w:rPr>
        <w:t>zohľadnení</w:t>
      </w:r>
      <w:r>
        <w:rPr>
          <w:sz w:val="22"/>
          <w:szCs w:val="22"/>
        </w:rPr>
        <w:t xml:space="preserve"> </w:t>
      </w:r>
      <w:r w:rsidRPr="00FD44D7">
        <w:rPr>
          <w:sz w:val="22"/>
          <w:szCs w:val="22"/>
        </w:rPr>
        <w:t>princípu</w:t>
      </w:r>
      <w:r>
        <w:rPr>
          <w:sz w:val="22"/>
          <w:szCs w:val="22"/>
        </w:rPr>
        <w:t xml:space="preserve"> </w:t>
      </w:r>
      <w:r w:rsidRPr="00FD44D7">
        <w:rPr>
          <w:sz w:val="22"/>
          <w:szCs w:val="22"/>
        </w:rPr>
        <w:t>partnerstva</w:t>
      </w:r>
      <w:r>
        <w:rPr>
          <w:sz w:val="22"/>
          <w:szCs w:val="22"/>
        </w:rPr>
        <w:t xml:space="preserve"> </w:t>
      </w:r>
      <w:r w:rsidRPr="00FD44D7">
        <w:rPr>
          <w:sz w:val="22"/>
          <w:szCs w:val="22"/>
        </w:rPr>
        <w:t>vychádzajúceho z čl. 5 všeobecného nariadenia a v súlade s Etickým kódexom pre partnerstvo a Metodickým usmernením CKO k príprave OP na programové obdobie 2014 – 2020</w:t>
      </w:r>
      <w:r>
        <w:rPr>
          <w:sz w:val="22"/>
          <w:szCs w:val="22"/>
        </w:rPr>
        <w:t xml:space="preserve">. </w:t>
      </w:r>
    </w:p>
    <w:p w14:paraId="6B376D97" w14:textId="77777777" w:rsidR="00975EAF" w:rsidRDefault="00975EAF" w:rsidP="00975EAF">
      <w:pPr>
        <w:pStyle w:val="Zkladntext"/>
        <w:spacing w:after="0"/>
        <w:jc w:val="both"/>
        <w:rPr>
          <w:sz w:val="22"/>
          <w:szCs w:val="22"/>
        </w:rPr>
      </w:pPr>
    </w:p>
    <w:p w14:paraId="487418DD" w14:textId="77777777" w:rsidR="00975EAF" w:rsidRPr="00F058A0" w:rsidRDefault="00975EAF" w:rsidP="00975EAF">
      <w:pPr>
        <w:pStyle w:val="Zkladntext"/>
        <w:spacing w:after="0"/>
        <w:jc w:val="both"/>
        <w:rPr>
          <w:i/>
          <w:sz w:val="22"/>
          <w:szCs w:val="22"/>
        </w:rPr>
      </w:pPr>
      <w:r w:rsidRPr="00F058A0">
        <w:rPr>
          <w:i/>
          <w:sz w:val="22"/>
          <w:szCs w:val="22"/>
        </w:rPr>
        <w:t>Príprava OP VaI</w:t>
      </w:r>
    </w:p>
    <w:p w14:paraId="28EABC6A" w14:textId="7A39491C" w:rsidR="00975EAF" w:rsidRPr="00690A63" w:rsidRDefault="00975EAF" w:rsidP="00975EAF">
      <w:pPr>
        <w:pStyle w:val="Zkladntext"/>
        <w:spacing w:before="120" w:after="0"/>
        <w:jc w:val="both"/>
        <w:rPr>
          <w:sz w:val="22"/>
          <w:szCs w:val="22"/>
        </w:rPr>
      </w:pPr>
      <w:r w:rsidRPr="00690A63">
        <w:rPr>
          <w:sz w:val="22"/>
          <w:szCs w:val="22"/>
        </w:rPr>
        <w:t>V rámci užšieho partnerstva spolupracujú obe ministerstvá s relevantnými orgánmi ústrednej štátnej správy, najmä s Úradom vlády SR (CKO) a s relevantnými ministerstvami, ktoré majú svojimi kompetenciami dopad na tvorbu OP VaI, ako aj expertnou pracovnou skupinou pre prípravu RIS3 SK. Vychádzajúc z realizovaných analýz a hodnotení na úrovni sekcií oboch ministerstiev implementujúcich ŠF v programovom období 2007 – 2013, reflekt</w:t>
      </w:r>
      <w:r w:rsidR="00F058A0">
        <w:rPr>
          <w:sz w:val="22"/>
          <w:szCs w:val="22"/>
        </w:rPr>
        <w:t>ujúc analytické vstupy z RIS3 v </w:t>
      </w:r>
      <w:r w:rsidRPr="00690A63">
        <w:rPr>
          <w:sz w:val="22"/>
          <w:szCs w:val="22"/>
        </w:rPr>
        <w:t>oblasti stavu VVaI v SR, ako aj ciele a priority vyplývajúce zo strategických dokumentov EÚ a SR – Stratégia Európa 2020, špecifické odporúčania Rady pre krajiny, Národný program reforiem, boli identifikované potreby a navrhnuté opatrenia pre ich zabezpečenie v oblasti podpory a budovania systému VVaI prostredníctvom OP VaI z prostriedkov Európskeho fondu regionálneho rozvoja.</w:t>
      </w:r>
    </w:p>
    <w:p w14:paraId="504AF816" w14:textId="77777777" w:rsidR="00975EAF" w:rsidRPr="00690A63" w:rsidRDefault="00975EAF" w:rsidP="00975EAF">
      <w:pPr>
        <w:pStyle w:val="Zkladntext"/>
        <w:spacing w:before="120" w:after="0"/>
        <w:jc w:val="both"/>
        <w:rPr>
          <w:sz w:val="22"/>
          <w:szCs w:val="22"/>
        </w:rPr>
      </w:pPr>
      <w:r w:rsidRPr="00690A63">
        <w:rPr>
          <w:sz w:val="22"/>
          <w:szCs w:val="22"/>
        </w:rPr>
        <w:t>V širšom kontexte uplatňovania princípu partnerstva participovali na príprave OP VaI aj zástupcovia územnej samosprávy, ďalšie relevantné ústredné orgány štátnej správy, hospodárski a sociálni partneri vrátane vedecko-výskumnej sféry, záujmové združenia ako aj subjekty občianskej spoločnosti, a to prostredníctvom Pracovnej skupiny pre prípravu OP VaI. Výber členov pracovnej skupiny bol realizovaný na základe objektívne posúditeľných a overiteľných kritérií zahŕňajúcich vecnú príslušnosť k obsahovému rámcu OP, reprezentatívnosť subjektu, skúsenosti a aktívna participácia v oblastiach relevantných pre OP VaI. Zoznam členov j</w:t>
      </w:r>
      <w:r>
        <w:rPr>
          <w:sz w:val="22"/>
          <w:szCs w:val="22"/>
        </w:rPr>
        <w:t>e uvedený v kapitole 12.3 OPII</w:t>
      </w:r>
      <w:r w:rsidRPr="00690A63">
        <w:rPr>
          <w:sz w:val="22"/>
          <w:szCs w:val="22"/>
        </w:rPr>
        <w:t>.</w:t>
      </w:r>
    </w:p>
    <w:p w14:paraId="671C4C11" w14:textId="053E9E6C" w:rsidR="00975EAF" w:rsidRDefault="00975EAF" w:rsidP="00975EAF">
      <w:pPr>
        <w:pStyle w:val="Zkladntext"/>
        <w:spacing w:before="120" w:after="0"/>
        <w:jc w:val="both"/>
        <w:rPr>
          <w:sz w:val="22"/>
          <w:szCs w:val="22"/>
        </w:rPr>
      </w:pPr>
      <w:r w:rsidRPr="00690A63">
        <w:rPr>
          <w:sz w:val="22"/>
          <w:szCs w:val="22"/>
        </w:rPr>
        <w:t xml:space="preserve">Spolupráca s partnermi prebiehala prostredníctvom zasadnutí pracovných skupín ako aj formou individuálnych konzultácií ku konkrétnym témam a požiadavkám partnerov a zároveň aj elektronickou formou. Štruktúra stretnutí mala niekoľko úrovní. Základnou bola pracovná skupina, ale súčasne sa </w:t>
      </w:r>
      <w:r w:rsidRPr="00690A63">
        <w:rPr>
          <w:sz w:val="22"/>
          <w:szCs w:val="22"/>
        </w:rPr>
        <w:lastRenderedPageBreak/>
        <w:t>komunikovalo aj s pracovnou skupinou RIS3 a finálne kolo diskusií s partnermi prebehlo počas medzirezortného pripomienkového konania, do ktorého posielali svoje stanoviská okrem iných ministerstiev aj všetci relevantní partneri, s ktorými potom prebehli bilaterálne rokovania o finálnej podobe OP VaI a až po zapracovaní všetkých stanovísk partnerov vláda SR prerokovala a schválila OPVaI. Zo strany partnerov boli predkladané pripomienk</w:t>
      </w:r>
      <w:r w:rsidR="00881028">
        <w:rPr>
          <w:sz w:val="22"/>
          <w:szCs w:val="22"/>
        </w:rPr>
        <w:t xml:space="preserve">y k jednotlivým verziám OP VaI. </w:t>
      </w:r>
      <w:r w:rsidRPr="00690A63">
        <w:rPr>
          <w:sz w:val="22"/>
          <w:szCs w:val="22"/>
        </w:rPr>
        <w:t xml:space="preserve">Pripomienky boli tematicky zamerané na prepojenia OP VaI </w:t>
      </w:r>
      <w:r w:rsidR="00881028">
        <w:rPr>
          <w:sz w:val="22"/>
          <w:szCs w:val="22"/>
        </w:rPr>
        <w:t>s RIS3 SK, zameranie aktivít na </w:t>
      </w:r>
      <w:r w:rsidRPr="00690A63">
        <w:rPr>
          <w:sz w:val="22"/>
          <w:szCs w:val="22"/>
        </w:rPr>
        <w:t>spoluprácu akademického sektora s podnikateľským sektorom a definovanie oprávnených prijímateľov. Výsledná verzia OP VaI je výsledkom komunikácie a diskusie s partnermi.</w:t>
      </w:r>
    </w:p>
    <w:p w14:paraId="439F0D7B" w14:textId="35E5F4F3" w:rsidR="00975EAF" w:rsidRPr="00E30ED7" w:rsidRDefault="00975EAF" w:rsidP="00975EAF">
      <w:pPr>
        <w:pStyle w:val="Zkladntext"/>
        <w:spacing w:before="120" w:after="0"/>
        <w:jc w:val="both"/>
        <w:rPr>
          <w:sz w:val="22"/>
          <w:szCs w:val="22"/>
        </w:rPr>
      </w:pPr>
      <w:r w:rsidRPr="00E30ED7">
        <w:rPr>
          <w:sz w:val="22"/>
          <w:szCs w:val="22"/>
        </w:rPr>
        <w:t>Dôraz na princíp partnerstva je kladený aj pri plnení relevantných ex ant</w:t>
      </w:r>
      <w:r w:rsidR="00881028">
        <w:rPr>
          <w:sz w:val="22"/>
          <w:szCs w:val="22"/>
        </w:rPr>
        <w:t>e kondicionalít. V súvislosti s </w:t>
      </w:r>
      <w:r w:rsidRPr="00E30ED7">
        <w:rPr>
          <w:sz w:val="22"/>
          <w:szCs w:val="22"/>
        </w:rPr>
        <w:t>tvorbou RIS3 SK bola vytvorená expertná pracovná skupina pre národnú stratégiu inteligentnej špecializácie, ako aj tematické pracovné skupiny zamerané na vybrané oblasti výskumu, pričom každá pracovná skupina má zástupcov z priemyslu, SAV a univerzitného sektora. Úlohou tematických pracovných skupín malo byť v priebehu implementácie OP VaI zabezpečovať zodpovedné smerovanie podpory z OP VaI v rámci jednotlivých oblastí špecializácie z hľadiska dostupných VaV kapacít.</w:t>
      </w:r>
    </w:p>
    <w:p w14:paraId="47D4F157" w14:textId="77777777" w:rsidR="00975EAF" w:rsidRPr="00E30ED7" w:rsidRDefault="00975EAF" w:rsidP="00975EAF">
      <w:pPr>
        <w:pStyle w:val="Zkladntext"/>
        <w:spacing w:before="120" w:after="0"/>
        <w:jc w:val="both"/>
        <w:rPr>
          <w:sz w:val="22"/>
          <w:szCs w:val="22"/>
        </w:rPr>
      </w:pPr>
      <w:r w:rsidRPr="00E30ED7">
        <w:rPr>
          <w:sz w:val="22"/>
          <w:szCs w:val="22"/>
        </w:rPr>
        <w:t>Na príslušných rezortoch zodpovedných za plnenie ex ante kondicionalít boli pre potreby plnenia ex ante kondicionalít, zriadené pracovné skupiny:</w:t>
      </w:r>
    </w:p>
    <w:p w14:paraId="4F3B5F49" w14:textId="77777777" w:rsidR="00975EAF" w:rsidRPr="00E30ED7" w:rsidRDefault="00975EAF" w:rsidP="00975EAF">
      <w:pPr>
        <w:pStyle w:val="09Bullet2"/>
        <w:numPr>
          <w:ilvl w:val="0"/>
          <w:numId w:val="70"/>
        </w:numPr>
        <w:spacing w:after="0"/>
        <w:ind w:left="568" w:hanging="284"/>
        <w:rPr>
          <w:szCs w:val="22"/>
          <w:lang w:val="sk-SK"/>
        </w:rPr>
      </w:pPr>
      <w:r w:rsidRPr="00E30ED7">
        <w:rPr>
          <w:szCs w:val="22"/>
          <w:lang w:val="sk-SK"/>
        </w:rPr>
        <w:t>Pracovná skupina MŠVVaŠ SR k plneniu ex ante kondicionalít v rámci tematického cieľa 1. Posilnenie výskumu, technologického rozvoja a inovácií,</w:t>
      </w:r>
    </w:p>
    <w:p w14:paraId="33C354B4" w14:textId="77777777" w:rsidR="00975EAF" w:rsidRPr="00E30ED7" w:rsidRDefault="00975EAF" w:rsidP="00975EAF">
      <w:pPr>
        <w:pStyle w:val="09Bullet2"/>
        <w:numPr>
          <w:ilvl w:val="0"/>
          <w:numId w:val="70"/>
        </w:numPr>
        <w:spacing w:before="0" w:after="0"/>
        <w:ind w:left="567" w:hanging="283"/>
        <w:rPr>
          <w:szCs w:val="22"/>
          <w:lang w:val="sk-SK"/>
        </w:rPr>
      </w:pPr>
      <w:r w:rsidRPr="00E30ED7">
        <w:rPr>
          <w:szCs w:val="22"/>
          <w:lang w:val="sk-SK"/>
        </w:rPr>
        <w:t>Pracovná skupina MH SR pre programové obdobie kohéznej politiky Európskej únie 2014 – 2020.</w:t>
      </w:r>
    </w:p>
    <w:p w14:paraId="6795476B" w14:textId="3EA80633" w:rsidR="00975EAF" w:rsidRPr="00E30ED7" w:rsidRDefault="00975EAF" w:rsidP="00975EAF">
      <w:pPr>
        <w:pStyle w:val="Zkladntext"/>
        <w:spacing w:before="120" w:after="0"/>
        <w:jc w:val="both"/>
        <w:rPr>
          <w:sz w:val="22"/>
          <w:szCs w:val="22"/>
        </w:rPr>
      </w:pPr>
      <w:r w:rsidRPr="00E30ED7">
        <w:rPr>
          <w:sz w:val="22"/>
          <w:szCs w:val="22"/>
        </w:rPr>
        <w:t>Odpočet plnenia relevantných ex ante kondicionalít pre OP VaI je r</w:t>
      </w:r>
      <w:r w:rsidR="00881028">
        <w:rPr>
          <w:sz w:val="22"/>
          <w:szCs w:val="22"/>
        </w:rPr>
        <w:t>ealizovaný v úzkej súčinnosti s </w:t>
      </w:r>
      <w:r w:rsidRPr="00E30ED7">
        <w:rPr>
          <w:sz w:val="22"/>
          <w:szCs w:val="22"/>
        </w:rPr>
        <w:t>relevantnými subjektmi zodpovednými za plnenie jednotlivých ex ante kondicionalít, ktoré boli určené uznesením vlády SR č. 156/2014 k Spôsobu uplatnenia ex ante kondicionalít pri príprave implementačného mechanizmu politiky súdržnosti EÚ po roku 2013 v podmienkach SR.</w:t>
      </w:r>
    </w:p>
    <w:p w14:paraId="64E1BF64" w14:textId="77777777" w:rsidR="00975EAF" w:rsidRDefault="00975EAF" w:rsidP="00975EAF">
      <w:pPr>
        <w:pStyle w:val="Zkladntext"/>
        <w:spacing w:after="0"/>
        <w:ind w:left="119" w:right="714" w:firstLine="720"/>
        <w:jc w:val="both"/>
        <w:rPr>
          <w:spacing w:val="-2"/>
          <w:w w:val="110"/>
        </w:rPr>
      </w:pPr>
    </w:p>
    <w:p w14:paraId="43785245" w14:textId="77777777" w:rsidR="00975EAF" w:rsidRPr="00F058A0" w:rsidRDefault="00975EAF" w:rsidP="00975EAF">
      <w:pPr>
        <w:pStyle w:val="Zkladntext"/>
        <w:widowControl w:val="0"/>
        <w:tabs>
          <w:tab w:val="left" w:pos="1639"/>
        </w:tabs>
        <w:spacing w:after="0"/>
        <w:jc w:val="both"/>
        <w:rPr>
          <w:i/>
          <w:sz w:val="22"/>
          <w:szCs w:val="22"/>
        </w:rPr>
      </w:pPr>
      <w:r w:rsidRPr="00F058A0">
        <w:rPr>
          <w:i/>
          <w:sz w:val="22"/>
          <w:szCs w:val="22"/>
        </w:rPr>
        <w:t>Implementácia, monitorovanie a hodnotenie OP VaI</w:t>
      </w:r>
    </w:p>
    <w:p w14:paraId="79F8ECF7" w14:textId="77777777" w:rsidR="00975EAF" w:rsidRPr="000A1A58" w:rsidRDefault="00975EAF" w:rsidP="00975EAF">
      <w:pPr>
        <w:pStyle w:val="Zkladntext"/>
        <w:spacing w:before="120" w:after="0" w:line="247" w:lineRule="auto"/>
        <w:jc w:val="both"/>
        <w:rPr>
          <w:sz w:val="22"/>
          <w:szCs w:val="22"/>
        </w:rPr>
      </w:pPr>
      <w:r w:rsidRPr="000A1A58">
        <w:rPr>
          <w:sz w:val="22"/>
          <w:szCs w:val="22"/>
        </w:rPr>
        <w:t>Princíp partnerstva bude riadne uplatňovaný aj v procese implementácie, monitorovania a hodnotenia OP VaI, a to prostredníctvom členstva v Monitorovacom výbore pre OP Va</w:t>
      </w:r>
      <w:r>
        <w:rPr>
          <w:sz w:val="22"/>
          <w:szCs w:val="22"/>
        </w:rPr>
        <w:t>I</w:t>
      </w:r>
      <w:r>
        <w:rPr>
          <w:rStyle w:val="Odkaznapoznmkupodiarou"/>
          <w:sz w:val="22"/>
          <w:szCs w:val="22"/>
        </w:rPr>
        <w:footnoteReference w:id="123"/>
      </w:r>
      <w:r>
        <w:rPr>
          <w:sz w:val="22"/>
          <w:szCs w:val="22"/>
        </w:rPr>
        <w:t>.</w:t>
      </w:r>
    </w:p>
    <w:p w14:paraId="5DA7C002" w14:textId="0518C327" w:rsidR="00975EAF" w:rsidRPr="000A1A58" w:rsidRDefault="00975EAF" w:rsidP="00975EAF">
      <w:pPr>
        <w:pStyle w:val="Zkladntext"/>
        <w:spacing w:before="60" w:after="0"/>
        <w:jc w:val="both"/>
        <w:rPr>
          <w:sz w:val="22"/>
          <w:szCs w:val="22"/>
        </w:rPr>
      </w:pPr>
      <w:r w:rsidRPr="000A1A58">
        <w:rPr>
          <w:sz w:val="22"/>
          <w:szCs w:val="22"/>
        </w:rPr>
        <w:t>Implementačná štruktúra OP</w:t>
      </w:r>
      <w:r>
        <w:rPr>
          <w:sz w:val="22"/>
          <w:szCs w:val="22"/>
        </w:rPr>
        <w:t>II (časť výskum a inovácie)</w:t>
      </w:r>
      <w:r w:rsidRPr="000A1A58">
        <w:rPr>
          <w:sz w:val="22"/>
          <w:szCs w:val="22"/>
        </w:rPr>
        <w:t xml:space="preserve"> bude priamo naviazaná na implementačnú štruktúru RIS3 SK zadefi</w:t>
      </w:r>
      <w:r w:rsidR="00881028">
        <w:rPr>
          <w:sz w:val="22"/>
          <w:szCs w:val="22"/>
        </w:rPr>
        <w:t>novanú v kapitole 4 Governance</w:t>
      </w:r>
      <w:r w:rsidR="00881028">
        <w:rPr>
          <w:rStyle w:val="Odkaznapoznmkupodiarou"/>
          <w:sz w:val="22"/>
          <w:szCs w:val="22"/>
        </w:rPr>
        <w:footnoteReference w:id="124"/>
      </w:r>
      <w:r w:rsidRPr="000A1A58">
        <w:rPr>
          <w:sz w:val="22"/>
          <w:szCs w:val="22"/>
        </w:rPr>
        <w:t xml:space="preserve"> Implementačného plánu Stratégie výskumu a inovácií pre inteligentnú špecializáciu Slovenskej republiky, schváleného Radou vlády SR pre vedu, techniku a inovácie dňa 30.6.2017. </w:t>
      </w:r>
      <w:r w:rsidRPr="00305E64">
        <w:rPr>
          <w:sz w:val="22"/>
          <w:szCs w:val="22"/>
        </w:rPr>
        <w:t>RO/SO</w:t>
      </w:r>
      <w:r w:rsidRPr="000A1A58">
        <w:rPr>
          <w:sz w:val="22"/>
          <w:szCs w:val="22"/>
        </w:rPr>
        <w:t xml:space="preserve"> bude zodpovedný za zabezpečenie súladu výziev s RIS3 SK. V záujme zabezpečenia kontroly obsahového zamerania výziev v oblasti domén inteligentnej špecializácie bude </w:t>
      </w:r>
      <w:r w:rsidRPr="00305E64">
        <w:rPr>
          <w:sz w:val="22"/>
          <w:szCs w:val="22"/>
        </w:rPr>
        <w:t>RO</w:t>
      </w:r>
      <w:r w:rsidR="002A1327" w:rsidRPr="00305E64">
        <w:rPr>
          <w:sz w:val="22"/>
          <w:szCs w:val="22"/>
        </w:rPr>
        <w:t>/SO</w:t>
      </w:r>
      <w:r w:rsidRPr="000A1A58">
        <w:rPr>
          <w:sz w:val="22"/>
          <w:szCs w:val="22"/>
        </w:rPr>
        <w:t xml:space="preserve"> zasielať návrhy pripravovaných výziev na posúdenie Stálej komisii Rady vlády SR pre vedu, techniku a inovácie pre implementáciu RIS3 SK.</w:t>
      </w:r>
    </w:p>
    <w:p w14:paraId="292835A5" w14:textId="77777777" w:rsidR="00B43824" w:rsidRDefault="00B43824" w:rsidP="00B43824">
      <w:pPr>
        <w:spacing w:before="180"/>
        <w:jc w:val="both"/>
        <w:rPr>
          <w:sz w:val="22"/>
          <w:szCs w:val="22"/>
        </w:rPr>
      </w:pPr>
    </w:p>
    <w:p w14:paraId="069EB5D7" w14:textId="77777777" w:rsidR="00CD3ABF" w:rsidRDefault="00CD3ABF" w:rsidP="00CD3ABF">
      <w:pPr>
        <w:pStyle w:val="Nadpis1"/>
        <w:sectPr w:rsidR="00CD3ABF" w:rsidSect="00D1658B">
          <w:headerReference w:type="default" r:id="rId43"/>
          <w:pgSz w:w="11906" w:h="16838"/>
          <w:pgMar w:top="1418" w:right="1361" w:bottom="1304" w:left="1474" w:header="709" w:footer="709" w:gutter="0"/>
          <w:cols w:space="708"/>
          <w:docGrid w:linePitch="360"/>
        </w:sectPr>
      </w:pPr>
      <w:bookmarkStart w:id="186" w:name="_Toc383209154"/>
      <w:bookmarkStart w:id="187" w:name="_Toc383236568"/>
    </w:p>
    <w:p w14:paraId="11B2A3BE" w14:textId="77777777" w:rsidR="00CD3ABF" w:rsidRDefault="00CD3ABF" w:rsidP="00CD3ABF">
      <w:pPr>
        <w:pStyle w:val="Nadpis1"/>
      </w:pPr>
      <w:bookmarkStart w:id="188" w:name="_Toc28951691"/>
      <w:r>
        <w:lastRenderedPageBreak/>
        <w:t>Koordinácia s inými programami a finančnými nástrojmi</w:t>
      </w:r>
      <w:bookmarkEnd w:id="186"/>
      <w:bookmarkEnd w:id="187"/>
      <w:bookmarkEnd w:id="188"/>
    </w:p>
    <w:p w14:paraId="0D407111" w14:textId="77777777" w:rsidR="00CD3ABF" w:rsidRDefault="00CD3ABF" w:rsidP="00CD3ABF">
      <w:pPr>
        <w:pStyle w:val="Nadpis2"/>
        <w:spacing w:before="240"/>
      </w:pPr>
      <w:bookmarkStart w:id="189" w:name="_Toc383209155"/>
      <w:bookmarkStart w:id="190" w:name="_Toc383236569"/>
      <w:bookmarkStart w:id="191" w:name="_Toc28951692"/>
      <w:r>
        <w:t>Deliace línie s ostatnými EŠIF</w:t>
      </w:r>
      <w:bookmarkEnd w:id="189"/>
      <w:bookmarkEnd w:id="190"/>
      <w:bookmarkEnd w:id="191"/>
    </w:p>
    <w:p w14:paraId="7C3E3FC3" w14:textId="77777777" w:rsidR="00CD3ABF" w:rsidRDefault="00CD3ABF" w:rsidP="00CD3ABF">
      <w:pPr>
        <w:jc w:val="both"/>
        <w:rPr>
          <w:sz w:val="22"/>
          <w:szCs w:val="22"/>
        </w:rPr>
      </w:pPr>
      <w:r>
        <w:rPr>
          <w:sz w:val="22"/>
          <w:szCs w:val="22"/>
        </w:rPr>
        <w:t>RO</w:t>
      </w:r>
      <w:r w:rsidRPr="00F94B5B">
        <w:rPr>
          <w:sz w:val="22"/>
          <w:szCs w:val="22"/>
        </w:rPr>
        <w:t xml:space="preserve"> </w:t>
      </w:r>
      <w:r>
        <w:rPr>
          <w:sz w:val="22"/>
          <w:szCs w:val="22"/>
        </w:rPr>
        <w:t xml:space="preserve">OPII </w:t>
      </w:r>
      <w:r w:rsidRPr="00F94B5B">
        <w:rPr>
          <w:sz w:val="22"/>
          <w:szCs w:val="22"/>
        </w:rPr>
        <w:t>v</w:t>
      </w:r>
      <w:r>
        <w:rPr>
          <w:sz w:val="22"/>
          <w:szCs w:val="22"/>
        </w:rPr>
        <w:t> </w:t>
      </w:r>
      <w:r w:rsidRPr="00F94B5B">
        <w:rPr>
          <w:sz w:val="22"/>
          <w:szCs w:val="22"/>
        </w:rPr>
        <w:t>kooperácii s</w:t>
      </w:r>
      <w:r>
        <w:rPr>
          <w:sz w:val="22"/>
          <w:szCs w:val="22"/>
        </w:rPr>
        <w:t> </w:t>
      </w:r>
      <w:r w:rsidRPr="00F94B5B">
        <w:rPr>
          <w:sz w:val="22"/>
          <w:szCs w:val="22"/>
        </w:rPr>
        <w:t xml:space="preserve">riadiacimi orgánmi </w:t>
      </w:r>
      <w:r>
        <w:rPr>
          <w:sz w:val="22"/>
          <w:szCs w:val="22"/>
        </w:rPr>
        <w:t xml:space="preserve">ostatných operačných programov financovaných z EŠIF </w:t>
      </w:r>
      <w:r w:rsidRPr="00F94B5B">
        <w:rPr>
          <w:sz w:val="22"/>
          <w:szCs w:val="22"/>
        </w:rPr>
        <w:t>identifikoval a</w:t>
      </w:r>
      <w:r>
        <w:rPr>
          <w:sz w:val="22"/>
          <w:szCs w:val="22"/>
        </w:rPr>
        <w:t> </w:t>
      </w:r>
      <w:r w:rsidRPr="00F94B5B">
        <w:rPr>
          <w:sz w:val="22"/>
          <w:szCs w:val="22"/>
        </w:rPr>
        <w:t>definoval synergické prepojenia medzi príbuznými stratégiami v</w:t>
      </w:r>
      <w:r>
        <w:rPr>
          <w:sz w:val="22"/>
          <w:szCs w:val="22"/>
        </w:rPr>
        <w:t> </w:t>
      </w:r>
      <w:r w:rsidRPr="00F94B5B">
        <w:rPr>
          <w:sz w:val="22"/>
          <w:szCs w:val="22"/>
        </w:rPr>
        <w:t>rámci nasledovných operačných programov.</w:t>
      </w:r>
    </w:p>
    <w:p w14:paraId="7B210A95" w14:textId="4E7CDCC0" w:rsidR="00CD3ABF" w:rsidRDefault="00CD3ABF" w:rsidP="00F549C1">
      <w:pPr>
        <w:pStyle w:val="Tab"/>
      </w:pPr>
      <w:r>
        <w:t>Demarkačné línie medzi OPII a</w:t>
      </w:r>
      <w:r w:rsidR="00E91F35">
        <w:t> </w:t>
      </w:r>
      <w:r>
        <w:t>IROP</w:t>
      </w:r>
      <w:r w:rsidR="00E91F35">
        <w:t xml:space="preserve"> – pozri Prílohu 21.</w:t>
      </w:r>
    </w:p>
    <w:p w14:paraId="3D9FE1F4" w14:textId="73B04003" w:rsidR="00CD3ABF" w:rsidRDefault="00CD3ABF" w:rsidP="00CD3ABF">
      <w:pPr>
        <w:spacing w:before="240"/>
        <w:jc w:val="both"/>
        <w:rPr>
          <w:sz w:val="22"/>
          <w:szCs w:val="22"/>
        </w:rPr>
      </w:pPr>
      <w:r>
        <w:rPr>
          <w:sz w:val="22"/>
          <w:szCs w:val="22"/>
        </w:rPr>
        <w:t>V oblasti verejnej osobnej a nemotorovej dopravy sa OPII zameriava na investične najnáročnejšie projekty v dráhovej doprave, ktorá súčasne vykazuje najväčšiu zastaranosť. Zdroje IROP budú použité na realizáciu opatrení mimo dráhovej dopravy a tzv. mäkkých opatrení. V rámci IROP sa jedná o investičnú prioritu „</w:t>
      </w:r>
      <w:r w:rsidRPr="003B31F2">
        <w:rPr>
          <w:sz w:val="22"/>
          <w:szCs w:val="22"/>
        </w:rPr>
        <w:t>Vývoj a zlepšovanie ekologicky priazni</w:t>
      </w:r>
      <w:r>
        <w:rPr>
          <w:sz w:val="22"/>
          <w:szCs w:val="22"/>
        </w:rPr>
        <w:t>vých, vrátane nízkohlukových, a </w:t>
      </w:r>
      <w:r w:rsidRPr="003B31F2">
        <w:rPr>
          <w:sz w:val="22"/>
          <w:szCs w:val="22"/>
        </w:rPr>
        <w:t>nízkouhlíkových dopravných systémov vrátane vnútrozemských vodných ciest a námornej dopravy, prístavov, multimodálnych prepojení a letiskovej infraštruktúry v záujme podpory udržateľnej regionálnej a miestnej mobility</w:t>
      </w:r>
      <w:r>
        <w:rPr>
          <w:sz w:val="22"/>
          <w:szCs w:val="22"/>
        </w:rPr>
        <w:t>“ prioritnej osi 1 „</w:t>
      </w:r>
      <w:r w:rsidRPr="00426B5A">
        <w:rPr>
          <w:sz w:val="22"/>
          <w:szCs w:val="22"/>
        </w:rPr>
        <w:t>Bezpečná a ekologická doprava v regiónoch</w:t>
      </w:r>
      <w:r>
        <w:rPr>
          <w:sz w:val="22"/>
          <w:szCs w:val="22"/>
        </w:rPr>
        <w:t>“. Problematiku verejnej osobnej dopravy zahŕňajú dva špecifické ciele, a to ŠC 1.2.1 „</w:t>
      </w:r>
      <w:r w:rsidRPr="00BC7CCB">
        <w:rPr>
          <w:sz w:val="22"/>
          <w:szCs w:val="22"/>
        </w:rPr>
        <w:t>Zníženie environm</w:t>
      </w:r>
      <w:r>
        <w:rPr>
          <w:sz w:val="22"/>
          <w:szCs w:val="22"/>
        </w:rPr>
        <w:t>entálneho zaťaženia mestských a </w:t>
      </w:r>
      <w:r w:rsidRPr="00BC7CCB">
        <w:rPr>
          <w:sz w:val="22"/>
          <w:szCs w:val="22"/>
        </w:rPr>
        <w:t>prímestských oblastí prostredníctvom podpory a rozvoja integrovaných dopravných s</w:t>
      </w:r>
      <w:r>
        <w:rPr>
          <w:sz w:val="22"/>
          <w:szCs w:val="22"/>
        </w:rPr>
        <w:t>ystémov a </w:t>
      </w:r>
      <w:r w:rsidRPr="00BC7CCB">
        <w:rPr>
          <w:sz w:val="22"/>
          <w:szCs w:val="22"/>
        </w:rPr>
        <w:t>zvyšovania atrak</w:t>
      </w:r>
      <w:r>
        <w:rPr>
          <w:sz w:val="22"/>
          <w:szCs w:val="22"/>
        </w:rPr>
        <w:t>tivity verejnej osobnej dopravy“ a ŠC 1.2.2 „</w:t>
      </w:r>
      <w:r w:rsidRPr="00BC7CCB">
        <w:rPr>
          <w:sz w:val="22"/>
          <w:szCs w:val="22"/>
        </w:rPr>
        <w:t>Zvýšenie atraktivity a prepravnej kapacity nemotorovej dopravy (predovšetkým cyklistickej dopravy) na c</w:t>
      </w:r>
      <w:r>
        <w:rPr>
          <w:sz w:val="22"/>
          <w:szCs w:val="22"/>
        </w:rPr>
        <w:t>elkovom počte prepravených osôb“, ktorý sa venuje verejnej osobnej doprave najmä čo sa týka jej umiestnenia vo verejných priestoroch.</w:t>
      </w:r>
    </w:p>
    <w:p w14:paraId="39AC0FCE" w14:textId="77777777" w:rsidR="00CD3ABF" w:rsidRDefault="00CD3ABF" w:rsidP="00CD3ABF">
      <w:pPr>
        <w:spacing w:before="180"/>
        <w:jc w:val="both"/>
        <w:rPr>
          <w:sz w:val="22"/>
          <w:szCs w:val="22"/>
        </w:rPr>
      </w:pPr>
      <w:r w:rsidRPr="00611AFF">
        <w:rPr>
          <w:sz w:val="22"/>
          <w:szCs w:val="22"/>
        </w:rPr>
        <w:t xml:space="preserve">Nevyhnutným predpokladom </w:t>
      </w:r>
      <w:r w:rsidR="00A6133B">
        <w:rPr>
          <w:sz w:val="22"/>
          <w:szCs w:val="22"/>
        </w:rPr>
        <w:t>pre</w:t>
      </w:r>
      <w:r w:rsidRPr="00611AFF">
        <w:rPr>
          <w:sz w:val="22"/>
          <w:szCs w:val="22"/>
        </w:rPr>
        <w:t xml:space="preserve"> n</w:t>
      </w:r>
      <w:r w:rsidR="00A6133B">
        <w:rPr>
          <w:sz w:val="22"/>
          <w:szCs w:val="22"/>
        </w:rPr>
        <w:t>aplnenie</w:t>
      </w:r>
      <w:r w:rsidRPr="00611AFF">
        <w:rPr>
          <w:sz w:val="22"/>
          <w:szCs w:val="22"/>
        </w:rPr>
        <w:t xml:space="preserve"> špecifických cieľov v rámci jednotlivých </w:t>
      </w:r>
      <w:r>
        <w:rPr>
          <w:sz w:val="22"/>
          <w:szCs w:val="22"/>
        </w:rPr>
        <w:t>operačných programov</w:t>
      </w:r>
      <w:r w:rsidRPr="00611AFF">
        <w:rPr>
          <w:sz w:val="22"/>
          <w:szCs w:val="22"/>
        </w:rPr>
        <w:t xml:space="preserve"> bude ich vzájomná koordinácia a logická väzba medzi aktivitami. Jednotlivé opatrenia by mali vytvárať komplexné projekty, pričom ich tematická koncentrácia môže byť rôznorodá s cieľom dosiahnutia čo najefe</w:t>
      </w:r>
      <w:r w:rsidR="00A3669F">
        <w:rPr>
          <w:sz w:val="22"/>
          <w:szCs w:val="22"/>
        </w:rPr>
        <w:t>ktívnejšieho výsledku vo vzťahu</w:t>
      </w:r>
      <w:r w:rsidRPr="00611AFF">
        <w:rPr>
          <w:sz w:val="22"/>
          <w:szCs w:val="22"/>
        </w:rPr>
        <w:t xml:space="preserve"> k udržateľnosti a atraktívnosti VOD a podpore nemotorovej dopravy. </w:t>
      </w:r>
      <w:r w:rsidRPr="00C542FE">
        <w:rPr>
          <w:b/>
          <w:sz w:val="22"/>
          <w:szCs w:val="22"/>
        </w:rPr>
        <w:t>S cieľom zabezpečenia synergie a komplementarity medzi OPII a IROP bude zriadený koordinačný výbor</w:t>
      </w:r>
      <w:r w:rsidRPr="00611AFF">
        <w:rPr>
          <w:sz w:val="22"/>
          <w:szCs w:val="22"/>
        </w:rPr>
        <w:t xml:space="preserve">, ktorého cieľom bude zosúladenie a monitorovanie implementácie príslušných </w:t>
      </w:r>
      <w:r>
        <w:rPr>
          <w:sz w:val="22"/>
          <w:szCs w:val="22"/>
        </w:rPr>
        <w:t>operačných programov</w:t>
      </w:r>
      <w:r w:rsidRPr="00611AFF">
        <w:rPr>
          <w:sz w:val="22"/>
          <w:szCs w:val="22"/>
        </w:rPr>
        <w:t>, pričom jednou z činností koord</w:t>
      </w:r>
      <w:r>
        <w:rPr>
          <w:sz w:val="22"/>
          <w:szCs w:val="22"/>
        </w:rPr>
        <w:t>inačného výboru bude aj vecné a </w:t>
      </w:r>
      <w:r w:rsidRPr="00611AFF">
        <w:rPr>
          <w:sz w:val="22"/>
          <w:szCs w:val="22"/>
        </w:rPr>
        <w:t>časové zlaďovanie, resp. harmonizácia výziev/vyzvaní.</w:t>
      </w:r>
    </w:p>
    <w:p w14:paraId="18E7143A" w14:textId="77777777" w:rsidR="00CD3ABF" w:rsidRDefault="00CD3ABF" w:rsidP="00CD3ABF">
      <w:pPr>
        <w:spacing w:before="180"/>
        <w:jc w:val="both"/>
        <w:rPr>
          <w:sz w:val="22"/>
          <w:szCs w:val="22"/>
        </w:rPr>
      </w:pPr>
      <w:r>
        <w:rPr>
          <w:sz w:val="22"/>
          <w:szCs w:val="22"/>
        </w:rPr>
        <w:t>Konkrétne závislosti vyplývajú z charakteru jednotlivých projektov. Ako príklad je možné uviesť budovanie prvkov preferencie MHD (IROP) a až následné obstarávanie trolejbusov (OPII). Dosiahne sa tým efektívne využitie vozidiel, zvýšenie ich obežnej rýchlosti a tým aj zníženie prevádzkových nákladov a súčasne zvýšenie atraktivity MHD.</w:t>
      </w:r>
    </w:p>
    <w:p w14:paraId="73FFA5FF" w14:textId="77777777" w:rsidR="00CD3ABF" w:rsidRDefault="00CD3ABF" w:rsidP="00CD3ABF">
      <w:pPr>
        <w:spacing w:before="180"/>
        <w:jc w:val="both"/>
        <w:rPr>
          <w:sz w:val="22"/>
          <w:szCs w:val="22"/>
        </w:rPr>
      </w:pPr>
      <w:r>
        <w:rPr>
          <w:sz w:val="22"/>
          <w:szCs w:val="22"/>
        </w:rPr>
        <w:t xml:space="preserve">Viaceré z aktivít verejnej osobnej dopravy si vyžiadajú realizáciu organizačných a prevádzkových opatrení mimo rámca OPII a IROP v zmysle </w:t>
      </w:r>
      <w:r>
        <w:rPr>
          <w:color w:val="000000"/>
          <w:sz w:val="22"/>
          <w:szCs w:val="22"/>
        </w:rPr>
        <w:t>Stratégie</w:t>
      </w:r>
      <w:r w:rsidRPr="00A5254D">
        <w:rPr>
          <w:color w:val="000000"/>
          <w:sz w:val="22"/>
          <w:szCs w:val="22"/>
        </w:rPr>
        <w:t xml:space="preserve"> </w:t>
      </w:r>
      <w:r w:rsidR="00C63371">
        <w:rPr>
          <w:color w:val="000000"/>
          <w:sz w:val="22"/>
          <w:szCs w:val="22"/>
        </w:rPr>
        <w:t>VOD</w:t>
      </w:r>
      <w:r>
        <w:rPr>
          <w:sz w:val="22"/>
          <w:szCs w:val="22"/>
        </w:rPr>
        <w:t>. Ak použijeme príklad z predchádzajúceho odseku, efektívnejšiemu uplatneniu infraštruktúrnych opatrení na preferenciu MHD pomôžu zmeny v legislatíve, ktoré odstránia administratívne prekážky ich zavádzania.</w:t>
      </w:r>
    </w:p>
    <w:p w14:paraId="319018EE" w14:textId="1716F1A0" w:rsidR="00CD3ABF" w:rsidRDefault="00CD3ABF" w:rsidP="00F549C1">
      <w:pPr>
        <w:pStyle w:val="Obr"/>
        <w:tabs>
          <w:tab w:val="clear" w:pos="0"/>
          <w:tab w:val="clear" w:pos="851"/>
        </w:tabs>
        <w:rPr>
          <w:szCs w:val="22"/>
        </w:rPr>
      </w:pPr>
      <w:r w:rsidRPr="00197539">
        <w:rPr>
          <w:szCs w:val="22"/>
        </w:rPr>
        <w:t>Príklad komplementárnych aktivít financovaných z OPII a IROP v oblasti verejnej osobnej dopravy (ilustratívny obrázok)</w:t>
      </w:r>
      <w:r w:rsidR="00E91F35">
        <w:rPr>
          <w:szCs w:val="22"/>
        </w:rPr>
        <w:t xml:space="preserve"> – pozri Prílohu 21.</w:t>
      </w:r>
    </w:p>
    <w:p w14:paraId="74BC5FEA" w14:textId="1906E6AC" w:rsidR="00A80A3A" w:rsidRDefault="001061E2" w:rsidP="00E91F35">
      <w:pPr>
        <w:keepNext/>
        <w:jc w:val="center"/>
        <w:rPr>
          <w:u w:val="single"/>
        </w:rPr>
      </w:pPr>
      <w:r>
        <w:rPr>
          <w:i/>
          <w:noProof/>
          <w:sz w:val="22"/>
          <w:szCs w:val="22"/>
        </w:rPr>
        <w:pict w14:anchorId="19FCAEA5">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10" o:spid="_x0000_s1027" type="#_x0000_t63" style="position:absolute;left:0;text-align:left;margin-left:67.6pt;margin-top:271.55pt;width:56.3pt;height:27.6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" adj="10973,20975" fillcolor="white [3201]" strokecolor="#d99594 [1941]" strokeweight="1pt">
            <v:fill color2="#e5b8b7 [1301]" focus="100%" type="gradient"/>
            <v:shadow on="t" color="#622423 [1605]" opacity=".5" offset="1pt"/>
            <v:textbox style="mso-next-textbox:#AutoShape 110">
              <w:txbxContent>
                <w:p w14:paraId="346CC348" w14:textId="77777777" w:rsidR="001D1617" w:rsidRDefault="001D1617" w:rsidP="00CD3ABF">
                  <w:pPr>
                    <w:jc w:val="center"/>
                    <w:rPr>
                      <w:rFonts w:ascii="Arial" w:hAnsi="Arial" w:cs="Arial"/>
                      <w:b/>
                      <w:sz w:val="20"/>
                    </w:rPr>
                  </w:pPr>
                  <w:r w:rsidRPr="00FD04A7">
                    <w:rPr>
                      <w:rFonts w:ascii="Arial" w:hAnsi="Arial" w:cs="Arial"/>
                      <w:b/>
                      <w:sz w:val="20"/>
                    </w:rPr>
                    <w:t>IROP</w:t>
                  </w:r>
                </w:p>
              </w:txbxContent>
            </v:textbox>
          </v:shape>
        </w:pict>
      </w:r>
      <w:r>
        <w:rPr>
          <w:i/>
          <w:noProof/>
          <w:sz w:val="22"/>
          <w:szCs w:val="22"/>
        </w:rPr>
        <w:pict w14:anchorId="0DC4BD59">
          <v:shape id="AutoShape 109" o:spid="_x0000_s1028" type="#_x0000_t63" style="position:absolute;left:0;text-align:left;margin-left:7.35pt;margin-top:271.55pt;width:56.3pt;height:27.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" adj="10973,20975" fillcolor="white [3201]" strokecolor="#95b3d7 [1940]" strokeweight="1pt">
            <v:fill color2="#b8cce4 [1300]" focus="100%" type="gradient"/>
            <v:shadow on="t" color="#243f60 [1604]" opacity=".5" offset="1pt"/>
            <v:textbox style="mso-next-textbox:#AutoShape 109">
              <w:txbxContent>
                <w:p w14:paraId="653812C0" w14:textId="77777777" w:rsidR="001D1617" w:rsidRDefault="001D1617" w:rsidP="00CD3ABF">
                  <w:pPr>
                    <w:jc w:val="center"/>
                    <w:rPr>
                      <w:rFonts w:ascii="Arial" w:hAnsi="Arial" w:cs="Arial"/>
                      <w:b/>
                      <w:sz w:val="20"/>
                    </w:rPr>
                  </w:pPr>
                  <w:r w:rsidRPr="00FD04A7">
                    <w:rPr>
                      <w:rFonts w:ascii="Arial" w:hAnsi="Arial" w:cs="Arial"/>
                      <w:b/>
                      <w:sz w:val="20"/>
                    </w:rPr>
                    <w:t>OPII</w:t>
                  </w:r>
                </w:p>
              </w:txbxContent>
            </v:textbox>
          </v:shape>
        </w:pict>
      </w:r>
    </w:p>
    <w:p w14:paraId="611A3F70" w14:textId="4F0C409E" w:rsidR="00295546" w:rsidRPr="00CF2C83" w:rsidRDefault="00295546" w:rsidP="00295546">
      <w:pPr>
        <w:pStyle w:val="Tab"/>
        <w:numPr>
          <w:ilvl w:val="0"/>
          <w:numId w:val="0"/>
        </w:numPr>
        <w:rPr>
          <w:u w:val="single"/>
        </w:rPr>
      </w:pPr>
      <w:r w:rsidRPr="00CF2C83">
        <w:rPr>
          <w:u w:val="single"/>
        </w:rPr>
        <w:t>Komplementarita medzi PO7 OPII a OP EVS</w:t>
      </w:r>
    </w:p>
    <w:p w14:paraId="4700A273" w14:textId="77777777" w:rsidR="00295546" w:rsidRDefault="00295546" w:rsidP="00295546">
      <w:pPr>
        <w:spacing w:before="180"/>
        <w:jc w:val="both"/>
        <w:rPr>
          <w:sz w:val="22"/>
          <w:szCs w:val="22"/>
        </w:rPr>
      </w:pPr>
      <w:r w:rsidRPr="00CF2C83">
        <w:rPr>
          <w:sz w:val="22"/>
          <w:szCs w:val="22"/>
        </w:rPr>
        <w:t xml:space="preserve">Reforma VS určuje obsahovú náplň pre OP EVS a čiastočne pre OPII, ktorých spoločným cieľom je efektívna VS. OP EVS definuje stratégiu a dizajn zmien organizácie a procesov VS, pričom podpora pre ich presadenie do praxe a dosiahnutie cieľov a účinnosti politík je podmienená nasadením IS. OPII realizuje investície do ISVS a služieb eGovernmentu predovšetkým formou národných projektov. OPII realizuje aj projekty v iných špecifických cieľoch, ktoré nie sú súčasťou Systému vzájomnej </w:t>
      </w:r>
      <w:r w:rsidR="002C1444" w:rsidRPr="00CF2C83">
        <w:rPr>
          <w:sz w:val="22"/>
          <w:szCs w:val="22"/>
        </w:rPr>
        <w:t>koordinácie</w:t>
      </w:r>
      <w:r w:rsidRPr="00CF2C83">
        <w:rPr>
          <w:sz w:val="22"/>
          <w:szCs w:val="22"/>
        </w:rPr>
        <w:t xml:space="preserve"> medzi OPII a OP EVS a na ktoré sa tento koordinačný mechanizmus neuplatňuje.</w:t>
      </w:r>
    </w:p>
    <w:p w14:paraId="02C1E122" w14:textId="77777777" w:rsidR="00295546" w:rsidRPr="00CF2C83" w:rsidRDefault="00295546" w:rsidP="00295546">
      <w:pPr>
        <w:spacing w:before="180"/>
        <w:jc w:val="both"/>
        <w:rPr>
          <w:sz w:val="22"/>
          <w:szCs w:val="22"/>
        </w:rPr>
      </w:pPr>
      <w:r w:rsidRPr="00CF2C83">
        <w:rPr>
          <w:sz w:val="22"/>
          <w:szCs w:val="22"/>
        </w:rPr>
        <w:t xml:space="preserve">Inštitucionálny systém koordinácie medzi OPII a OP EVS definovaný v dokumente </w:t>
      </w:r>
      <w:r w:rsidRPr="00CF2C83">
        <w:rPr>
          <w:b/>
          <w:sz w:val="22"/>
          <w:szCs w:val="22"/>
        </w:rPr>
        <w:t>Systém vzájomnej koordinácie medzi OPII a OP EVS</w:t>
      </w:r>
      <w:r w:rsidRPr="00CF2C83">
        <w:rPr>
          <w:sz w:val="22"/>
          <w:szCs w:val="22"/>
        </w:rPr>
        <w:t xml:space="preserve"> bude pozostávať z 3 základných úrovní:</w:t>
      </w:r>
    </w:p>
    <w:p w14:paraId="62E685AE" w14:textId="77777777" w:rsidR="009E0158" w:rsidRDefault="001726F5" w:rsidP="00D26026">
      <w:pPr>
        <w:pStyle w:val="Odsekzoznamu"/>
        <w:numPr>
          <w:ilvl w:val="0"/>
          <w:numId w:val="69"/>
        </w:numPr>
        <w:ind w:left="284" w:hanging="284"/>
        <w:jc w:val="both"/>
        <w:rPr>
          <w:sz w:val="22"/>
          <w:szCs w:val="22"/>
        </w:rPr>
      </w:pPr>
      <w:r>
        <w:rPr>
          <w:sz w:val="22"/>
          <w:szCs w:val="22"/>
        </w:rPr>
        <w:lastRenderedPageBreak/>
        <w:t xml:space="preserve">Politická úroveň - </w:t>
      </w:r>
      <w:r w:rsidR="00295546" w:rsidRPr="00CF2C83">
        <w:rPr>
          <w:sz w:val="22"/>
          <w:szCs w:val="22"/>
        </w:rPr>
        <w:t>Monitorovací výbor</w:t>
      </w:r>
    </w:p>
    <w:p w14:paraId="40A3441F" w14:textId="77777777" w:rsidR="009E0158" w:rsidRDefault="00295546" w:rsidP="00D26026">
      <w:pPr>
        <w:pStyle w:val="Odsekzoznamu"/>
        <w:numPr>
          <w:ilvl w:val="0"/>
          <w:numId w:val="69"/>
        </w:numPr>
        <w:ind w:left="284" w:hanging="284"/>
        <w:jc w:val="both"/>
        <w:rPr>
          <w:sz w:val="22"/>
          <w:szCs w:val="22"/>
        </w:rPr>
      </w:pPr>
      <w:r w:rsidRPr="00CF2C83">
        <w:rPr>
          <w:sz w:val="22"/>
          <w:szCs w:val="22"/>
        </w:rPr>
        <w:t>Technická programová úroveň - Interný dozorný monitorovací výbor</w:t>
      </w:r>
    </w:p>
    <w:p w14:paraId="527936EC" w14:textId="77777777" w:rsidR="009E0158" w:rsidRDefault="00295546" w:rsidP="00D26026">
      <w:pPr>
        <w:pStyle w:val="Odsekzoznamu"/>
        <w:numPr>
          <w:ilvl w:val="0"/>
          <w:numId w:val="69"/>
        </w:numPr>
        <w:ind w:left="284" w:hanging="284"/>
        <w:jc w:val="both"/>
        <w:rPr>
          <w:sz w:val="22"/>
          <w:szCs w:val="22"/>
        </w:rPr>
      </w:pPr>
      <w:r w:rsidRPr="00CF2C83">
        <w:rPr>
          <w:sz w:val="22"/>
          <w:szCs w:val="22"/>
        </w:rPr>
        <w:t>Technická projektová úroveň - Riadiaci výbor pre štúdie realizovateľnosti.</w:t>
      </w:r>
    </w:p>
    <w:p w14:paraId="0F3CD786" w14:textId="77777777" w:rsidR="00295546" w:rsidRPr="00CF2C83" w:rsidRDefault="00295546" w:rsidP="00295546">
      <w:pPr>
        <w:ind w:right="-108"/>
        <w:jc w:val="both"/>
        <w:rPr>
          <w:sz w:val="22"/>
          <w:szCs w:val="22"/>
        </w:rPr>
      </w:pPr>
      <w:r w:rsidRPr="00CF2C83">
        <w:rPr>
          <w:sz w:val="22"/>
          <w:szCs w:val="22"/>
        </w:rPr>
        <w:t>Životný cyklus reformného zámeru a jeho realizácie bude nasledovný:</w:t>
      </w:r>
    </w:p>
    <w:p w14:paraId="2C24F6B7" w14:textId="136C2106" w:rsidR="009E0158" w:rsidRDefault="00295546" w:rsidP="00D26026">
      <w:pPr>
        <w:pStyle w:val="Odsekzoznamu"/>
        <w:numPr>
          <w:ilvl w:val="0"/>
          <w:numId w:val="79"/>
        </w:numPr>
        <w:ind w:left="426" w:right="-108" w:hanging="426"/>
        <w:jc w:val="both"/>
        <w:rPr>
          <w:sz w:val="22"/>
          <w:szCs w:val="22"/>
        </w:rPr>
      </w:pPr>
      <w:r w:rsidRPr="00CF2C83">
        <w:rPr>
          <w:sz w:val="22"/>
          <w:szCs w:val="22"/>
        </w:rPr>
        <w:t>Reformný zámer schválený MV SR bude tvoriť vstup pre štúdiu realizovateľnosti a pre projektový zámer OP EVS. Príprava a vypracovanie štúdií realizovateľnosti OPII a projektových zámerov OP EVS budú koordinované a ich výstupom budú vzájomne zosúladené písomné vyzvania. Na základe schváleného písomného vyzvania budú realizované projekty.</w:t>
      </w:r>
    </w:p>
    <w:p w14:paraId="21198574" w14:textId="77777777" w:rsidR="009E0158" w:rsidRDefault="00295546" w:rsidP="00D26026">
      <w:pPr>
        <w:pStyle w:val="Odsekzoznamu"/>
        <w:numPr>
          <w:ilvl w:val="0"/>
          <w:numId w:val="79"/>
        </w:numPr>
        <w:ind w:left="426" w:right="-108" w:hanging="426"/>
        <w:jc w:val="both"/>
        <w:rPr>
          <w:sz w:val="22"/>
          <w:szCs w:val="22"/>
        </w:rPr>
      </w:pPr>
      <w:r w:rsidRPr="00CF2C83">
        <w:rPr>
          <w:sz w:val="22"/>
          <w:szCs w:val="22"/>
        </w:rPr>
        <w:t xml:space="preserve">Výstupom úvodnej fázy implementácie projektu OP EVS bude návrh špecifickej reformy, obsahujúci návrh procesov organizácií a metód. Výstupom úvodnej fázy implementácie projektu OPII bude analýza, obsahujúca funkčnú špecifikáciu. Hlavným vstupom a zadaním pre funkčnú špecifikáciu je návrh špecifickej reformy, ktorý bude obsahovať hlavné požiadavky na IKT projekty. </w:t>
      </w:r>
    </w:p>
    <w:p w14:paraId="6B2164BE" w14:textId="77777777" w:rsidR="009E0158" w:rsidRDefault="00295546" w:rsidP="00D26026">
      <w:pPr>
        <w:pStyle w:val="Odsekzoznamu"/>
        <w:numPr>
          <w:ilvl w:val="0"/>
          <w:numId w:val="79"/>
        </w:numPr>
        <w:ind w:left="426" w:right="-108" w:hanging="426"/>
        <w:jc w:val="both"/>
        <w:rPr>
          <w:sz w:val="22"/>
          <w:szCs w:val="22"/>
        </w:rPr>
      </w:pPr>
      <w:r w:rsidRPr="00CF2C83">
        <w:rPr>
          <w:sz w:val="22"/>
          <w:szCs w:val="22"/>
        </w:rPr>
        <w:t xml:space="preserve">V rámci projektu OPII bude implementovaný resp. upravený informačný systém tak, aby efektívnym spôsobom podporoval detailný návrh procesov a pokrýval požiadavky a potreby vyplývajúce z návrhu špecifickej reformy. V rámci projektu OP EVS budú realizované ostatné opatrenia potrebné na realizáciu reformného zámeru. </w:t>
      </w:r>
    </w:p>
    <w:p w14:paraId="7B22B04D" w14:textId="77777777" w:rsidR="009E0158" w:rsidRDefault="00295546" w:rsidP="00D26026">
      <w:pPr>
        <w:pStyle w:val="Odsekzoznamu"/>
        <w:numPr>
          <w:ilvl w:val="0"/>
          <w:numId w:val="79"/>
        </w:numPr>
        <w:spacing w:before="180"/>
        <w:ind w:left="426" w:hanging="426"/>
        <w:jc w:val="both"/>
        <w:rPr>
          <w:sz w:val="22"/>
          <w:szCs w:val="22"/>
        </w:rPr>
      </w:pPr>
      <w:r w:rsidRPr="00CF2C83">
        <w:rPr>
          <w:sz w:val="22"/>
          <w:szCs w:val="22"/>
        </w:rPr>
        <w:t>Po implementácií informačného systému resp. konkrétnych riešení bude možné testovať služby a ich použitie v príslušnom úseku správy a začať používať nové procesy v praxi.</w:t>
      </w:r>
    </w:p>
    <w:p w14:paraId="3499076D" w14:textId="5FBC49D3" w:rsidR="00295546" w:rsidRPr="00CF2C83" w:rsidRDefault="00295546" w:rsidP="00295546">
      <w:pPr>
        <w:spacing w:before="180"/>
        <w:jc w:val="both"/>
        <w:rPr>
          <w:u w:val="single"/>
        </w:rPr>
      </w:pPr>
      <w:r w:rsidRPr="00CF2C83">
        <w:rPr>
          <w:u w:val="single"/>
        </w:rPr>
        <w:t>Komplementarita medzi PO7 OPII a PRV 2014 – 2020, Podopatrenie 7.3</w:t>
      </w:r>
    </w:p>
    <w:p w14:paraId="6DBEB7A9" w14:textId="7CEBF4BE" w:rsidR="00295546" w:rsidRPr="00CF2C83" w:rsidRDefault="00295546" w:rsidP="00295546">
      <w:pPr>
        <w:spacing w:before="180"/>
        <w:jc w:val="both"/>
        <w:rPr>
          <w:szCs w:val="22"/>
        </w:rPr>
      </w:pPr>
      <w:r w:rsidRPr="00CF2C83">
        <w:rPr>
          <w:sz w:val="22"/>
          <w:szCs w:val="22"/>
        </w:rPr>
        <w:t xml:space="preserve">OPII podporí budovanie širokopásmového pripojenia a zavádzanie sietí nových generácií. Pri riešení bielych miest širokopásmovým internetom </w:t>
      </w:r>
      <w:r w:rsidR="00D2031D">
        <w:rPr>
          <w:sz w:val="22"/>
          <w:szCs w:val="22"/>
        </w:rPr>
        <w:t>s</w:t>
      </w:r>
      <w:r w:rsidRPr="00CF2C83">
        <w:rPr>
          <w:sz w:val="22"/>
          <w:szCs w:val="22"/>
        </w:rPr>
        <w:t xml:space="preserve"> minimáln</w:t>
      </w:r>
      <w:r w:rsidR="00D2031D">
        <w:rPr>
          <w:sz w:val="22"/>
          <w:szCs w:val="22"/>
        </w:rPr>
        <w:t>ou</w:t>
      </w:r>
      <w:r w:rsidRPr="00CF2C83">
        <w:rPr>
          <w:sz w:val="22"/>
          <w:szCs w:val="22"/>
        </w:rPr>
        <w:t xml:space="preserve"> rýchlos</w:t>
      </w:r>
      <w:r w:rsidR="00D2031D">
        <w:rPr>
          <w:sz w:val="22"/>
          <w:szCs w:val="22"/>
        </w:rPr>
        <w:t>ťou</w:t>
      </w:r>
      <w:r w:rsidRPr="00CF2C83">
        <w:rPr>
          <w:sz w:val="22"/>
          <w:szCs w:val="22"/>
        </w:rPr>
        <w:t xml:space="preserve"> 30 Mbit/s sa zameria na výstavbu regionálnych sietí a budovanie prístupových sietí v oblastiach zlyhania trhu (obce s počtom obyvateľov viac ako 500). OPII tiež zabezpečí príslušné analytické práce, koordináciu výstavby sietí a komplexnú metodickú podporu. PRV bude realizovať dopytové projekty pre budovanie </w:t>
      </w:r>
      <w:r w:rsidR="00D2031D">
        <w:rPr>
          <w:sz w:val="22"/>
          <w:szCs w:val="22"/>
        </w:rPr>
        <w:t xml:space="preserve">regionálnych sietí a </w:t>
      </w:r>
      <w:r w:rsidRPr="00CF2C83">
        <w:rPr>
          <w:sz w:val="22"/>
          <w:szCs w:val="22"/>
        </w:rPr>
        <w:t xml:space="preserve">prístupových sietí v jednotlivých </w:t>
      </w:r>
      <w:r w:rsidR="00D2031D">
        <w:rPr>
          <w:sz w:val="22"/>
          <w:szCs w:val="22"/>
        </w:rPr>
        <w:t xml:space="preserve">bielych miestach v </w:t>
      </w:r>
      <w:r w:rsidRPr="00CF2C83">
        <w:rPr>
          <w:sz w:val="22"/>
          <w:szCs w:val="22"/>
        </w:rPr>
        <w:t xml:space="preserve">obciach do 500 obyvateľov. Koordinačný mechanizmus je definovaný v dokumente </w:t>
      </w:r>
      <w:r w:rsidRPr="00CF2C83">
        <w:rPr>
          <w:b/>
          <w:sz w:val="22"/>
          <w:szCs w:val="22"/>
        </w:rPr>
        <w:t>Systém vzájomnej koordinácie medzi OPII a PRV</w:t>
      </w:r>
      <w:r w:rsidRPr="00CF2C83">
        <w:rPr>
          <w:sz w:val="22"/>
          <w:szCs w:val="22"/>
        </w:rPr>
        <w:t xml:space="preserve"> nasledovne:</w:t>
      </w:r>
    </w:p>
    <w:p w14:paraId="4898D125" w14:textId="7325AC2C" w:rsidR="009E0158" w:rsidRDefault="00295546" w:rsidP="00D26026">
      <w:pPr>
        <w:pStyle w:val="Odsekzoznamu"/>
        <w:numPr>
          <w:ilvl w:val="0"/>
          <w:numId w:val="80"/>
        </w:numPr>
        <w:spacing w:before="180"/>
        <w:ind w:left="426" w:hanging="426"/>
        <w:jc w:val="both"/>
        <w:rPr>
          <w:szCs w:val="22"/>
        </w:rPr>
      </w:pPr>
      <w:r w:rsidRPr="00CF2C83">
        <w:rPr>
          <w:sz w:val="22"/>
          <w:szCs w:val="22"/>
        </w:rPr>
        <w:t xml:space="preserve">MPRV SR zašle </w:t>
      </w:r>
      <w:r w:rsidR="00961B27">
        <w:rPr>
          <w:sz w:val="22"/>
          <w:szCs w:val="22"/>
        </w:rPr>
        <w:t>Ú</w:t>
      </w:r>
      <w:r w:rsidR="00B5789D">
        <w:rPr>
          <w:sz w:val="22"/>
          <w:szCs w:val="22"/>
        </w:rPr>
        <w:t>P</w:t>
      </w:r>
      <w:r w:rsidR="004130A8">
        <w:rPr>
          <w:sz w:val="22"/>
          <w:szCs w:val="22"/>
        </w:rPr>
        <w:t>VII</w:t>
      </w:r>
      <w:r w:rsidRPr="00CF2C83">
        <w:rPr>
          <w:sz w:val="22"/>
          <w:szCs w:val="22"/>
        </w:rPr>
        <w:t xml:space="preserve"> oznámenie o plánovanom vyhlásení výzvy v rámci príslušného podopatrenia PRV, 3</w:t>
      </w:r>
      <w:r w:rsidR="002C1444">
        <w:rPr>
          <w:sz w:val="22"/>
          <w:szCs w:val="22"/>
        </w:rPr>
        <w:t xml:space="preserve"> mesiace pred vyhlásením výzvy.</w:t>
      </w:r>
    </w:p>
    <w:p w14:paraId="299C50EF" w14:textId="074B0D86" w:rsidR="009E0158" w:rsidRDefault="00961B27" w:rsidP="00D26026">
      <w:pPr>
        <w:pStyle w:val="Odsekzoznamu"/>
        <w:numPr>
          <w:ilvl w:val="0"/>
          <w:numId w:val="80"/>
        </w:numPr>
        <w:spacing w:before="180"/>
        <w:ind w:left="426" w:hanging="426"/>
        <w:jc w:val="both"/>
        <w:rPr>
          <w:szCs w:val="22"/>
        </w:rPr>
      </w:pPr>
      <w:r>
        <w:rPr>
          <w:sz w:val="22"/>
          <w:szCs w:val="22"/>
        </w:rPr>
        <w:t>ÚP</w:t>
      </w:r>
      <w:r w:rsidR="004130A8">
        <w:rPr>
          <w:sz w:val="22"/>
          <w:szCs w:val="22"/>
        </w:rPr>
        <w:t>VII</w:t>
      </w:r>
      <w:r w:rsidR="00295546" w:rsidRPr="00CF2C83">
        <w:rPr>
          <w:sz w:val="22"/>
          <w:szCs w:val="22"/>
        </w:rPr>
        <w:t xml:space="preserve"> zašle MPRV SR zoznam </w:t>
      </w:r>
      <w:r w:rsidR="00D2031D">
        <w:rPr>
          <w:sz w:val="22"/>
          <w:szCs w:val="22"/>
        </w:rPr>
        <w:t xml:space="preserve">bielych miest v </w:t>
      </w:r>
      <w:r w:rsidR="00295546" w:rsidRPr="00CF2C83">
        <w:rPr>
          <w:sz w:val="22"/>
          <w:szCs w:val="22"/>
        </w:rPr>
        <w:t>obc</w:t>
      </w:r>
      <w:r w:rsidR="00D2031D">
        <w:rPr>
          <w:sz w:val="22"/>
          <w:szCs w:val="22"/>
        </w:rPr>
        <w:t>iach</w:t>
      </w:r>
      <w:r w:rsidR="00295546" w:rsidRPr="00CF2C83">
        <w:rPr>
          <w:sz w:val="22"/>
          <w:szCs w:val="22"/>
        </w:rPr>
        <w:t xml:space="preserve"> s menej ako 500 obyvateľmi. </w:t>
      </w:r>
    </w:p>
    <w:p w14:paraId="6CD9A827" w14:textId="655272C4" w:rsidR="009E0158" w:rsidRDefault="00295546" w:rsidP="00D26026">
      <w:pPr>
        <w:pStyle w:val="Odsekzoznamu"/>
        <w:numPr>
          <w:ilvl w:val="0"/>
          <w:numId w:val="80"/>
        </w:numPr>
        <w:spacing w:before="180"/>
        <w:ind w:left="426" w:hanging="426"/>
        <w:jc w:val="both"/>
        <w:rPr>
          <w:szCs w:val="22"/>
        </w:rPr>
      </w:pPr>
      <w:r w:rsidRPr="00CF2C83">
        <w:rPr>
          <w:sz w:val="22"/>
          <w:szCs w:val="22"/>
        </w:rPr>
        <w:t xml:space="preserve">Po vyhlásení výzvy a ukončení hodnotiaceho a výberového procesu zašle MPRV SR zoznam úspešných žiadateľov </w:t>
      </w:r>
      <w:r w:rsidR="00961B27">
        <w:rPr>
          <w:sz w:val="22"/>
          <w:szCs w:val="22"/>
        </w:rPr>
        <w:t>Ú</w:t>
      </w:r>
      <w:r w:rsidR="00B5789D">
        <w:rPr>
          <w:sz w:val="22"/>
          <w:szCs w:val="22"/>
        </w:rPr>
        <w:t>P</w:t>
      </w:r>
      <w:r w:rsidR="004130A8">
        <w:rPr>
          <w:sz w:val="22"/>
          <w:szCs w:val="22"/>
        </w:rPr>
        <w:t>VII</w:t>
      </w:r>
      <w:r w:rsidRPr="00CF2C83">
        <w:rPr>
          <w:sz w:val="22"/>
          <w:szCs w:val="22"/>
        </w:rPr>
        <w:t xml:space="preserve">. </w:t>
      </w:r>
    </w:p>
    <w:p w14:paraId="7514DD5F" w14:textId="7A5AB83E" w:rsidR="009E0158" w:rsidRDefault="00295546" w:rsidP="00D26026">
      <w:pPr>
        <w:pStyle w:val="Odsekzoznamu"/>
        <w:numPr>
          <w:ilvl w:val="0"/>
          <w:numId w:val="80"/>
        </w:numPr>
        <w:spacing w:before="180"/>
        <w:ind w:left="426" w:hanging="426"/>
        <w:jc w:val="both"/>
        <w:rPr>
          <w:szCs w:val="22"/>
        </w:rPr>
      </w:pPr>
      <w:r w:rsidRPr="00CF2C83">
        <w:rPr>
          <w:sz w:val="22"/>
          <w:szCs w:val="22"/>
        </w:rPr>
        <w:t>Následne bude zabezpečená koordinácia budovania prístupových sietí s budovaním sietí</w:t>
      </w:r>
      <w:r w:rsidR="00D2031D">
        <w:rPr>
          <w:sz w:val="22"/>
          <w:szCs w:val="22"/>
        </w:rPr>
        <w:t xml:space="preserve"> v rámci OPII.</w:t>
      </w:r>
    </w:p>
    <w:p w14:paraId="3C7D736F" w14:textId="6BC47278" w:rsidR="00D40D08" w:rsidRDefault="00D40D08" w:rsidP="00F549C1">
      <w:pPr>
        <w:pStyle w:val="Tab"/>
      </w:pPr>
      <w:r w:rsidRPr="00CF2C83">
        <w:t>Demarkačné línie technickej pomoci OPII vo vzťahu k OP TP</w:t>
      </w:r>
      <w:r w:rsidR="00E91F35">
        <w:t xml:space="preserve"> – pozri Prílohu 21.</w:t>
      </w:r>
    </w:p>
    <w:p w14:paraId="413F5596" w14:textId="77777777" w:rsidR="00975EAF" w:rsidRPr="003F27A3" w:rsidRDefault="00975EAF" w:rsidP="003F27A3">
      <w:pPr>
        <w:spacing w:before="240"/>
        <w:rPr>
          <w:b/>
          <w:sz w:val="22"/>
          <w:szCs w:val="22"/>
        </w:rPr>
      </w:pPr>
      <w:bookmarkStart w:id="192" w:name="_Toc383209156"/>
      <w:bookmarkStart w:id="193" w:name="_Toc383236570"/>
      <w:r w:rsidRPr="003F27A3">
        <w:rPr>
          <w:b/>
          <w:sz w:val="22"/>
          <w:szCs w:val="22"/>
        </w:rPr>
        <w:t>OPII (časť výskum a inovácie)</w:t>
      </w:r>
    </w:p>
    <w:p w14:paraId="35C336AE" w14:textId="45064FA0" w:rsidR="00975EAF" w:rsidRPr="004C4E20" w:rsidRDefault="00975EAF" w:rsidP="00975EAF">
      <w:pPr>
        <w:pStyle w:val="Zkladntext"/>
        <w:spacing w:before="180" w:after="0"/>
        <w:jc w:val="both"/>
        <w:rPr>
          <w:sz w:val="22"/>
          <w:szCs w:val="22"/>
        </w:rPr>
      </w:pPr>
      <w:r w:rsidRPr="004C4E20">
        <w:rPr>
          <w:sz w:val="22"/>
          <w:szCs w:val="22"/>
        </w:rPr>
        <w:t>V programovom období 2007 – 2013 bola implementácia OP VaV a</w:t>
      </w:r>
      <w:r w:rsidR="004A37D3">
        <w:rPr>
          <w:sz w:val="22"/>
          <w:szCs w:val="22"/>
        </w:rPr>
        <w:t xml:space="preserve"> OP KaHR relatívne izolovaná od </w:t>
      </w:r>
      <w:r w:rsidRPr="004C4E20">
        <w:rPr>
          <w:sz w:val="22"/>
          <w:szCs w:val="22"/>
        </w:rPr>
        <w:t>štátnej vednej a technickej politiky a národných grantových schém, ako aj od 7. RP.</w:t>
      </w:r>
    </w:p>
    <w:p w14:paraId="1D158D3A" w14:textId="38769710" w:rsidR="00975EAF" w:rsidRPr="004C4E20" w:rsidRDefault="00975EAF" w:rsidP="00975EAF">
      <w:pPr>
        <w:pStyle w:val="Zkladntext"/>
        <w:spacing w:before="180" w:after="0"/>
        <w:jc w:val="both"/>
        <w:rPr>
          <w:sz w:val="22"/>
          <w:szCs w:val="22"/>
        </w:rPr>
      </w:pPr>
      <w:r w:rsidRPr="004C4E20">
        <w:rPr>
          <w:sz w:val="22"/>
          <w:szCs w:val="22"/>
        </w:rPr>
        <w:t>Vychádzajúc z tejto skúsenosti, pri plánovaní zásad podp</w:t>
      </w:r>
      <w:r w:rsidR="004A37D3">
        <w:rPr>
          <w:sz w:val="22"/>
          <w:szCs w:val="22"/>
        </w:rPr>
        <w:t>ory VVaI pre roky 2014 – 2020 z </w:t>
      </w:r>
      <w:r w:rsidRPr="004C4E20">
        <w:rPr>
          <w:sz w:val="22"/>
          <w:szCs w:val="22"/>
        </w:rPr>
        <w:t>prostriedkov EŠIF sú synergie a komplementarity jednou z najdôležitejších priorít. Koordinácia medzi EŠIF a jednotlivými európskymi a národnými nástrojmi financovania je kľúčová pre využitie a</w:t>
      </w:r>
      <w:r w:rsidR="004A37D3">
        <w:rPr>
          <w:sz w:val="22"/>
          <w:szCs w:val="22"/>
        </w:rPr>
        <w:t> </w:t>
      </w:r>
      <w:r w:rsidRPr="004C4E20">
        <w:rPr>
          <w:sz w:val="22"/>
          <w:szCs w:val="22"/>
        </w:rPr>
        <w:t>stimulovanie rozvojového potenciálu v tejto oblasti a efektívne využitie finančných zdrojov. Mechanizmy koordinácie na národn</w:t>
      </w:r>
      <w:r w:rsidR="004A37D3">
        <w:rPr>
          <w:sz w:val="22"/>
          <w:szCs w:val="22"/>
        </w:rPr>
        <w:t>ej úrovni sú popísané v PD SR</w:t>
      </w:r>
      <w:r w:rsidR="004A37D3">
        <w:rPr>
          <w:rStyle w:val="Odkaznapoznmkupodiarou"/>
          <w:sz w:val="22"/>
          <w:szCs w:val="22"/>
        </w:rPr>
        <w:footnoteReference w:id="125"/>
      </w:r>
      <w:r w:rsidRPr="004C4E20">
        <w:rPr>
          <w:sz w:val="22"/>
          <w:szCs w:val="22"/>
        </w:rPr>
        <w:t>.</w:t>
      </w:r>
    </w:p>
    <w:p w14:paraId="5ED79FA4" w14:textId="44B4E118" w:rsidR="00975EAF" w:rsidRPr="004C4E20" w:rsidRDefault="00975EAF" w:rsidP="00975EAF">
      <w:pPr>
        <w:pStyle w:val="Zkladntext"/>
        <w:spacing w:before="180" w:after="0" w:line="247" w:lineRule="auto"/>
        <w:jc w:val="both"/>
        <w:rPr>
          <w:sz w:val="22"/>
          <w:szCs w:val="22"/>
        </w:rPr>
      </w:pPr>
      <w:r w:rsidRPr="004C4E20">
        <w:rPr>
          <w:sz w:val="22"/>
          <w:szCs w:val="22"/>
        </w:rPr>
        <w:t xml:space="preserve">Na úrovni OPII (časť </w:t>
      </w:r>
      <w:r w:rsidR="004A37D3">
        <w:rPr>
          <w:sz w:val="22"/>
          <w:szCs w:val="22"/>
        </w:rPr>
        <w:t>VaI</w:t>
      </w:r>
      <w:r w:rsidRPr="004C4E20">
        <w:rPr>
          <w:sz w:val="22"/>
          <w:szCs w:val="22"/>
        </w:rPr>
        <w:t xml:space="preserve">) bude koordinácia zabezpečovaná prostredníctvom komunikácie medzi jednotlivými ústrednými orgánmi štátnej správy zodpovednými za implementáciu operačných programov, programov cezhraničnej spolupráce ako aj národnými koordinátormi európskych </w:t>
      </w:r>
      <w:r w:rsidRPr="004C4E20">
        <w:rPr>
          <w:sz w:val="22"/>
          <w:szCs w:val="22"/>
        </w:rPr>
        <w:lastRenderedPageBreak/>
        <w:t xml:space="preserve">programov (Horizont 2020, Program Interreg EUROPE, atď.), a to prostredníctvom stálych a ad hoc platforiem. Platformy budú slúžiť na výmenu informácií o plánovaných výzvach, keďže pre zabezpečenie synergie a komplementarity medzi OP v cieli 1 Investovanie do rastu a zamestnanosti, komunitárnymi programami a programami v rámci cieľa 2 Európskej územnej spolupráce (ďalej len „EÚS“), ako aj ostatnými európskymi programami je nevyhnutné najmä obsahové a časové zosúladenie vyhlasovania výziev medzi OPII (časť </w:t>
      </w:r>
      <w:r w:rsidR="004A37D3">
        <w:rPr>
          <w:sz w:val="22"/>
          <w:szCs w:val="22"/>
        </w:rPr>
        <w:t>VaI</w:t>
      </w:r>
      <w:r w:rsidRPr="004C4E20">
        <w:rPr>
          <w:sz w:val="22"/>
          <w:szCs w:val="22"/>
        </w:rPr>
        <w:t>) a ďalšími relevantnými programami, a to v čo najväčšej možnej miere so zohľadnením špecifických implementačných mechanizmov.</w:t>
      </w:r>
    </w:p>
    <w:p w14:paraId="111451EA" w14:textId="77777777" w:rsidR="00975EAF" w:rsidRPr="004C4E20" w:rsidRDefault="00975EAF" w:rsidP="00975EAF">
      <w:pPr>
        <w:pStyle w:val="Zkladntext"/>
        <w:spacing w:before="180" w:after="0" w:line="247" w:lineRule="auto"/>
        <w:jc w:val="both"/>
        <w:rPr>
          <w:sz w:val="22"/>
          <w:szCs w:val="22"/>
        </w:rPr>
      </w:pPr>
      <w:r w:rsidRPr="004C4E20">
        <w:rPr>
          <w:sz w:val="22"/>
          <w:szCs w:val="22"/>
        </w:rPr>
        <w:t>Ďalším prvkom na zabezpečenie koordinácie bude zohľadnenie vybraných špecifických aspektov jednotlivých programov pri výbere projektov v rámci schvaľovacieho procesu zohľadnením týchto špecifických aspektov v rámci hodnotiacich a výberových kritérií.</w:t>
      </w:r>
    </w:p>
    <w:p w14:paraId="539730BC" w14:textId="212127FA" w:rsidR="00975EAF" w:rsidRPr="004C4E20" w:rsidRDefault="00975EAF" w:rsidP="00975EAF">
      <w:pPr>
        <w:pStyle w:val="Zkladntext"/>
        <w:spacing w:before="180" w:after="0"/>
        <w:jc w:val="both"/>
        <w:rPr>
          <w:sz w:val="22"/>
          <w:szCs w:val="22"/>
        </w:rPr>
      </w:pPr>
      <w:r w:rsidRPr="004C4E20">
        <w:rPr>
          <w:sz w:val="22"/>
          <w:szCs w:val="22"/>
        </w:rPr>
        <w:t xml:space="preserve">Vychádzajúc z plánovaných aktivít je možné identifikovať komplementarity a synergie OPII (časť </w:t>
      </w:r>
      <w:r w:rsidR="004A37D3">
        <w:rPr>
          <w:sz w:val="22"/>
          <w:szCs w:val="22"/>
        </w:rPr>
        <w:t>VaI</w:t>
      </w:r>
      <w:r w:rsidRPr="004C4E20">
        <w:rPr>
          <w:sz w:val="22"/>
          <w:szCs w:val="22"/>
        </w:rPr>
        <w:t>) s nasledovnými programami:</w:t>
      </w:r>
    </w:p>
    <w:p w14:paraId="6A357502" w14:textId="77777777" w:rsidR="00975EAF" w:rsidRPr="00B427EA" w:rsidRDefault="00975EAF" w:rsidP="00975EAF">
      <w:pPr>
        <w:spacing w:before="240"/>
        <w:rPr>
          <w:b/>
          <w:sz w:val="22"/>
          <w:szCs w:val="22"/>
        </w:rPr>
      </w:pPr>
      <w:r w:rsidRPr="00B427EA">
        <w:rPr>
          <w:b/>
          <w:sz w:val="22"/>
          <w:szCs w:val="22"/>
        </w:rPr>
        <w:t>Operačný program Ľudské zdroje</w:t>
      </w:r>
    </w:p>
    <w:p w14:paraId="1FD6D054" w14:textId="47B9FC9C" w:rsidR="00975EAF" w:rsidRPr="00B427EA" w:rsidRDefault="00975EAF" w:rsidP="00975EAF">
      <w:pPr>
        <w:pStyle w:val="Zkladntext"/>
        <w:spacing w:before="120" w:after="0"/>
        <w:jc w:val="both"/>
        <w:rPr>
          <w:sz w:val="22"/>
          <w:szCs w:val="22"/>
        </w:rPr>
      </w:pPr>
      <w:r w:rsidRPr="00B427EA">
        <w:rPr>
          <w:sz w:val="22"/>
          <w:szCs w:val="22"/>
        </w:rPr>
        <w:t>Synergie a komplementarity vo vzťahu k OP ĽZ vychádzajú aj zo</w:t>
      </w:r>
      <w:r w:rsidR="004A37D3">
        <w:rPr>
          <w:sz w:val="22"/>
          <w:szCs w:val="22"/>
        </w:rPr>
        <w:t xml:space="preserve"> špecifických odporúčaní Rady v </w:t>
      </w:r>
      <w:r w:rsidRPr="00B427EA">
        <w:rPr>
          <w:sz w:val="22"/>
          <w:szCs w:val="22"/>
        </w:rPr>
        <w:t>zameraní sa na výsledkovo-orientované vysokoškolské vzdelá</w:t>
      </w:r>
      <w:r w:rsidR="004A37D3">
        <w:rPr>
          <w:sz w:val="22"/>
          <w:szCs w:val="22"/>
        </w:rPr>
        <w:t>vanie pre potreby trhu práce. V </w:t>
      </w:r>
      <w:r w:rsidRPr="00B427EA">
        <w:rPr>
          <w:sz w:val="22"/>
          <w:szCs w:val="22"/>
        </w:rPr>
        <w:t xml:space="preserve">nadväznosti na toto zameranie boli identifikované synergie a </w:t>
      </w:r>
      <w:r w:rsidR="00886D39" w:rsidRPr="00B427EA">
        <w:rPr>
          <w:sz w:val="22"/>
          <w:szCs w:val="22"/>
        </w:rPr>
        <w:t>komplementarity</w:t>
      </w:r>
      <w:r w:rsidRPr="00B427EA">
        <w:rPr>
          <w:sz w:val="22"/>
          <w:szCs w:val="22"/>
        </w:rPr>
        <w:t xml:space="preserve"> v plánovanej podpore magisterských študijných programov v doménach inteligentnej špecializácie RIS3 SK, profesijne orientovaných bakalárskych programoch a podpore doktorandov, ako aj na odborné (profesné) vzdelávanie zamerané na zvyšovanie kvalifikácie osôb zúčastnených na celoživotnom vzdelávaní. Podpora nových študijných programov bude najmä vo vzťahu k plánovaným projektom strategického dlhodobého výskumu OPII (časť </w:t>
      </w:r>
      <w:r w:rsidR="004A37D3">
        <w:rPr>
          <w:sz w:val="22"/>
          <w:szCs w:val="22"/>
        </w:rPr>
        <w:t>VaI</w:t>
      </w:r>
      <w:r w:rsidRPr="00B427EA">
        <w:rPr>
          <w:sz w:val="22"/>
          <w:szCs w:val="22"/>
        </w:rPr>
        <w:t>), na ktorých budú</w:t>
      </w:r>
      <w:r w:rsidR="004A37D3">
        <w:rPr>
          <w:sz w:val="22"/>
          <w:szCs w:val="22"/>
        </w:rPr>
        <w:t xml:space="preserve"> priamo participovať subjekty z </w:t>
      </w:r>
      <w:r w:rsidRPr="00B427EA">
        <w:rPr>
          <w:sz w:val="22"/>
          <w:szCs w:val="22"/>
        </w:rPr>
        <w:t>hospodárskej praxe. V oblasti podpory do</w:t>
      </w:r>
      <w:r w:rsidR="004A37D3">
        <w:rPr>
          <w:sz w:val="22"/>
          <w:szCs w:val="22"/>
        </w:rPr>
        <w:t>ktorandov z OP ĽZ pôjde najmä o podporu mobility a </w:t>
      </w:r>
      <w:r w:rsidRPr="00B427EA">
        <w:rPr>
          <w:sz w:val="22"/>
          <w:szCs w:val="22"/>
        </w:rPr>
        <w:t xml:space="preserve">vzájomnej výmeny doktorandov medzi jednotlivými ústavmi SAV, univerzitami a výskumnými inštitúciami v rámci SR ako aj v zahraničí. Nevyhnutnou súčasťou aktivít v rámci OP ĽZ bude podpora mobilít medzi organizáciami výskumu a vývoja a subjektmi z hospodárskej sféry za účelom skvalitnenia obsahu a procesu vzdelávania. Aktivity OPII (časť </w:t>
      </w:r>
      <w:r w:rsidR="004A37D3">
        <w:rPr>
          <w:sz w:val="22"/>
          <w:szCs w:val="22"/>
        </w:rPr>
        <w:t>VaI</w:t>
      </w:r>
      <w:r w:rsidRPr="00B427EA">
        <w:rPr>
          <w:sz w:val="22"/>
          <w:szCs w:val="22"/>
        </w:rPr>
        <w:t>) budú zamerané na zvyšovanie podnikateľských schopností MSP, vrátane motivácie k podnikaniu a na podporu medzisektorových partnerstiev a mobilít expertov (napr. inovačné platformy, matchmaking roadshows a pod.)</w:t>
      </w:r>
    </w:p>
    <w:p w14:paraId="0F02F0FF" w14:textId="77777777" w:rsidR="00975EAF" w:rsidRPr="00B427EA" w:rsidRDefault="00975EAF" w:rsidP="00975EAF">
      <w:pPr>
        <w:rPr>
          <w:sz w:val="22"/>
          <w:szCs w:val="22"/>
        </w:rPr>
      </w:pPr>
      <w:r w:rsidRPr="00B427EA">
        <w:rPr>
          <w:sz w:val="22"/>
          <w:szCs w:val="22"/>
        </w:rPr>
        <w:t>Vzájomné deliace línie v oblasti zamestnanosti a rozvoja podnikania sú definované nasledovne:</w:t>
      </w:r>
    </w:p>
    <w:p w14:paraId="7EE42F3D" w14:textId="4E52B5AC" w:rsidR="00975EAF" w:rsidRPr="00B427EA" w:rsidRDefault="00975EAF" w:rsidP="00975EAF">
      <w:pPr>
        <w:pStyle w:val="Zkladntext"/>
        <w:spacing w:before="120" w:after="0"/>
        <w:rPr>
          <w:sz w:val="22"/>
          <w:szCs w:val="22"/>
        </w:rPr>
      </w:pPr>
      <w:r w:rsidRPr="00B427EA">
        <w:rPr>
          <w:sz w:val="22"/>
          <w:szCs w:val="22"/>
        </w:rPr>
        <w:t xml:space="preserve">Aktivity OPII (časť </w:t>
      </w:r>
      <w:r w:rsidR="004A37D3">
        <w:rPr>
          <w:sz w:val="22"/>
          <w:szCs w:val="22"/>
        </w:rPr>
        <w:t>VaI</w:t>
      </w:r>
      <w:r w:rsidRPr="00B427EA">
        <w:rPr>
          <w:sz w:val="22"/>
          <w:szCs w:val="22"/>
        </w:rPr>
        <w:t>) sú zamerané na:</w:t>
      </w:r>
    </w:p>
    <w:p w14:paraId="12F537BD" w14:textId="0868FF44" w:rsidR="00975EAF" w:rsidRPr="00B427EA" w:rsidRDefault="00975EAF" w:rsidP="004A37D3">
      <w:pPr>
        <w:pStyle w:val="Zkladntext"/>
        <w:widowControl w:val="0"/>
        <w:numPr>
          <w:ilvl w:val="0"/>
          <w:numId w:val="230"/>
        </w:numPr>
        <w:tabs>
          <w:tab w:val="left" w:pos="977"/>
        </w:tabs>
        <w:spacing w:before="120" w:after="0"/>
        <w:ind w:left="568" w:right="-1" w:hanging="284"/>
        <w:jc w:val="both"/>
        <w:rPr>
          <w:sz w:val="22"/>
          <w:szCs w:val="22"/>
        </w:rPr>
      </w:pPr>
      <w:r w:rsidRPr="00B427EA">
        <w:rPr>
          <w:sz w:val="22"/>
          <w:szCs w:val="22"/>
        </w:rPr>
        <w:t>zvyšovanie podnikateľských schopností (predaj, marketing, motivácia, odhad vývoja trhu, zavádzanie zmien a inovácií a</w:t>
      </w:r>
      <w:r w:rsidR="004A37D3">
        <w:rPr>
          <w:sz w:val="22"/>
          <w:szCs w:val="22"/>
        </w:rPr>
        <w:t xml:space="preserve"> </w:t>
      </w:r>
      <w:r w:rsidRPr="00B427EA">
        <w:rPr>
          <w:sz w:val="22"/>
          <w:szCs w:val="22"/>
        </w:rPr>
        <w:t>pod.) malých a stredných podnikateľov.</w:t>
      </w:r>
    </w:p>
    <w:p w14:paraId="64681BCF" w14:textId="0DC66918" w:rsidR="00975EAF" w:rsidRPr="00B427EA" w:rsidRDefault="00975EAF" w:rsidP="004A37D3">
      <w:pPr>
        <w:pStyle w:val="Zkladntext"/>
        <w:widowControl w:val="0"/>
        <w:numPr>
          <w:ilvl w:val="0"/>
          <w:numId w:val="230"/>
        </w:numPr>
        <w:tabs>
          <w:tab w:val="left" w:pos="971"/>
        </w:tabs>
        <w:spacing w:after="0"/>
        <w:ind w:left="568" w:right="-1" w:hanging="284"/>
        <w:jc w:val="both"/>
        <w:rPr>
          <w:sz w:val="22"/>
          <w:szCs w:val="22"/>
        </w:rPr>
      </w:pPr>
      <w:r w:rsidRPr="00B427EA">
        <w:rPr>
          <w:sz w:val="22"/>
          <w:szCs w:val="22"/>
        </w:rPr>
        <w:t>zvyšovanie motivácie k podnikaniu a zabezpečenie úspešného</w:t>
      </w:r>
      <w:r w:rsidR="004A37D3">
        <w:rPr>
          <w:sz w:val="22"/>
          <w:szCs w:val="22"/>
        </w:rPr>
        <w:t xml:space="preserve"> rozbehu podnikania záujemcov o </w:t>
      </w:r>
      <w:r w:rsidRPr="00B427EA">
        <w:rPr>
          <w:sz w:val="22"/>
          <w:szCs w:val="22"/>
        </w:rPr>
        <w:t>podnikanie pochádzajúcich zo znevýhodnených sociálnych skupín.</w:t>
      </w:r>
    </w:p>
    <w:p w14:paraId="08FFBF5A" w14:textId="3AB3379B" w:rsidR="00975EAF" w:rsidRPr="00B427EA" w:rsidRDefault="00975EAF" w:rsidP="004A37D3">
      <w:pPr>
        <w:pStyle w:val="Zkladntext"/>
        <w:widowControl w:val="0"/>
        <w:numPr>
          <w:ilvl w:val="0"/>
          <w:numId w:val="230"/>
        </w:numPr>
        <w:tabs>
          <w:tab w:val="left" w:pos="970"/>
        </w:tabs>
        <w:spacing w:after="0"/>
        <w:ind w:left="568" w:right="-1" w:hanging="284"/>
        <w:jc w:val="both"/>
        <w:rPr>
          <w:sz w:val="22"/>
          <w:szCs w:val="22"/>
        </w:rPr>
      </w:pPr>
      <w:r w:rsidRPr="00B427EA">
        <w:rPr>
          <w:sz w:val="22"/>
          <w:szCs w:val="22"/>
        </w:rPr>
        <w:t>kategóriu záujemcov o podnikanie, cieľom je zvyš</w:t>
      </w:r>
      <w:r w:rsidR="004A37D3">
        <w:rPr>
          <w:sz w:val="22"/>
          <w:szCs w:val="22"/>
        </w:rPr>
        <w:t>ovanie motivácie k podnikaniu a </w:t>
      </w:r>
      <w:r w:rsidRPr="00B427EA">
        <w:rPr>
          <w:sz w:val="22"/>
          <w:szCs w:val="22"/>
        </w:rPr>
        <w:t>zabezpečenie úspešného rozbehu podnikania.</w:t>
      </w:r>
    </w:p>
    <w:p w14:paraId="565C896E" w14:textId="7F16B703" w:rsidR="00975EAF" w:rsidRPr="00B427EA" w:rsidRDefault="00975EAF" w:rsidP="004A37D3">
      <w:pPr>
        <w:pStyle w:val="Zkladntext"/>
        <w:widowControl w:val="0"/>
        <w:numPr>
          <w:ilvl w:val="0"/>
          <w:numId w:val="230"/>
        </w:numPr>
        <w:tabs>
          <w:tab w:val="left" w:pos="949"/>
        </w:tabs>
        <w:spacing w:after="0"/>
        <w:ind w:left="568" w:right="-1" w:hanging="284"/>
        <w:jc w:val="both"/>
        <w:rPr>
          <w:sz w:val="22"/>
          <w:szCs w:val="22"/>
        </w:rPr>
      </w:pPr>
      <w:r w:rsidRPr="00B427EA">
        <w:rPr>
          <w:sz w:val="22"/>
          <w:szCs w:val="22"/>
        </w:rPr>
        <w:t>zvyšovanie motivácie k podnikaniu a zabezpečenie úspešného</w:t>
      </w:r>
      <w:r w:rsidR="004A37D3">
        <w:rPr>
          <w:sz w:val="22"/>
          <w:szCs w:val="22"/>
        </w:rPr>
        <w:t xml:space="preserve"> rozbehu podnikania záujemcov o </w:t>
      </w:r>
      <w:r w:rsidRPr="00B427EA">
        <w:rPr>
          <w:sz w:val="22"/>
          <w:szCs w:val="22"/>
        </w:rPr>
        <w:t>podnikanie zo strany mladých ľudí.</w:t>
      </w:r>
    </w:p>
    <w:p w14:paraId="37112178" w14:textId="7A0717A2" w:rsidR="00975EAF" w:rsidRPr="00BF7F78" w:rsidRDefault="00975EAF" w:rsidP="00975EAF">
      <w:pPr>
        <w:pStyle w:val="Zkladntext"/>
        <w:spacing w:before="120" w:after="0"/>
        <w:jc w:val="both"/>
        <w:rPr>
          <w:sz w:val="22"/>
          <w:szCs w:val="22"/>
        </w:rPr>
      </w:pPr>
      <w:r w:rsidRPr="00BF7F78">
        <w:rPr>
          <w:sz w:val="22"/>
          <w:szCs w:val="22"/>
        </w:rPr>
        <w:t>Aktivity budú realizované formou odovzdávania praktických skúseností prostredníctvom dlhodobého, resp. špecifického poradenstva, poradenstva zameraného na roz</w:t>
      </w:r>
      <w:r w:rsidR="00886D39">
        <w:rPr>
          <w:sz w:val="22"/>
          <w:szCs w:val="22"/>
        </w:rPr>
        <w:t>voj podnikateľských zručností a </w:t>
      </w:r>
      <w:r w:rsidRPr="00BF7F78">
        <w:rPr>
          <w:sz w:val="22"/>
          <w:szCs w:val="22"/>
        </w:rPr>
        <w:t>sprostredkovania úspešných podnikateľských príkladov.</w:t>
      </w:r>
    </w:p>
    <w:p w14:paraId="273DD0A3" w14:textId="77777777" w:rsidR="00975EAF" w:rsidRPr="00BF7F78" w:rsidRDefault="00975EAF" w:rsidP="00975EAF">
      <w:pPr>
        <w:pStyle w:val="Zkladntext"/>
        <w:spacing w:before="180" w:after="0"/>
        <w:rPr>
          <w:sz w:val="22"/>
          <w:szCs w:val="22"/>
        </w:rPr>
      </w:pPr>
      <w:r w:rsidRPr="00BF7F78">
        <w:rPr>
          <w:sz w:val="22"/>
          <w:szCs w:val="22"/>
        </w:rPr>
        <w:t>Aktivity OP ĽZ sú zamerané na:</w:t>
      </w:r>
    </w:p>
    <w:p w14:paraId="0979C11B" w14:textId="0EAFF445" w:rsidR="00975EAF" w:rsidRPr="00BF7F78" w:rsidRDefault="00975EAF" w:rsidP="00975EAF">
      <w:pPr>
        <w:pStyle w:val="Zkladntext"/>
        <w:widowControl w:val="0"/>
        <w:numPr>
          <w:ilvl w:val="0"/>
          <w:numId w:val="230"/>
        </w:numPr>
        <w:tabs>
          <w:tab w:val="left" w:pos="963"/>
        </w:tabs>
        <w:spacing w:before="120" w:after="0" w:line="20" w:lineRule="atLeast"/>
        <w:ind w:left="568" w:hanging="284"/>
        <w:jc w:val="both"/>
        <w:rPr>
          <w:sz w:val="22"/>
          <w:szCs w:val="22"/>
        </w:rPr>
      </w:pPr>
      <w:r w:rsidRPr="00BF7F78">
        <w:rPr>
          <w:sz w:val="22"/>
          <w:szCs w:val="22"/>
        </w:rPr>
        <w:t>odborné (profesné) vzdelávanie zamerané na zvyšovanie odbor</w:t>
      </w:r>
      <w:r w:rsidR="004A37D3">
        <w:rPr>
          <w:sz w:val="22"/>
          <w:szCs w:val="22"/>
        </w:rPr>
        <w:t>nej kvalifikácie zamestnancov a </w:t>
      </w:r>
      <w:r w:rsidRPr="00BF7F78">
        <w:rPr>
          <w:sz w:val="22"/>
          <w:szCs w:val="22"/>
        </w:rPr>
        <w:t>podnikateľov;</w:t>
      </w:r>
    </w:p>
    <w:p w14:paraId="1EF1CBA7" w14:textId="310A8D5F" w:rsidR="00975EAF" w:rsidRPr="00BF7F78" w:rsidRDefault="00975EAF" w:rsidP="00975EAF">
      <w:pPr>
        <w:pStyle w:val="Zkladntext"/>
        <w:widowControl w:val="0"/>
        <w:numPr>
          <w:ilvl w:val="0"/>
          <w:numId w:val="230"/>
        </w:numPr>
        <w:tabs>
          <w:tab w:val="left" w:pos="948"/>
        </w:tabs>
        <w:spacing w:after="0" w:line="20" w:lineRule="atLeast"/>
        <w:ind w:left="568" w:hanging="284"/>
        <w:jc w:val="both"/>
        <w:rPr>
          <w:sz w:val="22"/>
          <w:szCs w:val="22"/>
        </w:rPr>
      </w:pPr>
      <w:r w:rsidRPr="00BF7F78">
        <w:rPr>
          <w:sz w:val="22"/>
          <w:szCs w:val="22"/>
        </w:rPr>
        <w:t>rozvoj pracovných návykov a aktívne hľadanie pracovného miesta v prípade týchto sociálnych skupín, v prípade podpory vytvárania podnikateľských subjektov (živností) bude zabezpečované poradenstvo zamerané na základné administratívne kompetencie (legislatívne predpisy, ktoré sa týkajú podnikania a východiská k tvorbe podnikateľského plánu);</w:t>
      </w:r>
    </w:p>
    <w:p w14:paraId="3D1E8AE7" w14:textId="77777777" w:rsidR="00975EAF" w:rsidRPr="00BF7F78" w:rsidRDefault="00975EAF" w:rsidP="00975EAF">
      <w:pPr>
        <w:pStyle w:val="Zkladntext"/>
        <w:widowControl w:val="0"/>
        <w:numPr>
          <w:ilvl w:val="0"/>
          <w:numId w:val="230"/>
        </w:numPr>
        <w:tabs>
          <w:tab w:val="left" w:pos="946"/>
        </w:tabs>
        <w:spacing w:after="0" w:line="20" w:lineRule="atLeast"/>
        <w:ind w:left="568" w:hanging="284"/>
        <w:jc w:val="both"/>
        <w:rPr>
          <w:sz w:val="22"/>
          <w:szCs w:val="22"/>
        </w:rPr>
      </w:pPr>
      <w:r w:rsidRPr="00BF7F78">
        <w:rPr>
          <w:sz w:val="22"/>
          <w:szCs w:val="22"/>
        </w:rPr>
        <w:t xml:space="preserve">zvýšenie možností mladých ľudí pre uplatnenie sa na trhu práce formou zamestnania alebo samozamestnania, v prípade podpory vytvárania podnikateľských subjektov bude </w:t>
      </w:r>
      <w:r w:rsidRPr="00BF7F78">
        <w:rPr>
          <w:sz w:val="22"/>
          <w:szCs w:val="22"/>
        </w:rPr>
        <w:lastRenderedPageBreak/>
        <w:t>zabezpečované poradenstvo zamerané na základné administratívne kompetencie (legislatívne predpisy, ktoré sa týkajú podnikania a východiská k tvorbe podnikateľského plánu).</w:t>
      </w:r>
    </w:p>
    <w:p w14:paraId="57C39376" w14:textId="77777777" w:rsidR="00975EAF" w:rsidRPr="00AF0865" w:rsidRDefault="00975EAF" w:rsidP="00975EAF">
      <w:pPr>
        <w:pStyle w:val="Zkladntext"/>
        <w:spacing w:before="240" w:after="0"/>
        <w:jc w:val="both"/>
        <w:rPr>
          <w:b/>
          <w:sz w:val="22"/>
          <w:szCs w:val="22"/>
        </w:rPr>
      </w:pPr>
      <w:r w:rsidRPr="00AF0865">
        <w:rPr>
          <w:b/>
          <w:sz w:val="22"/>
          <w:szCs w:val="22"/>
        </w:rPr>
        <w:t>Integrovaný regionálny operačný program</w:t>
      </w:r>
    </w:p>
    <w:p w14:paraId="04FD0404" w14:textId="77777777" w:rsidR="00975EAF" w:rsidRPr="00AF0865" w:rsidRDefault="00975EAF" w:rsidP="00975EAF">
      <w:pPr>
        <w:pStyle w:val="Zkladntext"/>
        <w:spacing w:before="120" w:after="0"/>
        <w:jc w:val="both"/>
        <w:rPr>
          <w:sz w:val="22"/>
          <w:szCs w:val="22"/>
        </w:rPr>
      </w:pPr>
      <w:r w:rsidRPr="00AF0865">
        <w:rPr>
          <w:sz w:val="22"/>
          <w:szCs w:val="22"/>
        </w:rPr>
        <w:t>Vzájomné deliace línie sú definované nasledovne:</w:t>
      </w:r>
    </w:p>
    <w:p w14:paraId="798FC160" w14:textId="77777777" w:rsidR="00975EAF" w:rsidRPr="00AF0865" w:rsidRDefault="00975EAF" w:rsidP="00975EAF">
      <w:pPr>
        <w:pStyle w:val="Zkladntext"/>
        <w:spacing w:before="120" w:after="0"/>
        <w:jc w:val="both"/>
        <w:rPr>
          <w:sz w:val="22"/>
          <w:szCs w:val="22"/>
        </w:rPr>
      </w:pPr>
      <w:r w:rsidRPr="00AF0865">
        <w:rPr>
          <w:sz w:val="22"/>
          <w:szCs w:val="22"/>
        </w:rPr>
        <w:t>Aktivity OP</w:t>
      </w:r>
      <w:r>
        <w:rPr>
          <w:sz w:val="22"/>
          <w:szCs w:val="22"/>
        </w:rPr>
        <w:t>II (časť výskum a inovácie)</w:t>
      </w:r>
      <w:r w:rsidRPr="00AF0865">
        <w:rPr>
          <w:sz w:val="22"/>
          <w:szCs w:val="22"/>
        </w:rPr>
        <w:t xml:space="preserve"> sú zamerané na:</w:t>
      </w:r>
    </w:p>
    <w:p w14:paraId="1AFA7B5C" w14:textId="77777777" w:rsidR="00975EAF" w:rsidRPr="00AF0865" w:rsidRDefault="00975EAF" w:rsidP="00975EAF">
      <w:pPr>
        <w:pStyle w:val="Zkladntext"/>
        <w:widowControl w:val="0"/>
        <w:numPr>
          <w:ilvl w:val="0"/>
          <w:numId w:val="230"/>
        </w:numPr>
        <w:tabs>
          <w:tab w:val="left" w:pos="946"/>
        </w:tabs>
        <w:spacing w:before="120" w:after="0"/>
        <w:ind w:left="568" w:hanging="284"/>
        <w:rPr>
          <w:sz w:val="22"/>
          <w:szCs w:val="22"/>
        </w:rPr>
      </w:pPr>
      <w:r w:rsidRPr="00AF0865">
        <w:rPr>
          <w:sz w:val="22"/>
          <w:szCs w:val="22"/>
        </w:rPr>
        <w:t>kategóriu záujemcov o podnikanie a začínajúcich podnikateľov, cieľom je zvyšovanie motivácie k podnikaniu a zabezpečenie úspešného rozbehu podnikania;</w:t>
      </w:r>
    </w:p>
    <w:p w14:paraId="165B3916" w14:textId="77777777" w:rsidR="00975EAF" w:rsidRPr="00AF0865" w:rsidRDefault="00975EAF" w:rsidP="00975EAF">
      <w:pPr>
        <w:pStyle w:val="Zkladntext"/>
        <w:widowControl w:val="0"/>
        <w:numPr>
          <w:ilvl w:val="0"/>
          <w:numId w:val="230"/>
        </w:numPr>
        <w:tabs>
          <w:tab w:val="left" w:pos="977"/>
        </w:tabs>
        <w:spacing w:after="0"/>
        <w:ind w:left="568" w:hanging="284"/>
        <w:jc w:val="both"/>
        <w:rPr>
          <w:sz w:val="22"/>
          <w:szCs w:val="22"/>
        </w:rPr>
      </w:pPr>
      <w:r w:rsidRPr="00AF0865">
        <w:rPr>
          <w:sz w:val="22"/>
          <w:szCs w:val="22"/>
        </w:rPr>
        <w:t>zvyšovanie podnikateľských schopností (predaj, marketing, motivácia, odhad vývoja trhu, zavádzanie zmien a inovácií a pod.) etablovaných malých a stredných podnikateľov.</w:t>
      </w:r>
    </w:p>
    <w:p w14:paraId="44A9D177" w14:textId="1DE44843" w:rsidR="00975EAF" w:rsidRPr="00051F7E" w:rsidRDefault="00975EAF" w:rsidP="00975EAF">
      <w:pPr>
        <w:pStyle w:val="Zkladntext"/>
        <w:spacing w:before="120" w:after="0"/>
        <w:jc w:val="both"/>
        <w:rPr>
          <w:sz w:val="22"/>
          <w:szCs w:val="22"/>
        </w:rPr>
      </w:pPr>
      <w:r w:rsidRPr="00051F7E">
        <w:rPr>
          <w:sz w:val="22"/>
          <w:szCs w:val="22"/>
        </w:rPr>
        <w:t>V uvedených dvoch bodoch budú realizované poradenské a podporné</w:t>
      </w:r>
      <w:r w:rsidR="004A37D3">
        <w:rPr>
          <w:sz w:val="22"/>
          <w:szCs w:val="22"/>
        </w:rPr>
        <w:t xml:space="preserve"> aktivity pre všetky sektory, s </w:t>
      </w:r>
      <w:r w:rsidRPr="00051F7E">
        <w:rPr>
          <w:sz w:val="22"/>
          <w:szCs w:val="22"/>
        </w:rPr>
        <w:t>výnimkou prípadov vyplývajúcich z rozhodnutia miestnych akčn</w:t>
      </w:r>
      <w:r w:rsidR="004A37D3">
        <w:rPr>
          <w:sz w:val="22"/>
          <w:szCs w:val="22"/>
        </w:rPr>
        <w:t>ých skupín (MAS) a viazaných na </w:t>
      </w:r>
      <w:r w:rsidRPr="00051F7E">
        <w:rPr>
          <w:sz w:val="22"/>
          <w:szCs w:val="22"/>
        </w:rPr>
        <w:t>realizáciu miestnych stratégií. V prípadoch obstarania hmotného majetku bude deliaca línia daná podporením 1 projektu len z jedného operačného programu;</w:t>
      </w:r>
    </w:p>
    <w:p w14:paraId="41D59F37" w14:textId="77777777" w:rsidR="00975EAF" w:rsidRPr="00051F7E" w:rsidRDefault="00975EAF" w:rsidP="00975EAF">
      <w:pPr>
        <w:pStyle w:val="Zkladntext"/>
        <w:widowControl w:val="0"/>
        <w:numPr>
          <w:ilvl w:val="0"/>
          <w:numId w:val="230"/>
        </w:numPr>
        <w:tabs>
          <w:tab w:val="left" w:pos="952"/>
        </w:tabs>
        <w:spacing w:before="120" w:after="0"/>
        <w:ind w:left="568" w:hanging="284"/>
        <w:rPr>
          <w:sz w:val="22"/>
          <w:szCs w:val="22"/>
        </w:rPr>
      </w:pPr>
      <w:r w:rsidRPr="00051F7E">
        <w:rPr>
          <w:sz w:val="22"/>
          <w:szCs w:val="22"/>
        </w:rPr>
        <w:t>realizáciu koncepcie komplexných centier typu one-stop-shop, v ktorých záujemca o podnikanie a podnikatelia získajú informácie, poradenstvo, technickú a finančnú podporu a priestor na vlastný rast, prípadne kooperáciu.</w:t>
      </w:r>
    </w:p>
    <w:p w14:paraId="3B49EAC8" w14:textId="77777777" w:rsidR="00975EAF" w:rsidRPr="00051F7E" w:rsidRDefault="00975EAF" w:rsidP="00975EAF">
      <w:pPr>
        <w:pStyle w:val="Zkladntext"/>
        <w:spacing w:before="120" w:after="0"/>
        <w:rPr>
          <w:sz w:val="22"/>
          <w:szCs w:val="22"/>
        </w:rPr>
      </w:pPr>
      <w:r w:rsidRPr="00051F7E">
        <w:rPr>
          <w:sz w:val="22"/>
          <w:szCs w:val="22"/>
        </w:rPr>
        <w:t>Súčasťou podporných činností budú aj inkubačné služby. Služby podnikateľských centier budú prístupné pre všetky MSP;</w:t>
      </w:r>
    </w:p>
    <w:p w14:paraId="1DC0C06B" w14:textId="3DABC1AA" w:rsidR="00975EAF" w:rsidRPr="00051F7E" w:rsidRDefault="00975EAF" w:rsidP="00975EAF">
      <w:pPr>
        <w:pStyle w:val="Zkladntext"/>
        <w:widowControl w:val="0"/>
        <w:numPr>
          <w:ilvl w:val="0"/>
          <w:numId w:val="230"/>
        </w:numPr>
        <w:tabs>
          <w:tab w:val="left" w:pos="957"/>
        </w:tabs>
        <w:spacing w:before="120" w:after="0"/>
        <w:ind w:left="568" w:hanging="284"/>
        <w:jc w:val="both"/>
        <w:rPr>
          <w:sz w:val="22"/>
          <w:szCs w:val="22"/>
        </w:rPr>
      </w:pPr>
      <w:r w:rsidRPr="00051F7E">
        <w:rPr>
          <w:sz w:val="22"/>
          <w:szCs w:val="22"/>
        </w:rPr>
        <w:t>oblasť kreatívneho priemyslu, pričom cieľovou skupinou budú podnikateľské subjekty. Aktivity budú zamerané na odvetvia reklama a marketing, architektúra</w:t>
      </w:r>
      <w:r w:rsidR="004A37D3">
        <w:rPr>
          <w:sz w:val="22"/>
          <w:szCs w:val="22"/>
        </w:rPr>
        <w:t>, dizajn, módny dizajn a IKT. Z </w:t>
      </w:r>
      <w:r w:rsidRPr="00051F7E">
        <w:rPr>
          <w:sz w:val="22"/>
          <w:szCs w:val="22"/>
        </w:rPr>
        <w:t>hľadiska individuálnych aktivít ide o špecializované p</w:t>
      </w:r>
      <w:r w:rsidR="006B00CB">
        <w:rPr>
          <w:sz w:val="22"/>
          <w:szCs w:val="22"/>
        </w:rPr>
        <w:t>oradenstvo v oblasti zvyšovania</w:t>
      </w:r>
      <w:r w:rsidRPr="00051F7E">
        <w:rPr>
          <w:sz w:val="22"/>
          <w:szCs w:val="22"/>
        </w:rPr>
        <w:t xml:space="preserve"> kreativity kreatívnych odvetví, propagácia kultúrnych a kreatívnych odvetví na národnej úrovni (budovanie trhu a zvýšenie povedomia o kultúrnych a kreatívnych odvetviach), propagácia kreatívnych odvetví na regionálnej úrovni, podpora kreatívnych činností, internacionalizácia kreatívnych odvetví, podpora budovania klastrov v oblasti kreatívneho priemyslu, prepájanie aktérov kreatívnych odvetví s ostatnými odvetviami.</w:t>
      </w:r>
    </w:p>
    <w:p w14:paraId="06A28079" w14:textId="77777777" w:rsidR="00975EAF" w:rsidRPr="00051F7E" w:rsidRDefault="00975EAF" w:rsidP="00975EAF">
      <w:pPr>
        <w:pStyle w:val="Zkladntext"/>
        <w:spacing w:before="180"/>
        <w:rPr>
          <w:sz w:val="22"/>
          <w:szCs w:val="22"/>
        </w:rPr>
      </w:pPr>
      <w:r w:rsidRPr="00051F7E">
        <w:rPr>
          <w:sz w:val="22"/>
          <w:szCs w:val="22"/>
        </w:rPr>
        <w:t>Aktivity IROP sú zamerané na:</w:t>
      </w:r>
    </w:p>
    <w:p w14:paraId="23274CE5" w14:textId="62FEECB1" w:rsidR="00975EAF" w:rsidRPr="00051F7E" w:rsidRDefault="00975EAF" w:rsidP="00975EAF">
      <w:pPr>
        <w:pStyle w:val="Zkladntext"/>
        <w:widowControl w:val="0"/>
        <w:numPr>
          <w:ilvl w:val="0"/>
          <w:numId w:val="230"/>
        </w:numPr>
        <w:tabs>
          <w:tab w:val="left" w:pos="960"/>
        </w:tabs>
        <w:spacing w:before="120" w:after="0"/>
        <w:ind w:left="568" w:hanging="284"/>
        <w:jc w:val="both"/>
        <w:rPr>
          <w:sz w:val="22"/>
          <w:szCs w:val="22"/>
        </w:rPr>
      </w:pPr>
      <w:r w:rsidRPr="00051F7E">
        <w:rPr>
          <w:sz w:val="22"/>
          <w:szCs w:val="22"/>
        </w:rPr>
        <w:t>obstaranie hmotného majetku SZČO, mikro a malých podnikov, vytvárania malých diverzifikovaných podnikov vhodných na zamestnávanie znevýhodnených skupín, podpora komunitných foriem podnikania, sieťovanie a technická podpora podnikateľských subjektov, prenos informácií a vedomostí pričom tieto budú viazané na ro</w:t>
      </w:r>
      <w:r w:rsidR="004A37D3">
        <w:rPr>
          <w:sz w:val="22"/>
          <w:szCs w:val="22"/>
        </w:rPr>
        <w:t>zhodnutia MAS a budú súvisieť s </w:t>
      </w:r>
      <w:r w:rsidRPr="00051F7E">
        <w:rPr>
          <w:sz w:val="22"/>
          <w:szCs w:val="22"/>
        </w:rPr>
        <w:t>realizáciou miestnych stratégií;</w:t>
      </w:r>
    </w:p>
    <w:p w14:paraId="06699384" w14:textId="639DE51B" w:rsidR="00975EAF" w:rsidRPr="00E91F35" w:rsidRDefault="00975EAF" w:rsidP="00E91F35">
      <w:pPr>
        <w:pStyle w:val="Zkladntext"/>
        <w:widowControl w:val="0"/>
        <w:numPr>
          <w:ilvl w:val="0"/>
          <w:numId w:val="230"/>
        </w:numPr>
        <w:tabs>
          <w:tab w:val="left" w:pos="930"/>
        </w:tabs>
        <w:spacing w:after="0"/>
        <w:ind w:left="568" w:hanging="284"/>
        <w:jc w:val="both"/>
        <w:rPr>
          <w:sz w:val="22"/>
          <w:szCs w:val="22"/>
        </w:rPr>
      </w:pPr>
      <w:r w:rsidRPr="00051F7E">
        <w:rPr>
          <w:sz w:val="22"/>
          <w:szCs w:val="22"/>
        </w:rPr>
        <w:t xml:space="preserve">podporu absolventov stredných odborných škôl pri rozbehu podnikateľskej činnosti, cieľová skupina podnikateľov </w:t>
      </w:r>
      <w:r w:rsidR="00E91F35">
        <w:rPr>
          <w:sz w:val="22"/>
          <w:szCs w:val="22"/>
        </w:rPr>
        <w:t>..</w:t>
      </w:r>
      <w:r w:rsidRPr="00E91F35">
        <w:rPr>
          <w:sz w:val="22"/>
          <w:szCs w:val="22"/>
        </w:rPr>
        <w:t>.</w:t>
      </w:r>
      <w:r w:rsidR="00E91F35">
        <w:rPr>
          <w:sz w:val="22"/>
          <w:szCs w:val="22"/>
        </w:rPr>
        <w:t xml:space="preserve"> pozri Prílohu 21.</w:t>
      </w:r>
    </w:p>
    <w:bookmarkEnd w:id="192"/>
    <w:bookmarkEnd w:id="193"/>
    <w:p w14:paraId="3EC33B9B" w14:textId="77777777" w:rsidR="00A80A3A" w:rsidRPr="00A80A3A" w:rsidRDefault="00A80A3A" w:rsidP="00A80A3A">
      <w:pPr>
        <w:rPr>
          <w:lang w:eastAsia="cs-CZ"/>
        </w:rPr>
      </w:pPr>
    </w:p>
    <w:p w14:paraId="5A6F66C4" w14:textId="77777777" w:rsidR="00A5105C" w:rsidRPr="00A5105C" w:rsidRDefault="00A5105C" w:rsidP="00A5105C">
      <w:pPr>
        <w:rPr>
          <w:lang w:eastAsia="cs-CZ"/>
        </w:rPr>
      </w:pPr>
    </w:p>
    <w:p w14:paraId="7EC65FFD" w14:textId="77777777" w:rsidR="003E67A7" w:rsidRDefault="003E67A7">
      <w:pPr>
        <w:spacing w:before="60"/>
        <w:sectPr w:rsidR="003E67A7" w:rsidSect="00D1658B">
          <w:headerReference w:type="default" r:id="rId44"/>
          <w:pgSz w:w="11906" w:h="16838"/>
          <w:pgMar w:top="1418" w:right="1361" w:bottom="1304" w:left="1474" w:header="709" w:footer="709" w:gutter="0"/>
          <w:cols w:space="708"/>
          <w:docGrid w:linePitch="360"/>
        </w:sectPr>
      </w:pPr>
    </w:p>
    <w:p w14:paraId="1B5D779B" w14:textId="77777777" w:rsidR="003E67A7" w:rsidRDefault="003E67A7" w:rsidP="002C1444">
      <w:pPr>
        <w:pStyle w:val="Nadpis1"/>
        <w:tabs>
          <w:tab w:val="clear" w:pos="709"/>
          <w:tab w:val="clear" w:pos="851"/>
        </w:tabs>
      </w:pPr>
      <w:bookmarkStart w:id="194" w:name="_Toc28951693"/>
      <w:r>
        <w:lastRenderedPageBreak/>
        <w:t>Ex ante kondicionality</w:t>
      </w:r>
      <w:bookmarkEnd w:id="194"/>
    </w:p>
    <w:p w14:paraId="6BC2312D" w14:textId="77777777" w:rsidR="003E67A7" w:rsidRDefault="001A49CC" w:rsidP="002C1444">
      <w:pPr>
        <w:pStyle w:val="Nadpis2"/>
        <w:tabs>
          <w:tab w:val="clear" w:pos="709"/>
          <w:tab w:val="clear" w:pos="851"/>
        </w:tabs>
      </w:pPr>
      <w:bookmarkStart w:id="195" w:name="_Toc28951694"/>
      <w:r w:rsidRPr="001A49CC">
        <w:t>Identifikácia príslušných ex ante kondicionalít a vyhodnotenie ich plnenia</w:t>
      </w:r>
      <w:bookmarkEnd w:id="195"/>
    </w:p>
    <w:p w14:paraId="13E56A36" w14:textId="77777777" w:rsidR="001A49CC" w:rsidRDefault="00497BCE" w:rsidP="009D6DC0">
      <w:pPr>
        <w:pStyle w:val="Tab"/>
      </w:pPr>
      <w:r>
        <w:t>Identifikácia tematických</w:t>
      </w:r>
      <w:r w:rsidR="001A49CC" w:rsidRPr="001A49CC">
        <w:t xml:space="preserve"> ex ante kondicionalít a vyhodnotenie ich plnenia</w:t>
      </w:r>
      <w:r w:rsidR="001A49CC">
        <w:t xml:space="preserve"> - </w:t>
      </w:r>
      <w:r w:rsidR="001A49CC" w:rsidRPr="001A49CC">
        <w:rPr>
          <w:b/>
          <w:i/>
        </w:rPr>
        <w:t>Doprava</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58"/>
        <w:gridCol w:w="1422"/>
        <w:gridCol w:w="1750"/>
        <w:gridCol w:w="2089"/>
        <w:gridCol w:w="1153"/>
        <w:gridCol w:w="3302"/>
        <w:gridCol w:w="2401"/>
      </w:tblGrid>
      <w:tr w:rsidR="001A49CC" w14:paraId="19858C90" w14:textId="77777777" w:rsidTr="00A127CB">
        <w:trPr>
          <w:trHeight w:val="340"/>
          <w:jc w:val="center"/>
        </w:trPr>
        <w:tc>
          <w:tcPr>
            <w:tcW w:w="2058" w:type="dxa"/>
            <w:shd w:val="clear" w:color="auto" w:fill="C6D9F1" w:themeFill="text2" w:themeFillTint="33"/>
            <w:vAlign w:val="center"/>
          </w:tcPr>
          <w:p w14:paraId="63284B98" w14:textId="77777777" w:rsidR="001A49CC" w:rsidRDefault="001A49CC" w:rsidP="001A49CC">
            <w:pPr>
              <w:ind w:left="0"/>
              <w:jc w:val="center"/>
              <w:rPr>
                <w:sz w:val="20"/>
                <w:szCs w:val="20"/>
              </w:rPr>
            </w:pPr>
            <w:r>
              <w:rPr>
                <w:sz w:val="20"/>
                <w:szCs w:val="20"/>
              </w:rPr>
              <w:t xml:space="preserve">Ex ante </w:t>
            </w:r>
          </w:p>
          <w:p w14:paraId="1BE8E5FB" w14:textId="77777777" w:rsidR="001A49CC" w:rsidRPr="00CE2E2C" w:rsidRDefault="001A49CC" w:rsidP="001A49CC">
            <w:pPr>
              <w:ind w:left="0"/>
              <w:jc w:val="center"/>
              <w:rPr>
                <w:sz w:val="20"/>
                <w:szCs w:val="20"/>
              </w:rPr>
            </w:pPr>
            <w:r>
              <w:rPr>
                <w:sz w:val="20"/>
                <w:szCs w:val="20"/>
              </w:rPr>
              <w:t>kondicionalita</w:t>
            </w:r>
          </w:p>
        </w:tc>
        <w:tc>
          <w:tcPr>
            <w:tcW w:w="1422" w:type="dxa"/>
            <w:shd w:val="clear" w:color="auto" w:fill="C6D9F1" w:themeFill="text2" w:themeFillTint="33"/>
            <w:vAlign w:val="center"/>
          </w:tcPr>
          <w:p w14:paraId="50CB86E7" w14:textId="77777777" w:rsidR="001A49CC" w:rsidRPr="00391AE1" w:rsidRDefault="001A49CC" w:rsidP="001A49CC">
            <w:pPr>
              <w:ind w:left="0"/>
              <w:jc w:val="center"/>
              <w:rPr>
                <w:sz w:val="20"/>
                <w:szCs w:val="20"/>
              </w:rPr>
            </w:pPr>
            <w:r>
              <w:rPr>
                <w:sz w:val="20"/>
                <w:szCs w:val="20"/>
              </w:rPr>
              <w:t xml:space="preserve">Prioritná os alebo </w:t>
            </w:r>
            <w:r w:rsidRPr="00CE2E2C">
              <w:rPr>
                <w:sz w:val="20"/>
                <w:szCs w:val="20"/>
              </w:rPr>
              <w:t>prioritné</w:t>
            </w:r>
            <w:r>
              <w:rPr>
                <w:sz w:val="20"/>
                <w:szCs w:val="20"/>
              </w:rPr>
              <w:t xml:space="preserve"> osi, na ktoré sa ex ante kondicionalita vzťahuje</w:t>
            </w:r>
          </w:p>
        </w:tc>
        <w:tc>
          <w:tcPr>
            <w:tcW w:w="1750" w:type="dxa"/>
            <w:shd w:val="clear" w:color="auto" w:fill="C6D9F1" w:themeFill="text2" w:themeFillTint="33"/>
            <w:vAlign w:val="center"/>
          </w:tcPr>
          <w:p w14:paraId="2B033904" w14:textId="77777777" w:rsidR="001A49CC" w:rsidRPr="00391AE1" w:rsidRDefault="001A49CC" w:rsidP="001A49CC">
            <w:pPr>
              <w:ind w:left="0"/>
              <w:jc w:val="center"/>
              <w:rPr>
                <w:sz w:val="20"/>
                <w:szCs w:val="20"/>
              </w:rPr>
            </w:pPr>
            <w:r>
              <w:rPr>
                <w:sz w:val="20"/>
                <w:szCs w:val="20"/>
              </w:rPr>
              <w:t>Splnenie ex ante kondicionality Áno/Nie/Čiastočne</w:t>
            </w:r>
          </w:p>
        </w:tc>
        <w:tc>
          <w:tcPr>
            <w:tcW w:w="2089" w:type="dxa"/>
            <w:shd w:val="clear" w:color="auto" w:fill="C6D9F1" w:themeFill="text2" w:themeFillTint="33"/>
            <w:vAlign w:val="center"/>
          </w:tcPr>
          <w:p w14:paraId="35AF13EA" w14:textId="77777777" w:rsidR="001A49CC" w:rsidRPr="00391AE1" w:rsidRDefault="001A49CC" w:rsidP="001A49CC">
            <w:pPr>
              <w:ind w:left="0"/>
              <w:jc w:val="center"/>
              <w:rPr>
                <w:sz w:val="20"/>
                <w:szCs w:val="20"/>
              </w:rPr>
            </w:pPr>
            <w:r>
              <w:rPr>
                <w:sz w:val="20"/>
                <w:szCs w:val="20"/>
              </w:rPr>
              <w:t>Kritériá</w:t>
            </w:r>
          </w:p>
        </w:tc>
        <w:tc>
          <w:tcPr>
            <w:tcW w:w="1153" w:type="dxa"/>
            <w:shd w:val="clear" w:color="auto" w:fill="C6D9F1" w:themeFill="text2" w:themeFillTint="33"/>
            <w:vAlign w:val="center"/>
          </w:tcPr>
          <w:p w14:paraId="189BBA19" w14:textId="77777777" w:rsidR="001A49CC" w:rsidRPr="00391AE1" w:rsidRDefault="001A49CC" w:rsidP="001A49CC">
            <w:pPr>
              <w:ind w:left="0"/>
              <w:jc w:val="center"/>
              <w:rPr>
                <w:sz w:val="20"/>
                <w:szCs w:val="20"/>
              </w:rPr>
            </w:pPr>
            <w:r>
              <w:rPr>
                <w:sz w:val="20"/>
                <w:szCs w:val="20"/>
              </w:rPr>
              <w:t>Splnenie kritérií Áno/Nie</w:t>
            </w:r>
          </w:p>
        </w:tc>
        <w:tc>
          <w:tcPr>
            <w:tcW w:w="3302" w:type="dxa"/>
            <w:shd w:val="clear" w:color="auto" w:fill="C6D9F1" w:themeFill="text2" w:themeFillTint="33"/>
            <w:vAlign w:val="center"/>
          </w:tcPr>
          <w:p w14:paraId="293F0C80" w14:textId="77777777" w:rsidR="001A49CC" w:rsidRPr="00391AE1" w:rsidRDefault="001A49CC" w:rsidP="001A49CC">
            <w:pPr>
              <w:ind w:left="0"/>
              <w:jc w:val="center"/>
              <w:rPr>
                <w:sz w:val="20"/>
                <w:szCs w:val="20"/>
              </w:rPr>
            </w:pPr>
            <w:r>
              <w:rPr>
                <w:sz w:val="20"/>
                <w:szCs w:val="20"/>
              </w:rPr>
              <w:t xml:space="preserve">Odkaz (odkaz na stratégie, právny akt alebo iné relevantné dokumenty, vrátane odkazov na príslušné časti, články alebo odseky, doplnené </w:t>
            </w:r>
            <w:r w:rsidRPr="00CE2E2C">
              <w:rPr>
                <w:sz w:val="20"/>
                <w:szCs w:val="20"/>
              </w:rPr>
              <w:t>hypertextovými</w:t>
            </w:r>
            <w:r>
              <w:rPr>
                <w:sz w:val="20"/>
                <w:szCs w:val="20"/>
              </w:rPr>
              <w:t xml:space="preserve"> </w:t>
            </w:r>
            <w:r w:rsidRPr="00CE2E2C">
              <w:rPr>
                <w:sz w:val="20"/>
                <w:szCs w:val="20"/>
              </w:rPr>
              <w:t>prepojeniami</w:t>
            </w:r>
            <w:r>
              <w:rPr>
                <w:sz w:val="20"/>
                <w:szCs w:val="20"/>
              </w:rPr>
              <w:t xml:space="preserve"> na internetové stránky, alebo prístupom k úplnému textu)</w:t>
            </w:r>
          </w:p>
        </w:tc>
        <w:tc>
          <w:tcPr>
            <w:tcW w:w="2401" w:type="dxa"/>
            <w:shd w:val="clear" w:color="auto" w:fill="C6D9F1" w:themeFill="text2" w:themeFillTint="33"/>
            <w:vAlign w:val="center"/>
          </w:tcPr>
          <w:p w14:paraId="72CF65E9" w14:textId="77777777" w:rsidR="001A49CC" w:rsidRPr="00391AE1" w:rsidRDefault="001A49CC" w:rsidP="001A49CC">
            <w:pPr>
              <w:ind w:left="0"/>
              <w:jc w:val="center"/>
              <w:rPr>
                <w:sz w:val="20"/>
                <w:szCs w:val="20"/>
              </w:rPr>
            </w:pPr>
            <w:r>
              <w:rPr>
                <w:sz w:val="20"/>
                <w:szCs w:val="20"/>
              </w:rPr>
              <w:t>Vysvetlenia</w:t>
            </w:r>
          </w:p>
        </w:tc>
      </w:tr>
      <w:tr w:rsidR="001A49CC" w14:paraId="596D8F86" w14:textId="77777777" w:rsidTr="00A127CB">
        <w:trPr>
          <w:trHeight w:val="283"/>
          <w:jc w:val="center"/>
        </w:trPr>
        <w:tc>
          <w:tcPr>
            <w:tcW w:w="2058" w:type="dxa"/>
            <w:vMerge w:val="restart"/>
          </w:tcPr>
          <w:p w14:paraId="336E3FF6" w14:textId="77777777" w:rsidR="001A49CC" w:rsidRPr="00391AE1" w:rsidRDefault="001A49CC" w:rsidP="001A49CC">
            <w:pPr>
              <w:ind w:left="0"/>
              <w:rPr>
                <w:sz w:val="20"/>
                <w:szCs w:val="20"/>
              </w:rPr>
            </w:pPr>
            <w:r>
              <w:rPr>
                <w:sz w:val="20"/>
                <w:szCs w:val="20"/>
              </w:rPr>
              <w:t>7.1. Doprava: e</w:t>
            </w:r>
            <w:r w:rsidRPr="00B70989">
              <w:rPr>
                <w:sz w:val="20"/>
                <w:szCs w:val="20"/>
              </w:rPr>
              <w:t>xistencia komplexného plánu alebo plánov alebo rámca či rámcov pre dopravné investície v súlade s inštitucionálnou štruktúrou členských štátov (vrátane verejnej dopravy na regionálnej a miestnej úrovni), ktorý podporuje rozvoj infraštruktúry a zlepšuje prepojenie na úplnú a základnú sieť TEN-T</w:t>
            </w:r>
            <w:r w:rsidRPr="002F15C3">
              <w:rPr>
                <w:sz w:val="16"/>
                <w:szCs w:val="16"/>
              </w:rPr>
              <w:t>.</w:t>
            </w:r>
          </w:p>
        </w:tc>
        <w:tc>
          <w:tcPr>
            <w:tcW w:w="1422" w:type="dxa"/>
            <w:vMerge w:val="restart"/>
            <w:vAlign w:val="center"/>
          </w:tcPr>
          <w:p w14:paraId="27989D6E" w14:textId="77777777" w:rsidR="001A49CC" w:rsidRPr="00391AE1" w:rsidRDefault="001A49CC" w:rsidP="001A49CC">
            <w:pPr>
              <w:ind w:left="0"/>
              <w:jc w:val="center"/>
              <w:rPr>
                <w:sz w:val="20"/>
                <w:szCs w:val="20"/>
              </w:rPr>
            </w:pPr>
            <w:r>
              <w:rPr>
                <w:sz w:val="20"/>
                <w:szCs w:val="20"/>
              </w:rPr>
              <w:t>PO 1 – PO 6</w:t>
            </w:r>
          </w:p>
        </w:tc>
        <w:tc>
          <w:tcPr>
            <w:tcW w:w="1750" w:type="dxa"/>
            <w:vMerge w:val="restart"/>
            <w:vAlign w:val="center"/>
          </w:tcPr>
          <w:p w14:paraId="24DC4F5E" w14:textId="77777777" w:rsidR="001A49CC" w:rsidRPr="00756D41" w:rsidRDefault="00BE3AF6" w:rsidP="00192A61">
            <w:pPr>
              <w:ind w:left="0"/>
              <w:jc w:val="center"/>
              <w:rPr>
                <w:b/>
                <w:sz w:val="20"/>
                <w:szCs w:val="20"/>
              </w:rPr>
            </w:pPr>
            <w:r>
              <w:rPr>
                <w:b/>
                <w:sz w:val="20"/>
                <w:szCs w:val="20"/>
              </w:rPr>
              <w:t>Čiastočne</w:t>
            </w:r>
          </w:p>
        </w:tc>
        <w:tc>
          <w:tcPr>
            <w:tcW w:w="2089" w:type="dxa"/>
            <w:vAlign w:val="center"/>
          </w:tcPr>
          <w:p w14:paraId="32DD8AC9" w14:textId="77777777" w:rsidR="001A49CC" w:rsidRPr="00391AE1" w:rsidRDefault="001A49CC" w:rsidP="001A49CC">
            <w:pPr>
              <w:ind w:left="0"/>
              <w:rPr>
                <w:sz w:val="20"/>
                <w:szCs w:val="20"/>
              </w:rPr>
            </w:pPr>
            <w:r w:rsidRPr="00B70989">
              <w:rPr>
                <w:sz w:val="20"/>
                <w:szCs w:val="20"/>
              </w:rPr>
              <w:t>Existuje komplexný plán či plány alebo rámec či rámce pre dopravné investície, ktoré spĺňajú právne požiadavky na strategické environmentálne posúdenie a stanovujú:</w:t>
            </w:r>
          </w:p>
        </w:tc>
        <w:tc>
          <w:tcPr>
            <w:tcW w:w="1153" w:type="dxa"/>
            <w:vAlign w:val="center"/>
          </w:tcPr>
          <w:p w14:paraId="78221F5A" w14:textId="77777777" w:rsidR="001A49CC" w:rsidRPr="007D2580" w:rsidRDefault="001A49CC" w:rsidP="001A49CC">
            <w:pPr>
              <w:ind w:left="0"/>
              <w:jc w:val="center"/>
              <w:rPr>
                <w:b/>
                <w:sz w:val="20"/>
                <w:szCs w:val="20"/>
              </w:rPr>
            </w:pPr>
          </w:p>
          <w:p w14:paraId="5019B3D5" w14:textId="77777777" w:rsidR="001A49CC" w:rsidRPr="007D2580" w:rsidRDefault="001A49CC" w:rsidP="001A49CC">
            <w:pPr>
              <w:ind w:left="0"/>
              <w:jc w:val="center"/>
              <w:rPr>
                <w:b/>
                <w:sz w:val="20"/>
                <w:szCs w:val="20"/>
              </w:rPr>
            </w:pPr>
            <w:r>
              <w:rPr>
                <w:b/>
                <w:sz w:val="20"/>
                <w:szCs w:val="20"/>
              </w:rPr>
              <w:t>NIE</w:t>
            </w:r>
          </w:p>
          <w:p w14:paraId="0514E134" w14:textId="77777777" w:rsidR="001A49CC" w:rsidRPr="007D2580" w:rsidRDefault="001A49CC" w:rsidP="001A49CC">
            <w:pPr>
              <w:ind w:left="0"/>
              <w:jc w:val="center"/>
              <w:rPr>
                <w:b/>
                <w:sz w:val="20"/>
                <w:szCs w:val="20"/>
              </w:rPr>
            </w:pPr>
          </w:p>
        </w:tc>
        <w:tc>
          <w:tcPr>
            <w:tcW w:w="3302" w:type="dxa"/>
            <w:vMerge w:val="restart"/>
            <w:tcMar>
              <w:left w:w="28" w:type="dxa"/>
              <w:right w:w="28" w:type="dxa"/>
            </w:tcMar>
            <w:vAlign w:val="center"/>
          </w:tcPr>
          <w:p w14:paraId="0D102DCF" w14:textId="77777777" w:rsidR="001A49CC" w:rsidRPr="00CE2E2C" w:rsidRDefault="001A49CC" w:rsidP="001A49CC">
            <w:pPr>
              <w:ind w:left="0"/>
              <w:jc w:val="center"/>
              <w:rPr>
                <w:sz w:val="20"/>
                <w:szCs w:val="20"/>
              </w:rPr>
            </w:pPr>
            <w:r w:rsidRPr="00CE2E2C">
              <w:rPr>
                <w:sz w:val="20"/>
                <w:szCs w:val="20"/>
              </w:rPr>
              <w:t>„Strategický plán rozvoja dopravnej infraštruktúry SR do roku 2020 (fáza I)“</w:t>
            </w:r>
          </w:p>
          <w:p w14:paraId="40BA0E3B" w14:textId="77777777" w:rsidR="001A49CC" w:rsidRDefault="001061E2" w:rsidP="001A49CC">
            <w:pPr>
              <w:ind w:left="0"/>
              <w:jc w:val="center"/>
              <w:rPr>
                <w:color w:val="FF0000"/>
                <w:sz w:val="16"/>
                <w:szCs w:val="16"/>
              </w:rPr>
            </w:pPr>
            <w:hyperlink r:id="rId45" w:history="1">
              <w:r w:rsidR="001A49CC" w:rsidRPr="003D49C0">
                <w:rPr>
                  <w:rStyle w:val="Hypertextovprepojenie"/>
                  <w:sz w:val="16"/>
                  <w:szCs w:val="16"/>
                </w:rPr>
                <w:t>http://www.telecom.gov.sk/index/index.php?ids=147132</w:t>
              </w:r>
            </w:hyperlink>
          </w:p>
          <w:p w14:paraId="3CC0B178" w14:textId="77777777" w:rsidR="001A49CC" w:rsidRDefault="001A49CC" w:rsidP="001A49CC">
            <w:pPr>
              <w:ind w:left="0"/>
              <w:jc w:val="center"/>
              <w:rPr>
                <w:sz w:val="20"/>
                <w:szCs w:val="20"/>
              </w:rPr>
            </w:pPr>
          </w:p>
          <w:p w14:paraId="47651FBC" w14:textId="77777777" w:rsidR="001A49CC" w:rsidRDefault="001A49CC" w:rsidP="001A49CC">
            <w:pPr>
              <w:ind w:left="0"/>
              <w:jc w:val="center"/>
              <w:rPr>
                <w:sz w:val="20"/>
                <w:szCs w:val="20"/>
              </w:rPr>
            </w:pPr>
          </w:p>
          <w:p w14:paraId="0D7F52A8" w14:textId="77777777" w:rsidR="001A49CC" w:rsidRPr="00CE2E2C" w:rsidRDefault="001A49CC" w:rsidP="001A49CC">
            <w:pPr>
              <w:ind w:left="0"/>
              <w:jc w:val="center"/>
              <w:rPr>
                <w:sz w:val="20"/>
                <w:szCs w:val="20"/>
              </w:rPr>
            </w:pPr>
            <w:r>
              <w:rPr>
                <w:sz w:val="20"/>
                <w:szCs w:val="20"/>
              </w:rPr>
              <w:t>„Stratégia rozvoja verejnej osobnej a nemotorovej dopravy SR do roku 2020</w:t>
            </w:r>
            <w:r w:rsidRPr="00CE2E2C">
              <w:rPr>
                <w:sz w:val="20"/>
                <w:szCs w:val="20"/>
              </w:rPr>
              <w:t>“</w:t>
            </w:r>
          </w:p>
          <w:p w14:paraId="6892A4F6" w14:textId="77777777" w:rsidR="001A49CC" w:rsidRDefault="001061E2" w:rsidP="001A49CC">
            <w:pPr>
              <w:ind w:left="0"/>
              <w:jc w:val="center"/>
              <w:rPr>
                <w:color w:val="FF0000"/>
                <w:sz w:val="16"/>
                <w:szCs w:val="16"/>
              </w:rPr>
            </w:pPr>
            <w:hyperlink r:id="rId46" w:history="1">
              <w:r w:rsidR="001A49CC" w:rsidRPr="003D49C0">
                <w:rPr>
                  <w:rStyle w:val="Hypertextovprepojenie"/>
                  <w:sz w:val="16"/>
                  <w:szCs w:val="16"/>
                </w:rPr>
                <w:t>http://www.telecom.gov.sk/index/index.php?ids=147132</w:t>
              </w:r>
            </w:hyperlink>
          </w:p>
          <w:p w14:paraId="5CCF5878" w14:textId="77777777" w:rsidR="001A49CC" w:rsidRPr="001B71F6" w:rsidRDefault="001A49CC" w:rsidP="001A49CC">
            <w:pPr>
              <w:ind w:left="0"/>
              <w:jc w:val="center"/>
              <w:rPr>
                <w:color w:val="FF0000"/>
                <w:sz w:val="16"/>
                <w:szCs w:val="16"/>
              </w:rPr>
            </w:pPr>
          </w:p>
        </w:tc>
        <w:tc>
          <w:tcPr>
            <w:tcW w:w="2401" w:type="dxa"/>
            <w:vMerge w:val="restart"/>
          </w:tcPr>
          <w:p w14:paraId="1981CB0A" w14:textId="77777777" w:rsidR="001A49CC" w:rsidRDefault="001A49CC" w:rsidP="001A49CC">
            <w:pPr>
              <w:ind w:left="0"/>
              <w:rPr>
                <w:sz w:val="20"/>
                <w:szCs w:val="20"/>
              </w:rPr>
            </w:pPr>
            <w:r w:rsidRPr="00B70989">
              <w:rPr>
                <w:sz w:val="20"/>
                <w:szCs w:val="20"/>
              </w:rPr>
              <w:t>Strategick</w:t>
            </w:r>
            <w:r w:rsidR="00851F34">
              <w:rPr>
                <w:sz w:val="20"/>
                <w:szCs w:val="20"/>
              </w:rPr>
              <w:t>ý</w:t>
            </w:r>
            <w:r w:rsidRPr="00B70989">
              <w:rPr>
                <w:sz w:val="20"/>
                <w:szCs w:val="20"/>
              </w:rPr>
              <w:t xml:space="preserve"> plán do roku 2020 (fáza I) a Stratégi</w:t>
            </w:r>
            <w:r w:rsidR="00851F34">
              <w:rPr>
                <w:sz w:val="20"/>
                <w:szCs w:val="20"/>
              </w:rPr>
              <w:t>a</w:t>
            </w:r>
            <w:r w:rsidRPr="00B70989">
              <w:rPr>
                <w:sz w:val="20"/>
                <w:szCs w:val="20"/>
              </w:rPr>
              <w:t xml:space="preserve"> verejnej osobnej a nemotorovej dopravy boli </w:t>
            </w:r>
            <w:r w:rsidR="00DE7C04">
              <w:rPr>
                <w:sz w:val="20"/>
                <w:szCs w:val="20"/>
              </w:rPr>
              <w:t>schválené vládou SR dňa 25.6.2014</w:t>
            </w:r>
            <w:r w:rsidRPr="00B70989">
              <w:rPr>
                <w:sz w:val="20"/>
                <w:szCs w:val="20"/>
              </w:rPr>
              <w:t>.</w:t>
            </w:r>
            <w:r w:rsidR="00B4144C">
              <w:rPr>
                <w:sz w:val="20"/>
                <w:szCs w:val="20"/>
              </w:rPr>
              <w:t xml:space="preserve"> Zoznam projektov je súčasťou strategických dokumentov.</w:t>
            </w:r>
          </w:p>
          <w:p w14:paraId="2356F123" w14:textId="77B422C0" w:rsidR="001A49CC" w:rsidRPr="00CE2E2C" w:rsidRDefault="00E70EAA" w:rsidP="00B06B2A">
            <w:pPr>
              <w:ind w:left="0"/>
              <w:rPr>
                <w:sz w:val="20"/>
                <w:szCs w:val="20"/>
              </w:rPr>
            </w:pPr>
            <w:r>
              <w:rPr>
                <w:sz w:val="20"/>
                <w:szCs w:val="20"/>
              </w:rPr>
              <w:t xml:space="preserve">Bol vypracovaný Akčný plán na základe Guidance </w:t>
            </w:r>
            <w:r w:rsidR="00263617">
              <w:rPr>
                <w:sz w:val="20"/>
                <w:szCs w:val="20"/>
              </w:rPr>
              <w:t>Note EK k obsahu Akčných plánov</w:t>
            </w:r>
            <w:r>
              <w:rPr>
                <w:sz w:val="20"/>
                <w:szCs w:val="20"/>
              </w:rPr>
              <w:t xml:space="preserve"> obsahuj</w:t>
            </w:r>
            <w:r w:rsidR="00582FFF">
              <w:rPr>
                <w:sz w:val="20"/>
                <w:szCs w:val="20"/>
              </w:rPr>
              <w:t xml:space="preserve">úci </w:t>
            </w:r>
            <w:r>
              <w:rPr>
                <w:sz w:val="20"/>
                <w:szCs w:val="20"/>
              </w:rPr>
              <w:t xml:space="preserve">implementačný plán projektov financovaných z KF, EFRR a CEF. </w:t>
            </w:r>
            <w:r w:rsidR="00582FFF">
              <w:rPr>
                <w:sz w:val="20"/>
                <w:szCs w:val="20"/>
              </w:rPr>
              <w:t>SEA</w:t>
            </w:r>
            <w:r w:rsidR="00977A1E">
              <w:rPr>
                <w:sz w:val="20"/>
                <w:szCs w:val="20"/>
              </w:rPr>
              <w:t xml:space="preserve"> dokumentov</w:t>
            </w:r>
            <w:r>
              <w:rPr>
                <w:sz w:val="20"/>
                <w:szCs w:val="20"/>
              </w:rPr>
              <w:t xml:space="preserve"> podľa zákona č. 24/2006 Z. z. o posudzovaní vplyvov na životné prostredie bolo ukončené a 17.6.2014 vydalo M</w:t>
            </w:r>
            <w:r w:rsidR="00A60558">
              <w:rPr>
                <w:sz w:val="20"/>
                <w:szCs w:val="20"/>
              </w:rPr>
              <w:t xml:space="preserve">ŽP </w:t>
            </w:r>
            <w:r>
              <w:rPr>
                <w:sz w:val="20"/>
                <w:szCs w:val="20"/>
              </w:rPr>
              <w:t xml:space="preserve">SR </w:t>
            </w:r>
            <w:r w:rsidR="00B4144C">
              <w:rPr>
                <w:sz w:val="20"/>
                <w:szCs w:val="20"/>
              </w:rPr>
              <w:t xml:space="preserve">záverečné </w:t>
            </w:r>
            <w:r w:rsidR="00977A1E">
              <w:rPr>
                <w:sz w:val="20"/>
                <w:szCs w:val="20"/>
              </w:rPr>
              <w:t>stanovisko</w:t>
            </w:r>
            <w:r>
              <w:rPr>
                <w:sz w:val="20"/>
                <w:szCs w:val="20"/>
              </w:rPr>
              <w:t>.</w:t>
            </w:r>
            <w:r w:rsidR="00582FFF">
              <w:rPr>
                <w:sz w:val="20"/>
                <w:szCs w:val="20"/>
              </w:rPr>
              <w:t xml:space="preserve"> Finálne verzie </w:t>
            </w:r>
            <w:r w:rsidR="00FB539E">
              <w:rPr>
                <w:sz w:val="20"/>
                <w:szCs w:val="20"/>
              </w:rPr>
              <w:t xml:space="preserve">dokumentov budú </w:t>
            </w:r>
            <w:r w:rsidR="00FB539E">
              <w:rPr>
                <w:sz w:val="20"/>
                <w:szCs w:val="20"/>
              </w:rPr>
              <w:lastRenderedPageBreak/>
              <w:t>vypracované po konzultáciách s EK a JASPERS.</w:t>
            </w:r>
            <w:r>
              <w:rPr>
                <w:sz w:val="20"/>
                <w:szCs w:val="20"/>
              </w:rPr>
              <w:t xml:space="preserve"> </w:t>
            </w:r>
            <w:r w:rsidR="001A49CC" w:rsidRPr="00756D41">
              <w:rPr>
                <w:sz w:val="20"/>
                <w:szCs w:val="20"/>
              </w:rPr>
              <w:t>Úplné</w:t>
            </w:r>
            <w:r w:rsidR="001A49CC" w:rsidRPr="00B70989">
              <w:rPr>
                <w:sz w:val="20"/>
                <w:szCs w:val="20"/>
              </w:rPr>
              <w:t xml:space="preserve"> splnenie </w:t>
            </w:r>
            <w:r w:rsidR="00A60558">
              <w:rPr>
                <w:sz w:val="20"/>
                <w:szCs w:val="20"/>
              </w:rPr>
              <w:t>EAK</w:t>
            </w:r>
            <w:r w:rsidR="001A49CC" w:rsidRPr="00B70989">
              <w:rPr>
                <w:sz w:val="20"/>
                <w:szCs w:val="20"/>
              </w:rPr>
              <w:t xml:space="preserve"> v sektore dopravy bude zabezpečené vypracovaním Strategického plánu rozvoja dopravnej infraštruktúry SR do roku 2030 (fáza II).</w:t>
            </w:r>
            <w:r w:rsidR="001D1BB8">
              <w:rPr>
                <w:sz w:val="20"/>
                <w:szCs w:val="20"/>
              </w:rPr>
              <w:t>*</w:t>
            </w:r>
          </w:p>
        </w:tc>
      </w:tr>
      <w:tr w:rsidR="001A49CC" w14:paraId="6819C445" w14:textId="77777777" w:rsidTr="00A127CB">
        <w:trPr>
          <w:trHeight w:val="340"/>
          <w:jc w:val="center"/>
        </w:trPr>
        <w:tc>
          <w:tcPr>
            <w:tcW w:w="2058" w:type="dxa"/>
            <w:vMerge/>
            <w:vAlign w:val="center"/>
          </w:tcPr>
          <w:p w14:paraId="5B27F047" w14:textId="77777777" w:rsidR="001A49CC" w:rsidRDefault="001A49CC" w:rsidP="001A49CC">
            <w:pPr>
              <w:spacing w:before="20" w:after="120"/>
              <w:ind w:left="0"/>
              <w:rPr>
                <w:sz w:val="20"/>
                <w:szCs w:val="20"/>
              </w:rPr>
            </w:pPr>
          </w:p>
        </w:tc>
        <w:tc>
          <w:tcPr>
            <w:tcW w:w="1422" w:type="dxa"/>
            <w:vMerge/>
            <w:vAlign w:val="center"/>
          </w:tcPr>
          <w:p w14:paraId="2639C383" w14:textId="77777777" w:rsidR="001A49CC" w:rsidRDefault="001A49CC" w:rsidP="001A49CC">
            <w:pPr>
              <w:ind w:left="0"/>
              <w:jc w:val="center"/>
            </w:pPr>
          </w:p>
        </w:tc>
        <w:tc>
          <w:tcPr>
            <w:tcW w:w="1750" w:type="dxa"/>
            <w:vMerge/>
            <w:vAlign w:val="center"/>
          </w:tcPr>
          <w:p w14:paraId="110E4BC3" w14:textId="77777777" w:rsidR="001A49CC" w:rsidRPr="00566720" w:rsidRDefault="001A49CC" w:rsidP="001A49CC">
            <w:pPr>
              <w:ind w:left="0"/>
              <w:jc w:val="center"/>
              <w:rPr>
                <w:b/>
                <w:sz w:val="20"/>
                <w:szCs w:val="20"/>
              </w:rPr>
            </w:pPr>
          </w:p>
        </w:tc>
        <w:tc>
          <w:tcPr>
            <w:tcW w:w="2089" w:type="dxa"/>
            <w:vAlign w:val="center"/>
          </w:tcPr>
          <w:p w14:paraId="6C7D4324" w14:textId="77777777" w:rsidR="001A49CC" w:rsidRPr="00AB533E" w:rsidRDefault="001A49CC" w:rsidP="001A49CC">
            <w:pPr>
              <w:ind w:left="0"/>
              <w:rPr>
                <w:sz w:val="20"/>
                <w:szCs w:val="20"/>
              </w:rPr>
            </w:pPr>
            <w:r>
              <w:rPr>
                <w:sz w:val="20"/>
                <w:szCs w:val="20"/>
              </w:rPr>
              <w:t>- p</w:t>
            </w:r>
            <w:r w:rsidRPr="00B70989">
              <w:rPr>
                <w:sz w:val="20"/>
                <w:szCs w:val="20"/>
              </w:rPr>
              <w:t>ríspevok k jednotnému európskemu dopravnému priestoru v súlade s článkom 10 nariadenia Európskeho parlam</w:t>
            </w:r>
            <w:r>
              <w:rPr>
                <w:sz w:val="20"/>
                <w:szCs w:val="20"/>
              </w:rPr>
              <w:t>entu a Rady (EÚ) č. 1315/2013</w:t>
            </w:r>
            <w:r w:rsidRPr="00B70989">
              <w:rPr>
                <w:sz w:val="20"/>
                <w:szCs w:val="20"/>
              </w:rPr>
              <w:t xml:space="preserve"> vrátane priorít pre investície do:</w:t>
            </w:r>
          </w:p>
        </w:tc>
        <w:tc>
          <w:tcPr>
            <w:tcW w:w="1153" w:type="dxa"/>
            <w:vAlign w:val="center"/>
          </w:tcPr>
          <w:p w14:paraId="1C85AAF9" w14:textId="77777777" w:rsidR="001A49CC" w:rsidRPr="00B70989" w:rsidRDefault="001A49CC" w:rsidP="001A49CC">
            <w:pPr>
              <w:ind w:left="0"/>
              <w:jc w:val="center"/>
              <w:rPr>
                <w:sz w:val="20"/>
                <w:szCs w:val="20"/>
              </w:rPr>
            </w:pPr>
          </w:p>
          <w:p w14:paraId="4EFCE5B4" w14:textId="77777777" w:rsidR="001A49CC" w:rsidRPr="00B70989" w:rsidRDefault="001A49CC" w:rsidP="001A49CC">
            <w:pPr>
              <w:ind w:left="0"/>
              <w:jc w:val="center"/>
              <w:rPr>
                <w:b/>
                <w:sz w:val="20"/>
                <w:szCs w:val="20"/>
              </w:rPr>
            </w:pPr>
            <w:r w:rsidRPr="00B70989">
              <w:rPr>
                <w:b/>
                <w:sz w:val="20"/>
                <w:szCs w:val="20"/>
              </w:rPr>
              <w:t>ÁNO</w:t>
            </w:r>
          </w:p>
          <w:p w14:paraId="5704FCA9" w14:textId="77777777" w:rsidR="001A49CC" w:rsidRPr="00B70989" w:rsidRDefault="001A49CC" w:rsidP="001A49CC">
            <w:pPr>
              <w:ind w:left="0"/>
              <w:jc w:val="center"/>
              <w:rPr>
                <w:sz w:val="20"/>
                <w:szCs w:val="20"/>
              </w:rPr>
            </w:pPr>
          </w:p>
        </w:tc>
        <w:tc>
          <w:tcPr>
            <w:tcW w:w="3302" w:type="dxa"/>
            <w:vMerge/>
            <w:vAlign w:val="center"/>
          </w:tcPr>
          <w:p w14:paraId="755DCA2A" w14:textId="77777777" w:rsidR="001A49CC" w:rsidRPr="001D6706" w:rsidRDefault="001A49CC" w:rsidP="001A49CC">
            <w:pPr>
              <w:ind w:left="0"/>
              <w:jc w:val="center"/>
              <w:rPr>
                <w:strike/>
                <w:color w:val="FF0000"/>
                <w:sz w:val="20"/>
                <w:szCs w:val="20"/>
              </w:rPr>
            </w:pPr>
          </w:p>
        </w:tc>
        <w:tc>
          <w:tcPr>
            <w:tcW w:w="2401" w:type="dxa"/>
            <w:vMerge/>
            <w:vAlign w:val="center"/>
          </w:tcPr>
          <w:p w14:paraId="2A21A73E" w14:textId="77777777" w:rsidR="001A49CC" w:rsidRPr="00CE2E2C" w:rsidRDefault="001A49CC" w:rsidP="001A49CC">
            <w:pPr>
              <w:ind w:left="0"/>
              <w:jc w:val="center"/>
              <w:rPr>
                <w:sz w:val="20"/>
                <w:szCs w:val="20"/>
              </w:rPr>
            </w:pPr>
          </w:p>
        </w:tc>
      </w:tr>
      <w:tr w:rsidR="001A49CC" w14:paraId="4522F6DF" w14:textId="77777777" w:rsidTr="00A127CB">
        <w:trPr>
          <w:trHeight w:val="340"/>
          <w:jc w:val="center"/>
        </w:trPr>
        <w:tc>
          <w:tcPr>
            <w:tcW w:w="2058" w:type="dxa"/>
            <w:vMerge/>
            <w:vAlign w:val="center"/>
          </w:tcPr>
          <w:p w14:paraId="3F8B8799" w14:textId="77777777" w:rsidR="001A49CC" w:rsidRDefault="001A49CC" w:rsidP="001A49CC">
            <w:pPr>
              <w:spacing w:before="20" w:after="120"/>
              <w:ind w:left="0"/>
              <w:rPr>
                <w:sz w:val="20"/>
                <w:szCs w:val="20"/>
              </w:rPr>
            </w:pPr>
          </w:p>
        </w:tc>
        <w:tc>
          <w:tcPr>
            <w:tcW w:w="1422" w:type="dxa"/>
            <w:vMerge/>
            <w:vAlign w:val="center"/>
          </w:tcPr>
          <w:p w14:paraId="66DDCE13" w14:textId="77777777" w:rsidR="001A49CC" w:rsidRDefault="001A49CC" w:rsidP="001A49CC">
            <w:pPr>
              <w:ind w:left="0"/>
              <w:jc w:val="center"/>
            </w:pPr>
          </w:p>
        </w:tc>
        <w:tc>
          <w:tcPr>
            <w:tcW w:w="1750" w:type="dxa"/>
            <w:vMerge/>
            <w:vAlign w:val="center"/>
          </w:tcPr>
          <w:p w14:paraId="66379268" w14:textId="77777777" w:rsidR="001A49CC" w:rsidRPr="00CE2E2C" w:rsidRDefault="001A49CC" w:rsidP="001A49CC">
            <w:pPr>
              <w:ind w:left="0"/>
              <w:jc w:val="center"/>
              <w:rPr>
                <w:b/>
                <w:sz w:val="20"/>
                <w:szCs w:val="20"/>
              </w:rPr>
            </w:pPr>
          </w:p>
        </w:tc>
        <w:tc>
          <w:tcPr>
            <w:tcW w:w="2089" w:type="dxa"/>
            <w:vAlign w:val="center"/>
          </w:tcPr>
          <w:p w14:paraId="7CF88202" w14:textId="77777777" w:rsidR="001A49CC" w:rsidRPr="00950A52" w:rsidRDefault="001A49CC" w:rsidP="00132BE1">
            <w:pPr>
              <w:ind w:left="0"/>
              <w:rPr>
                <w:sz w:val="20"/>
                <w:szCs w:val="20"/>
              </w:rPr>
            </w:pPr>
            <w:r>
              <w:rPr>
                <w:sz w:val="20"/>
                <w:szCs w:val="20"/>
              </w:rPr>
              <w:t>- z</w:t>
            </w:r>
            <w:r w:rsidRPr="00B70989">
              <w:rPr>
                <w:sz w:val="20"/>
                <w:szCs w:val="20"/>
              </w:rPr>
              <w:t xml:space="preserve">ákladnej siete </w:t>
            </w:r>
            <w:r>
              <w:rPr>
                <w:sz w:val="20"/>
                <w:szCs w:val="20"/>
              </w:rPr>
              <w:br/>
            </w:r>
            <w:r w:rsidRPr="00B70989">
              <w:rPr>
                <w:sz w:val="20"/>
                <w:szCs w:val="20"/>
              </w:rPr>
              <w:t xml:space="preserve">TEN-T a úplnej siete, pričom sa počíta s investíciami z EFRR a Kohézneho fondu, </w:t>
            </w:r>
          </w:p>
        </w:tc>
        <w:tc>
          <w:tcPr>
            <w:tcW w:w="1153" w:type="dxa"/>
            <w:vAlign w:val="center"/>
          </w:tcPr>
          <w:p w14:paraId="64A08BF2" w14:textId="77777777" w:rsidR="001A49CC" w:rsidRPr="00B70989" w:rsidRDefault="001A49CC" w:rsidP="001A49CC">
            <w:pPr>
              <w:ind w:left="0"/>
              <w:jc w:val="center"/>
              <w:rPr>
                <w:b/>
                <w:sz w:val="20"/>
                <w:szCs w:val="20"/>
              </w:rPr>
            </w:pPr>
            <w:r w:rsidRPr="00B70989">
              <w:rPr>
                <w:b/>
                <w:sz w:val="20"/>
                <w:szCs w:val="20"/>
              </w:rPr>
              <w:t>ÁNO</w:t>
            </w:r>
          </w:p>
          <w:p w14:paraId="7E25C19D" w14:textId="77777777" w:rsidR="001A49CC" w:rsidRPr="00CE2E2C" w:rsidRDefault="001A49CC" w:rsidP="001A49CC">
            <w:pPr>
              <w:ind w:left="0"/>
              <w:jc w:val="center"/>
              <w:rPr>
                <w:b/>
                <w:sz w:val="20"/>
                <w:szCs w:val="20"/>
              </w:rPr>
            </w:pPr>
          </w:p>
        </w:tc>
        <w:tc>
          <w:tcPr>
            <w:tcW w:w="3302" w:type="dxa"/>
            <w:vMerge/>
            <w:vAlign w:val="center"/>
          </w:tcPr>
          <w:p w14:paraId="0981AA29" w14:textId="77777777" w:rsidR="001A49CC" w:rsidRPr="00391AE1" w:rsidRDefault="001A49CC" w:rsidP="001A49CC">
            <w:pPr>
              <w:ind w:left="0"/>
              <w:jc w:val="center"/>
              <w:rPr>
                <w:sz w:val="20"/>
                <w:szCs w:val="20"/>
              </w:rPr>
            </w:pPr>
          </w:p>
        </w:tc>
        <w:tc>
          <w:tcPr>
            <w:tcW w:w="2401" w:type="dxa"/>
            <w:vMerge/>
            <w:vAlign w:val="center"/>
          </w:tcPr>
          <w:p w14:paraId="4E699FC4" w14:textId="77777777" w:rsidR="001A49CC" w:rsidRPr="00CE2E2C" w:rsidRDefault="001A49CC" w:rsidP="001A49CC">
            <w:pPr>
              <w:ind w:left="0"/>
              <w:jc w:val="center"/>
              <w:rPr>
                <w:sz w:val="20"/>
                <w:szCs w:val="20"/>
              </w:rPr>
            </w:pPr>
          </w:p>
        </w:tc>
      </w:tr>
      <w:tr w:rsidR="001A49CC" w14:paraId="34AB4A72" w14:textId="77777777" w:rsidTr="00A127CB">
        <w:trPr>
          <w:trHeight w:val="340"/>
          <w:jc w:val="center"/>
        </w:trPr>
        <w:tc>
          <w:tcPr>
            <w:tcW w:w="2058" w:type="dxa"/>
            <w:vMerge/>
            <w:vAlign w:val="center"/>
          </w:tcPr>
          <w:p w14:paraId="6965AC97" w14:textId="77777777" w:rsidR="001A49CC" w:rsidRDefault="001A49CC" w:rsidP="001A49CC">
            <w:pPr>
              <w:spacing w:before="20" w:after="120"/>
              <w:ind w:left="0"/>
              <w:rPr>
                <w:sz w:val="20"/>
                <w:szCs w:val="20"/>
              </w:rPr>
            </w:pPr>
          </w:p>
        </w:tc>
        <w:tc>
          <w:tcPr>
            <w:tcW w:w="1422" w:type="dxa"/>
            <w:vMerge/>
            <w:vAlign w:val="center"/>
          </w:tcPr>
          <w:p w14:paraId="7C9B060D" w14:textId="77777777" w:rsidR="001A49CC" w:rsidRPr="00391AE1" w:rsidRDefault="001A49CC" w:rsidP="001A49CC">
            <w:pPr>
              <w:ind w:left="0"/>
              <w:jc w:val="center"/>
              <w:rPr>
                <w:sz w:val="20"/>
                <w:szCs w:val="20"/>
              </w:rPr>
            </w:pPr>
          </w:p>
        </w:tc>
        <w:tc>
          <w:tcPr>
            <w:tcW w:w="1750" w:type="dxa"/>
            <w:vMerge/>
            <w:vAlign w:val="center"/>
          </w:tcPr>
          <w:p w14:paraId="624421D3" w14:textId="77777777" w:rsidR="001A49CC" w:rsidRPr="00566720" w:rsidRDefault="001A49CC" w:rsidP="001A49CC">
            <w:pPr>
              <w:ind w:left="0"/>
              <w:jc w:val="center"/>
              <w:rPr>
                <w:b/>
                <w:sz w:val="20"/>
                <w:szCs w:val="20"/>
              </w:rPr>
            </w:pPr>
          </w:p>
        </w:tc>
        <w:tc>
          <w:tcPr>
            <w:tcW w:w="2089" w:type="dxa"/>
            <w:vAlign w:val="center"/>
          </w:tcPr>
          <w:p w14:paraId="6AD2744A" w14:textId="77777777" w:rsidR="001A49CC" w:rsidRPr="00B70989" w:rsidRDefault="001A49CC" w:rsidP="001A49CC">
            <w:pPr>
              <w:ind w:left="0"/>
              <w:rPr>
                <w:sz w:val="20"/>
                <w:szCs w:val="20"/>
              </w:rPr>
            </w:pPr>
            <w:r>
              <w:rPr>
                <w:sz w:val="20"/>
                <w:szCs w:val="20"/>
              </w:rPr>
              <w:t xml:space="preserve">- </w:t>
            </w:r>
            <w:r w:rsidRPr="00B70989">
              <w:rPr>
                <w:sz w:val="20"/>
                <w:szCs w:val="20"/>
              </w:rPr>
              <w:t>sekundárnej siete</w:t>
            </w:r>
            <w:r>
              <w:rPr>
                <w:sz w:val="20"/>
                <w:szCs w:val="20"/>
              </w:rPr>
              <w:t>,</w:t>
            </w:r>
          </w:p>
        </w:tc>
        <w:tc>
          <w:tcPr>
            <w:tcW w:w="1153" w:type="dxa"/>
            <w:vAlign w:val="center"/>
          </w:tcPr>
          <w:p w14:paraId="26C43684" w14:textId="77777777" w:rsidR="001A49CC" w:rsidRPr="009406F5" w:rsidRDefault="00B24E88" w:rsidP="001A49CC">
            <w:pPr>
              <w:ind w:left="0"/>
              <w:jc w:val="center"/>
              <w:rPr>
                <w:b/>
                <w:sz w:val="20"/>
                <w:szCs w:val="20"/>
              </w:rPr>
            </w:pPr>
            <w:r>
              <w:rPr>
                <w:b/>
                <w:sz w:val="20"/>
                <w:szCs w:val="20"/>
              </w:rPr>
              <w:t>NIE</w:t>
            </w:r>
          </w:p>
        </w:tc>
        <w:tc>
          <w:tcPr>
            <w:tcW w:w="3302" w:type="dxa"/>
            <w:vMerge/>
            <w:vAlign w:val="center"/>
          </w:tcPr>
          <w:p w14:paraId="506C34B4" w14:textId="77777777" w:rsidR="001A49CC" w:rsidRPr="00A95A95" w:rsidRDefault="001A49CC" w:rsidP="001A49CC">
            <w:pPr>
              <w:ind w:left="0"/>
              <w:jc w:val="center"/>
              <w:rPr>
                <w:sz w:val="20"/>
                <w:szCs w:val="20"/>
              </w:rPr>
            </w:pPr>
          </w:p>
        </w:tc>
        <w:tc>
          <w:tcPr>
            <w:tcW w:w="2401" w:type="dxa"/>
            <w:vMerge/>
            <w:vAlign w:val="center"/>
          </w:tcPr>
          <w:p w14:paraId="622EB38E" w14:textId="77777777" w:rsidR="001A49CC" w:rsidRPr="00391AE1" w:rsidRDefault="001A49CC" w:rsidP="001A49CC">
            <w:pPr>
              <w:ind w:left="0"/>
              <w:jc w:val="center"/>
              <w:rPr>
                <w:sz w:val="20"/>
                <w:szCs w:val="20"/>
              </w:rPr>
            </w:pPr>
          </w:p>
        </w:tc>
      </w:tr>
      <w:tr w:rsidR="001A49CC" w14:paraId="70ED69BB" w14:textId="77777777" w:rsidTr="00A127CB">
        <w:trPr>
          <w:trHeight w:val="340"/>
          <w:jc w:val="center"/>
        </w:trPr>
        <w:tc>
          <w:tcPr>
            <w:tcW w:w="2058" w:type="dxa"/>
            <w:vMerge/>
            <w:vAlign w:val="center"/>
          </w:tcPr>
          <w:p w14:paraId="2A53B48F" w14:textId="77777777" w:rsidR="001A49CC" w:rsidRDefault="001A49CC" w:rsidP="001A49CC">
            <w:pPr>
              <w:spacing w:before="20" w:after="120"/>
              <w:rPr>
                <w:sz w:val="20"/>
                <w:szCs w:val="20"/>
              </w:rPr>
            </w:pPr>
          </w:p>
        </w:tc>
        <w:tc>
          <w:tcPr>
            <w:tcW w:w="1422" w:type="dxa"/>
            <w:vMerge/>
            <w:vAlign w:val="center"/>
          </w:tcPr>
          <w:p w14:paraId="68428DD1" w14:textId="77777777" w:rsidR="001A49CC" w:rsidRPr="00391AE1" w:rsidRDefault="001A49CC" w:rsidP="001A49CC">
            <w:pPr>
              <w:jc w:val="center"/>
              <w:rPr>
                <w:sz w:val="20"/>
                <w:szCs w:val="20"/>
              </w:rPr>
            </w:pPr>
          </w:p>
        </w:tc>
        <w:tc>
          <w:tcPr>
            <w:tcW w:w="1750" w:type="dxa"/>
            <w:vMerge/>
            <w:vAlign w:val="center"/>
          </w:tcPr>
          <w:p w14:paraId="5C4769C9" w14:textId="77777777" w:rsidR="001A49CC" w:rsidRPr="00566720" w:rsidRDefault="001A49CC" w:rsidP="001A49CC">
            <w:pPr>
              <w:jc w:val="center"/>
              <w:rPr>
                <w:b/>
                <w:sz w:val="20"/>
                <w:szCs w:val="20"/>
              </w:rPr>
            </w:pPr>
          </w:p>
        </w:tc>
        <w:tc>
          <w:tcPr>
            <w:tcW w:w="2089" w:type="dxa"/>
            <w:vAlign w:val="center"/>
          </w:tcPr>
          <w:p w14:paraId="3AB21C36" w14:textId="77777777" w:rsidR="001A49CC" w:rsidRDefault="001A49CC" w:rsidP="001A49CC">
            <w:pPr>
              <w:ind w:left="0"/>
              <w:rPr>
                <w:rFonts w:ascii="EUAlbertina" w:hAnsi="EUAlbertina" w:cs="EUAlbertina"/>
                <w:color w:val="000000"/>
              </w:rPr>
            </w:pPr>
            <w:r>
              <w:rPr>
                <w:sz w:val="20"/>
                <w:szCs w:val="20"/>
              </w:rPr>
              <w:t>- r</w:t>
            </w:r>
            <w:r w:rsidRPr="00B70989">
              <w:rPr>
                <w:sz w:val="20"/>
                <w:szCs w:val="20"/>
              </w:rPr>
              <w:t>ealistickú a kvalitnú realizáciu projektov, pri ktorých sa počíta s podporou zo strany EFRR a Kohézneho fondu</w:t>
            </w:r>
            <w:r>
              <w:rPr>
                <w:rFonts w:cs="EUAlbertina"/>
                <w:color w:val="000000"/>
                <w:sz w:val="17"/>
                <w:szCs w:val="17"/>
              </w:rPr>
              <w:t xml:space="preserve"> .</w:t>
            </w:r>
          </w:p>
        </w:tc>
        <w:tc>
          <w:tcPr>
            <w:tcW w:w="1153" w:type="dxa"/>
            <w:vAlign w:val="center"/>
          </w:tcPr>
          <w:p w14:paraId="5DF11570" w14:textId="77777777" w:rsidR="001A49CC" w:rsidRPr="007D2580" w:rsidRDefault="00B24E88" w:rsidP="001A49CC">
            <w:pPr>
              <w:ind w:left="0"/>
              <w:jc w:val="center"/>
              <w:rPr>
                <w:b/>
                <w:sz w:val="20"/>
                <w:szCs w:val="20"/>
              </w:rPr>
            </w:pPr>
            <w:r>
              <w:rPr>
                <w:b/>
                <w:sz w:val="20"/>
                <w:szCs w:val="20"/>
              </w:rPr>
              <w:t>NIE</w:t>
            </w:r>
          </w:p>
          <w:p w14:paraId="04D05104" w14:textId="77777777" w:rsidR="001A49CC" w:rsidRPr="009406F5" w:rsidRDefault="001A49CC" w:rsidP="001A49CC">
            <w:pPr>
              <w:jc w:val="center"/>
              <w:rPr>
                <w:b/>
                <w:sz w:val="20"/>
                <w:szCs w:val="20"/>
              </w:rPr>
            </w:pPr>
          </w:p>
        </w:tc>
        <w:tc>
          <w:tcPr>
            <w:tcW w:w="3302" w:type="dxa"/>
            <w:vMerge/>
            <w:vAlign w:val="center"/>
          </w:tcPr>
          <w:p w14:paraId="46C0CC70" w14:textId="77777777" w:rsidR="001A49CC" w:rsidRDefault="001A49CC" w:rsidP="001A49CC">
            <w:pPr>
              <w:jc w:val="center"/>
              <w:rPr>
                <w:sz w:val="20"/>
                <w:szCs w:val="20"/>
              </w:rPr>
            </w:pPr>
          </w:p>
        </w:tc>
        <w:tc>
          <w:tcPr>
            <w:tcW w:w="2401" w:type="dxa"/>
            <w:vMerge/>
            <w:vAlign w:val="center"/>
          </w:tcPr>
          <w:p w14:paraId="6D6FB130" w14:textId="77777777" w:rsidR="001A49CC" w:rsidRPr="00F21803" w:rsidRDefault="001A49CC" w:rsidP="001A49CC">
            <w:pPr>
              <w:jc w:val="center"/>
              <w:rPr>
                <w:sz w:val="20"/>
                <w:szCs w:val="20"/>
              </w:rPr>
            </w:pPr>
          </w:p>
        </w:tc>
      </w:tr>
      <w:tr w:rsidR="001A49CC" w14:paraId="5CFAE3E7" w14:textId="77777777" w:rsidTr="00A127CB">
        <w:trPr>
          <w:trHeight w:val="340"/>
          <w:jc w:val="center"/>
        </w:trPr>
        <w:tc>
          <w:tcPr>
            <w:tcW w:w="2058" w:type="dxa"/>
            <w:vMerge/>
            <w:vAlign w:val="center"/>
          </w:tcPr>
          <w:p w14:paraId="5EFE2F55" w14:textId="77777777" w:rsidR="001A49CC" w:rsidRDefault="001A49CC" w:rsidP="001A49CC">
            <w:pPr>
              <w:spacing w:before="20" w:after="120"/>
              <w:rPr>
                <w:sz w:val="20"/>
                <w:szCs w:val="20"/>
              </w:rPr>
            </w:pPr>
          </w:p>
        </w:tc>
        <w:tc>
          <w:tcPr>
            <w:tcW w:w="1422" w:type="dxa"/>
            <w:vMerge/>
            <w:vAlign w:val="center"/>
          </w:tcPr>
          <w:p w14:paraId="586AA838" w14:textId="77777777" w:rsidR="001A49CC" w:rsidRPr="00391AE1" w:rsidRDefault="001A49CC" w:rsidP="001A49CC">
            <w:pPr>
              <w:jc w:val="center"/>
              <w:rPr>
                <w:sz w:val="20"/>
                <w:szCs w:val="20"/>
              </w:rPr>
            </w:pPr>
          </w:p>
        </w:tc>
        <w:tc>
          <w:tcPr>
            <w:tcW w:w="1750" w:type="dxa"/>
            <w:vMerge/>
            <w:vAlign w:val="center"/>
          </w:tcPr>
          <w:p w14:paraId="0EC44C1B" w14:textId="77777777" w:rsidR="001A49CC" w:rsidRPr="00566720" w:rsidRDefault="001A49CC" w:rsidP="001A49CC">
            <w:pPr>
              <w:jc w:val="center"/>
              <w:rPr>
                <w:b/>
                <w:sz w:val="20"/>
                <w:szCs w:val="20"/>
              </w:rPr>
            </w:pPr>
          </w:p>
        </w:tc>
        <w:tc>
          <w:tcPr>
            <w:tcW w:w="2089" w:type="dxa"/>
            <w:vAlign w:val="center"/>
          </w:tcPr>
          <w:p w14:paraId="1BA86088" w14:textId="77777777" w:rsidR="001A49CC" w:rsidRPr="00B70989" w:rsidRDefault="001A49CC" w:rsidP="001A49CC">
            <w:pPr>
              <w:ind w:left="0"/>
              <w:rPr>
                <w:sz w:val="20"/>
                <w:szCs w:val="20"/>
              </w:rPr>
            </w:pPr>
            <w:r w:rsidRPr="00B70989">
              <w:rPr>
                <w:sz w:val="20"/>
                <w:szCs w:val="20"/>
              </w:rPr>
              <w:t>Opatrenia na zabezpečenie kapacity sprostredkovateľských orgánov a prijímateľov pri vykonávaní naplánovaných projektov.</w:t>
            </w:r>
          </w:p>
        </w:tc>
        <w:tc>
          <w:tcPr>
            <w:tcW w:w="1153" w:type="dxa"/>
            <w:vAlign w:val="center"/>
          </w:tcPr>
          <w:p w14:paraId="258C0824" w14:textId="77777777" w:rsidR="001A49CC" w:rsidRPr="007D2580" w:rsidRDefault="001A0D17" w:rsidP="001A49CC">
            <w:pPr>
              <w:ind w:left="0"/>
              <w:jc w:val="center"/>
              <w:rPr>
                <w:b/>
                <w:sz w:val="20"/>
                <w:szCs w:val="20"/>
              </w:rPr>
            </w:pPr>
            <w:r>
              <w:rPr>
                <w:b/>
                <w:sz w:val="20"/>
                <w:szCs w:val="20"/>
              </w:rPr>
              <w:t>NIE</w:t>
            </w:r>
          </w:p>
          <w:p w14:paraId="0821128A" w14:textId="77777777" w:rsidR="001A49CC" w:rsidRPr="009406F5" w:rsidRDefault="001A49CC" w:rsidP="001A49CC">
            <w:pPr>
              <w:jc w:val="center"/>
              <w:rPr>
                <w:b/>
                <w:sz w:val="20"/>
                <w:szCs w:val="20"/>
              </w:rPr>
            </w:pPr>
          </w:p>
        </w:tc>
        <w:tc>
          <w:tcPr>
            <w:tcW w:w="3302" w:type="dxa"/>
            <w:vAlign w:val="center"/>
          </w:tcPr>
          <w:p w14:paraId="77D0FA37" w14:textId="77777777" w:rsidR="001A49CC" w:rsidRDefault="001A49CC" w:rsidP="00132BE1">
            <w:pPr>
              <w:ind w:left="0"/>
              <w:jc w:val="center"/>
              <w:rPr>
                <w:sz w:val="20"/>
                <w:szCs w:val="20"/>
              </w:rPr>
            </w:pPr>
          </w:p>
          <w:p w14:paraId="271C1821" w14:textId="77777777" w:rsidR="00121F6E" w:rsidRDefault="00121F6E" w:rsidP="00132BE1">
            <w:pPr>
              <w:ind w:left="0"/>
              <w:jc w:val="center"/>
              <w:rPr>
                <w:sz w:val="20"/>
                <w:szCs w:val="20"/>
              </w:rPr>
            </w:pPr>
            <w:r>
              <w:rPr>
                <w:sz w:val="20"/>
                <w:szCs w:val="20"/>
              </w:rPr>
              <w:t>„Analýza kapacít prijímateľov OPD 2007 – 2013, prijímateľov a SORO OPII 2014 – 2020“</w:t>
            </w:r>
          </w:p>
        </w:tc>
        <w:tc>
          <w:tcPr>
            <w:tcW w:w="2401" w:type="dxa"/>
            <w:vAlign w:val="center"/>
          </w:tcPr>
          <w:p w14:paraId="7BD65F1C" w14:textId="77777777" w:rsidR="001A49CC" w:rsidRDefault="001A49CC" w:rsidP="001A49CC">
            <w:pPr>
              <w:ind w:left="0"/>
              <w:jc w:val="center"/>
              <w:rPr>
                <w:sz w:val="20"/>
                <w:szCs w:val="20"/>
              </w:rPr>
            </w:pPr>
          </w:p>
          <w:p w14:paraId="6A0BAD0E" w14:textId="77777777" w:rsidR="00977A1E" w:rsidRPr="00F21803" w:rsidRDefault="00977A1E" w:rsidP="001A49CC">
            <w:pPr>
              <w:ind w:left="0"/>
              <w:jc w:val="center"/>
              <w:rPr>
                <w:sz w:val="20"/>
                <w:szCs w:val="20"/>
              </w:rPr>
            </w:pPr>
            <w:r>
              <w:rPr>
                <w:sz w:val="20"/>
                <w:szCs w:val="20"/>
              </w:rPr>
              <w:t>Analýza kapacít prijímateľov a SORO bola vypracovaná.</w:t>
            </w:r>
          </w:p>
        </w:tc>
      </w:tr>
      <w:tr w:rsidR="001A49CC" w14:paraId="059A1C4B" w14:textId="77777777" w:rsidTr="00A127CB">
        <w:trPr>
          <w:trHeight w:val="340"/>
          <w:jc w:val="center"/>
        </w:trPr>
        <w:tc>
          <w:tcPr>
            <w:tcW w:w="2058" w:type="dxa"/>
            <w:vMerge w:val="restart"/>
            <w:vAlign w:val="center"/>
          </w:tcPr>
          <w:p w14:paraId="2005EB63" w14:textId="77777777" w:rsidR="001A49CC" w:rsidRPr="00391AE1" w:rsidRDefault="001A49CC" w:rsidP="001A49CC">
            <w:pPr>
              <w:ind w:left="0"/>
              <w:rPr>
                <w:sz w:val="20"/>
                <w:szCs w:val="20"/>
              </w:rPr>
            </w:pPr>
            <w:r w:rsidRPr="00EC3FD7">
              <w:rPr>
                <w:sz w:val="20"/>
                <w:szCs w:val="20"/>
              </w:rPr>
              <w:t xml:space="preserve">7.2. Železničná doprava: existencia komplexného plánu či plánov alebo rámca či rámcov dopravy s osobitnou časťou venovanou rozvoju železničnej siete v súlade s inštitucionálnou štruktúrou členských štátov (vrátane verejnej dopravy na regionálnej a miestnej úrovni), ktorý podporuje rozvoj infraštruktúry a zlepšuje prepojenie na úplnú a základnú sieť </w:t>
            </w:r>
            <w:r w:rsidRPr="00EC3FD7">
              <w:rPr>
                <w:sz w:val="20"/>
                <w:szCs w:val="20"/>
              </w:rPr>
              <w:lastRenderedPageBreak/>
              <w:t>TEN-T. Investície zahŕňajú mobilné aktíva, interoperabilitu a budovanie kapacít.</w:t>
            </w:r>
            <w:r w:rsidRPr="00E14AF4">
              <w:rPr>
                <w:sz w:val="20"/>
                <w:szCs w:val="20"/>
              </w:rPr>
              <w:t>.</w:t>
            </w:r>
          </w:p>
        </w:tc>
        <w:tc>
          <w:tcPr>
            <w:tcW w:w="1422" w:type="dxa"/>
            <w:vMerge w:val="restart"/>
            <w:vAlign w:val="center"/>
          </w:tcPr>
          <w:p w14:paraId="1E23FFF8" w14:textId="77777777" w:rsidR="001A49CC" w:rsidRDefault="001A49CC" w:rsidP="001A49CC">
            <w:pPr>
              <w:ind w:left="0"/>
              <w:jc w:val="center"/>
              <w:rPr>
                <w:sz w:val="20"/>
                <w:szCs w:val="20"/>
              </w:rPr>
            </w:pPr>
            <w:r>
              <w:rPr>
                <w:sz w:val="20"/>
                <w:szCs w:val="20"/>
              </w:rPr>
              <w:lastRenderedPageBreak/>
              <w:t xml:space="preserve">PO 1, PO 3, </w:t>
            </w:r>
          </w:p>
          <w:p w14:paraId="661FA01D" w14:textId="77777777" w:rsidR="001A49CC" w:rsidRPr="00391AE1" w:rsidRDefault="001A49CC" w:rsidP="001A49CC">
            <w:pPr>
              <w:ind w:left="0"/>
              <w:jc w:val="center"/>
              <w:rPr>
                <w:sz w:val="20"/>
                <w:szCs w:val="20"/>
              </w:rPr>
            </w:pPr>
            <w:r>
              <w:rPr>
                <w:sz w:val="20"/>
                <w:szCs w:val="20"/>
              </w:rPr>
              <w:t>PO 5</w:t>
            </w:r>
          </w:p>
        </w:tc>
        <w:tc>
          <w:tcPr>
            <w:tcW w:w="1750" w:type="dxa"/>
            <w:vMerge w:val="restart"/>
            <w:vAlign w:val="center"/>
          </w:tcPr>
          <w:p w14:paraId="664E5C43" w14:textId="77777777" w:rsidR="001A49CC" w:rsidRDefault="001A49CC" w:rsidP="001A49CC">
            <w:pPr>
              <w:ind w:left="0"/>
              <w:jc w:val="center"/>
              <w:rPr>
                <w:b/>
                <w:sz w:val="20"/>
                <w:szCs w:val="20"/>
              </w:rPr>
            </w:pPr>
          </w:p>
          <w:p w14:paraId="67366D79" w14:textId="77777777" w:rsidR="001A49CC" w:rsidRPr="007D2580" w:rsidRDefault="00595F87" w:rsidP="001A49CC">
            <w:pPr>
              <w:ind w:left="0"/>
              <w:jc w:val="center"/>
              <w:rPr>
                <w:b/>
                <w:sz w:val="20"/>
                <w:szCs w:val="20"/>
              </w:rPr>
            </w:pPr>
            <w:r>
              <w:rPr>
                <w:b/>
                <w:sz w:val="20"/>
                <w:szCs w:val="20"/>
              </w:rPr>
              <w:t>Nie</w:t>
            </w:r>
          </w:p>
          <w:p w14:paraId="2E12B3D1" w14:textId="77777777" w:rsidR="001A49CC" w:rsidRPr="00566720" w:rsidRDefault="001A49CC" w:rsidP="001A49CC">
            <w:pPr>
              <w:ind w:left="0"/>
              <w:jc w:val="center"/>
              <w:rPr>
                <w:b/>
                <w:sz w:val="20"/>
                <w:szCs w:val="20"/>
              </w:rPr>
            </w:pPr>
          </w:p>
        </w:tc>
        <w:tc>
          <w:tcPr>
            <w:tcW w:w="2089" w:type="dxa"/>
            <w:vAlign w:val="center"/>
          </w:tcPr>
          <w:p w14:paraId="1E89323E" w14:textId="77777777" w:rsidR="001A49CC" w:rsidRPr="00391AE1" w:rsidRDefault="001A49CC" w:rsidP="001A49CC">
            <w:pPr>
              <w:ind w:left="0"/>
              <w:rPr>
                <w:sz w:val="20"/>
                <w:szCs w:val="20"/>
              </w:rPr>
            </w:pPr>
            <w:r w:rsidRPr="00EC3FD7">
              <w:rPr>
                <w:sz w:val="20"/>
                <w:szCs w:val="20"/>
              </w:rPr>
              <w:t>V rámci uvedeného plánu či plánov alebo rámca či rámcov dopravy existuje časť venovaná rozvoju železničnej siete, ktorá spĺňa právne požiadavky na strategické environmentálne posúdenie a stanovuje realisticky a kvalitne vypracovaný plán realizácie projektov (vrátane časového plánu a rozpočtového rámca).</w:t>
            </w:r>
          </w:p>
        </w:tc>
        <w:tc>
          <w:tcPr>
            <w:tcW w:w="1153" w:type="dxa"/>
            <w:vAlign w:val="center"/>
          </w:tcPr>
          <w:p w14:paraId="10593BC9" w14:textId="77777777" w:rsidR="001A49CC" w:rsidRDefault="001A49CC" w:rsidP="001A49CC">
            <w:pPr>
              <w:ind w:left="0"/>
              <w:rPr>
                <w:b/>
                <w:strike/>
                <w:sz w:val="20"/>
                <w:szCs w:val="20"/>
              </w:rPr>
            </w:pPr>
          </w:p>
          <w:p w14:paraId="4A573788" w14:textId="77777777" w:rsidR="001A49CC" w:rsidRPr="007D2580" w:rsidRDefault="004F3A6B" w:rsidP="001A49CC">
            <w:pPr>
              <w:ind w:left="0"/>
              <w:jc w:val="center"/>
              <w:rPr>
                <w:b/>
                <w:sz w:val="20"/>
                <w:szCs w:val="20"/>
              </w:rPr>
            </w:pPr>
            <w:r>
              <w:rPr>
                <w:b/>
                <w:sz w:val="20"/>
                <w:szCs w:val="20"/>
              </w:rPr>
              <w:t>NIE</w:t>
            </w:r>
          </w:p>
          <w:p w14:paraId="0EFA2803" w14:textId="77777777" w:rsidR="001A49CC" w:rsidRPr="00786E7F" w:rsidRDefault="001A49CC" w:rsidP="001A49CC">
            <w:pPr>
              <w:jc w:val="center"/>
              <w:rPr>
                <w:b/>
                <w:color w:val="FF0000"/>
                <w:sz w:val="20"/>
                <w:szCs w:val="20"/>
              </w:rPr>
            </w:pPr>
          </w:p>
        </w:tc>
        <w:tc>
          <w:tcPr>
            <w:tcW w:w="3302" w:type="dxa"/>
            <w:tcMar>
              <w:left w:w="28" w:type="dxa"/>
              <w:right w:w="28" w:type="dxa"/>
            </w:tcMar>
            <w:vAlign w:val="center"/>
          </w:tcPr>
          <w:p w14:paraId="2DDDB922" w14:textId="77777777" w:rsidR="001A49CC" w:rsidRPr="00CE2E2C" w:rsidRDefault="001A49CC" w:rsidP="001A49CC">
            <w:pPr>
              <w:ind w:left="0"/>
              <w:jc w:val="center"/>
              <w:rPr>
                <w:sz w:val="20"/>
                <w:szCs w:val="20"/>
              </w:rPr>
            </w:pPr>
            <w:r w:rsidRPr="00CE2E2C">
              <w:rPr>
                <w:sz w:val="20"/>
                <w:szCs w:val="20"/>
              </w:rPr>
              <w:t>„Strategický plán rozvoja dopravnej infraštruktúry SR do roku 2020 (fáza I)“</w:t>
            </w:r>
          </w:p>
          <w:p w14:paraId="2E14101D" w14:textId="77777777" w:rsidR="001A49CC" w:rsidRDefault="001061E2" w:rsidP="001A49CC">
            <w:pPr>
              <w:ind w:left="0"/>
              <w:jc w:val="center"/>
              <w:rPr>
                <w:color w:val="FF0000"/>
                <w:sz w:val="16"/>
                <w:szCs w:val="16"/>
              </w:rPr>
            </w:pPr>
            <w:hyperlink r:id="rId47" w:history="1">
              <w:r w:rsidR="001A49CC" w:rsidRPr="003D49C0">
                <w:rPr>
                  <w:rStyle w:val="Hypertextovprepojenie"/>
                  <w:sz w:val="16"/>
                  <w:szCs w:val="16"/>
                </w:rPr>
                <w:t>http://www.telecom.gov.sk/index/index.php?ids=147132</w:t>
              </w:r>
            </w:hyperlink>
          </w:p>
          <w:p w14:paraId="52BAFC4E" w14:textId="77777777" w:rsidR="001A49CC" w:rsidRDefault="001A49CC" w:rsidP="001A49CC">
            <w:pPr>
              <w:ind w:left="0"/>
              <w:jc w:val="center"/>
              <w:rPr>
                <w:strike/>
                <w:color w:val="FF0000"/>
                <w:sz w:val="20"/>
                <w:szCs w:val="20"/>
              </w:rPr>
            </w:pPr>
          </w:p>
          <w:p w14:paraId="6A6E1905" w14:textId="77777777" w:rsidR="001A49CC" w:rsidRDefault="001A49CC" w:rsidP="001A49CC">
            <w:pPr>
              <w:ind w:left="0"/>
              <w:jc w:val="center"/>
              <w:rPr>
                <w:strike/>
                <w:color w:val="FF0000"/>
                <w:sz w:val="20"/>
                <w:szCs w:val="20"/>
              </w:rPr>
            </w:pPr>
          </w:p>
          <w:p w14:paraId="1CC2C91C" w14:textId="77777777" w:rsidR="001A49CC" w:rsidRPr="00CE2E2C" w:rsidRDefault="001A49CC" w:rsidP="001A49CC">
            <w:pPr>
              <w:ind w:left="0"/>
              <w:jc w:val="center"/>
              <w:rPr>
                <w:sz w:val="20"/>
                <w:szCs w:val="20"/>
              </w:rPr>
            </w:pPr>
            <w:r w:rsidRPr="00CE2E2C">
              <w:rPr>
                <w:sz w:val="20"/>
                <w:szCs w:val="20"/>
              </w:rPr>
              <w:t>„</w:t>
            </w:r>
            <w:r>
              <w:rPr>
                <w:sz w:val="20"/>
                <w:szCs w:val="20"/>
              </w:rPr>
              <w:t>Stratégia</w:t>
            </w:r>
            <w:r w:rsidRPr="00CE2E2C">
              <w:rPr>
                <w:sz w:val="20"/>
                <w:szCs w:val="20"/>
              </w:rPr>
              <w:t xml:space="preserve"> rozvoja verejnej </w:t>
            </w:r>
            <w:r>
              <w:rPr>
                <w:sz w:val="20"/>
                <w:szCs w:val="20"/>
              </w:rPr>
              <w:t>a </w:t>
            </w:r>
            <w:r w:rsidRPr="005348B9">
              <w:rPr>
                <w:sz w:val="20"/>
                <w:szCs w:val="20"/>
              </w:rPr>
              <w:t>nemotorovej</w:t>
            </w:r>
            <w:r>
              <w:rPr>
                <w:sz w:val="20"/>
                <w:szCs w:val="20"/>
              </w:rPr>
              <w:t xml:space="preserve"> </w:t>
            </w:r>
            <w:r w:rsidRPr="00CE2E2C">
              <w:rPr>
                <w:sz w:val="20"/>
                <w:szCs w:val="20"/>
              </w:rPr>
              <w:t>osobnej dopravy SR do roku 2020“</w:t>
            </w:r>
          </w:p>
          <w:p w14:paraId="77A9E70C" w14:textId="77777777" w:rsidR="001A49CC" w:rsidRDefault="001061E2" w:rsidP="001A49CC">
            <w:pPr>
              <w:ind w:left="0"/>
              <w:jc w:val="center"/>
              <w:rPr>
                <w:color w:val="FF0000"/>
                <w:sz w:val="16"/>
                <w:szCs w:val="16"/>
              </w:rPr>
            </w:pPr>
            <w:hyperlink r:id="rId48" w:history="1">
              <w:r w:rsidR="001A49CC" w:rsidRPr="003D49C0">
                <w:rPr>
                  <w:rStyle w:val="Hypertextovprepojenie"/>
                  <w:sz w:val="16"/>
                  <w:szCs w:val="16"/>
                </w:rPr>
                <w:t>http://www.telecom.gov.sk/index/index.php?ids=147132</w:t>
              </w:r>
            </w:hyperlink>
          </w:p>
          <w:p w14:paraId="4C11BA2F" w14:textId="77777777" w:rsidR="001A49CC" w:rsidRPr="004A1B56" w:rsidRDefault="001A49CC" w:rsidP="001A49CC">
            <w:pPr>
              <w:ind w:left="0"/>
              <w:jc w:val="center"/>
              <w:rPr>
                <w:color w:val="FF0000"/>
                <w:sz w:val="20"/>
                <w:szCs w:val="20"/>
              </w:rPr>
            </w:pPr>
          </w:p>
        </w:tc>
        <w:tc>
          <w:tcPr>
            <w:tcW w:w="2401" w:type="dxa"/>
            <w:vAlign w:val="center"/>
          </w:tcPr>
          <w:p w14:paraId="5F207C9B" w14:textId="77777777" w:rsidR="00B06B2A" w:rsidRDefault="00B06B2A" w:rsidP="00B06B2A">
            <w:pPr>
              <w:ind w:left="0"/>
              <w:rPr>
                <w:sz w:val="20"/>
                <w:szCs w:val="20"/>
              </w:rPr>
            </w:pPr>
            <w:r w:rsidRPr="00B70989">
              <w:rPr>
                <w:sz w:val="20"/>
                <w:szCs w:val="20"/>
              </w:rPr>
              <w:t>Strategick</w:t>
            </w:r>
            <w:r>
              <w:rPr>
                <w:sz w:val="20"/>
                <w:szCs w:val="20"/>
              </w:rPr>
              <w:t>ý</w:t>
            </w:r>
            <w:r w:rsidRPr="00B70989">
              <w:rPr>
                <w:sz w:val="20"/>
                <w:szCs w:val="20"/>
              </w:rPr>
              <w:t xml:space="preserve"> plán do roku 2020 (fáza I) a Stratégi</w:t>
            </w:r>
            <w:r>
              <w:rPr>
                <w:sz w:val="20"/>
                <w:szCs w:val="20"/>
              </w:rPr>
              <w:t>a</w:t>
            </w:r>
            <w:r w:rsidRPr="00B70989">
              <w:rPr>
                <w:sz w:val="20"/>
                <w:szCs w:val="20"/>
              </w:rPr>
              <w:t xml:space="preserve"> verejnej osobnej a nemotorovej dopravy boli </w:t>
            </w:r>
            <w:r>
              <w:rPr>
                <w:sz w:val="20"/>
                <w:szCs w:val="20"/>
              </w:rPr>
              <w:t>schválené vládou SR dňa 25.6.2014</w:t>
            </w:r>
            <w:r w:rsidRPr="00B70989">
              <w:rPr>
                <w:sz w:val="20"/>
                <w:szCs w:val="20"/>
              </w:rPr>
              <w:t>.</w:t>
            </w:r>
            <w:r>
              <w:rPr>
                <w:sz w:val="20"/>
                <w:szCs w:val="20"/>
              </w:rPr>
              <w:t xml:space="preserve"> Zoznam projektov je súčasťou strategických dokumentov.</w:t>
            </w:r>
          </w:p>
          <w:p w14:paraId="7C5936D9" w14:textId="54A61889" w:rsidR="001A49CC" w:rsidRPr="00CE2E2C" w:rsidRDefault="00B06B2A" w:rsidP="005A4951">
            <w:pPr>
              <w:ind w:left="0"/>
              <w:rPr>
                <w:sz w:val="20"/>
                <w:szCs w:val="20"/>
              </w:rPr>
            </w:pPr>
            <w:r>
              <w:rPr>
                <w:sz w:val="20"/>
                <w:szCs w:val="20"/>
              </w:rPr>
              <w:t xml:space="preserve">Bol vypracovaný Akčný plán na základe Guidance Note EK k obsahu Akčných plánov obsahujúci implementačný plán projektov financovaných z KF, EFRR a CEF. SEA dokumentov podľa zákona č. 24/2006 Z. z. o posudzovaní vplyvov na </w:t>
            </w:r>
            <w:r>
              <w:rPr>
                <w:sz w:val="20"/>
                <w:szCs w:val="20"/>
              </w:rPr>
              <w:lastRenderedPageBreak/>
              <w:t xml:space="preserve">životné prostredie bolo ukončené a 17.6.2014 vydalo MŽP SR záverečné stanovisko. Finálne verzie dokumentov budú vypracované po konzultáciách s EK a JASPERS. </w:t>
            </w:r>
            <w:r w:rsidRPr="00756D41">
              <w:rPr>
                <w:sz w:val="20"/>
                <w:szCs w:val="20"/>
              </w:rPr>
              <w:t>Úplné</w:t>
            </w:r>
            <w:r w:rsidRPr="00B70989">
              <w:rPr>
                <w:sz w:val="20"/>
                <w:szCs w:val="20"/>
              </w:rPr>
              <w:t xml:space="preserve"> splnenie </w:t>
            </w:r>
            <w:r>
              <w:rPr>
                <w:sz w:val="20"/>
                <w:szCs w:val="20"/>
              </w:rPr>
              <w:t>EAK</w:t>
            </w:r>
            <w:r w:rsidRPr="00B70989">
              <w:rPr>
                <w:sz w:val="20"/>
                <w:szCs w:val="20"/>
              </w:rPr>
              <w:t xml:space="preserve"> v sektore dopravy bude zabezpečené vypracovaním Strategického plánu rozvoja dopravnej infraštruktúry SR do roku 2030 (fáza II).</w:t>
            </w:r>
            <w:r>
              <w:rPr>
                <w:sz w:val="20"/>
                <w:szCs w:val="20"/>
              </w:rPr>
              <w:t>*</w:t>
            </w:r>
          </w:p>
        </w:tc>
      </w:tr>
      <w:tr w:rsidR="001A49CC" w14:paraId="06E4C16B" w14:textId="77777777" w:rsidTr="00A127CB">
        <w:trPr>
          <w:trHeight w:val="340"/>
          <w:jc w:val="center"/>
        </w:trPr>
        <w:tc>
          <w:tcPr>
            <w:tcW w:w="2058" w:type="dxa"/>
            <w:vMerge/>
            <w:vAlign w:val="center"/>
          </w:tcPr>
          <w:p w14:paraId="043C2DA9" w14:textId="77777777" w:rsidR="001A49CC" w:rsidRPr="00E14AF4" w:rsidRDefault="001A49CC" w:rsidP="001A49CC">
            <w:pPr>
              <w:spacing w:before="20" w:after="120"/>
              <w:ind w:left="0"/>
              <w:rPr>
                <w:sz w:val="20"/>
                <w:szCs w:val="20"/>
              </w:rPr>
            </w:pPr>
          </w:p>
        </w:tc>
        <w:tc>
          <w:tcPr>
            <w:tcW w:w="1422" w:type="dxa"/>
            <w:vMerge/>
            <w:vAlign w:val="center"/>
          </w:tcPr>
          <w:p w14:paraId="13B059A7" w14:textId="77777777" w:rsidR="001A49CC" w:rsidRPr="00391AE1" w:rsidRDefault="001A49CC" w:rsidP="001A49CC">
            <w:pPr>
              <w:ind w:left="0"/>
              <w:jc w:val="center"/>
              <w:rPr>
                <w:sz w:val="20"/>
                <w:szCs w:val="20"/>
              </w:rPr>
            </w:pPr>
          </w:p>
        </w:tc>
        <w:tc>
          <w:tcPr>
            <w:tcW w:w="1750" w:type="dxa"/>
            <w:vMerge/>
            <w:vAlign w:val="center"/>
          </w:tcPr>
          <w:p w14:paraId="6F6C2A6A" w14:textId="77777777" w:rsidR="001A49CC" w:rsidRPr="00566720" w:rsidRDefault="001A49CC" w:rsidP="001A49CC">
            <w:pPr>
              <w:ind w:left="0"/>
              <w:jc w:val="center"/>
              <w:rPr>
                <w:sz w:val="20"/>
                <w:szCs w:val="20"/>
              </w:rPr>
            </w:pPr>
          </w:p>
        </w:tc>
        <w:tc>
          <w:tcPr>
            <w:tcW w:w="2089" w:type="dxa"/>
            <w:vAlign w:val="center"/>
          </w:tcPr>
          <w:p w14:paraId="23A4210A" w14:textId="77777777" w:rsidR="001A49CC" w:rsidRPr="00F12880" w:rsidRDefault="001A49CC" w:rsidP="001A49CC">
            <w:pPr>
              <w:ind w:left="0"/>
              <w:rPr>
                <w:sz w:val="20"/>
                <w:szCs w:val="20"/>
              </w:rPr>
            </w:pPr>
            <w:r w:rsidRPr="00B70989">
              <w:rPr>
                <w:sz w:val="20"/>
                <w:szCs w:val="20"/>
              </w:rPr>
              <w:t>Opatrenia na zabezpečenie kapacity sprostredkovateľských orgánov a prijímateľov pri vykonávaní naplánovaných projektov.</w:t>
            </w:r>
          </w:p>
        </w:tc>
        <w:tc>
          <w:tcPr>
            <w:tcW w:w="1153" w:type="dxa"/>
            <w:vAlign w:val="center"/>
          </w:tcPr>
          <w:p w14:paraId="6A945246" w14:textId="77777777" w:rsidR="001A49CC" w:rsidRPr="007D2580" w:rsidRDefault="001A0D17" w:rsidP="001A49CC">
            <w:pPr>
              <w:ind w:left="0"/>
              <w:jc w:val="center"/>
              <w:rPr>
                <w:b/>
                <w:sz w:val="20"/>
                <w:szCs w:val="20"/>
              </w:rPr>
            </w:pPr>
            <w:r>
              <w:rPr>
                <w:b/>
                <w:sz w:val="20"/>
                <w:szCs w:val="20"/>
              </w:rPr>
              <w:t>NIE</w:t>
            </w:r>
          </w:p>
          <w:p w14:paraId="572538DF" w14:textId="77777777" w:rsidR="001A49CC" w:rsidRPr="009406F5" w:rsidRDefault="001A49CC" w:rsidP="001A49CC">
            <w:pPr>
              <w:ind w:left="0"/>
              <w:jc w:val="center"/>
              <w:rPr>
                <w:b/>
                <w:sz w:val="20"/>
                <w:szCs w:val="20"/>
              </w:rPr>
            </w:pPr>
          </w:p>
        </w:tc>
        <w:tc>
          <w:tcPr>
            <w:tcW w:w="3302" w:type="dxa"/>
            <w:vAlign w:val="center"/>
          </w:tcPr>
          <w:p w14:paraId="4A039D00" w14:textId="77777777" w:rsidR="001A49CC" w:rsidRDefault="001A49CC" w:rsidP="001A49CC">
            <w:pPr>
              <w:ind w:left="0"/>
              <w:jc w:val="center"/>
              <w:rPr>
                <w:sz w:val="20"/>
                <w:szCs w:val="20"/>
              </w:rPr>
            </w:pPr>
          </w:p>
          <w:p w14:paraId="07AAE89D" w14:textId="77777777" w:rsidR="00BD18A0" w:rsidRPr="00CC72AA" w:rsidRDefault="00BD18A0" w:rsidP="001A49CC">
            <w:pPr>
              <w:ind w:left="0"/>
              <w:jc w:val="center"/>
              <w:rPr>
                <w:sz w:val="20"/>
                <w:szCs w:val="20"/>
              </w:rPr>
            </w:pPr>
            <w:r>
              <w:rPr>
                <w:sz w:val="20"/>
                <w:szCs w:val="20"/>
              </w:rPr>
              <w:t>„Analýza kapacít prijímateľov OPD 2007 – 2013, prijímateľov a SORO OPII 2014 – 2020“</w:t>
            </w:r>
          </w:p>
        </w:tc>
        <w:tc>
          <w:tcPr>
            <w:tcW w:w="2401" w:type="dxa"/>
            <w:vAlign w:val="center"/>
          </w:tcPr>
          <w:p w14:paraId="42AA79D2" w14:textId="77777777" w:rsidR="001A49CC" w:rsidRDefault="001A49CC" w:rsidP="001A49CC">
            <w:pPr>
              <w:ind w:left="0"/>
              <w:jc w:val="center"/>
              <w:rPr>
                <w:sz w:val="20"/>
                <w:szCs w:val="20"/>
              </w:rPr>
            </w:pPr>
          </w:p>
          <w:p w14:paraId="21103C44" w14:textId="77777777" w:rsidR="00BD18A0" w:rsidRPr="00391AE1" w:rsidRDefault="00BD18A0" w:rsidP="001A49CC">
            <w:pPr>
              <w:ind w:left="0"/>
              <w:jc w:val="center"/>
              <w:rPr>
                <w:sz w:val="20"/>
                <w:szCs w:val="20"/>
              </w:rPr>
            </w:pPr>
            <w:r>
              <w:rPr>
                <w:sz w:val="20"/>
                <w:szCs w:val="20"/>
              </w:rPr>
              <w:t>Analýza kapacít prijímateľov a SORO bola vypracovaná.</w:t>
            </w:r>
          </w:p>
        </w:tc>
      </w:tr>
      <w:tr w:rsidR="001A49CC" w14:paraId="72303FD4" w14:textId="77777777" w:rsidTr="00A127CB">
        <w:trPr>
          <w:trHeight w:val="340"/>
          <w:jc w:val="center"/>
        </w:trPr>
        <w:tc>
          <w:tcPr>
            <w:tcW w:w="2058" w:type="dxa"/>
            <w:vMerge w:val="restart"/>
            <w:vAlign w:val="center"/>
          </w:tcPr>
          <w:p w14:paraId="10DCC8A4" w14:textId="77777777" w:rsidR="001A49CC" w:rsidRPr="00EC3FD7" w:rsidRDefault="001A49CC" w:rsidP="001A49CC">
            <w:pPr>
              <w:spacing w:before="20" w:after="120"/>
              <w:ind w:left="0"/>
              <w:rPr>
                <w:sz w:val="20"/>
                <w:szCs w:val="20"/>
              </w:rPr>
            </w:pPr>
            <w:r w:rsidRPr="00EC3FD7">
              <w:rPr>
                <w:sz w:val="20"/>
                <w:szCs w:val="20"/>
              </w:rPr>
              <w:t xml:space="preserve">7.3. Iné druhy dopravy vrátane vnútrozemských vodných ciest a námornej prepravy, prístavov, multimodálnych spojení a letiskovej infraštruktúry: existencia komplexného plánu či plánov alebo rámca či rámcov dopravy s </w:t>
            </w:r>
            <w:r w:rsidRPr="00EC3FD7">
              <w:rPr>
                <w:sz w:val="20"/>
                <w:szCs w:val="20"/>
              </w:rPr>
              <w:lastRenderedPageBreak/>
              <w:t>osobitnou časťou venovanou vnútrozemským vodným cestám a námornej preprave, prístavom, multimodálnym spojeniam a letiskovej infraštruktúre, ktoré prispievajú k zlepšovaniu prepojenia na úplnú a základnú sieť TEN-T a podporujú udržateľnú regionálnu a miestnu mobilitu.</w:t>
            </w:r>
          </w:p>
          <w:p w14:paraId="0109F9D9" w14:textId="77777777" w:rsidR="001A49CC" w:rsidRPr="00CF5888" w:rsidRDefault="001A49CC" w:rsidP="001A49CC">
            <w:pPr>
              <w:spacing w:before="20" w:after="20"/>
              <w:ind w:left="0"/>
              <w:rPr>
                <w:color w:val="FF0000"/>
                <w:sz w:val="20"/>
                <w:szCs w:val="20"/>
              </w:rPr>
            </w:pPr>
          </w:p>
        </w:tc>
        <w:tc>
          <w:tcPr>
            <w:tcW w:w="1422" w:type="dxa"/>
            <w:vMerge w:val="restart"/>
            <w:vAlign w:val="center"/>
          </w:tcPr>
          <w:p w14:paraId="76C2AB22" w14:textId="77777777" w:rsidR="001A49CC" w:rsidRPr="00566720" w:rsidRDefault="001A49CC" w:rsidP="001A49CC">
            <w:pPr>
              <w:ind w:left="0"/>
              <w:jc w:val="center"/>
              <w:rPr>
                <w:sz w:val="20"/>
                <w:szCs w:val="20"/>
              </w:rPr>
            </w:pPr>
            <w:r w:rsidRPr="00566720">
              <w:rPr>
                <w:sz w:val="20"/>
                <w:szCs w:val="20"/>
              </w:rPr>
              <w:lastRenderedPageBreak/>
              <w:t>PO 4</w:t>
            </w:r>
          </w:p>
        </w:tc>
        <w:tc>
          <w:tcPr>
            <w:tcW w:w="1750" w:type="dxa"/>
            <w:vMerge w:val="restart"/>
            <w:vAlign w:val="center"/>
          </w:tcPr>
          <w:p w14:paraId="252C2520" w14:textId="77777777" w:rsidR="001A49CC" w:rsidRDefault="001A49CC" w:rsidP="001A49CC">
            <w:pPr>
              <w:ind w:left="0"/>
              <w:jc w:val="center"/>
              <w:rPr>
                <w:b/>
                <w:sz w:val="20"/>
                <w:szCs w:val="20"/>
              </w:rPr>
            </w:pPr>
          </w:p>
          <w:p w14:paraId="2998FFB0" w14:textId="77777777" w:rsidR="001A49CC" w:rsidRPr="007D2580" w:rsidRDefault="00595F87" w:rsidP="001A49CC">
            <w:pPr>
              <w:ind w:left="0"/>
              <w:jc w:val="center"/>
              <w:rPr>
                <w:b/>
                <w:sz w:val="20"/>
                <w:szCs w:val="20"/>
              </w:rPr>
            </w:pPr>
            <w:r>
              <w:rPr>
                <w:b/>
                <w:sz w:val="20"/>
                <w:szCs w:val="20"/>
              </w:rPr>
              <w:t>Nie</w:t>
            </w:r>
          </w:p>
          <w:p w14:paraId="6D95CC37" w14:textId="77777777" w:rsidR="001A49CC" w:rsidRPr="00566720" w:rsidRDefault="001A49CC" w:rsidP="001A49CC">
            <w:pPr>
              <w:ind w:left="0"/>
              <w:jc w:val="center"/>
              <w:rPr>
                <w:b/>
                <w:strike/>
                <w:sz w:val="20"/>
                <w:szCs w:val="20"/>
              </w:rPr>
            </w:pPr>
          </w:p>
        </w:tc>
        <w:tc>
          <w:tcPr>
            <w:tcW w:w="2089" w:type="dxa"/>
            <w:vAlign w:val="center"/>
          </w:tcPr>
          <w:p w14:paraId="26C84C8C" w14:textId="77777777" w:rsidR="001A49CC" w:rsidRPr="00566720" w:rsidRDefault="001A49CC" w:rsidP="001A49CC">
            <w:pPr>
              <w:ind w:left="0"/>
              <w:rPr>
                <w:strike/>
                <w:sz w:val="20"/>
                <w:szCs w:val="20"/>
              </w:rPr>
            </w:pPr>
            <w:r w:rsidRPr="00EC3FD7">
              <w:rPr>
                <w:sz w:val="20"/>
                <w:szCs w:val="20"/>
              </w:rPr>
              <w:t>Existencia časti venovanej vnútrozemským vodným cestám a námornej preprave, prístavom, multimodálnym spojeniam a letiskovej infraštruktúre v rámci plánu či plánov alebo</w:t>
            </w:r>
            <w:r>
              <w:rPr>
                <w:sz w:val="20"/>
                <w:szCs w:val="20"/>
              </w:rPr>
              <w:t xml:space="preserve"> rámca či rámcov dopravy, ktorá:</w:t>
            </w:r>
          </w:p>
        </w:tc>
        <w:tc>
          <w:tcPr>
            <w:tcW w:w="1153" w:type="dxa"/>
            <w:vAlign w:val="center"/>
          </w:tcPr>
          <w:p w14:paraId="6D2D665B" w14:textId="77777777" w:rsidR="001A49CC" w:rsidRPr="00566720" w:rsidRDefault="001A49CC" w:rsidP="001A49CC">
            <w:pPr>
              <w:ind w:left="0"/>
              <w:jc w:val="center"/>
              <w:rPr>
                <w:b/>
                <w:sz w:val="20"/>
                <w:szCs w:val="20"/>
              </w:rPr>
            </w:pPr>
            <w:r>
              <w:rPr>
                <w:b/>
                <w:sz w:val="20"/>
                <w:szCs w:val="20"/>
              </w:rPr>
              <w:t>NIE</w:t>
            </w:r>
          </w:p>
        </w:tc>
        <w:tc>
          <w:tcPr>
            <w:tcW w:w="3302" w:type="dxa"/>
            <w:vMerge w:val="restart"/>
            <w:tcMar>
              <w:left w:w="28" w:type="dxa"/>
              <w:right w:w="28" w:type="dxa"/>
            </w:tcMar>
            <w:vAlign w:val="center"/>
          </w:tcPr>
          <w:p w14:paraId="01BCA68D" w14:textId="77777777" w:rsidR="001A49CC" w:rsidRDefault="001A49CC" w:rsidP="001A49CC">
            <w:pPr>
              <w:ind w:left="0"/>
              <w:jc w:val="center"/>
              <w:rPr>
                <w:sz w:val="20"/>
                <w:szCs w:val="20"/>
              </w:rPr>
            </w:pPr>
          </w:p>
          <w:p w14:paraId="3D4E1B81" w14:textId="77777777" w:rsidR="001A49CC" w:rsidRPr="00566720" w:rsidRDefault="001A49CC" w:rsidP="001A49CC">
            <w:pPr>
              <w:ind w:left="0"/>
              <w:jc w:val="center"/>
              <w:rPr>
                <w:sz w:val="20"/>
                <w:szCs w:val="20"/>
              </w:rPr>
            </w:pPr>
            <w:r w:rsidRPr="00566720">
              <w:rPr>
                <w:sz w:val="20"/>
                <w:szCs w:val="20"/>
              </w:rPr>
              <w:t>„Strategický plán rozvoja dopravnej infraštruktúry SR do roku 2020 (fáza I)“</w:t>
            </w:r>
          </w:p>
          <w:p w14:paraId="78820B1D" w14:textId="77777777" w:rsidR="001A49CC" w:rsidRDefault="001061E2" w:rsidP="001A49CC">
            <w:pPr>
              <w:ind w:left="0"/>
              <w:jc w:val="center"/>
              <w:rPr>
                <w:color w:val="FF0000"/>
                <w:sz w:val="16"/>
                <w:szCs w:val="16"/>
              </w:rPr>
            </w:pPr>
            <w:hyperlink r:id="rId49" w:history="1">
              <w:r w:rsidR="001A49CC" w:rsidRPr="003D49C0">
                <w:rPr>
                  <w:rStyle w:val="Hypertextovprepojenie"/>
                  <w:sz w:val="16"/>
                  <w:szCs w:val="16"/>
                </w:rPr>
                <w:t>http://www.telecom.gov.sk/index/index.php?ids=147132</w:t>
              </w:r>
            </w:hyperlink>
          </w:p>
          <w:p w14:paraId="2FF153EB" w14:textId="77777777" w:rsidR="001A49CC" w:rsidRDefault="001A49CC" w:rsidP="001A49CC">
            <w:pPr>
              <w:jc w:val="center"/>
              <w:rPr>
                <w:strike/>
                <w:color w:val="FF0000"/>
                <w:sz w:val="20"/>
                <w:szCs w:val="20"/>
              </w:rPr>
            </w:pPr>
          </w:p>
          <w:p w14:paraId="582D25ED" w14:textId="77777777" w:rsidR="001A49CC" w:rsidRDefault="001A49CC" w:rsidP="001A49CC">
            <w:pPr>
              <w:jc w:val="center"/>
              <w:rPr>
                <w:strike/>
                <w:color w:val="FF0000"/>
                <w:sz w:val="20"/>
                <w:szCs w:val="20"/>
              </w:rPr>
            </w:pPr>
          </w:p>
          <w:p w14:paraId="5714E0D8" w14:textId="77777777" w:rsidR="001A49CC" w:rsidRPr="00CE2E2C" w:rsidRDefault="001A49CC" w:rsidP="001A49CC">
            <w:pPr>
              <w:ind w:left="0"/>
              <w:jc w:val="center"/>
              <w:rPr>
                <w:sz w:val="20"/>
                <w:szCs w:val="20"/>
              </w:rPr>
            </w:pPr>
            <w:r w:rsidRPr="00CE2E2C">
              <w:rPr>
                <w:sz w:val="20"/>
                <w:szCs w:val="20"/>
              </w:rPr>
              <w:t>„</w:t>
            </w:r>
            <w:r>
              <w:rPr>
                <w:sz w:val="20"/>
                <w:szCs w:val="20"/>
              </w:rPr>
              <w:t>Stratégia</w:t>
            </w:r>
            <w:r w:rsidRPr="00CE2E2C">
              <w:rPr>
                <w:sz w:val="20"/>
                <w:szCs w:val="20"/>
              </w:rPr>
              <w:t xml:space="preserve"> rozvoja verejnej </w:t>
            </w:r>
            <w:r>
              <w:rPr>
                <w:sz w:val="20"/>
                <w:szCs w:val="20"/>
              </w:rPr>
              <w:t>a </w:t>
            </w:r>
            <w:r w:rsidRPr="005348B9">
              <w:rPr>
                <w:sz w:val="20"/>
                <w:szCs w:val="20"/>
              </w:rPr>
              <w:t>nemotorovej</w:t>
            </w:r>
            <w:r>
              <w:rPr>
                <w:sz w:val="20"/>
                <w:szCs w:val="20"/>
              </w:rPr>
              <w:t xml:space="preserve"> </w:t>
            </w:r>
            <w:r w:rsidRPr="00CE2E2C">
              <w:rPr>
                <w:sz w:val="20"/>
                <w:szCs w:val="20"/>
              </w:rPr>
              <w:t>osobnej dopravy SR do roku 2020“</w:t>
            </w:r>
          </w:p>
          <w:p w14:paraId="57029FF3" w14:textId="77777777" w:rsidR="001A49CC" w:rsidRDefault="001061E2" w:rsidP="001A49CC">
            <w:pPr>
              <w:ind w:left="0"/>
              <w:jc w:val="center"/>
              <w:rPr>
                <w:color w:val="FF0000"/>
                <w:sz w:val="16"/>
                <w:szCs w:val="16"/>
              </w:rPr>
            </w:pPr>
            <w:hyperlink r:id="rId50" w:history="1">
              <w:r w:rsidR="001A49CC" w:rsidRPr="003D49C0">
                <w:rPr>
                  <w:rStyle w:val="Hypertextovprepojenie"/>
                  <w:sz w:val="16"/>
                  <w:szCs w:val="16"/>
                </w:rPr>
                <w:t>http://www.telecom.gov.sk/index/index.php?ids=147132</w:t>
              </w:r>
            </w:hyperlink>
          </w:p>
          <w:p w14:paraId="1ABF132F" w14:textId="77777777" w:rsidR="001A49CC" w:rsidRPr="00CC72AA" w:rsidRDefault="001A49CC" w:rsidP="001A49CC">
            <w:pPr>
              <w:jc w:val="center"/>
              <w:rPr>
                <w:strike/>
                <w:color w:val="FF0000"/>
                <w:sz w:val="20"/>
                <w:szCs w:val="20"/>
              </w:rPr>
            </w:pPr>
          </w:p>
        </w:tc>
        <w:tc>
          <w:tcPr>
            <w:tcW w:w="2401" w:type="dxa"/>
            <w:vMerge w:val="restart"/>
            <w:vAlign w:val="center"/>
          </w:tcPr>
          <w:p w14:paraId="2F4FA6C0" w14:textId="77777777" w:rsidR="00B06B2A" w:rsidRDefault="00B06B2A" w:rsidP="00B06B2A">
            <w:pPr>
              <w:ind w:left="0"/>
              <w:rPr>
                <w:sz w:val="20"/>
                <w:szCs w:val="20"/>
              </w:rPr>
            </w:pPr>
            <w:r w:rsidRPr="00B70989">
              <w:rPr>
                <w:sz w:val="20"/>
                <w:szCs w:val="20"/>
              </w:rPr>
              <w:t>Strategick</w:t>
            </w:r>
            <w:r>
              <w:rPr>
                <w:sz w:val="20"/>
                <w:szCs w:val="20"/>
              </w:rPr>
              <w:t>ý</w:t>
            </w:r>
            <w:r w:rsidRPr="00B70989">
              <w:rPr>
                <w:sz w:val="20"/>
                <w:szCs w:val="20"/>
              </w:rPr>
              <w:t xml:space="preserve"> plán do roku 2020 (fáza I) a Stratégi</w:t>
            </w:r>
            <w:r>
              <w:rPr>
                <w:sz w:val="20"/>
                <w:szCs w:val="20"/>
              </w:rPr>
              <w:t>a</w:t>
            </w:r>
            <w:r w:rsidRPr="00B70989">
              <w:rPr>
                <w:sz w:val="20"/>
                <w:szCs w:val="20"/>
              </w:rPr>
              <w:t xml:space="preserve"> verejnej osobnej a nemotorovej dopravy boli </w:t>
            </w:r>
            <w:r>
              <w:rPr>
                <w:sz w:val="20"/>
                <w:szCs w:val="20"/>
              </w:rPr>
              <w:t>schválené vládou SR dňa 25.6.2014</w:t>
            </w:r>
            <w:r w:rsidRPr="00B70989">
              <w:rPr>
                <w:sz w:val="20"/>
                <w:szCs w:val="20"/>
              </w:rPr>
              <w:t>.</w:t>
            </w:r>
            <w:r>
              <w:rPr>
                <w:sz w:val="20"/>
                <w:szCs w:val="20"/>
              </w:rPr>
              <w:t xml:space="preserve"> Zoznam projektov je súčasťou strategických dokumentov.</w:t>
            </w:r>
          </w:p>
          <w:p w14:paraId="1DBCE1D4" w14:textId="0308121F" w:rsidR="001A49CC" w:rsidRPr="00566720" w:rsidRDefault="00B06B2A" w:rsidP="005A4951">
            <w:pPr>
              <w:ind w:left="0"/>
              <w:rPr>
                <w:sz w:val="20"/>
                <w:szCs w:val="20"/>
              </w:rPr>
            </w:pPr>
            <w:r>
              <w:rPr>
                <w:sz w:val="20"/>
                <w:szCs w:val="20"/>
              </w:rPr>
              <w:t xml:space="preserve">Bol vypracovaný Akčný plán na základe Guidance Note EK k obsahu Akčných plánov obsahujúci implementačný plán projektov </w:t>
            </w:r>
            <w:r>
              <w:rPr>
                <w:sz w:val="20"/>
                <w:szCs w:val="20"/>
              </w:rPr>
              <w:lastRenderedPageBreak/>
              <w:t xml:space="preserve">financovaných z KF, EFRR a CEF. SEA dokumentov podľa zákona č. 24/2006 Z. z. o posudzovaní vplyvov na životné prostredie bolo ukončené a 17.6.2014 vydalo MŽP SR záverečné stanovisko. Finálne verzie dokumentov budú vypracované po konzultáciách s EK a JASPERS. </w:t>
            </w:r>
            <w:r w:rsidRPr="00756D41">
              <w:rPr>
                <w:sz w:val="20"/>
                <w:szCs w:val="20"/>
              </w:rPr>
              <w:t>Úplné</w:t>
            </w:r>
            <w:r w:rsidRPr="00B70989">
              <w:rPr>
                <w:sz w:val="20"/>
                <w:szCs w:val="20"/>
              </w:rPr>
              <w:t xml:space="preserve"> splnenie </w:t>
            </w:r>
            <w:r>
              <w:rPr>
                <w:sz w:val="20"/>
                <w:szCs w:val="20"/>
              </w:rPr>
              <w:t>EAK</w:t>
            </w:r>
            <w:r w:rsidRPr="00B70989">
              <w:rPr>
                <w:sz w:val="20"/>
                <w:szCs w:val="20"/>
              </w:rPr>
              <w:t xml:space="preserve"> v sektore dopravy bude zabezpečené vypracovaním Strategického plánu rozvoja dopravnej infraštruktúry SR do roku 2030 (fáza II).</w:t>
            </w:r>
            <w:r>
              <w:rPr>
                <w:sz w:val="20"/>
                <w:szCs w:val="20"/>
              </w:rPr>
              <w:t>*</w:t>
            </w:r>
          </w:p>
        </w:tc>
      </w:tr>
      <w:tr w:rsidR="001A49CC" w14:paraId="079A86EC" w14:textId="77777777" w:rsidTr="00A127CB">
        <w:trPr>
          <w:trHeight w:val="340"/>
          <w:jc w:val="center"/>
        </w:trPr>
        <w:tc>
          <w:tcPr>
            <w:tcW w:w="2058" w:type="dxa"/>
            <w:vMerge/>
            <w:vAlign w:val="center"/>
          </w:tcPr>
          <w:p w14:paraId="400DA299" w14:textId="77777777" w:rsidR="001A49CC" w:rsidRPr="00E14AF4" w:rsidRDefault="001A49CC" w:rsidP="001A49CC">
            <w:pPr>
              <w:spacing w:before="20" w:after="120"/>
              <w:rPr>
                <w:sz w:val="20"/>
                <w:szCs w:val="20"/>
              </w:rPr>
            </w:pPr>
          </w:p>
        </w:tc>
        <w:tc>
          <w:tcPr>
            <w:tcW w:w="1422" w:type="dxa"/>
            <w:vMerge/>
            <w:vAlign w:val="center"/>
          </w:tcPr>
          <w:p w14:paraId="6623A7B7" w14:textId="77777777" w:rsidR="001A49CC" w:rsidRPr="00566720" w:rsidRDefault="001A49CC" w:rsidP="001A49CC">
            <w:pPr>
              <w:ind w:left="0"/>
              <w:jc w:val="center"/>
              <w:rPr>
                <w:sz w:val="20"/>
                <w:szCs w:val="20"/>
              </w:rPr>
            </w:pPr>
          </w:p>
        </w:tc>
        <w:tc>
          <w:tcPr>
            <w:tcW w:w="1750" w:type="dxa"/>
            <w:vMerge/>
            <w:vAlign w:val="center"/>
          </w:tcPr>
          <w:p w14:paraId="00E5F30C" w14:textId="77777777" w:rsidR="001A49CC" w:rsidRPr="00566720" w:rsidRDefault="001A49CC" w:rsidP="001A49CC">
            <w:pPr>
              <w:ind w:left="0"/>
              <w:jc w:val="center"/>
              <w:rPr>
                <w:b/>
                <w:strike/>
                <w:sz w:val="20"/>
                <w:szCs w:val="20"/>
              </w:rPr>
            </w:pPr>
          </w:p>
        </w:tc>
        <w:tc>
          <w:tcPr>
            <w:tcW w:w="2089" w:type="dxa"/>
            <w:vAlign w:val="center"/>
          </w:tcPr>
          <w:p w14:paraId="10A9C57D" w14:textId="77777777" w:rsidR="001A49CC" w:rsidRPr="00EC3FD7" w:rsidRDefault="001A49CC" w:rsidP="001A49CC">
            <w:pPr>
              <w:ind w:left="0"/>
              <w:rPr>
                <w:strike/>
                <w:sz w:val="20"/>
                <w:szCs w:val="20"/>
              </w:rPr>
            </w:pPr>
            <w:r>
              <w:rPr>
                <w:sz w:val="20"/>
                <w:szCs w:val="20"/>
              </w:rPr>
              <w:t xml:space="preserve">- </w:t>
            </w:r>
            <w:r w:rsidRPr="00EC3FD7">
              <w:rPr>
                <w:sz w:val="20"/>
                <w:szCs w:val="20"/>
              </w:rPr>
              <w:t xml:space="preserve">je v súlade s právnymi </w:t>
            </w:r>
            <w:r w:rsidRPr="00EC3FD7">
              <w:rPr>
                <w:sz w:val="20"/>
                <w:szCs w:val="20"/>
              </w:rPr>
              <w:lastRenderedPageBreak/>
              <w:t>požiadavkami na strategické environmentálne posúdenie,</w:t>
            </w:r>
          </w:p>
        </w:tc>
        <w:tc>
          <w:tcPr>
            <w:tcW w:w="1153" w:type="dxa"/>
            <w:vAlign w:val="center"/>
          </w:tcPr>
          <w:p w14:paraId="5C0A13BE" w14:textId="77777777" w:rsidR="001A49CC" w:rsidRPr="00566720" w:rsidRDefault="001A49CC" w:rsidP="001A49CC">
            <w:pPr>
              <w:ind w:left="0"/>
              <w:jc w:val="center"/>
              <w:rPr>
                <w:b/>
                <w:sz w:val="20"/>
                <w:szCs w:val="20"/>
              </w:rPr>
            </w:pPr>
            <w:r w:rsidRPr="00566720">
              <w:rPr>
                <w:b/>
                <w:sz w:val="20"/>
                <w:szCs w:val="20"/>
              </w:rPr>
              <w:lastRenderedPageBreak/>
              <w:t>NIE</w:t>
            </w:r>
          </w:p>
        </w:tc>
        <w:tc>
          <w:tcPr>
            <w:tcW w:w="3302" w:type="dxa"/>
            <w:vMerge/>
            <w:vAlign w:val="center"/>
          </w:tcPr>
          <w:p w14:paraId="09A4425F" w14:textId="77777777" w:rsidR="001A49CC" w:rsidRPr="00566720" w:rsidRDefault="001A49CC" w:rsidP="001A49CC">
            <w:pPr>
              <w:ind w:left="0"/>
              <w:jc w:val="center"/>
              <w:rPr>
                <w:strike/>
                <w:sz w:val="20"/>
                <w:szCs w:val="20"/>
              </w:rPr>
            </w:pPr>
          </w:p>
        </w:tc>
        <w:tc>
          <w:tcPr>
            <w:tcW w:w="2401" w:type="dxa"/>
            <w:vMerge/>
            <w:vAlign w:val="center"/>
          </w:tcPr>
          <w:p w14:paraId="7D92E650" w14:textId="77777777" w:rsidR="001A49CC" w:rsidRPr="00566720" w:rsidRDefault="001A49CC" w:rsidP="001A49CC">
            <w:pPr>
              <w:ind w:left="0"/>
              <w:jc w:val="center"/>
              <w:rPr>
                <w:sz w:val="20"/>
                <w:szCs w:val="20"/>
              </w:rPr>
            </w:pPr>
          </w:p>
        </w:tc>
      </w:tr>
      <w:tr w:rsidR="001A49CC" w14:paraId="76AEA0AC" w14:textId="77777777" w:rsidTr="00A127CB">
        <w:trPr>
          <w:trHeight w:val="340"/>
          <w:jc w:val="center"/>
        </w:trPr>
        <w:tc>
          <w:tcPr>
            <w:tcW w:w="2058" w:type="dxa"/>
            <w:vMerge/>
            <w:vAlign w:val="center"/>
          </w:tcPr>
          <w:p w14:paraId="4E36C8F3" w14:textId="77777777" w:rsidR="001A49CC" w:rsidRPr="00E14AF4" w:rsidRDefault="001A49CC" w:rsidP="001A49CC">
            <w:pPr>
              <w:spacing w:before="20" w:after="120"/>
              <w:rPr>
                <w:sz w:val="20"/>
                <w:szCs w:val="20"/>
              </w:rPr>
            </w:pPr>
          </w:p>
        </w:tc>
        <w:tc>
          <w:tcPr>
            <w:tcW w:w="1422" w:type="dxa"/>
            <w:vMerge/>
            <w:vAlign w:val="center"/>
          </w:tcPr>
          <w:p w14:paraId="26C7FB7B" w14:textId="77777777" w:rsidR="001A49CC" w:rsidRPr="00566720" w:rsidRDefault="001A49CC" w:rsidP="001A49CC">
            <w:pPr>
              <w:ind w:left="0"/>
              <w:jc w:val="center"/>
              <w:rPr>
                <w:sz w:val="20"/>
                <w:szCs w:val="20"/>
              </w:rPr>
            </w:pPr>
          </w:p>
        </w:tc>
        <w:tc>
          <w:tcPr>
            <w:tcW w:w="1750" w:type="dxa"/>
            <w:vMerge/>
            <w:vAlign w:val="center"/>
          </w:tcPr>
          <w:p w14:paraId="6107520F" w14:textId="77777777" w:rsidR="001A49CC" w:rsidRPr="00566720" w:rsidRDefault="001A49CC" w:rsidP="001A49CC">
            <w:pPr>
              <w:ind w:left="0"/>
              <w:jc w:val="center"/>
              <w:rPr>
                <w:b/>
                <w:strike/>
                <w:sz w:val="20"/>
                <w:szCs w:val="20"/>
              </w:rPr>
            </w:pPr>
          </w:p>
        </w:tc>
        <w:tc>
          <w:tcPr>
            <w:tcW w:w="2089" w:type="dxa"/>
          </w:tcPr>
          <w:p w14:paraId="70E3E203" w14:textId="77777777" w:rsidR="001A49CC" w:rsidRPr="00566720" w:rsidRDefault="001A49CC" w:rsidP="001A49CC">
            <w:pPr>
              <w:ind w:left="0"/>
              <w:rPr>
                <w:strike/>
                <w:sz w:val="20"/>
                <w:szCs w:val="20"/>
              </w:rPr>
            </w:pPr>
            <w:r>
              <w:rPr>
                <w:rFonts w:ascii="EUAlbertina" w:hAnsi="EUAlbertina" w:cs="EUAlbertina"/>
                <w:color w:val="000000"/>
              </w:rPr>
              <w:t xml:space="preserve">- </w:t>
            </w:r>
            <w:r w:rsidRPr="00EC3FD7">
              <w:rPr>
                <w:sz w:val="20"/>
                <w:szCs w:val="20"/>
              </w:rPr>
              <w:t>stanovuje realisticky a kvalitne vypracovaný plán realizácie projektov (vrátane časového plánu a rozpočtového rámca).</w:t>
            </w:r>
          </w:p>
        </w:tc>
        <w:tc>
          <w:tcPr>
            <w:tcW w:w="1153" w:type="dxa"/>
            <w:vAlign w:val="center"/>
          </w:tcPr>
          <w:p w14:paraId="716281C0" w14:textId="77777777" w:rsidR="001A49CC" w:rsidRPr="00566720" w:rsidRDefault="00B24E88" w:rsidP="001A49CC">
            <w:pPr>
              <w:ind w:left="0"/>
              <w:jc w:val="center"/>
              <w:rPr>
                <w:b/>
                <w:sz w:val="20"/>
                <w:szCs w:val="20"/>
              </w:rPr>
            </w:pPr>
            <w:r>
              <w:rPr>
                <w:b/>
                <w:sz w:val="20"/>
                <w:szCs w:val="20"/>
              </w:rPr>
              <w:t>NIE</w:t>
            </w:r>
          </w:p>
        </w:tc>
        <w:tc>
          <w:tcPr>
            <w:tcW w:w="3302" w:type="dxa"/>
            <w:vMerge/>
            <w:vAlign w:val="center"/>
          </w:tcPr>
          <w:p w14:paraId="6B189BE8" w14:textId="77777777" w:rsidR="001A49CC" w:rsidRPr="00566720" w:rsidRDefault="001A49CC" w:rsidP="001A49CC">
            <w:pPr>
              <w:ind w:left="0"/>
              <w:jc w:val="center"/>
              <w:rPr>
                <w:strike/>
                <w:sz w:val="20"/>
                <w:szCs w:val="20"/>
              </w:rPr>
            </w:pPr>
          </w:p>
        </w:tc>
        <w:tc>
          <w:tcPr>
            <w:tcW w:w="2401" w:type="dxa"/>
            <w:vMerge/>
            <w:vAlign w:val="center"/>
          </w:tcPr>
          <w:p w14:paraId="2A22088C" w14:textId="77777777" w:rsidR="001A49CC" w:rsidRPr="00566720" w:rsidRDefault="001A49CC" w:rsidP="001A49CC">
            <w:pPr>
              <w:ind w:left="0"/>
              <w:jc w:val="center"/>
              <w:rPr>
                <w:sz w:val="20"/>
                <w:szCs w:val="20"/>
              </w:rPr>
            </w:pPr>
          </w:p>
        </w:tc>
      </w:tr>
      <w:tr w:rsidR="001A49CC" w14:paraId="24FCE12A" w14:textId="77777777" w:rsidTr="00A127CB">
        <w:trPr>
          <w:trHeight w:val="340"/>
          <w:jc w:val="center"/>
        </w:trPr>
        <w:tc>
          <w:tcPr>
            <w:tcW w:w="2058" w:type="dxa"/>
            <w:vMerge/>
            <w:vAlign w:val="center"/>
          </w:tcPr>
          <w:p w14:paraId="2456E112" w14:textId="77777777" w:rsidR="001A49CC" w:rsidRPr="00E14AF4" w:rsidRDefault="001A49CC" w:rsidP="001A49CC">
            <w:pPr>
              <w:spacing w:before="20" w:after="120"/>
              <w:rPr>
                <w:sz w:val="20"/>
                <w:szCs w:val="20"/>
              </w:rPr>
            </w:pPr>
          </w:p>
        </w:tc>
        <w:tc>
          <w:tcPr>
            <w:tcW w:w="1422" w:type="dxa"/>
            <w:vMerge/>
            <w:vAlign w:val="center"/>
          </w:tcPr>
          <w:p w14:paraId="3405294F" w14:textId="77777777" w:rsidR="001A49CC" w:rsidRPr="00566720" w:rsidRDefault="001A49CC" w:rsidP="001A49CC">
            <w:pPr>
              <w:jc w:val="center"/>
              <w:rPr>
                <w:sz w:val="20"/>
                <w:szCs w:val="20"/>
              </w:rPr>
            </w:pPr>
          </w:p>
        </w:tc>
        <w:tc>
          <w:tcPr>
            <w:tcW w:w="1750" w:type="dxa"/>
            <w:vMerge/>
            <w:vAlign w:val="center"/>
          </w:tcPr>
          <w:p w14:paraId="450E9743" w14:textId="77777777" w:rsidR="001A49CC" w:rsidRPr="00566720" w:rsidRDefault="001A49CC" w:rsidP="001A49CC">
            <w:pPr>
              <w:jc w:val="center"/>
              <w:rPr>
                <w:b/>
                <w:strike/>
                <w:sz w:val="20"/>
                <w:szCs w:val="20"/>
              </w:rPr>
            </w:pPr>
          </w:p>
        </w:tc>
        <w:tc>
          <w:tcPr>
            <w:tcW w:w="2089" w:type="dxa"/>
          </w:tcPr>
          <w:p w14:paraId="5BCDBDD4" w14:textId="77777777" w:rsidR="001A49CC" w:rsidRDefault="001A49CC" w:rsidP="001A49CC">
            <w:pPr>
              <w:ind w:left="0"/>
              <w:rPr>
                <w:rFonts w:ascii="EUAlbertina" w:hAnsi="EUAlbertina" w:cs="EUAlbertina"/>
                <w:color w:val="000000"/>
              </w:rPr>
            </w:pPr>
            <w:r w:rsidRPr="00B70989">
              <w:rPr>
                <w:sz w:val="20"/>
                <w:szCs w:val="20"/>
              </w:rPr>
              <w:t>Opatrenia na zabezpečenie kapacity sprostredkovateľských orgánov a prijímateľov pri vykonávaní naplánovaných projektov.</w:t>
            </w:r>
          </w:p>
        </w:tc>
        <w:tc>
          <w:tcPr>
            <w:tcW w:w="1153" w:type="dxa"/>
            <w:vAlign w:val="center"/>
          </w:tcPr>
          <w:p w14:paraId="7EF85BB5" w14:textId="77777777" w:rsidR="001A49CC" w:rsidRDefault="001A0D17" w:rsidP="001A49CC">
            <w:pPr>
              <w:ind w:left="0"/>
              <w:jc w:val="center"/>
              <w:rPr>
                <w:b/>
                <w:sz w:val="20"/>
                <w:szCs w:val="20"/>
              </w:rPr>
            </w:pPr>
            <w:r>
              <w:rPr>
                <w:b/>
                <w:sz w:val="20"/>
                <w:szCs w:val="20"/>
              </w:rPr>
              <w:t>NIE</w:t>
            </w:r>
          </w:p>
        </w:tc>
        <w:tc>
          <w:tcPr>
            <w:tcW w:w="3302" w:type="dxa"/>
            <w:vAlign w:val="center"/>
          </w:tcPr>
          <w:p w14:paraId="18E32BF6" w14:textId="77777777" w:rsidR="001A49CC" w:rsidRDefault="001A49CC" w:rsidP="001A49CC">
            <w:pPr>
              <w:ind w:left="0"/>
              <w:jc w:val="center"/>
              <w:rPr>
                <w:sz w:val="20"/>
                <w:szCs w:val="20"/>
              </w:rPr>
            </w:pPr>
          </w:p>
          <w:p w14:paraId="5E1A43EC" w14:textId="77777777" w:rsidR="00B1384A" w:rsidRDefault="00B1384A" w:rsidP="001A49CC">
            <w:pPr>
              <w:ind w:left="0"/>
              <w:jc w:val="center"/>
              <w:rPr>
                <w:sz w:val="20"/>
                <w:szCs w:val="20"/>
              </w:rPr>
            </w:pPr>
            <w:r>
              <w:rPr>
                <w:sz w:val="20"/>
                <w:szCs w:val="20"/>
              </w:rPr>
              <w:t>„Analýza kapacít prijímateľov OPD 2007 – 2013, prijímateľov a SORO OPII 2014 – 2020“</w:t>
            </w:r>
          </w:p>
        </w:tc>
        <w:tc>
          <w:tcPr>
            <w:tcW w:w="2401" w:type="dxa"/>
            <w:vAlign w:val="center"/>
          </w:tcPr>
          <w:p w14:paraId="30ACA07C" w14:textId="77777777" w:rsidR="001A49CC" w:rsidRDefault="001A49CC" w:rsidP="001A49CC">
            <w:pPr>
              <w:ind w:left="0"/>
              <w:jc w:val="center"/>
              <w:rPr>
                <w:sz w:val="20"/>
                <w:szCs w:val="20"/>
              </w:rPr>
            </w:pPr>
          </w:p>
          <w:p w14:paraId="6995702A" w14:textId="77777777" w:rsidR="00B1384A" w:rsidRPr="00566720" w:rsidRDefault="00B1384A" w:rsidP="001A49CC">
            <w:pPr>
              <w:ind w:left="0"/>
              <w:jc w:val="center"/>
              <w:rPr>
                <w:sz w:val="20"/>
                <w:szCs w:val="20"/>
              </w:rPr>
            </w:pPr>
            <w:r>
              <w:rPr>
                <w:sz w:val="20"/>
                <w:szCs w:val="20"/>
              </w:rPr>
              <w:t>Analýza kapacít prijímateľov a SORO bola vypracovaná.</w:t>
            </w:r>
          </w:p>
        </w:tc>
      </w:tr>
    </w:tbl>
    <w:p w14:paraId="1456BCEF" w14:textId="77777777" w:rsidR="00B7474A" w:rsidRDefault="001A49CC" w:rsidP="001A49CC">
      <w:pPr>
        <w:pStyle w:val="06Normal"/>
        <w:spacing w:before="60" w:after="0"/>
        <w:rPr>
          <w:sz w:val="20"/>
          <w:lang w:eastAsia="sk-SK"/>
        </w:rPr>
      </w:pPr>
      <w:r w:rsidRPr="00566720">
        <w:rPr>
          <w:sz w:val="20"/>
          <w:u w:val="single"/>
          <w:lang w:eastAsia="sk-SK"/>
        </w:rPr>
        <w:t>Pozn.:</w:t>
      </w:r>
      <w:r w:rsidRPr="00566720">
        <w:rPr>
          <w:sz w:val="20"/>
          <w:lang w:eastAsia="sk-SK"/>
        </w:rPr>
        <w:t xml:space="preserve"> * </w:t>
      </w:r>
      <w:r w:rsidR="00DE7C04">
        <w:rPr>
          <w:sz w:val="20"/>
          <w:lang w:eastAsia="sk-SK"/>
        </w:rPr>
        <w:t>N</w:t>
      </w:r>
      <w:r w:rsidRPr="00566720">
        <w:rPr>
          <w:sz w:val="20"/>
          <w:lang w:eastAsia="sk-SK"/>
        </w:rPr>
        <w:t>a základe dohody</w:t>
      </w:r>
      <w:r w:rsidR="00DE7C04">
        <w:rPr>
          <w:sz w:val="20"/>
          <w:lang w:eastAsia="sk-SK"/>
        </w:rPr>
        <w:t xml:space="preserve"> MDV</w:t>
      </w:r>
      <w:r w:rsidR="00936D79">
        <w:rPr>
          <w:sz w:val="20"/>
          <w:lang w:eastAsia="sk-SK"/>
        </w:rPr>
        <w:t>RR</w:t>
      </w:r>
      <w:r w:rsidR="00DE7C04">
        <w:rPr>
          <w:sz w:val="20"/>
          <w:lang w:eastAsia="sk-SK"/>
        </w:rPr>
        <w:t xml:space="preserve"> SR</w:t>
      </w:r>
      <w:r w:rsidRPr="00566720">
        <w:rPr>
          <w:sz w:val="20"/>
          <w:lang w:eastAsia="sk-SK"/>
        </w:rPr>
        <w:t xml:space="preserve"> </w:t>
      </w:r>
      <w:r w:rsidR="00DE7C04">
        <w:rPr>
          <w:sz w:val="20"/>
          <w:lang w:eastAsia="sk-SK"/>
        </w:rPr>
        <w:t>a</w:t>
      </w:r>
      <w:r>
        <w:rPr>
          <w:sz w:val="20"/>
          <w:lang w:eastAsia="sk-SK"/>
        </w:rPr>
        <w:t> </w:t>
      </w:r>
      <w:r w:rsidRPr="00566720">
        <w:rPr>
          <w:sz w:val="20"/>
          <w:lang w:eastAsia="sk-SK"/>
        </w:rPr>
        <w:t xml:space="preserve">EK je plnenie </w:t>
      </w:r>
      <w:r w:rsidR="00493AC5">
        <w:rPr>
          <w:sz w:val="20"/>
          <w:lang w:eastAsia="sk-SK"/>
        </w:rPr>
        <w:t>EAK</w:t>
      </w:r>
      <w:r w:rsidRPr="00566720">
        <w:rPr>
          <w:sz w:val="20"/>
          <w:lang w:eastAsia="sk-SK"/>
        </w:rPr>
        <w:t xml:space="preserve"> pre sektor dopravy vzhľadom na neexistenciu Dopravného modelu SR a</w:t>
      </w:r>
      <w:r>
        <w:rPr>
          <w:sz w:val="20"/>
          <w:lang w:eastAsia="sk-SK"/>
        </w:rPr>
        <w:t> </w:t>
      </w:r>
      <w:r w:rsidRPr="00566720">
        <w:rPr>
          <w:sz w:val="20"/>
          <w:lang w:eastAsia="sk-SK"/>
        </w:rPr>
        <w:t>komplexnej dátovej základne rozdelené do dvoch fáz.</w:t>
      </w:r>
      <w:r w:rsidR="00DE7C04">
        <w:rPr>
          <w:sz w:val="20"/>
          <w:lang w:eastAsia="sk-SK"/>
        </w:rPr>
        <w:t xml:space="preserve"> Fáza I zaväzuje SR pokračovať v začatých aktivitách a dopracovať dopravnú </w:t>
      </w:r>
      <w:r w:rsidR="00582FFF">
        <w:rPr>
          <w:sz w:val="20"/>
          <w:lang w:eastAsia="sk-SK"/>
        </w:rPr>
        <w:t>stratégiu o fázu II</w:t>
      </w:r>
      <w:r w:rsidR="00DE7C04">
        <w:rPr>
          <w:sz w:val="20"/>
          <w:lang w:eastAsia="sk-SK"/>
        </w:rPr>
        <w:t xml:space="preserve"> najneskôr do konca roka 2016</w:t>
      </w:r>
      <w:r w:rsidR="00582FFF">
        <w:rPr>
          <w:sz w:val="20"/>
          <w:lang w:eastAsia="sk-SK"/>
        </w:rPr>
        <w:t>.</w:t>
      </w:r>
    </w:p>
    <w:p w14:paraId="5E9AEAE6" w14:textId="77777777" w:rsidR="00B06B2A" w:rsidRDefault="00B06B2A" w:rsidP="001A49CC">
      <w:pPr>
        <w:pStyle w:val="06Normal"/>
        <w:spacing w:before="60" w:after="0"/>
        <w:rPr>
          <w:sz w:val="20"/>
          <w:lang w:eastAsia="sk-SK"/>
        </w:rPr>
      </w:pPr>
    </w:p>
    <w:p w14:paraId="78325DBB" w14:textId="77777777" w:rsidR="00B06B2A" w:rsidRDefault="00B06B2A" w:rsidP="001A49CC">
      <w:pPr>
        <w:pStyle w:val="06Normal"/>
        <w:spacing w:before="60" w:after="0"/>
        <w:rPr>
          <w:sz w:val="20"/>
          <w:lang w:eastAsia="sk-SK"/>
        </w:rPr>
      </w:pPr>
    </w:p>
    <w:p w14:paraId="3F42C984" w14:textId="77777777" w:rsidR="00B06B2A" w:rsidRDefault="00B06B2A" w:rsidP="001A49CC">
      <w:pPr>
        <w:pStyle w:val="06Normal"/>
        <w:spacing w:before="60" w:after="0"/>
        <w:rPr>
          <w:sz w:val="20"/>
          <w:lang w:eastAsia="sk-SK"/>
        </w:rPr>
      </w:pPr>
    </w:p>
    <w:p w14:paraId="0039AD17" w14:textId="77777777" w:rsidR="00B06B2A" w:rsidRDefault="00B06B2A" w:rsidP="001A49CC">
      <w:pPr>
        <w:pStyle w:val="06Normal"/>
        <w:spacing w:before="60" w:after="0"/>
        <w:rPr>
          <w:sz w:val="20"/>
          <w:lang w:eastAsia="sk-SK"/>
        </w:rPr>
      </w:pPr>
    </w:p>
    <w:p w14:paraId="3FB2008E" w14:textId="77777777" w:rsidR="00B06B2A" w:rsidRDefault="00B06B2A" w:rsidP="001A49CC">
      <w:pPr>
        <w:pStyle w:val="06Normal"/>
        <w:spacing w:before="60" w:after="0"/>
        <w:rPr>
          <w:sz w:val="20"/>
          <w:lang w:eastAsia="sk-SK"/>
        </w:rPr>
      </w:pPr>
    </w:p>
    <w:p w14:paraId="2ACC2014" w14:textId="77777777" w:rsidR="001A49CC" w:rsidRDefault="00497BCE" w:rsidP="006B79A7">
      <w:pPr>
        <w:pStyle w:val="Tab"/>
        <w:rPr>
          <w:b/>
          <w:i/>
        </w:rPr>
      </w:pPr>
      <w:r>
        <w:lastRenderedPageBreak/>
        <w:t>Identifikácia tematických</w:t>
      </w:r>
      <w:r w:rsidR="001A49CC" w:rsidRPr="001A49CC">
        <w:t xml:space="preserve"> ex ante kondicionalít a vyhodnotenie ich plnenia</w:t>
      </w:r>
      <w:r w:rsidR="001A49CC">
        <w:t xml:space="preserve"> – </w:t>
      </w:r>
      <w:r w:rsidR="001A49CC">
        <w:rPr>
          <w:b/>
          <w:i/>
        </w:rPr>
        <w:t>Informačná spoločnosť (tematický cieľ 2)</w:t>
      </w:r>
    </w:p>
    <w:tbl>
      <w:tblPr>
        <w:tblStyle w:val="Mriekatabuky"/>
        <w:tblW w:w="14473" w:type="dxa"/>
        <w:jc w:val="center"/>
        <w:tblBorders>
          <w:top w:val="single" w:sz="2" w:space="0" w:color="auto"/>
          <w:left w:val="single" w:sz="2" w:space="0" w:color="auto"/>
          <w:bottom w:val="single" w:sz="2" w:space="0" w:color="auto"/>
          <w:right w:val="single" w:sz="2" w:space="0" w:color="auto"/>
          <w:insideH w:val="none" w:sz="0" w:space="0" w:color="auto"/>
          <w:insideV w:val="single" w:sz="2" w:space="0" w:color="auto"/>
        </w:tblBorders>
        <w:tblLayout w:type="fixed"/>
        <w:tblLook w:val="04A0" w:firstRow="1" w:lastRow="0" w:firstColumn="1" w:lastColumn="0" w:noHBand="0" w:noVBand="1"/>
      </w:tblPr>
      <w:tblGrid>
        <w:gridCol w:w="1681"/>
        <w:gridCol w:w="1257"/>
        <w:gridCol w:w="1471"/>
        <w:gridCol w:w="2268"/>
        <w:gridCol w:w="1276"/>
        <w:gridCol w:w="3969"/>
        <w:gridCol w:w="2551"/>
      </w:tblGrid>
      <w:tr w:rsidR="00AB40B4" w:rsidRPr="00B02869" w14:paraId="4AC56520" w14:textId="77777777" w:rsidTr="0019722D">
        <w:trPr>
          <w:trHeight w:val="340"/>
          <w:jc w:val="center"/>
        </w:trPr>
        <w:tc>
          <w:tcPr>
            <w:tcW w:w="1681" w:type="dxa"/>
            <w:tcBorders>
              <w:top w:val="single" w:sz="2" w:space="0" w:color="auto"/>
              <w:bottom w:val="single" w:sz="2" w:space="0" w:color="auto"/>
            </w:tcBorders>
            <w:shd w:val="clear" w:color="auto" w:fill="C6D9F1" w:themeFill="text2" w:themeFillTint="33"/>
            <w:vAlign w:val="center"/>
          </w:tcPr>
          <w:p w14:paraId="73F774FB" w14:textId="77777777" w:rsidR="00AB40B4" w:rsidRPr="003F7110" w:rsidRDefault="00AB40B4" w:rsidP="00F07429">
            <w:pPr>
              <w:ind w:left="0"/>
              <w:jc w:val="center"/>
              <w:rPr>
                <w:sz w:val="20"/>
                <w:szCs w:val="20"/>
              </w:rPr>
            </w:pPr>
            <w:r w:rsidRPr="003F7110">
              <w:rPr>
                <w:sz w:val="20"/>
                <w:szCs w:val="20"/>
              </w:rPr>
              <w:t>Ex ante kondicionalita</w:t>
            </w:r>
          </w:p>
        </w:tc>
        <w:tc>
          <w:tcPr>
            <w:tcW w:w="1257" w:type="dxa"/>
            <w:tcBorders>
              <w:top w:val="single" w:sz="2" w:space="0" w:color="auto"/>
              <w:bottom w:val="single" w:sz="2" w:space="0" w:color="auto"/>
            </w:tcBorders>
            <w:shd w:val="clear" w:color="auto" w:fill="C6D9F1" w:themeFill="text2" w:themeFillTint="33"/>
            <w:vAlign w:val="center"/>
          </w:tcPr>
          <w:p w14:paraId="774FB997" w14:textId="77777777" w:rsidR="00AB40B4" w:rsidRPr="003F7110" w:rsidRDefault="00AB40B4" w:rsidP="00375EA5">
            <w:pPr>
              <w:ind w:left="0"/>
              <w:jc w:val="center"/>
              <w:rPr>
                <w:sz w:val="20"/>
                <w:szCs w:val="20"/>
              </w:rPr>
            </w:pPr>
            <w:r w:rsidRPr="003F7110">
              <w:rPr>
                <w:sz w:val="20"/>
                <w:szCs w:val="20"/>
              </w:rPr>
              <w:t xml:space="preserve">Prioritná os </w:t>
            </w:r>
          </w:p>
        </w:tc>
        <w:tc>
          <w:tcPr>
            <w:tcW w:w="1471" w:type="dxa"/>
            <w:tcBorders>
              <w:top w:val="single" w:sz="2" w:space="0" w:color="auto"/>
              <w:bottom w:val="single" w:sz="2" w:space="0" w:color="auto"/>
            </w:tcBorders>
            <w:shd w:val="clear" w:color="auto" w:fill="C6D9F1" w:themeFill="text2" w:themeFillTint="33"/>
            <w:vAlign w:val="center"/>
          </w:tcPr>
          <w:p w14:paraId="488FD229" w14:textId="77777777" w:rsidR="00AB40B4" w:rsidRPr="003F7110" w:rsidRDefault="00AB40B4" w:rsidP="00F07429">
            <w:pPr>
              <w:ind w:left="0"/>
              <w:jc w:val="center"/>
              <w:rPr>
                <w:sz w:val="20"/>
                <w:szCs w:val="20"/>
              </w:rPr>
            </w:pPr>
            <w:r w:rsidRPr="003F7110">
              <w:rPr>
                <w:sz w:val="20"/>
                <w:szCs w:val="20"/>
              </w:rPr>
              <w:t>Splnenie ex ante kondicionality Áno/Nie/Čiastočne</w:t>
            </w:r>
          </w:p>
        </w:tc>
        <w:tc>
          <w:tcPr>
            <w:tcW w:w="2268" w:type="dxa"/>
            <w:tcBorders>
              <w:top w:val="single" w:sz="2" w:space="0" w:color="auto"/>
              <w:bottom w:val="single" w:sz="2" w:space="0" w:color="auto"/>
            </w:tcBorders>
            <w:shd w:val="clear" w:color="auto" w:fill="C6D9F1" w:themeFill="text2" w:themeFillTint="33"/>
            <w:vAlign w:val="center"/>
          </w:tcPr>
          <w:p w14:paraId="507E55EC" w14:textId="77777777" w:rsidR="00AB40B4" w:rsidRPr="003F7110" w:rsidRDefault="00AB40B4" w:rsidP="00F07429">
            <w:pPr>
              <w:ind w:left="0"/>
              <w:jc w:val="center"/>
              <w:rPr>
                <w:sz w:val="20"/>
                <w:szCs w:val="20"/>
              </w:rPr>
            </w:pPr>
            <w:r w:rsidRPr="003F7110">
              <w:rPr>
                <w:sz w:val="20"/>
                <w:szCs w:val="20"/>
              </w:rPr>
              <w:t>Kritériá</w:t>
            </w:r>
          </w:p>
        </w:tc>
        <w:tc>
          <w:tcPr>
            <w:tcW w:w="1276" w:type="dxa"/>
            <w:tcBorders>
              <w:top w:val="single" w:sz="2" w:space="0" w:color="auto"/>
              <w:bottom w:val="single" w:sz="2" w:space="0" w:color="auto"/>
            </w:tcBorders>
            <w:shd w:val="clear" w:color="auto" w:fill="C6D9F1" w:themeFill="text2" w:themeFillTint="33"/>
            <w:vAlign w:val="center"/>
          </w:tcPr>
          <w:p w14:paraId="19B30F36" w14:textId="77777777" w:rsidR="00AB40B4" w:rsidRPr="003F7110" w:rsidRDefault="00AB40B4" w:rsidP="00F07429">
            <w:pPr>
              <w:ind w:left="0"/>
              <w:jc w:val="center"/>
              <w:rPr>
                <w:sz w:val="20"/>
                <w:szCs w:val="20"/>
              </w:rPr>
            </w:pPr>
            <w:r w:rsidRPr="003F7110">
              <w:rPr>
                <w:sz w:val="20"/>
                <w:szCs w:val="20"/>
              </w:rPr>
              <w:t>Splnenie kritérií Áno/Nie</w:t>
            </w:r>
          </w:p>
        </w:tc>
        <w:tc>
          <w:tcPr>
            <w:tcW w:w="3969" w:type="dxa"/>
            <w:tcBorders>
              <w:top w:val="single" w:sz="2" w:space="0" w:color="auto"/>
              <w:bottom w:val="single" w:sz="2" w:space="0" w:color="auto"/>
            </w:tcBorders>
            <w:shd w:val="clear" w:color="auto" w:fill="C6D9F1" w:themeFill="text2" w:themeFillTint="33"/>
            <w:vAlign w:val="center"/>
          </w:tcPr>
          <w:p w14:paraId="055B413E" w14:textId="77777777" w:rsidR="00AB40B4" w:rsidRPr="003F7110" w:rsidRDefault="00AB40B4" w:rsidP="00F07429">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51" w:type="dxa"/>
            <w:tcBorders>
              <w:top w:val="single" w:sz="2" w:space="0" w:color="auto"/>
              <w:bottom w:val="single" w:sz="2" w:space="0" w:color="auto"/>
            </w:tcBorders>
            <w:shd w:val="clear" w:color="auto" w:fill="C6D9F1" w:themeFill="text2" w:themeFillTint="33"/>
            <w:vAlign w:val="center"/>
          </w:tcPr>
          <w:p w14:paraId="18E2AAF6" w14:textId="77777777" w:rsidR="00AB40B4" w:rsidRPr="003F7110" w:rsidRDefault="00AB40B4" w:rsidP="00F07429">
            <w:pPr>
              <w:ind w:left="0"/>
              <w:jc w:val="center"/>
              <w:rPr>
                <w:sz w:val="20"/>
                <w:szCs w:val="20"/>
              </w:rPr>
            </w:pPr>
            <w:r w:rsidRPr="003F7110">
              <w:rPr>
                <w:sz w:val="20"/>
                <w:szCs w:val="20"/>
              </w:rPr>
              <w:t>Vysvetlenia</w:t>
            </w:r>
          </w:p>
        </w:tc>
      </w:tr>
      <w:tr w:rsidR="00A127CB" w:rsidRPr="00B02869" w14:paraId="4C737936" w14:textId="77777777" w:rsidTr="0019722D">
        <w:trPr>
          <w:trHeight w:val="340"/>
          <w:jc w:val="center"/>
        </w:trPr>
        <w:tc>
          <w:tcPr>
            <w:tcW w:w="1681" w:type="dxa"/>
            <w:vMerge w:val="restart"/>
            <w:tcBorders>
              <w:top w:val="single" w:sz="2" w:space="0" w:color="auto"/>
            </w:tcBorders>
          </w:tcPr>
          <w:p w14:paraId="11C55A97" w14:textId="77777777" w:rsidR="00A127CB" w:rsidRPr="00B02869" w:rsidRDefault="00A127CB" w:rsidP="00F07429">
            <w:pPr>
              <w:spacing w:before="20" w:after="120"/>
              <w:ind w:left="0"/>
              <w:rPr>
                <w:sz w:val="20"/>
                <w:szCs w:val="20"/>
              </w:rPr>
            </w:pPr>
            <w:r w:rsidRPr="00B02869">
              <w:rPr>
                <w:sz w:val="20"/>
                <w:szCs w:val="20"/>
              </w:rPr>
              <w:t xml:space="preserve">2.1 </w:t>
            </w:r>
            <w:r w:rsidRPr="00A43092">
              <w:rPr>
                <w:sz w:val="20"/>
                <w:szCs w:val="20"/>
              </w:rPr>
              <w:t xml:space="preserve">Rast v oblasti digitálnych služieb: strategický politický rámec pre digitálny rast, ktorý má podporovať finančne dostupné, kvalitné a interoperabilné súkromné a verejné služby využívajúce IKT a zvýšiť ich využívanie občanmi vrátane zraniteľných skupín, podnikateľskými subjektmi a verejnou správou </w:t>
            </w:r>
            <w:r w:rsidRPr="00A43092">
              <w:rPr>
                <w:sz w:val="20"/>
                <w:szCs w:val="20"/>
              </w:rPr>
              <w:lastRenderedPageBreak/>
              <w:t>vrátane cezhraničných iniciatív.</w:t>
            </w:r>
          </w:p>
        </w:tc>
        <w:tc>
          <w:tcPr>
            <w:tcW w:w="1257" w:type="dxa"/>
            <w:vMerge w:val="restart"/>
            <w:tcBorders>
              <w:top w:val="single" w:sz="2" w:space="0" w:color="auto"/>
            </w:tcBorders>
          </w:tcPr>
          <w:p w14:paraId="5B30FDCA" w14:textId="77777777" w:rsidR="00A127CB" w:rsidRPr="00B02869" w:rsidRDefault="00A127CB" w:rsidP="00F07429">
            <w:pPr>
              <w:ind w:left="0"/>
              <w:jc w:val="center"/>
              <w:rPr>
                <w:sz w:val="20"/>
                <w:szCs w:val="20"/>
              </w:rPr>
            </w:pPr>
            <w:r w:rsidRPr="00B02869">
              <w:rPr>
                <w:sz w:val="20"/>
                <w:szCs w:val="20"/>
              </w:rPr>
              <w:lastRenderedPageBreak/>
              <w:t>PO 7</w:t>
            </w:r>
            <w:r>
              <w:rPr>
                <w:sz w:val="20"/>
                <w:szCs w:val="20"/>
              </w:rPr>
              <w:t xml:space="preserve"> Informačná spoločnosť</w:t>
            </w:r>
          </w:p>
          <w:p w14:paraId="01850B4C" w14:textId="77777777" w:rsidR="00A127CB" w:rsidRPr="00B02869" w:rsidRDefault="00A127CB" w:rsidP="00F07429">
            <w:pPr>
              <w:ind w:left="0"/>
              <w:jc w:val="center"/>
              <w:rPr>
                <w:sz w:val="20"/>
                <w:szCs w:val="20"/>
              </w:rPr>
            </w:pPr>
          </w:p>
        </w:tc>
        <w:tc>
          <w:tcPr>
            <w:tcW w:w="1471" w:type="dxa"/>
            <w:vMerge w:val="restart"/>
            <w:tcBorders>
              <w:top w:val="single" w:sz="2" w:space="0" w:color="auto"/>
            </w:tcBorders>
          </w:tcPr>
          <w:p w14:paraId="680F1F13" w14:textId="77777777" w:rsidR="00A127CB" w:rsidRPr="00B02869" w:rsidRDefault="00A127CB" w:rsidP="00F07429">
            <w:pPr>
              <w:ind w:left="0"/>
              <w:jc w:val="center"/>
              <w:rPr>
                <w:sz w:val="20"/>
                <w:szCs w:val="20"/>
              </w:rPr>
            </w:pPr>
            <w:r>
              <w:rPr>
                <w:sz w:val="20"/>
                <w:szCs w:val="20"/>
              </w:rPr>
              <w:t>Áno</w:t>
            </w:r>
          </w:p>
          <w:p w14:paraId="27280C26" w14:textId="77777777" w:rsidR="00A127CB" w:rsidRPr="00B02869" w:rsidRDefault="00A127CB" w:rsidP="00F07429">
            <w:pPr>
              <w:ind w:left="0"/>
              <w:jc w:val="center"/>
              <w:rPr>
                <w:sz w:val="20"/>
                <w:szCs w:val="20"/>
              </w:rPr>
            </w:pPr>
          </w:p>
          <w:p w14:paraId="4666D07E" w14:textId="77777777" w:rsidR="00A127CB" w:rsidRPr="00B02869" w:rsidRDefault="00A127CB" w:rsidP="00F07429">
            <w:pPr>
              <w:ind w:left="0"/>
              <w:jc w:val="center"/>
              <w:rPr>
                <w:sz w:val="20"/>
                <w:szCs w:val="20"/>
              </w:rPr>
            </w:pPr>
          </w:p>
          <w:p w14:paraId="71593E92" w14:textId="77777777" w:rsidR="00A127CB" w:rsidRPr="00B02869" w:rsidRDefault="00A127CB" w:rsidP="00F07429">
            <w:pPr>
              <w:ind w:left="0"/>
              <w:jc w:val="center"/>
              <w:rPr>
                <w:sz w:val="20"/>
                <w:szCs w:val="20"/>
              </w:rPr>
            </w:pPr>
          </w:p>
        </w:tc>
        <w:tc>
          <w:tcPr>
            <w:tcW w:w="2268" w:type="dxa"/>
            <w:tcBorders>
              <w:top w:val="single" w:sz="2" w:space="0" w:color="auto"/>
            </w:tcBorders>
          </w:tcPr>
          <w:p w14:paraId="07C26E37" w14:textId="77777777" w:rsidR="00A127CB" w:rsidRDefault="00A127CB" w:rsidP="00F07429">
            <w:pPr>
              <w:ind w:left="0"/>
              <w:rPr>
                <w:noProof/>
                <w:sz w:val="20"/>
              </w:rPr>
            </w:pPr>
            <w:r w:rsidRPr="007F14F6">
              <w:rPr>
                <w:noProof/>
                <w:sz w:val="20"/>
              </w:rPr>
              <w:t xml:space="preserve">Existuje strategický politický rámec pre </w:t>
            </w:r>
            <w:r>
              <w:rPr>
                <w:noProof/>
                <w:sz w:val="20"/>
              </w:rPr>
              <w:t xml:space="preserve">rast v oblasti </w:t>
            </w:r>
            <w:r w:rsidRPr="007F14F6">
              <w:rPr>
                <w:noProof/>
                <w:sz w:val="20"/>
              </w:rPr>
              <w:t>digitálny</w:t>
            </w:r>
            <w:r>
              <w:rPr>
                <w:noProof/>
                <w:sz w:val="20"/>
              </w:rPr>
              <w:t>ch služieb</w:t>
            </w:r>
            <w:r w:rsidRPr="007F14F6">
              <w:rPr>
                <w:noProof/>
                <w:sz w:val="20"/>
              </w:rPr>
              <w:t xml:space="preserve">, napríklad </w:t>
            </w:r>
            <w:r>
              <w:rPr>
                <w:noProof/>
                <w:sz w:val="20"/>
              </w:rPr>
              <w:t xml:space="preserve">v rámci </w:t>
            </w:r>
            <w:r w:rsidRPr="007F14F6">
              <w:rPr>
                <w:noProof/>
                <w:sz w:val="20"/>
              </w:rPr>
              <w:t>národn</w:t>
            </w:r>
            <w:r>
              <w:rPr>
                <w:noProof/>
                <w:sz w:val="20"/>
              </w:rPr>
              <w:t>ej</w:t>
            </w:r>
            <w:r w:rsidRPr="007F14F6">
              <w:rPr>
                <w:noProof/>
                <w:sz w:val="20"/>
              </w:rPr>
              <w:t xml:space="preserve"> alebo regionálne</w:t>
            </w:r>
            <w:r>
              <w:rPr>
                <w:noProof/>
                <w:sz w:val="20"/>
              </w:rPr>
              <w:t>j stratégie pre</w:t>
            </w:r>
            <w:r w:rsidRPr="007F14F6">
              <w:rPr>
                <w:noProof/>
                <w:sz w:val="20"/>
              </w:rPr>
              <w:t xml:space="preserve"> inteligentnú špecializáciu, ktorý obsahuje:</w:t>
            </w:r>
          </w:p>
          <w:p w14:paraId="490ADB2B" w14:textId="77777777" w:rsidR="009E0158" w:rsidRDefault="00A127CB" w:rsidP="00AF712E">
            <w:pPr>
              <w:pStyle w:val="Odsekzoznamu"/>
              <w:numPr>
                <w:ilvl w:val="0"/>
                <w:numId w:val="21"/>
              </w:numPr>
              <w:ind w:left="176" w:hanging="142"/>
              <w:jc w:val="both"/>
              <w:rPr>
                <w:sz w:val="20"/>
                <w:szCs w:val="20"/>
              </w:rPr>
            </w:pPr>
            <w:r w:rsidRPr="00560E77">
              <w:rPr>
                <w:sz w:val="20"/>
                <w:szCs w:val="20"/>
              </w:rPr>
              <w:t>Zostavenie rozpočtu a zoradenie činností podľa priorít prostredníctvom SWOT alebo podobnej analýzy, ktorá je v súlade s hodnotiacou tabuľkou Digitálnej agendy pre Európu</w:t>
            </w:r>
          </w:p>
        </w:tc>
        <w:tc>
          <w:tcPr>
            <w:tcW w:w="1276" w:type="dxa"/>
            <w:tcBorders>
              <w:top w:val="single" w:sz="2" w:space="0" w:color="auto"/>
            </w:tcBorders>
          </w:tcPr>
          <w:p w14:paraId="4086DA63" w14:textId="77777777" w:rsidR="00A127CB" w:rsidRPr="00B02869" w:rsidRDefault="00A127CB" w:rsidP="00F07429">
            <w:pPr>
              <w:ind w:left="0"/>
              <w:jc w:val="center"/>
              <w:rPr>
                <w:sz w:val="20"/>
                <w:szCs w:val="20"/>
              </w:rPr>
            </w:pPr>
            <w:r w:rsidRPr="00B02869">
              <w:rPr>
                <w:sz w:val="20"/>
                <w:szCs w:val="20"/>
              </w:rPr>
              <w:t>Áno</w:t>
            </w:r>
          </w:p>
        </w:tc>
        <w:tc>
          <w:tcPr>
            <w:tcW w:w="3969" w:type="dxa"/>
            <w:tcBorders>
              <w:top w:val="single" w:sz="2" w:space="0" w:color="auto"/>
            </w:tcBorders>
          </w:tcPr>
          <w:p w14:paraId="1074D2AC"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6CC2C7A1" w14:textId="77777777" w:rsidR="00A127CB" w:rsidRDefault="001061E2" w:rsidP="00F07429">
            <w:pPr>
              <w:ind w:left="0"/>
              <w:rPr>
                <w:color w:val="000000"/>
                <w:sz w:val="20"/>
              </w:rPr>
            </w:pPr>
            <w:hyperlink r:id="rId51" w:history="1">
              <w:r w:rsidR="00A127CB" w:rsidRPr="00147954">
                <w:rPr>
                  <w:rStyle w:val="Hypertextovprepojenie"/>
                  <w:sz w:val="20"/>
                </w:rPr>
                <w:t>http://www.rokovania.sk/Rokovanie.aspx/BodRokovaniaDetail?idMaterial=23177</w:t>
              </w:r>
            </w:hyperlink>
          </w:p>
          <w:p w14:paraId="07715FB5"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val="restart"/>
            <w:tcBorders>
              <w:top w:val="single" w:sz="2" w:space="0" w:color="auto"/>
            </w:tcBorders>
          </w:tcPr>
          <w:p w14:paraId="23714BBE" w14:textId="77777777" w:rsidR="00A127CB" w:rsidRPr="00B02869" w:rsidRDefault="00A127CB" w:rsidP="00F07429">
            <w:pPr>
              <w:ind w:left="0"/>
              <w:jc w:val="both"/>
              <w:rPr>
                <w:sz w:val="20"/>
                <w:szCs w:val="20"/>
              </w:rPr>
            </w:pPr>
            <w:r w:rsidRPr="00A60714">
              <w:rPr>
                <w:sz w:val="20"/>
                <w:szCs w:val="20"/>
              </w:rPr>
              <w:t>Strategický dokument</w:t>
            </w:r>
            <w:r>
              <w:rPr>
                <w:sz w:val="20"/>
                <w:szCs w:val="20"/>
              </w:rPr>
              <w:t xml:space="preserve"> pre oblasť rastu digitálnych služieb a oblasť infraštruktúry prístupovej siete novej generácie (2014 – 2020) vypracovaný Ministerstvom financií SR</w:t>
            </w:r>
            <w:r w:rsidR="00BC1D1C">
              <w:rPr>
                <w:rStyle w:val="Odkaznapoznmkupodiarou"/>
                <w:sz w:val="20"/>
                <w:szCs w:val="20"/>
              </w:rPr>
              <w:footnoteReference w:id="126"/>
            </w:r>
            <w:r w:rsidRPr="00A60714">
              <w:rPr>
                <w:sz w:val="20"/>
                <w:szCs w:val="20"/>
              </w:rPr>
              <w:t xml:space="preserve"> stanovuje stratégiu </w:t>
            </w:r>
            <w:r>
              <w:rPr>
                <w:sz w:val="20"/>
                <w:szCs w:val="20"/>
              </w:rPr>
              <w:t xml:space="preserve">ďalšieho </w:t>
            </w:r>
            <w:r w:rsidRPr="00A60714">
              <w:rPr>
                <w:sz w:val="20"/>
                <w:szCs w:val="20"/>
              </w:rPr>
              <w:t xml:space="preserve">rozvoja </w:t>
            </w:r>
            <w:r>
              <w:rPr>
                <w:sz w:val="20"/>
                <w:szCs w:val="20"/>
              </w:rPr>
              <w:t xml:space="preserve">digitálnych služieb a infraštruktúry prístupovej siete novej generácie </w:t>
            </w:r>
            <w:r w:rsidRPr="00A60714">
              <w:rPr>
                <w:sz w:val="20"/>
                <w:szCs w:val="20"/>
              </w:rPr>
              <w:t>na</w:t>
            </w:r>
            <w:r>
              <w:rPr>
                <w:sz w:val="20"/>
                <w:szCs w:val="20"/>
              </w:rPr>
              <w:t xml:space="preserve"> Slovensku v</w:t>
            </w:r>
            <w:r w:rsidRPr="00A60714">
              <w:rPr>
                <w:sz w:val="20"/>
                <w:szCs w:val="20"/>
              </w:rPr>
              <w:t xml:space="preserve"> programov</w:t>
            </w:r>
            <w:r>
              <w:rPr>
                <w:sz w:val="20"/>
                <w:szCs w:val="20"/>
              </w:rPr>
              <w:t>om období</w:t>
            </w:r>
            <w:r w:rsidRPr="00A60714">
              <w:rPr>
                <w:sz w:val="20"/>
                <w:szCs w:val="20"/>
              </w:rPr>
              <w:t xml:space="preserve"> 2014 - 2020 a zároveň plní ciele uvedené v pozičnom dokumente EK a realizuje opatrenia Digitálnej agendy pre Európu. Strategický dokument slúži ako východisko pre prípravu Operačného programu Integrovaná infraštruktúra (prioritná os</w:t>
            </w:r>
            <w:r>
              <w:rPr>
                <w:sz w:val="20"/>
                <w:szCs w:val="20"/>
              </w:rPr>
              <w:t xml:space="preserve"> 7</w:t>
            </w:r>
            <w:r w:rsidRPr="00A60714">
              <w:rPr>
                <w:sz w:val="20"/>
                <w:szCs w:val="20"/>
              </w:rPr>
              <w:t xml:space="preserve"> Informačná spoločnosť)</w:t>
            </w:r>
            <w:r>
              <w:rPr>
                <w:sz w:val="20"/>
                <w:szCs w:val="20"/>
              </w:rPr>
              <w:t xml:space="preserve"> a zameriava sa na splnenie ex ante </w:t>
            </w:r>
            <w:r>
              <w:rPr>
                <w:sz w:val="20"/>
                <w:szCs w:val="20"/>
              </w:rPr>
              <w:lastRenderedPageBreak/>
              <w:t>kondicionalít 2.1 Rast v oblasti digitálnych služieb a 2.2 Infraštruktúra sietí novej generácie.</w:t>
            </w:r>
          </w:p>
        </w:tc>
      </w:tr>
      <w:tr w:rsidR="00A127CB" w:rsidRPr="00B02869" w14:paraId="31861F47" w14:textId="77777777" w:rsidTr="00A60558">
        <w:trPr>
          <w:trHeight w:val="340"/>
          <w:jc w:val="center"/>
        </w:trPr>
        <w:tc>
          <w:tcPr>
            <w:tcW w:w="1681" w:type="dxa"/>
            <w:vMerge/>
          </w:tcPr>
          <w:p w14:paraId="04FDE782" w14:textId="77777777" w:rsidR="00A127CB" w:rsidRPr="00B02869" w:rsidRDefault="00A127CB" w:rsidP="00F07429">
            <w:pPr>
              <w:spacing w:before="20" w:after="120"/>
              <w:rPr>
                <w:sz w:val="20"/>
                <w:szCs w:val="20"/>
              </w:rPr>
            </w:pPr>
          </w:p>
        </w:tc>
        <w:tc>
          <w:tcPr>
            <w:tcW w:w="1257" w:type="dxa"/>
            <w:vMerge/>
          </w:tcPr>
          <w:p w14:paraId="1BA7265E" w14:textId="77777777" w:rsidR="00A127CB" w:rsidRPr="00B02869" w:rsidRDefault="00A127CB" w:rsidP="00F07429">
            <w:pPr>
              <w:ind w:left="0"/>
              <w:jc w:val="center"/>
              <w:rPr>
                <w:sz w:val="20"/>
                <w:szCs w:val="20"/>
              </w:rPr>
            </w:pPr>
          </w:p>
        </w:tc>
        <w:tc>
          <w:tcPr>
            <w:tcW w:w="1471" w:type="dxa"/>
            <w:vMerge/>
          </w:tcPr>
          <w:p w14:paraId="7677AA34" w14:textId="77777777" w:rsidR="00A127CB" w:rsidRPr="00B02869" w:rsidRDefault="00A127CB" w:rsidP="00F07429">
            <w:pPr>
              <w:ind w:left="0"/>
              <w:jc w:val="center"/>
              <w:rPr>
                <w:sz w:val="20"/>
                <w:szCs w:val="20"/>
              </w:rPr>
            </w:pPr>
          </w:p>
        </w:tc>
        <w:tc>
          <w:tcPr>
            <w:tcW w:w="2268" w:type="dxa"/>
          </w:tcPr>
          <w:p w14:paraId="67C986B9" w14:textId="77777777" w:rsidR="009E0158" w:rsidRDefault="00A127CB" w:rsidP="00AF712E">
            <w:pPr>
              <w:pStyle w:val="Odsekzoznamu"/>
              <w:numPr>
                <w:ilvl w:val="0"/>
                <w:numId w:val="21"/>
              </w:numPr>
              <w:ind w:left="176" w:hanging="142"/>
              <w:jc w:val="both"/>
              <w:rPr>
                <w:sz w:val="20"/>
                <w:szCs w:val="20"/>
              </w:rPr>
            </w:pPr>
            <w:r w:rsidRPr="00560E77">
              <w:rPr>
                <w:sz w:val="20"/>
                <w:szCs w:val="20"/>
              </w:rPr>
              <w:t>analýzu vyváženej podpory pre dopyt a ponuku IKT , ktorá sa mala vykonať</w:t>
            </w:r>
          </w:p>
        </w:tc>
        <w:tc>
          <w:tcPr>
            <w:tcW w:w="1276" w:type="dxa"/>
          </w:tcPr>
          <w:p w14:paraId="39424E89"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3FCBA3C1"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0255EF9F" w14:textId="77777777" w:rsidR="00A127CB" w:rsidRDefault="001061E2" w:rsidP="00F07429">
            <w:pPr>
              <w:ind w:left="0"/>
              <w:rPr>
                <w:color w:val="000000"/>
                <w:sz w:val="20"/>
              </w:rPr>
            </w:pPr>
            <w:hyperlink r:id="rId52" w:history="1">
              <w:r w:rsidR="00A127CB" w:rsidRPr="00147954">
                <w:rPr>
                  <w:rStyle w:val="Hypertextovprepojenie"/>
                  <w:sz w:val="20"/>
                </w:rPr>
                <w:t>http://www.rokovania.sk/Rokovanie.aspx/BodRokovaniaDetail?idMaterial=23177</w:t>
              </w:r>
            </w:hyperlink>
          </w:p>
          <w:p w14:paraId="35D64555" w14:textId="77777777" w:rsidR="00A127CB" w:rsidRPr="00B02869" w:rsidRDefault="00A127CB" w:rsidP="00F07429">
            <w:pPr>
              <w:ind w:left="0"/>
              <w:rPr>
                <w:color w:val="000000"/>
                <w:sz w:val="20"/>
              </w:rPr>
            </w:pPr>
            <w:r>
              <w:rPr>
                <w:color w:val="000000"/>
                <w:sz w:val="20"/>
              </w:rPr>
              <w:lastRenderedPageBreak/>
              <w:t>Vláda SR vzala Strategický dokument na vedomie dňa 08.01.2014.</w:t>
            </w:r>
          </w:p>
        </w:tc>
        <w:tc>
          <w:tcPr>
            <w:tcW w:w="2551" w:type="dxa"/>
            <w:vMerge/>
          </w:tcPr>
          <w:p w14:paraId="782EABEA" w14:textId="77777777" w:rsidR="00A127CB" w:rsidRPr="00B02869" w:rsidRDefault="00A127CB" w:rsidP="00F07429">
            <w:pPr>
              <w:jc w:val="center"/>
              <w:rPr>
                <w:sz w:val="20"/>
                <w:szCs w:val="20"/>
              </w:rPr>
            </w:pPr>
          </w:p>
        </w:tc>
      </w:tr>
      <w:tr w:rsidR="00A127CB" w:rsidRPr="00B02869" w14:paraId="20709F38" w14:textId="77777777" w:rsidTr="00A60558">
        <w:trPr>
          <w:trHeight w:val="340"/>
          <w:jc w:val="center"/>
        </w:trPr>
        <w:tc>
          <w:tcPr>
            <w:tcW w:w="1681" w:type="dxa"/>
            <w:vMerge/>
          </w:tcPr>
          <w:p w14:paraId="016AB699" w14:textId="77777777" w:rsidR="00A127CB" w:rsidRPr="00B02869" w:rsidRDefault="00A127CB" w:rsidP="00F07429">
            <w:pPr>
              <w:spacing w:before="20" w:after="120"/>
              <w:rPr>
                <w:sz w:val="20"/>
                <w:szCs w:val="20"/>
              </w:rPr>
            </w:pPr>
          </w:p>
        </w:tc>
        <w:tc>
          <w:tcPr>
            <w:tcW w:w="1257" w:type="dxa"/>
            <w:vMerge/>
          </w:tcPr>
          <w:p w14:paraId="75EBA9DA" w14:textId="77777777" w:rsidR="00A127CB" w:rsidRPr="00B02869" w:rsidRDefault="00A127CB" w:rsidP="00F07429">
            <w:pPr>
              <w:ind w:left="0"/>
              <w:jc w:val="center"/>
              <w:rPr>
                <w:sz w:val="20"/>
                <w:szCs w:val="20"/>
              </w:rPr>
            </w:pPr>
          </w:p>
        </w:tc>
        <w:tc>
          <w:tcPr>
            <w:tcW w:w="1471" w:type="dxa"/>
            <w:vMerge/>
          </w:tcPr>
          <w:p w14:paraId="6CDFF8B8" w14:textId="77777777" w:rsidR="00A127CB" w:rsidRPr="00B02869" w:rsidRDefault="00A127CB" w:rsidP="00F07429">
            <w:pPr>
              <w:ind w:left="0"/>
              <w:jc w:val="center"/>
              <w:rPr>
                <w:sz w:val="20"/>
                <w:szCs w:val="20"/>
              </w:rPr>
            </w:pPr>
          </w:p>
        </w:tc>
        <w:tc>
          <w:tcPr>
            <w:tcW w:w="2268" w:type="dxa"/>
          </w:tcPr>
          <w:p w14:paraId="67559F35" w14:textId="77777777" w:rsidR="009E0158" w:rsidRDefault="00A127CB" w:rsidP="00AF712E">
            <w:pPr>
              <w:pStyle w:val="Odsekzoznamu"/>
              <w:numPr>
                <w:ilvl w:val="0"/>
                <w:numId w:val="21"/>
              </w:numPr>
              <w:ind w:left="318" w:hanging="284"/>
              <w:jc w:val="both"/>
              <w:rPr>
                <w:sz w:val="20"/>
                <w:szCs w:val="20"/>
              </w:rPr>
            </w:pPr>
            <w:r>
              <w:rPr>
                <w:sz w:val="20"/>
                <w:szCs w:val="20"/>
              </w:rPr>
              <w:t>u</w:t>
            </w:r>
            <w:r w:rsidRPr="00560E77">
              <w:rPr>
                <w:sz w:val="20"/>
                <w:szCs w:val="20"/>
              </w:rPr>
              <w:t>kazovatele na meranie pokroku intervencií v oblastiach, ako je digitálna gramotnosť, elektronické začlenenie, elektronická dostupnosť a pokroku elektronického zdravotníctva, v medziach stanovených v článku 168 Zmluvy o fungovaní EÚ, ktoré sú v prípade potreby v súlade s príslušnými sektorovými stratégiami Únie alebo národnými či regionálnymi stratégiami</w:t>
            </w:r>
          </w:p>
        </w:tc>
        <w:tc>
          <w:tcPr>
            <w:tcW w:w="1276" w:type="dxa"/>
          </w:tcPr>
          <w:p w14:paraId="5AC9918A"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01E13A72" w14:textId="77777777" w:rsidR="00A127CB" w:rsidRDefault="00A127CB" w:rsidP="00AB40B4">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388BDCB0" w14:textId="77777777" w:rsidR="00A127CB" w:rsidRDefault="001061E2" w:rsidP="00AB40B4">
            <w:pPr>
              <w:ind w:left="0"/>
              <w:rPr>
                <w:color w:val="000000"/>
                <w:sz w:val="20"/>
              </w:rPr>
            </w:pPr>
            <w:hyperlink r:id="rId53" w:history="1">
              <w:r w:rsidR="00A127CB" w:rsidRPr="00147954">
                <w:rPr>
                  <w:rStyle w:val="Hypertextovprepojenie"/>
                  <w:sz w:val="20"/>
                </w:rPr>
                <w:t>http://www.rokovania.sk/Rokovanie.aspx/BodRokovaniaDetail?idMaterial=23177</w:t>
              </w:r>
            </w:hyperlink>
          </w:p>
          <w:p w14:paraId="689E2B65" w14:textId="77777777" w:rsidR="00A127CB" w:rsidRPr="00B02869" w:rsidRDefault="00A127CB" w:rsidP="00AB40B4">
            <w:pPr>
              <w:ind w:left="0"/>
              <w:rPr>
                <w:color w:val="000000"/>
                <w:sz w:val="20"/>
              </w:rPr>
            </w:pPr>
            <w:r>
              <w:rPr>
                <w:color w:val="000000"/>
                <w:sz w:val="20"/>
              </w:rPr>
              <w:t>Vláda SR vzala Strategický dokument na vedomie dňa 08.01.2014.</w:t>
            </w:r>
          </w:p>
        </w:tc>
        <w:tc>
          <w:tcPr>
            <w:tcW w:w="2551" w:type="dxa"/>
            <w:vMerge/>
          </w:tcPr>
          <w:p w14:paraId="16F3C245" w14:textId="77777777" w:rsidR="00A127CB" w:rsidRPr="00B02869" w:rsidRDefault="00A127CB" w:rsidP="00F07429">
            <w:pPr>
              <w:jc w:val="center"/>
              <w:rPr>
                <w:sz w:val="20"/>
                <w:szCs w:val="20"/>
              </w:rPr>
            </w:pPr>
          </w:p>
        </w:tc>
      </w:tr>
      <w:tr w:rsidR="00A127CB" w:rsidRPr="00B02869" w14:paraId="18CB0DC7" w14:textId="77777777" w:rsidTr="00A60558">
        <w:trPr>
          <w:trHeight w:val="340"/>
          <w:jc w:val="center"/>
        </w:trPr>
        <w:tc>
          <w:tcPr>
            <w:tcW w:w="1681" w:type="dxa"/>
            <w:vMerge/>
          </w:tcPr>
          <w:p w14:paraId="1B98EC21" w14:textId="77777777" w:rsidR="00A127CB" w:rsidRPr="00B02869" w:rsidRDefault="00A127CB" w:rsidP="00F07429">
            <w:pPr>
              <w:spacing w:before="20" w:after="120"/>
              <w:rPr>
                <w:sz w:val="20"/>
                <w:szCs w:val="20"/>
              </w:rPr>
            </w:pPr>
          </w:p>
        </w:tc>
        <w:tc>
          <w:tcPr>
            <w:tcW w:w="1257" w:type="dxa"/>
            <w:vMerge/>
          </w:tcPr>
          <w:p w14:paraId="54A77E16" w14:textId="77777777" w:rsidR="00A127CB" w:rsidRPr="00B02869" w:rsidRDefault="00A127CB" w:rsidP="00F07429">
            <w:pPr>
              <w:ind w:left="0"/>
              <w:jc w:val="center"/>
              <w:rPr>
                <w:sz w:val="20"/>
                <w:szCs w:val="20"/>
              </w:rPr>
            </w:pPr>
          </w:p>
        </w:tc>
        <w:tc>
          <w:tcPr>
            <w:tcW w:w="1471" w:type="dxa"/>
            <w:vMerge/>
          </w:tcPr>
          <w:p w14:paraId="389CF280" w14:textId="77777777" w:rsidR="00A127CB" w:rsidRPr="00B02869" w:rsidRDefault="00A127CB" w:rsidP="00F07429">
            <w:pPr>
              <w:ind w:left="0"/>
              <w:jc w:val="center"/>
              <w:rPr>
                <w:sz w:val="20"/>
                <w:szCs w:val="20"/>
              </w:rPr>
            </w:pPr>
          </w:p>
        </w:tc>
        <w:tc>
          <w:tcPr>
            <w:tcW w:w="2268" w:type="dxa"/>
          </w:tcPr>
          <w:p w14:paraId="780FF08A" w14:textId="77777777" w:rsidR="009E0158" w:rsidRDefault="00A127CB" w:rsidP="00AF712E">
            <w:pPr>
              <w:pStyle w:val="Odsekzoznamu"/>
              <w:numPr>
                <w:ilvl w:val="0"/>
                <w:numId w:val="21"/>
              </w:numPr>
              <w:ind w:left="318" w:hanging="284"/>
              <w:rPr>
                <w:sz w:val="20"/>
                <w:szCs w:val="20"/>
              </w:rPr>
            </w:pPr>
            <w:r w:rsidRPr="00560E77">
              <w:rPr>
                <w:sz w:val="20"/>
                <w:szCs w:val="20"/>
              </w:rPr>
              <w:t>Posúdenie potrieb posilnenia budovania IKT kapacít</w:t>
            </w:r>
          </w:p>
        </w:tc>
        <w:tc>
          <w:tcPr>
            <w:tcW w:w="1276" w:type="dxa"/>
          </w:tcPr>
          <w:p w14:paraId="168BC862"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0B9320F6"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26642A2D" w14:textId="77777777" w:rsidR="00A127CB" w:rsidRDefault="001061E2" w:rsidP="00F07429">
            <w:pPr>
              <w:ind w:left="0"/>
              <w:rPr>
                <w:color w:val="000000"/>
                <w:sz w:val="20"/>
              </w:rPr>
            </w:pPr>
            <w:hyperlink r:id="rId54" w:history="1">
              <w:r w:rsidR="00A127CB" w:rsidRPr="00147954">
                <w:rPr>
                  <w:rStyle w:val="Hypertextovprepojenie"/>
                  <w:sz w:val="20"/>
                </w:rPr>
                <w:t>http://www.rokovania.sk/Rokovanie.aspx/BodRokovaniaDetail?idMaterial=23177</w:t>
              </w:r>
            </w:hyperlink>
            <w:r w:rsidR="00A127CB">
              <w:rPr>
                <w:color w:val="000000"/>
                <w:sz w:val="20"/>
              </w:rPr>
              <w:t xml:space="preserve"> </w:t>
            </w:r>
          </w:p>
          <w:p w14:paraId="6BB2CBA6"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val="restart"/>
          </w:tcPr>
          <w:p w14:paraId="453B8E33" w14:textId="77777777" w:rsidR="00A127CB" w:rsidRPr="00B02869" w:rsidRDefault="00A127CB" w:rsidP="00F07429">
            <w:pPr>
              <w:jc w:val="center"/>
              <w:rPr>
                <w:sz w:val="20"/>
                <w:szCs w:val="20"/>
              </w:rPr>
            </w:pPr>
          </w:p>
        </w:tc>
      </w:tr>
      <w:tr w:rsidR="00A127CB" w:rsidRPr="00B02869" w14:paraId="5AEC975B" w14:textId="77777777" w:rsidTr="00A60558">
        <w:trPr>
          <w:trHeight w:val="340"/>
          <w:jc w:val="center"/>
        </w:trPr>
        <w:tc>
          <w:tcPr>
            <w:tcW w:w="1681" w:type="dxa"/>
            <w:vMerge w:val="restart"/>
          </w:tcPr>
          <w:p w14:paraId="40DC3734" w14:textId="77777777" w:rsidR="00A127CB" w:rsidRPr="00B02869" w:rsidRDefault="00A127CB" w:rsidP="00F07429">
            <w:pPr>
              <w:spacing w:before="20" w:after="120"/>
              <w:ind w:left="0"/>
              <w:rPr>
                <w:sz w:val="20"/>
                <w:szCs w:val="20"/>
              </w:rPr>
            </w:pPr>
            <w:r>
              <w:rPr>
                <w:sz w:val="20"/>
                <w:szCs w:val="20"/>
              </w:rPr>
              <w:t>2.2</w:t>
            </w:r>
            <w:r w:rsidRPr="00B02869">
              <w:rPr>
                <w:sz w:val="20"/>
                <w:szCs w:val="20"/>
              </w:rPr>
              <w:t>.</w:t>
            </w:r>
            <w:r>
              <w:t xml:space="preserve"> </w:t>
            </w:r>
            <w:r w:rsidRPr="00A43092">
              <w:rPr>
                <w:sz w:val="20"/>
                <w:szCs w:val="20"/>
              </w:rPr>
              <w:t xml:space="preserve">Infraštruktúra sietí novej </w:t>
            </w:r>
            <w:r w:rsidRPr="00A43092">
              <w:rPr>
                <w:sz w:val="20"/>
                <w:szCs w:val="20"/>
              </w:rPr>
              <w:lastRenderedPageBreak/>
              <w:t>generácie (NGN): existencia národných alebo regionálnych plánov NGN, ktoré zohľadňujú regionálne činnosti s cieľom dosiahnuť ciele Únie týkajúce sa vysokorýchlostného prístupu na internet, zameriavajúc sa na oblasti, kde trh neposkytuje otvorenú infraštruktúru za dostupnú cenu a kvalitu v súlade s pravidlami hospodárskej súťaže a štátnej pomoci v Únii, a poskytovanie dostupných služieb pre zraniteľné skupiny.</w:t>
            </w:r>
          </w:p>
          <w:p w14:paraId="5B3E8A4C" w14:textId="77777777" w:rsidR="00A127CB" w:rsidRPr="00B02869" w:rsidRDefault="00A127CB" w:rsidP="00F07429">
            <w:pPr>
              <w:spacing w:before="20" w:after="120"/>
              <w:ind w:left="0"/>
              <w:rPr>
                <w:sz w:val="20"/>
                <w:szCs w:val="20"/>
              </w:rPr>
            </w:pPr>
          </w:p>
        </w:tc>
        <w:tc>
          <w:tcPr>
            <w:tcW w:w="1257" w:type="dxa"/>
            <w:vMerge w:val="restart"/>
          </w:tcPr>
          <w:p w14:paraId="094C7F99" w14:textId="77777777" w:rsidR="00A127CB" w:rsidRPr="00B02869" w:rsidRDefault="00A127CB" w:rsidP="00F07429">
            <w:pPr>
              <w:ind w:left="0"/>
              <w:jc w:val="center"/>
              <w:rPr>
                <w:sz w:val="20"/>
                <w:szCs w:val="20"/>
              </w:rPr>
            </w:pPr>
            <w:r w:rsidRPr="00B02869">
              <w:rPr>
                <w:sz w:val="20"/>
                <w:szCs w:val="20"/>
              </w:rPr>
              <w:lastRenderedPageBreak/>
              <w:t>PO 7</w:t>
            </w:r>
          </w:p>
        </w:tc>
        <w:tc>
          <w:tcPr>
            <w:tcW w:w="1471" w:type="dxa"/>
            <w:vMerge w:val="restart"/>
          </w:tcPr>
          <w:p w14:paraId="56C7B8F8" w14:textId="77777777" w:rsidR="00A127CB" w:rsidRPr="00B02869" w:rsidRDefault="00A127CB" w:rsidP="00F07429">
            <w:pPr>
              <w:ind w:left="0"/>
              <w:jc w:val="center"/>
              <w:rPr>
                <w:sz w:val="20"/>
                <w:szCs w:val="20"/>
              </w:rPr>
            </w:pPr>
            <w:r w:rsidRPr="00B02869">
              <w:rPr>
                <w:sz w:val="20"/>
                <w:szCs w:val="20"/>
              </w:rPr>
              <w:t>Áno</w:t>
            </w:r>
          </w:p>
          <w:p w14:paraId="470FD843" w14:textId="77777777" w:rsidR="00A127CB" w:rsidRPr="00B02869" w:rsidRDefault="00A127CB" w:rsidP="00F07429">
            <w:pPr>
              <w:ind w:left="0"/>
              <w:jc w:val="center"/>
              <w:rPr>
                <w:sz w:val="20"/>
                <w:szCs w:val="20"/>
              </w:rPr>
            </w:pPr>
          </w:p>
          <w:p w14:paraId="45E857D5" w14:textId="77777777" w:rsidR="00A127CB" w:rsidRPr="00B02869" w:rsidRDefault="00A127CB" w:rsidP="00F07429">
            <w:pPr>
              <w:ind w:left="0"/>
              <w:jc w:val="center"/>
              <w:rPr>
                <w:sz w:val="20"/>
                <w:szCs w:val="20"/>
              </w:rPr>
            </w:pPr>
          </w:p>
        </w:tc>
        <w:tc>
          <w:tcPr>
            <w:tcW w:w="2268" w:type="dxa"/>
          </w:tcPr>
          <w:p w14:paraId="7D7E69E1" w14:textId="77777777" w:rsidR="00A127CB" w:rsidRDefault="00A127CB" w:rsidP="00F07429">
            <w:pPr>
              <w:ind w:left="0"/>
              <w:rPr>
                <w:color w:val="000000"/>
                <w:sz w:val="20"/>
              </w:rPr>
            </w:pPr>
            <w:r w:rsidRPr="007F14F6">
              <w:rPr>
                <w:color w:val="000000"/>
                <w:sz w:val="20"/>
              </w:rPr>
              <w:t>Existuje vnútroštátny a/alebo regionálny plán NG</w:t>
            </w:r>
            <w:r>
              <w:rPr>
                <w:color w:val="000000"/>
                <w:sz w:val="20"/>
              </w:rPr>
              <w:t>N</w:t>
            </w:r>
            <w:r w:rsidRPr="007F14F6">
              <w:rPr>
                <w:color w:val="000000"/>
                <w:sz w:val="20"/>
              </w:rPr>
              <w:t>, ktorý obsahuje:</w:t>
            </w:r>
          </w:p>
          <w:p w14:paraId="75B0E554" w14:textId="77777777" w:rsidR="009E0158" w:rsidRDefault="00A127CB" w:rsidP="00AF712E">
            <w:pPr>
              <w:pStyle w:val="Odsekzoznamu"/>
              <w:numPr>
                <w:ilvl w:val="0"/>
                <w:numId w:val="21"/>
              </w:numPr>
              <w:ind w:left="317" w:hanging="283"/>
              <w:jc w:val="both"/>
              <w:rPr>
                <w:sz w:val="20"/>
                <w:szCs w:val="20"/>
              </w:rPr>
            </w:pPr>
            <w:r w:rsidRPr="00560E77">
              <w:rPr>
                <w:color w:val="000000"/>
                <w:sz w:val="20"/>
              </w:rPr>
              <w:lastRenderedPageBreak/>
              <w:t>Plán investícií do infraštruktúry založený na ekonomickej analýze s prihliadnutím na existujúcu súkromnú a verejnú infraštruktúru plánované investície</w:t>
            </w:r>
          </w:p>
        </w:tc>
        <w:tc>
          <w:tcPr>
            <w:tcW w:w="1276" w:type="dxa"/>
          </w:tcPr>
          <w:p w14:paraId="1E5ACCD1" w14:textId="77777777" w:rsidR="00A127CB" w:rsidRPr="00B02869" w:rsidRDefault="00A127CB" w:rsidP="00F07429">
            <w:pPr>
              <w:ind w:left="0"/>
              <w:jc w:val="center"/>
              <w:rPr>
                <w:sz w:val="20"/>
                <w:szCs w:val="20"/>
              </w:rPr>
            </w:pPr>
            <w:r w:rsidRPr="00B02869">
              <w:rPr>
                <w:sz w:val="20"/>
                <w:szCs w:val="20"/>
              </w:rPr>
              <w:lastRenderedPageBreak/>
              <w:t>Áno</w:t>
            </w:r>
          </w:p>
        </w:tc>
        <w:tc>
          <w:tcPr>
            <w:tcW w:w="3969" w:type="dxa"/>
          </w:tcPr>
          <w:p w14:paraId="1C7026CD"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 xml:space="preserve">oblasť infraštruktúry prístupovej siete novej generácie (2014 – </w:t>
            </w:r>
            <w:r w:rsidRPr="00B02869">
              <w:rPr>
                <w:color w:val="000000"/>
                <w:sz w:val="20"/>
              </w:rPr>
              <w:lastRenderedPageBreak/>
              <w:t>2020)</w:t>
            </w:r>
          </w:p>
          <w:p w14:paraId="158D34C8" w14:textId="77777777" w:rsidR="00A127CB" w:rsidRDefault="001061E2" w:rsidP="00F07429">
            <w:pPr>
              <w:ind w:left="0"/>
              <w:rPr>
                <w:color w:val="000000"/>
                <w:sz w:val="20"/>
              </w:rPr>
            </w:pPr>
            <w:hyperlink r:id="rId55" w:history="1">
              <w:r w:rsidR="00A127CB" w:rsidRPr="00147954">
                <w:rPr>
                  <w:rStyle w:val="Hypertextovprepojenie"/>
                  <w:sz w:val="20"/>
                </w:rPr>
                <w:t>http://www.rokovania.sk/Rokovanie.aspx/BodRokovaniaDetail?idMaterial=23177</w:t>
              </w:r>
            </w:hyperlink>
          </w:p>
          <w:p w14:paraId="652E99DF"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tcPr>
          <w:p w14:paraId="47D1E936" w14:textId="77777777" w:rsidR="00A127CB" w:rsidRPr="00B02869" w:rsidRDefault="00A127CB" w:rsidP="00F07429">
            <w:pPr>
              <w:jc w:val="center"/>
              <w:rPr>
                <w:sz w:val="20"/>
                <w:szCs w:val="20"/>
              </w:rPr>
            </w:pPr>
          </w:p>
        </w:tc>
      </w:tr>
      <w:tr w:rsidR="00A127CB" w:rsidRPr="00B02869" w14:paraId="095E3BE7" w14:textId="77777777" w:rsidTr="00A60558">
        <w:trPr>
          <w:trHeight w:val="340"/>
          <w:jc w:val="center"/>
        </w:trPr>
        <w:tc>
          <w:tcPr>
            <w:tcW w:w="1681" w:type="dxa"/>
            <w:vMerge/>
          </w:tcPr>
          <w:p w14:paraId="417756A0" w14:textId="77777777" w:rsidR="00A127CB" w:rsidRPr="00B02869" w:rsidRDefault="00A127CB" w:rsidP="00F07429">
            <w:pPr>
              <w:spacing w:before="20" w:after="120"/>
              <w:ind w:left="0"/>
              <w:rPr>
                <w:sz w:val="20"/>
                <w:szCs w:val="20"/>
              </w:rPr>
            </w:pPr>
          </w:p>
        </w:tc>
        <w:tc>
          <w:tcPr>
            <w:tcW w:w="1257" w:type="dxa"/>
            <w:vMerge/>
          </w:tcPr>
          <w:p w14:paraId="1A43066D" w14:textId="77777777" w:rsidR="00A127CB" w:rsidRPr="00B02869" w:rsidRDefault="00A127CB" w:rsidP="00F07429">
            <w:pPr>
              <w:ind w:left="0"/>
              <w:jc w:val="center"/>
              <w:rPr>
                <w:sz w:val="20"/>
                <w:szCs w:val="20"/>
              </w:rPr>
            </w:pPr>
          </w:p>
        </w:tc>
        <w:tc>
          <w:tcPr>
            <w:tcW w:w="1471" w:type="dxa"/>
            <w:vMerge/>
          </w:tcPr>
          <w:p w14:paraId="185A5652" w14:textId="77777777" w:rsidR="00A127CB" w:rsidRPr="00B02869" w:rsidRDefault="00A127CB" w:rsidP="00F07429">
            <w:pPr>
              <w:ind w:left="0"/>
              <w:jc w:val="center"/>
              <w:rPr>
                <w:sz w:val="20"/>
                <w:szCs w:val="20"/>
              </w:rPr>
            </w:pPr>
          </w:p>
        </w:tc>
        <w:tc>
          <w:tcPr>
            <w:tcW w:w="2268" w:type="dxa"/>
          </w:tcPr>
          <w:p w14:paraId="5CAE4FA5" w14:textId="77777777" w:rsidR="009E0158" w:rsidRDefault="00A127CB" w:rsidP="00AF712E">
            <w:pPr>
              <w:pStyle w:val="Odsekzoznamu"/>
              <w:numPr>
                <w:ilvl w:val="0"/>
                <w:numId w:val="21"/>
              </w:numPr>
              <w:ind w:left="317" w:hanging="283"/>
              <w:jc w:val="both"/>
              <w:rPr>
                <w:sz w:val="20"/>
                <w:szCs w:val="20"/>
              </w:rPr>
            </w:pPr>
            <w:r w:rsidRPr="00560E77">
              <w:rPr>
                <w:color w:val="000000"/>
                <w:sz w:val="20"/>
              </w:rPr>
              <w:t>udržateľné investičné modely podporujúce hospodársku súťaž a poskytujúce prístup k otvoreným, finančne dostupným, kvalitným a nadčasovým službám a infraštruktúre</w:t>
            </w:r>
          </w:p>
        </w:tc>
        <w:tc>
          <w:tcPr>
            <w:tcW w:w="1276" w:type="dxa"/>
          </w:tcPr>
          <w:p w14:paraId="26324E33"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72EECB86"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4E02BB15" w14:textId="77777777" w:rsidR="00A127CB" w:rsidRDefault="001061E2" w:rsidP="00F07429">
            <w:pPr>
              <w:ind w:left="0"/>
              <w:rPr>
                <w:color w:val="000000"/>
                <w:sz w:val="20"/>
              </w:rPr>
            </w:pPr>
            <w:hyperlink r:id="rId56" w:history="1">
              <w:r w:rsidR="00A127CB" w:rsidRPr="00147954">
                <w:rPr>
                  <w:rStyle w:val="Hypertextovprepojenie"/>
                  <w:sz w:val="20"/>
                </w:rPr>
                <w:t>http://www.rokovania.sk/Rokovanie.aspx/BodRokovaniaDetail?idMaterial=23177</w:t>
              </w:r>
            </w:hyperlink>
          </w:p>
          <w:p w14:paraId="59CFE194"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tcPr>
          <w:p w14:paraId="170DD983" w14:textId="77777777" w:rsidR="00A127CB" w:rsidRPr="00B02869" w:rsidRDefault="00A127CB" w:rsidP="00F07429">
            <w:pPr>
              <w:ind w:left="0"/>
              <w:jc w:val="center"/>
              <w:rPr>
                <w:sz w:val="20"/>
                <w:szCs w:val="20"/>
              </w:rPr>
            </w:pPr>
          </w:p>
        </w:tc>
      </w:tr>
      <w:tr w:rsidR="00A127CB" w:rsidRPr="00B02869" w14:paraId="6F29DB59" w14:textId="77777777" w:rsidTr="00A60558">
        <w:trPr>
          <w:trHeight w:val="340"/>
          <w:jc w:val="center"/>
        </w:trPr>
        <w:tc>
          <w:tcPr>
            <w:tcW w:w="1681" w:type="dxa"/>
            <w:vMerge/>
          </w:tcPr>
          <w:p w14:paraId="7F2CC111" w14:textId="77777777" w:rsidR="00A127CB" w:rsidRPr="00B02869" w:rsidRDefault="00A127CB" w:rsidP="00F07429">
            <w:pPr>
              <w:spacing w:before="20" w:after="120"/>
              <w:ind w:left="0"/>
              <w:rPr>
                <w:sz w:val="20"/>
                <w:szCs w:val="20"/>
              </w:rPr>
            </w:pPr>
          </w:p>
        </w:tc>
        <w:tc>
          <w:tcPr>
            <w:tcW w:w="1257" w:type="dxa"/>
            <w:vMerge/>
          </w:tcPr>
          <w:p w14:paraId="72F79332" w14:textId="77777777" w:rsidR="00A127CB" w:rsidRPr="00B02869" w:rsidRDefault="00A127CB" w:rsidP="00F07429">
            <w:pPr>
              <w:ind w:left="0"/>
              <w:jc w:val="center"/>
              <w:rPr>
                <w:sz w:val="20"/>
                <w:szCs w:val="20"/>
              </w:rPr>
            </w:pPr>
          </w:p>
        </w:tc>
        <w:tc>
          <w:tcPr>
            <w:tcW w:w="1471" w:type="dxa"/>
            <w:vMerge/>
          </w:tcPr>
          <w:p w14:paraId="1ED6E645" w14:textId="77777777" w:rsidR="00A127CB" w:rsidRPr="00B02869" w:rsidRDefault="00A127CB" w:rsidP="00F07429">
            <w:pPr>
              <w:ind w:left="0"/>
              <w:jc w:val="center"/>
              <w:rPr>
                <w:sz w:val="20"/>
                <w:szCs w:val="20"/>
              </w:rPr>
            </w:pPr>
          </w:p>
        </w:tc>
        <w:tc>
          <w:tcPr>
            <w:tcW w:w="2268" w:type="dxa"/>
          </w:tcPr>
          <w:p w14:paraId="354C9758" w14:textId="5078F0F7" w:rsidR="009E0158" w:rsidRDefault="00A127CB" w:rsidP="00AF712E">
            <w:pPr>
              <w:pStyle w:val="Odsekzoznamu"/>
              <w:numPr>
                <w:ilvl w:val="0"/>
                <w:numId w:val="21"/>
              </w:numPr>
              <w:ind w:left="317" w:hanging="283"/>
              <w:rPr>
                <w:sz w:val="20"/>
                <w:szCs w:val="20"/>
              </w:rPr>
            </w:pPr>
            <w:r w:rsidRPr="008F1EC9">
              <w:rPr>
                <w:color w:val="000000"/>
                <w:sz w:val="20"/>
              </w:rPr>
              <w:t>opatrenia na podporu</w:t>
            </w:r>
            <w:r w:rsidR="008F1EC9" w:rsidRPr="008F1EC9">
              <w:rPr>
                <w:color w:val="000000"/>
                <w:sz w:val="20"/>
              </w:rPr>
              <w:t xml:space="preserve"> </w:t>
            </w:r>
            <w:r w:rsidRPr="008F1EC9">
              <w:rPr>
                <w:color w:val="000000"/>
                <w:sz w:val="20"/>
              </w:rPr>
              <w:t>súkromných investícií</w:t>
            </w:r>
          </w:p>
        </w:tc>
        <w:tc>
          <w:tcPr>
            <w:tcW w:w="1276" w:type="dxa"/>
          </w:tcPr>
          <w:p w14:paraId="5656E03C"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5DE552C2"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41A4CB12" w14:textId="77777777" w:rsidR="00A127CB" w:rsidRDefault="001061E2" w:rsidP="00F07429">
            <w:pPr>
              <w:ind w:left="0"/>
              <w:rPr>
                <w:color w:val="000000"/>
                <w:sz w:val="20"/>
              </w:rPr>
            </w:pPr>
            <w:hyperlink r:id="rId57" w:history="1">
              <w:r w:rsidR="00A127CB" w:rsidRPr="00147954">
                <w:rPr>
                  <w:rStyle w:val="Hypertextovprepojenie"/>
                  <w:sz w:val="20"/>
                </w:rPr>
                <w:t>http://www.rokovania.sk/Rokovanie.aspx/BodRokovaniaDetail?idMaterial=23177</w:t>
              </w:r>
            </w:hyperlink>
          </w:p>
          <w:p w14:paraId="6A0F4F46"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tcPr>
          <w:p w14:paraId="6861132F" w14:textId="77777777" w:rsidR="00A127CB" w:rsidRPr="00B02869" w:rsidRDefault="00A127CB" w:rsidP="00F07429">
            <w:pPr>
              <w:ind w:left="0"/>
              <w:jc w:val="center"/>
              <w:rPr>
                <w:sz w:val="20"/>
                <w:szCs w:val="20"/>
              </w:rPr>
            </w:pPr>
          </w:p>
        </w:tc>
      </w:tr>
    </w:tbl>
    <w:p w14:paraId="33D0C70A" w14:textId="22F6FED3" w:rsidR="00A11099" w:rsidRDefault="00A11099" w:rsidP="00BE7E07">
      <w:pPr>
        <w:pStyle w:val="Tab"/>
        <w:numPr>
          <w:ilvl w:val="0"/>
          <w:numId w:val="0"/>
        </w:numPr>
        <w:ind w:left="360" w:hanging="360"/>
      </w:pPr>
      <w:r>
        <w:br w:type="page"/>
      </w:r>
    </w:p>
    <w:p w14:paraId="4EE23084" w14:textId="77777777" w:rsidR="00A11099" w:rsidRDefault="00A11099" w:rsidP="00A11099">
      <w:pPr>
        <w:pStyle w:val="Tab"/>
        <w:rPr>
          <w:b/>
          <w:i/>
        </w:rPr>
      </w:pPr>
      <w:r>
        <w:lastRenderedPageBreak/>
        <w:t>Identifikácia tematických</w:t>
      </w:r>
      <w:r w:rsidRPr="001A49CC">
        <w:t xml:space="preserve"> ex ante kondicionalít a vyhodnotenie ich plnenia</w:t>
      </w:r>
      <w:r>
        <w:t xml:space="preserve"> – </w:t>
      </w:r>
      <w:r>
        <w:rPr>
          <w:b/>
          <w:i/>
        </w:rPr>
        <w:t>Výskum a inovácie</w:t>
      </w:r>
    </w:p>
    <w:tbl>
      <w:tblPr>
        <w:tblStyle w:val="Mriekatabuky"/>
        <w:tblW w:w="14473" w:type="dxa"/>
        <w:jc w:val="center"/>
        <w:tblBorders>
          <w:top w:val="single" w:sz="2" w:space="0" w:color="auto"/>
          <w:left w:val="single" w:sz="2" w:space="0" w:color="auto"/>
          <w:bottom w:val="single" w:sz="2" w:space="0" w:color="auto"/>
          <w:right w:val="single" w:sz="2" w:space="0" w:color="auto"/>
          <w:insideH w:val="none" w:sz="0" w:space="0" w:color="auto"/>
          <w:insideV w:val="single" w:sz="2" w:space="0" w:color="auto"/>
        </w:tblBorders>
        <w:tblLayout w:type="fixed"/>
        <w:tblLook w:val="04A0" w:firstRow="1" w:lastRow="0" w:firstColumn="1" w:lastColumn="0" w:noHBand="0" w:noVBand="1"/>
      </w:tblPr>
      <w:tblGrid>
        <w:gridCol w:w="1681"/>
        <w:gridCol w:w="1257"/>
        <w:gridCol w:w="1471"/>
        <w:gridCol w:w="2268"/>
        <w:gridCol w:w="1276"/>
        <w:gridCol w:w="3969"/>
        <w:gridCol w:w="2551"/>
      </w:tblGrid>
      <w:tr w:rsidR="00A11099" w:rsidRPr="00B02869" w14:paraId="45D046D3" w14:textId="77777777" w:rsidTr="0019722D">
        <w:trPr>
          <w:trHeight w:val="340"/>
          <w:jc w:val="center"/>
        </w:trPr>
        <w:tc>
          <w:tcPr>
            <w:tcW w:w="1681" w:type="dxa"/>
            <w:tcBorders>
              <w:top w:val="single" w:sz="2" w:space="0" w:color="auto"/>
              <w:bottom w:val="single" w:sz="2" w:space="0" w:color="auto"/>
            </w:tcBorders>
            <w:shd w:val="clear" w:color="auto" w:fill="C6D9F1" w:themeFill="text2" w:themeFillTint="33"/>
            <w:vAlign w:val="center"/>
          </w:tcPr>
          <w:p w14:paraId="566C0940" w14:textId="77777777" w:rsidR="00A11099" w:rsidRPr="003F7110" w:rsidRDefault="00A11099" w:rsidP="008120B9">
            <w:pPr>
              <w:ind w:left="0"/>
              <w:jc w:val="center"/>
              <w:rPr>
                <w:sz w:val="20"/>
                <w:szCs w:val="20"/>
              </w:rPr>
            </w:pPr>
            <w:r w:rsidRPr="003F7110">
              <w:rPr>
                <w:sz w:val="20"/>
                <w:szCs w:val="20"/>
              </w:rPr>
              <w:t>Ex ante kondicionalita</w:t>
            </w:r>
          </w:p>
        </w:tc>
        <w:tc>
          <w:tcPr>
            <w:tcW w:w="1257" w:type="dxa"/>
            <w:tcBorders>
              <w:top w:val="single" w:sz="2" w:space="0" w:color="auto"/>
              <w:bottom w:val="single" w:sz="2" w:space="0" w:color="auto"/>
            </w:tcBorders>
            <w:shd w:val="clear" w:color="auto" w:fill="C6D9F1" w:themeFill="text2" w:themeFillTint="33"/>
            <w:vAlign w:val="center"/>
          </w:tcPr>
          <w:p w14:paraId="09ABB92A" w14:textId="77777777" w:rsidR="00A11099" w:rsidRPr="003F7110" w:rsidRDefault="00A11099" w:rsidP="008120B9">
            <w:pPr>
              <w:ind w:left="0"/>
              <w:jc w:val="center"/>
              <w:rPr>
                <w:sz w:val="20"/>
                <w:szCs w:val="20"/>
              </w:rPr>
            </w:pPr>
            <w:r w:rsidRPr="003F7110">
              <w:rPr>
                <w:sz w:val="20"/>
                <w:szCs w:val="20"/>
              </w:rPr>
              <w:t xml:space="preserve">Prioritná os </w:t>
            </w:r>
          </w:p>
        </w:tc>
        <w:tc>
          <w:tcPr>
            <w:tcW w:w="1471" w:type="dxa"/>
            <w:tcBorders>
              <w:top w:val="single" w:sz="2" w:space="0" w:color="auto"/>
              <w:bottom w:val="single" w:sz="2" w:space="0" w:color="auto"/>
            </w:tcBorders>
            <w:shd w:val="clear" w:color="auto" w:fill="C6D9F1" w:themeFill="text2" w:themeFillTint="33"/>
            <w:vAlign w:val="center"/>
          </w:tcPr>
          <w:p w14:paraId="1BEB3CBA" w14:textId="77777777" w:rsidR="00A11099" w:rsidRPr="003F7110" w:rsidRDefault="00A11099" w:rsidP="008120B9">
            <w:pPr>
              <w:ind w:left="0"/>
              <w:jc w:val="center"/>
              <w:rPr>
                <w:sz w:val="20"/>
                <w:szCs w:val="20"/>
              </w:rPr>
            </w:pPr>
            <w:r w:rsidRPr="003F7110">
              <w:rPr>
                <w:sz w:val="20"/>
                <w:szCs w:val="20"/>
              </w:rPr>
              <w:t>Splnenie ex ante kondicionality Áno/Nie/Čiastočne</w:t>
            </w:r>
          </w:p>
        </w:tc>
        <w:tc>
          <w:tcPr>
            <w:tcW w:w="2268" w:type="dxa"/>
            <w:tcBorders>
              <w:top w:val="single" w:sz="2" w:space="0" w:color="auto"/>
              <w:bottom w:val="single" w:sz="2" w:space="0" w:color="auto"/>
            </w:tcBorders>
            <w:shd w:val="clear" w:color="auto" w:fill="C6D9F1" w:themeFill="text2" w:themeFillTint="33"/>
            <w:vAlign w:val="center"/>
          </w:tcPr>
          <w:p w14:paraId="2A857574" w14:textId="77777777" w:rsidR="00A11099" w:rsidRPr="003F7110" w:rsidRDefault="00A11099" w:rsidP="008120B9">
            <w:pPr>
              <w:ind w:left="0"/>
              <w:jc w:val="center"/>
              <w:rPr>
                <w:sz w:val="20"/>
                <w:szCs w:val="20"/>
              </w:rPr>
            </w:pPr>
            <w:r w:rsidRPr="003F7110">
              <w:rPr>
                <w:sz w:val="20"/>
                <w:szCs w:val="20"/>
              </w:rPr>
              <w:t>Kritériá</w:t>
            </w:r>
          </w:p>
        </w:tc>
        <w:tc>
          <w:tcPr>
            <w:tcW w:w="1276" w:type="dxa"/>
            <w:tcBorders>
              <w:top w:val="single" w:sz="2" w:space="0" w:color="auto"/>
              <w:bottom w:val="single" w:sz="2" w:space="0" w:color="auto"/>
            </w:tcBorders>
            <w:shd w:val="clear" w:color="auto" w:fill="C6D9F1" w:themeFill="text2" w:themeFillTint="33"/>
            <w:vAlign w:val="center"/>
          </w:tcPr>
          <w:p w14:paraId="5CF79A5D" w14:textId="77777777" w:rsidR="00A11099" w:rsidRPr="003F7110" w:rsidRDefault="00A11099" w:rsidP="008120B9">
            <w:pPr>
              <w:ind w:left="0"/>
              <w:jc w:val="center"/>
              <w:rPr>
                <w:sz w:val="20"/>
                <w:szCs w:val="20"/>
              </w:rPr>
            </w:pPr>
            <w:r w:rsidRPr="003F7110">
              <w:rPr>
                <w:sz w:val="20"/>
                <w:szCs w:val="20"/>
              </w:rPr>
              <w:t>Splnenie kritérií Áno/Nie</w:t>
            </w:r>
          </w:p>
        </w:tc>
        <w:tc>
          <w:tcPr>
            <w:tcW w:w="3969" w:type="dxa"/>
            <w:tcBorders>
              <w:top w:val="single" w:sz="2" w:space="0" w:color="auto"/>
              <w:bottom w:val="single" w:sz="2" w:space="0" w:color="auto"/>
            </w:tcBorders>
            <w:shd w:val="clear" w:color="auto" w:fill="C6D9F1" w:themeFill="text2" w:themeFillTint="33"/>
            <w:vAlign w:val="center"/>
          </w:tcPr>
          <w:p w14:paraId="21E9B69B" w14:textId="77777777" w:rsidR="00A11099" w:rsidRPr="003F7110" w:rsidRDefault="00A11099" w:rsidP="008120B9">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51" w:type="dxa"/>
            <w:tcBorders>
              <w:top w:val="single" w:sz="2" w:space="0" w:color="auto"/>
              <w:bottom w:val="single" w:sz="2" w:space="0" w:color="auto"/>
            </w:tcBorders>
            <w:shd w:val="clear" w:color="auto" w:fill="C6D9F1" w:themeFill="text2" w:themeFillTint="33"/>
            <w:vAlign w:val="center"/>
          </w:tcPr>
          <w:p w14:paraId="1E0F2377" w14:textId="77777777" w:rsidR="00A11099" w:rsidRPr="003F7110" w:rsidRDefault="00A11099" w:rsidP="008120B9">
            <w:pPr>
              <w:ind w:left="0"/>
              <w:jc w:val="center"/>
              <w:rPr>
                <w:sz w:val="20"/>
                <w:szCs w:val="20"/>
              </w:rPr>
            </w:pPr>
            <w:r w:rsidRPr="003F7110">
              <w:rPr>
                <w:sz w:val="20"/>
                <w:szCs w:val="20"/>
              </w:rPr>
              <w:t>Vysvetlenia</w:t>
            </w:r>
          </w:p>
        </w:tc>
      </w:tr>
      <w:tr w:rsidR="00A11099" w:rsidRPr="00B02869" w14:paraId="592AA799" w14:textId="77777777" w:rsidTr="0019722D">
        <w:trPr>
          <w:trHeight w:val="340"/>
          <w:jc w:val="center"/>
        </w:trPr>
        <w:tc>
          <w:tcPr>
            <w:tcW w:w="1681" w:type="dxa"/>
            <w:tcBorders>
              <w:top w:val="single" w:sz="2" w:space="0" w:color="auto"/>
              <w:bottom w:val="single" w:sz="2" w:space="0" w:color="auto"/>
            </w:tcBorders>
            <w:shd w:val="clear" w:color="auto" w:fill="FFFFFF" w:themeFill="background1"/>
            <w:vAlign w:val="center"/>
          </w:tcPr>
          <w:p w14:paraId="6239E823" w14:textId="77777777" w:rsidR="00A11099" w:rsidRPr="003F7110" w:rsidRDefault="00A11099" w:rsidP="008120B9">
            <w:pPr>
              <w:ind w:left="0"/>
              <w:rPr>
                <w:sz w:val="20"/>
                <w:szCs w:val="20"/>
              </w:rPr>
            </w:pPr>
            <w:r w:rsidRPr="00F4691D">
              <w:rPr>
                <w:sz w:val="20"/>
                <w:szCs w:val="20"/>
              </w:rPr>
              <w:t>1.1. Výskum a inovácie: Existencia národnej a/alebo regionálnej stratégie inteligentnej špecializácie, ktorá je v súlade s národným programom reforiem, na získanie súkromných financií na výskum a vývoj, ktoré spĺňajú znaky národných a regionálnych systémov výskumu a inovácií dosahujúcich vynikajúce výsledky.</w:t>
            </w:r>
          </w:p>
        </w:tc>
        <w:tc>
          <w:tcPr>
            <w:tcW w:w="1257" w:type="dxa"/>
            <w:tcBorders>
              <w:top w:val="single" w:sz="2" w:space="0" w:color="auto"/>
              <w:bottom w:val="single" w:sz="2" w:space="0" w:color="auto"/>
            </w:tcBorders>
            <w:shd w:val="clear" w:color="auto" w:fill="FFFFFF" w:themeFill="background1"/>
            <w:vAlign w:val="center"/>
          </w:tcPr>
          <w:p w14:paraId="628B7E99" w14:textId="77777777" w:rsidR="00A11099" w:rsidRPr="00B02869" w:rsidRDefault="00A11099" w:rsidP="008120B9">
            <w:pPr>
              <w:ind w:left="0"/>
              <w:jc w:val="center"/>
              <w:rPr>
                <w:sz w:val="20"/>
                <w:szCs w:val="20"/>
              </w:rPr>
            </w:pPr>
            <w:r>
              <w:rPr>
                <w:sz w:val="20"/>
                <w:szCs w:val="20"/>
              </w:rPr>
              <w:t>PO 9, PO 10</w:t>
            </w:r>
          </w:p>
          <w:p w14:paraId="1C84A567" w14:textId="77777777" w:rsidR="00A11099" w:rsidRPr="003F7110" w:rsidRDefault="00A11099" w:rsidP="008120B9">
            <w:pPr>
              <w:ind w:left="0"/>
              <w:jc w:val="center"/>
              <w:rPr>
                <w:sz w:val="20"/>
                <w:szCs w:val="20"/>
              </w:rPr>
            </w:pPr>
          </w:p>
        </w:tc>
        <w:tc>
          <w:tcPr>
            <w:tcW w:w="1471" w:type="dxa"/>
            <w:tcBorders>
              <w:top w:val="single" w:sz="2" w:space="0" w:color="auto"/>
              <w:bottom w:val="single" w:sz="2" w:space="0" w:color="auto"/>
            </w:tcBorders>
            <w:shd w:val="clear" w:color="auto" w:fill="FFFFFF" w:themeFill="background1"/>
            <w:vAlign w:val="center"/>
          </w:tcPr>
          <w:p w14:paraId="27CA1086" w14:textId="77777777" w:rsidR="00A11099" w:rsidRPr="00B02869" w:rsidRDefault="00A11099" w:rsidP="008120B9">
            <w:pPr>
              <w:ind w:left="0"/>
              <w:jc w:val="center"/>
              <w:rPr>
                <w:sz w:val="20"/>
                <w:szCs w:val="20"/>
              </w:rPr>
            </w:pPr>
            <w:r>
              <w:rPr>
                <w:sz w:val="20"/>
                <w:szCs w:val="20"/>
              </w:rPr>
              <w:t>Čiastočne</w:t>
            </w:r>
          </w:p>
          <w:p w14:paraId="0DE8AFB0" w14:textId="77777777" w:rsidR="00A11099" w:rsidRPr="003F7110" w:rsidRDefault="00A11099" w:rsidP="008120B9">
            <w:pPr>
              <w:ind w:left="0"/>
              <w:jc w:val="center"/>
              <w:rPr>
                <w:sz w:val="20"/>
                <w:szCs w:val="20"/>
              </w:rPr>
            </w:pPr>
          </w:p>
        </w:tc>
        <w:tc>
          <w:tcPr>
            <w:tcW w:w="2268" w:type="dxa"/>
            <w:tcBorders>
              <w:top w:val="single" w:sz="2" w:space="0" w:color="auto"/>
              <w:bottom w:val="single" w:sz="2" w:space="0" w:color="auto"/>
            </w:tcBorders>
            <w:shd w:val="clear" w:color="auto" w:fill="FFFFFF" w:themeFill="background1"/>
            <w:vAlign w:val="center"/>
          </w:tcPr>
          <w:p w14:paraId="32A89F99" w14:textId="77777777" w:rsidR="00A11099" w:rsidRPr="00F4691D" w:rsidRDefault="00A11099" w:rsidP="008120B9">
            <w:pPr>
              <w:pStyle w:val="TableParagraph"/>
              <w:spacing w:before="91" w:line="247" w:lineRule="auto"/>
              <w:ind w:left="69" w:right="151"/>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1. Je zavedená vnútroštátna alebo regionálna stratégia inteligentnej špecializácie, ktorá:</w:t>
            </w:r>
          </w:p>
          <w:p w14:paraId="09FF6DF4" w14:textId="77777777" w:rsidR="00A11099" w:rsidRPr="00F4691D" w:rsidRDefault="00A11099" w:rsidP="008120B9">
            <w:pPr>
              <w:pStyle w:val="Odsekzoznamu"/>
              <w:numPr>
                <w:ilvl w:val="0"/>
                <w:numId w:val="21"/>
              </w:numPr>
              <w:ind w:left="317" w:hanging="283"/>
              <w:jc w:val="both"/>
              <w:rPr>
                <w:sz w:val="20"/>
                <w:szCs w:val="20"/>
              </w:rPr>
            </w:pPr>
            <w:r w:rsidRPr="00F4691D">
              <w:rPr>
                <w:sz w:val="20"/>
                <w:szCs w:val="20"/>
              </w:rPr>
              <w:t>je založená na SWOT alebo podobnej analýze s cieľom sústrediť zdroje na obmedzený počet priorít v oblasti výskumu a inovácií;</w:t>
            </w:r>
          </w:p>
          <w:p w14:paraId="2729D40D" w14:textId="77777777" w:rsidR="00A11099" w:rsidRPr="00F4691D" w:rsidRDefault="00A11099" w:rsidP="008120B9">
            <w:pPr>
              <w:pStyle w:val="Odsekzoznamu"/>
              <w:numPr>
                <w:ilvl w:val="0"/>
                <w:numId w:val="21"/>
              </w:numPr>
              <w:ind w:left="317" w:hanging="283"/>
              <w:jc w:val="both"/>
              <w:rPr>
                <w:sz w:val="20"/>
                <w:szCs w:val="20"/>
              </w:rPr>
            </w:pPr>
            <w:r w:rsidRPr="00F4691D">
              <w:rPr>
                <w:sz w:val="20"/>
                <w:szCs w:val="20"/>
              </w:rPr>
              <w:t>popisuje opatrenia na podporu súkromných investícií do výskumu a vývoja;</w:t>
            </w:r>
          </w:p>
          <w:p w14:paraId="0AB8C939" w14:textId="77777777" w:rsidR="00A11099" w:rsidRPr="00F4691D" w:rsidRDefault="00A11099" w:rsidP="008120B9">
            <w:pPr>
              <w:pStyle w:val="Odsekzoznamu"/>
              <w:numPr>
                <w:ilvl w:val="0"/>
                <w:numId w:val="21"/>
              </w:numPr>
              <w:ind w:left="317" w:hanging="283"/>
              <w:jc w:val="both"/>
              <w:rPr>
                <w:sz w:val="20"/>
                <w:szCs w:val="20"/>
              </w:rPr>
            </w:pPr>
            <w:r w:rsidRPr="00F4691D">
              <w:rPr>
                <w:sz w:val="20"/>
                <w:szCs w:val="20"/>
              </w:rPr>
              <w:t>obsahuje monitorovací mechanizmus.</w:t>
            </w:r>
          </w:p>
          <w:p w14:paraId="6E0C42A8" w14:textId="77777777" w:rsidR="00A11099" w:rsidRPr="003F7110" w:rsidRDefault="00A11099" w:rsidP="008120B9">
            <w:pPr>
              <w:ind w:left="0"/>
              <w:rPr>
                <w:sz w:val="20"/>
                <w:szCs w:val="20"/>
              </w:rPr>
            </w:pPr>
            <w:r w:rsidRPr="00F4691D">
              <w:rPr>
                <w:sz w:val="20"/>
                <w:szCs w:val="20"/>
              </w:rPr>
              <w:t>2. Bol prijatý rámec opisujúci dostupné rozpočtové zdroje na výskum a inovácie.</w:t>
            </w:r>
          </w:p>
        </w:tc>
        <w:tc>
          <w:tcPr>
            <w:tcW w:w="1276" w:type="dxa"/>
            <w:tcBorders>
              <w:top w:val="single" w:sz="2" w:space="0" w:color="auto"/>
              <w:bottom w:val="single" w:sz="2" w:space="0" w:color="auto"/>
            </w:tcBorders>
            <w:shd w:val="clear" w:color="auto" w:fill="FFFFFF" w:themeFill="background1"/>
          </w:tcPr>
          <w:p w14:paraId="676614A6" w14:textId="77777777" w:rsidR="00A11099" w:rsidRDefault="00A11099" w:rsidP="008120B9">
            <w:pPr>
              <w:ind w:left="0"/>
              <w:jc w:val="center"/>
              <w:rPr>
                <w:sz w:val="20"/>
                <w:szCs w:val="20"/>
              </w:rPr>
            </w:pPr>
          </w:p>
          <w:p w14:paraId="52331A9E" w14:textId="77777777" w:rsidR="00A11099" w:rsidRDefault="00A11099" w:rsidP="008120B9">
            <w:pPr>
              <w:ind w:left="0"/>
              <w:jc w:val="center"/>
              <w:rPr>
                <w:sz w:val="20"/>
                <w:szCs w:val="20"/>
              </w:rPr>
            </w:pPr>
          </w:p>
          <w:p w14:paraId="0D90F1F9" w14:textId="77777777" w:rsidR="00A11099" w:rsidRDefault="00A11099" w:rsidP="008120B9">
            <w:pPr>
              <w:ind w:left="0"/>
              <w:jc w:val="center"/>
              <w:rPr>
                <w:sz w:val="20"/>
                <w:szCs w:val="20"/>
              </w:rPr>
            </w:pPr>
          </w:p>
          <w:p w14:paraId="0C9F9761" w14:textId="77777777" w:rsidR="00A11099" w:rsidRDefault="00A11099" w:rsidP="008120B9">
            <w:pPr>
              <w:ind w:left="0"/>
              <w:jc w:val="center"/>
              <w:rPr>
                <w:sz w:val="20"/>
                <w:szCs w:val="20"/>
              </w:rPr>
            </w:pPr>
          </w:p>
          <w:p w14:paraId="617F275F" w14:textId="77777777" w:rsidR="00A11099" w:rsidRDefault="00A11099" w:rsidP="008120B9">
            <w:pPr>
              <w:ind w:left="0"/>
              <w:jc w:val="center"/>
              <w:rPr>
                <w:sz w:val="20"/>
                <w:szCs w:val="20"/>
              </w:rPr>
            </w:pPr>
          </w:p>
          <w:p w14:paraId="66165E1F" w14:textId="77777777" w:rsidR="00A11099" w:rsidRDefault="00A11099" w:rsidP="008120B9">
            <w:pPr>
              <w:ind w:left="0"/>
              <w:jc w:val="center"/>
              <w:rPr>
                <w:sz w:val="20"/>
                <w:szCs w:val="20"/>
              </w:rPr>
            </w:pPr>
          </w:p>
          <w:p w14:paraId="0325B9B6" w14:textId="77777777" w:rsidR="00A11099" w:rsidRDefault="00A11099" w:rsidP="008120B9">
            <w:pPr>
              <w:ind w:left="0"/>
              <w:jc w:val="center"/>
              <w:rPr>
                <w:sz w:val="20"/>
                <w:szCs w:val="20"/>
              </w:rPr>
            </w:pPr>
          </w:p>
          <w:p w14:paraId="5952248D" w14:textId="77777777" w:rsidR="00A11099" w:rsidRDefault="00A11099" w:rsidP="008120B9">
            <w:pPr>
              <w:ind w:left="0"/>
              <w:jc w:val="center"/>
              <w:rPr>
                <w:sz w:val="20"/>
                <w:szCs w:val="20"/>
              </w:rPr>
            </w:pPr>
          </w:p>
          <w:p w14:paraId="3F512039" w14:textId="77777777" w:rsidR="00A11099" w:rsidRDefault="00A11099" w:rsidP="008120B9">
            <w:pPr>
              <w:ind w:left="0"/>
              <w:jc w:val="center"/>
              <w:rPr>
                <w:sz w:val="20"/>
                <w:szCs w:val="20"/>
              </w:rPr>
            </w:pPr>
          </w:p>
          <w:p w14:paraId="264E03E0" w14:textId="77777777" w:rsidR="00A11099" w:rsidRDefault="00A11099" w:rsidP="008120B9">
            <w:pPr>
              <w:ind w:left="0"/>
              <w:jc w:val="center"/>
              <w:rPr>
                <w:sz w:val="20"/>
                <w:szCs w:val="20"/>
              </w:rPr>
            </w:pPr>
            <w:r>
              <w:rPr>
                <w:sz w:val="20"/>
                <w:szCs w:val="20"/>
              </w:rPr>
              <w:t>Áno</w:t>
            </w:r>
          </w:p>
          <w:p w14:paraId="19F761B3" w14:textId="77777777" w:rsidR="00A11099" w:rsidRDefault="00A11099" w:rsidP="008120B9">
            <w:pPr>
              <w:ind w:left="0"/>
              <w:jc w:val="center"/>
              <w:rPr>
                <w:sz w:val="20"/>
                <w:szCs w:val="20"/>
              </w:rPr>
            </w:pPr>
          </w:p>
          <w:p w14:paraId="426BC1C8" w14:textId="77777777" w:rsidR="00A11099" w:rsidRDefault="00A11099" w:rsidP="008120B9">
            <w:pPr>
              <w:ind w:left="0"/>
              <w:jc w:val="center"/>
              <w:rPr>
                <w:sz w:val="20"/>
                <w:szCs w:val="20"/>
              </w:rPr>
            </w:pPr>
          </w:p>
          <w:p w14:paraId="3AF5E083" w14:textId="77777777" w:rsidR="00A11099" w:rsidRDefault="00A11099" w:rsidP="008120B9">
            <w:pPr>
              <w:ind w:left="0"/>
              <w:jc w:val="center"/>
              <w:rPr>
                <w:sz w:val="20"/>
                <w:szCs w:val="20"/>
              </w:rPr>
            </w:pPr>
          </w:p>
          <w:p w14:paraId="05B2C6AD" w14:textId="77777777" w:rsidR="00A11099" w:rsidRDefault="00A11099" w:rsidP="008120B9">
            <w:pPr>
              <w:ind w:left="0"/>
              <w:jc w:val="center"/>
              <w:rPr>
                <w:sz w:val="20"/>
                <w:szCs w:val="20"/>
              </w:rPr>
            </w:pPr>
          </w:p>
          <w:p w14:paraId="367CA075" w14:textId="77777777" w:rsidR="00A11099" w:rsidRDefault="00A11099" w:rsidP="008120B9">
            <w:pPr>
              <w:ind w:left="0"/>
              <w:jc w:val="center"/>
              <w:rPr>
                <w:sz w:val="20"/>
                <w:szCs w:val="20"/>
              </w:rPr>
            </w:pPr>
          </w:p>
          <w:p w14:paraId="66247886" w14:textId="77777777" w:rsidR="00A11099" w:rsidRDefault="00A11099" w:rsidP="008120B9">
            <w:pPr>
              <w:ind w:left="0"/>
              <w:jc w:val="center"/>
              <w:rPr>
                <w:sz w:val="20"/>
                <w:szCs w:val="20"/>
              </w:rPr>
            </w:pPr>
          </w:p>
          <w:p w14:paraId="2030AC96" w14:textId="77777777" w:rsidR="00A11099" w:rsidRDefault="00A11099" w:rsidP="008120B9">
            <w:pPr>
              <w:ind w:left="0"/>
              <w:jc w:val="center"/>
              <w:rPr>
                <w:sz w:val="20"/>
                <w:szCs w:val="20"/>
              </w:rPr>
            </w:pPr>
            <w:r>
              <w:rPr>
                <w:sz w:val="20"/>
                <w:szCs w:val="20"/>
              </w:rPr>
              <w:t>Áno</w:t>
            </w:r>
          </w:p>
          <w:p w14:paraId="0659AC4B" w14:textId="77777777" w:rsidR="00A11099" w:rsidRDefault="00A11099" w:rsidP="008120B9">
            <w:pPr>
              <w:ind w:left="0"/>
              <w:jc w:val="center"/>
              <w:rPr>
                <w:sz w:val="20"/>
                <w:szCs w:val="20"/>
              </w:rPr>
            </w:pPr>
          </w:p>
          <w:p w14:paraId="39337CC2" w14:textId="77777777" w:rsidR="00A11099" w:rsidRDefault="00A11099" w:rsidP="008120B9">
            <w:pPr>
              <w:ind w:left="0"/>
              <w:jc w:val="center"/>
              <w:rPr>
                <w:sz w:val="20"/>
                <w:szCs w:val="20"/>
              </w:rPr>
            </w:pPr>
          </w:p>
          <w:p w14:paraId="0745EB35" w14:textId="77777777" w:rsidR="00A11099" w:rsidRDefault="00A11099" w:rsidP="008120B9">
            <w:pPr>
              <w:ind w:left="0"/>
              <w:jc w:val="center"/>
              <w:rPr>
                <w:sz w:val="20"/>
                <w:szCs w:val="20"/>
              </w:rPr>
            </w:pPr>
          </w:p>
          <w:p w14:paraId="205D03BB" w14:textId="77777777" w:rsidR="00A11099" w:rsidRDefault="00A11099" w:rsidP="008120B9">
            <w:pPr>
              <w:ind w:left="0"/>
              <w:jc w:val="center"/>
              <w:rPr>
                <w:sz w:val="20"/>
                <w:szCs w:val="20"/>
              </w:rPr>
            </w:pPr>
            <w:r>
              <w:rPr>
                <w:sz w:val="20"/>
                <w:szCs w:val="20"/>
              </w:rPr>
              <w:t>Áno</w:t>
            </w:r>
          </w:p>
          <w:p w14:paraId="2B64EE9B" w14:textId="77777777" w:rsidR="00A11099" w:rsidRDefault="00A11099" w:rsidP="008120B9">
            <w:pPr>
              <w:ind w:left="0"/>
              <w:jc w:val="center"/>
              <w:rPr>
                <w:sz w:val="20"/>
                <w:szCs w:val="20"/>
              </w:rPr>
            </w:pPr>
          </w:p>
          <w:p w14:paraId="5A2289B2" w14:textId="77777777" w:rsidR="00A11099" w:rsidRDefault="00A11099" w:rsidP="008120B9">
            <w:pPr>
              <w:ind w:left="0"/>
              <w:jc w:val="center"/>
              <w:rPr>
                <w:sz w:val="20"/>
                <w:szCs w:val="20"/>
              </w:rPr>
            </w:pPr>
          </w:p>
          <w:p w14:paraId="7A096640" w14:textId="77777777" w:rsidR="00A11099" w:rsidRDefault="00A11099" w:rsidP="008120B9">
            <w:pPr>
              <w:ind w:left="0"/>
              <w:jc w:val="center"/>
              <w:rPr>
                <w:sz w:val="20"/>
                <w:szCs w:val="20"/>
              </w:rPr>
            </w:pPr>
            <w:r>
              <w:rPr>
                <w:sz w:val="20"/>
                <w:szCs w:val="20"/>
              </w:rPr>
              <w:t>Áno</w:t>
            </w:r>
          </w:p>
          <w:p w14:paraId="55A4975D" w14:textId="77777777" w:rsidR="00A11099" w:rsidRDefault="00A11099" w:rsidP="008120B9">
            <w:pPr>
              <w:ind w:left="0"/>
              <w:jc w:val="center"/>
              <w:rPr>
                <w:sz w:val="20"/>
                <w:szCs w:val="20"/>
              </w:rPr>
            </w:pPr>
          </w:p>
          <w:p w14:paraId="264FBD34" w14:textId="77777777" w:rsidR="00A11099" w:rsidRDefault="00A11099" w:rsidP="008120B9">
            <w:pPr>
              <w:ind w:left="0"/>
              <w:jc w:val="center"/>
              <w:rPr>
                <w:sz w:val="20"/>
                <w:szCs w:val="20"/>
              </w:rPr>
            </w:pPr>
          </w:p>
          <w:p w14:paraId="5C1A3560" w14:textId="77777777" w:rsidR="00A11099" w:rsidRPr="003F7110" w:rsidRDefault="00A11099" w:rsidP="008120B9">
            <w:pPr>
              <w:ind w:left="0"/>
              <w:jc w:val="center"/>
              <w:rPr>
                <w:sz w:val="20"/>
                <w:szCs w:val="20"/>
              </w:rPr>
            </w:pPr>
          </w:p>
        </w:tc>
        <w:tc>
          <w:tcPr>
            <w:tcW w:w="3969" w:type="dxa"/>
            <w:tcBorders>
              <w:top w:val="single" w:sz="2" w:space="0" w:color="auto"/>
              <w:bottom w:val="single" w:sz="2" w:space="0" w:color="auto"/>
            </w:tcBorders>
            <w:shd w:val="clear" w:color="auto" w:fill="FFFFFF" w:themeFill="background1"/>
            <w:vAlign w:val="center"/>
          </w:tcPr>
          <w:p w14:paraId="747E9AA2" w14:textId="77777777" w:rsidR="00A11099" w:rsidRDefault="00A11099" w:rsidP="008120B9">
            <w:pPr>
              <w:pStyle w:val="TableParagraph"/>
              <w:spacing w:before="71" w:line="247" w:lineRule="auto"/>
              <w:ind w:left="146" w:right="144"/>
              <w:jc w:val="center"/>
              <w:rPr>
                <w:rFonts w:ascii="Times New Roman" w:hAnsi="Times New Roman" w:cs="Times New Roman"/>
                <w:sz w:val="20"/>
                <w:szCs w:val="20"/>
              </w:rPr>
            </w:pPr>
          </w:p>
          <w:p w14:paraId="37FF353C" w14:textId="77777777" w:rsidR="00A11099" w:rsidRDefault="00A11099" w:rsidP="008120B9">
            <w:pPr>
              <w:pStyle w:val="TableParagraph"/>
              <w:spacing w:before="71" w:line="247" w:lineRule="auto"/>
              <w:ind w:left="146" w:right="144"/>
              <w:jc w:val="center"/>
              <w:rPr>
                <w:rFonts w:ascii="Times New Roman" w:hAnsi="Times New Roman" w:cs="Times New Roman"/>
                <w:sz w:val="20"/>
                <w:szCs w:val="20"/>
              </w:rPr>
            </w:pPr>
          </w:p>
          <w:p w14:paraId="54AA065A" w14:textId="77777777" w:rsidR="00A11099" w:rsidRPr="00203694" w:rsidRDefault="001061E2" w:rsidP="008120B9">
            <w:pPr>
              <w:pStyle w:val="TableParagraph"/>
              <w:spacing w:before="71" w:line="247" w:lineRule="auto"/>
              <w:ind w:left="146" w:right="144"/>
              <w:jc w:val="center"/>
              <w:rPr>
                <w:rFonts w:ascii="Times New Roman" w:eastAsia="Gill Sans MT" w:hAnsi="Times New Roman" w:cs="Times New Roman"/>
                <w:sz w:val="20"/>
                <w:szCs w:val="20"/>
              </w:rPr>
            </w:pPr>
            <w:hyperlink r:id="rId58" w:history="1">
              <w:r w:rsidR="00A11099" w:rsidRPr="00203694">
                <w:rPr>
                  <w:rStyle w:val="Hypertextovprepojenie"/>
                  <w:rFonts w:ascii="Times New Roman" w:hAnsi="Times New Roman" w:cs="Times New Roman"/>
                  <w:color w:val="0089CF"/>
                  <w:spacing w:val="-1"/>
                  <w:w w:val="105"/>
                  <w:sz w:val="20"/>
                  <w:szCs w:val="20"/>
                </w:rPr>
                <w:t>http://www</w:t>
              </w:r>
              <w:r w:rsidR="00A11099" w:rsidRPr="00203694">
                <w:rPr>
                  <w:rStyle w:val="Hypertextovprepojenie"/>
                  <w:rFonts w:ascii="Times New Roman" w:hAnsi="Times New Roman" w:cs="Times New Roman"/>
                  <w:color w:val="0089CF"/>
                  <w:spacing w:val="-2"/>
                  <w:w w:val="105"/>
                  <w:sz w:val="20"/>
                  <w:szCs w:val="20"/>
                </w:rPr>
                <w:t>.roko</w:t>
              </w:r>
              <w:r w:rsidR="00A11099" w:rsidRPr="00203694">
                <w:rPr>
                  <w:rStyle w:val="Hypertextovprepojenie"/>
                  <w:rFonts w:ascii="Times New Roman" w:hAnsi="Times New Roman" w:cs="Times New Roman"/>
                  <w:color w:val="0089CF"/>
                  <w:spacing w:val="-1"/>
                  <w:w w:val="105"/>
                  <w:sz w:val="20"/>
                  <w:szCs w:val="20"/>
                </w:rPr>
                <w:t>vanie.sk/Rokovanie.</w:t>
              </w:r>
            </w:hyperlink>
            <w:r w:rsidR="00A11099" w:rsidRPr="00203694">
              <w:rPr>
                <w:rFonts w:ascii="Times New Roman" w:hAnsi="Times New Roman" w:cs="Times New Roman"/>
                <w:color w:val="0089CF"/>
                <w:spacing w:val="27"/>
                <w:w w:val="111"/>
                <w:sz w:val="20"/>
                <w:szCs w:val="20"/>
              </w:rPr>
              <w:t xml:space="preserve"> </w:t>
            </w:r>
            <w:r w:rsidR="00A11099" w:rsidRPr="00203694">
              <w:rPr>
                <w:rFonts w:ascii="Times New Roman" w:hAnsi="Times New Roman" w:cs="Times New Roman"/>
                <w:color w:val="0089CF"/>
                <w:spacing w:val="-1"/>
                <w:w w:val="110"/>
                <w:sz w:val="20"/>
                <w:szCs w:val="20"/>
              </w:rPr>
              <w:t>asp</w:t>
            </w:r>
            <w:r w:rsidR="00A11099" w:rsidRPr="00203694">
              <w:rPr>
                <w:rFonts w:ascii="Times New Roman" w:hAnsi="Times New Roman" w:cs="Times New Roman"/>
                <w:color w:val="0089CF"/>
                <w:spacing w:val="-2"/>
                <w:w w:val="110"/>
                <w:sz w:val="20"/>
                <w:szCs w:val="20"/>
              </w:rPr>
              <w:t>x/BodRoko</w:t>
            </w:r>
            <w:r w:rsidR="00A11099" w:rsidRPr="00203694">
              <w:rPr>
                <w:rFonts w:ascii="Times New Roman" w:hAnsi="Times New Roman" w:cs="Times New Roman"/>
                <w:color w:val="0089CF"/>
                <w:spacing w:val="-1"/>
                <w:w w:val="110"/>
                <w:sz w:val="20"/>
                <w:szCs w:val="20"/>
              </w:rPr>
              <w:t>vaniaDetail?idMate</w:t>
            </w:r>
            <w:r w:rsidR="00A11099" w:rsidRPr="00203694">
              <w:rPr>
                <w:rFonts w:ascii="Times New Roman" w:hAnsi="Times New Roman" w:cs="Times New Roman"/>
                <w:color w:val="0089CF"/>
                <w:spacing w:val="-2"/>
                <w:w w:val="110"/>
                <w:sz w:val="20"/>
                <w:szCs w:val="20"/>
              </w:rPr>
              <w:t>-</w:t>
            </w:r>
            <w:r w:rsidR="00A11099" w:rsidRPr="00203694">
              <w:rPr>
                <w:rFonts w:ascii="Times New Roman" w:hAnsi="Times New Roman" w:cs="Times New Roman"/>
                <w:color w:val="0089CF"/>
                <w:spacing w:val="55"/>
                <w:w w:val="88"/>
                <w:sz w:val="20"/>
                <w:szCs w:val="20"/>
              </w:rPr>
              <w:t xml:space="preserve"> </w:t>
            </w:r>
            <w:r w:rsidR="00A11099" w:rsidRPr="00203694">
              <w:rPr>
                <w:rFonts w:ascii="Times New Roman" w:hAnsi="Times New Roman" w:cs="Times New Roman"/>
                <w:color w:val="0089CF"/>
                <w:w w:val="110"/>
                <w:sz w:val="20"/>
                <w:szCs w:val="20"/>
              </w:rPr>
              <w:t>rial=23039</w:t>
            </w:r>
          </w:p>
          <w:p w14:paraId="19C29672" w14:textId="77777777" w:rsidR="00A11099" w:rsidRDefault="00A11099" w:rsidP="008120B9">
            <w:pPr>
              <w:pStyle w:val="TableParagraph"/>
              <w:spacing w:line="247" w:lineRule="auto"/>
              <w:ind w:left="0" w:right="103"/>
              <w:rPr>
                <w:rFonts w:ascii="Times New Roman" w:hAnsi="Times New Roman" w:cs="Times New Roman"/>
                <w:color w:val="0089CF"/>
                <w:spacing w:val="-1"/>
                <w:w w:val="110"/>
                <w:sz w:val="20"/>
                <w:szCs w:val="20"/>
              </w:rPr>
            </w:pPr>
          </w:p>
          <w:p w14:paraId="59124E88" w14:textId="77777777" w:rsidR="00A11099" w:rsidRDefault="00A11099" w:rsidP="008120B9">
            <w:pPr>
              <w:pStyle w:val="TableParagraph"/>
              <w:spacing w:line="247" w:lineRule="auto"/>
              <w:ind w:left="0" w:right="103"/>
              <w:rPr>
                <w:rFonts w:ascii="Times New Roman" w:hAnsi="Times New Roman" w:cs="Times New Roman"/>
                <w:color w:val="0089CF"/>
                <w:spacing w:val="-1"/>
                <w:w w:val="110"/>
                <w:sz w:val="20"/>
                <w:szCs w:val="20"/>
              </w:rPr>
            </w:pPr>
          </w:p>
          <w:p w14:paraId="2E5B9D4F" w14:textId="01317ADE" w:rsidR="00A11099" w:rsidRPr="00203694" w:rsidRDefault="00A11099" w:rsidP="008120B9">
            <w:pPr>
              <w:pStyle w:val="TableParagraph"/>
              <w:spacing w:line="247" w:lineRule="auto"/>
              <w:ind w:left="105" w:right="103"/>
              <w:jc w:val="center"/>
              <w:rPr>
                <w:rFonts w:ascii="Times New Roman" w:hAnsi="Times New Roman" w:cs="Times New Roman"/>
                <w:color w:val="0089CF"/>
                <w:spacing w:val="-2"/>
                <w:w w:val="110"/>
                <w:sz w:val="20"/>
                <w:szCs w:val="20"/>
                <w:u w:val="single" w:color="0089CF"/>
              </w:rPr>
            </w:pPr>
            <w:r w:rsidRPr="00203694">
              <w:rPr>
                <w:rFonts w:ascii="Times New Roman" w:hAnsi="Times New Roman" w:cs="Times New Roman"/>
                <w:color w:val="0089CF"/>
                <w:spacing w:val="-1"/>
                <w:w w:val="110"/>
                <w:sz w:val="20"/>
                <w:szCs w:val="20"/>
              </w:rPr>
              <w:t>https:/</w:t>
            </w:r>
            <w:hyperlink r:id="rId59" w:history="1">
              <w:r w:rsidRPr="00203694">
                <w:rPr>
                  <w:rStyle w:val="Hypertextovprepojenie"/>
                  <w:rFonts w:ascii="Times New Roman" w:hAnsi="Times New Roman" w:cs="Times New Roman"/>
                  <w:color w:val="0089CF"/>
                  <w:spacing w:val="-1"/>
                  <w:w w:val="110"/>
                  <w:sz w:val="20"/>
                  <w:szCs w:val="20"/>
                </w:rPr>
                <w:t>/www.vedatechnika.sk/SK/</w:t>
              </w:r>
            </w:hyperlink>
            <w:r w:rsidRPr="00203694">
              <w:rPr>
                <w:rFonts w:ascii="Times New Roman" w:hAnsi="Times New Roman" w:cs="Times New Roman"/>
                <w:color w:val="0089CF"/>
                <w:spacing w:val="30"/>
                <w:w w:val="113"/>
                <w:sz w:val="20"/>
                <w:szCs w:val="20"/>
              </w:rPr>
              <w:t xml:space="preserve"> </w:t>
            </w:r>
            <w:r w:rsidRPr="00203694">
              <w:rPr>
                <w:rFonts w:ascii="Times New Roman" w:hAnsi="Times New Roman" w:cs="Times New Roman"/>
                <w:color w:val="0089CF"/>
                <w:spacing w:val="-2"/>
                <w:w w:val="110"/>
                <w:sz w:val="20"/>
                <w:szCs w:val="20"/>
              </w:rPr>
              <w:t>VedaAT</w:t>
            </w:r>
            <w:r w:rsidRPr="00203694">
              <w:rPr>
                <w:rFonts w:ascii="Times New Roman" w:hAnsi="Times New Roman" w:cs="Times New Roman"/>
                <w:color w:val="0089CF"/>
                <w:spacing w:val="-1"/>
                <w:w w:val="110"/>
                <w:sz w:val="20"/>
                <w:szCs w:val="20"/>
              </w:rPr>
              <w:t>echnikaVSR/Stranky/Ramco</w:t>
            </w:r>
            <w:r w:rsidRPr="00203694">
              <w:rPr>
                <w:rFonts w:ascii="Times New Roman" w:hAnsi="Times New Roman" w:cs="Times New Roman"/>
                <w:color w:val="0089CF"/>
                <w:spacing w:val="-2"/>
                <w:w w:val="110"/>
                <w:sz w:val="20"/>
                <w:szCs w:val="20"/>
              </w:rPr>
              <w:t>-</w:t>
            </w:r>
            <w:r w:rsidRPr="00203694">
              <w:rPr>
                <w:rFonts w:ascii="Times New Roman" w:hAnsi="Times New Roman" w:cs="Times New Roman"/>
                <w:color w:val="0089CF"/>
                <w:spacing w:val="23"/>
                <w:w w:val="88"/>
                <w:sz w:val="20"/>
                <w:szCs w:val="20"/>
              </w:rPr>
              <w:t xml:space="preserve"> </w:t>
            </w:r>
            <w:r w:rsidRPr="00203694">
              <w:rPr>
                <w:rFonts w:ascii="Times New Roman" w:hAnsi="Times New Roman" w:cs="Times New Roman"/>
                <w:color w:val="0089CF"/>
                <w:spacing w:val="-1"/>
                <w:w w:val="105"/>
                <w:sz w:val="20"/>
                <w:szCs w:val="20"/>
              </w:rPr>
              <w:t>va-koncepcia-a-struktura-strategie-in</w:t>
            </w:r>
            <w:r w:rsidRPr="00203694">
              <w:rPr>
                <w:rFonts w:ascii="Times New Roman" w:hAnsi="Times New Roman" w:cs="Times New Roman"/>
                <w:color w:val="0089CF"/>
                <w:spacing w:val="-2"/>
                <w:w w:val="105"/>
                <w:sz w:val="20"/>
                <w:szCs w:val="20"/>
              </w:rPr>
              <w:t>-</w:t>
            </w:r>
            <w:r w:rsidRPr="00203694">
              <w:rPr>
                <w:rFonts w:ascii="Times New Roman" w:hAnsi="Times New Roman" w:cs="Times New Roman"/>
                <w:color w:val="0089CF"/>
                <w:w w:val="111"/>
                <w:sz w:val="20"/>
                <w:szCs w:val="20"/>
              </w:rPr>
              <w:t xml:space="preserve"> </w:t>
            </w:r>
            <w:r w:rsidRPr="00203694">
              <w:rPr>
                <w:rFonts w:ascii="Times New Roman" w:hAnsi="Times New Roman" w:cs="Times New Roman"/>
                <w:color w:val="0089CF"/>
                <w:spacing w:val="-1"/>
                <w:w w:val="110"/>
                <w:sz w:val="20"/>
                <w:szCs w:val="20"/>
                <w:u w:val="single" w:color="0089CF"/>
              </w:rPr>
              <w:t>teligentnej-specializacie-S3-v-SR.asp</w:t>
            </w:r>
            <w:r w:rsidRPr="00203694">
              <w:rPr>
                <w:rFonts w:ascii="Times New Roman" w:hAnsi="Times New Roman" w:cs="Times New Roman"/>
                <w:color w:val="0089CF"/>
                <w:spacing w:val="-2"/>
                <w:w w:val="110"/>
                <w:sz w:val="20"/>
                <w:szCs w:val="20"/>
                <w:u w:val="single" w:color="0089CF"/>
              </w:rPr>
              <w:t>x</w:t>
            </w:r>
          </w:p>
          <w:p w14:paraId="0BAEBABE" w14:textId="77777777" w:rsidR="00A11099" w:rsidRPr="00203694" w:rsidRDefault="00A11099" w:rsidP="008120B9">
            <w:pPr>
              <w:ind w:left="0"/>
              <w:rPr>
                <w:color w:val="000000"/>
                <w:sz w:val="20"/>
                <w:szCs w:val="20"/>
              </w:rPr>
            </w:pPr>
          </w:p>
          <w:p w14:paraId="493EB2BC" w14:textId="77777777" w:rsidR="00A11099" w:rsidRPr="003F7110" w:rsidRDefault="00A11099" w:rsidP="008120B9">
            <w:pPr>
              <w:ind w:left="0"/>
              <w:jc w:val="center"/>
              <w:rPr>
                <w:sz w:val="20"/>
                <w:szCs w:val="20"/>
              </w:rPr>
            </w:pPr>
            <w:r w:rsidRPr="00203694">
              <w:rPr>
                <w:rFonts w:eastAsia="Gill Sans MT"/>
                <w:sz w:val="20"/>
                <w:szCs w:val="20"/>
              </w:rPr>
              <w:t>Acceptance letter EAC 1.1 and 1.2 (Ref. Ares(2017)3749388 - 26/07/2017)</w:t>
            </w:r>
          </w:p>
        </w:tc>
        <w:tc>
          <w:tcPr>
            <w:tcW w:w="2551" w:type="dxa"/>
            <w:tcBorders>
              <w:top w:val="single" w:sz="2" w:space="0" w:color="auto"/>
              <w:bottom w:val="single" w:sz="2" w:space="0" w:color="auto"/>
            </w:tcBorders>
            <w:shd w:val="clear" w:color="auto" w:fill="FFFFFF" w:themeFill="background1"/>
            <w:vAlign w:val="center"/>
          </w:tcPr>
          <w:p w14:paraId="055BBA7B"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Stratégia výskumu a inovácií pre inteligentnú špecializáciu SR (RIS3) schválená uznesením vlády SR č. 665/2013</w:t>
            </w:r>
          </w:p>
          <w:p w14:paraId="2B0DAE8B" w14:textId="77777777" w:rsidR="00A11099" w:rsidRPr="00F4691D" w:rsidRDefault="00A11099" w:rsidP="008120B9">
            <w:pPr>
              <w:pStyle w:val="TableParagraph"/>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z 13. 11. 2013.</w:t>
            </w:r>
          </w:p>
          <w:p w14:paraId="46EDC444"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RIS3 bola spracovaná v spolupráci s expertným tímom z EK a revidovaná v súlade s ich pripomienkami a odporúčaniami.</w:t>
            </w:r>
          </w:p>
          <w:p w14:paraId="2A8F4044"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RIS3 sa bude implementovať prostredníctvom akčných plánov. Prvý akčný plán pokrýva obdobie rokov</w:t>
            </w:r>
          </w:p>
          <w:p w14:paraId="54A14931"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2014 – 2016, ktorý bude upravovať najdôležitejšie oblasti</w:t>
            </w:r>
          </w:p>
          <w:p w14:paraId="4A81CA7F" w14:textId="77777777" w:rsidR="00A11099" w:rsidRPr="00F4691D" w:rsidRDefault="00A11099" w:rsidP="008120B9">
            <w:pPr>
              <w:pStyle w:val="TableParagraph"/>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a aktivity smerujúce k úspešnej implementácii RIS3 a naplneniu všetkých kritérií pre tematický cieľ, najmä:</w:t>
            </w:r>
          </w:p>
          <w:p w14:paraId="704240FA" w14:textId="77777777" w:rsidR="00A11099" w:rsidRPr="00F4691D" w:rsidRDefault="00A11099" w:rsidP="00A11099">
            <w:pPr>
              <w:pStyle w:val="Odsekzoznamu"/>
              <w:widowControl w:val="0"/>
              <w:numPr>
                <w:ilvl w:val="0"/>
                <w:numId w:val="231"/>
              </w:numPr>
              <w:tabs>
                <w:tab w:val="left" w:pos="139"/>
              </w:tabs>
              <w:spacing w:line="247" w:lineRule="auto"/>
              <w:ind w:left="0" w:firstLine="0"/>
              <w:contextualSpacing w:val="0"/>
              <w:rPr>
                <w:sz w:val="18"/>
                <w:szCs w:val="18"/>
              </w:rPr>
            </w:pPr>
            <w:r w:rsidRPr="00F4691D">
              <w:rPr>
                <w:sz w:val="18"/>
                <w:szCs w:val="18"/>
              </w:rPr>
              <w:t>dopracovanie finančných rámcov s indikatívnymi alokáciami podľa opatrení, zdrojov financovania a typov finančných nástrojov,</w:t>
            </w:r>
          </w:p>
          <w:p w14:paraId="38C3A4AA" w14:textId="77777777" w:rsidR="00A11099" w:rsidRPr="00F4691D" w:rsidRDefault="00A11099" w:rsidP="00A11099">
            <w:pPr>
              <w:pStyle w:val="Odsekzoznamu"/>
              <w:widowControl w:val="0"/>
              <w:numPr>
                <w:ilvl w:val="0"/>
                <w:numId w:val="231"/>
              </w:numPr>
              <w:tabs>
                <w:tab w:val="left" w:pos="139"/>
              </w:tabs>
              <w:spacing w:line="247" w:lineRule="auto"/>
              <w:ind w:left="0" w:firstLine="0"/>
              <w:contextualSpacing w:val="0"/>
              <w:rPr>
                <w:sz w:val="18"/>
                <w:szCs w:val="18"/>
              </w:rPr>
            </w:pPr>
            <w:r w:rsidRPr="00F4691D">
              <w:rPr>
                <w:sz w:val="18"/>
                <w:szCs w:val="18"/>
              </w:rPr>
              <w:t xml:space="preserve">dopracovanie systému monitorovania plnenia cieľov RIS 3 a napĺňania merateľných ukazovateľov (systém monitorovania je aktuálne pripravovaný a jeho cieľom bude včasné identifikovanie </w:t>
            </w:r>
            <w:r w:rsidRPr="00F4691D">
              <w:rPr>
                <w:sz w:val="18"/>
                <w:szCs w:val="18"/>
              </w:rPr>
              <w:lastRenderedPageBreak/>
              <w:t>potreby prípadných úprav nastavenia cieľov a opatrení RIS3 tak, aby tieto odrážali aktuálne potreby a vývoj) dopracovanie prepojení medzi doménami inteligentnej špecializácie,</w:t>
            </w:r>
          </w:p>
          <w:p w14:paraId="4490F2B0" w14:textId="77777777" w:rsidR="00A11099" w:rsidRPr="00F4691D" w:rsidRDefault="00A11099" w:rsidP="00A11099">
            <w:pPr>
              <w:pStyle w:val="Odsekzoznamu"/>
              <w:widowControl w:val="0"/>
              <w:numPr>
                <w:ilvl w:val="0"/>
                <w:numId w:val="231"/>
              </w:numPr>
              <w:tabs>
                <w:tab w:val="left" w:pos="139"/>
              </w:tabs>
              <w:ind w:left="0" w:hanging="68"/>
              <w:contextualSpacing w:val="0"/>
              <w:rPr>
                <w:sz w:val="18"/>
                <w:szCs w:val="18"/>
              </w:rPr>
            </w:pPr>
            <w:r w:rsidRPr="00F4691D">
              <w:rPr>
                <w:sz w:val="18"/>
                <w:szCs w:val="18"/>
              </w:rPr>
              <w:t>Cestová mapa pre výskumné infraštruktúry SR,</w:t>
            </w:r>
          </w:p>
          <w:p w14:paraId="07BB171E"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ktorá bude identifikovať doterajšie národné zariadenia infraštruktúr vhodné pre zapojenie sa do ESFRI, vrátane kritickej analýzy (ktoré VaV centrá, kompetenčné centrá a centrá excelentnosti sú dlhodobo udržateľné, majú potenciál byť prínosom pre oblasti špecializácie RIS3). Jej základom bude príloha č. 9 OPVaI.</w:t>
            </w:r>
          </w:p>
          <w:p w14:paraId="2F7290D2" w14:textId="77777777" w:rsidR="00A11099" w:rsidRPr="003F7110" w:rsidRDefault="00A11099" w:rsidP="008120B9">
            <w:pPr>
              <w:ind w:left="0"/>
              <w:rPr>
                <w:sz w:val="20"/>
                <w:szCs w:val="20"/>
              </w:rPr>
            </w:pPr>
            <w:r w:rsidRPr="00F4691D">
              <w:rPr>
                <w:sz w:val="18"/>
                <w:szCs w:val="18"/>
              </w:rPr>
              <w:t>Akčný plán implementácie RIS3 SK na roky 2014 - 2016 bude predložený na rokovanie vlády SR do 30. 11. 2014.</w:t>
            </w:r>
          </w:p>
        </w:tc>
      </w:tr>
      <w:tr w:rsidR="00A11099" w:rsidRPr="00B02869" w14:paraId="31B54390" w14:textId="77777777" w:rsidTr="0019722D">
        <w:trPr>
          <w:trHeight w:val="340"/>
          <w:jc w:val="center"/>
        </w:trPr>
        <w:tc>
          <w:tcPr>
            <w:tcW w:w="1681" w:type="dxa"/>
            <w:tcBorders>
              <w:top w:val="single" w:sz="2" w:space="0" w:color="auto"/>
              <w:bottom w:val="single" w:sz="2" w:space="0" w:color="auto"/>
            </w:tcBorders>
            <w:shd w:val="clear" w:color="auto" w:fill="FFFFFF" w:themeFill="background1"/>
            <w:vAlign w:val="center"/>
          </w:tcPr>
          <w:p w14:paraId="546C7438" w14:textId="77777777" w:rsidR="00A11099" w:rsidRPr="00E66081" w:rsidRDefault="00A11099" w:rsidP="008120B9">
            <w:pPr>
              <w:ind w:left="0"/>
              <w:rPr>
                <w:sz w:val="20"/>
                <w:szCs w:val="20"/>
              </w:rPr>
            </w:pPr>
            <w:r w:rsidRPr="00F4691D">
              <w:rPr>
                <w:sz w:val="20"/>
                <w:szCs w:val="20"/>
              </w:rPr>
              <w:lastRenderedPageBreak/>
              <w:t>1.2. Výskumná a inovačná infraštruktúra. Existencia viacročného plánu na zostavenie rozpočtu a zoradenie investícií podľa priorít.</w:t>
            </w:r>
          </w:p>
        </w:tc>
        <w:tc>
          <w:tcPr>
            <w:tcW w:w="1257" w:type="dxa"/>
            <w:tcBorders>
              <w:top w:val="single" w:sz="2" w:space="0" w:color="auto"/>
              <w:bottom w:val="single" w:sz="2" w:space="0" w:color="auto"/>
            </w:tcBorders>
            <w:shd w:val="clear" w:color="auto" w:fill="FFFFFF" w:themeFill="background1"/>
            <w:vAlign w:val="center"/>
          </w:tcPr>
          <w:p w14:paraId="5FB367CD" w14:textId="77777777" w:rsidR="00A11099" w:rsidRPr="00F4691D" w:rsidRDefault="00A11099" w:rsidP="008120B9">
            <w:pPr>
              <w:pStyle w:val="TableParagraph"/>
              <w:ind w:left="0"/>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PO 9, PO 10</w:t>
            </w:r>
          </w:p>
        </w:tc>
        <w:tc>
          <w:tcPr>
            <w:tcW w:w="1471" w:type="dxa"/>
            <w:tcBorders>
              <w:top w:val="single" w:sz="2" w:space="0" w:color="auto"/>
              <w:bottom w:val="single" w:sz="2" w:space="0" w:color="auto"/>
            </w:tcBorders>
            <w:shd w:val="clear" w:color="auto" w:fill="FFFFFF" w:themeFill="background1"/>
            <w:vAlign w:val="center"/>
          </w:tcPr>
          <w:p w14:paraId="00A20D0D" w14:textId="77777777" w:rsidR="00A11099" w:rsidRPr="00E66081" w:rsidRDefault="00A11099" w:rsidP="008120B9">
            <w:pPr>
              <w:ind w:left="0"/>
              <w:jc w:val="center"/>
              <w:rPr>
                <w:sz w:val="20"/>
                <w:szCs w:val="20"/>
              </w:rPr>
            </w:pPr>
            <w:r w:rsidRPr="00F4691D">
              <w:rPr>
                <w:sz w:val="20"/>
                <w:szCs w:val="20"/>
              </w:rPr>
              <w:t>Čiastočne</w:t>
            </w:r>
          </w:p>
        </w:tc>
        <w:tc>
          <w:tcPr>
            <w:tcW w:w="2268" w:type="dxa"/>
            <w:tcBorders>
              <w:top w:val="single" w:sz="2" w:space="0" w:color="auto"/>
              <w:bottom w:val="single" w:sz="2" w:space="0" w:color="auto"/>
            </w:tcBorders>
            <w:shd w:val="clear" w:color="auto" w:fill="FFFFFF" w:themeFill="background1"/>
          </w:tcPr>
          <w:p w14:paraId="63DB5C93" w14:textId="77777777" w:rsidR="00A11099" w:rsidRPr="00E66081" w:rsidRDefault="00A11099" w:rsidP="008120B9">
            <w:pPr>
              <w:ind w:left="0"/>
              <w:rPr>
                <w:sz w:val="20"/>
                <w:szCs w:val="20"/>
              </w:rPr>
            </w:pPr>
            <w:r w:rsidRPr="00F4691D">
              <w:rPr>
                <w:sz w:val="20"/>
                <w:szCs w:val="20"/>
              </w:rPr>
              <w:t>Bol prijatý orientačný viacročný plán na zostavenie rozpočtu a zoradenie investícií súvisiacich s prioritami EÚ a v prípade potreby s Európskym strategickým fórom o výskumných infraštruktúrach (ESFRI) podľa priority.</w:t>
            </w:r>
          </w:p>
        </w:tc>
        <w:tc>
          <w:tcPr>
            <w:tcW w:w="1276" w:type="dxa"/>
            <w:tcBorders>
              <w:top w:val="single" w:sz="2" w:space="0" w:color="auto"/>
              <w:bottom w:val="single" w:sz="2" w:space="0" w:color="auto"/>
            </w:tcBorders>
            <w:shd w:val="clear" w:color="auto" w:fill="FFFFFF" w:themeFill="background1"/>
            <w:vAlign w:val="center"/>
          </w:tcPr>
          <w:p w14:paraId="717B5DB9" w14:textId="77777777" w:rsidR="00A11099" w:rsidRPr="00E66081" w:rsidRDefault="00A11099" w:rsidP="008120B9">
            <w:pPr>
              <w:ind w:left="0"/>
              <w:jc w:val="center"/>
              <w:rPr>
                <w:sz w:val="20"/>
                <w:szCs w:val="20"/>
              </w:rPr>
            </w:pPr>
            <w:r w:rsidRPr="00F4691D">
              <w:rPr>
                <w:sz w:val="20"/>
                <w:szCs w:val="20"/>
              </w:rPr>
              <w:t>Áno</w:t>
            </w:r>
          </w:p>
        </w:tc>
        <w:tc>
          <w:tcPr>
            <w:tcW w:w="3969" w:type="dxa"/>
            <w:tcBorders>
              <w:top w:val="single" w:sz="2" w:space="0" w:color="auto"/>
              <w:bottom w:val="single" w:sz="2" w:space="0" w:color="auto"/>
            </w:tcBorders>
            <w:shd w:val="clear" w:color="auto" w:fill="FFFFFF" w:themeFill="background1"/>
            <w:vAlign w:val="center"/>
          </w:tcPr>
          <w:p w14:paraId="24C78436" w14:textId="77777777" w:rsidR="00A11099" w:rsidRPr="00E66081" w:rsidRDefault="00A11099" w:rsidP="008120B9">
            <w:pPr>
              <w:ind w:left="0"/>
              <w:jc w:val="center"/>
              <w:rPr>
                <w:sz w:val="20"/>
                <w:szCs w:val="20"/>
              </w:rPr>
            </w:pPr>
            <w:r w:rsidRPr="00F4691D">
              <w:rPr>
                <w:sz w:val="20"/>
                <w:szCs w:val="20"/>
              </w:rPr>
              <w:t>Acceptance letter EAC 1.1 and 1.2 (Ref. Ares(2017)3749388 - 26/07/2017)</w:t>
            </w:r>
          </w:p>
        </w:tc>
        <w:tc>
          <w:tcPr>
            <w:tcW w:w="2551" w:type="dxa"/>
            <w:tcBorders>
              <w:top w:val="single" w:sz="2" w:space="0" w:color="auto"/>
              <w:bottom w:val="single" w:sz="2" w:space="0" w:color="auto"/>
            </w:tcBorders>
            <w:shd w:val="clear" w:color="auto" w:fill="FFFFFF" w:themeFill="background1"/>
            <w:vAlign w:val="center"/>
          </w:tcPr>
          <w:p w14:paraId="1527C4CA" w14:textId="77777777" w:rsidR="00A11099" w:rsidRPr="00F4691D" w:rsidRDefault="00A11099" w:rsidP="008120B9">
            <w:pPr>
              <w:ind w:left="0"/>
              <w:rPr>
                <w:sz w:val="20"/>
                <w:szCs w:val="20"/>
              </w:rPr>
            </w:pPr>
            <w:r w:rsidRPr="00F4691D">
              <w:rPr>
                <w:sz w:val="20"/>
                <w:szCs w:val="20"/>
              </w:rPr>
              <w:t>Prioritizácia investícií je zahrnutá do RIS3. Indikatívny viacročný plán pre rozpočtovanie a zoznam investícií budú zapracované do akčného plánu RIS3 SK, ktorý bude obsahovať aj Cestovú mapu pre výskumné infraštruktúry SR.</w:t>
            </w:r>
          </w:p>
        </w:tc>
      </w:tr>
      <w:tr w:rsidR="00A11099" w:rsidRPr="00B02869" w14:paraId="1E15DD0B" w14:textId="77777777" w:rsidTr="0019722D">
        <w:trPr>
          <w:trHeight w:val="340"/>
          <w:jc w:val="center"/>
        </w:trPr>
        <w:tc>
          <w:tcPr>
            <w:tcW w:w="1681" w:type="dxa"/>
            <w:tcBorders>
              <w:top w:val="single" w:sz="2" w:space="0" w:color="auto"/>
              <w:bottom w:val="single" w:sz="2" w:space="0" w:color="auto"/>
            </w:tcBorders>
            <w:shd w:val="clear" w:color="auto" w:fill="FFFFFF" w:themeFill="background1"/>
            <w:vAlign w:val="center"/>
          </w:tcPr>
          <w:p w14:paraId="11EDBE69" w14:textId="77777777" w:rsidR="00A11099" w:rsidRDefault="00A11099" w:rsidP="008120B9">
            <w:pPr>
              <w:pStyle w:val="TableParagraph"/>
              <w:spacing w:before="8"/>
              <w:rPr>
                <w:rFonts w:ascii="Times New Roman" w:eastAsia="Times New Roman" w:hAnsi="Times New Roman" w:cs="Times New Roman"/>
                <w:sz w:val="12"/>
                <w:szCs w:val="12"/>
              </w:rPr>
            </w:pPr>
          </w:p>
          <w:p w14:paraId="68AE867A" w14:textId="77777777" w:rsidR="00A11099" w:rsidRPr="00047D68" w:rsidRDefault="00A11099" w:rsidP="008120B9">
            <w:pPr>
              <w:ind w:left="0"/>
              <w:rPr>
                <w:sz w:val="20"/>
                <w:szCs w:val="20"/>
              </w:rPr>
            </w:pPr>
            <w:r w:rsidRPr="00F4691D">
              <w:rPr>
                <w:sz w:val="20"/>
                <w:szCs w:val="20"/>
              </w:rPr>
              <w:t xml:space="preserve">3.1. Vykonali sa konkrétne </w:t>
            </w:r>
            <w:r w:rsidRPr="00F4691D">
              <w:rPr>
                <w:sz w:val="20"/>
                <w:szCs w:val="20"/>
              </w:rPr>
              <w:lastRenderedPageBreak/>
              <w:t>činnosti na posilnenie presadzovania podnikania s prihliadnutím na iniciatívu „Small Business Act“ (SBA).</w:t>
            </w:r>
          </w:p>
        </w:tc>
        <w:tc>
          <w:tcPr>
            <w:tcW w:w="1257" w:type="dxa"/>
            <w:tcBorders>
              <w:top w:val="single" w:sz="2" w:space="0" w:color="auto"/>
              <w:bottom w:val="single" w:sz="2" w:space="0" w:color="auto"/>
            </w:tcBorders>
            <w:shd w:val="clear" w:color="auto" w:fill="FFFFFF" w:themeFill="background1"/>
            <w:vAlign w:val="center"/>
          </w:tcPr>
          <w:p w14:paraId="0A69E957" w14:textId="77777777" w:rsidR="00A11099" w:rsidRPr="00F4691D" w:rsidRDefault="00A11099" w:rsidP="008120B9">
            <w:pPr>
              <w:ind w:left="0"/>
              <w:jc w:val="center"/>
              <w:rPr>
                <w:sz w:val="20"/>
                <w:szCs w:val="20"/>
              </w:rPr>
            </w:pPr>
            <w:r w:rsidRPr="00F4691D">
              <w:rPr>
                <w:sz w:val="20"/>
                <w:szCs w:val="20"/>
              </w:rPr>
              <w:lastRenderedPageBreak/>
              <w:t>PO 11, PO 12</w:t>
            </w:r>
          </w:p>
        </w:tc>
        <w:tc>
          <w:tcPr>
            <w:tcW w:w="1471" w:type="dxa"/>
            <w:tcBorders>
              <w:top w:val="single" w:sz="2" w:space="0" w:color="auto"/>
              <w:bottom w:val="single" w:sz="2" w:space="0" w:color="auto"/>
            </w:tcBorders>
            <w:shd w:val="clear" w:color="auto" w:fill="FFFFFF" w:themeFill="background1"/>
            <w:vAlign w:val="center"/>
          </w:tcPr>
          <w:p w14:paraId="1C295B1E" w14:textId="77777777" w:rsidR="00A11099" w:rsidRPr="003F7110" w:rsidRDefault="00A11099" w:rsidP="008120B9">
            <w:pPr>
              <w:ind w:left="0"/>
              <w:jc w:val="center"/>
              <w:rPr>
                <w:sz w:val="20"/>
                <w:szCs w:val="20"/>
              </w:rPr>
            </w:pPr>
            <w:r w:rsidRPr="00F4691D">
              <w:rPr>
                <w:sz w:val="20"/>
                <w:szCs w:val="20"/>
              </w:rPr>
              <w:t>Čiastočne</w:t>
            </w:r>
          </w:p>
        </w:tc>
        <w:tc>
          <w:tcPr>
            <w:tcW w:w="2268" w:type="dxa"/>
            <w:tcBorders>
              <w:top w:val="single" w:sz="2" w:space="0" w:color="auto"/>
              <w:bottom w:val="single" w:sz="2" w:space="0" w:color="auto"/>
            </w:tcBorders>
            <w:shd w:val="clear" w:color="auto" w:fill="FFFFFF" w:themeFill="background1"/>
          </w:tcPr>
          <w:p w14:paraId="79993D53" w14:textId="77777777" w:rsidR="00A11099" w:rsidRPr="00F4691D" w:rsidRDefault="00A11099" w:rsidP="008120B9">
            <w:pPr>
              <w:pStyle w:val="TableParagraph"/>
              <w:spacing w:line="247" w:lineRule="auto"/>
              <w:ind w:left="69" w:right="723"/>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 xml:space="preserve">Týmito konkrétnymi </w:t>
            </w:r>
            <w:r w:rsidRPr="00F4691D">
              <w:rPr>
                <w:rFonts w:ascii="Times New Roman" w:eastAsia="Times New Roman" w:hAnsi="Times New Roman" w:cs="Times New Roman"/>
                <w:sz w:val="20"/>
                <w:szCs w:val="20"/>
                <w:lang w:val="sk-SK" w:eastAsia="sk-SK"/>
              </w:rPr>
              <w:lastRenderedPageBreak/>
              <w:t>činnosťami sú:</w:t>
            </w:r>
          </w:p>
          <w:p w14:paraId="06D29889" w14:textId="77777777" w:rsidR="00A11099" w:rsidRPr="00F4691D" w:rsidRDefault="00A11099" w:rsidP="00A11099">
            <w:pPr>
              <w:pStyle w:val="Odsekzoznamu"/>
              <w:widowControl w:val="0"/>
              <w:numPr>
                <w:ilvl w:val="0"/>
                <w:numId w:val="232"/>
              </w:numPr>
              <w:tabs>
                <w:tab w:val="left" w:pos="216"/>
              </w:tabs>
              <w:spacing w:line="247" w:lineRule="auto"/>
              <w:ind w:right="152" w:firstLine="0"/>
              <w:contextualSpacing w:val="0"/>
              <w:rPr>
                <w:sz w:val="20"/>
                <w:szCs w:val="20"/>
              </w:rPr>
            </w:pPr>
            <w:r w:rsidRPr="00F4691D">
              <w:rPr>
                <w:sz w:val="20"/>
                <w:szCs w:val="20"/>
              </w:rPr>
              <w:t>opatrenia zavedené s cieľom znížiť čas a náklady potrebné na založenie podniku so zreteľom na ciele SBA;</w:t>
            </w:r>
          </w:p>
          <w:p w14:paraId="58326B2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2145978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05D2E02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05EDDDF0"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1167E248"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5960B06F"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D5D68B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33871EE1"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1B874E1"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7C68BF1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5977D003"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473EA44" w14:textId="77777777" w:rsidR="00A11099" w:rsidRPr="00F4691D" w:rsidRDefault="00A11099" w:rsidP="008120B9">
            <w:pPr>
              <w:pStyle w:val="TableParagraph"/>
              <w:spacing w:before="2"/>
              <w:rPr>
                <w:rFonts w:ascii="Times New Roman" w:eastAsia="Times New Roman" w:hAnsi="Times New Roman" w:cs="Times New Roman"/>
                <w:sz w:val="20"/>
                <w:szCs w:val="20"/>
                <w:lang w:val="sk-SK" w:eastAsia="sk-SK"/>
              </w:rPr>
            </w:pPr>
          </w:p>
          <w:p w14:paraId="4DEF111D" w14:textId="77777777" w:rsidR="00A11099" w:rsidRPr="00F4691D" w:rsidRDefault="00A11099" w:rsidP="00A11099">
            <w:pPr>
              <w:pStyle w:val="Odsekzoznamu"/>
              <w:widowControl w:val="0"/>
              <w:numPr>
                <w:ilvl w:val="0"/>
                <w:numId w:val="232"/>
              </w:numPr>
              <w:tabs>
                <w:tab w:val="left" w:pos="216"/>
              </w:tabs>
              <w:spacing w:line="247" w:lineRule="auto"/>
              <w:ind w:right="212" w:firstLine="0"/>
              <w:contextualSpacing w:val="0"/>
              <w:rPr>
                <w:sz w:val="20"/>
                <w:szCs w:val="20"/>
              </w:rPr>
            </w:pPr>
            <w:r w:rsidRPr="00F4691D">
              <w:rPr>
                <w:sz w:val="20"/>
                <w:szCs w:val="20"/>
              </w:rPr>
              <w:t>opatrenia zavedené s cieľom znížiť čas potrebný na získanie licencií a povolení na začatie a vykonávanie určitých činností podniku so zreteľom na ciele SBA;</w:t>
            </w:r>
          </w:p>
          <w:p w14:paraId="67705A4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5C444057"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41652EAF"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1BCCAAF"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22B896FC"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1E84FB3E"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EA74E1D"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236CB183"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1BE2B58D"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635B9639"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4B9EE4CB" w14:textId="77777777" w:rsidR="00A11099" w:rsidRPr="00F4691D" w:rsidRDefault="00A11099" w:rsidP="008120B9">
            <w:pPr>
              <w:pStyle w:val="TableParagraph"/>
              <w:rPr>
                <w:rFonts w:ascii="Times New Roman" w:eastAsia="Times New Roman" w:hAnsi="Times New Roman" w:cs="Times New Roman"/>
                <w:sz w:val="20"/>
                <w:szCs w:val="20"/>
                <w:lang w:val="sk-SK" w:eastAsia="sk-SK"/>
              </w:rPr>
            </w:pPr>
          </w:p>
          <w:p w14:paraId="29BC22A7" w14:textId="77777777" w:rsidR="00A11099" w:rsidRPr="00F4691D" w:rsidRDefault="00A11099" w:rsidP="008120B9">
            <w:pPr>
              <w:pStyle w:val="TableParagraph"/>
              <w:spacing w:before="2"/>
              <w:rPr>
                <w:rFonts w:ascii="Times New Roman" w:eastAsia="Times New Roman" w:hAnsi="Times New Roman" w:cs="Times New Roman"/>
                <w:sz w:val="20"/>
                <w:szCs w:val="20"/>
                <w:lang w:val="sk-SK" w:eastAsia="sk-SK"/>
              </w:rPr>
            </w:pPr>
          </w:p>
          <w:p w14:paraId="318A3184" w14:textId="77777777" w:rsidR="00A11099" w:rsidRPr="00F4691D" w:rsidRDefault="00A11099" w:rsidP="00A11099">
            <w:pPr>
              <w:pStyle w:val="Odsekzoznamu"/>
              <w:widowControl w:val="0"/>
              <w:numPr>
                <w:ilvl w:val="0"/>
                <w:numId w:val="232"/>
              </w:numPr>
              <w:tabs>
                <w:tab w:val="left" w:pos="216"/>
              </w:tabs>
              <w:spacing w:line="247" w:lineRule="auto"/>
              <w:ind w:right="84" w:firstLine="0"/>
              <w:contextualSpacing w:val="0"/>
              <w:rPr>
                <w:sz w:val="20"/>
                <w:szCs w:val="20"/>
              </w:rPr>
            </w:pPr>
            <w:r w:rsidRPr="00F4691D">
              <w:rPr>
                <w:sz w:val="20"/>
                <w:szCs w:val="20"/>
              </w:rPr>
              <w:t>mechanizmus zavedený na monitorovanie realizácie opatrení SBA a na posudzovanie vplyvu na MSP.</w:t>
            </w:r>
          </w:p>
        </w:tc>
        <w:tc>
          <w:tcPr>
            <w:tcW w:w="1276" w:type="dxa"/>
            <w:tcBorders>
              <w:top w:val="single" w:sz="2" w:space="0" w:color="auto"/>
              <w:bottom w:val="single" w:sz="2" w:space="0" w:color="auto"/>
            </w:tcBorders>
            <w:shd w:val="clear" w:color="auto" w:fill="FFFFFF" w:themeFill="background1"/>
          </w:tcPr>
          <w:p w14:paraId="1D9A6E6C" w14:textId="77777777" w:rsidR="00A11099" w:rsidRPr="00F4691D" w:rsidRDefault="00A11099" w:rsidP="008120B9">
            <w:pPr>
              <w:ind w:left="0"/>
              <w:jc w:val="center"/>
              <w:rPr>
                <w:sz w:val="20"/>
                <w:szCs w:val="20"/>
              </w:rPr>
            </w:pPr>
          </w:p>
          <w:p w14:paraId="488AD410" w14:textId="77777777" w:rsidR="00A11099" w:rsidRPr="00F4691D" w:rsidRDefault="00A11099" w:rsidP="008120B9">
            <w:pPr>
              <w:ind w:left="0"/>
              <w:jc w:val="center"/>
              <w:rPr>
                <w:sz w:val="20"/>
                <w:szCs w:val="20"/>
              </w:rPr>
            </w:pPr>
          </w:p>
          <w:p w14:paraId="10F657CF" w14:textId="77777777" w:rsidR="00A11099" w:rsidRPr="00F4691D" w:rsidRDefault="00A11099" w:rsidP="008120B9">
            <w:pPr>
              <w:ind w:left="0"/>
              <w:jc w:val="center"/>
              <w:rPr>
                <w:sz w:val="20"/>
                <w:szCs w:val="20"/>
              </w:rPr>
            </w:pPr>
          </w:p>
          <w:p w14:paraId="55936C8D" w14:textId="77777777" w:rsidR="00A11099" w:rsidRPr="00F4691D" w:rsidRDefault="00A11099" w:rsidP="008120B9">
            <w:pPr>
              <w:ind w:left="0"/>
              <w:jc w:val="center"/>
              <w:rPr>
                <w:sz w:val="20"/>
                <w:szCs w:val="20"/>
              </w:rPr>
            </w:pPr>
          </w:p>
          <w:p w14:paraId="13B83A96" w14:textId="77777777" w:rsidR="00A11099" w:rsidRPr="00F4691D" w:rsidRDefault="00A11099" w:rsidP="008120B9">
            <w:pPr>
              <w:ind w:left="0"/>
              <w:jc w:val="center"/>
              <w:rPr>
                <w:sz w:val="20"/>
                <w:szCs w:val="20"/>
              </w:rPr>
            </w:pPr>
          </w:p>
          <w:p w14:paraId="1DAC4C69" w14:textId="77777777" w:rsidR="00A11099" w:rsidRPr="00F4691D" w:rsidRDefault="00A11099" w:rsidP="008120B9">
            <w:pPr>
              <w:ind w:left="0"/>
              <w:jc w:val="center"/>
              <w:rPr>
                <w:sz w:val="20"/>
                <w:szCs w:val="20"/>
              </w:rPr>
            </w:pPr>
            <w:r w:rsidRPr="00F4691D">
              <w:rPr>
                <w:sz w:val="20"/>
                <w:szCs w:val="20"/>
              </w:rPr>
              <w:t>Áno</w:t>
            </w:r>
          </w:p>
          <w:p w14:paraId="75FC094B" w14:textId="77777777" w:rsidR="00A11099" w:rsidRPr="00F4691D" w:rsidRDefault="00A11099" w:rsidP="008120B9">
            <w:pPr>
              <w:ind w:left="0"/>
              <w:jc w:val="center"/>
              <w:rPr>
                <w:sz w:val="20"/>
                <w:szCs w:val="20"/>
              </w:rPr>
            </w:pPr>
          </w:p>
          <w:p w14:paraId="60FD8871" w14:textId="77777777" w:rsidR="00A11099" w:rsidRPr="00F4691D" w:rsidRDefault="00A11099" w:rsidP="008120B9">
            <w:pPr>
              <w:ind w:left="0"/>
              <w:jc w:val="center"/>
              <w:rPr>
                <w:sz w:val="20"/>
                <w:szCs w:val="20"/>
              </w:rPr>
            </w:pPr>
          </w:p>
          <w:p w14:paraId="79683D2D" w14:textId="77777777" w:rsidR="00A11099" w:rsidRPr="00F4691D" w:rsidRDefault="00A11099" w:rsidP="008120B9">
            <w:pPr>
              <w:ind w:left="0"/>
              <w:jc w:val="center"/>
              <w:rPr>
                <w:sz w:val="20"/>
                <w:szCs w:val="20"/>
              </w:rPr>
            </w:pPr>
          </w:p>
          <w:p w14:paraId="2EFFD74B" w14:textId="77777777" w:rsidR="00A11099" w:rsidRPr="00F4691D" w:rsidRDefault="00A11099" w:rsidP="008120B9">
            <w:pPr>
              <w:ind w:left="0"/>
              <w:jc w:val="center"/>
              <w:rPr>
                <w:sz w:val="20"/>
                <w:szCs w:val="20"/>
              </w:rPr>
            </w:pPr>
          </w:p>
          <w:p w14:paraId="27F31A1C" w14:textId="77777777" w:rsidR="00A11099" w:rsidRPr="00F4691D" w:rsidRDefault="00A11099" w:rsidP="008120B9">
            <w:pPr>
              <w:ind w:left="0"/>
              <w:jc w:val="center"/>
              <w:rPr>
                <w:sz w:val="20"/>
                <w:szCs w:val="20"/>
              </w:rPr>
            </w:pPr>
          </w:p>
          <w:p w14:paraId="343D710D" w14:textId="77777777" w:rsidR="00A11099" w:rsidRPr="00F4691D" w:rsidRDefault="00A11099" w:rsidP="008120B9">
            <w:pPr>
              <w:ind w:left="0"/>
              <w:jc w:val="center"/>
              <w:rPr>
                <w:sz w:val="20"/>
                <w:szCs w:val="20"/>
              </w:rPr>
            </w:pPr>
          </w:p>
          <w:p w14:paraId="3426C123" w14:textId="77777777" w:rsidR="00A11099" w:rsidRPr="00F4691D" w:rsidRDefault="00A11099" w:rsidP="008120B9">
            <w:pPr>
              <w:ind w:left="0"/>
              <w:jc w:val="center"/>
              <w:rPr>
                <w:sz w:val="20"/>
                <w:szCs w:val="20"/>
              </w:rPr>
            </w:pPr>
          </w:p>
          <w:p w14:paraId="4DCC2525" w14:textId="77777777" w:rsidR="00A11099" w:rsidRPr="00F4691D" w:rsidRDefault="00A11099" w:rsidP="008120B9">
            <w:pPr>
              <w:ind w:left="0"/>
              <w:jc w:val="center"/>
              <w:rPr>
                <w:sz w:val="20"/>
                <w:szCs w:val="20"/>
              </w:rPr>
            </w:pPr>
          </w:p>
          <w:p w14:paraId="2BB9D695" w14:textId="77777777" w:rsidR="00A11099" w:rsidRPr="00F4691D" w:rsidRDefault="00A11099" w:rsidP="008120B9">
            <w:pPr>
              <w:ind w:left="0"/>
              <w:jc w:val="center"/>
              <w:rPr>
                <w:sz w:val="20"/>
                <w:szCs w:val="20"/>
              </w:rPr>
            </w:pPr>
          </w:p>
          <w:p w14:paraId="1369D950" w14:textId="77777777" w:rsidR="00A11099" w:rsidRPr="00F4691D" w:rsidRDefault="00A11099" w:rsidP="008120B9">
            <w:pPr>
              <w:ind w:left="0"/>
              <w:jc w:val="center"/>
              <w:rPr>
                <w:sz w:val="20"/>
                <w:szCs w:val="20"/>
              </w:rPr>
            </w:pPr>
          </w:p>
          <w:p w14:paraId="5EC29AF7" w14:textId="77777777" w:rsidR="00A11099" w:rsidRPr="00F4691D" w:rsidRDefault="00A11099" w:rsidP="008120B9">
            <w:pPr>
              <w:ind w:left="0"/>
              <w:jc w:val="center"/>
              <w:rPr>
                <w:sz w:val="20"/>
                <w:szCs w:val="20"/>
              </w:rPr>
            </w:pPr>
          </w:p>
          <w:p w14:paraId="6ABFEBD1" w14:textId="77777777" w:rsidR="00A11099" w:rsidRPr="00F4691D" w:rsidRDefault="00A11099" w:rsidP="008120B9">
            <w:pPr>
              <w:ind w:left="0"/>
              <w:jc w:val="center"/>
              <w:rPr>
                <w:sz w:val="20"/>
                <w:szCs w:val="20"/>
              </w:rPr>
            </w:pPr>
          </w:p>
          <w:p w14:paraId="5FC694F4" w14:textId="77777777" w:rsidR="00A11099" w:rsidRPr="00F4691D" w:rsidRDefault="00A11099" w:rsidP="008120B9">
            <w:pPr>
              <w:ind w:left="0"/>
              <w:jc w:val="center"/>
              <w:rPr>
                <w:sz w:val="20"/>
                <w:szCs w:val="20"/>
              </w:rPr>
            </w:pPr>
          </w:p>
          <w:p w14:paraId="604D4149" w14:textId="77777777" w:rsidR="00A11099" w:rsidRPr="00F4691D" w:rsidRDefault="00A11099" w:rsidP="008120B9">
            <w:pPr>
              <w:ind w:left="0"/>
              <w:jc w:val="center"/>
              <w:rPr>
                <w:sz w:val="20"/>
                <w:szCs w:val="20"/>
              </w:rPr>
            </w:pPr>
          </w:p>
          <w:p w14:paraId="0ECE75E6" w14:textId="77777777" w:rsidR="00A11099" w:rsidRPr="00F4691D" w:rsidRDefault="00A11099" w:rsidP="008120B9">
            <w:pPr>
              <w:ind w:left="0"/>
              <w:jc w:val="center"/>
              <w:rPr>
                <w:sz w:val="20"/>
                <w:szCs w:val="20"/>
              </w:rPr>
            </w:pPr>
          </w:p>
          <w:p w14:paraId="218DAD02" w14:textId="77777777" w:rsidR="00A11099" w:rsidRPr="00F4691D" w:rsidRDefault="00A11099" w:rsidP="008120B9">
            <w:pPr>
              <w:ind w:left="0"/>
              <w:jc w:val="center"/>
              <w:rPr>
                <w:sz w:val="20"/>
                <w:szCs w:val="20"/>
              </w:rPr>
            </w:pPr>
          </w:p>
          <w:p w14:paraId="5332DEE5" w14:textId="77777777" w:rsidR="00A11099" w:rsidRPr="00F4691D" w:rsidRDefault="00A11099" w:rsidP="008120B9">
            <w:pPr>
              <w:ind w:left="0"/>
              <w:rPr>
                <w:sz w:val="20"/>
                <w:szCs w:val="20"/>
              </w:rPr>
            </w:pPr>
          </w:p>
          <w:p w14:paraId="619DE7BB" w14:textId="77777777" w:rsidR="00A11099" w:rsidRPr="00F4691D" w:rsidRDefault="00A11099" w:rsidP="008120B9">
            <w:pPr>
              <w:ind w:left="0"/>
              <w:jc w:val="center"/>
              <w:rPr>
                <w:sz w:val="20"/>
                <w:szCs w:val="20"/>
              </w:rPr>
            </w:pPr>
            <w:r w:rsidRPr="00F4691D">
              <w:rPr>
                <w:sz w:val="20"/>
                <w:szCs w:val="20"/>
              </w:rPr>
              <w:t>Áno</w:t>
            </w:r>
          </w:p>
          <w:p w14:paraId="01CFEA65" w14:textId="77777777" w:rsidR="00A11099" w:rsidRPr="00F4691D" w:rsidRDefault="00A11099" w:rsidP="008120B9">
            <w:pPr>
              <w:ind w:left="0"/>
              <w:jc w:val="center"/>
              <w:rPr>
                <w:sz w:val="20"/>
                <w:szCs w:val="20"/>
              </w:rPr>
            </w:pPr>
          </w:p>
          <w:p w14:paraId="205FE907" w14:textId="77777777" w:rsidR="00A11099" w:rsidRPr="00F4691D" w:rsidRDefault="00A11099" w:rsidP="008120B9">
            <w:pPr>
              <w:ind w:left="0"/>
              <w:jc w:val="center"/>
              <w:rPr>
                <w:sz w:val="20"/>
                <w:szCs w:val="20"/>
              </w:rPr>
            </w:pPr>
          </w:p>
          <w:p w14:paraId="1A7B7E33" w14:textId="77777777" w:rsidR="00A11099" w:rsidRPr="00F4691D" w:rsidRDefault="00A11099" w:rsidP="008120B9">
            <w:pPr>
              <w:ind w:left="0"/>
              <w:jc w:val="center"/>
              <w:rPr>
                <w:sz w:val="20"/>
                <w:szCs w:val="20"/>
              </w:rPr>
            </w:pPr>
          </w:p>
          <w:p w14:paraId="0EA52E0B" w14:textId="77777777" w:rsidR="00A11099" w:rsidRPr="00F4691D" w:rsidRDefault="00A11099" w:rsidP="008120B9">
            <w:pPr>
              <w:ind w:left="0"/>
              <w:jc w:val="center"/>
              <w:rPr>
                <w:sz w:val="20"/>
                <w:szCs w:val="20"/>
              </w:rPr>
            </w:pPr>
          </w:p>
          <w:p w14:paraId="71E4025B" w14:textId="77777777" w:rsidR="00A11099" w:rsidRPr="00F4691D" w:rsidRDefault="00A11099" w:rsidP="008120B9">
            <w:pPr>
              <w:ind w:left="0"/>
              <w:jc w:val="center"/>
              <w:rPr>
                <w:sz w:val="20"/>
                <w:szCs w:val="20"/>
              </w:rPr>
            </w:pPr>
          </w:p>
          <w:p w14:paraId="533B5D43" w14:textId="77777777" w:rsidR="00A11099" w:rsidRPr="00F4691D" w:rsidRDefault="00A11099" w:rsidP="008120B9">
            <w:pPr>
              <w:ind w:left="0"/>
              <w:jc w:val="center"/>
              <w:rPr>
                <w:sz w:val="20"/>
                <w:szCs w:val="20"/>
              </w:rPr>
            </w:pPr>
          </w:p>
          <w:p w14:paraId="2775A517" w14:textId="77777777" w:rsidR="00A11099" w:rsidRPr="00F4691D" w:rsidRDefault="00A11099" w:rsidP="008120B9">
            <w:pPr>
              <w:ind w:left="0"/>
              <w:jc w:val="center"/>
              <w:rPr>
                <w:sz w:val="20"/>
                <w:szCs w:val="20"/>
              </w:rPr>
            </w:pPr>
          </w:p>
          <w:p w14:paraId="674B1D59" w14:textId="77777777" w:rsidR="00A11099" w:rsidRPr="00F4691D" w:rsidRDefault="00A11099" w:rsidP="008120B9">
            <w:pPr>
              <w:ind w:left="0"/>
              <w:jc w:val="center"/>
              <w:rPr>
                <w:sz w:val="20"/>
                <w:szCs w:val="20"/>
              </w:rPr>
            </w:pPr>
          </w:p>
          <w:p w14:paraId="47B1CFCD" w14:textId="77777777" w:rsidR="00A11099" w:rsidRPr="00F4691D" w:rsidRDefault="00A11099" w:rsidP="008120B9">
            <w:pPr>
              <w:ind w:left="0"/>
              <w:jc w:val="center"/>
              <w:rPr>
                <w:sz w:val="20"/>
                <w:szCs w:val="20"/>
              </w:rPr>
            </w:pPr>
          </w:p>
          <w:p w14:paraId="0B7DB79A" w14:textId="77777777" w:rsidR="00A11099" w:rsidRPr="00F4691D" w:rsidRDefault="00A11099" w:rsidP="008120B9">
            <w:pPr>
              <w:ind w:left="0"/>
              <w:jc w:val="center"/>
              <w:rPr>
                <w:sz w:val="20"/>
                <w:szCs w:val="20"/>
              </w:rPr>
            </w:pPr>
          </w:p>
          <w:p w14:paraId="70F95766" w14:textId="77777777" w:rsidR="00A11099" w:rsidRPr="00F4691D" w:rsidRDefault="00A11099" w:rsidP="008120B9">
            <w:pPr>
              <w:ind w:left="0"/>
              <w:jc w:val="center"/>
              <w:rPr>
                <w:sz w:val="20"/>
                <w:szCs w:val="20"/>
              </w:rPr>
            </w:pPr>
          </w:p>
          <w:p w14:paraId="289AD6B2" w14:textId="77777777" w:rsidR="00A11099" w:rsidRPr="00F4691D" w:rsidRDefault="00A11099" w:rsidP="008120B9">
            <w:pPr>
              <w:ind w:left="0"/>
              <w:jc w:val="center"/>
              <w:rPr>
                <w:sz w:val="20"/>
                <w:szCs w:val="20"/>
              </w:rPr>
            </w:pPr>
          </w:p>
          <w:p w14:paraId="572B4135" w14:textId="77777777" w:rsidR="00A11099" w:rsidRPr="00F4691D" w:rsidRDefault="00A11099" w:rsidP="008120B9">
            <w:pPr>
              <w:ind w:left="0"/>
              <w:jc w:val="center"/>
              <w:rPr>
                <w:sz w:val="20"/>
                <w:szCs w:val="20"/>
              </w:rPr>
            </w:pPr>
          </w:p>
          <w:p w14:paraId="3171603A" w14:textId="77777777" w:rsidR="00A11099" w:rsidRPr="00F4691D" w:rsidRDefault="00A11099" w:rsidP="008120B9">
            <w:pPr>
              <w:ind w:left="0"/>
              <w:jc w:val="center"/>
              <w:rPr>
                <w:sz w:val="20"/>
                <w:szCs w:val="20"/>
              </w:rPr>
            </w:pPr>
          </w:p>
          <w:p w14:paraId="65855FF8" w14:textId="77777777" w:rsidR="00A11099" w:rsidRPr="00F4691D" w:rsidRDefault="00A11099" w:rsidP="008120B9">
            <w:pPr>
              <w:ind w:left="0"/>
              <w:jc w:val="center"/>
              <w:rPr>
                <w:sz w:val="20"/>
                <w:szCs w:val="20"/>
              </w:rPr>
            </w:pPr>
          </w:p>
          <w:p w14:paraId="48BF9133" w14:textId="77777777" w:rsidR="00A11099" w:rsidRPr="00F4691D" w:rsidRDefault="00A11099" w:rsidP="008120B9">
            <w:pPr>
              <w:ind w:left="0"/>
              <w:jc w:val="center"/>
              <w:rPr>
                <w:sz w:val="20"/>
                <w:szCs w:val="20"/>
              </w:rPr>
            </w:pPr>
          </w:p>
          <w:p w14:paraId="78321EC6" w14:textId="77777777" w:rsidR="00A11099" w:rsidRPr="00F4691D" w:rsidRDefault="00A11099" w:rsidP="008120B9">
            <w:pPr>
              <w:ind w:left="0"/>
              <w:rPr>
                <w:sz w:val="20"/>
                <w:szCs w:val="20"/>
              </w:rPr>
            </w:pPr>
          </w:p>
          <w:p w14:paraId="35D39C8C" w14:textId="77777777" w:rsidR="00A11099" w:rsidRPr="00F4691D" w:rsidRDefault="00A11099" w:rsidP="008120B9">
            <w:pPr>
              <w:ind w:left="0"/>
              <w:jc w:val="center"/>
              <w:rPr>
                <w:sz w:val="20"/>
                <w:szCs w:val="20"/>
              </w:rPr>
            </w:pPr>
          </w:p>
          <w:p w14:paraId="12298233" w14:textId="77777777" w:rsidR="00A11099" w:rsidRPr="00F4691D" w:rsidRDefault="00A11099" w:rsidP="008120B9">
            <w:pPr>
              <w:ind w:left="0"/>
              <w:jc w:val="center"/>
              <w:rPr>
                <w:sz w:val="20"/>
                <w:szCs w:val="20"/>
              </w:rPr>
            </w:pPr>
          </w:p>
          <w:p w14:paraId="5D74A21C" w14:textId="77777777" w:rsidR="00A11099" w:rsidRPr="00F4691D" w:rsidRDefault="00A11099" w:rsidP="008120B9">
            <w:pPr>
              <w:ind w:left="0"/>
              <w:jc w:val="center"/>
              <w:rPr>
                <w:sz w:val="20"/>
                <w:szCs w:val="20"/>
              </w:rPr>
            </w:pPr>
          </w:p>
          <w:p w14:paraId="5E7C063B" w14:textId="77777777" w:rsidR="00A11099" w:rsidRPr="003F7110" w:rsidRDefault="00A11099" w:rsidP="008120B9">
            <w:pPr>
              <w:ind w:left="0"/>
              <w:jc w:val="center"/>
              <w:rPr>
                <w:sz w:val="20"/>
                <w:szCs w:val="20"/>
              </w:rPr>
            </w:pPr>
            <w:r w:rsidRPr="00F4691D">
              <w:rPr>
                <w:sz w:val="20"/>
                <w:szCs w:val="20"/>
              </w:rPr>
              <w:t>Áno</w:t>
            </w:r>
          </w:p>
        </w:tc>
        <w:tc>
          <w:tcPr>
            <w:tcW w:w="3969" w:type="dxa"/>
            <w:tcBorders>
              <w:top w:val="single" w:sz="2" w:space="0" w:color="auto"/>
              <w:bottom w:val="single" w:sz="2" w:space="0" w:color="auto"/>
            </w:tcBorders>
            <w:shd w:val="clear" w:color="auto" w:fill="FFFFFF" w:themeFill="background1"/>
            <w:vAlign w:val="center"/>
          </w:tcPr>
          <w:p w14:paraId="5707DB27" w14:textId="77777777" w:rsidR="00A11099" w:rsidRPr="00F4691D" w:rsidRDefault="00A11099" w:rsidP="008120B9">
            <w:pPr>
              <w:pStyle w:val="TableParagraph"/>
              <w:spacing w:line="247" w:lineRule="auto"/>
              <w:ind w:left="151" w:right="149"/>
              <w:jc w:val="center"/>
              <w:rPr>
                <w:rFonts w:ascii="Times New Roman" w:eastAsia="Times New Roman" w:hAnsi="Times New Roman" w:cs="Times New Roman"/>
                <w:sz w:val="20"/>
                <w:szCs w:val="20"/>
                <w:lang w:val="sk-SK" w:eastAsia="sk-SK"/>
              </w:rPr>
            </w:pPr>
          </w:p>
          <w:p w14:paraId="636F3936" w14:textId="77777777" w:rsidR="00A11099" w:rsidRPr="00F4691D" w:rsidRDefault="00A11099" w:rsidP="008120B9">
            <w:pPr>
              <w:pStyle w:val="TableParagraph"/>
              <w:spacing w:line="247" w:lineRule="auto"/>
              <w:ind w:left="151" w:right="149"/>
              <w:jc w:val="center"/>
              <w:rPr>
                <w:rFonts w:ascii="Times New Roman" w:eastAsia="Times New Roman" w:hAnsi="Times New Roman" w:cs="Times New Roman"/>
                <w:sz w:val="20"/>
                <w:szCs w:val="20"/>
                <w:lang w:val="sk-SK" w:eastAsia="sk-SK"/>
              </w:rPr>
            </w:pPr>
          </w:p>
          <w:p w14:paraId="3CF2C8D9" w14:textId="77777777" w:rsidR="00A11099" w:rsidRPr="00F4691D" w:rsidRDefault="00A11099" w:rsidP="008120B9">
            <w:pPr>
              <w:pStyle w:val="TableParagraph"/>
              <w:spacing w:line="247" w:lineRule="auto"/>
              <w:ind w:left="151" w:right="149"/>
              <w:jc w:val="center"/>
              <w:rPr>
                <w:rFonts w:ascii="Times New Roman" w:eastAsia="Times New Roman" w:hAnsi="Times New Roman" w:cs="Times New Roman"/>
                <w:sz w:val="20"/>
                <w:szCs w:val="20"/>
                <w:lang w:val="sk-SK" w:eastAsia="sk-SK"/>
              </w:rPr>
            </w:pPr>
          </w:p>
          <w:p w14:paraId="49100CD1" w14:textId="77777777" w:rsidR="00A11099" w:rsidRPr="00F4691D" w:rsidRDefault="00A11099" w:rsidP="008120B9">
            <w:pPr>
              <w:pStyle w:val="TableParagraph"/>
              <w:spacing w:line="247" w:lineRule="auto"/>
              <w:ind w:left="151" w:right="149"/>
              <w:jc w:val="center"/>
              <w:rPr>
                <w:rFonts w:ascii="Times New Roman" w:eastAsia="Times New Roman" w:hAnsi="Times New Roman" w:cs="Times New Roman"/>
                <w:sz w:val="20"/>
                <w:szCs w:val="20"/>
                <w:lang w:val="sk-SK" w:eastAsia="sk-SK"/>
              </w:rPr>
            </w:pPr>
          </w:p>
          <w:p w14:paraId="07C87B8E" w14:textId="77777777" w:rsidR="00A11099" w:rsidRPr="00F4691D" w:rsidRDefault="00A11099" w:rsidP="008120B9">
            <w:pPr>
              <w:pStyle w:val="TableParagraph"/>
              <w:spacing w:line="247" w:lineRule="auto"/>
              <w:ind w:left="151" w:right="149"/>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Zákon č. 547/2011 Z. z., ktorým sa mení a dopĺňa zákon č. 431/2002 Z.</w:t>
            </w:r>
          </w:p>
          <w:p w14:paraId="3138B0F5" w14:textId="77777777" w:rsidR="00A11099" w:rsidRPr="00F4691D" w:rsidRDefault="00A11099" w:rsidP="008120B9">
            <w:pPr>
              <w:pStyle w:val="TableParagraph"/>
              <w:spacing w:line="247" w:lineRule="auto"/>
              <w:ind w:left="261" w:right="183" w:hanging="76"/>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z. o účtovníctve v znení neskorších predpisov a o zmene a doplnení niektorých zákonov</w:t>
            </w:r>
          </w:p>
          <w:p w14:paraId="66E96D96" w14:textId="77777777" w:rsidR="00A11099" w:rsidRPr="00F4691D" w:rsidRDefault="001061E2" w:rsidP="008120B9">
            <w:pPr>
              <w:pStyle w:val="TableParagraph"/>
              <w:ind w:left="0"/>
              <w:jc w:val="center"/>
              <w:rPr>
                <w:rFonts w:ascii="Times New Roman" w:eastAsia="Times New Roman" w:hAnsi="Times New Roman" w:cs="Times New Roman"/>
                <w:sz w:val="20"/>
                <w:szCs w:val="20"/>
                <w:lang w:val="sk-SK" w:eastAsia="sk-SK"/>
              </w:rPr>
            </w:pPr>
            <w:hyperlink r:id="rId60" w:history="1">
              <w:r w:rsidR="00A11099" w:rsidRPr="00F4691D">
                <w:rPr>
                  <w:rFonts w:ascii="Times New Roman" w:eastAsia="Times New Roman" w:hAnsi="Times New Roman" w:cs="Times New Roman"/>
                  <w:sz w:val="20"/>
                  <w:szCs w:val="20"/>
                  <w:lang w:val="sk-SK" w:eastAsia="sk-SK"/>
                </w:rPr>
                <w:t>http://www.zakonypreludi.sk/zz/2011-547</w:t>
              </w:r>
            </w:hyperlink>
          </w:p>
          <w:p w14:paraId="241DF161" w14:textId="62433D89" w:rsidR="00A11099" w:rsidRPr="00F4691D" w:rsidRDefault="00A11099" w:rsidP="008120B9">
            <w:pPr>
              <w:pStyle w:val="TableParagraph"/>
              <w:spacing w:before="120" w:line="200" w:lineRule="exact"/>
              <w:ind w:left="0"/>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 xml:space="preserve">Zákon č. 357/2013 Z. z., ktorým sa mení a dopĺňa zákon č. 513/1991 Zb. Obchodný zákonník v znení neskorších predpisov a ktorým sa menia a dopĺňajú niektoré zákony </w:t>
            </w:r>
            <w:hyperlink r:id="rId61" w:history="1">
              <w:r w:rsidRPr="00F4691D">
                <w:rPr>
                  <w:rFonts w:ascii="Times New Roman" w:eastAsia="Times New Roman" w:hAnsi="Times New Roman" w:cs="Times New Roman"/>
                  <w:sz w:val="20"/>
                  <w:szCs w:val="20"/>
                  <w:lang w:val="sk-SK" w:eastAsia="sk-SK"/>
                </w:rPr>
                <w:t>http://www.zakonypreludi.sk/zz/2013-357</w:t>
              </w:r>
            </w:hyperlink>
          </w:p>
          <w:p w14:paraId="2BC1E092" w14:textId="489C9506" w:rsidR="00A11099" w:rsidRPr="00F4691D" w:rsidRDefault="00A11099" w:rsidP="008120B9">
            <w:pPr>
              <w:pStyle w:val="TableParagraph"/>
              <w:spacing w:before="120" w:line="247" w:lineRule="auto"/>
              <w:ind w:left="0"/>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 xml:space="preserve">Návrh politiky vlády SR na zlepšenie podnikateľského prostredia v SR </w:t>
            </w:r>
            <w:hyperlink r:id="rId62" w:history="1">
              <w:r w:rsidRPr="00F4691D">
                <w:rPr>
                  <w:rFonts w:ascii="Times New Roman" w:eastAsia="Times New Roman" w:hAnsi="Times New Roman" w:cs="Times New Roman"/>
                  <w:sz w:val="20"/>
                  <w:szCs w:val="20"/>
                  <w:lang w:val="sk-SK" w:eastAsia="sk-SK"/>
                </w:rPr>
                <w:t>http://www.rokovania.sk/Rokovanie.</w:t>
              </w:r>
            </w:hyperlink>
            <w:r w:rsidRPr="00F4691D">
              <w:rPr>
                <w:rFonts w:ascii="Times New Roman" w:eastAsia="Times New Roman" w:hAnsi="Times New Roman" w:cs="Times New Roman"/>
                <w:sz w:val="20"/>
                <w:szCs w:val="20"/>
                <w:lang w:val="sk-SK" w:eastAsia="sk-SK"/>
              </w:rPr>
              <w:t xml:space="preserve">  aspx/BodRokovaniaDetail?idMate- rial=19987</w:t>
            </w:r>
          </w:p>
          <w:p w14:paraId="47D0FBB5" w14:textId="77777777" w:rsidR="00A11099" w:rsidRPr="00F4691D" w:rsidRDefault="00A11099" w:rsidP="008120B9">
            <w:pPr>
              <w:pStyle w:val="TableParagraph"/>
              <w:spacing w:before="120" w:line="247" w:lineRule="auto"/>
              <w:ind w:left="0" w:firstLine="40"/>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Vládny návrh zákona o obchodovaní s výrobkami obranného priemyslu a o zmene a doplnení niektorých zákonov</w:t>
            </w:r>
          </w:p>
          <w:p w14:paraId="37553136" w14:textId="77777777" w:rsidR="00A11099" w:rsidRPr="00F4691D" w:rsidRDefault="001061E2" w:rsidP="008120B9">
            <w:pPr>
              <w:pStyle w:val="TableParagraph"/>
              <w:spacing w:line="247" w:lineRule="auto"/>
              <w:ind w:left="0"/>
              <w:jc w:val="center"/>
              <w:rPr>
                <w:rFonts w:ascii="Times New Roman" w:eastAsia="Times New Roman" w:hAnsi="Times New Roman" w:cs="Times New Roman"/>
                <w:sz w:val="20"/>
                <w:szCs w:val="20"/>
                <w:lang w:val="sk-SK" w:eastAsia="sk-SK"/>
              </w:rPr>
            </w:pPr>
            <w:hyperlink r:id="rId63" w:history="1">
              <w:r w:rsidR="00A11099" w:rsidRPr="00F4691D">
                <w:rPr>
                  <w:rFonts w:ascii="Times New Roman" w:eastAsia="Times New Roman" w:hAnsi="Times New Roman" w:cs="Times New Roman"/>
                  <w:sz w:val="20"/>
                  <w:szCs w:val="20"/>
                  <w:lang w:val="sk-SK" w:eastAsia="sk-SK"/>
                </w:rPr>
                <w:t>http://www.nrsr.sk/web/Default.aspx?-</w:t>
              </w:r>
            </w:hyperlink>
            <w:r w:rsidR="00A11099" w:rsidRPr="00F4691D">
              <w:rPr>
                <w:rFonts w:ascii="Times New Roman" w:eastAsia="Times New Roman" w:hAnsi="Times New Roman" w:cs="Times New Roman"/>
                <w:sz w:val="20"/>
                <w:szCs w:val="20"/>
                <w:lang w:val="sk-SK" w:eastAsia="sk-SK"/>
              </w:rPr>
              <w:t xml:space="preserve">  sid=zakony/zakon&amp;ZakZborID=13&amp;Ci- sObdobia=5&amp;CPT=456</w:t>
            </w:r>
          </w:p>
          <w:p w14:paraId="5A4DB204" w14:textId="77777777" w:rsidR="00A11099" w:rsidRPr="00F4691D" w:rsidRDefault="00A11099" w:rsidP="008120B9">
            <w:pPr>
              <w:pStyle w:val="TableParagraph"/>
              <w:spacing w:before="120" w:line="247" w:lineRule="auto"/>
              <w:ind w:left="0" w:firstLine="40"/>
              <w:jc w:val="center"/>
              <w:rPr>
                <w:rFonts w:ascii="Times New Roman" w:eastAsia="Times New Roman" w:hAnsi="Times New Roman" w:cs="Times New Roman"/>
                <w:sz w:val="20"/>
                <w:szCs w:val="20"/>
                <w:lang w:val="sk-SK" w:eastAsia="sk-SK"/>
              </w:rPr>
            </w:pPr>
            <w:r w:rsidRPr="00F4691D">
              <w:rPr>
                <w:rFonts w:ascii="Times New Roman" w:eastAsia="Times New Roman" w:hAnsi="Times New Roman" w:cs="Times New Roman"/>
                <w:sz w:val="20"/>
                <w:szCs w:val="20"/>
                <w:lang w:val="sk-SK" w:eastAsia="sk-SK"/>
              </w:rPr>
              <w:t xml:space="preserve">Analýza stavu MSP </w:t>
            </w:r>
          </w:p>
          <w:p w14:paraId="71B335A4" w14:textId="77777777" w:rsidR="00A11099" w:rsidRPr="00F4691D" w:rsidRDefault="001061E2" w:rsidP="008120B9">
            <w:pPr>
              <w:pStyle w:val="TableParagraph"/>
              <w:spacing w:line="247" w:lineRule="auto"/>
              <w:ind w:left="0" w:firstLine="40"/>
              <w:jc w:val="center"/>
              <w:rPr>
                <w:rFonts w:ascii="Times New Roman" w:eastAsia="Times New Roman" w:hAnsi="Times New Roman" w:cs="Times New Roman"/>
                <w:sz w:val="20"/>
                <w:szCs w:val="20"/>
                <w:lang w:val="sk-SK" w:eastAsia="sk-SK"/>
              </w:rPr>
            </w:pPr>
            <w:hyperlink r:id="rId64" w:history="1">
              <w:r w:rsidR="00A11099" w:rsidRPr="00F4691D">
                <w:rPr>
                  <w:rFonts w:ascii="Times New Roman" w:eastAsia="Times New Roman" w:hAnsi="Times New Roman" w:cs="Times New Roman"/>
                  <w:sz w:val="20"/>
                  <w:szCs w:val="20"/>
                  <w:lang w:val="sk-SK" w:eastAsia="sk-SK"/>
                </w:rPr>
                <w:t>http://hsr.rokovania.</w:t>
              </w:r>
            </w:hyperlink>
            <w:r w:rsidR="00A11099" w:rsidRPr="00F4691D">
              <w:rPr>
                <w:rFonts w:ascii="Times New Roman" w:eastAsia="Times New Roman" w:hAnsi="Times New Roman" w:cs="Times New Roman"/>
                <w:sz w:val="20"/>
                <w:szCs w:val="20"/>
                <w:lang w:val="sk-SK" w:eastAsia="sk-SK"/>
              </w:rPr>
              <w:t xml:space="preserve"> sk/15282013%E2%80%931000/</w:t>
            </w:r>
          </w:p>
          <w:p w14:paraId="031DCDE4" w14:textId="77777777" w:rsidR="00A11099" w:rsidRPr="001621A0" w:rsidRDefault="00A11099" w:rsidP="008120B9">
            <w:pPr>
              <w:spacing w:before="120"/>
              <w:ind w:left="0"/>
              <w:jc w:val="center"/>
              <w:rPr>
                <w:sz w:val="20"/>
                <w:szCs w:val="20"/>
              </w:rPr>
            </w:pPr>
            <w:r w:rsidRPr="001621A0">
              <w:rPr>
                <w:sz w:val="20"/>
                <w:szCs w:val="20"/>
              </w:rPr>
              <w:t>Zákon o podpore malého a stredného podnikania a o zmene a doplnení zákona</w:t>
            </w:r>
            <w:r>
              <w:rPr>
                <w:sz w:val="20"/>
                <w:szCs w:val="20"/>
              </w:rPr>
              <w:t xml:space="preserve"> č.</w:t>
            </w:r>
            <w:r w:rsidRPr="001621A0">
              <w:rPr>
                <w:sz w:val="20"/>
                <w:szCs w:val="20"/>
              </w:rPr>
              <w:t xml:space="preserve"> 71/2013 Z. z. o poskytovaní dotácií v pôsobnosti Ministerstva hospodárstva Slovenskej republiky v znení neskorších predpisov</w:t>
            </w:r>
          </w:p>
          <w:p w14:paraId="29705A4D" w14:textId="77777777" w:rsidR="00A11099" w:rsidRPr="00F4691D" w:rsidRDefault="001061E2" w:rsidP="008120B9">
            <w:pPr>
              <w:ind w:left="0"/>
              <w:jc w:val="center"/>
              <w:rPr>
                <w:sz w:val="20"/>
                <w:szCs w:val="20"/>
              </w:rPr>
            </w:pPr>
            <w:hyperlink r:id="rId65" w:history="1">
              <w:r w:rsidR="00A11099" w:rsidRPr="00F4691D">
                <w:rPr>
                  <w:sz w:val="20"/>
                  <w:szCs w:val="20"/>
                </w:rPr>
                <w:t>http://www.nrsr.sk/web/Default.aspx?sid=zak</w:t>
              </w:r>
              <w:r w:rsidR="00A11099" w:rsidRPr="00F4691D">
                <w:rPr>
                  <w:sz w:val="20"/>
                  <w:szCs w:val="20"/>
                </w:rPr>
                <w:lastRenderedPageBreak/>
                <w:t>ony/zakon&amp;ZakZborID=13&amp;CisObdobia=7&amp;CPT=190</w:t>
              </w:r>
            </w:hyperlink>
          </w:p>
          <w:p w14:paraId="564517D6" w14:textId="77777777" w:rsidR="00A11099" w:rsidRPr="00F4691D" w:rsidRDefault="00A11099" w:rsidP="008120B9">
            <w:pPr>
              <w:jc w:val="center"/>
              <w:rPr>
                <w:sz w:val="20"/>
                <w:szCs w:val="20"/>
              </w:rPr>
            </w:pPr>
          </w:p>
          <w:p w14:paraId="33B051BF" w14:textId="77777777" w:rsidR="00A11099" w:rsidRPr="00F4691D" w:rsidRDefault="001061E2" w:rsidP="008120B9">
            <w:pPr>
              <w:ind w:left="0"/>
              <w:jc w:val="center"/>
              <w:rPr>
                <w:sz w:val="20"/>
                <w:szCs w:val="20"/>
              </w:rPr>
            </w:pPr>
            <w:hyperlink r:id="rId66" w:history="1">
              <w:r w:rsidR="00A11099" w:rsidRPr="00F4691D">
                <w:rPr>
                  <w:sz w:val="20"/>
                  <w:szCs w:val="20"/>
                </w:rPr>
                <w:t>https://www.slov-lex.sk/pravne-predpisy/SK/ZZ/2016/290/20170101</w:t>
              </w:r>
            </w:hyperlink>
          </w:p>
          <w:p w14:paraId="0E3CE089" w14:textId="77777777" w:rsidR="00A11099" w:rsidRPr="00F4691D" w:rsidRDefault="00A11099" w:rsidP="008120B9">
            <w:pPr>
              <w:ind w:left="0"/>
              <w:jc w:val="both"/>
              <w:rPr>
                <w:sz w:val="20"/>
                <w:szCs w:val="20"/>
              </w:rPr>
            </w:pPr>
          </w:p>
          <w:p w14:paraId="507E9A92" w14:textId="77777777" w:rsidR="00A11099" w:rsidRPr="001621A0" w:rsidRDefault="00A11099" w:rsidP="008120B9">
            <w:pPr>
              <w:ind w:left="0"/>
              <w:jc w:val="center"/>
              <w:rPr>
                <w:sz w:val="20"/>
                <w:szCs w:val="20"/>
              </w:rPr>
            </w:pPr>
            <w:r w:rsidRPr="001621A0">
              <w:rPr>
                <w:sz w:val="20"/>
                <w:szCs w:val="20"/>
              </w:rPr>
              <w:t>Jednotná metodika na posudzovanie vybraných vplyvov</w:t>
            </w:r>
          </w:p>
          <w:p w14:paraId="23FCB2B9" w14:textId="77777777" w:rsidR="00A11099" w:rsidRPr="00F4691D" w:rsidRDefault="001061E2" w:rsidP="008120B9">
            <w:pPr>
              <w:pStyle w:val="TableParagraph"/>
              <w:spacing w:line="247" w:lineRule="auto"/>
              <w:ind w:left="0"/>
              <w:jc w:val="center"/>
              <w:rPr>
                <w:rFonts w:ascii="Times New Roman" w:eastAsia="Times New Roman" w:hAnsi="Times New Roman" w:cs="Times New Roman"/>
                <w:sz w:val="20"/>
                <w:szCs w:val="20"/>
                <w:lang w:val="sk-SK" w:eastAsia="sk-SK"/>
              </w:rPr>
            </w:pPr>
            <w:hyperlink r:id="rId67" w:history="1">
              <w:r w:rsidR="00A11099" w:rsidRPr="00F4691D">
                <w:rPr>
                  <w:rFonts w:ascii="Times New Roman" w:eastAsia="Times New Roman" w:hAnsi="Times New Roman" w:cs="Times New Roman"/>
                  <w:sz w:val="20"/>
                  <w:szCs w:val="20"/>
                  <w:lang w:val="sk-SK" w:eastAsia="sk-SK"/>
                </w:rPr>
                <w:t>http://www.rokovania.sk/Rokovanie.aspx/BodRokovaniaDetail?idMaterial=24182</w:t>
              </w:r>
            </w:hyperlink>
          </w:p>
          <w:p w14:paraId="30613B53" w14:textId="77777777" w:rsidR="00A11099" w:rsidRPr="003F7110" w:rsidRDefault="00A11099" w:rsidP="008120B9">
            <w:pPr>
              <w:ind w:left="0"/>
              <w:jc w:val="center"/>
              <w:rPr>
                <w:sz w:val="20"/>
                <w:szCs w:val="20"/>
              </w:rPr>
            </w:pPr>
            <w:r w:rsidRPr="00F4691D">
              <w:rPr>
                <w:sz w:val="20"/>
                <w:szCs w:val="20"/>
              </w:rPr>
              <w:t>Acceptance letter EAC 3.1 (Ref. Ares(2017)278210- 18/01/2017</w:t>
            </w:r>
          </w:p>
        </w:tc>
        <w:tc>
          <w:tcPr>
            <w:tcW w:w="2551" w:type="dxa"/>
            <w:tcBorders>
              <w:top w:val="single" w:sz="2" w:space="0" w:color="auto"/>
              <w:bottom w:val="single" w:sz="2" w:space="0" w:color="auto"/>
            </w:tcBorders>
            <w:shd w:val="clear" w:color="auto" w:fill="FFFFFF" w:themeFill="background1"/>
            <w:vAlign w:val="center"/>
          </w:tcPr>
          <w:p w14:paraId="1D2DAA02" w14:textId="77777777" w:rsidR="00A11099" w:rsidRPr="00F4691D" w:rsidRDefault="00A11099" w:rsidP="008120B9">
            <w:pPr>
              <w:pStyle w:val="TableParagraph"/>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lastRenderedPageBreak/>
              <w:t>Opatrenie na</w:t>
            </w:r>
          </w:p>
          <w:p w14:paraId="7BDFD3CF" w14:textId="77777777" w:rsidR="00A11099" w:rsidRPr="00F4691D" w:rsidRDefault="00A11099" w:rsidP="008120B9">
            <w:pPr>
              <w:pStyle w:val="TableParagraph"/>
              <w:spacing w:line="247" w:lineRule="auto"/>
              <w:ind w:left="0" w:firstLine="57"/>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 xml:space="preserve">-skrátenie času na založenie </w:t>
            </w:r>
            <w:r w:rsidRPr="00F4691D">
              <w:rPr>
                <w:rFonts w:ascii="Times New Roman" w:eastAsia="Times New Roman" w:hAnsi="Times New Roman" w:cs="Times New Roman"/>
                <w:sz w:val="18"/>
                <w:szCs w:val="18"/>
                <w:lang w:val="sk-SK" w:eastAsia="sk-SK"/>
              </w:rPr>
              <w:lastRenderedPageBreak/>
              <w:t>obchodnej spoločnosti (OS), ktoré bolo identifikované v požiadavke na skrátenie lehoty pre registráciu alebo odmietnutie zápisu - skrátenie z 5 na 2 pracovné dni.</w:t>
            </w:r>
          </w:p>
          <w:p w14:paraId="54CD982C" w14:textId="77777777" w:rsidR="00A11099" w:rsidRPr="00F4691D" w:rsidRDefault="00A11099" w:rsidP="008120B9">
            <w:pPr>
              <w:pStyle w:val="TableParagraph"/>
              <w:spacing w:line="247" w:lineRule="auto"/>
              <w:ind w:left="0" w:firstLine="19"/>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-zníženie nákladov na založenie OS bolo splnené uverejnením štandardizovaných vzorov pre MSP, ak spoločnosť zakladá jediný spoločník alebo akcionár.</w:t>
            </w:r>
          </w:p>
          <w:p w14:paraId="6E53A015" w14:textId="1E1F076B"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Pri obstarávaní služieb spojených so získaním podnikateľského oprávnenia prostredníctvom ŽÚ v postavení JKM sa upustilo od osobitnej úhrady za poskytnutie služby. Pri elektronickom podaní:</w:t>
            </w:r>
          </w:p>
          <w:p w14:paraId="19312624" w14:textId="77777777" w:rsidR="00A11099" w:rsidRPr="00F4691D" w:rsidRDefault="00A11099" w:rsidP="008120B9">
            <w:pPr>
              <w:pStyle w:val="TableParagraph"/>
              <w:spacing w:line="247" w:lineRule="auto"/>
              <w:ind w:left="0" w:firstLine="26"/>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-ohlásenia voľnej živnosti, žiadosti o výpis z verejnej časti ŽR a žiadosti o vydanie prehľadu, oznámenia zmeny v údajoch zapísaných v ŽR (FO a PO, ktoré sa nezapisujú do OR), žiadosti o vydanie potvrdenia o tom, že v ŽR nie je zápis a žiadosti o vydanie dokladu o tom, že poskytovanie služieb na základe živnostenského podnikania nie je obmedzené alebo zakázané, sa upustilo od úhrady správneho poplatku (SP)</w:t>
            </w:r>
          </w:p>
          <w:p w14:paraId="0D90E4C2" w14:textId="77777777" w:rsidR="00A11099" w:rsidRPr="00F4691D" w:rsidRDefault="00A11099" w:rsidP="008120B9">
            <w:pPr>
              <w:pStyle w:val="TableParagraph"/>
              <w:spacing w:line="247" w:lineRule="auto"/>
              <w:ind w:left="0" w:firstLine="23"/>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-ohlásenia remeselnej a viazanej živnosti sa výška SP znížila na polovicu</w:t>
            </w:r>
          </w:p>
          <w:p w14:paraId="0AA4AA5D" w14:textId="77777777" w:rsidR="00A11099" w:rsidRPr="00F4691D" w:rsidRDefault="00A11099" w:rsidP="008120B9">
            <w:pPr>
              <w:pStyle w:val="TableParagraph"/>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atď.</w:t>
            </w:r>
          </w:p>
          <w:p w14:paraId="6A287AFD" w14:textId="0E8741EE"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Prijatím zákona č.</w:t>
            </w:r>
            <w:r w:rsidR="006B00CB">
              <w:rPr>
                <w:rFonts w:ascii="Times New Roman" w:eastAsia="Times New Roman" w:hAnsi="Times New Roman" w:cs="Times New Roman"/>
                <w:sz w:val="18"/>
                <w:szCs w:val="18"/>
                <w:lang w:val="sk-SK" w:eastAsia="sk-SK"/>
              </w:rPr>
              <w:t xml:space="preserve"> </w:t>
            </w:r>
            <w:r w:rsidRPr="00F4691D">
              <w:rPr>
                <w:rFonts w:ascii="Times New Roman" w:eastAsia="Times New Roman" w:hAnsi="Times New Roman" w:cs="Times New Roman"/>
                <w:sz w:val="18"/>
                <w:szCs w:val="18"/>
                <w:lang w:val="sk-SK" w:eastAsia="sk-SK"/>
              </w:rPr>
              <w:t>392/2011 Z.</w:t>
            </w:r>
            <w:r w:rsidR="006B00CB">
              <w:rPr>
                <w:rFonts w:ascii="Times New Roman" w:eastAsia="Times New Roman" w:hAnsi="Times New Roman" w:cs="Times New Roman"/>
                <w:sz w:val="18"/>
                <w:szCs w:val="18"/>
                <w:lang w:val="sk-SK" w:eastAsia="sk-SK"/>
              </w:rPr>
              <w:t> </w:t>
            </w:r>
            <w:r w:rsidRPr="00F4691D">
              <w:rPr>
                <w:rFonts w:ascii="Times New Roman" w:eastAsia="Times New Roman" w:hAnsi="Times New Roman" w:cs="Times New Roman"/>
                <w:sz w:val="18"/>
                <w:szCs w:val="18"/>
                <w:lang w:val="sk-SK" w:eastAsia="sk-SK"/>
              </w:rPr>
              <w:t xml:space="preserve">z. o obchodovaní s </w:t>
            </w:r>
            <w:r w:rsidRPr="00F4691D">
              <w:rPr>
                <w:rFonts w:ascii="Times New Roman" w:eastAsia="Times New Roman" w:hAnsi="Times New Roman" w:cs="Times New Roman"/>
                <w:sz w:val="18"/>
                <w:szCs w:val="18"/>
                <w:lang w:val="sk-SK" w:eastAsia="sk-SK"/>
              </w:rPr>
              <w:lastRenderedPageBreak/>
              <w:t>výrobkami obranného priemyslu a o zmene a doplnení niektorých zákonov, ktorý novelizoval zákon č. 455/1991 Zb. o živnostenskom podnikaní sa lehota pri vydaní živnosti skrátila z 5 na 3 dni a bola rozšírená funkcionalita jednotných kontaktných miest. JKM umožňuje záujemcom o podnikanie vykonať všetky potrebné úkony pre vydanie živnostenského oprávnenia, resp. úkony spojené so vznikom spoločnosti na jednom mieste.</w:t>
            </w:r>
          </w:p>
          <w:p w14:paraId="2E032782"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Od 1.1.2012 bola zrealizovaná plná funkcionalita elektronických JKM, t.j. možnosť založiť živnosť elektronicky vrátane zmenového konania a podania návrhu na zápis do obchodného registra a taktiež úhrady súdnych a správnych poplatkov.</w:t>
            </w:r>
          </w:p>
          <w:p w14:paraId="4A0F79C5"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Uznesením vlády č. 153/2013 boli prijaté úlohy na vyššiu efektivitu využitia služieb JKM ako aj rozšírenie ich funkcionality.</w:t>
            </w:r>
          </w:p>
          <w:p w14:paraId="4EBF68B6" w14:textId="77777777" w:rsidR="00A11099" w:rsidRPr="00F4691D" w:rsidRDefault="00A11099" w:rsidP="008120B9">
            <w:pPr>
              <w:pStyle w:val="TableParagraph"/>
              <w:spacing w:line="247" w:lineRule="auto"/>
              <w:ind w:left="0"/>
              <w:rPr>
                <w:rFonts w:ascii="Times New Roman" w:eastAsia="Times New Roman" w:hAnsi="Times New Roman" w:cs="Times New Roman"/>
                <w:sz w:val="18"/>
                <w:szCs w:val="18"/>
                <w:lang w:val="sk-SK" w:eastAsia="sk-SK"/>
              </w:rPr>
            </w:pPr>
            <w:r w:rsidRPr="00F4691D">
              <w:rPr>
                <w:rFonts w:ascii="Times New Roman" w:eastAsia="Times New Roman" w:hAnsi="Times New Roman" w:cs="Times New Roman"/>
                <w:sz w:val="18"/>
                <w:szCs w:val="18"/>
                <w:lang w:val="sk-SK" w:eastAsia="sk-SK"/>
              </w:rPr>
              <w:t>Rozšírenie služieb JKM sa dotkne aj iných osobitných predpisov, kde rozhodujúca je IT komunikácia a úprava informačných systémov.</w:t>
            </w:r>
          </w:p>
          <w:p w14:paraId="2020E868" w14:textId="77777777" w:rsidR="00A11099" w:rsidRPr="00F4691D" w:rsidRDefault="00A11099" w:rsidP="008120B9">
            <w:pPr>
              <w:ind w:left="0"/>
              <w:rPr>
                <w:sz w:val="18"/>
                <w:szCs w:val="18"/>
              </w:rPr>
            </w:pPr>
          </w:p>
          <w:p w14:paraId="2980B2E7" w14:textId="77777777" w:rsidR="00A11099" w:rsidRPr="00F4691D" w:rsidRDefault="00A11099" w:rsidP="008120B9">
            <w:pPr>
              <w:ind w:left="0"/>
              <w:rPr>
                <w:sz w:val="18"/>
                <w:szCs w:val="18"/>
              </w:rPr>
            </w:pPr>
            <w:r w:rsidRPr="00F4691D">
              <w:rPr>
                <w:sz w:val="18"/>
                <w:szCs w:val="18"/>
              </w:rPr>
              <w:t xml:space="preserve">MH SR ako ÚOŠS zodpovedný za podporu MSP vytvorilo Pracovnú skupinu pre problematiku SBA, tvorenú </w:t>
            </w:r>
            <w:r w:rsidRPr="00F4691D">
              <w:rPr>
                <w:sz w:val="18"/>
                <w:szCs w:val="18"/>
              </w:rPr>
              <w:lastRenderedPageBreak/>
              <w:t>zástupcami verejnej správy a podnikateľských organizácií, ktorá sa bude venovať monitorovaniu a hodnoteniu pokroku pri plnení SBA, podieľať na šírení informácií spojených s politikami pre MSP a výmene najlepších príkladov v tejto oblasti. Jej cieľom bude navrhnúť odporúčania pre zlepšenie uplatňovania SBA – teda implementácii jednotlivých princípov v podmienkach SR a tým pomôcť MSP v ich podnikateľských aktivitách a kontinuálne vytvárať podmienky pre zlepšovanie podnikateľského prostredia. S cieľom systematického uplatňovania jednotlivých princípov SBA v podmienkach Slovenskej republiky bola v pôsobnosti Slovak Business Agency spracovaná nová stratégia pre MSP (celý názov: Stratégia rozvoja malého a stredného podnikania s dôrazom na zvýšenie regionálnej zamestnanosti do roku 2020). Jej prvá časť, Analýza stavu MSP, bola predmetom MPK v období 11. – 17. októbra 2013. Následne bola schválená Hospodárskou a sociálnou radou SR dňa 25. novembra 2013.</w:t>
            </w:r>
          </w:p>
          <w:p w14:paraId="495C0895" w14:textId="77777777" w:rsidR="00A11099" w:rsidRPr="00F4691D" w:rsidRDefault="00A11099" w:rsidP="008120B9">
            <w:pPr>
              <w:ind w:left="0"/>
              <w:rPr>
                <w:sz w:val="18"/>
                <w:szCs w:val="18"/>
              </w:rPr>
            </w:pPr>
            <w:r w:rsidRPr="00F4691D">
              <w:rPr>
                <w:sz w:val="18"/>
                <w:szCs w:val="18"/>
              </w:rPr>
              <w:t xml:space="preserve">Návrh zákona o podpore MSP bol schválený Národnou radou SR na 10. zasadnutí dňa 11. októbra 2016 uznesením č. 251. </w:t>
            </w:r>
          </w:p>
          <w:p w14:paraId="6AC20C99" w14:textId="77777777" w:rsidR="00A11099" w:rsidRPr="00F4691D" w:rsidRDefault="00A11099" w:rsidP="008120B9">
            <w:pPr>
              <w:ind w:left="0"/>
              <w:rPr>
                <w:sz w:val="18"/>
                <w:szCs w:val="18"/>
              </w:rPr>
            </w:pPr>
          </w:p>
          <w:p w14:paraId="316A4CEF" w14:textId="77777777" w:rsidR="00A11099" w:rsidRPr="00F4691D" w:rsidRDefault="00A11099" w:rsidP="008120B9">
            <w:pPr>
              <w:ind w:left="0"/>
              <w:rPr>
                <w:sz w:val="18"/>
                <w:szCs w:val="18"/>
              </w:rPr>
            </w:pPr>
            <w:r w:rsidRPr="00F4691D">
              <w:rPr>
                <w:sz w:val="18"/>
                <w:szCs w:val="18"/>
              </w:rPr>
              <w:t xml:space="preserve">Zákon č. 290/2016 Z. z. z 11.októbra 2016 o podpore malého a stredného podnikania a o zmene a doplnení zákona č. 71/2013 Z. z. o poskytovaní dotácií v pôsobnosti ministerstva hospodárstva Slovenskej republiky v znení neskorších predpisov bol zverejnený dňa 7. novembra 2016 v Zbierke zákonov Slovenskej republiky. </w:t>
            </w:r>
          </w:p>
          <w:p w14:paraId="56163042" w14:textId="77777777" w:rsidR="00A11099" w:rsidRPr="00F4691D" w:rsidRDefault="00A11099" w:rsidP="008120B9">
            <w:pPr>
              <w:ind w:left="0"/>
              <w:rPr>
                <w:sz w:val="18"/>
                <w:szCs w:val="18"/>
              </w:rPr>
            </w:pPr>
          </w:p>
          <w:p w14:paraId="2C46401A" w14:textId="77777777" w:rsidR="00A11099" w:rsidRPr="003F7110" w:rsidRDefault="00A11099" w:rsidP="008120B9">
            <w:pPr>
              <w:ind w:left="0"/>
              <w:rPr>
                <w:sz w:val="20"/>
                <w:szCs w:val="20"/>
              </w:rPr>
            </w:pPr>
            <w:r w:rsidRPr="00F4691D">
              <w:rPr>
                <w:sz w:val="18"/>
                <w:szCs w:val="18"/>
              </w:rPr>
              <w:t>Z pohľadu zavedenia MSP testu na posudzovanie vplyvu regulácií na MSP (SME test) bol prijatím upravenej Jednotnej metodiky na posudzovanie vybraných vplyvov v januári 2015 vytvorený priestor pre vykonávanie osobitných hodnotení dopadov regulácií na MSP.</w:t>
            </w:r>
          </w:p>
        </w:tc>
      </w:tr>
    </w:tbl>
    <w:p w14:paraId="7ED2E5AD" w14:textId="2F1606DA" w:rsidR="00497BCE" w:rsidRDefault="005E656D" w:rsidP="006B79A7">
      <w:pPr>
        <w:pStyle w:val="Tab"/>
      </w:pPr>
      <w:r>
        <w:lastRenderedPageBreak/>
        <w:t xml:space="preserve"> </w:t>
      </w:r>
      <w:r w:rsidR="00497BCE">
        <w:t>Identifikácia všeobecných</w:t>
      </w:r>
      <w:r w:rsidR="00497BCE" w:rsidRPr="001A49CC">
        <w:t xml:space="preserve"> ex ante kondicionalít a vyhodnotenie ich plnenia</w:t>
      </w:r>
      <w:r w:rsidR="0083359D">
        <w:t xml:space="preserve"> (</w:t>
      </w:r>
      <w:r w:rsidR="0083359D" w:rsidRPr="0083359D">
        <w:t xml:space="preserve">Podrobnejšie </w:t>
      </w:r>
      <w:r w:rsidR="0083359D">
        <w:t>vyhodnotenie</w:t>
      </w:r>
      <w:r w:rsidR="0083359D" w:rsidRPr="0083359D">
        <w:t xml:space="preserve"> </w:t>
      </w:r>
      <w:r w:rsidR="0083359D">
        <w:t>je</w:t>
      </w:r>
      <w:r w:rsidR="00E254DD">
        <w:t xml:space="preserve"> uvedené v Prílohe</w:t>
      </w:r>
      <w:r w:rsidR="00E377A3">
        <w:t xml:space="preserve"> 8</w:t>
      </w:r>
      <w:r w:rsidR="0083359D">
        <w:t>)</w:t>
      </w:r>
    </w:p>
    <w:tbl>
      <w:tblPr>
        <w:tblStyle w:val="Mriekatabuky"/>
        <w:tblW w:w="145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
        <w:gridCol w:w="1710"/>
        <w:gridCol w:w="1277"/>
        <w:gridCol w:w="1448"/>
        <w:gridCol w:w="2257"/>
        <w:gridCol w:w="1257"/>
        <w:gridCol w:w="3969"/>
        <w:gridCol w:w="2564"/>
      </w:tblGrid>
      <w:tr w:rsidR="00497BCE" w:rsidRPr="003F7110" w14:paraId="0E2340B2" w14:textId="77777777" w:rsidTr="00E254DD">
        <w:trPr>
          <w:trHeight w:val="340"/>
          <w:jc w:val="center"/>
        </w:trPr>
        <w:tc>
          <w:tcPr>
            <w:tcW w:w="1734" w:type="dxa"/>
            <w:gridSpan w:val="2"/>
            <w:shd w:val="clear" w:color="auto" w:fill="C6D9F1" w:themeFill="text2" w:themeFillTint="33"/>
            <w:vAlign w:val="center"/>
          </w:tcPr>
          <w:p w14:paraId="7BC22B89" w14:textId="77777777" w:rsidR="00497BCE" w:rsidRPr="003F7110" w:rsidRDefault="00497BCE" w:rsidP="00497BCE">
            <w:pPr>
              <w:ind w:left="0"/>
              <w:jc w:val="center"/>
              <w:rPr>
                <w:sz w:val="20"/>
                <w:szCs w:val="20"/>
              </w:rPr>
            </w:pPr>
            <w:r w:rsidRPr="003F7110">
              <w:rPr>
                <w:sz w:val="20"/>
                <w:szCs w:val="20"/>
              </w:rPr>
              <w:t>Ex ante kondicionalita</w:t>
            </w:r>
          </w:p>
        </w:tc>
        <w:tc>
          <w:tcPr>
            <w:tcW w:w="1277" w:type="dxa"/>
            <w:shd w:val="clear" w:color="auto" w:fill="C6D9F1" w:themeFill="text2" w:themeFillTint="33"/>
            <w:vAlign w:val="center"/>
          </w:tcPr>
          <w:p w14:paraId="630D1330" w14:textId="77777777" w:rsidR="00497BCE" w:rsidRPr="003F7110" w:rsidRDefault="00497BCE" w:rsidP="00497BCE">
            <w:pPr>
              <w:ind w:left="0"/>
              <w:jc w:val="center"/>
              <w:rPr>
                <w:sz w:val="20"/>
                <w:szCs w:val="20"/>
              </w:rPr>
            </w:pPr>
            <w:r w:rsidRPr="003F7110">
              <w:rPr>
                <w:sz w:val="20"/>
                <w:szCs w:val="20"/>
              </w:rPr>
              <w:t xml:space="preserve">Prioritná os </w:t>
            </w:r>
          </w:p>
        </w:tc>
        <w:tc>
          <w:tcPr>
            <w:tcW w:w="1448" w:type="dxa"/>
            <w:shd w:val="clear" w:color="auto" w:fill="C6D9F1" w:themeFill="text2" w:themeFillTint="33"/>
            <w:vAlign w:val="center"/>
          </w:tcPr>
          <w:p w14:paraId="07A61259" w14:textId="77777777" w:rsidR="00497BCE" w:rsidRPr="003F7110" w:rsidRDefault="00497BCE" w:rsidP="00497BCE">
            <w:pPr>
              <w:ind w:left="0"/>
              <w:jc w:val="center"/>
              <w:rPr>
                <w:sz w:val="20"/>
                <w:szCs w:val="20"/>
              </w:rPr>
            </w:pPr>
            <w:r w:rsidRPr="003F7110">
              <w:rPr>
                <w:sz w:val="20"/>
                <w:szCs w:val="20"/>
              </w:rPr>
              <w:t>Splnenie ex ante kondicionality Áno/Nie/Čiastočne</w:t>
            </w:r>
          </w:p>
        </w:tc>
        <w:tc>
          <w:tcPr>
            <w:tcW w:w="2257" w:type="dxa"/>
            <w:shd w:val="clear" w:color="auto" w:fill="C6D9F1" w:themeFill="text2" w:themeFillTint="33"/>
            <w:vAlign w:val="center"/>
          </w:tcPr>
          <w:p w14:paraId="091AA81E" w14:textId="77777777" w:rsidR="00497BCE" w:rsidRPr="003F7110" w:rsidRDefault="00497BCE" w:rsidP="00497BCE">
            <w:pPr>
              <w:ind w:left="0"/>
              <w:jc w:val="center"/>
              <w:rPr>
                <w:sz w:val="20"/>
                <w:szCs w:val="20"/>
              </w:rPr>
            </w:pPr>
            <w:r w:rsidRPr="003F7110">
              <w:rPr>
                <w:sz w:val="20"/>
                <w:szCs w:val="20"/>
              </w:rPr>
              <w:t>Kritériá</w:t>
            </w:r>
          </w:p>
        </w:tc>
        <w:tc>
          <w:tcPr>
            <w:tcW w:w="1257" w:type="dxa"/>
            <w:shd w:val="clear" w:color="auto" w:fill="C6D9F1" w:themeFill="text2" w:themeFillTint="33"/>
            <w:vAlign w:val="center"/>
          </w:tcPr>
          <w:p w14:paraId="5EB03AD2" w14:textId="77777777" w:rsidR="00497BCE" w:rsidRPr="003F7110" w:rsidRDefault="00497BCE" w:rsidP="00497BCE">
            <w:pPr>
              <w:ind w:left="0"/>
              <w:jc w:val="center"/>
              <w:rPr>
                <w:sz w:val="20"/>
                <w:szCs w:val="20"/>
              </w:rPr>
            </w:pPr>
            <w:r w:rsidRPr="003F7110">
              <w:rPr>
                <w:sz w:val="20"/>
                <w:szCs w:val="20"/>
              </w:rPr>
              <w:t>Splnenie kritérií Áno/Nie</w:t>
            </w:r>
          </w:p>
        </w:tc>
        <w:tc>
          <w:tcPr>
            <w:tcW w:w="3969" w:type="dxa"/>
            <w:shd w:val="clear" w:color="auto" w:fill="C6D9F1" w:themeFill="text2" w:themeFillTint="33"/>
            <w:vAlign w:val="center"/>
          </w:tcPr>
          <w:p w14:paraId="29CD85C6" w14:textId="77777777" w:rsidR="00497BCE" w:rsidRPr="003F7110" w:rsidRDefault="00497BCE" w:rsidP="00497BCE">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64" w:type="dxa"/>
            <w:shd w:val="clear" w:color="auto" w:fill="C6D9F1" w:themeFill="text2" w:themeFillTint="33"/>
            <w:vAlign w:val="center"/>
          </w:tcPr>
          <w:p w14:paraId="4C91BD98" w14:textId="77777777" w:rsidR="00497BCE" w:rsidRPr="003F7110" w:rsidRDefault="00497BCE" w:rsidP="00497BCE">
            <w:pPr>
              <w:ind w:left="0"/>
              <w:jc w:val="center"/>
              <w:rPr>
                <w:sz w:val="20"/>
                <w:szCs w:val="20"/>
              </w:rPr>
            </w:pPr>
            <w:r w:rsidRPr="003F7110">
              <w:rPr>
                <w:sz w:val="20"/>
                <w:szCs w:val="20"/>
              </w:rPr>
              <w:t>Vysvetlenia</w:t>
            </w:r>
          </w:p>
        </w:tc>
      </w:tr>
      <w:tr w:rsidR="008D54D4" w:rsidRPr="00A11060" w14:paraId="4C225EAC" w14:textId="77777777" w:rsidTr="00E254DD">
        <w:tblPrEx>
          <w:jc w:val="left"/>
        </w:tblPrEx>
        <w:trPr>
          <w:gridBefore w:val="1"/>
          <w:wBefore w:w="24" w:type="dxa"/>
          <w:trHeight w:val="340"/>
        </w:trPr>
        <w:tc>
          <w:tcPr>
            <w:tcW w:w="1710" w:type="dxa"/>
            <w:vMerge w:val="restart"/>
          </w:tcPr>
          <w:p w14:paraId="7975A349" w14:textId="77777777" w:rsidR="00BE7E07" w:rsidRPr="001E3C4C" w:rsidRDefault="00BE7E07" w:rsidP="001E3C4C">
            <w:pPr>
              <w:spacing w:before="40"/>
              <w:ind w:left="0"/>
              <w:rPr>
                <w:b/>
                <w:sz w:val="20"/>
                <w:szCs w:val="20"/>
              </w:rPr>
            </w:pPr>
            <w:r w:rsidRPr="001E3C4C">
              <w:rPr>
                <w:b/>
                <w:sz w:val="20"/>
                <w:szCs w:val="20"/>
              </w:rPr>
              <w:t xml:space="preserve">Nediskriminácia </w:t>
            </w:r>
          </w:p>
          <w:p w14:paraId="31061152" w14:textId="77777777" w:rsidR="008D54D4" w:rsidRDefault="00BE7E07" w:rsidP="00BE7E07">
            <w:pPr>
              <w:spacing w:before="120"/>
              <w:ind w:left="0"/>
              <w:rPr>
                <w:sz w:val="20"/>
                <w:szCs w:val="20"/>
              </w:rPr>
            </w:pPr>
            <w:r w:rsidRPr="00BE7E07">
              <w:rPr>
                <w:sz w:val="20"/>
                <w:szCs w:val="20"/>
              </w:rPr>
              <w:t xml:space="preserve">Existencia administratívnej kapacity na vykonávanie a uplatňovanie práva Únie v </w:t>
            </w:r>
            <w:r w:rsidRPr="00BE7E07">
              <w:rPr>
                <w:sz w:val="20"/>
                <w:szCs w:val="20"/>
              </w:rPr>
              <w:lastRenderedPageBreak/>
              <w:t>oblasti nediskriminácie a politiky v oblasti EŠIF.</w:t>
            </w:r>
          </w:p>
        </w:tc>
        <w:tc>
          <w:tcPr>
            <w:tcW w:w="1277" w:type="dxa"/>
            <w:vMerge w:val="restart"/>
          </w:tcPr>
          <w:p w14:paraId="50D33C8C" w14:textId="2656A72F" w:rsidR="008D54D4" w:rsidRDefault="008D614C">
            <w:pPr>
              <w:spacing w:before="40"/>
              <w:ind w:left="0"/>
              <w:jc w:val="center"/>
              <w:rPr>
                <w:sz w:val="20"/>
                <w:szCs w:val="20"/>
              </w:rPr>
            </w:pPr>
            <w:r>
              <w:rPr>
                <w:sz w:val="20"/>
                <w:szCs w:val="20"/>
              </w:rPr>
              <w:lastRenderedPageBreak/>
              <w:t xml:space="preserve">PO 1 – PO </w:t>
            </w:r>
            <w:r w:rsidR="0043132E">
              <w:rPr>
                <w:sz w:val="20"/>
                <w:szCs w:val="20"/>
              </w:rPr>
              <w:t>13</w:t>
            </w:r>
          </w:p>
        </w:tc>
        <w:tc>
          <w:tcPr>
            <w:tcW w:w="1448" w:type="dxa"/>
            <w:vMerge w:val="restart"/>
          </w:tcPr>
          <w:p w14:paraId="52C6A4D2" w14:textId="77777777"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29ADDD97" w14:textId="77777777" w:rsidR="008D54D4" w:rsidRPr="00280E08" w:rsidRDefault="00BE7E07" w:rsidP="00415731">
            <w:pPr>
              <w:spacing w:before="40"/>
              <w:ind w:left="0"/>
              <w:jc w:val="both"/>
              <w:rPr>
                <w:color w:val="000000" w:themeColor="text1"/>
                <w:sz w:val="20"/>
                <w:szCs w:val="20"/>
              </w:rPr>
            </w:pPr>
            <w:r w:rsidRPr="00BE7E07">
              <w:rPr>
                <w:sz w:val="20"/>
                <w:szCs w:val="20"/>
              </w:rPr>
              <w:t xml:space="preserve">Opatrenia v súlade s inštitucionálnym a právnym rámcom členských štátov na zapojenie orgánov zodpovedných za podporu rovnakého </w:t>
            </w:r>
            <w:r w:rsidRPr="00BE7E07">
              <w:rPr>
                <w:sz w:val="20"/>
                <w:szCs w:val="20"/>
              </w:rPr>
              <w:lastRenderedPageBreak/>
              <w:t>zaobchádzania so všetkými osobami počas prípravy a vykonávania programov, a to vrátane poskytovania poradenstva o rovnosti v rámci činností spojených s EŠIF.</w:t>
            </w:r>
          </w:p>
        </w:tc>
        <w:tc>
          <w:tcPr>
            <w:tcW w:w="1257" w:type="dxa"/>
          </w:tcPr>
          <w:p w14:paraId="0E1AA068" w14:textId="77777777" w:rsidR="008D54D4" w:rsidRDefault="008D54D4" w:rsidP="001E3C4C">
            <w:pPr>
              <w:spacing w:before="40"/>
              <w:ind w:left="0"/>
              <w:jc w:val="center"/>
              <w:rPr>
                <w:b/>
                <w:color w:val="000000" w:themeColor="text1"/>
                <w:sz w:val="20"/>
                <w:szCs w:val="20"/>
              </w:rPr>
            </w:pPr>
            <w:r>
              <w:rPr>
                <w:b/>
                <w:color w:val="000000" w:themeColor="text1"/>
                <w:sz w:val="20"/>
                <w:szCs w:val="20"/>
              </w:rPr>
              <w:lastRenderedPageBreak/>
              <w:t>Nie</w:t>
            </w:r>
          </w:p>
        </w:tc>
        <w:tc>
          <w:tcPr>
            <w:tcW w:w="3969" w:type="dxa"/>
          </w:tcPr>
          <w:p w14:paraId="2E887240" w14:textId="77777777" w:rsidR="00BE7E07" w:rsidRDefault="00BE7E07" w:rsidP="001E3C4C">
            <w:pPr>
              <w:spacing w:before="40"/>
              <w:ind w:left="34"/>
              <w:rPr>
                <w:sz w:val="20"/>
                <w:szCs w:val="20"/>
              </w:rPr>
            </w:pPr>
            <w:r w:rsidRPr="00BE7E07">
              <w:rPr>
                <w:sz w:val="20"/>
                <w:szCs w:val="20"/>
              </w:rPr>
              <w:t xml:space="preserve">Zákon č. 575/2001 Z. z. o organizácii činnosti vlády a organizácii ústrednej štátnej správy v znení neskorších predpisov </w:t>
            </w:r>
          </w:p>
          <w:p w14:paraId="4393CB21" w14:textId="77777777" w:rsidR="00BE7E07" w:rsidRPr="00BE7E07" w:rsidRDefault="001061E2" w:rsidP="00BE7E07">
            <w:pPr>
              <w:spacing w:before="120"/>
              <w:ind w:left="34"/>
              <w:rPr>
                <w:bCs/>
                <w:spacing w:val="-3"/>
                <w:sz w:val="20"/>
                <w:szCs w:val="20"/>
                <w:lang w:eastAsia="fr-FR"/>
              </w:rPr>
            </w:pPr>
            <w:hyperlink r:id="rId68" w:history="1">
              <w:r w:rsidR="00BE7E07" w:rsidRPr="00BE7E07">
                <w:rPr>
                  <w:bCs/>
                  <w:color w:val="0000FF"/>
                  <w:spacing w:val="-3"/>
                  <w:sz w:val="20"/>
                  <w:szCs w:val="20"/>
                  <w:u w:val="single"/>
                  <w:lang w:eastAsia="fr-FR"/>
                </w:rPr>
                <w:t>http://www.epi.sk/Main/Default.aspx?Template=~%2FMain%2FTArticles.ascx&amp;LngID=0&amp;zzsrlnkid=4654186&amp;phContent=~%2FZzSR%2FShowRule.ascx&amp;RuleId=14927&amp;pa=13597</w:t>
              </w:r>
            </w:hyperlink>
            <w:r w:rsidR="00BE7E07" w:rsidRPr="00BE7E07">
              <w:rPr>
                <w:bCs/>
                <w:spacing w:val="-3"/>
                <w:sz w:val="20"/>
                <w:szCs w:val="20"/>
                <w:lang w:eastAsia="fr-FR"/>
              </w:rPr>
              <w:t xml:space="preserve"> </w:t>
            </w:r>
          </w:p>
          <w:p w14:paraId="17E48E94" w14:textId="77777777" w:rsidR="00BE7E07" w:rsidRPr="00BE7E07" w:rsidRDefault="00BE7E07" w:rsidP="00BE7E07">
            <w:pPr>
              <w:spacing w:before="120"/>
              <w:ind w:left="34"/>
              <w:rPr>
                <w:bCs/>
                <w:spacing w:val="-3"/>
                <w:sz w:val="20"/>
                <w:szCs w:val="20"/>
                <w:lang w:eastAsia="fr-FR"/>
              </w:rPr>
            </w:pPr>
            <w:r w:rsidRPr="00BE7E07">
              <w:rPr>
                <w:bCs/>
                <w:spacing w:val="-3"/>
                <w:sz w:val="20"/>
                <w:szCs w:val="20"/>
                <w:lang w:eastAsia="fr-FR"/>
              </w:rPr>
              <w:lastRenderedPageBreak/>
              <w:t>Antidiskriminačný zákon (Zákon 365/2004 Z. z. o rovnakom zaobchádzaní v niektorých oblastiach a o ochrane pred diskrimináciou)</w:t>
            </w:r>
          </w:p>
          <w:p w14:paraId="363E7239" w14:textId="77777777" w:rsidR="00BE7E07" w:rsidRPr="00BE7E07" w:rsidRDefault="00BE7E07" w:rsidP="00BE7E07">
            <w:pPr>
              <w:spacing w:before="120"/>
              <w:ind w:left="0"/>
              <w:rPr>
                <w:bCs/>
                <w:color w:val="0000FF"/>
                <w:spacing w:val="-3"/>
                <w:sz w:val="20"/>
                <w:szCs w:val="20"/>
                <w:u w:val="single"/>
                <w:lang w:eastAsia="fr-FR"/>
              </w:rPr>
            </w:pPr>
            <w:r w:rsidRPr="00BE7E07">
              <w:rPr>
                <w:bCs/>
                <w:spacing w:val="-3"/>
                <w:sz w:val="20"/>
                <w:szCs w:val="20"/>
                <w:lang w:eastAsia="fr-FR"/>
              </w:rPr>
              <w:t xml:space="preserve"> </w:t>
            </w:r>
            <w:hyperlink r:id="rId69" w:history="1">
              <w:r w:rsidRPr="00BE7E07">
                <w:rPr>
                  <w:bCs/>
                  <w:color w:val="0000FF"/>
                  <w:spacing w:val="-3"/>
                  <w:sz w:val="20"/>
                  <w:szCs w:val="20"/>
                  <w:u w:val="single"/>
                  <w:lang w:eastAsia="fr-FR"/>
                </w:rPr>
                <w:t>http://www.gender.gov.sk/?page_id=72</w:t>
              </w:r>
            </w:hyperlink>
          </w:p>
          <w:p w14:paraId="14B0BFDD" w14:textId="77777777" w:rsidR="008D54D4" w:rsidRPr="008D54D4" w:rsidRDefault="008D54D4" w:rsidP="00280E08">
            <w:pPr>
              <w:ind w:left="0"/>
              <w:jc w:val="center"/>
              <w:rPr>
                <w:iCs/>
                <w:sz w:val="20"/>
                <w:szCs w:val="20"/>
              </w:rPr>
            </w:pPr>
          </w:p>
        </w:tc>
        <w:tc>
          <w:tcPr>
            <w:tcW w:w="2564" w:type="dxa"/>
          </w:tcPr>
          <w:p w14:paraId="5BBD3BE1" w14:textId="77777777" w:rsidR="00BE7E07" w:rsidRPr="00BE7E07" w:rsidRDefault="00BE7E07" w:rsidP="00415731">
            <w:pPr>
              <w:spacing w:before="40"/>
              <w:ind w:left="0"/>
              <w:jc w:val="both"/>
              <w:rPr>
                <w:sz w:val="20"/>
                <w:szCs w:val="20"/>
              </w:rPr>
            </w:pPr>
            <w:r w:rsidRPr="00BE7E07">
              <w:rPr>
                <w:sz w:val="20"/>
                <w:szCs w:val="20"/>
              </w:rPr>
              <w:lastRenderedPageBreak/>
              <w:t xml:space="preserve">Odbor rodovej rovnosti a rovnosti príležitostí (ORRRP) na MPSVR SR je výkonným orgánom pre implementáciu programov. ORRRP spolupracoval na príprave operačných </w:t>
            </w:r>
            <w:r w:rsidRPr="00BE7E07">
              <w:rPr>
                <w:sz w:val="20"/>
                <w:szCs w:val="20"/>
              </w:rPr>
              <w:lastRenderedPageBreak/>
              <w:t xml:space="preserve">programov a bude zapojený do implementácie a monitorovania prostredníctvom členstva v monitorovacích výboroch a poskytovaním poradenstva (školení). </w:t>
            </w:r>
          </w:p>
          <w:p w14:paraId="05AF023B" w14:textId="77777777" w:rsidR="00BE7E07" w:rsidRPr="00BE7E07" w:rsidRDefault="00BE7E07" w:rsidP="00415731">
            <w:pPr>
              <w:spacing w:before="120"/>
              <w:ind w:left="0"/>
              <w:jc w:val="both"/>
              <w:rPr>
                <w:sz w:val="20"/>
                <w:szCs w:val="20"/>
              </w:rPr>
            </w:pPr>
            <w:r w:rsidRPr="00BE7E07">
              <w:rPr>
                <w:sz w:val="20"/>
                <w:szCs w:val="20"/>
              </w:rPr>
              <w:t>V termíne do 1. 6. 2014 boli navýšené administratívne kapacity odboru. Za poskytovanie poradenstva je zodpovedné Slovenské národné stredisko pre ľudské práva (SNSĽP).</w:t>
            </w:r>
          </w:p>
          <w:p w14:paraId="25F53C98" w14:textId="77777777" w:rsidR="008D54D4" w:rsidRPr="008D54D4" w:rsidRDefault="00BE7E07" w:rsidP="00415731">
            <w:pPr>
              <w:spacing w:before="120"/>
              <w:ind w:left="0"/>
              <w:jc w:val="both"/>
              <w:rPr>
                <w:iCs/>
                <w:sz w:val="20"/>
                <w:szCs w:val="20"/>
              </w:rPr>
            </w:pPr>
            <w:r w:rsidRPr="00BE7E07">
              <w:rPr>
                <w:sz w:val="20"/>
                <w:szCs w:val="20"/>
              </w:rPr>
              <w:t>Zastúpenie hlavných MVO a odborníkov na diskrimináciu, rodovú rovnosť a zdravotné postihnutie pri príprave a implementácii operačných programov je zaistené prostredníctvom ich účasti v pracovnej skupine gestora HP.</w:t>
            </w:r>
          </w:p>
        </w:tc>
      </w:tr>
      <w:tr w:rsidR="008D54D4" w:rsidRPr="00A11060" w14:paraId="5140A9AD" w14:textId="77777777" w:rsidTr="00E254DD">
        <w:tblPrEx>
          <w:jc w:val="left"/>
        </w:tblPrEx>
        <w:trPr>
          <w:gridBefore w:val="1"/>
          <w:wBefore w:w="24" w:type="dxa"/>
          <w:trHeight w:val="340"/>
        </w:trPr>
        <w:tc>
          <w:tcPr>
            <w:tcW w:w="1710" w:type="dxa"/>
            <w:vMerge/>
          </w:tcPr>
          <w:p w14:paraId="5D96C2F3" w14:textId="77777777" w:rsidR="008D54D4" w:rsidRDefault="008D54D4" w:rsidP="00280E08">
            <w:pPr>
              <w:ind w:left="0"/>
              <w:rPr>
                <w:sz w:val="20"/>
                <w:szCs w:val="20"/>
              </w:rPr>
            </w:pPr>
          </w:p>
        </w:tc>
        <w:tc>
          <w:tcPr>
            <w:tcW w:w="1277" w:type="dxa"/>
            <w:vMerge/>
          </w:tcPr>
          <w:p w14:paraId="7BC1D5A4" w14:textId="77777777" w:rsidR="008D54D4" w:rsidRDefault="008D54D4" w:rsidP="00280E08">
            <w:pPr>
              <w:ind w:left="0"/>
              <w:jc w:val="center"/>
              <w:rPr>
                <w:sz w:val="20"/>
                <w:szCs w:val="20"/>
              </w:rPr>
            </w:pPr>
          </w:p>
        </w:tc>
        <w:tc>
          <w:tcPr>
            <w:tcW w:w="1448" w:type="dxa"/>
            <w:vMerge/>
          </w:tcPr>
          <w:p w14:paraId="562DEDF6" w14:textId="77777777" w:rsidR="008D54D4" w:rsidRDefault="008D54D4" w:rsidP="00280E08">
            <w:pPr>
              <w:ind w:left="0"/>
              <w:jc w:val="center"/>
              <w:rPr>
                <w:b/>
                <w:color w:val="000000" w:themeColor="text1"/>
                <w:sz w:val="20"/>
                <w:szCs w:val="20"/>
              </w:rPr>
            </w:pPr>
          </w:p>
        </w:tc>
        <w:tc>
          <w:tcPr>
            <w:tcW w:w="2257" w:type="dxa"/>
          </w:tcPr>
          <w:p w14:paraId="3B0EDA19" w14:textId="77777777" w:rsidR="008D54D4" w:rsidRPr="00280E08" w:rsidRDefault="00BE7E07" w:rsidP="00415731">
            <w:pPr>
              <w:spacing w:before="40" w:after="40"/>
              <w:ind w:left="0"/>
              <w:jc w:val="both"/>
              <w:rPr>
                <w:color w:val="000000" w:themeColor="text1"/>
                <w:sz w:val="20"/>
                <w:szCs w:val="20"/>
              </w:rPr>
            </w:pPr>
            <w:r w:rsidRPr="00BE7E07">
              <w:rPr>
                <w:sz w:val="20"/>
                <w:szCs w:val="20"/>
              </w:rPr>
              <w:t>Opatrenia na zabezpečenie odbornej prípravy pre zamestnancov orgánov zapojených do riadenia a kontroly EŠIF v oblasti práva a politiky Únie v oblasti nediskriminácie.</w:t>
            </w:r>
          </w:p>
        </w:tc>
        <w:tc>
          <w:tcPr>
            <w:tcW w:w="1257" w:type="dxa"/>
          </w:tcPr>
          <w:p w14:paraId="43D1C1DB" w14:textId="77777777" w:rsidR="008D54D4" w:rsidRDefault="008D54D4" w:rsidP="00280E08">
            <w:pPr>
              <w:ind w:left="0"/>
              <w:jc w:val="center"/>
              <w:rPr>
                <w:b/>
                <w:color w:val="000000" w:themeColor="text1"/>
                <w:sz w:val="20"/>
                <w:szCs w:val="20"/>
              </w:rPr>
            </w:pPr>
            <w:r>
              <w:rPr>
                <w:b/>
                <w:color w:val="000000" w:themeColor="text1"/>
                <w:sz w:val="20"/>
                <w:szCs w:val="20"/>
              </w:rPr>
              <w:t>Nie</w:t>
            </w:r>
          </w:p>
        </w:tc>
        <w:tc>
          <w:tcPr>
            <w:tcW w:w="3969" w:type="dxa"/>
          </w:tcPr>
          <w:p w14:paraId="6106C10E" w14:textId="77777777" w:rsidR="008D54D4" w:rsidRPr="008D54D4" w:rsidRDefault="008D54D4" w:rsidP="00280E08">
            <w:pPr>
              <w:ind w:left="0"/>
              <w:jc w:val="center"/>
              <w:rPr>
                <w:iCs/>
                <w:sz w:val="20"/>
                <w:szCs w:val="20"/>
              </w:rPr>
            </w:pPr>
          </w:p>
        </w:tc>
        <w:tc>
          <w:tcPr>
            <w:tcW w:w="2564" w:type="dxa"/>
          </w:tcPr>
          <w:p w14:paraId="5B290F66" w14:textId="77777777" w:rsidR="008D54D4" w:rsidRPr="008D54D4" w:rsidRDefault="008D54D4" w:rsidP="00280E08">
            <w:pPr>
              <w:ind w:left="0"/>
              <w:rPr>
                <w:iCs/>
                <w:sz w:val="20"/>
                <w:szCs w:val="20"/>
              </w:rPr>
            </w:pPr>
          </w:p>
        </w:tc>
      </w:tr>
      <w:tr w:rsidR="008D54D4" w:rsidRPr="00A11060" w14:paraId="1F533709" w14:textId="77777777" w:rsidTr="00E254DD">
        <w:tblPrEx>
          <w:jc w:val="left"/>
        </w:tblPrEx>
        <w:trPr>
          <w:gridBefore w:val="1"/>
          <w:wBefore w:w="24" w:type="dxa"/>
          <w:trHeight w:val="340"/>
        </w:trPr>
        <w:tc>
          <w:tcPr>
            <w:tcW w:w="1710" w:type="dxa"/>
            <w:vMerge w:val="restart"/>
          </w:tcPr>
          <w:p w14:paraId="38BA21B9" w14:textId="77777777" w:rsidR="00BE7E07" w:rsidRPr="001E3C4C" w:rsidRDefault="00BE7E07" w:rsidP="00BE7E07">
            <w:pPr>
              <w:ind w:left="0"/>
              <w:rPr>
                <w:b/>
                <w:sz w:val="20"/>
                <w:szCs w:val="20"/>
              </w:rPr>
            </w:pPr>
            <w:r w:rsidRPr="001E3C4C">
              <w:rPr>
                <w:b/>
                <w:sz w:val="20"/>
                <w:szCs w:val="20"/>
              </w:rPr>
              <w:t>Rodová rovnosť</w:t>
            </w:r>
          </w:p>
          <w:p w14:paraId="57AC81CF" w14:textId="77777777" w:rsidR="008D54D4" w:rsidRDefault="00BE7E07" w:rsidP="001E3C4C">
            <w:pPr>
              <w:spacing w:before="120"/>
              <w:ind w:left="0"/>
              <w:rPr>
                <w:sz w:val="20"/>
                <w:szCs w:val="20"/>
              </w:rPr>
            </w:pPr>
            <w:r w:rsidRPr="00BE7E07">
              <w:rPr>
                <w:sz w:val="20"/>
                <w:szCs w:val="20"/>
              </w:rPr>
              <w:t xml:space="preserve">Existencia </w:t>
            </w:r>
            <w:r w:rsidRPr="00BE7E07">
              <w:rPr>
                <w:sz w:val="20"/>
                <w:szCs w:val="20"/>
              </w:rPr>
              <w:lastRenderedPageBreak/>
              <w:t>administratívnej kapacity na vykonávanie a uplatňovanie práva a politiky Únie týkajúcich sa rodovej rovnosti v oblasti EŠIF.</w:t>
            </w:r>
          </w:p>
        </w:tc>
        <w:tc>
          <w:tcPr>
            <w:tcW w:w="1277" w:type="dxa"/>
            <w:vMerge w:val="restart"/>
          </w:tcPr>
          <w:p w14:paraId="0FFCC69B" w14:textId="655883B3" w:rsidR="008D54D4" w:rsidRDefault="00BE7E07">
            <w:pPr>
              <w:spacing w:before="40"/>
              <w:ind w:left="0"/>
              <w:jc w:val="center"/>
              <w:rPr>
                <w:sz w:val="20"/>
                <w:szCs w:val="20"/>
              </w:rPr>
            </w:pPr>
            <w:r>
              <w:rPr>
                <w:sz w:val="20"/>
                <w:szCs w:val="20"/>
              </w:rPr>
              <w:lastRenderedPageBreak/>
              <w:t xml:space="preserve">PO 1 – PO </w:t>
            </w:r>
            <w:r w:rsidR="0043132E">
              <w:rPr>
                <w:sz w:val="20"/>
                <w:szCs w:val="20"/>
              </w:rPr>
              <w:t>13</w:t>
            </w:r>
          </w:p>
        </w:tc>
        <w:tc>
          <w:tcPr>
            <w:tcW w:w="1448" w:type="dxa"/>
            <w:vMerge w:val="restart"/>
          </w:tcPr>
          <w:p w14:paraId="6F5BEB11" w14:textId="77777777"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3455E54F" w14:textId="77777777" w:rsidR="008D54D4" w:rsidRPr="008D54D4" w:rsidRDefault="00BE7E07" w:rsidP="00415731">
            <w:pPr>
              <w:spacing w:before="40"/>
              <w:ind w:left="0"/>
              <w:jc w:val="both"/>
              <w:rPr>
                <w:color w:val="000000" w:themeColor="text1"/>
                <w:sz w:val="20"/>
                <w:szCs w:val="20"/>
              </w:rPr>
            </w:pPr>
            <w:r w:rsidRPr="00BE7E07">
              <w:rPr>
                <w:rFonts w:cs="EUAlbertina"/>
                <w:color w:val="000000"/>
                <w:sz w:val="20"/>
                <w:szCs w:val="20"/>
              </w:rPr>
              <w:t xml:space="preserve">Opatrenia v súlade s inštitucionálnym a právnym rámcom </w:t>
            </w:r>
            <w:r w:rsidRPr="00BE7E07">
              <w:rPr>
                <w:rFonts w:cs="EUAlbertina"/>
                <w:color w:val="000000"/>
                <w:sz w:val="20"/>
                <w:szCs w:val="20"/>
              </w:rPr>
              <w:lastRenderedPageBreak/>
              <w:t>členských štátov na zapojenie orgánov zodpovedných za podporu rodovej rovnosti počas prípravy a vykonávania programov, a to vrátane poskytovania poradenstva o rodovej rovnosti v rámci činností spojených s EŠIF.</w:t>
            </w:r>
          </w:p>
        </w:tc>
        <w:tc>
          <w:tcPr>
            <w:tcW w:w="1257" w:type="dxa"/>
          </w:tcPr>
          <w:p w14:paraId="5E4AE489" w14:textId="77777777" w:rsidR="008D54D4" w:rsidRDefault="008D54D4" w:rsidP="001E3C4C">
            <w:pPr>
              <w:spacing w:before="40"/>
              <w:ind w:left="0"/>
              <w:jc w:val="center"/>
              <w:rPr>
                <w:b/>
                <w:color w:val="000000" w:themeColor="text1"/>
                <w:sz w:val="20"/>
                <w:szCs w:val="20"/>
              </w:rPr>
            </w:pPr>
            <w:r>
              <w:rPr>
                <w:b/>
                <w:color w:val="000000" w:themeColor="text1"/>
                <w:sz w:val="20"/>
                <w:szCs w:val="20"/>
              </w:rPr>
              <w:lastRenderedPageBreak/>
              <w:t>Nie</w:t>
            </w:r>
          </w:p>
        </w:tc>
        <w:tc>
          <w:tcPr>
            <w:tcW w:w="3969" w:type="dxa"/>
          </w:tcPr>
          <w:p w14:paraId="7A2E37A1" w14:textId="77777777" w:rsidR="00BE7E07" w:rsidRPr="00BE7E07" w:rsidRDefault="00BE7E07" w:rsidP="001E3C4C">
            <w:pPr>
              <w:spacing w:before="40"/>
              <w:ind w:left="0"/>
              <w:rPr>
                <w:sz w:val="20"/>
                <w:szCs w:val="20"/>
              </w:rPr>
            </w:pPr>
            <w:r w:rsidRPr="00BE7E07">
              <w:rPr>
                <w:sz w:val="20"/>
                <w:szCs w:val="20"/>
              </w:rPr>
              <w:t>Ďalší zoznam a adresár spolupracujúcich mimovládnych organizácií v SR venujúcich sa právam žien a rodovej rovnosti</w:t>
            </w:r>
          </w:p>
          <w:p w14:paraId="5A190FDA" w14:textId="77777777" w:rsidR="00BE7E07" w:rsidRPr="00BE7E07" w:rsidRDefault="001061E2" w:rsidP="00BE7E07">
            <w:pPr>
              <w:spacing w:before="120"/>
              <w:ind w:left="0"/>
              <w:rPr>
                <w:color w:val="0000FF"/>
                <w:sz w:val="20"/>
                <w:szCs w:val="20"/>
                <w:u w:val="single"/>
              </w:rPr>
            </w:pPr>
            <w:hyperlink r:id="rId70" w:history="1">
              <w:r w:rsidR="00BE7E07" w:rsidRPr="00BE7E07">
                <w:rPr>
                  <w:rStyle w:val="Hypertextovprepojenie"/>
                  <w:sz w:val="20"/>
                  <w:szCs w:val="20"/>
                </w:rPr>
                <w:t>http://www.gender.gov.sk/?page_id=347</w:t>
              </w:r>
            </w:hyperlink>
          </w:p>
          <w:p w14:paraId="0E81FB7C" w14:textId="77777777" w:rsidR="00BE7E07" w:rsidRPr="00BE7E07" w:rsidRDefault="00BE7E07" w:rsidP="00BE7E07">
            <w:pPr>
              <w:spacing w:before="120"/>
              <w:ind w:left="0"/>
              <w:rPr>
                <w:sz w:val="20"/>
                <w:szCs w:val="20"/>
              </w:rPr>
            </w:pPr>
            <w:r w:rsidRPr="00BE7E07">
              <w:rPr>
                <w:sz w:val="20"/>
                <w:szCs w:val="20"/>
              </w:rPr>
              <w:t>Národná stratégia rodovej rovnosti na roky 2009 – 2013</w:t>
            </w:r>
          </w:p>
          <w:p w14:paraId="2B997CFE" w14:textId="77777777" w:rsidR="008D54D4" w:rsidRPr="00BC3DD7" w:rsidRDefault="001061E2" w:rsidP="00BE7E07">
            <w:pPr>
              <w:spacing w:before="120"/>
              <w:ind w:left="0"/>
              <w:rPr>
                <w:iCs/>
                <w:sz w:val="20"/>
                <w:szCs w:val="20"/>
              </w:rPr>
            </w:pPr>
            <w:hyperlink r:id="rId71" w:history="1">
              <w:r w:rsidR="00BE7E07" w:rsidRPr="00BE7E07">
                <w:rPr>
                  <w:color w:val="0000FF"/>
                  <w:sz w:val="20"/>
                  <w:szCs w:val="20"/>
                  <w:u w:val="single"/>
                </w:rPr>
                <w:t>http://www.gender.gov.sk/?page_id=294</w:t>
              </w:r>
            </w:hyperlink>
          </w:p>
        </w:tc>
        <w:tc>
          <w:tcPr>
            <w:tcW w:w="2564" w:type="dxa"/>
          </w:tcPr>
          <w:p w14:paraId="3A5CF7E9" w14:textId="77777777" w:rsidR="00BE7E07" w:rsidRPr="00BE7E07" w:rsidRDefault="00BE7E07" w:rsidP="00415731">
            <w:pPr>
              <w:spacing w:before="40"/>
              <w:ind w:left="0"/>
              <w:jc w:val="both"/>
              <w:rPr>
                <w:sz w:val="20"/>
                <w:szCs w:val="20"/>
              </w:rPr>
            </w:pPr>
            <w:r w:rsidRPr="00BE7E07">
              <w:rPr>
                <w:sz w:val="20"/>
                <w:szCs w:val="20"/>
              </w:rPr>
              <w:lastRenderedPageBreak/>
              <w:t xml:space="preserve">Odbor rodovej rovnosti a rovnosti príležitostí (ORRRP) na MPSVR SR je </w:t>
            </w:r>
            <w:r w:rsidRPr="00BE7E07">
              <w:rPr>
                <w:sz w:val="20"/>
                <w:szCs w:val="20"/>
              </w:rPr>
              <w:lastRenderedPageBreak/>
              <w:t xml:space="preserve">výkonným orgánom pre implementáciu programov. ORRRP spolupracoval na príprave operačných programov a bude zapojený do implementácie a monitorovania prostredníctvom členstva v monitorovacích výboroch a poskytovaním poradenstva (školení). </w:t>
            </w:r>
          </w:p>
          <w:p w14:paraId="1B9F851B" w14:textId="77777777" w:rsidR="00BE7E07" w:rsidRPr="00BE7E07" w:rsidRDefault="00BE7E07" w:rsidP="00415731">
            <w:pPr>
              <w:spacing w:before="120"/>
              <w:ind w:left="0"/>
              <w:jc w:val="both"/>
              <w:rPr>
                <w:sz w:val="20"/>
                <w:szCs w:val="20"/>
              </w:rPr>
            </w:pPr>
            <w:r w:rsidRPr="00BE7E07">
              <w:rPr>
                <w:sz w:val="20"/>
                <w:szCs w:val="20"/>
              </w:rPr>
              <w:t>Zastúpenie hlavných MVO a odborníkov na diskrimináciu, rodovú rovnosť a zdravotné postihnutie pri príprave a implementácii operačných programov je zaistené prostredníctvom ich účasti v pracovnej skupine gestora HP.</w:t>
            </w:r>
          </w:p>
          <w:p w14:paraId="51C22005" w14:textId="77777777" w:rsidR="008D54D4" w:rsidRPr="00BC3DD7" w:rsidRDefault="00BE7E07" w:rsidP="00415731">
            <w:pPr>
              <w:spacing w:before="120"/>
              <w:ind w:left="0"/>
              <w:jc w:val="both"/>
              <w:rPr>
                <w:iCs/>
                <w:sz w:val="20"/>
                <w:szCs w:val="20"/>
              </w:rPr>
            </w:pPr>
            <w:r w:rsidRPr="00BE7E07">
              <w:rPr>
                <w:sz w:val="20"/>
                <w:szCs w:val="20"/>
              </w:rPr>
              <w:t>Nová Stratégia rodovej rovnosti na roky 2014 - 2020 sa pripravuje na základe vyhodnotenia súčasnej Národnej stratégie rodovej rovnosti na roky 2009 – 2013. Nová stratégia bude pripravená v novembri 2014.</w:t>
            </w:r>
          </w:p>
        </w:tc>
      </w:tr>
      <w:tr w:rsidR="008D54D4" w:rsidRPr="00A11060" w14:paraId="68C21BE5" w14:textId="77777777" w:rsidTr="00E254DD">
        <w:tblPrEx>
          <w:jc w:val="left"/>
        </w:tblPrEx>
        <w:trPr>
          <w:gridBefore w:val="1"/>
          <w:wBefore w:w="24" w:type="dxa"/>
          <w:trHeight w:val="340"/>
        </w:trPr>
        <w:tc>
          <w:tcPr>
            <w:tcW w:w="1710" w:type="dxa"/>
            <w:vMerge/>
          </w:tcPr>
          <w:p w14:paraId="5673183A" w14:textId="77777777" w:rsidR="008D54D4" w:rsidRDefault="008D54D4" w:rsidP="00280E08">
            <w:pPr>
              <w:ind w:left="0"/>
              <w:rPr>
                <w:sz w:val="20"/>
                <w:szCs w:val="20"/>
              </w:rPr>
            </w:pPr>
          </w:p>
        </w:tc>
        <w:tc>
          <w:tcPr>
            <w:tcW w:w="1277" w:type="dxa"/>
            <w:vMerge/>
          </w:tcPr>
          <w:p w14:paraId="18755F9C" w14:textId="77777777" w:rsidR="008D54D4" w:rsidRDefault="008D54D4" w:rsidP="00280E08">
            <w:pPr>
              <w:ind w:left="0"/>
              <w:jc w:val="center"/>
              <w:rPr>
                <w:sz w:val="20"/>
                <w:szCs w:val="20"/>
              </w:rPr>
            </w:pPr>
          </w:p>
        </w:tc>
        <w:tc>
          <w:tcPr>
            <w:tcW w:w="1448" w:type="dxa"/>
            <w:vMerge/>
          </w:tcPr>
          <w:p w14:paraId="69E1A4C8" w14:textId="77777777" w:rsidR="008D54D4" w:rsidRDefault="008D54D4" w:rsidP="00280E08">
            <w:pPr>
              <w:ind w:left="0"/>
              <w:jc w:val="center"/>
              <w:rPr>
                <w:b/>
                <w:color w:val="000000" w:themeColor="text1"/>
                <w:sz w:val="20"/>
                <w:szCs w:val="20"/>
              </w:rPr>
            </w:pPr>
          </w:p>
        </w:tc>
        <w:tc>
          <w:tcPr>
            <w:tcW w:w="2257" w:type="dxa"/>
          </w:tcPr>
          <w:p w14:paraId="107B86F1" w14:textId="77777777" w:rsidR="008D54D4" w:rsidRPr="008D54D4" w:rsidRDefault="00694C91" w:rsidP="00415731">
            <w:pPr>
              <w:spacing w:before="40"/>
              <w:ind w:left="0"/>
              <w:jc w:val="both"/>
              <w:rPr>
                <w:color w:val="000000" w:themeColor="text1"/>
                <w:sz w:val="20"/>
                <w:szCs w:val="20"/>
              </w:rPr>
            </w:pPr>
            <w:r w:rsidRPr="00694C91">
              <w:rPr>
                <w:rFonts w:cs="EUAlbertina"/>
                <w:color w:val="000000"/>
                <w:sz w:val="20"/>
                <w:szCs w:val="20"/>
              </w:rPr>
              <w:t xml:space="preserve">Opatrenia na zabezpečenie odbornej prípravy pre zamestnancov orgánov zapojených do riadenia a kontroly EŠIF v oblasti </w:t>
            </w:r>
            <w:r w:rsidRPr="00694C91">
              <w:rPr>
                <w:rFonts w:cs="EUAlbertina"/>
                <w:color w:val="000000"/>
                <w:sz w:val="20"/>
                <w:szCs w:val="20"/>
              </w:rPr>
              <w:lastRenderedPageBreak/>
              <w:t>práva a politiky Únie týkajúcich sa rodovej rovnosti a jej uplatňovania.</w:t>
            </w:r>
          </w:p>
        </w:tc>
        <w:tc>
          <w:tcPr>
            <w:tcW w:w="1257" w:type="dxa"/>
          </w:tcPr>
          <w:p w14:paraId="6DF48FCF" w14:textId="77777777" w:rsidR="008D54D4" w:rsidRDefault="008D54D4" w:rsidP="001E3C4C">
            <w:pPr>
              <w:spacing w:before="40"/>
              <w:ind w:left="0"/>
              <w:jc w:val="center"/>
              <w:rPr>
                <w:b/>
                <w:color w:val="000000" w:themeColor="text1"/>
                <w:sz w:val="20"/>
                <w:szCs w:val="20"/>
              </w:rPr>
            </w:pPr>
            <w:r>
              <w:rPr>
                <w:b/>
                <w:color w:val="000000" w:themeColor="text1"/>
                <w:sz w:val="20"/>
                <w:szCs w:val="20"/>
              </w:rPr>
              <w:lastRenderedPageBreak/>
              <w:t>Nie</w:t>
            </w:r>
          </w:p>
        </w:tc>
        <w:tc>
          <w:tcPr>
            <w:tcW w:w="3969" w:type="dxa"/>
          </w:tcPr>
          <w:p w14:paraId="5A3DE43F" w14:textId="77777777" w:rsidR="008D54D4" w:rsidRPr="00BC3DD7" w:rsidRDefault="008D54D4" w:rsidP="00280E08">
            <w:pPr>
              <w:ind w:left="0"/>
              <w:jc w:val="center"/>
              <w:rPr>
                <w:iCs/>
                <w:sz w:val="20"/>
                <w:szCs w:val="20"/>
              </w:rPr>
            </w:pPr>
          </w:p>
        </w:tc>
        <w:tc>
          <w:tcPr>
            <w:tcW w:w="2564" w:type="dxa"/>
          </w:tcPr>
          <w:p w14:paraId="136A1C08" w14:textId="77777777" w:rsidR="008D54D4" w:rsidRPr="00BC3DD7" w:rsidRDefault="008D54D4" w:rsidP="00280E08">
            <w:pPr>
              <w:ind w:left="0"/>
              <w:rPr>
                <w:iCs/>
                <w:sz w:val="20"/>
                <w:szCs w:val="20"/>
              </w:rPr>
            </w:pPr>
          </w:p>
        </w:tc>
      </w:tr>
      <w:tr w:rsidR="00D1336C" w:rsidRPr="00A11060" w14:paraId="2C5A8C97" w14:textId="77777777" w:rsidTr="00E254DD">
        <w:tblPrEx>
          <w:jc w:val="left"/>
        </w:tblPrEx>
        <w:trPr>
          <w:gridBefore w:val="1"/>
          <w:wBefore w:w="24" w:type="dxa"/>
          <w:trHeight w:val="340"/>
        </w:trPr>
        <w:tc>
          <w:tcPr>
            <w:tcW w:w="1710" w:type="dxa"/>
            <w:vMerge w:val="restart"/>
          </w:tcPr>
          <w:p w14:paraId="79B51AD9" w14:textId="77777777" w:rsidR="00694C91" w:rsidRPr="001E3C4C" w:rsidRDefault="00694C91" w:rsidP="00694C91">
            <w:pPr>
              <w:ind w:left="0"/>
              <w:rPr>
                <w:b/>
                <w:sz w:val="20"/>
                <w:szCs w:val="20"/>
              </w:rPr>
            </w:pPr>
            <w:r w:rsidRPr="001E3C4C">
              <w:rPr>
                <w:b/>
                <w:sz w:val="20"/>
                <w:szCs w:val="20"/>
              </w:rPr>
              <w:t>Zdravotné postihnutie</w:t>
            </w:r>
          </w:p>
          <w:p w14:paraId="33D3DDEF" w14:textId="77777777" w:rsidR="00D1336C" w:rsidRDefault="00694C91" w:rsidP="001E3C4C">
            <w:pPr>
              <w:spacing w:before="120"/>
              <w:ind w:left="0"/>
              <w:rPr>
                <w:sz w:val="20"/>
                <w:szCs w:val="20"/>
              </w:rPr>
            </w:pPr>
            <w:r w:rsidRPr="00694C91">
              <w:rPr>
                <w:sz w:val="20"/>
                <w:szCs w:val="20"/>
              </w:rPr>
              <w:t xml:space="preserve">Existencia administratívnej kapacity na vykonávanie a uplatňovanie Dohovoru OSN o právach osôb so zdravotným postihnutím v oblasti EŠIF v súlade s rozhodnutím Rady 2010/48/ES. </w:t>
            </w:r>
          </w:p>
        </w:tc>
        <w:tc>
          <w:tcPr>
            <w:tcW w:w="1277" w:type="dxa"/>
            <w:vMerge w:val="restart"/>
          </w:tcPr>
          <w:p w14:paraId="61F5F144" w14:textId="0FC14AC3" w:rsidR="00D1336C" w:rsidRDefault="002B6544">
            <w:pPr>
              <w:spacing w:before="40"/>
              <w:ind w:left="0"/>
              <w:jc w:val="center"/>
              <w:rPr>
                <w:sz w:val="20"/>
                <w:szCs w:val="20"/>
              </w:rPr>
            </w:pPr>
            <w:r>
              <w:rPr>
                <w:sz w:val="20"/>
                <w:szCs w:val="20"/>
              </w:rPr>
              <w:t xml:space="preserve">PO1 – </w:t>
            </w:r>
            <w:r w:rsidR="0043132E">
              <w:rPr>
                <w:sz w:val="20"/>
                <w:szCs w:val="20"/>
              </w:rPr>
              <w:t>PO13</w:t>
            </w:r>
          </w:p>
        </w:tc>
        <w:tc>
          <w:tcPr>
            <w:tcW w:w="1448" w:type="dxa"/>
            <w:vMerge w:val="restart"/>
          </w:tcPr>
          <w:p w14:paraId="33359692" w14:textId="77777777"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29DE22DA" w14:textId="77777777" w:rsidR="00D1336C" w:rsidRPr="00D1336C" w:rsidRDefault="00694C91" w:rsidP="00415731">
            <w:pPr>
              <w:spacing w:before="40"/>
              <w:ind w:left="0"/>
              <w:jc w:val="both"/>
              <w:rPr>
                <w:color w:val="000000" w:themeColor="text1"/>
                <w:sz w:val="20"/>
                <w:szCs w:val="20"/>
              </w:rPr>
            </w:pPr>
            <w:r w:rsidRPr="00694C91">
              <w:rPr>
                <w:rFonts w:cs="EUAlbertina"/>
                <w:color w:val="000000"/>
                <w:sz w:val="20"/>
                <w:szCs w:val="20"/>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1257" w:type="dxa"/>
          </w:tcPr>
          <w:p w14:paraId="49EBC76F" w14:textId="77777777"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754EB6AD" w14:textId="77777777" w:rsidR="00694C91" w:rsidRPr="00694C91" w:rsidRDefault="00694C91" w:rsidP="001E3C4C">
            <w:pPr>
              <w:spacing w:before="40"/>
              <w:ind w:left="0"/>
              <w:rPr>
                <w:sz w:val="20"/>
                <w:szCs w:val="20"/>
              </w:rPr>
            </w:pPr>
            <w:r w:rsidRPr="00694C91">
              <w:rPr>
                <w:sz w:val="20"/>
                <w:szCs w:val="20"/>
              </w:rPr>
              <w:t xml:space="preserve">Národný program rozvoja životných podmienok osôb so zdravotným postihnutím na roky 2014 – 2020. </w:t>
            </w:r>
          </w:p>
          <w:p w14:paraId="67C30461" w14:textId="77777777" w:rsidR="00D1336C" w:rsidRPr="00BC3DD7" w:rsidRDefault="001061E2" w:rsidP="00694C91">
            <w:pPr>
              <w:spacing w:before="120"/>
              <w:ind w:left="0"/>
              <w:rPr>
                <w:iCs/>
                <w:sz w:val="20"/>
                <w:szCs w:val="20"/>
              </w:rPr>
            </w:pPr>
            <w:hyperlink r:id="rId72" w:history="1">
              <w:r w:rsidR="00694C91" w:rsidRPr="00CC475D">
                <w:rPr>
                  <w:rStyle w:val="Hypertextovprepojenie"/>
                  <w:sz w:val="20"/>
                  <w:szCs w:val="20"/>
                </w:rPr>
                <w:t>http://www.rokovania.sk/Rokovanie.aspx/BodRokovaniaDetail?idMaterial=23180</w:t>
              </w:r>
            </w:hyperlink>
          </w:p>
        </w:tc>
        <w:tc>
          <w:tcPr>
            <w:tcW w:w="2564" w:type="dxa"/>
          </w:tcPr>
          <w:p w14:paraId="3F8BEF0E" w14:textId="77777777" w:rsidR="009E61D7" w:rsidRPr="009E61D7" w:rsidRDefault="009E61D7" w:rsidP="00415731">
            <w:pPr>
              <w:spacing w:before="40"/>
              <w:ind w:left="0"/>
              <w:jc w:val="both"/>
              <w:rPr>
                <w:sz w:val="20"/>
                <w:szCs w:val="20"/>
              </w:rPr>
            </w:pPr>
            <w:r w:rsidRPr="009E61D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poskytovaním poradenstva (školení). </w:t>
            </w:r>
          </w:p>
          <w:p w14:paraId="765EC28D" w14:textId="77777777" w:rsidR="00D1336C" w:rsidRPr="00BC3DD7" w:rsidRDefault="009E61D7" w:rsidP="00415731">
            <w:pPr>
              <w:spacing w:before="120"/>
              <w:ind w:left="0"/>
              <w:jc w:val="both"/>
              <w:rPr>
                <w:iCs/>
                <w:sz w:val="20"/>
                <w:szCs w:val="20"/>
              </w:rPr>
            </w:pPr>
            <w:r w:rsidRPr="009E61D7">
              <w:rPr>
                <w:sz w:val="20"/>
                <w:szCs w:val="20"/>
              </w:rPr>
              <w:t>Zastúpenie hlavných MVO a odborníkov na diskrimináciu, rodovú rovnosť a zdravotné postihnutie pri príprave a implementácii operačných programov je zaistené prostredníctvom ich účasti v pracovnej skupine gestora HP.</w:t>
            </w:r>
          </w:p>
        </w:tc>
      </w:tr>
      <w:tr w:rsidR="00D1336C" w:rsidRPr="00A11060" w14:paraId="75456CED" w14:textId="77777777" w:rsidTr="00E254DD">
        <w:tblPrEx>
          <w:jc w:val="left"/>
        </w:tblPrEx>
        <w:trPr>
          <w:gridBefore w:val="1"/>
          <w:wBefore w:w="24" w:type="dxa"/>
          <w:trHeight w:val="340"/>
        </w:trPr>
        <w:tc>
          <w:tcPr>
            <w:tcW w:w="1710" w:type="dxa"/>
            <w:vMerge/>
          </w:tcPr>
          <w:p w14:paraId="28D04FF4" w14:textId="77777777" w:rsidR="00D1336C" w:rsidRDefault="00D1336C" w:rsidP="00280E08">
            <w:pPr>
              <w:ind w:left="0"/>
              <w:rPr>
                <w:sz w:val="20"/>
                <w:szCs w:val="20"/>
              </w:rPr>
            </w:pPr>
          </w:p>
        </w:tc>
        <w:tc>
          <w:tcPr>
            <w:tcW w:w="1277" w:type="dxa"/>
            <w:vMerge/>
          </w:tcPr>
          <w:p w14:paraId="5A9807F9" w14:textId="77777777" w:rsidR="00D1336C" w:rsidRDefault="00D1336C" w:rsidP="00280E08">
            <w:pPr>
              <w:ind w:left="0"/>
              <w:jc w:val="center"/>
              <w:rPr>
                <w:sz w:val="20"/>
                <w:szCs w:val="20"/>
              </w:rPr>
            </w:pPr>
          </w:p>
        </w:tc>
        <w:tc>
          <w:tcPr>
            <w:tcW w:w="1448" w:type="dxa"/>
            <w:vMerge/>
          </w:tcPr>
          <w:p w14:paraId="1576CE7A" w14:textId="77777777" w:rsidR="00D1336C" w:rsidRDefault="00D1336C" w:rsidP="00280E08">
            <w:pPr>
              <w:ind w:left="0"/>
              <w:jc w:val="center"/>
              <w:rPr>
                <w:b/>
                <w:color w:val="000000" w:themeColor="text1"/>
                <w:sz w:val="20"/>
                <w:szCs w:val="20"/>
              </w:rPr>
            </w:pPr>
          </w:p>
        </w:tc>
        <w:tc>
          <w:tcPr>
            <w:tcW w:w="2257" w:type="dxa"/>
          </w:tcPr>
          <w:p w14:paraId="09DBCAD5" w14:textId="77777777" w:rsidR="00D1336C" w:rsidRPr="00CF2C83" w:rsidRDefault="00694C91" w:rsidP="00415731">
            <w:pPr>
              <w:spacing w:before="40"/>
              <w:ind w:left="0"/>
              <w:jc w:val="both"/>
              <w:rPr>
                <w:sz w:val="20"/>
                <w:szCs w:val="20"/>
              </w:rPr>
            </w:pPr>
            <w:r w:rsidRPr="00694C91">
              <w:rPr>
                <w:rFonts w:cs="EUAlbertina"/>
                <w:sz w:val="20"/>
                <w:szCs w:val="20"/>
              </w:rPr>
              <w:t xml:space="preserve">Opatrenia na zabezpečenie odbornej prípravy pre zamestnancov orgánov zapojených do riadenia a kontroly EŠIF v oblasti platného práva a politiky </w:t>
            </w:r>
            <w:r w:rsidRPr="00694C91">
              <w:rPr>
                <w:rFonts w:cs="EUAlbertina"/>
                <w:sz w:val="20"/>
                <w:szCs w:val="20"/>
              </w:rPr>
              <w:lastRenderedPageBreak/>
              <w:t>Únie a členských štátov týkajúcich sa zdravotného postihnutia vrátane dostupnosti a praktického uplatňovania Dohovoru OSN o právach osôb so zdravotným postihnutím transponovaného v právnych predpisoch Únie, a členských štátov.</w:t>
            </w:r>
          </w:p>
        </w:tc>
        <w:tc>
          <w:tcPr>
            <w:tcW w:w="1257" w:type="dxa"/>
          </w:tcPr>
          <w:p w14:paraId="5000FCCF" w14:textId="77777777" w:rsidR="00D1336C" w:rsidRDefault="00D1336C" w:rsidP="001E3C4C">
            <w:pPr>
              <w:spacing w:before="40"/>
              <w:ind w:left="0"/>
              <w:jc w:val="center"/>
              <w:rPr>
                <w:b/>
                <w:color w:val="000000" w:themeColor="text1"/>
                <w:sz w:val="20"/>
                <w:szCs w:val="20"/>
              </w:rPr>
            </w:pPr>
            <w:r>
              <w:rPr>
                <w:b/>
                <w:color w:val="000000" w:themeColor="text1"/>
                <w:sz w:val="20"/>
                <w:szCs w:val="20"/>
              </w:rPr>
              <w:lastRenderedPageBreak/>
              <w:t>Nie</w:t>
            </w:r>
          </w:p>
        </w:tc>
        <w:tc>
          <w:tcPr>
            <w:tcW w:w="3969" w:type="dxa"/>
          </w:tcPr>
          <w:p w14:paraId="50EF6A37" w14:textId="77777777" w:rsidR="00D1336C" w:rsidRPr="00BC3DD7" w:rsidRDefault="00D1336C" w:rsidP="00280E08">
            <w:pPr>
              <w:ind w:left="0"/>
              <w:jc w:val="center"/>
              <w:rPr>
                <w:iCs/>
                <w:sz w:val="20"/>
                <w:szCs w:val="20"/>
              </w:rPr>
            </w:pPr>
          </w:p>
        </w:tc>
        <w:tc>
          <w:tcPr>
            <w:tcW w:w="2564" w:type="dxa"/>
          </w:tcPr>
          <w:p w14:paraId="0BCA91BB" w14:textId="77777777" w:rsidR="00D1336C" w:rsidRPr="00BC3DD7" w:rsidRDefault="00D1336C" w:rsidP="00280E08">
            <w:pPr>
              <w:ind w:left="0"/>
              <w:rPr>
                <w:iCs/>
                <w:sz w:val="20"/>
                <w:szCs w:val="20"/>
              </w:rPr>
            </w:pPr>
          </w:p>
        </w:tc>
      </w:tr>
      <w:tr w:rsidR="00D1336C" w:rsidRPr="00A11060" w14:paraId="51409D06" w14:textId="77777777" w:rsidTr="00E254DD">
        <w:tblPrEx>
          <w:jc w:val="left"/>
        </w:tblPrEx>
        <w:trPr>
          <w:gridBefore w:val="1"/>
          <w:wBefore w:w="24" w:type="dxa"/>
          <w:trHeight w:val="340"/>
        </w:trPr>
        <w:tc>
          <w:tcPr>
            <w:tcW w:w="1710" w:type="dxa"/>
            <w:vMerge/>
          </w:tcPr>
          <w:p w14:paraId="0370B092" w14:textId="77777777" w:rsidR="00D1336C" w:rsidRDefault="00D1336C" w:rsidP="00280E08">
            <w:pPr>
              <w:ind w:left="0"/>
              <w:rPr>
                <w:sz w:val="20"/>
                <w:szCs w:val="20"/>
              </w:rPr>
            </w:pPr>
          </w:p>
        </w:tc>
        <w:tc>
          <w:tcPr>
            <w:tcW w:w="1277" w:type="dxa"/>
            <w:vMerge/>
          </w:tcPr>
          <w:p w14:paraId="153276E1" w14:textId="77777777" w:rsidR="00D1336C" w:rsidRDefault="00D1336C" w:rsidP="00280E08">
            <w:pPr>
              <w:ind w:left="0"/>
              <w:jc w:val="center"/>
              <w:rPr>
                <w:sz w:val="20"/>
                <w:szCs w:val="20"/>
              </w:rPr>
            </w:pPr>
          </w:p>
        </w:tc>
        <w:tc>
          <w:tcPr>
            <w:tcW w:w="1448" w:type="dxa"/>
            <w:vMerge/>
          </w:tcPr>
          <w:p w14:paraId="4C076529" w14:textId="77777777" w:rsidR="00D1336C" w:rsidRDefault="00D1336C" w:rsidP="00280E08">
            <w:pPr>
              <w:ind w:left="0"/>
              <w:jc w:val="center"/>
              <w:rPr>
                <w:b/>
                <w:color w:val="000000" w:themeColor="text1"/>
                <w:sz w:val="20"/>
                <w:szCs w:val="20"/>
              </w:rPr>
            </w:pPr>
          </w:p>
        </w:tc>
        <w:tc>
          <w:tcPr>
            <w:tcW w:w="2257" w:type="dxa"/>
          </w:tcPr>
          <w:p w14:paraId="52C0C46A" w14:textId="77777777" w:rsidR="00D1336C" w:rsidRPr="00D1336C" w:rsidRDefault="00694C91" w:rsidP="00415731">
            <w:pPr>
              <w:spacing w:before="40"/>
              <w:ind w:left="0"/>
              <w:jc w:val="both"/>
              <w:rPr>
                <w:color w:val="000000" w:themeColor="text1"/>
                <w:sz w:val="20"/>
                <w:szCs w:val="20"/>
              </w:rPr>
            </w:pPr>
            <w:r w:rsidRPr="00694C91">
              <w:rPr>
                <w:rFonts w:cs="EUAlbertina"/>
                <w:color w:val="000000"/>
                <w:sz w:val="20"/>
                <w:szCs w:val="20"/>
              </w:rPr>
              <w:t>Opatrenia na zabezpečenie sledovania vykonávania článku 9 Dohovoru OSN o právach osôb so zdravotným postihnutím vo vzťahu k EŠIF počas prípravy a vykonávania programov.</w:t>
            </w:r>
          </w:p>
        </w:tc>
        <w:tc>
          <w:tcPr>
            <w:tcW w:w="1257" w:type="dxa"/>
          </w:tcPr>
          <w:p w14:paraId="483BED46" w14:textId="77777777"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3E0A7D4F" w14:textId="77777777" w:rsidR="00D1336C" w:rsidRPr="00BC3DD7" w:rsidRDefault="00D1336C" w:rsidP="00280E08">
            <w:pPr>
              <w:ind w:left="0"/>
              <w:jc w:val="center"/>
              <w:rPr>
                <w:iCs/>
                <w:sz w:val="20"/>
                <w:szCs w:val="20"/>
              </w:rPr>
            </w:pPr>
          </w:p>
        </w:tc>
        <w:tc>
          <w:tcPr>
            <w:tcW w:w="2564" w:type="dxa"/>
          </w:tcPr>
          <w:p w14:paraId="3376023D" w14:textId="77777777" w:rsidR="00D1336C" w:rsidRPr="00BC3DD7" w:rsidRDefault="009E61D7" w:rsidP="005A4951">
            <w:pPr>
              <w:spacing w:before="40"/>
              <w:ind w:left="0"/>
              <w:rPr>
                <w:iCs/>
                <w:sz w:val="20"/>
                <w:szCs w:val="20"/>
              </w:rPr>
            </w:pPr>
            <w:r w:rsidRPr="009E61D7">
              <w:rPr>
                <w:sz w:val="20"/>
                <w:szCs w:val="20"/>
              </w:rPr>
              <w:t>Vykonávanie článku 9 Dohovoru OSN o právach osôb so zdravotným postihnutím je zabezpečené prostredníctvom Národného programu, ktorý venuje osobitnú kapitolu dostupnosti a relevantným opatreniam. Opatrenia vzťahujúce sa na tento článok sa zameriavajú hlavne na bezbariérový prístup v budovách a doprave a dostupnosti tovarov, služieb a informácií.</w:t>
            </w:r>
          </w:p>
        </w:tc>
      </w:tr>
      <w:tr w:rsidR="00BC3DD7" w:rsidRPr="00A11060" w14:paraId="40B47EF5" w14:textId="77777777" w:rsidTr="00E254DD">
        <w:tblPrEx>
          <w:jc w:val="left"/>
        </w:tblPrEx>
        <w:trPr>
          <w:gridBefore w:val="1"/>
          <w:wBefore w:w="24" w:type="dxa"/>
          <w:trHeight w:val="340"/>
        </w:trPr>
        <w:tc>
          <w:tcPr>
            <w:tcW w:w="1710" w:type="dxa"/>
            <w:vMerge w:val="restart"/>
          </w:tcPr>
          <w:p w14:paraId="36D4D83B" w14:textId="77777777" w:rsidR="009E61D7" w:rsidRPr="00415731" w:rsidRDefault="009E61D7" w:rsidP="001E3C4C">
            <w:pPr>
              <w:spacing w:before="40"/>
              <w:ind w:left="0"/>
              <w:rPr>
                <w:b/>
                <w:sz w:val="20"/>
                <w:szCs w:val="20"/>
              </w:rPr>
            </w:pPr>
            <w:r w:rsidRPr="00415731">
              <w:rPr>
                <w:b/>
                <w:sz w:val="20"/>
                <w:szCs w:val="20"/>
              </w:rPr>
              <w:t>Verejné obstarávanie</w:t>
            </w:r>
          </w:p>
          <w:p w14:paraId="1E781C3D" w14:textId="77777777" w:rsidR="00BC3DD7" w:rsidRDefault="009E61D7" w:rsidP="009E61D7">
            <w:pPr>
              <w:spacing w:before="120"/>
              <w:ind w:left="0"/>
              <w:rPr>
                <w:sz w:val="20"/>
                <w:szCs w:val="20"/>
              </w:rPr>
            </w:pPr>
            <w:r w:rsidRPr="009E61D7">
              <w:rPr>
                <w:sz w:val="20"/>
                <w:szCs w:val="20"/>
              </w:rPr>
              <w:t xml:space="preserve">Existencia pravidiel na efektívnu aplikáciu legislatívy Únie v oblasti verejného </w:t>
            </w:r>
            <w:r w:rsidRPr="009E61D7">
              <w:rPr>
                <w:sz w:val="20"/>
                <w:szCs w:val="20"/>
              </w:rPr>
              <w:lastRenderedPageBreak/>
              <w:t>obstarávania.</w:t>
            </w:r>
          </w:p>
        </w:tc>
        <w:tc>
          <w:tcPr>
            <w:tcW w:w="1277" w:type="dxa"/>
            <w:vMerge w:val="restart"/>
          </w:tcPr>
          <w:p w14:paraId="00E00A9C" w14:textId="055DE16D" w:rsidR="00BC3DD7" w:rsidRDefault="00C2696E">
            <w:pPr>
              <w:spacing w:before="40"/>
              <w:ind w:left="0"/>
              <w:jc w:val="center"/>
              <w:rPr>
                <w:sz w:val="20"/>
                <w:szCs w:val="20"/>
              </w:rPr>
            </w:pPr>
            <w:r>
              <w:rPr>
                <w:sz w:val="20"/>
                <w:szCs w:val="20"/>
              </w:rPr>
              <w:lastRenderedPageBreak/>
              <w:t xml:space="preserve">PO 1 – PO </w:t>
            </w:r>
            <w:r w:rsidR="0043132E">
              <w:rPr>
                <w:sz w:val="20"/>
                <w:szCs w:val="20"/>
              </w:rPr>
              <w:t>13</w:t>
            </w:r>
          </w:p>
        </w:tc>
        <w:tc>
          <w:tcPr>
            <w:tcW w:w="1448" w:type="dxa"/>
            <w:vMerge w:val="restart"/>
          </w:tcPr>
          <w:p w14:paraId="2E03A9DC" w14:textId="77777777" w:rsidR="00BC3DD7" w:rsidRPr="00A11060" w:rsidRDefault="00BC3DD7"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5D9836B0" w14:textId="77777777" w:rsidR="00BC3DD7" w:rsidRDefault="00BC3DD7" w:rsidP="00415731">
            <w:pPr>
              <w:spacing w:before="40"/>
              <w:ind w:left="0"/>
              <w:jc w:val="both"/>
              <w:rPr>
                <w:color w:val="000000" w:themeColor="text1"/>
                <w:sz w:val="20"/>
                <w:szCs w:val="20"/>
              </w:rPr>
            </w:pPr>
            <w:r w:rsidRPr="00BC3DD7">
              <w:rPr>
                <w:color w:val="000000" w:themeColor="text1"/>
                <w:sz w:val="20"/>
                <w:szCs w:val="20"/>
              </w:rPr>
              <w:t xml:space="preserve">Opatrenia na účinné uplatňovanie pravidiel Únie o verejnom obstarávaní </w:t>
            </w:r>
            <w:r w:rsidR="00415731">
              <w:rPr>
                <w:color w:val="000000" w:themeColor="text1"/>
                <w:sz w:val="20"/>
                <w:szCs w:val="20"/>
              </w:rPr>
              <w:t>p</w:t>
            </w:r>
            <w:r w:rsidRPr="00BC3DD7">
              <w:rPr>
                <w:color w:val="000000" w:themeColor="text1"/>
                <w:sz w:val="20"/>
                <w:szCs w:val="20"/>
              </w:rPr>
              <w:t>rostred</w:t>
            </w:r>
            <w:r>
              <w:rPr>
                <w:color w:val="000000" w:themeColor="text1"/>
                <w:sz w:val="20"/>
                <w:szCs w:val="20"/>
              </w:rPr>
              <w:t>níctvom primeraných mechanizmov</w:t>
            </w:r>
          </w:p>
        </w:tc>
        <w:tc>
          <w:tcPr>
            <w:tcW w:w="1257" w:type="dxa"/>
          </w:tcPr>
          <w:p w14:paraId="3376D425" w14:textId="77777777" w:rsidR="00BC3DD7" w:rsidRPr="00A11060" w:rsidRDefault="001E3C4C"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70B55546" w14:textId="77777777" w:rsidR="009E61D7" w:rsidRPr="009E61D7" w:rsidRDefault="009E61D7" w:rsidP="001E3C4C">
            <w:pPr>
              <w:spacing w:before="40"/>
              <w:ind w:left="0"/>
              <w:rPr>
                <w:sz w:val="20"/>
                <w:szCs w:val="20"/>
              </w:rPr>
            </w:pPr>
            <w:r w:rsidRPr="009E61D7">
              <w:rPr>
                <w:sz w:val="20"/>
                <w:szCs w:val="20"/>
              </w:rPr>
              <w:t xml:space="preserve">Zákon č. 25/2006 Z. z. o verejnom obstarávaní </w:t>
            </w:r>
          </w:p>
          <w:p w14:paraId="7795435B" w14:textId="77777777" w:rsidR="009E61D7" w:rsidRPr="009E61D7" w:rsidRDefault="001061E2" w:rsidP="009E61D7">
            <w:pPr>
              <w:spacing w:before="120"/>
              <w:ind w:left="0"/>
              <w:rPr>
                <w:sz w:val="20"/>
                <w:szCs w:val="20"/>
              </w:rPr>
            </w:pPr>
            <w:hyperlink r:id="rId73" w:history="1">
              <w:r w:rsidR="009E61D7" w:rsidRPr="009E61D7">
                <w:rPr>
                  <w:color w:val="0000FF"/>
                  <w:sz w:val="20"/>
                  <w:szCs w:val="20"/>
                  <w:u w:val="single"/>
                </w:rPr>
                <w:t>http://www.uvo.gov.sk/legislativa/-/document_library_display/74gW/view/706651?_110_INSTANCE_74gW_redirect=http%3A%2F%2Fwww.uvo.gov.sk%2Flegislativa%3Fp_p_id%3D110_INSTANCE_74gW%26p_p_lifecycle%3D0%26p_p_state%3Dnormal%26p_p_mode%3Dview%26p_p_col_id%3Dcol</w:t>
              </w:r>
              <w:r w:rsidR="009E61D7" w:rsidRPr="009E61D7">
                <w:rPr>
                  <w:color w:val="0000FF"/>
                  <w:sz w:val="20"/>
                  <w:szCs w:val="20"/>
                  <w:u w:val="single"/>
                </w:rPr>
                <w:lastRenderedPageBreak/>
                <w:t>umn-2%26p_p_col_count%3D1</w:t>
              </w:r>
            </w:hyperlink>
            <w:r w:rsidR="009E61D7" w:rsidRPr="009E61D7">
              <w:rPr>
                <w:sz w:val="20"/>
                <w:szCs w:val="20"/>
              </w:rPr>
              <w:t xml:space="preserve"> </w:t>
            </w:r>
          </w:p>
          <w:p w14:paraId="3445EDAD" w14:textId="77777777" w:rsidR="009E61D7" w:rsidRPr="009E61D7" w:rsidRDefault="009E61D7" w:rsidP="009E61D7">
            <w:pPr>
              <w:spacing w:before="120"/>
              <w:ind w:left="0"/>
              <w:rPr>
                <w:sz w:val="20"/>
                <w:szCs w:val="20"/>
              </w:rPr>
            </w:pPr>
            <w:r w:rsidRPr="009E61D7">
              <w:rPr>
                <w:sz w:val="20"/>
                <w:szCs w:val="20"/>
                <w:lang w:val="fr-FR"/>
              </w:rPr>
              <w:t xml:space="preserve">Zákon č. 95/2013 Z. z. </w:t>
            </w:r>
            <w:r w:rsidRPr="009E61D7">
              <w:rPr>
                <w:sz w:val="20"/>
                <w:szCs w:val="20"/>
              </w:rPr>
              <w:t xml:space="preserve">(novelizácia zákona č. 25/2006 Z. z.) </w:t>
            </w:r>
          </w:p>
          <w:p w14:paraId="79BBC3CF" w14:textId="77777777" w:rsidR="009E61D7" w:rsidRPr="009E61D7" w:rsidRDefault="001061E2" w:rsidP="009E61D7">
            <w:pPr>
              <w:pStyle w:val="Style30"/>
              <w:spacing w:before="120"/>
              <w:ind w:left="0"/>
              <w:jc w:val="both"/>
              <w:rPr>
                <w:color w:val="0000FF"/>
                <w:sz w:val="20"/>
                <w:szCs w:val="20"/>
                <w:u w:val="single"/>
              </w:rPr>
            </w:pPr>
            <w:hyperlink r:id="rId74" w:history="1">
              <w:r w:rsidR="009E61D7" w:rsidRPr="009E61D7">
                <w:rPr>
                  <w:color w:val="0000FF"/>
                  <w:sz w:val="20"/>
                  <w:szCs w:val="20"/>
                  <w:u w:val="single"/>
                </w:rPr>
                <w:t>http://www.upsvar.sk/buxus/docs//urady/VK/vo/13-z095.pdf</w:t>
              </w:r>
            </w:hyperlink>
          </w:p>
          <w:p w14:paraId="3353E4B8" w14:textId="77777777" w:rsidR="00BC3DD7" w:rsidRPr="00BC3DD7" w:rsidRDefault="00BC3DD7" w:rsidP="00BC3DD7">
            <w:pPr>
              <w:ind w:left="0"/>
              <w:jc w:val="center"/>
              <w:rPr>
                <w:color w:val="000000" w:themeColor="text1"/>
                <w:sz w:val="20"/>
                <w:szCs w:val="20"/>
              </w:rPr>
            </w:pPr>
          </w:p>
        </w:tc>
        <w:tc>
          <w:tcPr>
            <w:tcW w:w="2564" w:type="dxa"/>
          </w:tcPr>
          <w:p w14:paraId="347A3EE3" w14:textId="77777777" w:rsidR="009E61D7" w:rsidRPr="009E61D7" w:rsidRDefault="009E61D7" w:rsidP="001E3C4C">
            <w:pPr>
              <w:pStyle w:val="Style30"/>
              <w:spacing w:before="40"/>
              <w:ind w:left="0"/>
              <w:rPr>
                <w:b/>
                <w:sz w:val="20"/>
                <w:szCs w:val="20"/>
              </w:rPr>
            </w:pPr>
            <w:r w:rsidRPr="009E61D7">
              <w:rPr>
                <w:i/>
                <w:sz w:val="20"/>
                <w:szCs w:val="20"/>
              </w:rPr>
              <w:lastRenderedPageBreak/>
              <w:t>Plánované opatrenia:</w:t>
            </w:r>
          </w:p>
          <w:p w14:paraId="50CB4E59" w14:textId="3067BD05" w:rsidR="009E61D7" w:rsidRPr="009E61D7" w:rsidRDefault="009E61D7" w:rsidP="005A4951">
            <w:pPr>
              <w:pStyle w:val="Style30"/>
              <w:numPr>
                <w:ilvl w:val="0"/>
                <w:numId w:val="127"/>
              </w:numPr>
              <w:ind w:left="249" w:hanging="249"/>
              <w:rPr>
                <w:sz w:val="20"/>
                <w:szCs w:val="20"/>
              </w:rPr>
            </w:pPr>
            <w:r w:rsidRPr="009E61D7">
              <w:rPr>
                <w:sz w:val="20"/>
                <w:szCs w:val="20"/>
              </w:rPr>
              <w:t>E</w:t>
            </w:r>
            <w:r>
              <w:rPr>
                <w:sz w:val="20"/>
                <w:szCs w:val="20"/>
              </w:rPr>
              <w:t xml:space="preserve">lektronické verejné </w:t>
            </w:r>
            <w:r w:rsidRPr="009E61D7">
              <w:rPr>
                <w:sz w:val="20"/>
                <w:szCs w:val="20"/>
              </w:rPr>
              <w:t>obstarávanie;</w:t>
            </w:r>
          </w:p>
          <w:p w14:paraId="22899BE7" w14:textId="4FC22ECB" w:rsidR="009E61D7" w:rsidRPr="009E61D7" w:rsidRDefault="009E61D7" w:rsidP="005A4951">
            <w:pPr>
              <w:pStyle w:val="Style30"/>
              <w:numPr>
                <w:ilvl w:val="0"/>
                <w:numId w:val="127"/>
              </w:numPr>
              <w:ind w:left="249" w:hanging="249"/>
              <w:rPr>
                <w:sz w:val="20"/>
                <w:szCs w:val="20"/>
              </w:rPr>
            </w:pPr>
            <w:r w:rsidRPr="009E61D7">
              <w:rPr>
                <w:sz w:val="20"/>
                <w:szCs w:val="20"/>
              </w:rPr>
              <w:t>Zvýšená podpora ÚVO pre</w:t>
            </w:r>
            <w:r>
              <w:rPr>
                <w:sz w:val="20"/>
                <w:szCs w:val="20"/>
              </w:rPr>
              <w:t xml:space="preserve"> </w:t>
            </w:r>
            <w:r w:rsidRPr="009E61D7">
              <w:rPr>
                <w:sz w:val="20"/>
                <w:szCs w:val="20"/>
              </w:rPr>
              <w:t xml:space="preserve">subjekty vykonávajúce kontrolu verejného obstarávania </w:t>
            </w:r>
            <w:r>
              <w:rPr>
                <w:sz w:val="20"/>
                <w:szCs w:val="20"/>
              </w:rPr>
              <w:t>p</w:t>
            </w:r>
            <w:r w:rsidRPr="009E61D7">
              <w:rPr>
                <w:sz w:val="20"/>
                <w:szCs w:val="20"/>
              </w:rPr>
              <w:t>rostredníctvom Dohody o spolupráci;</w:t>
            </w:r>
          </w:p>
          <w:p w14:paraId="142EB228" w14:textId="0F2D942E" w:rsidR="009E61D7" w:rsidRPr="009E61D7" w:rsidRDefault="009E61D7" w:rsidP="005A4951">
            <w:pPr>
              <w:pStyle w:val="Style30"/>
              <w:widowControl/>
              <w:numPr>
                <w:ilvl w:val="0"/>
                <w:numId w:val="127"/>
              </w:numPr>
              <w:ind w:left="249" w:hanging="249"/>
              <w:rPr>
                <w:i/>
                <w:sz w:val="20"/>
                <w:szCs w:val="20"/>
              </w:rPr>
            </w:pPr>
            <w:r w:rsidRPr="009E61D7">
              <w:rPr>
                <w:sz w:val="20"/>
                <w:szCs w:val="20"/>
              </w:rPr>
              <w:lastRenderedPageBreak/>
              <w:t>Zavedenie analýzy</w:t>
            </w:r>
            <w:r w:rsidRPr="009E61D7">
              <w:rPr>
                <w:b/>
                <w:sz w:val="20"/>
                <w:szCs w:val="20"/>
              </w:rPr>
              <w:t xml:space="preserve"> </w:t>
            </w:r>
            <w:r w:rsidRPr="009E61D7">
              <w:rPr>
                <w:sz w:val="20"/>
                <w:szCs w:val="20"/>
              </w:rPr>
              <w:t>rizík;</w:t>
            </w:r>
          </w:p>
          <w:p w14:paraId="5E7555B6" w14:textId="629A64F4" w:rsidR="009E61D7" w:rsidRPr="009E61D7" w:rsidRDefault="009E61D7" w:rsidP="005A4951">
            <w:pPr>
              <w:pStyle w:val="Style30"/>
              <w:numPr>
                <w:ilvl w:val="0"/>
                <w:numId w:val="127"/>
              </w:numPr>
              <w:ind w:left="249" w:hanging="249"/>
              <w:rPr>
                <w:sz w:val="20"/>
                <w:szCs w:val="20"/>
              </w:rPr>
            </w:pPr>
            <w:r w:rsidRPr="009E61D7">
              <w:rPr>
                <w:sz w:val="20"/>
                <w:szCs w:val="20"/>
              </w:rPr>
              <w:t xml:space="preserve">Vypracovanie vzorových dokumentov; </w:t>
            </w:r>
          </w:p>
          <w:p w14:paraId="56661543" w14:textId="581FBFFA" w:rsidR="009E61D7" w:rsidRPr="009E61D7" w:rsidRDefault="009E61D7" w:rsidP="005A4951">
            <w:pPr>
              <w:pStyle w:val="Style30"/>
              <w:widowControl/>
              <w:numPr>
                <w:ilvl w:val="0"/>
                <w:numId w:val="127"/>
              </w:numPr>
              <w:ind w:left="249" w:hanging="249"/>
              <w:rPr>
                <w:sz w:val="20"/>
                <w:szCs w:val="20"/>
              </w:rPr>
            </w:pPr>
            <w:r w:rsidRPr="009E61D7">
              <w:rPr>
                <w:sz w:val="20"/>
                <w:szCs w:val="20"/>
              </w:rPr>
              <w:t>Na úrovni systému riadenia vypracovanie kontrolných zoznamov pre kontrolu RO;</w:t>
            </w:r>
          </w:p>
          <w:p w14:paraId="254A85A1" w14:textId="5514C3C5" w:rsidR="009E61D7" w:rsidRPr="009E61D7" w:rsidRDefault="009E61D7" w:rsidP="005A4951">
            <w:pPr>
              <w:pStyle w:val="Style30"/>
              <w:numPr>
                <w:ilvl w:val="0"/>
                <w:numId w:val="127"/>
              </w:numPr>
              <w:ind w:left="249" w:hanging="249"/>
              <w:rPr>
                <w:sz w:val="20"/>
                <w:szCs w:val="20"/>
              </w:rPr>
            </w:pPr>
            <w:r w:rsidRPr="009E61D7">
              <w:rPr>
                <w:sz w:val="20"/>
                <w:szCs w:val="20"/>
              </w:rPr>
              <w:t>Príprava jednotných pravidiel</w:t>
            </w:r>
            <w:r>
              <w:rPr>
                <w:sz w:val="20"/>
                <w:szCs w:val="20"/>
              </w:rPr>
              <w:t xml:space="preserve"> a požiadaviek na VO </w:t>
            </w:r>
            <w:r w:rsidRPr="009E61D7">
              <w:rPr>
                <w:sz w:val="20"/>
                <w:szCs w:val="20"/>
              </w:rPr>
              <w:t>a požiadaviek na dokumentáciu VO;</w:t>
            </w:r>
          </w:p>
          <w:p w14:paraId="36F5469C" w14:textId="18A73044" w:rsidR="009E61D7" w:rsidRPr="009E61D7" w:rsidRDefault="009E61D7" w:rsidP="005A4951">
            <w:pPr>
              <w:pStyle w:val="Style30"/>
              <w:numPr>
                <w:ilvl w:val="0"/>
                <w:numId w:val="127"/>
              </w:numPr>
              <w:ind w:left="249" w:hanging="249"/>
              <w:rPr>
                <w:sz w:val="20"/>
                <w:szCs w:val="20"/>
              </w:rPr>
            </w:pPr>
            <w:r w:rsidRPr="009E61D7">
              <w:rPr>
                <w:sz w:val="20"/>
                <w:szCs w:val="20"/>
              </w:rPr>
              <w:t>Zavedenie cenových máp, benchmarkov a limitov pre posúdenie hospodárnosti;</w:t>
            </w:r>
          </w:p>
          <w:p w14:paraId="7AA28F55" w14:textId="60F3500E" w:rsidR="009E61D7" w:rsidRPr="009E61D7" w:rsidRDefault="009E61D7" w:rsidP="005A4951">
            <w:pPr>
              <w:pStyle w:val="Style30"/>
              <w:widowControl/>
              <w:numPr>
                <w:ilvl w:val="0"/>
                <w:numId w:val="127"/>
              </w:numPr>
              <w:ind w:left="249" w:hanging="249"/>
              <w:rPr>
                <w:i/>
                <w:sz w:val="20"/>
                <w:szCs w:val="20"/>
              </w:rPr>
            </w:pPr>
            <w:r w:rsidRPr="009E61D7">
              <w:rPr>
                <w:sz w:val="20"/>
                <w:szCs w:val="20"/>
              </w:rPr>
              <w:t>Zavedenie povinnej ex ante kontroly;</w:t>
            </w:r>
          </w:p>
          <w:p w14:paraId="4961A6B7" w14:textId="7153217E" w:rsidR="009E61D7" w:rsidRPr="009E61D7" w:rsidRDefault="009E61D7" w:rsidP="005A4951">
            <w:pPr>
              <w:pStyle w:val="Style30"/>
              <w:widowControl/>
              <w:numPr>
                <w:ilvl w:val="0"/>
                <w:numId w:val="127"/>
              </w:numPr>
              <w:ind w:left="249" w:hanging="249"/>
              <w:rPr>
                <w:sz w:val="20"/>
                <w:szCs w:val="20"/>
              </w:rPr>
            </w:pPr>
            <w:r w:rsidRPr="009E61D7">
              <w:rPr>
                <w:sz w:val="20"/>
                <w:szCs w:val="20"/>
              </w:rPr>
              <w:t>Zvedenie spolupráce s Protimonopolným úradom SR.</w:t>
            </w:r>
          </w:p>
          <w:p w14:paraId="4245979E" w14:textId="77777777" w:rsidR="009E61D7" w:rsidRPr="009E61D7" w:rsidRDefault="009E61D7" w:rsidP="009E61D7">
            <w:pPr>
              <w:pStyle w:val="Style30"/>
              <w:widowControl/>
              <w:spacing w:before="120"/>
              <w:ind w:left="0"/>
              <w:rPr>
                <w:sz w:val="20"/>
                <w:szCs w:val="20"/>
              </w:rPr>
            </w:pPr>
            <w:r w:rsidRPr="009E61D7">
              <w:rPr>
                <w:sz w:val="20"/>
                <w:szCs w:val="20"/>
              </w:rPr>
              <w:t>Opatrenia na hlavné typy konkrétnych nedostatkov zistených EK, ktoré sú plánované, sú nasledovné:</w:t>
            </w:r>
          </w:p>
          <w:p w14:paraId="44321CAD" w14:textId="77777777" w:rsidR="00CA7B73" w:rsidRDefault="009E61D7" w:rsidP="00CA7B73">
            <w:pPr>
              <w:pStyle w:val="Style30"/>
              <w:widowControl/>
              <w:numPr>
                <w:ilvl w:val="0"/>
                <w:numId w:val="81"/>
              </w:numPr>
              <w:ind w:left="170" w:hanging="193"/>
              <w:rPr>
                <w:sz w:val="20"/>
                <w:szCs w:val="20"/>
              </w:rPr>
            </w:pPr>
            <w:r w:rsidRPr="009E61D7">
              <w:rPr>
                <w:sz w:val="20"/>
                <w:szCs w:val="20"/>
              </w:rPr>
              <w:t>Konflikt záujmov;</w:t>
            </w:r>
          </w:p>
          <w:p w14:paraId="7881B573" w14:textId="77777777" w:rsidR="00CA7B73" w:rsidRDefault="009E61D7" w:rsidP="00CA7B73">
            <w:pPr>
              <w:pStyle w:val="Style30"/>
              <w:widowControl/>
              <w:numPr>
                <w:ilvl w:val="0"/>
                <w:numId w:val="81"/>
              </w:numPr>
              <w:ind w:left="170" w:hanging="193"/>
              <w:rPr>
                <w:sz w:val="20"/>
                <w:szCs w:val="20"/>
              </w:rPr>
            </w:pPr>
            <w:r w:rsidRPr="00CA7B73">
              <w:rPr>
                <w:sz w:val="20"/>
                <w:szCs w:val="20"/>
              </w:rPr>
              <w:t>Nedostatočná hospodárska súťaž;</w:t>
            </w:r>
          </w:p>
          <w:p w14:paraId="261CFA21" w14:textId="231AEC59" w:rsidR="00BC3DD7" w:rsidRPr="00CA7B73" w:rsidRDefault="009E61D7" w:rsidP="00CA7B73">
            <w:pPr>
              <w:pStyle w:val="Style30"/>
              <w:widowControl/>
              <w:numPr>
                <w:ilvl w:val="0"/>
                <w:numId w:val="81"/>
              </w:numPr>
              <w:ind w:left="170" w:hanging="193"/>
              <w:rPr>
                <w:sz w:val="20"/>
                <w:szCs w:val="20"/>
              </w:rPr>
            </w:pPr>
            <w:r w:rsidRPr="00CA7B73">
              <w:rPr>
                <w:sz w:val="20"/>
                <w:szCs w:val="20"/>
              </w:rPr>
              <w:t>Diskriminačné podmienky súťaže.</w:t>
            </w:r>
          </w:p>
        </w:tc>
      </w:tr>
      <w:tr w:rsidR="00BC3DD7" w:rsidRPr="00A11060" w14:paraId="2197C2C9" w14:textId="77777777" w:rsidTr="00E254DD">
        <w:tblPrEx>
          <w:jc w:val="left"/>
        </w:tblPrEx>
        <w:trPr>
          <w:gridBefore w:val="1"/>
          <w:wBefore w:w="24" w:type="dxa"/>
          <w:trHeight w:val="340"/>
        </w:trPr>
        <w:tc>
          <w:tcPr>
            <w:tcW w:w="1710" w:type="dxa"/>
            <w:vMerge/>
          </w:tcPr>
          <w:p w14:paraId="677754F8" w14:textId="77777777" w:rsidR="00BC3DD7" w:rsidRDefault="00BC3DD7" w:rsidP="00BC3DD7">
            <w:pPr>
              <w:ind w:left="0"/>
              <w:rPr>
                <w:sz w:val="20"/>
                <w:szCs w:val="20"/>
              </w:rPr>
            </w:pPr>
          </w:p>
        </w:tc>
        <w:tc>
          <w:tcPr>
            <w:tcW w:w="1277" w:type="dxa"/>
            <w:vMerge/>
          </w:tcPr>
          <w:p w14:paraId="6803915F" w14:textId="77777777" w:rsidR="00BC3DD7" w:rsidRDefault="00BC3DD7" w:rsidP="00BC3DD7">
            <w:pPr>
              <w:ind w:left="0"/>
              <w:jc w:val="center"/>
              <w:rPr>
                <w:sz w:val="20"/>
                <w:szCs w:val="20"/>
              </w:rPr>
            </w:pPr>
          </w:p>
        </w:tc>
        <w:tc>
          <w:tcPr>
            <w:tcW w:w="1448" w:type="dxa"/>
            <w:vMerge/>
          </w:tcPr>
          <w:p w14:paraId="6BECDD33" w14:textId="77777777" w:rsidR="00BC3DD7" w:rsidRDefault="00BC3DD7" w:rsidP="00BC3DD7">
            <w:pPr>
              <w:ind w:left="0"/>
              <w:jc w:val="center"/>
              <w:rPr>
                <w:b/>
                <w:color w:val="000000" w:themeColor="text1"/>
                <w:sz w:val="20"/>
                <w:szCs w:val="20"/>
              </w:rPr>
            </w:pPr>
          </w:p>
        </w:tc>
        <w:tc>
          <w:tcPr>
            <w:tcW w:w="2257" w:type="dxa"/>
          </w:tcPr>
          <w:p w14:paraId="78EED8BF" w14:textId="77777777" w:rsidR="00BC3DD7" w:rsidRPr="00BC3DD7" w:rsidRDefault="00BC3DD7" w:rsidP="001E3C4C">
            <w:pPr>
              <w:spacing w:before="40"/>
              <w:ind w:left="0"/>
              <w:rPr>
                <w:color w:val="000000" w:themeColor="text1"/>
                <w:sz w:val="20"/>
                <w:szCs w:val="20"/>
              </w:rPr>
            </w:pPr>
            <w:r w:rsidRPr="00BC3DD7">
              <w:rPr>
                <w:sz w:val="20"/>
                <w:szCs w:val="20"/>
              </w:rPr>
              <w:t>Opatrenia, ktorými sa zabezpečia transparentné postupy prideľovania zákaziek.</w:t>
            </w:r>
          </w:p>
        </w:tc>
        <w:tc>
          <w:tcPr>
            <w:tcW w:w="1257" w:type="dxa"/>
          </w:tcPr>
          <w:p w14:paraId="7DFE14E3" w14:textId="77777777" w:rsidR="00BC3DD7" w:rsidRDefault="001E3C4C" w:rsidP="001E3C4C">
            <w:pPr>
              <w:spacing w:before="40"/>
              <w:ind w:left="0"/>
              <w:jc w:val="center"/>
              <w:rPr>
                <w:b/>
                <w:color w:val="000000" w:themeColor="text1"/>
                <w:sz w:val="20"/>
                <w:szCs w:val="20"/>
              </w:rPr>
            </w:pPr>
            <w:r>
              <w:rPr>
                <w:b/>
                <w:color w:val="000000" w:themeColor="text1"/>
                <w:sz w:val="20"/>
                <w:szCs w:val="20"/>
              </w:rPr>
              <w:t>Nie</w:t>
            </w:r>
          </w:p>
          <w:p w14:paraId="17745243" w14:textId="77777777" w:rsidR="00DE5A1C" w:rsidRPr="00A11060" w:rsidRDefault="00DE5A1C" w:rsidP="00DE5A1C">
            <w:pPr>
              <w:ind w:left="0"/>
              <w:rPr>
                <w:b/>
                <w:color w:val="000000" w:themeColor="text1"/>
                <w:sz w:val="20"/>
                <w:szCs w:val="20"/>
              </w:rPr>
            </w:pPr>
          </w:p>
        </w:tc>
        <w:tc>
          <w:tcPr>
            <w:tcW w:w="3969" w:type="dxa"/>
          </w:tcPr>
          <w:p w14:paraId="64848950" w14:textId="77777777" w:rsidR="00BC3DD7" w:rsidRPr="00BC3DD7" w:rsidRDefault="00BC3DD7" w:rsidP="00BC3DD7">
            <w:pPr>
              <w:ind w:left="0"/>
              <w:jc w:val="center"/>
              <w:rPr>
                <w:color w:val="000000" w:themeColor="text1"/>
                <w:sz w:val="20"/>
                <w:szCs w:val="20"/>
              </w:rPr>
            </w:pPr>
          </w:p>
        </w:tc>
        <w:tc>
          <w:tcPr>
            <w:tcW w:w="2564" w:type="dxa"/>
          </w:tcPr>
          <w:p w14:paraId="4B94AC03" w14:textId="77777777" w:rsidR="00BC3DD7" w:rsidRPr="00BC3DD7" w:rsidRDefault="002E6EFF" w:rsidP="005A4951">
            <w:pPr>
              <w:spacing w:before="40"/>
              <w:ind w:left="0"/>
              <w:rPr>
                <w:color w:val="000000" w:themeColor="text1"/>
                <w:sz w:val="20"/>
                <w:szCs w:val="20"/>
              </w:rPr>
            </w:pPr>
            <w:r w:rsidRPr="002E6EFF">
              <w:rPr>
                <w:color w:val="000000" w:themeColor="text1"/>
                <w:sz w:val="20"/>
                <w:szCs w:val="20"/>
              </w:rPr>
              <w:t xml:space="preserve">Oblasť zadávania zákaziek nepodliehajúcich príslušným smerniciam EÚ v oblasti VO (podlimitné zákazky) je v SR legislatívne pokrytá samotným zákonom o VO. </w:t>
            </w:r>
            <w:r w:rsidRPr="002E6EFF">
              <w:rPr>
                <w:color w:val="000000" w:themeColor="text1"/>
                <w:sz w:val="20"/>
                <w:szCs w:val="20"/>
              </w:rPr>
              <w:lastRenderedPageBreak/>
              <w:t xml:space="preserve">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ktoré nespadajú pod smernice EÚ v oblasti verejného obstarávania. Na postupy verejného obstarávania týchto zákaziek sa budú vzťahovať rovnaké opatrenia uvedené vyššie, v kritériu 1. </w:t>
            </w:r>
            <w:r w:rsidRPr="002E6EFF">
              <w:rPr>
                <w:i/>
                <w:color w:val="000000" w:themeColor="text1"/>
                <w:sz w:val="20"/>
                <w:szCs w:val="20"/>
              </w:rPr>
              <w:t>Opatrenie čiastočne prijaté.</w:t>
            </w:r>
          </w:p>
        </w:tc>
      </w:tr>
      <w:tr w:rsidR="00BC3DD7" w:rsidRPr="00A11060" w14:paraId="40F261FA" w14:textId="77777777" w:rsidTr="00E254DD">
        <w:tblPrEx>
          <w:jc w:val="left"/>
        </w:tblPrEx>
        <w:trPr>
          <w:gridBefore w:val="1"/>
          <w:wBefore w:w="24" w:type="dxa"/>
          <w:trHeight w:val="340"/>
        </w:trPr>
        <w:tc>
          <w:tcPr>
            <w:tcW w:w="1710" w:type="dxa"/>
            <w:vMerge/>
          </w:tcPr>
          <w:p w14:paraId="56186EBD" w14:textId="77777777" w:rsidR="00BC3DD7" w:rsidRDefault="00BC3DD7" w:rsidP="00BC3DD7">
            <w:pPr>
              <w:ind w:left="0"/>
              <w:rPr>
                <w:sz w:val="20"/>
                <w:szCs w:val="20"/>
              </w:rPr>
            </w:pPr>
          </w:p>
        </w:tc>
        <w:tc>
          <w:tcPr>
            <w:tcW w:w="1277" w:type="dxa"/>
            <w:vMerge/>
          </w:tcPr>
          <w:p w14:paraId="025D1AB6" w14:textId="77777777" w:rsidR="00BC3DD7" w:rsidRDefault="00BC3DD7" w:rsidP="00BC3DD7">
            <w:pPr>
              <w:ind w:left="0"/>
              <w:jc w:val="center"/>
              <w:rPr>
                <w:sz w:val="20"/>
                <w:szCs w:val="20"/>
              </w:rPr>
            </w:pPr>
          </w:p>
        </w:tc>
        <w:tc>
          <w:tcPr>
            <w:tcW w:w="1448" w:type="dxa"/>
            <w:vMerge/>
          </w:tcPr>
          <w:p w14:paraId="48D6679F" w14:textId="77777777" w:rsidR="00BC3DD7" w:rsidRDefault="00BC3DD7" w:rsidP="00BC3DD7">
            <w:pPr>
              <w:ind w:left="0"/>
              <w:jc w:val="center"/>
              <w:rPr>
                <w:b/>
                <w:color w:val="000000" w:themeColor="text1"/>
                <w:sz w:val="20"/>
                <w:szCs w:val="20"/>
              </w:rPr>
            </w:pPr>
          </w:p>
        </w:tc>
        <w:tc>
          <w:tcPr>
            <w:tcW w:w="2257" w:type="dxa"/>
          </w:tcPr>
          <w:p w14:paraId="64521EBF" w14:textId="77777777" w:rsidR="00BC3DD7" w:rsidRPr="00BC3DD7" w:rsidRDefault="00BC3DD7" w:rsidP="00BC3DD7">
            <w:pPr>
              <w:ind w:left="0"/>
              <w:rPr>
                <w:color w:val="000000" w:themeColor="text1"/>
                <w:sz w:val="20"/>
                <w:szCs w:val="20"/>
              </w:rPr>
            </w:pPr>
            <w:r w:rsidRPr="00BC3DD7">
              <w:rPr>
                <w:sz w:val="20"/>
                <w:szCs w:val="20"/>
              </w:rPr>
              <w:t>Opatrenia na zabezpečenie odbornej prípravy a informovanie zamestnancov zapojených do vykonávania EŠIF.</w:t>
            </w:r>
          </w:p>
        </w:tc>
        <w:tc>
          <w:tcPr>
            <w:tcW w:w="1257" w:type="dxa"/>
          </w:tcPr>
          <w:p w14:paraId="3D726A04" w14:textId="77777777" w:rsidR="00BC3DD7" w:rsidRPr="00A11060" w:rsidRDefault="00415731" w:rsidP="00BC3DD7">
            <w:pPr>
              <w:ind w:left="0"/>
              <w:jc w:val="center"/>
              <w:rPr>
                <w:b/>
                <w:color w:val="000000" w:themeColor="text1"/>
                <w:sz w:val="20"/>
                <w:szCs w:val="20"/>
              </w:rPr>
            </w:pPr>
            <w:r>
              <w:rPr>
                <w:b/>
                <w:color w:val="000000" w:themeColor="text1"/>
                <w:sz w:val="20"/>
                <w:szCs w:val="20"/>
              </w:rPr>
              <w:t>Nie</w:t>
            </w:r>
          </w:p>
        </w:tc>
        <w:tc>
          <w:tcPr>
            <w:tcW w:w="3969" w:type="dxa"/>
          </w:tcPr>
          <w:p w14:paraId="6959F31E" w14:textId="77777777" w:rsidR="002E6EFF" w:rsidRPr="002E6EFF" w:rsidRDefault="002E6EFF" w:rsidP="002E6EFF">
            <w:pPr>
              <w:ind w:left="0"/>
              <w:rPr>
                <w:sz w:val="20"/>
                <w:szCs w:val="20"/>
              </w:rPr>
            </w:pPr>
            <w:r w:rsidRPr="002E6EFF">
              <w:rPr>
                <w:sz w:val="20"/>
                <w:szCs w:val="20"/>
              </w:rPr>
              <w:t>Úrad pre verejné obstarávanie v spolupráci s každým RO v periodicite pol roka vypracováva správu o výsledkoch kontrol a auditov v oblasti VO a táto je zverejnená:</w:t>
            </w:r>
          </w:p>
          <w:p w14:paraId="3AD0B3AB" w14:textId="77777777" w:rsidR="002E6EFF" w:rsidRPr="002E6EFF" w:rsidRDefault="001061E2" w:rsidP="002E6EFF">
            <w:pPr>
              <w:spacing w:before="120"/>
              <w:ind w:left="0"/>
              <w:rPr>
                <w:color w:val="0000FF"/>
                <w:sz w:val="20"/>
                <w:szCs w:val="20"/>
                <w:u w:val="single"/>
              </w:rPr>
            </w:pPr>
            <w:hyperlink r:id="rId75" w:history="1">
              <w:r w:rsidR="002E6EFF" w:rsidRPr="002E6EFF">
                <w:rPr>
                  <w:color w:val="0000FF"/>
                  <w:sz w:val="20"/>
                  <w:szCs w:val="20"/>
                  <w:u w:val="single"/>
                </w:rPr>
                <w:t>http://www.rokovania.sk/Rokovanie.aspx/BodRokovaniaDetail?idMaterial=21941</w:t>
              </w:r>
            </w:hyperlink>
          </w:p>
          <w:p w14:paraId="738984EE" w14:textId="77777777" w:rsidR="002E6EFF" w:rsidRPr="002E6EFF" w:rsidRDefault="002E6EFF" w:rsidP="002E6EFF">
            <w:pPr>
              <w:autoSpaceDE w:val="0"/>
              <w:autoSpaceDN w:val="0"/>
              <w:adjustRightInd w:val="0"/>
              <w:spacing w:before="120"/>
              <w:ind w:left="0"/>
              <w:rPr>
                <w:sz w:val="20"/>
                <w:szCs w:val="20"/>
              </w:rPr>
            </w:pPr>
            <w:r w:rsidRPr="002E6EFF">
              <w:rPr>
                <w:sz w:val="20"/>
                <w:szCs w:val="20"/>
              </w:rPr>
              <w:t xml:space="preserve">(napr. </w:t>
            </w:r>
          </w:p>
          <w:p w14:paraId="7DBD882E" w14:textId="77777777" w:rsidR="002E6EFF" w:rsidRPr="002E6EFF" w:rsidRDefault="001061E2" w:rsidP="002E6EFF">
            <w:pPr>
              <w:autoSpaceDE w:val="0"/>
              <w:autoSpaceDN w:val="0"/>
              <w:adjustRightInd w:val="0"/>
              <w:ind w:left="0"/>
              <w:rPr>
                <w:sz w:val="20"/>
                <w:szCs w:val="20"/>
              </w:rPr>
            </w:pPr>
            <w:hyperlink r:id="rId76" w:history="1">
              <w:r w:rsidR="002E6EFF" w:rsidRPr="002E6EFF">
                <w:rPr>
                  <w:color w:val="0000FF"/>
                  <w:sz w:val="20"/>
                  <w:szCs w:val="20"/>
                  <w:u w:val="single"/>
                </w:rPr>
                <w:t>http://www.opzp.sk/dokumenty/projektove-dokumenty/rozhodnutia-uvo-sr-v-procesoch-</w:t>
              </w:r>
              <w:r w:rsidR="002E6EFF" w:rsidRPr="002E6EFF">
                <w:rPr>
                  <w:color w:val="0000FF"/>
                  <w:sz w:val="20"/>
                  <w:szCs w:val="20"/>
                  <w:u w:val="single"/>
                </w:rPr>
                <w:lastRenderedPageBreak/>
                <w:t>vo-v-ramci-projketov-op-zp-v-programovom-obdobi-2007-2013/</w:t>
              </w:r>
            </w:hyperlink>
          </w:p>
          <w:p w14:paraId="6B1E584D" w14:textId="77777777" w:rsidR="002E6EFF" w:rsidRPr="002E6EFF" w:rsidRDefault="002E6EFF" w:rsidP="002E6EFF">
            <w:pPr>
              <w:autoSpaceDE w:val="0"/>
              <w:autoSpaceDN w:val="0"/>
              <w:adjustRightInd w:val="0"/>
              <w:ind w:left="0"/>
              <w:rPr>
                <w:sz w:val="20"/>
                <w:szCs w:val="20"/>
              </w:rPr>
            </w:pPr>
            <w:r w:rsidRPr="002E6EFF">
              <w:rPr>
                <w:sz w:val="20"/>
                <w:szCs w:val="20"/>
              </w:rPr>
              <w:t xml:space="preserve">alebo </w:t>
            </w:r>
          </w:p>
          <w:p w14:paraId="062E6B1A" w14:textId="77777777" w:rsidR="002E6EFF" w:rsidRPr="002E6EFF" w:rsidRDefault="001061E2" w:rsidP="002E6EFF">
            <w:pPr>
              <w:autoSpaceDE w:val="0"/>
              <w:autoSpaceDN w:val="0"/>
              <w:adjustRightInd w:val="0"/>
              <w:ind w:left="0"/>
              <w:rPr>
                <w:sz w:val="20"/>
                <w:szCs w:val="20"/>
              </w:rPr>
            </w:pPr>
            <w:hyperlink r:id="rId77" w:history="1">
              <w:r w:rsidR="002E6EFF" w:rsidRPr="002E6EFF">
                <w:rPr>
                  <w:color w:val="0000FF"/>
                  <w:sz w:val="20"/>
                  <w:szCs w:val="20"/>
                  <w:u w:val="single"/>
                </w:rPr>
                <w:t>http://www.ropka.sk/sk/verejne-obstaravania/</w:t>
              </w:r>
            </w:hyperlink>
            <w:r w:rsidR="002E6EFF" w:rsidRPr="002E6EFF">
              <w:rPr>
                <w:sz w:val="20"/>
                <w:szCs w:val="20"/>
              </w:rPr>
              <w:t>)</w:t>
            </w:r>
          </w:p>
          <w:p w14:paraId="3DCF71ED" w14:textId="77777777" w:rsidR="002E6EFF" w:rsidRPr="002E6EFF" w:rsidRDefault="001061E2" w:rsidP="002E6EFF">
            <w:pPr>
              <w:autoSpaceDE w:val="0"/>
              <w:autoSpaceDN w:val="0"/>
              <w:adjustRightInd w:val="0"/>
              <w:spacing w:before="120"/>
              <w:ind w:left="0"/>
              <w:rPr>
                <w:sz w:val="20"/>
                <w:szCs w:val="20"/>
              </w:rPr>
            </w:pPr>
            <w:hyperlink r:id="rId78" w:history="1">
              <w:r w:rsidR="002E6EFF" w:rsidRPr="002E6EFF">
                <w:rPr>
                  <w:rStyle w:val="Hypertextovprepojenie"/>
                  <w:sz w:val="20"/>
                  <w:szCs w:val="20"/>
                </w:rPr>
                <w:t>http://www.uvo.gov.sk/za-obdobie-od-1.1.2013-do-30.6.2013</w:t>
              </w:r>
            </w:hyperlink>
          </w:p>
          <w:p w14:paraId="5A5274C0" w14:textId="77777777" w:rsidR="00BC3DD7" w:rsidRPr="00BC3DD7" w:rsidRDefault="00BC3DD7" w:rsidP="00BC3DD7">
            <w:pPr>
              <w:ind w:left="0"/>
              <w:jc w:val="center"/>
              <w:rPr>
                <w:color w:val="000000" w:themeColor="text1"/>
                <w:sz w:val="20"/>
                <w:szCs w:val="20"/>
              </w:rPr>
            </w:pPr>
          </w:p>
        </w:tc>
        <w:tc>
          <w:tcPr>
            <w:tcW w:w="2564" w:type="dxa"/>
          </w:tcPr>
          <w:p w14:paraId="2855D9EB" w14:textId="77777777" w:rsidR="002E6EFF" w:rsidRPr="002E6EFF" w:rsidRDefault="002E6EFF" w:rsidP="002E6EFF">
            <w:pPr>
              <w:autoSpaceDE w:val="0"/>
              <w:autoSpaceDN w:val="0"/>
              <w:adjustRightInd w:val="0"/>
              <w:ind w:left="0"/>
              <w:rPr>
                <w:sz w:val="20"/>
                <w:szCs w:val="20"/>
              </w:rPr>
            </w:pPr>
            <w:r w:rsidRPr="002E6EFF">
              <w:rPr>
                <w:i/>
                <w:sz w:val="20"/>
                <w:szCs w:val="20"/>
              </w:rPr>
              <w:lastRenderedPageBreak/>
              <w:t>Plánované opatrenia:</w:t>
            </w:r>
            <w:r w:rsidRPr="002E6EFF">
              <w:rPr>
                <w:sz w:val="20"/>
                <w:szCs w:val="20"/>
              </w:rPr>
              <w:t xml:space="preserve"> </w:t>
            </w:r>
          </w:p>
          <w:p w14:paraId="0095E2FE" w14:textId="77777777" w:rsidR="002E6EFF" w:rsidRPr="002E6EFF" w:rsidRDefault="002E6EFF" w:rsidP="005A4951">
            <w:pPr>
              <w:autoSpaceDE w:val="0"/>
              <w:autoSpaceDN w:val="0"/>
              <w:adjustRightInd w:val="0"/>
              <w:spacing w:before="120"/>
              <w:ind w:left="34" w:hanging="34"/>
              <w:rPr>
                <w:sz w:val="20"/>
                <w:szCs w:val="20"/>
              </w:rPr>
            </w:pPr>
            <w:r w:rsidRPr="002E6EFF">
              <w:rPr>
                <w:sz w:val="20"/>
                <w:szCs w:val="20"/>
              </w:rPr>
              <w:t xml:space="preserve">- Zavedenie jednotného systému vzdelávania zamestnancov </w:t>
            </w:r>
            <w:r w:rsidRPr="002E6EFF">
              <w:rPr>
                <w:sz w:val="20"/>
                <w:szCs w:val="20"/>
              </w:rPr>
              <w:br/>
              <w:t xml:space="preserve">v rámci Systému riadenia a kontroly EŠIF. RO bude povinné zabezpečiť pre všetkých zamestnancov zúčastnených na implementácii fondov </w:t>
            </w:r>
            <w:r w:rsidRPr="002E6EFF">
              <w:rPr>
                <w:sz w:val="20"/>
                <w:szCs w:val="20"/>
              </w:rPr>
              <w:lastRenderedPageBreak/>
              <w:t xml:space="preserve">pravidelnú odbornú prípravu a školenia, pričom títo zamestnanci budú povinní sa tohto vzdelávania zúčastniť. </w:t>
            </w:r>
          </w:p>
          <w:p w14:paraId="1131DCDA" w14:textId="77777777" w:rsidR="00BC3DD7" w:rsidRPr="00BC3DD7" w:rsidRDefault="002E6EFF" w:rsidP="005A4951">
            <w:pPr>
              <w:spacing w:before="120"/>
              <w:ind w:left="0"/>
              <w:rPr>
                <w:color w:val="000000" w:themeColor="text1"/>
                <w:sz w:val="20"/>
                <w:szCs w:val="20"/>
              </w:rPr>
            </w:pPr>
            <w:r w:rsidRPr="002E6EFF">
              <w:rPr>
                <w:sz w:val="20"/>
                <w:szCs w:val="20"/>
              </w:rPr>
              <w:t xml:space="preserve">- V gescii CKO zriadenie Koordinačného výboru pre spoluprácu pri verejnom obstarávaní. Toto odborné fórum pozostávajúce najmä zo zástupcov CKO, ÚVO, CO, OA, RO zabezpečí spoločný postup v rámci aplikácie pravidiel VO (spolupráca pri vydávaní metodických výkladov, pokynov a usmernení prispôsobených podľa potrieb implementácie fondov EÚ). Jednoznačnou výhodou zriadenia tohto orgánu bude okamžité identifikovanie prípadných závažných pochybení (systémových nezrovnalostí) v postupoch RO/SORO pri kontrole VO a efektívna možnosť prijatia </w:t>
            </w:r>
            <w:r>
              <w:rPr>
                <w:sz w:val="20"/>
                <w:szCs w:val="20"/>
              </w:rPr>
              <w:t>a</w:t>
            </w:r>
            <w:r w:rsidRPr="002E6EFF">
              <w:rPr>
                <w:sz w:val="20"/>
                <w:szCs w:val="20"/>
              </w:rPr>
              <w:t>dekvátnych nápravných opatrení na ich odstránenie.</w:t>
            </w:r>
          </w:p>
        </w:tc>
      </w:tr>
      <w:tr w:rsidR="00BC3DD7" w:rsidRPr="00A11060" w14:paraId="1991CA0B" w14:textId="77777777" w:rsidTr="00E254DD">
        <w:tblPrEx>
          <w:jc w:val="left"/>
        </w:tblPrEx>
        <w:trPr>
          <w:gridBefore w:val="1"/>
          <w:wBefore w:w="24" w:type="dxa"/>
          <w:trHeight w:val="340"/>
        </w:trPr>
        <w:tc>
          <w:tcPr>
            <w:tcW w:w="1710" w:type="dxa"/>
            <w:vMerge/>
          </w:tcPr>
          <w:p w14:paraId="2DA57D70" w14:textId="77777777" w:rsidR="00BC3DD7" w:rsidRDefault="00BC3DD7" w:rsidP="00BC3DD7">
            <w:pPr>
              <w:ind w:left="0"/>
              <w:rPr>
                <w:sz w:val="20"/>
                <w:szCs w:val="20"/>
              </w:rPr>
            </w:pPr>
          </w:p>
        </w:tc>
        <w:tc>
          <w:tcPr>
            <w:tcW w:w="1277" w:type="dxa"/>
            <w:vMerge/>
          </w:tcPr>
          <w:p w14:paraId="40CA0A1A" w14:textId="77777777" w:rsidR="00BC3DD7" w:rsidRDefault="00BC3DD7" w:rsidP="00BC3DD7">
            <w:pPr>
              <w:ind w:left="0"/>
              <w:jc w:val="center"/>
              <w:rPr>
                <w:sz w:val="20"/>
                <w:szCs w:val="20"/>
              </w:rPr>
            </w:pPr>
          </w:p>
        </w:tc>
        <w:tc>
          <w:tcPr>
            <w:tcW w:w="1448" w:type="dxa"/>
            <w:vMerge/>
          </w:tcPr>
          <w:p w14:paraId="21F26E2D" w14:textId="77777777" w:rsidR="00BC3DD7" w:rsidRDefault="00BC3DD7" w:rsidP="00BC3DD7">
            <w:pPr>
              <w:ind w:left="0"/>
              <w:jc w:val="center"/>
              <w:rPr>
                <w:b/>
                <w:color w:val="000000" w:themeColor="text1"/>
                <w:sz w:val="20"/>
                <w:szCs w:val="20"/>
              </w:rPr>
            </w:pPr>
          </w:p>
        </w:tc>
        <w:tc>
          <w:tcPr>
            <w:tcW w:w="2257" w:type="dxa"/>
          </w:tcPr>
          <w:p w14:paraId="6C7968F2" w14:textId="77777777" w:rsidR="00BC3DD7" w:rsidRPr="00BC3DD7" w:rsidRDefault="00BC3DD7" w:rsidP="005112E6">
            <w:pPr>
              <w:ind w:left="0"/>
              <w:rPr>
                <w:color w:val="000000" w:themeColor="text1"/>
                <w:sz w:val="20"/>
                <w:szCs w:val="20"/>
              </w:rPr>
            </w:pPr>
            <w:r w:rsidRPr="00BC3DD7">
              <w:rPr>
                <w:sz w:val="20"/>
                <w:szCs w:val="20"/>
              </w:rPr>
              <w:t xml:space="preserve">Opatrenia na zabezpečenie administratívnej kapacity na vykonávanie a uplatňovanie pravidiel Únie o verejnom </w:t>
            </w:r>
            <w:r w:rsidRPr="00BC3DD7">
              <w:rPr>
                <w:sz w:val="20"/>
                <w:szCs w:val="20"/>
              </w:rPr>
              <w:lastRenderedPageBreak/>
              <w:t>obstarávaní.</w:t>
            </w:r>
          </w:p>
        </w:tc>
        <w:tc>
          <w:tcPr>
            <w:tcW w:w="1257" w:type="dxa"/>
          </w:tcPr>
          <w:p w14:paraId="08BBF963" w14:textId="77777777" w:rsidR="00BC3DD7" w:rsidRPr="00A11060" w:rsidRDefault="00415731" w:rsidP="00BC3DD7">
            <w:pPr>
              <w:ind w:left="0"/>
              <w:jc w:val="center"/>
              <w:rPr>
                <w:b/>
                <w:color w:val="000000" w:themeColor="text1"/>
                <w:sz w:val="20"/>
                <w:szCs w:val="20"/>
              </w:rPr>
            </w:pPr>
            <w:r>
              <w:rPr>
                <w:b/>
                <w:color w:val="000000" w:themeColor="text1"/>
                <w:sz w:val="20"/>
                <w:szCs w:val="20"/>
              </w:rPr>
              <w:lastRenderedPageBreak/>
              <w:t>Nie</w:t>
            </w:r>
          </w:p>
        </w:tc>
        <w:tc>
          <w:tcPr>
            <w:tcW w:w="3969" w:type="dxa"/>
          </w:tcPr>
          <w:p w14:paraId="2E5B0CFA" w14:textId="77777777" w:rsidR="002E6EFF" w:rsidRPr="002E6EFF" w:rsidRDefault="002E6EFF" w:rsidP="002E6EFF">
            <w:pPr>
              <w:ind w:left="0"/>
              <w:rPr>
                <w:i/>
                <w:sz w:val="20"/>
                <w:szCs w:val="20"/>
              </w:rPr>
            </w:pPr>
            <w:r w:rsidRPr="002E6EFF">
              <w:rPr>
                <w:i/>
                <w:sz w:val="20"/>
                <w:szCs w:val="20"/>
              </w:rPr>
              <w:t>Úrad pre verejné obstarávanie</w:t>
            </w:r>
          </w:p>
          <w:p w14:paraId="760DADA1" w14:textId="77777777" w:rsidR="002E6EFF" w:rsidRDefault="001061E2" w:rsidP="002E6EFF">
            <w:pPr>
              <w:spacing w:before="120"/>
              <w:ind w:left="0"/>
              <w:rPr>
                <w:color w:val="0000FF"/>
                <w:sz w:val="20"/>
                <w:szCs w:val="20"/>
                <w:u w:val="single"/>
              </w:rPr>
            </w:pPr>
            <w:hyperlink r:id="rId79" w:history="1">
              <w:r w:rsidR="002E6EFF" w:rsidRPr="002E6EFF">
                <w:rPr>
                  <w:color w:val="0000FF"/>
                  <w:sz w:val="20"/>
                  <w:szCs w:val="20"/>
                  <w:u w:val="single"/>
                </w:rPr>
                <w:t>http://www.uvo.gov.sk/domov</w:t>
              </w:r>
            </w:hyperlink>
          </w:p>
          <w:p w14:paraId="05CAFF64" w14:textId="77777777" w:rsidR="002E6EFF" w:rsidRPr="002E6EFF" w:rsidRDefault="002E6EFF" w:rsidP="002E6EFF">
            <w:pPr>
              <w:spacing w:before="120"/>
              <w:ind w:left="0"/>
              <w:rPr>
                <w:i/>
                <w:sz w:val="20"/>
                <w:szCs w:val="20"/>
              </w:rPr>
            </w:pPr>
            <w:r w:rsidRPr="002E6EFF">
              <w:rPr>
                <w:i/>
                <w:sz w:val="20"/>
                <w:szCs w:val="20"/>
              </w:rPr>
              <w:t>Metodické usmernenia (ÚVO)</w:t>
            </w:r>
          </w:p>
          <w:p w14:paraId="57B44338" w14:textId="77777777" w:rsidR="002E6EFF" w:rsidRPr="002E6EFF" w:rsidRDefault="001061E2" w:rsidP="002E6EFF">
            <w:pPr>
              <w:spacing w:before="120"/>
              <w:ind w:left="0"/>
              <w:rPr>
                <w:sz w:val="20"/>
                <w:szCs w:val="20"/>
              </w:rPr>
            </w:pPr>
            <w:hyperlink r:id="rId80" w:history="1">
              <w:r w:rsidR="002E6EFF" w:rsidRPr="002E6EFF">
                <w:rPr>
                  <w:color w:val="0000FF"/>
                  <w:sz w:val="20"/>
                  <w:szCs w:val="20"/>
                  <w:u w:val="single"/>
                </w:rPr>
                <w:t>http://www.uvo.gov.sk/metodicke-usmernenia</w:t>
              </w:r>
            </w:hyperlink>
          </w:p>
          <w:p w14:paraId="39839569" w14:textId="77777777" w:rsidR="002E6EFF" w:rsidRPr="002E6EFF" w:rsidRDefault="002E6EFF" w:rsidP="002E6EFF">
            <w:pPr>
              <w:spacing w:before="120"/>
              <w:ind w:left="0"/>
              <w:rPr>
                <w:color w:val="0000FF"/>
                <w:sz w:val="20"/>
                <w:szCs w:val="20"/>
                <w:u w:val="single"/>
              </w:rPr>
            </w:pPr>
          </w:p>
          <w:p w14:paraId="08079D5D" w14:textId="77777777" w:rsidR="00BC3DD7" w:rsidRPr="00BC3DD7" w:rsidRDefault="00BC3DD7" w:rsidP="00BC3DD7">
            <w:pPr>
              <w:ind w:left="0"/>
              <w:jc w:val="center"/>
              <w:rPr>
                <w:color w:val="000000" w:themeColor="text1"/>
                <w:sz w:val="20"/>
                <w:szCs w:val="20"/>
              </w:rPr>
            </w:pPr>
          </w:p>
        </w:tc>
        <w:tc>
          <w:tcPr>
            <w:tcW w:w="2564" w:type="dxa"/>
          </w:tcPr>
          <w:p w14:paraId="272C9F73" w14:textId="77777777" w:rsidR="002E6EFF" w:rsidRPr="002E6EFF" w:rsidRDefault="002E6EFF" w:rsidP="005A4951">
            <w:pPr>
              <w:ind w:left="0"/>
              <w:rPr>
                <w:sz w:val="20"/>
                <w:szCs w:val="20"/>
              </w:rPr>
            </w:pPr>
            <w:r w:rsidRPr="002E6EFF">
              <w:rPr>
                <w:sz w:val="20"/>
                <w:szCs w:val="20"/>
              </w:rPr>
              <w:lastRenderedPageBreak/>
              <w:t xml:space="preserve">Zabezpečenie technickej pomoci v rámci spolupráce s ÚVO na refundáciu mzdových nákladov zamestnancov vykonávajúcich podporné </w:t>
            </w:r>
            <w:r w:rsidRPr="002E6EFF">
              <w:rPr>
                <w:sz w:val="20"/>
                <w:szCs w:val="20"/>
              </w:rPr>
              <w:lastRenderedPageBreak/>
              <w:t xml:space="preserve">činnosti pre RO, SORO, OA, CO v rámci Dohody o spolupráci. </w:t>
            </w:r>
            <w:r w:rsidRPr="002E6EFF">
              <w:rPr>
                <w:i/>
                <w:sz w:val="20"/>
                <w:szCs w:val="20"/>
              </w:rPr>
              <w:t>Opatrenie plánované.</w:t>
            </w:r>
          </w:p>
          <w:p w14:paraId="75EDCE20" w14:textId="77777777" w:rsidR="002E6EFF" w:rsidRPr="002E6EFF" w:rsidRDefault="002E6EFF" w:rsidP="005A4951">
            <w:pPr>
              <w:spacing w:before="120"/>
              <w:ind w:left="0"/>
              <w:rPr>
                <w:i/>
                <w:sz w:val="20"/>
                <w:szCs w:val="20"/>
              </w:rPr>
            </w:pPr>
            <w:r w:rsidRPr="002E6EFF">
              <w:rPr>
                <w:sz w:val="20"/>
                <w:szCs w:val="20"/>
              </w:rPr>
              <w:t xml:space="preserve">Technická pomoc v rámci spolupráce s ÚVO na refundáciu nákladov na znalecké posudky a odborné stanoviská, ktoré budú potrebné pre výkon podporných činností pre RO, SORO, OA, CO v rámci Dohody o spolupráci. </w:t>
            </w:r>
            <w:r w:rsidRPr="002E6EFF">
              <w:rPr>
                <w:i/>
                <w:sz w:val="20"/>
                <w:szCs w:val="20"/>
              </w:rPr>
              <w:t>Opatrenie plánované.</w:t>
            </w:r>
          </w:p>
          <w:p w14:paraId="3F09892D" w14:textId="77777777" w:rsidR="002E6EFF" w:rsidRPr="002E6EFF" w:rsidRDefault="002E6EFF" w:rsidP="005A4951">
            <w:pPr>
              <w:spacing w:before="120"/>
              <w:ind w:left="0"/>
              <w:rPr>
                <w:sz w:val="20"/>
                <w:szCs w:val="20"/>
              </w:rPr>
            </w:pPr>
            <w:r w:rsidRPr="002E6EFF">
              <w:rPr>
                <w:sz w:val="20"/>
                <w:szCs w:val="20"/>
              </w:rPr>
              <w:t xml:space="preserve">Technická pomoc pre spoluprácu </w:t>
            </w:r>
            <w:r w:rsidR="00415731">
              <w:rPr>
                <w:sz w:val="20"/>
                <w:szCs w:val="20"/>
              </w:rPr>
              <w:br/>
            </w:r>
            <w:r w:rsidRPr="002E6EFF">
              <w:rPr>
                <w:sz w:val="20"/>
                <w:szCs w:val="20"/>
              </w:rPr>
              <w:t xml:space="preserve">s Protimonopolným úradom SR – </w:t>
            </w:r>
            <w:r w:rsidRPr="002E6EFF">
              <w:rPr>
                <w:i/>
                <w:sz w:val="20"/>
                <w:szCs w:val="20"/>
              </w:rPr>
              <w:t>Opatrenie plánované.</w:t>
            </w:r>
          </w:p>
          <w:p w14:paraId="6BE05E62" w14:textId="77777777" w:rsidR="00BC3DD7" w:rsidRPr="002E6EFF" w:rsidRDefault="002E6EFF" w:rsidP="005A4951">
            <w:pPr>
              <w:spacing w:before="120"/>
              <w:ind w:left="0"/>
              <w:rPr>
                <w:color w:val="000000" w:themeColor="text1"/>
                <w:sz w:val="20"/>
                <w:szCs w:val="20"/>
              </w:rPr>
            </w:pPr>
            <w:r w:rsidRPr="002E6EFF">
              <w:rPr>
                <w:sz w:val="20"/>
                <w:szCs w:val="20"/>
              </w:rPr>
              <w:t xml:space="preserve">Technická pomoc na školenia prijímateľov. Školenia budú zamerané na prijímateľov, resp. žiadateľov. </w:t>
            </w:r>
            <w:r w:rsidRPr="002E6EFF">
              <w:rPr>
                <w:i/>
                <w:sz w:val="20"/>
                <w:szCs w:val="20"/>
              </w:rPr>
              <w:t>Opatrenie plánované.</w:t>
            </w:r>
          </w:p>
        </w:tc>
      </w:tr>
      <w:tr w:rsidR="00BC3DD7" w:rsidRPr="00A11060" w14:paraId="2B94897F" w14:textId="77777777" w:rsidTr="00E254DD">
        <w:tblPrEx>
          <w:jc w:val="left"/>
        </w:tblPrEx>
        <w:trPr>
          <w:gridBefore w:val="1"/>
          <w:wBefore w:w="24" w:type="dxa"/>
          <w:trHeight w:val="340"/>
        </w:trPr>
        <w:tc>
          <w:tcPr>
            <w:tcW w:w="1710" w:type="dxa"/>
            <w:vMerge w:val="restart"/>
          </w:tcPr>
          <w:p w14:paraId="0900C5F7" w14:textId="77777777" w:rsidR="0014391D" w:rsidRPr="00415731" w:rsidRDefault="0014391D" w:rsidP="00497BCE">
            <w:pPr>
              <w:ind w:left="0"/>
              <w:rPr>
                <w:b/>
                <w:sz w:val="20"/>
                <w:szCs w:val="20"/>
              </w:rPr>
            </w:pPr>
            <w:r w:rsidRPr="00415731">
              <w:rPr>
                <w:b/>
                <w:sz w:val="20"/>
                <w:szCs w:val="20"/>
              </w:rPr>
              <w:lastRenderedPageBreak/>
              <w:t>Štátna pomoc</w:t>
            </w:r>
            <w:r w:rsidR="007957D3">
              <w:rPr>
                <w:rStyle w:val="Odkaznapoznmkupodiarou"/>
                <w:b/>
                <w:sz w:val="20"/>
                <w:szCs w:val="20"/>
              </w:rPr>
              <w:footnoteReference w:id="127"/>
            </w:r>
          </w:p>
          <w:p w14:paraId="7DB75085" w14:textId="77777777" w:rsidR="00BC3DD7" w:rsidRPr="00566720" w:rsidRDefault="00BC3DD7" w:rsidP="0014391D">
            <w:pPr>
              <w:spacing w:before="120"/>
              <w:ind w:left="0"/>
              <w:rPr>
                <w:sz w:val="20"/>
                <w:szCs w:val="20"/>
              </w:rPr>
            </w:pPr>
            <w:r>
              <w:rPr>
                <w:sz w:val="20"/>
                <w:szCs w:val="20"/>
              </w:rPr>
              <w:t xml:space="preserve">Existencia pravidiel na efektívne uplatňovanie práva Únie </w:t>
            </w:r>
            <w:r>
              <w:rPr>
                <w:sz w:val="20"/>
                <w:szCs w:val="20"/>
              </w:rPr>
              <w:lastRenderedPageBreak/>
              <w:t>o štátnej pomoci v oblasti EŠIF.</w:t>
            </w:r>
          </w:p>
        </w:tc>
        <w:tc>
          <w:tcPr>
            <w:tcW w:w="1277" w:type="dxa"/>
            <w:vMerge w:val="restart"/>
          </w:tcPr>
          <w:p w14:paraId="7C98FC91" w14:textId="295FD198" w:rsidR="00BC3DD7" w:rsidRDefault="00BC3DD7">
            <w:pPr>
              <w:ind w:left="0"/>
              <w:rPr>
                <w:sz w:val="20"/>
                <w:szCs w:val="20"/>
              </w:rPr>
            </w:pPr>
            <w:r>
              <w:rPr>
                <w:sz w:val="20"/>
                <w:szCs w:val="20"/>
              </w:rPr>
              <w:lastRenderedPageBreak/>
              <w:t>PO 1, PO 3, PO 4, PO 5 a PO 7</w:t>
            </w:r>
            <w:r w:rsidR="0043132E">
              <w:rPr>
                <w:sz w:val="20"/>
                <w:szCs w:val="20"/>
              </w:rPr>
              <w:t xml:space="preserve">, PO 9 - PO 12 </w:t>
            </w:r>
          </w:p>
        </w:tc>
        <w:tc>
          <w:tcPr>
            <w:tcW w:w="1448" w:type="dxa"/>
            <w:vMerge w:val="restart"/>
          </w:tcPr>
          <w:p w14:paraId="141E496E" w14:textId="77777777" w:rsidR="00BC3DD7" w:rsidRPr="00A11060" w:rsidRDefault="00BC3DD7" w:rsidP="00497BCE">
            <w:pPr>
              <w:ind w:left="0"/>
              <w:jc w:val="center"/>
              <w:rPr>
                <w:color w:val="000000" w:themeColor="text1"/>
                <w:sz w:val="20"/>
                <w:szCs w:val="20"/>
              </w:rPr>
            </w:pPr>
            <w:r w:rsidRPr="00A11060">
              <w:rPr>
                <w:b/>
                <w:color w:val="000000" w:themeColor="text1"/>
                <w:sz w:val="20"/>
                <w:szCs w:val="20"/>
              </w:rPr>
              <w:t>Čiastočne</w:t>
            </w:r>
          </w:p>
        </w:tc>
        <w:tc>
          <w:tcPr>
            <w:tcW w:w="2257" w:type="dxa"/>
          </w:tcPr>
          <w:p w14:paraId="68F3B316" w14:textId="77777777" w:rsidR="00BC3DD7" w:rsidRPr="00A11060" w:rsidRDefault="00BC3DD7" w:rsidP="005112E6">
            <w:pPr>
              <w:ind w:left="0"/>
              <w:rPr>
                <w:color w:val="000000" w:themeColor="text1"/>
                <w:sz w:val="20"/>
                <w:szCs w:val="20"/>
              </w:rPr>
            </w:pPr>
            <w:r>
              <w:rPr>
                <w:color w:val="000000" w:themeColor="text1"/>
                <w:sz w:val="20"/>
                <w:szCs w:val="20"/>
              </w:rPr>
              <w:t>Opatrenia na zabezpečenie účinného uplatňovania pravidiel Únie o štátnej pomoci.</w:t>
            </w:r>
          </w:p>
        </w:tc>
        <w:tc>
          <w:tcPr>
            <w:tcW w:w="1257" w:type="dxa"/>
          </w:tcPr>
          <w:p w14:paraId="682A40AF" w14:textId="77777777" w:rsidR="00BC3DD7" w:rsidRPr="00A11060" w:rsidRDefault="00415731" w:rsidP="00497BCE">
            <w:pPr>
              <w:ind w:left="0"/>
              <w:jc w:val="center"/>
              <w:rPr>
                <w:color w:val="000000" w:themeColor="text1"/>
                <w:sz w:val="20"/>
                <w:szCs w:val="20"/>
              </w:rPr>
            </w:pPr>
            <w:r>
              <w:rPr>
                <w:b/>
                <w:color w:val="000000" w:themeColor="text1"/>
                <w:sz w:val="20"/>
                <w:szCs w:val="20"/>
              </w:rPr>
              <w:t>Nie</w:t>
            </w:r>
          </w:p>
        </w:tc>
        <w:tc>
          <w:tcPr>
            <w:tcW w:w="3969" w:type="dxa"/>
          </w:tcPr>
          <w:p w14:paraId="380076C8" w14:textId="77777777" w:rsidR="00BC3DD7" w:rsidRPr="00A11060" w:rsidRDefault="00BC3DD7" w:rsidP="002E6EFF">
            <w:pPr>
              <w:rPr>
                <w:color w:val="000000" w:themeColor="text1"/>
                <w:sz w:val="20"/>
              </w:rPr>
            </w:pPr>
          </w:p>
        </w:tc>
        <w:tc>
          <w:tcPr>
            <w:tcW w:w="2564" w:type="dxa"/>
          </w:tcPr>
          <w:p w14:paraId="04D99E24" w14:textId="77777777" w:rsidR="00BC3DD7" w:rsidRDefault="002E6EFF" w:rsidP="005A4951">
            <w:pPr>
              <w:spacing w:before="60"/>
              <w:ind w:left="0"/>
              <w:rPr>
                <w:sz w:val="20"/>
                <w:szCs w:val="20"/>
              </w:rPr>
            </w:pPr>
            <w:r w:rsidRPr="002E6EFF">
              <w:rPr>
                <w:color w:val="000000" w:themeColor="text1"/>
                <w:sz w:val="20"/>
                <w:szCs w:val="20"/>
              </w:rPr>
              <w:t>Centrálny IT register pre štátnu pomoc bude zriadený v rozsahu a v štruktúre, ako ich vymedzí nové nariadenie o skupinových výnimkách ako aj príslušné usmernenia Európskej komisie.</w:t>
            </w:r>
          </w:p>
        </w:tc>
      </w:tr>
      <w:tr w:rsidR="00BC3DD7" w:rsidRPr="00A11060" w14:paraId="7FF57D1D" w14:textId="77777777" w:rsidTr="00E254DD">
        <w:tblPrEx>
          <w:jc w:val="left"/>
        </w:tblPrEx>
        <w:trPr>
          <w:gridBefore w:val="1"/>
          <w:wBefore w:w="24" w:type="dxa"/>
          <w:trHeight w:val="340"/>
        </w:trPr>
        <w:tc>
          <w:tcPr>
            <w:tcW w:w="1710" w:type="dxa"/>
            <w:vMerge/>
          </w:tcPr>
          <w:p w14:paraId="7C6B8C5F" w14:textId="77777777" w:rsidR="00BC3DD7" w:rsidRDefault="00BC3DD7" w:rsidP="00497BCE">
            <w:pPr>
              <w:rPr>
                <w:sz w:val="20"/>
                <w:szCs w:val="20"/>
              </w:rPr>
            </w:pPr>
          </w:p>
        </w:tc>
        <w:tc>
          <w:tcPr>
            <w:tcW w:w="1277" w:type="dxa"/>
            <w:vMerge/>
          </w:tcPr>
          <w:p w14:paraId="44F52467" w14:textId="77777777" w:rsidR="00BC3DD7" w:rsidRDefault="00BC3DD7" w:rsidP="00497BCE">
            <w:pPr>
              <w:jc w:val="center"/>
              <w:rPr>
                <w:sz w:val="20"/>
                <w:szCs w:val="20"/>
              </w:rPr>
            </w:pPr>
          </w:p>
        </w:tc>
        <w:tc>
          <w:tcPr>
            <w:tcW w:w="1448" w:type="dxa"/>
            <w:vMerge/>
          </w:tcPr>
          <w:p w14:paraId="0B82620E" w14:textId="77777777" w:rsidR="00BC3DD7" w:rsidRPr="00A11060" w:rsidRDefault="00BC3DD7" w:rsidP="00497BCE">
            <w:pPr>
              <w:rPr>
                <w:color w:val="000000" w:themeColor="text1"/>
                <w:sz w:val="20"/>
                <w:szCs w:val="20"/>
              </w:rPr>
            </w:pPr>
          </w:p>
        </w:tc>
        <w:tc>
          <w:tcPr>
            <w:tcW w:w="2257" w:type="dxa"/>
          </w:tcPr>
          <w:p w14:paraId="23F87660" w14:textId="77777777" w:rsidR="00BC3DD7" w:rsidRPr="00A11060" w:rsidRDefault="00BC3DD7" w:rsidP="005112E6">
            <w:pPr>
              <w:ind w:left="0"/>
              <w:rPr>
                <w:color w:val="000000" w:themeColor="text1"/>
                <w:sz w:val="20"/>
                <w:szCs w:val="20"/>
              </w:rPr>
            </w:pPr>
            <w:r>
              <w:rPr>
                <w:color w:val="000000" w:themeColor="text1"/>
                <w:sz w:val="20"/>
                <w:szCs w:val="20"/>
              </w:rPr>
              <w:t>Opatrenia na zabezpečenie odbornej prípravy a informovania zamestnancov zapojených do vykonávania EŠIF.</w:t>
            </w:r>
          </w:p>
        </w:tc>
        <w:tc>
          <w:tcPr>
            <w:tcW w:w="1257" w:type="dxa"/>
          </w:tcPr>
          <w:p w14:paraId="0DE1F8B3" w14:textId="77777777" w:rsidR="00BC3DD7" w:rsidRPr="00A11060" w:rsidRDefault="00415731" w:rsidP="00497BCE">
            <w:pPr>
              <w:ind w:left="0"/>
              <w:jc w:val="center"/>
              <w:rPr>
                <w:b/>
                <w:color w:val="000000" w:themeColor="text1"/>
                <w:sz w:val="20"/>
                <w:szCs w:val="20"/>
              </w:rPr>
            </w:pPr>
            <w:r>
              <w:rPr>
                <w:b/>
                <w:color w:val="000000" w:themeColor="text1"/>
                <w:sz w:val="20"/>
                <w:szCs w:val="20"/>
              </w:rPr>
              <w:t>Áno</w:t>
            </w:r>
          </w:p>
        </w:tc>
        <w:tc>
          <w:tcPr>
            <w:tcW w:w="3969" w:type="dxa"/>
          </w:tcPr>
          <w:p w14:paraId="310EAADE" w14:textId="62B6B154" w:rsidR="00BC3DD7" w:rsidRDefault="005E000E" w:rsidP="005E000E">
            <w:pPr>
              <w:ind w:left="0"/>
              <w:rPr>
                <w:color w:val="000000" w:themeColor="text1"/>
                <w:sz w:val="20"/>
                <w:szCs w:val="20"/>
              </w:rPr>
            </w:pPr>
            <w:r w:rsidRPr="002E6EFF">
              <w:rPr>
                <w:color w:val="000000" w:themeColor="text1"/>
                <w:sz w:val="20"/>
                <w:szCs w:val="20"/>
              </w:rPr>
              <w:t>Príslušné školenia pracovníkov na tému uplatňovania pravidiel EÚ o štátnej pomoci na všetkých relevantných úrovniach (t.</w:t>
            </w:r>
            <w:r w:rsidR="005A4951">
              <w:rPr>
                <w:color w:val="000000" w:themeColor="text1"/>
                <w:sz w:val="20"/>
                <w:szCs w:val="20"/>
              </w:rPr>
              <w:t> </w:t>
            </w:r>
            <w:r w:rsidRPr="002E6EFF">
              <w:rPr>
                <w:color w:val="000000" w:themeColor="text1"/>
                <w:sz w:val="20"/>
                <w:szCs w:val="20"/>
              </w:rPr>
              <w:t>j. príslušné oddelenia) sa už konali alebo sú naplánované.</w:t>
            </w:r>
          </w:p>
        </w:tc>
        <w:tc>
          <w:tcPr>
            <w:tcW w:w="2564" w:type="dxa"/>
          </w:tcPr>
          <w:p w14:paraId="1ABDD733" w14:textId="420F5EDA" w:rsidR="00BC3DD7" w:rsidRPr="00A11060" w:rsidRDefault="002E6EFF" w:rsidP="005A4951">
            <w:pPr>
              <w:ind w:left="0"/>
              <w:rPr>
                <w:color w:val="000000" w:themeColor="text1"/>
                <w:sz w:val="20"/>
                <w:szCs w:val="20"/>
              </w:rPr>
            </w:pPr>
            <w:r w:rsidRPr="002E6EFF">
              <w:rPr>
                <w:color w:val="000000" w:themeColor="text1"/>
                <w:sz w:val="20"/>
                <w:szCs w:val="20"/>
              </w:rPr>
              <w:t>Príslušné školenia pracovníkov na tému uplatňovania pravidiel EÚ o štátnej pomoci na všetkých relevantných úrovniach (t.</w:t>
            </w:r>
            <w:r w:rsidR="005A4951">
              <w:rPr>
                <w:color w:val="000000" w:themeColor="text1"/>
                <w:sz w:val="20"/>
                <w:szCs w:val="20"/>
              </w:rPr>
              <w:t> </w:t>
            </w:r>
            <w:r w:rsidRPr="002E6EFF">
              <w:rPr>
                <w:color w:val="000000" w:themeColor="text1"/>
                <w:sz w:val="20"/>
                <w:szCs w:val="20"/>
              </w:rPr>
              <w:t>j. príslušné oddelenia) sa už konali alebo sú naplánované.</w:t>
            </w:r>
          </w:p>
        </w:tc>
      </w:tr>
      <w:tr w:rsidR="00BC3DD7" w:rsidRPr="00A11060" w14:paraId="04039546" w14:textId="77777777" w:rsidTr="00E254DD">
        <w:tblPrEx>
          <w:jc w:val="left"/>
        </w:tblPrEx>
        <w:trPr>
          <w:gridBefore w:val="1"/>
          <w:wBefore w:w="24" w:type="dxa"/>
          <w:trHeight w:val="340"/>
        </w:trPr>
        <w:tc>
          <w:tcPr>
            <w:tcW w:w="1710" w:type="dxa"/>
            <w:vMerge/>
          </w:tcPr>
          <w:p w14:paraId="07CDCD94" w14:textId="77777777" w:rsidR="00BC3DD7" w:rsidRDefault="00BC3DD7" w:rsidP="00497BCE">
            <w:pPr>
              <w:rPr>
                <w:sz w:val="20"/>
                <w:szCs w:val="20"/>
              </w:rPr>
            </w:pPr>
          </w:p>
        </w:tc>
        <w:tc>
          <w:tcPr>
            <w:tcW w:w="1277" w:type="dxa"/>
            <w:vMerge/>
          </w:tcPr>
          <w:p w14:paraId="7D546CF8" w14:textId="77777777" w:rsidR="00BC3DD7" w:rsidRDefault="00BC3DD7" w:rsidP="00497BCE">
            <w:pPr>
              <w:jc w:val="center"/>
              <w:rPr>
                <w:sz w:val="20"/>
                <w:szCs w:val="20"/>
              </w:rPr>
            </w:pPr>
          </w:p>
        </w:tc>
        <w:tc>
          <w:tcPr>
            <w:tcW w:w="1448" w:type="dxa"/>
            <w:vMerge/>
          </w:tcPr>
          <w:p w14:paraId="2AE56DDE" w14:textId="77777777" w:rsidR="00BC3DD7" w:rsidRPr="00A11060" w:rsidRDefault="00BC3DD7" w:rsidP="00497BCE">
            <w:pPr>
              <w:rPr>
                <w:color w:val="000000" w:themeColor="text1"/>
                <w:sz w:val="20"/>
                <w:szCs w:val="20"/>
              </w:rPr>
            </w:pPr>
          </w:p>
        </w:tc>
        <w:tc>
          <w:tcPr>
            <w:tcW w:w="2257" w:type="dxa"/>
          </w:tcPr>
          <w:p w14:paraId="3EB49638" w14:textId="77777777" w:rsidR="00BC3DD7" w:rsidRPr="00A11060" w:rsidRDefault="00BC3DD7" w:rsidP="005112E6">
            <w:pPr>
              <w:ind w:left="0"/>
              <w:rPr>
                <w:color w:val="000000" w:themeColor="text1"/>
                <w:sz w:val="20"/>
                <w:szCs w:val="20"/>
              </w:rPr>
            </w:pPr>
            <w:r>
              <w:rPr>
                <w:color w:val="000000" w:themeColor="text1"/>
                <w:sz w:val="20"/>
                <w:szCs w:val="20"/>
              </w:rPr>
              <w:t>Opatrenia na zabezpečenie administratívnej kapacity na vykonávanie a uplatňovanie pravidiel Únie o štátnej pomoci.</w:t>
            </w:r>
          </w:p>
        </w:tc>
        <w:tc>
          <w:tcPr>
            <w:tcW w:w="1257" w:type="dxa"/>
          </w:tcPr>
          <w:p w14:paraId="30F3C181" w14:textId="77777777" w:rsidR="00BC3DD7" w:rsidRPr="00A11060" w:rsidRDefault="00415731" w:rsidP="00497BCE">
            <w:pPr>
              <w:ind w:left="0"/>
              <w:jc w:val="center"/>
              <w:rPr>
                <w:color w:val="000000" w:themeColor="text1"/>
                <w:sz w:val="20"/>
                <w:szCs w:val="20"/>
              </w:rPr>
            </w:pPr>
            <w:r>
              <w:rPr>
                <w:b/>
                <w:color w:val="000000" w:themeColor="text1"/>
                <w:sz w:val="20"/>
                <w:szCs w:val="20"/>
              </w:rPr>
              <w:t>Áno</w:t>
            </w:r>
          </w:p>
        </w:tc>
        <w:tc>
          <w:tcPr>
            <w:tcW w:w="3969" w:type="dxa"/>
          </w:tcPr>
          <w:p w14:paraId="12533F91" w14:textId="77777777" w:rsidR="00BC3DD7" w:rsidRPr="00A11060" w:rsidRDefault="00BC3DD7" w:rsidP="00EF1ECD">
            <w:pPr>
              <w:ind w:left="0"/>
              <w:jc w:val="center"/>
              <w:rPr>
                <w:color w:val="000000" w:themeColor="text1"/>
                <w:sz w:val="20"/>
              </w:rPr>
            </w:pPr>
          </w:p>
        </w:tc>
        <w:tc>
          <w:tcPr>
            <w:tcW w:w="2564" w:type="dxa"/>
          </w:tcPr>
          <w:p w14:paraId="1EBA5F04" w14:textId="05D60D1F" w:rsidR="002E6EFF" w:rsidRPr="002E6EFF" w:rsidRDefault="002E6EFF" w:rsidP="005A4951">
            <w:pPr>
              <w:ind w:left="0"/>
              <w:rPr>
                <w:color w:val="000000" w:themeColor="text1"/>
                <w:sz w:val="20"/>
                <w:szCs w:val="20"/>
              </w:rPr>
            </w:pPr>
            <w:r w:rsidRPr="002E6EFF">
              <w:rPr>
                <w:color w:val="000000" w:themeColor="text1"/>
                <w:sz w:val="20"/>
                <w:szCs w:val="20"/>
              </w:rPr>
              <w:t>Kvantifikácia potreby posilnenia administratívnych kapacít koordinátora štátnej pomoci s ohľadom na predmetnú ex ante kondicionalitu ako aj založenie metodických centier požadovaných zo strany EK bolo stanovené s predstaviteľmi GR pre hospodársku súťaž.</w:t>
            </w:r>
          </w:p>
          <w:p w14:paraId="6EDBDEE9" w14:textId="7FC20200" w:rsidR="00BC3DD7" w:rsidRPr="00A11060" w:rsidRDefault="002E6EFF" w:rsidP="00510DD7">
            <w:pPr>
              <w:ind w:left="0"/>
              <w:rPr>
                <w:color w:val="000000" w:themeColor="text1"/>
                <w:sz w:val="20"/>
                <w:szCs w:val="20"/>
              </w:rPr>
            </w:pPr>
            <w:r w:rsidRPr="002E6EFF">
              <w:rPr>
                <w:color w:val="000000" w:themeColor="text1"/>
                <w:sz w:val="20"/>
                <w:szCs w:val="20"/>
              </w:rPr>
              <w:t>Rovnako aj OP TP zohľadňuje zvýšené administratívne kapacity MF SR pri jeho úlohe koordinátora štátnej pomoci</w:t>
            </w:r>
            <w:r>
              <w:rPr>
                <w:color w:val="000000" w:themeColor="text1"/>
                <w:sz w:val="20"/>
                <w:szCs w:val="20"/>
              </w:rPr>
              <w:t>.</w:t>
            </w:r>
          </w:p>
        </w:tc>
      </w:tr>
      <w:tr w:rsidR="00533853" w:rsidRPr="00A11060" w14:paraId="6A96F500" w14:textId="77777777" w:rsidTr="00E254DD">
        <w:tblPrEx>
          <w:jc w:val="left"/>
        </w:tblPrEx>
        <w:trPr>
          <w:gridBefore w:val="1"/>
          <w:wBefore w:w="24" w:type="dxa"/>
          <w:trHeight w:val="340"/>
        </w:trPr>
        <w:tc>
          <w:tcPr>
            <w:tcW w:w="1710" w:type="dxa"/>
            <w:vMerge w:val="restart"/>
          </w:tcPr>
          <w:p w14:paraId="18823F07" w14:textId="77777777" w:rsidR="00533853" w:rsidRPr="00415731" w:rsidRDefault="00533853" w:rsidP="00533853">
            <w:pPr>
              <w:ind w:left="0"/>
              <w:rPr>
                <w:b/>
                <w:sz w:val="20"/>
                <w:szCs w:val="20"/>
              </w:rPr>
            </w:pPr>
            <w:r w:rsidRPr="00415731">
              <w:rPr>
                <w:b/>
                <w:sz w:val="20"/>
                <w:szCs w:val="20"/>
              </w:rPr>
              <w:t>Právne predpisy v oblasti životného prostredia týkajúce sa posudzovania vplyvov na životné prostredie (EIA) a strategického environmentálneho posudzovania (SEA)</w:t>
            </w:r>
          </w:p>
          <w:p w14:paraId="57B8A38B" w14:textId="77777777" w:rsidR="00533853" w:rsidRPr="00533853" w:rsidRDefault="00533853" w:rsidP="00533853">
            <w:pPr>
              <w:rPr>
                <w:sz w:val="20"/>
                <w:szCs w:val="20"/>
              </w:rPr>
            </w:pPr>
          </w:p>
          <w:p w14:paraId="6166E795" w14:textId="77777777" w:rsidR="00533853" w:rsidRDefault="00533853" w:rsidP="00533853">
            <w:pPr>
              <w:ind w:left="0"/>
              <w:rPr>
                <w:sz w:val="20"/>
                <w:szCs w:val="20"/>
              </w:rPr>
            </w:pPr>
            <w:r w:rsidRPr="00533853">
              <w:rPr>
                <w:sz w:val="20"/>
                <w:szCs w:val="20"/>
              </w:rPr>
              <w:t>Existencia pravidiel na efektívne uplatňovanie právnych predpisov Únie v oblasti životného prostredia týkajúcich sa EIA a SEA.</w:t>
            </w:r>
          </w:p>
        </w:tc>
        <w:tc>
          <w:tcPr>
            <w:tcW w:w="1277" w:type="dxa"/>
            <w:vMerge w:val="restart"/>
          </w:tcPr>
          <w:p w14:paraId="43CF2209" w14:textId="7E8427A8" w:rsidR="00533853" w:rsidRPr="00533853" w:rsidRDefault="00533853" w:rsidP="00E81BAD">
            <w:pPr>
              <w:ind w:left="0"/>
              <w:rPr>
                <w:sz w:val="20"/>
                <w:szCs w:val="20"/>
              </w:rPr>
            </w:pPr>
            <w:r>
              <w:rPr>
                <w:sz w:val="20"/>
                <w:szCs w:val="20"/>
              </w:rPr>
              <w:lastRenderedPageBreak/>
              <w:t xml:space="preserve">PO 1 – PO </w:t>
            </w:r>
            <w:r w:rsidR="00E81BAD">
              <w:rPr>
                <w:sz w:val="20"/>
                <w:szCs w:val="20"/>
              </w:rPr>
              <w:t>7</w:t>
            </w:r>
            <w:r w:rsidR="0043132E">
              <w:rPr>
                <w:sz w:val="20"/>
                <w:szCs w:val="20"/>
              </w:rPr>
              <w:t>, PO 9 - PO 12</w:t>
            </w:r>
          </w:p>
        </w:tc>
        <w:tc>
          <w:tcPr>
            <w:tcW w:w="1448" w:type="dxa"/>
            <w:vMerge w:val="restart"/>
          </w:tcPr>
          <w:p w14:paraId="7C59841D" w14:textId="77777777" w:rsidR="00533853" w:rsidRDefault="00533853" w:rsidP="00533853">
            <w:pPr>
              <w:ind w:left="0"/>
              <w:jc w:val="center"/>
              <w:rPr>
                <w:color w:val="000000" w:themeColor="text1"/>
                <w:sz w:val="20"/>
                <w:szCs w:val="20"/>
              </w:rPr>
            </w:pPr>
            <w:r w:rsidRPr="00533853">
              <w:rPr>
                <w:b/>
                <w:sz w:val="20"/>
                <w:szCs w:val="20"/>
              </w:rPr>
              <w:t>Čiastočne</w:t>
            </w:r>
          </w:p>
        </w:tc>
        <w:tc>
          <w:tcPr>
            <w:tcW w:w="2257" w:type="dxa"/>
          </w:tcPr>
          <w:p w14:paraId="112E4C5E" w14:textId="77777777" w:rsidR="00533853" w:rsidRDefault="00533853" w:rsidP="005112E6">
            <w:pPr>
              <w:ind w:left="10"/>
              <w:rPr>
                <w:color w:val="000000" w:themeColor="text1"/>
                <w:sz w:val="20"/>
                <w:szCs w:val="20"/>
              </w:rPr>
            </w:pPr>
            <w:r w:rsidRPr="00533853">
              <w:rPr>
                <w:color w:val="000000" w:themeColor="text1"/>
                <w:sz w:val="20"/>
                <w:szCs w:val="20"/>
              </w:rPr>
              <w:t>Opatrenia na zabezpečenie účinného uplatňovania smernice Európskeho parlamentu a Rady 2011/92/EÚ (EIA) a smernice Európskeho parlamentu a Rady 2001/42/ES (SEA).</w:t>
            </w:r>
          </w:p>
        </w:tc>
        <w:tc>
          <w:tcPr>
            <w:tcW w:w="1257" w:type="dxa"/>
          </w:tcPr>
          <w:p w14:paraId="38346121" w14:textId="77777777" w:rsidR="00533853" w:rsidRDefault="00415731" w:rsidP="00533853">
            <w:pPr>
              <w:ind w:left="0"/>
              <w:jc w:val="center"/>
              <w:rPr>
                <w:b/>
                <w:color w:val="000000" w:themeColor="text1"/>
                <w:sz w:val="20"/>
                <w:szCs w:val="20"/>
              </w:rPr>
            </w:pPr>
            <w:r>
              <w:rPr>
                <w:b/>
                <w:color w:val="000000" w:themeColor="text1"/>
                <w:sz w:val="20"/>
                <w:szCs w:val="20"/>
              </w:rPr>
              <w:t>Nie</w:t>
            </w:r>
          </w:p>
        </w:tc>
        <w:tc>
          <w:tcPr>
            <w:tcW w:w="3969" w:type="dxa"/>
          </w:tcPr>
          <w:p w14:paraId="4C7F048E" w14:textId="77777777" w:rsidR="00533853" w:rsidRPr="00533853" w:rsidRDefault="00533853" w:rsidP="00415731">
            <w:pPr>
              <w:ind w:left="0"/>
              <w:jc w:val="both"/>
              <w:rPr>
                <w:sz w:val="20"/>
                <w:szCs w:val="20"/>
              </w:rPr>
            </w:pPr>
            <w:r w:rsidRPr="00533853">
              <w:rPr>
                <w:sz w:val="20"/>
                <w:szCs w:val="20"/>
              </w:rPr>
              <w:t>Zákon 24/2006 Z. z. o posudzovaní vplyvov na životné prostredie a o zmene a doplnení niektorých zákonov v znení neskorších predpisov</w:t>
            </w:r>
          </w:p>
          <w:p w14:paraId="3FDEA60F" w14:textId="638D263A" w:rsidR="00533853" w:rsidRPr="00533853" w:rsidRDefault="00533853" w:rsidP="00415731">
            <w:pPr>
              <w:spacing w:before="120"/>
              <w:ind w:left="0"/>
              <w:jc w:val="both"/>
              <w:rPr>
                <w:sz w:val="20"/>
                <w:szCs w:val="20"/>
              </w:rPr>
            </w:pPr>
            <w:r w:rsidRPr="00533853">
              <w:rPr>
                <w:sz w:val="20"/>
                <w:szCs w:val="20"/>
              </w:rPr>
              <w:t>Zákon je uverejnený na stránke</w:t>
            </w:r>
          </w:p>
          <w:p w14:paraId="5B956B8F" w14:textId="77777777" w:rsidR="00533853" w:rsidRPr="00533853" w:rsidRDefault="001061E2" w:rsidP="00415731">
            <w:pPr>
              <w:ind w:left="0"/>
              <w:jc w:val="both"/>
              <w:rPr>
                <w:sz w:val="20"/>
                <w:szCs w:val="20"/>
              </w:rPr>
            </w:pPr>
            <w:hyperlink r:id="rId81" w:history="1">
              <w:r w:rsidR="00533853" w:rsidRPr="00533853">
                <w:rPr>
                  <w:sz w:val="20"/>
                  <w:szCs w:val="20"/>
                </w:rPr>
                <w:t>www.jaspi.justice.gov.sk</w:t>
              </w:r>
            </w:hyperlink>
          </w:p>
          <w:p w14:paraId="0E4C2C30" w14:textId="390071B6" w:rsidR="00533853" w:rsidRPr="00533853" w:rsidRDefault="00533853" w:rsidP="00415731">
            <w:pPr>
              <w:spacing w:before="120"/>
              <w:ind w:left="0"/>
              <w:jc w:val="both"/>
              <w:rPr>
                <w:sz w:val="20"/>
                <w:szCs w:val="20"/>
              </w:rPr>
            </w:pPr>
            <w:r w:rsidRPr="00533853">
              <w:rPr>
                <w:sz w:val="20"/>
                <w:szCs w:val="20"/>
              </w:rPr>
              <w:t xml:space="preserve">Návrh novelizácie zákona: </w:t>
            </w:r>
            <w:hyperlink r:id="rId82" w:history="1">
              <w:r w:rsidRPr="00DD0BE9">
                <w:rPr>
                  <w:rStyle w:val="Hypertextovprepojenie"/>
                  <w:rFonts w:ascii="Cambria" w:hAnsi="Cambria"/>
                  <w:sz w:val="20"/>
                  <w:szCs w:val="20"/>
                </w:rPr>
                <w:t>http://www.rokovania.sk/Rokovanie.aspx/BodRokovaniaDetail?idMaterial=23688</w:t>
              </w:r>
            </w:hyperlink>
            <w:r w:rsidRPr="00DD0BE9">
              <w:rPr>
                <w:rFonts w:ascii="Cambria" w:hAnsi="Cambria"/>
                <w:sz w:val="20"/>
                <w:szCs w:val="20"/>
              </w:rPr>
              <w:t xml:space="preserve"> </w:t>
            </w:r>
          </w:p>
          <w:p w14:paraId="1B47DBBF" w14:textId="77777777" w:rsidR="00533853" w:rsidRDefault="00533853" w:rsidP="00415731">
            <w:pPr>
              <w:spacing w:before="120"/>
              <w:ind w:left="0"/>
              <w:jc w:val="both"/>
              <w:rPr>
                <w:color w:val="000000" w:themeColor="text1"/>
                <w:sz w:val="20"/>
                <w:szCs w:val="20"/>
              </w:rPr>
            </w:pPr>
            <w:r w:rsidRPr="00533853">
              <w:rPr>
                <w:sz w:val="20"/>
                <w:szCs w:val="20"/>
              </w:rPr>
              <w:t>Návrh novelizácie zákona je predmetom schvaľovacieho procesu v Národnej rade SR od 16. 7. 2014.</w:t>
            </w:r>
          </w:p>
        </w:tc>
        <w:tc>
          <w:tcPr>
            <w:tcW w:w="2564" w:type="dxa"/>
          </w:tcPr>
          <w:p w14:paraId="2EC5EB9B" w14:textId="05FA7A21" w:rsidR="00533853" w:rsidRPr="00533853" w:rsidRDefault="00510DD7" w:rsidP="00533853">
            <w:pPr>
              <w:ind w:left="0"/>
              <w:rPr>
                <w:sz w:val="20"/>
                <w:szCs w:val="20"/>
              </w:rPr>
            </w:pPr>
            <w:r>
              <w:rPr>
                <w:sz w:val="20"/>
                <w:szCs w:val="20"/>
              </w:rPr>
              <w:t>21. 3. 2013 infringement k transpozičnému deficitu k </w:t>
            </w:r>
            <w:r w:rsidR="00533853" w:rsidRPr="00533853">
              <w:rPr>
                <w:sz w:val="20"/>
                <w:szCs w:val="20"/>
              </w:rPr>
              <w:t>smernici 2011/92/EÚ.</w:t>
            </w:r>
          </w:p>
          <w:p w14:paraId="79EC5C24" w14:textId="50A04AA0" w:rsidR="00533853" w:rsidRPr="00533853" w:rsidRDefault="00533853" w:rsidP="00533853">
            <w:pPr>
              <w:spacing w:before="120"/>
              <w:ind w:left="0"/>
              <w:rPr>
                <w:sz w:val="20"/>
                <w:szCs w:val="20"/>
              </w:rPr>
            </w:pPr>
            <w:r w:rsidRPr="00533853">
              <w:rPr>
                <w:sz w:val="20"/>
                <w:szCs w:val="20"/>
              </w:rPr>
              <w:t>12. 7. 2013 odpoveď SR zaslaná na formálne oznámenie EK, SR deklaruje, že vykoná príslušné legislatívne úpravy a poskytne metodické usmernenia na odstrá</w:t>
            </w:r>
            <w:r w:rsidR="00510DD7">
              <w:rPr>
                <w:sz w:val="20"/>
                <w:szCs w:val="20"/>
              </w:rPr>
              <w:t>nenie transpozičného deficitu.</w:t>
            </w:r>
          </w:p>
          <w:p w14:paraId="7B97D22D" w14:textId="0E8FB9A2" w:rsidR="00533853" w:rsidRPr="00533853" w:rsidRDefault="008C1738" w:rsidP="00533853">
            <w:pPr>
              <w:spacing w:before="120"/>
              <w:ind w:left="0"/>
              <w:rPr>
                <w:sz w:val="20"/>
                <w:szCs w:val="20"/>
              </w:rPr>
            </w:pPr>
            <w:r>
              <w:rPr>
                <w:sz w:val="20"/>
                <w:szCs w:val="20"/>
              </w:rPr>
              <w:t xml:space="preserve">Návrh zákona 2. 7. 2014 </w:t>
            </w:r>
            <w:r w:rsidR="00533853" w:rsidRPr="00533853">
              <w:rPr>
                <w:sz w:val="20"/>
                <w:szCs w:val="20"/>
              </w:rPr>
              <w:lastRenderedPageBreak/>
              <w:t xml:space="preserve">schválený uznesením vlády SR č. 330/2014 </w:t>
            </w:r>
          </w:p>
          <w:p w14:paraId="0A67075B" w14:textId="77777777" w:rsidR="00533853" w:rsidRPr="00533853" w:rsidRDefault="001061E2" w:rsidP="00533853">
            <w:pPr>
              <w:ind w:left="0"/>
              <w:rPr>
                <w:sz w:val="20"/>
                <w:szCs w:val="20"/>
              </w:rPr>
            </w:pPr>
            <w:hyperlink r:id="rId83" w:history="1">
              <w:r w:rsidR="00533853" w:rsidRPr="00533853">
                <w:rPr>
                  <w:rStyle w:val="Hypertextovprepojenie"/>
                  <w:sz w:val="20"/>
                  <w:szCs w:val="20"/>
                </w:rPr>
                <w:t>http://www.rokovania.sk/Rokovanie.aspx/BodRokovaniaDetail?idMaterial=23688</w:t>
              </w:r>
            </w:hyperlink>
            <w:r w:rsidR="00533853" w:rsidRPr="00533853">
              <w:rPr>
                <w:sz w:val="20"/>
                <w:szCs w:val="20"/>
              </w:rPr>
              <w:t xml:space="preserve"> </w:t>
            </w:r>
          </w:p>
          <w:p w14:paraId="2D91DD0A" w14:textId="78E16065" w:rsidR="00533853" w:rsidRPr="00533853" w:rsidRDefault="008C1738" w:rsidP="00533853">
            <w:pPr>
              <w:spacing w:before="120"/>
              <w:ind w:left="0"/>
              <w:rPr>
                <w:sz w:val="20"/>
                <w:szCs w:val="20"/>
              </w:rPr>
            </w:pPr>
            <w:r>
              <w:rPr>
                <w:sz w:val="20"/>
                <w:szCs w:val="20"/>
              </w:rPr>
              <w:t xml:space="preserve">Dňa 16. 7. 2014 - </w:t>
            </w:r>
            <w:r w:rsidR="00533853" w:rsidRPr="00533853">
              <w:rPr>
                <w:sz w:val="20"/>
                <w:szCs w:val="20"/>
              </w:rPr>
              <w:t>odoslaný na rokovanie Národnej rady SR.</w:t>
            </w:r>
          </w:p>
          <w:p w14:paraId="4FD99E33" w14:textId="3265660B" w:rsidR="00533853" w:rsidRDefault="00533853" w:rsidP="00533853">
            <w:pPr>
              <w:spacing w:before="120"/>
              <w:ind w:left="0"/>
              <w:rPr>
                <w:color w:val="000000" w:themeColor="text1"/>
                <w:sz w:val="20"/>
                <w:szCs w:val="20"/>
              </w:rPr>
            </w:pPr>
            <w:r w:rsidRPr="00533853">
              <w:rPr>
                <w:sz w:val="20"/>
                <w:szCs w:val="20"/>
              </w:rPr>
              <w:t>V prípade smernice EIA sa 7. 5. 2014 uskutočnilo stretnutie CKO, MŽP SR a MDVRR SR. Pri formulovaní návrhu opatrení bolo prihliadané na skúsenosti MDVRR SR v oblasti opätovného posudzovania a schvaľovania projektov</w:t>
            </w:r>
            <w:r w:rsidR="00510DD7">
              <w:rPr>
                <w:sz w:val="20"/>
                <w:szCs w:val="20"/>
              </w:rPr>
              <w:t xml:space="preserve"> v prípade zmien v projektoch v </w:t>
            </w:r>
            <w:r w:rsidRPr="00533853">
              <w:rPr>
                <w:sz w:val="20"/>
                <w:szCs w:val="20"/>
              </w:rPr>
              <w:t>rámci uplatnenia inštitútu oznámenia o zmene navrhovanej činnosti podľa zákona č. 24/2006 Z. z., ako aj oznámenie o zmene stavby podľa stavebného zákona (zákon č. 50/1976).</w:t>
            </w:r>
          </w:p>
        </w:tc>
      </w:tr>
      <w:tr w:rsidR="00533853" w:rsidRPr="00A11060" w14:paraId="74331267" w14:textId="77777777" w:rsidTr="00E254DD">
        <w:tblPrEx>
          <w:jc w:val="left"/>
        </w:tblPrEx>
        <w:trPr>
          <w:gridBefore w:val="1"/>
          <w:wBefore w:w="24" w:type="dxa"/>
          <w:trHeight w:val="340"/>
        </w:trPr>
        <w:tc>
          <w:tcPr>
            <w:tcW w:w="1710" w:type="dxa"/>
            <w:vMerge/>
          </w:tcPr>
          <w:p w14:paraId="3C41DF1C" w14:textId="77777777" w:rsidR="00533853" w:rsidRDefault="00533853" w:rsidP="00F0116F">
            <w:pPr>
              <w:rPr>
                <w:sz w:val="20"/>
                <w:szCs w:val="20"/>
              </w:rPr>
            </w:pPr>
          </w:p>
        </w:tc>
        <w:tc>
          <w:tcPr>
            <w:tcW w:w="1277" w:type="dxa"/>
            <w:vMerge/>
          </w:tcPr>
          <w:p w14:paraId="46191468" w14:textId="77777777" w:rsidR="00533853" w:rsidRDefault="00533853" w:rsidP="00C221E4">
            <w:pPr>
              <w:jc w:val="center"/>
              <w:rPr>
                <w:sz w:val="20"/>
                <w:szCs w:val="20"/>
              </w:rPr>
            </w:pPr>
          </w:p>
        </w:tc>
        <w:tc>
          <w:tcPr>
            <w:tcW w:w="1448" w:type="dxa"/>
            <w:vMerge/>
          </w:tcPr>
          <w:p w14:paraId="4B30AE73" w14:textId="77777777" w:rsidR="00533853" w:rsidRDefault="00533853" w:rsidP="00C221E4">
            <w:pPr>
              <w:jc w:val="center"/>
              <w:rPr>
                <w:color w:val="000000" w:themeColor="text1"/>
                <w:sz w:val="20"/>
                <w:szCs w:val="20"/>
              </w:rPr>
            </w:pPr>
          </w:p>
        </w:tc>
        <w:tc>
          <w:tcPr>
            <w:tcW w:w="2257" w:type="dxa"/>
          </w:tcPr>
          <w:p w14:paraId="25A1555C" w14:textId="77777777" w:rsidR="00533853" w:rsidRDefault="00533853" w:rsidP="005112E6">
            <w:pPr>
              <w:ind w:left="10"/>
              <w:rPr>
                <w:color w:val="000000" w:themeColor="text1"/>
                <w:sz w:val="20"/>
                <w:szCs w:val="20"/>
              </w:rPr>
            </w:pPr>
            <w:r w:rsidRPr="00533853">
              <w:rPr>
                <w:color w:val="000000" w:themeColor="text1"/>
                <w:sz w:val="20"/>
                <w:szCs w:val="20"/>
              </w:rPr>
              <w:t>Opatrenia v oblasti odbornej prípravy a informovania zamestnancov zapojených do vykonávania smerníc EIA a SEA.</w:t>
            </w:r>
          </w:p>
        </w:tc>
        <w:tc>
          <w:tcPr>
            <w:tcW w:w="1257" w:type="dxa"/>
          </w:tcPr>
          <w:p w14:paraId="39546D42" w14:textId="77777777" w:rsidR="00533853" w:rsidRDefault="00415731" w:rsidP="00533853">
            <w:pPr>
              <w:ind w:left="0"/>
              <w:jc w:val="center"/>
              <w:rPr>
                <w:b/>
                <w:color w:val="000000" w:themeColor="text1"/>
                <w:sz w:val="20"/>
                <w:szCs w:val="20"/>
              </w:rPr>
            </w:pPr>
            <w:r>
              <w:rPr>
                <w:b/>
                <w:color w:val="000000" w:themeColor="text1"/>
                <w:sz w:val="20"/>
                <w:szCs w:val="20"/>
              </w:rPr>
              <w:t>Nie</w:t>
            </w:r>
          </w:p>
        </w:tc>
        <w:tc>
          <w:tcPr>
            <w:tcW w:w="3969" w:type="dxa"/>
          </w:tcPr>
          <w:p w14:paraId="76F057B6" w14:textId="77777777" w:rsidR="00533853" w:rsidRPr="00533853" w:rsidRDefault="00533853" w:rsidP="00415731">
            <w:pPr>
              <w:ind w:left="0"/>
              <w:jc w:val="both"/>
              <w:rPr>
                <w:sz w:val="20"/>
                <w:szCs w:val="20"/>
              </w:rPr>
            </w:pPr>
            <w:r w:rsidRPr="00533853">
              <w:rPr>
                <w:sz w:val="20"/>
                <w:szCs w:val="20"/>
              </w:rPr>
              <w:t>Stratégia školenia a informovania zamestnancov zapojených do vykonávania smerníc EIA a SEA, vrátane návrhu opatrení na jej realizáciu schválená rokovaním 7. porady vedenia MŽP SR, ktorá sa konala dňa 7. 3. 2013.</w:t>
            </w:r>
          </w:p>
          <w:p w14:paraId="7D61E00B" w14:textId="77777777" w:rsidR="00533853" w:rsidRPr="00383D8B" w:rsidRDefault="001061E2" w:rsidP="00415731">
            <w:pPr>
              <w:spacing w:before="120"/>
              <w:ind w:left="0"/>
              <w:jc w:val="both"/>
              <w:rPr>
                <w:sz w:val="16"/>
                <w:szCs w:val="16"/>
              </w:rPr>
            </w:pPr>
            <w:hyperlink r:id="rId84" w:history="1">
              <w:r w:rsidR="00533853" w:rsidRPr="00533853">
                <w:rPr>
                  <w:color w:val="0000FF"/>
                  <w:sz w:val="20"/>
                  <w:szCs w:val="20"/>
                  <w:u w:val="single"/>
                </w:rPr>
                <w:t>http://www.sazp.sk/public/index/go.php?id=81&amp;prm3=686</w:t>
              </w:r>
            </w:hyperlink>
          </w:p>
          <w:p w14:paraId="2EDCFAD0" w14:textId="77777777" w:rsidR="00533853" w:rsidRDefault="00533853" w:rsidP="00946A5F">
            <w:pPr>
              <w:rPr>
                <w:color w:val="000000" w:themeColor="text1"/>
                <w:sz w:val="20"/>
                <w:szCs w:val="20"/>
              </w:rPr>
            </w:pPr>
          </w:p>
        </w:tc>
        <w:tc>
          <w:tcPr>
            <w:tcW w:w="2564" w:type="dxa"/>
          </w:tcPr>
          <w:p w14:paraId="6E8EB7EE" w14:textId="07D8BBDA" w:rsidR="00533853" w:rsidRDefault="00533853" w:rsidP="005A4951">
            <w:pPr>
              <w:ind w:left="0"/>
              <w:rPr>
                <w:color w:val="000000" w:themeColor="text1"/>
                <w:sz w:val="20"/>
                <w:szCs w:val="20"/>
              </w:rPr>
            </w:pPr>
            <w:r w:rsidRPr="00533853">
              <w:rPr>
                <w:color w:val="000000" w:themeColor="text1"/>
                <w:sz w:val="20"/>
                <w:szCs w:val="20"/>
              </w:rPr>
              <w:t>Vzdelávanie bude zabezpečované najmä prostredníctvom prednášok, workshopov, seminárov a konferencií. S ohľadom na skutočnosť, že bola za</w:t>
            </w:r>
            <w:r w:rsidR="00510DD7">
              <w:rPr>
                <w:color w:val="000000" w:themeColor="text1"/>
                <w:sz w:val="20"/>
                <w:szCs w:val="20"/>
              </w:rPr>
              <w:t>čatá procedúra infringementu vo </w:t>
            </w:r>
            <w:r w:rsidRPr="00533853">
              <w:rPr>
                <w:color w:val="000000" w:themeColor="text1"/>
                <w:sz w:val="20"/>
                <w:szCs w:val="20"/>
              </w:rPr>
              <w:t xml:space="preserve">veci transpozičného deficitu vo vzťahu k </w:t>
            </w:r>
            <w:r w:rsidRPr="00533853">
              <w:rPr>
                <w:color w:val="000000" w:themeColor="text1"/>
                <w:sz w:val="20"/>
                <w:szCs w:val="20"/>
              </w:rPr>
              <w:lastRenderedPageBreak/>
              <w:t>smernici Európskeho parlamentu a Rady 2011/92/EÚ bude potrebné vykonať aktualizáciu stratégie školení, ktorá bude reflektovať na p</w:t>
            </w:r>
            <w:r w:rsidR="00510DD7">
              <w:rPr>
                <w:color w:val="000000" w:themeColor="text1"/>
                <w:sz w:val="20"/>
                <w:szCs w:val="20"/>
              </w:rPr>
              <w:t>otrebu metodického usmernenia v </w:t>
            </w:r>
            <w:r w:rsidRPr="00533853">
              <w:rPr>
                <w:color w:val="000000" w:themeColor="text1"/>
                <w:sz w:val="20"/>
                <w:szCs w:val="20"/>
              </w:rPr>
              <w:t>„prechodnom“ obdob</w:t>
            </w:r>
            <w:r w:rsidR="00510DD7">
              <w:rPr>
                <w:color w:val="000000" w:themeColor="text1"/>
                <w:sz w:val="20"/>
                <w:szCs w:val="20"/>
              </w:rPr>
              <w:t>í (do </w:t>
            </w:r>
            <w:r w:rsidRPr="00533853">
              <w:rPr>
                <w:color w:val="000000" w:themeColor="text1"/>
                <w:sz w:val="20"/>
                <w:szCs w:val="20"/>
              </w:rPr>
              <w:t>schválenia a nadobudnutia účinnosti príslušných legislatívnych úprav) a na príslušné legislatívne úpravy.</w:t>
            </w:r>
          </w:p>
        </w:tc>
      </w:tr>
      <w:tr w:rsidR="00533853" w:rsidRPr="00A11060" w14:paraId="7D63DB05" w14:textId="77777777" w:rsidTr="00E254DD">
        <w:tblPrEx>
          <w:jc w:val="left"/>
        </w:tblPrEx>
        <w:trPr>
          <w:gridBefore w:val="1"/>
          <w:wBefore w:w="24" w:type="dxa"/>
          <w:trHeight w:val="340"/>
        </w:trPr>
        <w:tc>
          <w:tcPr>
            <w:tcW w:w="1710" w:type="dxa"/>
            <w:vMerge/>
          </w:tcPr>
          <w:p w14:paraId="6655FDD0" w14:textId="77777777" w:rsidR="00533853" w:rsidRDefault="00533853" w:rsidP="00F0116F">
            <w:pPr>
              <w:rPr>
                <w:sz w:val="20"/>
                <w:szCs w:val="20"/>
              </w:rPr>
            </w:pPr>
          </w:p>
        </w:tc>
        <w:tc>
          <w:tcPr>
            <w:tcW w:w="1277" w:type="dxa"/>
            <w:vMerge/>
          </w:tcPr>
          <w:p w14:paraId="0BF71345" w14:textId="77777777" w:rsidR="00533853" w:rsidRDefault="00533853" w:rsidP="00C221E4">
            <w:pPr>
              <w:jc w:val="center"/>
              <w:rPr>
                <w:sz w:val="20"/>
                <w:szCs w:val="20"/>
              </w:rPr>
            </w:pPr>
          </w:p>
        </w:tc>
        <w:tc>
          <w:tcPr>
            <w:tcW w:w="1448" w:type="dxa"/>
            <w:vMerge/>
          </w:tcPr>
          <w:p w14:paraId="20AAF777" w14:textId="77777777" w:rsidR="00533853" w:rsidRDefault="00533853" w:rsidP="00C221E4">
            <w:pPr>
              <w:jc w:val="center"/>
              <w:rPr>
                <w:color w:val="000000" w:themeColor="text1"/>
                <w:sz w:val="20"/>
                <w:szCs w:val="20"/>
              </w:rPr>
            </w:pPr>
          </w:p>
        </w:tc>
        <w:tc>
          <w:tcPr>
            <w:tcW w:w="2257" w:type="dxa"/>
          </w:tcPr>
          <w:p w14:paraId="59E448F3" w14:textId="77777777" w:rsidR="00533853" w:rsidRDefault="00533853" w:rsidP="005112E6">
            <w:pPr>
              <w:ind w:left="10"/>
              <w:rPr>
                <w:color w:val="000000" w:themeColor="text1"/>
                <w:sz w:val="20"/>
                <w:szCs w:val="20"/>
              </w:rPr>
            </w:pPr>
            <w:r w:rsidRPr="00533853">
              <w:rPr>
                <w:color w:val="000000" w:themeColor="text1"/>
                <w:sz w:val="20"/>
                <w:szCs w:val="20"/>
              </w:rPr>
              <w:t>Opatrenia na zabezpečenie dostatočnej administratívnej kapacity.</w:t>
            </w:r>
          </w:p>
        </w:tc>
        <w:tc>
          <w:tcPr>
            <w:tcW w:w="1257" w:type="dxa"/>
          </w:tcPr>
          <w:p w14:paraId="25CF7F60" w14:textId="77777777" w:rsidR="00533853" w:rsidRDefault="00415731" w:rsidP="00533853">
            <w:pPr>
              <w:ind w:left="0"/>
              <w:jc w:val="center"/>
              <w:rPr>
                <w:b/>
                <w:color w:val="000000" w:themeColor="text1"/>
                <w:sz w:val="20"/>
                <w:szCs w:val="20"/>
              </w:rPr>
            </w:pPr>
            <w:r>
              <w:rPr>
                <w:b/>
                <w:color w:val="000000" w:themeColor="text1"/>
                <w:sz w:val="20"/>
                <w:szCs w:val="20"/>
              </w:rPr>
              <w:t>Áno</w:t>
            </w:r>
          </w:p>
        </w:tc>
        <w:tc>
          <w:tcPr>
            <w:tcW w:w="3969" w:type="dxa"/>
          </w:tcPr>
          <w:p w14:paraId="24564B56" w14:textId="77777777" w:rsidR="00533853" w:rsidRDefault="00C616B4" w:rsidP="00C616B4">
            <w:pPr>
              <w:ind w:left="0"/>
              <w:rPr>
                <w:color w:val="000000" w:themeColor="text1"/>
                <w:sz w:val="20"/>
                <w:szCs w:val="20"/>
              </w:rPr>
            </w:pPr>
            <w:r w:rsidRPr="00C616B4">
              <w:rPr>
                <w:color w:val="000000" w:themeColor="text1"/>
                <w:sz w:val="20"/>
                <w:szCs w:val="20"/>
              </w:rPr>
              <w:t>Analýza administratívnych kapacít v oblasti posudzovania vplyvov na životné prostredie (vykonávania smerníc EIA a SEA), vrátane návrhu opatrení na zabezpečenie ich dostatočného stavu schválená rokovaním 3. porady vedenia MŽP SR, ktorá sa konala dňa 24. 1. 2013.</w:t>
            </w:r>
          </w:p>
        </w:tc>
        <w:tc>
          <w:tcPr>
            <w:tcW w:w="2564" w:type="dxa"/>
          </w:tcPr>
          <w:p w14:paraId="1D94E455" w14:textId="2F9EC532" w:rsidR="00C616B4" w:rsidRPr="00C616B4" w:rsidRDefault="00510DD7" w:rsidP="005A4951">
            <w:pPr>
              <w:ind w:left="0"/>
              <w:rPr>
                <w:color w:val="000000" w:themeColor="text1"/>
                <w:sz w:val="20"/>
                <w:szCs w:val="20"/>
              </w:rPr>
            </w:pPr>
            <w:r>
              <w:rPr>
                <w:color w:val="000000" w:themeColor="text1"/>
                <w:sz w:val="20"/>
                <w:szCs w:val="20"/>
              </w:rPr>
              <w:t>Záver analýzy poukazuje na </w:t>
            </w:r>
            <w:r w:rsidR="00C616B4" w:rsidRPr="00C616B4">
              <w:rPr>
                <w:color w:val="000000" w:themeColor="text1"/>
                <w:sz w:val="20"/>
                <w:szCs w:val="20"/>
              </w:rPr>
              <w:t>skutočnosť, že súčasný stav administratívnych kapacít v oblasti posudzovania vplyvov na ži</w:t>
            </w:r>
            <w:r>
              <w:rPr>
                <w:color w:val="000000" w:themeColor="text1"/>
                <w:sz w:val="20"/>
                <w:szCs w:val="20"/>
              </w:rPr>
              <w:t>votné prostredie je dostatočný.</w:t>
            </w:r>
          </w:p>
          <w:p w14:paraId="74084C4B" w14:textId="77777777" w:rsidR="00533853" w:rsidRDefault="00C616B4" w:rsidP="005A4951">
            <w:pPr>
              <w:spacing w:before="120"/>
              <w:ind w:left="0"/>
              <w:rPr>
                <w:color w:val="000000" w:themeColor="text1"/>
                <w:sz w:val="20"/>
                <w:szCs w:val="20"/>
              </w:rPr>
            </w:pPr>
            <w:r w:rsidRPr="00C616B4">
              <w:rPr>
                <w:color w:val="000000" w:themeColor="text1"/>
                <w:sz w:val="20"/>
                <w:szCs w:val="20"/>
              </w:rPr>
              <w:t>Aktuálne nebola identifikovaná potreba revízie predmetnej analýzy, ani nevznikla potreba jej reambulácie na základe pripomienok vznesených k návrhu legislatívnych úprav vo vzťahu k zákonu č. 24/2006 Z.z.</w:t>
            </w:r>
          </w:p>
        </w:tc>
      </w:tr>
      <w:tr w:rsidR="00BC3DD7" w:rsidRPr="00A11060" w14:paraId="266E69AF" w14:textId="77777777" w:rsidTr="00E254DD">
        <w:tblPrEx>
          <w:jc w:val="left"/>
        </w:tblPrEx>
        <w:trPr>
          <w:gridBefore w:val="1"/>
          <w:wBefore w:w="24" w:type="dxa"/>
          <w:trHeight w:val="340"/>
        </w:trPr>
        <w:tc>
          <w:tcPr>
            <w:tcW w:w="1710" w:type="dxa"/>
            <w:vMerge w:val="restart"/>
          </w:tcPr>
          <w:p w14:paraId="7AD63FBB" w14:textId="77777777" w:rsidR="00BC3DD7" w:rsidRPr="00415731" w:rsidRDefault="00BC3DD7" w:rsidP="00F0116F">
            <w:pPr>
              <w:ind w:left="0"/>
              <w:rPr>
                <w:b/>
                <w:sz w:val="20"/>
                <w:szCs w:val="20"/>
              </w:rPr>
            </w:pPr>
            <w:r w:rsidRPr="00415731">
              <w:rPr>
                <w:b/>
                <w:sz w:val="20"/>
                <w:szCs w:val="20"/>
              </w:rPr>
              <w:t xml:space="preserve">Štatistické systémy a ukazovatele výsledkov: </w:t>
            </w:r>
          </w:p>
          <w:p w14:paraId="0857DEF3" w14:textId="77777777" w:rsidR="00BC3DD7" w:rsidRDefault="00BC3DD7" w:rsidP="00F71DCF">
            <w:pPr>
              <w:spacing w:before="120"/>
              <w:ind w:left="0"/>
              <w:rPr>
                <w:sz w:val="20"/>
                <w:szCs w:val="20"/>
              </w:rPr>
            </w:pPr>
            <w:r>
              <w:rPr>
                <w:sz w:val="20"/>
                <w:szCs w:val="20"/>
              </w:rPr>
              <w:t xml:space="preserve">Existencia štatistického </w:t>
            </w:r>
            <w:r>
              <w:rPr>
                <w:sz w:val="20"/>
                <w:szCs w:val="20"/>
              </w:rPr>
              <w:lastRenderedPageBreak/>
              <w:t>základu potrebného na uskutočnenie hodnotení pre posúdenie účinnosti a vplyvu programov.</w:t>
            </w:r>
          </w:p>
          <w:p w14:paraId="2E10C70D" w14:textId="77777777" w:rsidR="00BC3DD7" w:rsidRDefault="00BC3DD7" w:rsidP="00F0116F">
            <w:pPr>
              <w:spacing w:before="120"/>
              <w:ind w:left="0"/>
              <w:rPr>
                <w:sz w:val="20"/>
                <w:szCs w:val="20"/>
              </w:rPr>
            </w:pPr>
            <w:r>
              <w:rPr>
                <w:sz w:val="20"/>
                <w:szCs w:val="20"/>
              </w:rPr>
              <w:t>Existencia systému ukazovateľov výsledkov nevyhnutných pre výber opatrení, ktoré čo najúčinnejšie prispievajú k dosiahnutiu želaných výsledkov, pre monitorovane pokroku pri dosahovaní výsledkov a vykonanie posúdenia vplyvu.</w:t>
            </w:r>
          </w:p>
          <w:p w14:paraId="54B10F18" w14:textId="77777777" w:rsidR="00BC3DD7" w:rsidRDefault="00BC3DD7" w:rsidP="00C221E4">
            <w:pPr>
              <w:ind w:left="0"/>
              <w:rPr>
                <w:sz w:val="20"/>
                <w:szCs w:val="20"/>
              </w:rPr>
            </w:pPr>
          </w:p>
        </w:tc>
        <w:tc>
          <w:tcPr>
            <w:tcW w:w="1277" w:type="dxa"/>
            <w:vMerge w:val="restart"/>
          </w:tcPr>
          <w:p w14:paraId="279CEF9A" w14:textId="3D019FDD" w:rsidR="00BC3DD7" w:rsidRDefault="00BC3DD7">
            <w:pPr>
              <w:ind w:left="0"/>
              <w:jc w:val="center"/>
              <w:rPr>
                <w:sz w:val="20"/>
                <w:szCs w:val="20"/>
              </w:rPr>
            </w:pPr>
            <w:r>
              <w:rPr>
                <w:sz w:val="20"/>
                <w:szCs w:val="20"/>
              </w:rPr>
              <w:lastRenderedPageBreak/>
              <w:t>PO 1 – PO 8</w:t>
            </w:r>
          </w:p>
        </w:tc>
        <w:tc>
          <w:tcPr>
            <w:tcW w:w="1448" w:type="dxa"/>
            <w:vMerge w:val="restart"/>
          </w:tcPr>
          <w:p w14:paraId="4AA09F4B" w14:textId="77777777" w:rsidR="00BC3DD7" w:rsidRPr="00415731" w:rsidRDefault="00BC3DD7" w:rsidP="00C221E4">
            <w:pPr>
              <w:ind w:left="0"/>
              <w:jc w:val="center"/>
              <w:rPr>
                <w:b/>
                <w:color w:val="000000" w:themeColor="text1"/>
                <w:sz w:val="20"/>
                <w:szCs w:val="20"/>
              </w:rPr>
            </w:pPr>
            <w:r w:rsidRPr="00415731">
              <w:rPr>
                <w:b/>
                <w:color w:val="000000" w:themeColor="text1"/>
                <w:sz w:val="20"/>
                <w:szCs w:val="20"/>
              </w:rPr>
              <w:t>Čiastočne</w:t>
            </w:r>
          </w:p>
        </w:tc>
        <w:tc>
          <w:tcPr>
            <w:tcW w:w="2257" w:type="dxa"/>
          </w:tcPr>
          <w:p w14:paraId="0F0BCA81" w14:textId="77777777" w:rsidR="00BC3DD7" w:rsidRDefault="00BC3DD7" w:rsidP="00415731">
            <w:pPr>
              <w:ind w:left="0"/>
              <w:jc w:val="both"/>
              <w:rPr>
                <w:color w:val="000000" w:themeColor="text1"/>
                <w:sz w:val="20"/>
                <w:szCs w:val="20"/>
              </w:rPr>
            </w:pPr>
            <w:r>
              <w:rPr>
                <w:color w:val="000000" w:themeColor="text1"/>
                <w:sz w:val="20"/>
                <w:szCs w:val="20"/>
              </w:rPr>
              <w:t>Zavedené sú opatrenia na zabezpečenie včasného zhromaždenia a konsolidácie štatistických údajov s týmito prvkami:</w:t>
            </w:r>
          </w:p>
          <w:p w14:paraId="52646A90" w14:textId="77777777" w:rsidR="00BC3DD7" w:rsidRDefault="00BC3DD7" w:rsidP="00F0116F">
            <w:pPr>
              <w:spacing w:before="120"/>
              <w:ind w:left="0"/>
              <w:rPr>
                <w:color w:val="000000" w:themeColor="text1"/>
                <w:sz w:val="20"/>
                <w:szCs w:val="20"/>
              </w:rPr>
            </w:pPr>
            <w:r>
              <w:rPr>
                <w:color w:val="000000" w:themeColor="text1"/>
                <w:sz w:val="20"/>
                <w:szCs w:val="20"/>
              </w:rPr>
              <w:lastRenderedPageBreak/>
              <w:t>- identifikácia zdrojov a mechanizmov na zaručenie validácie štatistických údajov,</w:t>
            </w:r>
          </w:p>
          <w:p w14:paraId="7158FCE3" w14:textId="77777777" w:rsidR="00BC3DD7" w:rsidRDefault="00BC3DD7" w:rsidP="00C221E4">
            <w:pPr>
              <w:spacing w:before="120"/>
              <w:ind w:left="0"/>
              <w:rPr>
                <w:color w:val="000000" w:themeColor="text1"/>
                <w:sz w:val="20"/>
                <w:szCs w:val="20"/>
              </w:rPr>
            </w:pPr>
            <w:r>
              <w:rPr>
                <w:color w:val="000000" w:themeColor="text1"/>
                <w:sz w:val="20"/>
                <w:szCs w:val="20"/>
              </w:rPr>
              <w:t>- opatrenia na uverejnenie konsolidovaných údajov a ich sprístupnenie verejnosti.</w:t>
            </w:r>
          </w:p>
        </w:tc>
        <w:tc>
          <w:tcPr>
            <w:tcW w:w="1257" w:type="dxa"/>
          </w:tcPr>
          <w:p w14:paraId="7DEA83DA" w14:textId="77777777" w:rsidR="00BC3DD7" w:rsidRDefault="00415731" w:rsidP="00C221E4">
            <w:pPr>
              <w:ind w:left="0"/>
              <w:jc w:val="center"/>
              <w:rPr>
                <w:b/>
                <w:color w:val="000000" w:themeColor="text1"/>
                <w:sz w:val="20"/>
                <w:szCs w:val="20"/>
              </w:rPr>
            </w:pPr>
            <w:r>
              <w:rPr>
                <w:b/>
                <w:color w:val="000000" w:themeColor="text1"/>
                <w:sz w:val="20"/>
                <w:szCs w:val="20"/>
              </w:rPr>
              <w:lastRenderedPageBreak/>
              <w:t>Áno</w:t>
            </w:r>
          </w:p>
        </w:tc>
        <w:tc>
          <w:tcPr>
            <w:tcW w:w="3969" w:type="dxa"/>
          </w:tcPr>
          <w:p w14:paraId="28D137E9" w14:textId="77777777" w:rsidR="00BC3DD7" w:rsidRPr="00A11060" w:rsidRDefault="00BC3DD7" w:rsidP="00415731">
            <w:pPr>
              <w:ind w:left="0"/>
              <w:jc w:val="both"/>
              <w:rPr>
                <w:color w:val="000000" w:themeColor="text1"/>
                <w:sz w:val="20"/>
                <w:szCs w:val="20"/>
              </w:rPr>
            </w:pPr>
            <w:r>
              <w:rPr>
                <w:color w:val="000000" w:themeColor="text1"/>
                <w:sz w:val="20"/>
                <w:szCs w:val="20"/>
              </w:rPr>
              <w:t>MDVRR SR v zmysle návrhu Usmernenia CKO k tvorbe merateľných ukazovateľov na programovej a projektovej úrovni vypracovalo opis systémov monitorovania a hodnotenia na úrovni OPII.</w:t>
            </w:r>
          </w:p>
        </w:tc>
        <w:tc>
          <w:tcPr>
            <w:tcW w:w="2564" w:type="dxa"/>
          </w:tcPr>
          <w:p w14:paraId="7D5AA6E7" w14:textId="77777777" w:rsidR="00BC3DD7" w:rsidRDefault="00564E3C" w:rsidP="00415731">
            <w:pPr>
              <w:ind w:left="0"/>
              <w:jc w:val="both"/>
              <w:rPr>
                <w:color w:val="000000" w:themeColor="text1"/>
                <w:sz w:val="20"/>
                <w:szCs w:val="20"/>
              </w:rPr>
            </w:pPr>
            <w:r>
              <w:rPr>
                <w:color w:val="000000" w:themeColor="text1"/>
                <w:sz w:val="20"/>
                <w:szCs w:val="20"/>
              </w:rPr>
              <w:t xml:space="preserve">Opis </w:t>
            </w:r>
            <w:r w:rsidR="00BC3DD7">
              <w:rPr>
                <w:color w:val="000000" w:themeColor="text1"/>
                <w:sz w:val="20"/>
                <w:szCs w:val="20"/>
              </w:rPr>
              <w:t>monitorovania a hodnotenia na programovej úrovni obsahuje:</w:t>
            </w:r>
          </w:p>
          <w:p w14:paraId="19C1F424" w14:textId="77777777" w:rsidR="00BC3DD7" w:rsidRDefault="00BC3DD7" w:rsidP="005A4951">
            <w:pPr>
              <w:spacing w:before="120"/>
              <w:ind w:left="0"/>
              <w:rPr>
                <w:color w:val="000000" w:themeColor="text1"/>
                <w:sz w:val="20"/>
                <w:szCs w:val="20"/>
              </w:rPr>
            </w:pPr>
            <w:r>
              <w:rPr>
                <w:color w:val="000000" w:themeColor="text1"/>
                <w:sz w:val="20"/>
                <w:szCs w:val="20"/>
              </w:rPr>
              <w:t xml:space="preserve">1. Merateľné ukazovatele, definíciu, spôsob výpočtu, mernú jednotku, cieľovú </w:t>
            </w:r>
            <w:r>
              <w:rPr>
                <w:color w:val="000000" w:themeColor="text1"/>
                <w:sz w:val="20"/>
                <w:szCs w:val="20"/>
              </w:rPr>
              <w:lastRenderedPageBreak/>
              <w:t xml:space="preserve">hodnotu, zdroj a periodicitu monitorovania. Spoločným znakom pre ukazovatele je ich jednoznačné priradenie k prioritnej osi, tematickému cieľu, investičnej priorite a špecifickému cieľu. Významným faktorom </w:t>
            </w:r>
            <w:r w:rsidR="006D0F30">
              <w:rPr>
                <w:color w:val="000000" w:themeColor="text1"/>
                <w:sz w:val="20"/>
                <w:szCs w:val="20"/>
              </w:rPr>
              <w:t>pre</w:t>
            </w:r>
            <w:r>
              <w:rPr>
                <w:color w:val="000000" w:themeColor="text1"/>
                <w:sz w:val="20"/>
                <w:szCs w:val="20"/>
              </w:rPr>
              <w:t xml:space="preserve"> skladbu ukazovateľov bola skúsenosť počas programového obdobia 2007 – 2013.</w:t>
            </w:r>
          </w:p>
          <w:p w14:paraId="40BFC53F" w14:textId="77777777" w:rsidR="00BC3DD7" w:rsidRDefault="00BC3DD7" w:rsidP="005A4951">
            <w:pPr>
              <w:spacing w:before="120"/>
              <w:ind w:left="0"/>
              <w:rPr>
                <w:color w:val="000000" w:themeColor="text1"/>
                <w:sz w:val="20"/>
                <w:szCs w:val="20"/>
              </w:rPr>
            </w:pPr>
            <w:r>
              <w:rPr>
                <w:color w:val="000000" w:themeColor="text1"/>
                <w:sz w:val="20"/>
                <w:szCs w:val="20"/>
              </w:rPr>
              <w:t>2. Definovanie výkonnostného rámca: zdôvodnenie výberu ukazovateľov do výkonnostného rámca, stanovenie míľnikov a cieľových hodnôt pre roky 2018 a 2023, popis, výpočet stanovenia míľnikov a cieľových hodnôt a </w:t>
            </w:r>
            <w:r w:rsidR="00C85553">
              <w:rPr>
                <w:color w:val="000000" w:themeColor="text1"/>
                <w:sz w:val="20"/>
                <w:szCs w:val="20"/>
              </w:rPr>
              <w:t>%</w:t>
            </w:r>
            <w:r>
              <w:rPr>
                <w:color w:val="000000" w:themeColor="text1"/>
                <w:sz w:val="20"/>
                <w:szCs w:val="20"/>
              </w:rPr>
              <w:t xml:space="preserve"> reprezentujúcich intervencií na úrovni prioritných osí. </w:t>
            </w:r>
          </w:p>
          <w:p w14:paraId="17FED642" w14:textId="7F1D628F" w:rsidR="00BC3DD7" w:rsidRDefault="00BC3DD7" w:rsidP="005A4951">
            <w:pPr>
              <w:spacing w:before="120"/>
              <w:ind w:left="0"/>
              <w:rPr>
                <w:color w:val="000000" w:themeColor="text1"/>
                <w:sz w:val="20"/>
                <w:szCs w:val="20"/>
              </w:rPr>
            </w:pPr>
            <w:r>
              <w:rPr>
                <w:color w:val="000000" w:themeColor="text1"/>
                <w:sz w:val="20"/>
                <w:szCs w:val="20"/>
              </w:rPr>
              <w:t>3. Definovanie údajov potrebných pre účely hodnotenia: definovanie zamerania hodnotenia, identifikácia predpokladanej metódy hodnotenia (kvalitatívna/kvantitatívna), dát a údajov, zdroj dát, frekvencia ich zberu, spôsob ich archivácie a informáciu o ochrane citlivých úda</w:t>
            </w:r>
            <w:r w:rsidR="008C1738">
              <w:rPr>
                <w:color w:val="000000" w:themeColor="text1"/>
                <w:sz w:val="20"/>
                <w:szCs w:val="20"/>
              </w:rPr>
              <w:t xml:space="preserve">jov </w:t>
            </w:r>
            <w:r w:rsidR="008C1738">
              <w:rPr>
                <w:color w:val="000000" w:themeColor="text1"/>
                <w:sz w:val="20"/>
                <w:szCs w:val="20"/>
              </w:rPr>
              <w:lastRenderedPageBreak/>
              <w:t>a spôsob ich zabezpečenia.</w:t>
            </w:r>
          </w:p>
        </w:tc>
      </w:tr>
      <w:tr w:rsidR="00BC3DD7" w:rsidRPr="00A11060" w14:paraId="67130C6F" w14:textId="77777777" w:rsidTr="00E254DD">
        <w:tblPrEx>
          <w:jc w:val="left"/>
        </w:tblPrEx>
        <w:trPr>
          <w:gridBefore w:val="1"/>
          <w:wBefore w:w="24" w:type="dxa"/>
          <w:trHeight w:val="340"/>
        </w:trPr>
        <w:tc>
          <w:tcPr>
            <w:tcW w:w="1710" w:type="dxa"/>
            <w:vMerge/>
          </w:tcPr>
          <w:p w14:paraId="74D931E4" w14:textId="77777777" w:rsidR="00BC3DD7" w:rsidRDefault="00BC3DD7" w:rsidP="00C221E4">
            <w:pPr>
              <w:ind w:left="0"/>
              <w:rPr>
                <w:sz w:val="20"/>
                <w:szCs w:val="20"/>
              </w:rPr>
            </w:pPr>
          </w:p>
        </w:tc>
        <w:tc>
          <w:tcPr>
            <w:tcW w:w="1277" w:type="dxa"/>
            <w:vMerge/>
          </w:tcPr>
          <w:p w14:paraId="4B5BF76E" w14:textId="77777777" w:rsidR="00BC3DD7" w:rsidRDefault="00BC3DD7" w:rsidP="00C221E4">
            <w:pPr>
              <w:ind w:left="0"/>
              <w:jc w:val="center"/>
              <w:rPr>
                <w:sz w:val="20"/>
                <w:szCs w:val="20"/>
              </w:rPr>
            </w:pPr>
          </w:p>
        </w:tc>
        <w:tc>
          <w:tcPr>
            <w:tcW w:w="1448" w:type="dxa"/>
            <w:vMerge/>
          </w:tcPr>
          <w:p w14:paraId="22301DB1" w14:textId="77777777" w:rsidR="00BC3DD7" w:rsidRPr="00A11060" w:rsidRDefault="00BC3DD7" w:rsidP="00C221E4">
            <w:pPr>
              <w:ind w:left="0"/>
              <w:rPr>
                <w:color w:val="000000" w:themeColor="text1"/>
                <w:sz w:val="20"/>
                <w:szCs w:val="20"/>
              </w:rPr>
            </w:pPr>
          </w:p>
        </w:tc>
        <w:tc>
          <w:tcPr>
            <w:tcW w:w="2257" w:type="dxa"/>
          </w:tcPr>
          <w:p w14:paraId="2AEFC3E7" w14:textId="77777777" w:rsidR="00BC3DD7" w:rsidRDefault="00BC3DD7" w:rsidP="00415731">
            <w:pPr>
              <w:tabs>
                <w:tab w:val="left" w:pos="1111"/>
              </w:tabs>
              <w:ind w:left="0"/>
              <w:jc w:val="both"/>
              <w:rPr>
                <w:color w:val="000000" w:themeColor="text1"/>
                <w:sz w:val="20"/>
                <w:szCs w:val="20"/>
              </w:rPr>
            </w:pPr>
            <w:r>
              <w:rPr>
                <w:color w:val="000000" w:themeColor="text1"/>
                <w:sz w:val="20"/>
                <w:szCs w:val="20"/>
              </w:rPr>
              <w:t>Účinný systém ukazovateľov výsledkov vrátane:</w:t>
            </w:r>
          </w:p>
          <w:p w14:paraId="4B3B3C06" w14:textId="77777777" w:rsidR="00BC3DD7" w:rsidRDefault="00BC3DD7" w:rsidP="00415731">
            <w:pPr>
              <w:pStyle w:val="Odsekzoznamu"/>
              <w:spacing w:before="120"/>
              <w:ind w:left="0"/>
              <w:jc w:val="both"/>
              <w:rPr>
                <w:color w:val="000000" w:themeColor="text1"/>
                <w:sz w:val="20"/>
                <w:szCs w:val="20"/>
              </w:rPr>
            </w:pPr>
            <w:r>
              <w:rPr>
                <w:color w:val="000000" w:themeColor="text1"/>
                <w:sz w:val="20"/>
                <w:szCs w:val="20"/>
              </w:rPr>
              <w:t xml:space="preserve">- </w:t>
            </w:r>
            <w:r w:rsidRPr="00901E9B">
              <w:rPr>
                <w:color w:val="000000" w:themeColor="text1"/>
                <w:sz w:val="20"/>
                <w:szCs w:val="20"/>
              </w:rPr>
              <w:t>výbe</w:t>
            </w:r>
            <w:r>
              <w:rPr>
                <w:color w:val="000000" w:themeColor="text1"/>
                <w:sz w:val="20"/>
                <w:szCs w:val="20"/>
              </w:rPr>
              <w:t>ru ukazovateľov výsledkov pre každý program poskytujúcich informácie o tom, čo motivuje výber politických opatrení financovaných programom,</w:t>
            </w:r>
          </w:p>
          <w:p w14:paraId="3A7A9A7B" w14:textId="77777777" w:rsidR="00BC3DD7" w:rsidRDefault="00BC3DD7" w:rsidP="00415731">
            <w:pPr>
              <w:pStyle w:val="Odsekzoznamu"/>
              <w:spacing w:before="120"/>
              <w:ind w:left="0"/>
              <w:contextualSpacing w:val="0"/>
              <w:jc w:val="both"/>
              <w:rPr>
                <w:color w:val="000000" w:themeColor="text1"/>
                <w:sz w:val="20"/>
                <w:szCs w:val="20"/>
              </w:rPr>
            </w:pPr>
            <w:r>
              <w:rPr>
                <w:color w:val="000000" w:themeColor="text1"/>
                <w:sz w:val="20"/>
                <w:szCs w:val="20"/>
              </w:rPr>
              <w:t>- stanovenia cieľov týchto ukazovateľov,</w:t>
            </w:r>
          </w:p>
          <w:p w14:paraId="0C853488" w14:textId="51A04C86" w:rsidR="00BC3DD7" w:rsidRPr="00901E9B" w:rsidRDefault="00BC3DD7" w:rsidP="00415731">
            <w:pPr>
              <w:pStyle w:val="Odsekzoznamu"/>
              <w:spacing w:before="120"/>
              <w:ind w:left="0"/>
              <w:contextualSpacing w:val="0"/>
              <w:jc w:val="both"/>
            </w:pPr>
            <w:r>
              <w:rPr>
                <w:color w:val="000000" w:themeColor="text1"/>
                <w:sz w:val="20"/>
                <w:szCs w:val="20"/>
              </w:rPr>
              <w:t>- súladu každého ukazov</w:t>
            </w:r>
            <w:r w:rsidR="008C1738">
              <w:rPr>
                <w:color w:val="000000" w:themeColor="text1"/>
                <w:sz w:val="20"/>
                <w:szCs w:val="20"/>
              </w:rPr>
              <w:t xml:space="preserve">ateľa s týmito náležitosťami: </w:t>
            </w:r>
            <w:r>
              <w:rPr>
                <w:color w:val="000000" w:themeColor="text1"/>
                <w:sz w:val="20"/>
                <w:szCs w:val="20"/>
              </w:rPr>
              <w:t>odolnosť a štatistická validácia, jasný normatívny výklad, citlivosť voči politike a včasné zhromažďovanie údajov.</w:t>
            </w:r>
            <w:r w:rsidRPr="00901E9B">
              <w:rPr>
                <w:color w:val="000000" w:themeColor="text1"/>
                <w:sz w:val="20"/>
                <w:szCs w:val="20"/>
              </w:rPr>
              <w:t xml:space="preserve"> </w:t>
            </w:r>
          </w:p>
        </w:tc>
        <w:tc>
          <w:tcPr>
            <w:tcW w:w="1257" w:type="dxa"/>
          </w:tcPr>
          <w:p w14:paraId="6D3D02B2" w14:textId="77777777" w:rsidR="00BC3DD7" w:rsidRDefault="00415731" w:rsidP="00901E9B">
            <w:pPr>
              <w:tabs>
                <w:tab w:val="left" w:pos="1111"/>
              </w:tabs>
              <w:ind w:left="0"/>
              <w:jc w:val="center"/>
              <w:rPr>
                <w:b/>
                <w:color w:val="000000" w:themeColor="text1"/>
                <w:sz w:val="20"/>
                <w:szCs w:val="20"/>
              </w:rPr>
            </w:pPr>
            <w:r>
              <w:rPr>
                <w:b/>
                <w:color w:val="000000" w:themeColor="text1"/>
                <w:sz w:val="20"/>
                <w:szCs w:val="20"/>
              </w:rPr>
              <w:t>Áno</w:t>
            </w:r>
          </w:p>
        </w:tc>
        <w:tc>
          <w:tcPr>
            <w:tcW w:w="3969" w:type="dxa"/>
          </w:tcPr>
          <w:p w14:paraId="589D56D5" w14:textId="77777777" w:rsidR="00BC3DD7" w:rsidRPr="00A11060" w:rsidRDefault="00BC3DD7" w:rsidP="00415731">
            <w:pPr>
              <w:ind w:left="0"/>
              <w:jc w:val="both"/>
              <w:rPr>
                <w:color w:val="000000" w:themeColor="text1"/>
                <w:sz w:val="20"/>
                <w:szCs w:val="20"/>
              </w:rPr>
            </w:pPr>
            <w:r>
              <w:rPr>
                <w:color w:val="000000" w:themeColor="text1"/>
                <w:sz w:val="20"/>
                <w:szCs w:val="20"/>
              </w:rPr>
              <w:t>Súčasťou opisu systémov monitorovania a hodnotenia pre OPII, ktoré MDVRR SR vypracovalo v zmysle návrhu Usmernenia CKO k tvorbe merateľných ukazovateľov na programovej a projektovej úrovni sú ukazovatele výsledku .</w:t>
            </w:r>
          </w:p>
        </w:tc>
        <w:tc>
          <w:tcPr>
            <w:tcW w:w="2564" w:type="dxa"/>
          </w:tcPr>
          <w:p w14:paraId="27190013" w14:textId="77777777" w:rsidR="00BC3DD7" w:rsidRDefault="00BC3DD7" w:rsidP="005A4951">
            <w:pPr>
              <w:tabs>
                <w:tab w:val="left" w:pos="1111"/>
              </w:tabs>
              <w:ind w:left="0"/>
              <w:rPr>
                <w:color w:val="000000" w:themeColor="text1"/>
                <w:sz w:val="20"/>
                <w:szCs w:val="20"/>
              </w:rPr>
            </w:pPr>
            <w:r>
              <w:rPr>
                <w:color w:val="000000" w:themeColor="text1"/>
                <w:sz w:val="20"/>
                <w:szCs w:val="20"/>
              </w:rPr>
              <w:t xml:space="preserve">MDVRR SR definovalo v rámci návrhu OPII merateľné ukazovatele výsledku. </w:t>
            </w:r>
          </w:p>
          <w:p w14:paraId="05249274" w14:textId="77777777" w:rsidR="00BC3DD7" w:rsidRDefault="00BC3DD7" w:rsidP="005A4951">
            <w:pPr>
              <w:tabs>
                <w:tab w:val="left" w:pos="1111"/>
              </w:tabs>
              <w:spacing w:before="120"/>
              <w:ind w:left="0"/>
              <w:rPr>
                <w:color w:val="000000" w:themeColor="text1"/>
                <w:sz w:val="20"/>
                <w:szCs w:val="20"/>
              </w:rPr>
            </w:pPr>
            <w:r w:rsidRPr="00D070F5">
              <w:rPr>
                <w:color w:val="000000" w:themeColor="text1"/>
                <w:sz w:val="20"/>
                <w:szCs w:val="20"/>
              </w:rPr>
              <w:t>Merateľné ukazovatele výsledku majú jasný vzťah ku konkrétnemu špecifickému cieľu</w:t>
            </w:r>
            <w:r>
              <w:rPr>
                <w:color w:val="000000" w:themeColor="text1"/>
                <w:sz w:val="20"/>
                <w:szCs w:val="20"/>
              </w:rPr>
              <w:t xml:space="preserve"> OPII</w:t>
            </w:r>
            <w:r w:rsidRPr="00D070F5">
              <w:rPr>
                <w:color w:val="000000" w:themeColor="text1"/>
                <w:sz w:val="20"/>
                <w:szCs w:val="20"/>
              </w:rPr>
              <w:t>, definíciu, spôsob výpočtu, mernú jednotku, východiskovú hodnotu, spôsob určenia východiskovej hodnoty, rok pre východiskovú hodnotu, cieľovú hodnotu (rok 2023), zdroj a periodicitu monitorovania.</w:t>
            </w:r>
          </w:p>
        </w:tc>
      </w:tr>
      <w:tr w:rsidR="00BC3DD7" w:rsidRPr="00A11060" w14:paraId="4858F27D" w14:textId="77777777" w:rsidTr="00E254DD">
        <w:tblPrEx>
          <w:jc w:val="left"/>
        </w:tblPrEx>
        <w:trPr>
          <w:gridBefore w:val="1"/>
          <w:wBefore w:w="24" w:type="dxa"/>
          <w:trHeight w:val="340"/>
        </w:trPr>
        <w:tc>
          <w:tcPr>
            <w:tcW w:w="1710" w:type="dxa"/>
            <w:vMerge/>
          </w:tcPr>
          <w:p w14:paraId="60D0E32D" w14:textId="77777777" w:rsidR="00BC3DD7" w:rsidRDefault="00BC3DD7" w:rsidP="00C221E4">
            <w:pPr>
              <w:ind w:left="0"/>
              <w:rPr>
                <w:sz w:val="20"/>
                <w:szCs w:val="20"/>
              </w:rPr>
            </w:pPr>
          </w:p>
        </w:tc>
        <w:tc>
          <w:tcPr>
            <w:tcW w:w="1277" w:type="dxa"/>
            <w:vMerge/>
          </w:tcPr>
          <w:p w14:paraId="48A821EB" w14:textId="77777777" w:rsidR="00BC3DD7" w:rsidRDefault="00BC3DD7" w:rsidP="00C221E4">
            <w:pPr>
              <w:ind w:left="0"/>
              <w:jc w:val="center"/>
              <w:rPr>
                <w:sz w:val="20"/>
                <w:szCs w:val="20"/>
              </w:rPr>
            </w:pPr>
          </w:p>
        </w:tc>
        <w:tc>
          <w:tcPr>
            <w:tcW w:w="1448" w:type="dxa"/>
            <w:vMerge/>
          </w:tcPr>
          <w:p w14:paraId="752A15C6" w14:textId="77777777" w:rsidR="00BC3DD7" w:rsidRPr="00A11060" w:rsidRDefault="00BC3DD7" w:rsidP="00C221E4">
            <w:pPr>
              <w:ind w:left="0"/>
              <w:rPr>
                <w:color w:val="000000" w:themeColor="text1"/>
                <w:sz w:val="20"/>
                <w:szCs w:val="20"/>
              </w:rPr>
            </w:pPr>
          </w:p>
        </w:tc>
        <w:tc>
          <w:tcPr>
            <w:tcW w:w="2257" w:type="dxa"/>
          </w:tcPr>
          <w:p w14:paraId="6A92523A" w14:textId="77777777" w:rsidR="00BC3DD7" w:rsidRDefault="00BC3DD7" w:rsidP="00901E9B">
            <w:pPr>
              <w:tabs>
                <w:tab w:val="left" w:pos="1111"/>
              </w:tabs>
              <w:ind w:left="0"/>
              <w:rPr>
                <w:color w:val="000000" w:themeColor="text1"/>
                <w:sz w:val="20"/>
                <w:szCs w:val="20"/>
              </w:rPr>
            </w:pPr>
            <w:r>
              <w:rPr>
                <w:color w:val="000000" w:themeColor="text1"/>
                <w:sz w:val="20"/>
                <w:szCs w:val="20"/>
              </w:rPr>
              <w:t>Postupy zavedené na zaručenie toho, aby všetky operácie financované z programu prijali účinný systém ukazovateľov</w:t>
            </w:r>
          </w:p>
        </w:tc>
        <w:tc>
          <w:tcPr>
            <w:tcW w:w="1257" w:type="dxa"/>
          </w:tcPr>
          <w:p w14:paraId="0A695A4F" w14:textId="77777777" w:rsidR="00BC3DD7" w:rsidRDefault="00415731" w:rsidP="00901E9B">
            <w:pPr>
              <w:tabs>
                <w:tab w:val="left" w:pos="1111"/>
              </w:tabs>
              <w:ind w:left="0"/>
              <w:jc w:val="center"/>
              <w:rPr>
                <w:b/>
                <w:color w:val="000000" w:themeColor="text1"/>
                <w:sz w:val="20"/>
                <w:szCs w:val="20"/>
              </w:rPr>
            </w:pPr>
            <w:r>
              <w:rPr>
                <w:b/>
                <w:color w:val="000000" w:themeColor="text1"/>
                <w:sz w:val="20"/>
                <w:szCs w:val="20"/>
              </w:rPr>
              <w:t>Nie</w:t>
            </w:r>
          </w:p>
        </w:tc>
        <w:tc>
          <w:tcPr>
            <w:tcW w:w="3969" w:type="dxa"/>
          </w:tcPr>
          <w:p w14:paraId="06BA3702" w14:textId="77777777" w:rsidR="00BC3DD7" w:rsidRPr="00A11060" w:rsidRDefault="00BC3DD7" w:rsidP="00901E9B">
            <w:pPr>
              <w:tabs>
                <w:tab w:val="left" w:pos="1111"/>
              </w:tabs>
              <w:ind w:left="0"/>
              <w:jc w:val="center"/>
              <w:rPr>
                <w:color w:val="000000" w:themeColor="text1"/>
                <w:sz w:val="20"/>
                <w:szCs w:val="20"/>
              </w:rPr>
            </w:pPr>
          </w:p>
        </w:tc>
        <w:tc>
          <w:tcPr>
            <w:tcW w:w="2564" w:type="dxa"/>
          </w:tcPr>
          <w:p w14:paraId="30DD04F2" w14:textId="77777777" w:rsidR="00BC3DD7" w:rsidRDefault="00BC3DD7" w:rsidP="005A4951">
            <w:pPr>
              <w:tabs>
                <w:tab w:val="left" w:pos="1111"/>
              </w:tabs>
              <w:ind w:left="0"/>
              <w:rPr>
                <w:color w:val="000000" w:themeColor="text1"/>
                <w:sz w:val="20"/>
                <w:szCs w:val="20"/>
              </w:rPr>
            </w:pPr>
            <w:r>
              <w:rPr>
                <w:color w:val="000000" w:themeColor="text1"/>
                <w:sz w:val="20"/>
                <w:szCs w:val="20"/>
              </w:rPr>
              <w:t xml:space="preserve">Po </w:t>
            </w:r>
            <w:r w:rsidRPr="006447A3">
              <w:rPr>
                <w:color w:val="000000" w:themeColor="text1"/>
                <w:sz w:val="20"/>
                <w:szCs w:val="20"/>
              </w:rPr>
              <w:t xml:space="preserve">schválení ukazovateľov </w:t>
            </w:r>
            <w:r>
              <w:rPr>
                <w:color w:val="000000" w:themeColor="text1"/>
                <w:sz w:val="20"/>
                <w:szCs w:val="20"/>
              </w:rPr>
              <w:br/>
            </w:r>
            <w:r w:rsidRPr="006447A3">
              <w:rPr>
                <w:color w:val="000000" w:themeColor="text1"/>
                <w:sz w:val="20"/>
                <w:szCs w:val="20"/>
              </w:rPr>
              <w:t>v</w:t>
            </w:r>
            <w:r>
              <w:rPr>
                <w:color w:val="000000" w:themeColor="text1"/>
                <w:sz w:val="20"/>
                <w:szCs w:val="20"/>
              </w:rPr>
              <w:t xml:space="preserve"> OPII</w:t>
            </w:r>
            <w:r w:rsidRPr="006447A3">
              <w:rPr>
                <w:color w:val="000000" w:themeColor="text1"/>
                <w:sz w:val="20"/>
                <w:szCs w:val="20"/>
              </w:rPr>
              <w:t xml:space="preserve"> sa RO </w:t>
            </w:r>
            <w:r>
              <w:rPr>
                <w:color w:val="000000" w:themeColor="text1"/>
                <w:sz w:val="20"/>
                <w:szCs w:val="20"/>
              </w:rPr>
              <w:t>pre OPII sústred</w:t>
            </w:r>
            <w:r w:rsidRPr="006447A3">
              <w:rPr>
                <w:color w:val="000000" w:themeColor="text1"/>
                <w:sz w:val="20"/>
                <w:szCs w:val="20"/>
              </w:rPr>
              <w:t>í na tvorbu číselníka merateľných ukazovateľov na projektovej úrovni</w:t>
            </w:r>
            <w:r>
              <w:rPr>
                <w:color w:val="000000" w:themeColor="text1"/>
                <w:sz w:val="20"/>
                <w:szCs w:val="20"/>
              </w:rPr>
              <w:t>.</w:t>
            </w:r>
          </w:p>
          <w:p w14:paraId="2A137AC0" w14:textId="77777777" w:rsidR="00BC3DD7" w:rsidRDefault="00BC3DD7" w:rsidP="005A4951">
            <w:pPr>
              <w:tabs>
                <w:tab w:val="left" w:pos="1111"/>
              </w:tabs>
              <w:spacing w:before="120"/>
              <w:ind w:left="0"/>
              <w:rPr>
                <w:color w:val="000000" w:themeColor="text1"/>
                <w:sz w:val="20"/>
                <w:szCs w:val="20"/>
              </w:rPr>
            </w:pPr>
            <w:r w:rsidRPr="006447A3">
              <w:rPr>
                <w:color w:val="000000" w:themeColor="text1"/>
                <w:sz w:val="20"/>
                <w:szCs w:val="20"/>
              </w:rPr>
              <w:t xml:space="preserve">Merateľné ukazovatele na projektovej úrovni budú nadefinované v súlade s Usmernením CKO k tvorbe merateľných ukazovateľov na programovej a projektovej úrovni. </w:t>
            </w:r>
            <w:r w:rsidRPr="006447A3">
              <w:rPr>
                <w:color w:val="000000" w:themeColor="text1"/>
                <w:sz w:val="20"/>
                <w:szCs w:val="20"/>
              </w:rPr>
              <w:lastRenderedPageBreak/>
              <w:t xml:space="preserve">Základnými všeobecnými východiskami pri tvorbe merateľných ukazovateľov projektov je </w:t>
            </w:r>
            <w:r>
              <w:rPr>
                <w:color w:val="000000" w:themeColor="text1"/>
                <w:sz w:val="20"/>
                <w:szCs w:val="20"/>
              </w:rPr>
              <w:t xml:space="preserve">napr. potreba </w:t>
            </w:r>
            <w:r w:rsidRPr="006447A3">
              <w:rPr>
                <w:color w:val="000000" w:themeColor="text1"/>
                <w:sz w:val="20"/>
                <w:szCs w:val="20"/>
              </w:rPr>
              <w:t>zachovania i</w:t>
            </w:r>
            <w:r>
              <w:rPr>
                <w:color w:val="000000" w:themeColor="text1"/>
                <w:sz w:val="20"/>
                <w:szCs w:val="20"/>
              </w:rPr>
              <w:t>ntervenčnej logiky, zabezpečenie</w:t>
            </w:r>
            <w:r w:rsidRPr="006447A3">
              <w:rPr>
                <w:color w:val="000000" w:themeColor="text1"/>
                <w:sz w:val="20"/>
                <w:szCs w:val="20"/>
              </w:rPr>
              <w:t xml:space="preserve"> ich agregácie na programovú úroveň, ich previazanosti s akti</w:t>
            </w:r>
            <w:r>
              <w:rPr>
                <w:color w:val="000000" w:themeColor="text1"/>
                <w:sz w:val="20"/>
                <w:szCs w:val="20"/>
              </w:rPr>
              <w:t xml:space="preserve">vitami operačného programu </w:t>
            </w:r>
            <w:r w:rsidRPr="006447A3">
              <w:rPr>
                <w:color w:val="000000" w:themeColor="text1"/>
                <w:sz w:val="20"/>
                <w:szCs w:val="20"/>
              </w:rPr>
              <w:t>, zabezpečenia validity ich overovania</w:t>
            </w:r>
            <w:r>
              <w:rPr>
                <w:color w:val="000000" w:themeColor="text1"/>
                <w:sz w:val="20"/>
                <w:szCs w:val="20"/>
              </w:rPr>
              <w:t>.</w:t>
            </w:r>
          </w:p>
        </w:tc>
      </w:tr>
      <w:tr w:rsidR="008251D9" w:rsidRPr="00A11060" w14:paraId="2CC2686B" w14:textId="77777777" w:rsidTr="00E254DD">
        <w:tblPrEx>
          <w:jc w:val="left"/>
        </w:tblPrEx>
        <w:trPr>
          <w:gridBefore w:val="1"/>
          <w:wBefore w:w="24" w:type="dxa"/>
          <w:trHeight w:val="340"/>
        </w:trPr>
        <w:tc>
          <w:tcPr>
            <w:tcW w:w="1710" w:type="dxa"/>
          </w:tcPr>
          <w:p w14:paraId="4B5C069B" w14:textId="77777777" w:rsidR="008251D9" w:rsidRDefault="008251D9" w:rsidP="008251D9">
            <w:pPr>
              <w:ind w:left="0"/>
              <w:rPr>
                <w:b/>
                <w:sz w:val="20"/>
                <w:szCs w:val="20"/>
              </w:rPr>
            </w:pPr>
            <w:r w:rsidRPr="00415731">
              <w:rPr>
                <w:b/>
                <w:sz w:val="20"/>
                <w:szCs w:val="20"/>
              </w:rPr>
              <w:lastRenderedPageBreak/>
              <w:t>Štatistické systémy a ukazovatele výsledkov:</w:t>
            </w:r>
          </w:p>
          <w:p w14:paraId="24764140" w14:textId="77777777" w:rsidR="008251D9" w:rsidRPr="00415731" w:rsidRDefault="008251D9" w:rsidP="008251D9">
            <w:pPr>
              <w:ind w:left="0"/>
              <w:rPr>
                <w:b/>
                <w:sz w:val="20"/>
                <w:szCs w:val="20"/>
              </w:rPr>
            </w:pPr>
            <w:r>
              <w:rPr>
                <w:b/>
                <w:sz w:val="20"/>
                <w:szCs w:val="20"/>
              </w:rPr>
              <w:t>(časť výskum a inovácie)</w:t>
            </w:r>
            <w:r w:rsidRPr="00415731">
              <w:rPr>
                <w:b/>
                <w:sz w:val="20"/>
                <w:szCs w:val="20"/>
              </w:rPr>
              <w:t xml:space="preserve"> </w:t>
            </w:r>
          </w:p>
          <w:p w14:paraId="67B1FF07" w14:textId="77777777" w:rsidR="008251D9" w:rsidRDefault="008251D9" w:rsidP="008251D9">
            <w:pPr>
              <w:spacing w:before="120"/>
              <w:ind w:left="0"/>
              <w:rPr>
                <w:sz w:val="20"/>
                <w:szCs w:val="20"/>
              </w:rPr>
            </w:pPr>
            <w:r>
              <w:rPr>
                <w:sz w:val="20"/>
                <w:szCs w:val="20"/>
              </w:rPr>
              <w:t>Existencia štatistického základu potrebného na uskutočnenie hodnotení pre posúdenie účinnosti a vplyvu programov.</w:t>
            </w:r>
          </w:p>
          <w:p w14:paraId="277AB271" w14:textId="32919406" w:rsidR="008251D9" w:rsidRDefault="008251D9" w:rsidP="00351D17">
            <w:pPr>
              <w:ind w:left="0"/>
              <w:rPr>
                <w:sz w:val="20"/>
                <w:szCs w:val="20"/>
              </w:rPr>
            </w:pPr>
            <w:r>
              <w:rPr>
                <w:sz w:val="20"/>
                <w:szCs w:val="20"/>
              </w:rPr>
              <w:t xml:space="preserve">Existencia systému ukazovateľov výsledkov nevyhnutných pre výber opatrení, ktoré čo najúčinnejšie prispievajú k dosiahnutiu </w:t>
            </w:r>
            <w:r>
              <w:rPr>
                <w:sz w:val="20"/>
                <w:szCs w:val="20"/>
              </w:rPr>
              <w:lastRenderedPageBreak/>
              <w:t>želaných výsledkov, pre monitorovane pokroku pri dosahovaní výsledkov a vykonanie posúdenia vplyvu.</w:t>
            </w:r>
          </w:p>
        </w:tc>
        <w:tc>
          <w:tcPr>
            <w:tcW w:w="1277" w:type="dxa"/>
          </w:tcPr>
          <w:p w14:paraId="291C6734" w14:textId="15E873E9" w:rsidR="008251D9" w:rsidRDefault="008251D9" w:rsidP="00351D17">
            <w:pPr>
              <w:ind w:left="0"/>
              <w:jc w:val="center"/>
              <w:rPr>
                <w:sz w:val="20"/>
                <w:szCs w:val="20"/>
              </w:rPr>
            </w:pPr>
            <w:r>
              <w:rPr>
                <w:sz w:val="20"/>
                <w:szCs w:val="20"/>
              </w:rPr>
              <w:lastRenderedPageBreak/>
              <w:t>PO 9 – PO 13</w:t>
            </w:r>
          </w:p>
        </w:tc>
        <w:tc>
          <w:tcPr>
            <w:tcW w:w="1448" w:type="dxa"/>
          </w:tcPr>
          <w:p w14:paraId="41AFFAAD" w14:textId="11B3814C" w:rsidR="008251D9" w:rsidRPr="00A11060" w:rsidRDefault="008251D9" w:rsidP="00351D17">
            <w:pPr>
              <w:ind w:left="0"/>
              <w:rPr>
                <w:color w:val="000000" w:themeColor="text1"/>
                <w:sz w:val="20"/>
                <w:szCs w:val="20"/>
              </w:rPr>
            </w:pPr>
            <w:r>
              <w:rPr>
                <w:color w:val="000000" w:themeColor="text1"/>
                <w:sz w:val="20"/>
                <w:szCs w:val="20"/>
              </w:rPr>
              <w:t>Nie</w:t>
            </w:r>
          </w:p>
        </w:tc>
        <w:tc>
          <w:tcPr>
            <w:tcW w:w="2257" w:type="dxa"/>
          </w:tcPr>
          <w:p w14:paraId="2E73F74F" w14:textId="77777777" w:rsidR="008251D9" w:rsidRDefault="008251D9" w:rsidP="008251D9">
            <w:pPr>
              <w:ind w:left="0"/>
              <w:jc w:val="both"/>
              <w:rPr>
                <w:color w:val="000000" w:themeColor="text1"/>
                <w:sz w:val="20"/>
                <w:szCs w:val="20"/>
              </w:rPr>
            </w:pPr>
            <w:r>
              <w:rPr>
                <w:color w:val="000000" w:themeColor="text1"/>
                <w:sz w:val="20"/>
                <w:szCs w:val="20"/>
              </w:rPr>
              <w:t>Zavedené sú opatrenia na zabezpečenie včasného zhromaždenia a konsolidácie štatistických údajov s týmito prvkami:</w:t>
            </w:r>
          </w:p>
          <w:p w14:paraId="31E35C1B" w14:textId="77777777" w:rsidR="008251D9" w:rsidRDefault="008251D9" w:rsidP="008251D9">
            <w:pPr>
              <w:spacing w:before="60"/>
              <w:ind w:left="0"/>
              <w:rPr>
                <w:color w:val="000000" w:themeColor="text1"/>
                <w:sz w:val="20"/>
                <w:szCs w:val="20"/>
              </w:rPr>
            </w:pPr>
            <w:r>
              <w:rPr>
                <w:color w:val="000000" w:themeColor="text1"/>
                <w:sz w:val="20"/>
                <w:szCs w:val="20"/>
              </w:rPr>
              <w:t>- identifikácia zdrojov a mechanizmov na zaručenie validácie štatistických údajov,</w:t>
            </w:r>
          </w:p>
          <w:p w14:paraId="7A513971" w14:textId="77777777" w:rsidR="008251D9" w:rsidRDefault="008251D9" w:rsidP="008251D9">
            <w:pPr>
              <w:tabs>
                <w:tab w:val="left" w:pos="1111"/>
              </w:tabs>
              <w:ind w:left="0"/>
              <w:rPr>
                <w:color w:val="000000" w:themeColor="text1"/>
                <w:sz w:val="20"/>
                <w:szCs w:val="20"/>
              </w:rPr>
            </w:pPr>
            <w:r>
              <w:rPr>
                <w:color w:val="000000" w:themeColor="text1"/>
                <w:sz w:val="20"/>
                <w:szCs w:val="20"/>
              </w:rPr>
              <w:t>- opatrenia na uverejnenie konsolidovaných údajov a ich sprístupnenie verejnosti.</w:t>
            </w:r>
          </w:p>
          <w:p w14:paraId="1915A8C0" w14:textId="77777777" w:rsidR="008251D9" w:rsidRDefault="008251D9" w:rsidP="008251D9">
            <w:pPr>
              <w:tabs>
                <w:tab w:val="left" w:pos="1111"/>
              </w:tabs>
              <w:ind w:left="0"/>
              <w:rPr>
                <w:color w:val="000000" w:themeColor="text1"/>
                <w:sz w:val="20"/>
                <w:szCs w:val="20"/>
              </w:rPr>
            </w:pPr>
          </w:p>
          <w:p w14:paraId="6EF79B99" w14:textId="77777777" w:rsidR="008251D9" w:rsidRDefault="008251D9" w:rsidP="008251D9">
            <w:pPr>
              <w:tabs>
                <w:tab w:val="left" w:pos="1111"/>
              </w:tabs>
              <w:ind w:left="0"/>
              <w:rPr>
                <w:color w:val="000000" w:themeColor="text1"/>
                <w:sz w:val="20"/>
                <w:szCs w:val="20"/>
              </w:rPr>
            </w:pPr>
          </w:p>
          <w:p w14:paraId="2C193239" w14:textId="77777777" w:rsidR="008251D9" w:rsidRDefault="008251D9" w:rsidP="008251D9">
            <w:pPr>
              <w:tabs>
                <w:tab w:val="left" w:pos="1111"/>
              </w:tabs>
              <w:ind w:left="0"/>
              <w:rPr>
                <w:color w:val="000000" w:themeColor="text1"/>
                <w:sz w:val="20"/>
                <w:szCs w:val="20"/>
              </w:rPr>
            </w:pPr>
          </w:p>
          <w:p w14:paraId="5DA86F13" w14:textId="77777777" w:rsidR="008251D9" w:rsidRDefault="008251D9" w:rsidP="008251D9">
            <w:pPr>
              <w:tabs>
                <w:tab w:val="left" w:pos="1111"/>
              </w:tabs>
              <w:ind w:left="0"/>
              <w:rPr>
                <w:color w:val="000000" w:themeColor="text1"/>
                <w:sz w:val="20"/>
                <w:szCs w:val="20"/>
              </w:rPr>
            </w:pPr>
          </w:p>
          <w:p w14:paraId="21BA18DA" w14:textId="77777777" w:rsidR="008251D9" w:rsidRDefault="008251D9" w:rsidP="008251D9">
            <w:pPr>
              <w:tabs>
                <w:tab w:val="left" w:pos="1111"/>
              </w:tabs>
              <w:ind w:left="0"/>
              <w:rPr>
                <w:color w:val="000000" w:themeColor="text1"/>
                <w:sz w:val="20"/>
                <w:szCs w:val="20"/>
              </w:rPr>
            </w:pPr>
          </w:p>
          <w:p w14:paraId="7B581AB7" w14:textId="77777777" w:rsidR="008251D9" w:rsidRDefault="008251D9" w:rsidP="008251D9">
            <w:pPr>
              <w:tabs>
                <w:tab w:val="left" w:pos="1111"/>
              </w:tabs>
              <w:ind w:left="0"/>
              <w:rPr>
                <w:color w:val="000000" w:themeColor="text1"/>
                <w:sz w:val="20"/>
                <w:szCs w:val="20"/>
              </w:rPr>
            </w:pPr>
          </w:p>
          <w:p w14:paraId="7E05CF2B" w14:textId="77777777" w:rsidR="008251D9" w:rsidRDefault="008251D9" w:rsidP="008251D9">
            <w:pPr>
              <w:tabs>
                <w:tab w:val="left" w:pos="1111"/>
              </w:tabs>
              <w:ind w:left="0"/>
              <w:rPr>
                <w:color w:val="000000" w:themeColor="text1"/>
                <w:sz w:val="20"/>
                <w:szCs w:val="20"/>
              </w:rPr>
            </w:pPr>
          </w:p>
          <w:p w14:paraId="3FE9AC04" w14:textId="77777777" w:rsidR="008251D9" w:rsidRDefault="008251D9" w:rsidP="008251D9">
            <w:pPr>
              <w:tabs>
                <w:tab w:val="left" w:pos="1111"/>
              </w:tabs>
              <w:ind w:left="0"/>
              <w:rPr>
                <w:color w:val="000000" w:themeColor="text1"/>
                <w:sz w:val="20"/>
                <w:szCs w:val="20"/>
              </w:rPr>
            </w:pPr>
          </w:p>
          <w:p w14:paraId="0278F7FD" w14:textId="77777777" w:rsidR="008251D9" w:rsidRDefault="008251D9" w:rsidP="008251D9">
            <w:pPr>
              <w:tabs>
                <w:tab w:val="left" w:pos="1111"/>
              </w:tabs>
              <w:ind w:left="0"/>
              <w:rPr>
                <w:color w:val="000000" w:themeColor="text1"/>
                <w:sz w:val="20"/>
                <w:szCs w:val="20"/>
              </w:rPr>
            </w:pPr>
          </w:p>
          <w:p w14:paraId="75CE52EA" w14:textId="77777777" w:rsidR="008251D9" w:rsidRDefault="008251D9" w:rsidP="008251D9">
            <w:pPr>
              <w:tabs>
                <w:tab w:val="left" w:pos="1111"/>
              </w:tabs>
              <w:ind w:left="0"/>
              <w:rPr>
                <w:color w:val="000000" w:themeColor="text1"/>
                <w:sz w:val="20"/>
                <w:szCs w:val="20"/>
              </w:rPr>
            </w:pPr>
          </w:p>
          <w:p w14:paraId="074FC915" w14:textId="77777777" w:rsidR="008251D9" w:rsidRDefault="008251D9" w:rsidP="008251D9">
            <w:pPr>
              <w:tabs>
                <w:tab w:val="left" w:pos="1111"/>
              </w:tabs>
              <w:ind w:left="0"/>
              <w:rPr>
                <w:color w:val="000000" w:themeColor="text1"/>
                <w:sz w:val="20"/>
                <w:szCs w:val="20"/>
              </w:rPr>
            </w:pPr>
          </w:p>
          <w:p w14:paraId="1AE1EE97" w14:textId="77777777" w:rsidR="008251D9" w:rsidRDefault="008251D9" w:rsidP="008251D9">
            <w:pPr>
              <w:tabs>
                <w:tab w:val="left" w:pos="1111"/>
              </w:tabs>
              <w:ind w:left="0"/>
              <w:rPr>
                <w:color w:val="000000" w:themeColor="text1"/>
                <w:sz w:val="20"/>
                <w:szCs w:val="20"/>
              </w:rPr>
            </w:pPr>
          </w:p>
          <w:p w14:paraId="688AE707" w14:textId="77777777" w:rsidR="008251D9" w:rsidRDefault="008251D9" w:rsidP="008251D9">
            <w:pPr>
              <w:tabs>
                <w:tab w:val="left" w:pos="1111"/>
              </w:tabs>
              <w:ind w:left="0"/>
              <w:rPr>
                <w:color w:val="000000" w:themeColor="text1"/>
                <w:sz w:val="20"/>
                <w:szCs w:val="20"/>
              </w:rPr>
            </w:pPr>
          </w:p>
          <w:p w14:paraId="33CDDF05" w14:textId="77777777" w:rsidR="008251D9" w:rsidRDefault="008251D9" w:rsidP="008251D9">
            <w:pPr>
              <w:tabs>
                <w:tab w:val="left" w:pos="1111"/>
              </w:tabs>
              <w:ind w:left="0"/>
              <w:rPr>
                <w:color w:val="000000" w:themeColor="text1"/>
                <w:sz w:val="20"/>
                <w:szCs w:val="20"/>
              </w:rPr>
            </w:pPr>
            <w:r>
              <w:rPr>
                <w:color w:val="000000" w:themeColor="text1"/>
                <w:sz w:val="20"/>
                <w:szCs w:val="20"/>
              </w:rPr>
              <w:t>Účinný systém ukazovateľov výsledkov vrátane:</w:t>
            </w:r>
          </w:p>
          <w:p w14:paraId="7BF196BC" w14:textId="77777777" w:rsidR="008251D9" w:rsidRDefault="008251D9" w:rsidP="008251D9">
            <w:pPr>
              <w:pStyle w:val="Odsekzoznamu"/>
              <w:spacing w:before="60"/>
              <w:ind w:left="0"/>
              <w:contextualSpacing w:val="0"/>
              <w:rPr>
                <w:color w:val="000000" w:themeColor="text1"/>
                <w:sz w:val="20"/>
                <w:szCs w:val="20"/>
              </w:rPr>
            </w:pPr>
            <w:r>
              <w:rPr>
                <w:color w:val="000000" w:themeColor="text1"/>
                <w:sz w:val="20"/>
                <w:szCs w:val="20"/>
              </w:rPr>
              <w:t xml:space="preserve">- </w:t>
            </w:r>
            <w:r w:rsidRPr="00901E9B">
              <w:rPr>
                <w:color w:val="000000" w:themeColor="text1"/>
                <w:sz w:val="20"/>
                <w:szCs w:val="20"/>
              </w:rPr>
              <w:t>výbe</w:t>
            </w:r>
            <w:r>
              <w:rPr>
                <w:color w:val="000000" w:themeColor="text1"/>
                <w:sz w:val="20"/>
                <w:szCs w:val="20"/>
              </w:rPr>
              <w:t>ru ukazovateľov výsledkov pre každý program poskytujúcich informácie o tom, čo motivuje výber politických opatrení financovaných programom,</w:t>
            </w:r>
          </w:p>
          <w:p w14:paraId="7E3094EB" w14:textId="77777777" w:rsidR="008251D9" w:rsidRDefault="008251D9" w:rsidP="008251D9">
            <w:pPr>
              <w:pStyle w:val="Odsekzoznamu"/>
              <w:spacing w:before="60"/>
              <w:ind w:left="0"/>
              <w:contextualSpacing w:val="0"/>
              <w:rPr>
                <w:color w:val="000000" w:themeColor="text1"/>
                <w:sz w:val="20"/>
                <w:szCs w:val="20"/>
              </w:rPr>
            </w:pPr>
            <w:r>
              <w:rPr>
                <w:color w:val="000000" w:themeColor="text1"/>
                <w:sz w:val="20"/>
                <w:szCs w:val="20"/>
              </w:rPr>
              <w:t>- stanovenia cieľov týchto ukazovateľov,</w:t>
            </w:r>
          </w:p>
          <w:p w14:paraId="28CDE77F" w14:textId="77777777" w:rsidR="008251D9" w:rsidRDefault="008251D9" w:rsidP="008251D9">
            <w:pPr>
              <w:tabs>
                <w:tab w:val="left" w:pos="1111"/>
              </w:tabs>
              <w:spacing w:before="60"/>
              <w:ind w:left="0"/>
              <w:rPr>
                <w:color w:val="000000" w:themeColor="text1"/>
                <w:sz w:val="20"/>
                <w:szCs w:val="20"/>
              </w:rPr>
            </w:pPr>
            <w:r>
              <w:rPr>
                <w:color w:val="000000" w:themeColor="text1"/>
                <w:sz w:val="20"/>
                <w:szCs w:val="20"/>
              </w:rPr>
              <w:t xml:space="preserve">- súladu každého ukazovateľa s týmito náležitosťami: </w:t>
            </w:r>
          </w:p>
          <w:p w14:paraId="7E36AACE" w14:textId="77777777" w:rsidR="008251D9" w:rsidRDefault="008251D9" w:rsidP="008251D9">
            <w:pPr>
              <w:tabs>
                <w:tab w:val="left" w:pos="1111"/>
              </w:tabs>
              <w:spacing w:before="60"/>
              <w:ind w:left="0"/>
              <w:rPr>
                <w:color w:val="000000" w:themeColor="text1"/>
                <w:sz w:val="20"/>
                <w:szCs w:val="20"/>
              </w:rPr>
            </w:pPr>
            <w:r>
              <w:rPr>
                <w:color w:val="000000" w:themeColor="text1"/>
                <w:sz w:val="20"/>
                <w:szCs w:val="20"/>
              </w:rPr>
              <w:t>- odolnosť a štatistická validácia, jasný normatívny výklad, citlivosť voči politike a včasné zhromažďovanie údajov.</w:t>
            </w:r>
          </w:p>
          <w:p w14:paraId="12439F78" w14:textId="77777777" w:rsidR="008251D9" w:rsidRDefault="008251D9" w:rsidP="008251D9">
            <w:pPr>
              <w:tabs>
                <w:tab w:val="left" w:pos="1111"/>
              </w:tabs>
              <w:spacing w:before="60"/>
              <w:ind w:left="0"/>
              <w:rPr>
                <w:color w:val="000000" w:themeColor="text1"/>
                <w:sz w:val="20"/>
                <w:szCs w:val="20"/>
              </w:rPr>
            </w:pPr>
          </w:p>
          <w:p w14:paraId="17308EF3" w14:textId="4749712C" w:rsidR="008251D9" w:rsidRDefault="008251D9" w:rsidP="00351D17">
            <w:pPr>
              <w:tabs>
                <w:tab w:val="left" w:pos="1111"/>
              </w:tabs>
              <w:ind w:left="0"/>
              <w:rPr>
                <w:color w:val="000000" w:themeColor="text1"/>
                <w:sz w:val="20"/>
                <w:szCs w:val="20"/>
              </w:rPr>
            </w:pPr>
            <w:r>
              <w:rPr>
                <w:color w:val="000000" w:themeColor="text1"/>
                <w:sz w:val="20"/>
                <w:szCs w:val="20"/>
              </w:rPr>
              <w:t>Postupy zavedené na zaručenie toho, aby všetky operácie financované z programu prijali účinný systém ukazovateľov</w:t>
            </w:r>
          </w:p>
        </w:tc>
        <w:tc>
          <w:tcPr>
            <w:tcW w:w="1257" w:type="dxa"/>
          </w:tcPr>
          <w:p w14:paraId="67876FC3" w14:textId="77777777" w:rsidR="008251D9" w:rsidRDefault="008251D9" w:rsidP="008251D9">
            <w:pPr>
              <w:tabs>
                <w:tab w:val="left" w:pos="1111"/>
              </w:tabs>
              <w:ind w:left="0"/>
              <w:jc w:val="center"/>
              <w:rPr>
                <w:color w:val="000000" w:themeColor="text1"/>
                <w:sz w:val="20"/>
                <w:szCs w:val="20"/>
              </w:rPr>
            </w:pPr>
            <w:r w:rsidRPr="008B5B9E">
              <w:rPr>
                <w:color w:val="000000" w:themeColor="text1"/>
                <w:sz w:val="20"/>
                <w:szCs w:val="20"/>
              </w:rPr>
              <w:lastRenderedPageBreak/>
              <w:t>Nie</w:t>
            </w:r>
          </w:p>
          <w:p w14:paraId="51D77051" w14:textId="77777777" w:rsidR="008251D9" w:rsidRDefault="008251D9" w:rsidP="008251D9">
            <w:pPr>
              <w:tabs>
                <w:tab w:val="left" w:pos="1111"/>
              </w:tabs>
              <w:ind w:left="0"/>
              <w:jc w:val="center"/>
              <w:rPr>
                <w:color w:val="000000" w:themeColor="text1"/>
                <w:sz w:val="20"/>
                <w:szCs w:val="20"/>
              </w:rPr>
            </w:pPr>
          </w:p>
          <w:p w14:paraId="50FCC385" w14:textId="77777777" w:rsidR="008251D9" w:rsidRDefault="008251D9" w:rsidP="008251D9">
            <w:pPr>
              <w:tabs>
                <w:tab w:val="left" w:pos="1111"/>
              </w:tabs>
              <w:ind w:left="0"/>
              <w:jc w:val="center"/>
              <w:rPr>
                <w:color w:val="000000" w:themeColor="text1"/>
                <w:sz w:val="20"/>
                <w:szCs w:val="20"/>
              </w:rPr>
            </w:pPr>
          </w:p>
          <w:p w14:paraId="0BE594F8" w14:textId="77777777" w:rsidR="008251D9" w:rsidRDefault="008251D9" w:rsidP="008251D9">
            <w:pPr>
              <w:tabs>
                <w:tab w:val="left" w:pos="1111"/>
              </w:tabs>
              <w:ind w:left="0"/>
              <w:jc w:val="center"/>
              <w:rPr>
                <w:color w:val="000000" w:themeColor="text1"/>
                <w:sz w:val="20"/>
                <w:szCs w:val="20"/>
              </w:rPr>
            </w:pPr>
          </w:p>
          <w:p w14:paraId="0190A4CC" w14:textId="77777777" w:rsidR="008251D9" w:rsidRDefault="008251D9" w:rsidP="008251D9">
            <w:pPr>
              <w:tabs>
                <w:tab w:val="left" w:pos="1111"/>
              </w:tabs>
              <w:ind w:left="0"/>
              <w:jc w:val="center"/>
              <w:rPr>
                <w:color w:val="000000" w:themeColor="text1"/>
                <w:sz w:val="20"/>
                <w:szCs w:val="20"/>
              </w:rPr>
            </w:pPr>
          </w:p>
          <w:p w14:paraId="250ECA27" w14:textId="77777777" w:rsidR="008251D9" w:rsidRDefault="008251D9" w:rsidP="008251D9">
            <w:pPr>
              <w:tabs>
                <w:tab w:val="left" w:pos="1111"/>
              </w:tabs>
              <w:ind w:left="0"/>
              <w:jc w:val="center"/>
              <w:rPr>
                <w:color w:val="000000" w:themeColor="text1"/>
                <w:sz w:val="20"/>
                <w:szCs w:val="20"/>
              </w:rPr>
            </w:pPr>
          </w:p>
          <w:p w14:paraId="436DFBCE" w14:textId="77777777" w:rsidR="008251D9" w:rsidRDefault="008251D9" w:rsidP="008251D9">
            <w:pPr>
              <w:tabs>
                <w:tab w:val="left" w:pos="1111"/>
              </w:tabs>
              <w:ind w:left="0"/>
              <w:jc w:val="center"/>
              <w:rPr>
                <w:color w:val="000000" w:themeColor="text1"/>
                <w:sz w:val="20"/>
                <w:szCs w:val="20"/>
              </w:rPr>
            </w:pPr>
          </w:p>
          <w:p w14:paraId="6D61F7AB" w14:textId="77777777" w:rsidR="008251D9" w:rsidRDefault="008251D9" w:rsidP="008251D9">
            <w:pPr>
              <w:tabs>
                <w:tab w:val="left" w:pos="1111"/>
              </w:tabs>
              <w:ind w:left="0"/>
              <w:jc w:val="center"/>
              <w:rPr>
                <w:color w:val="000000" w:themeColor="text1"/>
                <w:sz w:val="20"/>
                <w:szCs w:val="20"/>
              </w:rPr>
            </w:pPr>
          </w:p>
          <w:p w14:paraId="62675DF2" w14:textId="77777777" w:rsidR="008251D9" w:rsidRDefault="008251D9" w:rsidP="008251D9">
            <w:pPr>
              <w:tabs>
                <w:tab w:val="left" w:pos="1111"/>
              </w:tabs>
              <w:ind w:left="0"/>
              <w:jc w:val="center"/>
              <w:rPr>
                <w:color w:val="000000" w:themeColor="text1"/>
                <w:sz w:val="20"/>
                <w:szCs w:val="20"/>
              </w:rPr>
            </w:pPr>
          </w:p>
          <w:p w14:paraId="328BEC73" w14:textId="77777777" w:rsidR="008251D9" w:rsidRDefault="008251D9" w:rsidP="008251D9">
            <w:pPr>
              <w:tabs>
                <w:tab w:val="left" w:pos="1111"/>
              </w:tabs>
              <w:ind w:left="0"/>
              <w:jc w:val="center"/>
              <w:rPr>
                <w:color w:val="000000" w:themeColor="text1"/>
                <w:sz w:val="20"/>
                <w:szCs w:val="20"/>
              </w:rPr>
            </w:pPr>
          </w:p>
          <w:p w14:paraId="3CFAC1F5" w14:textId="77777777" w:rsidR="008251D9" w:rsidRDefault="008251D9" w:rsidP="008251D9">
            <w:pPr>
              <w:tabs>
                <w:tab w:val="left" w:pos="1111"/>
              </w:tabs>
              <w:ind w:left="0"/>
              <w:jc w:val="center"/>
              <w:rPr>
                <w:color w:val="000000" w:themeColor="text1"/>
                <w:sz w:val="20"/>
                <w:szCs w:val="20"/>
              </w:rPr>
            </w:pPr>
          </w:p>
          <w:p w14:paraId="7AEFA719" w14:textId="77777777" w:rsidR="008251D9" w:rsidRDefault="008251D9" w:rsidP="008251D9">
            <w:pPr>
              <w:tabs>
                <w:tab w:val="left" w:pos="1111"/>
              </w:tabs>
              <w:ind w:left="0"/>
              <w:jc w:val="center"/>
              <w:rPr>
                <w:color w:val="000000" w:themeColor="text1"/>
                <w:sz w:val="20"/>
                <w:szCs w:val="20"/>
              </w:rPr>
            </w:pPr>
          </w:p>
          <w:p w14:paraId="56EA54C7" w14:textId="77777777" w:rsidR="008251D9" w:rsidRDefault="008251D9" w:rsidP="008251D9">
            <w:pPr>
              <w:tabs>
                <w:tab w:val="left" w:pos="1111"/>
              </w:tabs>
              <w:ind w:left="0"/>
              <w:jc w:val="center"/>
              <w:rPr>
                <w:color w:val="000000" w:themeColor="text1"/>
                <w:sz w:val="20"/>
                <w:szCs w:val="20"/>
              </w:rPr>
            </w:pPr>
          </w:p>
          <w:p w14:paraId="76C3494E" w14:textId="77777777" w:rsidR="008251D9" w:rsidRDefault="008251D9" w:rsidP="008251D9">
            <w:pPr>
              <w:tabs>
                <w:tab w:val="left" w:pos="1111"/>
              </w:tabs>
              <w:ind w:left="0"/>
              <w:jc w:val="center"/>
              <w:rPr>
                <w:color w:val="000000" w:themeColor="text1"/>
                <w:sz w:val="20"/>
                <w:szCs w:val="20"/>
              </w:rPr>
            </w:pPr>
          </w:p>
          <w:p w14:paraId="3CE02E92" w14:textId="77777777" w:rsidR="008251D9" w:rsidRDefault="008251D9" w:rsidP="008251D9">
            <w:pPr>
              <w:tabs>
                <w:tab w:val="left" w:pos="1111"/>
              </w:tabs>
              <w:ind w:left="0"/>
              <w:jc w:val="center"/>
              <w:rPr>
                <w:color w:val="000000" w:themeColor="text1"/>
                <w:sz w:val="20"/>
                <w:szCs w:val="20"/>
              </w:rPr>
            </w:pPr>
          </w:p>
          <w:p w14:paraId="7F676CFA" w14:textId="77777777" w:rsidR="008251D9" w:rsidRDefault="008251D9" w:rsidP="008251D9">
            <w:pPr>
              <w:tabs>
                <w:tab w:val="left" w:pos="1111"/>
              </w:tabs>
              <w:ind w:left="0"/>
              <w:jc w:val="center"/>
              <w:rPr>
                <w:color w:val="000000" w:themeColor="text1"/>
                <w:sz w:val="20"/>
                <w:szCs w:val="20"/>
              </w:rPr>
            </w:pPr>
          </w:p>
          <w:p w14:paraId="3DCCC023" w14:textId="77777777" w:rsidR="008251D9" w:rsidRDefault="008251D9" w:rsidP="008251D9">
            <w:pPr>
              <w:tabs>
                <w:tab w:val="left" w:pos="1111"/>
              </w:tabs>
              <w:ind w:left="0"/>
              <w:jc w:val="center"/>
              <w:rPr>
                <w:color w:val="000000" w:themeColor="text1"/>
                <w:sz w:val="20"/>
                <w:szCs w:val="20"/>
              </w:rPr>
            </w:pPr>
          </w:p>
          <w:p w14:paraId="72F3C85E" w14:textId="77777777" w:rsidR="008251D9" w:rsidRDefault="008251D9" w:rsidP="008251D9">
            <w:pPr>
              <w:tabs>
                <w:tab w:val="left" w:pos="1111"/>
              </w:tabs>
              <w:ind w:left="0"/>
              <w:jc w:val="center"/>
              <w:rPr>
                <w:color w:val="000000" w:themeColor="text1"/>
                <w:sz w:val="20"/>
                <w:szCs w:val="20"/>
              </w:rPr>
            </w:pPr>
          </w:p>
          <w:p w14:paraId="0D5AAD32" w14:textId="77777777" w:rsidR="008251D9" w:rsidRDefault="008251D9" w:rsidP="008251D9">
            <w:pPr>
              <w:tabs>
                <w:tab w:val="left" w:pos="1111"/>
              </w:tabs>
              <w:ind w:left="0"/>
              <w:jc w:val="center"/>
              <w:rPr>
                <w:color w:val="000000" w:themeColor="text1"/>
                <w:sz w:val="20"/>
                <w:szCs w:val="20"/>
              </w:rPr>
            </w:pPr>
          </w:p>
          <w:p w14:paraId="6AB31221" w14:textId="77777777" w:rsidR="008251D9" w:rsidRDefault="008251D9" w:rsidP="008251D9">
            <w:pPr>
              <w:tabs>
                <w:tab w:val="left" w:pos="1111"/>
              </w:tabs>
              <w:ind w:left="0"/>
              <w:jc w:val="center"/>
              <w:rPr>
                <w:color w:val="000000" w:themeColor="text1"/>
                <w:sz w:val="20"/>
                <w:szCs w:val="20"/>
              </w:rPr>
            </w:pPr>
          </w:p>
          <w:p w14:paraId="72CB7A51" w14:textId="77777777" w:rsidR="008251D9" w:rsidRDefault="008251D9" w:rsidP="008251D9">
            <w:pPr>
              <w:tabs>
                <w:tab w:val="left" w:pos="1111"/>
              </w:tabs>
              <w:ind w:left="0"/>
              <w:jc w:val="center"/>
              <w:rPr>
                <w:color w:val="000000" w:themeColor="text1"/>
                <w:sz w:val="20"/>
                <w:szCs w:val="20"/>
              </w:rPr>
            </w:pPr>
          </w:p>
          <w:p w14:paraId="032058B6" w14:textId="77777777" w:rsidR="008251D9" w:rsidRDefault="008251D9" w:rsidP="008251D9">
            <w:pPr>
              <w:tabs>
                <w:tab w:val="left" w:pos="1111"/>
              </w:tabs>
              <w:ind w:left="0"/>
              <w:jc w:val="center"/>
              <w:rPr>
                <w:color w:val="000000" w:themeColor="text1"/>
                <w:sz w:val="20"/>
                <w:szCs w:val="20"/>
              </w:rPr>
            </w:pPr>
          </w:p>
          <w:p w14:paraId="0AF7E529" w14:textId="77777777" w:rsidR="008251D9" w:rsidRDefault="008251D9" w:rsidP="008251D9">
            <w:pPr>
              <w:tabs>
                <w:tab w:val="left" w:pos="1111"/>
              </w:tabs>
              <w:ind w:left="0"/>
              <w:jc w:val="center"/>
              <w:rPr>
                <w:color w:val="000000" w:themeColor="text1"/>
                <w:sz w:val="20"/>
                <w:szCs w:val="20"/>
              </w:rPr>
            </w:pPr>
          </w:p>
          <w:p w14:paraId="631EFB5C" w14:textId="77777777" w:rsidR="008251D9" w:rsidRDefault="008251D9" w:rsidP="008251D9">
            <w:pPr>
              <w:tabs>
                <w:tab w:val="left" w:pos="1111"/>
              </w:tabs>
              <w:ind w:left="0"/>
              <w:jc w:val="center"/>
              <w:rPr>
                <w:color w:val="000000" w:themeColor="text1"/>
                <w:sz w:val="20"/>
                <w:szCs w:val="20"/>
              </w:rPr>
            </w:pPr>
          </w:p>
          <w:p w14:paraId="369DE25D" w14:textId="77777777" w:rsidR="008251D9" w:rsidRDefault="008251D9" w:rsidP="008251D9">
            <w:pPr>
              <w:tabs>
                <w:tab w:val="left" w:pos="1111"/>
              </w:tabs>
              <w:ind w:left="0"/>
              <w:jc w:val="center"/>
              <w:rPr>
                <w:color w:val="000000" w:themeColor="text1"/>
                <w:sz w:val="20"/>
                <w:szCs w:val="20"/>
              </w:rPr>
            </w:pPr>
          </w:p>
          <w:p w14:paraId="6201CE31" w14:textId="77777777" w:rsidR="008251D9" w:rsidRDefault="008251D9" w:rsidP="008251D9">
            <w:pPr>
              <w:tabs>
                <w:tab w:val="left" w:pos="1111"/>
              </w:tabs>
              <w:ind w:left="0"/>
              <w:jc w:val="center"/>
              <w:rPr>
                <w:color w:val="000000" w:themeColor="text1"/>
                <w:sz w:val="20"/>
                <w:szCs w:val="20"/>
              </w:rPr>
            </w:pPr>
          </w:p>
          <w:p w14:paraId="7A5027C8" w14:textId="77777777" w:rsidR="008251D9" w:rsidRDefault="008251D9" w:rsidP="008251D9">
            <w:pPr>
              <w:tabs>
                <w:tab w:val="left" w:pos="1111"/>
              </w:tabs>
              <w:ind w:left="0"/>
              <w:jc w:val="center"/>
              <w:rPr>
                <w:color w:val="000000" w:themeColor="text1"/>
                <w:sz w:val="20"/>
                <w:szCs w:val="20"/>
              </w:rPr>
            </w:pPr>
          </w:p>
          <w:p w14:paraId="701318C4" w14:textId="77777777" w:rsidR="008251D9" w:rsidRDefault="008251D9" w:rsidP="008251D9">
            <w:pPr>
              <w:tabs>
                <w:tab w:val="left" w:pos="1111"/>
              </w:tabs>
              <w:ind w:left="0"/>
              <w:rPr>
                <w:color w:val="000000" w:themeColor="text1"/>
                <w:sz w:val="20"/>
                <w:szCs w:val="20"/>
              </w:rPr>
            </w:pPr>
          </w:p>
          <w:p w14:paraId="27AA13D0" w14:textId="77777777" w:rsidR="008251D9" w:rsidRDefault="008251D9" w:rsidP="008251D9">
            <w:pPr>
              <w:tabs>
                <w:tab w:val="left" w:pos="1111"/>
              </w:tabs>
              <w:ind w:left="0"/>
              <w:jc w:val="center"/>
              <w:rPr>
                <w:color w:val="000000" w:themeColor="text1"/>
                <w:sz w:val="20"/>
                <w:szCs w:val="20"/>
              </w:rPr>
            </w:pPr>
            <w:r>
              <w:rPr>
                <w:color w:val="000000" w:themeColor="text1"/>
                <w:sz w:val="20"/>
                <w:szCs w:val="20"/>
              </w:rPr>
              <w:t>Nie</w:t>
            </w:r>
          </w:p>
          <w:p w14:paraId="42C6C8BC" w14:textId="77777777" w:rsidR="008251D9" w:rsidRDefault="008251D9" w:rsidP="008251D9">
            <w:pPr>
              <w:tabs>
                <w:tab w:val="left" w:pos="1111"/>
              </w:tabs>
              <w:ind w:left="0"/>
              <w:jc w:val="center"/>
              <w:rPr>
                <w:color w:val="000000" w:themeColor="text1"/>
                <w:sz w:val="20"/>
                <w:szCs w:val="20"/>
              </w:rPr>
            </w:pPr>
          </w:p>
          <w:p w14:paraId="3CE8BA6C" w14:textId="77777777" w:rsidR="008251D9" w:rsidRDefault="008251D9" w:rsidP="00351D17">
            <w:pPr>
              <w:tabs>
                <w:tab w:val="left" w:pos="1111"/>
              </w:tabs>
              <w:ind w:left="0"/>
              <w:jc w:val="center"/>
              <w:rPr>
                <w:b/>
                <w:color w:val="000000" w:themeColor="text1"/>
                <w:sz w:val="20"/>
                <w:szCs w:val="20"/>
              </w:rPr>
            </w:pPr>
          </w:p>
        </w:tc>
        <w:tc>
          <w:tcPr>
            <w:tcW w:w="3969" w:type="dxa"/>
          </w:tcPr>
          <w:p w14:paraId="47449946" w14:textId="77777777" w:rsidR="008251D9" w:rsidRPr="00A11060" w:rsidRDefault="008251D9" w:rsidP="00351D17">
            <w:pPr>
              <w:tabs>
                <w:tab w:val="left" w:pos="1111"/>
              </w:tabs>
              <w:ind w:left="0"/>
              <w:jc w:val="center"/>
              <w:rPr>
                <w:color w:val="000000" w:themeColor="text1"/>
                <w:sz w:val="20"/>
                <w:szCs w:val="20"/>
              </w:rPr>
            </w:pPr>
          </w:p>
        </w:tc>
        <w:tc>
          <w:tcPr>
            <w:tcW w:w="2564" w:type="dxa"/>
          </w:tcPr>
          <w:p w14:paraId="797850C9" w14:textId="77777777" w:rsidR="008251D9" w:rsidRPr="00AD6DBC" w:rsidRDefault="008251D9" w:rsidP="008251D9">
            <w:pPr>
              <w:ind w:left="0"/>
              <w:rPr>
                <w:sz w:val="20"/>
                <w:szCs w:val="20"/>
              </w:rPr>
            </w:pPr>
            <w:r w:rsidRPr="00AD6DBC">
              <w:rPr>
                <w:sz w:val="20"/>
                <w:szCs w:val="20"/>
              </w:rPr>
              <w:t>Systému merateľných ukazovateľov sa vychádzalo</w:t>
            </w:r>
          </w:p>
          <w:p w14:paraId="17C03119" w14:textId="77777777" w:rsidR="008251D9" w:rsidRPr="00AD6DBC" w:rsidRDefault="008251D9" w:rsidP="008251D9">
            <w:pPr>
              <w:ind w:left="0"/>
              <w:rPr>
                <w:sz w:val="20"/>
                <w:szCs w:val="20"/>
              </w:rPr>
            </w:pPr>
            <w:r w:rsidRPr="00AD6DBC">
              <w:rPr>
                <w:sz w:val="20"/>
                <w:szCs w:val="20"/>
              </w:rPr>
              <w:t>z historickej skúsenosti s plnením merateľných</w:t>
            </w:r>
          </w:p>
          <w:p w14:paraId="43284C25" w14:textId="77777777" w:rsidR="008251D9" w:rsidRPr="00AD6DBC" w:rsidRDefault="008251D9" w:rsidP="008251D9">
            <w:pPr>
              <w:ind w:left="0"/>
              <w:rPr>
                <w:sz w:val="20"/>
                <w:szCs w:val="20"/>
              </w:rPr>
            </w:pPr>
            <w:r w:rsidRPr="00AD6DBC">
              <w:rPr>
                <w:sz w:val="20"/>
                <w:szCs w:val="20"/>
              </w:rPr>
              <w:t>ukazovateľov počas programového obdobia</w:t>
            </w:r>
          </w:p>
          <w:p w14:paraId="7BFE0CE4" w14:textId="77777777" w:rsidR="008251D9" w:rsidRPr="00AD6DBC" w:rsidRDefault="008251D9" w:rsidP="008251D9">
            <w:pPr>
              <w:ind w:left="0"/>
              <w:rPr>
                <w:sz w:val="20"/>
                <w:szCs w:val="20"/>
              </w:rPr>
            </w:pPr>
            <w:r w:rsidRPr="00AD6DBC">
              <w:rPr>
                <w:sz w:val="20"/>
                <w:szCs w:val="20"/>
              </w:rPr>
              <w:t>2007 – 2013 v rámci OPVaV a OPKaHR ako aj</w:t>
            </w:r>
          </w:p>
          <w:p w14:paraId="5C4184C8" w14:textId="77777777" w:rsidR="008251D9" w:rsidRPr="00AD6DBC" w:rsidRDefault="008251D9" w:rsidP="008251D9">
            <w:pPr>
              <w:ind w:left="0"/>
              <w:rPr>
                <w:sz w:val="20"/>
                <w:szCs w:val="20"/>
              </w:rPr>
            </w:pPr>
            <w:r w:rsidRPr="00AD6DBC">
              <w:rPr>
                <w:sz w:val="20"/>
                <w:szCs w:val="20"/>
              </w:rPr>
              <w:t>nedostatkov identifikovaných v rámci systému</w:t>
            </w:r>
          </w:p>
          <w:p w14:paraId="588FD388" w14:textId="77777777" w:rsidR="008251D9" w:rsidRPr="00AD6DBC" w:rsidRDefault="008251D9" w:rsidP="008251D9">
            <w:pPr>
              <w:ind w:left="0"/>
              <w:rPr>
                <w:sz w:val="20"/>
                <w:szCs w:val="20"/>
              </w:rPr>
            </w:pPr>
            <w:r w:rsidRPr="00AD6DBC">
              <w:rPr>
                <w:sz w:val="20"/>
                <w:szCs w:val="20"/>
              </w:rPr>
              <w:t>monitorovania.</w:t>
            </w:r>
          </w:p>
          <w:p w14:paraId="20B2F14F" w14:textId="77777777" w:rsidR="008251D9" w:rsidRPr="00AD6DBC" w:rsidRDefault="008251D9" w:rsidP="008251D9">
            <w:pPr>
              <w:ind w:left="0"/>
              <w:rPr>
                <w:sz w:val="20"/>
                <w:szCs w:val="20"/>
              </w:rPr>
            </w:pPr>
            <w:r w:rsidRPr="00AD6DBC">
              <w:rPr>
                <w:sz w:val="20"/>
                <w:szCs w:val="20"/>
              </w:rPr>
              <w:t>Ďalej obsahuje informácie k výkonnostnému</w:t>
            </w:r>
          </w:p>
          <w:p w14:paraId="0BE02291" w14:textId="77777777" w:rsidR="008251D9" w:rsidRPr="00AD6DBC" w:rsidRDefault="008251D9" w:rsidP="008251D9">
            <w:pPr>
              <w:ind w:left="0"/>
              <w:rPr>
                <w:sz w:val="20"/>
                <w:szCs w:val="20"/>
              </w:rPr>
            </w:pPr>
            <w:r w:rsidRPr="00AD6DBC">
              <w:rPr>
                <w:sz w:val="20"/>
                <w:szCs w:val="20"/>
              </w:rPr>
              <w:t>rámcu, a to s uvedením definícií, zdôvodnením</w:t>
            </w:r>
          </w:p>
          <w:p w14:paraId="309AD75D" w14:textId="77777777" w:rsidR="008251D9" w:rsidRPr="00AD6DBC" w:rsidRDefault="008251D9" w:rsidP="008251D9">
            <w:pPr>
              <w:ind w:left="0"/>
              <w:rPr>
                <w:sz w:val="20"/>
                <w:szCs w:val="20"/>
              </w:rPr>
            </w:pPr>
            <w:r w:rsidRPr="00AD6DBC">
              <w:rPr>
                <w:sz w:val="20"/>
                <w:szCs w:val="20"/>
              </w:rPr>
              <w:t>výberu ukazovateľov a s popisom spôsobu určenia</w:t>
            </w:r>
          </w:p>
          <w:p w14:paraId="3F44D796" w14:textId="77777777" w:rsidR="008251D9" w:rsidRPr="00AD6DBC" w:rsidRDefault="008251D9" w:rsidP="008251D9">
            <w:pPr>
              <w:ind w:left="0"/>
              <w:rPr>
                <w:sz w:val="20"/>
                <w:szCs w:val="20"/>
              </w:rPr>
            </w:pPr>
            <w:r w:rsidRPr="00AD6DBC">
              <w:rPr>
                <w:sz w:val="20"/>
                <w:szCs w:val="20"/>
              </w:rPr>
              <w:t>míľnikov a cieľovej hodnoty.</w:t>
            </w:r>
          </w:p>
          <w:p w14:paraId="4F0F764D" w14:textId="77777777" w:rsidR="008251D9" w:rsidRPr="00AD6DBC" w:rsidRDefault="008251D9" w:rsidP="008251D9">
            <w:pPr>
              <w:ind w:left="0"/>
              <w:rPr>
                <w:sz w:val="20"/>
                <w:szCs w:val="20"/>
              </w:rPr>
            </w:pPr>
            <w:r w:rsidRPr="00AD6DBC">
              <w:rPr>
                <w:sz w:val="20"/>
                <w:szCs w:val="20"/>
              </w:rPr>
              <w:t>Systém bude ďalej dopracovaný o úroveň</w:t>
            </w:r>
          </w:p>
          <w:p w14:paraId="1F3A3587" w14:textId="77777777" w:rsidR="008251D9" w:rsidRPr="00AD6DBC" w:rsidRDefault="008251D9" w:rsidP="008251D9">
            <w:pPr>
              <w:ind w:left="0"/>
              <w:rPr>
                <w:sz w:val="20"/>
                <w:szCs w:val="20"/>
              </w:rPr>
            </w:pPr>
            <w:r w:rsidRPr="00AD6DBC">
              <w:rPr>
                <w:sz w:val="20"/>
                <w:szCs w:val="20"/>
              </w:rPr>
              <w:t>projektových ukazovateľov ako aj o systém</w:t>
            </w:r>
          </w:p>
          <w:p w14:paraId="17242F72" w14:textId="77777777" w:rsidR="008251D9" w:rsidRPr="00AD6DBC" w:rsidRDefault="008251D9" w:rsidP="008251D9">
            <w:pPr>
              <w:ind w:left="0"/>
              <w:rPr>
                <w:sz w:val="20"/>
                <w:szCs w:val="20"/>
              </w:rPr>
            </w:pPr>
            <w:r w:rsidRPr="00AD6DBC">
              <w:rPr>
                <w:sz w:val="20"/>
                <w:szCs w:val="20"/>
              </w:rPr>
              <w:t>hodnotenia a zberu dát.</w:t>
            </w:r>
          </w:p>
          <w:p w14:paraId="623CF31E" w14:textId="77777777" w:rsidR="008251D9" w:rsidRDefault="008251D9" w:rsidP="008251D9">
            <w:pPr>
              <w:tabs>
                <w:tab w:val="left" w:pos="1111"/>
              </w:tabs>
              <w:ind w:left="0"/>
              <w:rPr>
                <w:color w:val="000000" w:themeColor="text1"/>
                <w:sz w:val="20"/>
                <w:szCs w:val="20"/>
              </w:rPr>
            </w:pPr>
          </w:p>
          <w:p w14:paraId="5747A368" w14:textId="77777777" w:rsidR="008251D9" w:rsidRDefault="008251D9" w:rsidP="008251D9">
            <w:pPr>
              <w:tabs>
                <w:tab w:val="left" w:pos="1111"/>
              </w:tabs>
              <w:ind w:left="0"/>
              <w:rPr>
                <w:color w:val="000000" w:themeColor="text1"/>
                <w:sz w:val="20"/>
                <w:szCs w:val="20"/>
              </w:rPr>
            </w:pPr>
          </w:p>
          <w:p w14:paraId="7254C0FE" w14:textId="77777777" w:rsidR="008251D9" w:rsidRDefault="008251D9" w:rsidP="008251D9">
            <w:pPr>
              <w:tabs>
                <w:tab w:val="left" w:pos="1111"/>
              </w:tabs>
              <w:ind w:left="0"/>
              <w:rPr>
                <w:color w:val="000000" w:themeColor="text1"/>
                <w:sz w:val="20"/>
                <w:szCs w:val="20"/>
              </w:rPr>
            </w:pPr>
          </w:p>
          <w:p w14:paraId="387CC5E9" w14:textId="77777777" w:rsidR="008251D9" w:rsidRPr="00AD6DBC" w:rsidRDefault="008251D9" w:rsidP="008251D9">
            <w:pPr>
              <w:ind w:left="0"/>
              <w:rPr>
                <w:sz w:val="20"/>
                <w:szCs w:val="20"/>
              </w:rPr>
            </w:pPr>
            <w:r w:rsidRPr="00AD6DBC">
              <w:rPr>
                <w:sz w:val="20"/>
                <w:szCs w:val="20"/>
              </w:rPr>
              <w:t>V rámci Systému monitorovania a hodnotenia boli</w:t>
            </w:r>
          </w:p>
          <w:p w14:paraId="25C15C61" w14:textId="77777777" w:rsidR="008251D9" w:rsidRPr="00AD6DBC" w:rsidRDefault="008251D9" w:rsidP="008251D9">
            <w:pPr>
              <w:ind w:left="0"/>
              <w:rPr>
                <w:sz w:val="20"/>
                <w:szCs w:val="20"/>
              </w:rPr>
            </w:pPr>
            <w:r w:rsidRPr="00AD6DBC">
              <w:rPr>
                <w:sz w:val="20"/>
                <w:szCs w:val="20"/>
              </w:rPr>
              <w:t>zadefinované ukazovatele výsledku s uvedením</w:t>
            </w:r>
          </w:p>
          <w:p w14:paraId="0601BBD3" w14:textId="77777777" w:rsidR="008251D9" w:rsidRPr="00AD6DBC" w:rsidRDefault="008251D9" w:rsidP="008251D9">
            <w:pPr>
              <w:ind w:left="0"/>
              <w:rPr>
                <w:sz w:val="20"/>
                <w:szCs w:val="20"/>
              </w:rPr>
            </w:pPr>
            <w:r w:rsidRPr="00AD6DBC">
              <w:rPr>
                <w:sz w:val="20"/>
                <w:szCs w:val="20"/>
              </w:rPr>
              <w:t>definície, zdôvodnenie výberu ukazovateľa, spôsobu</w:t>
            </w:r>
          </w:p>
          <w:p w14:paraId="0B8F452E" w14:textId="77777777" w:rsidR="008251D9" w:rsidRPr="00AD6DBC" w:rsidRDefault="008251D9" w:rsidP="008251D9">
            <w:pPr>
              <w:ind w:left="0"/>
              <w:rPr>
                <w:sz w:val="20"/>
                <w:szCs w:val="20"/>
              </w:rPr>
            </w:pPr>
            <w:r w:rsidRPr="00AD6DBC">
              <w:rPr>
                <w:sz w:val="20"/>
                <w:szCs w:val="20"/>
              </w:rPr>
              <w:t>výpočtu, mernú jednotku, cieľovú hodnotu (rok</w:t>
            </w:r>
          </w:p>
          <w:p w14:paraId="125D99AE" w14:textId="77777777" w:rsidR="008251D9" w:rsidRPr="00AD6DBC" w:rsidRDefault="008251D9" w:rsidP="008251D9">
            <w:pPr>
              <w:ind w:left="0"/>
              <w:rPr>
                <w:sz w:val="20"/>
                <w:szCs w:val="20"/>
              </w:rPr>
            </w:pPr>
            <w:r w:rsidRPr="00AD6DBC">
              <w:rPr>
                <w:sz w:val="20"/>
                <w:szCs w:val="20"/>
              </w:rPr>
              <w:t>2023), zdroj a periodicitu monitorovania. Výnimkou</w:t>
            </w:r>
          </w:p>
          <w:p w14:paraId="2BDD62E2" w14:textId="77777777" w:rsidR="008251D9" w:rsidRPr="00AD6DBC" w:rsidRDefault="008251D9" w:rsidP="008251D9">
            <w:pPr>
              <w:ind w:left="0"/>
              <w:rPr>
                <w:sz w:val="20"/>
                <w:szCs w:val="20"/>
              </w:rPr>
            </w:pPr>
            <w:r w:rsidRPr="00AD6DBC">
              <w:rPr>
                <w:sz w:val="20"/>
                <w:szCs w:val="20"/>
              </w:rPr>
              <w:t>je ukazovateľ výsledku „Miera informovanosti</w:t>
            </w:r>
          </w:p>
          <w:p w14:paraId="67273431" w14:textId="77777777" w:rsidR="008251D9" w:rsidRPr="00AD6DBC" w:rsidRDefault="008251D9" w:rsidP="008251D9">
            <w:pPr>
              <w:ind w:left="0"/>
              <w:rPr>
                <w:sz w:val="20"/>
                <w:szCs w:val="20"/>
              </w:rPr>
            </w:pPr>
            <w:r w:rsidRPr="00AD6DBC">
              <w:rPr>
                <w:sz w:val="20"/>
                <w:szCs w:val="20"/>
              </w:rPr>
              <w:t xml:space="preserve">o možnostiach podpory z OP“ ku ktorému bol vypracovaný akčný plán, keďže v čase </w:t>
            </w:r>
            <w:r w:rsidRPr="00C11DD2">
              <w:rPr>
                <w:sz w:val="20"/>
                <w:szCs w:val="20"/>
              </w:rPr>
              <w:t xml:space="preserve">prípravy </w:t>
            </w:r>
            <w:r w:rsidRPr="00351D17">
              <w:rPr>
                <w:sz w:val="20"/>
                <w:szCs w:val="20"/>
              </w:rPr>
              <w:t>OP VaI</w:t>
            </w:r>
            <w:r w:rsidRPr="00AD6DBC">
              <w:rPr>
                <w:sz w:val="20"/>
                <w:szCs w:val="20"/>
              </w:rPr>
              <w:t xml:space="preserve"> neboli k dispozícii potrebné údaje pre identifikáciu východiskovej hodnoty a stanovenie cieľovej hodnoty predmetného merateľného ukazovateľa výsledku.</w:t>
            </w:r>
          </w:p>
          <w:p w14:paraId="660A2F90" w14:textId="77777777" w:rsidR="008251D9" w:rsidRDefault="008251D9" w:rsidP="008251D9">
            <w:pPr>
              <w:tabs>
                <w:tab w:val="left" w:pos="1111"/>
              </w:tabs>
              <w:ind w:left="0"/>
              <w:rPr>
                <w:color w:val="000000" w:themeColor="text1"/>
                <w:sz w:val="20"/>
                <w:szCs w:val="20"/>
              </w:rPr>
            </w:pPr>
          </w:p>
          <w:p w14:paraId="2FCF9981" w14:textId="77777777" w:rsidR="008251D9" w:rsidRPr="00F463DF" w:rsidRDefault="008251D9" w:rsidP="008251D9">
            <w:pPr>
              <w:ind w:left="0"/>
              <w:rPr>
                <w:sz w:val="20"/>
                <w:szCs w:val="20"/>
              </w:rPr>
            </w:pPr>
            <w:r w:rsidRPr="00F463DF">
              <w:rPr>
                <w:sz w:val="20"/>
                <w:szCs w:val="20"/>
              </w:rPr>
              <w:t xml:space="preserve">Uvedené kritérium bude splnené dopracovaním Systému monitorovania a hodnotenia </w:t>
            </w:r>
            <w:r w:rsidRPr="00351D17">
              <w:rPr>
                <w:sz w:val="20"/>
                <w:szCs w:val="20"/>
              </w:rPr>
              <w:t>OP VaI</w:t>
            </w:r>
            <w:r w:rsidRPr="00F463DF">
              <w:rPr>
                <w:sz w:val="20"/>
                <w:szCs w:val="20"/>
              </w:rPr>
              <w:t xml:space="preserve"> o systém hodnotenia a o zadefinovanie merateľných ukazovateľov na projektovej úrovni. </w:t>
            </w:r>
            <w:r w:rsidRPr="00F463DF">
              <w:rPr>
                <w:sz w:val="20"/>
                <w:szCs w:val="20"/>
              </w:rPr>
              <w:lastRenderedPageBreak/>
              <w:t>Výstupové ukazovatele na projektovej úrovni budú zohľadňovať prepojenia najmä na nasledovné očakávané výsledky:</w:t>
            </w:r>
          </w:p>
          <w:p w14:paraId="4A40BCCF" w14:textId="77777777" w:rsidR="008251D9" w:rsidRPr="00F463DF" w:rsidRDefault="008251D9" w:rsidP="008251D9">
            <w:pPr>
              <w:ind w:left="0"/>
              <w:rPr>
                <w:sz w:val="20"/>
                <w:szCs w:val="20"/>
              </w:rPr>
            </w:pPr>
            <w:r w:rsidRPr="00F463DF">
              <w:rPr>
                <w:sz w:val="20"/>
                <w:szCs w:val="20"/>
              </w:rPr>
              <w:t>- zvýšenie záujmu mladej generácie o štúdium</w:t>
            </w:r>
          </w:p>
          <w:p w14:paraId="30982DF6" w14:textId="77777777" w:rsidR="008251D9" w:rsidRPr="00F463DF" w:rsidRDefault="008251D9" w:rsidP="008251D9">
            <w:pPr>
              <w:ind w:left="0"/>
              <w:rPr>
                <w:sz w:val="20"/>
                <w:szCs w:val="20"/>
              </w:rPr>
            </w:pPr>
            <w:r w:rsidRPr="00F463DF">
              <w:rPr>
                <w:sz w:val="20"/>
                <w:szCs w:val="20"/>
              </w:rPr>
              <w:t>technických a prírodovedných smerov a kariéru</w:t>
            </w:r>
          </w:p>
          <w:p w14:paraId="59280B42" w14:textId="77777777" w:rsidR="008251D9" w:rsidRPr="00F463DF" w:rsidRDefault="008251D9" w:rsidP="008251D9">
            <w:pPr>
              <w:ind w:left="0"/>
              <w:rPr>
                <w:sz w:val="20"/>
                <w:szCs w:val="20"/>
              </w:rPr>
            </w:pPr>
            <w:r w:rsidRPr="00F463DF">
              <w:rPr>
                <w:sz w:val="20"/>
                <w:szCs w:val="20"/>
              </w:rPr>
              <w:t>výskumníka;</w:t>
            </w:r>
          </w:p>
          <w:p w14:paraId="7044DB75" w14:textId="77777777" w:rsidR="008251D9" w:rsidRPr="00F463DF" w:rsidRDefault="008251D9" w:rsidP="008251D9">
            <w:pPr>
              <w:ind w:left="0"/>
              <w:rPr>
                <w:sz w:val="20"/>
                <w:szCs w:val="20"/>
              </w:rPr>
            </w:pPr>
            <w:r w:rsidRPr="00F463DF">
              <w:rPr>
                <w:sz w:val="20"/>
                <w:szCs w:val="20"/>
              </w:rPr>
              <w:t>- zvýšenie počtu zahraničných excelentných</w:t>
            </w:r>
          </w:p>
          <w:p w14:paraId="1CA41AB5" w14:textId="77777777" w:rsidR="008251D9" w:rsidRPr="00F463DF" w:rsidRDefault="008251D9" w:rsidP="008251D9">
            <w:pPr>
              <w:ind w:left="0"/>
              <w:rPr>
                <w:sz w:val="20"/>
                <w:szCs w:val="20"/>
              </w:rPr>
            </w:pPr>
            <w:r w:rsidRPr="00F463DF">
              <w:rPr>
                <w:sz w:val="20"/>
                <w:szCs w:val="20"/>
              </w:rPr>
              <w:t>výskumníkov participujúcich na výskumných</w:t>
            </w:r>
          </w:p>
          <w:p w14:paraId="5EA14753" w14:textId="77777777" w:rsidR="008251D9" w:rsidRPr="00F463DF" w:rsidRDefault="008251D9" w:rsidP="008251D9">
            <w:pPr>
              <w:ind w:left="0"/>
              <w:rPr>
                <w:sz w:val="20"/>
                <w:szCs w:val="20"/>
              </w:rPr>
            </w:pPr>
            <w:r w:rsidRPr="00F463DF">
              <w:rPr>
                <w:sz w:val="20"/>
                <w:szCs w:val="20"/>
              </w:rPr>
              <w:t>projektoch v SR;</w:t>
            </w:r>
          </w:p>
          <w:p w14:paraId="6C3A367B" w14:textId="77777777" w:rsidR="008251D9" w:rsidRPr="00F463DF" w:rsidRDefault="008251D9" w:rsidP="008251D9">
            <w:pPr>
              <w:ind w:left="0"/>
              <w:rPr>
                <w:sz w:val="20"/>
                <w:szCs w:val="20"/>
              </w:rPr>
            </w:pPr>
            <w:r w:rsidRPr="00F463DF">
              <w:rPr>
                <w:sz w:val="20"/>
                <w:szCs w:val="20"/>
              </w:rPr>
              <w:t>- zvýšenie počtu slovenských excelentných</w:t>
            </w:r>
          </w:p>
          <w:p w14:paraId="10490C24" w14:textId="77777777" w:rsidR="008251D9" w:rsidRPr="00F463DF" w:rsidRDefault="008251D9" w:rsidP="008251D9">
            <w:pPr>
              <w:ind w:left="0"/>
              <w:rPr>
                <w:sz w:val="20"/>
                <w:szCs w:val="20"/>
              </w:rPr>
            </w:pPr>
            <w:r w:rsidRPr="00F463DF">
              <w:rPr>
                <w:sz w:val="20"/>
                <w:szCs w:val="20"/>
              </w:rPr>
              <w:t>výskumníkov pracujúcich v zahraničí participujúcich</w:t>
            </w:r>
          </w:p>
          <w:p w14:paraId="5D637381" w14:textId="77777777" w:rsidR="008251D9" w:rsidRPr="00F463DF" w:rsidRDefault="008251D9" w:rsidP="008251D9">
            <w:pPr>
              <w:ind w:left="0"/>
              <w:rPr>
                <w:sz w:val="20"/>
                <w:szCs w:val="20"/>
              </w:rPr>
            </w:pPr>
            <w:r w:rsidRPr="00F463DF">
              <w:rPr>
                <w:sz w:val="20"/>
                <w:szCs w:val="20"/>
              </w:rPr>
              <w:t>na výskumných projektoch v SR;</w:t>
            </w:r>
          </w:p>
          <w:p w14:paraId="4B52FF11" w14:textId="77777777" w:rsidR="008251D9" w:rsidRPr="00F463DF" w:rsidRDefault="008251D9" w:rsidP="008251D9">
            <w:pPr>
              <w:ind w:left="0"/>
              <w:rPr>
                <w:sz w:val="20"/>
                <w:szCs w:val="20"/>
              </w:rPr>
            </w:pPr>
            <w:r w:rsidRPr="00F463DF">
              <w:rPr>
                <w:sz w:val="20"/>
                <w:szCs w:val="20"/>
              </w:rPr>
              <w:t>- vytvorenie pracovných miest v univerzitných</w:t>
            </w:r>
          </w:p>
          <w:p w14:paraId="4A101BE5" w14:textId="77777777" w:rsidR="008251D9" w:rsidRPr="00F463DF" w:rsidRDefault="008251D9" w:rsidP="008251D9">
            <w:pPr>
              <w:ind w:left="0"/>
              <w:rPr>
                <w:sz w:val="20"/>
                <w:szCs w:val="20"/>
              </w:rPr>
            </w:pPr>
            <w:r w:rsidRPr="00F463DF">
              <w:rPr>
                <w:sz w:val="20"/>
                <w:szCs w:val="20"/>
              </w:rPr>
              <w:t>vedeckých parkoch</w:t>
            </w:r>
          </w:p>
          <w:p w14:paraId="670B0F88" w14:textId="77777777" w:rsidR="008251D9" w:rsidRPr="00F463DF" w:rsidRDefault="008251D9" w:rsidP="008251D9">
            <w:pPr>
              <w:ind w:left="0"/>
              <w:rPr>
                <w:sz w:val="20"/>
                <w:szCs w:val="20"/>
              </w:rPr>
            </w:pPr>
            <w:r w:rsidRPr="00F463DF">
              <w:rPr>
                <w:sz w:val="20"/>
                <w:szCs w:val="20"/>
              </w:rPr>
              <w:t>- zvýšenie využívania nových biznis modelov;</w:t>
            </w:r>
          </w:p>
          <w:p w14:paraId="2E5FD177" w14:textId="77777777" w:rsidR="008251D9" w:rsidRPr="00F463DF" w:rsidRDefault="008251D9" w:rsidP="008251D9">
            <w:pPr>
              <w:ind w:left="0"/>
              <w:rPr>
                <w:sz w:val="20"/>
                <w:szCs w:val="20"/>
              </w:rPr>
            </w:pPr>
            <w:r w:rsidRPr="00F463DF">
              <w:rPr>
                <w:sz w:val="20"/>
                <w:szCs w:val="20"/>
              </w:rPr>
              <w:t>- zlepšenie prepojenia domácich MSP s</w:t>
            </w:r>
          </w:p>
          <w:p w14:paraId="2CF37BC7" w14:textId="77777777" w:rsidR="008251D9" w:rsidRPr="00F463DF" w:rsidRDefault="008251D9" w:rsidP="008251D9">
            <w:pPr>
              <w:ind w:left="0"/>
              <w:rPr>
                <w:sz w:val="20"/>
                <w:szCs w:val="20"/>
              </w:rPr>
            </w:pPr>
            <w:r w:rsidRPr="00F463DF">
              <w:rPr>
                <w:sz w:val="20"/>
                <w:szCs w:val="20"/>
              </w:rPr>
              <w:t>dodávateľmi pre veľké nadnárodné spoločnosti.</w:t>
            </w:r>
          </w:p>
          <w:p w14:paraId="2DB8FCAE" w14:textId="13E047F4" w:rsidR="008251D9" w:rsidRDefault="008251D9" w:rsidP="00351D17">
            <w:pPr>
              <w:tabs>
                <w:tab w:val="left" w:pos="1111"/>
              </w:tabs>
              <w:ind w:left="0"/>
              <w:rPr>
                <w:color w:val="000000" w:themeColor="text1"/>
                <w:sz w:val="20"/>
                <w:szCs w:val="20"/>
              </w:rPr>
            </w:pPr>
            <w:r w:rsidRPr="00F463DF">
              <w:rPr>
                <w:sz w:val="20"/>
                <w:szCs w:val="20"/>
              </w:rPr>
              <w:t>Súčasťou systému ukazovateľov budú aj ukazovatele týkajúce sa monitorovania energetickej úspory budov.</w:t>
            </w:r>
          </w:p>
        </w:tc>
      </w:tr>
    </w:tbl>
    <w:p w14:paraId="175B7DFA" w14:textId="32EDE87E" w:rsidR="00497BCE" w:rsidRDefault="00497BCE" w:rsidP="00854A84">
      <w:pPr>
        <w:pStyle w:val="06Normal"/>
        <w:spacing w:before="60" w:after="0"/>
        <w:rPr>
          <w:sz w:val="20"/>
          <w:lang w:eastAsia="sk-SK"/>
        </w:rPr>
      </w:pPr>
      <w:r w:rsidRPr="00566720">
        <w:rPr>
          <w:sz w:val="20"/>
          <w:u w:val="single"/>
          <w:lang w:eastAsia="sk-SK"/>
        </w:rPr>
        <w:lastRenderedPageBreak/>
        <w:t>Pozn.:</w:t>
      </w:r>
      <w:r w:rsidRPr="00566720">
        <w:rPr>
          <w:sz w:val="20"/>
          <w:lang w:eastAsia="sk-SK"/>
        </w:rPr>
        <w:t xml:space="preserve"> </w:t>
      </w:r>
      <w:r w:rsidR="006447A3">
        <w:rPr>
          <w:sz w:val="20"/>
          <w:lang w:eastAsia="sk-SK"/>
        </w:rPr>
        <w:t>*</w:t>
      </w:r>
      <w:r>
        <w:rPr>
          <w:sz w:val="20"/>
          <w:lang w:eastAsia="sk-SK"/>
        </w:rPr>
        <w:t>Potrebu vypracovať schémy štátnej pomoci predpokladá RO OPII pri investičnej priorite 7</w:t>
      </w:r>
      <w:r w:rsidR="00EC7E75">
        <w:rPr>
          <w:sz w:val="20"/>
          <w:lang w:eastAsia="sk-SK"/>
        </w:rPr>
        <w:t>i</w:t>
      </w:r>
      <w:r>
        <w:rPr>
          <w:sz w:val="20"/>
          <w:lang w:eastAsia="sk-SK"/>
        </w:rPr>
        <w:t xml:space="preserve">) </w:t>
      </w:r>
      <w:r w:rsidR="00F775FF">
        <w:rPr>
          <w:sz w:val="20"/>
          <w:lang w:eastAsia="sk-SK"/>
        </w:rPr>
        <w:t>prioritnej osi 1</w:t>
      </w:r>
      <w:r>
        <w:rPr>
          <w:sz w:val="20"/>
          <w:lang w:eastAsia="sk-SK"/>
        </w:rPr>
        <w:t>, investičnej priorite 7</w:t>
      </w:r>
      <w:r w:rsidR="00EC7E75">
        <w:rPr>
          <w:sz w:val="20"/>
          <w:lang w:eastAsia="sk-SK"/>
        </w:rPr>
        <w:t>i</w:t>
      </w:r>
      <w:r>
        <w:rPr>
          <w:sz w:val="20"/>
          <w:lang w:eastAsia="sk-SK"/>
        </w:rPr>
        <w:t xml:space="preserve">) prioritnej osi 4 a investičnej priorite 7d) prioritnej osi 5. </w:t>
      </w:r>
      <w:r w:rsidR="00854A84">
        <w:rPr>
          <w:sz w:val="20"/>
          <w:lang w:eastAsia="sk-SK"/>
        </w:rPr>
        <w:t>V ostatných prípadoch by mala byť štátna</w:t>
      </w:r>
      <w:r w:rsidR="008C1738">
        <w:rPr>
          <w:sz w:val="20"/>
          <w:lang w:eastAsia="sk-SK"/>
        </w:rPr>
        <w:t xml:space="preserve"> pomoc riešená prostredníctvom </w:t>
      </w:r>
      <w:r w:rsidR="00854A84" w:rsidRPr="00B95FD1">
        <w:rPr>
          <w:szCs w:val="22"/>
        </w:rPr>
        <w:t xml:space="preserve">nariadenia </w:t>
      </w:r>
      <w:r w:rsidR="00854A84" w:rsidRPr="00854A84">
        <w:rPr>
          <w:sz w:val="20"/>
          <w:lang w:eastAsia="sk-SK"/>
        </w:rPr>
        <w:t>EP a Rady (ES) č. 1370 z 23. októbra 2007 o službách vo verejnom záujme v železničnej a cestnej osobnej doprave, ktorým sa zrušujú nariadenia Rady (EHS) č. 1191/69 a (EHS) č. 1107/70.</w:t>
      </w:r>
    </w:p>
    <w:p w14:paraId="2BFCAE1F" w14:textId="77777777" w:rsidR="006929E2" w:rsidRDefault="006929E2"/>
    <w:p w14:paraId="17B0ADFC" w14:textId="77777777" w:rsidR="001A49CC" w:rsidRDefault="001A49CC">
      <w:r>
        <w:br w:type="page"/>
      </w:r>
    </w:p>
    <w:p w14:paraId="700F6467" w14:textId="77777777" w:rsidR="001A49CC" w:rsidRDefault="001A49CC" w:rsidP="002C1444">
      <w:pPr>
        <w:pStyle w:val="Nadpis2"/>
        <w:tabs>
          <w:tab w:val="clear" w:pos="709"/>
          <w:tab w:val="clear" w:pos="851"/>
        </w:tabs>
      </w:pPr>
      <w:bookmarkStart w:id="196" w:name="_Toc383209159"/>
      <w:bookmarkStart w:id="197" w:name="_Toc383236573"/>
      <w:bookmarkStart w:id="198" w:name="_Toc28951695"/>
      <w:r>
        <w:lastRenderedPageBreak/>
        <w:t>Aktivity na zabezpečenie splnenia všeobecných a tematických ex ante kondicionalít</w:t>
      </w:r>
      <w:bookmarkEnd w:id="196"/>
      <w:bookmarkEnd w:id="197"/>
      <w:bookmarkEnd w:id="198"/>
    </w:p>
    <w:p w14:paraId="198BA4AD" w14:textId="77777777" w:rsidR="001A49CC" w:rsidRPr="00CE2E2C" w:rsidRDefault="001A49CC" w:rsidP="006B79A7">
      <w:pPr>
        <w:pStyle w:val="Tab"/>
      </w:pPr>
      <w:r w:rsidRPr="00CE2E2C">
        <w:t>Aktivity, ktoré budú vykonané pre splnenie tematických ex ante kondicionalít</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3"/>
        <w:gridCol w:w="2834"/>
        <w:gridCol w:w="2836"/>
        <w:gridCol w:w="2836"/>
        <w:gridCol w:w="2836"/>
      </w:tblGrid>
      <w:tr w:rsidR="001A49CC" w:rsidRPr="00C35F2A" w14:paraId="0F57D8CC" w14:textId="77777777" w:rsidTr="00A127CB">
        <w:trPr>
          <w:trHeight w:val="340"/>
        </w:trPr>
        <w:tc>
          <w:tcPr>
            <w:tcW w:w="2833" w:type="dxa"/>
            <w:shd w:val="clear" w:color="auto" w:fill="C6D9F1" w:themeFill="text2" w:themeFillTint="33"/>
            <w:vAlign w:val="center"/>
          </w:tcPr>
          <w:p w14:paraId="1D3951FF" w14:textId="77777777" w:rsidR="001A49CC" w:rsidRPr="003F7110" w:rsidRDefault="001A49CC" w:rsidP="001A49CC">
            <w:pPr>
              <w:ind w:left="0"/>
              <w:jc w:val="center"/>
              <w:rPr>
                <w:sz w:val="20"/>
                <w:szCs w:val="20"/>
              </w:rPr>
            </w:pPr>
            <w:r w:rsidRPr="003F7110">
              <w:rPr>
                <w:sz w:val="20"/>
                <w:szCs w:val="20"/>
              </w:rPr>
              <w:t>Tematické ex ante kondicionality, ktoré sú nesplnené alebo splnené len čiastočne</w:t>
            </w:r>
          </w:p>
        </w:tc>
        <w:tc>
          <w:tcPr>
            <w:tcW w:w="2834" w:type="dxa"/>
            <w:shd w:val="clear" w:color="auto" w:fill="C6D9F1" w:themeFill="text2" w:themeFillTint="33"/>
            <w:vAlign w:val="center"/>
          </w:tcPr>
          <w:p w14:paraId="3B0B729D" w14:textId="77777777" w:rsidR="001A49CC" w:rsidRPr="003F7110" w:rsidRDefault="001A49CC" w:rsidP="001A49CC">
            <w:pPr>
              <w:ind w:left="0"/>
              <w:jc w:val="center"/>
              <w:rPr>
                <w:sz w:val="20"/>
                <w:szCs w:val="20"/>
              </w:rPr>
            </w:pPr>
            <w:r w:rsidRPr="003F7110">
              <w:rPr>
                <w:sz w:val="20"/>
                <w:szCs w:val="20"/>
              </w:rPr>
              <w:t>Nesplnené kritériá</w:t>
            </w:r>
          </w:p>
        </w:tc>
        <w:tc>
          <w:tcPr>
            <w:tcW w:w="2836" w:type="dxa"/>
            <w:shd w:val="clear" w:color="auto" w:fill="C6D9F1" w:themeFill="text2" w:themeFillTint="33"/>
            <w:vAlign w:val="center"/>
          </w:tcPr>
          <w:p w14:paraId="4138B5BF" w14:textId="77777777" w:rsidR="001A49CC" w:rsidRPr="003F7110" w:rsidRDefault="001A49CC" w:rsidP="001A49CC">
            <w:pPr>
              <w:ind w:left="0"/>
              <w:jc w:val="center"/>
              <w:rPr>
                <w:sz w:val="20"/>
                <w:szCs w:val="20"/>
              </w:rPr>
            </w:pPr>
            <w:r w:rsidRPr="003F7110">
              <w:rPr>
                <w:sz w:val="20"/>
                <w:szCs w:val="20"/>
              </w:rPr>
              <w:t>Plánované opatrenie</w:t>
            </w:r>
          </w:p>
        </w:tc>
        <w:tc>
          <w:tcPr>
            <w:tcW w:w="2836" w:type="dxa"/>
            <w:shd w:val="clear" w:color="auto" w:fill="C6D9F1" w:themeFill="text2" w:themeFillTint="33"/>
            <w:vAlign w:val="center"/>
          </w:tcPr>
          <w:p w14:paraId="37A12984" w14:textId="77777777" w:rsidR="001A49CC" w:rsidRPr="003F7110" w:rsidRDefault="001A49CC" w:rsidP="001A49CC">
            <w:pPr>
              <w:ind w:left="0"/>
              <w:jc w:val="center"/>
              <w:rPr>
                <w:sz w:val="20"/>
                <w:szCs w:val="20"/>
              </w:rPr>
            </w:pPr>
            <w:r>
              <w:rPr>
                <w:sz w:val="20"/>
                <w:szCs w:val="20"/>
              </w:rPr>
              <w:t>Konečný t</w:t>
            </w:r>
            <w:r w:rsidRPr="003F7110">
              <w:rPr>
                <w:sz w:val="20"/>
                <w:szCs w:val="20"/>
              </w:rPr>
              <w:t>ermín (dátum)</w:t>
            </w:r>
          </w:p>
        </w:tc>
        <w:tc>
          <w:tcPr>
            <w:tcW w:w="2836" w:type="dxa"/>
            <w:shd w:val="clear" w:color="auto" w:fill="C6D9F1" w:themeFill="text2" w:themeFillTint="33"/>
            <w:vAlign w:val="center"/>
          </w:tcPr>
          <w:p w14:paraId="3CC29195" w14:textId="77777777" w:rsidR="001A49CC" w:rsidRPr="003F7110" w:rsidRDefault="001A49CC" w:rsidP="001A49CC">
            <w:pPr>
              <w:ind w:left="0"/>
              <w:jc w:val="center"/>
              <w:rPr>
                <w:sz w:val="20"/>
                <w:szCs w:val="20"/>
              </w:rPr>
            </w:pPr>
            <w:r w:rsidRPr="003F7110">
              <w:rPr>
                <w:sz w:val="20"/>
                <w:szCs w:val="20"/>
              </w:rPr>
              <w:t>Orgány zodpovedné za splnenie</w:t>
            </w:r>
          </w:p>
        </w:tc>
      </w:tr>
      <w:tr w:rsidR="00CF2C83" w14:paraId="6D159B56" w14:textId="77777777" w:rsidTr="00CF2C83">
        <w:trPr>
          <w:trHeight w:val="1493"/>
        </w:trPr>
        <w:tc>
          <w:tcPr>
            <w:tcW w:w="2833" w:type="dxa"/>
            <w:vMerge w:val="restart"/>
            <w:vAlign w:val="center"/>
          </w:tcPr>
          <w:p w14:paraId="3824D184" w14:textId="77777777" w:rsidR="00CF2C83" w:rsidRPr="00237788" w:rsidRDefault="00CF2C83" w:rsidP="001A49CC">
            <w:pPr>
              <w:ind w:left="0"/>
              <w:rPr>
                <w:color w:val="FF0000"/>
                <w:sz w:val="20"/>
                <w:szCs w:val="20"/>
              </w:rPr>
            </w:pPr>
            <w:r w:rsidRPr="00364ECC">
              <w:rPr>
                <w:sz w:val="20"/>
                <w:szCs w:val="20"/>
              </w:rPr>
              <w:t>7.1. Doprava: Existencia komplexného plánu alebo plánov alebo rámca či rámcov pre dopravné investície v súlade s inštitucionálnou štruktúrou členských štátov (vrátane verejnej dopravy na regionálnej a miestnej úrovni), ktorý podporuje rozvoj infraštruktúry a zlepšuje prepojenie na úplnú a základnú sieť TEN-T.</w:t>
            </w:r>
          </w:p>
        </w:tc>
        <w:tc>
          <w:tcPr>
            <w:tcW w:w="2834" w:type="dxa"/>
            <w:vMerge w:val="restart"/>
          </w:tcPr>
          <w:p w14:paraId="778692C3" w14:textId="77777777" w:rsidR="00CF2C83" w:rsidRPr="00566720" w:rsidRDefault="00CF2C83" w:rsidP="001A49CC">
            <w:pPr>
              <w:spacing w:before="20" w:after="20"/>
              <w:ind w:left="0"/>
              <w:rPr>
                <w:sz w:val="20"/>
                <w:szCs w:val="20"/>
              </w:rPr>
            </w:pPr>
            <w:r w:rsidRPr="00364ECC">
              <w:rPr>
                <w:sz w:val="20"/>
                <w:szCs w:val="20"/>
              </w:rPr>
              <w:t>Existuje komplexný plán či plány alebo rámec či rámce pre dopravné investície, ktoré spĺňajú právne požiadavky na strategické environmentálne posúdenie a stanovujú:</w:t>
            </w:r>
          </w:p>
        </w:tc>
        <w:tc>
          <w:tcPr>
            <w:tcW w:w="2836" w:type="dxa"/>
          </w:tcPr>
          <w:p w14:paraId="00B92C91" w14:textId="77777777" w:rsidR="00CF2C83" w:rsidRPr="00756D41" w:rsidRDefault="00CF2C83" w:rsidP="00197539">
            <w:pPr>
              <w:spacing w:before="20" w:after="20"/>
              <w:ind w:left="0"/>
              <w:rPr>
                <w:sz w:val="20"/>
                <w:szCs w:val="20"/>
              </w:rPr>
            </w:pPr>
            <w:r w:rsidRPr="00364ECC">
              <w:rPr>
                <w:sz w:val="20"/>
                <w:szCs w:val="20"/>
              </w:rPr>
              <w:t>Zabezpečenie dopravného modelu SR za účelom účinnejšieho posúdenia potrieb a efektívnejšieho plánovania ďalšieho rozvoja dopravnej infraštruktúry SR.</w:t>
            </w:r>
          </w:p>
        </w:tc>
        <w:tc>
          <w:tcPr>
            <w:tcW w:w="2836" w:type="dxa"/>
          </w:tcPr>
          <w:p w14:paraId="5AEF758A" w14:textId="77777777" w:rsidR="00CF2C83" w:rsidRPr="00756D41" w:rsidRDefault="002F71A6" w:rsidP="002F71A6">
            <w:pPr>
              <w:spacing w:before="20"/>
              <w:ind w:left="0"/>
              <w:jc w:val="center"/>
              <w:rPr>
                <w:sz w:val="20"/>
                <w:szCs w:val="20"/>
              </w:rPr>
            </w:pPr>
            <w:r>
              <w:rPr>
                <w:sz w:val="20"/>
                <w:szCs w:val="20"/>
              </w:rPr>
              <w:t>31.10.</w:t>
            </w:r>
            <w:r w:rsidR="00CF2C83">
              <w:rPr>
                <w:sz w:val="20"/>
                <w:szCs w:val="20"/>
              </w:rPr>
              <w:t>2015</w:t>
            </w:r>
          </w:p>
        </w:tc>
        <w:tc>
          <w:tcPr>
            <w:tcW w:w="2836" w:type="dxa"/>
          </w:tcPr>
          <w:p w14:paraId="2F7D182F" w14:textId="77777777" w:rsidR="00CF2C83" w:rsidRPr="00566720" w:rsidRDefault="00CF2C83" w:rsidP="001A49CC">
            <w:pPr>
              <w:spacing w:before="20"/>
              <w:ind w:left="0"/>
              <w:rPr>
                <w:sz w:val="20"/>
                <w:szCs w:val="20"/>
              </w:rPr>
            </w:pPr>
            <w:r w:rsidRPr="00364ECC">
              <w:rPr>
                <w:sz w:val="20"/>
                <w:szCs w:val="20"/>
              </w:rPr>
              <w:t>MDVRR SR (sekcia záležitostí EÚ a zahraničných vzťahov v spolupráci so sekciou Operačného programu Doprava)</w:t>
            </w:r>
          </w:p>
        </w:tc>
      </w:tr>
      <w:tr w:rsidR="00CF2C83" w14:paraId="0DE02D7F" w14:textId="77777777" w:rsidTr="00A127CB">
        <w:trPr>
          <w:trHeight w:val="1179"/>
        </w:trPr>
        <w:tc>
          <w:tcPr>
            <w:tcW w:w="2833" w:type="dxa"/>
            <w:vMerge/>
            <w:vAlign w:val="center"/>
          </w:tcPr>
          <w:p w14:paraId="70F53165" w14:textId="77777777" w:rsidR="00CF2C83" w:rsidRPr="00237788" w:rsidRDefault="00CF2C83" w:rsidP="001A49CC">
            <w:pPr>
              <w:rPr>
                <w:color w:val="FF0000"/>
                <w:sz w:val="20"/>
                <w:szCs w:val="20"/>
              </w:rPr>
            </w:pPr>
          </w:p>
        </w:tc>
        <w:tc>
          <w:tcPr>
            <w:tcW w:w="2834" w:type="dxa"/>
            <w:vMerge/>
          </w:tcPr>
          <w:p w14:paraId="0974D2FA" w14:textId="77777777" w:rsidR="00CF2C83" w:rsidRPr="00566720" w:rsidRDefault="00CF2C83" w:rsidP="001A49CC">
            <w:pPr>
              <w:spacing w:before="20"/>
              <w:ind w:left="0"/>
              <w:rPr>
                <w:sz w:val="20"/>
                <w:szCs w:val="20"/>
              </w:rPr>
            </w:pPr>
          </w:p>
        </w:tc>
        <w:tc>
          <w:tcPr>
            <w:tcW w:w="2836" w:type="dxa"/>
          </w:tcPr>
          <w:p w14:paraId="61CE67DB" w14:textId="77777777" w:rsidR="00CF2C83" w:rsidRPr="00566720" w:rsidRDefault="00CF2C83" w:rsidP="001A49CC">
            <w:pPr>
              <w:spacing w:before="20" w:after="20"/>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14:paraId="46732EC0" w14:textId="77777777" w:rsidR="00CF2C83" w:rsidRPr="00566720" w:rsidRDefault="002F71A6" w:rsidP="001A49CC">
            <w:pPr>
              <w:spacing w:before="20"/>
              <w:ind w:left="0"/>
              <w:jc w:val="center"/>
              <w:rPr>
                <w:sz w:val="20"/>
                <w:szCs w:val="20"/>
              </w:rPr>
            </w:pPr>
            <w:r>
              <w:rPr>
                <w:sz w:val="20"/>
                <w:szCs w:val="20"/>
              </w:rPr>
              <w:t>30.6.</w:t>
            </w:r>
            <w:r w:rsidR="00CF2C83">
              <w:rPr>
                <w:sz w:val="20"/>
                <w:szCs w:val="20"/>
              </w:rPr>
              <w:t>2016</w:t>
            </w:r>
          </w:p>
          <w:p w14:paraId="4BD54EB2" w14:textId="77777777" w:rsidR="00CF2C83" w:rsidRPr="00566720" w:rsidRDefault="00CF2C83" w:rsidP="001A49CC">
            <w:pPr>
              <w:ind w:left="0"/>
              <w:rPr>
                <w:sz w:val="20"/>
                <w:szCs w:val="20"/>
              </w:rPr>
            </w:pPr>
          </w:p>
        </w:tc>
        <w:tc>
          <w:tcPr>
            <w:tcW w:w="2836" w:type="dxa"/>
          </w:tcPr>
          <w:p w14:paraId="5138DF6D" w14:textId="77777777" w:rsidR="00CF2C83" w:rsidRPr="00566720" w:rsidRDefault="00CF2C83" w:rsidP="001A49CC">
            <w:pPr>
              <w:spacing w:before="20"/>
              <w:ind w:left="0"/>
            </w:pPr>
            <w:r w:rsidRPr="00364ECC">
              <w:rPr>
                <w:sz w:val="20"/>
                <w:szCs w:val="20"/>
              </w:rPr>
              <w:t>MDVRR SR (Inštitút stratégie v spolupráci so sekciou Operačného programu Doprava a ostatnými odbornými útvarmi ministerstva)</w:t>
            </w:r>
          </w:p>
        </w:tc>
      </w:tr>
      <w:tr w:rsidR="00CF2C83" w14:paraId="6BD5BB44" w14:textId="77777777" w:rsidTr="00A127CB">
        <w:trPr>
          <w:trHeight w:val="1179"/>
        </w:trPr>
        <w:tc>
          <w:tcPr>
            <w:tcW w:w="2833" w:type="dxa"/>
            <w:vMerge/>
            <w:vAlign w:val="center"/>
          </w:tcPr>
          <w:p w14:paraId="6C3E0CE4" w14:textId="77777777" w:rsidR="00CF2C83" w:rsidRPr="00237788" w:rsidRDefault="00CF2C83" w:rsidP="001A49CC">
            <w:pPr>
              <w:rPr>
                <w:color w:val="FF0000"/>
                <w:sz w:val="20"/>
                <w:szCs w:val="20"/>
              </w:rPr>
            </w:pPr>
          </w:p>
        </w:tc>
        <w:tc>
          <w:tcPr>
            <w:tcW w:w="2834" w:type="dxa"/>
            <w:vMerge/>
          </w:tcPr>
          <w:p w14:paraId="23818A08" w14:textId="77777777" w:rsidR="00CF2C83" w:rsidRPr="00566720" w:rsidRDefault="00CF2C83" w:rsidP="001A49CC">
            <w:pPr>
              <w:spacing w:before="20"/>
              <w:rPr>
                <w:sz w:val="20"/>
                <w:szCs w:val="20"/>
              </w:rPr>
            </w:pPr>
          </w:p>
        </w:tc>
        <w:tc>
          <w:tcPr>
            <w:tcW w:w="2836" w:type="dxa"/>
          </w:tcPr>
          <w:p w14:paraId="3B990A7B" w14:textId="77777777" w:rsidR="00CF2C83" w:rsidRPr="00364ECC" w:rsidRDefault="00CF2C83" w:rsidP="00197539">
            <w:pPr>
              <w:spacing w:before="20" w:after="20"/>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14:paraId="7933E5A6" w14:textId="77777777" w:rsidR="00CF2C83" w:rsidRDefault="002F71A6" w:rsidP="002F71A6">
            <w:pPr>
              <w:spacing w:before="20"/>
              <w:ind w:left="0"/>
              <w:jc w:val="center"/>
              <w:rPr>
                <w:sz w:val="20"/>
                <w:szCs w:val="20"/>
              </w:rPr>
            </w:pPr>
            <w:r>
              <w:rPr>
                <w:sz w:val="20"/>
                <w:szCs w:val="20"/>
              </w:rPr>
              <w:t>31.10.</w:t>
            </w:r>
            <w:r w:rsidR="00CF2C83" w:rsidRPr="00364ECC">
              <w:rPr>
                <w:sz w:val="20"/>
                <w:szCs w:val="20"/>
              </w:rPr>
              <w:t>2016</w:t>
            </w:r>
          </w:p>
        </w:tc>
        <w:tc>
          <w:tcPr>
            <w:tcW w:w="2836" w:type="dxa"/>
          </w:tcPr>
          <w:p w14:paraId="56FE10C2" w14:textId="77777777" w:rsidR="00CF2C83" w:rsidRPr="00F1198B" w:rsidRDefault="00CF2C83" w:rsidP="001A49CC">
            <w:pPr>
              <w:ind w:left="0"/>
              <w:rPr>
                <w:sz w:val="16"/>
                <w:szCs w:val="16"/>
              </w:rPr>
            </w:pPr>
            <w:r w:rsidRPr="00364ECC">
              <w:rPr>
                <w:sz w:val="20"/>
                <w:szCs w:val="20"/>
              </w:rPr>
              <w:t>MDVRR SR (Inštitút stratégie v spolupráci so sekciou Operačného programu Doprava)</w:t>
            </w:r>
          </w:p>
        </w:tc>
      </w:tr>
      <w:tr w:rsidR="00CF2C83" w14:paraId="6BBC0343" w14:textId="77777777" w:rsidTr="00A127CB">
        <w:trPr>
          <w:trHeight w:val="1179"/>
        </w:trPr>
        <w:tc>
          <w:tcPr>
            <w:tcW w:w="2833" w:type="dxa"/>
            <w:vMerge/>
            <w:vAlign w:val="center"/>
          </w:tcPr>
          <w:p w14:paraId="017E02EA" w14:textId="77777777" w:rsidR="00CF2C83" w:rsidRPr="00237788" w:rsidRDefault="00CF2C83" w:rsidP="001A49CC">
            <w:pPr>
              <w:rPr>
                <w:color w:val="FF0000"/>
                <w:sz w:val="20"/>
                <w:szCs w:val="20"/>
              </w:rPr>
            </w:pPr>
          </w:p>
        </w:tc>
        <w:tc>
          <w:tcPr>
            <w:tcW w:w="2834" w:type="dxa"/>
            <w:vMerge/>
          </w:tcPr>
          <w:p w14:paraId="5A426B00" w14:textId="77777777" w:rsidR="00CF2C83" w:rsidRPr="00566720" w:rsidRDefault="00CF2C83" w:rsidP="001A49CC">
            <w:pPr>
              <w:spacing w:before="20"/>
              <w:rPr>
                <w:sz w:val="20"/>
                <w:szCs w:val="20"/>
              </w:rPr>
            </w:pPr>
          </w:p>
        </w:tc>
        <w:tc>
          <w:tcPr>
            <w:tcW w:w="2836" w:type="dxa"/>
          </w:tcPr>
          <w:p w14:paraId="410FCE58" w14:textId="77777777" w:rsidR="00CF2C83" w:rsidRPr="00364ECC" w:rsidRDefault="00CF2C83" w:rsidP="00197539">
            <w:pPr>
              <w:spacing w:before="20" w:after="20"/>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14:paraId="166BE821" w14:textId="77777777" w:rsidR="00CF2C83" w:rsidRDefault="002F71A6" w:rsidP="002F71A6">
            <w:pPr>
              <w:spacing w:before="20"/>
              <w:ind w:left="0"/>
              <w:jc w:val="center"/>
              <w:rPr>
                <w:sz w:val="20"/>
                <w:szCs w:val="20"/>
              </w:rPr>
            </w:pPr>
            <w:r>
              <w:rPr>
                <w:sz w:val="20"/>
                <w:szCs w:val="20"/>
              </w:rPr>
              <w:t>30.11.</w:t>
            </w:r>
            <w:r w:rsidR="00CF2C83" w:rsidRPr="00364ECC">
              <w:rPr>
                <w:sz w:val="20"/>
                <w:szCs w:val="20"/>
              </w:rPr>
              <w:t>2016</w:t>
            </w:r>
          </w:p>
        </w:tc>
        <w:tc>
          <w:tcPr>
            <w:tcW w:w="2836" w:type="dxa"/>
          </w:tcPr>
          <w:p w14:paraId="44B4EB84" w14:textId="77777777" w:rsidR="00CF2C83" w:rsidRPr="00364ECC" w:rsidRDefault="00CF2C83" w:rsidP="001A49CC">
            <w:pPr>
              <w:spacing w:before="20"/>
              <w:ind w:left="0"/>
              <w:rPr>
                <w:sz w:val="20"/>
                <w:szCs w:val="20"/>
              </w:rPr>
            </w:pPr>
            <w:r w:rsidRPr="00364ECC">
              <w:rPr>
                <w:sz w:val="20"/>
                <w:szCs w:val="20"/>
              </w:rPr>
              <w:t>MDVRR SR (Inštitút stratégie v spolupráci so sekciou Operačného programu</w:t>
            </w:r>
            <w:r>
              <w:rPr>
                <w:sz w:val="20"/>
                <w:szCs w:val="20"/>
              </w:rPr>
              <w:t xml:space="preserve"> Doprava)</w:t>
            </w:r>
          </w:p>
        </w:tc>
      </w:tr>
      <w:tr w:rsidR="00CF2C83" w14:paraId="60257C51" w14:textId="77777777" w:rsidTr="00A127CB">
        <w:trPr>
          <w:trHeight w:val="1179"/>
        </w:trPr>
        <w:tc>
          <w:tcPr>
            <w:tcW w:w="2833" w:type="dxa"/>
            <w:vMerge/>
            <w:vAlign w:val="center"/>
          </w:tcPr>
          <w:p w14:paraId="26D61927" w14:textId="77777777" w:rsidR="00CF2C83" w:rsidRPr="00237788" w:rsidRDefault="00CF2C83" w:rsidP="001A49CC">
            <w:pPr>
              <w:rPr>
                <w:color w:val="FF0000"/>
                <w:sz w:val="20"/>
                <w:szCs w:val="20"/>
              </w:rPr>
            </w:pPr>
          </w:p>
        </w:tc>
        <w:tc>
          <w:tcPr>
            <w:tcW w:w="2834" w:type="dxa"/>
            <w:vMerge/>
          </w:tcPr>
          <w:p w14:paraId="7E8FB1B9" w14:textId="77777777" w:rsidR="00CF2C83" w:rsidRPr="00566720" w:rsidRDefault="00CF2C83" w:rsidP="001A49CC">
            <w:pPr>
              <w:spacing w:before="20"/>
              <w:rPr>
                <w:sz w:val="20"/>
                <w:szCs w:val="20"/>
              </w:rPr>
            </w:pPr>
          </w:p>
        </w:tc>
        <w:tc>
          <w:tcPr>
            <w:tcW w:w="2836" w:type="dxa"/>
          </w:tcPr>
          <w:p w14:paraId="69A20E20" w14:textId="77777777" w:rsidR="00CF2C83" w:rsidRPr="00364ECC" w:rsidRDefault="00CF2C83" w:rsidP="001A49CC">
            <w:pPr>
              <w:spacing w:before="20" w:after="20"/>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14:paraId="0904CEA6" w14:textId="77777777" w:rsidR="00CF2C83" w:rsidRDefault="002F71A6" w:rsidP="002F71A6">
            <w:pPr>
              <w:spacing w:before="20"/>
              <w:ind w:left="0"/>
              <w:jc w:val="center"/>
              <w:rPr>
                <w:sz w:val="20"/>
                <w:szCs w:val="20"/>
              </w:rPr>
            </w:pPr>
            <w:r>
              <w:rPr>
                <w:sz w:val="20"/>
                <w:szCs w:val="20"/>
              </w:rPr>
              <w:t>31.12.</w:t>
            </w:r>
            <w:r w:rsidR="00CF2C83" w:rsidRPr="00364ECC">
              <w:rPr>
                <w:sz w:val="20"/>
                <w:szCs w:val="20"/>
              </w:rPr>
              <w:t>2016</w:t>
            </w:r>
          </w:p>
        </w:tc>
        <w:tc>
          <w:tcPr>
            <w:tcW w:w="2836" w:type="dxa"/>
          </w:tcPr>
          <w:p w14:paraId="187874CC" w14:textId="77777777" w:rsidR="00CF2C83" w:rsidRPr="00364ECC" w:rsidRDefault="00CF2C83" w:rsidP="001A49CC">
            <w:pPr>
              <w:spacing w:before="20"/>
              <w:ind w:left="0"/>
              <w:rPr>
                <w:sz w:val="20"/>
                <w:szCs w:val="20"/>
              </w:rPr>
            </w:pPr>
            <w:r w:rsidRPr="00364ECC">
              <w:rPr>
                <w:sz w:val="20"/>
                <w:szCs w:val="20"/>
              </w:rPr>
              <w:t>MDVRR SR (Inštitút stratégie v spolupráci so sekciou Operačného programu Doprava)</w:t>
            </w:r>
          </w:p>
        </w:tc>
      </w:tr>
      <w:tr w:rsidR="00CF2C83" w14:paraId="0A75DE83" w14:textId="77777777" w:rsidTr="00CF2C83">
        <w:trPr>
          <w:trHeight w:val="1555"/>
        </w:trPr>
        <w:tc>
          <w:tcPr>
            <w:tcW w:w="2833" w:type="dxa"/>
            <w:vMerge/>
            <w:tcBorders>
              <w:bottom w:val="single" w:sz="2" w:space="0" w:color="auto"/>
            </w:tcBorders>
            <w:vAlign w:val="center"/>
          </w:tcPr>
          <w:p w14:paraId="191F10D6" w14:textId="77777777" w:rsidR="00CF2C83" w:rsidRPr="00237788" w:rsidRDefault="00CF2C83" w:rsidP="001A49CC">
            <w:pPr>
              <w:rPr>
                <w:color w:val="FF0000"/>
                <w:sz w:val="20"/>
                <w:szCs w:val="20"/>
              </w:rPr>
            </w:pPr>
          </w:p>
        </w:tc>
        <w:tc>
          <w:tcPr>
            <w:tcW w:w="2834" w:type="dxa"/>
            <w:vMerge/>
            <w:tcBorders>
              <w:bottom w:val="single" w:sz="2" w:space="0" w:color="auto"/>
            </w:tcBorders>
          </w:tcPr>
          <w:p w14:paraId="57D59A50" w14:textId="77777777" w:rsidR="00CF2C83" w:rsidRPr="00566720" w:rsidRDefault="00CF2C83" w:rsidP="001A49CC">
            <w:pPr>
              <w:spacing w:before="20"/>
              <w:rPr>
                <w:sz w:val="20"/>
                <w:szCs w:val="20"/>
              </w:rPr>
            </w:pPr>
          </w:p>
        </w:tc>
        <w:tc>
          <w:tcPr>
            <w:tcW w:w="2836" w:type="dxa"/>
            <w:tcBorders>
              <w:bottom w:val="single" w:sz="2" w:space="0" w:color="auto"/>
            </w:tcBorders>
          </w:tcPr>
          <w:p w14:paraId="388DCE39" w14:textId="77777777" w:rsidR="00CF2C83" w:rsidRPr="00364ECC" w:rsidRDefault="00CF2C83" w:rsidP="001A49CC">
            <w:pPr>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Borders>
              <w:bottom w:val="single" w:sz="2" w:space="0" w:color="auto"/>
            </w:tcBorders>
          </w:tcPr>
          <w:p w14:paraId="332D2E69" w14:textId="77777777" w:rsidR="00CF2C83" w:rsidRPr="00364ECC" w:rsidRDefault="002F71A6" w:rsidP="002F71A6">
            <w:pPr>
              <w:ind w:left="0"/>
              <w:jc w:val="center"/>
              <w:rPr>
                <w:sz w:val="20"/>
                <w:szCs w:val="20"/>
              </w:rPr>
            </w:pPr>
            <w:r>
              <w:rPr>
                <w:sz w:val="20"/>
                <w:szCs w:val="20"/>
              </w:rPr>
              <w:t>31.12.</w:t>
            </w:r>
            <w:r w:rsidR="00CF2C83" w:rsidRPr="00364ECC">
              <w:rPr>
                <w:sz w:val="20"/>
                <w:szCs w:val="20"/>
              </w:rPr>
              <w:t>2016</w:t>
            </w:r>
          </w:p>
        </w:tc>
        <w:tc>
          <w:tcPr>
            <w:tcW w:w="2836" w:type="dxa"/>
            <w:tcBorders>
              <w:bottom w:val="single" w:sz="2" w:space="0" w:color="auto"/>
            </w:tcBorders>
          </w:tcPr>
          <w:p w14:paraId="675A337B" w14:textId="77777777" w:rsidR="00CF2C83" w:rsidRPr="00364ECC" w:rsidRDefault="00CF2C83" w:rsidP="001A49CC">
            <w:pPr>
              <w:ind w:left="0"/>
              <w:rPr>
                <w:sz w:val="20"/>
                <w:szCs w:val="20"/>
              </w:rPr>
            </w:pPr>
            <w:r w:rsidRPr="00364ECC">
              <w:rPr>
                <w:sz w:val="20"/>
                <w:szCs w:val="20"/>
              </w:rPr>
              <w:t>MDVRR SR (Inštitút stratégie v spolupráci so sekciou Operačného programu Doprava)</w:t>
            </w:r>
          </w:p>
        </w:tc>
      </w:tr>
      <w:tr w:rsidR="00B24E88" w14:paraId="5C2A26E9" w14:textId="77777777" w:rsidTr="00AB582D">
        <w:trPr>
          <w:trHeight w:val="2100"/>
        </w:trPr>
        <w:tc>
          <w:tcPr>
            <w:tcW w:w="2833" w:type="dxa"/>
            <w:vMerge/>
            <w:vAlign w:val="center"/>
          </w:tcPr>
          <w:p w14:paraId="66E5FF7C" w14:textId="77777777" w:rsidR="00B24E88" w:rsidRPr="00237788" w:rsidRDefault="00B24E88" w:rsidP="001A49CC">
            <w:pPr>
              <w:rPr>
                <w:color w:val="FF0000"/>
                <w:sz w:val="20"/>
                <w:szCs w:val="20"/>
              </w:rPr>
            </w:pPr>
          </w:p>
        </w:tc>
        <w:tc>
          <w:tcPr>
            <w:tcW w:w="2834" w:type="dxa"/>
          </w:tcPr>
          <w:p w14:paraId="20872538" w14:textId="77777777" w:rsidR="00B24E88" w:rsidRPr="00C63BEC" w:rsidRDefault="00B24E88" w:rsidP="00B24E88">
            <w:pPr>
              <w:spacing w:before="20"/>
              <w:ind w:left="0"/>
              <w:rPr>
                <w:sz w:val="20"/>
                <w:szCs w:val="20"/>
              </w:rPr>
            </w:pPr>
            <w:r w:rsidRPr="00C63BEC">
              <w:rPr>
                <w:sz w:val="20"/>
                <w:szCs w:val="20"/>
              </w:rPr>
              <w:t>- príspevok k jednotnému európskemu dopravnému priestoru v súlade s článkom 10 nariadenia Európskeho parlamentu a Rady (EÚ) č. 1315/2013 vrátane priorít pre investície do</w:t>
            </w:r>
          </w:p>
          <w:p w14:paraId="7BABA1C4" w14:textId="4E1196A9" w:rsidR="00B24E88" w:rsidRPr="00C63BEC" w:rsidRDefault="00B24E88" w:rsidP="00B24E88">
            <w:pPr>
              <w:spacing w:before="20"/>
              <w:ind w:left="0"/>
              <w:rPr>
                <w:sz w:val="20"/>
                <w:szCs w:val="20"/>
              </w:rPr>
            </w:pPr>
            <w:r w:rsidRPr="00C63BEC">
              <w:rPr>
                <w:sz w:val="20"/>
                <w:szCs w:val="20"/>
              </w:rPr>
              <w:t>- sekundárnej siete</w:t>
            </w:r>
          </w:p>
        </w:tc>
        <w:tc>
          <w:tcPr>
            <w:tcW w:w="2836" w:type="dxa"/>
          </w:tcPr>
          <w:p w14:paraId="0269E6E6" w14:textId="77777777" w:rsidR="00B24E88" w:rsidRPr="00C63BEC" w:rsidRDefault="00B24E88" w:rsidP="007114D2">
            <w:pPr>
              <w:pStyle w:val="Odsekzoznamu"/>
              <w:ind w:left="0"/>
              <w:rPr>
                <w:sz w:val="20"/>
                <w:szCs w:val="20"/>
              </w:rPr>
            </w:pPr>
            <w:r w:rsidRPr="00C63BEC">
              <w:rPr>
                <w:sz w:val="20"/>
                <w:szCs w:val="20"/>
              </w:rPr>
              <w:t>Vypracovanie strategického plánu rozvoja a údržby ciest II. a III. triedy</w:t>
            </w:r>
          </w:p>
        </w:tc>
        <w:tc>
          <w:tcPr>
            <w:tcW w:w="2836" w:type="dxa"/>
          </w:tcPr>
          <w:p w14:paraId="33CBC16C" w14:textId="77777777" w:rsidR="00B24E88" w:rsidRPr="00C63BEC" w:rsidRDefault="00B24E88" w:rsidP="00B24E88">
            <w:pPr>
              <w:ind w:left="0"/>
              <w:jc w:val="center"/>
              <w:rPr>
                <w:sz w:val="20"/>
                <w:szCs w:val="20"/>
              </w:rPr>
            </w:pPr>
            <w:r w:rsidRPr="00C63BEC">
              <w:rPr>
                <w:sz w:val="20"/>
                <w:szCs w:val="20"/>
              </w:rPr>
              <w:t>31.12.2014</w:t>
            </w:r>
          </w:p>
        </w:tc>
        <w:tc>
          <w:tcPr>
            <w:tcW w:w="2836" w:type="dxa"/>
          </w:tcPr>
          <w:p w14:paraId="2AC82B19" w14:textId="77777777"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B24E88" w14:paraId="270E9280" w14:textId="77777777" w:rsidTr="00B24E88">
        <w:trPr>
          <w:trHeight w:val="1010"/>
        </w:trPr>
        <w:tc>
          <w:tcPr>
            <w:tcW w:w="2833" w:type="dxa"/>
            <w:vMerge/>
            <w:vAlign w:val="center"/>
          </w:tcPr>
          <w:p w14:paraId="5823A7C3" w14:textId="77777777" w:rsidR="00B24E88" w:rsidRPr="00237788" w:rsidRDefault="00B24E88" w:rsidP="001A49CC">
            <w:pPr>
              <w:rPr>
                <w:color w:val="FF0000"/>
                <w:sz w:val="20"/>
                <w:szCs w:val="20"/>
              </w:rPr>
            </w:pPr>
          </w:p>
        </w:tc>
        <w:tc>
          <w:tcPr>
            <w:tcW w:w="2834" w:type="dxa"/>
          </w:tcPr>
          <w:p w14:paraId="6AE7CBFD" w14:textId="77777777" w:rsidR="00B24E88" w:rsidRPr="00C63BEC" w:rsidRDefault="00B24E88" w:rsidP="00B24E88">
            <w:pPr>
              <w:spacing w:before="20"/>
              <w:ind w:left="0"/>
              <w:rPr>
                <w:sz w:val="20"/>
                <w:szCs w:val="20"/>
              </w:rPr>
            </w:pPr>
            <w:r w:rsidRPr="00C63BEC">
              <w:rPr>
                <w:sz w:val="20"/>
                <w:szCs w:val="20"/>
              </w:rPr>
              <w:t>- realistickú a kvalitnú realizáciu projektov, pri ktorých sa počíta s podporou zo strany EFRR a Kohézneho fondu</w:t>
            </w:r>
            <w:r w:rsidRPr="00C63BEC">
              <w:rPr>
                <w:rFonts w:cs="EUAlbertina"/>
                <w:color w:val="000000"/>
                <w:sz w:val="17"/>
                <w:szCs w:val="17"/>
              </w:rPr>
              <w:t xml:space="preserve"> .</w:t>
            </w:r>
          </w:p>
        </w:tc>
        <w:tc>
          <w:tcPr>
            <w:tcW w:w="2836" w:type="dxa"/>
          </w:tcPr>
          <w:p w14:paraId="5989952E" w14:textId="77777777" w:rsidR="00B24E88" w:rsidRPr="00C63BEC" w:rsidRDefault="00B24E88" w:rsidP="00B24E88">
            <w:pPr>
              <w:autoSpaceDE w:val="0"/>
              <w:autoSpaceDN w:val="0"/>
              <w:adjustRightInd w:val="0"/>
              <w:ind w:left="0"/>
              <w:rPr>
                <w:sz w:val="20"/>
                <w:szCs w:val="20"/>
              </w:rPr>
            </w:pPr>
            <w:r w:rsidRPr="00C63BEC">
              <w:rPr>
                <w:sz w:val="20"/>
                <w:szCs w:val="20"/>
              </w:rPr>
              <w:t>Vypracovanie implementačného plánu projektov financovaných z KF, EFRR a CEF ako súčasť Akčného plánu pre naplnenie ex ante kondicionality č. 7 na základe formy definovanej v Guidance Note EK k obsahu</w:t>
            </w:r>
          </w:p>
          <w:p w14:paraId="0E2CF1B0" w14:textId="77777777" w:rsidR="00B24E88" w:rsidRPr="00C63BEC" w:rsidRDefault="00B24E88" w:rsidP="00B24E88">
            <w:pPr>
              <w:pStyle w:val="Odsekzoznamu"/>
              <w:ind w:left="0"/>
              <w:rPr>
                <w:sz w:val="20"/>
                <w:szCs w:val="20"/>
              </w:rPr>
            </w:pPr>
            <w:r w:rsidRPr="00C63BEC">
              <w:rPr>
                <w:sz w:val="20"/>
                <w:szCs w:val="20"/>
              </w:rPr>
              <w:t>Akčných plánov</w:t>
            </w:r>
          </w:p>
        </w:tc>
        <w:tc>
          <w:tcPr>
            <w:tcW w:w="2836" w:type="dxa"/>
          </w:tcPr>
          <w:p w14:paraId="6D409698" w14:textId="77777777" w:rsidR="00B24E88" w:rsidRPr="00C63BEC" w:rsidRDefault="00B24E88" w:rsidP="00B24E88">
            <w:pPr>
              <w:ind w:left="0"/>
              <w:jc w:val="center"/>
              <w:rPr>
                <w:sz w:val="20"/>
                <w:szCs w:val="20"/>
              </w:rPr>
            </w:pPr>
            <w:r w:rsidRPr="00C63BEC">
              <w:rPr>
                <w:sz w:val="20"/>
                <w:szCs w:val="20"/>
              </w:rPr>
              <w:t>31.1.2015</w:t>
            </w:r>
          </w:p>
        </w:tc>
        <w:tc>
          <w:tcPr>
            <w:tcW w:w="2836" w:type="dxa"/>
          </w:tcPr>
          <w:p w14:paraId="61DE451F" w14:textId="77777777"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CF2C83" w14:paraId="4CBA8FEE" w14:textId="77777777" w:rsidTr="00B24E88">
        <w:trPr>
          <w:trHeight w:val="1266"/>
        </w:trPr>
        <w:tc>
          <w:tcPr>
            <w:tcW w:w="2833" w:type="dxa"/>
            <w:vMerge/>
            <w:vAlign w:val="center"/>
          </w:tcPr>
          <w:p w14:paraId="751702FA" w14:textId="77777777" w:rsidR="00CF2C83" w:rsidRPr="00237788" w:rsidRDefault="00CF2C83" w:rsidP="001A49CC">
            <w:pPr>
              <w:rPr>
                <w:color w:val="FF0000"/>
                <w:sz w:val="20"/>
                <w:szCs w:val="20"/>
              </w:rPr>
            </w:pPr>
          </w:p>
        </w:tc>
        <w:tc>
          <w:tcPr>
            <w:tcW w:w="2834" w:type="dxa"/>
          </w:tcPr>
          <w:p w14:paraId="0EDA1FCB" w14:textId="77777777" w:rsidR="00CF2C83" w:rsidRPr="00566720" w:rsidRDefault="00CF2C83" w:rsidP="001A49CC">
            <w:pPr>
              <w:spacing w:before="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14:paraId="610262AB" w14:textId="77777777"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14:paraId="3390359B" w14:textId="77777777" w:rsidR="00CF2C83" w:rsidRPr="00364ECC" w:rsidRDefault="002F71A6" w:rsidP="002F71A6">
            <w:pPr>
              <w:ind w:left="0"/>
              <w:jc w:val="center"/>
              <w:rPr>
                <w:sz w:val="20"/>
                <w:szCs w:val="20"/>
              </w:rPr>
            </w:pPr>
            <w:r>
              <w:rPr>
                <w:sz w:val="20"/>
                <w:szCs w:val="20"/>
              </w:rPr>
              <w:t>31.10.</w:t>
            </w:r>
            <w:r w:rsidR="00CF2C83" w:rsidRPr="00364ECC">
              <w:rPr>
                <w:sz w:val="20"/>
                <w:szCs w:val="20"/>
              </w:rPr>
              <w:t>2014</w:t>
            </w:r>
          </w:p>
        </w:tc>
        <w:tc>
          <w:tcPr>
            <w:tcW w:w="2836" w:type="dxa"/>
          </w:tcPr>
          <w:p w14:paraId="3E653BF9" w14:textId="77777777" w:rsidR="00CF2C83" w:rsidRPr="00364ECC" w:rsidRDefault="00CF2C83" w:rsidP="001A49CC">
            <w:pPr>
              <w:ind w:left="0"/>
              <w:rPr>
                <w:sz w:val="20"/>
                <w:szCs w:val="20"/>
              </w:rPr>
            </w:pPr>
            <w:r w:rsidRPr="00364ECC">
              <w:rPr>
                <w:sz w:val="20"/>
                <w:szCs w:val="20"/>
              </w:rPr>
              <w:t xml:space="preserve">MDVRR SR (sekcia Operačného programu Doprava) v spolupráci s prijímateľmi </w:t>
            </w:r>
          </w:p>
        </w:tc>
      </w:tr>
      <w:tr w:rsidR="00CF2C83" w14:paraId="61F9AD1A" w14:textId="77777777" w:rsidTr="00AB582D">
        <w:trPr>
          <w:trHeight w:val="1610"/>
        </w:trPr>
        <w:tc>
          <w:tcPr>
            <w:tcW w:w="2833" w:type="dxa"/>
            <w:vMerge w:val="restart"/>
            <w:vAlign w:val="center"/>
          </w:tcPr>
          <w:p w14:paraId="2C307A73" w14:textId="77777777" w:rsidR="00CF2C83" w:rsidRPr="00566720" w:rsidRDefault="00CF2C83" w:rsidP="001A49CC">
            <w:pPr>
              <w:spacing w:before="20" w:after="20"/>
              <w:ind w:left="0"/>
              <w:rPr>
                <w:sz w:val="20"/>
                <w:szCs w:val="20"/>
              </w:rPr>
            </w:pPr>
            <w:r w:rsidRPr="00364ECC">
              <w:rPr>
                <w:sz w:val="20"/>
                <w:szCs w:val="20"/>
              </w:rPr>
              <w:t xml:space="preserve">7.2. Železničná doprava: existencia komplexného plánu či plánov alebo rámca či rámcov dopravy s osobitnou časťou venovanou rozvoju železničnej siete v súlade s inštitucionálnou </w:t>
            </w:r>
            <w:r w:rsidRPr="00364ECC">
              <w:rPr>
                <w:sz w:val="20"/>
                <w:szCs w:val="20"/>
              </w:rPr>
              <w:lastRenderedPageBreak/>
              <w:t>štruktúrou členských štátov (vrátane verejnej dopravy na regionálnej a miestnej úrovni), ktorý podporuje rozvoj infraštruktúry a zlepšuje prepojenie na úplnú a základnú sieť TEN-T. Investície zahŕňajú mobilné aktíva, interoperabilitu a budovanie kapacít.</w:t>
            </w:r>
          </w:p>
        </w:tc>
        <w:tc>
          <w:tcPr>
            <w:tcW w:w="2834" w:type="dxa"/>
            <w:vMerge w:val="restart"/>
          </w:tcPr>
          <w:p w14:paraId="5AD65136" w14:textId="77777777" w:rsidR="00CF2C83" w:rsidRPr="00566720" w:rsidRDefault="00CF2C83" w:rsidP="001A49CC">
            <w:pPr>
              <w:spacing w:before="20" w:after="20"/>
              <w:ind w:left="0"/>
              <w:rPr>
                <w:sz w:val="20"/>
                <w:szCs w:val="20"/>
              </w:rPr>
            </w:pPr>
            <w:r w:rsidRPr="00364ECC">
              <w:rPr>
                <w:sz w:val="20"/>
                <w:szCs w:val="20"/>
              </w:rPr>
              <w:lastRenderedPageBreak/>
              <w:t xml:space="preserve">V rámci uvedeného plánu či plánov alebo rámca či rámcov dopravy existuje časť venovaná rozvoju železničnej siete, ktorá spĺňa právne požiadavky na strategické environmentálne </w:t>
            </w:r>
            <w:r w:rsidRPr="00364ECC">
              <w:rPr>
                <w:sz w:val="20"/>
                <w:szCs w:val="20"/>
              </w:rPr>
              <w:lastRenderedPageBreak/>
              <w:t>posúdenie a stanovuje realisticky a kvalitne vypracovaný plán realizácie projektov (vrátane časového plánu a rozpočtového rámca).</w:t>
            </w:r>
          </w:p>
        </w:tc>
        <w:tc>
          <w:tcPr>
            <w:tcW w:w="2836" w:type="dxa"/>
          </w:tcPr>
          <w:p w14:paraId="6AF670BD" w14:textId="77777777" w:rsidR="00CF2C83" w:rsidRPr="00756D41" w:rsidRDefault="00CF2C83" w:rsidP="00A3669F">
            <w:pPr>
              <w:pStyle w:val="Odsekzoznamu"/>
              <w:ind w:left="0"/>
              <w:rPr>
                <w:sz w:val="20"/>
                <w:szCs w:val="20"/>
              </w:rPr>
            </w:pPr>
            <w:r w:rsidRPr="00364ECC">
              <w:rPr>
                <w:sz w:val="20"/>
                <w:szCs w:val="20"/>
              </w:rPr>
              <w:lastRenderedPageBreak/>
              <w:t>Zabezpečenie dopravného modelu SR za účelom účinnejšieho posúdenia potrieb a efektívnejšieho plánovania ďalšieho rozvoja dopravnej infraštruktúry SR.</w:t>
            </w:r>
          </w:p>
        </w:tc>
        <w:tc>
          <w:tcPr>
            <w:tcW w:w="2836" w:type="dxa"/>
          </w:tcPr>
          <w:p w14:paraId="0B4FE0A0" w14:textId="77777777" w:rsidR="00CF2C83" w:rsidRPr="00756D41" w:rsidRDefault="002F71A6" w:rsidP="002F71A6">
            <w:pPr>
              <w:ind w:left="0"/>
              <w:jc w:val="center"/>
              <w:rPr>
                <w:sz w:val="20"/>
                <w:szCs w:val="20"/>
              </w:rPr>
            </w:pPr>
            <w:r>
              <w:rPr>
                <w:sz w:val="20"/>
                <w:szCs w:val="20"/>
              </w:rPr>
              <w:t>31.10.</w:t>
            </w:r>
            <w:r w:rsidR="00CF2C83" w:rsidRPr="00364ECC">
              <w:rPr>
                <w:sz w:val="20"/>
                <w:szCs w:val="20"/>
              </w:rPr>
              <w:t>2015</w:t>
            </w:r>
          </w:p>
        </w:tc>
        <w:tc>
          <w:tcPr>
            <w:tcW w:w="2836" w:type="dxa"/>
          </w:tcPr>
          <w:p w14:paraId="12690536" w14:textId="77777777" w:rsidR="00CF2C83" w:rsidRPr="00364ECC" w:rsidRDefault="00CF2C83" w:rsidP="001A49CC">
            <w:pPr>
              <w:ind w:left="0"/>
              <w:rPr>
                <w:sz w:val="20"/>
                <w:szCs w:val="20"/>
              </w:rPr>
            </w:pPr>
            <w:r w:rsidRPr="00364ECC">
              <w:rPr>
                <w:sz w:val="20"/>
                <w:szCs w:val="20"/>
              </w:rPr>
              <w:t>MDVRR SR (sekcia záležitostí EÚ a zahraničných vzťahov v spolupráci so sekciou Operačného programu Doprava)</w:t>
            </w:r>
          </w:p>
        </w:tc>
      </w:tr>
      <w:tr w:rsidR="001A49CC" w14:paraId="67EAE964" w14:textId="77777777" w:rsidTr="00A127CB">
        <w:trPr>
          <w:trHeight w:val="340"/>
        </w:trPr>
        <w:tc>
          <w:tcPr>
            <w:tcW w:w="2833" w:type="dxa"/>
            <w:vMerge/>
            <w:vAlign w:val="center"/>
          </w:tcPr>
          <w:p w14:paraId="42729909" w14:textId="77777777" w:rsidR="001A49CC" w:rsidRPr="00566720" w:rsidRDefault="001A49CC" w:rsidP="001A49CC">
            <w:pPr>
              <w:rPr>
                <w:sz w:val="20"/>
                <w:szCs w:val="20"/>
              </w:rPr>
            </w:pPr>
          </w:p>
        </w:tc>
        <w:tc>
          <w:tcPr>
            <w:tcW w:w="2834" w:type="dxa"/>
            <w:vMerge/>
          </w:tcPr>
          <w:p w14:paraId="4165B8E6" w14:textId="77777777" w:rsidR="001A49CC" w:rsidRPr="00566720" w:rsidRDefault="001A49CC" w:rsidP="001A49CC">
            <w:pPr>
              <w:spacing w:before="20"/>
              <w:rPr>
                <w:sz w:val="20"/>
                <w:szCs w:val="20"/>
              </w:rPr>
            </w:pPr>
          </w:p>
        </w:tc>
        <w:tc>
          <w:tcPr>
            <w:tcW w:w="2836" w:type="dxa"/>
          </w:tcPr>
          <w:p w14:paraId="76732618" w14:textId="77777777" w:rsidR="001A49CC" w:rsidRPr="00364ECC" w:rsidRDefault="001A49CC" w:rsidP="001A49CC">
            <w:pPr>
              <w:pStyle w:val="Odsekzoznamu"/>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14:paraId="3A895F0E" w14:textId="77777777" w:rsidR="001A49CC" w:rsidRPr="00364ECC" w:rsidRDefault="002F71A6" w:rsidP="002F71A6">
            <w:pPr>
              <w:ind w:left="0"/>
              <w:jc w:val="center"/>
              <w:rPr>
                <w:sz w:val="20"/>
                <w:szCs w:val="20"/>
              </w:rPr>
            </w:pPr>
            <w:r>
              <w:rPr>
                <w:sz w:val="20"/>
                <w:szCs w:val="20"/>
              </w:rPr>
              <w:t>30.6.</w:t>
            </w:r>
            <w:r w:rsidR="001A49CC" w:rsidRPr="00364ECC">
              <w:rPr>
                <w:sz w:val="20"/>
                <w:szCs w:val="20"/>
              </w:rPr>
              <w:t>2016</w:t>
            </w:r>
          </w:p>
        </w:tc>
        <w:tc>
          <w:tcPr>
            <w:tcW w:w="2836" w:type="dxa"/>
          </w:tcPr>
          <w:p w14:paraId="43106B23"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 a ostatnými odbornými útvarmi ministerstva)</w:t>
            </w:r>
          </w:p>
        </w:tc>
      </w:tr>
      <w:tr w:rsidR="001A49CC" w14:paraId="0FA321D0" w14:textId="77777777" w:rsidTr="00A127CB">
        <w:trPr>
          <w:trHeight w:val="340"/>
        </w:trPr>
        <w:tc>
          <w:tcPr>
            <w:tcW w:w="2833" w:type="dxa"/>
            <w:vMerge/>
            <w:vAlign w:val="center"/>
          </w:tcPr>
          <w:p w14:paraId="3A088CB3" w14:textId="77777777" w:rsidR="001A49CC" w:rsidRPr="00566720" w:rsidRDefault="001A49CC" w:rsidP="001A49CC">
            <w:pPr>
              <w:rPr>
                <w:sz w:val="20"/>
                <w:szCs w:val="20"/>
              </w:rPr>
            </w:pPr>
          </w:p>
        </w:tc>
        <w:tc>
          <w:tcPr>
            <w:tcW w:w="2834" w:type="dxa"/>
            <w:vMerge/>
          </w:tcPr>
          <w:p w14:paraId="750A9407" w14:textId="77777777" w:rsidR="001A49CC" w:rsidRPr="00566720" w:rsidRDefault="001A49CC" w:rsidP="001A49CC">
            <w:pPr>
              <w:spacing w:before="20"/>
              <w:rPr>
                <w:sz w:val="20"/>
                <w:szCs w:val="20"/>
              </w:rPr>
            </w:pPr>
          </w:p>
        </w:tc>
        <w:tc>
          <w:tcPr>
            <w:tcW w:w="2836" w:type="dxa"/>
          </w:tcPr>
          <w:p w14:paraId="31DDCB0D" w14:textId="77777777" w:rsidR="001A49CC" w:rsidRPr="00364ECC" w:rsidRDefault="001A49CC" w:rsidP="00A3669F">
            <w:pPr>
              <w:pStyle w:val="Odsekzoznamu"/>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14:paraId="24C38AF7" w14:textId="77777777" w:rsidR="001A49CC" w:rsidRPr="00364ECC" w:rsidRDefault="002F71A6" w:rsidP="002F71A6">
            <w:pPr>
              <w:ind w:left="0"/>
              <w:jc w:val="center"/>
              <w:rPr>
                <w:sz w:val="20"/>
                <w:szCs w:val="20"/>
              </w:rPr>
            </w:pPr>
            <w:r>
              <w:rPr>
                <w:sz w:val="20"/>
                <w:szCs w:val="20"/>
              </w:rPr>
              <w:t>31.10.</w:t>
            </w:r>
            <w:r w:rsidR="001A49CC" w:rsidRPr="00364ECC">
              <w:rPr>
                <w:sz w:val="20"/>
                <w:szCs w:val="20"/>
              </w:rPr>
              <w:t>2016</w:t>
            </w:r>
          </w:p>
        </w:tc>
        <w:tc>
          <w:tcPr>
            <w:tcW w:w="2836" w:type="dxa"/>
          </w:tcPr>
          <w:p w14:paraId="7CB6E604"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14:paraId="3A258985" w14:textId="77777777" w:rsidTr="00A127CB">
        <w:trPr>
          <w:trHeight w:val="340"/>
        </w:trPr>
        <w:tc>
          <w:tcPr>
            <w:tcW w:w="2833" w:type="dxa"/>
            <w:vMerge/>
            <w:vAlign w:val="center"/>
          </w:tcPr>
          <w:p w14:paraId="0054F3DF" w14:textId="77777777" w:rsidR="001A49CC" w:rsidRPr="00566720" w:rsidRDefault="001A49CC" w:rsidP="001A49CC">
            <w:pPr>
              <w:rPr>
                <w:sz w:val="20"/>
                <w:szCs w:val="20"/>
              </w:rPr>
            </w:pPr>
          </w:p>
        </w:tc>
        <w:tc>
          <w:tcPr>
            <w:tcW w:w="2834" w:type="dxa"/>
            <w:vMerge/>
          </w:tcPr>
          <w:p w14:paraId="561C542E" w14:textId="77777777" w:rsidR="001A49CC" w:rsidRPr="00566720" w:rsidRDefault="001A49CC" w:rsidP="001A49CC">
            <w:pPr>
              <w:spacing w:before="20"/>
              <w:rPr>
                <w:sz w:val="20"/>
                <w:szCs w:val="20"/>
              </w:rPr>
            </w:pPr>
          </w:p>
        </w:tc>
        <w:tc>
          <w:tcPr>
            <w:tcW w:w="2836" w:type="dxa"/>
          </w:tcPr>
          <w:p w14:paraId="17D63BF6" w14:textId="77777777" w:rsidR="001A49CC" w:rsidRPr="00364ECC" w:rsidRDefault="001A49CC" w:rsidP="00A3669F">
            <w:pPr>
              <w:pStyle w:val="Odsekzoznamu"/>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14:paraId="10C706AA" w14:textId="77777777" w:rsidR="001A49CC" w:rsidRPr="00364ECC" w:rsidRDefault="002F71A6" w:rsidP="002F71A6">
            <w:pPr>
              <w:ind w:left="0"/>
              <w:jc w:val="center"/>
              <w:rPr>
                <w:sz w:val="20"/>
                <w:szCs w:val="20"/>
              </w:rPr>
            </w:pPr>
            <w:r>
              <w:rPr>
                <w:sz w:val="20"/>
                <w:szCs w:val="20"/>
              </w:rPr>
              <w:t>30.11.</w:t>
            </w:r>
            <w:r w:rsidR="001A49CC" w:rsidRPr="00364ECC">
              <w:rPr>
                <w:sz w:val="20"/>
                <w:szCs w:val="20"/>
              </w:rPr>
              <w:t>2016</w:t>
            </w:r>
          </w:p>
        </w:tc>
        <w:tc>
          <w:tcPr>
            <w:tcW w:w="2836" w:type="dxa"/>
          </w:tcPr>
          <w:p w14:paraId="3E57675F"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14:paraId="262DB1E0" w14:textId="77777777" w:rsidTr="00A127CB">
        <w:trPr>
          <w:trHeight w:val="340"/>
        </w:trPr>
        <w:tc>
          <w:tcPr>
            <w:tcW w:w="2833" w:type="dxa"/>
            <w:vMerge/>
            <w:vAlign w:val="center"/>
          </w:tcPr>
          <w:p w14:paraId="4D197D45" w14:textId="77777777" w:rsidR="001A49CC" w:rsidRPr="00566720" w:rsidRDefault="001A49CC" w:rsidP="001A49CC">
            <w:pPr>
              <w:rPr>
                <w:sz w:val="20"/>
                <w:szCs w:val="20"/>
              </w:rPr>
            </w:pPr>
          </w:p>
        </w:tc>
        <w:tc>
          <w:tcPr>
            <w:tcW w:w="2834" w:type="dxa"/>
            <w:vMerge/>
          </w:tcPr>
          <w:p w14:paraId="65E7A49E" w14:textId="77777777" w:rsidR="001A49CC" w:rsidRPr="00566720" w:rsidRDefault="001A49CC" w:rsidP="001A49CC">
            <w:pPr>
              <w:spacing w:before="20"/>
              <w:rPr>
                <w:sz w:val="20"/>
                <w:szCs w:val="20"/>
              </w:rPr>
            </w:pPr>
          </w:p>
        </w:tc>
        <w:tc>
          <w:tcPr>
            <w:tcW w:w="2836" w:type="dxa"/>
          </w:tcPr>
          <w:p w14:paraId="02A33877" w14:textId="77777777" w:rsidR="001A49CC" w:rsidRPr="00364ECC" w:rsidRDefault="001A49CC" w:rsidP="001A49CC">
            <w:pPr>
              <w:pStyle w:val="Odsekzoznamu"/>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14:paraId="4AB9D265" w14:textId="77777777" w:rsidR="001A49CC" w:rsidRPr="00364ECC" w:rsidRDefault="002F71A6" w:rsidP="002F71A6">
            <w:pPr>
              <w:ind w:left="0"/>
              <w:jc w:val="center"/>
              <w:rPr>
                <w:sz w:val="20"/>
                <w:szCs w:val="20"/>
              </w:rPr>
            </w:pPr>
            <w:r>
              <w:rPr>
                <w:sz w:val="20"/>
                <w:szCs w:val="20"/>
              </w:rPr>
              <w:t>31.12.</w:t>
            </w:r>
            <w:r w:rsidR="001A49CC" w:rsidRPr="00364ECC">
              <w:rPr>
                <w:sz w:val="20"/>
                <w:szCs w:val="20"/>
              </w:rPr>
              <w:t>2016</w:t>
            </w:r>
          </w:p>
        </w:tc>
        <w:tc>
          <w:tcPr>
            <w:tcW w:w="2836" w:type="dxa"/>
          </w:tcPr>
          <w:p w14:paraId="55C94A21"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14:paraId="3909CA4A" w14:textId="77777777" w:rsidTr="00A127CB">
        <w:trPr>
          <w:trHeight w:val="340"/>
        </w:trPr>
        <w:tc>
          <w:tcPr>
            <w:tcW w:w="2833" w:type="dxa"/>
            <w:vMerge/>
            <w:vAlign w:val="center"/>
          </w:tcPr>
          <w:p w14:paraId="420DA8B4" w14:textId="77777777" w:rsidR="001A49CC" w:rsidRPr="00566720" w:rsidRDefault="001A49CC" w:rsidP="001A49CC">
            <w:pPr>
              <w:rPr>
                <w:sz w:val="20"/>
                <w:szCs w:val="20"/>
              </w:rPr>
            </w:pPr>
          </w:p>
        </w:tc>
        <w:tc>
          <w:tcPr>
            <w:tcW w:w="2834" w:type="dxa"/>
            <w:vMerge/>
          </w:tcPr>
          <w:p w14:paraId="210DE26D" w14:textId="77777777" w:rsidR="001A49CC" w:rsidRPr="00566720" w:rsidRDefault="001A49CC" w:rsidP="001A49CC">
            <w:pPr>
              <w:spacing w:before="20"/>
              <w:rPr>
                <w:sz w:val="20"/>
                <w:szCs w:val="20"/>
              </w:rPr>
            </w:pPr>
          </w:p>
        </w:tc>
        <w:tc>
          <w:tcPr>
            <w:tcW w:w="2836" w:type="dxa"/>
          </w:tcPr>
          <w:p w14:paraId="2CB42BB1" w14:textId="77777777" w:rsidR="001A49CC" w:rsidRPr="00364ECC" w:rsidRDefault="001A49CC" w:rsidP="001A49CC">
            <w:pPr>
              <w:pStyle w:val="Odsekzoznamu"/>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Pr>
          <w:p w14:paraId="16FCF2B4" w14:textId="77777777" w:rsidR="001A49CC" w:rsidRPr="00364ECC" w:rsidRDefault="002F71A6" w:rsidP="002F71A6">
            <w:pPr>
              <w:ind w:left="0"/>
              <w:jc w:val="center"/>
              <w:rPr>
                <w:sz w:val="20"/>
                <w:szCs w:val="20"/>
              </w:rPr>
            </w:pPr>
            <w:r>
              <w:rPr>
                <w:sz w:val="20"/>
                <w:szCs w:val="20"/>
              </w:rPr>
              <w:t>31.12.</w:t>
            </w:r>
            <w:r w:rsidR="001A49CC" w:rsidRPr="00364ECC">
              <w:rPr>
                <w:sz w:val="20"/>
                <w:szCs w:val="20"/>
              </w:rPr>
              <w:t>2016</w:t>
            </w:r>
          </w:p>
        </w:tc>
        <w:tc>
          <w:tcPr>
            <w:tcW w:w="2836" w:type="dxa"/>
          </w:tcPr>
          <w:p w14:paraId="00F7AF39"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CF2C83" w14:paraId="13D54F16" w14:textId="77777777" w:rsidTr="00AB582D">
        <w:trPr>
          <w:trHeight w:val="1170"/>
        </w:trPr>
        <w:tc>
          <w:tcPr>
            <w:tcW w:w="2833" w:type="dxa"/>
            <w:vMerge/>
            <w:vAlign w:val="center"/>
          </w:tcPr>
          <w:p w14:paraId="47A255A5" w14:textId="77777777" w:rsidR="00CF2C83" w:rsidRPr="00566720" w:rsidRDefault="00CF2C83" w:rsidP="001A49CC">
            <w:pPr>
              <w:rPr>
                <w:sz w:val="20"/>
                <w:szCs w:val="20"/>
              </w:rPr>
            </w:pPr>
          </w:p>
        </w:tc>
        <w:tc>
          <w:tcPr>
            <w:tcW w:w="2834" w:type="dxa"/>
          </w:tcPr>
          <w:p w14:paraId="39BC7B4D" w14:textId="77777777" w:rsidR="00CF2C83" w:rsidRPr="00566720" w:rsidRDefault="00CF2C83" w:rsidP="001A49CC">
            <w:pPr>
              <w:spacing w:before="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14:paraId="0ED30314" w14:textId="77777777"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14:paraId="5029E264" w14:textId="77777777" w:rsidR="00CF2C83" w:rsidRPr="00364ECC" w:rsidRDefault="002F71A6" w:rsidP="002F71A6">
            <w:pPr>
              <w:ind w:left="0"/>
              <w:jc w:val="center"/>
              <w:rPr>
                <w:sz w:val="20"/>
                <w:szCs w:val="20"/>
              </w:rPr>
            </w:pPr>
            <w:r>
              <w:rPr>
                <w:sz w:val="20"/>
                <w:szCs w:val="20"/>
              </w:rPr>
              <w:t>31.10.</w:t>
            </w:r>
            <w:r w:rsidR="00CF2C83" w:rsidRPr="00364ECC">
              <w:rPr>
                <w:sz w:val="20"/>
                <w:szCs w:val="20"/>
              </w:rPr>
              <w:t>2014</w:t>
            </w:r>
          </w:p>
        </w:tc>
        <w:tc>
          <w:tcPr>
            <w:tcW w:w="2836" w:type="dxa"/>
          </w:tcPr>
          <w:p w14:paraId="71DF0525" w14:textId="77777777" w:rsidR="00CF2C83" w:rsidRPr="00364ECC" w:rsidRDefault="00CF2C83" w:rsidP="001A49CC">
            <w:pPr>
              <w:ind w:left="0"/>
              <w:rPr>
                <w:sz w:val="20"/>
                <w:szCs w:val="20"/>
              </w:rPr>
            </w:pPr>
            <w:r w:rsidRPr="00364ECC">
              <w:rPr>
                <w:sz w:val="20"/>
                <w:szCs w:val="20"/>
              </w:rPr>
              <w:t xml:space="preserve">MDVRR SR (sekcia Operačného programu Doprava) v spolupráci s prijímateľmi </w:t>
            </w:r>
          </w:p>
        </w:tc>
      </w:tr>
      <w:tr w:rsidR="00CF2C83" w14:paraId="26616E9F" w14:textId="77777777" w:rsidTr="00AB582D">
        <w:trPr>
          <w:trHeight w:val="1380"/>
        </w:trPr>
        <w:tc>
          <w:tcPr>
            <w:tcW w:w="2833" w:type="dxa"/>
            <w:vMerge w:val="restart"/>
          </w:tcPr>
          <w:p w14:paraId="7947AF2B" w14:textId="77777777" w:rsidR="00CF2C83" w:rsidRPr="00364ECC" w:rsidRDefault="00CF2C83" w:rsidP="001A49CC">
            <w:pPr>
              <w:spacing w:before="120" w:after="20"/>
              <w:ind w:left="0"/>
              <w:rPr>
                <w:sz w:val="20"/>
                <w:szCs w:val="20"/>
              </w:rPr>
            </w:pPr>
            <w:r w:rsidRPr="00364ECC">
              <w:rPr>
                <w:sz w:val="20"/>
                <w:szCs w:val="20"/>
              </w:rPr>
              <w:lastRenderedPageBreak/>
              <w:t>7.3. Iné druhy dopravy vrátane vnútrozemských vodných ciest a námornej prepravy, prístavov, multimodálnych spojení a letiskovej infraštruktúry: existencia komplexného plánu či plánov alebo rámca či rámcov dopravy s osobitnou časťou venovanou vnútrozemským vodným cestám a námornej preprave, prístavom, multimodálnym spojeniam a letiskovej infraštruktúre, ktoré prispievajú k zlepšovaniu prepojenia na úplnú a základnú sieť TEN-T a podporujú udržateľnú regionálnu a miestnu mobilitu.</w:t>
            </w:r>
          </w:p>
        </w:tc>
        <w:tc>
          <w:tcPr>
            <w:tcW w:w="2834" w:type="dxa"/>
            <w:vMerge w:val="restart"/>
          </w:tcPr>
          <w:p w14:paraId="4E17FCF5" w14:textId="77777777" w:rsidR="00CF2C83" w:rsidRPr="00364ECC" w:rsidRDefault="00CF2C83" w:rsidP="001A49CC">
            <w:pPr>
              <w:spacing w:before="20" w:after="20"/>
              <w:ind w:left="0"/>
              <w:rPr>
                <w:sz w:val="20"/>
                <w:szCs w:val="20"/>
              </w:rPr>
            </w:pPr>
            <w:r w:rsidRPr="00364ECC">
              <w:rPr>
                <w:sz w:val="20"/>
                <w:szCs w:val="20"/>
              </w:rPr>
              <w:t>Existencia časti venovanej vnútrozemským vodným cestám a námornej preprave, prístavom, multimodálnym spojeniam a letiskovej infraštruktúre v rámci plánu či plánov alebo rámca či rámcov dopravy, ktorá:</w:t>
            </w:r>
          </w:p>
        </w:tc>
        <w:tc>
          <w:tcPr>
            <w:tcW w:w="2836" w:type="dxa"/>
          </w:tcPr>
          <w:p w14:paraId="0950120F" w14:textId="77777777" w:rsidR="00CF2C83" w:rsidRPr="00756D41" w:rsidRDefault="00CF2C83" w:rsidP="00197539">
            <w:pPr>
              <w:pStyle w:val="Odsekzoznamu"/>
              <w:ind w:left="0"/>
              <w:rPr>
                <w:sz w:val="20"/>
                <w:szCs w:val="20"/>
              </w:rPr>
            </w:pPr>
            <w:r w:rsidRPr="00364ECC">
              <w:rPr>
                <w:sz w:val="20"/>
                <w:szCs w:val="20"/>
              </w:rPr>
              <w:t>Zabezpečenie dopravného modelu SR za účelom účinnejšieho posúdenia potrieb a efektívnejšieho plánovania ďalšieho rozvoja dopravnej infraštruktúry SR.</w:t>
            </w:r>
          </w:p>
        </w:tc>
        <w:tc>
          <w:tcPr>
            <w:tcW w:w="2836" w:type="dxa"/>
          </w:tcPr>
          <w:p w14:paraId="5FD16EC3" w14:textId="77777777" w:rsidR="00CF2C83" w:rsidRPr="00756D41" w:rsidRDefault="002F71A6" w:rsidP="002F71A6">
            <w:pPr>
              <w:ind w:left="0"/>
              <w:jc w:val="center"/>
              <w:rPr>
                <w:sz w:val="20"/>
                <w:szCs w:val="20"/>
              </w:rPr>
            </w:pPr>
            <w:r>
              <w:rPr>
                <w:sz w:val="20"/>
                <w:szCs w:val="20"/>
              </w:rPr>
              <w:t>31.10.</w:t>
            </w:r>
            <w:r w:rsidR="00CF2C83" w:rsidRPr="00364ECC">
              <w:rPr>
                <w:sz w:val="20"/>
                <w:szCs w:val="20"/>
              </w:rPr>
              <w:t>2015</w:t>
            </w:r>
          </w:p>
        </w:tc>
        <w:tc>
          <w:tcPr>
            <w:tcW w:w="2836" w:type="dxa"/>
          </w:tcPr>
          <w:p w14:paraId="00931A37" w14:textId="77777777" w:rsidR="00CF2C83" w:rsidRPr="00756D41" w:rsidRDefault="00CF2C83" w:rsidP="001A49CC">
            <w:pPr>
              <w:ind w:left="0"/>
              <w:rPr>
                <w:sz w:val="20"/>
                <w:szCs w:val="20"/>
              </w:rPr>
            </w:pPr>
            <w:r w:rsidRPr="00364ECC">
              <w:rPr>
                <w:sz w:val="20"/>
                <w:szCs w:val="20"/>
              </w:rPr>
              <w:t>MDVRR SR (sekcia záležitostí EÚ a zahraničných vzťahov v spolupráci so sekciou Operačného programu Doprava)</w:t>
            </w:r>
          </w:p>
        </w:tc>
      </w:tr>
      <w:tr w:rsidR="00C13380" w14:paraId="411B5402" w14:textId="77777777" w:rsidTr="00A127CB">
        <w:trPr>
          <w:trHeight w:val="340"/>
        </w:trPr>
        <w:tc>
          <w:tcPr>
            <w:tcW w:w="2833" w:type="dxa"/>
            <w:vMerge/>
            <w:vAlign w:val="center"/>
          </w:tcPr>
          <w:p w14:paraId="02DD9DE9" w14:textId="77777777" w:rsidR="00C13380" w:rsidRPr="00566720" w:rsidRDefault="00C13380" w:rsidP="001A49CC">
            <w:pPr>
              <w:rPr>
                <w:sz w:val="20"/>
                <w:szCs w:val="20"/>
              </w:rPr>
            </w:pPr>
          </w:p>
        </w:tc>
        <w:tc>
          <w:tcPr>
            <w:tcW w:w="2834" w:type="dxa"/>
            <w:vMerge/>
          </w:tcPr>
          <w:p w14:paraId="0AFFB1F3" w14:textId="77777777" w:rsidR="00C13380" w:rsidRPr="00566720" w:rsidRDefault="00C13380" w:rsidP="001A49CC">
            <w:pPr>
              <w:spacing w:before="20" w:after="20"/>
              <w:ind w:left="0"/>
              <w:rPr>
                <w:strike/>
                <w:sz w:val="20"/>
                <w:szCs w:val="20"/>
              </w:rPr>
            </w:pPr>
          </w:p>
        </w:tc>
        <w:tc>
          <w:tcPr>
            <w:tcW w:w="2836" w:type="dxa"/>
          </w:tcPr>
          <w:p w14:paraId="0E5A7F40" w14:textId="77777777" w:rsidR="00C13380" w:rsidRPr="00364ECC" w:rsidRDefault="00C13380" w:rsidP="001A49CC">
            <w:pPr>
              <w:pStyle w:val="Odsekzoznamu"/>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14:paraId="40D08369" w14:textId="77777777" w:rsidR="00C13380" w:rsidRPr="00364ECC" w:rsidRDefault="002F71A6" w:rsidP="002F71A6">
            <w:pPr>
              <w:ind w:left="0"/>
              <w:jc w:val="center"/>
              <w:rPr>
                <w:sz w:val="20"/>
                <w:szCs w:val="20"/>
              </w:rPr>
            </w:pPr>
            <w:r>
              <w:rPr>
                <w:sz w:val="20"/>
                <w:szCs w:val="20"/>
              </w:rPr>
              <w:t>30.6.</w:t>
            </w:r>
            <w:r w:rsidR="00C13380" w:rsidRPr="00364ECC">
              <w:rPr>
                <w:sz w:val="20"/>
                <w:szCs w:val="20"/>
              </w:rPr>
              <w:t>2016</w:t>
            </w:r>
          </w:p>
        </w:tc>
        <w:tc>
          <w:tcPr>
            <w:tcW w:w="2836" w:type="dxa"/>
          </w:tcPr>
          <w:p w14:paraId="1A4E18D5"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 a ostatnými odbornými útvarmi ministerstva)</w:t>
            </w:r>
          </w:p>
        </w:tc>
      </w:tr>
      <w:tr w:rsidR="00C13380" w14:paraId="1CC2EDC4" w14:textId="77777777" w:rsidTr="00A127CB">
        <w:trPr>
          <w:trHeight w:val="340"/>
        </w:trPr>
        <w:tc>
          <w:tcPr>
            <w:tcW w:w="2833" w:type="dxa"/>
            <w:vMerge/>
            <w:vAlign w:val="center"/>
          </w:tcPr>
          <w:p w14:paraId="5072A625" w14:textId="77777777" w:rsidR="00C13380" w:rsidRPr="00566720" w:rsidRDefault="00C13380" w:rsidP="001A49CC">
            <w:pPr>
              <w:rPr>
                <w:sz w:val="20"/>
                <w:szCs w:val="20"/>
              </w:rPr>
            </w:pPr>
          </w:p>
        </w:tc>
        <w:tc>
          <w:tcPr>
            <w:tcW w:w="2834" w:type="dxa"/>
            <w:vMerge/>
          </w:tcPr>
          <w:p w14:paraId="595CB5FA" w14:textId="77777777" w:rsidR="00C13380" w:rsidRPr="00566720" w:rsidRDefault="00C13380" w:rsidP="001A49CC">
            <w:pPr>
              <w:spacing w:before="20" w:after="20"/>
              <w:rPr>
                <w:strike/>
                <w:sz w:val="20"/>
                <w:szCs w:val="20"/>
              </w:rPr>
            </w:pPr>
          </w:p>
        </w:tc>
        <w:tc>
          <w:tcPr>
            <w:tcW w:w="2836" w:type="dxa"/>
          </w:tcPr>
          <w:p w14:paraId="54BE1E2C" w14:textId="77777777" w:rsidR="00C13380" w:rsidRPr="00364ECC" w:rsidRDefault="00C13380" w:rsidP="001A49CC">
            <w:pPr>
              <w:pStyle w:val="Odsekzoznamu"/>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14:paraId="1C985C79" w14:textId="77777777" w:rsidR="00C13380" w:rsidRPr="00364ECC" w:rsidRDefault="002F71A6" w:rsidP="002F71A6">
            <w:pPr>
              <w:ind w:left="0"/>
              <w:jc w:val="center"/>
              <w:rPr>
                <w:sz w:val="20"/>
                <w:szCs w:val="20"/>
              </w:rPr>
            </w:pPr>
            <w:r>
              <w:rPr>
                <w:sz w:val="20"/>
                <w:szCs w:val="20"/>
              </w:rPr>
              <w:t>31.10.</w:t>
            </w:r>
            <w:r w:rsidR="00C13380" w:rsidRPr="00364ECC">
              <w:rPr>
                <w:sz w:val="20"/>
                <w:szCs w:val="20"/>
              </w:rPr>
              <w:t>2016</w:t>
            </w:r>
          </w:p>
        </w:tc>
        <w:tc>
          <w:tcPr>
            <w:tcW w:w="2836" w:type="dxa"/>
          </w:tcPr>
          <w:p w14:paraId="1C20434F" w14:textId="77777777" w:rsidR="00C13380" w:rsidRPr="00364ECC" w:rsidRDefault="00C13380" w:rsidP="006D737E">
            <w:pPr>
              <w:ind w:left="0"/>
              <w:rPr>
                <w:sz w:val="20"/>
                <w:szCs w:val="20"/>
              </w:rPr>
            </w:pPr>
            <w:r w:rsidRPr="00364ECC">
              <w:rPr>
                <w:sz w:val="20"/>
                <w:szCs w:val="20"/>
              </w:rPr>
              <w:t>MDVRR SR (Inštitút stratégie v spolupráci so sekciou Operačného programu Doprava)</w:t>
            </w:r>
          </w:p>
        </w:tc>
      </w:tr>
      <w:tr w:rsidR="00C13380" w14:paraId="731AFFCA" w14:textId="77777777" w:rsidTr="00A127CB">
        <w:trPr>
          <w:trHeight w:val="340"/>
        </w:trPr>
        <w:tc>
          <w:tcPr>
            <w:tcW w:w="2833" w:type="dxa"/>
            <w:vMerge/>
            <w:vAlign w:val="center"/>
          </w:tcPr>
          <w:p w14:paraId="7D28374A" w14:textId="77777777" w:rsidR="00C13380" w:rsidRPr="00566720" w:rsidRDefault="00C13380" w:rsidP="001A49CC">
            <w:pPr>
              <w:rPr>
                <w:sz w:val="20"/>
                <w:szCs w:val="20"/>
              </w:rPr>
            </w:pPr>
          </w:p>
        </w:tc>
        <w:tc>
          <w:tcPr>
            <w:tcW w:w="2834" w:type="dxa"/>
            <w:vMerge/>
          </w:tcPr>
          <w:p w14:paraId="0ADE0FD7" w14:textId="77777777" w:rsidR="00C13380" w:rsidRPr="00566720" w:rsidRDefault="00C13380" w:rsidP="001A49CC">
            <w:pPr>
              <w:spacing w:before="20" w:after="20"/>
              <w:ind w:left="0"/>
              <w:rPr>
                <w:strike/>
                <w:sz w:val="20"/>
                <w:szCs w:val="20"/>
              </w:rPr>
            </w:pPr>
          </w:p>
        </w:tc>
        <w:tc>
          <w:tcPr>
            <w:tcW w:w="2836" w:type="dxa"/>
          </w:tcPr>
          <w:p w14:paraId="04126B9F" w14:textId="77777777" w:rsidR="00C13380" w:rsidRPr="00364ECC" w:rsidRDefault="00C13380" w:rsidP="00A3669F">
            <w:pPr>
              <w:pStyle w:val="Odsekzoznamu"/>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14:paraId="51B7754C" w14:textId="77777777" w:rsidR="00C13380" w:rsidRPr="00364ECC" w:rsidRDefault="002F71A6" w:rsidP="002F71A6">
            <w:pPr>
              <w:ind w:left="0"/>
              <w:jc w:val="center"/>
              <w:rPr>
                <w:sz w:val="20"/>
                <w:szCs w:val="20"/>
              </w:rPr>
            </w:pPr>
            <w:r>
              <w:rPr>
                <w:sz w:val="20"/>
                <w:szCs w:val="20"/>
              </w:rPr>
              <w:t>30.6.</w:t>
            </w:r>
            <w:r w:rsidR="00C13380" w:rsidRPr="00364ECC">
              <w:rPr>
                <w:sz w:val="20"/>
                <w:szCs w:val="20"/>
              </w:rPr>
              <w:t>2016</w:t>
            </w:r>
          </w:p>
        </w:tc>
        <w:tc>
          <w:tcPr>
            <w:tcW w:w="2836" w:type="dxa"/>
          </w:tcPr>
          <w:p w14:paraId="061BC9D7"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13380" w14:paraId="17FE879E" w14:textId="77777777" w:rsidTr="00A127CB">
        <w:trPr>
          <w:trHeight w:val="340"/>
        </w:trPr>
        <w:tc>
          <w:tcPr>
            <w:tcW w:w="2833" w:type="dxa"/>
            <w:vMerge/>
            <w:vAlign w:val="center"/>
          </w:tcPr>
          <w:p w14:paraId="6DD3DB8C" w14:textId="77777777" w:rsidR="00C13380" w:rsidRPr="00566720" w:rsidRDefault="00C13380" w:rsidP="001A49CC">
            <w:pPr>
              <w:rPr>
                <w:sz w:val="20"/>
                <w:szCs w:val="20"/>
              </w:rPr>
            </w:pPr>
          </w:p>
        </w:tc>
        <w:tc>
          <w:tcPr>
            <w:tcW w:w="2834" w:type="dxa"/>
            <w:vMerge/>
          </w:tcPr>
          <w:p w14:paraId="739A6ABD" w14:textId="77777777" w:rsidR="00C13380" w:rsidRPr="00566720" w:rsidRDefault="00C13380" w:rsidP="001A49CC">
            <w:pPr>
              <w:spacing w:before="20" w:after="20"/>
              <w:rPr>
                <w:sz w:val="20"/>
                <w:szCs w:val="20"/>
              </w:rPr>
            </w:pPr>
          </w:p>
        </w:tc>
        <w:tc>
          <w:tcPr>
            <w:tcW w:w="2836" w:type="dxa"/>
          </w:tcPr>
          <w:p w14:paraId="05FDCF9F" w14:textId="77777777" w:rsidR="00C13380" w:rsidRPr="00364ECC" w:rsidRDefault="00C13380" w:rsidP="001A49CC">
            <w:pPr>
              <w:pStyle w:val="Odsekzoznamu"/>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14:paraId="7512BD15" w14:textId="77777777" w:rsidR="00C13380" w:rsidRPr="00364ECC" w:rsidRDefault="002F71A6" w:rsidP="002F71A6">
            <w:pPr>
              <w:ind w:left="0"/>
              <w:jc w:val="center"/>
              <w:rPr>
                <w:sz w:val="20"/>
                <w:szCs w:val="20"/>
              </w:rPr>
            </w:pPr>
            <w:r>
              <w:rPr>
                <w:sz w:val="20"/>
                <w:szCs w:val="20"/>
              </w:rPr>
              <w:t>31.12.</w:t>
            </w:r>
            <w:r w:rsidR="00C13380" w:rsidRPr="00364ECC">
              <w:rPr>
                <w:sz w:val="20"/>
                <w:szCs w:val="20"/>
              </w:rPr>
              <w:t>2016</w:t>
            </w:r>
          </w:p>
        </w:tc>
        <w:tc>
          <w:tcPr>
            <w:tcW w:w="2836" w:type="dxa"/>
          </w:tcPr>
          <w:p w14:paraId="6AECC2EA"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13380" w14:paraId="645ABC16" w14:textId="77777777" w:rsidTr="00A127CB">
        <w:trPr>
          <w:trHeight w:val="340"/>
        </w:trPr>
        <w:tc>
          <w:tcPr>
            <w:tcW w:w="2833" w:type="dxa"/>
            <w:vMerge/>
            <w:vAlign w:val="center"/>
          </w:tcPr>
          <w:p w14:paraId="1AA56E93" w14:textId="77777777" w:rsidR="00C13380" w:rsidRPr="00566720" w:rsidRDefault="00C13380" w:rsidP="001A49CC">
            <w:pPr>
              <w:rPr>
                <w:sz w:val="20"/>
                <w:szCs w:val="20"/>
              </w:rPr>
            </w:pPr>
          </w:p>
        </w:tc>
        <w:tc>
          <w:tcPr>
            <w:tcW w:w="2834" w:type="dxa"/>
            <w:vMerge/>
          </w:tcPr>
          <w:p w14:paraId="578FBD64" w14:textId="77777777" w:rsidR="00C13380" w:rsidRPr="00566720" w:rsidRDefault="00C13380" w:rsidP="001A49CC">
            <w:pPr>
              <w:spacing w:before="20" w:after="20"/>
              <w:rPr>
                <w:sz w:val="20"/>
                <w:szCs w:val="20"/>
              </w:rPr>
            </w:pPr>
          </w:p>
        </w:tc>
        <w:tc>
          <w:tcPr>
            <w:tcW w:w="2836" w:type="dxa"/>
          </w:tcPr>
          <w:p w14:paraId="406183D0" w14:textId="77777777" w:rsidR="00C13380" w:rsidRPr="00364ECC" w:rsidRDefault="00C13380" w:rsidP="001A49CC">
            <w:pPr>
              <w:pStyle w:val="Odsekzoznamu"/>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Pr>
          <w:p w14:paraId="780A9E46" w14:textId="77777777" w:rsidR="00C13380" w:rsidRPr="00364ECC" w:rsidRDefault="002F71A6" w:rsidP="002F71A6">
            <w:pPr>
              <w:ind w:left="0"/>
              <w:jc w:val="center"/>
              <w:rPr>
                <w:sz w:val="20"/>
                <w:szCs w:val="20"/>
              </w:rPr>
            </w:pPr>
            <w:r>
              <w:rPr>
                <w:sz w:val="20"/>
                <w:szCs w:val="20"/>
              </w:rPr>
              <w:t>31.12.</w:t>
            </w:r>
            <w:r w:rsidR="00C13380" w:rsidRPr="00364ECC">
              <w:rPr>
                <w:sz w:val="20"/>
                <w:szCs w:val="20"/>
              </w:rPr>
              <w:t>2016</w:t>
            </w:r>
          </w:p>
        </w:tc>
        <w:tc>
          <w:tcPr>
            <w:tcW w:w="2836" w:type="dxa"/>
          </w:tcPr>
          <w:p w14:paraId="4A66C9DB"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F2C83" w14:paraId="15A43A4E" w14:textId="77777777" w:rsidTr="00B45B96">
        <w:trPr>
          <w:trHeight w:val="1171"/>
        </w:trPr>
        <w:tc>
          <w:tcPr>
            <w:tcW w:w="2833" w:type="dxa"/>
            <w:vMerge/>
            <w:vAlign w:val="center"/>
          </w:tcPr>
          <w:p w14:paraId="07EE768E" w14:textId="77777777" w:rsidR="00CF2C83" w:rsidRPr="00566720" w:rsidRDefault="00CF2C83" w:rsidP="001A49CC">
            <w:pPr>
              <w:rPr>
                <w:sz w:val="20"/>
                <w:szCs w:val="20"/>
              </w:rPr>
            </w:pPr>
          </w:p>
        </w:tc>
        <w:tc>
          <w:tcPr>
            <w:tcW w:w="2834" w:type="dxa"/>
          </w:tcPr>
          <w:p w14:paraId="6246E1E7" w14:textId="77777777" w:rsidR="00CF2C83" w:rsidRPr="00566720" w:rsidRDefault="00CF2C83" w:rsidP="001A49CC">
            <w:pPr>
              <w:spacing w:before="20" w:after="20"/>
              <w:ind w:left="0"/>
              <w:rPr>
                <w:sz w:val="20"/>
                <w:szCs w:val="20"/>
              </w:rPr>
            </w:pPr>
            <w:r w:rsidRPr="00364ECC">
              <w:rPr>
                <w:sz w:val="20"/>
                <w:szCs w:val="20"/>
              </w:rPr>
              <w:t>Je v súlade s právnymi požiadavkami na strategické environmentálne posúdenie.</w:t>
            </w:r>
          </w:p>
        </w:tc>
        <w:tc>
          <w:tcPr>
            <w:tcW w:w="2836" w:type="dxa"/>
          </w:tcPr>
          <w:p w14:paraId="54553D39" w14:textId="77777777" w:rsidR="00CF2C83" w:rsidRPr="00756D41" w:rsidRDefault="00CF2C83" w:rsidP="00A3669F">
            <w:pPr>
              <w:pStyle w:val="Odsekzoznamu"/>
              <w:ind w:left="0"/>
              <w:rPr>
                <w:sz w:val="20"/>
                <w:szCs w:val="20"/>
              </w:rPr>
            </w:pPr>
            <w:r w:rsidRPr="00756D41">
              <w:rPr>
                <w:sz w:val="20"/>
                <w:szCs w:val="20"/>
              </w:rPr>
              <w:t>Vykonanie strategického environmentálneho hodnotenia Strategického plánu rozvoja dopravnej infraštruktúry SR do roku 2030 (fáza II.)</w:t>
            </w:r>
          </w:p>
        </w:tc>
        <w:tc>
          <w:tcPr>
            <w:tcW w:w="2836" w:type="dxa"/>
          </w:tcPr>
          <w:p w14:paraId="651A9988" w14:textId="77777777" w:rsidR="00CF2C83" w:rsidRPr="00756D41" w:rsidRDefault="002F71A6" w:rsidP="002F71A6">
            <w:pPr>
              <w:ind w:left="0"/>
              <w:jc w:val="center"/>
              <w:rPr>
                <w:sz w:val="20"/>
                <w:szCs w:val="20"/>
              </w:rPr>
            </w:pPr>
            <w:r>
              <w:rPr>
                <w:sz w:val="20"/>
                <w:szCs w:val="20"/>
              </w:rPr>
              <w:t>31.10.</w:t>
            </w:r>
            <w:r w:rsidR="00CF2C83" w:rsidRPr="00756D41">
              <w:rPr>
                <w:sz w:val="20"/>
                <w:szCs w:val="20"/>
              </w:rPr>
              <w:t>2016</w:t>
            </w:r>
          </w:p>
        </w:tc>
        <w:tc>
          <w:tcPr>
            <w:tcW w:w="2836" w:type="dxa"/>
          </w:tcPr>
          <w:p w14:paraId="4880F0D7" w14:textId="77777777" w:rsidR="00CF2C83" w:rsidRPr="00364ECC" w:rsidRDefault="00CF2C83" w:rsidP="001A49CC">
            <w:pPr>
              <w:ind w:left="0"/>
              <w:rPr>
                <w:sz w:val="20"/>
                <w:szCs w:val="20"/>
              </w:rPr>
            </w:pPr>
            <w:r w:rsidRPr="00364ECC">
              <w:rPr>
                <w:sz w:val="20"/>
                <w:szCs w:val="20"/>
              </w:rPr>
              <w:t>MDVRR SR (Inštitút stratégie v spolupráci so sekciou Operačného programu Doprava)</w:t>
            </w:r>
          </w:p>
        </w:tc>
      </w:tr>
      <w:tr w:rsidR="00B24E88" w14:paraId="11CAC7FF" w14:textId="77777777" w:rsidTr="00AB582D">
        <w:trPr>
          <w:trHeight w:val="1190"/>
        </w:trPr>
        <w:tc>
          <w:tcPr>
            <w:tcW w:w="2833" w:type="dxa"/>
            <w:vMerge/>
            <w:vAlign w:val="center"/>
          </w:tcPr>
          <w:p w14:paraId="585D7FC7" w14:textId="77777777" w:rsidR="00B24E88" w:rsidRPr="00566720" w:rsidRDefault="00B24E88" w:rsidP="001A49CC">
            <w:pPr>
              <w:rPr>
                <w:sz w:val="20"/>
                <w:szCs w:val="20"/>
              </w:rPr>
            </w:pPr>
          </w:p>
        </w:tc>
        <w:tc>
          <w:tcPr>
            <w:tcW w:w="2834" w:type="dxa"/>
          </w:tcPr>
          <w:p w14:paraId="15FBCD09" w14:textId="77777777" w:rsidR="00B24E88" w:rsidRPr="00C63BEC" w:rsidRDefault="00B24E88" w:rsidP="00B24E88">
            <w:pPr>
              <w:spacing w:before="20" w:after="20"/>
              <w:ind w:left="0"/>
              <w:rPr>
                <w:sz w:val="20"/>
                <w:szCs w:val="20"/>
              </w:rPr>
            </w:pPr>
            <w:r w:rsidRPr="00C63BEC">
              <w:rPr>
                <w:rFonts w:ascii="EUAlbertina" w:hAnsi="EUAlbertina" w:cs="EUAlbertina"/>
                <w:color w:val="000000"/>
              </w:rPr>
              <w:t xml:space="preserve">- </w:t>
            </w:r>
            <w:r w:rsidRPr="00C63BEC">
              <w:rPr>
                <w:sz w:val="20"/>
                <w:szCs w:val="20"/>
              </w:rPr>
              <w:t>stanovuje realisticky a kvalitne vypracovaný plán realizácie projektov (vrátane časového plánu a rozpočtového rámca).</w:t>
            </w:r>
          </w:p>
        </w:tc>
        <w:tc>
          <w:tcPr>
            <w:tcW w:w="2836" w:type="dxa"/>
          </w:tcPr>
          <w:p w14:paraId="77F5A0A4" w14:textId="77777777" w:rsidR="00B24E88" w:rsidRPr="00C63BEC" w:rsidRDefault="00B24E88" w:rsidP="00B24E88">
            <w:pPr>
              <w:autoSpaceDE w:val="0"/>
              <w:autoSpaceDN w:val="0"/>
              <w:adjustRightInd w:val="0"/>
              <w:ind w:left="0"/>
              <w:rPr>
                <w:sz w:val="20"/>
                <w:szCs w:val="20"/>
              </w:rPr>
            </w:pPr>
            <w:r w:rsidRPr="00C63BEC">
              <w:rPr>
                <w:sz w:val="20"/>
                <w:szCs w:val="20"/>
              </w:rPr>
              <w:t>Vypracovanie implementačného plánu projektov financovaných z KF, EFRR a CEF ako súčasť Akčného plánu pre naplnenie ex ante kondicionality č. 7 na základe formy definovanej v Guidance Note EK k obsahu</w:t>
            </w:r>
          </w:p>
          <w:p w14:paraId="2520B3A2" w14:textId="77777777" w:rsidR="00B24E88" w:rsidRPr="00C63BEC" w:rsidRDefault="00B24E88" w:rsidP="00B24E88">
            <w:pPr>
              <w:pStyle w:val="Odsekzoznamu"/>
              <w:ind w:left="0"/>
              <w:rPr>
                <w:sz w:val="20"/>
                <w:szCs w:val="20"/>
              </w:rPr>
            </w:pPr>
            <w:r w:rsidRPr="00C63BEC">
              <w:rPr>
                <w:sz w:val="20"/>
                <w:szCs w:val="20"/>
              </w:rPr>
              <w:t>Akčných plánov</w:t>
            </w:r>
          </w:p>
        </w:tc>
        <w:tc>
          <w:tcPr>
            <w:tcW w:w="2836" w:type="dxa"/>
          </w:tcPr>
          <w:p w14:paraId="729811A9" w14:textId="77777777" w:rsidR="00B24E88" w:rsidRPr="00C63BEC" w:rsidRDefault="00B24E88" w:rsidP="00B24E88">
            <w:pPr>
              <w:rPr>
                <w:sz w:val="20"/>
                <w:szCs w:val="20"/>
              </w:rPr>
            </w:pPr>
            <w:r w:rsidRPr="00C63BEC">
              <w:rPr>
                <w:sz w:val="20"/>
                <w:szCs w:val="20"/>
              </w:rPr>
              <w:t>31.1.2015</w:t>
            </w:r>
          </w:p>
        </w:tc>
        <w:tc>
          <w:tcPr>
            <w:tcW w:w="2836" w:type="dxa"/>
          </w:tcPr>
          <w:p w14:paraId="4EEA68FE" w14:textId="77777777"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CF2C83" w14:paraId="22150A0D" w14:textId="77777777" w:rsidTr="00AB582D">
        <w:trPr>
          <w:trHeight w:val="1190"/>
        </w:trPr>
        <w:tc>
          <w:tcPr>
            <w:tcW w:w="2833" w:type="dxa"/>
            <w:vMerge/>
            <w:vAlign w:val="center"/>
          </w:tcPr>
          <w:p w14:paraId="2B672E72" w14:textId="77777777" w:rsidR="00CF2C83" w:rsidRPr="00566720" w:rsidRDefault="00CF2C83" w:rsidP="001A49CC">
            <w:pPr>
              <w:rPr>
                <w:sz w:val="20"/>
                <w:szCs w:val="20"/>
              </w:rPr>
            </w:pPr>
          </w:p>
        </w:tc>
        <w:tc>
          <w:tcPr>
            <w:tcW w:w="2834" w:type="dxa"/>
          </w:tcPr>
          <w:p w14:paraId="306D96B8" w14:textId="77777777" w:rsidR="00CF2C83" w:rsidRPr="00566720" w:rsidRDefault="00CF2C83" w:rsidP="001A49CC">
            <w:pPr>
              <w:spacing w:before="20" w:after="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14:paraId="773BD95F" w14:textId="77777777"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14:paraId="4E0F0B1F" w14:textId="77777777" w:rsidR="00CF2C83" w:rsidRPr="00364ECC" w:rsidRDefault="00411F8E" w:rsidP="002F71A6">
            <w:pPr>
              <w:ind w:left="0"/>
              <w:jc w:val="center"/>
              <w:rPr>
                <w:sz w:val="20"/>
                <w:szCs w:val="20"/>
              </w:rPr>
            </w:pPr>
            <w:r>
              <w:rPr>
                <w:sz w:val="20"/>
                <w:szCs w:val="20"/>
              </w:rPr>
              <w:t>31</w:t>
            </w:r>
            <w:r w:rsidR="002F71A6">
              <w:rPr>
                <w:sz w:val="20"/>
                <w:szCs w:val="20"/>
              </w:rPr>
              <w:t>.10.</w:t>
            </w:r>
            <w:r w:rsidR="00CF2C83" w:rsidRPr="00364ECC">
              <w:rPr>
                <w:sz w:val="20"/>
                <w:szCs w:val="20"/>
              </w:rPr>
              <w:t>2014</w:t>
            </w:r>
          </w:p>
        </w:tc>
        <w:tc>
          <w:tcPr>
            <w:tcW w:w="2836" w:type="dxa"/>
          </w:tcPr>
          <w:p w14:paraId="322A769C" w14:textId="77777777" w:rsidR="00CF2C83" w:rsidRPr="00364ECC" w:rsidRDefault="00CF2C83" w:rsidP="001A49CC">
            <w:pPr>
              <w:ind w:left="0"/>
              <w:rPr>
                <w:sz w:val="20"/>
                <w:szCs w:val="20"/>
              </w:rPr>
            </w:pPr>
            <w:r w:rsidRPr="00364ECC">
              <w:rPr>
                <w:sz w:val="20"/>
                <w:szCs w:val="20"/>
              </w:rPr>
              <w:t>MDVRR SR (sek</w:t>
            </w:r>
            <w:r>
              <w:rPr>
                <w:sz w:val="20"/>
                <w:szCs w:val="20"/>
              </w:rPr>
              <w:t>cia Operačného programu Doprava</w:t>
            </w:r>
            <w:r w:rsidRPr="00364ECC">
              <w:rPr>
                <w:sz w:val="20"/>
                <w:szCs w:val="20"/>
              </w:rPr>
              <w:t xml:space="preserve"> v spolupráci s prijímateľm</w:t>
            </w:r>
            <w:r>
              <w:rPr>
                <w:sz w:val="20"/>
                <w:szCs w:val="20"/>
              </w:rPr>
              <w:t>i</w:t>
            </w:r>
          </w:p>
        </w:tc>
      </w:tr>
    </w:tbl>
    <w:p w14:paraId="402E1212" w14:textId="77777777" w:rsidR="008251D9" w:rsidRPr="00CE2E2C" w:rsidRDefault="008251D9" w:rsidP="008251D9">
      <w:pPr>
        <w:pStyle w:val="Tab"/>
      </w:pPr>
      <w:r w:rsidRPr="00CE2E2C">
        <w:t>Aktivity, ktoré budú vykonané pre splnenie tematických ex ante kondicionalít</w:t>
      </w:r>
      <w:r>
        <w:t xml:space="preserve"> – </w:t>
      </w:r>
      <w:r w:rsidRPr="00036C98">
        <w:rPr>
          <w:b/>
          <w:i/>
        </w:rPr>
        <w:t>Výskum a inovácie</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3"/>
        <w:gridCol w:w="2834"/>
        <w:gridCol w:w="2836"/>
        <w:gridCol w:w="2836"/>
        <w:gridCol w:w="2836"/>
      </w:tblGrid>
      <w:tr w:rsidR="008251D9" w:rsidRPr="003F7110" w14:paraId="540D77EF" w14:textId="77777777" w:rsidTr="008120B9">
        <w:trPr>
          <w:trHeight w:val="340"/>
        </w:trPr>
        <w:tc>
          <w:tcPr>
            <w:tcW w:w="2833" w:type="dxa"/>
            <w:shd w:val="clear" w:color="auto" w:fill="C6D9F1" w:themeFill="text2" w:themeFillTint="33"/>
            <w:vAlign w:val="center"/>
          </w:tcPr>
          <w:p w14:paraId="42780106" w14:textId="77777777" w:rsidR="008251D9" w:rsidRPr="003F7110" w:rsidRDefault="008251D9" w:rsidP="008120B9">
            <w:pPr>
              <w:ind w:left="0"/>
              <w:jc w:val="center"/>
              <w:rPr>
                <w:sz w:val="20"/>
                <w:szCs w:val="20"/>
              </w:rPr>
            </w:pPr>
            <w:r w:rsidRPr="003F7110">
              <w:rPr>
                <w:sz w:val="20"/>
                <w:szCs w:val="20"/>
              </w:rPr>
              <w:t>Tematické ex ante kondicionality, ktoré sú nesplnené alebo splnené len čiastočne</w:t>
            </w:r>
          </w:p>
        </w:tc>
        <w:tc>
          <w:tcPr>
            <w:tcW w:w="2834" w:type="dxa"/>
            <w:shd w:val="clear" w:color="auto" w:fill="C6D9F1" w:themeFill="text2" w:themeFillTint="33"/>
            <w:vAlign w:val="center"/>
          </w:tcPr>
          <w:p w14:paraId="10CC1DC5" w14:textId="77777777" w:rsidR="008251D9" w:rsidRPr="003F7110" w:rsidRDefault="008251D9" w:rsidP="008120B9">
            <w:pPr>
              <w:ind w:left="0"/>
              <w:jc w:val="center"/>
              <w:rPr>
                <w:sz w:val="20"/>
                <w:szCs w:val="20"/>
              </w:rPr>
            </w:pPr>
            <w:r w:rsidRPr="003F7110">
              <w:rPr>
                <w:sz w:val="20"/>
                <w:szCs w:val="20"/>
              </w:rPr>
              <w:t>Nesplnené kritériá</w:t>
            </w:r>
          </w:p>
        </w:tc>
        <w:tc>
          <w:tcPr>
            <w:tcW w:w="2836" w:type="dxa"/>
            <w:shd w:val="clear" w:color="auto" w:fill="C6D9F1" w:themeFill="text2" w:themeFillTint="33"/>
            <w:vAlign w:val="center"/>
          </w:tcPr>
          <w:p w14:paraId="019ED933" w14:textId="77777777" w:rsidR="008251D9" w:rsidRPr="003F7110" w:rsidRDefault="008251D9" w:rsidP="008120B9">
            <w:pPr>
              <w:ind w:left="0"/>
              <w:jc w:val="center"/>
              <w:rPr>
                <w:sz w:val="20"/>
                <w:szCs w:val="20"/>
              </w:rPr>
            </w:pPr>
            <w:r w:rsidRPr="003F7110">
              <w:rPr>
                <w:sz w:val="20"/>
                <w:szCs w:val="20"/>
              </w:rPr>
              <w:t>Plánované opatrenie</w:t>
            </w:r>
          </w:p>
        </w:tc>
        <w:tc>
          <w:tcPr>
            <w:tcW w:w="2836" w:type="dxa"/>
            <w:shd w:val="clear" w:color="auto" w:fill="C6D9F1" w:themeFill="text2" w:themeFillTint="33"/>
            <w:vAlign w:val="center"/>
          </w:tcPr>
          <w:p w14:paraId="45FF29B5" w14:textId="77777777" w:rsidR="008251D9" w:rsidRPr="003F7110" w:rsidRDefault="008251D9" w:rsidP="008120B9">
            <w:pPr>
              <w:ind w:left="0"/>
              <w:jc w:val="center"/>
              <w:rPr>
                <w:sz w:val="20"/>
                <w:szCs w:val="20"/>
              </w:rPr>
            </w:pPr>
            <w:r>
              <w:rPr>
                <w:sz w:val="20"/>
                <w:szCs w:val="20"/>
              </w:rPr>
              <w:t>Konečný t</w:t>
            </w:r>
            <w:r w:rsidRPr="003F7110">
              <w:rPr>
                <w:sz w:val="20"/>
                <w:szCs w:val="20"/>
              </w:rPr>
              <w:t>ermín (dátum)</w:t>
            </w:r>
          </w:p>
        </w:tc>
        <w:tc>
          <w:tcPr>
            <w:tcW w:w="2836" w:type="dxa"/>
            <w:shd w:val="clear" w:color="auto" w:fill="C6D9F1" w:themeFill="text2" w:themeFillTint="33"/>
            <w:vAlign w:val="center"/>
          </w:tcPr>
          <w:p w14:paraId="68EFD6B9" w14:textId="77777777" w:rsidR="008251D9" w:rsidRPr="003F7110" w:rsidRDefault="008251D9" w:rsidP="008120B9">
            <w:pPr>
              <w:ind w:left="0"/>
              <w:jc w:val="center"/>
              <w:rPr>
                <w:sz w:val="20"/>
                <w:szCs w:val="20"/>
              </w:rPr>
            </w:pPr>
            <w:r w:rsidRPr="003F7110">
              <w:rPr>
                <w:sz w:val="20"/>
                <w:szCs w:val="20"/>
              </w:rPr>
              <w:t>Orgány zodpovedné za splnenie</w:t>
            </w:r>
          </w:p>
        </w:tc>
      </w:tr>
      <w:tr w:rsidR="008251D9" w:rsidRPr="00566720" w14:paraId="53908C57" w14:textId="77777777" w:rsidTr="008120B9">
        <w:trPr>
          <w:trHeight w:val="792"/>
        </w:trPr>
        <w:tc>
          <w:tcPr>
            <w:tcW w:w="2833" w:type="dxa"/>
            <w:vAlign w:val="center"/>
          </w:tcPr>
          <w:p w14:paraId="23BEE7EA" w14:textId="77777777" w:rsidR="008251D9" w:rsidRPr="0019722D" w:rsidRDefault="008251D9" w:rsidP="008120B9">
            <w:pPr>
              <w:ind w:left="0"/>
              <w:jc w:val="center"/>
              <w:rPr>
                <w:sz w:val="20"/>
                <w:szCs w:val="20"/>
              </w:rPr>
            </w:pPr>
            <w:r w:rsidRPr="0019722D">
              <w:rPr>
                <w:sz w:val="20"/>
                <w:szCs w:val="20"/>
              </w:rPr>
              <w:t>N/A</w:t>
            </w:r>
          </w:p>
        </w:tc>
        <w:tc>
          <w:tcPr>
            <w:tcW w:w="2834" w:type="dxa"/>
            <w:vAlign w:val="center"/>
          </w:tcPr>
          <w:p w14:paraId="6DD3B88C" w14:textId="77777777" w:rsidR="008251D9" w:rsidRPr="0019722D" w:rsidRDefault="008251D9" w:rsidP="008120B9">
            <w:pPr>
              <w:spacing w:before="20" w:after="20"/>
              <w:ind w:left="0"/>
              <w:jc w:val="center"/>
              <w:rPr>
                <w:sz w:val="20"/>
                <w:szCs w:val="20"/>
              </w:rPr>
            </w:pPr>
            <w:r w:rsidRPr="0019722D">
              <w:rPr>
                <w:sz w:val="20"/>
                <w:szCs w:val="20"/>
              </w:rPr>
              <w:t>N/A</w:t>
            </w:r>
          </w:p>
        </w:tc>
        <w:tc>
          <w:tcPr>
            <w:tcW w:w="2836" w:type="dxa"/>
            <w:vAlign w:val="center"/>
          </w:tcPr>
          <w:p w14:paraId="6E5BCA11" w14:textId="77777777" w:rsidR="008251D9" w:rsidRPr="0019722D" w:rsidRDefault="008251D9" w:rsidP="008120B9">
            <w:pPr>
              <w:spacing w:before="20" w:after="20"/>
              <w:ind w:left="0"/>
              <w:jc w:val="center"/>
              <w:rPr>
                <w:sz w:val="20"/>
                <w:szCs w:val="20"/>
              </w:rPr>
            </w:pPr>
            <w:r w:rsidRPr="0019722D">
              <w:rPr>
                <w:sz w:val="20"/>
                <w:szCs w:val="20"/>
              </w:rPr>
              <w:t>N/A</w:t>
            </w:r>
          </w:p>
        </w:tc>
        <w:tc>
          <w:tcPr>
            <w:tcW w:w="2836" w:type="dxa"/>
            <w:vAlign w:val="center"/>
          </w:tcPr>
          <w:p w14:paraId="5263EE14" w14:textId="77777777" w:rsidR="008251D9" w:rsidRPr="0019722D" w:rsidRDefault="008251D9" w:rsidP="008120B9">
            <w:pPr>
              <w:spacing w:before="20"/>
              <w:ind w:left="0"/>
              <w:jc w:val="center"/>
              <w:rPr>
                <w:sz w:val="20"/>
                <w:szCs w:val="20"/>
              </w:rPr>
            </w:pPr>
            <w:r w:rsidRPr="0019722D">
              <w:rPr>
                <w:sz w:val="20"/>
                <w:szCs w:val="20"/>
              </w:rPr>
              <w:t>N/A</w:t>
            </w:r>
          </w:p>
        </w:tc>
        <w:tc>
          <w:tcPr>
            <w:tcW w:w="2836" w:type="dxa"/>
            <w:vAlign w:val="center"/>
          </w:tcPr>
          <w:p w14:paraId="5EB15180" w14:textId="77777777" w:rsidR="008251D9" w:rsidRPr="0019722D" w:rsidRDefault="008251D9" w:rsidP="008120B9">
            <w:pPr>
              <w:spacing w:before="20"/>
              <w:ind w:left="0"/>
              <w:jc w:val="center"/>
              <w:rPr>
                <w:sz w:val="20"/>
                <w:szCs w:val="20"/>
              </w:rPr>
            </w:pPr>
            <w:r w:rsidRPr="0019722D">
              <w:rPr>
                <w:sz w:val="20"/>
                <w:szCs w:val="20"/>
              </w:rPr>
              <w:t>N/A</w:t>
            </w:r>
          </w:p>
        </w:tc>
      </w:tr>
    </w:tbl>
    <w:p w14:paraId="572D9706" w14:textId="77777777" w:rsidR="0083359D" w:rsidRDefault="0083359D" w:rsidP="0083359D">
      <w:pPr>
        <w:rPr>
          <w:lang w:eastAsia="cs-CZ"/>
        </w:rPr>
      </w:pPr>
    </w:p>
    <w:p w14:paraId="0B07A86F" w14:textId="77777777" w:rsidR="0083359D" w:rsidRDefault="0083359D" w:rsidP="0083359D">
      <w:pPr>
        <w:rPr>
          <w:lang w:eastAsia="cs-CZ"/>
        </w:rPr>
      </w:pPr>
    </w:p>
    <w:p w14:paraId="3FD56957" w14:textId="77777777" w:rsidR="0083359D" w:rsidRDefault="0083359D" w:rsidP="0083359D">
      <w:pPr>
        <w:rPr>
          <w:lang w:eastAsia="cs-CZ"/>
        </w:rPr>
      </w:pPr>
    </w:p>
    <w:p w14:paraId="7936FF3A" w14:textId="77777777" w:rsidR="00E254DD" w:rsidRDefault="00E254DD" w:rsidP="0083359D">
      <w:pPr>
        <w:rPr>
          <w:lang w:eastAsia="cs-CZ"/>
        </w:rPr>
      </w:pPr>
    </w:p>
    <w:p w14:paraId="4DEA3EFE" w14:textId="77777777" w:rsidR="00E254DD" w:rsidRDefault="00E254DD" w:rsidP="0083359D">
      <w:pPr>
        <w:rPr>
          <w:lang w:eastAsia="cs-CZ"/>
        </w:rPr>
      </w:pPr>
    </w:p>
    <w:p w14:paraId="2E7F77E8" w14:textId="77777777" w:rsidR="00E254DD" w:rsidRDefault="00E254DD" w:rsidP="0083359D">
      <w:pPr>
        <w:rPr>
          <w:lang w:eastAsia="cs-CZ"/>
        </w:rPr>
      </w:pPr>
    </w:p>
    <w:p w14:paraId="6B27CCC1" w14:textId="77777777" w:rsidR="00E254DD" w:rsidRDefault="00E254DD" w:rsidP="0083359D">
      <w:pPr>
        <w:rPr>
          <w:lang w:eastAsia="cs-CZ"/>
        </w:rPr>
      </w:pPr>
    </w:p>
    <w:p w14:paraId="39C8BA5C" w14:textId="2D9799DB" w:rsidR="002A4DF8" w:rsidRPr="00CE2E2C" w:rsidRDefault="002A4DF8" w:rsidP="00303840">
      <w:pPr>
        <w:pStyle w:val="Tab"/>
      </w:pPr>
      <w:r w:rsidRPr="00CE2E2C">
        <w:lastRenderedPageBreak/>
        <w:t>Aktivity, ktoré budú v</w:t>
      </w:r>
      <w:r>
        <w:t>ykonané pre splnenie všeobecných</w:t>
      </w:r>
      <w:r w:rsidRPr="00CE2E2C">
        <w:t xml:space="preserve"> ex ante kondicionalít</w:t>
      </w:r>
      <w:r w:rsidR="00145A41">
        <w:t xml:space="preserve"> (Podrob</w:t>
      </w:r>
      <w:r w:rsidR="00E254DD">
        <w:t>nejšie informácie sú uvedené v Prílohe</w:t>
      </w:r>
      <w:r w:rsidR="00E377A3">
        <w:t xml:space="preserve"> 8</w:t>
      </w:r>
      <w:r w:rsidR="00145A41">
        <w:t>)</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47"/>
        <w:gridCol w:w="2300"/>
        <w:gridCol w:w="4973"/>
        <w:gridCol w:w="2546"/>
        <w:gridCol w:w="2009"/>
      </w:tblGrid>
      <w:tr w:rsidR="00BC2230" w:rsidRPr="00C35F2A" w14:paraId="45FDC3B7" w14:textId="77777777" w:rsidTr="008251D9">
        <w:trPr>
          <w:trHeight w:val="340"/>
        </w:trPr>
        <w:tc>
          <w:tcPr>
            <w:tcW w:w="2347" w:type="dxa"/>
            <w:shd w:val="clear" w:color="auto" w:fill="C6D9F1" w:themeFill="text2" w:themeFillTint="33"/>
            <w:vAlign w:val="center"/>
          </w:tcPr>
          <w:p w14:paraId="64A233E9" w14:textId="77777777" w:rsidR="002A4DF8" w:rsidRPr="003F7110" w:rsidRDefault="0008542E" w:rsidP="002A4DF8">
            <w:pPr>
              <w:ind w:left="0"/>
              <w:jc w:val="center"/>
              <w:rPr>
                <w:sz w:val="20"/>
                <w:szCs w:val="20"/>
              </w:rPr>
            </w:pPr>
            <w:r>
              <w:rPr>
                <w:sz w:val="20"/>
                <w:szCs w:val="20"/>
              </w:rPr>
              <w:t>Všeobecné</w:t>
            </w:r>
            <w:r w:rsidR="002A4DF8" w:rsidRPr="003F7110">
              <w:rPr>
                <w:sz w:val="20"/>
                <w:szCs w:val="20"/>
              </w:rPr>
              <w:t xml:space="preserve"> ex ante kondicionality, ktoré sú nesplnené alebo splnené len čiastočne</w:t>
            </w:r>
          </w:p>
        </w:tc>
        <w:tc>
          <w:tcPr>
            <w:tcW w:w="2300" w:type="dxa"/>
            <w:shd w:val="clear" w:color="auto" w:fill="C6D9F1" w:themeFill="text2" w:themeFillTint="33"/>
            <w:vAlign w:val="center"/>
          </w:tcPr>
          <w:p w14:paraId="3DAE5F57" w14:textId="77777777" w:rsidR="002A4DF8" w:rsidRPr="003F7110" w:rsidRDefault="002A4DF8" w:rsidP="002A4DF8">
            <w:pPr>
              <w:ind w:left="0"/>
              <w:jc w:val="center"/>
              <w:rPr>
                <w:sz w:val="20"/>
                <w:szCs w:val="20"/>
              </w:rPr>
            </w:pPr>
            <w:r w:rsidRPr="003F7110">
              <w:rPr>
                <w:sz w:val="20"/>
                <w:szCs w:val="20"/>
              </w:rPr>
              <w:t>Nesplnené kritériá</w:t>
            </w:r>
          </w:p>
        </w:tc>
        <w:tc>
          <w:tcPr>
            <w:tcW w:w="4973" w:type="dxa"/>
            <w:shd w:val="clear" w:color="auto" w:fill="C6D9F1" w:themeFill="text2" w:themeFillTint="33"/>
            <w:vAlign w:val="center"/>
          </w:tcPr>
          <w:p w14:paraId="658C6372" w14:textId="77777777" w:rsidR="002A4DF8" w:rsidRPr="003F7110" w:rsidRDefault="002A4DF8" w:rsidP="002A4DF8">
            <w:pPr>
              <w:ind w:left="0"/>
              <w:jc w:val="center"/>
              <w:rPr>
                <w:sz w:val="20"/>
                <w:szCs w:val="20"/>
              </w:rPr>
            </w:pPr>
            <w:r w:rsidRPr="003F7110">
              <w:rPr>
                <w:sz w:val="20"/>
                <w:szCs w:val="20"/>
              </w:rPr>
              <w:t>Plánované opatrenie</w:t>
            </w:r>
          </w:p>
        </w:tc>
        <w:tc>
          <w:tcPr>
            <w:tcW w:w="2546" w:type="dxa"/>
            <w:shd w:val="clear" w:color="auto" w:fill="C6D9F1" w:themeFill="text2" w:themeFillTint="33"/>
            <w:vAlign w:val="center"/>
          </w:tcPr>
          <w:p w14:paraId="55CFFA42" w14:textId="77777777" w:rsidR="002A4DF8" w:rsidRPr="003F7110" w:rsidRDefault="002A4DF8" w:rsidP="002A4DF8">
            <w:pPr>
              <w:ind w:left="0"/>
              <w:jc w:val="center"/>
              <w:rPr>
                <w:sz w:val="20"/>
                <w:szCs w:val="20"/>
              </w:rPr>
            </w:pPr>
            <w:r>
              <w:rPr>
                <w:sz w:val="20"/>
                <w:szCs w:val="20"/>
              </w:rPr>
              <w:t>Konečný t</w:t>
            </w:r>
            <w:r w:rsidRPr="003F7110">
              <w:rPr>
                <w:sz w:val="20"/>
                <w:szCs w:val="20"/>
              </w:rPr>
              <w:t>ermín (dátum)</w:t>
            </w:r>
          </w:p>
        </w:tc>
        <w:tc>
          <w:tcPr>
            <w:tcW w:w="2009" w:type="dxa"/>
            <w:shd w:val="clear" w:color="auto" w:fill="C6D9F1" w:themeFill="text2" w:themeFillTint="33"/>
            <w:vAlign w:val="center"/>
          </w:tcPr>
          <w:p w14:paraId="26C09AC2" w14:textId="77777777" w:rsidR="002A4DF8" w:rsidRPr="003F7110" w:rsidRDefault="002A4DF8" w:rsidP="002A4DF8">
            <w:pPr>
              <w:ind w:left="0"/>
              <w:jc w:val="center"/>
              <w:rPr>
                <w:sz w:val="20"/>
                <w:szCs w:val="20"/>
              </w:rPr>
            </w:pPr>
            <w:r w:rsidRPr="003F7110">
              <w:rPr>
                <w:sz w:val="20"/>
                <w:szCs w:val="20"/>
              </w:rPr>
              <w:t>Orgány zodpovedné za splnenie</w:t>
            </w:r>
          </w:p>
        </w:tc>
      </w:tr>
      <w:tr w:rsidR="00D74A53" w14:paraId="16ADEFF5" w14:textId="77777777" w:rsidTr="008251D9">
        <w:trPr>
          <w:trHeight w:val="3236"/>
        </w:trPr>
        <w:tc>
          <w:tcPr>
            <w:tcW w:w="2347" w:type="dxa"/>
            <w:vMerge w:val="restart"/>
          </w:tcPr>
          <w:p w14:paraId="334A2902" w14:textId="77777777" w:rsidR="00D74A53" w:rsidRPr="00327C87" w:rsidRDefault="00D74A53" w:rsidP="0083359D">
            <w:pPr>
              <w:ind w:left="0"/>
              <w:rPr>
                <w:b/>
                <w:sz w:val="20"/>
                <w:szCs w:val="20"/>
              </w:rPr>
            </w:pPr>
            <w:r w:rsidRPr="00327C87">
              <w:rPr>
                <w:b/>
                <w:sz w:val="20"/>
                <w:szCs w:val="20"/>
              </w:rPr>
              <w:t xml:space="preserve">Nediskriminácia </w:t>
            </w:r>
          </w:p>
          <w:p w14:paraId="3F141049" w14:textId="77777777" w:rsidR="00D74A53" w:rsidRDefault="00D74A53" w:rsidP="0083359D">
            <w:pPr>
              <w:spacing w:before="120"/>
              <w:ind w:left="0"/>
              <w:rPr>
                <w:sz w:val="20"/>
                <w:szCs w:val="20"/>
              </w:rPr>
            </w:pPr>
            <w:r w:rsidRPr="0083359D">
              <w:rPr>
                <w:sz w:val="20"/>
                <w:szCs w:val="20"/>
              </w:rPr>
              <w:t>Existencia administratívnej kapacity na vykonávanie a uplatňovanie práva Únie v oblasti nediskriminácie a politiky v oblasti EŠIF.</w:t>
            </w:r>
          </w:p>
        </w:tc>
        <w:tc>
          <w:tcPr>
            <w:tcW w:w="2300" w:type="dxa"/>
            <w:vMerge w:val="restart"/>
          </w:tcPr>
          <w:p w14:paraId="7FC1A332" w14:textId="77777777" w:rsidR="00D74A53" w:rsidRDefault="00D74A53" w:rsidP="00327C87">
            <w:pPr>
              <w:spacing w:before="20" w:after="20"/>
              <w:ind w:left="0"/>
              <w:jc w:val="both"/>
              <w:rPr>
                <w:sz w:val="20"/>
                <w:szCs w:val="20"/>
              </w:rPr>
            </w:pPr>
            <w:r w:rsidRPr="0083359D">
              <w:rPr>
                <w:sz w:val="20"/>
                <w:szCs w:val="20"/>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4973" w:type="dxa"/>
          </w:tcPr>
          <w:p w14:paraId="429EBDD5" w14:textId="77777777" w:rsidR="00D74A53" w:rsidRPr="0083359D" w:rsidRDefault="00D74A53" w:rsidP="00327C87">
            <w:pPr>
              <w:ind w:left="0"/>
              <w:jc w:val="both"/>
              <w:rPr>
                <w:sz w:val="20"/>
                <w:szCs w:val="20"/>
              </w:rPr>
            </w:pPr>
            <w:r w:rsidRPr="0083359D">
              <w:rPr>
                <w:rFonts w:eastAsia="MS Mincho"/>
                <w:b/>
                <w:sz w:val="20"/>
                <w:szCs w:val="20"/>
                <w:lang w:eastAsia="cs-CZ"/>
              </w:rPr>
              <w:t xml:space="preserve">Posilnenie administratívnych kapacít odboru rodovej rovnosti a rovnosti príležitostí MPSVR SR. </w:t>
            </w:r>
            <w:r w:rsidRPr="0083359D">
              <w:rPr>
                <w:sz w:val="20"/>
                <w:szCs w:val="20"/>
              </w:rPr>
              <w:t>Dosiahnutie optimalizovaného stavu administratívnych kapacít vytvorením oddelenia pre implementáciu horizontálnych princípov nediskriminácie a rovnosti mužov a žien v 7 pracovných miest na TPP plus 1 asistenta/ku.</w:t>
            </w:r>
          </w:p>
          <w:p w14:paraId="5EE57A34" w14:textId="77777777" w:rsidR="00D74A53" w:rsidRPr="007F60B9" w:rsidRDefault="00D74A53" w:rsidP="00327C87">
            <w:pPr>
              <w:spacing w:before="120"/>
              <w:ind w:left="0"/>
              <w:jc w:val="both"/>
              <w:rPr>
                <w:sz w:val="20"/>
                <w:szCs w:val="20"/>
              </w:rPr>
            </w:pPr>
            <w:r w:rsidRPr="0083359D">
              <w:rPr>
                <w:sz w:val="20"/>
                <w:szCs w:val="20"/>
              </w:rPr>
              <w:t xml:space="preserve">Navýšenie administratívnych kapacít odboru rodovej rovnosti </w:t>
            </w:r>
            <w:r w:rsidRPr="0083359D">
              <w:rPr>
                <w:sz w:val="20"/>
                <w:szCs w:val="20"/>
              </w:rPr>
              <w:br/>
              <w:t>a rovnosti príležitostí MPSVR SR.</w:t>
            </w:r>
          </w:p>
        </w:tc>
        <w:tc>
          <w:tcPr>
            <w:tcW w:w="2546" w:type="dxa"/>
          </w:tcPr>
          <w:p w14:paraId="248E1753" w14:textId="77777777" w:rsidR="00D74A53" w:rsidRPr="00327C87" w:rsidRDefault="00D74A53" w:rsidP="00327C87">
            <w:pPr>
              <w:ind w:left="0"/>
              <w:jc w:val="center"/>
              <w:rPr>
                <w:b/>
                <w:sz w:val="20"/>
                <w:szCs w:val="20"/>
              </w:rPr>
            </w:pPr>
            <w:r w:rsidRPr="00327C87">
              <w:rPr>
                <w:b/>
                <w:sz w:val="20"/>
                <w:szCs w:val="20"/>
              </w:rPr>
              <w:t>1.11. 2014</w:t>
            </w:r>
          </w:p>
          <w:p w14:paraId="7A219D58" w14:textId="77777777" w:rsidR="00B45B96" w:rsidRDefault="00D74A53" w:rsidP="00327C87">
            <w:pPr>
              <w:ind w:left="0"/>
              <w:jc w:val="both"/>
              <w:rPr>
                <w:sz w:val="20"/>
                <w:szCs w:val="20"/>
              </w:rPr>
            </w:pPr>
            <w:r w:rsidRPr="00D74A53">
              <w:rPr>
                <w:sz w:val="20"/>
                <w:szCs w:val="20"/>
              </w:rPr>
              <w:t xml:space="preserve">Dosiahnutie optimalizovaného stavu administratívnych kapacít vytvorením oddelenia pre implementáciu horizontálnych princípov nediskriminácie a rovnosti mužov a žien v počte 7 pracovných miest na TPP plus 1 asistent/ka. </w:t>
            </w:r>
          </w:p>
          <w:p w14:paraId="769E4322" w14:textId="77777777" w:rsidR="00D74A53" w:rsidRPr="00FC014A" w:rsidRDefault="00D74A53" w:rsidP="00FC014A">
            <w:pPr>
              <w:ind w:left="0"/>
              <w:jc w:val="both"/>
              <w:rPr>
                <w:sz w:val="20"/>
                <w:szCs w:val="20"/>
              </w:rPr>
            </w:pPr>
            <w:r w:rsidRPr="00D74A53">
              <w:rPr>
                <w:sz w:val="20"/>
                <w:szCs w:val="20"/>
              </w:rPr>
              <w:t>Pôvodný termín 31. 8. 2014 bol posunutý vzhľadom na potrebu schválenia materiálu k administratívnym kapacitám vládou SR a prípravu projektu z OPTP.</w:t>
            </w:r>
          </w:p>
        </w:tc>
        <w:tc>
          <w:tcPr>
            <w:tcW w:w="2009" w:type="dxa"/>
            <w:vMerge w:val="restart"/>
          </w:tcPr>
          <w:p w14:paraId="30826D75" w14:textId="77777777" w:rsidR="00D74A53" w:rsidRPr="007F60B9" w:rsidRDefault="00D74A53" w:rsidP="00327C87">
            <w:pPr>
              <w:ind w:left="0"/>
              <w:jc w:val="center"/>
              <w:rPr>
                <w:sz w:val="20"/>
                <w:szCs w:val="20"/>
              </w:rPr>
            </w:pPr>
            <w:r w:rsidRPr="0083359D">
              <w:rPr>
                <w:sz w:val="20"/>
                <w:szCs w:val="20"/>
              </w:rPr>
              <w:t>MPSVR SR</w:t>
            </w:r>
          </w:p>
        </w:tc>
      </w:tr>
      <w:tr w:rsidR="00D74A53" w14:paraId="19774751" w14:textId="77777777" w:rsidTr="008251D9">
        <w:trPr>
          <w:trHeight w:val="436"/>
        </w:trPr>
        <w:tc>
          <w:tcPr>
            <w:tcW w:w="2347" w:type="dxa"/>
            <w:vMerge/>
          </w:tcPr>
          <w:p w14:paraId="29DB444D" w14:textId="77777777" w:rsidR="00D74A53" w:rsidRPr="0083359D" w:rsidRDefault="00D74A53" w:rsidP="0083359D">
            <w:pPr>
              <w:rPr>
                <w:sz w:val="20"/>
                <w:szCs w:val="20"/>
              </w:rPr>
            </w:pPr>
          </w:p>
        </w:tc>
        <w:tc>
          <w:tcPr>
            <w:tcW w:w="2300" w:type="dxa"/>
            <w:vMerge/>
          </w:tcPr>
          <w:p w14:paraId="5BD7FD96" w14:textId="77777777" w:rsidR="00D74A53" w:rsidRPr="0083359D" w:rsidRDefault="00D74A53" w:rsidP="0083359D">
            <w:pPr>
              <w:spacing w:before="20" w:after="20"/>
              <w:rPr>
                <w:sz w:val="20"/>
                <w:szCs w:val="20"/>
              </w:rPr>
            </w:pPr>
          </w:p>
        </w:tc>
        <w:tc>
          <w:tcPr>
            <w:tcW w:w="4973" w:type="dxa"/>
          </w:tcPr>
          <w:p w14:paraId="08284581" w14:textId="77777777" w:rsidR="00D74A53" w:rsidRPr="00D74A53" w:rsidRDefault="00D74A53" w:rsidP="00D74A53">
            <w:pPr>
              <w:ind w:left="0"/>
              <w:rPr>
                <w:sz w:val="20"/>
                <w:szCs w:val="20"/>
              </w:rPr>
            </w:pPr>
            <w:r w:rsidRPr="00D74A53">
              <w:rPr>
                <w:sz w:val="20"/>
                <w:szCs w:val="20"/>
              </w:rPr>
              <w:t>Zapojenie Slovenského národného strediska pre ľudské práva ako „equality body“.</w:t>
            </w:r>
          </w:p>
        </w:tc>
        <w:tc>
          <w:tcPr>
            <w:tcW w:w="2546" w:type="dxa"/>
          </w:tcPr>
          <w:p w14:paraId="0BFF0975" w14:textId="77777777" w:rsidR="00D74A53" w:rsidRPr="00327C87" w:rsidRDefault="00D74A53" w:rsidP="00327C87">
            <w:pPr>
              <w:ind w:left="0"/>
              <w:jc w:val="center"/>
              <w:rPr>
                <w:b/>
                <w:sz w:val="20"/>
                <w:szCs w:val="20"/>
              </w:rPr>
            </w:pPr>
            <w:r w:rsidRPr="00327C87">
              <w:rPr>
                <w:b/>
                <w:sz w:val="20"/>
                <w:szCs w:val="20"/>
              </w:rPr>
              <w:t>30.12.2014</w:t>
            </w:r>
          </w:p>
          <w:p w14:paraId="521A8BB2" w14:textId="77777777" w:rsidR="00D74A53" w:rsidRPr="0083359D" w:rsidRDefault="00D74A53" w:rsidP="0083359D">
            <w:pPr>
              <w:rPr>
                <w:sz w:val="20"/>
                <w:szCs w:val="20"/>
              </w:rPr>
            </w:pPr>
          </w:p>
        </w:tc>
        <w:tc>
          <w:tcPr>
            <w:tcW w:w="2009" w:type="dxa"/>
            <w:vMerge/>
          </w:tcPr>
          <w:p w14:paraId="5F6DFC5C" w14:textId="77777777" w:rsidR="00D74A53" w:rsidRPr="0083359D" w:rsidRDefault="00D74A53" w:rsidP="0083359D">
            <w:pPr>
              <w:rPr>
                <w:sz w:val="20"/>
                <w:szCs w:val="20"/>
              </w:rPr>
            </w:pPr>
          </w:p>
        </w:tc>
      </w:tr>
      <w:tr w:rsidR="00D74A53" w14:paraId="45B1075F" w14:textId="77777777" w:rsidTr="008251D9">
        <w:trPr>
          <w:trHeight w:val="482"/>
        </w:trPr>
        <w:tc>
          <w:tcPr>
            <w:tcW w:w="2347" w:type="dxa"/>
            <w:vMerge/>
          </w:tcPr>
          <w:p w14:paraId="0FF7A580" w14:textId="77777777" w:rsidR="00D74A53" w:rsidRPr="0083359D" w:rsidRDefault="00D74A53" w:rsidP="0083359D">
            <w:pPr>
              <w:rPr>
                <w:sz w:val="20"/>
                <w:szCs w:val="20"/>
              </w:rPr>
            </w:pPr>
          </w:p>
        </w:tc>
        <w:tc>
          <w:tcPr>
            <w:tcW w:w="2300" w:type="dxa"/>
            <w:vMerge/>
          </w:tcPr>
          <w:p w14:paraId="2A94E662" w14:textId="77777777" w:rsidR="00D74A53" w:rsidRPr="0083359D" w:rsidRDefault="00D74A53" w:rsidP="0083359D">
            <w:pPr>
              <w:spacing w:before="20" w:after="20"/>
              <w:rPr>
                <w:sz w:val="20"/>
                <w:szCs w:val="20"/>
              </w:rPr>
            </w:pPr>
          </w:p>
        </w:tc>
        <w:tc>
          <w:tcPr>
            <w:tcW w:w="4973" w:type="dxa"/>
          </w:tcPr>
          <w:p w14:paraId="2D571100" w14:textId="77777777" w:rsidR="00D74A53" w:rsidRPr="00D74A53" w:rsidRDefault="00D74A53" w:rsidP="00D74A53">
            <w:pPr>
              <w:ind w:left="0"/>
              <w:rPr>
                <w:sz w:val="20"/>
                <w:szCs w:val="20"/>
              </w:rPr>
            </w:pPr>
            <w:r w:rsidRPr="00D74A53">
              <w:rPr>
                <w:sz w:val="20"/>
                <w:szCs w:val="20"/>
              </w:rPr>
              <w:t>Národný akčný plán pre prevenciu a elimináciu diskriminácie</w:t>
            </w:r>
          </w:p>
        </w:tc>
        <w:tc>
          <w:tcPr>
            <w:tcW w:w="2546" w:type="dxa"/>
          </w:tcPr>
          <w:p w14:paraId="0033E6D9" w14:textId="77777777" w:rsidR="00D74A53" w:rsidRPr="00327C87" w:rsidRDefault="00D74A53" w:rsidP="00327C87">
            <w:pPr>
              <w:ind w:left="0"/>
              <w:jc w:val="center"/>
              <w:rPr>
                <w:b/>
                <w:sz w:val="20"/>
                <w:szCs w:val="20"/>
              </w:rPr>
            </w:pPr>
            <w:r w:rsidRPr="00327C87">
              <w:rPr>
                <w:b/>
                <w:sz w:val="20"/>
                <w:szCs w:val="20"/>
              </w:rPr>
              <w:t>30.6.2015</w:t>
            </w:r>
          </w:p>
        </w:tc>
        <w:tc>
          <w:tcPr>
            <w:tcW w:w="2009" w:type="dxa"/>
            <w:vMerge/>
          </w:tcPr>
          <w:p w14:paraId="622BCEFF" w14:textId="77777777" w:rsidR="00D74A53" w:rsidRPr="0083359D" w:rsidRDefault="00D74A53" w:rsidP="0083359D">
            <w:pPr>
              <w:rPr>
                <w:sz w:val="20"/>
                <w:szCs w:val="20"/>
              </w:rPr>
            </w:pPr>
          </w:p>
        </w:tc>
      </w:tr>
      <w:tr w:rsidR="00D74A53" w14:paraId="7BEEFADE" w14:textId="77777777" w:rsidTr="008251D9">
        <w:trPr>
          <w:trHeight w:val="421"/>
        </w:trPr>
        <w:tc>
          <w:tcPr>
            <w:tcW w:w="2347" w:type="dxa"/>
            <w:vMerge/>
          </w:tcPr>
          <w:p w14:paraId="33749D9B" w14:textId="77777777" w:rsidR="00D74A53" w:rsidRPr="0083359D" w:rsidRDefault="00D74A53" w:rsidP="0083359D">
            <w:pPr>
              <w:rPr>
                <w:sz w:val="20"/>
                <w:szCs w:val="20"/>
              </w:rPr>
            </w:pPr>
          </w:p>
        </w:tc>
        <w:tc>
          <w:tcPr>
            <w:tcW w:w="2300" w:type="dxa"/>
            <w:vMerge/>
          </w:tcPr>
          <w:p w14:paraId="1BCF11D6" w14:textId="77777777" w:rsidR="00D74A53" w:rsidRPr="0083359D" w:rsidRDefault="00D74A53" w:rsidP="0083359D">
            <w:pPr>
              <w:spacing w:before="20" w:after="20"/>
              <w:rPr>
                <w:sz w:val="20"/>
                <w:szCs w:val="20"/>
              </w:rPr>
            </w:pPr>
          </w:p>
        </w:tc>
        <w:tc>
          <w:tcPr>
            <w:tcW w:w="4973" w:type="dxa"/>
          </w:tcPr>
          <w:p w14:paraId="71EC0001" w14:textId="77777777" w:rsidR="00D74A53" w:rsidRPr="00D74A53" w:rsidRDefault="00D74A53" w:rsidP="00B45B96">
            <w:pPr>
              <w:ind w:left="0"/>
              <w:rPr>
                <w:sz w:val="20"/>
                <w:szCs w:val="20"/>
              </w:rPr>
            </w:pPr>
            <w:r w:rsidRPr="00D74A53">
              <w:rPr>
                <w:sz w:val="20"/>
                <w:szCs w:val="20"/>
              </w:rPr>
              <w:t>Celoštátna stratégiu ochrany a podpory ľudských práv v Slovenskej republike</w:t>
            </w:r>
          </w:p>
          <w:p w14:paraId="05C90839" w14:textId="77777777" w:rsidR="00D74A53" w:rsidRPr="00D74A53" w:rsidRDefault="00D74A53" w:rsidP="00B45B96">
            <w:pPr>
              <w:ind w:left="0"/>
              <w:rPr>
                <w:sz w:val="20"/>
                <w:szCs w:val="20"/>
              </w:rPr>
            </w:pPr>
            <w:r w:rsidRPr="00D74A53">
              <w:rPr>
                <w:sz w:val="20"/>
                <w:szCs w:val="20"/>
              </w:rPr>
              <w:t>Predloženie stratégie na rokovanie vlády SR</w:t>
            </w:r>
          </w:p>
          <w:p w14:paraId="0C4D2EE1" w14:textId="77777777" w:rsidR="00D74A53" w:rsidRPr="00D74A53" w:rsidRDefault="001061E2" w:rsidP="00B45B96">
            <w:pPr>
              <w:spacing w:before="120"/>
              <w:ind w:left="0"/>
              <w:rPr>
                <w:sz w:val="20"/>
                <w:szCs w:val="20"/>
                <w:u w:val="single"/>
              </w:rPr>
            </w:pPr>
            <w:hyperlink r:id="rId85" w:history="1">
              <w:r w:rsidR="00D74A53" w:rsidRPr="00D74A53">
                <w:rPr>
                  <w:color w:val="0000FF"/>
                  <w:sz w:val="20"/>
                  <w:szCs w:val="20"/>
                  <w:u w:val="single"/>
                  <w:lang w:eastAsia="en-US"/>
                </w:rPr>
                <w:t>http://www.radavladylp.gov.sk/po-rokovani-rady-vlady-pre-ludske-prava-narodnostne-mensiny-a-rodovu-rovnost/</w:t>
              </w:r>
            </w:hyperlink>
          </w:p>
        </w:tc>
        <w:tc>
          <w:tcPr>
            <w:tcW w:w="2546" w:type="dxa"/>
          </w:tcPr>
          <w:p w14:paraId="080C1BBF" w14:textId="77777777" w:rsidR="00D74A53" w:rsidRPr="00327C87" w:rsidRDefault="00D74A53" w:rsidP="00327C87">
            <w:pPr>
              <w:ind w:left="0"/>
              <w:jc w:val="center"/>
              <w:rPr>
                <w:b/>
                <w:sz w:val="20"/>
                <w:szCs w:val="20"/>
              </w:rPr>
            </w:pPr>
            <w:r w:rsidRPr="00327C87">
              <w:rPr>
                <w:b/>
                <w:sz w:val="20"/>
                <w:szCs w:val="20"/>
              </w:rPr>
              <w:t>31. 12. 2014</w:t>
            </w:r>
          </w:p>
          <w:p w14:paraId="53913618" w14:textId="77777777" w:rsidR="00D74A53" w:rsidRPr="00FC014A" w:rsidRDefault="00D74A53" w:rsidP="00FC014A">
            <w:pPr>
              <w:ind w:left="0"/>
              <w:jc w:val="both"/>
              <w:rPr>
                <w:sz w:val="20"/>
                <w:szCs w:val="20"/>
              </w:rPr>
            </w:pPr>
            <w:r w:rsidRPr="00D74A53">
              <w:rPr>
                <w:sz w:val="20"/>
                <w:szCs w:val="20"/>
              </w:rPr>
              <w:t>Pôvodný termínu 30. 6. 2014 bol posunutý z dôvodu prebiehajúceho</w:t>
            </w:r>
            <w:r>
              <w:rPr>
                <w:sz w:val="20"/>
                <w:szCs w:val="20"/>
              </w:rPr>
              <w:t xml:space="preserve"> </w:t>
            </w:r>
            <w:r w:rsidRPr="00D74A53">
              <w:rPr>
                <w:sz w:val="20"/>
                <w:szCs w:val="20"/>
              </w:rPr>
              <w:t>medzirezortného pripomienkového konania.</w:t>
            </w:r>
          </w:p>
        </w:tc>
        <w:tc>
          <w:tcPr>
            <w:tcW w:w="2009" w:type="dxa"/>
            <w:vMerge/>
          </w:tcPr>
          <w:p w14:paraId="04D50A0B" w14:textId="77777777" w:rsidR="00D74A53" w:rsidRPr="0083359D" w:rsidRDefault="00D74A53" w:rsidP="0083359D">
            <w:pPr>
              <w:rPr>
                <w:sz w:val="20"/>
                <w:szCs w:val="20"/>
              </w:rPr>
            </w:pPr>
          </w:p>
        </w:tc>
      </w:tr>
      <w:tr w:rsidR="00D74A53" w14:paraId="6BC56518" w14:textId="77777777" w:rsidTr="008251D9">
        <w:trPr>
          <w:trHeight w:val="704"/>
        </w:trPr>
        <w:tc>
          <w:tcPr>
            <w:tcW w:w="2347" w:type="dxa"/>
            <w:vMerge/>
          </w:tcPr>
          <w:p w14:paraId="1A1B23AB" w14:textId="77777777" w:rsidR="00D74A53" w:rsidRPr="0083359D" w:rsidRDefault="00D74A53" w:rsidP="0083359D">
            <w:pPr>
              <w:rPr>
                <w:sz w:val="20"/>
                <w:szCs w:val="20"/>
              </w:rPr>
            </w:pPr>
          </w:p>
        </w:tc>
        <w:tc>
          <w:tcPr>
            <w:tcW w:w="2300" w:type="dxa"/>
          </w:tcPr>
          <w:p w14:paraId="1E3404E8" w14:textId="77777777" w:rsidR="00D74A53" w:rsidRPr="0083359D" w:rsidRDefault="00D74A53" w:rsidP="00103397">
            <w:pPr>
              <w:spacing w:before="20" w:after="20"/>
              <w:ind w:left="0"/>
              <w:jc w:val="both"/>
              <w:rPr>
                <w:sz w:val="20"/>
                <w:szCs w:val="20"/>
              </w:rPr>
            </w:pPr>
            <w:r w:rsidRPr="00D74A53">
              <w:rPr>
                <w:sz w:val="20"/>
                <w:szCs w:val="20"/>
              </w:rPr>
              <w:t xml:space="preserve">Opatrenia na zabezpečenie odbornej prípravy pre zamestnancov orgánov </w:t>
            </w:r>
            <w:r w:rsidRPr="00D74A53">
              <w:rPr>
                <w:sz w:val="20"/>
                <w:szCs w:val="20"/>
              </w:rPr>
              <w:lastRenderedPageBreak/>
              <w:t>zapojených do riadenia a kontroly EŠIF v oblasti práva a politiky Únie v oblasti nediskriminácie.</w:t>
            </w:r>
          </w:p>
        </w:tc>
        <w:tc>
          <w:tcPr>
            <w:tcW w:w="4973" w:type="dxa"/>
          </w:tcPr>
          <w:p w14:paraId="4CACEB15" w14:textId="77777777" w:rsidR="00D74A53" w:rsidRDefault="00D74A53" w:rsidP="00D74A53">
            <w:pPr>
              <w:spacing w:line="276" w:lineRule="auto"/>
              <w:ind w:left="0"/>
              <w:rPr>
                <w:sz w:val="20"/>
                <w:szCs w:val="20"/>
              </w:rPr>
            </w:pPr>
            <w:r w:rsidRPr="00D74A53">
              <w:rPr>
                <w:sz w:val="20"/>
                <w:szCs w:val="20"/>
              </w:rPr>
              <w:lastRenderedPageBreak/>
              <w:t xml:space="preserve">Vypracovanie stratégie školenia a informovania zamestnancov zapojených do využívania fondov a následné podanie projektu z OP TP na finančné </w:t>
            </w:r>
            <w:r w:rsidRPr="00D74A53">
              <w:rPr>
                <w:sz w:val="20"/>
                <w:szCs w:val="20"/>
              </w:rPr>
              <w:lastRenderedPageBreak/>
              <w:t>zabezpečenie školení. Termín na predloženie stratégie na rokovanie vlády SR:</w:t>
            </w:r>
          </w:p>
          <w:p w14:paraId="20C36451" w14:textId="77777777" w:rsidR="00D74A53" w:rsidRPr="00D74A53" w:rsidRDefault="001061E2" w:rsidP="00B45B96">
            <w:pPr>
              <w:spacing w:before="120"/>
              <w:ind w:left="0"/>
              <w:rPr>
                <w:sz w:val="20"/>
                <w:szCs w:val="20"/>
                <w:u w:val="single"/>
              </w:rPr>
            </w:pPr>
            <w:hyperlink r:id="rId86" w:history="1">
              <w:r w:rsidR="00D74A53" w:rsidRPr="00D74A53">
                <w:rPr>
                  <w:color w:val="0000FF"/>
                  <w:sz w:val="20"/>
                  <w:szCs w:val="20"/>
                  <w:u w:val="single"/>
                  <w:lang w:eastAsia="en-US"/>
                </w:rPr>
                <w:t>http://www.radavladylp.gov.sk/po-rokovani-rady-vlady-pre-ludske-prava-narodnostne-mensiny-a-rodovu-rovnost/</w:t>
              </w:r>
            </w:hyperlink>
          </w:p>
        </w:tc>
        <w:tc>
          <w:tcPr>
            <w:tcW w:w="2546" w:type="dxa"/>
          </w:tcPr>
          <w:p w14:paraId="02EC292F" w14:textId="77777777" w:rsidR="00D74A53" w:rsidRPr="00327C87" w:rsidRDefault="00D74A53" w:rsidP="00327C87">
            <w:pPr>
              <w:ind w:left="0"/>
              <w:jc w:val="center"/>
              <w:rPr>
                <w:b/>
                <w:sz w:val="20"/>
                <w:szCs w:val="20"/>
              </w:rPr>
            </w:pPr>
            <w:r w:rsidRPr="00327C87">
              <w:rPr>
                <w:b/>
                <w:sz w:val="20"/>
                <w:szCs w:val="20"/>
              </w:rPr>
              <w:lastRenderedPageBreak/>
              <w:t>31. 12. 2014</w:t>
            </w:r>
          </w:p>
          <w:p w14:paraId="38F49491" w14:textId="77777777" w:rsidR="00D74A53" w:rsidRPr="00D74A53" w:rsidRDefault="00D74A53" w:rsidP="00327C87">
            <w:pPr>
              <w:ind w:left="0"/>
              <w:jc w:val="both"/>
              <w:rPr>
                <w:sz w:val="20"/>
                <w:szCs w:val="20"/>
              </w:rPr>
            </w:pPr>
            <w:r w:rsidRPr="00D74A53">
              <w:rPr>
                <w:sz w:val="20"/>
                <w:szCs w:val="20"/>
              </w:rPr>
              <w:t xml:space="preserve">Pôvodný termínu </w:t>
            </w:r>
            <w:r w:rsidR="00327C87">
              <w:rPr>
                <w:sz w:val="20"/>
                <w:szCs w:val="20"/>
              </w:rPr>
              <w:br/>
            </w:r>
            <w:r w:rsidRPr="00D74A53">
              <w:rPr>
                <w:sz w:val="20"/>
                <w:szCs w:val="20"/>
              </w:rPr>
              <w:t>30. 6. 2014 bol posunutý z dôvodu prebiehajúceho</w:t>
            </w:r>
            <w:r>
              <w:rPr>
                <w:sz w:val="20"/>
                <w:szCs w:val="20"/>
              </w:rPr>
              <w:t xml:space="preserve"> </w:t>
            </w:r>
            <w:r w:rsidRPr="00D74A53">
              <w:rPr>
                <w:sz w:val="20"/>
                <w:szCs w:val="20"/>
              </w:rPr>
              <w:lastRenderedPageBreak/>
              <w:t>medzirezortného pripomienkového konania.</w:t>
            </w:r>
          </w:p>
          <w:p w14:paraId="19F443C4" w14:textId="77777777" w:rsidR="00D74A53" w:rsidRDefault="00D74A53" w:rsidP="00D74A53">
            <w:pPr>
              <w:ind w:left="0"/>
              <w:rPr>
                <w:sz w:val="20"/>
                <w:szCs w:val="20"/>
              </w:rPr>
            </w:pPr>
          </w:p>
        </w:tc>
        <w:tc>
          <w:tcPr>
            <w:tcW w:w="2009" w:type="dxa"/>
            <w:vMerge/>
          </w:tcPr>
          <w:p w14:paraId="4AD86C73" w14:textId="77777777" w:rsidR="00D74A53" w:rsidRPr="0083359D" w:rsidRDefault="00D74A53" w:rsidP="0083359D">
            <w:pPr>
              <w:rPr>
                <w:sz w:val="20"/>
                <w:szCs w:val="20"/>
              </w:rPr>
            </w:pPr>
          </w:p>
        </w:tc>
      </w:tr>
      <w:tr w:rsidR="00486BD8" w14:paraId="45BDCFB4" w14:textId="77777777" w:rsidTr="008251D9">
        <w:trPr>
          <w:trHeight w:val="704"/>
        </w:trPr>
        <w:tc>
          <w:tcPr>
            <w:tcW w:w="2347" w:type="dxa"/>
            <w:vMerge w:val="restart"/>
          </w:tcPr>
          <w:p w14:paraId="0EC44A73" w14:textId="77777777" w:rsidR="00486BD8" w:rsidRPr="00103397" w:rsidRDefault="00486BD8" w:rsidP="00B45B96">
            <w:pPr>
              <w:ind w:left="0"/>
              <w:rPr>
                <w:b/>
                <w:sz w:val="20"/>
                <w:szCs w:val="20"/>
              </w:rPr>
            </w:pPr>
            <w:r w:rsidRPr="00103397">
              <w:rPr>
                <w:b/>
                <w:sz w:val="20"/>
                <w:szCs w:val="20"/>
              </w:rPr>
              <w:t>Rodová rovnosť</w:t>
            </w:r>
          </w:p>
          <w:p w14:paraId="1B68D3A7" w14:textId="77777777" w:rsidR="00486BD8" w:rsidRPr="0083359D" w:rsidRDefault="00486BD8" w:rsidP="00B45B96">
            <w:pPr>
              <w:spacing w:before="120"/>
              <w:ind w:left="0"/>
              <w:rPr>
                <w:sz w:val="20"/>
                <w:szCs w:val="20"/>
              </w:rPr>
            </w:pPr>
            <w:r w:rsidRPr="00B45B96">
              <w:rPr>
                <w:sz w:val="20"/>
                <w:szCs w:val="20"/>
              </w:rPr>
              <w:t>Existencia administratívnej kapacity na vykonávanie a uplatňovanie práva a politiky Únie týkajúcich sa rodovej rovnosti v oblasti EŠIF.</w:t>
            </w:r>
          </w:p>
        </w:tc>
        <w:tc>
          <w:tcPr>
            <w:tcW w:w="2300" w:type="dxa"/>
            <w:vMerge w:val="restart"/>
          </w:tcPr>
          <w:p w14:paraId="1F8C7826" w14:textId="77777777" w:rsidR="00486BD8" w:rsidRPr="00D74A53" w:rsidRDefault="00486BD8" w:rsidP="00103397">
            <w:pPr>
              <w:ind w:left="0"/>
              <w:jc w:val="both"/>
              <w:rPr>
                <w:sz w:val="20"/>
                <w:szCs w:val="20"/>
              </w:rPr>
            </w:pPr>
            <w:r w:rsidRPr="00B45B96">
              <w:rPr>
                <w:sz w:val="20"/>
                <w:szCs w:val="20"/>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4973" w:type="dxa"/>
          </w:tcPr>
          <w:p w14:paraId="6AEA1268" w14:textId="24904772" w:rsidR="00486BD8" w:rsidRPr="00B45B96" w:rsidRDefault="00486BD8" w:rsidP="00145A41">
            <w:pPr>
              <w:spacing w:before="20" w:after="20"/>
              <w:ind w:left="0"/>
              <w:rPr>
                <w:b/>
                <w:sz w:val="20"/>
                <w:szCs w:val="20"/>
              </w:rPr>
            </w:pPr>
            <w:r w:rsidRPr="00B45B96">
              <w:rPr>
                <w:b/>
                <w:sz w:val="20"/>
                <w:szCs w:val="20"/>
              </w:rPr>
              <w:t>Posilnenie administratívnych kapacít odboru rodovej rovnosti a rovnosti príležitostí MPSVR SR.</w:t>
            </w:r>
          </w:p>
          <w:p w14:paraId="30D1205C" w14:textId="77777777" w:rsidR="00486BD8" w:rsidRPr="00D74A53" w:rsidRDefault="00486BD8" w:rsidP="00145A41">
            <w:pPr>
              <w:spacing w:before="120"/>
              <w:ind w:left="0"/>
              <w:rPr>
                <w:sz w:val="20"/>
                <w:szCs w:val="20"/>
              </w:rPr>
            </w:pPr>
            <w:r w:rsidRPr="00B45B96">
              <w:rPr>
                <w:sz w:val="20"/>
                <w:szCs w:val="20"/>
              </w:rPr>
              <w:t>Inštitucionálny mechanizmus koordinácie HP bude budovaný s dôrazom na metodické vedenie, publicitu, školiace a vzdelávacie aktivity, hodnotiaci a výberový proces ako aj na monitorovanie a kontrolu</w:t>
            </w:r>
          </w:p>
        </w:tc>
        <w:tc>
          <w:tcPr>
            <w:tcW w:w="2546" w:type="dxa"/>
          </w:tcPr>
          <w:p w14:paraId="61D33792" w14:textId="77777777" w:rsidR="00486BD8" w:rsidRPr="00103397" w:rsidRDefault="00486BD8" w:rsidP="00103397">
            <w:pPr>
              <w:ind w:left="0"/>
              <w:jc w:val="center"/>
              <w:rPr>
                <w:b/>
                <w:sz w:val="20"/>
                <w:szCs w:val="20"/>
              </w:rPr>
            </w:pPr>
            <w:r w:rsidRPr="00103397">
              <w:rPr>
                <w:b/>
                <w:sz w:val="20"/>
                <w:szCs w:val="20"/>
              </w:rPr>
              <w:t>1.11. 2014</w:t>
            </w:r>
          </w:p>
          <w:p w14:paraId="7F07C72F" w14:textId="77777777" w:rsidR="00486BD8" w:rsidRDefault="00486BD8" w:rsidP="00145A41">
            <w:pPr>
              <w:ind w:left="0"/>
              <w:jc w:val="both"/>
              <w:rPr>
                <w:sz w:val="20"/>
                <w:szCs w:val="20"/>
              </w:rPr>
            </w:pPr>
            <w:r>
              <w:rPr>
                <w:sz w:val="20"/>
                <w:szCs w:val="20"/>
              </w:rPr>
              <w:t>D</w:t>
            </w:r>
            <w:r w:rsidRPr="00B45B96">
              <w:rPr>
                <w:sz w:val="20"/>
                <w:szCs w:val="20"/>
              </w:rPr>
              <w:t xml:space="preserve">osiahnutie optimalizovaného stavu administratívnych kapacít vytvorením oddelenia pre implementáciu horizontálnych princípov nediskriminácie a rovnosti mužov a žien v počte 7 pracovných miest na TPP plus 1 asistent/ka. </w:t>
            </w:r>
          </w:p>
          <w:p w14:paraId="68714C89" w14:textId="77777777" w:rsidR="00486BD8" w:rsidRPr="00FC014A" w:rsidRDefault="00486BD8" w:rsidP="00FC014A">
            <w:pPr>
              <w:spacing w:after="120"/>
              <w:ind w:left="0"/>
              <w:jc w:val="both"/>
              <w:rPr>
                <w:sz w:val="20"/>
                <w:szCs w:val="20"/>
              </w:rPr>
            </w:pPr>
            <w:r w:rsidRPr="00B45B96">
              <w:rPr>
                <w:sz w:val="20"/>
                <w:szCs w:val="20"/>
              </w:rPr>
              <w:t>Pôvodný termín 31. 8. 2014 bol posunutý vzhľadom na potrebu schválenia materiálu k administratívnym kapacitám vládou SR a prípravu projektu z OPTP.</w:t>
            </w:r>
          </w:p>
        </w:tc>
        <w:tc>
          <w:tcPr>
            <w:tcW w:w="2009" w:type="dxa"/>
            <w:vMerge w:val="restart"/>
          </w:tcPr>
          <w:p w14:paraId="5D92045A" w14:textId="77777777" w:rsidR="00486BD8" w:rsidRPr="0083359D" w:rsidRDefault="00486BD8" w:rsidP="00BC2230">
            <w:pPr>
              <w:ind w:left="0"/>
              <w:rPr>
                <w:sz w:val="20"/>
                <w:szCs w:val="20"/>
              </w:rPr>
            </w:pPr>
            <w:r>
              <w:rPr>
                <w:sz w:val="20"/>
                <w:szCs w:val="20"/>
              </w:rPr>
              <w:t>MPSVR SR</w:t>
            </w:r>
          </w:p>
        </w:tc>
      </w:tr>
      <w:tr w:rsidR="00486BD8" w14:paraId="14BBAD57" w14:textId="77777777" w:rsidTr="008251D9">
        <w:trPr>
          <w:trHeight w:val="898"/>
        </w:trPr>
        <w:tc>
          <w:tcPr>
            <w:tcW w:w="2347" w:type="dxa"/>
            <w:vMerge/>
          </w:tcPr>
          <w:p w14:paraId="1DD61285" w14:textId="77777777" w:rsidR="00486BD8" w:rsidRPr="0083359D" w:rsidRDefault="00486BD8" w:rsidP="0083359D">
            <w:pPr>
              <w:rPr>
                <w:sz w:val="20"/>
                <w:szCs w:val="20"/>
              </w:rPr>
            </w:pPr>
          </w:p>
        </w:tc>
        <w:tc>
          <w:tcPr>
            <w:tcW w:w="2300" w:type="dxa"/>
            <w:vMerge/>
          </w:tcPr>
          <w:p w14:paraId="389141E6" w14:textId="77777777" w:rsidR="00486BD8" w:rsidRPr="00D74A53" w:rsidRDefault="00486BD8" w:rsidP="00D74A53">
            <w:pPr>
              <w:spacing w:before="20" w:after="20"/>
              <w:rPr>
                <w:sz w:val="20"/>
                <w:szCs w:val="20"/>
              </w:rPr>
            </w:pPr>
          </w:p>
        </w:tc>
        <w:tc>
          <w:tcPr>
            <w:tcW w:w="4973" w:type="dxa"/>
          </w:tcPr>
          <w:p w14:paraId="3799D645" w14:textId="77777777" w:rsidR="00486BD8" w:rsidRDefault="00486BD8" w:rsidP="00B45B96">
            <w:pPr>
              <w:spacing w:line="276" w:lineRule="auto"/>
              <w:ind w:left="0"/>
              <w:rPr>
                <w:b/>
                <w:sz w:val="20"/>
                <w:szCs w:val="20"/>
              </w:rPr>
            </w:pPr>
            <w:r w:rsidRPr="00B45B96">
              <w:rPr>
                <w:b/>
                <w:sz w:val="20"/>
                <w:szCs w:val="20"/>
              </w:rPr>
              <w:t>Stratégia rodovej rovnosti na roky 2014 – 2020.</w:t>
            </w:r>
          </w:p>
          <w:p w14:paraId="23BDD402" w14:textId="77777777" w:rsidR="00486BD8" w:rsidRPr="00B45B96" w:rsidRDefault="00486BD8" w:rsidP="00B45B96">
            <w:pPr>
              <w:spacing w:before="120" w:line="276" w:lineRule="auto"/>
              <w:ind w:left="0"/>
              <w:rPr>
                <w:sz w:val="20"/>
                <w:szCs w:val="20"/>
              </w:rPr>
            </w:pPr>
            <w:r w:rsidRPr="00B45B96">
              <w:rPr>
                <w:sz w:val="20"/>
                <w:szCs w:val="20"/>
              </w:rPr>
              <w:t>Predloženie novej stratégie rodovej rovnosti na rokovanie vlády SR:</w:t>
            </w:r>
          </w:p>
        </w:tc>
        <w:tc>
          <w:tcPr>
            <w:tcW w:w="2546" w:type="dxa"/>
          </w:tcPr>
          <w:p w14:paraId="447B1A62" w14:textId="77777777" w:rsidR="00486BD8" w:rsidRPr="00103397" w:rsidRDefault="00486BD8" w:rsidP="00103397">
            <w:pPr>
              <w:ind w:left="0"/>
              <w:jc w:val="center"/>
              <w:rPr>
                <w:b/>
                <w:sz w:val="20"/>
                <w:szCs w:val="20"/>
              </w:rPr>
            </w:pPr>
            <w:r w:rsidRPr="00103397">
              <w:rPr>
                <w:b/>
                <w:sz w:val="20"/>
                <w:szCs w:val="20"/>
              </w:rPr>
              <w:t>30.11.2014</w:t>
            </w:r>
          </w:p>
        </w:tc>
        <w:tc>
          <w:tcPr>
            <w:tcW w:w="2009" w:type="dxa"/>
            <w:vMerge/>
          </w:tcPr>
          <w:p w14:paraId="41AFEA48" w14:textId="77777777" w:rsidR="00486BD8" w:rsidRPr="0083359D" w:rsidRDefault="00486BD8" w:rsidP="0083359D">
            <w:pPr>
              <w:rPr>
                <w:sz w:val="20"/>
                <w:szCs w:val="20"/>
              </w:rPr>
            </w:pPr>
          </w:p>
        </w:tc>
      </w:tr>
      <w:tr w:rsidR="00486BD8" w14:paraId="55BBD0EE" w14:textId="77777777" w:rsidTr="008251D9">
        <w:trPr>
          <w:trHeight w:val="897"/>
        </w:trPr>
        <w:tc>
          <w:tcPr>
            <w:tcW w:w="2347" w:type="dxa"/>
            <w:vMerge/>
          </w:tcPr>
          <w:p w14:paraId="7EF5ACA2" w14:textId="77777777" w:rsidR="00486BD8" w:rsidRPr="0083359D" w:rsidRDefault="00486BD8" w:rsidP="0083359D">
            <w:pPr>
              <w:rPr>
                <w:sz w:val="20"/>
                <w:szCs w:val="20"/>
              </w:rPr>
            </w:pPr>
          </w:p>
        </w:tc>
        <w:tc>
          <w:tcPr>
            <w:tcW w:w="2300" w:type="dxa"/>
            <w:vMerge/>
          </w:tcPr>
          <w:p w14:paraId="31ECAE60" w14:textId="77777777" w:rsidR="00486BD8" w:rsidRPr="00D74A53" w:rsidRDefault="00486BD8" w:rsidP="00D74A53">
            <w:pPr>
              <w:spacing w:before="20" w:after="20"/>
              <w:rPr>
                <w:sz w:val="20"/>
                <w:szCs w:val="20"/>
              </w:rPr>
            </w:pPr>
          </w:p>
        </w:tc>
        <w:tc>
          <w:tcPr>
            <w:tcW w:w="4973" w:type="dxa"/>
          </w:tcPr>
          <w:p w14:paraId="5FEA6586" w14:textId="77777777" w:rsidR="00486BD8" w:rsidRDefault="00486BD8" w:rsidP="00103397">
            <w:pPr>
              <w:ind w:left="0"/>
              <w:jc w:val="both"/>
              <w:rPr>
                <w:b/>
                <w:sz w:val="20"/>
                <w:szCs w:val="20"/>
              </w:rPr>
            </w:pPr>
            <w:r w:rsidRPr="00BC2230">
              <w:rPr>
                <w:b/>
                <w:sz w:val="20"/>
                <w:szCs w:val="20"/>
              </w:rPr>
              <w:t>Celoštátna stratégia ochrany a podpory ľudských práv v</w:t>
            </w:r>
            <w:r>
              <w:rPr>
                <w:b/>
                <w:sz w:val="20"/>
                <w:szCs w:val="20"/>
              </w:rPr>
              <w:t> </w:t>
            </w:r>
            <w:r w:rsidRPr="00BC2230">
              <w:rPr>
                <w:b/>
                <w:sz w:val="20"/>
                <w:szCs w:val="20"/>
              </w:rPr>
              <w:t>SR</w:t>
            </w:r>
          </w:p>
          <w:p w14:paraId="3E45BEEA" w14:textId="77777777" w:rsidR="00486BD8" w:rsidRDefault="00486BD8" w:rsidP="00BC2230">
            <w:pPr>
              <w:spacing w:before="120" w:line="276" w:lineRule="auto"/>
              <w:ind w:left="0"/>
              <w:rPr>
                <w:sz w:val="20"/>
                <w:szCs w:val="20"/>
              </w:rPr>
            </w:pPr>
            <w:r w:rsidRPr="00BC2230">
              <w:rPr>
                <w:sz w:val="20"/>
                <w:szCs w:val="20"/>
              </w:rPr>
              <w:t>Predloženie stratégie ĽP na rokovanie vlády SR:</w:t>
            </w:r>
          </w:p>
          <w:p w14:paraId="14B9ECCE" w14:textId="77777777" w:rsidR="00486BD8" w:rsidRPr="00BC2230" w:rsidRDefault="001061E2" w:rsidP="00BC2230">
            <w:pPr>
              <w:spacing w:before="120"/>
              <w:ind w:left="0"/>
              <w:rPr>
                <w:color w:val="0000FF"/>
                <w:sz w:val="20"/>
                <w:szCs w:val="20"/>
                <w:u w:val="single"/>
                <w:lang w:eastAsia="en-US"/>
              </w:rPr>
            </w:pPr>
            <w:hyperlink r:id="rId87" w:history="1">
              <w:r w:rsidR="00486BD8" w:rsidRPr="00BC2230">
                <w:rPr>
                  <w:color w:val="0000FF"/>
                  <w:sz w:val="20"/>
                  <w:szCs w:val="20"/>
                  <w:u w:val="single"/>
                  <w:lang w:eastAsia="en-US"/>
                </w:rPr>
                <w:t>http://www.radavladylp.gov.sk/po-rokovani-rady-vlady-pre-ludske-prava-narodnostne-mensiny-a-rodovu-rovnost/</w:t>
              </w:r>
            </w:hyperlink>
          </w:p>
        </w:tc>
        <w:tc>
          <w:tcPr>
            <w:tcW w:w="2546" w:type="dxa"/>
          </w:tcPr>
          <w:p w14:paraId="3BBE4D7D" w14:textId="77777777" w:rsidR="00486BD8" w:rsidRPr="00103397" w:rsidRDefault="00486BD8" w:rsidP="00103397">
            <w:pPr>
              <w:ind w:left="0"/>
              <w:jc w:val="center"/>
              <w:rPr>
                <w:rFonts w:eastAsia="MS Mincho"/>
                <w:b/>
                <w:sz w:val="20"/>
                <w:szCs w:val="20"/>
              </w:rPr>
            </w:pPr>
            <w:r w:rsidRPr="00103397">
              <w:rPr>
                <w:rFonts w:eastAsia="MS Mincho"/>
                <w:b/>
                <w:sz w:val="20"/>
                <w:szCs w:val="20"/>
                <w:lang w:eastAsia="cs-CZ"/>
              </w:rPr>
              <w:t xml:space="preserve">31.12. </w:t>
            </w:r>
            <w:r w:rsidRPr="00103397">
              <w:rPr>
                <w:rFonts w:eastAsia="MS Mincho"/>
                <w:b/>
                <w:sz w:val="20"/>
                <w:szCs w:val="20"/>
              </w:rPr>
              <w:t>2014</w:t>
            </w:r>
          </w:p>
          <w:p w14:paraId="0EAF8629" w14:textId="77777777" w:rsidR="00486BD8" w:rsidRPr="00FC014A" w:rsidRDefault="00486BD8" w:rsidP="00FC014A">
            <w:pPr>
              <w:ind w:left="0"/>
              <w:jc w:val="both"/>
              <w:rPr>
                <w:rFonts w:eastAsia="MS Mincho"/>
                <w:sz w:val="20"/>
                <w:szCs w:val="20"/>
              </w:rPr>
            </w:pPr>
            <w:r w:rsidRPr="00BC2230">
              <w:rPr>
                <w:rFonts w:eastAsia="MS Mincho"/>
                <w:sz w:val="20"/>
                <w:szCs w:val="20"/>
              </w:rPr>
              <w:t>Pôvodný termín 30. 6. 2014 bol posunutý z dôvodu</w:t>
            </w:r>
            <w:r w:rsidRPr="00BC2230">
              <w:rPr>
                <w:sz w:val="20"/>
                <w:szCs w:val="20"/>
              </w:rPr>
              <w:t xml:space="preserve"> </w:t>
            </w:r>
            <w:r w:rsidRPr="00BC2230">
              <w:rPr>
                <w:rFonts w:eastAsia="MS Mincho"/>
                <w:sz w:val="20"/>
                <w:szCs w:val="20"/>
              </w:rPr>
              <w:t xml:space="preserve">prebiehajúceho </w:t>
            </w:r>
            <w:r>
              <w:rPr>
                <w:rFonts w:eastAsia="MS Mincho"/>
                <w:sz w:val="20"/>
                <w:szCs w:val="20"/>
              </w:rPr>
              <w:t>m</w:t>
            </w:r>
            <w:r w:rsidRPr="00BC2230">
              <w:rPr>
                <w:rFonts w:eastAsia="MS Mincho"/>
                <w:sz w:val="20"/>
                <w:szCs w:val="20"/>
              </w:rPr>
              <w:t>edzirezortného pripomienkového konania.</w:t>
            </w:r>
          </w:p>
        </w:tc>
        <w:tc>
          <w:tcPr>
            <w:tcW w:w="2009" w:type="dxa"/>
            <w:vMerge/>
          </w:tcPr>
          <w:p w14:paraId="7EBA8CE3" w14:textId="77777777" w:rsidR="00486BD8" w:rsidRPr="0083359D" w:rsidRDefault="00486BD8" w:rsidP="0083359D">
            <w:pPr>
              <w:rPr>
                <w:sz w:val="20"/>
                <w:szCs w:val="20"/>
              </w:rPr>
            </w:pPr>
          </w:p>
        </w:tc>
      </w:tr>
      <w:tr w:rsidR="00486BD8" w14:paraId="7E11836B" w14:textId="77777777" w:rsidTr="008251D9">
        <w:trPr>
          <w:trHeight w:val="897"/>
        </w:trPr>
        <w:tc>
          <w:tcPr>
            <w:tcW w:w="2347" w:type="dxa"/>
            <w:vMerge/>
          </w:tcPr>
          <w:p w14:paraId="214B2D07" w14:textId="77777777" w:rsidR="00486BD8" w:rsidRPr="0083359D" w:rsidRDefault="00486BD8" w:rsidP="0083359D">
            <w:pPr>
              <w:rPr>
                <w:sz w:val="20"/>
                <w:szCs w:val="20"/>
              </w:rPr>
            </w:pPr>
          </w:p>
        </w:tc>
        <w:tc>
          <w:tcPr>
            <w:tcW w:w="2300" w:type="dxa"/>
            <w:vMerge w:val="restart"/>
          </w:tcPr>
          <w:p w14:paraId="5C0B34F7" w14:textId="77777777" w:rsidR="00486BD8" w:rsidRPr="00D74A53" w:rsidRDefault="00486BD8" w:rsidP="00103397">
            <w:pPr>
              <w:spacing w:before="20" w:after="20"/>
              <w:ind w:left="0"/>
              <w:jc w:val="both"/>
              <w:rPr>
                <w:sz w:val="20"/>
                <w:szCs w:val="20"/>
              </w:rPr>
            </w:pPr>
            <w:r w:rsidRPr="00486BD8">
              <w:rPr>
                <w:sz w:val="20"/>
                <w:szCs w:val="20"/>
              </w:rPr>
              <w:t xml:space="preserve">Opatrenia na zabezpečenie odbornej prípravy pre </w:t>
            </w:r>
            <w:r w:rsidRPr="00486BD8">
              <w:rPr>
                <w:sz w:val="20"/>
                <w:szCs w:val="20"/>
              </w:rPr>
              <w:lastRenderedPageBreak/>
              <w:t>zamestnancov orgánov zapojených do riadenia a kontroly EŠIF v oblasti práva a politiky Únie týkajúcich sa rodovej rovnosti a jej uplatňovania.</w:t>
            </w:r>
          </w:p>
        </w:tc>
        <w:tc>
          <w:tcPr>
            <w:tcW w:w="4973" w:type="dxa"/>
          </w:tcPr>
          <w:p w14:paraId="34FBD640" w14:textId="77777777" w:rsidR="00486BD8" w:rsidRDefault="00486BD8" w:rsidP="00103397">
            <w:pPr>
              <w:ind w:left="0"/>
              <w:jc w:val="both"/>
              <w:rPr>
                <w:b/>
                <w:sz w:val="20"/>
                <w:szCs w:val="20"/>
              </w:rPr>
            </w:pPr>
            <w:r w:rsidRPr="00486BD8">
              <w:rPr>
                <w:b/>
                <w:sz w:val="20"/>
                <w:szCs w:val="20"/>
              </w:rPr>
              <w:lastRenderedPageBreak/>
              <w:t>Vypracovanie stratégie školenia a informovania zamestnancov zapojených do využívania fondov a následné podanie projektu z OP TP na finančné zabezpečenie školení.</w:t>
            </w:r>
          </w:p>
          <w:p w14:paraId="3C572C04" w14:textId="77777777" w:rsidR="005149A5" w:rsidRPr="005149A5" w:rsidRDefault="005149A5" w:rsidP="00103397">
            <w:pPr>
              <w:spacing w:before="120"/>
              <w:ind w:left="0"/>
              <w:jc w:val="both"/>
              <w:rPr>
                <w:sz w:val="20"/>
                <w:szCs w:val="20"/>
              </w:rPr>
            </w:pPr>
            <w:r w:rsidRPr="005149A5">
              <w:rPr>
                <w:sz w:val="20"/>
                <w:szCs w:val="20"/>
              </w:rPr>
              <w:lastRenderedPageBreak/>
              <w:t>Školiace a vzdelávacie aktivity a informovanie zamestnancov/kyň zapojených do využívania fondov; konferencie, publikácie a propagačné tlačoviny/materiály, zverejňovanie správ v národných a regionálnych/miestnych masmédiách a iné, bude vykonávať garant za HP.</w:t>
            </w:r>
          </w:p>
        </w:tc>
        <w:tc>
          <w:tcPr>
            <w:tcW w:w="2546" w:type="dxa"/>
          </w:tcPr>
          <w:p w14:paraId="77407C54" w14:textId="77777777" w:rsidR="00486BD8" w:rsidRPr="00103397" w:rsidRDefault="00486BD8" w:rsidP="00103397">
            <w:pPr>
              <w:ind w:left="0"/>
              <w:jc w:val="center"/>
              <w:rPr>
                <w:rFonts w:eastAsia="MS Mincho"/>
                <w:b/>
                <w:sz w:val="20"/>
                <w:szCs w:val="20"/>
                <w:lang w:eastAsia="cs-CZ"/>
              </w:rPr>
            </w:pPr>
            <w:r w:rsidRPr="00103397">
              <w:rPr>
                <w:rFonts w:eastAsia="MS Mincho"/>
                <w:b/>
                <w:sz w:val="20"/>
                <w:szCs w:val="20"/>
                <w:lang w:eastAsia="cs-CZ"/>
              </w:rPr>
              <w:lastRenderedPageBreak/>
              <w:t>1.</w:t>
            </w:r>
            <w:r w:rsidR="00145A41">
              <w:rPr>
                <w:rFonts w:eastAsia="MS Mincho"/>
                <w:b/>
                <w:sz w:val="20"/>
                <w:szCs w:val="20"/>
                <w:lang w:eastAsia="cs-CZ"/>
              </w:rPr>
              <w:t>11. 2014</w:t>
            </w:r>
          </w:p>
          <w:p w14:paraId="7FEE8B69" w14:textId="77777777" w:rsidR="00486BD8" w:rsidRPr="00FC014A" w:rsidRDefault="00486BD8" w:rsidP="00FC014A">
            <w:pPr>
              <w:ind w:left="0"/>
              <w:rPr>
                <w:rFonts w:eastAsia="MS Mincho"/>
                <w:sz w:val="20"/>
                <w:szCs w:val="20"/>
                <w:lang w:eastAsia="cs-CZ"/>
              </w:rPr>
            </w:pPr>
            <w:r w:rsidRPr="00486BD8">
              <w:rPr>
                <w:rFonts w:eastAsia="MS Mincho"/>
                <w:sz w:val="20"/>
                <w:szCs w:val="20"/>
                <w:lang w:eastAsia="cs-CZ"/>
              </w:rPr>
              <w:t xml:space="preserve">Pôvodný termín 30. 6. 2014 bol posunutý z dôvodu predloženia žiadosti na </w:t>
            </w:r>
            <w:r w:rsidRPr="00486BD8">
              <w:rPr>
                <w:rFonts w:eastAsia="MS Mincho"/>
                <w:sz w:val="20"/>
                <w:szCs w:val="20"/>
                <w:lang w:eastAsia="cs-CZ"/>
              </w:rPr>
              <w:lastRenderedPageBreak/>
              <w:t>zvýšenie finančných prostriedkov z OP TP. Žiadosť na RO OP TP bola podaná 19. 6. 2014. Projekt bol vypracovaný, avšak jeho predloženie je viazané na schválenie navýšenej čiastky finančných prostriedkov z OP TP. Stratégia vzdelávania bude súčasťou projektu.</w:t>
            </w:r>
          </w:p>
        </w:tc>
        <w:tc>
          <w:tcPr>
            <w:tcW w:w="2009" w:type="dxa"/>
            <w:vMerge/>
          </w:tcPr>
          <w:p w14:paraId="7D6746BC" w14:textId="77777777" w:rsidR="00486BD8" w:rsidRPr="0083359D" w:rsidRDefault="00486BD8" w:rsidP="0083359D">
            <w:pPr>
              <w:rPr>
                <w:sz w:val="20"/>
                <w:szCs w:val="20"/>
              </w:rPr>
            </w:pPr>
          </w:p>
        </w:tc>
      </w:tr>
      <w:tr w:rsidR="00486BD8" w14:paraId="255B9D5A" w14:textId="77777777" w:rsidTr="008251D9">
        <w:trPr>
          <w:trHeight w:val="563"/>
        </w:trPr>
        <w:tc>
          <w:tcPr>
            <w:tcW w:w="2347" w:type="dxa"/>
            <w:vMerge/>
          </w:tcPr>
          <w:p w14:paraId="00EB9A15" w14:textId="77777777" w:rsidR="00486BD8" w:rsidRPr="0083359D" w:rsidRDefault="00486BD8" w:rsidP="0083359D">
            <w:pPr>
              <w:rPr>
                <w:sz w:val="20"/>
                <w:szCs w:val="20"/>
              </w:rPr>
            </w:pPr>
          </w:p>
        </w:tc>
        <w:tc>
          <w:tcPr>
            <w:tcW w:w="2300" w:type="dxa"/>
            <w:vMerge/>
          </w:tcPr>
          <w:p w14:paraId="6982D4FE" w14:textId="77777777" w:rsidR="00486BD8" w:rsidRPr="00486BD8" w:rsidRDefault="00486BD8" w:rsidP="00486BD8">
            <w:pPr>
              <w:spacing w:before="20" w:after="20"/>
              <w:rPr>
                <w:sz w:val="20"/>
                <w:szCs w:val="20"/>
              </w:rPr>
            </w:pPr>
          </w:p>
        </w:tc>
        <w:tc>
          <w:tcPr>
            <w:tcW w:w="4973" w:type="dxa"/>
          </w:tcPr>
          <w:p w14:paraId="5B320B69" w14:textId="77777777" w:rsidR="00486BD8" w:rsidRDefault="00486BD8" w:rsidP="00486BD8">
            <w:pPr>
              <w:spacing w:line="276" w:lineRule="auto"/>
              <w:ind w:left="0"/>
              <w:rPr>
                <w:sz w:val="20"/>
                <w:szCs w:val="20"/>
              </w:rPr>
            </w:pPr>
            <w:r>
              <w:rPr>
                <w:sz w:val="20"/>
                <w:szCs w:val="20"/>
              </w:rPr>
              <w:t>Úvodné školenie pre RO</w:t>
            </w:r>
          </w:p>
          <w:p w14:paraId="29EC991B" w14:textId="63F5B535" w:rsidR="00486BD8" w:rsidRDefault="00486BD8" w:rsidP="00486BD8">
            <w:pPr>
              <w:spacing w:before="120" w:line="276" w:lineRule="auto"/>
              <w:ind w:left="0"/>
              <w:rPr>
                <w:sz w:val="20"/>
                <w:szCs w:val="20"/>
              </w:rPr>
            </w:pPr>
            <w:r w:rsidRPr="00486BD8">
              <w:rPr>
                <w:sz w:val="20"/>
                <w:szCs w:val="20"/>
              </w:rPr>
              <w:t>Školenie k rodovej rovnosti vo verejnej správe a e-learnigové školenie k rodovej rovnosti bolo akreditované zo strany MŠVV</w:t>
            </w:r>
            <w:r w:rsidR="00014C2B">
              <w:rPr>
                <w:sz w:val="20"/>
                <w:szCs w:val="20"/>
              </w:rPr>
              <w:t>a</w:t>
            </w:r>
            <w:r w:rsidRPr="00486BD8">
              <w:rPr>
                <w:sz w:val="20"/>
                <w:szCs w:val="20"/>
              </w:rPr>
              <w:t>Š SR a pod dohľadom ORRRP. Školenia sa už poskytujú rôznym verejným inštitúciám a sú dostupné pre riadenie EŠIF.</w:t>
            </w:r>
          </w:p>
          <w:p w14:paraId="74BA721A" w14:textId="77777777" w:rsidR="00486BD8" w:rsidRPr="00DD0BE9" w:rsidRDefault="001061E2" w:rsidP="00486BD8">
            <w:pPr>
              <w:spacing w:before="120" w:line="280" w:lineRule="auto"/>
              <w:ind w:left="0"/>
              <w:rPr>
                <w:sz w:val="20"/>
                <w:szCs w:val="20"/>
              </w:rPr>
            </w:pPr>
            <w:hyperlink r:id="rId88" w:history="1">
              <w:r w:rsidR="00486BD8" w:rsidRPr="00DD0BE9">
                <w:rPr>
                  <w:rStyle w:val="Hypertextovprepojenie"/>
                  <w:sz w:val="20"/>
                  <w:szCs w:val="20"/>
                </w:rPr>
                <w:t>http://www.institutrr.sk/elearning/</w:t>
              </w:r>
            </w:hyperlink>
          </w:p>
          <w:p w14:paraId="2FB852B9" w14:textId="77777777" w:rsidR="00486BD8" w:rsidRPr="00DD0BE9" w:rsidRDefault="001061E2" w:rsidP="00486BD8">
            <w:pPr>
              <w:spacing w:before="120" w:line="280" w:lineRule="auto"/>
              <w:ind w:left="0"/>
              <w:rPr>
                <w:sz w:val="20"/>
                <w:szCs w:val="20"/>
              </w:rPr>
            </w:pPr>
            <w:hyperlink r:id="rId89" w:history="1">
              <w:r w:rsidR="00486BD8" w:rsidRPr="00DD0BE9">
                <w:rPr>
                  <w:rStyle w:val="Hypertextovprepojenie"/>
                  <w:sz w:val="20"/>
                  <w:szCs w:val="20"/>
                </w:rPr>
                <w:t>http://isdv.fri.uniza.sk/CourseDetail.aspx?moduleId=26750</w:t>
              </w:r>
            </w:hyperlink>
          </w:p>
          <w:p w14:paraId="4D4A3FAC" w14:textId="77777777" w:rsidR="00486BD8" w:rsidRPr="00486BD8" w:rsidRDefault="001061E2" w:rsidP="00486BD8">
            <w:pPr>
              <w:spacing w:before="120" w:line="276" w:lineRule="auto"/>
              <w:ind w:left="0"/>
              <w:rPr>
                <w:sz w:val="20"/>
                <w:szCs w:val="20"/>
              </w:rPr>
            </w:pPr>
            <w:hyperlink r:id="rId90" w:history="1">
              <w:r w:rsidR="00486BD8" w:rsidRPr="00DD0BE9">
                <w:rPr>
                  <w:rStyle w:val="Hypertextovprepojenie"/>
                  <w:sz w:val="20"/>
                  <w:szCs w:val="20"/>
                </w:rPr>
                <w:t>http://isdv.fri.uniza.sk/CourseDetail.aspx?moduleId=26746</w:t>
              </w:r>
            </w:hyperlink>
          </w:p>
        </w:tc>
        <w:tc>
          <w:tcPr>
            <w:tcW w:w="2546" w:type="dxa"/>
          </w:tcPr>
          <w:p w14:paraId="347999BA" w14:textId="77777777" w:rsidR="00486BD8" w:rsidRPr="00103397" w:rsidRDefault="00486BD8" w:rsidP="00103397">
            <w:pPr>
              <w:ind w:left="0"/>
              <w:jc w:val="center"/>
              <w:rPr>
                <w:rFonts w:eastAsia="MS Mincho"/>
                <w:b/>
                <w:sz w:val="20"/>
                <w:szCs w:val="20"/>
                <w:lang w:eastAsia="cs-CZ"/>
              </w:rPr>
            </w:pPr>
            <w:r w:rsidRPr="00103397">
              <w:rPr>
                <w:rFonts w:eastAsia="MS Mincho"/>
                <w:b/>
                <w:sz w:val="20"/>
                <w:szCs w:val="20"/>
                <w:lang w:eastAsia="cs-CZ"/>
              </w:rPr>
              <w:t>30.6.2015</w:t>
            </w:r>
          </w:p>
        </w:tc>
        <w:tc>
          <w:tcPr>
            <w:tcW w:w="2009" w:type="dxa"/>
            <w:vMerge/>
          </w:tcPr>
          <w:p w14:paraId="380B5228" w14:textId="77777777" w:rsidR="00486BD8" w:rsidRPr="0083359D" w:rsidRDefault="00486BD8" w:rsidP="0083359D">
            <w:pPr>
              <w:rPr>
                <w:sz w:val="20"/>
                <w:szCs w:val="20"/>
              </w:rPr>
            </w:pPr>
          </w:p>
        </w:tc>
      </w:tr>
      <w:tr w:rsidR="008B4113" w14:paraId="2279C432" w14:textId="77777777" w:rsidTr="008251D9">
        <w:trPr>
          <w:trHeight w:val="988"/>
        </w:trPr>
        <w:tc>
          <w:tcPr>
            <w:tcW w:w="2347" w:type="dxa"/>
            <w:vMerge w:val="restart"/>
          </w:tcPr>
          <w:p w14:paraId="46B050D9" w14:textId="77777777" w:rsidR="008B4113" w:rsidRPr="00103397" w:rsidRDefault="008B4113" w:rsidP="00103397">
            <w:pPr>
              <w:ind w:left="0"/>
              <w:jc w:val="both"/>
              <w:rPr>
                <w:b/>
                <w:sz w:val="20"/>
                <w:szCs w:val="20"/>
              </w:rPr>
            </w:pPr>
            <w:r w:rsidRPr="00103397">
              <w:rPr>
                <w:b/>
                <w:sz w:val="20"/>
                <w:szCs w:val="20"/>
              </w:rPr>
              <w:t>Zdravotné postihnutie</w:t>
            </w:r>
          </w:p>
          <w:p w14:paraId="751A75C9" w14:textId="77777777" w:rsidR="008B4113" w:rsidRDefault="008B4113" w:rsidP="00103397">
            <w:pPr>
              <w:spacing w:before="120"/>
              <w:ind w:left="0"/>
              <w:rPr>
                <w:sz w:val="20"/>
                <w:szCs w:val="20"/>
              </w:rPr>
            </w:pPr>
            <w:r w:rsidRPr="005149A5">
              <w:rPr>
                <w:sz w:val="20"/>
                <w:szCs w:val="20"/>
              </w:rPr>
              <w:t>Existencia administratívnej kapacity na vykonávanie a uplatňovanie Dohovoru OSN o právach osôb so zdravotným postihnutím v oblasti EŠIF v súlade s rozhodnutím Rady 2010/48/ES</w:t>
            </w:r>
          </w:p>
        </w:tc>
        <w:tc>
          <w:tcPr>
            <w:tcW w:w="2300" w:type="dxa"/>
            <w:vMerge w:val="restart"/>
          </w:tcPr>
          <w:p w14:paraId="1325A1E0" w14:textId="77777777" w:rsidR="008B4113" w:rsidRDefault="008B4113" w:rsidP="00103397">
            <w:pPr>
              <w:spacing w:before="20" w:after="20"/>
              <w:ind w:left="0"/>
              <w:jc w:val="both"/>
              <w:rPr>
                <w:sz w:val="20"/>
                <w:szCs w:val="20"/>
              </w:rPr>
            </w:pPr>
            <w:r w:rsidRPr="005149A5">
              <w:rPr>
                <w:sz w:val="20"/>
                <w:szCs w:val="20"/>
              </w:rPr>
              <w:t xml:space="preserve">Opatrenia v súlade s inštitucionálnym a právnym rámcom členských štátov na vykonávanie konzultácií a zapojenie orgánov, ktoré sú zodpovedné za ochranu práv osôb so zdravotným postihnutím, alebo organizácií zastupujúcich osoby so zdravotným postihnutím, </w:t>
            </w:r>
            <w:r w:rsidRPr="005149A5">
              <w:rPr>
                <w:sz w:val="20"/>
                <w:szCs w:val="20"/>
              </w:rPr>
              <w:lastRenderedPageBreak/>
              <w:t>a ďalšie príslušné zainteresované osoby počas prípravy a vykonávania programov.</w:t>
            </w:r>
          </w:p>
        </w:tc>
        <w:tc>
          <w:tcPr>
            <w:tcW w:w="4973" w:type="dxa"/>
          </w:tcPr>
          <w:p w14:paraId="25BFB99C" w14:textId="77777777" w:rsidR="008B4113" w:rsidRPr="005149A5" w:rsidRDefault="008B4113" w:rsidP="005149A5">
            <w:pPr>
              <w:spacing w:line="276" w:lineRule="auto"/>
              <w:ind w:left="0"/>
              <w:rPr>
                <w:rFonts w:eastAsia="MS Mincho"/>
                <w:sz w:val="20"/>
                <w:szCs w:val="20"/>
                <w:lang w:eastAsia="cs-CZ"/>
              </w:rPr>
            </w:pPr>
            <w:r w:rsidRPr="005149A5">
              <w:rPr>
                <w:rFonts w:eastAsia="MS Mincho"/>
                <w:b/>
                <w:sz w:val="20"/>
                <w:szCs w:val="20"/>
                <w:lang w:eastAsia="cs-CZ"/>
              </w:rPr>
              <w:lastRenderedPageBreak/>
              <w:t>Posilnenie administratívnych kapacít u orgánov zodpovedných za implementáciu Dohovoru OSN</w:t>
            </w:r>
          </w:p>
          <w:p w14:paraId="47406818" w14:textId="77777777" w:rsidR="008B4113" w:rsidRPr="007F60B9" w:rsidRDefault="008B4113" w:rsidP="005149A5">
            <w:pPr>
              <w:ind w:left="0"/>
              <w:rPr>
                <w:sz w:val="20"/>
                <w:szCs w:val="20"/>
              </w:rPr>
            </w:pPr>
          </w:p>
        </w:tc>
        <w:tc>
          <w:tcPr>
            <w:tcW w:w="2546" w:type="dxa"/>
          </w:tcPr>
          <w:p w14:paraId="0CE63312" w14:textId="77777777" w:rsidR="008B4113" w:rsidRPr="00103397" w:rsidRDefault="008B4113" w:rsidP="00103397">
            <w:pPr>
              <w:ind w:left="0"/>
              <w:jc w:val="center"/>
              <w:rPr>
                <w:b/>
                <w:sz w:val="20"/>
                <w:szCs w:val="20"/>
              </w:rPr>
            </w:pPr>
            <w:r w:rsidRPr="00103397">
              <w:rPr>
                <w:b/>
                <w:sz w:val="20"/>
                <w:szCs w:val="20"/>
              </w:rPr>
              <w:t>30. 11. 2014</w:t>
            </w:r>
          </w:p>
          <w:p w14:paraId="7641DE8D" w14:textId="77777777" w:rsidR="008B4113" w:rsidRPr="00FC014A" w:rsidRDefault="008B4113" w:rsidP="00FC014A">
            <w:pPr>
              <w:ind w:left="0"/>
              <w:jc w:val="both"/>
              <w:rPr>
                <w:sz w:val="20"/>
                <w:szCs w:val="20"/>
              </w:rPr>
            </w:pPr>
            <w:r>
              <w:rPr>
                <w:sz w:val="20"/>
                <w:szCs w:val="20"/>
              </w:rPr>
              <w:t>D</w:t>
            </w:r>
            <w:r w:rsidRPr="005149A5">
              <w:rPr>
                <w:sz w:val="20"/>
                <w:szCs w:val="20"/>
              </w:rPr>
              <w:t xml:space="preserve">osiahnutie </w:t>
            </w:r>
            <w:r>
              <w:rPr>
                <w:sz w:val="20"/>
                <w:szCs w:val="20"/>
              </w:rPr>
              <w:t>o</w:t>
            </w:r>
            <w:r w:rsidRPr="005149A5">
              <w:rPr>
                <w:sz w:val="20"/>
                <w:szCs w:val="20"/>
              </w:rPr>
              <w:t xml:space="preserve">ptimalizovaného stavu administratívnych kapacít vytvorením oddelenia pre implementáciu horizontálnych princípov nediskriminácie a rovnosti mužov a žien v počte 7 pracovných miest na TPP plus 1 asistent/ka. Pôvodný termín 31. 8. 2014 bol posunutý vzhľadom na </w:t>
            </w:r>
            <w:r w:rsidRPr="005149A5">
              <w:rPr>
                <w:sz w:val="20"/>
                <w:szCs w:val="20"/>
              </w:rPr>
              <w:lastRenderedPageBreak/>
              <w:t>potrebu schválenia materiálu k administratívnym kapacitám vládou SR a prípravu projektu z OPTP.</w:t>
            </w:r>
          </w:p>
        </w:tc>
        <w:tc>
          <w:tcPr>
            <w:tcW w:w="2009" w:type="dxa"/>
            <w:vMerge w:val="restart"/>
          </w:tcPr>
          <w:p w14:paraId="5803BD15" w14:textId="77777777" w:rsidR="008B4113" w:rsidRPr="007F60B9" w:rsidRDefault="008B4113" w:rsidP="005149A5">
            <w:pPr>
              <w:ind w:left="0"/>
              <w:rPr>
                <w:sz w:val="20"/>
                <w:szCs w:val="20"/>
              </w:rPr>
            </w:pPr>
            <w:r>
              <w:rPr>
                <w:sz w:val="20"/>
                <w:szCs w:val="20"/>
              </w:rPr>
              <w:lastRenderedPageBreak/>
              <w:t>MPSVR SR</w:t>
            </w:r>
          </w:p>
        </w:tc>
      </w:tr>
      <w:tr w:rsidR="008B4113" w14:paraId="12AF193E" w14:textId="77777777" w:rsidTr="008251D9">
        <w:trPr>
          <w:trHeight w:val="2405"/>
        </w:trPr>
        <w:tc>
          <w:tcPr>
            <w:tcW w:w="2347" w:type="dxa"/>
            <w:vMerge/>
          </w:tcPr>
          <w:p w14:paraId="3468656B" w14:textId="77777777" w:rsidR="008B4113" w:rsidRPr="005149A5" w:rsidRDefault="008B4113" w:rsidP="005149A5">
            <w:pPr>
              <w:rPr>
                <w:sz w:val="20"/>
                <w:szCs w:val="20"/>
              </w:rPr>
            </w:pPr>
          </w:p>
        </w:tc>
        <w:tc>
          <w:tcPr>
            <w:tcW w:w="2300" w:type="dxa"/>
            <w:vMerge/>
          </w:tcPr>
          <w:p w14:paraId="240776A4" w14:textId="77777777" w:rsidR="008B4113" w:rsidRPr="005149A5" w:rsidRDefault="008B4113" w:rsidP="005149A5">
            <w:pPr>
              <w:spacing w:before="20" w:after="20"/>
              <w:rPr>
                <w:sz w:val="20"/>
                <w:szCs w:val="20"/>
              </w:rPr>
            </w:pPr>
          </w:p>
        </w:tc>
        <w:tc>
          <w:tcPr>
            <w:tcW w:w="4973" w:type="dxa"/>
          </w:tcPr>
          <w:p w14:paraId="4D5F30F8" w14:textId="60AB3EAC" w:rsidR="008B4113" w:rsidRPr="005149A5" w:rsidRDefault="008B4113" w:rsidP="00103397">
            <w:pPr>
              <w:ind w:left="0"/>
              <w:rPr>
                <w:rFonts w:eastAsia="MS Mincho"/>
                <w:sz w:val="20"/>
                <w:szCs w:val="20"/>
                <w:lang w:eastAsia="cs-CZ"/>
              </w:rPr>
            </w:pPr>
            <w:r w:rsidRPr="005149A5">
              <w:rPr>
                <w:rFonts w:eastAsia="MS Mincho"/>
                <w:sz w:val="20"/>
                <w:szCs w:val="20"/>
                <w:lang w:eastAsia="cs-CZ"/>
              </w:rPr>
              <w:t>SR v súčasnosti pripravuje</w:t>
            </w:r>
            <w:r>
              <w:rPr>
                <w:rFonts w:eastAsia="MS Mincho"/>
                <w:sz w:val="20"/>
                <w:szCs w:val="20"/>
                <w:lang w:eastAsia="cs-CZ"/>
              </w:rPr>
              <w:t xml:space="preserve"> </w:t>
            </w:r>
            <w:r w:rsidRPr="005149A5">
              <w:rPr>
                <w:rFonts w:eastAsia="MS Mincho"/>
                <w:b/>
                <w:sz w:val="20"/>
                <w:szCs w:val="20"/>
                <w:lang w:eastAsia="cs-CZ"/>
              </w:rPr>
              <w:t>Celoštátnu stratégiu ochrany a podpory ľudských práv v SR</w:t>
            </w:r>
            <w:r w:rsidRPr="005149A5">
              <w:rPr>
                <w:rFonts w:eastAsia="MS Mincho"/>
                <w:sz w:val="20"/>
                <w:szCs w:val="20"/>
                <w:lang w:eastAsia="cs-CZ"/>
              </w:rPr>
              <w:t xml:space="preserve">, ktorá má definovať aj úlohy v oblasti zabezpečenia práv osôb so ZP. </w:t>
            </w:r>
          </w:p>
          <w:p w14:paraId="57E66732" w14:textId="77777777" w:rsidR="008B4113" w:rsidRPr="005149A5" w:rsidRDefault="008B4113" w:rsidP="00103397">
            <w:pPr>
              <w:spacing w:before="120"/>
              <w:ind w:left="0"/>
              <w:rPr>
                <w:rFonts w:eastAsia="MS Mincho"/>
                <w:b/>
                <w:sz w:val="20"/>
                <w:szCs w:val="20"/>
                <w:lang w:eastAsia="cs-CZ"/>
              </w:rPr>
            </w:pPr>
            <w:r w:rsidRPr="005149A5">
              <w:rPr>
                <w:rFonts w:eastAsia="MS Mincho"/>
                <w:sz w:val="20"/>
                <w:szCs w:val="20"/>
                <w:lang w:eastAsia="cs-CZ"/>
              </w:rPr>
              <w:t>Predloženie stratégie ĽP na rokovanie vlády SR:</w:t>
            </w:r>
          </w:p>
        </w:tc>
        <w:tc>
          <w:tcPr>
            <w:tcW w:w="2546" w:type="dxa"/>
          </w:tcPr>
          <w:p w14:paraId="3D11BF7B" w14:textId="77777777" w:rsidR="008B4113" w:rsidRPr="00103397" w:rsidRDefault="008B4113" w:rsidP="00103397">
            <w:pPr>
              <w:ind w:left="0"/>
              <w:jc w:val="center"/>
              <w:rPr>
                <w:b/>
                <w:sz w:val="20"/>
                <w:szCs w:val="20"/>
              </w:rPr>
            </w:pPr>
            <w:r w:rsidRPr="00103397">
              <w:rPr>
                <w:b/>
                <w:sz w:val="20"/>
                <w:szCs w:val="20"/>
              </w:rPr>
              <w:t>31. 12. 2014.</w:t>
            </w:r>
          </w:p>
          <w:p w14:paraId="6CEBB51C" w14:textId="77777777" w:rsidR="008B4113" w:rsidRPr="00FC014A" w:rsidRDefault="008B4113" w:rsidP="00FC014A">
            <w:pPr>
              <w:ind w:left="0"/>
              <w:rPr>
                <w:sz w:val="20"/>
                <w:szCs w:val="20"/>
              </w:rPr>
            </w:pPr>
            <w:r w:rsidRPr="005149A5">
              <w:rPr>
                <w:sz w:val="20"/>
                <w:szCs w:val="20"/>
              </w:rPr>
              <w:t>Pôvodný termín 30. 6. 2014 sa posúva z dôvodu neschválenia stratégie ĽP na zasadnutí Rady vlády pre ĽPRRRP. Po skončení rozporových konaní bude stratégia ĽP opäť predložená na rokovanie Rady vlády pre ĽPRRRP.</w:t>
            </w:r>
          </w:p>
        </w:tc>
        <w:tc>
          <w:tcPr>
            <w:tcW w:w="2009" w:type="dxa"/>
            <w:vMerge/>
          </w:tcPr>
          <w:p w14:paraId="298FF4CD" w14:textId="77777777" w:rsidR="008B4113" w:rsidRDefault="008B4113" w:rsidP="005149A5">
            <w:pPr>
              <w:rPr>
                <w:sz w:val="20"/>
                <w:szCs w:val="20"/>
              </w:rPr>
            </w:pPr>
          </w:p>
        </w:tc>
      </w:tr>
      <w:tr w:rsidR="008B4113" w14:paraId="2913232E" w14:textId="77777777" w:rsidTr="008251D9">
        <w:trPr>
          <w:trHeight w:val="2516"/>
        </w:trPr>
        <w:tc>
          <w:tcPr>
            <w:tcW w:w="2347" w:type="dxa"/>
            <w:vMerge/>
          </w:tcPr>
          <w:p w14:paraId="62681EE9" w14:textId="77777777" w:rsidR="008B4113" w:rsidRPr="005149A5" w:rsidRDefault="008B4113" w:rsidP="005149A5">
            <w:pPr>
              <w:rPr>
                <w:sz w:val="20"/>
                <w:szCs w:val="20"/>
              </w:rPr>
            </w:pPr>
          </w:p>
        </w:tc>
        <w:tc>
          <w:tcPr>
            <w:tcW w:w="2300" w:type="dxa"/>
            <w:vMerge w:val="restart"/>
          </w:tcPr>
          <w:p w14:paraId="4F76C41C" w14:textId="77777777" w:rsidR="008B4113" w:rsidRPr="005149A5" w:rsidRDefault="008B4113" w:rsidP="00103397">
            <w:pPr>
              <w:spacing w:before="20" w:after="20"/>
              <w:ind w:left="0"/>
              <w:jc w:val="both"/>
              <w:rPr>
                <w:sz w:val="20"/>
                <w:szCs w:val="20"/>
              </w:rPr>
            </w:pPr>
            <w:r w:rsidRPr="00ED7A02">
              <w:rPr>
                <w:sz w:val="20"/>
                <w:szCs w:val="20"/>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973" w:type="dxa"/>
          </w:tcPr>
          <w:p w14:paraId="1A4E3C7E" w14:textId="77777777" w:rsidR="008B4113" w:rsidRPr="00ED7A02" w:rsidRDefault="008B4113" w:rsidP="00ED7A02">
            <w:pPr>
              <w:spacing w:line="276" w:lineRule="auto"/>
              <w:ind w:left="0"/>
              <w:rPr>
                <w:rFonts w:eastAsia="MS Mincho"/>
                <w:sz w:val="20"/>
                <w:szCs w:val="20"/>
                <w:lang w:eastAsia="cs-CZ"/>
              </w:rPr>
            </w:pPr>
            <w:r w:rsidRPr="00ED7A02">
              <w:rPr>
                <w:rFonts w:eastAsia="MS Mincho"/>
                <w:sz w:val="20"/>
                <w:szCs w:val="20"/>
                <w:lang w:eastAsia="cs-CZ"/>
              </w:rPr>
              <w:t>Vypracovanie stratégie školenia a informovania zamestnancov zapojených do využívania fondov a následné podanie projektu z OP TP na finančné zabezpečenie školení.</w:t>
            </w:r>
          </w:p>
          <w:p w14:paraId="46736AD7" w14:textId="77777777" w:rsidR="008B4113" w:rsidRPr="005149A5" w:rsidRDefault="008B4113" w:rsidP="00ED7A02">
            <w:pPr>
              <w:spacing w:before="120" w:line="276" w:lineRule="auto"/>
              <w:ind w:left="0"/>
              <w:rPr>
                <w:rFonts w:eastAsia="MS Mincho"/>
                <w:sz w:val="20"/>
                <w:szCs w:val="20"/>
                <w:lang w:eastAsia="cs-CZ"/>
              </w:rPr>
            </w:pPr>
            <w:r w:rsidRPr="00ED7A02">
              <w:rPr>
                <w:rFonts w:eastAsia="MS Mincho"/>
                <w:sz w:val="20"/>
                <w:szCs w:val="20"/>
                <w:lang w:eastAsia="cs-CZ"/>
              </w:rPr>
              <w:t>Vypracovanie stratégie:</w:t>
            </w:r>
          </w:p>
        </w:tc>
        <w:tc>
          <w:tcPr>
            <w:tcW w:w="2546" w:type="dxa"/>
          </w:tcPr>
          <w:p w14:paraId="54D6955E" w14:textId="77777777" w:rsidR="008B4113" w:rsidRPr="00103397" w:rsidRDefault="00103397" w:rsidP="00103397">
            <w:pPr>
              <w:ind w:left="0"/>
              <w:jc w:val="center"/>
              <w:rPr>
                <w:b/>
                <w:sz w:val="20"/>
                <w:szCs w:val="20"/>
              </w:rPr>
            </w:pPr>
            <w:r>
              <w:rPr>
                <w:b/>
                <w:sz w:val="20"/>
                <w:szCs w:val="20"/>
              </w:rPr>
              <w:t>1.11. 2014</w:t>
            </w:r>
          </w:p>
          <w:p w14:paraId="472D1A21" w14:textId="77777777" w:rsidR="008B4113" w:rsidRPr="00FC014A" w:rsidRDefault="008B4113" w:rsidP="00FC014A">
            <w:pPr>
              <w:ind w:left="0"/>
              <w:rPr>
                <w:sz w:val="20"/>
                <w:szCs w:val="20"/>
              </w:rPr>
            </w:pPr>
            <w:r w:rsidRPr="00ED7A02">
              <w:rPr>
                <w:sz w:val="20"/>
                <w:szCs w:val="20"/>
              </w:rPr>
              <w:t>Pôvodný termín 30. 6. 2014 bol posunutý z dôvodu predloženia žiadosti na zvýšenie finančných prostriedkov z OP TP. Žiadosť na RO OP TP bola podaná 19. 6. 2014. Projekt bol vypracovaný, avšak jeho predloženie je viazané na schválenie navýšenej čiastky finančných prostriedkov z OP TP. Stratégia vzdelávania bude súčasťou projektu.</w:t>
            </w:r>
          </w:p>
        </w:tc>
        <w:tc>
          <w:tcPr>
            <w:tcW w:w="2009" w:type="dxa"/>
            <w:vMerge/>
          </w:tcPr>
          <w:p w14:paraId="28503BCE" w14:textId="77777777" w:rsidR="008B4113" w:rsidRDefault="008B4113" w:rsidP="005149A5">
            <w:pPr>
              <w:rPr>
                <w:sz w:val="20"/>
                <w:szCs w:val="20"/>
              </w:rPr>
            </w:pPr>
          </w:p>
        </w:tc>
      </w:tr>
      <w:tr w:rsidR="008B4113" w14:paraId="5EF26EDF" w14:textId="77777777" w:rsidTr="008251D9">
        <w:trPr>
          <w:trHeight w:val="563"/>
        </w:trPr>
        <w:tc>
          <w:tcPr>
            <w:tcW w:w="2347" w:type="dxa"/>
            <w:vMerge/>
          </w:tcPr>
          <w:p w14:paraId="5E397147" w14:textId="77777777" w:rsidR="008B4113" w:rsidRPr="005149A5" w:rsidRDefault="008B4113" w:rsidP="005149A5">
            <w:pPr>
              <w:rPr>
                <w:sz w:val="20"/>
                <w:szCs w:val="20"/>
              </w:rPr>
            </w:pPr>
          </w:p>
        </w:tc>
        <w:tc>
          <w:tcPr>
            <w:tcW w:w="2300" w:type="dxa"/>
            <w:vMerge/>
          </w:tcPr>
          <w:p w14:paraId="5CBB9B44" w14:textId="77777777" w:rsidR="008B4113" w:rsidRPr="00ED7A02" w:rsidRDefault="008B4113" w:rsidP="00ED7A02">
            <w:pPr>
              <w:spacing w:before="20" w:after="20"/>
              <w:rPr>
                <w:sz w:val="20"/>
                <w:szCs w:val="20"/>
              </w:rPr>
            </w:pPr>
          </w:p>
        </w:tc>
        <w:tc>
          <w:tcPr>
            <w:tcW w:w="4973" w:type="dxa"/>
          </w:tcPr>
          <w:p w14:paraId="24405DD1" w14:textId="77777777" w:rsidR="008B4113" w:rsidRPr="00ED7A02" w:rsidRDefault="008B4113" w:rsidP="00ED7A02">
            <w:pPr>
              <w:spacing w:line="276" w:lineRule="auto"/>
              <w:ind w:left="0"/>
              <w:rPr>
                <w:rFonts w:eastAsia="MS Mincho"/>
                <w:sz w:val="20"/>
                <w:szCs w:val="20"/>
                <w:lang w:eastAsia="cs-CZ"/>
              </w:rPr>
            </w:pPr>
            <w:r w:rsidRPr="00ED7A02">
              <w:rPr>
                <w:rFonts w:eastAsia="MS Mincho"/>
                <w:sz w:val="20"/>
                <w:szCs w:val="20"/>
                <w:lang w:eastAsia="cs-CZ"/>
              </w:rPr>
              <w:t>Uskutočnenie vzdelávacích aktivít pre prvotné vzdelávanie RO:</w:t>
            </w:r>
          </w:p>
        </w:tc>
        <w:tc>
          <w:tcPr>
            <w:tcW w:w="2546" w:type="dxa"/>
          </w:tcPr>
          <w:p w14:paraId="545BD3CC" w14:textId="77777777" w:rsidR="008B4113" w:rsidRPr="00103397" w:rsidRDefault="008B4113" w:rsidP="00103397">
            <w:pPr>
              <w:ind w:left="0"/>
              <w:jc w:val="center"/>
              <w:rPr>
                <w:b/>
                <w:sz w:val="20"/>
                <w:szCs w:val="20"/>
              </w:rPr>
            </w:pPr>
            <w:r w:rsidRPr="00103397">
              <w:rPr>
                <w:b/>
                <w:sz w:val="20"/>
                <w:szCs w:val="20"/>
              </w:rPr>
              <w:t>30.6.2015</w:t>
            </w:r>
          </w:p>
        </w:tc>
        <w:tc>
          <w:tcPr>
            <w:tcW w:w="2009" w:type="dxa"/>
            <w:vMerge/>
          </w:tcPr>
          <w:p w14:paraId="61D90DC7" w14:textId="77777777" w:rsidR="008B4113" w:rsidRDefault="008B4113" w:rsidP="005149A5">
            <w:pPr>
              <w:rPr>
                <w:sz w:val="20"/>
                <w:szCs w:val="20"/>
              </w:rPr>
            </w:pPr>
          </w:p>
        </w:tc>
      </w:tr>
      <w:tr w:rsidR="008B4113" w14:paraId="3CC6822B" w14:textId="77777777" w:rsidTr="008251D9">
        <w:trPr>
          <w:trHeight w:val="75"/>
        </w:trPr>
        <w:tc>
          <w:tcPr>
            <w:tcW w:w="2347" w:type="dxa"/>
            <w:vMerge/>
          </w:tcPr>
          <w:p w14:paraId="15944A37" w14:textId="77777777" w:rsidR="008B4113" w:rsidRPr="005149A5" w:rsidRDefault="008B4113" w:rsidP="005149A5">
            <w:pPr>
              <w:rPr>
                <w:sz w:val="20"/>
                <w:szCs w:val="20"/>
              </w:rPr>
            </w:pPr>
          </w:p>
        </w:tc>
        <w:tc>
          <w:tcPr>
            <w:tcW w:w="2300" w:type="dxa"/>
          </w:tcPr>
          <w:p w14:paraId="74EFD45A" w14:textId="77777777" w:rsidR="008B4113" w:rsidRPr="00ED7A02" w:rsidRDefault="008B4113" w:rsidP="00103397">
            <w:pPr>
              <w:spacing w:before="20" w:after="20"/>
              <w:ind w:left="0"/>
              <w:jc w:val="both"/>
              <w:rPr>
                <w:sz w:val="20"/>
                <w:szCs w:val="20"/>
              </w:rPr>
            </w:pPr>
            <w:r w:rsidRPr="008B4113">
              <w:rPr>
                <w:sz w:val="20"/>
                <w:szCs w:val="20"/>
              </w:rPr>
              <w:t xml:space="preserve">Opatrenia na zabezpečenie sledovania vykonávania článku 9 </w:t>
            </w:r>
            <w:r w:rsidRPr="008B4113">
              <w:rPr>
                <w:sz w:val="20"/>
                <w:szCs w:val="20"/>
              </w:rPr>
              <w:lastRenderedPageBreak/>
              <w:t>Dohovoru OSN o právach osôb so zdravotným postihnutím vo vzťahu k EŠIF počas prípravy a vykonávania programov.</w:t>
            </w:r>
          </w:p>
        </w:tc>
        <w:tc>
          <w:tcPr>
            <w:tcW w:w="4973" w:type="dxa"/>
          </w:tcPr>
          <w:p w14:paraId="2FB27FA0" w14:textId="77777777" w:rsidR="008B4113" w:rsidRPr="008B4113" w:rsidRDefault="008B4113" w:rsidP="00103397">
            <w:pPr>
              <w:ind w:left="0"/>
              <w:jc w:val="both"/>
              <w:rPr>
                <w:rFonts w:eastAsia="MS Mincho"/>
                <w:sz w:val="20"/>
                <w:szCs w:val="20"/>
                <w:lang w:eastAsia="cs-CZ"/>
              </w:rPr>
            </w:pPr>
            <w:r w:rsidRPr="008B4113">
              <w:rPr>
                <w:rFonts w:eastAsia="MS Mincho"/>
                <w:sz w:val="20"/>
                <w:szCs w:val="20"/>
                <w:lang w:eastAsia="cs-CZ"/>
              </w:rPr>
              <w:lastRenderedPageBreak/>
              <w:t>Proces monitorovania plnenia horizontálnych princípov bude na projektovej úrovni sledovaný prostredníctvom monitorovacích správ, ktorých súčasťou bude samostatn</w:t>
            </w:r>
            <w:r>
              <w:rPr>
                <w:rFonts w:eastAsia="MS Mincho"/>
                <w:sz w:val="20"/>
                <w:szCs w:val="20"/>
                <w:lang w:eastAsia="cs-CZ"/>
              </w:rPr>
              <w:t xml:space="preserve">ý </w:t>
            </w:r>
            <w:r>
              <w:rPr>
                <w:rFonts w:eastAsia="MS Mincho"/>
                <w:sz w:val="20"/>
                <w:szCs w:val="20"/>
                <w:lang w:eastAsia="cs-CZ"/>
              </w:rPr>
              <w:lastRenderedPageBreak/>
              <w:t xml:space="preserve">výstup obsahujúci informácie </w:t>
            </w:r>
            <w:r w:rsidRPr="008B4113">
              <w:rPr>
                <w:rFonts w:eastAsia="MS Mincho"/>
                <w:sz w:val="20"/>
                <w:szCs w:val="20"/>
                <w:lang w:eastAsia="cs-CZ"/>
              </w:rPr>
              <w:t xml:space="preserve">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w:t>
            </w:r>
          </w:p>
          <w:p w14:paraId="6DD6EB93" w14:textId="77777777" w:rsidR="008B4113" w:rsidRPr="00ED7A02" w:rsidRDefault="008B4113" w:rsidP="00103397">
            <w:pPr>
              <w:spacing w:before="120"/>
              <w:ind w:left="0"/>
              <w:jc w:val="both"/>
              <w:rPr>
                <w:rFonts w:eastAsia="MS Mincho"/>
                <w:sz w:val="20"/>
                <w:szCs w:val="20"/>
                <w:lang w:eastAsia="cs-CZ"/>
              </w:rPr>
            </w:pPr>
            <w:r w:rsidRPr="008B4113">
              <w:rPr>
                <w:rFonts w:eastAsia="MS Mincho"/>
                <w:sz w:val="20"/>
                <w:szCs w:val="20"/>
                <w:lang w:eastAsia="cs-CZ"/>
              </w:rPr>
              <w:t>Zapracovanie do riadiacej dokumentácie, proces uplatňovania v hodnotení , monitorovaní a kontrole, príprava assessment grid.</w:t>
            </w:r>
          </w:p>
        </w:tc>
        <w:tc>
          <w:tcPr>
            <w:tcW w:w="2546" w:type="dxa"/>
          </w:tcPr>
          <w:p w14:paraId="6918470F" w14:textId="77777777" w:rsidR="008B4113" w:rsidRPr="00103397" w:rsidRDefault="008B4113" w:rsidP="00103397">
            <w:pPr>
              <w:tabs>
                <w:tab w:val="left" w:pos="2302"/>
              </w:tabs>
              <w:ind w:left="0"/>
              <w:jc w:val="center"/>
              <w:rPr>
                <w:rFonts w:eastAsia="MS Mincho"/>
                <w:b/>
                <w:sz w:val="20"/>
                <w:szCs w:val="20"/>
              </w:rPr>
            </w:pPr>
            <w:r w:rsidRPr="00103397">
              <w:rPr>
                <w:rFonts w:eastAsia="MS Mincho"/>
                <w:b/>
                <w:sz w:val="20"/>
                <w:szCs w:val="20"/>
              </w:rPr>
              <w:lastRenderedPageBreak/>
              <w:t>31. 10. 2014</w:t>
            </w:r>
          </w:p>
          <w:p w14:paraId="636AF093" w14:textId="77777777"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 xml:space="preserve">30.6.2014 – zapracovanie čl. 9 Dohovoru OSN do </w:t>
            </w:r>
            <w:r w:rsidRPr="008B4113">
              <w:rPr>
                <w:rFonts w:eastAsia="MS Mincho"/>
                <w:sz w:val="20"/>
                <w:szCs w:val="20"/>
              </w:rPr>
              <w:lastRenderedPageBreak/>
              <w:t>všetkých OP</w:t>
            </w:r>
          </w:p>
          <w:p w14:paraId="189C2759" w14:textId="77777777"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31. 12. 2014 – vypracovanie dokumentu k systému implementácie vrátane monitorovania HP</w:t>
            </w:r>
          </w:p>
          <w:p w14:paraId="399E430B" w14:textId="77777777"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30. 4. 2015 – následné zapracovanie do riadiacej dokumentácie OP, proces predloženia žiadosti o NFP s ohľadom na hodnotenie, monitorovanie a kontrolu, príprava assessment grid</w:t>
            </w:r>
          </w:p>
          <w:p w14:paraId="077EE24E" w14:textId="77777777" w:rsidR="008B4113" w:rsidRDefault="008B4113" w:rsidP="008B4113">
            <w:pPr>
              <w:ind w:left="0"/>
              <w:rPr>
                <w:sz w:val="20"/>
                <w:szCs w:val="20"/>
              </w:rPr>
            </w:pPr>
          </w:p>
        </w:tc>
        <w:tc>
          <w:tcPr>
            <w:tcW w:w="2009" w:type="dxa"/>
            <w:vMerge/>
          </w:tcPr>
          <w:p w14:paraId="29BC6DA1" w14:textId="77777777" w:rsidR="008B4113" w:rsidRDefault="008B4113" w:rsidP="005149A5">
            <w:pPr>
              <w:rPr>
                <w:sz w:val="20"/>
                <w:szCs w:val="20"/>
              </w:rPr>
            </w:pPr>
          </w:p>
        </w:tc>
      </w:tr>
      <w:tr w:rsidR="008B4113" w14:paraId="3CDFD5E2" w14:textId="77777777" w:rsidTr="008251D9">
        <w:trPr>
          <w:trHeight w:val="454"/>
        </w:trPr>
        <w:tc>
          <w:tcPr>
            <w:tcW w:w="2347" w:type="dxa"/>
            <w:vMerge w:val="restart"/>
          </w:tcPr>
          <w:p w14:paraId="267C8CCE" w14:textId="77777777" w:rsidR="008B4113" w:rsidRPr="00103397" w:rsidRDefault="008B4113" w:rsidP="00BC3DD7">
            <w:pPr>
              <w:ind w:left="0"/>
              <w:rPr>
                <w:b/>
                <w:sz w:val="20"/>
                <w:szCs w:val="20"/>
              </w:rPr>
            </w:pPr>
            <w:r w:rsidRPr="00103397">
              <w:rPr>
                <w:b/>
                <w:sz w:val="20"/>
                <w:szCs w:val="20"/>
              </w:rPr>
              <w:t>Verejné obstarávanie</w:t>
            </w:r>
          </w:p>
          <w:p w14:paraId="133284DE" w14:textId="77777777" w:rsidR="008B4113" w:rsidRDefault="008B4113" w:rsidP="008B4113">
            <w:pPr>
              <w:spacing w:before="120"/>
              <w:ind w:left="0"/>
              <w:rPr>
                <w:sz w:val="20"/>
                <w:szCs w:val="20"/>
              </w:rPr>
            </w:pPr>
            <w:r>
              <w:rPr>
                <w:sz w:val="20"/>
                <w:szCs w:val="20"/>
              </w:rPr>
              <w:t>Existencia pravidiel na efektívnu aplikáciu legislatívy Únie v oblasti verejného obstarávania</w:t>
            </w:r>
          </w:p>
        </w:tc>
        <w:tc>
          <w:tcPr>
            <w:tcW w:w="2300" w:type="dxa"/>
            <w:vMerge w:val="restart"/>
          </w:tcPr>
          <w:p w14:paraId="141FFDCF" w14:textId="77777777" w:rsidR="008B4113" w:rsidRDefault="008B4113" w:rsidP="009F00C0">
            <w:pPr>
              <w:spacing w:before="20" w:after="20"/>
              <w:ind w:left="0"/>
              <w:rPr>
                <w:sz w:val="20"/>
                <w:szCs w:val="20"/>
              </w:rPr>
            </w:pPr>
            <w:r>
              <w:rPr>
                <w:sz w:val="20"/>
                <w:szCs w:val="20"/>
              </w:rPr>
              <w:t>Opatrenia na účinné uplatňovanie pravidiel Únie o verejnom obstarávaní prostredníctvom primeraných mechanizmov</w:t>
            </w:r>
          </w:p>
        </w:tc>
        <w:tc>
          <w:tcPr>
            <w:tcW w:w="4973" w:type="dxa"/>
          </w:tcPr>
          <w:p w14:paraId="2A58BAC7" w14:textId="77777777" w:rsidR="008B4113" w:rsidRDefault="008B4113" w:rsidP="008B4113">
            <w:pPr>
              <w:spacing w:before="40" w:after="40"/>
              <w:ind w:left="0"/>
              <w:rPr>
                <w:sz w:val="20"/>
                <w:szCs w:val="20"/>
              </w:rPr>
            </w:pPr>
            <w:r w:rsidRPr="008B4113">
              <w:rPr>
                <w:sz w:val="20"/>
                <w:szCs w:val="20"/>
              </w:rPr>
              <w:t>Zvýšená podpora ÚVO pre subjekty vykonávajúce kontrolu verejného obstarávania prostredníctvom Dohody o spolupráci.</w:t>
            </w:r>
          </w:p>
        </w:tc>
        <w:tc>
          <w:tcPr>
            <w:tcW w:w="2546" w:type="dxa"/>
          </w:tcPr>
          <w:p w14:paraId="29023032"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val="restart"/>
          </w:tcPr>
          <w:p w14:paraId="53FFC814" w14:textId="77777777" w:rsidR="008B4113" w:rsidRDefault="008B4113" w:rsidP="007F60B9">
            <w:pPr>
              <w:ind w:left="0"/>
              <w:rPr>
                <w:sz w:val="20"/>
                <w:szCs w:val="20"/>
              </w:rPr>
            </w:pPr>
            <w:r>
              <w:rPr>
                <w:sz w:val="20"/>
                <w:szCs w:val="20"/>
              </w:rPr>
              <w:t>Úrad pre verejné obstarávanie (ÚVO)</w:t>
            </w:r>
          </w:p>
          <w:p w14:paraId="16AB7FE9" w14:textId="77777777" w:rsidR="008B4113" w:rsidRPr="007F60B9" w:rsidRDefault="008B4113" w:rsidP="008B4113">
            <w:pPr>
              <w:spacing w:before="120"/>
              <w:ind w:left="0"/>
              <w:rPr>
                <w:sz w:val="20"/>
                <w:szCs w:val="20"/>
                <w:lang w:eastAsia="en-US"/>
              </w:rPr>
            </w:pPr>
            <w:r>
              <w:rPr>
                <w:sz w:val="20"/>
                <w:szCs w:val="20"/>
              </w:rPr>
              <w:t>CKO</w:t>
            </w:r>
          </w:p>
          <w:p w14:paraId="4C56BC8D" w14:textId="77777777" w:rsidR="008B4113" w:rsidRPr="007F60B9" w:rsidRDefault="008B4113" w:rsidP="007F60B9">
            <w:pPr>
              <w:rPr>
                <w:sz w:val="20"/>
                <w:szCs w:val="20"/>
              </w:rPr>
            </w:pPr>
          </w:p>
          <w:p w14:paraId="368C3BD3" w14:textId="77777777" w:rsidR="008B4113" w:rsidRPr="007F60B9" w:rsidRDefault="008B4113" w:rsidP="007F60B9">
            <w:pPr>
              <w:spacing w:before="20"/>
              <w:ind w:left="0"/>
              <w:rPr>
                <w:sz w:val="20"/>
                <w:szCs w:val="20"/>
              </w:rPr>
            </w:pPr>
          </w:p>
        </w:tc>
      </w:tr>
      <w:tr w:rsidR="008B4113" w14:paraId="40C93FA9" w14:textId="77777777" w:rsidTr="008251D9">
        <w:trPr>
          <w:trHeight w:val="478"/>
        </w:trPr>
        <w:tc>
          <w:tcPr>
            <w:tcW w:w="2347" w:type="dxa"/>
            <w:vMerge/>
          </w:tcPr>
          <w:p w14:paraId="721D1CD6" w14:textId="77777777" w:rsidR="008B4113" w:rsidRDefault="008B4113" w:rsidP="007F60B9">
            <w:pPr>
              <w:ind w:left="0"/>
              <w:rPr>
                <w:sz w:val="20"/>
                <w:szCs w:val="20"/>
              </w:rPr>
            </w:pPr>
          </w:p>
        </w:tc>
        <w:tc>
          <w:tcPr>
            <w:tcW w:w="2300" w:type="dxa"/>
            <w:vMerge/>
          </w:tcPr>
          <w:p w14:paraId="61E8207F" w14:textId="77777777" w:rsidR="008B4113" w:rsidRDefault="008B4113" w:rsidP="007F60B9">
            <w:pPr>
              <w:spacing w:before="20" w:after="20"/>
              <w:ind w:left="0"/>
              <w:rPr>
                <w:sz w:val="20"/>
                <w:szCs w:val="20"/>
              </w:rPr>
            </w:pPr>
          </w:p>
        </w:tc>
        <w:tc>
          <w:tcPr>
            <w:tcW w:w="4973" w:type="dxa"/>
          </w:tcPr>
          <w:p w14:paraId="21339190" w14:textId="77777777" w:rsidR="008B4113" w:rsidRPr="007F60B9" w:rsidRDefault="008B4113" w:rsidP="008B4113">
            <w:pPr>
              <w:spacing w:before="40" w:after="40"/>
              <w:ind w:left="0"/>
              <w:rPr>
                <w:sz w:val="20"/>
                <w:szCs w:val="20"/>
              </w:rPr>
            </w:pPr>
            <w:r w:rsidRPr="008B4113">
              <w:rPr>
                <w:sz w:val="20"/>
                <w:szCs w:val="20"/>
              </w:rPr>
              <w:t>Zavedenie analýzy rizík pri výkone kontroly VO zo strany RO</w:t>
            </w:r>
          </w:p>
        </w:tc>
        <w:tc>
          <w:tcPr>
            <w:tcW w:w="2546" w:type="dxa"/>
          </w:tcPr>
          <w:p w14:paraId="52640A97"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tcPr>
          <w:p w14:paraId="62F7356B" w14:textId="77777777" w:rsidR="008B4113" w:rsidRPr="007F60B9" w:rsidRDefault="008B4113" w:rsidP="007F60B9">
            <w:pPr>
              <w:spacing w:before="20"/>
              <w:ind w:left="0"/>
              <w:rPr>
                <w:sz w:val="20"/>
                <w:szCs w:val="20"/>
              </w:rPr>
            </w:pPr>
          </w:p>
        </w:tc>
      </w:tr>
      <w:tr w:rsidR="008B4113" w14:paraId="574575A2" w14:textId="77777777" w:rsidTr="008251D9">
        <w:trPr>
          <w:trHeight w:val="130"/>
        </w:trPr>
        <w:tc>
          <w:tcPr>
            <w:tcW w:w="2347" w:type="dxa"/>
            <w:vMerge/>
          </w:tcPr>
          <w:p w14:paraId="039BFE8E" w14:textId="77777777" w:rsidR="008B4113" w:rsidRDefault="008B4113" w:rsidP="007F60B9">
            <w:pPr>
              <w:ind w:left="0"/>
              <w:rPr>
                <w:sz w:val="20"/>
                <w:szCs w:val="20"/>
              </w:rPr>
            </w:pPr>
          </w:p>
        </w:tc>
        <w:tc>
          <w:tcPr>
            <w:tcW w:w="2300" w:type="dxa"/>
            <w:vMerge/>
          </w:tcPr>
          <w:p w14:paraId="12813DFE" w14:textId="77777777" w:rsidR="008B4113" w:rsidRDefault="008B4113" w:rsidP="007F60B9">
            <w:pPr>
              <w:spacing w:before="20" w:after="20"/>
              <w:ind w:left="0"/>
              <w:rPr>
                <w:sz w:val="20"/>
                <w:szCs w:val="20"/>
              </w:rPr>
            </w:pPr>
          </w:p>
        </w:tc>
        <w:tc>
          <w:tcPr>
            <w:tcW w:w="4973" w:type="dxa"/>
          </w:tcPr>
          <w:p w14:paraId="0333F9CA" w14:textId="77777777" w:rsidR="008B4113" w:rsidRPr="007F60B9" w:rsidRDefault="008B4113" w:rsidP="008B4113">
            <w:pPr>
              <w:spacing w:before="40" w:after="40"/>
              <w:ind w:left="0"/>
              <w:rPr>
                <w:sz w:val="20"/>
                <w:szCs w:val="20"/>
              </w:rPr>
            </w:pPr>
            <w:r w:rsidRPr="008B4113">
              <w:rPr>
                <w:sz w:val="20"/>
                <w:szCs w:val="20"/>
              </w:rPr>
              <w:t>Vypracovanie vzorových dokumentov</w:t>
            </w:r>
          </w:p>
        </w:tc>
        <w:tc>
          <w:tcPr>
            <w:tcW w:w="2546" w:type="dxa"/>
          </w:tcPr>
          <w:p w14:paraId="7C027CEA" w14:textId="77777777" w:rsidR="008B4113" w:rsidRPr="00103397" w:rsidRDefault="008B4113" w:rsidP="00103397">
            <w:pPr>
              <w:spacing w:before="40"/>
              <w:ind w:left="0"/>
              <w:jc w:val="center"/>
              <w:rPr>
                <w:b/>
                <w:sz w:val="20"/>
                <w:szCs w:val="20"/>
              </w:rPr>
            </w:pPr>
            <w:r w:rsidRPr="00103397">
              <w:rPr>
                <w:b/>
                <w:sz w:val="20"/>
                <w:szCs w:val="20"/>
              </w:rPr>
              <w:t>31.8.2016</w:t>
            </w:r>
          </w:p>
        </w:tc>
        <w:tc>
          <w:tcPr>
            <w:tcW w:w="2009" w:type="dxa"/>
            <w:vMerge/>
          </w:tcPr>
          <w:p w14:paraId="067F289B" w14:textId="77777777" w:rsidR="008B4113" w:rsidRPr="007F60B9" w:rsidRDefault="008B4113" w:rsidP="007F60B9">
            <w:pPr>
              <w:spacing w:before="20"/>
              <w:ind w:left="0"/>
              <w:rPr>
                <w:sz w:val="20"/>
                <w:szCs w:val="20"/>
              </w:rPr>
            </w:pPr>
          </w:p>
        </w:tc>
      </w:tr>
      <w:tr w:rsidR="008B4113" w14:paraId="08925892" w14:textId="77777777" w:rsidTr="008251D9">
        <w:trPr>
          <w:trHeight w:val="276"/>
        </w:trPr>
        <w:tc>
          <w:tcPr>
            <w:tcW w:w="2347" w:type="dxa"/>
            <w:vMerge/>
          </w:tcPr>
          <w:p w14:paraId="1EBEB1F4" w14:textId="77777777" w:rsidR="008B4113" w:rsidRDefault="008B4113" w:rsidP="007F60B9">
            <w:pPr>
              <w:ind w:left="0"/>
              <w:rPr>
                <w:sz w:val="20"/>
                <w:szCs w:val="20"/>
              </w:rPr>
            </w:pPr>
          </w:p>
        </w:tc>
        <w:tc>
          <w:tcPr>
            <w:tcW w:w="2300" w:type="dxa"/>
            <w:vMerge/>
          </w:tcPr>
          <w:p w14:paraId="14BD98E9" w14:textId="77777777" w:rsidR="008B4113" w:rsidRDefault="008B4113" w:rsidP="007F60B9">
            <w:pPr>
              <w:spacing w:before="20" w:after="20"/>
              <w:ind w:left="0"/>
              <w:rPr>
                <w:sz w:val="20"/>
                <w:szCs w:val="20"/>
              </w:rPr>
            </w:pPr>
          </w:p>
        </w:tc>
        <w:tc>
          <w:tcPr>
            <w:tcW w:w="4973" w:type="dxa"/>
          </w:tcPr>
          <w:p w14:paraId="489FF01F" w14:textId="77777777" w:rsidR="008B4113" w:rsidRPr="007F60B9" w:rsidRDefault="008B4113" w:rsidP="008B4113">
            <w:pPr>
              <w:spacing w:before="40" w:after="40"/>
              <w:ind w:left="0"/>
              <w:rPr>
                <w:sz w:val="20"/>
                <w:szCs w:val="20"/>
              </w:rPr>
            </w:pPr>
            <w:r w:rsidRPr="008B4113">
              <w:rPr>
                <w:sz w:val="20"/>
                <w:szCs w:val="20"/>
              </w:rPr>
              <w:t>Na úrovni systému riadenia vypracovanie kontrolných zoznamov pre kontrolu RO</w:t>
            </w:r>
          </w:p>
        </w:tc>
        <w:tc>
          <w:tcPr>
            <w:tcW w:w="2546" w:type="dxa"/>
          </w:tcPr>
          <w:p w14:paraId="3ACBA80F"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tcPr>
          <w:p w14:paraId="31FB1646" w14:textId="77777777" w:rsidR="008B4113" w:rsidRPr="007F60B9" w:rsidRDefault="008B4113" w:rsidP="007F60B9">
            <w:pPr>
              <w:spacing w:before="20"/>
              <w:ind w:left="0"/>
              <w:rPr>
                <w:sz w:val="20"/>
                <w:szCs w:val="20"/>
              </w:rPr>
            </w:pPr>
          </w:p>
        </w:tc>
      </w:tr>
      <w:tr w:rsidR="008B4113" w14:paraId="5B1BC2FB" w14:textId="77777777" w:rsidTr="008251D9">
        <w:trPr>
          <w:trHeight w:val="410"/>
        </w:trPr>
        <w:tc>
          <w:tcPr>
            <w:tcW w:w="2347" w:type="dxa"/>
            <w:vMerge/>
          </w:tcPr>
          <w:p w14:paraId="715C840C" w14:textId="77777777" w:rsidR="008B4113" w:rsidRDefault="008B4113" w:rsidP="007F60B9">
            <w:pPr>
              <w:ind w:left="0"/>
              <w:rPr>
                <w:sz w:val="20"/>
                <w:szCs w:val="20"/>
              </w:rPr>
            </w:pPr>
          </w:p>
        </w:tc>
        <w:tc>
          <w:tcPr>
            <w:tcW w:w="2300" w:type="dxa"/>
            <w:vMerge/>
          </w:tcPr>
          <w:p w14:paraId="0542A43E" w14:textId="77777777" w:rsidR="008B4113" w:rsidRDefault="008B4113" w:rsidP="007F60B9">
            <w:pPr>
              <w:spacing w:before="20" w:after="20"/>
              <w:ind w:left="0"/>
              <w:rPr>
                <w:sz w:val="20"/>
                <w:szCs w:val="20"/>
              </w:rPr>
            </w:pPr>
          </w:p>
        </w:tc>
        <w:tc>
          <w:tcPr>
            <w:tcW w:w="4973" w:type="dxa"/>
          </w:tcPr>
          <w:p w14:paraId="68A396F1" w14:textId="77777777" w:rsidR="008B4113" w:rsidRPr="007F60B9" w:rsidRDefault="008B4113" w:rsidP="008B4113">
            <w:pPr>
              <w:spacing w:before="40" w:after="40"/>
              <w:ind w:left="0"/>
              <w:rPr>
                <w:sz w:val="20"/>
                <w:szCs w:val="20"/>
              </w:rPr>
            </w:pPr>
            <w:r w:rsidRPr="008B4113">
              <w:rPr>
                <w:sz w:val="20"/>
                <w:szCs w:val="20"/>
              </w:rPr>
              <w:t>Príprava jednotných pravidiel a požiadaviek na VO a požiadaviek na dokumentáciu VO</w:t>
            </w:r>
          </w:p>
        </w:tc>
        <w:tc>
          <w:tcPr>
            <w:tcW w:w="2546" w:type="dxa"/>
          </w:tcPr>
          <w:p w14:paraId="66E29322" w14:textId="77777777" w:rsidR="008B4113" w:rsidRPr="00103397" w:rsidRDefault="008B4113" w:rsidP="00103397">
            <w:pPr>
              <w:spacing w:before="40"/>
              <w:ind w:left="0"/>
              <w:jc w:val="center"/>
              <w:rPr>
                <w:b/>
                <w:sz w:val="20"/>
                <w:szCs w:val="20"/>
              </w:rPr>
            </w:pPr>
            <w:r w:rsidRPr="00103397">
              <w:rPr>
                <w:b/>
                <w:sz w:val="20"/>
                <w:szCs w:val="20"/>
              </w:rPr>
              <w:t>30.6.2015</w:t>
            </w:r>
          </w:p>
        </w:tc>
        <w:tc>
          <w:tcPr>
            <w:tcW w:w="2009" w:type="dxa"/>
            <w:vMerge/>
          </w:tcPr>
          <w:p w14:paraId="1D337BA9" w14:textId="77777777" w:rsidR="008B4113" w:rsidRPr="007F60B9" w:rsidRDefault="008B4113" w:rsidP="007F60B9">
            <w:pPr>
              <w:spacing w:before="20"/>
              <w:ind w:left="0"/>
              <w:rPr>
                <w:sz w:val="20"/>
                <w:szCs w:val="20"/>
              </w:rPr>
            </w:pPr>
          </w:p>
        </w:tc>
      </w:tr>
      <w:tr w:rsidR="008B4113" w14:paraId="6957560D" w14:textId="77777777" w:rsidTr="008251D9">
        <w:trPr>
          <w:trHeight w:val="388"/>
        </w:trPr>
        <w:tc>
          <w:tcPr>
            <w:tcW w:w="2347" w:type="dxa"/>
            <w:vMerge/>
          </w:tcPr>
          <w:p w14:paraId="5314070D" w14:textId="77777777" w:rsidR="008B4113" w:rsidRDefault="008B4113" w:rsidP="007F60B9">
            <w:pPr>
              <w:ind w:left="0"/>
              <w:rPr>
                <w:sz w:val="20"/>
                <w:szCs w:val="20"/>
              </w:rPr>
            </w:pPr>
          </w:p>
        </w:tc>
        <w:tc>
          <w:tcPr>
            <w:tcW w:w="2300" w:type="dxa"/>
            <w:vMerge/>
          </w:tcPr>
          <w:p w14:paraId="425F5ED4" w14:textId="77777777" w:rsidR="008B4113" w:rsidRDefault="008B4113" w:rsidP="007F60B9">
            <w:pPr>
              <w:spacing w:before="20" w:after="20"/>
              <w:ind w:left="0"/>
              <w:rPr>
                <w:sz w:val="20"/>
                <w:szCs w:val="20"/>
              </w:rPr>
            </w:pPr>
          </w:p>
        </w:tc>
        <w:tc>
          <w:tcPr>
            <w:tcW w:w="4973" w:type="dxa"/>
          </w:tcPr>
          <w:p w14:paraId="5FC5D470" w14:textId="77777777" w:rsidR="008B4113" w:rsidRPr="007F60B9" w:rsidRDefault="008B4113" w:rsidP="008B4113">
            <w:pPr>
              <w:spacing w:before="40" w:after="40"/>
              <w:ind w:left="0"/>
              <w:rPr>
                <w:sz w:val="20"/>
                <w:szCs w:val="20"/>
              </w:rPr>
            </w:pPr>
            <w:r w:rsidRPr="008B4113">
              <w:rPr>
                <w:sz w:val="20"/>
                <w:szCs w:val="20"/>
              </w:rPr>
              <w:t>Zavedenie cenových máp, benchmarkov a limitov pre posúdenie hospodárnosti;</w:t>
            </w:r>
          </w:p>
        </w:tc>
        <w:tc>
          <w:tcPr>
            <w:tcW w:w="2546" w:type="dxa"/>
          </w:tcPr>
          <w:p w14:paraId="4373BC55"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tcPr>
          <w:p w14:paraId="4A0CD515" w14:textId="77777777" w:rsidR="008B4113" w:rsidRPr="007F60B9" w:rsidRDefault="008B4113" w:rsidP="007F60B9">
            <w:pPr>
              <w:spacing w:before="20"/>
              <w:ind w:left="0"/>
              <w:rPr>
                <w:sz w:val="20"/>
                <w:szCs w:val="20"/>
              </w:rPr>
            </w:pPr>
          </w:p>
        </w:tc>
      </w:tr>
      <w:tr w:rsidR="008B4113" w14:paraId="4C1713D9" w14:textId="77777777" w:rsidTr="008251D9">
        <w:trPr>
          <w:trHeight w:val="211"/>
        </w:trPr>
        <w:tc>
          <w:tcPr>
            <w:tcW w:w="2347" w:type="dxa"/>
            <w:vMerge/>
          </w:tcPr>
          <w:p w14:paraId="568D1F3E" w14:textId="77777777" w:rsidR="008B4113" w:rsidRDefault="008B4113" w:rsidP="007F60B9">
            <w:pPr>
              <w:rPr>
                <w:sz w:val="20"/>
                <w:szCs w:val="20"/>
              </w:rPr>
            </w:pPr>
          </w:p>
        </w:tc>
        <w:tc>
          <w:tcPr>
            <w:tcW w:w="2300" w:type="dxa"/>
            <w:vMerge/>
          </w:tcPr>
          <w:p w14:paraId="7EF46449" w14:textId="77777777" w:rsidR="008B4113" w:rsidRDefault="008B4113" w:rsidP="007F60B9">
            <w:pPr>
              <w:spacing w:before="20" w:after="20"/>
              <w:rPr>
                <w:sz w:val="20"/>
                <w:szCs w:val="20"/>
              </w:rPr>
            </w:pPr>
          </w:p>
        </w:tc>
        <w:tc>
          <w:tcPr>
            <w:tcW w:w="4973" w:type="dxa"/>
          </w:tcPr>
          <w:p w14:paraId="00B851C3" w14:textId="77777777" w:rsidR="008B4113" w:rsidRPr="007F60B9" w:rsidRDefault="008B4113" w:rsidP="008B4113">
            <w:pPr>
              <w:spacing w:before="40" w:after="40"/>
              <w:ind w:left="0"/>
              <w:rPr>
                <w:sz w:val="20"/>
                <w:szCs w:val="20"/>
              </w:rPr>
            </w:pPr>
            <w:r w:rsidRPr="008B4113">
              <w:rPr>
                <w:sz w:val="20"/>
                <w:szCs w:val="20"/>
              </w:rPr>
              <w:t>Zavedenie povinnej ex ante kontroly;</w:t>
            </w:r>
          </w:p>
        </w:tc>
        <w:tc>
          <w:tcPr>
            <w:tcW w:w="2546" w:type="dxa"/>
          </w:tcPr>
          <w:p w14:paraId="3A256874"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tcPr>
          <w:p w14:paraId="4824EFFA" w14:textId="77777777" w:rsidR="008B4113" w:rsidRPr="007F60B9" w:rsidRDefault="008B4113" w:rsidP="007F60B9">
            <w:pPr>
              <w:spacing w:before="20"/>
              <w:rPr>
                <w:sz w:val="20"/>
                <w:szCs w:val="20"/>
              </w:rPr>
            </w:pPr>
          </w:p>
        </w:tc>
      </w:tr>
      <w:tr w:rsidR="008B4113" w14:paraId="27C17329" w14:textId="77777777" w:rsidTr="008251D9">
        <w:trPr>
          <w:trHeight w:val="384"/>
        </w:trPr>
        <w:tc>
          <w:tcPr>
            <w:tcW w:w="2347" w:type="dxa"/>
            <w:vMerge/>
          </w:tcPr>
          <w:p w14:paraId="2C61575B" w14:textId="77777777" w:rsidR="008B4113" w:rsidRDefault="008B4113" w:rsidP="007F60B9">
            <w:pPr>
              <w:rPr>
                <w:sz w:val="20"/>
                <w:szCs w:val="20"/>
              </w:rPr>
            </w:pPr>
          </w:p>
        </w:tc>
        <w:tc>
          <w:tcPr>
            <w:tcW w:w="2300" w:type="dxa"/>
            <w:vMerge/>
          </w:tcPr>
          <w:p w14:paraId="2D610AA3" w14:textId="77777777" w:rsidR="008B4113" w:rsidRDefault="008B4113" w:rsidP="007F60B9">
            <w:pPr>
              <w:spacing w:before="20" w:after="20"/>
              <w:rPr>
                <w:sz w:val="20"/>
                <w:szCs w:val="20"/>
              </w:rPr>
            </w:pPr>
          </w:p>
        </w:tc>
        <w:tc>
          <w:tcPr>
            <w:tcW w:w="4973" w:type="dxa"/>
          </w:tcPr>
          <w:p w14:paraId="7EE1DB1D" w14:textId="77777777" w:rsidR="008B4113" w:rsidRPr="007F60B9" w:rsidRDefault="008B4113" w:rsidP="008B4113">
            <w:pPr>
              <w:spacing w:before="40" w:after="40"/>
              <w:ind w:left="0"/>
              <w:rPr>
                <w:sz w:val="20"/>
                <w:szCs w:val="20"/>
              </w:rPr>
            </w:pPr>
            <w:r w:rsidRPr="008B4113">
              <w:rPr>
                <w:sz w:val="20"/>
                <w:szCs w:val="20"/>
              </w:rPr>
              <w:t>Zvedenie spolupráce s Protimonopolným úradom SR</w:t>
            </w:r>
          </w:p>
        </w:tc>
        <w:tc>
          <w:tcPr>
            <w:tcW w:w="2546" w:type="dxa"/>
          </w:tcPr>
          <w:p w14:paraId="399FE7D0" w14:textId="77777777" w:rsidR="008B4113" w:rsidRPr="00103397" w:rsidRDefault="008B4113" w:rsidP="00103397">
            <w:pPr>
              <w:spacing w:before="40"/>
              <w:ind w:left="0"/>
              <w:jc w:val="center"/>
              <w:rPr>
                <w:b/>
                <w:sz w:val="20"/>
                <w:szCs w:val="20"/>
              </w:rPr>
            </w:pPr>
            <w:r w:rsidRPr="00103397">
              <w:rPr>
                <w:b/>
                <w:sz w:val="20"/>
                <w:szCs w:val="20"/>
              </w:rPr>
              <w:t>30.11.2014</w:t>
            </w:r>
          </w:p>
        </w:tc>
        <w:tc>
          <w:tcPr>
            <w:tcW w:w="2009" w:type="dxa"/>
            <w:vMerge/>
          </w:tcPr>
          <w:p w14:paraId="468CEF34" w14:textId="77777777" w:rsidR="008B4113" w:rsidRPr="007F60B9" w:rsidRDefault="008B4113" w:rsidP="007F60B9">
            <w:pPr>
              <w:spacing w:before="20"/>
              <w:rPr>
                <w:sz w:val="20"/>
                <w:szCs w:val="20"/>
              </w:rPr>
            </w:pPr>
          </w:p>
        </w:tc>
      </w:tr>
      <w:tr w:rsidR="008B4113" w14:paraId="233A9FD4" w14:textId="77777777" w:rsidTr="008251D9">
        <w:trPr>
          <w:trHeight w:val="272"/>
        </w:trPr>
        <w:tc>
          <w:tcPr>
            <w:tcW w:w="2347" w:type="dxa"/>
            <w:vMerge/>
          </w:tcPr>
          <w:p w14:paraId="436BBA7F" w14:textId="77777777" w:rsidR="008B4113" w:rsidRDefault="008B4113" w:rsidP="007F60B9">
            <w:pPr>
              <w:rPr>
                <w:sz w:val="20"/>
                <w:szCs w:val="20"/>
              </w:rPr>
            </w:pPr>
          </w:p>
        </w:tc>
        <w:tc>
          <w:tcPr>
            <w:tcW w:w="2300" w:type="dxa"/>
            <w:vMerge/>
          </w:tcPr>
          <w:p w14:paraId="16DE625F" w14:textId="77777777" w:rsidR="008B4113" w:rsidRDefault="008B4113" w:rsidP="007F60B9">
            <w:pPr>
              <w:spacing w:before="20" w:after="20"/>
              <w:rPr>
                <w:sz w:val="20"/>
                <w:szCs w:val="20"/>
              </w:rPr>
            </w:pPr>
          </w:p>
        </w:tc>
        <w:tc>
          <w:tcPr>
            <w:tcW w:w="4973" w:type="dxa"/>
          </w:tcPr>
          <w:p w14:paraId="6C708DE2" w14:textId="77777777" w:rsidR="008B4113" w:rsidRPr="008B4113" w:rsidRDefault="008B4113" w:rsidP="008B4113">
            <w:pPr>
              <w:spacing w:before="40" w:after="40"/>
              <w:ind w:left="0"/>
              <w:rPr>
                <w:sz w:val="20"/>
                <w:szCs w:val="20"/>
              </w:rPr>
            </w:pPr>
            <w:r w:rsidRPr="008B4113">
              <w:rPr>
                <w:sz w:val="20"/>
                <w:szCs w:val="20"/>
              </w:rPr>
              <w:t>Prijatie nového zákona o verejnom obstarávaní</w:t>
            </w:r>
          </w:p>
        </w:tc>
        <w:tc>
          <w:tcPr>
            <w:tcW w:w="2546" w:type="dxa"/>
          </w:tcPr>
          <w:p w14:paraId="34FFF9DC" w14:textId="77777777" w:rsidR="008B4113" w:rsidRPr="00103397" w:rsidRDefault="008B4113" w:rsidP="00103397">
            <w:pPr>
              <w:spacing w:before="40"/>
              <w:ind w:left="0"/>
              <w:jc w:val="center"/>
              <w:rPr>
                <w:b/>
                <w:sz w:val="20"/>
                <w:szCs w:val="20"/>
              </w:rPr>
            </w:pPr>
            <w:r w:rsidRPr="00103397">
              <w:rPr>
                <w:b/>
                <w:sz w:val="20"/>
                <w:szCs w:val="20"/>
              </w:rPr>
              <w:t>18.4.2016</w:t>
            </w:r>
          </w:p>
        </w:tc>
        <w:tc>
          <w:tcPr>
            <w:tcW w:w="2009" w:type="dxa"/>
            <w:vMerge/>
          </w:tcPr>
          <w:p w14:paraId="5B212FFB" w14:textId="77777777" w:rsidR="008B4113" w:rsidRPr="007F60B9" w:rsidRDefault="008B4113" w:rsidP="007F60B9">
            <w:pPr>
              <w:spacing w:before="20"/>
              <w:rPr>
                <w:sz w:val="20"/>
                <w:szCs w:val="20"/>
              </w:rPr>
            </w:pPr>
          </w:p>
        </w:tc>
      </w:tr>
      <w:tr w:rsidR="008B4113" w14:paraId="1263CFC8" w14:textId="77777777" w:rsidTr="008251D9">
        <w:trPr>
          <w:trHeight w:val="384"/>
        </w:trPr>
        <w:tc>
          <w:tcPr>
            <w:tcW w:w="2347" w:type="dxa"/>
            <w:vMerge/>
          </w:tcPr>
          <w:p w14:paraId="1B125438" w14:textId="77777777" w:rsidR="008B4113" w:rsidRDefault="008B4113" w:rsidP="007F60B9">
            <w:pPr>
              <w:rPr>
                <w:sz w:val="20"/>
                <w:szCs w:val="20"/>
              </w:rPr>
            </w:pPr>
          </w:p>
        </w:tc>
        <w:tc>
          <w:tcPr>
            <w:tcW w:w="2300" w:type="dxa"/>
            <w:vMerge/>
          </w:tcPr>
          <w:p w14:paraId="2935B7C5" w14:textId="77777777" w:rsidR="008B4113" w:rsidRDefault="008B4113" w:rsidP="007F60B9">
            <w:pPr>
              <w:spacing w:before="20" w:after="20"/>
              <w:rPr>
                <w:sz w:val="20"/>
                <w:szCs w:val="20"/>
              </w:rPr>
            </w:pPr>
          </w:p>
        </w:tc>
        <w:tc>
          <w:tcPr>
            <w:tcW w:w="4973" w:type="dxa"/>
          </w:tcPr>
          <w:p w14:paraId="0CD7C8BA" w14:textId="77777777" w:rsidR="008B4113" w:rsidRPr="008B4113" w:rsidRDefault="008B4113" w:rsidP="008B4113">
            <w:pPr>
              <w:spacing w:before="40" w:after="40"/>
              <w:ind w:left="0"/>
              <w:rPr>
                <w:sz w:val="20"/>
                <w:szCs w:val="20"/>
              </w:rPr>
            </w:pPr>
            <w:r w:rsidRPr="008B4113">
              <w:rPr>
                <w:sz w:val="20"/>
                <w:szCs w:val="20"/>
              </w:rPr>
              <w:t>Elektronické verejné obstarávanie</w:t>
            </w:r>
          </w:p>
        </w:tc>
        <w:tc>
          <w:tcPr>
            <w:tcW w:w="2546" w:type="dxa"/>
          </w:tcPr>
          <w:p w14:paraId="4D3C37F9" w14:textId="77777777" w:rsidR="008B4113" w:rsidRPr="00103397" w:rsidRDefault="008B4113" w:rsidP="00103397">
            <w:pPr>
              <w:spacing w:before="40"/>
              <w:ind w:left="0"/>
              <w:jc w:val="center"/>
              <w:rPr>
                <w:sz w:val="20"/>
                <w:szCs w:val="20"/>
              </w:rPr>
            </w:pPr>
            <w:r w:rsidRPr="00103397">
              <w:rPr>
                <w:sz w:val="20"/>
                <w:szCs w:val="20"/>
              </w:rPr>
              <w:t xml:space="preserve">V rámci lehôt stanovených v smerniciach EP a Rady 2014/23/EU, 2014/24/EU, </w:t>
            </w:r>
            <w:r w:rsidRPr="00103397">
              <w:rPr>
                <w:sz w:val="20"/>
                <w:szCs w:val="20"/>
              </w:rPr>
              <w:lastRenderedPageBreak/>
              <w:t>2014/25/EU</w:t>
            </w:r>
          </w:p>
        </w:tc>
        <w:tc>
          <w:tcPr>
            <w:tcW w:w="2009" w:type="dxa"/>
            <w:vMerge/>
          </w:tcPr>
          <w:p w14:paraId="1A3C3256" w14:textId="77777777" w:rsidR="008B4113" w:rsidRPr="007F60B9" w:rsidRDefault="008B4113" w:rsidP="007F60B9">
            <w:pPr>
              <w:spacing w:before="20"/>
              <w:rPr>
                <w:sz w:val="20"/>
                <w:szCs w:val="20"/>
              </w:rPr>
            </w:pPr>
          </w:p>
        </w:tc>
      </w:tr>
      <w:tr w:rsidR="008B4113" w14:paraId="67093942" w14:textId="77777777" w:rsidTr="008251D9">
        <w:trPr>
          <w:trHeight w:val="384"/>
        </w:trPr>
        <w:tc>
          <w:tcPr>
            <w:tcW w:w="2347" w:type="dxa"/>
            <w:vMerge/>
          </w:tcPr>
          <w:p w14:paraId="1A26EA86" w14:textId="77777777" w:rsidR="008B4113" w:rsidRDefault="008B4113" w:rsidP="007F60B9">
            <w:pPr>
              <w:rPr>
                <w:sz w:val="20"/>
                <w:szCs w:val="20"/>
              </w:rPr>
            </w:pPr>
          </w:p>
        </w:tc>
        <w:tc>
          <w:tcPr>
            <w:tcW w:w="2300" w:type="dxa"/>
            <w:vMerge/>
          </w:tcPr>
          <w:p w14:paraId="61FFD95D" w14:textId="77777777" w:rsidR="008B4113" w:rsidRDefault="008B4113" w:rsidP="007F60B9">
            <w:pPr>
              <w:spacing w:before="20" w:after="20"/>
              <w:rPr>
                <w:sz w:val="20"/>
                <w:szCs w:val="20"/>
              </w:rPr>
            </w:pPr>
          </w:p>
        </w:tc>
        <w:tc>
          <w:tcPr>
            <w:tcW w:w="4973" w:type="dxa"/>
          </w:tcPr>
          <w:p w14:paraId="2F42B7F4" w14:textId="77777777" w:rsidR="008B4113" w:rsidRPr="008B4113" w:rsidRDefault="008B4113" w:rsidP="008B4113">
            <w:pPr>
              <w:spacing w:before="40" w:after="40"/>
              <w:ind w:left="0"/>
              <w:rPr>
                <w:sz w:val="20"/>
                <w:szCs w:val="20"/>
              </w:rPr>
            </w:pPr>
            <w:r w:rsidRPr="008B4113">
              <w:rPr>
                <w:sz w:val="20"/>
                <w:szCs w:val="20"/>
              </w:rPr>
              <w:t>Zhodnotenie efektívnosti opatrení v rámci kritérií 1 až 4</w:t>
            </w:r>
          </w:p>
        </w:tc>
        <w:tc>
          <w:tcPr>
            <w:tcW w:w="2546" w:type="dxa"/>
          </w:tcPr>
          <w:p w14:paraId="2D97C616" w14:textId="77777777" w:rsidR="008B4113" w:rsidRPr="00103397" w:rsidRDefault="008B4113" w:rsidP="00103397">
            <w:pPr>
              <w:spacing w:before="40"/>
              <w:ind w:left="0"/>
              <w:jc w:val="center"/>
              <w:rPr>
                <w:b/>
                <w:sz w:val="20"/>
                <w:szCs w:val="20"/>
              </w:rPr>
            </w:pPr>
            <w:r w:rsidRPr="00103397">
              <w:rPr>
                <w:b/>
                <w:sz w:val="20"/>
                <w:szCs w:val="20"/>
              </w:rPr>
              <w:t>30.6.2015</w:t>
            </w:r>
          </w:p>
        </w:tc>
        <w:tc>
          <w:tcPr>
            <w:tcW w:w="2009" w:type="dxa"/>
            <w:vMerge/>
          </w:tcPr>
          <w:p w14:paraId="3297078B" w14:textId="77777777" w:rsidR="008B4113" w:rsidRPr="007F60B9" w:rsidRDefault="008B4113" w:rsidP="007F60B9">
            <w:pPr>
              <w:spacing w:before="20"/>
              <w:rPr>
                <w:sz w:val="20"/>
                <w:szCs w:val="20"/>
              </w:rPr>
            </w:pPr>
          </w:p>
        </w:tc>
      </w:tr>
      <w:tr w:rsidR="008B4113" w14:paraId="10E8C17E" w14:textId="77777777" w:rsidTr="008251D9">
        <w:trPr>
          <w:trHeight w:val="560"/>
        </w:trPr>
        <w:tc>
          <w:tcPr>
            <w:tcW w:w="2347" w:type="dxa"/>
            <w:vMerge/>
          </w:tcPr>
          <w:p w14:paraId="67E68A0B" w14:textId="77777777" w:rsidR="008B4113" w:rsidRDefault="008B4113" w:rsidP="007F60B9">
            <w:pPr>
              <w:ind w:left="0"/>
              <w:rPr>
                <w:sz w:val="20"/>
                <w:szCs w:val="20"/>
              </w:rPr>
            </w:pPr>
          </w:p>
        </w:tc>
        <w:tc>
          <w:tcPr>
            <w:tcW w:w="2300" w:type="dxa"/>
          </w:tcPr>
          <w:p w14:paraId="124AA582" w14:textId="77777777" w:rsidR="008B4113" w:rsidRDefault="008B4113" w:rsidP="007F60B9">
            <w:pPr>
              <w:spacing w:before="20" w:after="20"/>
              <w:ind w:left="0"/>
              <w:rPr>
                <w:sz w:val="20"/>
                <w:szCs w:val="20"/>
              </w:rPr>
            </w:pPr>
            <w:r w:rsidRPr="007F60B9">
              <w:rPr>
                <w:sz w:val="20"/>
                <w:szCs w:val="20"/>
              </w:rPr>
              <w:t>Opatrenia, ktorými sa zabezpečia transparentné postupy prideľovania zákaziek</w:t>
            </w:r>
          </w:p>
        </w:tc>
        <w:tc>
          <w:tcPr>
            <w:tcW w:w="4973" w:type="dxa"/>
          </w:tcPr>
          <w:p w14:paraId="54BC3A13" w14:textId="77777777" w:rsidR="008B4113" w:rsidRPr="007F60B9" w:rsidRDefault="009B20AE" w:rsidP="00103397">
            <w:pPr>
              <w:ind w:left="0"/>
              <w:jc w:val="both"/>
              <w:rPr>
                <w:sz w:val="20"/>
                <w:szCs w:val="20"/>
              </w:rPr>
            </w:pPr>
            <w:r w:rsidRPr="009B20AE">
              <w:rPr>
                <w:sz w:val="20"/>
                <w:szCs w:val="20"/>
              </w:rPr>
              <w:t>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w:t>
            </w:r>
          </w:p>
        </w:tc>
        <w:tc>
          <w:tcPr>
            <w:tcW w:w="2546" w:type="dxa"/>
          </w:tcPr>
          <w:p w14:paraId="540CE08A" w14:textId="77777777" w:rsidR="008B4113" w:rsidRPr="00103397" w:rsidRDefault="008B4113" w:rsidP="00103397">
            <w:pPr>
              <w:ind w:left="0"/>
              <w:jc w:val="center"/>
              <w:rPr>
                <w:b/>
                <w:sz w:val="20"/>
                <w:szCs w:val="20"/>
              </w:rPr>
            </w:pPr>
            <w:r w:rsidRPr="00103397">
              <w:rPr>
                <w:b/>
                <w:sz w:val="20"/>
                <w:szCs w:val="20"/>
              </w:rPr>
              <w:t>30.06.2015</w:t>
            </w:r>
          </w:p>
        </w:tc>
        <w:tc>
          <w:tcPr>
            <w:tcW w:w="2009" w:type="dxa"/>
          </w:tcPr>
          <w:p w14:paraId="0D0EEEB8" w14:textId="77777777" w:rsidR="008B4113" w:rsidRPr="007F60B9" w:rsidRDefault="009B20AE" w:rsidP="007F60B9">
            <w:pPr>
              <w:spacing w:before="20"/>
              <w:ind w:left="0"/>
              <w:rPr>
                <w:sz w:val="20"/>
                <w:szCs w:val="20"/>
              </w:rPr>
            </w:pPr>
            <w:r w:rsidRPr="009B20AE">
              <w:rPr>
                <w:sz w:val="20"/>
                <w:szCs w:val="20"/>
              </w:rPr>
              <w:t>V závislosti od typu opatrenia uvádzaného v kritériu 1</w:t>
            </w:r>
          </w:p>
        </w:tc>
      </w:tr>
      <w:tr w:rsidR="009B20AE" w14:paraId="60D71584" w14:textId="77777777" w:rsidTr="008251D9">
        <w:trPr>
          <w:trHeight w:val="1246"/>
        </w:trPr>
        <w:tc>
          <w:tcPr>
            <w:tcW w:w="2347" w:type="dxa"/>
            <w:vMerge/>
          </w:tcPr>
          <w:p w14:paraId="4C53BE89" w14:textId="77777777" w:rsidR="009B20AE" w:rsidRDefault="009B20AE" w:rsidP="007F60B9">
            <w:pPr>
              <w:ind w:left="0"/>
              <w:rPr>
                <w:sz w:val="20"/>
                <w:szCs w:val="20"/>
              </w:rPr>
            </w:pPr>
          </w:p>
        </w:tc>
        <w:tc>
          <w:tcPr>
            <w:tcW w:w="2300" w:type="dxa"/>
          </w:tcPr>
          <w:p w14:paraId="43C17DB6" w14:textId="77777777" w:rsidR="009B20AE" w:rsidRPr="007F60B9" w:rsidRDefault="009B20AE" w:rsidP="007F60B9">
            <w:pPr>
              <w:spacing w:before="20" w:after="20"/>
              <w:ind w:left="0"/>
              <w:rPr>
                <w:sz w:val="20"/>
                <w:szCs w:val="20"/>
              </w:rPr>
            </w:pPr>
            <w:r w:rsidRPr="007F60B9">
              <w:rPr>
                <w:sz w:val="20"/>
                <w:szCs w:val="20"/>
              </w:rPr>
              <w:t>Opatrenia na zabezpečenie odbornej prípravy a informovanie zamestnancov</w:t>
            </w:r>
            <w:r>
              <w:rPr>
                <w:sz w:val="20"/>
                <w:szCs w:val="20"/>
              </w:rPr>
              <w:t xml:space="preserve"> zapojených do vykonávania EŠIF</w:t>
            </w:r>
          </w:p>
        </w:tc>
        <w:tc>
          <w:tcPr>
            <w:tcW w:w="4973" w:type="dxa"/>
          </w:tcPr>
          <w:p w14:paraId="71009731" w14:textId="77777777" w:rsidR="009B20AE" w:rsidRPr="007F60B9" w:rsidRDefault="009B20AE" w:rsidP="00103397">
            <w:pPr>
              <w:ind w:left="0"/>
              <w:jc w:val="both"/>
              <w:rPr>
                <w:sz w:val="20"/>
                <w:szCs w:val="20"/>
              </w:rPr>
            </w:pPr>
            <w:r w:rsidRPr="009B20AE">
              <w:rPr>
                <w:sz w:val="20"/>
                <w:szCs w:val="20"/>
              </w:rPr>
              <w:t>Zabezpečenie školení CKO týkajúcich sa postupov administratívnej kontroly VO v rámci systému riadenia, prezentovanie najčastejších nedostatkov identifikovaných pri kontrolách VO.</w:t>
            </w:r>
          </w:p>
        </w:tc>
        <w:tc>
          <w:tcPr>
            <w:tcW w:w="2546" w:type="dxa"/>
          </w:tcPr>
          <w:p w14:paraId="3EB5181B" w14:textId="77777777" w:rsidR="009B20AE" w:rsidRPr="00103397" w:rsidRDefault="009B20AE" w:rsidP="00103397">
            <w:pPr>
              <w:ind w:left="0"/>
              <w:jc w:val="center"/>
              <w:rPr>
                <w:b/>
                <w:sz w:val="20"/>
                <w:szCs w:val="20"/>
                <w:lang w:eastAsia="en-US"/>
              </w:rPr>
            </w:pPr>
            <w:r w:rsidRPr="00103397">
              <w:rPr>
                <w:b/>
                <w:sz w:val="20"/>
                <w:szCs w:val="20"/>
              </w:rPr>
              <w:t>30. 6. 2015</w:t>
            </w:r>
          </w:p>
          <w:p w14:paraId="446A8D77" w14:textId="77777777" w:rsidR="009B20AE" w:rsidRPr="00103397" w:rsidRDefault="009B20AE" w:rsidP="00103397">
            <w:pPr>
              <w:ind w:left="0"/>
              <w:jc w:val="center"/>
              <w:rPr>
                <w:b/>
                <w:sz w:val="20"/>
                <w:szCs w:val="20"/>
              </w:rPr>
            </w:pPr>
          </w:p>
          <w:p w14:paraId="46C1D6E9" w14:textId="77777777" w:rsidR="009B20AE" w:rsidRPr="00103397" w:rsidRDefault="009B20AE" w:rsidP="00103397">
            <w:pPr>
              <w:ind w:left="0"/>
              <w:jc w:val="center"/>
              <w:rPr>
                <w:b/>
                <w:sz w:val="20"/>
                <w:szCs w:val="20"/>
              </w:rPr>
            </w:pPr>
          </w:p>
          <w:p w14:paraId="155E89D4" w14:textId="77777777" w:rsidR="009B20AE" w:rsidRPr="00103397" w:rsidRDefault="009B20AE" w:rsidP="00103397">
            <w:pPr>
              <w:ind w:left="0"/>
              <w:jc w:val="center"/>
              <w:rPr>
                <w:b/>
                <w:sz w:val="20"/>
                <w:szCs w:val="20"/>
              </w:rPr>
            </w:pPr>
          </w:p>
        </w:tc>
        <w:tc>
          <w:tcPr>
            <w:tcW w:w="2009" w:type="dxa"/>
          </w:tcPr>
          <w:p w14:paraId="66DA540B" w14:textId="77777777" w:rsidR="009B20AE" w:rsidRPr="00AE218A" w:rsidRDefault="009B20AE" w:rsidP="00AE218A">
            <w:pPr>
              <w:spacing w:before="20"/>
              <w:ind w:left="0"/>
              <w:rPr>
                <w:sz w:val="20"/>
                <w:szCs w:val="20"/>
              </w:rPr>
            </w:pPr>
            <w:r w:rsidRPr="009B20AE">
              <w:rPr>
                <w:sz w:val="20"/>
                <w:szCs w:val="20"/>
              </w:rPr>
              <w:t>CKO v spolupráci s príslušným organizačným útvarom Úradu vlády SR a ÚVO a PMÚ</w:t>
            </w:r>
          </w:p>
        </w:tc>
      </w:tr>
      <w:tr w:rsidR="009B20AE" w14:paraId="51424C77" w14:textId="77777777" w:rsidTr="008251D9">
        <w:trPr>
          <w:trHeight w:val="1265"/>
        </w:trPr>
        <w:tc>
          <w:tcPr>
            <w:tcW w:w="2347" w:type="dxa"/>
            <w:vMerge/>
          </w:tcPr>
          <w:p w14:paraId="36615BE5" w14:textId="77777777" w:rsidR="009B20AE" w:rsidRDefault="009B20AE" w:rsidP="00AE218A">
            <w:pPr>
              <w:ind w:left="0"/>
              <w:rPr>
                <w:sz w:val="20"/>
                <w:szCs w:val="20"/>
              </w:rPr>
            </w:pPr>
          </w:p>
        </w:tc>
        <w:tc>
          <w:tcPr>
            <w:tcW w:w="2300" w:type="dxa"/>
          </w:tcPr>
          <w:p w14:paraId="500F2C18" w14:textId="77777777" w:rsidR="009B20AE" w:rsidRPr="00AE218A" w:rsidRDefault="009B20AE" w:rsidP="00AE218A">
            <w:pPr>
              <w:spacing w:before="20" w:after="20"/>
              <w:ind w:left="0"/>
              <w:rPr>
                <w:sz w:val="20"/>
                <w:szCs w:val="20"/>
              </w:rPr>
            </w:pPr>
            <w:r w:rsidRPr="00AE218A">
              <w:rPr>
                <w:spacing w:val="-3"/>
                <w:sz w:val="20"/>
                <w:szCs w:val="20"/>
                <w:lang w:eastAsia="fr-FR"/>
              </w:rPr>
              <w:t>Opatrenia na zabezpečenie administratívnej kapacity na vykonávanie a uplatňovanie pravidiel Únie o verejnom obstarávaní.</w:t>
            </w:r>
          </w:p>
        </w:tc>
        <w:tc>
          <w:tcPr>
            <w:tcW w:w="4973" w:type="dxa"/>
          </w:tcPr>
          <w:p w14:paraId="711B6EA1" w14:textId="77777777" w:rsidR="009B20AE" w:rsidRPr="00AE218A" w:rsidRDefault="009B20AE" w:rsidP="00103397">
            <w:pPr>
              <w:ind w:left="0"/>
              <w:jc w:val="both"/>
              <w:rPr>
                <w:sz w:val="20"/>
                <w:szCs w:val="20"/>
              </w:rPr>
            </w:pPr>
            <w:r w:rsidRPr="009B20AE">
              <w:rPr>
                <w:sz w:val="20"/>
                <w:szCs w:val="20"/>
              </w:rPr>
              <w:t>Pre zvýšenie spolupráce subjektov štátnej správy participujúcich v oblasti VO a kontroly hospodárskej súťaž bude táto spolupráca posiln</w:t>
            </w:r>
            <w:r>
              <w:rPr>
                <w:sz w:val="20"/>
                <w:szCs w:val="20"/>
              </w:rPr>
              <w:t>ená medzi ÚVO a Protimonopolným</w:t>
            </w:r>
            <w:r w:rsidRPr="009B20AE">
              <w:rPr>
                <w:sz w:val="20"/>
                <w:szCs w:val="20"/>
              </w:rPr>
              <w:t xml:space="preserve"> úradom SR, a to aj na úrovni zabezpečenia AK týchto subjektov prostredníctvom technickej pomoci.</w:t>
            </w:r>
          </w:p>
        </w:tc>
        <w:tc>
          <w:tcPr>
            <w:tcW w:w="2546" w:type="dxa"/>
          </w:tcPr>
          <w:p w14:paraId="4470157E" w14:textId="77777777" w:rsidR="009B20AE" w:rsidRPr="00103397" w:rsidRDefault="009B20AE" w:rsidP="00103397">
            <w:pPr>
              <w:ind w:left="0"/>
              <w:jc w:val="center"/>
              <w:rPr>
                <w:b/>
                <w:sz w:val="20"/>
                <w:szCs w:val="20"/>
              </w:rPr>
            </w:pPr>
            <w:r w:rsidRPr="00103397">
              <w:rPr>
                <w:b/>
                <w:sz w:val="20"/>
                <w:szCs w:val="20"/>
              </w:rPr>
              <w:t>30.6.2015</w:t>
            </w:r>
          </w:p>
        </w:tc>
        <w:tc>
          <w:tcPr>
            <w:tcW w:w="2009" w:type="dxa"/>
          </w:tcPr>
          <w:p w14:paraId="1AF5581F" w14:textId="77777777" w:rsidR="009B20AE" w:rsidRPr="00AE218A" w:rsidRDefault="009B20AE" w:rsidP="00AE218A">
            <w:pPr>
              <w:spacing w:before="20"/>
              <w:ind w:left="0"/>
              <w:rPr>
                <w:sz w:val="20"/>
                <w:szCs w:val="20"/>
              </w:rPr>
            </w:pPr>
            <w:r w:rsidRPr="009B20AE">
              <w:rPr>
                <w:sz w:val="20"/>
                <w:szCs w:val="20"/>
              </w:rPr>
              <w:t>OP TP v spolupráci s CKO a PMÚ</w:t>
            </w:r>
          </w:p>
        </w:tc>
      </w:tr>
      <w:tr w:rsidR="009B20AE" w14:paraId="6F5A9E07" w14:textId="77777777" w:rsidTr="008251D9">
        <w:trPr>
          <w:trHeight w:val="1496"/>
        </w:trPr>
        <w:tc>
          <w:tcPr>
            <w:tcW w:w="2347" w:type="dxa"/>
            <w:vMerge w:val="restart"/>
          </w:tcPr>
          <w:p w14:paraId="777C5BB3" w14:textId="77777777" w:rsidR="009B20AE" w:rsidRPr="00103397" w:rsidRDefault="009B20AE" w:rsidP="00AD7294">
            <w:pPr>
              <w:ind w:left="0"/>
              <w:rPr>
                <w:b/>
                <w:sz w:val="20"/>
                <w:szCs w:val="20"/>
              </w:rPr>
            </w:pPr>
            <w:r w:rsidRPr="00103397">
              <w:rPr>
                <w:b/>
                <w:sz w:val="20"/>
                <w:szCs w:val="20"/>
              </w:rPr>
              <w:t>Štátna pomoc</w:t>
            </w:r>
          </w:p>
          <w:p w14:paraId="78D6E67F" w14:textId="77777777" w:rsidR="009B20AE" w:rsidRPr="00237788" w:rsidRDefault="009B20AE" w:rsidP="009B20AE">
            <w:pPr>
              <w:spacing w:before="120"/>
              <w:ind w:left="0"/>
              <w:rPr>
                <w:color w:val="FF0000"/>
                <w:sz w:val="20"/>
                <w:szCs w:val="20"/>
              </w:rPr>
            </w:pPr>
            <w:r>
              <w:rPr>
                <w:sz w:val="20"/>
                <w:szCs w:val="20"/>
              </w:rPr>
              <w:t>Existencia pravidiel na efektívne uplatňovanie práva Únie o štátnej pomoci v oblasti EŠIF.</w:t>
            </w:r>
          </w:p>
        </w:tc>
        <w:tc>
          <w:tcPr>
            <w:tcW w:w="2300" w:type="dxa"/>
          </w:tcPr>
          <w:p w14:paraId="67559BBB" w14:textId="77777777" w:rsidR="009B20AE" w:rsidRPr="00566720" w:rsidRDefault="009B20AE" w:rsidP="002A4DF8">
            <w:pPr>
              <w:spacing w:before="20" w:after="20"/>
              <w:ind w:left="0"/>
              <w:rPr>
                <w:sz w:val="20"/>
                <w:szCs w:val="20"/>
              </w:rPr>
            </w:pPr>
            <w:r w:rsidRPr="009B20AE">
              <w:rPr>
                <w:sz w:val="20"/>
                <w:szCs w:val="20"/>
              </w:rPr>
              <w:t>Opatrenia na zabezpečenie účinného uplatňovania pravidiel Únie o štátnej pomoci.</w:t>
            </w:r>
          </w:p>
        </w:tc>
        <w:tc>
          <w:tcPr>
            <w:tcW w:w="4973" w:type="dxa"/>
          </w:tcPr>
          <w:p w14:paraId="5A44500A" w14:textId="77777777" w:rsidR="009B20AE" w:rsidRPr="009B20AE" w:rsidRDefault="009B20AE" w:rsidP="00103397">
            <w:pPr>
              <w:ind w:left="0"/>
              <w:jc w:val="both"/>
              <w:rPr>
                <w:sz w:val="20"/>
                <w:szCs w:val="20"/>
              </w:rPr>
            </w:pPr>
            <w:r w:rsidRPr="009B20AE">
              <w:rPr>
                <w:sz w:val="20"/>
                <w:szCs w:val="20"/>
              </w:rPr>
              <w:t>Novela zákona č. 231/1999 Z. z. o štátnej pomoci v znení</w:t>
            </w:r>
            <w:r>
              <w:rPr>
                <w:sz w:val="20"/>
                <w:szCs w:val="20"/>
              </w:rPr>
              <w:t xml:space="preserve"> neskorších predpisov s cieľom:</w:t>
            </w:r>
          </w:p>
          <w:p w14:paraId="09BF7A2F" w14:textId="77777777" w:rsidR="009B20AE" w:rsidRPr="009B20AE" w:rsidRDefault="009B20AE" w:rsidP="00103397">
            <w:pPr>
              <w:spacing w:before="120"/>
              <w:ind w:left="0"/>
              <w:jc w:val="both"/>
              <w:rPr>
                <w:sz w:val="20"/>
                <w:szCs w:val="20"/>
              </w:rPr>
            </w:pPr>
            <w:r>
              <w:rPr>
                <w:sz w:val="20"/>
                <w:szCs w:val="20"/>
              </w:rPr>
              <w:t xml:space="preserve">- </w:t>
            </w:r>
            <w:r w:rsidRPr="009B20AE">
              <w:rPr>
                <w:sz w:val="20"/>
                <w:szCs w:val="20"/>
              </w:rPr>
              <w:t>posilnenia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 31. 7. 2015</w:t>
            </w:r>
          </w:p>
          <w:p w14:paraId="11BF1BCB" w14:textId="77777777" w:rsidR="009B20AE" w:rsidRPr="009B20AE" w:rsidRDefault="009B20AE" w:rsidP="00103397">
            <w:pPr>
              <w:spacing w:before="120"/>
              <w:ind w:left="0"/>
              <w:jc w:val="both"/>
              <w:rPr>
                <w:sz w:val="20"/>
                <w:szCs w:val="20"/>
              </w:rPr>
            </w:pPr>
            <w:r>
              <w:rPr>
                <w:sz w:val="20"/>
                <w:szCs w:val="20"/>
              </w:rPr>
              <w:t xml:space="preserve">- </w:t>
            </w:r>
            <w:r w:rsidRPr="009B20AE">
              <w:rPr>
                <w:sz w:val="20"/>
                <w:szCs w:val="20"/>
              </w:rPr>
              <w:t xml:space="preserve">vytvorenia právneho rámca pre zriadenie centrálneho IT registra pre štátnu pomoc, ktorý by mal zahŕňať aj individuálnu pomoc a pomoc podliehajúcu všeobecnej </w:t>
            </w:r>
            <w:r w:rsidRPr="009B20AE">
              <w:rPr>
                <w:sz w:val="20"/>
                <w:szCs w:val="20"/>
              </w:rPr>
              <w:lastRenderedPageBreak/>
              <w:t>skupinovej výnimke, 31. 7. 2015</w:t>
            </w:r>
          </w:p>
          <w:p w14:paraId="6B99EF7E" w14:textId="77777777" w:rsidR="009B20AE" w:rsidRPr="00566720" w:rsidRDefault="009B20AE" w:rsidP="00103397">
            <w:pPr>
              <w:spacing w:before="120"/>
              <w:ind w:left="0"/>
              <w:jc w:val="both"/>
              <w:rPr>
                <w:sz w:val="20"/>
                <w:szCs w:val="20"/>
              </w:rPr>
            </w:pPr>
            <w:r>
              <w:rPr>
                <w:sz w:val="20"/>
                <w:szCs w:val="20"/>
              </w:rPr>
              <w:t xml:space="preserve">- </w:t>
            </w:r>
            <w:r w:rsidRPr="009B20AE">
              <w:rPr>
                <w:sz w:val="20"/>
                <w:szCs w:val="20"/>
              </w:rPr>
              <w:t>zriadenia centrálneho IT registra pre štátnu pomoc v rozsahu a v štruktúre ako ich vymedzí nové nariadenie GBER a príslušné usmernenia Európskej komisie.</w:t>
            </w:r>
          </w:p>
        </w:tc>
        <w:tc>
          <w:tcPr>
            <w:tcW w:w="2546" w:type="dxa"/>
          </w:tcPr>
          <w:p w14:paraId="0B85B02F" w14:textId="77777777" w:rsidR="009B20AE" w:rsidRPr="00103397" w:rsidRDefault="009B20AE" w:rsidP="00103397">
            <w:pPr>
              <w:ind w:left="0"/>
              <w:jc w:val="center"/>
              <w:rPr>
                <w:b/>
                <w:sz w:val="20"/>
                <w:szCs w:val="20"/>
              </w:rPr>
            </w:pPr>
            <w:r w:rsidRPr="00103397">
              <w:rPr>
                <w:b/>
                <w:sz w:val="20"/>
                <w:szCs w:val="20"/>
              </w:rPr>
              <w:lastRenderedPageBreak/>
              <w:t>31.12.2014</w:t>
            </w:r>
          </w:p>
        </w:tc>
        <w:tc>
          <w:tcPr>
            <w:tcW w:w="2009" w:type="dxa"/>
          </w:tcPr>
          <w:p w14:paraId="22C4B4D9" w14:textId="77777777" w:rsidR="009B20AE" w:rsidRPr="00566720" w:rsidRDefault="009B20AE" w:rsidP="00BA1BF7">
            <w:pPr>
              <w:spacing w:before="20"/>
              <w:ind w:left="0"/>
              <w:rPr>
                <w:sz w:val="20"/>
                <w:szCs w:val="20"/>
              </w:rPr>
            </w:pPr>
            <w:r>
              <w:rPr>
                <w:sz w:val="20"/>
                <w:szCs w:val="20"/>
              </w:rPr>
              <w:t>MF SR</w:t>
            </w:r>
          </w:p>
        </w:tc>
      </w:tr>
      <w:tr w:rsidR="009B20AE" w14:paraId="3C6E5B46" w14:textId="77777777" w:rsidTr="008251D9">
        <w:trPr>
          <w:trHeight w:val="1496"/>
        </w:trPr>
        <w:tc>
          <w:tcPr>
            <w:tcW w:w="2347" w:type="dxa"/>
            <w:vMerge/>
          </w:tcPr>
          <w:p w14:paraId="026D7167" w14:textId="77777777" w:rsidR="009B20AE" w:rsidRDefault="009B20AE" w:rsidP="00AD7294">
            <w:pPr>
              <w:rPr>
                <w:sz w:val="20"/>
                <w:szCs w:val="20"/>
              </w:rPr>
            </w:pPr>
          </w:p>
        </w:tc>
        <w:tc>
          <w:tcPr>
            <w:tcW w:w="2300" w:type="dxa"/>
          </w:tcPr>
          <w:p w14:paraId="3BA41D76" w14:textId="77777777" w:rsidR="009B20AE" w:rsidRPr="009B20AE" w:rsidRDefault="009B20AE" w:rsidP="009B20AE">
            <w:pPr>
              <w:spacing w:before="20" w:after="20"/>
              <w:ind w:left="0"/>
              <w:rPr>
                <w:sz w:val="20"/>
                <w:szCs w:val="20"/>
              </w:rPr>
            </w:pPr>
            <w:r w:rsidRPr="009B20AE">
              <w:rPr>
                <w:sz w:val="20"/>
                <w:szCs w:val="20"/>
              </w:rPr>
              <w:t>Opatrenia na zabezpečenie administratívnej kapacity na vykonávanie a uplatňovanie pravidiel Únie o štátnej pomoci</w:t>
            </w:r>
          </w:p>
        </w:tc>
        <w:tc>
          <w:tcPr>
            <w:tcW w:w="4973" w:type="dxa"/>
          </w:tcPr>
          <w:p w14:paraId="220B15AF" w14:textId="77777777" w:rsidR="009B20AE" w:rsidRPr="009B20AE" w:rsidRDefault="009B20AE" w:rsidP="009B20AE">
            <w:pPr>
              <w:ind w:left="0"/>
              <w:rPr>
                <w:sz w:val="20"/>
                <w:szCs w:val="20"/>
              </w:rPr>
            </w:pPr>
            <w:r w:rsidRPr="009B20AE">
              <w:rPr>
                <w:sz w:val="20"/>
                <w:szCs w:val="20"/>
              </w:rPr>
              <w:t>Posilnenie administratívnej kapacity koordinátora štátnej pomoci o 10 až 15 miest ( 100 % až 150 % navýšenie).</w:t>
            </w:r>
          </w:p>
          <w:p w14:paraId="1E4B8E94" w14:textId="77777777" w:rsidR="009B20AE" w:rsidRDefault="009B20AE" w:rsidP="009B20AE">
            <w:pPr>
              <w:spacing w:before="120"/>
              <w:ind w:left="0"/>
              <w:rPr>
                <w:sz w:val="20"/>
                <w:szCs w:val="20"/>
              </w:rPr>
            </w:pPr>
            <w:r w:rsidRPr="009B20AE">
              <w:rPr>
                <w:sz w:val="20"/>
                <w:szCs w:val="20"/>
              </w:rPr>
              <w:t>V útvare koordinátora štátnej pomoci budú zabezpečované aj úlohy centra znalostí, ktoré poskytnú potrebné usmernenia v oblasti štátnej pomoci vrátane</w:t>
            </w:r>
          </w:p>
        </w:tc>
        <w:tc>
          <w:tcPr>
            <w:tcW w:w="2546" w:type="dxa"/>
          </w:tcPr>
          <w:p w14:paraId="53A9797D" w14:textId="77777777" w:rsidR="009B20AE" w:rsidRPr="00103397" w:rsidRDefault="009B20AE" w:rsidP="00103397">
            <w:pPr>
              <w:ind w:left="0"/>
              <w:jc w:val="center"/>
              <w:rPr>
                <w:b/>
                <w:sz w:val="20"/>
                <w:szCs w:val="20"/>
              </w:rPr>
            </w:pPr>
            <w:r w:rsidRPr="00103397">
              <w:rPr>
                <w:b/>
                <w:sz w:val="20"/>
                <w:szCs w:val="20"/>
              </w:rPr>
              <w:t>31.12.2014</w:t>
            </w:r>
          </w:p>
        </w:tc>
        <w:tc>
          <w:tcPr>
            <w:tcW w:w="2009" w:type="dxa"/>
          </w:tcPr>
          <w:p w14:paraId="27A69351" w14:textId="77777777" w:rsidR="009B20AE" w:rsidRPr="00566720" w:rsidRDefault="009B20AE" w:rsidP="00827E8B">
            <w:pPr>
              <w:spacing w:before="20"/>
              <w:ind w:left="0"/>
              <w:rPr>
                <w:sz w:val="20"/>
                <w:szCs w:val="20"/>
              </w:rPr>
            </w:pPr>
            <w:r>
              <w:rPr>
                <w:sz w:val="20"/>
                <w:szCs w:val="20"/>
              </w:rPr>
              <w:t>MF SR</w:t>
            </w:r>
          </w:p>
        </w:tc>
      </w:tr>
      <w:tr w:rsidR="00E65114" w14:paraId="0D8690FD" w14:textId="77777777" w:rsidTr="008251D9">
        <w:trPr>
          <w:trHeight w:val="1496"/>
        </w:trPr>
        <w:tc>
          <w:tcPr>
            <w:tcW w:w="2347" w:type="dxa"/>
            <w:vMerge w:val="restart"/>
          </w:tcPr>
          <w:p w14:paraId="70B065E4" w14:textId="77777777" w:rsidR="00E65114" w:rsidRPr="00103397" w:rsidRDefault="00E65114" w:rsidP="00C04939">
            <w:pPr>
              <w:ind w:left="0"/>
              <w:rPr>
                <w:b/>
                <w:sz w:val="20"/>
                <w:szCs w:val="20"/>
              </w:rPr>
            </w:pPr>
            <w:r w:rsidRPr="00103397">
              <w:rPr>
                <w:b/>
                <w:sz w:val="20"/>
                <w:szCs w:val="20"/>
              </w:rPr>
              <w:t xml:space="preserve">Právne predpisy v oblasti životného prostredia týkajúce sa posudzovania vplyvov na životné prostredie (EIA) a strategického environmentálneho </w:t>
            </w:r>
            <w:r w:rsidRPr="00103397">
              <w:rPr>
                <w:b/>
                <w:sz w:val="20"/>
                <w:szCs w:val="20"/>
              </w:rPr>
              <w:lastRenderedPageBreak/>
              <w:t>posudzovania (SEA)</w:t>
            </w:r>
          </w:p>
          <w:p w14:paraId="3A41D763" w14:textId="77777777" w:rsidR="00E65114" w:rsidRDefault="00E65114" w:rsidP="00C04939">
            <w:pPr>
              <w:spacing w:before="120"/>
              <w:ind w:left="0"/>
              <w:rPr>
                <w:sz w:val="20"/>
                <w:szCs w:val="20"/>
              </w:rPr>
            </w:pPr>
            <w:r w:rsidRPr="00C04939">
              <w:rPr>
                <w:sz w:val="20"/>
                <w:szCs w:val="20"/>
              </w:rPr>
              <w:t>Existencia pravidiel na efektívne uplatňovanie právnych predpisov Únie v oblasti životného prostredia týkajúcich sa EIA a SEA.</w:t>
            </w:r>
          </w:p>
        </w:tc>
        <w:tc>
          <w:tcPr>
            <w:tcW w:w="2300" w:type="dxa"/>
            <w:vMerge w:val="restart"/>
          </w:tcPr>
          <w:p w14:paraId="0AF0B8AD" w14:textId="77777777" w:rsidR="00E65114" w:rsidRPr="009B20AE" w:rsidRDefault="00E65114" w:rsidP="00E65114">
            <w:pPr>
              <w:spacing w:before="20" w:after="20"/>
              <w:ind w:left="0"/>
              <w:rPr>
                <w:sz w:val="20"/>
                <w:szCs w:val="20"/>
              </w:rPr>
            </w:pPr>
            <w:r w:rsidRPr="00E65114">
              <w:rPr>
                <w:sz w:val="20"/>
                <w:szCs w:val="20"/>
              </w:rPr>
              <w:lastRenderedPageBreak/>
              <w:t xml:space="preserve">Opatrenia na zabezpečenie účinného uplatňovania smernice Európskeho parlamentu a Rady 2011/92/EÚ (EIA) a smernice Európskeho parlamentu a Rady </w:t>
            </w:r>
            <w:r w:rsidRPr="00E65114">
              <w:rPr>
                <w:sz w:val="20"/>
                <w:szCs w:val="20"/>
              </w:rPr>
              <w:lastRenderedPageBreak/>
              <w:t>2001/42/ES (SEA).</w:t>
            </w:r>
          </w:p>
        </w:tc>
        <w:tc>
          <w:tcPr>
            <w:tcW w:w="4973" w:type="dxa"/>
          </w:tcPr>
          <w:p w14:paraId="4FE971CE" w14:textId="77777777" w:rsidR="00E65114" w:rsidRDefault="00E65114" w:rsidP="00E65114">
            <w:pPr>
              <w:ind w:left="0"/>
              <w:rPr>
                <w:sz w:val="20"/>
                <w:szCs w:val="20"/>
              </w:rPr>
            </w:pPr>
            <w:r w:rsidRPr="00E65114">
              <w:rPr>
                <w:sz w:val="20"/>
                <w:szCs w:val="20"/>
              </w:rPr>
              <w:lastRenderedPageBreak/>
              <w:t>Novelizácia zákona č. 24/2006 Z. z. o posudzovaní vplyvov na životné prostredie a o zmene a doplnení niektorých zákonov v znení neskorších predpisov</w:t>
            </w:r>
            <w:r>
              <w:rPr>
                <w:sz w:val="20"/>
                <w:szCs w:val="20"/>
              </w:rPr>
              <w:t xml:space="preserve"> </w:t>
            </w:r>
          </w:p>
          <w:p w14:paraId="49BFC513" w14:textId="3B1CF336" w:rsidR="00E65114" w:rsidRDefault="00E65114" w:rsidP="00E65114">
            <w:pPr>
              <w:ind w:left="0"/>
              <w:rPr>
                <w:sz w:val="20"/>
                <w:szCs w:val="20"/>
              </w:rPr>
            </w:pPr>
            <w:r>
              <w:rPr>
                <w:sz w:val="20"/>
                <w:szCs w:val="20"/>
              </w:rPr>
              <w:t xml:space="preserve">– </w:t>
            </w:r>
            <w:r w:rsidRPr="00E65114">
              <w:rPr>
                <w:sz w:val="20"/>
                <w:szCs w:val="20"/>
              </w:rPr>
              <w:t>Plánovaná účinnosť novely zákona</w:t>
            </w:r>
          </w:p>
          <w:p w14:paraId="5CF8508D" w14:textId="77777777" w:rsidR="00E65114" w:rsidRPr="00E65114" w:rsidRDefault="00E65114" w:rsidP="00E65114">
            <w:pPr>
              <w:spacing w:before="120"/>
              <w:ind w:left="0"/>
              <w:rPr>
                <w:rFonts w:eastAsia="MS Mincho"/>
                <w:sz w:val="20"/>
                <w:szCs w:val="20"/>
              </w:rPr>
            </w:pPr>
            <w:r w:rsidRPr="00E65114">
              <w:rPr>
                <w:rFonts w:eastAsia="MS Mincho"/>
                <w:sz w:val="20"/>
                <w:szCs w:val="20"/>
              </w:rPr>
              <w:t xml:space="preserve">Overenie materiálno-technického a personálneho zabezpečenia pre vykonávanie novely zákona </w:t>
            </w:r>
            <w:r>
              <w:rPr>
                <w:rFonts w:eastAsia="MS Mincho"/>
                <w:sz w:val="20"/>
                <w:szCs w:val="20"/>
              </w:rPr>
              <w:br/>
            </w:r>
            <w:r w:rsidRPr="00E65114">
              <w:rPr>
                <w:rFonts w:eastAsia="MS Mincho"/>
                <w:sz w:val="20"/>
                <w:szCs w:val="20"/>
              </w:rPr>
              <w:t>30. 6. 2015</w:t>
            </w:r>
          </w:p>
        </w:tc>
        <w:tc>
          <w:tcPr>
            <w:tcW w:w="2546" w:type="dxa"/>
          </w:tcPr>
          <w:p w14:paraId="3D372B95" w14:textId="77777777" w:rsidR="00E65114" w:rsidRPr="00103397" w:rsidRDefault="00E65114" w:rsidP="00103397">
            <w:pPr>
              <w:ind w:left="0"/>
              <w:jc w:val="center"/>
              <w:rPr>
                <w:b/>
                <w:sz w:val="20"/>
                <w:szCs w:val="20"/>
              </w:rPr>
            </w:pPr>
            <w:r w:rsidRPr="00103397">
              <w:rPr>
                <w:b/>
                <w:sz w:val="20"/>
                <w:szCs w:val="20"/>
              </w:rPr>
              <w:t>1.12.2014</w:t>
            </w:r>
          </w:p>
        </w:tc>
        <w:tc>
          <w:tcPr>
            <w:tcW w:w="2009" w:type="dxa"/>
            <w:vMerge w:val="restart"/>
          </w:tcPr>
          <w:p w14:paraId="088FBE5C" w14:textId="2B583AC2" w:rsidR="00E65114" w:rsidRDefault="00E65114" w:rsidP="00E65114">
            <w:pPr>
              <w:spacing w:before="20"/>
              <w:ind w:left="0"/>
              <w:rPr>
                <w:sz w:val="20"/>
                <w:szCs w:val="20"/>
              </w:rPr>
            </w:pPr>
            <w:r w:rsidRPr="00E65114">
              <w:rPr>
                <w:sz w:val="20"/>
                <w:szCs w:val="20"/>
              </w:rPr>
              <w:t>MŽP SR</w:t>
            </w:r>
            <w:r w:rsidR="005A4951">
              <w:rPr>
                <w:sz w:val="20"/>
                <w:szCs w:val="20"/>
              </w:rPr>
              <w:t xml:space="preserve"> v spolupráci s CKO a ostatnými</w:t>
            </w:r>
            <w:r w:rsidRPr="00E65114">
              <w:rPr>
                <w:sz w:val="20"/>
                <w:szCs w:val="20"/>
              </w:rPr>
              <w:t xml:space="preserve"> dotknutými orgánmi štátnej správy</w:t>
            </w:r>
          </w:p>
        </w:tc>
      </w:tr>
      <w:tr w:rsidR="00E65114" w14:paraId="3CAAC124" w14:textId="77777777" w:rsidTr="008251D9">
        <w:trPr>
          <w:trHeight w:val="4390"/>
        </w:trPr>
        <w:tc>
          <w:tcPr>
            <w:tcW w:w="2347" w:type="dxa"/>
            <w:vMerge/>
          </w:tcPr>
          <w:p w14:paraId="7E74EAE9" w14:textId="77777777" w:rsidR="00E65114" w:rsidRPr="00C04939" w:rsidRDefault="00E65114" w:rsidP="00C04939">
            <w:pPr>
              <w:rPr>
                <w:sz w:val="20"/>
                <w:szCs w:val="20"/>
              </w:rPr>
            </w:pPr>
          </w:p>
        </w:tc>
        <w:tc>
          <w:tcPr>
            <w:tcW w:w="2300" w:type="dxa"/>
            <w:vMerge/>
          </w:tcPr>
          <w:p w14:paraId="6664E4E7" w14:textId="77777777" w:rsidR="00E65114" w:rsidRPr="00E65114" w:rsidRDefault="00E65114" w:rsidP="00E65114">
            <w:pPr>
              <w:spacing w:before="20" w:after="20"/>
              <w:rPr>
                <w:sz w:val="20"/>
                <w:szCs w:val="20"/>
              </w:rPr>
            </w:pPr>
          </w:p>
        </w:tc>
        <w:tc>
          <w:tcPr>
            <w:tcW w:w="4973" w:type="dxa"/>
          </w:tcPr>
          <w:p w14:paraId="47AE604A" w14:textId="77777777" w:rsidR="00E65114" w:rsidRPr="00E65114" w:rsidRDefault="00E65114" w:rsidP="00103397">
            <w:pPr>
              <w:ind w:left="0"/>
              <w:contextualSpacing/>
              <w:jc w:val="both"/>
              <w:rPr>
                <w:rFonts w:eastAsia="MS Mincho"/>
                <w:sz w:val="20"/>
                <w:szCs w:val="20"/>
              </w:rPr>
            </w:pPr>
            <w:r w:rsidRPr="00E65114">
              <w:rPr>
                <w:rFonts w:eastAsia="MS Mincho"/>
                <w:sz w:val="20"/>
                <w:szCs w:val="20"/>
              </w:rPr>
              <w:t>Metodické usmernenie postupu príslušných orgánov pre posudzovanie vplyvov v „prechodnom“ období (do schválenia a nadobudnutia účinnosti príslušných legislatívnych úprav):</w:t>
            </w:r>
          </w:p>
          <w:p w14:paraId="07B0BFB8" w14:textId="77777777" w:rsidR="00E65114" w:rsidRPr="00E65114" w:rsidRDefault="00E65114" w:rsidP="00103397">
            <w:pPr>
              <w:ind w:left="0"/>
              <w:contextualSpacing/>
              <w:jc w:val="both"/>
              <w:rPr>
                <w:rFonts w:eastAsia="MS Mincho"/>
                <w:sz w:val="20"/>
                <w:szCs w:val="20"/>
              </w:rPr>
            </w:pPr>
            <w:r>
              <w:rPr>
                <w:rFonts w:eastAsia="MS Mincho"/>
                <w:sz w:val="20"/>
                <w:szCs w:val="20"/>
              </w:rPr>
              <w:t xml:space="preserve">- </w:t>
            </w:r>
            <w:r w:rsidRPr="00E65114">
              <w:rPr>
                <w:rFonts w:eastAsia="MS Mincho"/>
                <w:sz w:val="20"/>
                <w:szCs w:val="20"/>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14:paraId="22B7983D" w14:textId="77777777" w:rsidR="00E65114" w:rsidRPr="00E65114" w:rsidRDefault="00E65114" w:rsidP="00103397">
            <w:pPr>
              <w:ind w:left="0"/>
              <w:contextualSpacing/>
              <w:jc w:val="both"/>
              <w:rPr>
                <w:rFonts w:eastAsia="MS Mincho"/>
                <w:sz w:val="20"/>
                <w:szCs w:val="20"/>
              </w:rPr>
            </w:pPr>
            <w:r>
              <w:rPr>
                <w:rFonts w:eastAsia="MS Mincho"/>
                <w:sz w:val="20"/>
                <w:szCs w:val="20"/>
              </w:rPr>
              <w:t xml:space="preserve">- </w:t>
            </w:r>
            <w:r w:rsidRPr="00E65114">
              <w:rPr>
                <w:rFonts w:eastAsia="MS Mincho"/>
                <w:sz w:val="20"/>
                <w:szCs w:val="20"/>
              </w:rPr>
              <w:t>písomná forma pre príslušné orgány štátnej správy v oblasti posudzovania vplyvov na životné prostredie obsahujúca dôsledný postup pri odôvodnení rozhodnutí zo zisťovacieho konania uvedením vysporiadania sa so stanoviskami dotknutých orgánov a dotknutých obcí a tiež náležitým odôvodnením zo strany príslušného orgánu,</w:t>
            </w:r>
          </w:p>
          <w:p w14:paraId="78581DF2" w14:textId="77777777" w:rsidR="00E65114" w:rsidRPr="00E65114" w:rsidRDefault="00E65114" w:rsidP="00103397">
            <w:pPr>
              <w:ind w:left="0"/>
              <w:jc w:val="both"/>
              <w:rPr>
                <w:rFonts w:eastAsia="MS Mincho"/>
                <w:sz w:val="20"/>
                <w:szCs w:val="20"/>
              </w:rPr>
            </w:pPr>
            <w:r>
              <w:rPr>
                <w:rFonts w:eastAsia="MS Mincho"/>
                <w:sz w:val="20"/>
                <w:szCs w:val="20"/>
              </w:rPr>
              <w:t xml:space="preserve">- </w:t>
            </w:r>
            <w:r w:rsidRPr="00E65114">
              <w:rPr>
                <w:rFonts w:eastAsia="MS Mincho"/>
                <w:sz w:val="20"/>
                <w:szCs w:val="20"/>
              </w:rPr>
              <w:t>písomná forma pre povoľujúce orgány ako sa zverejní upovedomenie o začatí povoľovacieho konania, z ktorého bude jednoznačne vyplývať právo k prístupu k úplnej žiadosti o povolenie.</w:t>
            </w:r>
          </w:p>
          <w:p w14:paraId="6781B92F" w14:textId="77777777" w:rsidR="00E65114" w:rsidRPr="00E65114" w:rsidRDefault="00E65114" w:rsidP="00103397">
            <w:pPr>
              <w:spacing w:before="120"/>
              <w:ind w:left="0"/>
              <w:jc w:val="both"/>
              <w:rPr>
                <w:sz w:val="20"/>
                <w:szCs w:val="20"/>
              </w:rPr>
            </w:pPr>
            <w:r w:rsidRPr="00E65114">
              <w:rPr>
                <w:rFonts w:eastAsia="MS Mincho"/>
                <w:sz w:val="20"/>
                <w:szCs w:val="20"/>
              </w:rPr>
              <w:t xml:space="preserve">Bude zverejnené na: </w:t>
            </w:r>
            <w:hyperlink r:id="rId91" w:history="1">
              <w:r w:rsidRPr="00E65114">
                <w:rPr>
                  <w:rStyle w:val="Hypertextovprepojenie"/>
                  <w:rFonts w:eastAsia="MS Mincho"/>
                  <w:sz w:val="20"/>
                  <w:szCs w:val="20"/>
                  <w:lang w:val="en-GB"/>
                </w:rPr>
                <w:t>www.enviroportal.sk</w:t>
              </w:r>
            </w:hyperlink>
            <w:r w:rsidRPr="00E65114">
              <w:rPr>
                <w:rFonts w:eastAsia="MS Mincho"/>
                <w:sz w:val="20"/>
                <w:szCs w:val="20"/>
                <w:lang w:val="en-GB"/>
              </w:rPr>
              <w:t>.</w:t>
            </w:r>
          </w:p>
        </w:tc>
        <w:tc>
          <w:tcPr>
            <w:tcW w:w="2546" w:type="dxa"/>
          </w:tcPr>
          <w:p w14:paraId="76AA2C0B" w14:textId="77777777" w:rsidR="00E65114" w:rsidRPr="00103397" w:rsidRDefault="00E65114" w:rsidP="00103397">
            <w:pPr>
              <w:ind w:left="0"/>
              <w:jc w:val="center"/>
              <w:rPr>
                <w:b/>
                <w:sz w:val="20"/>
                <w:szCs w:val="20"/>
              </w:rPr>
            </w:pPr>
            <w:r w:rsidRPr="00103397">
              <w:rPr>
                <w:b/>
                <w:sz w:val="20"/>
                <w:szCs w:val="20"/>
              </w:rPr>
              <w:t>31.12.2014</w:t>
            </w:r>
          </w:p>
        </w:tc>
        <w:tc>
          <w:tcPr>
            <w:tcW w:w="2009" w:type="dxa"/>
            <w:vMerge/>
          </w:tcPr>
          <w:p w14:paraId="79689861" w14:textId="77777777" w:rsidR="00E65114" w:rsidRDefault="00E65114" w:rsidP="009B20AE">
            <w:pPr>
              <w:spacing w:before="20"/>
              <w:rPr>
                <w:sz w:val="20"/>
                <w:szCs w:val="20"/>
              </w:rPr>
            </w:pPr>
          </w:p>
        </w:tc>
      </w:tr>
      <w:tr w:rsidR="00E65114" w14:paraId="333BA5E0" w14:textId="77777777" w:rsidTr="008251D9">
        <w:trPr>
          <w:trHeight w:val="279"/>
        </w:trPr>
        <w:tc>
          <w:tcPr>
            <w:tcW w:w="2347" w:type="dxa"/>
            <w:vMerge/>
          </w:tcPr>
          <w:p w14:paraId="7DC05E50" w14:textId="77777777" w:rsidR="00E65114" w:rsidRPr="00C04939" w:rsidRDefault="00E65114" w:rsidP="00C04939">
            <w:pPr>
              <w:rPr>
                <w:sz w:val="20"/>
                <w:szCs w:val="20"/>
              </w:rPr>
            </w:pPr>
          </w:p>
        </w:tc>
        <w:tc>
          <w:tcPr>
            <w:tcW w:w="2300" w:type="dxa"/>
            <w:vMerge/>
          </w:tcPr>
          <w:p w14:paraId="57EF13E7" w14:textId="77777777" w:rsidR="00E65114" w:rsidRPr="00E65114" w:rsidRDefault="00E65114" w:rsidP="00E65114">
            <w:pPr>
              <w:spacing w:before="20" w:after="20"/>
              <w:rPr>
                <w:sz w:val="20"/>
                <w:szCs w:val="20"/>
              </w:rPr>
            </w:pPr>
          </w:p>
        </w:tc>
        <w:tc>
          <w:tcPr>
            <w:tcW w:w="4973" w:type="dxa"/>
          </w:tcPr>
          <w:p w14:paraId="09DB740A" w14:textId="77777777" w:rsidR="00E65114" w:rsidRPr="00E65114" w:rsidRDefault="00E65114" w:rsidP="00E65114">
            <w:pPr>
              <w:ind w:left="0"/>
              <w:rPr>
                <w:sz w:val="20"/>
                <w:szCs w:val="20"/>
              </w:rPr>
            </w:pPr>
            <w:r w:rsidRPr="00E65114">
              <w:rPr>
                <w:sz w:val="20"/>
                <w:szCs w:val="20"/>
              </w:rPr>
              <w:t>Zavedenie opatrenia na podporu uplatňovania smernice EIA:</w:t>
            </w:r>
          </w:p>
          <w:p w14:paraId="42FF656C" w14:textId="77777777" w:rsidR="00E65114" w:rsidRPr="00E65114" w:rsidRDefault="00E65114" w:rsidP="00E65114">
            <w:pPr>
              <w:ind w:left="0"/>
              <w:rPr>
                <w:sz w:val="20"/>
                <w:szCs w:val="20"/>
              </w:rPr>
            </w:pPr>
            <w:r w:rsidRPr="00E65114">
              <w:rPr>
                <w:sz w:val="20"/>
                <w:szCs w:val="20"/>
              </w:rPr>
              <w:t>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k zmenám projektu, bude vykonané opätovné posudzovanie (re-assessment), a v prípade identifikovanej potreby aj opätovné povoľovacie konanie (re-permitting).</w:t>
            </w:r>
          </w:p>
        </w:tc>
        <w:tc>
          <w:tcPr>
            <w:tcW w:w="2546" w:type="dxa"/>
          </w:tcPr>
          <w:p w14:paraId="5AE2A624" w14:textId="77777777" w:rsidR="00E65114" w:rsidRPr="00103397" w:rsidRDefault="00E65114" w:rsidP="00103397">
            <w:pPr>
              <w:ind w:left="0"/>
              <w:jc w:val="center"/>
              <w:rPr>
                <w:b/>
                <w:sz w:val="20"/>
                <w:szCs w:val="20"/>
              </w:rPr>
            </w:pPr>
            <w:r w:rsidRPr="00103397">
              <w:rPr>
                <w:b/>
                <w:sz w:val="20"/>
                <w:szCs w:val="20"/>
              </w:rPr>
              <w:t>31.12.2014</w:t>
            </w:r>
          </w:p>
        </w:tc>
        <w:tc>
          <w:tcPr>
            <w:tcW w:w="2009" w:type="dxa"/>
            <w:vMerge/>
          </w:tcPr>
          <w:p w14:paraId="440C9EFA" w14:textId="77777777" w:rsidR="00E65114" w:rsidRDefault="00E65114" w:rsidP="009B20AE">
            <w:pPr>
              <w:spacing w:before="20"/>
              <w:rPr>
                <w:sz w:val="20"/>
                <w:szCs w:val="20"/>
              </w:rPr>
            </w:pPr>
          </w:p>
        </w:tc>
      </w:tr>
      <w:tr w:rsidR="00E65114" w14:paraId="10B60C27" w14:textId="77777777" w:rsidTr="008251D9">
        <w:trPr>
          <w:trHeight w:val="1496"/>
        </w:trPr>
        <w:tc>
          <w:tcPr>
            <w:tcW w:w="2347" w:type="dxa"/>
            <w:vMerge/>
          </w:tcPr>
          <w:p w14:paraId="1257600A" w14:textId="77777777" w:rsidR="00E65114" w:rsidRPr="00C04939" w:rsidRDefault="00E65114" w:rsidP="00C04939">
            <w:pPr>
              <w:rPr>
                <w:sz w:val="20"/>
                <w:szCs w:val="20"/>
              </w:rPr>
            </w:pPr>
          </w:p>
        </w:tc>
        <w:tc>
          <w:tcPr>
            <w:tcW w:w="2300" w:type="dxa"/>
          </w:tcPr>
          <w:p w14:paraId="3D0C150F" w14:textId="77777777" w:rsidR="00E65114" w:rsidRPr="00E65114" w:rsidRDefault="00E65114" w:rsidP="00E65114">
            <w:pPr>
              <w:spacing w:before="20" w:after="20"/>
              <w:ind w:left="0"/>
              <w:rPr>
                <w:sz w:val="20"/>
                <w:szCs w:val="20"/>
              </w:rPr>
            </w:pPr>
            <w:r w:rsidRPr="00E65114">
              <w:rPr>
                <w:sz w:val="20"/>
                <w:szCs w:val="20"/>
              </w:rPr>
              <w:t>Opatrenia v oblasti odbornej prípravy a informovania zamestnancov zapojených do vykonávania smerníc EIA a SEA.</w:t>
            </w:r>
          </w:p>
        </w:tc>
        <w:tc>
          <w:tcPr>
            <w:tcW w:w="4973" w:type="dxa"/>
          </w:tcPr>
          <w:p w14:paraId="1390A77C" w14:textId="77777777" w:rsidR="00E65114" w:rsidRPr="00E65114" w:rsidRDefault="00E65114" w:rsidP="00E65114">
            <w:pPr>
              <w:ind w:left="0"/>
              <w:rPr>
                <w:sz w:val="20"/>
                <w:szCs w:val="20"/>
              </w:rPr>
            </w:pPr>
            <w:r w:rsidRPr="00E65114">
              <w:rPr>
                <w:sz w:val="20"/>
                <w:szCs w:val="20"/>
              </w:rPr>
              <w:t>Vykonanie školení reflektujúcich na príslušné legislatívne úpravy</w:t>
            </w:r>
          </w:p>
        </w:tc>
        <w:tc>
          <w:tcPr>
            <w:tcW w:w="2546" w:type="dxa"/>
          </w:tcPr>
          <w:p w14:paraId="2F75FB04" w14:textId="77777777" w:rsidR="00E65114" w:rsidRPr="00103397" w:rsidRDefault="00E65114" w:rsidP="00103397">
            <w:pPr>
              <w:ind w:left="0"/>
              <w:jc w:val="center"/>
              <w:rPr>
                <w:b/>
                <w:sz w:val="20"/>
                <w:szCs w:val="20"/>
              </w:rPr>
            </w:pPr>
            <w:r w:rsidRPr="00103397">
              <w:rPr>
                <w:b/>
                <w:sz w:val="20"/>
                <w:szCs w:val="20"/>
              </w:rPr>
              <w:t>31.12.2014</w:t>
            </w:r>
          </w:p>
        </w:tc>
        <w:tc>
          <w:tcPr>
            <w:tcW w:w="2009" w:type="dxa"/>
          </w:tcPr>
          <w:p w14:paraId="5C2BA06B" w14:textId="77777777" w:rsidR="00E65114" w:rsidRDefault="00E65114" w:rsidP="009B20AE">
            <w:pPr>
              <w:spacing w:before="20"/>
              <w:rPr>
                <w:sz w:val="20"/>
                <w:szCs w:val="20"/>
              </w:rPr>
            </w:pPr>
          </w:p>
        </w:tc>
      </w:tr>
      <w:tr w:rsidR="00BC2230" w14:paraId="3B1A5B72" w14:textId="77777777" w:rsidTr="008251D9">
        <w:trPr>
          <w:trHeight w:val="1496"/>
        </w:trPr>
        <w:tc>
          <w:tcPr>
            <w:tcW w:w="2347" w:type="dxa"/>
          </w:tcPr>
          <w:p w14:paraId="32FD017F" w14:textId="77777777" w:rsidR="00AE218A" w:rsidRPr="00103397" w:rsidRDefault="00AE218A" w:rsidP="008E3507">
            <w:pPr>
              <w:ind w:left="0"/>
              <w:rPr>
                <w:b/>
                <w:sz w:val="20"/>
                <w:szCs w:val="20"/>
              </w:rPr>
            </w:pPr>
            <w:r w:rsidRPr="00103397">
              <w:rPr>
                <w:b/>
                <w:sz w:val="20"/>
                <w:szCs w:val="20"/>
              </w:rPr>
              <w:t xml:space="preserve">Štatistické systémy a ukazovatele výsledkov: </w:t>
            </w:r>
          </w:p>
          <w:p w14:paraId="2F2F29FF" w14:textId="77777777" w:rsidR="00AE218A" w:rsidRDefault="00AE218A" w:rsidP="00F71DCF">
            <w:pPr>
              <w:spacing w:before="120"/>
              <w:ind w:left="0"/>
              <w:rPr>
                <w:sz w:val="20"/>
                <w:szCs w:val="20"/>
              </w:rPr>
            </w:pPr>
            <w:r>
              <w:rPr>
                <w:sz w:val="20"/>
                <w:szCs w:val="20"/>
              </w:rPr>
              <w:t>Existencia štatistického základu potrebného na uskutočnenie hodnotení pre posúdenie účinnosti a vplyvu programov.</w:t>
            </w:r>
          </w:p>
          <w:p w14:paraId="3F6AF2B4" w14:textId="77777777" w:rsidR="00AE218A" w:rsidRDefault="00AE218A" w:rsidP="008E3507">
            <w:pPr>
              <w:spacing w:before="120"/>
              <w:ind w:left="0"/>
              <w:rPr>
                <w:sz w:val="20"/>
                <w:szCs w:val="20"/>
              </w:rPr>
            </w:pPr>
            <w:r>
              <w:rPr>
                <w:sz w:val="20"/>
                <w:szCs w:val="20"/>
              </w:rPr>
              <w:t>Existencia systému ukazovateľov výsledkov nevyhnutných pre výber opatrení, ktoré čo najúčinnejšie prispievajú k dosiahnutiu želaných výsledkov, pre monitorovane pokroku pri dosahovaní výsledkov a vykonanie posúdenia vplyvu.</w:t>
            </w:r>
          </w:p>
          <w:p w14:paraId="04EDBFC8" w14:textId="77777777" w:rsidR="00AE218A" w:rsidRDefault="00AE218A" w:rsidP="008E3507">
            <w:pPr>
              <w:ind w:left="0"/>
              <w:rPr>
                <w:sz w:val="20"/>
                <w:szCs w:val="20"/>
              </w:rPr>
            </w:pPr>
          </w:p>
        </w:tc>
        <w:tc>
          <w:tcPr>
            <w:tcW w:w="2300" w:type="dxa"/>
          </w:tcPr>
          <w:p w14:paraId="2FE30DB6" w14:textId="77777777" w:rsidR="00AE218A" w:rsidRDefault="00AE218A" w:rsidP="008E3507">
            <w:pPr>
              <w:spacing w:before="20" w:after="20"/>
              <w:ind w:left="0"/>
              <w:rPr>
                <w:sz w:val="20"/>
                <w:szCs w:val="20"/>
              </w:rPr>
            </w:pPr>
            <w:r>
              <w:rPr>
                <w:color w:val="000000" w:themeColor="text1"/>
                <w:sz w:val="20"/>
                <w:szCs w:val="20"/>
              </w:rPr>
              <w:t>Postupy zavedené na zaručenie toho, aby všetky operácie financované z programu prijali účinný systém ukazovateľov</w:t>
            </w:r>
          </w:p>
        </w:tc>
        <w:tc>
          <w:tcPr>
            <w:tcW w:w="4973" w:type="dxa"/>
          </w:tcPr>
          <w:p w14:paraId="3491BF7B" w14:textId="0E42FE28" w:rsidR="00AE218A" w:rsidRDefault="00AE218A" w:rsidP="00103397">
            <w:pPr>
              <w:ind w:left="0"/>
              <w:jc w:val="both"/>
              <w:rPr>
                <w:sz w:val="20"/>
                <w:szCs w:val="20"/>
              </w:rPr>
            </w:pPr>
            <w:r>
              <w:rPr>
                <w:sz w:val="20"/>
                <w:szCs w:val="20"/>
              </w:rPr>
              <w:t>Vypracovanie číselníka merateľných ukazovateľov projektov v zmysle zásad tvorby merateľných ukazovateľov na úrovni projektu, ktoré sú defin</w:t>
            </w:r>
            <w:r w:rsidR="008C1738">
              <w:rPr>
                <w:sz w:val="20"/>
                <w:szCs w:val="20"/>
              </w:rPr>
              <w:t xml:space="preserve">ované v Usmernení CKO k tvorbe </w:t>
            </w:r>
            <w:r>
              <w:rPr>
                <w:sz w:val="20"/>
                <w:szCs w:val="20"/>
              </w:rPr>
              <w:t xml:space="preserve">merateľných ukazovateľov na programovej a projektovej úrovni. </w:t>
            </w:r>
          </w:p>
        </w:tc>
        <w:tc>
          <w:tcPr>
            <w:tcW w:w="2546" w:type="dxa"/>
          </w:tcPr>
          <w:p w14:paraId="566BACA5" w14:textId="77777777" w:rsidR="00AE218A" w:rsidRPr="00103397" w:rsidRDefault="002F71A6" w:rsidP="002F71A6">
            <w:pPr>
              <w:ind w:left="0"/>
              <w:jc w:val="center"/>
              <w:rPr>
                <w:b/>
                <w:sz w:val="20"/>
                <w:szCs w:val="20"/>
              </w:rPr>
            </w:pPr>
            <w:r>
              <w:rPr>
                <w:b/>
                <w:sz w:val="20"/>
                <w:szCs w:val="20"/>
              </w:rPr>
              <w:t>31.12.</w:t>
            </w:r>
            <w:r w:rsidR="00AE218A" w:rsidRPr="00103397">
              <w:rPr>
                <w:b/>
                <w:sz w:val="20"/>
                <w:szCs w:val="20"/>
              </w:rPr>
              <w:t>2014</w:t>
            </w:r>
          </w:p>
        </w:tc>
        <w:tc>
          <w:tcPr>
            <w:tcW w:w="2009" w:type="dxa"/>
          </w:tcPr>
          <w:p w14:paraId="7BCB2369" w14:textId="77777777" w:rsidR="00AE218A" w:rsidRPr="00566720" w:rsidRDefault="00AE218A" w:rsidP="00961B27">
            <w:pPr>
              <w:spacing w:before="20"/>
              <w:ind w:left="0"/>
              <w:rPr>
                <w:sz w:val="20"/>
                <w:szCs w:val="20"/>
              </w:rPr>
            </w:pPr>
            <w:r>
              <w:rPr>
                <w:sz w:val="20"/>
                <w:szCs w:val="20"/>
              </w:rPr>
              <w:t>MDVRR SR (sekcia Operačného programu Doprava), MF SR (sekcia informatizácie spoločnosti)</w:t>
            </w:r>
          </w:p>
        </w:tc>
      </w:tr>
      <w:tr w:rsidR="008251D9" w14:paraId="62EF1253" w14:textId="77777777" w:rsidTr="008251D9">
        <w:trPr>
          <w:trHeight w:val="1496"/>
        </w:trPr>
        <w:tc>
          <w:tcPr>
            <w:tcW w:w="2347" w:type="dxa"/>
          </w:tcPr>
          <w:p w14:paraId="4FBD633C" w14:textId="77777777" w:rsidR="008251D9" w:rsidRPr="005A204E" w:rsidRDefault="008251D9" w:rsidP="008251D9">
            <w:pPr>
              <w:ind w:left="0"/>
              <w:rPr>
                <w:b/>
                <w:sz w:val="20"/>
                <w:szCs w:val="20"/>
              </w:rPr>
            </w:pPr>
            <w:r w:rsidRPr="005A204E">
              <w:rPr>
                <w:b/>
                <w:sz w:val="20"/>
                <w:szCs w:val="20"/>
              </w:rPr>
              <w:t>Štatistické systémy a ukazovatele</w:t>
            </w:r>
          </w:p>
          <w:p w14:paraId="2F94CFFC" w14:textId="77777777" w:rsidR="008251D9" w:rsidRPr="005A204E" w:rsidRDefault="008251D9" w:rsidP="008251D9">
            <w:pPr>
              <w:ind w:left="0"/>
              <w:rPr>
                <w:b/>
                <w:sz w:val="20"/>
                <w:szCs w:val="20"/>
              </w:rPr>
            </w:pPr>
            <w:r w:rsidRPr="005A204E">
              <w:rPr>
                <w:b/>
                <w:sz w:val="20"/>
                <w:szCs w:val="20"/>
              </w:rPr>
              <w:t>výsledkov:</w:t>
            </w:r>
            <w:r>
              <w:rPr>
                <w:b/>
                <w:sz w:val="20"/>
                <w:szCs w:val="20"/>
              </w:rPr>
              <w:t xml:space="preserve"> (časť výskum a inovácie)</w:t>
            </w:r>
          </w:p>
          <w:p w14:paraId="7AFBD28E" w14:textId="77777777" w:rsidR="008251D9" w:rsidRPr="005A204E" w:rsidRDefault="008251D9" w:rsidP="008251D9">
            <w:pPr>
              <w:spacing w:before="120"/>
              <w:ind w:left="0"/>
              <w:rPr>
                <w:sz w:val="20"/>
                <w:szCs w:val="20"/>
              </w:rPr>
            </w:pPr>
            <w:r w:rsidRPr="005A204E">
              <w:rPr>
                <w:sz w:val="20"/>
                <w:szCs w:val="20"/>
              </w:rPr>
              <w:t xml:space="preserve">Existencia štatistického základu potrebného na uskutočnenie hodnotení pre posúdenie účinnosti a </w:t>
            </w:r>
            <w:r w:rsidRPr="005A204E">
              <w:rPr>
                <w:sz w:val="20"/>
                <w:szCs w:val="20"/>
              </w:rPr>
              <w:lastRenderedPageBreak/>
              <w:t>vplyvu</w:t>
            </w:r>
          </w:p>
          <w:p w14:paraId="29C993E3" w14:textId="77777777" w:rsidR="008251D9" w:rsidRDefault="008251D9" w:rsidP="008251D9">
            <w:pPr>
              <w:ind w:left="0"/>
              <w:rPr>
                <w:sz w:val="20"/>
                <w:szCs w:val="20"/>
              </w:rPr>
            </w:pPr>
            <w:r w:rsidRPr="005A204E">
              <w:rPr>
                <w:sz w:val="20"/>
                <w:szCs w:val="20"/>
              </w:rPr>
              <w:t>programov.</w:t>
            </w:r>
          </w:p>
          <w:p w14:paraId="353B4082" w14:textId="77777777" w:rsidR="008251D9" w:rsidRPr="005A204E" w:rsidRDefault="008251D9" w:rsidP="008251D9">
            <w:pPr>
              <w:spacing w:before="120"/>
              <w:ind w:left="0"/>
              <w:rPr>
                <w:sz w:val="20"/>
                <w:szCs w:val="20"/>
              </w:rPr>
            </w:pPr>
            <w:r w:rsidRPr="005A204E">
              <w:rPr>
                <w:sz w:val="20"/>
                <w:szCs w:val="20"/>
              </w:rPr>
              <w:t>Existencia systému ukazovateľov</w:t>
            </w:r>
          </w:p>
          <w:p w14:paraId="3D269B49" w14:textId="77777777" w:rsidR="008251D9" w:rsidRPr="005A204E" w:rsidRDefault="008251D9" w:rsidP="008251D9">
            <w:pPr>
              <w:ind w:left="0"/>
              <w:rPr>
                <w:sz w:val="20"/>
                <w:szCs w:val="20"/>
              </w:rPr>
            </w:pPr>
            <w:r w:rsidRPr="005A204E">
              <w:rPr>
                <w:sz w:val="20"/>
                <w:szCs w:val="20"/>
              </w:rPr>
              <w:t>výsledkov nevyhnutných pre výber</w:t>
            </w:r>
          </w:p>
          <w:p w14:paraId="0D20141E" w14:textId="77777777" w:rsidR="008251D9" w:rsidRPr="005A204E" w:rsidRDefault="008251D9" w:rsidP="008251D9">
            <w:pPr>
              <w:ind w:left="0"/>
              <w:rPr>
                <w:sz w:val="20"/>
                <w:szCs w:val="20"/>
              </w:rPr>
            </w:pPr>
            <w:r w:rsidRPr="005A204E">
              <w:rPr>
                <w:sz w:val="20"/>
                <w:szCs w:val="20"/>
              </w:rPr>
              <w:t>opatrení, ktoré čo najúčinnejšie</w:t>
            </w:r>
          </w:p>
          <w:p w14:paraId="22B07926" w14:textId="77777777" w:rsidR="008251D9" w:rsidRPr="005A204E" w:rsidRDefault="008251D9" w:rsidP="008251D9">
            <w:pPr>
              <w:ind w:left="0"/>
              <w:rPr>
                <w:sz w:val="20"/>
                <w:szCs w:val="20"/>
              </w:rPr>
            </w:pPr>
            <w:r w:rsidRPr="005A204E">
              <w:rPr>
                <w:sz w:val="20"/>
                <w:szCs w:val="20"/>
              </w:rPr>
              <w:t>prispievajú k dosiahnutiu želaných výsledkov, pre monitorovanie pokroku, pri dosahovaní výsledkov a vykonanie posúdenia vplyvu</w:t>
            </w:r>
          </w:p>
          <w:p w14:paraId="185A9D2A" w14:textId="77777777" w:rsidR="008251D9" w:rsidRPr="00103397" w:rsidRDefault="008251D9" w:rsidP="00351D17">
            <w:pPr>
              <w:ind w:left="0"/>
              <w:rPr>
                <w:b/>
                <w:sz w:val="20"/>
                <w:szCs w:val="20"/>
              </w:rPr>
            </w:pPr>
          </w:p>
        </w:tc>
        <w:tc>
          <w:tcPr>
            <w:tcW w:w="2300" w:type="dxa"/>
          </w:tcPr>
          <w:p w14:paraId="67246DC2" w14:textId="77777777" w:rsidR="008251D9" w:rsidRPr="005A204E" w:rsidRDefault="008251D9" w:rsidP="008251D9">
            <w:pPr>
              <w:ind w:left="0"/>
              <w:rPr>
                <w:sz w:val="20"/>
                <w:szCs w:val="20"/>
              </w:rPr>
            </w:pPr>
            <w:r w:rsidRPr="005A204E">
              <w:rPr>
                <w:sz w:val="20"/>
                <w:szCs w:val="20"/>
              </w:rPr>
              <w:lastRenderedPageBreak/>
              <w:t>Zavedené sú opatrenia na zabezpečenie</w:t>
            </w:r>
          </w:p>
          <w:p w14:paraId="7B93AC33" w14:textId="77777777" w:rsidR="008251D9" w:rsidRPr="005A204E" w:rsidRDefault="008251D9" w:rsidP="008251D9">
            <w:pPr>
              <w:ind w:left="0"/>
              <w:rPr>
                <w:sz w:val="20"/>
                <w:szCs w:val="20"/>
              </w:rPr>
            </w:pPr>
            <w:r w:rsidRPr="005A204E">
              <w:rPr>
                <w:sz w:val="20"/>
                <w:szCs w:val="20"/>
              </w:rPr>
              <w:t>včasného zhromaždenia a konsolidácie</w:t>
            </w:r>
          </w:p>
          <w:p w14:paraId="6B4222FA" w14:textId="77777777" w:rsidR="008251D9" w:rsidRPr="005A204E" w:rsidRDefault="008251D9" w:rsidP="008251D9">
            <w:pPr>
              <w:ind w:left="0"/>
              <w:rPr>
                <w:sz w:val="20"/>
                <w:szCs w:val="20"/>
              </w:rPr>
            </w:pPr>
            <w:r w:rsidRPr="005A204E">
              <w:rPr>
                <w:sz w:val="20"/>
                <w:szCs w:val="20"/>
              </w:rPr>
              <w:t>štatistických údajov s týmito prvkami:</w:t>
            </w:r>
          </w:p>
          <w:p w14:paraId="6344B3CC" w14:textId="77777777" w:rsidR="008251D9" w:rsidRPr="005A204E" w:rsidRDefault="008251D9" w:rsidP="008251D9">
            <w:pPr>
              <w:spacing w:before="60"/>
              <w:ind w:left="0"/>
              <w:rPr>
                <w:sz w:val="20"/>
                <w:szCs w:val="20"/>
              </w:rPr>
            </w:pPr>
            <w:r w:rsidRPr="005A204E">
              <w:rPr>
                <w:sz w:val="20"/>
                <w:szCs w:val="20"/>
              </w:rPr>
              <w:t xml:space="preserve">- identifikácia zdrojov a mechanizmov na zaručenie validácie </w:t>
            </w:r>
            <w:r w:rsidRPr="005A204E">
              <w:rPr>
                <w:sz w:val="20"/>
                <w:szCs w:val="20"/>
              </w:rPr>
              <w:lastRenderedPageBreak/>
              <w:t>štatistických údajov,</w:t>
            </w:r>
          </w:p>
          <w:p w14:paraId="5DB2975D" w14:textId="77777777" w:rsidR="008251D9" w:rsidRPr="005A204E" w:rsidRDefault="008251D9" w:rsidP="008251D9">
            <w:pPr>
              <w:spacing w:before="60"/>
              <w:ind w:left="0"/>
              <w:rPr>
                <w:sz w:val="20"/>
                <w:szCs w:val="20"/>
              </w:rPr>
            </w:pPr>
            <w:r w:rsidRPr="005A204E">
              <w:rPr>
                <w:sz w:val="20"/>
                <w:szCs w:val="20"/>
              </w:rPr>
              <w:t>- opatrenia na uverejnenie</w:t>
            </w:r>
          </w:p>
          <w:p w14:paraId="2765A719" w14:textId="77777777" w:rsidR="008251D9" w:rsidRPr="005A204E" w:rsidRDefault="008251D9" w:rsidP="008251D9">
            <w:pPr>
              <w:ind w:left="0"/>
              <w:rPr>
                <w:sz w:val="20"/>
                <w:szCs w:val="20"/>
              </w:rPr>
            </w:pPr>
            <w:r w:rsidRPr="005A204E">
              <w:rPr>
                <w:sz w:val="20"/>
                <w:szCs w:val="20"/>
              </w:rPr>
              <w:t>konsolidovaných údajov a ich</w:t>
            </w:r>
          </w:p>
          <w:p w14:paraId="01C83B89" w14:textId="77777777" w:rsidR="008251D9" w:rsidRPr="005A204E" w:rsidRDefault="008251D9" w:rsidP="008251D9">
            <w:pPr>
              <w:ind w:left="0"/>
              <w:rPr>
                <w:sz w:val="20"/>
                <w:szCs w:val="20"/>
              </w:rPr>
            </w:pPr>
            <w:r w:rsidRPr="005A204E">
              <w:rPr>
                <w:sz w:val="20"/>
                <w:szCs w:val="20"/>
              </w:rPr>
              <w:t>sprístupnenie verejnosti.</w:t>
            </w:r>
          </w:p>
          <w:p w14:paraId="79A094E3" w14:textId="77777777" w:rsidR="008251D9" w:rsidRDefault="008251D9" w:rsidP="008251D9">
            <w:pPr>
              <w:spacing w:before="120"/>
              <w:ind w:left="0"/>
              <w:rPr>
                <w:color w:val="000000" w:themeColor="text1"/>
                <w:sz w:val="20"/>
                <w:szCs w:val="20"/>
              </w:rPr>
            </w:pPr>
          </w:p>
          <w:p w14:paraId="207CC96C" w14:textId="77777777" w:rsidR="008251D9" w:rsidRPr="00A64A7A" w:rsidRDefault="008251D9" w:rsidP="008251D9">
            <w:pPr>
              <w:ind w:left="0"/>
              <w:rPr>
                <w:sz w:val="20"/>
                <w:szCs w:val="20"/>
              </w:rPr>
            </w:pPr>
            <w:r w:rsidRPr="00A64A7A">
              <w:rPr>
                <w:sz w:val="20"/>
                <w:szCs w:val="20"/>
              </w:rPr>
              <w:t>Účinný systém ukazovateľov výsledkov vrátane:</w:t>
            </w:r>
          </w:p>
          <w:p w14:paraId="6E47EF80" w14:textId="77777777" w:rsidR="008251D9" w:rsidRPr="00A64A7A" w:rsidRDefault="008251D9" w:rsidP="008251D9">
            <w:pPr>
              <w:spacing w:before="60"/>
              <w:ind w:left="0"/>
              <w:rPr>
                <w:sz w:val="20"/>
                <w:szCs w:val="20"/>
              </w:rPr>
            </w:pPr>
            <w:r>
              <w:rPr>
                <w:sz w:val="20"/>
                <w:szCs w:val="20"/>
              </w:rPr>
              <w:t xml:space="preserve">- </w:t>
            </w:r>
            <w:r w:rsidRPr="00A64A7A">
              <w:rPr>
                <w:sz w:val="20"/>
                <w:szCs w:val="20"/>
              </w:rPr>
              <w:t>výberu ukazovateľov výsledkov pre každý program poskytujúcich informácie o tom, čo motivuje výber politických opatrení financovaných programom,</w:t>
            </w:r>
          </w:p>
          <w:p w14:paraId="58BBF557" w14:textId="77777777" w:rsidR="008251D9" w:rsidRPr="00A64A7A" w:rsidRDefault="008251D9" w:rsidP="008251D9">
            <w:pPr>
              <w:spacing w:before="60"/>
              <w:ind w:left="0"/>
              <w:rPr>
                <w:sz w:val="20"/>
                <w:szCs w:val="20"/>
              </w:rPr>
            </w:pPr>
            <w:r w:rsidRPr="00A64A7A">
              <w:rPr>
                <w:sz w:val="20"/>
                <w:szCs w:val="20"/>
              </w:rPr>
              <w:t>-</w:t>
            </w:r>
            <w:r>
              <w:rPr>
                <w:sz w:val="20"/>
                <w:szCs w:val="20"/>
              </w:rPr>
              <w:t xml:space="preserve"> </w:t>
            </w:r>
            <w:r w:rsidRPr="00A64A7A">
              <w:rPr>
                <w:sz w:val="20"/>
                <w:szCs w:val="20"/>
              </w:rPr>
              <w:t>stanovenia cieľov týchto ukazovateľov,</w:t>
            </w:r>
          </w:p>
          <w:p w14:paraId="3DBFDD8D" w14:textId="77777777" w:rsidR="008251D9" w:rsidRPr="00A64A7A" w:rsidRDefault="008251D9" w:rsidP="008251D9">
            <w:pPr>
              <w:spacing w:before="60"/>
              <w:ind w:left="0"/>
              <w:rPr>
                <w:sz w:val="20"/>
                <w:szCs w:val="20"/>
              </w:rPr>
            </w:pPr>
            <w:r>
              <w:rPr>
                <w:sz w:val="20"/>
                <w:szCs w:val="20"/>
              </w:rPr>
              <w:t xml:space="preserve">- </w:t>
            </w:r>
            <w:r w:rsidRPr="00A64A7A">
              <w:rPr>
                <w:sz w:val="20"/>
                <w:szCs w:val="20"/>
              </w:rPr>
              <w:t>súladu každého ukazovateľa s týmito náležitosťami: odolnosť a</w:t>
            </w:r>
          </w:p>
          <w:p w14:paraId="04A346FD" w14:textId="77777777" w:rsidR="008251D9" w:rsidRPr="00A64A7A" w:rsidRDefault="008251D9" w:rsidP="008251D9">
            <w:pPr>
              <w:ind w:left="0"/>
              <w:rPr>
                <w:sz w:val="20"/>
                <w:szCs w:val="20"/>
              </w:rPr>
            </w:pPr>
            <w:r w:rsidRPr="00A64A7A">
              <w:rPr>
                <w:sz w:val="20"/>
                <w:szCs w:val="20"/>
              </w:rPr>
              <w:t>štatistická validácia, jasný normatívny výklad, citlivosť voči politike a včasné</w:t>
            </w:r>
          </w:p>
          <w:p w14:paraId="06E70672" w14:textId="77777777" w:rsidR="008251D9" w:rsidRPr="00A64A7A" w:rsidRDefault="008251D9" w:rsidP="008251D9">
            <w:pPr>
              <w:ind w:left="0"/>
              <w:rPr>
                <w:sz w:val="20"/>
                <w:szCs w:val="20"/>
              </w:rPr>
            </w:pPr>
            <w:r w:rsidRPr="00A64A7A">
              <w:rPr>
                <w:sz w:val="20"/>
                <w:szCs w:val="20"/>
              </w:rPr>
              <w:t>zhromažďovanie údajov.</w:t>
            </w:r>
          </w:p>
          <w:p w14:paraId="67EEEF2C" w14:textId="77777777" w:rsidR="008251D9" w:rsidRDefault="008251D9" w:rsidP="008251D9">
            <w:pPr>
              <w:spacing w:before="120"/>
              <w:ind w:left="0"/>
              <w:rPr>
                <w:color w:val="000000" w:themeColor="text1"/>
                <w:sz w:val="20"/>
                <w:szCs w:val="20"/>
              </w:rPr>
            </w:pPr>
          </w:p>
          <w:p w14:paraId="545A47D2" w14:textId="77777777" w:rsidR="008251D9" w:rsidRPr="00A64A7A" w:rsidRDefault="008251D9" w:rsidP="008251D9">
            <w:pPr>
              <w:ind w:left="0"/>
              <w:rPr>
                <w:sz w:val="20"/>
                <w:szCs w:val="20"/>
              </w:rPr>
            </w:pPr>
            <w:r w:rsidRPr="00A64A7A">
              <w:rPr>
                <w:sz w:val="20"/>
                <w:szCs w:val="20"/>
              </w:rPr>
              <w:t>Postupy zavedené na zaručenie toho, aby</w:t>
            </w:r>
          </w:p>
          <w:p w14:paraId="26821F27" w14:textId="77777777" w:rsidR="008251D9" w:rsidRPr="00A64A7A" w:rsidRDefault="008251D9" w:rsidP="008251D9">
            <w:pPr>
              <w:ind w:left="0"/>
              <w:rPr>
                <w:sz w:val="20"/>
                <w:szCs w:val="20"/>
              </w:rPr>
            </w:pPr>
            <w:r w:rsidRPr="00A64A7A">
              <w:rPr>
                <w:sz w:val="20"/>
                <w:szCs w:val="20"/>
              </w:rPr>
              <w:t>všetky operácie financované z programu</w:t>
            </w:r>
          </w:p>
          <w:p w14:paraId="68F1E92B" w14:textId="77777777" w:rsidR="008251D9" w:rsidRPr="00A64A7A" w:rsidRDefault="008251D9" w:rsidP="008251D9">
            <w:pPr>
              <w:ind w:left="0"/>
              <w:rPr>
                <w:sz w:val="20"/>
                <w:szCs w:val="20"/>
              </w:rPr>
            </w:pPr>
            <w:r w:rsidRPr="00A64A7A">
              <w:rPr>
                <w:sz w:val="20"/>
                <w:szCs w:val="20"/>
              </w:rPr>
              <w:t>prijali účinný systém ukazovateľov</w:t>
            </w:r>
          </w:p>
          <w:p w14:paraId="674C05EF" w14:textId="77777777" w:rsidR="008251D9" w:rsidRDefault="008251D9" w:rsidP="00351D17">
            <w:pPr>
              <w:spacing w:before="20" w:after="20"/>
              <w:ind w:left="0"/>
              <w:rPr>
                <w:color w:val="000000" w:themeColor="text1"/>
                <w:sz w:val="20"/>
                <w:szCs w:val="20"/>
              </w:rPr>
            </w:pPr>
          </w:p>
        </w:tc>
        <w:tc>
          <w:tcPr>
            <w:tcW w:w="4973" w:type="dxa"/>
          </w:tcPr>
          <w:p w14:paraId="24B90AB9" w14:textId="39141125" w:rsidR="008251D9" w:rsidRPr="005A204E" w:rsidRDefault="008251D9" w:rsidP="008251D9">
            <w:pPr>
              <w:ind w:left="0"/>
              <w:rPr>
                <w:sz w:val="20"/>
                <w:szCs w:val="20"/>
              </w:rPr>
            </w:pPr>
            <w:r w:rsidRPr="005A204E">
              <w:rPr>
                <w:sz w:val="20"/>
                <w:szCs w:val="20"/>
              </w:rPr>
              <w:lastRenderedPageBreak/>
              <w:t>Dopracovanie systému merateľných ukazovateľov projektov</w:t>
            </w:r>
            <w:r>
              <w:rPr>
                <w:sz w:val="20"/>
                <w:szCs w:val="20"/>
              </w:rPr>
              <w:t xml:space="preserve"> </w:t>
            </w:r>
            <w:r w:rsidRPr="005A204E">
              <w:rPr>
                <w:sz w:val="20"/>
                <w:szCs w:val="20"/>
              </w:rPr>
              <w:t xml:space="preserve">v rámci Systému monitorovania a hodnotenia </w:t>
            </w:r>
            <w:r w:rsidRPr="00351D17">
              <w:rPr>
                <w:sz w:val="20"/>
                <w:szCs w:val="20"/>
              </w:rPr>
              <w:t>OP VaI</w:t>
            </w:r>
            <w:r w:rsidRPr="005A204E">
              <w:rPr>
                <w:sz w:val="20"/>
                <w:szCs w:val="20"/>
              </w:rPr>
              <w:t xml:space="preserve"> bude ďalej</w:t>
            </w:r>
            <w:r>
              <w:rPr>
                <w:sz w:val="20"/>
                <w:szCs w:val="20"/>
              </w:rPr>
              <w:t xml:space="preserve"> </w:t>
            </w:r>
            <w:r w:rsidRPr="005A204E">
              <w:rPr>
                <w:sz w:val="20"/>
                <w:szCs w:val="20"/>
              </w:rPr>
              <w:t>dopracovaný o úroveň projektových ukazovateľov ako aj o systém hodnotenia a zberu dát.</w:t>
            </w:r>
          </w:p>
          <w:p w14:paraId="69DD149A" w14:textId="77777777" w:rsidR="008251D9" w:rsidRDefault="008251D9" w:rsidP="008251D9">
            <w:pPr>
              <w:ind w:left="0"/>
              <w:jc w:val="both"/>
              <w:rPr>
                <w:sz w:val="20"/>
                <w:szCs w:val="20"/>
              </w:rPr>
            </w:pPr>
          </w:p>
          <w:p w14:paraId="616C3707" w14:textId="77777777" w:rsidR="008251D9" w:rsidRDefault="008251D9" w:rsidP="008251D9">
            <w:pPr>
              <w:ind w:left="0"/>
              <w:jc w:val="both"/>
              <w:rPr>
                <w:sz w:val="20"/>
                <w:szCs w:val="20"/>
              </w:rPr>
            </w:pPr>
          </w:p>
          <w:p w14:paraId="0F87F4A4" w14:textId="77777777" w:rsidR="008251D9" w:rsidRDefault="008251D9" w:rsidP="008251D9">
            <w:pPr>
              <w:ind w:left="0"/>
              <w:jc w:val="both"/>
              <w:rPr>
                <w:sz w:val="20"/>
                <w:szCs w:val="20"/>
              </w:rPr>
            </w:pPr>
          </w:p>
          <w:p w14:paraId="6DC0FD09" w14:textId="77777777" w:rsidR="008251D9" w:rsidRDefault="008251D9" w:rsidP="008251D9">
            <w:pPr>
              <w:ind w:left="0"/>
              <w:jc w:val="both"/>
              <w:rPr>
                <w:sz w:val="20"/>
                <w:szCs w:val="20"/>
              </w:rPr>
            </w:pPr>
          </w:p>
          <w:p w14:paraId="1FB82AB9" w14:textId="77777777" w:rsidR="008251D9" w:rsidRDefault="008251D9" w:rsidP="008251D9">
            <w:pPr>
              <w:ind w:left="0"/>
              <w:jc w:val="both"/>
              <w:rPr>
                <w:sz w:val="20"/>
                <w:szCs w:val="20"/>
              </w:rPr>
            </w:pPr>
          </w:p>
          <w:p w14:paraId="774BB6C6" w14:textId="77777777" w:rsidR="008251D9" w:rsidRDefault="008251D9" w:rsidP="008251D9">
            <w:pPr>
              <w:ind w:left="0"/>
              <w:jc w:val="both"/>
              <w:rPr>
                <w:sz w:val="20"/>
                <w:szCs w:val="20"/>
              </w:rPr>
            </w:pPr>
          </w:p>
          <w:p w14:paraId="2EAFB348" w14:textId="77777777" w:rsidR="008251D9" w:rsidRDefault="008251D9" w:rsidP="008251D9">
            <w:pPr>
              <w:ind w:left="0"/>
              <w:jc w:val="both"/>
              <w:rPr>
                <w:sz w:val="20"/>
                <w:szCs w:val="20"/>
              </w:rPr>
            </w:pPr>
          </w:p>
          <w:p w14:paraId="257D939F" w14:textId="77777777" w:rsidR="008251D9" w:rsidRDefault="008251D9" w:rsidP="008251D9">
            <w:pPr>
              <w:ind w:left="0"/>
              <w:jc w:val="both"/>
              <w:rPr>
                <w:sz w:val="20"/>
                <w:szCs w:val="20"/>
              </w:rPr>
            </w:pPr>
          </w:p>
          <w:p w14:paraId="5D94F2A8" w14:textId="77777777" w:rsidR="008251D9" w:rsidRDefault="008251D9" w:rsidP="008251D9">
            <w:pPr>
              <w:ind w:left="0"/>
              <w:jc w:val="both"/>
              <w:rPr>
                <w:sz w:val="20"/>
                <w:szCs w:val="20"/>
              </w:rPr>
            </w:pPr>
          </w:p>
          <w:p w14:paraId="362E0434" w14:textId="77777777" w:rsidR="008251D9" w:rsidRDefault="008251D9" w:rsidP="008251D9">
            <w:pPr>
              <w:ind w:left="0"/>
              <w:jc w:val="both"/>
              <w:rPr>
                <w:sz w:val="20"/>
                <w:szCs w:val="20"/>
              </w:rPr>
            </w:pPr>
          </w:p>
          <w:p w14:paraId="1E640B52" w14:textId="77777777" w:rsidR="008251D9" w:rsidRDefault="008251D9" w:rsidP="008251D9">
            <w:pPr>
              <w:ind w:left="0"/>
              <w:jc w:val="both"/>
              <w:rPr>
                <w:sz w:val="20"/>
                <w:szCs w:val="20"/>
              </w:rPr>
            </w:pPr>
          </w:p>
          <w:p w14:paraId="7F1306C0" w14:textId="77777777" w:rsidR="008251D9" w:rsidRDefault="008251D9" w:rsidP="008251D9">
            <w:pPr>
              <w:pStyle w:val="TableParagraph"/>
              <w:spacing w:before="74" w:line="248" w:lineRule="auto"/>
              <w:ind w:left="0" w:right="67"/>
              <w:jc w:val="both"/>
              <w:rPr>
                <w:rFonts w:ascii="Times New Roman" w:eastAsia="Times New Roman" w:hAnsi="Times New Roman" w:cs="Times New Roman"/>
                <w:sz w:val="20"/>
                <w:szCs w:val="20"/>
                <w:lang w:val="sk-SK" w:eastAsia="sk-SK"/>
              </w:rPr>
            </w:pPr>
          </w:p>
          <w:p w14:paraId="17F6FC46" w14:textId="77777777" w:rsidR="008251D9" w:rsidRPr="00A64A7A" w:rsidRDefault="008251D9" w:rsidP="008251D9">
            <w:pPr>
              <w:pStyle w:val="TableParagraph"/>
              <w:spacing w:before="74" w:line="248" w:lineRule="auto"/>
              <w:ind w:left="0" w:right="67"/>
              <w:jc w:val="both"/>
              <w:rPr>
                <w:rFonts w:ascii="Times New Roman" w:eastAsia="Times New Roman" w:hAnsi="Times New Roman" w:cs="Times New Roman"/>
                <w:sz w:val="20"/>
                <w:szCs w:val="20"/>
                <w:lang w:val="sk-SK" w:eastAsia="sk-SK"/>
              </w:rPr>
            </w:pPr>
            <w:r w:rsidRPr="00A64A7A">
              <w:rPr>
                <w:rFonts w:ascii="Times New Roman" w:eastAsia="Times New Roman" w:hAnsi="Times New Roman" w:cs="Times New Roman"/>
                <w:sz w:val="20"/>
                <w:szCs w:val="20"/>
                <w:lang w:val="sk-SK" w:eastAsia="sk-SK"/>
              </w:rPr>
              <w:t>Identifikácia východiskovej a cieľovej hodnoty výsledkového ukazovateľa „Miera informovanosti o možnostiach podpory z OP“ bude prebiehať v nasledovných krokoch:</w:t>
            </w:r>
          </w:p>
          <w:p w14:paraId="7938BB1B" w14:textId="1D2AABE2" w:rsidR="008251D9" w:rsidRPr="00A64A7A" w:rsidRDefault="008251D9" w:rsidP="008251D9">
            <w:pPr>
              <w:pStyle w:val="Odsekzoznamu"/>
              <w:numPr>
                <w:ilvl w:val="0"/>
                <w:numId w:val="233"/>
              </w:numPr>
              <w:tabs>
                <w:tab w:val="left" w:pos="293"/>
              </w:tabs>
              <w:spacing w:before="60"/>
              <w:ind w:left="0" w:firstLine="0"/>
              <w:contextualSpacing w:val="0"/>
              <w:rPr>
                <w:sz w:val="20"/>
                <w:szCs w:val="20"/>
              </w:rPr>
            </w:pPr>
            <w:r w:rsidRPr="00A64A7A">
              <w:rPr>
                <w:sz w:val="20"/>
                <w:szCs w:val="20"/>
              </w:rPr>
              <w:t>tvorba metodiky na výber vzorky, zber, spracovanie a vyhodnotenie údajov,</w:t>
            </w:r>
          </w:p>
          <w:p w14:paraId="106EE50F" w14:textId="77777777" w:rsidR="008251D9" w:rsidRDefault="008251D9" w:rsidP="008251D9">
            <w:pPr>
              <w:pStyle w:val="Odsekzoznamu"/>
              <w:numPr>
                <w:ilvl w:val="0"/>
                <w:numId w:val="233"/>
              </w:numPr>
              <w:tabs>
                <w:tab w:val="left" w:pos="155"/>
              </w:tabs>
              <w:spacing w:before="60"/>
              <w:ind w:left="0" w:firstLine="0"/>
              <w:contextualSpacing w:val="0"/>
              <w:rPr>
                <w:sz w:val="20"/>
                <w:szCs w:val="20"/>
              </w:rPr>
            </w:pPr>
            <w:r w:rsidRPr="00A64A7A">
              <w:rPr>
                <w:sz w:val="20"/>
                <w:szCs w:val="20"/>
              </w:rPr>
              <w:t>realizácia prieskumu verejnej mienky,</w:t>
            </w:r>
          </w:p>
          <w:p w14:paraId="095639CF" w14:textId="77777777" w:rsidR="008251D9" w:rsidRDefault="008251D9" w:rsidP="008251D9">
            <w:pPr>
              <w:pStyle w:val="Odsekzoznamu"/>
              <w:numPr>
                <w:ilvl w:val="0"/>
                <w:numId w:val="233"/>
              </w:numPr>
              <w:tabs>
                <w:tab w:val="left" w:pos="155"/>
              </w:tabs>
              <w:spacing w:before="60"/>
              <w:ind w:left="0" w:firstLine="0"/>
              <w:contextualSpacing w:val="0"/>
              <w:rPr>
                <w:sz w:val="20"/>
                <w:szCs w:val="20"/>
              </w:rPr>
            </w:pPr>
            <w:r w:rsidRPr="00A64A7A">
              <w:rPr>
                <w:sz w:val="20"/>
                <w:szCs w:val="20"/>
              </w:rPr>
              <w:t>syntéza zozbieraných dát získaných prostredníctvom realizovaného prieskumu verejnej mienky s identifikáciou východiskovej hodnoty ukazovateľa a stanovenie cieľovej hodnoty ukazovateľa.</w:t>
            </w:r>
          </w:p>
          <w:p w14:paraId="4BF46702" w14:textId="77777777" w:rsidR="008251D9" w:rsidRDefault="008251D9" w:rsidP="008251D9">
            <w:pPr>
              <w:tabs>
                <w:tab w:val="left" w:pos="155"/>
              </w:tabs>
              <w:spacing w:before="60"/>
              <w:ind w:left="0"/>
              <w:rPr>
                <w:sz w:val="20"/>
                <w:szCs w:val="20"/>
              </w:rPr>
            </w:pPr>
          </w:p>
          <w:p w14:paraId="7A208307" w14:textId="77777777" w:rsidR="008251D9" w:rsidRDefault="008251D9" w:rsidP="008251D9">
            <w:pPr>
              <w:tabs>
                <w:tab w:val="left" w:pos="155"/>
              </w:tabs>
              <w:spacing w:before="60"/>
              <w:ind w:left="0"/>
              <w:rPr>
                <w:sz w:val="20"/>
                <w:szCs w:val="20"/>
              </w:rPr>
            </w:pPr>
          </w:p>
          <w:p w14:paraId="4C4F9270" w14:textId="77777777" w:rsidR="008251D9" w:rsidRDefault="008251D9" w:rsidP="008251D9">
            <w:pPr>
              <w:tabs>
                <w:tab w:val="left" w:pos="155"/>
              </w:tabs>
              <w:spacing w:before="60"/>
              <w:ind w:left="0"/>
              <w:rPr>
                <w:sz w:val="20"/>
                <w:szCs w:val="20"/>
              </w:rPr>
            </w:pPr>
          </w:p>
          <w:p w14:paraId="23B1A5EF" w14:textId="77777777" w:rsidR="008251D9" w:rsidRDefault="008251D9" w:rsidP="008251D9">
            <w:pPr>
              <w:tabs>
                <w:tab w:val="left" w:pos="155"/>
              </w:tabs>
              <w:spacing w:before="60"/>
              <w:ind w:left="0"/>
              <w:rPr>
                <w:sz w:val="20"/>
                <w:szCs w:val="20"/>
              </w:rPr>
            </w:pPr>
          </w:p>
          <w:p w14:paraId="71379418" w14:textId="77777777" w:rsidR="008251D9" w:rsidRDefault="008251D9" w:rsidP="008251D9">
            <w:pPr>
              <w:tabs>
                <w:tab w:val="left" w:pos="155"/>
              </w:tabs>
              <w:spacing w:before="60"/>
              <w:ind w:left="0"/>
              <w:rPr>
                <w:sz w:val="20"/>
                <w:szCs w:val="20"/>
              </w:rPr>
            </w:pPr>
          </w:p>
          <w:p w14:paraId="7C39477D" w14:textId="77777777" w:rsidR="008251D9" w:rsidRDefault="008251D9" w:rsidP="008251D9">
            <w:pPr>
              <w:tabs>
                <w:tab w:val="left" w:pos="155"/>
              </w:tabs>
              <w:spacing w:before="60"/>
              <w:ind w:left="0"/>
              <w:rPr>
                <w:sz w:val="20"/>
                <w:szCs w:val="20"/>
              </w:rPr>
            </w:pPr>
          </w:p>
          <w:p w14:paraId="3C788078" w14:textId="77777777" w:rsidR="008251D9" w:rsidRDefault="008251D9" w:rsidP="008251D9">
            <w:pPr>
              <w:tabs>
                <w:tab w:val="left" w:pos="155"/>
              </w:tabs>
              <w:spacing w:before="60"/>
              <w:ind w:left="0"/>
              <w:rPr>
                <w:sz w:val="20"/>
                <w:szCs w:val="20"/>
              </w:rPr>
            </w:pPr>
          </w:p>
          <w:p w14:paraId="75E55162" w14:textId="77777777" w:rsidR="008251D9" w:rsidRDefault="008251D9" w:rsidP="008251D9">
            <w:pPr>
              <w:tabs>
                <w:tab w:val="left" w:pos="155"/>
              </w:tabs>
              <w:spacing w:before="60"/>
              <w:ind w:left="0"/>
              <w:rPr>
                <w:sz w:val="20"/>
                <w:szCs w:val="20"/>
              </w:rPr>
            </w:pPr>
          </w:p>
          <w:p w14:paraId="79701BFA" w14:textId="77777777" w:rsidR="008251D9" w:rsidRPr="00A64A7A" w:rsidRDefault="008251D9" w:rsidP="008251D9">
            <w:pPr>
              <w:spacing w:before="60"/>
              <w:ind w:left="0"/>
              <w:rPr>
                <w:sz w:val="20"/>
                <w:szCs w:val="20"/>
              </w:rPr>
            </w:pPr>
            <w:r w:rsidRPr="00A64A7A">
              <w:rPr>
                <w:sz w:val="20"/>
                <w:szCs w:val="20"/>
              </w:rPr>
              <w:t>Dopracovanie systému ukazovateľov o projektovú úroveň budú</w:t>
            </w:r>
            <w:r>
              <w:rPr>
                <w:sz w:val="20"/>
                <w:szCs w:val="20"/>
              </w:rPr>
              <w:t xml:space="preserve"> </w:t>
            </w:r>
            <w:r w:rsidRPr="00A64A7A">
              <w:rPr>
                <w:sz w:val="20"/>
                <w:szCs w:val="20"/>
              </w:rPr>
              <w:t>zohľadňovať prepojenia najmä na nasledovné očakávané výsledky:</w:t>
            </w:r>
          </w:p>
          <w:p w14:paraId="5CEE3DEE" w14:textId="77777777" w:rsidR="008251D9" w:rsidRPr="00A64A7A" w:rsidRDefault="008251D9" w:rsidP="008251D9">
            <w:pPr>
              <w:ind w:left="0"/>
              <w:rPr>
                <w:sz w:val="20"/>
                <w:szCs w:val="20"/>
              </w:rPr>
            </w:pPr>
            <w:r w:rsidRPr="00A64A7A">
              <w:rPr>
                <w:sz w:val="20"/>
                <w:szCs w:val="20"/>
              </w:rPr>
              <w:t>- zvýšenie záujmu mladej ge</w:t>
            </w:r>
            <w:r>
              <w:rPr>
                <w:sz w:val="20"/>
                <w:szCs w:val="20"/>
              </w:rPr>
              <w:t xml:space="preserve">nerácie o štúdium technických a </w:t>
            </w:r>
            <w:r w:rsidRPr="00A64A7A">
              <w:rPr>
                <w:sz w:val="20"/>
                <w:szCs w:val="20"/>
              </w:rPr>
              <w:t>prírodovedných smerov a kariéru výskumníka;</w:t>
            </w:r>
          </w:p>
          <w:p w14:paraId="3ACAB3E5" w14:textId="0D5E96BB" w:rsidR="008251D9" w:rsidRPr="00A64A7A" w:rsidRDefault="006B00CB" w:rsidP="008251D9">
            <w:pPr>
              <w:ind w:left="0"/>
              <w:rPr>
                <w:sz w:val="20"/>
                <w:szCs w:val="20"/>
              </w:rPr>
            </w:pPr>
            <w:r>
              <w:rPr>
                <w:sz w:val="20"/>
                <w:szCs w:val="20"/>
              </w:rPr>
              <w:t xml:space="preserve">- </w:t>
            </w:r>
            <w:r w:rsidR="008251D9" w:rsidRPr="00A64A7A">
              <w:rPr>
                <w:sz w:val="20"/>
                <w:szCs w:val="20"/>
              </w:rPr>
              <w:t>zvýšenie počtu zahraničný</w:t>
            </w:r>
            <w:r w:rsidR="008251D9">
              <w:rPr>
                <w:sz w:val="20"/>
                <w:szCs w:val="20"/>
              </w:rPr>
              <w:t xml:space="preserve">ch excelentných výskumníkov </w:t>
            </w:r>
            <w:r w:rsidR="008251D9" w:rsidRPr="00A64A7A">
              <w:rPr>
                <w:sz w:val="20"/>
                <w:szCs w:val="20"/>
              </w:rPr>
              <w:lastRenderedPageBreak/>
              <w:t>participujúcich na výskumných projektoch v SR;</w:t>
            </w:r>
          </w:p>
          <w:p w14:paraId="0D642944" w14:textId="338A7E4A" w:rsidR="008251D9" w:rsidRPr="00A64A7A" w:rsidRDefault="008251D9" w:rsidP="008251D9">
            <w:pPr>
              <w:ind w:left="0"/>
              <w:rPr>
                <w:sz w:val="20"/>
                <w:szCs w:val="20"/>
              </w:rPr>
            </w:pPr>
            <w:r w:rsidRPr="00A64A7A">
              <w:rPr>
                <w:sz w:val="20"/>
                <w:szCs w:val="20"/>
              </w:rPr>
              <w:t>- zvýšenie počtu slovenský</w:t>
            </w:r>
            <w:r>
              <w:rPr>
                <w:sz w:val="20"/>
                <w:szCs w:val="20"/>
              </w:rPr>
              <w:t xml:space="preserve">ch excelentných výskumníkov </w:t>
            </w:r>
            <w:r w:rsidRPr="00A64A7A">
              <w:rPr>
                <w:sz w:val="20"/>
                <w:szCs w:val="20"/>
              </w:rPr>
              <w:t>pracujúcich v zahraničí participu</w:t>
            </w:r>
            <w:r>
              <w:rPr>
                <w:sz w:val="20"/>
                <w:szCs w:val="20"/>
              </w:rPr>
              <w:t xml:space="preserve">júcich na výskumných projektoch </w:t>
            </w:r>
            <w:r w:rsidRPr="00A64A7A">
              <w:rPr>
                <w:sz w:val="20"/>
                <w:szCs w:val="20"/>
              </w:rPr>
              <w:t>v SR;</w:t>
            </w:r>
          </w:p>
          <w:p w14:paraId="568FDDB5" w14:textId="77777777" w:rsidR="008251D9" w:rsidRPr="00A64A7A" w:rsidRDefault="008251D9" w:rsidP="008251D9">
            <w:pPr>
              <w:ind w:left="0"/>
              <w:rPr>
                <w:sz w:val="20"/>
                <w:szCs w:val="20"/>
              </w:rPr>
            </w:pPr>
            <w:r w:rsidRPr="00A64A7A">
              <w:rPr>
                <w:sz w:val="20"/>
                <w:szCs w:val="20"/>
              </w:rPr>
              <w:t>- vytvorenie pracovných miest v univerzitných vedeckých parkoch</w:t>
            </w:r>
            <w:r>
              <w:rPr>
                <w:sz w:val="20"/>
                <w:szCs w:val="20"/>
              </w:rPr>
              <w:t>;</w:t>
            </w:r>
          </w:p>
          <w:p w14:paraId="683957F2" w14:textId="77777777" w:rsidR="008251D9" w:rsidRPr="00A64A7A" w:rsidRDefault="008251D9" w:rsidP="008251D9">
            <w:pPr>
              <w:ind w:left="0"/>
              <w:rPr>
                <w:sz w:val="20"/>
                <w:szCs w:val="20"/>
              </w:rPr>
            </w:pPr>
            <w:r w:rsidRPr="00A64A7A">
              <w:rPr>
                <w:sz w:val="20"/>
                <w:szCs w:val="20"/>
              </w:rPr>
              <w:t>- zvýšenie využívania nových biznis modelov;</w:t>
            </w:r>
          </w:p>
          <w:p w14:paraId="7AEFCE08" w14:textId="77777777" w:rsidR="008251D9" w:rsidRPr="00A64A7A" w:rsidRDefault="008251D9" w:rsidP="008251D9">
            <w:pPr>
              <w:ind w:left="0"/>
              <w:rPr>
                <w:sz w:val="20"/>
                <w:szCs w:val="20"/>
              </w:rPr>
            </w:pPr>
            <w:r w:rsidRPr="00A64A7A">
              <w:rPr>
                <w:sz w:val="20"/>
                <w:szCs w:val="20"/>
              </w:rPr>
              <w:t>- zlepšenie prepojenia domác</w:t>
            </w:r>
            <w:r>
              <w:rPr>
                <w:sz w:val="20"/>
                <w:szCs w:val="20"/>
              </w:rPr>
              <w:t xml:space="preserve">ich MSP s dodávateľmi pre veľké </w:t>
            </w:r>
            <w:r w:rsidRPr="00A64A7A">
              <w:rPr>
                <w:sz w:val="20"/>
                <w:szCs w:val="20"/>
              </w:rPr>
              <w:t>nadnárodné spoločnosti.</w:t>
            </w:r>
          </w:p>
          <w:p w14:paraId="5CBFF10E" w14:textId="77777777" w:rsidR="008251D9" w:rsidRPr="00A64A7A" w:rsidRDefault="008251D9" w:rsidP="008251D9">
            <w:pPr>
              <w:spacing w:before="120"/>
              <w:ind w:left="0"/>
              <w:rPr>
                <w:sz w:val="20"/>
                <w:szCs w:val="20"/>
              </w:rPr>
            </w:pPr>
            <w:r w:rsidRPr="00A64A7A">
              <w:rPr>
                <w:sz w:val="20"/>
                <w:szCs w:val="20"/>
              </w:rPr>
              <w:t xml:space="preserve">Súčasťou systému ukazovateľov </w:t>
            </w:r>
            <w:r>
              <w:rPr>
                <w:sz w:val="20"/>
                <w:szCs w:val="20"/>
              </w:rPr>
              <w:t xml:space="preserve">budú aj ukazovatele týkajúce sa </w:t>
            </w:r>
            <w:r w:rsidRPr="00A64A7A">
              <w:rPr>
                <w:sz w:val="20"/>
                <w:szCs w:val="20"/>
              </w:rPr>
              <w:t>monitorovania energetickej úspory budov.</w:t>
            </w:r>
          </w:p>
          <w:p w14:paraId="6A8C8C12" w14:textId="77777777" w:rsidR="008251D9" w:rsidRDefault="008251D9" w:rsidP="00351D17">
            <w:pPr>
              <w:ind w:left="0"/>
              <w:jc w:val="both"/>
              <w:rPr>
                <w:sz w:val="20"/>
                <w:szCs w:val="20"/>
              </w:rPr>
            </w:pPr>
          </w:p>
        </w:tc>
        <w:tc>
          <w:tcPr>
            <w:tcW w:w="2546" w:type="dxa"/>
          </w:tcPr>
          <w:p w14:paraId="00F458B3" w14:textId="77777777" w:rsidR="008251D9" w:rsidRDefault="008251D9" w:rsidP="008251D9">
            <w:pPr>
              <w:ind w:left="0"/>
              <w:jc w:val="center"/>
              <w:rPr>
                <w:sz w:val="20"/>
                <w:szCs w:val="20"/>
              </w:rPr>
            </w:pPr>
            <w:r w:rsidRPr="005A204E">
              <w:rPr>
                <w:sz w:val="20"/>
                <w:szCs w:val="20"/>
              </w:rPr>
              <w:lastRenderedPageBreak/>
              <w:t>30.11.2014</w:t>
            </w:r>
          </w:p>
          <w:p w14:paraId="38FB8BD7" w14:textId="77777777" w:rsidR="008251D9" w:rsidRDefault="008251D9" w:rsidP="008251D9">
            <w:pPr>
              <w:ind w:left="0"/>
              <w:jc w:val="center"/>
              <w:rPr>
                <w:sz w:val="20"/>
                <w:szCs w:val="20"/>
              </w:rPr>
            </w:pPr>
          </w:p>
          <w:p w14:paraId="25309585" w14:textId="77777777" w:rsidR="008251D9" w:rsidRDefault="008251D9" w:rsidP="008251D9">
            <w:pPr>
              <w:ind w:left="0"/>
              <w:jc w:val="center"/>
              <w:rPr>
                <w:sz w:val="20"/>
                <w:szCs w:val="20"/>
              </w:rPr>
            </w:pPr>
          </w:p>
          <w:p w14:paraId="53E4C929" w14:textId="77777777" w:rsidR="008251D9" w:rsidRDefault="008251D9" w:rsidP="008251D9">
            <w:pPr>
              <w:ind w:left="0"/>
              <w:jc w:val="center"/>
              <w:rPr>
                <w:sz w:val="20"/>
                <w:szCs w:val="20"/>
              </w:rPr>
            </w:pPr>
          </w:p>
          <w:p w14:paraId="0B060C6E" w14:textId="77777777" w:rsidR="008251D9" w:rsidRDefault="008251D9" w:rsidP="008251D9">
            <w:pPr>
              <w:ind w:left="0"/>
              <w:jc w:val="center"/>
              <w:rPr>
                <w:sz w:val="20"/>
                <w:szCs w:val="20"/>
              </w:rPr>
            </w:pPr>
          </w:p>
          <w:p w14:paraId="021785F9" w14:textId="77777777" w:rsidR="008251D9" w:rsidRDefault="008251D9" w:rsidP="008251D9">
            <w:pPr>
              <w:ind w:left="0"/>
              <w:jc w:val="center"/>
              <w:rPr>
                <w:sz w:val="20"/>
                <w:szCs w:val="20"/>
              </w:rPr>
            </w:pPr>
          </w:p>
          <w:p w14:paraId="5B7B42CC" w14:textId="77777777" w:rsidR="008251D9" w:rsidRDefault="008251D9" w:rsidP="008251D9">
            <w:pPr>
              <w:ind w:left="0"/>
              <w:jc w:val="center"/>
              <w:rPr>
                <w:sz w:val="20"/>
                <w:szCs w:val="20"/>
              </w:rPr>
            </w:pPr>
          </w:p>
          <w:p w14:paraId="22BE85CC" w14:textId="77777777" w:rsidR="008251D9" w:rsidRDefault="008251D9" w:rsidP="008251D9">
            <w:pPr>
              <w:ind w:left="0"/>
              <w:jc w:val="center"/>
              <w:rPr>
                <w:sz w:val="20"/>
                <w:szCs w:val="20"/>
              </w:rPr>
            </w:pPr>
          </w:p>
          <w:p w14:paraId="021FACFE" w14:textId="77777777" w:rsidR="008251D9" w:rsidRDefault="008251D9" w:rsidP="008251D9">
            <w:pPr>
              <w:ind w:left="0"/>
              <w:jc w:val="center"/>
              <w:rPr>
                <w:sz w:val="20"/>
                <w:szCs w:val="20"/>
              </w:rPr>
            </w:pPr>
          </w:p>
          <w:p w14:paraId="143C4380" w14:textId="77777777" w:rsidR="008251D9" w:rsidRDefault="008251D9" w:rsidP="008251D9">
            <w:pPr>
              <w:ind w:left="0"/>
              <w:jc w:val="center"/>
              <w:rPr>
                <w:sz w:val="20"/>
                <w:szCs w:val="20"/>
              </w:rPr>
            </w:pPr>
          </w:p>
          <w:p w14:paraId="66F633F5" w14:textId="77777777" w:rsidR="008251D9" w:rsidRDefault="008251D9" w:rsidP="008251D9">
            <w:pPr>
              <w:ind w:left="0"/>
              <w:jc w:val="center"/>
              <w:rPr>
                <w:sz w:val="20"/>
                <w:szCs w:val="20"/>
              </w:rPr>
            </w:pPr>
          </w:p>
          <w:p w14:paraId="0E34202A" w14:textId="77777777" w:rsidR="008251D9" w:rsidRDefault="008251D9" w:rsidP="008251D9">
            <w:pPr>
              <w:ind w:left="0"/>
              <w:jc w:val="center"/>
              <w:rPr>
                <w:sz w:val="20"/>
                <w:szCs w:val="20"/>
              </w:rPr>
            </w:pPr>
          </w:p>
          <w:p w14:paraId="00C29CCA" w14:textId="77777777" w:rsidR="008251D9" w:rsidRDefault="008251D9" w:rsidP="008251D9">
            <w:pPr>
              <w:ind w:left="0"/>
              <w:jc w:val="center"/>
              <w:rPr>
                <w:sz w:val="20"/>
                <w:szCs w:val="20"/>
              </w:rPr>
            </w:pPr>
          </w:p>
          <w:p w14:paraId="4505A755" w14:textId="77777777" w:rsidR="008251D9" w:rsidRDefault="008251D9" w:rsidP="008251D9">
            <w:pPr>
              <w:ind w:left="0"/>
              <w:jc w:val="center"/>
              <w:rPr>
                <w:sz w:val="20"/>
                <w:szCs w:val="20"/>
              </w:rPr>
            </w:pPr>
          </w:p>
          <w:p w14:paraId="04F13955" w14:textId="77777777" w:rsidR="008251D9" w:rsidRDefault="008251D9" w:rsidP="008251D9">
            <w:pPr>
              <w:ind w:left="0"/>
              <w:jc w:val="center"/>
              <w:rPr>
                <w:sz w:val="20"/>
                <w:szCs w:val="20"/>
              </w:rPr>
            </w:pPr>
          </w:p>
          <w:p w14:paraId="35311B77" w14:textId="77777777" w:rsidR="008251D9" w:rsidRDefault="008251D9" w:rsidP="008251D9">
            <w:pPr>
              <w:ind w:left="0"/>
              <w:jc w:val="center"/>
              <w:rPr>
                <w:sz w:val="20"/>
                <w:szCs w:val="20"/>
              </w:rPr>
            </w:pPr>
          </w:p>
          <w:p w14:paraId="37F776CD" w14:textId="77777777" w:rsidR="008251D9" w:rsidRDefault="008251D9" w:rsidP="008251D9">
            <w:pPr>
              <w:ind w:left="0"/>
              <w:jc w:val="center"/>
              <w:rPr>
                <w:sz w:val="20"/>
                <w:szCs w:val="20"/>
              </w:rPr>
            </w:pPr>
          </w:p>
          <w:p w14:paraId="2B9576C2" w14:textId="77777777" w:rsidR="008251D9" w:rsidRDefault="008251D9" w:rsidP="008251D9">
            <w:pPr>
              <w:ind w:left="0"/>
              <w:jc w:val="center"/>
              <w:rPr>
                <w:sz w:val="20"/>
                <w:szCs w:val="20"/>
              </w:rPr>
            </w:pPr>
          </w:p>
          <w:p w14:paraId="1FF9B39D" w14:textId="77777777" w:rsidR="008251D9" w:rsidRDefault="008251D9" w:rsidP="008251D9">
            <w:pPr>
              <w:ind w:left="0"/>
              <w:jc w:val="center"/>
              <w:rPr>
                <w:sz w:val="20"/>
                <w:szCs w:val="20"/>
              </w:rPr>
            </w:pPr>
          </w:p>
          <w:p w14:paraId="496C5E48" w14:textId="77777777" w:rsidR="008251D9" w:rsidRDefault="008251D9" w:rsidP="008251D9">
            <w:pPr>
              <w:ind w:left="0"/>
              <w:jc w:val="center"/>
              <w:rPr>
                <w:sz w:val="20"/>
                <w:szCs w:val="20"/>
              </w:rPr>
            </w:pPr>
          </w:p>
          <w:p w14:paraId="5D69DE99" w14:textId="77777777" w:rsidR="008251D9" w:rsidRDefault="008251D9" w:rsidP="008251D9">
            <w:pPr>
              <w:ind w:left="0"/>
              <w:jc w:val="center"/>
              <w:rPr>
                <w:sz w:val="20"/>
                <w:szCs w:val="20"/>
              </w:rPr>
            </w:pPr>
          </w:p>
          <w:p w14:paraId="418D89BF" w14:textId="77777777" w:rsidR="008251D9" w:rsidRDefault="008251D9" w:rsidP="008251D9">
            <w:pPr>
              <w:ind w:left="0"/>
              <w:jc w:val="center"/>
              <w:rPr>
                <w:sz w:val="20"/>
                <w:szCs w:val="20"/>
              </w:rPr>
            </w:pPr>
            <w:r>
              <w:rPr>
                <w:sz w:val="20"/>
                <w:szCs w:val="20"/>
              </w:rPr>
              <w:t>do 15.02.2015</w:t>
            </w:r>
          </w:p>
          <w:p w14:paraId="6DEA2905" w14:textId="77777777" w:rsidR="008251D9" w:rsidRDefault="008251D9" w:rsidP="008251D9">
            <w:pPr>
              <w:ind w:left="0"/>
              <w:jc w:val="center"/>
              <w:rPr>
                <w:sz w:val="20"/>
                <w:szCs w:val="20"/>
              </w:rPr>
            </w:pPr>
          </w:p>
          <w:p w14:paraId="4B348D57" w14:textId="77777777" w:rsidR="008251D9" w:rsidRDefault="008251D9" w:rsidP="008251D9">
            <w:pPr>
              <w:ind w:left="0"/>
              <w:jc w:val="center"/>
              <w:rPr>
                <w:sz w:val="20"/>
                <w:szCs w:val="20"/>
              </w:rPr>
            </w:pPr>
            <w:r>
              <w:rPr>
                <w:sz w:val="20"/>
                <w:szCs w:val="20"/>
              </w:rPr>
              <w:t>do 31.08.2015</w:t>
            </w:r>
          </w:p>
          <w:p w14:paraId="3A1F2B6E" w14:textId="77777777" w:rsidR="008251D9" w:rsidRDefault="008251D9" w:rsidP="008251D9">
            <w:pPr>
              <w:ind w:left="0"/>
              <w:jc w:val="center"/>
              <w:rPr>
                <w:sz w:val="20"/>
                <w:szCs w:val="20"/>
              </w:rPr>
            </w:pPr>
          </w:p>
          <w:p w14:paraId="58D1F938" w14:textId="77777777" w:rsidR="008251D9" w:rsidRDefault="008251D9" w:rsidP="008251D9">
            <w:pPr>
              <w:ind w:left="0"/>
              <w:jc w:val="center"/>
              <w:rPr>
                <w:sz w:val="20"/>
                <w:szCs w:val="20"/>
              </w:rPr>
            </w:pPr>
            <w:r>
              <w:rPr>
                <w:sz w:val="20"/>
                <w:szCs w:val="20"/>
              </w:rPr>
              <w:t>do 15.09.2015</w:t>
            </w:r>
          </w:p>
          <w:p w14:paraId="0A52C685" w14:textId="77777777" w:rsidR="008251D9" w:rsidRDefault="008251D9" w:rsidP="008251D9">
            <w:pPr>
              <w:ind w:left="0"/>
              <w:jc w:val="center"/>
              <w:rPr>
                <w:sz w:val="20"/>
                <w:szCs w:val="20"/>
              </w:rPr>
            </w:pPr>
          </w:p>
          <w:p w14:paraId="24968262" w14:textId="77777777" w:rsidR="008251D9" w:rsidRDefault="008251D9" w:rsidP="008251D9">
            <w:pPr>
              <w:ind w:left="0"/>
              <w:jc w:val="center"/>
              <w:rPr>
                <w:sz w:val="20"/>
                <w:szCs w:val="20"/>
              </w:rPr>
            </w:pPr>
          </w:p>
          <w:p w14:paraId="3D14A791" w14:textId="77777777" w:rsidR="008251D9" w:rsidRDefault="008251D9" w:rsidP="008251D9">
            <w:pPr>
              <w:ind w:left="0"/>
              <w:jc w:val="center"/>
              <w:rPr>
                <w:sz w:val="20"/>
                <w:szCs w:val="20"/>
              </w:rPr>
            </w:pPr>
          </w:p>
          <w:p w14:paraId="5C6D47D5" w14:textId="77777777" w:rsidR="008251D9" w:rsidRDefault="008251D9" w:rsidP="008251D9">
            <w:pPr>
              <w:ind w:left="0"/>
              <w:jc w:val="center"/>
              <w:rPr>
                <w:sz w:val="20"/>
                <w:szCs w:val="20"/>
              </w:rPr>
            </w:pPr>
          </w:p>
          <w:p w14:paraId="67698E45" w14:textId="77777777" w:rsidR="008251D9" w:rsidRDefault="008251D9" w:rsidP="008251D9">
            <w:pPr>
              <w:ind w:left="0"/>
              <w:jc w:val="center"/>
              <w:rPr>
                <w:sz w:val="20"/>
                <w:szCs w:val="20"/>
              </w:rPr>
            </w:pPr>
          </w:p>
          <w:p w14:paraId="5783C960" w14:textId="77777777" w:rsidR="008251D9" w:rsidRDefault="008251D9" w:rsidP="008251D9">
            <w:pPr>
              <w:ind w:left="0"/>
              <w:jc w:val="center"/>
              <w:rPr>
                <w:sz w:val="20"/>
                <w:szCs w:val="20"/>
              </w:rPr>
            </w:pPr>
          </w:p>
          <w:p w14:paraId="75D15FAF" w14:textId="77777777" w:rsidR="008251D9" w:rsidRDefault="008251D9" w:rsidP="008251D9">
            <w:pPr>
              <w:ind w:left="0"/>
              <w:jc w:val="center"/>
              <w:rPr>
                <w:sz w:val="20"/>
                <w:szCs w:val="20"/>
              </w:rPr>
            </w:pPr>
          </w:p>
          <w:p w14:paraId="7C50A76B" w14:textId="77777777" w:rsidR="008251D9" w:rsidRDefault="008251D9" w:rsidP="008251D9">
            <w:pPr>
              <w:ind w:left="0"/>
              <w:jc w:val="center"/>
              <w:rPr>
                <w:sz w:val="20"/>
                <w:szCs w:val="20"/>
              </w:rPr>
            </w:pPr>
          </w:p>
          <w:p w14:paraId="3D33B4F9" w14:textId="77777777" w:rsidR="008251D9" w:rsidRDefault="008251D9" w:rsidP="008251D9">
            <w:pPr>
              <w:ind w:left="0"/>
              <w:jc w:val="center"/>
              <w:rPr>
                <w:sz w:val="20"/>
                <w:szCs w:val="20"/>
              </w:rPr>
            </w:pPr>
          </w:p>
          <w:p w14:paraId="03B28D1A" w14:textId="77777777" w:rsidR="008251D9" w:rsidRDefault="008251D9" w:rsidP="008251D9">
            <w:pPr>
              <w:ind w:left="0"/>
              <w:jc w:val="center"/>
              <w:rPr>
                <w:sz w:val="20"/>
                <w:szCs w:val="20"/>
              </w:rPr>
            </w:pPr>
          </w:p>
          <w:p w14:paraId="73DBCD59" w14:textId="77777777" w:rsidR="008251D9" w:rsidRDefault="008251D9" w:rsidP="008251D9">
            <w:pPr>
              <w:ind w:left="0"/>
              <w:jc w:val="center"/>
              <w:rPr>
                <w:sz w:val="20"/>
                <w:szCs w:val="20"/>
              </w:rPr>
            </w:pPr>
          </w:p>
          <w:p w14:paraId="5261C44B" w14:textId="77777777" w:rsidR="008251D9" w:rsidRDefault="008251D9" w:rsidP="008251D9">
            <w:pPr>
              <w:ind w:left="0"/>
              <w:jc w:val="center"/>
              <w:rPr>
                <w:sz w:val="20"/>
                <w:szCs w:val="20"/>
              </w:rPr>
            </w:pPr>
          </w:p>
          <w:p w14:paraId="0BB45FEB" w14:textId="77777777" w:rsidR="008251D9" w:rsidRDefault="008251D9" w:rsidP="008251D9">
            <w:pPr>
              <w:ind w:left="0"/>
              <w:jc w:val="center"/>
              <w:rPr>
                <w:sz w:val="20"/>
                <w:szCs w:val="20"/>
              </w:rPr>
            </w:pPr>
          </w:p>
          <w:p w14:paraId="2CE67E1C" w14:textId="21D078B7" w:rsidR="008251D9" w:rsidRDefault="008251D9" w:rsidP="00351D17">
            <w:pPr>
              <w:ind w:left="0"/>
              <w:jc w:val="center"/>
              <w:rPr>
                <w:b/>
                <w:sz w:val="20"/>
                <w:szCs w:val="20"/>
              </w:rPr>
            </w:pPr>
            <w:r>
              <w:rPr>
                <w:sz w:val="20"/>
                <w:szCs w:val="20"/>
              </w:rPr>
              <w:t>30.11.2014</w:t>
            </w:r>
          </w:p>
        </w:tc>
        <w:tc>
          <w:tcPr>
            <w:tcW w:w="2009" w:type="dxa"/>
          </w:tcPr>
          <w:p w14:paraId="55B3BCC0" w14:textId="77777777" w:rsidR="008251D9" w:rsidRDefault="008251D9" w:rsidP="008251D9">
            <w:pPr>
              <w:spacing w:before="20"/>
              <w:ind w:left="0"/>
              <w:jc w:val="center"/>
              <w:rPr>
                <w:sz w:val="20"/>
                <w:szCs w:val="20"/>
              </w:rPr>
            </w:pPr>
            <w:r>
              <w:rPr>
                <w:sz w:val="20"/>
                <w:szCs w:val="20"/>
              </w:rPr>
              <w:lastRenderedPageBreak/>
              <w:t>Ministerstvo školstva, vedy, výskumu a športu SR</w:t>
            </w:r>
          </w:p>
          <w:p w14:paraId="6B5CFB66" w14:textId="77777777" w:rsidR="008251D9" w:rsidRDefault="008251D9" w:rsidP="008251D9">
            <w:pPr>
              <w:spacing w:before="20"/>
              <w:ind w:left="0"/>
              <w:jc w:val="center"/>
              <w:rPr>
                <w:sz w:val="20"/>
                <w:szCs w:val="20"/>
              </w:rPr>
            </w:pPr>
          </w:p>
          <w:p w14:paraId="2180BD68" w14:textId="6925563D" w:rsidR="008251D9" w:rsidRDefault="008251D9" w:rsidP="00351D17">
            <w:pPr>
              <w:spacing w:before="20"/>
              <w:ind w:left="0"/>
              <w:rPr>
                <w:sz w:val="20"/>
                <w:szCs w:val="20"/>
              </w:rPr>
            </w:pPr>
            <w:r>
              <w:rPr>
                <w:sz w:val="20"/>
                <w:szCs w:val="20"/>
              </w:rPr>
              <w:t>Ministerstvo hospodárstva SR</w:t>
            </w:r>
          </w:p>
        </w:tc>
      </w:tr>
    </w:tbl>
    <w:p w14:paraId="7D32F841" w14:textId="77777777" w:rsidR="003E67A7" w:rsidRDefault="003E67A7" w:rsidP="003E67A7">
      <w:pPr>
        <w:sectPr w:rsidR="003E67A7" w:rsidSect="001A49CC">
          <w:headerReference w:type="default" r:id="rId92"/>
          <w:footerReference w:type="default" r:id="rId93"/>
          <w:pgSz w:w="16838" w:h="11906" w:orient="landscape" w:code="9"/>
          <w:pgMar w:top="2041" w:right="1304" w:bottom="1418" w:left="1304" w:header="1474" w:footer="709" w:gutter="0"/>
          <w:cols w:space="708"/>
          <w:docGrid w:linePitch="360"/>
        </w:sectPr>
      </w:pPr>
    </w:p>
    <w:p w14:paraId="276ADFA2" w14:textId="77777777" w:rsidR="003E67A7" w:rsidRPr="003E67A7" w:rsidRDefault="003E67A7" w:rsidP="00772736">
      <w:pPr>
        <w:pStyle w:val="Nadpis1"/>
      </w:pPr>
      <w:bookmarkStart w:id="199" w:name="_Toc28951696"/>
      <w:r>
        <w:lastRenderedPageBreak/>
        <w:t>Zníženie administratívnej záťaže pre prijímateľov</w:t>
      </w:r>
      <w:bookmarkEnd w:id="199"/>
    </w:p>
    <w:p w14:paraId="4A1213CE" w14:textId="77777777" w:rsidR="008949D6" w:rsidRDefault="008949D6" w:rsidP="008949D6">
      <w:pPr>
        <w:jc w:val="both"/>
        <w:rPr>
          <w:bCs/>
          <w:iCs/>
          <w:sz w:val="22"/>
          <w:szCs w:val="22"/>
        </w:rPr>
      </w:pPr>
      <w:r w:rsidRPr="008949D6">
        <w:rPr>
          <w:bCs/>
          <w:iCs/>
          <w:sz w:val="22"/>
          <w:szCs w:val="22"/>
        </w:rPr>
        <w:t>V súvislosti s opatreniami na dosiahnutie zníženia administratívnej záťaže je všeobecne potrebné identifikovať a odstrániť bariéry na úrovni žiadateľov</w:t>
      </w:r>
      <w:r>
        <w:rPr>
          <w:bCs/>
          <w:iCs/>
          <w:sz w:val="22"/>
          <w:szCs w:val="22"/>
        </w:rPr>
        <w:t>/prijímateľov</w:t>
      </w:r>
      <w:r w:rsidRPr="008949D6">
        <w:rPr>
          <w:bCs/>
          <w:iCs/>
          <w:sz w:val="22"/>
          <w:szCs w:val="22"/>
        </w:rPr>
        <w:t xml:space="preserve"> o poskytnutie pomoci z EŠIF. </w:t>
      </w:r>
    </w:p>
    <w:p w14:paraId="328EAA64" w14:textId="77777777" w:rsidR="008949D6" w:rsidRDefault="008949D6" w:rsidP="008949D6">
      <w:pPr>
        <w:spacing w:before="180"/>
        <w:jc w:val="both"/>
        <w:rPr>
          <w:bCs/>
          <w:iCs/>
          <w:sz w:val="22"/>
          <w:szCs w:val="22"/>
        </w:rPr>
      </w:pPr>
      <w:r w:rsidRPr="008949D6">
        <w:rPr>
          <w:bCs/>
          <w:iCs/>
          <w:sz w:val="22"/>
          <w:szCs w:val="22"/>
        </w:rPr>
        <w:t>Viaceré opatrenia</w:t>
      </w:r>
      <w:r>
        <w:rPr>
          <w:bCs/>
          <w:iCs/>
          <w:sz w:val="22"/>
          <w:szCs w:val="22"/>
        </w:rPr>
        <w:t xml:space="preserve">, systémového alebo ad hoc charakteru </w:t>
      </w:r>
      <w:r w:rsidR="0046129E">
        <w:rPr>
          <w:bCs/>
          <w:iCs/>
          <w:sz w:val="22"/>
          <w:szCs w:val="22"/>
        </w:rPr>
        <w:t xml:space="preserve">už </w:t>
      </w:r>
      <w:r>
        <w:rPr>
          <w:bCs/>
          <w:iCs/>
          <w:sz w:val="22"/>
          <w:szCs w:val="22"/>
        </w:rPr>
        <w:t>boli</w:t>
      </w:r>
      <w:r w:rsidRPr="008949D6">
        <w:rPr>
          <w:bCs/>
          <w:iCs/>
          <w:sz w:val="22"/>
          <w:szCs w:val="22"/>
        </w:rPr>
        <w:t xml:space="preserve"> </w:t>
      </w:r>
      <w:r w:rsidR="0046129E">
        <w:rPr>
          <w:bCs/>
          <w:iCs/>
          <w:sz w:val="22"/>
          <w:szCs w:val="22"/>
        </w:rPr>
        <w:t>prijaté</w:t>
      </w:r>
      <w:r>
        <w:rPr>
          <w:bCs/>
          <w:iCs/>
          <w:sz w:val="22"/>
          <w:szCs w:val="22"/>
        </w:rPr>
        <w:t xml:space="preserve"> v </w:t>
      </w:r>
      <w:r w:rsidRPr="008949D6">
        <w:rPr>
          <w:bCs/>
          <w:iCs/>
          <w:sz w:val="22"/>
          <w:szCs w:val="22"/>
        </w:rPr>
        <w:t>predchád</w:t>
      </w:r>
      <w:r>
        <w:rPr>
          <w:bCs/>
          <w:iCs/>
          <w:sz w:val="22"/>
          <w:szCs w:val="22"/>
        </w:rPr>
        <w:t xml:space="preserve">zajúcich programových obdobiach na úrovni RO, prípadne CKO. So zavedením ďalších opatrení, ktoré budú reflektovať nové zistenia a špecifiká programového obdobia </w:t>
      </w:r>
      <w:r w:rsidRPr="008949D6">
        <w:rPr>
          <w:bCs/>
          <w:iCs/>
          <w:sz w:val="22"/>
          <w:szCs w:val="22"/>
        </w:rPr>
        <w:t>2014 – 2020 sa počíta</w:t>
      </w:r>
      <w:r>
        <w:rPr>
          <w:bCs/>
          <w:iCs/>
          <w:sz w:val="22"/>
          <w:szCs w:val="22"/>
        </w:rPr>
        <w:t xml:space="preserve"> aj do budúcnosti.</w:t>
      </w:r>
      <w:r w:rsidRPr="008949D6">
        <w:rPr>
          <w:bCs/>
          <w:iCs/>
          <w:sz w:val="22"/>
          <w:szCs w:val="22"/>
        </w:rPr>
        <w:t xml:space="preserve"> </w:t>
      </w:r>
      <w:r>
        <w:rPr>
          <w:bCs/>
          <w:iCs/>
          <w:sz w:val="22"/>
          <w:szCs w:val="22"/>
        </w:rPr>
        <w:t xml:space="preserve">Cieľom je zvýšiť </w:t>
      </w:r>
      <w:r w:rsidRPr="008949D6">
        <w:rPr>
          <w:bCs/>
          <w:iCs/>
          <w:sz w:val="22"/>
          <w:szCs w:val="22"/>
        </w:rPr>
        <w:t>efektívnosť poskytovania finančných prostriedkov z</w:t>
      </w:r>
      <w:r>
        <w:rPr>
          <w:bCs/>
          <w:iCs/>
          <w:sz w:val="22"/>
          <w:szCs w:val="22"/>
        </w:rPr>
        <w:t xml:space="preserve"> EŠIF. </w:t>
      </w:r>
      <w:r w:rsidRPr="008949D6">
        <w:rPr>
          <w:bCs/>
          <w:iCs/>
          <w:sz w:val="22"/>
          <w:szCs w:val="22"/>
        </w:rPr>
        <w:t>V zmysle Partnerskej dohody SR sa potenciál znižovania administratívnej záťaže pri poskytovaní fina</w:t>
      </w:r>
      <w:r w:rsidR="000C7996">
        <w:rPr>
          <w:bCs/>
          <w:iCs/>
          <w:sz w:val="22"/>
          <w:szCs w:val="22"/>
        </w:rPr>
        <w:t>nčných prostriedkov z EŠIF</w:t>
      </w:r>
      <w:r w:rsidRPr="008949D6">
        <w:rPr>
          <w:bCs/>
          <w:iCs/>
          <w:sz w:val="22"/>
          <w:szCs w:val="22"/>
        </w:rPr>
        <w:t xml:space="preserve"> v programovom období 2014 – 2020 týka najmä nasledujúcich oblastí:</w:t>
      </w:r>
    </w:p>
    <w:p w14:paraId="262B8F07"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potreba zjednodušenia, sprehľadnenia a zjednotenia formy a obsahu vyhlasovaných výziev (písomných vyzvaní v prípade OPII) na predkladanie žiadostí o NFP;</w:t>
      </w:r>
    </w:p>
    <w:p w14:paraId="701ACB11"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potreba zavedenia možnosti dvojkolového výberu žiadostí o NFP s dôrazom </w:t>
      </w:r>
      <w:r w:rsidRPr="00BB28AC">
        <w:rPr>
          <w:bCs/>
          <w:iCs/>
          <w:sz w:val="22"/>
          <w:szCs w:val="22"/>
        </w:rPr>
        <w:t>na minimalizáciu administratívnej a finančnej náročnosti prvého kola výberu;</w:t>
      </w:r>
    </w:p>
    <w:p w14:paraId="4EED4EF9"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potreba zvýšenia dostupnosti informácií o možnostiach a podmienk</w:t>
      </w:r>
      <w:r w:rsidR="000C7996">
        <w:rPr>
          <w:bCs/>
          <w:iCs/>
          <w:sz w:val="22"/>
          <w:szCs w:val="22"/>
        </w:rPr>
        <w:t>ach získania pomoci z EŠIF</w:t>
      </w:r>
      <w:r w:rsidR="00A5105C">
        <w:rPr>
          <w:bCs/>
          <w:iCs/>
          <w:sz w:val="22"/>
          <w:szCs w:val="22"/>
        </w:rPr>
        <w:t xml:space="preserve"> a </w:t>
      </w:r>
      <w:r w:rsidRPr="008949D6">
        <w:rPr>
          <w:bCs/>
          <w:iCs/>
          <w:sz w:val="22"/>
          <w:szCs w:val="22"/>
        </w:rPr>
        <w:t>centralizovaného poskytnutia kvalitného a odborného poradenstva v danej oblasti, vrátane zvýšenia informovanosti a publicity o EŠIF prostredníctvom printových a elektronických médií;</w:t>
      </w:r>
    </w:p>
    <w:p w14:paraId="00FB93C8"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potreba štandardizácie dokumentov týkajúcich sa podmienok poskytnutia pomoci </w:t>
      </w:r>
      <w:r w:rsidRPr="00BB28AC">
        <w:rPr>
          <w:bCs/>
          <w:iCs/>
          <w:sz w:val="22"/>
          <w:szCs w:val="22"/>
        </w:rPr>
        <w:t>a ich koncipovania s dôrazom na „user-friendly“ formát;</w:t>
      </w:r>
    </w:p>
    <w:p w14:paraId="4E6113A8"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potreba zabezpečenia výmeny relevantných informácií o žiadateľoch a projektoch, ktorými disponujú štátne orgány priamou vzájomnou komunikáciou, bez </w:t>
      </w:r>
      <w:r w:rsidR="00A5105C">
        <w:rPr>
          <w:bCs/>
          <w:iCs/>
          <w:sz w:val="22"/>
          <w:szCs w:val="22"/>
        </w:rPr>
        <w:t>ich vyžadovania od žiadateľov a </w:t>
      </w:r>
      <w:r w:rsidRPr="008949D6">
        <w:rPr>
          <w:bCs/>
          <w:iCs/>
          <w:sz w:val="22"/>
          <w:szCs w:val="22"/>
        </w:rPr>
        <w:t>maximalizácia pozitívnych efektov spojených so zavedením efektívneho IT systé</w:t>
      </w:r>
      <w:r w:rsidR="00A5105C">
        <w:rPr>
          <w:bCs/>
          <w:iCs/>
          <w:sz w:val="22"/>
          <w:szCs w:val="22"/>
        </w:rPr>
        <w:t>mu aj pri </w:t>
      </w:r>
      <w:r w:rsidRPr="008949D6">
        <w:rPr>
          <w:bCs/>
          <w:iCs/>
          <w:sz w:val="22"/>
          <w:szCs w:val="22"/>
        </w:rPr>
        <w:t>komunikácii vo väzbe poskytovateľ – prijímateľ;</w:t>
      </w:r>
    </w:p>
    <w:p w14:paraId="7D3BF01E"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úprava jestvujúcich informačných systémov v kontexte princípov e-kohézie, ktoré umožnia výrazné zníženie administratívnej záťaže a prácnosti implementácie </w:t>
      </w:r>
      <w:r w:rsidR="00FE1914">
        <w:rPr>
          <w:bCs/>
          <w:iCs/>
          <w:sz w:val="22"/>
          <w:szCs w:val="22"/>
        </w:rPr>
        <w:t>EŠIF</w:t>
      </w:r>
      <w:r w:rsidRPr="008949D6">
        <w:rPr>
          <w:bCs/>
          <w:iCs/>
          <w:sz w:val="22"/>
          <w:szCs w:val="22"/>
        </w:rPr>
        <w:t xml:space="preserve"> na strane žiadateľa, prijímateľa, poskytovateľa, auditu a kontroly. Bližšie očakávané prínosy zavedenia princípov e-kohézie sú popísané v Partnerskej dohode SR.</w:t>
      </w:r>
    </w:p>
    <w:p w14:paraId="7F779D44" w14:textId="1322B38A" w:rsidR="000A60F9" w:rsidRDefault="009E7677" w:rsidP="00303840">
      <w:pPr>
        <w:pStyle w:val="Tab"/>
      </w:pPr>
      <w:r>
        <w:t>Zníženie administratívnej záťaže pre prijímateľov</w:t>
      </w:r>
      <w:r w:rsidR="00D613C3">
        <w:t xml:space="preserve"> – pozri Prílohu 21.</w:t>
      </w:r>
    </w:p>
    <w:p w14:paraId="615C84CF" w14:textId="77777777" w:rsidR="00A80A3A" w:rsidRPr="00A80A3A" w:rsidRDefault="00A80A3A" w:rsidP="00A80A3A">
      <w:pPr>
        <w:rPr>
          <w:lang w:eastAsia="cs-CZ"/>
        </w:rPr>
      </w:pPr>
    </w:p>
    <w:p w14:paraId="509CBA04" w14:textId="77777777" w:rsidR="008251D9" w:rsidRPr="00D613C3" w:rsidRDefault="008251D9" w:rsidP="008251D9">
      <w:pPr>
        <w:rPr>
          <w:sz w:val="22"/>
          <w:szCs w:val="22"/>
          <w:u w:val="single"/>
          <w:lang w:eastAsia="cs-CZ"/>
        </w:rPr>
      </w:pPr>
      <w:r w:rsidRPr="00D613C3">
        <w:rPr>
          <w:sz w:val="22"/>
          <w:szCs w:val="22"/>
          <w:u w:val="single"/>
          <w:lang w:eastAsia="cs-CZ"/>
        </w:rPr>
        <w:t>Výskum a inovácie</w:t>
      </w:r>
    </w:p>
    <w:p w14:paraId="2799193A" w14:textId="77777777" w:rsidR="008251D9" w:rsidRPr="00403F48" w:rsidRDefault="008251D9" w:rsidP="008251D9">
      <w:pPr>
        <w:spacing w:before="120"/>
        <w:jc w:val="both"/>
        <w:rPr>
          <w:b/>
          <w:sz w:val="22"/>
          <w:szCs w:val="22"/>
          <w:lang w:eastAsia="cs-CZ"/>
        </w:rPr>
      </w:pPr>
      <w:r w:rsidRPr="00403F48">
        <w:rPr>
          <w:b/>
          <w:sz w:val="22"/>
          <w:szCs w:val="22"/>
          <w:lang w:eastAsia="cs-CZ"/>
        </w:rPr>
        <w:t>Hodnotenie administratívnej záťaže žiadateľov a prijímateľov NFP v programovom období 2007 – 2013</w:t>
      </w:r>
    </w:p>
    <w:p w14:paraId="37697D85" w14:textId="77777777" w:rsidR="008251D9" w:rsidRPr="00403F48" w:rsidRDefault="008251D9" w:rsidP="008251D9">
      <w:pPr>
        <w:spacing w:before="120"/>
        <w:jc w:val="both"/>
        <w:rPr>
          <w:sz w:val="22"/>
          <w:szCs w:val="22"/>
          <w:lang w:eastAsia="cs-CZ"/>
        </w:rPr>
      </w:pPr>
      <w:r w:rsidRPr="00403F48">
        <w:rPr>
          <w:sz w:val="22"/>
          <w:szCs w:val="22"/>
          <w:lang w:eastAsia="cs-CZ"/>
        </w:rPr>
        <w:t>Na základe skúsenost</w:t>
      </w:r>
      <w:r>
        <w:rPr>
          <w:sz w:val="22"/>
          <w:szCs w:val="22"/>
          <w:lang w:eastAsia="cs-CZ"/>
        </w:rPr>
        <w:t>í</w:t>
      </w:r>
      <w:r w:rsidRPr="00403F48">
        <w:rPr>
          <w:sz w:val="22"/>
          <w:szCs w:val="22"/>
          <w:lang w:eastAsia="cs-CZ"/>
        </w:rPr>
        <w:t xml:space="preserve"> z programového obdobia 2007 – 2013 boli identifikované nasledovné aktivity predlžujúce jednotlivé časti schvaľovacieho a implementačného procesu:</w:t>
      </w:r>
    </w:p>
    <w:p w14:paraId="65011AAD" w14:textId="77777777" w:rsidR="008251D9" w:rsidRPr="007A4D6E" w:rsidRDefault="008251D9" w:rsidP="008251D9">
      <w:pPr>
        <w:pStyle w:val="Zkladntext"/>
        <w:widowControl w:val="0"/>
        <w:numPr>
          <w:ilvl w:val="0"/>
          <w:numId w:val="230"/>
        </w:numPr>
        <w:tabs>
          <w:tab w:val="left" w:pos="960"/>
        </w:tabs>
        <w:spacing w:before="120" w:after="0"/>
        <w:ind w:left="568" w:hanging="284"/>
        <w:jc w:val="both"/>
        <w:rPr>
          <w:sz w:val="22"/>
          <w:szCs w:val="22"/>
        </w:rPr>
      </w:pPr>
      <w:r w:rsidRPr="007A4D6E">
        <w:rPr>
          <w:sz w:val="22"/>
          <w:szCs w:val="22"/>
        </w:rPr>
        <w:t>predkladanie žiadosti o NFP (ďalej len „ŽoNFP“) a žiadosti o platbu (ďalej len „ŽoP“) elektronicky a súčasne aj v listinnej podobe;</w:t>
      </w:r>
    </w:p>
    <w:p w14:paraId="766943FF" w14:textId="77777777" w:rsidR="008251D9" w:rsidRPr="007A4D6E"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predkladanie príloh ŽoNFP a ŽoP v listinnej podobe;</w:t>
      </w:r>
    </w:p>
    <w:p w14:paraId="3F629615" w14:textId="77777777" w:rsidR="008251D9" w:rsidRPr="007A4D6E"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predkladanie dokumentov vo viacerých vyhotoveniach, resp. kópiách;</w:t>
      </w:r>
    </w:p>
    <w:p w14:paraId="442474A0" w14:textId="77777777" w:rsidR="008251D9" w:rsidRPr="007A4D6E"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opätovné predkladanie dokumentov, ktoré už predtým žiadatelia/prijímatelia predložili;</w:t>
      </w:r>
    </w:p>
    <w:p w14:paraId="459B0587" w14:textId="77777777" w:rsidR="008251D9" w:rsidRPr="007A4D6E"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predkladanie dokumentov dokladujúcich skutočnosti, ktoré sú verejne známe, resp. dostupné prostredníctvom internetu alebo ktoré vydal či schválil samotný RO/SORO, resp. ústredný orgán štátnej správy, ktorého je súčasťou;</w:t>
      </w:r>
    </w:p>
    <w:p w14:paraId="672FD8FE" w14:textId="77777777" w:rsidR="008251D9" w:rsidRPr="007A4D6E"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povinné predkladanie dokumentov v listinnej podobe aj vtedy, ak sú súčasne podávané aj elektronicky;</w:t>
      </w:r>
    </w:p>
    <w:p w14:paraId="31A47705" w14:textId="17A01EE4" w:rsidR="008251D9" w:rsidRDefault="008251D9" w:rsidP="008251D9">
      <w:pPr>
        <w:pStyle w:val="Zkladntext"/>
        <w:widowControl w:val="0"/>
        <w:numPr>
          <w:ilvl w:val="0"/>
          <w:numId w:val="230"/>
        </w:numPr>
        <w:tabs>
          <w:tab w:val="left" w:pos="960"/>
        </w:tabs>
        <w:spacing w:after="0"/>
        <w:ind w:left="568" w:hanging="284"/>
        <w:jc w:val="both"/>
        <w:rPr>
          <w:sz w:val="22"/>
          <w:szCs w:val="22"/>
        </w:rPr>
      </w:pPr>
      <w:r w:rsidRPr="007A4D6E">
        <w:rPr>
          <w:sz w:val="22"/>
          <w:szCs w:val="22"/>
        </w:rPr>
        <w:t>povinná písomná komunikácia a čakanie na jej doručenie predlžuje termíny na vybavenie alebo schválenie napr. žiadostí o NFP, o platbu, o zmenu zmluvy a pod. – čím dlhšie l</w:t>
      </w:r>
      <w:r w:rsidR="00300439">
        <w:rPr>
          <w:sz w:val="22"/>
          <w:szCs w:val="22"/>
        </w:rPr>
        <w:t>ehoty na </w:t>
      </w:r>
      <w:r w:rsidRPr="007A4D6E">
        <w:rPr>
          <w:sz w:val="22"/>
          <w:szCs w:val="22"/>
        </w:rPr>
        <w:t>komunikáciu, tým pomalšie schvaľovanie a implementácia projektov.</w:t>
      </w:r>
    </w:p>
    <w:p w14:paraId="0D76C021" w14:textId="12D2FB7F" w:rsidR="008251D9" w:rsidRPr="00300439" w:rsidRDefault="008251D9" w:rsidP="008251D9">
      <w:pPr>
        <w:pStyle w:val="Zkladntext"/>
        <w:widowControl w:val="0"/>
        <w:tabs>
          <w:tab w:val="left" w:pos="960"/>
        </w:tabs>
        <w:spacing w:before="240" w:after="0"/>
        <w:jc w:val="both"/>
        <w:rPr>
          <w:b/>
          <w:sz w:val="22"/>
          <w:szCs w:val="22"/>
          <w:lang w:eastAsia="cs-CZ"/>
        </w:rPr>
      </w:pPr>
      <w:r w:rsidRPr="00300439">
        <w:rPr>
          <w:b/>
          <w:sz w:val="22"/>
          <w:szCs w:val="22"/>
          <w:lang w:eastAsia="cs-CZ"/>
        </w:rPr>
        <w:t xml:space="preserve">Plánované aktivity na znižovanie administratívnej záťaže v rámci OPII (časť </w:t>
      </w:r>
      <w:r w:rsidR="00300439">
        <w:rPr>
          <w:b/>
          <w:sz w:val="22"/>
          <w:szCs w:val="22"/>
          <w:lang w:eastAsia="cs-CZ"/>
        </w:rPr>
        <w:t>VaI</w:t>
      </w:r>
      <w:r w:rsidRPr="00300439">
        <w:rPr>
          <w:b/>
          <w:sz w:val="22"/>
          <w:szCs w:val="22"/>
          <w:lang w:eastAsia="cs-CZ"/>
        </w:rPr>
        <w:t>)</w:t>
      </w:r>
    </w:p>
    <w:p w14:paraId="1FB56624" w14:textId="4BD33A2E" w:rsidR="008251D9" w:rsidRPr="00403F48" w:rsidRDefault="008251D9" w:rsidP="008251D9">
      <w:pPr>
        <w:pStyle w:val="Zkladntext"/>
        <w:spacing w:before="120"/>
        <w:jc w:val="both"/>
        <w:rPr>
          <w:sz w:val="22"/>
          <w:szCs w:val="22"/>
          <w:lang w:eastAsia="cs-CZ"/>
        </w:rPr>
      </w:pPr>
      <w:r w:rsidRPr="00403F48">
        <w:rPr>
          <w:sz w:val="22"/>
          <w:szCs w:val="22"/>
          <w:lang w:eastAsia="cs-CZ"/>
        </w:rPr>
        <w:lastRenderedPageBreak/>
        <w:t>Okrem identifikovaných oblastí s potenciálom znižovania administratívnej záťaže v rámci PD SR</w:t>
      </w:r>
      <w:r w:rsidR="00C13201">
        <w:rPr>
          <w:rStyle w:val="Odkaznapoznmkupodiarou"/>
          <w:sz w:val="22"/>
          <w:szCs w:val="22"/>
          <w:lang w:eastAsia="cs-CZ"/>
        </w:rPr>
        <w:footnoteReference w:id="128"/>
      </w:r>
      <w:r w:rsidRPr="00403F48">
        <w:rPr>
          <w:sz w:val="22"/>
          <w:szCs w:val="22"/>
          <w:lang w:eastAsia="cs-CZ"/>
        </w:rPr>
        <w:t xml:space="preserve"> boli na základe skúseností identifikované nasledovné aktivity s potenciálom</w:t>
      </w:r>
      <w:r w:rsidR="00C13201">
        <w:rPr>
          <w:rStyle w:val="Odkaznapoznmkupodiarou"/>
          <w:sz w:val="22"/>
          <w:szCs w:val="22"/>
          <w:lang w:eastAsia="cs-CZ"/>
        </w:rPr>
        <w:footnoteReference w:id="129"/>
      </w:r>
      <w:r w:rsidRPr="00403F48">
        <w:rPr>
          <w:sz w:val="22"/>
          <w:szCs w:val="22"/>
          <w:lang w:eastAsia="cs-CZ"/>
        </w:rPr>
        <w:t xml:space="preserve"> na znižovanie administratívnej záťaže v podmienkach implementácie OPII (časť výskum a inovácie):</w:t>
      </w:r>
      <w:r w:rsidR="00D613C3">
        <w:rPr>
          <w:sz w:val="22"/>
          <w:szCs w:val="22"/>
          <w:lang w:eastAsia="cs-CZ"/>
        </w:rPr>
        <w:t xml:space="preserve"> pozri Prílohu 21.</w:t>
      </w:r>
    </w:p>
    <w:p w14:paraId="2AD928F9" w14:textId="77777777" w:rsidR="00A5105C" w:rsidRPr="00A5105C" w:rsidRDefault="00A5105C" w:rsidP="00A5105C">
      <w:pPr>
        <w:rPr>
          <w:lang w:eastAsia="cs-CZ"/>
        </w:rPr>
      </w:pPr>
    </w:p>
    <w:p w14:paraId="6805A841" w14:textId="77777777" w:rsidR="00683625" w:rsidRPr="00683625" w:rsidRDefault="00683625" w:rsidP="00683625">
      <w:pPr>
        <w:spacing w:before="240"/>
        <w:jc w:val="both"/>
        <w:rPr>
          <w:sz w:val="22"/>
          <w:szCs w:val="22"/>
        </w:rPr>
      </w:pPr>
    </w:p>
    <w:p w14:paraId="3C14B09D" w14:textId="77777777" w:rsidR="00BF142C" w:rsidRPr="00406A31" w:rsidRDefault="00BF142C" w:rsidP="00BF142C">
      <w:pPr>
        <w:spacing w:before="240"/>
        <w:jc w:val="both"/>
        <w:rPr>
          <w:sz w:val="22"/>
          <w:szCs w:val="22"/>
        </w:rPr>
      </w:pPr>
    </w:p>
    <w:p w14:paraId="00C83933" w14:textId="77777777" w:rsidR="00772736" w:rsidRDefault="00772736" w:rsidP="00772736">
      <w:pPr>
        <w:pStyle w:val="Nadpis1"/>
        <w:sectPr w:rsidR="00772736" w:rsidSect="00D1658B">
          <w:headerReference w:type="default" r:id="rId94"/>
          <w:footerReference w:type="default" r:id="rId95"/>
          <w:pgSz w:w="11906" w:h="16838"/>
          <w:pgMar w:top="1418" w:right="1361" w:bottom="1304" w:left="1474" w:header="709" w:footer="709" w:gutter="0"/>
          <w:cols w:space="708"/>
          <w:docGrid w:linePitch="360"/>
        </w:sectPr>
      </w:pPr>
    </w:p>
    <w:p w14:paraId="1C471BEB" w14:textId="77777777" w:rsidR="003E67A7" w:rsidRDefault="00772736" w:rsidP="00772736">
      <w:pPr>
        <w:pStyle w:val="Nadpis1"/>
      </w:pPr>
      <w:bookmarkStart w:id="200" w:name="_Toc28951697"/>
      <w:r>
        <w:lastRenderedPageBreak/>
        <w:t>Horizontálne princípy</w:t>
      </w:r>
      <w:bookmarkEnd w:id="200"/>
    </w:p>
    <w:p w14:paraId="6F06B74C" w14:textId="77777777" w:rsidR="00772736" w:rsidRDefault="00772736" w:rsidP="00772736">
      <w:pPr>
        <w:pStyle w:val="Nadpis2"/>
        <w:spacing w:before="240"/>
      </w:pPr>
      <w:bookmarkStart w:id="201" w:name="_Toc383209162"/>
      <w:bookmarkStart w:id="202" w:name="_Toc383236576"/>
      <w:bookmarkStart w:id="203" w:name="_Toc28951698"/>
      <w:r>
        <w:t>Udržateľný rozvoj</w:t>
      </w:r>
      <w:bookmarkEnd w:id="201"/>
      <w:bookmarkEnd w:id="202"/>
      <w:bookmarkEnd w:id="203"/>
    </w:p>
    <w:p w14:paraId="6FB2DB66" w14:textId="7D8E8D18" w:rsidR="00EA5B5E" w:rsidRDefault="00EA5B5E" w:rsidP="00EA5B5E">
      <w:pPr>
        <w:pStyle w:val="Vchodzie"/>
        <w:spacing w:before="240" w:line="240" w:lineRule="auto"/>
        <w:rPr>
          <w:rFonts w:ascii="Times New Roman" w:hAnsi="Times New Roman" w:cs="Times New Roman"/>
        </w:rPr>
      </w:pPr>
      <w:r w:rsidRPr="00E16436">
        <w:rPr>
          <w:rFonts w:ascii="Times New Roman" w:hAnsi="Times New Roman" w:cs="Times New Roman"/>
          <w:color w:val="auto"/>
          <w:szCs w:val="22"/>
        </w:rPr>
        <w:t>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sociálneho a ekonomického rastu s osobitným dôrazom na ochranu a zlepšenie životného prostredia pri zohľadnení zásady „znečisťovateľ platí“</w:t>
      </w:r>
      <w:r w:rsidRPr="00E16436">
        <w:rPr>
          <w:rStyle w:val="Odkaznapoznmkupodiarou"/>
          <w:rFonts w:ascii="Times New Roman" w:hAnsi="Times New Roman" w:cs="Times New Roman"/>
          <w:color w:val="auto"/>
          <w:szCs w:val="22"/>
        </w:rPr>
        <w:footnoteReference w:id="130"/>
      </w:r>
      <w:r w:rsidRPr="00E16436">
        <w:rPr>
          <w:rFonts w:ascii="Times New Roman" w:hAnsi="Times New Roman" w:cs="Times New Roman"/>
          <w:color w:val="auto"/>
          <w:szCs w:val="22"/>
        </w:rPr>
        <w:t xml:space="preserve">. Uvedené tri piliere udržateľného rozvoja budú špecifickými cieľmi horizontálneho princípu udržateľný rozvoj. Tie sa budú ďalej členiť na čiastkové ciele, ktoré budú zahŕňať vecne príslušné tematické ciele stanovené pre EŠIF 2014 – 2020. </w:t>
      </w:r>
      <w:r w:rsidR="00786196" w:rsidRPr="00B1196A">
        <w:rPr>
          <w:rFonts w:ascii="Times New Roman" w:hAnsi="Times New Roman" w:cs="Times New Roman"/>
          <w:color w:val="auto"/>
          <w:szCs w:val="22"/>
        </w:rPr>
        <w:t>Oblasť dopravy prioritne patrí do environmentálneho piliera HP UR, čiastkového cieľa týkajúceho sa podpory udržateľnej dopravy a odstraňovania prekážok v kľúčových sieťových infraštruktúrach, s dopadom aj na čiastkový cieľ ochrana životného prostredia. Oblasť informatizácie prispieva prioritne k ekonomickému pilieru HP UR, k čiastkovému cieľu týkajúcemu sa posilnenia výskumu, technologického rozvoja a inovácií, s presahom aj na čiastkový cieľ zvýšenie konkurencieschopnosti MSP. Svojimi aktivitami OP ovplyvňuje aj sociálny pilier HP UR, najmä čiastkový cieľ podpora zamestnanosti a mobility pracovnej sily.</w:t>
      </w:r>
    </w:p>
    <w:p w14:paraId="3B97D928" w14:textId="77777777" w:rsid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bCs/>
          <w:iCs/>
          <w:color w:val="auto"/>
          <w:szCs w:val="22"/>
        </w:rPr>
        <w:t xml:space="preserve">V rámci uplatňovania zásady „znečisťovateľ platí“ </w:t>
      </w:r>
      <w:r w:rsidRPr="00E16436">
        <w:rPr>
          <w:rFonts w:ascii="Times New Roman" w:hAnsi="Times New Roman" w:cs="Times New Roman"/>
          <w:color w:val="auto"/>
          <w:szCs w:val="22"/>
        </w:rPr>
        <w:t>sa</w:t>
      </w:r>
      <w:r w:rsidRPr="00E16436">
        <w:rPr>
          <w:rFonts w:ascii="Times New Roman" w:hAnsi="Times New Roman" w:cs="Times New Roman"/>
          <w:b/>
          <w:bCs/>
          <w:i/>
          <w:iCs/>
          <w:color w:val="auto"/>
          <w:szCs w:val="22"/>
        </w:rPr>
        <w:t xml:space="preserve"> </w:t>
      </w:r>
      <w:r w:rsidRPr="00E16436">
        <w:rPr>
          <w:rFonts w:ascii="Times New Roman" w:hAnsi="Times New Roman" w:cs="Times New Roman"/>
          <w:bCs/>
          <w:iCs/>
          <w:color w:val="auto"/>
          <w:szCs w:val="22"/>
        </w:rPr>
        <w:t>v SR</w:t>
      </w:r>
      <w:r w:rsidRPr="00E16436">
        <w:rPr>
          <w:rFonts w:ascii="Times New Roman" w:hAnsi="Times New Roman" w:cs="Times New Roman"/>
          <w:color w:val="auto"/>
          <w:szCs w:val="22"/>
        </w:rPr>
        <w:t xml:space="preserve"> využívajú predovšetkým dva horizontálne nástroje – integrovaná prevencia a kontrola znečisťovania (IPKZ) a posudzovanie vplyvov na životné prostredie (EIA). Uvedené horizontálne nástroje budú uplatňované aj v rámci poskytovania podpory z EŠIF.</w:t>
      </w:r>
    </w:p>
    <w:p w14:paraId="4B72AC2C" w14:textId="5BF86EE3" w:rsidR="00EA5B5E" w:rsidRP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color w:val="auto"/>
          <w:szCs w:val="22"/>
        </w:rPr>
        <w:t>Princíp udržateľného rozvoja bude integrovaný do OPII prostredníctvom jeho príslušnej riadiacej dokumentácie. Pre identifikáciu prioritných oblastí a cieľov na uplatňovanie princípu udržateľného rozvoja bude základným rámcom</w:t>
      </w:r>
      <w:r w:rsidR="00786196">
        <w:rPr>
          <w:rFonts w:ascii="Times New Roman" w:hAnsi="Times New Roman" w:cs="Times New Roman"/>
          <w:color w:val="auto"/>
          <w:szCs w:val="22"/>
        </w:rPr>
        <w:t xml:space="preserve"> Systém implementácie HP UR zverejnený na webovom sídle </w:t>
      </w:r>
      <w:hyperlink r:id="rId96" w:history="1">
        <w:r w:rsidR="00786196" w:rsidRPr="003A002F">
          <w:rPr>
            <w:rStyle w:val="Hypertextovprepojenie"/>
            <w:rFonts w:ascii="Times New Roman" w:hAnsi="Times New Roman" w:cs="Times New Roman"/>
            <w:szCs w:val="22"/>
          </w:rPr>
          <w:t>www.vicepremier.gov.sk</w:t>
        </w:r>
      </w:hyperlink>
      <w:r w:rsidRPr="00E16436">
        <w:rPr>
          <w:rFonts w:ascii="Times New Roman" w:hAnsi="Times New Roman" w:cs="Times New Roman"/>
          <w:color w:val="auto"/>
          <w:szCs w:val="22"/>
        </w:rPr>
        <w:t>, prostredníctvom ktorého sa zabezpečí jeho aplikácia v OPII. Pre účinné uplatňovanie horizontálneho princípu udržateľný rozvoj bude jeho hlavný cieľ stanovený v hodnotiacom a výberovom procese žiadostí o </w:t>
      </w:r>
      <w:r w:rsidRPr="00EA5B5E">
        <w:rPr>
          <w:rFonts w:ascii="Times New Roman" w:hAnsi="Times New Roman" w:cs="Times New Roman"/>
          <w:color w:val="auto"/>
          <w:szCs w:val="22"/>
        </w:rPr>
        <w:t xml:space="preserve">podporu </w:t>
      </w:r>
      <w:r w:rsidRPr="00E16436">
        <w:rPr>
          <w:rFonts w:ascii="Times New Roman" w:hAnsi="Times New Roman" w:cs="Times New Roman"/>
          <w:color w:val="auto"/>
          <w:szCs w:val="22"/>
        </w:rPr>
        <w:t xml:space="preserve">ako diskvalifikačné kritérium v rámci prioritných osí OPII. </w:t>
      </w:r>
    </w:p>
    <w:p w14:paraId="0943E942" w14:textId="7AAA0B13" w:rsidR="00EA5B5E" w:rsidRP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color w:val="auto"/>
          <w:szCs w:val="22"/>
        </w:rPr>
        <w:t>Proces monitorovania plnenia princípu udržateľného rozvoja bude na projektovej úrovni sledovaný prostredn</w:t>
      </w:r>
      <w:r w:rsidR="00E267CA">
        <w:rPr>
          <w:rFonts w:ascii="Times New Roman" w:hAnsi="Times New Roman" w:cs="Times New Roman"/>
          <w:color w:val="auto"/>
          <w:szCs w:val="22"/>
        </w:rPr>
        <w:t>íctvom monitorovacích správ (t.</w:t>
      </w:r>
      <w:r w:rsidRPr="00E16436">
        <w:rPr>
          <w:rFonts w:ascii="Times New Roman" w:hAnsi="Times New Roman" w:cs="Times New Roman"/>
          <w:color w:val="auto"/>
          <w:szCs w:val="22"/>
        </w:rPr>
        <w:t>j. popisom vykonaných aktivít, ich výsledkov a vyhodnotením ich príspevku k dosahovaniu stanovených cieľov horizontálneho princípu), ako aj kontrolou na mieste realizácie projektov a následne hodnotením príspevku k cieľom horizontálneho princípu.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14:paraId="0D583137" w14:textId="1DED98BD" w:rsidR="00EA5B5E" w:rsidRPr="00EA5B5E" w:rsidRDefault="00EA5B5E" w:rsidP="00EA5B5E">
      <w:pPr>
        <w:pStyle w:val="Vchodzie"/>
        <w:spacing w:before="180" w:line="240" w:lineRule="auto"/>
        <w:rPr>
          <w:rFonts w:ascii="Times New Roman" w:hAnsi="Times New Roman" w:cs="Times New Roman"/>
          <w:color w:val="auto"/>
          <w:szCs w:val="22"/>
        </w:rPr>
      </w:pPr>
      <w:r w:rsidRPr="00EA5B5E">
        <w:rPr>
          <w:rFonts w:ascii="Times New Roman" w:hAnsi="Times New Roman" w:cs="Times New Roman"/>
          <w:color w:val="auto"/>
          <w:szCs w:val="22"/>
        </w:rPr>
        <w:t>Analytickú, hodnotiacu, strategickú a metodickú činnosť pre uplatňovanie horizontálneho princípu udržateľný rozvoj bude na národnej úrovni zabezpečovať Úrad vlády SR</w:t>
      </w:r>
      <w:r w:rsidR="00786196">
        <w:rPr>
          <w:rFonts w:ascii="Times New Roman" w:hAnsi="Times New Roman" w:cs="Times New Roman"/>
          <w:color w:val="auto"/>
          <w:szCs w:val="22"/>
        </w:rPr>
        <w:t>, od 1. júna 2016 novozriadený Úrad podpredsedu vlády SR pre investície a informatizáciu</w:t>
      </w:r>
      <w:r w:rsidRPr="00EA5B5E">
        <w:rPr>
          <w:rFonts w:ascii="Times New Roman" w:hAnsi="Times New Roman" w:cs="Times New Roman"/>
          <w:color w:val="auto"/>
          <w:szCs w:val="22"/>
        </w:rPr>
        <w:t>. RO OPII bude predkladať orgánu zodpovednému za uplatňovanie horizontálneho princípu udržateľný rozvoj pravidelnú informáciu o jeho plnení, a to vyhodnotením monitorovacích správ, ako aj kontrol na mieste v pravidelných časových intervaloch. Za účelom znižovania negatívnych vplyvov na klímu, znižovania znečistenia ovzdušia a ostatných zložiek životného prostredia</w:t>
      </w:r>
      <w:r w:rsidR="00A5105C">
        <w:rPr>
          <w:rFonts w:ascii="Times New Roman" w:hAnsi="Times New Roman" w:cs="Times New Roman"/>
          <w:color w:val="auto"/>
          <w:szCs w:val="22"/>
        </w:rPr>
        <w:t>, ako aj s ohľadom na </w:t>
      </w:r>
      <w:r w:rsidRPr="00EA5B5E">
        <w:rPr>
          <w:rFonts w:ascii="Times New Roman" w:hAnsi="Times New Roman" w:cs="Times New Roman"/>
          <w:color w:val="auto"/>
          <w:szCs w:val="22"/>
        </w:rPr>
        <w:t>energetickú efektívnosť sa bude pri projektoch financovaných z EŠIF uplatňovať zelené verejné obstarávanie</w:t>
      </w:r>
      <w:r w:rsidR="007D7FD9">
        <w:rPr>
          <w:rStyle w:val="Odkaznapoznmkupodiarou"/>
          <w:rFonts w:ascii="Times New Roman" w:hAnsi="Times New Roman" w:cs="Times New Roman"/>
          <w:color w:val="auto"/>
          <w:szCs w:val="22"/>
        </w:rPr>
        <w:footnoteReference w:id="131"/>
      </w:r>
      <w:r w:rsidRPr="00EA5B5E">
        <w:rPr>
          <w:rFonts w:ascii="Times New Roman" w:hAnsi="Times New Roman" w:cs="Times New Roman"/>
          <w:color w:val="auto"/>
          <w:szCs w:val="22"/>
        </w:rPr>
        <w:t>.</w:t>
      </w:r>
    </w:p>
    <w:p w14:paraId="0B64D337" w14:textId="77777777" w:rsidR="00EA5B5E" w:rsidRPr="00EA5B5E" w:rsidRDefault="00EA5B5E" w:rsidP="00EA5B5E">
      <w:pPr>
        <w:pStyle w:val="Vchodzie"/>
        <w:spacing w:before="180" w:line="240" w:lineRule="auto"/>
        <w:rPr>
          <w:rFonts w:ascii="Times New Roman" w:hAnsi="Times New Roman" w:cs="Times New Roman"/>
          <w:color w:val="auto"/>
          <w:szCs w:val="22"/>
        </w:rPr>
      </w:pPr>
      <w:r w:rsidRPr="00EA5B5E">
        <w:rPr>
          <w:rFonts w:ascii="Times New Roman" w:hAnsi="Times New Roman" w:cs="Times New Roman"/>
          <w:color w:val="auto"/>
          <w:szCs w:val="22"/>
        </w:rPr>
        <w:lastRenderedPageBreak/>
        <w:t>V oblasti ochrany ovzdušia je potrebné podporovať nové BAT technológie a systémové opatrenia, ktoré umožnia znížiť emisie a zabezpečiť okrem iného i súlad so smernicou o priemyselných emisiách a zároveň prispejú k plneniu požiadaviek vyplývajúcich zo smernice o národných emisných stropoch a smernice o kvalite okolitého ovzdušia a čistejšom ovzduší v Európe</w:t>
      </w:r>
      <w:r w:rsidR="007D7FD9">
        <w:rPr>
          <w:rStyle w:val="Odkaznapoznmkupodiarou"/>
          <w:rFonts w:ascii="Times New Roman" w:hAnsi="Times New Roman" w:cs="Times New Roman"/>
          <w:color w:val="auto"/>
          <w:szCs w:val="22"/>
        </w:rPr>
        <w:footnoteReference w:id="132"/>
      </w:r>
      <w:r w:rsidRPr="00EA5B5E">
        <w:rPr>
          <w:rFonts w:ascii="Times New Roman" w:hAnsi="Times New Roman" w:cs="Times New Roman"/>
          <w:color w:val="auto"/>
          <w:szCs w:val="22"/>
        </w:rPr>
        <w:t>.</w:t>
      </w:r>
    </w:p>
    <w:p w14:paraId="62EF51BB" w14:textId="3F1A398A" w:rsidR="00977D5F" w:rsidRDefault="00EA5B5E" w:rsidP="00EA5B5E">
      <w:pPr>
        <w:pStyle w:val="Vchodzie"/>
        <w:tabs>
          <w:tab w:val="left" w:pos="708"/>
        </w:tabs>
        <w:spacing w:after="0" w:line="240" w:lineRule="auto"/>
        <w:rPr>
          <w:rFonts w:ascii="Times New Roman" w:hAnsi="Times New Roman" w:cs="Times New Roman"/>
          <w:color w:val="auto"/>
          <w:szCs w:val="22"/>
        </w:rPr>
      </w:pPr>
      <w:r w:rsidRPr="00EA5B5E">
        <w:rPr>
          <w:rFonts w:ascii="Times New Roman" w:hAnsi="Times New Roman" w:cs="Times New Roman"/>
          <w:color w:val="auto"/>
          <w:szCs w:val="22"/>
        </w:rPr>
        <w:t>V rámci aktívnej adaptácie na dôsledky zmeny klímy bola pripravená komplexná Stratégia adaptácie SR na nepriaznivé dôsledky zmeny klímy, ktorá bola schválená UV SR č. 148/2014.</w:t>
      </w:r>
      <w:r w:rsidR="00C50416">
        <w:rPr>
          <w:rFonts w:ascii="Times New Roman" w:hAnsi="Times New Roman" w:cs="Times New Roman"/>
          <w:color w:val="auto"/>
          <w:szCs w:val="22"/>
        </w:rPr>
        <w:t xml:space="preserve"> </w:t>
      </w:r>
      <w:r w:rsidR="00C50416" w:rsidRPr="00C50416">
        <w:rPr>
          <w:rFonts w:ascii="Times New Roman" w:hAnsi="Times New Roman" w:cs="Times New Roman"/>
          <w:color w:val="auto"/>
          <w:szCs w:val="22"/>
        </w:rPr>
        <w:t xml:space="preserve">Táto stratégia navrhuje princípy, ktorými by sa adaptačné procesy mali riadiť, kritériá pre výber prioritných opatrení a súbor adaptačných opatrení, ktoré by mali viesť k zníženiu negatívnych sociálnych a ekonomických nákladov. V súlade so závermi Rady EÚ z februára 2013 boli </w:t>
      </w:r>
      <w:r w:rsidR="00D75C8F">
        <w:rPr>
          <w:rFonts w:ascii="Times New Roman" w:hAnsi="Times New Roman" w:cs="Times New Roman"/>
          <w:color w:val="auto"/>
          <w:szCs w:val="22"/>
        </w:rPr>
        <w:t>... pozri Prílohu 21.</w:t>
      </w:r>
    </w:p>
    <w:p w14:paraId="5D060B73" w14:textId="77777777" w:rsidR="00772736" w:rsidRDefault="00772736" w:rsidP="00772736">
      <w:pPr>
        <w:pStyle w:val="Nadpis2"/>
        <w:spacing w:before="240"/>
      </w:pPr>
      <w:bookmarkStart w:id="204" w:name="_Toc383209163"/>
      <w:bookmarkStart w:id="205" w:name="_Toc383236577"/>
      <w:bookmarkStart w:id="206" w:name="_Toc28951699"/>
      <w:r>
        <w:t>Rovnosť príležitostí a</w:t>
      </w:r>
      <w:r w:rsidR="00EA5B5E">
        <w:t> </w:t>
      </w:r>
      <w:r>
        <w:t>nediskriminácia</w:t>
      </w:r>
      <w:bookmarkEnd w:id="204"/>
      <w:bookmarkEnd w:id="205"/>
      <w:bookmarkEnd w:id="206"/>
    </w:p>
    <w:p w14:paraId="4BF2240D" w14:textId="77777777" w:rsidR="00EA5B5E" w:rsidRDefault="00EA5B5E" w:rsidP="00EA5B5E">
      <w:pPr>
        <w:autoSpaceDE w:val="0"/>
        <w:autoSpaceDN w:val="0"/>
        <w:adjustRightInd w:val="0"/>
        <w:jc w:val="both"/>
        <w:rPr>
          <w:b/>
          <w:sz w:val="22"/>
          <w:szCs w:val="22"/>
        </w:rPr>
      </w:pPr>
      <w:r w:rsidRPr="009D5596">
        <w:rPr>
          <w:sz w:val="22"/>
          <w:szCs w:val="22"/>
        </w:rPr>
        <w:t>Podpora základných práv, nediskriminácie a</w:t>
      </w:r>
      <w:r>
        <w:rPr>
          <w:sz w:val="22"/>
          <w:szCs w:val="22"/>
        </w:rPr>
        <w:t> </w:t>
      </w:r>
      <w:r w:rsidRPr="009D5596">
        <w:rPr>
          <w:sz w:val="22"/>
          <w:szCs w:val="22"/>
        </w:rPr>
        <w:t>rovnosti príležitostí je jedným zo základných princípov uplatňovaných v</w:t>
      </w:r>
      <w:r>
        <w:rPr>
          <w:sz w:val="22"/>
          <w:szCs w:val="22"/>
        </w:rPr>
        <w:t> </w:t>
      </w:r>
      <w:r w:rsidRPr="009D5596">
        <w:rPr>
          <w:sz w:val="22"/>
          <w:szCs w:val="22"/>
        </w:rPr>
        <w:t>EÚ. Rovnosť príležitostí je súčasťou pilierov Európskej stratégie zamestnanosti a</w:t>
      </w:r>
      <w:r>
        <w:rPr>
          <w:sz w:val="22"/>
          <w:szCs w:val="22"/>
        </w:rPr>
        <w:t> </w:t>
      </w:r>
      <w:r w:rsidRPr="009D5596">
        <w:rPr>
          <w:sz w:val="22"/>
          <w:szCs w:val="22"/>
        </w:rPr>
        <w:t>Európskej rámcovej stratégie nediskriminácie a</w:t>
      </w:r>
      <w:r>
        <w:rPr>
          <w:sz w:val="22"/>
          <w:szCs w:val="22"/>
        </w:rPr>
        <w:t> </w:t>
      </w:r>
      <w:r w:rsidRPr="009D5596">
        <w:rPr>
          <w:sz w:val="22"/>
          <w:szCs w:val="22"/>
        </w:rPr>
        <w:t>rovnakých príležitosti pre všetkých, v</w:t>
      </w:r>
      <w:r>
        <w:rPr>
          <w:sz w:val="22"/>
          <w:szCs w:val="22"/>
        </w:rPr>
        <w:t> </w:t>
      </w:r>
      <w:r w:rsidRPr="009D5596">
        <w:rPr>
          <w:sz w:val="22"/>
          <w:szCs w:val="22"/>
        </w:rPr>
        <w:t xml:space="preserve">zmysle ktorých bude </w:t>
      </w:r>
      <w:r>
        <w:rPr>
          <w:sz w:val="22"/>
          <w:szCs w:val="22"/>
        </w:rPr>
        <w:t xml:space="preserve">tento </w:t>
      </w:r>
      <w:r w:rsidRPr="009D5596">
        <w:rPr>
          <w:sz w:val="22"/>
          <w:szCs w:val="22"/>
        </w:rPr>
        <w:t>horizontáln</w:t>
      </w:r>
      <w:r>
        <w:rPr>
          <w:sz w:val="22"/>
          <w:szCs w:val="22"/>
        </w:rPr>
        <w:t>y princíp</w:t>
      </w:r>
      <w:r w:rsidRPr="009D5596">
        <w:rPr>
          <w:sz w:val="22"/>
          <w:szCs w:val="22"/>
        </w:rPr>
        <w:t xml:space="preserve"> </w:t>
      </w:r>
      <w:r w:rsidRPr="009D5596">
        <w:rPr>
          <w:b/>
          <w:sz w:val="22"/>
          <w:szCs w:val="22"/>
        </w:rPr>
        <w:t xml:space="preserve">podporovať boj proti diskriminácii na základe pohlavia, rasy, etnického pôvodu, náboženského vyznania, viery, zdravotného postihnutia, veku </w:t>
      </w:r>
      <w:r>
        <w:rPr>
          <w:b/>
          <w:sz w:val="22"/>
          <w:szCs w:val="22"/>
        </w:rPr>
        <w:t>alebo</w:t>
      </w:r>
      <w:r w:rsidRPr="009D5596">
        <w:rPr>
          <w:b/>
          <w:sz w:val="22"/>
          <w:szCs w:val="22"/>
        </w:rPr>
        <w:t xml:space="preserve"> sexuálnej orientácie.</w:t>
      </w:r>
    </w:p>
    <w:p w14:paraId="235DE86E" w14:textId="77777777" w:rsidR="00EA5B5E" w:rsidRPr="00E65CD1" w:rsidRDefault="00EA5B5E" w:rsidP="00EA5B5E">
      <w:pPr>
        <w:autoSpaceDE w:val="0"/>
        <w:autoSpaceDN w:val="0"/>
        <w:adjustRightInd w:val="0"/>
        <w:spacing w:before="180"/>
        <w:jc w:val="both"/>
        <w:rPr>
          <w:sz w:val="22"/>
          <w:szCs w:val="22"/>
        </w:rPr>
      </w:pPr>
      <w:r>
        <w:rPr>
          <w:sz w:val="22"/>
          <w:szCs w:val="22"/>
        </w:rPr>
        <w:t xml:space="preserve">Hlavným cieľom horizontálneho princípu nediskriminácia je zabezpečiť rovnosť príležitostí v prístupe a využívaní infraštruktúry a služieb. </w:t>
      </w:r>
      <w:r w:rsidRPr="00E96E29">
        <w:rPr>
          <w:sz w:val="22"/>
          <w:szCs w:val="22"/>
        </w:rPr>
        <w:t>Osobitný prístup si vyžadujú osoby so zdravotným postihnutím, pre ktoré je potrebné vytvorenie mimoriadnych podmienok prístupnosti (napr. bezbariérové architektonické prostredie, prístupné informácie a pod.). Bez takto vytvorených podmienok nie je možné osoby so zdravotným postihnutím začleniť do spoločnosti a do pracovného procesu</w:t>
      </w:r>
      <w:r>
        <w:rPr>
          <w:sz w:val="22"/>
          <w:szCs w:val="22"/>
        </w:rPr>
        <w:t xml:space="preserve"> v zmysle Dohovoru OSN o právach osôb so zdravotným postihnutím, ktorý pre SR nadobudol platnosť 25. </w:t>
      </w:r>
      <w:r w:rsidR="00F219FE">
        <w:rPr>
          <w:sz w:val="22"/>
          <w:szCs w:val="22"/>
        </w:rPr>
        <w:t>júna 2010.</w:t>
      </w:r>
    </w:p>
    <w:p w14:paraId="64AA9867" w14:textId="77777777" w:rsidR="00EA5B5E" w:rsidRDefault="00EA5B5E" w:rsidP="00EA5B5E">
      <w:pPr>
        <w:autoSpaceDE w:val="0"/>
        <w:autoSpaceDN w:val="0"/>
        <w:adjustRightInd w:val="0"/>
        <w:spacing w:before="180"/>
        <w:jc w:val="both"/>
        <w:rPr>
          <w:sz w:val="22"/>
          <w:szCs w:val="22"/>
        </w:rPr>
      </w:pPr>
      <w:r w:rsidRPr="00DE169F">
        <w:rPr>
          <w:sz w:val="22"/>
          <w:szCs w:val="22"/>
        </w:rPr>
        <w:t>Za účelom predchádzania diskriminácie</w:t>
      </w:r>
      <w:r>
        <w:rPr>
          <w:sz w:val="22"/>
          <w:szCs w:val="22"/>
        </w:rPr>
        <w:t xml:space="preserve"> a podpory rovnosti príležitostí sa tieto</w:t>
      </w:r>
      <w:r w:rsidRPr="00DE169F">
        <w:rPr>
          <w:sz w:val="22"/>
          <w:szCs w:val="22"/>
        </w:rPr>
        <w:t xml:space="preserve"> pr</w:t>
      </w:r>
      <w:r>
        <w:rPr>
          <w:sz w:val="22"/>
          <w:szCs w:val="22"/>
        </w:rPr>
        <w:t xml:space="preserve">incípy budú uplatňovať aj v rámci OPII, a to prostredníctvom zavádzania vyrovnávacích opatrení a aktivít cielených na podporu znevýhodnených skupín. Uplatňovanie tohto princípu v podmienkach OPII spočíva najmä v zabezpečení podmienok prístupnosti fyzického prostredia, dopravy a verejných služieb pre obyvateľov s obmedzenou mobilitou a schopnosťou orientácie. </w:t>
      </w:r>
      <w:r w:rsidRPr="009D5596">
        <w:rPr>
          <w:b/>
          <w:sz w:val="22"/>
          <w:szCs w:val="22"/>
        </w:rPr>
        <w:t>Stratégiou ro</w:t>
      </w:r>
      <w:r>
        <w:rPr>
          <w:b/>
          <w:sz w:val="22"/>
          <w:szCs w:val="22"/>
        </w:rPr>
        <w:t xml:space="preserve">zvoja dopravnej infraštruktúry, </w:t>
      </w:r>
      <w:r w:rsidRPr="009D5596">
        <w:rPr>
          <w:b/>
          <w:sz w:val="22"/>
          <w:szCs w:val="22"/>
        </w:rPr>
        <w:t>podporou trvaloudržateľnej mestskej mobility</w:t>
      </w:r>
      <w:r>
        <w:rPr>
          <w:b/>
          <w:sz w:val="22"/>
          <w:szCs w:val="22"/>
        </w:rPr>
        <w:t xml:space="preserve"> a informačnej spoločnosti</w:t>
      </w:r>
      <w:r w:rsidRPr="009D5596">
        <w:rPr>
          <w:b/>
          <w:sz w:val="22"/>
          <w:szCs w:val="22"/>
        </w:rPr>
        <w:t xml:space="preserve"> nie sú dotknuté zásady rovnakého zaobchádzania. Naopak, všetky výsledky realizácie projektov </w:t>
      </w:r>
      <w:r>
        <w:rPr>
          <w:b/>
          <w:sz w:val="22"/>
          <w:szCs w:val="22"/>
        </w:rPr>
        <w:t>OPII</w:t>
      </w:r>
      <w:r w:rsidRPr="009D5596">
        <w:rPr>
          <w:b/>
          <w:sz w:val="22"/>
          <w:szCs w:val="22"/>
        </w:rPr>
        <w:t xml:space="preserve"> sú určené pre širokú verejnosť a</w:t>
      </w:r>
      <w:r>
        <w:rPr>
          <w:b/>
          <w:sz w:val="22"/>
          <w:szCs w:val="22"/>
        </w:rPr>
        <w:t> </w:t>
      </w:r>
      <w:r w:rsidRPr="009D5596">
        <w:rPr>
          <w:b/>
          <w:sz w:val="22"/>
          <w:szCs w:val="22"/>
        </w:rPr>
        <w:t>sú nediskriminačného charakteru.</w:t>
      </w:r>
      <w:r w:rsidRPr="009D5596">
        <w:rPr>
          <w:sz w:val="22"/>
          <w:szCs w:val="22"/>
        </w:rPr>
        <w:t xml:space="preserve"> Aktivity pri implementácii projektov budú zabezpečované v</w:t>
      </w:r>
      <w:r>
        <w:rPr>
          <w:sz w:val="22"/>
          <w:szCs w:val="22"/>
        </w:rPr>
        <w:t> </w:t>
      </w:r>
      <w:r w:rsidRPr="009D5596">
        <w:rPr>
          <w:sz w:val="22"/>
          <w:szCs w:val="22"/>
        </w:rPr>
        <w:t>súlade s</w:t>
      </w:r>
      <w:r>
        <w:rPr>
          <w:sz w:val="22"/>
          <w:szCs w:val="22"/>
        </w:rPr>
        <w:t> </w:t>
      </w:r>
      <w:r w:rsidRPr="009D5596">
        <w:rPr>
          <w:sz w:val="22"/>
          <w:szCs w:val="22"/>
        </w:rPr>
        <w:t>legislatívou ES v</w:t>
      </w:r>
      <w:r>
        <w:rPr>
          <w:sz w:val="22"/>
          <w:szCs w:val="22"/>
        </w:rPr>
        <w:t> </w:t>
      </w:r>
      <w:r w:rsidRPr="009D5596">
        <w:rPr>
          <w:sz w:val="22"/>
          <w:szCs w:val="22"/>
        </w:rPr>
        <w:t>oblasti dodržiavania pravidiel rovnosti príležitostí.</w:t>
      </w:r>
    </w:p>
    <w:p w14:paraId="7FA59C74" w14:textId="77777777" w:rsidR="00EA5B5E" w:rsidRDefault="00EA5B5E" w:rsidP="00EA5B5E">
      <w:pPr>
        <w:spacing w:before="180"/>
        <w:jc w:val="both"/>
        <w:rPr>
          <w:sz w:val="22"/>
          <w:szCs w:val="22"/>
        </w:rPr>
      </w:pPr>
      <w:r w:rsidRPr="00627A34">
        <w:rPr>
          <w:sz w:val="22"/>
          <w:szCs w:val="22"/>
        </w:rPr>
        <w:t>Popis aktivít zameraných na zavádzanie dočasných vyrovnávacích opatrení, dodržiavanie zásad nediskriminácie</w:t>
      </w:r>
      <w:r>
        <w:rPr>
          <w:sz w:val="22"/>
          <w:szCs w:val="22"/>
        </w:rPr>
        <w:t xml:space="preserve"> a podpory prístupnosti,</w:t>
      </w:r>
      <w:r w:rsidRPr="00627A34">
        <w:rPr>
          <w:sz w:val="22"/>
          <w:szCs w:val="22"/>
        </w:rPr>
        <w:t xml:space="preserve"> ako aj výsledný dokument z procesu posudzovania (v prípade prístupnosti) alebo vyjadrenie príslušného orgánu o tom, že navrhovaná činnosť, resp. zmena navrhovanej činnosti, dodržiava princíp prístupnosti, budú povinnou prílohou žiadosti o finančný príspevok. Tento prístup bude integrovaný do </w:t>
      </w:r>
      <w:r>
        <w:rPr>
          <w:sz w:val="22"/>
          <w:szCs w:val="22"/>
        </w:rPr>
        <w:t>OPII prostredníctvom jeho príslušnej</w:t>
      </w:r>
      <w:r w:rsidRPr="00627A34">
        <w:rPr>
          <w:sz w:val="22"/>
          <w:szCs w:val="22"/>
        </w:rPr>
        <w:t xml:space="preserve"> riadiacej </w:t>
      </w:r>
      <w:r>
        <w:rPr>
          <w:sz w:val="22"/>
          <w:szCs w:val="22"/>
        </w:rPr>
        <w:t>dokumentácie</w:t>
      </w:r>
      <w:r w:rsidRPr="00627A34">
        <w:rPr>
          <w:sz w:val="22"/>
          <w:szCs w:val="22"/>
        </w:rPr>
        <w:t>. Pre identifikáciu prioritných oblastí a cieľov na uplatňovanie princípu predchádzania diskriminácie</w:t>
      </w:r>
      <w:r>
        <w:rPr>
          <w:sz w:val="22"/>
          <w:szCs w:val="22"/>
        </w:rPr>
        <w:t xml:space="preserve"> a</w:t>
      </w:r>
      <w:r w:rsidRPr="00627A34">
        <w:rPr>
          <w:sz w:val="22"/>
          <w:szCs w:val="22"/>
        </w:rPr>
        <w:t xml:space="preserve"> podpory </w:t>
      </w:r>
      <w:r>
        <w:rPr>
          <w:sz w:val="22"/>
          <w:szCs w:val="22"/>
        </w:rPr>
        <w:t xml:space="preserve">prístupnosti </w:t>
      </w:r>
      <w:r w:rsidRPr="00627A34">
        <w:rPr>
          <w:sz w:val="22"/>
          <w:szCs w:val="22"/>
        </w:rPr>
        <w:t>bude základným rámcom národný strategický dokument, prostredníctvom ktorého sa zabezpečí jeho aplikácia v OP</w:t>
      </w:r>
      <w:r>
        <w:rPr>
          <w:sz w:val="22"/>
          <w:szCs w:val="22"/>
        </w:rPr>
        <w:t>II</w:t>
      </w:r>
      <w:r w:rsidRPr="00627A34">
        <w:rPr>
          <w:sz w:val="22"/>
          <w:szCs w:val="22"/>
        </w:rPr>
        <w:t>. Pre účinné uplatňovanie horizont</w:t>
      </w:r>
      <w:r>
        <w:rPr>
          <w:sz w:val="22"/>
          <w:szCs w:val="22"/>
        </w:rPr>
        <w:t xml:space="preserve">álneho princípu </w:t>
      </w:r>
      <w:r w:rsidRPr="00627A34">
        <w:rPr>
          <w:sz w:val="22"/>
          <w:szCs w:val="22"/>
        </w:rPr>
        <w:t>nediskriminácia a prístupnosť bude v hodnotiacom a výberovom procese žiadostí o finančný príspevok stanovené diskvalifikačné kritérium v rámci prioritných osí OP</w:t>
      </w:r>
      <w:r>
        <w:rPr>
          <w:sz w:val="22"/>
          <w:szCs w:val="22"/>
        </w:rPr>
        <w:t>II</w:t>
      </w:r>
      <w:r w:rsidRPr="00627A34">
        <w:rPr>
          <w:sz w:val="22"/>
          <w:szCs w:val="22"/>
        </w:rPr>
        <w:t>. Zároveň bude povinnou prílohou o príspevok z EŠIF aj povolenie v prípadoch činností, na ktoré sa povinnosť jeho vydania vzťahuje.</w:t>
      </w:r>
    </w:p>
    <w:p w14:paraId="0F7003B5" w14:textId="77777777" w:rsidR="00EA5B5E" w:rsidRPr="00A82BE7" w:rsidRDefault="00EA5B5E" w:rsidP="00EA5B5E">
      <w:pPr>
        <w:spacing w:before="180"/>
        <w:jc w:val="both"/>
        <w:rPr>
          <w:sz w:val="22"/>
          <w:szCs w:val="22"/>
        </w:rPr>
      </w:pPr>
      <w:r w:rsidRPr="00A82BE7">
        <w:rPr>
          <w:sz w:val="22"/>
          <w:szCs w:val="22"/>
        </w:rPr>
        <w:lastRenderedPageBreak/>
        <w:t>Proces monitorovania plnenia horizontálnych princípov bude na projektovej úrovni sledovaný prostredníctvom monitorovacích správ, ktorých súčasťou bude samostatný výstup obsahujúci informácie o horizont</w:t>
      </w:r>
      <w:r>
        <w:rPr>
          <w:sz w:val="22"/>
          <w:szCs w:val="22"/>
        </w:rPr>
        <w:t>álnych princípoch (t. j. popis</w:t>
      </w:r>
      <w:r w:rsidRPr="00A82BE7">
        <w:rPr>
          <w:sz w:val="22"/>
          <w:szCs w:val="22"/>
        </w:rPr>
        <w:t xml:space="preserve"> v</w:t>
      </w:r>
      <w:r>
        <w:rPr>
          <w:sz w:val="22"/>
          <w:szCs w:val="22"/>
        </w:rPr>
        <w:t>ykonaných aktivít, ich výsledky a vyhodnotenie</w:t>
      </w:r>
      <w:r w:rsidRPr="00A82BE7">
        <w:rPr>
          <w:sz w:val="22"/>
          <w:szCs w:val="22"/>
        </w:rPr>
        <w:t xml:space="preserve"> ich príspevku k dosahovaniu stanovených cieľov horizontálnych </w:t>
      </w:r>
      <w:r w:rsidR="00A5105C">
        <w:rPr>
          <w:sz w:val="22"/>
          <w:szCs w:val="22"/>
        </w:rPr>
        <w:t>princípov), ako aj kontrolou na </w:t>
      </w:r>
      <w:r w:rsidRPr="00A82BE7">
        <w:rPr>
          <w:sz w:val="22"/>
          <w:szCs w:val="22"/>
        </w:rPr>
        <w:t>mieste realizácie projektov a následne hodnotením príspevku k cieľom horizontálnych princípov. Samostatný výstup obsahujúci informácie o uplatňovaní horizontálnych princípov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14:paraId="574AEA14" w14:textId="72D2EBCE" w:rsidR="00EA5B5E" w:rsidRPr="00E05141" w:rsidRDefault="00EA5B5E" w:rsidP="00EA5B5E">
      <w:pPr>
        <w:spacing w:before="180"/>
        <w:jc w:val="both"/>
        <w:rPr>
          <w:sz w:val="22"/>
          <w:szCs w:val="22"/>
        </w:rPr>
      </w:pPr>
      <w:r w:rsidRPr="00E05141">
        <w:rPr>
          <w:sz w:val="22"/>
          <w:szCs w:val="22"/>
        </w:rPr>
        <w:t>RO</w:t>
      </w:r>
      <w:r>
        <w:rPr>
          <w:sz w:val="22"/>
          <w:szCs w:val="22"/>
        </w:rPr>
        <w:t xml:space="preserve"> OPII bude</w:t>
      </w:r>
      <w:r w:rsidRPr="00E05141">
        <w:rPr>
          <w:sz w:val="22"/>
          <w:szCs w:val="22"/>
        </w:rPr>
        <w:t xml:space="preserve"> predkladať orgánu zodpovednému za uplatň</w:t>
      </w:r>
      <w:r>
        <w:rPr>
          <w:sz w:val="22"/>
          <w:szCs w:val="22"/>
        </w:rPr>
        <w:t xml:space="preserve">ovanie horizontálneho princípu rovnosť príležitostí a nediskriminácia pravidelnú informáciu o jej </w:t>
      </w:r>
      <w:r w:rsidRPr="00E05141">
        <w:rPr>
          <w:sz w:val="22"/>
          <w:szCs w:val="22"/>
        </w:rPr>
        <w:t>plnení, a to vyhodnotením monitorovacích správ a kontrol na mieste v pravidelných časových intervaloch. Analytickú, hodnotiacu, strategickú a legislatívnu činnosť</w:t>
      </w:r>
      <w:r>
        <w:rPr>
          <w:sz w:val="22"/>
          <w:szCs w:val="22"/>
        </w:rPr>
        <w:t xml:space="preserve"> pre uplatňovanie horizontálneho princípu</w:t>
      </w:r>
      <w:r w:rsidRPr="00E05141">
        <w:rPr>
          <w:sz w:val="22"/>
          <w:szCs w:val="22"/>
        </w:rPr>
        <w:t xml:space="preserve"> </w:t>
      </w:r>
      <w:r>
        <w:rPr>
          <w:sz w:val="22"/>
          <w:szCs w:val="22"/>
        </w:rPr>
        <w:t>rovnosť príležitostí a nediskriminácia bude na národnej úrovni zabezpečovať</w:t>
      </w:r>
      <w:r w:rsidRPr="00E05141">
        <w:rPr>
          <w:sz w:val="22"/>
          <w:szCs w:val="22"/>
        </w:rPr>
        <w:t xml:space="preserve"> Ministerstvo práce, sociálnych vecí a rodiny SR (ďalej len „MPSVR SR“), ktoré je zodpovedné za štátnu politiku v týchto oblastiach</w:t>
      </w:r>
      <w:r>
        <w:rPr>
          <w:sz w:val="22"/>
          <w:szCs w:val="22"/>
        </w:rPr>
        <w:t xml:space="preserve"> a ktoré bude zodpovedné</w:t>
      </w:r>
      <w:r w:rsidR="00A5105C">
        <w:rPr>
          <w:sz w:val="22"/>
          <w:szCs w:val="22"/>
        </w:rPr>
        <w:t xml:space="preserve"> za </w:t>
      </w:r>
      <w:r w:rsidRPr="00E05141">
        <w:rPr>
          <w:sz w:val="22"/>
          <w:szCs w:val="22"/>
        </w:rPr>
        <w:t xml:space="preserve">definovanie podmienok poskytnutia pomoci súvisiacej so zabezpečením aplikovania týchto horizontálnych princípov a spôsobu ich </w:t>
      </w:r>
      <w:r>
        <w:rPr>
          <w:sz w:val="22"/>
          <w:szCs w:val="22"/>
        </w:rPr>
        <w:t>overovania, ktorý je</w:t>
      </w:r>
      <w:r w:rsidRPr="00E05141">
        <w:rPr>
          <w:sz w:val="22"/>
          <w:szCs w:val="22"/>
        </w:rPr>
        <w:t xml:space="preserve"> pre RO</w:t>
      </w:r>
      <w:r>
        <w:rPr>
          <w:sz w:val="22"/>
          <w:szCs w:val="22"/>
        </w:rPr>
        <w:t xml:space="preserve"> OPII</w:t>
      </w:r>
      <w:r w:rsidRPr="00E05141">
        <w:rPr>
          <w:sz w:val="22"/>
          <w:szCs w:val="22"/>
        </w:rPr>
        <w:t xml:space="preserve"> záväzný. Rovnak</w:t>
      </w:r>
      <w:r>
        <w:rPr>
          <w:sz w:val="22"/>
          <w:szCs w:val="22"/>
        </w:rPr>
        <w:t>o bude zabezpečovať</w:t>
      </w:r>
      <w:r w:rsidRPr="00E05141">
        <w:rPr>
          <w:sz w:val="22"/>
          <w:szCs w:val="22"/>
        </w:rPr>
        <w:t xml:space="preserve"> vzdelávacie a školiace ak</w:t>
      </w:r>
      <w:r>
        <w:rPr>
          <w:sz w:val="22"/>
          <w:szCs w:val="22"/>
        </w:rPr>
        <w:t xml:space="preserve">tivity pre uplatňovanie </w:t>
      </w:r>
      <w:r w:rsidRPr="00E05141">
        <w:rPr>
          <w:sz w:val="22"/>
          <w:szCs w:val="22"/>
        </w:rPr>
        <w:t>nediskriminácie a prístupnosti subjektom zapojeným do implementácie EŠIF, relevantným sociálno-ekonomickým partnerom</w:t>
      </w:r>
      <w:r>
        <w:rPr>
          <w:sz w:val="22"/>
          <w:szCs w:val="22"/>
        </w:rPr>
        <w:t>,</w:t>
      </w:r>
      <w:r w:rsidRPr="00E05141">
        <w:rPr>
          <w:sz w:val="22"/>
          <w:szCs w:val="22"/>
        </w:rPr>
        <w:t xml:space="preserve"> ako aj hod</w:t>
      </w:r>
      <w:r>
        <w:rPr>
          <w:sz w:val="22"/>
          <w:szCs w:val="22"/>
        </w:rPr>
        <w:t xml:space="preserve">notiteľom. Zásady prístupnosti a </w:t>
      </w:r>
      <w:r w:rsidRPr="00E05141">
        <w:rPr>
          <w:sz w:val="22"/>
          <w:szCs w:val="22"/>
        </w:rPr>
        <w:t>nedi</w:t>
      </w:r>
      <w:r>
        <w:rPr>
          <w:sz w:val="22"/>
          <w:szCs w:val="22"/>
        </w:rPr>
        <w:t>skriminácie</w:t>
      </w:r>
      <w:r w:rsidRPr="00E05141">
        <w:rPr>
          <w:sz w:val="22"/>
          <w:szCs w:val="22"/>
        </w:rPr>
        <w:t xml:space="preserve"> budú týmto zabezpečené nie len diskvalifikáciou pri nedodržaní podmienok, ale aj pri hodnotiacom a výberovom procese, kde sa počíta so zapojením relevantných partnerov.</w:t>
      </w:r>
    </w:p>
    <w:p w14:paraId="7002EB5D" w14:textId="77777777" w:rsidR="00EA5B5E" w:rsidRDefault="00EA5B5E" w:rsidP="00EA5B5E">
      <w:pPr>
        <w:autoSpaceDE w:val="0"/>
        <w:autoSpaceDN w:val="0"/>
        <w:adjustRightInd w:val="0"/>
        <w:spacing w:before="180"/>
        <w:jc w:val="both"/>
        <w:rPr>
          <w:sz w:val="22"/>
          <w:szCs w:val="22"/>
        </w:rPr>
      </w:pPr>
      <w:r w:rsidRPr="00DD1353">
        <w:rPr>
          <w:sz w:val="22"/>
          <w:szCs w:val="22"/>
        </w:rPr>
        <w:t xml:space="preserve">Vecne príslušní zástupcovia MPSVR SR zodpovední za uplatňovanie horizontálnych princípov v oblasti </w:t>
      </w:r>
      <w:r>
        <w:rPr>
          <w:sz w:val="22"/>
          <w:szCs w:val="22"/>
        </w:rPr>
        <w:t>rovnosti príležitostí a nediskriminácie</w:t>
      </w:r>
      <w:r w:rsidRPr="00DD1353">
        <w:rPr>
          <w:sz w:val="22"/>
          <w:szCs w:val="22"/>
        </w:rPr>
        <w:t xml:space="preserve"> budú mať za</w:t>
      </w:r>
      <w:r>
        <w:rPr>
          <w:sz w:val="22"/>
          <w:szCs w:val="22"/>
        </w:rPr>
        <w:t>bezpečené zastúpenie v monitorovacom výbore pre OPII</w:t>
      </w:r>
      <w:r w:rsidRPr="00DD1353">
        <w:rPr>
          <w:sz w:val="22"/>
          <w:szCs w:val="22"/>
        </w:rPr>
        <w:t xml:space="preserve"> a pracovných skupinách na prípravu a implementáciu </w:t>
      </w:r>
      <w:r>
        <w:rPr>
          <w:sz w:val="22"/>
          <w:szCs w:val="22"/>
        </w:rPr>
        <w:t>OPII</w:t>
      </w:r>
      <w:r w:rsidRPr="00DD1353">
        <w:rPr>
          <w:sz w:val="22"/>
          <w:szCs w:val="22"/>
        </w:rPr>
        <w:t>.</w:t>
      </w:r>
    </w:p>
    <w:p w14:paraId="33A1BA5B" w14:textId="77777777" w:rsidR="00977D5F" w:rsidRDefault="00977D5F" w:rsidP="00977D5F">
      <w:pPr>
        <w:pStyle w:val="Vchodzie"/>
        <w:tabs>
          <w:tab w:val="left" w:pos="708"/>
        </w:tabs>
        <w:spacing w:before="240" w:after="0" w:line="240" w:lineRule="auto"/>
        <w:rPr>
          <w:rFonts w:ascii="Times New Roman" w:hAnsi="Times New Roman" w:cs="Times New Roman"/>
          <w:color w:val="auto"/>
          <w:szCs w:val="22"/>
          <w:u w:val="single"/>
        </w:rPr>
      </w:pPr>
      <w:r w:rsidRPr="000024AF">
        <w:rPr>
          <w:rFonts w:ascii="Times New Roman" w:hAnsi="Times New Roman" w:cs="Times New Roman"/>
          <w:color w:val="auto"/>
          <w:szCs w:val="22"/>
          <w:u w:val="single"/>
        </w:rPr>
        <w:t>Rovnosť príležitostí a nediskriminácia v oblasti výskumu a</w:t>
      </w:r>
      <w:r>
        <w:rPr>
          <w:rFonts w:ascii="Times New Roman" w:hAnsi="Times New Roman" w:cs="Times New Roman"/>
          <w:color w:val="auto"/>
          <w:szCs w:val="22"/>
          <w:u w:val="single"/>
        </w:rPr>
        <w:t> inovácií</w:t>
      </w:r>
    </w:p>
    <w:p w14:paraId="1033F098" w14:textId="70782C35" w:rsidR="00977D5F" w:rsidRDefault="00977D5F" w:rsidP="00351D17">
      <w:pPr>
        <w:pStyle w:val="Zkladntext"/>
        <w:spacing w:before="180" w:after="0"/>
        <w:jc w:val="both"/>
        <w:rPr>
          <w:sz w:val="22"/>
          <w:szCs w:val="22"/>
        </w:rPr>
      </w:pPr>
      <w:r w:rsidRPr="000024AF">
        <w:rPr>
          <w:rFonts w:eastAsiaTheme="minorEastAsia"/>
          <w:sz w:val="22"/>
          <w:szCs w:val="22"/>
          <w:lang w:eastAsia="en-US"/>
        </w:rPr>
        <w:t>Hlavným cieľom HP Rovnosť príležitostí a</w:t>
      </w:r>
      <w:r w:rsidR="0043132E">
        <w:rPr>
          <w:rFonts w:eastAsiaTheme="minorEastAsia"/>
          <w:sz w:val="22"/>
          <w:szCs w:val="22"/>
          <w:lang w:eastAsia="en-US"/>
        </w:rPr>
        <w:t xml:space="preserve"> </w:t>
      </w:r>
      <w:r w:rsidRPr="000024AF">
        <w:rPr>
          <w:rFonts w:eastAsiaTheme="minorEastAsia"/>
          <w:sz w:val="22"/>
          <w:szCs w:val="22"/>
          <w:lang w:eastAsia="en-US"/>
        </w:rPr>
        <w:t>predchádzanie diskriminácii je zabezpečiť rovnosť</w:t>
      </w:r>
      <w:r w:rsidR="00D75C8F">
        <w:rPr>
          <w:rFonts w:eastAsiaTheme="minorEastAsia"/>
          <w:sz w:val="22"/>
          <w:szCs w:val="22"/>
          <w:lang w:eastAsia="en-US"/>
        </w:rPr>
        <w:t xml:space="preserve"> ... pozri Prílohu 21</w:t>
      </w:r>
      <w:r w:rsidRPr="000024AF">
        <w:rPr>
          <w:rFonts w:eastAsiaTheme="minorEastAsia"/>
          <w:sz w:val="22"/>
          <w:szCs w:val="22"/>
          <w:lang w:eastAsia="en-US"/>
        </w:rPr>
        <w:t>.</w:t>
      </w:r>
    </w:p>
    <w:p w14:paraId="3B0C306B" w14:textId="77777777" w:rsidR="00772736" w:rsidRDefault="00772736" w:rsidP="00772736">
      <w:pPr>
        <w:pStyle w:val="Nadpis2"/>
        <w:spacing w:before="240"/>
      </w:pPr>
      <w:bookmarkStart w:id="207" w:name="_Toc383209164"/>
      <w:bookmarkStart w:id="208" w:name="_Toc383236578"/>
      <w:bookmarkStart w:id="209" w:name="_Toc28951700"/>
      <w:r>
        <w:t>Rovnosť medzi mužmi</w:t>
      </w:r>
      <w:bookmarkEnd w:id="207"/>
      <w:bookmarkEnd w:id="208"/>
      <w:r w:rsidR="00B476FF">
        <w:t xml:space="preserve"> a ženami</w:t>
      </w:r>
      <w:bookmarkEnd w:id="209"/>
    </w:p>
    <w:p w14:paraId="5DAA466C" w14:textId="77777777" w:rsidR="00EA5B5E" w:rsidRDefault="00EA5B5E" w:rsidP="00EA5B5E">
      <w:pPr>
        <w:jc w:val="both"/>
        <w:rPr>
          <w:sz w:val="22"/>
          <w:szCs w:val="22"/>
        </w:rPr>
      </w:pPr>
      <w:r w:rsidRPr="009D5596">
        <w:rPr>
          <w:sz w:val="22"/>
          <w:szCs w:val="22"/>
        </w:rPr>
        <w:t>Stratégiou ro</w:t>
      </w:r>
      <w:r>
        <w:rPr>
          <w:sz w:val="22"/>
          <w:szCs w:val="22"/>
        </w:rPr>
        <w:t xml:space="preserve">zvoja dopravnej infraštruktúry, </w:t>
      </w:r>
      <w:r w:rsidRPr="009D5596">
        <w:rPr>
          <w:sz w:val="22"/>
          <w:szCs w:val="22"/>
        </w:rPr>
        <w:t>podporou trvaloudržateľnej mestskej mobility</w:t>
      </w:r>
      <w:r>
        <w:rPr>
          <w:sz w:val="22"/>
          <w:szCs w:val="22"/>
        </w:rPr>
        <w:t xml:space="preserve"> a informačnej spoločnosti</w:t>
      </w:r>
      <w:r w:rsidRPr="009D5596">
        <w:rPr>
          <w:sz w:val="22"/>
          <w:szCs w:val="22"/>
        </w:rPr>
        <w:t xml:space="preserve"> nie sú dotknuté zásady rovnakého zaobchádzania z</w:t>
      </w:r>
      <w:r>
        <w:rPr>
          <w:sz w:val="22"/>
          <w:szCs w:val="22"/>
        </w:rPr>
        <w:t> </w:t>
      </w:r>
      <w:r w:rsidRPr="009D5596">
        <w:rPr>
          <w:sz w:val="22"/>
          <w:szCs w:val="22"/>
        </w:rPr>
        <w:t>hľadiska rodovej rovnosti.</w:t>
      </w:r>
    </w:p>
    <w:p w14:paraId="685C76FF" w14:textId="77777777" w:rsidR="00EA5B5E" w:rsidRDefault="00EA5B5E" w:rsidP="00EA5B5E">
      <w:pPr>
        <w:spacing w:before="180"/>
        <w:jc w:val="both"/>
        <w:rPr>
          <w:sz w:val="22"/>
          <w:szCs w:val="22"/>
        </w:rPr>
      </w:pPr>
      <w:r>
        <w:rPr>
          <w:sz w:val="22"/>
          <w:szCs w:val="22"/>
        </w:rPr>
        <w:t>Hlavným cieľom horizontálneho princípu rovnosť medzi mužmi a ženami je zníženie horizontálnej a vertikálnej rodovej segregácie v jednotlivých odvetviach hospodárstva.</w:t>
      </w:r>
    </w:p>
    <w:p w14:paraId="3E4E05B4" w14:textId="77777777" w:rsidR="00EA5B5E" w:rsidRPr="0017751B" w:rsidRDefault="00EA5B5E" w:rsidP="00EA5B5E">
      <w:pPr>
        <w:spacing w:before="180"/>
        <w:jc w:val="both"/>
        <w:rPr>
          <w:sz w:val="22"/>
          <w:szCs w:val="22"/>
        </w:rPr>
      </w:pPr>
      <w:r w:rsidRPr="0017751B">
        <w:rPr>
          <w:sz w:val="22"/>
          <w:szCs w:val="22"/>
        </w:rPr>
        <w:t>Za účelom podpory</w:t>
      </w:r>
      <w:r>
        <w:rPr>
          <w:sz w:val="22"/>
          <w:szCs w:val="22"/>
        </w:rPr>
        <w:t xml:space="preserve"> </w:t>
      </w:r>
      <w:r w:rsidRPr="0017751B">
        <w:rPr>
          <w:sz w:val="22"/>
          <w:szCs w:val="22"/>
        </w:rPr>
        <w:t>rovnosti mužov a žien</w:t>
      </w:r>
      <w:r>
        <w:rPr>
          <w:sz w:val="22"/>
          <w:szCs w:val="22"/>
        </w:rPr>
        <w:t xml:space="preserve"> sa bude tento princíp uplatňovať aj v rámci OPII napriek tomu, že aktivity programu nie sú priamo cielené na podporu vyrovnávacích opatrení. </w:t>
      </w:r>
      <w:r w:rsidRPr="0017751B">
        <w:rPr>
          <w:sz w:val="22"/>
          <w:szCs w:val="22"/>
        </w:rPr>
        <w:t>Popis aktivít zameraných na</w:t>
      </w:r>
      <w:r>
        <w:rPr>
          <w:sz w:val="22"/>
          <w:szCs w:val="22"/>
        </w:rPr>
        <w:t xml:space="preserve"> dodržiavanie zásad </w:t>
      </w:r>
      <w:r w:rsidRPr="0017751B">
        <w:rPr>
          <w:sz w:val="22"/>
          <w:szCs w:val="22"/>
        </w:rPr>
        <w:t xml:space="preserve">rovnosti medzi mužmi a ženami </w:t>
      </w:r>
      <w:r>
        <w:rPr>
          <w:sz w:val="22"/>
          <w:szCs w:val="22"/>
        </w:rPr>
        <w:t>bude</w:t>
      </w:r>
      <w:r w:rsidRPr="0017751B">
        <w:rPr>
          <w:sz w:val="22"/>
          <w:szCs w:val="22"/>
        </w:rPr>
        <w:t xml:space="preserve"> povinnou prílohou žiadosti o finančný príspevok. Tento prístup bude integrovaný do </w:t>
      </w:r>
      <w:r>
        <w:rPr>
          <w:sz w:val="22"/>
          <w:szCs w:val="22"/>
        </w:rPr>
        <w:t>OPII prostredníctvom príslušnej</w:t>
      </w:r>
      <w:r w:rsidRPr="0017751B">
        <w:rPr>
          <w:sz w:val="22"/>
          <w:szCs w:val="22"/>
        </w:rPr>
        <w:t xml:space="preserve"> ri</w:t>
      </w:r>
      <w:r>
        <w:rPr>
          <w:sz w:val="22"/>
          <w:szCs w:val="22"/>
        </w:rPr>
        <w:t>adiacej dokumentácie</w:t>
      </w:r>
      <w:r w:rsidRPr="0017751B">
        <w:rPr>
          <w:sz w:val="22"/>
          <w:szCs w:val="22"/>
        </w:rPr>
        <w:t xml:space="preserve">. Pre identifikáciu prioritných oblastí a cieľov na uplatňovanie princípu rodovej rovnosti bude základným rámcom národný strategický dokument, prostredníctvom ktorého sa zabezpečí </w:t>
      </w:r>
      <w:r>
        <w:rPr>
          <w:sz w:val="22"/>
          <w:szCs w:val="22"/>
        </w:rPr>
        <w:t>jeho aplikácia v OPII</w:t>
      </w:r>
      <w:r w:rsidRPr="0017751B">
        <w:rPr>
          <w:sz w:val="22"/>
          <w:szCs w:val="22"/>
        </w:rPr>
        <w:t>. Pre účinné uplatňovanie horizontálneho princípu rodová rovnosť bude v hodnotiacom a výberovom procese žiadostí o finančný príspevok stanovené diskvalifikačné kritérium v rámci prioritných osí OP</w:t>
      </w:r>
      <w:r>
        <w:rPr>
          <w:sz w:val="22"/>
          <w:szCs w:val="22"/>
        </w:rPr>
        <w:t>II</w:t>
      </w:r>
      <w:r w:rsidRPr="0017751B">
        <w:rPr>
          <w:sz w:val="22"/>
          <w:szCs w:val="22"/>
        </w:rPr>
        <w:t>. Zároveň bude povinnou prílohou</w:t>
      </w:r>
      <w:r>
        <w:rPr>
          <w:sz w:val="22"/>
          <w:szCs w:val="22"/>
        </w:rPr>
        <w:t xml:space="preserve"> žiadosti</w:t>
      </w:r>
      <w:r w:rsidRPr="0017751B">
        <w:rPr>
          <w:sz w:val="22"/>
          <w:szCs w:val="22"/>
        </w:rPr>
        <w:t xml:space="preserve"> o príspevok z EŠIF aj povolenie v prípadoch činností, na ktoré sa povinnosť jeho vydania vzťahuje.</w:t>
      </w:r>
    </w:p>
    <w:p w14:paraId="523DA7E6" w14:textId="77777777" w:rsidR="00EA5B5E" w:rsidRPr="00A82BE7" w:rsidRDefault="00EA5B5E" w:rsidP="00EA5B5E">
      <w:pPr>
        <w:spacing w:before="180"/>
        <w:jc w:val="both"/>
        <w:rPr>
          <w:sz w:val="22"/>
          <w:szCs w:val="22"/>
        </w:rPr>
      </w:pPr>
      <w:r w:rsidRPr="00A82BE7">
        <w:rPr>
          <w:sz w:val="22"/>
          <w:szCs w:val="22"/>
        </w:rPr>
        <w:t>Proces monitorovania plnenia horizontálnych princípov bude na projektovej úrovni sledovaný prostredníctvom monitorovacích správ, ktorých súčasťou bude samostatný výstup obsahujúci informácie o horizont</w:t>
      </w:r>
      <w:r>
        <w:rPr>
          <w:sz w:val="22"/>
          <w:szCs w:val="22"/>
        </w:rPr>
        <w:t>álnych princípoch (t. j. popis</w:t>
      </w:r>
      <w:r w:rsidRPr="00A82BE7">
        <w:rPr>
          <w:sz w:val="22"/>
          <w:szCs w:val="22"/>
        </w:rPr>
        <w:t xml:space="preserve"> v</w:t>
      </w:r>
      <w:r>
        <w:rPr>
          <w:sz w:val="22"/>
          <w:szCs w:val="22"/>
        </w:rPr>
        <w:t>ykonaných aktivít, ich výsledky a vyhodnotenie</w:t>
      </w:r>
      <w:r w:rsidRPr="00A82BE7">
        <w:rPr>
          <w:sz w:val="22"/>
          <w:szCs w:val="22"/>
        </w:rPr>
        <w:t xml:space="preserve"> </w:t>
      </w:r>
      <w:r w:rsidRPr="00A82BE7">
        <w:rPr>
          <w:sz w:val="22"/>
          <w:szCs w:val="22"/>
        </w:rPr>
        <w:lastRenderedPageBreak/>
        <w:t xml:space="preserve">ich príspevku k dosahovaniu stanovených cieľov horizontálnych </w:t>
      </w:r>
      <w:r w:rsidR="00A5105C">
        <w:rPr>
          <w:sz w:val="22"/>
          <w:szCs w:val="22"/>
        </w:rPr>
        <w:t>princípov), ako aj kontrolou na </w:t>
      </w:r>
      <w:r w:rsidRPr="00A82BE7">
        <w:rPr>
          <w:sz w:val="22"/>
          <w:szCs w:val="22"/>
        </w:rPr>
        <w:t>mieste realizácie projektov a následne hodnotením príspevku k cieľom horizontálnych princípov. Samostatný výstup obsahujúci informácie o uplatňovaní horizontálnych princípov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14:paraId="225F16C5" w14:textId="28B17C21" w:rsidR="00EA5B5E" w:rsidRDefault="00EA5B5E" w:rsidP="00EA5B5E">
      <w:pPr>
        <w:spacing w:before="180"/>
        <w:jc w:val="both"/>
        <w:rPr>
          <w:sz w:val="22"/>
          <w:szCs w:val="22"/>
        </w:rPr>
      </w:pPr>
      <w:r w:rsidRPr="00E05141">
        <w:rPr>
          <w:sz w:val="22"/>
          <w:szCs w:val="22"/>
        </w:rPr>
        <w:t>RO</w:t>
      </w:r>
      <w:r>
        <w:rPr>
          <w:sz w:val="22"/>
          <w:szCs w:val="22"/>
        </w:rPr>
        <w:t xml:space="preserve"> OPII bude</w:t>
      </w:r>
      <w:r w:rsidRPr="00E05141">
        <w:rPr>
          <w:sz w:val="22"/>
          <w:szCs w:val="22"/>
        </w:rPr>
        <w:t xml:space="preserve"> predkladať orgánu zodpovednému za uplatň</w:t>
      </w:r>
      <w:r>
        <w:rPr>
          <w:sz w:val="22"/>
          <w:szCs w:val="22"/>
        </w:rPr>
        <w:t xml:space="preserve">ovanie horizontálneho princípu rodová rovnosť pravidelnú informáciu o jej </w:t>
      </w:r>
      <w:r w:rsidRPr="00E05141">
        <w:rPr>
          <w:sz w:val="22"/>
          <w:szCs w:val="22"/>
        </w:rPr>
        <w:t>plnení, a to vyhodnotením mo</w:t>
      </w:r>
      <w:r w:rsidR="00A5105C">
        <w:rPr>
          <w:sz w:val="22"/>
          <w:szCs w:val="22"/>
        </w:rPr>
        <w:t>nitorovacích správ a kontrol na </w:t>
      </w:r>
      <w:r w:rsidRPr="00E05141">
        <w:rPr>
          <w:sz w:val="22"/>
          <w:szCs w:val="22"/>
        </w:rPr>
        <w:t>mieste v pravidelných časových intervaloch. Analytickú, hodnotiacu, strategickú a legislatívnu činnosť</w:t>
      </w:r>
      <w:r>
        <w:rPr>
          <w:sz w:val="22"/>
          <w:szCs w:val="22"/>
        </w:rPr>
        <w:t xml:space="preserve"> pre uplatňovanie horizontálneho princípu podpory rovnosti mužov a žien bude na národnej úrovni zabezpečovať</w:t>
      </w:r>
      <w:r w:rsidRPr="00E05141">
        <w:rPr>
          <w:sz w:val="22"/>
          <w:szCs w:val="22"/>
        </w:rPr>
        <w:t xml:space="preserve"> MPSVR SR, ktoré je zodpovedné za štátnu politiku v</w:t>
      </w:r>
      <w:r>
        <w:rPr>
          <w:sz w:val="22"/>
          <w:szCs w:val="22"/>
        </w:rPr>
        <w:t> tejto oblasti a ktoré bude zodpovedné</w:t>
      </w:r>
      <w:r w:rsidRPr="00E05141">
        <w:rPr>
          <w:sz w:val="22"/>
          <w:szCs w:val="22"/>
        </w:rPr>
        <w:t xml:space="preserve"> za definovanie podmienok poskytnutia pomoci súvisiacej </w:t>
      </w:r>
      <w:r>
        <w:rPr>
          <w:sz w:val="22"/>
          <w:szCs w:val="22"/>
        </w:rPr>
        <w:t>so zabezpečením aplikovania tohto horizontálneho princípu a spôsobu jeho</w:t>
      </w:r>
      <w:r w:rsidRPr="00E05141">
        <w:rPr>
          <w:sz w:val="22"/>
          <w:szCs w:val="22"/>
        </w:rPr>
        <w:t xml:space="preserve"> </w:t>
      </w:r>
      <w:r>
        <w:rPr>
          <w:sz w:val="22"/>
          <w:szCs w:val="22"/>
        </w:rPr>
        <w:t>overovania, ktorý bude</w:t>
      </w:r>
      <w:r w:rsidRPr="00E05141">
        <w:rPr>
          <w:sz w:val="22"/>
          <w:szCs w:val="22"/>
        </w:rPr>
        <w:t xml:space="preserve"> pre RO</w:t>
      </w:r>
      <w:r>
        <w:rPr>
          <w:sz w:val="22"/>
          <w:szCs w:val="22"/>
        </w:rPr>
        <w:t xml:space="preserve"> OPII</w:t>
      </w:r>
      <w:r w:rsidRPr="00E05141">
        <w:rPr>
          <w:sz w:val="22"/>
          <w:szCs w:val="22"/>
        </w:rPr>
        <w:t xml:space="preserve"> záväzný. Rovnak</w:t>
      </w:r>
      <w:r>
        <w:rPr>
          <w:sz w:val="22"/>
          <w:szCs w:val="22"/>
        </w:rPr>
        <w:t>o bude zabezpečovať</w:t>
      </w:r>
      <w:r w:rsidRPr="00E05141">
        <w:rPr>
          <w:sz w:val="22"/>
          <w:szCs w:val="22"/>
        </w:rPr>
        <w:t xml:space="preserve"> vzdelávacie a školiace ak</w:t>
      </w:r>
      <w:r>
        <w:rPr>
          <w:sz w:val="22"/>
          <w:szCs w:val="22"/>
        </w:rPr>
        <w:t>tivity pre uplatňovanie rodovej rovnosti</w:t>
      </w:r>
      <w:r w:rsidRPr="00E05141">
        <w:rPr>
          <w:sz w:val="22"/>
          <w:szCs w:val="22"/>
        </w:rPr>
        <w:t xml:space="preserve"> subjektom zapojeným do implementácie EŠIF, relevantným sociálno-ekonomickým partnerom</w:t>
      </w:r>
      <w:r>
        <w:rPr>
          <w:sz w:val="22"/>
          <w:szCs w:val="22"/>
        </w:rPr>
        <w:t>,</w:t>
      </w:r>
      <w:r w:rsidRPr="00E05141">
        <w:rPr>
          <w:sz w:val="22"/>
          <w:szCs w:val="22"/>
        </w:rPr>
        <w:t xml:space="preserve"> ako aj hod</w:t>
      </w:r>
      <w:r>
        <w:rPr>
          <w:sz w:val="22"/>
          <w:szCs w:val="22"/>
        </w:rPr>
        <w:t xml:space="preserve">notiteľom. Zásady rodovej rovnosti </w:t>
      </w:r>
      <w:r w:rsidRPr="00E05141">
        <w:rPr>
          <w:sz w:val="22"/>
          <w:szCs w:val="22"/>
        </w:rPr>
        <w:t>budú týmto zabezpečené nie len diskvalifikáciou pri nedodržaní podm</w:t>
      </w:r>
      <w:r w:rsidR="00A127CB">
        <w:rPr>
          <w:sz w:val="22"/>
          <w:szCs w:val="22"/>
        </w:rPr>
        <w:t>ienok, ale aj pri hodnotiacom a </w:t>
      </w:r>
      <w:r w:rsidRPr="00E05141">
        <w:rPr>
          <w:sz w:val="22"/>
          <w:szCs w:val="22"/>
        </w:rPr>
        <w:t>výberovom procese, kde sa počíta so zapojením relevantných partnerov.</w:t>
      </w:r>
    </w:p>
    <w:p w14:paraId="26002FCA" w14:textId="62DA3950" w:rsidR="00A50148" w:rsidRDefault="00EA5B5E" w:rsidP="00EA5B5E">
      <w:pPr>
        <w:spacing w:before="180"/>
        <w:jc w:val="both"/>
        <w:rPr>
          <w:sz w:val="22"/>
          <w:szCs w:val="22"/>
        </w:rPr>
      </w:pPr>
      <w:r w:rsidRPr="00DD1353">
        <w:rPr>
          <w:sz w:val="22"/>
          <w:szCs w:val="22"/>
        </w:rPr>
        <w:t>Vecne príslušní zástupcovia MPSVR SR zodpovedn</w:t>
      </w:r>
      <w:r>
        <w:rPr>
          <w:sz w:val="22"/>
          <w:szCs w:val="22"/>
        </w:rPr>
        <w:t>í za uplatňovanie horizontálneho princípu</w:t>
      </w:r>
      <w:r w:rsidRPr="00DD1353">
        <w:rPr>
          <w:sz w:val="22"/>
          <w:szCs w:val="22"/>
        </w:rPr>
        <w:t xml:space="preserve"> v</w:t>
      </w:r>
      <w:r>
        <w:rPr>
          <w:sz w:val="22"/>
          <w:szCs w:val="22"/>
        </w:rPr>
        <w:t> </w:t>
      </w:r>
      <w:r w:rsidRPr="00DD1353">
        <w:rPr>
          <w:sz w:val="22"/>
          <w:szCs w:val="22"/>
        </w:rPr>
        <w:t>oblasti</w:t>
      </w:r>
      <w:r>
        <w:rPr>
          <w:sz w:val="22"/>
          <w:szCs w:val="22"/>
        </w:rPr>
        <w:t xml:space="preserve"> podpory</w:t>
      </w:r>
      <w:r w:rsidRPr="00DD1353">
        <w:rPr>
          <w:sz w:val="22"/>
          <w:szCs w:val="22"/>
        </w:rPr>
        <w:t xml:space="preserve"> </w:t>
      </w:r>
      <w:r>
        <w:rPr>
          <w:sz w:val="22"/>
          <w:szCs w:val="22"/>
        </w:rPr>
        <w:t>rovnosti mužov a žien</w:t>
      </w:r>
      <w:r w:rsidRPr="00DD1353">
        <w:rPr>
          <w:sz w:val="22"/>
          <w:szCs w:val="22"/>
        </w:rPr>
        <w:t xml:space="preserve"> budú mať za</w:t>
      </w:r>
      <w:r>
        <w:rPr>
          <w:sz w:val="22"/>
          <w:szCs w:val="22"/>
        </w:rPr>
        <w:t>bezpečené zastúpenie v monitorovacom výbore pre OPII</w:t>
      </w:r>
      <w:r w:rsidRPr="00DD1353">
        <w:rPr>
          <w:sz w:val="22"/>
          <w:szCs w:val="22"/>
        </w:rPr>
        <w:t xml:space="preserve"> a pracovných skupinách na prípravu a implementáciu </w:t>
      </w:r>
      <w:r>
        <w:rPr>
          <w:sz w:val="22"/>
          <w:szCs w:val="22"/>
        </w:rPr>
        <w:t>OPII</w:t>
      </w:r>
      <w:r w:rsidRPr="00DD1353">
        <w:rPr>
          <w:sz w:val="22"/>
          <w:szCs w:val="22"/>
        </w:rPr>
        <w:t>.</w:t>
      </w:r>
    </w:p>
    <w:p w14:paraId="66AAEEFC" w14:textId="77777777" w:rsidR="00A50148" w:rsidRPr="00866E54" w:rsidRDefault="00A50148" w:rsidP="00A50148">
      <w:pPr>
        <w:spacing w:before="180"/>
        <w:jc w:val="both"/>
        <w:rPr>
          <w:sz w:val="22"/>
          <w:szCs w:val="22"/>
          <w:u w:val="single"/>
        </w:rPr>
      </w:pPr>
      <w:r w:rsidRPr="00866E54">
        <w:rPr>
          <w:sz w:val="22"/>
          <w:szCs w:val="22"/>
          <w:u w:val="single"/>
        </w:rPr>
        <w:t>Rovnosť medzi mužmi a ženami v oblasti výskumu a inovácií</w:t>
      </w:r>
    </w:p>
    <w:p w14:paraId="469F2EF6" w14:textId="78AA4A56" w:rsidR="00A50148" w:rsidRPr="00866E54" w:rsidRDefault="00A50148" w:rsidP="00A50148">
      <w:pPr>
        <w:pStyle w:val="Zkladntext"/>
        <w:spacing w:before="180" w:after="0"/>
        <w:jc w:val="both"/>
        <w:rPr>
          <w:rFonts w:eastAsiaTheme="minorEastAsia"/>
          <w:sz w:val="22"/>
          <w:szCs w:val="22"/>
          <w:lang w:eastAsia="en-US"/>
        </w:rPr>
      </w:pPr>
      <w:r w:rsidRPr="00866E54">
        <w:rPr>
          <w:rFonts w:eastAsiaTheme="minorEastAsia"/>
          <w:sz w:val="22"/>
          <w:szCs w:val="22"/>
          <w:lang w:eastAsia="en-US"/>
        </w:rPr>
        <w:t>Podpora rovnosti mužov a žien a dodržiavanie rovnosti príležitostí a predch</w:t>
      </w:r>
      <w:r>
        <w:rPr>
          <w:rFonts w:eastAsiaTheme="minorEastAsia"/>
          <w:sz w:val="22"/>
          <w:szCs w:val="22"/>
          <w:lang w:eastAsia="en-US"/>
        </w:rPr>
        <w:t>ádzanie diskriminácii sú v </w:t>
      </w:r>
      <w:r w:rsidRPr="00866E54">
        <w:rPr>
          <w:rFonts w:eastAsiaTheme="minorEastAsia"/>
          <w:sz w:val="22"/>
          <w:szCs w:val="22"/>
          <w:lang w:eastAsia="en-US"/>
        </w:rPr>
        <w:t>programovom období 2014 – 2020 uplatňované ako HP, ktoré sa budú realizovať na základe ich relevancie k oblastiam podpory, ktoré bu</w:t>
      </w:r>
      <w:r>
        <w:rPr>
          <w:rFonts w:eastAsiaTheme="minorEastAsia"/>
          <w:sz w:val="22"/>
          <w:szCs w:val="22"/>
          <w:lang w:eastAsia="en-US"/>
        </w:rPr>
        <w:t>dú predmetom intervencií EŠIF</w:t>
      </w:r>
      <w:r>
        <w:rPr>
          <w:rStyle w:val="Odkaznapoznmkupodiarou"/>
          <w:rFonts w:eastAsiaTheme="minorEastAsia"/>
          <w:sz w:val="22"/>
          <w:szCs w:val="22"/>
          <w:lang w:eastAsia="en-US"/>
        </w:rPr>
        <w:footnoteReference w:id="133"/>
      </w:r>
      <w:r w:rsidRPr="00866E54">
        <w:rPr>
          <w:rFonts w:eastAsiaTheme="minorEastAsia"/>
          <w:sz w:val="22"/>
          <w:szCs w:val="22"/>
          <w:lang w:eastAsia="en-US"/>
        </w:rPr>
        <w:t>.</w:t>
      </w:r>
    </w:p>
    <w:p w14:paraId="63D95F0B" w14:textId="55608B8C" w:rsidR="00A50148" w:rsidRPr="00866E54" w:rsidRDefault="00A50148" w:rsidP="00A50148">
      <w:pPr>
        <w:pStyle w:val="Zkladntext"/>
        <w:spacing w:before="180" w:after="0"/>
        <w:jc w:val="both"/>
        <w:rPr>
          <w:rFonts w:eastAsiaTheme="minorEastAsia"/>
          <w:sz w:val="22"/>
          <w:szCs w:val="22"/>
          <w:lang w:eastAsia="en-US"/>
        </w:rPr>
      </w:pPr>
      <w:r w:rsidRPr="00866E54">
        <w:rPr>
          <w:rFonts w:eastAsiaTheme="minorEastAsia"/>
          <w:sz w:val="22"/>
          <w:szCs w:val="22"/>
          <w:lang w:eastAsia="en-US"/>
        </w:rPr>
        <w:t>Hlavné ciele pre HP rovnosť medzi ženami a mužmi sú zadefinované v závislosti od prioritných osí, investičných priorít a špecifických cieľov. Hlavným cieľom je zab</w:t>
      </w:r>
      <w:r>
        <w:rPr>
          <w:rFonts w:eastAsiaTheme="minorEastAsia"/>
          <w:sz w:val="22"/>
          <w:szCs w:val="22"/>
          <w:lang w:eastAsia="en-US"/>
        </w:rPr>
        <w:t>ezpečiť rovnosť mužov a žien na </w:t>
      </w:r>
      <w:r w:rsidRPr="00866E54">
        <w:rPr>
          <w:rFonts w:eastAsiaTheme="minorEastAsia"/>
          <w:sz w:val="22"/>
          <w:szCs w:val="22"/>
          <w:lang w:eastAsia="en-US"/>
        </w:rPr>
        <w:t>trhu práce a v príprave naň a zníženie horizontálnej a vertikálne</w:t>
      </w:r>
      <w:r>
        <w:rPr>
          <w:rFonts w:eastAsiaTheme="minorEastAsia"/>
          <w:sz w:val="22"/>
          <w:szCs w:val="22"/>
          <w:lang w:eastAsia="en-US"/>
        </w:rPr>
        <w:t>j rodovej segregácie povolaní a </w:t>
      </w:r>
      <w:r w:rsidRPr="00866E54">
        <w:rPr>
          <w:rFonts w:eastAsiaTheme="minorEastAsia"/>
          <w:sz w:val="22"/>
          <w:szCs w:val="22"/>
          <w:lang w:eastAsia="en-US"/>
        </w:rPr>
        <w:t>odvetví.</w:t>
      </w:r>
    </w:p>
    <w:p w14:paraId="2520145F" w14:textId="39D3E2ED" w:rsidR="00A50148" w:rsidRPr="00866E54" w:rsidRDefault="00A50148" w:rsidP="00A50148">
      <w:pPr>
        <w:pStyle w:val="Zkladntext"/>
        <w:spacing w:before="180" w:after="0"/>
        <w:jc w:val="both"/>
        <w:rPr>
          <w:rFonts w:eastAsiaTheme="minorEastAsia"/>
          <w:sz w:val="22"/>
          <w:szCs w:val="22"/>
          <w:lang w:eastAsia="en-US"/>
        </w:rPr>
      </w:pPr>
      <w:r w:rsidRPr="00866E54">
        <w:rPr>
          <w:rFonts w:eastAsiaTheme="minorEastAsia"/>
          <w:sz w:val="22"/>
          <w:szCs w:val="22"/>
          <w:lang w:eastAsia="en-US"/>
        </w:rPr>
        <w:t>Za účelom dodržiavania rovnosti príležitostí a predchádzania diskrimi</w:t>
      </w:r>
      <w:r>
        <w:rPr>
          <w:rFonts w:eastAsiaTheme="minorEastAsia"/>
          <w:sz w:val="22"/>
          <w:szCs w:val="22"/>
          <w:lang w:eastAsia="en-US"/>
        </w:rPr>
        <w:t>nácie a podpory rovnosti žien a </w:t>
      </w:r>
      <w:r w:rsidRPr="00866E54">
        <w:rPr>
          <w:rFonts w:eastAsiaTheme="minorEastAsia"/>
          <w:sz w:val="22"/>
          <w:szCs w:val="22"/>
          <w:lang w:eastAsia="en-US"/>
        </w:rPr>
        <w:t>mužov sa budú tieto zásady uplatňovať prostredníctvom duálneho prístupu na základe stratégie gender mainstreamingu v rozhodovacích a riadiacich procesoch vo všetkých fázach p</w:t>
      </w:r>
      <w:r>
        <w:rPr>
          <w:rFonts w:eastAsiaTheme="minorEastAsia"/>
          <w:sz w:val="22"/>
          <w:szCs w:val="22"/>
          <w:lang w:eastAsia="en-US"/>
        </w:rPr>
        <w:t>rípravy a </w:t>
      </w:r>
      <w:r w:rsidRPr="00866E54">
        <w:rPr>
          <w:rFonts w:eastAsiaTheme="minorEastAsia"/>
          <w:sz w:val="22"/>
          <w:szCs w:val="22"/>
          <w:lang w:eastAsia="en-US"/>
        </w:rPr>
        <w:t>realizácie programu, vrátane monitorovania a hodnotenia tak, aby sa zohľadňovalo rovnaké zaobchádzanie a podpora žien, aby mohli rovnakou mierou profitovať z EŠIF ako muži (napr. aj prostredníctvom vyrovnaného zastúpenia v riadiacich a monitorovacích orgánoch). Tento prístup bude integrovaný do operačného programu prostredníctvom procesného riadenia a riadiacej dokumentácie.</w:t>
      </w:r>
    </w:p>
    <w:p w14:paraId="34F952D7" w14:textId="6FB68955" w:rsidR="00EA5B5E" w:rsidRPr="009D5596" w:rsidRDefault="00A50148" w:rsidP="00434736">
      <w:pPr>
        <w:pStyle w:val="Zkladntext"/>
        <w:spacing w:before="180" w:after="0"/>
        <w:jc w:val="both"/>
        <w:rPr>
          <w:sz w:val="22"/>
          <w:szCs w:val="22"/>
        </w:rPr>
      </w:pPr>
      <w:r w:rsidRPr="00866E54">
        <w:rPr>
          <w:rFonts w:eastAsiaTheme="minorEastAsia"/>
          <w:sz w:val="22"/>
          <w:szCs w:val="22"/>
          <w:lang w:eastAsia="en-US"/>
        </w:rPr>
        <w:t>Druhou časťou duálneho prístupu je podpora HP prostredníctvom realizácie dočasných vyrovnávacích opatrení a aktivít cielených na podporu znevýhodnených skupín definovaných antidiskriminačným zákonom. Pre uplatňovanie HP bude stanovené diskvalifikačné kritérium vo výberovom procese schvaľovania projektov. Proces implementácie plnenia HP bude na projektovej úrovni sledovaný prostredníctvom monitorovacích správ (prostredníctvom</w:t>
      </w:r>
      <w:r w:rsidR="00434736">
        <w:rPr>
          <w:rFonts w:eastAsiaTheme="minorEastAsia"/>
          <w:sz w:val="22"/>
          <w:szCs w:val="22"/>
          <w:lang w:eastAsia="en-US"/>
        </w:rPr>
        <w:t xml:space="preserve"> ... pozri Prílohu 21.</w:t>
      </w:r>
      <w:r w:rsidR="00EA5B5E" w:rsidRPr="00DD1353">
        <w:rPr>
          <w:sz w:val="22"/>
          <w:szCs w:val="22"/>
        </w:rPr>
        <w:t xml:space="preserve"> </w:t>
      </w:r>
    </w:p>
    <w:p w14:paraId="5BEBE2B0" w14:textId="77777777" w:rsidR="00B476FF" w:rsidRDefault="00B476FF" w:rsidP="00772736">
      <w:pPr>
        <w:jc w:val="both"/>
        <w:rPr>
          <w:sz w:val="22"/>
          <w:szCs w:val="22"/>
        </w:rPr>
      </w:pPr>
    </w:p>
    <w:p w14:paraId="036458F3" w14:textId="77777777" w:rsidR="00F83068" w:rsidRDefault="00F83068" w:rsidP="00F83068">
      <w:pPr>
        <w:pStyle w:val="Nadpis1"/>
        <w:sectPr w:rsidR="00F83068" w:rsidSect="00D1658B">
          <w:headerReference w:type="default" r:id="rId97"/>
          <w:pgSz w:w="11906" w:h="16838"/>
          <w:pgMar w:top="1418" w:right="1361" w:bottom="1304" w:left="1474" w:header="709" w:footer="709" w:gutter="0"/>
          <w:cols w:space="708"/>
          <w:docGrid w:linePitch="360"/>
        </w:sectPr>
      </w:pPr>
    </w:p>
    <w:p w14:paraId="3BB5220B" w14:textId="77777777" w:rsidR="00F83068" w:rsidRDefault="00F83068" w:rsidP="002C1444">
      <w:pPr>
        <w:pStyle w:val="Nadpis1"/>
        <w:tabs>
          <w:tab w:val="clear" w:pos="709"/>
          <w:tab w:val="clear" w:pos="851"/>
        </w:tabs>
      </w:pPr>
      <w:bookmarkStart w:id="210" w:name="_Toc28951701"/>
      <w:r>
        <w:lastRenderedPageBreak/>
        <w:t>Samostatné časti</w:t>
      </w:r>
      <w:bookmarkEnd w:id="210"/>
    </w:p>
    <w:p w14:paraId="2EE7C994" w14:textId="77777777" w:rsidR="00F83068" w:rsidRDefault="00F83068" w:rsidP="002C1444">
      <w:pPr>
        <w:pStyle w:val="Nadpis2"/>
        <w:tabs>
          <w:tab w:val="clear" w:pos="709"/>
          <w:tab w:val="clear" w:pos="851"/>
        </w:tabs>
      </w:pPr>
      <w:bookmarkStart w:id="211" w:name="_Toc28951702"/>
      <w:r>
        <w:t>Zoznam veľkých projektov</w:t>
      </w:r>
      <w:bookmarkEnd w:id="211"/>
    </w:p>
    <w:p w14:paraId="0D2CF47B" w14:textId="77777777" w:rsidR="00F83068" w:rsidRDefault="00F83068" w:rsidP="00303840">
      <w:pPr>
        <w:pStyle w:val="Tab"/>
      </w:pPr>
      <w:r>
        <w:t>Zoznam veľkých projektov</w:t>
      </w:r>
    </w:p>
    <w:tbl>
      <w:tblPr>
        <w:tblStyle w:val="Mriekatabuky"/>
        <w:tblW w:w="1440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747"/>
        <w:gridCol w:w="1704"/>
        <w:gridCol w:w="1701"/>
        <w:gridCol w:w="1984"/>
        <w:gridCol w:w="2267"/>
      </w:tblGrid>
      <w:tr w:rsidR="00033B40" w:rsidRPr="00FC12EF" w14:paraId="699BECB4" w14:textId="77777777" w:rsidTr="00033B40">
        <w:trPr>
          <w:trHeight w:val="454"/>
          <w:tblHeader/>
          <w:jc w:val="center"/>
        </w:trPr>
        <w:tc>
          <w:tcPr>
            <w:tcW w:w="6747" w:type="dxa"/>
            <w:tcBorders>
              <w:bottom w:val="single" w:sz="2" w:space="0" w:color="auto"/>
            </w:tcBorders>
            <w:shd w:val="clear" w:color="auto" w:fill="C6D9F1" w:themeFill="text2" w:themeFillTint="33"/>
            <w:vAlign w:val="center"/>
          </w:tcPr>
          <w:p w14:paraId="10ABD1A0" w14:textId="77777777" w:rsidR="00033B40" w:rsidRPr="006A289D" w:rsidRDefault="00033B40" w:rsidP="00DB7333">
            <w:pPr>
              <w:ind w:left="0"/>
              <w:rPr>
                <w:b/>
                <w:sz w:val="20"/>
                <w:szCs w:val="20"/>
              </w:rPr>
            </w:pPr>
            <w:r>
              <w:rPr>
                <w:b/>
                <w:sz w:val="20"/>
                <w:szCs w:val="20"/>
              </w:rPr>
              <w:t>Projekt</w:t>
            </w:r>
          </w:p>
        </w:tc>
        <w:tc>
          <w:tcPr>
            <w:tcW w:w="1704" w:type="dxa"/>
            <w:tcBorders>
              <w:bottom w:val="single" w:sz="2" w:space="0" w:color="auto"/>
            </w:tcBorders>
            <w:shd w:val="clear" w:color="auto" w:fill="C6D9F1" w:themeFill="text2" w:themeFillTint="33"/>
            <w:vAlign w:val="center"/>
          </w:tcPr>
          <w:p w14:paraId="2A95B0C8" w14:textId="77777777" w:rsidR="00033B40" w:rsidRDefault="00033B40" w:rsidP="00DB7333">
            <w:pPr>
              <w:pStyle w:val="Default"/>
              <w:ind w:left="0"/>
              <w:jc w:val="center"/>
              <w:rPr>
                <w:sz w:val="19"/>
                <w:szCs w:val="19"/>
              </w:rPr>
            </w:pPr>
            <w:r>
              <w:rPr>
                <w:b/>
                <w:bCs/>
                <w:sz w:val="19"/>
                <w:szCs w:val="19"/>
              </w:rPr>
              <w:t xml:space="preserve">Plánovaný dátum oznámenia/ </w:t>
            </w:r>
          </w:p>
          <w:p w14:paraId="4BABB156" w14:textId="77777777" w:rsidR="00033B40" w:rsidRDefault="00033B40" w:rsidP="00DB7333">
            <w:pPr>
              <w:pStyle w:val="Default"/>
              <w:ind w:left="0"/>
              <w:jc w:val="center"/>
              <w:rPr>
                <w:sz w:val="19"/>
                <w:szCs w:val="19"/>
              </w:rPr>
            </w:pPr>
            <w:r>
              <w:rPr>
                <w:b/>
                <w:bCs/>
                <w:sz w:val="19"/>
                <w:szCs w:val="19"/>
              </w:rPr>
              <w:t xml:space="preserve">predloženia </w:t>
            </w:r>
          </w:p>
          <w:p w14:paraId="14BF116D" w14:textId="77777777" w:rsidR="00033B40" w:rsidRPr="006A289D" w:rsidRDefault="00033B40" w:rsidP="00DB7333">
            <w:pPr>
              <w:ind w:left="0"/>
              <w:jc w:val="center"/>
              <w:rPr>
                <w:b/>
                <w:sz w:val="20"/>
                <w:szCs w:val="20"/>
              </w:rPr>
            </w:pPr>
            <w:r>
              <w:rPr>
                <w:b/>
                <w:bCs/>
                <w:sz w:val="19"/>
                <w:szCs w:val="19"/>
              </w:rPr>
              <w:t xml:space="preserve">(rok, štvrťrok) </w:t>
            </w:r>
          </w:p>
        </w:tc>
        <w:tc>
          <w:tcPr>
            <w:tcW w:w="1701" w:type="dxa"/>
            <w:tcBorders>
              <w:bottom w:val="single" w:sz="2" w:space="0" w:color="auto"/>
            </w:tcBorders>
            <w:shd w:val="clear" w:color="auto" w:fill="C6D9F1" w:themeFill="text2" w:themeFillTint="33"/>
            <w:vAlign w:val="center"/>
          </w:tcPr>
          <w:p w14:paraId="010C4CA2" w14:textId="77777777" w:rsidR="00033B40" w:rsidRDefault="00033B40" w:rsidP="00DB7333">
            <w:pPr>
              <w:pStyle w:val="Default"/>
              <w:ind w:left="0"/>
              <w:jc w:val="center"/>
              <w:rPr>
                <w:sz w:val="19"/>
                <w:szCs w:val="19"/>
              </w:rPr>
            </w:pPr>
            <w:r>
              <w:rPr>
                <w:b/>
                <w:bCs/>
                <w:sz w:val="19"/>
                <w:szCs w:val="19"/>
              </w:rPr>
              <w:t xml:space="preserve">Plánovaný začiatok realizácie </w:t>
            </w:r>
          </w:p>
          <w:p w14:paraId="4FE481A5" w14:textId="77777777" w:rsidR="00033B40" w:rsidRPr="006A289D" w:rsidRDefault="00033B40" w:rsidP="00DB7333">
            <w:pPr>
              <w:ind w:left="0"/>
              <w:jc w:val="center"/>
              <w:rPr>
                <w:b/>
                <w:sz w:val="20"/>
                <w:szCs w:val="20"/>
              </w:rPr>
            </w:pPr>
            <w:r>
              <w:rPr>
                <w:b/>
                <w:bCs/>
                <w:sz w:val="19"/>
                <w:szCs w:val="19"/>
              </w:rPr>
              <w:t xml:space="preserve">(rok, štvrťrok) </w:t>
            </w:r>
          </w:p>
        </w:tc>
        <w:tc>
          <w:tcPr>
            <w:tcW w:w="1984" w:type="dxa"/>
            <w:tcBorders>
              <w:bottom w:val="single" w:sz="2" w:space="0" w:color="auto"/>
            </w:tcBorders>
            <w:shd w:val="clear" w:color="auto" w:fill="C6D9F1" w:themeFill="text2" w:themeFillTint="33"/>
            <w:vAlign w:val="center"/>
          </w:tcPr>
          <w:p w14:paraId="0C4E89E3" w14:textId="77777777" w:rsidR="00033B40" w:rsidRDefault="00033B40" w:rsidP="00DB7333">
            <w:pPr>
              <w:pStyle w:val="Default"/>
              <w:ind w:left="0"/>
              <w:jc w:val="center"/>
              <w:rPr>
                <w:sz w:val="19"/>
                <w:szCs w:val="19"/>
              </w:rPr>
            </w:pPr>
            <w:r>
              <w:rPr>
                <w:b/>
                <w:bCs/>
                <w:sz w:val="19"/>
                <w:szCs w:val="19"/>
              </w:rPr>
              <w:t xml:space="preserve">Plánovaný dátum dokončenia realizácie </w:t>
            </w:r>
          </w:p>
          <w:p w14:paraId="3C0C7A78" w14:textId="77777777" w:rsidR="00033B40" w:rsidRPr="006A289D" w:rsidRDefault="00033B40" w:rsidP="00DB7333">
            <w:pPr>
              <w:ind w:left="0"/>
              <w:jc w:val="center"/>
              <w:rPr>
                <w:b/>
                <w:sz w:val="20"/>
                <w:szCs w:val="20"/>
              </w:rPr>
            </w:pPr>
            <w:r>
              <w:rPr>
                <w:b/>
                <w:bCs/>
                <w:sz w:val="19"/>
                <w:szCs w:val="19"/>
              </w:rPr>
              <w:t xml:space="preserve">(rok, štvrťrok) </w:t>
            </w:r>
          </w:p>
        </w:tc>
        <w:tc>
          <w:tcPr>
            <w:tcW w:w="2267" w:type="dxa"/>
            <w:tcBorders>
              <w:bottom w:val="single" w:sz="2" w:space="0" w:color="auto"/>
            </w:tcBorders>
            <w:shd w:val="clear" w:color="auto" w:fill="C6D9F1" w:themeFill="text2" w:themeFillTint="33"/>
            <w:vAlign w:val="center"/>
          </w:tcPr>
          <w:p w14:paraId="45C31F7E" w14:textId="77777777" w:rsidR="00033B40" w:rsidRPr="006A289D" w:rsidRDefault="00033B40" w:rsidP="00DB7333">
            <w:pPr>
              <w:pStyle w:val="Default"/>
              <w:ind w:left="0"/>
              <w:jc w:val="center"/>
              <w:rPr>
                <w:sz w:val="19"/>
                <w:szCs w:val="19"/>
              </w:rPr>
            </w:pPr>
            <w:r>
              <w:rPr>
                <w:b/>
                <w:bCs/>
                <w:sz w:val="19"/>
                <w:szCs w:val="19"/>
              </w:rPr>
              <w:t>Prioritné osi/ investičné priority</w:t>
            </w:r>
          </w:p>
        </w:tc>
      </w:tr>
      <w:tr w:rsidR="00033B40" w:rsidRPr="00B02869" w14:paraId="37D7DCE0" w14:textId="77777777" w:rsidTr="00033B40">
        <w:trPr>
          <w:trHeight w:val="340"/>
          <w:jc w:val="center"/>
        </w:trPr>
        <w:tc>
          <w:tcPr>
            <w:tcW w:w="6747" w:type="dxa"/>
            <w:shd w:val="clear" w:color="auto" w:fill="auto"/>
            <w:vAlign w:val="center"/>
          </w:tcPr>
          <w:p w14:paraId="1DD49D9E" w14:textId="77777777" w:rsidR="00033B40" w:rsidRPr="004A24F6" w:rsidRDefault="00033B40" w:rsidP="00DB7333">
            <w:pPr>
              <w:ind w:left="0"/>
              <w:rPr>
                <w:sz w:val="20"/>
                <w:szCs w:val="20"/>
              </w:rPr>
            </w:pPr>
            <w:r w:rsidRPr="004A24F6">
              <w:rPr>
                <w:sz w:val="20"/>
                <w:szCs w:val="20"/>
              </w:rPr>
              <w:t>Modernizácia železničnej trate Žilina – Košice, úsek trate Liptovský Mikuláš – Poprad Tatry (mimo), realizácia úseku Paludza – Liptovský Hrádok</w:t>
            </w:r>
          </w:p>
        </w:tc>
        <w:tc>
          <w:tcPr>
            <w:tcW w:w="1704" w:type="dxa"/>
            <w:shd w:val="clear" w:color="auto" w:fill="auto"/>
            <w:vAlign w:val="center"/>
          </w:tcPr>
          <w:p w14:paraId="00AF8347" w14:textId="77777777" w:rsidR="00033B40" w:rsidRPr="004A24F6"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1Q </w:t>
            </w:r>
          </w:p>
        </w:tc>
        <w:tc>
          <w:tcPr>
            <w:tcW w:w="1701" w:type="dxa"/>
            <w:shd w:val="clear" w:color="auto" w:fill="auto"/>
            <w:vAlign w:val="center"/>
          </w:tcPr>
          <w:p w14:paraId="684BFC34" w14:textId="77777777" w:rsidR="00033B40"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3</w:t>
            </w:r>
            <w:r w:rsidRPr="004A24F6">
              <w:rPr>
                <w:sz w:val="20"/>
                <w:szCs w:val="20"/>
              </w:rPr>
              <w:t>Q</w:t>
            </w:r>
          </w:p>
        </w:tc>
        <w:tc>
          <w:tcPr>
            <w:tcW w:w="1984" w:type="dxa"/>
            <w:shd w:val="clear" w:color="auto" w:fill="auto"/>
            <w:vAlign w:val="center"/>
          </w:tcPr>
          <w:p w14:paraId="461746AF" w14:textId="77777777" w:rsidR="00033B40" w:rsidRDefault="00033B40" w:rsidP="00DB7333">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14:paraId="05FF8D2E"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6BBEDE3B" w14:textId="77777777" w:rsidTr="00033B40">
        <w:trPr>
          <w:trHeight w:val="340"/>
          <w:jc w:val="center"/>
        </w:trPr>
        <w:tc>
          <w:tcPr>
            <w:tcW w:w="6747" w:type="dxa"/>
            <w:shd w:val="clear" w:color="auto" w:fill="auto"/>
            <w:vAlign w:val="center"/>
          </w:tcPr>
          <w:p w14:paraId="6F415BEF" w14:textId="77777777" w:rsidR="00033B40" w:rsidRPr="004A24F6" w:rsidRDefault="00033B40" w:rsidP="00DB7333">
            <w:pPr>
              <w:ind w:left="0"/>
              <w:rPr>
                <w:sz w:val="20"/>
                <w:szCs w:val="20"/>
              </w:rPr>
            </w:pPr>
            <w:r w:rsidRPr="004A24F6">
              <w:rPr>
                <w:sz w:val="20"/>
                <w:szCs w:val="20"/>
              </w:rPr>
              <w:t>Modernizácia koridoru št. hranica ČR/SR – Čadca – Krásno nad Kysucou, úsek Čadca – Krásno nad Kysucou (mimo)</w:t>
            </w:r>
          </w:p>
        </w:tc>
        <w:tc>
          <w:tcPr>
            <w:tcW w:w="1704" w:type="dxa"/>
            <w:shd w:val="clear" w:color="auto" w:fill="auto"/>
            <w:vAlign w:val="center"/>
          </w:tcPr>
          <w:p w14:paraId="3970C281" w14:textId="77777777" w:rsidR="00033B40" w:rsidRPr="004A24F6" w:rsidRDefault="00033B40" w:rsidP="00DB7333">
            <w:pPr>
              <w:ind w:left="0"/>
              <w:jc w:val="center"/>
              <w:rPr>
                <w:sz w:val="20"/>
                <w:szCs w:val="20"/>
              </w:rPr>
            </w:pPr>
            <w:r w:rsidRPr="004A24F6">
              <w:rPr>
                <w:sz w:val="20"/>
                <w:szCs w:val="20"/>
              </w:rPr>
              <w:t>20</w:t>
            </w:r>
            <w:r>
              <w:rPr>
                <w:sz w:val="20"/>
                <w:szCs w:val="20"/>
              </w:rPr>
              <w:t>22</w:t>
            </w:r>
            <w:r w:rsidRPr="004A24F6">
              <w:rPr>
                <w:sz w:val="20"/>
                <w:szCs w:val="20"/>
              </w:rPr>
              <w:t xml:space="preserve">, </w:t>
            </w:r>
            <w:r>
              <w:rPr>
                <w:sz w:val="20"/>
                <w:szCs w:val="20"/>
              </w:rPr>
              <w:t>2</w:t>
            </w:r>
            <w:r w:rsidRPr="004A24F6">
              <w:rPr>
                <w:sz w:val="20"/>
                <w:szCs w:val="20"/>
              </w:rPr>
              <w:t xml:space="preserve">Q </w:t>
            </w:r>
          </w:p>
        </w:tc>
        <w:tc>
          <w:tcPr>
            <w:tcW w:w="1701" w:type="dxa"/>
            <w:shd w:val="clear" w:color="auto" w:fill="auto"/>
            <w:vAlign w:val="center"/>
          </w:tcPr>
          <w:p w14:paraId="35E2B13F" w14:textId="77777777" w:rsidR="00033B40" w:rsidRPr="004A24F6" w:rsidRDefault="00033B40" w:rsidP="00DB7333">
            <w:pPr>
              <w:ind w:left="0"/>
              <w:jc w:val="center"/>
              <w:rPr>
                <w:sz w:val="20"/>
                <w:szCs w:val="20"/>
              </w:rPr>
            </w:pPr>
            <w:r w:rsidRPr="004A24F6">
              <w:rPr>
                <w:sz w:val="20"/>
                <w:szCs w:val="20"/>
              </w:rPr>
              <w:t>20</w:t>
            </w:r>
            <w:r>
              <w:rPr>
                <w:sz w:val="20"/>
                <w:szCs w:val="20"/>
              </w:rPr>
              <w:t>21</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14:paraId="54B68452" w14:textId="77777777" w:rsidR="00033B40" w:rsidRPr="004A24F6" w:rsidRDefault="00033B40" w:rsidP="00DB7333">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14:paraId="78FF0DBC"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7BFFFFF1" w14:textId="77777777" w:rsidTr="00033B40">
        <w:trPr>
          <w:trHeight w:val="340"/>
          <w:jc w:val="center"/>
        </w:trPr>
        <w:tc>
          <w:tcPr>
            <w:tcW w:w="6747" w:type="dxa"/>
            <w:shd w:val="clear" w:color="auto" w:fill="auto"/>
            <w:vAlign w:val="center"/>
          </w:tcPr>
          <w:p w14:paraId="14605DDF" w14:textId="77777777" w:rsidR="00033B40" w:rsidRPr="004A24F6" w:rsidRDefault="00033B40" w:rsidP="00DB7333">
            <w:pPr>
              <w:ind w:left="0"/>
              <w:rPr>
                <w:sz w:val="20"/>
                <w:szCs w:val="20"/>
              </w:rPr>
            </w:pPr>
            <w:r w:rsidRPr="004A24F6">
              <w:rPr>
                <w:sz w:val="20"/>
                <w:szCs w:val="20"/>
              </w:rPr>
              <w:t>ŽSR, Uzol Bratislava</w:t>
            </w:r>
          </w:p>
        </w:tc>
        <w:tc>
          <w:tcPr>
            <w:tcW w:w="1704" w:type="dxa"/>
            <w:shd w:val="clear" w:color="auto" w:fill="auto"/>
            <w:vAlign w:val="center"/>
          </w:tcPr>
          <w:p w14:paraId="4FFDDECC" w14:textId="77777777" w:rsidR="00033B40" w:rsidRPr="004A24F6" w:rsidRDefault="00033B40" w:rsidP="00DB7333">
            <w:pPr>
              <w:ind w:left="0"/>
              <w:jc w:val="center"/>
              <w:rPr>
                <w:sz w:val="20"/>
                <w:szCs w:val="20"/>
              </w:rPr>
            </w:pPr>
            <w:r w:rsidRPr="004A24F6">
              <w:rPr>
                <w:sz w:val="20"/>
                <w:szCs w:val="20"/>
              </w:rPr>
              <w:t xml:space="preserve">2020, 1Q </w:t>
            </w:r>
          </w:p>
        </w:tc>
        <w:tc>
          <w:tcPr>
            <w:tcW w:w="1701" w:type="dxa"/>
            <w:shd w:val="clear" w:color="auto" w:fill="auto"/>
            <w:vAlign w:val="center"/>
          </w:tcPr>
          <w:p w14:paraId="59590715" w14:textId="77777777" w:rsidR="00033B40" w:rsidRPr="004A24F6" w:rsidRDefault="00033B40" w:rsidP="00DB7333">
            <w:pPr>
              <w:ind w:left="0"/>
              <w:jc w:val="center"/>
              <w:rPr>
                <w:sz w:val="20"/>
                <w:szCs w:val="20"/>
              </w:rPr>
            </w:pPr>
            <w:r w:rsidRPr="004A24F6">
              <w:rPr>
                <w:sz w:val="20"/>
                <w:szCs w:val="20"/>
              </w:rPr>
              <w:t>2020, 1Q</w:t>
            </w:r>
          </w:p>
        </w:tc>
        <w:tc>
          <w:tcPr>
            <w:tcW w:w="1984" w:type="dxa"/>
            <w:shd w:val="clear" w:color="auto" w:fill="auto"/>
            <w:vAlign w:val="center"/>
          </w:tcPr>
          <w:p w14:paraId="47719BB4" w14:textId="77777777" w:rsidR="00033B40" w:rsidRPr="004A24F6" w:rsidRDefault="00033B40" w:rsidP="00DB7333">
            <w:pPr>
              <w:ind w:left="0"/>
              <w:jc w:val="center"/>
              <w:rPr>
                <w:sz w:val="20"/>
                <w:szCs w:val="20"/>
              </w:rPr>
            </w:pPr>
            <w:r w:rsidRPr="004A24F6">
              <w:rPr>
                <w:sz w:val="20"/>
                <w:szCs w:val="20"/>
              </w:rPr>
              <w:t>2023, 1Q</w:t>
            </w:r>
          </w:p>
        </w:tc>
        <w:tc>
          <w:tcPr>
            <w:tcW w:w="2267" w:type="dxa"/>
            <w:shd w:val="clear" w:color="auto" w:fill="auto"/>
            <w:vAlign w:val="center"/>
          </w:tcPr>
          <w:p w14:paraId="6C6F1185"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0780899E" w14:textId="77777777" w:rsidTr="00033B40">
        <w:trPr>
          <w:trHeight w:val="340"/>
          <w:jc w:val="center"/>
        </w:trPr>
        <w:tc>
          <w:tcPr>
            <w:tcW w:w="6747" w:type="dxa"/>
            <w:shd w:val="clear" w:color="auto" w:fill="auto"/>
            <w:vAlign w:val="center"/>
          </w:tcPr>
          <w:p w14:paraId="270ABEA8" w14:textId="77777777" w:rsidR="00033B40" w:rsidRPr="004A24F6" w:rsidRDefault="00033B40" w:rsidP="00DB7333">
            <w:pPr>
              <w:ind w:left="0"/>
              <w:rPr>
                <w:sz w:val="20"/>
                <w:szCs w:val="20"/>
              </w:rPr>
            </w:pPr>
            <w:r w:rsidRPr="004A24F6">
              <w:rPr>
                <w:sz w:val="20"/>
                <w:szCs w:val="20"/>
                <w:lang w:eastAsia="cs-CZ"/>
              </w:rPr>
              <w:t>ŽSR, Modernizácia železničnej trate Púchov – Žilina, pre traťovú rýchlosť do 160 km/hod. – I. etapa, úsek Púchov – Považská Teplá</w:t>
            </w:r>
          </w:p>
        </w:tc>
        <w:tc>
          <w:tcPr>
            <w:tcW w:w="1704" w:type="dxa"/>
            <w:shd w:val="clear" w:color="auto" w:fill="auto"/>
            <w:vAlign w:val="center"/>
          </w:tcPr>
          <w:p w14:paraId="6241017B"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14:paraId="72E2AC57" w14:textId="77777777" w:rsidR="00033B40" w:rsidRPr="004A24F6" w:rsidRDefault="00033B40" w:rsidP="00DB7333">
            <w:pPr>
              <w:ind w:left="0"/>
              <w:jc w:val="center"/>
              <w:rPr>
                <w:sz w:val="20"/>
                <w:szCs w:val="20"/>
              </w:rPr>
            </w:pPr>
            <w:r w:rsidRPr="004A24F6">
              <w:rPr>
                <w:sz w:val="20"/>
                <w:szCs w:val="20"/>
              </w:rPr>
              <w:t>2016, 3Q</w:t>
            </w:r>
          </w:p>
        </w:tc>
        <w:tc>
          <w:tcPr>
            <w:tcW w:w="1984" w:type="dxa"/>
            <w:shd w:val="clear" w:color="auto" w:fill="auto"/>
            <w:vAlign w:val="center"/>
          </w:tcPr>
          <w:p w14:paraId="7CFA6B94" w14:textId="77777777" w:rsidR="00033B40"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2DFE1536"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7598D371" w14:textId="77777777" w:rsidTr="00033B40">
        <w:trPr>
          <w:trHeight w:val="340"/>
          <w:jc w:val="center"/>
        </w:trPr>
        <w:tc>
          <w:tcPr>
            <w:tcW w:w="6747" w:type="dxa"/>
            <w:shd w:val="clear" w:color="auto" w:fill="auto"/>
            <w:vAlign w:val="center"/>
          </w:tcPr>
          <w:p w14:paraId="692C336F" w14:textId="77777777" w:rsidR="00033B40" w:rsidRPr="004A24F6" w:rsidRDefault="00033B40" w:rsidP="00DB7333">
            <w:pPr>
              <w:ind w:left="0"/>
              <w:rPr>
                <w:sz w:val="20"/>
                <w:szCs w:val="20"/>
                <w:lang w:eastAsia="cs-CZ"/>
              </w:rPr>
            </w:pPr>
            <w:r w:rsidRPr="004A24F6">
              <w:rPr>
                <w:sz w:val="20"/>
                <w:szCs w:val="20"/>
                <w:lang w:eastAsia="cs-CZ"/>
              </w:rPr>
              <w:t>ŽSR, Dostavba zriaďovacej stanice Žilina – Teplička a nadväzujúcej železničnej infraštruktúry v uzle Žilina, I. etapa</w:t>
            </w:r>
          </w:p>
        </w:tc>
        <w:tc>
          <w:tcPr>
            <w:tcW w:w="1704" w:type="dxa"/>
            <w:shd w:val="clear" w:color="auto" w:fill="auto"/>
            <w:vAlign w:val="center"/>
          </w:tcPr>
          <w:p w14:paraId="5FBE1CA3"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4</w:t>
            </w:r>
            <w:r w:rsidRPr="004A24F6">
              <w:rPr>
                <w:sz w:val="20"/>
                <w:szCs w:val="20"/>
              </w:rPr>
              <w:t>Q</w:t>
            </w:r>
          </w:p>
        </w:tc>
        <w:tc>
          <w:tcPr>
            <w:tcW w:w="1701" w:type="dxa"/>
            <w:shd w:val="clear" w:color="auto" w:fill="auto"/>
            <w:vAlign w:val="center"/>
          </w:tcPr>
          <w:p w14:paraId="1B5D87F6" w14:textId="77777777" w:rsidR="00033B40" w:rsidRDefault="00033B40" w:rsidP="00DB7333">
            <w:pPr>
              <w:ind w:left="0"/>
              <w:jc w:val="center"/>
              <w:rPr>
                <w:sz w:val="20"/>
                <w:szCs w:val="20"/>
              </w:rPr>
            </w:pPr>
            <w:r w:rsidRPr="004A24F6">
              <w:rPr>
                <w:sz w:val="20"/>
                <w:szCs w:val="20"/>
              </w:rPr>
              <w:t>201</w:t>
            </w:r>
            <w:r>
              <w:rPr>
                <w:sz w:val="20"/>
                <w:szCs w:val="20"/>
              </w:rPr>
              <w:t>9</w:t>
            </w:r>
            <w:r w:rsidRPr="004A24F6">
              <w:rPr>
                <w:sz w:val="20"/>
                <w:szCs w:val="20"/>
              </w:rPr>
              <w:t>, 2Q</w:t>
            </w:r>
          </w:p>
        </w:tc>
        <w:tc>
          <w:tcPr>
            <w:tcW w:w="1984" w:type="dxa"/>
            <w:shd w:val="clear" w:color="auto" w:fill="auto"/>
            <w:vAlign w:val="center"/>
          </w:tcPr>
          <w:p w14:paraId="6E35ADAC" w14:textId="77777777" w:rsidR="00033B40" w:rsidRDefault="00033B40" w:rsidP="00DB7333">
            <w:pPr>
              <w:ind w:left="0"/>
              <w:jc w:val="center"/>
              <w:rPr>
                <w:sz w:val="20"/>
                <w:szCs w:val="20"/>
              </w:rPr>
            </w:pPr>
            <w:r w:rsidRPr="004A24F6">
              <w:rPr>
                <w:sz w:val="20"/>
                <w:szCs w:val="20"/>
              </w:rPr>
              <w:t>202</w:t>
            </w:r>
            <w:r>
              <w:rPr>
                <w:sz w:val="20"/>
                <w:szCs w:val="20"/>
              </w:rPr>
              <w:t>2</w:t>
            </w:r>
            <w:r w:rsidRPr="004A24F6">
              <w:rPr>
                <w:sz w:val="20"/>
                <w:szCs w:val="20"/>
              </w:rPr>
              <w:t>, 2Q</w:t>
            </w:r>
          </w:p>
        </w:tc>
        <w:tc>
          <w:tcPr>
            <w:tcW w:w="2267" w:type="dxa"/>
            <w:shd w:val="clear" w:color="auto" w:fill="auto"/>
            <w:vAlign w:val="center"/>
          </w:tcPr>
          <w:p w14:paraId="1C54A05D"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2FAEC037" w14:textId="77777777" w:rsidTr="00033B40">
        <w:trPr>
          <w:trHeight w:val="340"/>
          <w:jc w:val="center"/>
        </w:trPr>
        <w:tc>
          <w:tcPr>
            <w:tcW w:w="6747" w:type="dxa"/>
            <w:shd w:val="clear" w:color="auto" w:fill="auto"/>
            <w:vAlign w:val="center"/>
          </w:tcPr>
          <w:p w14:paraId="02F49715" w14:textId="77777777" w:rsidR="00033B40" w:rsidRPr="004A24F6" w:rsidRDefault="00033B40" w:rsidP="00DB7333">
            <w:pPr>
              <w:ind w:left="0"/>
              <w:rPr>
                <w:sz w:val="20"/>
                <w:szCs w:val="20"/>
              </w:rPr>
            </w:pPr>
            <w:r>
              <w:rPr>
                <w:sz w:val="20"/>
                <w:szCs w:val="20"/>
                <w:lang w:eastAsia="cs-CZ"/>
              </w:rPr>
              <w:t>Modernizácia vozového parku ŽKV v rámci OPII – 2. časť</w:t>
            </w:r>
          </w:p>
        </w:tc>
        <w:tc>
          <w:tcPr>
            <w:tcW w:w="1704" w:type="dxa"/>
            <w:shd w:val="clear" w:color="auto" w:fill="auto"/>
            <w:vAlign w:val="center"/>
          </w:tcPr>
          <w:p w14:paraId="7C54AC02" w14:textId="77777777" w:rsidR="00033B40" w:rsidRPr="004A24F6" w:rsidRDefault="00033B40" w:rsidP="00DB7333">
            <w:pPr>
              <w:ind w:left="0"/>
              <w:jc w:val="center"/>
              <w:rPr>
                <w:sz w:val="20"/>
                <w:szCs w:val="20"/>
              </w:rPr>
            </w:pPr>
            <w:r>
              <w:rPr>
                <w:sz w:val="20"/>
                <w:szCs w:val="20"/>
              </w:rPr>
              <w:t>2017, 3Q</w:t>
            </w:r>
          </w:p>
        </w:tc>
        <w:tc>
          <w:tcPr>
            <w:tcW w:w="1701" w:type="dxa"/>
            <w:shd w:val="clear" w:color="auto" w:fill="auto"/>
            <w:vAlign w:val="center"/>
          </w:tcPr>
          <w:p w14:paraId="5757CF73" w14:textId="77777777" w:rsidR="00033B40" w:rsidRPr="004A24F6" w:rsidRDefault="00033B40" w:rsidP="00DB7333">
            <w:pPr>
              <w:ind w:left="0"/>
              <w:jc w:val="center"/>
              <w:rPr>
                <w:sz w:val="20"/>
                <w:szCs w:val="20"/>
              </w:rPr>
            </w:pPr>
            <w:r>
              <w:rPr>
                <w:sz w:val="20"/>
                <w:szCs w:val="20"/>
              </w:rPr>
              <w:t>2018, 1Q</w:t>
            </w:r>
          </w:p>
        </w:tc>
        <w:tc>
          <w:tcPr>
            <w:tcW w:w="1984" w:type="dxa"/>
            <w:shd w:val="clear" w:color="auto" w:fill="auto"/>
            <w:vAlign w:val="center"/>
          </w:tcPr>
          <w:p w14:paraId="5EBE4FF5" w14:textId="77777777" w:rsidR="00033B40" w:rsidRPr="004A24F6" w:rsidRDefault="00033B40" w:rsidP="00DB7333">
            <w:pPr>
              <w:ind w:left="0"/>
              <w:jc w:val="center"/>
              <w:rPr>
                <w:sz w:val="20"/>
                <w:szCs w:val="20"/>
              </w:rPr>
            </w:pPr>
            <w:r>
              <w:rPr>
                <w:sz w:val="20"/>
                <w:szCs w:val="20"/>
              </w:rPr>
              <w:t>2022, 4Q</w:t>
            </w:r>
          </w:p>
        </w:tc>
        <w:tc>
          <w:tcPr>
            <w:tcW w:w="2267" w:type="dxa"/>
            <w:shd w:val="clear" w:color="auto" w:fill="auto"/>
            <w:vAlign w:val="center"/>
          </w:tcPr>
          <w:p w14:paraId="460E5A65" w14:textId="77777777" w:rsidR="00033B40" w:rsidRPr="004A24F6" w:rsidRDefault="00033B40" w:rsidP="00033B40">
            <w:pPr>
              <w:ind w:left="0"/>
              <w:jc w:val="center"/>
              <w:rPr>
                <w:sz w:val="20"/>
                <w:szCs w:val="20"/>
              </w:rPr>
            </w:pPr>
            <w:r>
              <w:rPr>
                <w:sz w:val="20"/>
                <w:szCs w:val="20"/>
              </w:rPr>
              <w:t>Prioritná os 1/OP 7iii)</w:t>
            </w:r>
          </w:p>
        </w:tc>
      </w:tr>
      <w:tr w:rsidR="00033B40" w:rsidRPr="00B02869" w14:paraId="4579C371" w14:textId="77777777" w:rsidTr="00033B40">
        <w:trPr>
          <w:trHeight w:val="340"/>
          <w:jc w:val="center"/>
        </w:trPr>
        <w:tc>
          <w:tcPr>
            <w:tcW w:w="6747" w:type="dxa"/>
            <w:shd w:val="clear" w:color="auto" w:fill="auto"/>
            <w:vAlign w:val="center"/>
          </w:tcPr>
          <w:p w14:paraId="5E10CA8E" w14:textId="77777777" w:rsidR="00033B40" w:rsidRPr="004A24F6" w:rsidRDefault="00033B40" w:rsidP="00DB7333">
            <w:pPr>
              <w:ind w:left="0"/>
              <w:rPr>
                <w:sz w:val="20"/>
                <w:szCs w:val="20"/>
              </w:rPr>
            </w:pPr>
            <w:r w:rsidRPr="004A24F6">
              <w:rPr>
                <w:sz w:val="20"/>
                <w:szCs w:val="20"/>
              </w:rPr>
              <w:t>D1 Hričovské Podhradie – Lietavská Lúčka (2. fáza)</w:t>
            </w:r>
          </w:p>
        </w:tc>
        <w:tc>
          <w:tcPr>
            <w:tcW w:w="1704" w:type="dxa"/>
            <w:shd w:val="clear" w:color="auto" w:fill="auto"/>
            <w:vAlign w:val="center"/>
          </w:tcPr>
          <w:p w14:paraId="45379BDA" w14:textId="77777777" w:rsidR="00033B40" w:rsidRPr="004A24F6" w:rsidRDefault="00033B40" w:rsidP="00DB7333">
            <w:pPr>
              <w:ind w:left="0"/>
              <w:jc w:val="center"/>
              <w:rPr>
                <w:sz w:val="20"/>
                <w:szCs w:val="20"/>
              </w:rPr>
            </w:pPr>
            <w:r w:rsidRPr="004A24F6">
              <w:rPr>
                <w:sz w:val="20"/>
                <w:szCs w:val="20"/>
              </w:rPr>
              <w:t>2016, 2Q</w:t>
            </w:r>
          </w:p>
        </w:tc>
        <w:tc>
          <w:tcPr>
            <w:tcW w:w="1701" w:type="dxa"/>
            <w:shd w:val="clear" w:color="auto" w:fill="auto"/>
            <w:vAlign w:val="center"/>
          </w:tcPr>
          <w:p w14:paraId="0162D41D" w14:textId="77777777" w:rsidR="00033B40" w:rsidRPr="004A24F6" w:rsidRDefault="00033B40" w:rsidP="00DB7333">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14:paraId="47700ED0"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30F516D5" w14:textId="77777777" w:rsidR="00033B40" w:rsidRPr="004A24F6" w:rsidRDefault="00033B40" w:rsidP="00033B40">
            <w:pPr>
              <w:ind w:left="0"/>
              <w:jc w:val="center"/>
              <w:rPr>
                <w:sz w:val="20"/>
                <w:szCs w:val="20"/>
              </w:rPr>
            </w:pPr>
            <w:r w:rsidRPr="004A24F6">
              <w:rPr>
                <w:sz w:val="20"/>
                <w:szCs w:val="20"/>
              </w:rPr>
              <w:t>Prioritná os 2/IP 7i)</w:t>
            </w:r>
          </w:p>
        </w:tc>
      </w:tr>
      <w:tr w:rsidR="00033B40" w:rsidRPr="00B02869" w14:paraId="60AAD92D" w14:textId="77777777" w:rsidTr="00033B40">
        <w:trPr>
          <w:trHeight w:val="340"/>
          <w:jc w:val="center"/>
        </w:trPr>
        <w:tc>
          <w:tcPr>
            <w:tcW w:w="6747" w:type="dxa"/>
            <w:shd w:val="clear" w:color="auto" w:fill="auto"/>
            <w:vAlign w:val="center"/>
          </w:tcPr>
          <w:p w14:paraId="6B4BACA0" w14:textId="77777777" w:rsidR="00033B40" w:rsidRPr="004A24F6" w:rsidRDefault="00033B40" w:rsidP="00DB7333">
            <w:pPr>
              <w:ind w:left="0"/>
              <w:rPr>
                <w:sz w:val="20"/>
                <w:szCs w:val="20"/>
              </w:rPr>
            </w:pPr>
            <w:r w:rsidRPr="004A24F6">
              <w:rPr>
                <w:sz w:val="20"/>
                <w:szCs w:val="20"/>
              </w:rPr>
              <w:t>D1 Lietavská Lúčka – Višňové – Dubná Skala (2. fáza)</w:t>
            </w:r>
          </w:p>
        </w:tc>
        <w:tc>
          <w:tcPr>
            <w:tcW w:w="1704" w:type="dxa"/>
            <w:shd w:val="clear" w:color="auto" w:fill="auto"/>
            <w:vAlign w:val="center"/>
          </w:tcPr>
          <w:p w14:paraId="512A6984"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1701" w:type="dxa"/>
            <w:shd w:val="clear" w:color="auto" w:fill="auto"/>
            <w:vAlign w:val="center"/>
          </w:tcPr>
          <w:p w14:paraId="631EBC4D" w14:textId="77777777" w:rsidR="00033B40" w:rsidRPr="004A24F6" w:rsidRDefault="00033B40" w:rsidP="00DB7333">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2</w:t>
            </w:r>
            <w:r w:rsidRPr="004A24F6">
              <w:rPr>
                <w:sz w:val="20"/>
                <w:szCs w:val="20"/>
              </w:rPr>
              <w:t>Q</w:t>
            </w:r>
          </w:p>
        </w:tc>
        <w:tc>
          <w:tcPr>
            <w:tcW w:w="1984" w:type="dxa"/>
            <w:shd w:val="clear" w:color="auto" w:fill="auto"/>
            <w:vAlign w:val="center"/>
          </w:tcPr>
          <w:p w14:paraId="2D2ABD86" w14:textId="77777777" w:rsidR="00033B40" w:rsidRPr="004A24F6" w:rsidRDefault="00033B40" w:rsidP="00DB7333">
            <w:pPr>
              <w:ind w:left="0"/>
              <w:jc w:val="center"/>
              <w:rPr>
                <w:sz w:val="20"/>
                <w:szCs w:val="20"/>
              </w:rPr>
            </w:pPr>
            <w:r w:rsidRPr="004A24F6">
              <w:rPr>
                <w:sz w:val="20"/>
                <w:szCs w:val="20"/>
              </w:rPr>
              <w:t>2019, 4Q</w:t>
            </w:r>
          </w:p>
        </w:tc>
        <w:tc>
          <w:tcPr>
            <w:tcW w:w="2267" w:type="dxa"/>
            <w:shd w:val="clear" w:color="auto" w:fill="auto"/>
            <w:vAlign w:val="center"/>
          </w:tcPr>
          <w:p w14:paraId="5BB59891" w14:textId="77777777" w:rsidR="00033B40" w:rsidRPr="004A24F6" w:rsidRDefault="00033B40" w:rsidP="00033B40">
            <w:pPr>
              <w:ind w:left="0"/>
              <w:jc w:val="center"/>
            </w:pPr>
            <w:r w:rsidRPr="004A24F6">
              <w:rPr>
                <w:sz w:val="20"/>
                <w:szCs w:val="20"/>
              </w:rPr>
              <w:t>Prioritná os 2/IP 7i)</w:t>
            </w:r>
          </w:p>
        </w:tc>
      </w:tr>
      <w:tr w:rsidR="00033B40" w:rsidRPr="00B02869" w14:paraId="13F31B3E" w14:textId="77777777" w:rsidTr="00033B40">
        <w:trPr>
          <w:trHeight w:val="340"/>
          <w:jc w:val="center"/>
        </w:trPr>
        <w:tc>
          <w:tcPr>
            <w:tcW w:w="6747" w:type="dxa"/>
            <w:shd w:val="clear" w:color="auto" w:fill="auto"/>
            <w:vAlign w:val="center"/>
          </w:tcPr>
          <w:p w14:paraId="155A7FC6" w14:textId="77777777" w:rsidR="00033B40" w:rsidRPr="004A24F6" w:rsidRDefault="00033B40" w:rsidP="00DB7333">
            <w:pPr>
              <w:ind w:left="0"/>
              <w:rPr>
                <w:sz w:val="20"/>
                <w:szCs w:val="20"/>
              </w:rPr>
            </w:pPr>
            <w:r w:rsidRPr="004A24F6">
              <w:rPr>
                <w:sz w:val="20"/>
                <w:szCs w:val="20"/>
              </w:rPr>
              <w:t>D1 Hubová – Ivachnová (2. fáza)</w:t>
            </w:r>
          </w:p>
        </w:tc>
        <w:tc>
          <w:tcPr>
            <w:tcW w:w="1704" w:type="dxa"/>
            <w:shd w:val="clear" w:color="auto" w:fill="auto"/>
            <w:vAlign w:val="center"/>
          </w:tcPr>
          <w:p w14:paraId="4BE47C09"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4</w:t>
            </w:r>
            <w:r w:rsidRPr="004A24F6">
              <w:rPr>
                <w:sz w:val="20"/>
                <w:szCs w:val="20"/>
              </w:rPr>
              <w:t>Q</w:t>
            </w:r>
          </w:p>
        </w:tc>
        <w:tc>
          <w:tcPr>
            <w:tcW w:w="1701" w:type="dxa"/>
            <w:shd w:val="clear" w:color="auto" w:fill="auto"/>
            <w:vAlign w:val="center"/>
          </w:tcPr>
          <w:p w14:paraId="17774C73" w14:textId="77777777" w:rsidR="00033B40" w:rsidRPr="004A24F6" w:rsidRDefault="00033B40" w:rsidP="00DB7333">
            <w:pPr>
              <w:ind w:left="0"/>
              <w:jc w:val="center"/>
              <w:rPr>
                <w:sz w:val="20"/>
                <w:szCs w:val="20"/>
              </w:rPr>
            </w:pPr>
            <w:r w:rsidRPr="004A24F6">
              <w:rPr>
                <w:sz w:val="20"/>
                <w:szCs w:val="20"/>
              </w:rPr>
              <w:t>2015, 4Q</w:t>
            </w:r>
          </w:p>
        </w:tc>
        <w:tc>
          <w:tcPr>
            <w:tcW w:w="1984" w:type="dxa"/>
            <w:shd w:val="clear" w:color="auto" w:fill="auto"/>
            <w:vAlign w:val="center"/>
          </w:tcPr>
          <w:p w14:paraId="56BC8FD3" w14:textId="77777777" w:rsidR="00033B40" w:rsidRPr="004A24F6" w:rsidRDefault="00033B40" w:rsidP="00DB7333">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14:paraId="1AE66666" w14:textId="77777777" w:rsidR="00033B40" w:rsidRPr="004A24F6" w:rsidRDefault="00033B40" w:rsidP="00033B40">
            <w:pPr>
              <w:ind w:left="0"/>
              <w:jc w:val="center"/>
            </w:pPr>
            <w:r w:rsidRPr="004A24F6">
              <w:rPr>
                <w:sz w:val="20"/>
                <w:szCs w:val="20"/>
              </w:rPr>
              <w:t>Prioritná os 2/IP 7i)</w:t>
            </w:r>
          </w:p>
        </w:tc>
      </w:tr>
      <w:tr w:rsidR="00033B40" w:rsidRPr="00B02869" w14:paraId="28922E29" w14:textId="77777777" w:rsidTr="00033B40">
        <w:trPr>
          <w:trHeight w:val="340"/>
          <w:jc w:val="center"/>
        </w:trPr>
        <w:tc>
          <w:tcPr>
            <w:tcW w:w="6747" w:type="dxa"/>
            <w:shd w:val="clear" w:color="auto" w:fill="auto"/>
            <w:vAlign w:val="center"/>
          </w:tcPr>
          <w:p w14:paraId="7068D83C" w14:textId="77777777" w:rsidR="00033B40" w:rsidRPr="004A24F6" w:rsidRDefault="00033B40" w:rsidP="00DB7333">
            <w:pPr>
              <w:ind w:left="0"/>
              <w:rPr>
                <w:sz w:val="20"/>
                <w:szCs w:val="20"/>
              </w:rPr>
            </w:pPr>
            <w:r w:rsidRPr="004A24F6">
              <w:rPr>
                <w:sz w:val="20"/>
                <w:szCs w:val="20"/>
              </w:rPr>
              <w:t>D1 Prešov západ – Prešov juh</w:t>
            </w:r>
          </w:p>
        </w:tc>
        <w:tc>
          <w:tcPr>
            <w:tcW w:w="1704" w:type="dxa"/>
            <w:shd w:val="clear" w:color="auto" w:fill="auto"/>
            <w:vAlign w:val="center"/>
          </w:tcPr>
          <w:p w14:paraId="013C7747"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2</w:t>
            </w:r>
            <w:r w:rsidRPr="004A24F6">
              <w:rPr>
                <w:sz w:val="20"/>
                <w:szCs w:val="20"/>
              </w:rPr>
              <w:t>Q</w:t>
            </w:r>
          </w:p>
        </w:tc>
        <w:tc>
          <w:tcPr>
            <w:tcW w:w="1701" w:type="dxa"/>
            <w:shd w:val="clear" w:color="auto" w:fill="auto"/>
            <w:vAlign w:val="center"/>
          </w:tcPr>
          <w:p w14:paraId="07B88D7A"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2</w:t>
            </w:r>
            <w:r w:rsidRPr="004A24F6">
              <w:rPr>
                <w:sz w:val="20"/>
                <w:szCs w:val="20"/>
              </w:rPr>
              <w:t>Q</w:t>
            </w:r>
          </w:p>
        </w:tc>
        <w:tc>
          <w:tcPr>
            <w:tcW w:w="1984" w:type="dxa"/>
            <w:shd w:val="clear" w:color="auto" w:fill="auto"/>
            <w:vAlign w:val="center"/>
          </w:tcPr>
          <w:p w14:paraId="4E183B04" w14:textId="77777777" w:rsidR="00033B40" w:rsidRPr="004A24F6" w:rsidRDefault="00033B40" w:rsidP="00DB7333">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14:paraId="129CE88D" w14:textId="77777777" w:rsidR="00033B40" w:rsidRPr="004A24F6" w:rsidRDefault="00033B40" w:rsidP="00033B40">
            <w:pPr>
              <w:ind w:left="0"/>
              <w:jc w:val="center"/>
            </w:pPr>
            <w:r w:rsidRPr="004A24F6">
              <w:rPr>
                <w:sz w:val="20"/>
                <w:szCs w:val="20"/>
              </w:rPr>
              <w:t>Prioritná os 2/IP 7i)</w:t>
            </w:r>
          </w:p>
        </w:tc>
      </w:tr>
      <w:tr w:rsidR="00033B40" w:rsidRPr="00B02869" w14:paraId="6C4B29B6" w14:textId="77777777" w:rsidTr="00033B40">
        <w:trPr>
          <w:trHeight w:val="340"/>
          <w:jc w:val="center"/>
        </w:trPr>
        <w:tc>
          <w:tcPr>
            <w:tcW w:w="6747" w:type="dxa"/>
            <w:shd w:val="clear" w:color="auto" w:fill="auto"/>
            <w:vAlign w:val="center"/>
          </w:tcPr>
          <w:p w14:paraId="0B019292" w14:textId="77777777" w:rsidR="00033B40" w:rsidRPr="004A24F6" w:rsidRDefault="00033B40" w:rsidP="00DB7333">
            <w:pPr>
              <w:ind w:left="0"/>
              <w:rPr>
                <w:sz w:val="20"/>
                <w:szCs w:val="20"/>
              </w:rPr>
            </w:pPr>
            <w:r w:rsidRPr="004A24F6">
              <w:rPr>
                <w:sz w:val="20"/>
                <w:szCs w:val="20"/>
              </w:rPr>
              <w:t>D1 Budimír – Bidovce</w:t>
            </w:r>
          </w:p>
        </w:tc>
        <w:tc>
          <w:tcPr>
            <w:tcW w:w="1704" w:type="dxa"/>
            <w:shd w:val="clear" w:color="auto" w:fill="auto"/>
            <w:vAlign w:val="center"/>
          </w:tcPr>
          <w:p w14:paraId="56609CF1"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14:paraId="5371A257" w14:textId="77777777" w:rsidR="00033B40" w:rsidRPr="004A24F6" w:rsidRDefault="00033B40" w:rsidP="00DB7333">
            <w:pPr>
              <w:ind w:left="0"/>
              <w:jc w:val="center"/>
              <w:rPr>
                <w:sz w:val="20"/>
                <w:szCs w:val="20"/>
              </w:rPr>
            </w:pPr>
            <w:r w:rsidRPr="004A24F6">
              <w:rPr>
                <w:sz w:val="20"/>
                <w:szCs w:val="20"/>
              </w:rPr>
              <w:t>2016, 4Q</w:t>
            </w:r>
          </w:p>
        </w:tc>
        <w:tc>
          <w:tcPr>
            <w:tcW w:w="1984" w:type="dxa"/>
            <w:shd w:val="clear" w:color="auto" w:fill="auto"/>
            <w:vAlign w:val="center"/>
          </w:tcPr>
          <w:p w14:paraId="496DC6CF" w14:textId="77777777" w:rsidR="00033B40" w:rsidRPr="004A24F6" w:rsidRDefault="00033B40" w:rsidP="00DB7333">
            <w:pPr>
              <w:ind w:left="0"/>
              <w:jc w:val="center"/>
              <w:rPr>
                <w:sz w:val="20"/>
                <w:szCs w:val="20"/>
              </w:rPr>
            </w:pPr>
            <w:r w:rsidRPr="004A24F6">
              <w:rPr>
                <w:sz w:val="20"/>
                <w:szCs w:val="20"/>
              </w:rPr>
              <w:t>2019, 4Q</w:t>
            </w:r>
          </w:p>
        </w:tc>
        <w:tc>
          <w:tcPr>
            <w:tcW w:w="2267" w:type="dxa"/>
            <w:shd w:val="clear" w:color="auto" w:fill="auto"/>
            <w:vAlign w:val="center"/>
          </w:tcPr>
          <w:p w14:paraId="1370DFEC" w14:textId="77777777" w:rsidR="00033B40" w:rsidRPr="004A24F6" w:rsidRDefault="00033B40" w:rsidP="00033B40">
            <w:pPr>
              <w:ind w:left="0"/>
              <w:jc w:val="center"/>
            </w:pPr>
            <w:r w:rsidRPr="004A24F6">
              <w:rPr>
                <w:sz w:val="20"/>
                <w:szCs w:val="20"/>
              </w:rPr>
              <w:t>Prioritná os 2/IP 7i)</w:t>
            </w:r>
          </w:p>
        </w:tc>
      </w:tr>
      <w:tr w:rsidR="00033B40" w:rsidRPr="00B02869" w14:paraId="4A890516" w14:textId="77777777" w:rsidTr="00033B40">
        <w:trPr>
          <w:trHeight w:val="340"/>
          <w:jc w:val="center"/>
        </w:trPr>
        <w:tc>
          <w:tcPr>
            <w:tcW w:w="6747" w:type="dxa"/>
            <w:shd w:val="clear" w:color="auto" w:fill="auto"/>
            <w:vAlign w:val="center"/>
          </w:tcPr>
          <w:p w14:paraId="1A8C282D" w14:textId="77777777" w:rsidR="00033B40" w:rsidRPr="004A24F6" w:rsidRDefault="00033B40" w:rsidP="00DB7333">
            <w:pPr>
              <w:ind w:left="0"/>
              <w:rPr>
                <w:sz w:val="20"/>
                <w:szCs w:val="20"/>
              </w:rPr>
            </w:pPr>
            <w:r w:rsidRPr="004A24F6">
              <w:rPr>
                <w:sz w:val="20"/>
                <w:szCs w:val="20"/>
              </w:rPr>
              <w:t>D3 Svrčinovec – Skalité (2. fáza)</w:t>
            </w:r>
          </w:p>
        </w:tc>
        <w:tc>
          <w:tcPr>
            <w:tcW w:w="1704" w:type="dxa"/>
            <w:shd w:val="clear" w:color="auto" w:fill="auto"/>
            <w:vAlign w:val="center"/>
          </w:tcPr>
          <w:p w14:paraId="0DEDFFF9"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1701" w:type="dxa"/>
            <w:shd w:val="clear" w:color="auto" w:fill="auto"/>
            <w:vAlign w:val="center"/>
          </w:tcPr>
          <w:p w14:paraId="7E819AB7" w14:textId="77777777" w:rsidR="00033B40" w:rsidRPr="004A24F6" w:rsidRDefault="00033B40" w:rsidP="00DB7333">
            <w:pPr>
              <w:ind w:left="0"/>
              <w:jc w:val="center"/>
              <w:rPr>
                <w:sz w:val="20"/>
                <w:szCs w:val="20"/>
              </w:rPr>
            </w:pPr>
            <w:r w:rsidRPr="004A24F6">
              <w:rPr>
                <w:sz w:val="20"/>
                <w:szCs w:val="20"/>
              </w:rPr>
              <w:t>2015, 4Q</w:t>
            </w:r>
          </w:p>
        </w:tc>
        <w:tc>
          <w:tcPr>
            <w:tcW w:w="1984" w:type="dxa"/>
            <w:shd w:val="clear" w:color="auto" w:fill="auto"/>
            <w:vAlign w:val="center"/>
          </w:tcPr>
          <w:p w14:paraId="4D196593"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2267" w:type="dxa"/>
            <w:shd w:val="clear" w:color="auto" w:fill="auto"/>
            <w:vAlign w:val="center"/>
          </w:tcPr>
          <w:p w14:paraId="625AA56C" w14:textId="77777777" w:rsidR="00033B40" w:rsidRPr="004A24F6" w:rsidRDefault="00033B40" w:rsidP="00033B40">
            <w:pPr>
              <w:ind w:left="0"/>
              <w:jc w:val="center"/>
            </w:pPr>
            <w:r w:rsidRPr="004A24F6">
              <w:rPr>
                <w:sz w:val="20"/>
                <w:szCs w:val="20"/>
              </w:rPr>
              <w:t>Prioritná os 2/IP 7i)</w:t>
            </w:r>
          </w:p>
        </w:tc>
      </w:tr>
      <w:tr w:rsidR="00033B40" w:rsidRPr="00B02869" w14:paraId="7B2C3AE1" w14:textId="77777777" w:rsidTr="00033B40">
        <w:trPr>
          <w:trHeight w:val="340"/>
          <w:jc w:val="center"/>
        </w:trPr>
        <w:tc>
          <w:tcPr>
            <w:tcW w:w="6747" w:type="dxa"/>
            <w:shd w:val="clear" w:color="auto" w:fill="auto"/>
            <w:vAlign w:val="center"/>
          </w:tcPr>
          <w:p w14:paraId="05950991" w14:textId="77777777" w:rsidR="00033B40" w:rsidRPr="004A24F6" w:rsidRDefault="00033B40" w:rsidP="00DB7333">
            <w:pPr>
              <w:ind w:left="0"/>
              <w:rPr>
                <w:sz w:val="20"/>
                <w:szCs w:val="20"/>
              </w:rPr>
            </w:pPr>
            <w:r w:rsidRPr="004A24F6">
              <w:rPr>
                <w:sz w:val="20"/>
                <w:szCs w:val="20"/>
              </w:rPr>
              <w:t>D3 Žilina Strážov – Žilina Brodno (2. fáza)</w:t>
            </w:r>
          </w:p>
        </w:tc>
        <w:tc>
          <w:tcPr>
            <w:tcW w:w="1704" w:type="dxa"/>
            <w:shd w:val="clear" w:color="auto" w:fill="auto"/>
            <w:vAlign w:val="center"/>
          </w:tcPr>
          <w:p w14:paraId="419CBAB8" w14:textId="77777777" w:rsidR="00033B40" w:rsidRPr="004A24F6" w:rsidRDefault="00033B40" w:rsidP="00DB7333">
            <w:pPr>
              <w:ind w:left="0"/>
              <w:jc w:val="center"/>
              <w:rPr>
                <w:sz w:val="20"/>
                <w:szCs w:val="20"/>
              </w:rPr>
            </w:pPr>
            <w:r w:rsidRPr="004A24F6">
              <w:rPr>
                <w:sz w:val="20"/>
                <w:szCs w:val="20"/>
              </w:rPr>
              <w:t>2016, 4Q</w:t>
            </w:r>
          </w:p>
        </w:tc>
        <w:tc>
          <w:tcPr>
            <w:tcW w:w="1701" w:type="dxa"/>
            <w:shd w:val="clear" w:color="auto" w:fill="auto"/>
            <w:vAlign w:val="center"/>
          </w:tcPr>
          <w:p w14:paraId="34B403C7" w14:textId="77777777" w:rsidR="00033B40" w:rsidRPr="004A24F6" w:rsidRDefault="00033B40" w:rsidP="00DB7333">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2</w:t>
            </w:r>
            <w:r w:rsidRPr="004A24F6">
              <w:rPr>
                <w:sz w:val="20"/>
                <w:szCs w:val="20"/>
              </w:rPr>
              <w:t>Q</w:t>
            </w:r>
          </w:p>
        </w:tc>
        <w:tc>
          <w:tcPr>
            <w:tcW w:w="1984" w:type="dxa"/>
            <w:shd w:val="clear" w:color="auto" w:fill="auto"/>
            <w:vAlign w:val="center"/>
          </w:tcPr>
          <w:p w14:paraId="7901C873" w14:textId="77777777" w:rsidR="00033B40" w:rsidRPr="004A24F6" w:rsidRDefault="00033B40" w:rsidP="00DB7333">
            <w:pPr>
              <w:ind w:left="0"/>
              <w:jc w:val="center"/>
              <w:rPr>
                <w:sz w:val="20"/>
                <w:szCs w:val="20"/>
              </w:rPr>
            </w:pPr>
            <w:r w:rsidRPr="004A24F6">
              <w:rPr>
                <w:sz w:val="20"/>
                <w:szCs w:val="20"/>
              </w:rPr>
              <w:t>2017, 4Q</w:t>
            </w:r>
          </w:p>
        </w:tc>
        <w:tc>
          <w:tcPr>
            <w:tcW w:w="2267" w:type="dxa"/>
            <w:shd w:val="clear" w:color="auto" w:fill="auto"/>
            <w:vAlign w:val="center"/>
          </w:tcPr>
          <w:p w14:paraId="5473D7D7" w14:textId="77777777" w:rsidR="00033B40" w:rsidRPr="004A24F6" w:rsidRDefault="00033B40" w:rsidP="00033B40">
            <w:pPr>
              <w:ind w:left="0"/>
              <w:jc w:val="center"/>
            </w:pPr>
            <w:r w:rsidRPr="004A24F6">
              <w:rPr>
                <w:sz w:val="20"/>
                <w:szCs w:val="20"/>
              </w:rPr>
              <w:t>Prioritná os 2/IP 7i)</w:t>
            </w:r>
          </w:p>
        </w:tc>
      </w:tr>
      <w:tr w:rsidR="00033B40" w:rsidRPr="00B02869" w14:paraId="39C1F8D0" w14:textId="77777777" w:rsidTr="00033B40">
        <w:trPr>
          <w:trHeight w:val="340"/>
          <w:jc w:val="center"/>
        </w:trPr>
        <w:tc>
          <w:tcPr>
            <w:tcW w:w="6747" w:type="dxa"/>
            <w:shd w:val="clear" w:color="auto" w:fill="auto"/>
            <w:vAlign w:val="center"/>
          </w:tcPr>
          <w:p w14:paraId="6ADBB987" w14:textId="77777777" w:rsidR="00033B40" w:rsidRPr="004A24F6" w:rsidRDefault="00033B40" w:rsidP="00DB7333">
            <w:pPr>
              <w:ind w:left="0"/>
              <w:rPr>
                <w:sz w:val="20"/>
                <w:szCs w:val="20"/>
              </w:rPr>
            </w:pPr>
            <w:r w:rsidRPr="004A24F6">
              <w:rPr>
                <w:sz w:val="20"/>
                <w:szCs w:val="20"/>
              </w:rPr>
              <w:t>D3 Čadca Bukov - Svrčinovec</w:t>
            </w:r>
          </w:p>
        </w:tc>
        <w:tc>
          <w:tcPr>
            <w:tcW w:w="1704" w:type="dxa"/>
            <w:shd w:val="clear" w:color="auto" w:fill="auto"/>
            <w:vAlign w:val="center"/>
          </w:tcPr>
          <w:p w14:paraId="0A69708C"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14:paraId="0A0F721F" w14:textId="77777777" w:rsidR="00033B40" w:rsidRPr="004A24F6" w:rsidRDefault="00033B40" w:rsidP="00DB7333">
            <w:pPr>
              <w:ind w:left="0"/>
              <w:jc w:val="center"/>
              <w:rPr>
                <w:sz w:val="20"/>
                <w:szCs w:val="20"/>
              </w:rPr>
            </w:pPr>
            <w:r w:rsidRPr="004A24F6">
              <w:rPr>
                <w:sz w:val="20"/>
                <w:szCs w:val="20"/>
              </w:rPr>
              <w:t>2016, 4Q</w:t>
            </w:r>
          </w:p>
        </w:tc>
        <w:tc>
          <w:tcPr>
            <w:tcW w:w="1984" w:type="dxa"/>
            <w:shd w:val="clear" w:color="auto" w:fill="auto"/>
            <w:vAlign w:val="center"/>
          </w:tcPr>
          <w:p w14:paraId="0D99B8C7" w14:textId="77777777" w:rsidR="00033B40" w:rsidRPr="004A24F6" w:rsidRDefault="00033B40" w:rsidP="00DB7333">
            <w:pPr>
              <w:ind w:left="0"/>
              <w:jc w:val="center"/>
              <w:rPr>
                <w:sz w:val="20"/>
                <w:szCs w:val="20"/>
              </w:rPr>
            </w:pPr>
            <w:r w:rsidRPr="004A24F6">
              <w:rPr>
                <w:sz w:val="20"/>
                <w:szCs w:val="20"/>
              </w:rPr>
              <w:t>2020, 4Q</w:t>
            </w:r>
          </w:p>
        </w:tc>
        <w:tc>
          <w:tcPr>
            <w:tcW w:w="2267" w:type="dxa"/>
            <w:shd w:val="clear" w:color="auto" w:fill="auto"/>
            <w:vAlign w:val="center"/>
          </w:tcPr>
          <w:p w14:paraId="5D524F88" w14:textId="77777777" w:rsidR="00033B40" w:rsidRPr="004A24F6" w:rsidRDefault="00033B40" w:rsidP="00033B40">
            <w:pPr>
              <w:ind w:left="0"/>
              <w:jc w:val="center"/>
            </w:pPr>
            <w:r w:rsidRPr="004A24F6">
              <w:rPr>
                <w:sz w:val="20"/>
                <w:szCs w:val="20"/>
              </w:rPr>
              <w:t>Prioritná os 2/IP 7i)</w:t>
            </w:r>
          </w:p>
        </w:tc>
      </w:tr>
      <w:tr w:rsidR="00033B40" w:rsidRPr="00B02869" w14:paraId="267F522E" w14:textId="77777777" w:rsidTr="00033B40">
        <w:trPr>
          <w:trHeight w:val="340"/>
          <w:jc w:val="center"/>
        </w:trPr>
        <w:tc>
          <w:tcPr>
            <w:tcW w:w="6747" w:type="dxa"/>
            <w:shd w:val="clear" w:color="auto" w:fill="auto"/>
            <w:vAlign w:val="center"/>
          </w:tcPr>
          <w:p w14:paraId="61730652" w14:textId="77777777" w:rsidR="00033B40" w:rsidRPr="004A24F6" w:rsidRDefault="00033B40" w:rsidP="00DB7333">
            <w:pPr>
              <w:ind w:left="0"/>
              <w:rPr>
                <w:sz w:val="20"/>
                <w:szCs w:val="20"/>
              </w:rPr>
            </w:pPr>
            <w:r w:rsidRPr="004A24F6">
              <w:rPr>
                <w:sz w:val="20"/>
                <w:szCs w:val="20"/>
              </w:rPr>
              <w:t>Koľajové prepojenie mestskej časti Petržalka s centrom mesta, NS MHD 1. etapa Hlavná stanica – Janíkov dvor, prevádzkový úsek Bosákova ulica – Janíkov dvor, 2. časť Bosákova – Janíkov dvor</w:t>
            </w:r>
          </w:p>
        </w:tc>
        <w:tc>
          <w:tcPr>
            <w:tcW w:w="1704" w:type="dxa"/>
            <w:shd w:val="clear" w:color="auto" w:fill="auto"/>
            <w:vAlign w:val="center"/>
          </w:tcPr>
          <w:p w14:paraId="14C671ED" w14:textId="77777777" w:rsidR="00033B40" w:rsidRPr="004A24F6"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1701" w:type="dxa"/>
            <w:shd w:val="clear" w:color="auto" w:fill="auto"/>
            <w:vAlign w:val="center"/>
          </w:tcPr>
          <w:p w14:paraId="1C0D476C"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14:paraId="4479C829" w14:textId="77777777" w:rsidR="00033B40" w:rsidRPr="004A24F6" w:rsidRDefault="00033B40" w:rsidP="00DB7333">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14:paraId="0F00A324" w14:textId="77777777" w:rsidR="00033B40" w:rsidRPr="004A24F6" w:rsidRDefault="00033B40" w:rsidP="00033B40">
            <w:pPr>
              <w:ind w:left="0"/>
              <w:jc w:val="center"/>
              <w:rPr>
                <w:sz w:val="20"/>
                <w:szCs w:val="20"/>
              </w:rPr>
            </w:pPr>
            <w:r w:rsidRPr="004A24F6">
              <w:rPr>
                <w:sz w:val="20"/>
                <w:szCs w:val="20"/>
              </w:rPr>
              <w:t>Prioritná o 3/IP 7ii)</w:t>
            </w:r>
          </w:p>
        </w:tc>
      </w:tr>
      <w:tr w:rsidR="00033B40" w:rsidRPr="00B02869" w14:paraId="2F817285" w14:textId="77777777" w:rsidTr="00033B40">
        <w:trPr>
          <w:trHeight w:val="340"/>
          <w:jc w:val="center"/>
        </w:trPr>
        <w:tc>
          <w:tcPr>
            <w:tcW w:w="6747" w:type="dxa"/>
            <w:shd w:val="clear" w:color="auto" w:fill="auto"/>
            <w:vAlign w:val="center"/>
          </w:tcPr>
          <w:p w14:paraId="7D8067BA" w14:textId="77777777" w:rsidR="00033B40" w:rsidRPr="004A24F6" w:rsidRDefault="00033B40" w:rsidP="00DB7333">
            <w:pPr>
              <w:ind w:left="0"/>
              <w:rPr>
                <w:sz w:val="20"/>
                <w:szCs w:val="20"/>
              </w:rPr>
            </w:pPr>
            <w:r w:rsidRPr="004A24F6">
              <w:rPr>
                <w:sz w:val="20"/>
                <w:szCs w:val="20"/>
              </w:rPr>
              <w:lastRenderedPageBreak/>
              <w:t>Modernizácia električkových tratí v Košiciach – 2. etapa – 1. časť</w:t>
            </w:r>
          </w:p>
        </w:tc>
        <w:tc>
          <w:tcPr>
            <w:tcW w:w="1704" w:type="dxa"/>
            <w:shd w:val="clear" w:color="auto" w:fill="auto"/>
            <w:vAlign w:val="center"/>
          </w:tcPr>
          <w:p w14:paraId="4218538A" w14:textId="77777777" w:rsidR="00033B40" w:rsidRPr="004A24F6" w:rsidRDefault="00033B40" w:rsidP="00DB7333">
            <w:pPr>
              <w:ind w:left="0"/>
              <w:jc w:val="center"/>
              <w:rPr>
                <w:sz w:val="20"/>
                <w:szCs w:val="20"/>
              </w:rPr>
            </w:pPr>
            <w:r w:rsidRPr="004A24F6">
              <w:rPr>
                <w:sz w:val="20"/>
                <w:szCs w:val="20"/>
              </w:rPr>
              <w:t>2016, 4Q</w:t>
            </w:r>
          </w:p>
        </w:tc>
        <w:tc>
          <w:tcPr>
            <w:tcW w:w="1701" w:type="dxa"/>
            <w:shd w:val="clear" w:color="auto" w:fill="auto"/>
            <w:vAlign w:val="center"/>
          </w:tcPr>
          <w:p w14:paraId="3A49B079" w14:textId="77777777" w:rsidR="00033B40" w:rsidRPr="004A24F6" w:rsidRDefault="00033B40" w:rsidP="00DB7333">
            <w:pPr>
              <w:ind w:left="0"/>
              <w:jc w:val="center"/>
              <w:rPr>
                <w:sz w:val="20"/>
                <w:szCs w:val="20"/>
              </w:rPr>
            </w:pPr>
            <w:r w:rsidRPr="004A24F6">
              <w:rPr>
                <w:sz w:val="20"/>
                <w:szCs w:val="20"/>
              </w:rPr>
              <w:t>2016, 4Q</w:t>
            </w:r>
          </w:p>
        </w:tc>
        <w:tc>
          <w:tcPr>
            <w:tcW w:w="1984" w:type="dxa"/>
            <w:shd w:val="clear" w:color="auto" w:fill="auto"/>
            <w:vAlign w:val="center"/>
          </w:tcPr>
          <w:p w14:paraId="3803D58B"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14:paraId="06240932" w14:textId="77777777" w:rsidR="00033B40" w:rsidRPr="004A24F6" w:rsidRDefault="00033B40" w:rsidP="00033B40">
            <w:pPr>
              <w:ind w:left="0"/>
              <w:jc w:val="center"/>
              <w:rPr>
                <w:sz w:val="20"/>
                <w:szCs w:val="20"/>
              </w:rPr>
            </w:pPr>
            <w:r w:rsidRPr="004A24F6">
              <w:rPr>
                <w:sz w:val="20"/>
                <w:szCs w:val="20"/>
              </w:rPr>
              <w:t>Prioritná o 3/IP 7ii)</w:t>
            </w:r>
          </w:p>
        </w:tc>
      </w:tr>
      <w:tr w:rsidR="00033B40" w:rsidRPr="00B02869" w14:paraId="619B95C4" w14:textId="77777777" w:rsidTr="00033B40">
        <w:trPr>
          <w:trHeight w:val="340"/>
          <w:jc w:val="center"/>
        </w:trPr>
        <w:tc>
          <w:tcPr>
            <w:tcW w:w="6747" w:type="dxa"/>
            <w:shd w:val="clear" w:color="auto" w:fill="auto"/>
            <w:vAlign w:val="center"/>
          </w:tcPr>
          <w:p w14:paraId="14132A5E" w14:textId="77777777" w:rsidR="00033B40" w:rsidRPr="004A24F6" w:rsidRDefault="00033B40" w:rsidP="00DB7333">
            <w:pPr>
              <w:ind w:left="0"/>
              <w:rPr>
                <w:sz w:val="20"/>
                <w:szCs w:val="20"/>
              </w:rPr>
            </w:pPr>
            <w:r w:rsidRPr="004A24F6">
              <w:rPr>
                <w:sz w:val="20"/>
                <w:szCs w:val="20"/>
              </w:rPr>
              <w:t>Zavedenie ERTMS na koridore č. IV Bratislava – Nové Zámky – Štúrovo/Komárno (ETCS L2 + GSM R)</w:t>
            </w:r>
          </w:p>
        </w:tc>
        <w:tc>
          <w:tcPr>
            <w:tcW w:w="1704" w:type="dxa"/>
            <w:shd w:val="clear" w:color="auto" w:fill="auto"/>
            <w:vAlign w:val="center"/>
          </w:tcPr>
          <w:p w14:paraId="3E4D07A7" w14:textId="77777777" w:rsidR="00033B40" w:rsidRPr="004A24F6" w:rsidRDefault="00033B40" w:rsidP="00DB7333">
            <w:pPr>
              <w:ind w:left="0"/>
              <w:jc w:val="center"/>
              <w:rPr>
                <w:sz w:val="20"/>
                <w:szCs w:val="20"/>
              </w:rPr>
            </w:pPr>
            <w:r w:rsidRPr="004A24F6">
              <w:rPr>
                <w:sz w:val="20"/>
                <w:szCs w:val="20"/>
              </w:rPr>
              <w:t>2020, 1Q</w:t>
            </w:r>
          </w:p>
        </w:tc>
        <w:tc>
          <w:tcPr>
            <w:tcW w:w="1701" w:type="dxa"/>
            <w:shd w:val="clear" w:color="auto" w:fill="auto"/>
            <w:vAlign w:val="center"/>
          </w:tcPr>
          <w:p w14:paraId="2C2B71A7" w14:textId="77777777" w:rsidR="00033B40" w:rsidRPr="004A24F6" w:rsidRDefault="00033B40" w:rsidP="00DB7333">
            <w:pPr>
              <w:ind w:left="0"/>
              <w:jc w:val="center"/>
              <w:rPr>
                <w:sz w:val="20"/>
                <w:szCs w:val="20"/>
              </w:rPr>
            </w:pPr>
            <w:r w:rsidRPr="004A24F6">
              <w:rPr>
                <w:sz w:val="20"/>
                <w:szCs w:val="20"/>
              </w:rPr>
              <w:t>2020, 1Q</w:t>
            </w:r>
          </w:p>
        </w:tc>
        <w:tc>
          <w:tcPr>
            <w:tcW w:w="1984" w:type="dxa"/>
            <w:shd w:val="clear" w:color="auto" w:fill="auto"/>
            <w:vAlign w:val="center"/>
          </w:tcPr>
          <w:p w14:paraId="19B3E14C" w14:textId="77777777" w:rsidR="00033B40" w:rsidRPr="004A24F6" w:rsidRDefault="00033B40" w:rsidP="00DB7333">
            <w:pPr>
              <w:ind w:left="0"/>
              <w:jc w:val="center"/>
              <w:rPr>
                <w:sz w:val="20"/>
                <w:szCs w:val="20"/>
              </w:rPr>
            </w:pPr>
            <w:r w:rsidRPr="004A24F6">
              <w:rPr>
                <w:sz w:val="20"/>
                <w:szCs w:val="20"/>
              </w:rPr>
              <w:t>2023, 1Q</w:t>
            </w:r>
          </w:p>
        </w:tc>
        <w:tc>
          <w:tcPr>
            <w:tcW w:w="2267" w:type="dxa"/>
            <w:shd w:val="clear" w:color="auto" w:fill="auto"/>
            <w:vAlign w:val="center"/>
          </w:tcPr>
          <w:p w14:paraId="24D6DAFB" w14:textId="77777777" w:rsidR="00033B40" w:rsidRPr="004A24F6" w:rsidRDefault="00033B40" w:rsidP="00033B40">
            <w:pPr>
              <w:ind w:left="0"/>
              <w:jc w:val="center"/>
              <w:rPr>
                <w:sz w:val="20"/>
                <w:szCs w:val="20"/>
              </w:rPr>
            </w:pPr>
            <w:r w:rsidRPr="004A24F6">
              <w:rPr>
                <w:sz w:val="20"/>
                <w:szCs w:val="20"/>
              </w:rPr>
              <w:t>Prioritná os 5/IP 7d)</w:t>
            </w:r>
          </w:p>
        </w:tc>
      </w:tr>
      <w:tr w:rsidR="00033B40" w:rsidRPr="00B02869" w14:paraId="35A48236" w14:textId="77777777" w:rsidTr="00033B40">
        <w:trPr>
          <w:trHeight w:val="340"/>
          <w:jc w:val="center"/>
        </w:trPr>
        <w:tc>
          <w:tcPr>
            <w:tcW w:w="6747" w:type="dxa"/>
            <w:shd w:val="clear" w:color="auto" w:fill="auto"/>
            <w:vAlign w:val="center"/>
          </w:tcPr>
          <w:p w14:paraId="28CD5E17" w14:textId="77777777" w:rsidR="00033B40" w:rsidRPr="004A24F6" w:rsidRDefault="00033B40" w:rsidP="00DB7333">
            <w:pPr>
              <w:ind w:left="0"/>
              <w:rPr>
                <w:sz w:val="20"/>
                <w:szCs w:val="20"/>
              </w:rPr>
            </w:pPr>
            <w:r w:rsidRPr="004A24F6">
              <w:rPr>
                <w:sz w:val="20"/>
                <w:szCs w:val="20"/>
              </w:rPr>
              <w:t>R2 Rožňava – Jablonov nad Turňou (Soroška)</w:t>
            </w:r>
          </w:p>
        </w:tc>
        <w:tc>
          <w:tcPr>
            <w:tcW w:w="1704" w:type="dxa"/>
            <w:shd w:val="clear" w:color="auto" w:fill="auto"/>
            <w:vAlign w:val="center"/>
          </w:tcPr>
          <w:p w14:paraId="699F62AF" w14:textId="77777777" w:rsidR="00033B40" w:rsidRPr="004A24F6" w:rsidRDefault="00033B40" w:rsidP="00DB7333">
            <w:pPr>
              <w:ind w:left="0"/>
              <w:jc w:val="center"/>
              <w:rPr>
                <w:sz w:val="20"/>
                <w:szCs w:val="20"/>
              </w:rPr>
            </w:pPr>
            <w:r w:rsidRPr="004A24F6">
              <w:rPr>
                <w:sz w:val="20"/>
                <w:szCs w:val="20"/>
              </w:rPr>
              <w:t>2018, 3Q</w:t>
            </w:r>
          </w:p>
        </w:tc>
        <w:tc>
          <w:tcPr>
            <w:tcW w:w="1701" w:type="dxa"/>
            <w:shd w:val="clear" w:color="auto" w:fill="auto"/>
            <w:vAlign w:val="center"/>
          </w:tcPr>
          <w:p w14:paraId="2299B49C"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14:paraId="7DB280C3" w14:textId="77777777" w:rsidR="00033B40" w:rsidRPr="004A24F6" w:rsidRDefault="00033B40" w:rsidP="00DB7333">
            <w:pPr>
              <w:ind w:left="0"/>
              <w:jc w:val="center"/>
              <w:rPr>
                <w:sz w:val="20"/>
                <w:szCs w:val="20"/>
              </w:rPr>
            </w:pPr>
            <w:r w:rsidRPr="004A24F6">
              <w:rPr>
                <w:sz w:val="20"/>
                <w:szCs w:val="20"/>
              </w:rPr>
              <w:t>202</w:t>
            </w:r>
            <w:r>
              <w:rPr>
                <w:sz w:val="20"/>
                <w:szCs w:val="20"/>
              </w:rPr>
              <w:t>4</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4402AC9B" w14:textId="77777777" w:rsidR="00033B40" w:rsidRPr="004A24F6" w:rsidRDefault="00033B40" w:rsidP="00033B40">
            <w:pPr>
              <w:ind w:left="0"/>
              <w:jc w:val="center"/>
              <w:rPr>
                <w:sz w:val="20"/>
                <w:szCs w:val="20"/>
              </w:rPr>
            </w:pPr>
            <w:r w:rsidRPr="004A24F6">
              <w:rPr>
                <w:sz w:val="20"/>
                <w:szCs w:val="20"/>
              </w:rPr>
              <w:t>Prioritná os 6/IP 7a)</w:t>
            </w:r>
          </w:p>
        </w:tc>
      </w:tr>
      <w:tr w:rsidR="00033B40" w:rsidRPr="00B02869" w14:paraId="1B1F5BBD" w14:textId="77777777" w:rsidTr="00033B40">
        <w:trPr>
          <w:trHeight w:val="340"/>
          <w:jc w:val="center"/>
        </w:trPr>
        <w:tc>
          <w:tcPr>
            <w:tcW w:w="6747" w:type="dxa"/>
            <w:shd w:val="clear" w:color="auto" w:fill="auto"/>
            <w:vAlign w:val="center"/>
          </w:tcPr>
          <w:p w14:paraId="03242B89" w14:textId="77777777" w:rsidR="00033B40" w:rsidRPr="004A24F6" w:rsidRDefault="00033B40" w:rsidP="00DB7333">
            <w:pPr>
              <w:ind w:left="0"/>
              <w:rPr>
                <w:sz w:val="20"/>
                <w:szCs w:val="20"/>
              </w:rPr>
            </w:pPr>
            <w:r w:rsidRPr="004A24F6">
              <w:rPr>
                <w:sz w:val="20"/>
                <w:szCs w:val="20"/>
              </w:rPr>
              <w:t>R2 Košice, Šaca – Košické Oľšany</w:t>
            </w:r>
          </w:p>
        </w:tc>
        <w:tc>
          <w:tcPr>
            <w:tcW w:w="1704" w:type="dxa"/>
            <w:shd w:val="clear" w:color="auto" w:fill="auto"/>
            <w:vAlign w:val="center"/>
          </w:tcPr>
          <w:p w14:paraId="1DA6D90D"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4Q</w:t>
            </w:r>
          </w:p>
        </w:tc>
        <w:tc>
          <w:tcPr>
            <w:tcW w:w="1701" w:type="dxa"/>
            <w:shd w:val="clear" w:color="auto" w:fill="auto"/>
            <w:vAlign w:val="center"/>
          </w:tcPr>
          <w:p w14:paraId="24E176A2" w14:textId="77777777" w:rsidR="00033B40" w:rsidRPr="004A24F6"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14:paraId="7890E417" w14:textId="77777777" w:rsidR="00033B40" w:rsidRPr="004A24F6" w:rsidRDefault="00033B40" w:rsidP="00DB7333">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698B2BE2" w14:textId="77777777" w:rsidR="00033B40" w:rsidRPr="004A24F6" w:rsidRDefault="00033B40" w:rsidP="00033B40">
            <w:pPr>
              <w:ind w:left="0"/>
              <w:jc w:val="center"/>
              <w:rPr>
                <w:sz w:val="20"/>
                <w:szCs w:val="20"/>
              </w:rPr>
            </w:pPr>
            <w:r w:rsidRPr="004A24F6">
              <w:rPr>
                <w:sz w:val="20"/>
                <w:szCs w:val="20"/>
              </w:rPr>
              <w:t>Prioritná os 6/IP 7a)</w:t>
            </w:r>
          </w:p>
        </w:tc>
      </w:tr>
      <w:tr w:rsidR="00033B40" w:rsidRPr="00B02869" w14:paraId="44EB5FD1" w14:textId="77777777" w:rsidTr="00033B40">
        <w:trPr>
          <w:trHeight w:val="340"/>
          <w:jc w:val="center"/>
        </w:trPr>
        <w:tc>
          <w:tcPr>
            <w:tcW w:w="6747" w:type="dxa"/>
            <w:shd w:val="clear" w:color="auto" w:fill="auto"/>
            <w:vAlign w:val="center"/>
          </w:tcPr>
          <w:p w14:paraId="1D0F24F3" w14:textId="77777777" w:rsidR="00033B40" w:rsidRPr="004A24F6" w:rsidRDefault="00033B40" w:rsidP="00DB7333">
            <w:pPr>
              <w:ind w:left="0"/>
              <w:rPr>
                <w:sz w:val="20"/>
                <w:szCs w:val="20"/>
              </w:rPr>
            </w:pPr>
            <w:r w:rsidRPr="004A24F6">
              <w:rPr>
                <w:sz w:val="20"/>
                <w:szCs w:val="20"/>
              </w:rPr>
              <w:t>Rozvoj širokopásmového pripojenia</w:t>
            </w:r>
          </w:p>
        </w:tc>
        <w:tc>
          <w:tcPr>
            <w:tcW w:w="1704" w:type="dxa"/>
            <w:shd w:val="clear" w:color="auto" w:fill="auto"/>
            <w:vAlign w:val="center"/>
          </w:tcPr>
          <w:p w14:paraId="69093619"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2</w:t>
            </w:r>
            <w:r w:rsidRPr="004A24F6">
              <w:rPr>
                <w:sz w:val="20"/>
                <w:szCs w:val="20"/>
              </w:rPr>
              <w:t>Q</w:t>
            </w:r>
          </w:p>
        </w:tc>
        <w:tc>
          <w:tcPr>
            <w:tcW w:w="1701" w:type="dxa"/>
            <w:shd w:val="clear" w:color="auto" w:fill="auto"/>
            <w:vAlign w:val="center"/>
          </w:tcPr>
          <w:p w14:paraId="216D4349"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14:paraId="77BB1810" w14:textId="77777777" w:rsidR="00033B40" w:rsidRPr="004A24F6" w:rsidRDefault="00033B40" w:rsidP="00DB7333">
            <w:pPr>
              <w:ind w:left="0"/>
              <w:jc w:val="center"/>
              <w:rPr>
                <w:sz w:val="20"/>
                <w:szCs w:val="20"/>
              </w:rPr>
            </w:pPr>
            <w:r w:rsidRPr="004A24F6">
              <w:rPr>
                <w:sz w:val="20"/>
                <w:szCs w:val="20"/>
              </w:rPr>
              <w:t xml:space="preserve">2023, </w:t>
            </w:r>
            <w:r>
              <w:rPr>
                <w:sz w:val="20"/>
                <w:szCs w:val="20"/>
              </w:rPr>
              <w:t>4</w:t>
            </w:r>
            <w:r w:rsidRPr="004A24F6">
              <w:rPr>
                <w:sz w:val="20"/>
                <w:szCs w:val="20"/>
              </w:rPr>
              <w:t>Q</w:t>
            </w:r>
          </w:p>
        </w:tc>
        <w:tc>
          <w:tcPr>
            <w:tcW w:w="2267" w:type="dxa"/>
            <w:shd w:val="clear" w:color="auto" w:fill="auto"/>
            <w:vAlign w:val="center"/>
          </w:tcPr>
          <w:p w14:paraId="5F972821" w14:textId="77777777" w:rsidR="00033B40" w:rsidRPr="004A24F6" w:rsidRDefault="00033B40" w:rsidP="00033B40">
            <w:pPr>
              <w:ind w:left="0"/>
              <w:jc w:val="center"/>
              <w:rPr>
                <w:sz w:val="20"/>
                <w:szCs w:val="20"/>
              </w:rPr>
            </w:pPr>
            <w:r w:rsidRPr="004A24F6">
              <w:rPr>
                <w:sz w:val="20"/>
                <w:szCs w:val="20"/>
              </w:rPr>
              <w:t>Prioritná os 7/IP 2a)</w:t>
            </w:r>
          </w:p>
        </w:tc>
      </w:tr>
      <w:tr w:rsidR="005A70A1" w:rsidRPr="00B02869" w14:paraId="7D878BDD" w14:textId="77777777" w:rsidTr="00033B40">
        <w:trPr>
          <w:trHeight w:val="340"/>
          <w:jc w:val="center"/>
        </w:trPr>
        <w:tc>
          <w:tcPr>
            <w:tcW w:w="6747" w:type="dxa"/>
            <w:shd w:val="clear" w:color="auto" w:fill="auto"/>
            <w:vAlign w:val="center"/>
          </w:tcPr>
          <w:p w14:paraId="5339632E" w14:textId="7E03C1C3" w:rsidR="005A70A1" w:rsidRPr="004A24F6" w:rsidRDefault="005A70A1" w:rsidP="005A70A1">
            <w:pPr>
              <w:ind w:left="0"/>
              <w:rPr>
                <w:sz w:val="20"/>
                <w:szCs w:val="20"/>
              </w:rPr>
            </w:pPr>
            <w:r w:rsidRPr="008416BF">
              <w:rPr>
                <w:sz w:val="20"/>
                <w:szCs w:val="20"/>
              </w:rPr>
              <w:t>Posilnenie výskumno-</w:t>
            </w:r>
            <w:r>
              <w:rPr>
                <w:sz w:val="20"/>
                <w:szCs w:val="20"/>
              </w:rPr>
              <w:t xml:space="preserve"> </w:t>
            </w:r>
            <w:r w:rsidRPr="008416BF">
              <w:rPr>
                <w:sz w:val="20"/>
                <w:szCs w:val="20"/>
              </w:rPr>
              <w:t>v</w:t>
            </w:r>
            <w:r>
              <w:rPr>
                <w:sz w:val="20"/>
                <w:szCs w:val="20"/>
              </w:rPr>
              <w:t xml:space="preserve">ývojových kapacít a kompetencií </w:t>
            </w:r>
            <w:r w:rsidRPr="008416BF">
              <w:rPr>
                <w:sz w:val="20"/>
                <w:szCs w:val="20"/>
              </w:rPr>
              <w:t>univerzít v oblastiach inteligentnej špecializácie</w:t>
            </w:r>
          </w:p>
        </w:tc>
        <w:tc>
          <w:tcPr>
            <w:tcW w:w="1704" w:type="dxa"/>
            <w:shd w:val="clear" w:color="auto" w:fill="auto"/>
            <w:vAlign w:val="center"/>
          </w:tcPr>
          <w:p w14:paraId="5B9EBFBD" w14:textId="712D50B8" w:rsidR="005A70A1" w:rsidRPr="004A24F6" w:rsidRDefault="005A70A1" w:rsidP="005A70A1">
            <w:pPr>
              <w:ind w:left="0"/>
              <w:jc w:val="center"/>
              <w:rPr>
                <w:sz w:val="20"/>
                <w:szCs w:val="20"/>
              </w:rPr>
            </w:pPr>
            <w:r>
              <w:rPr>
                <w:sz w:val="20"/>
                <w:szCs w:val="20"/>
              </w:rPr>
              <w:t>2015, 2Q</w:t>
            </w:r>
          </w:p>
        </w:tc>
        <w:tc>
          <w:tcPr>
            <w:tcW w:w="1701" w:type="dxa"/>
            <w:shd w:val="clear" w:color="auto" w:fill="auto"/>
            <w:vAlign w:val="center"/>
          </w:tcPr>
          <w:p w14:paraId="742EA24E" w14:textId="727E9ED9" w:rsidR="005A70A1" w:rsidRPr="004A24F6" w:rsidRDefault="005A70A1" w:rsidP="005A70A1">
            <w:pPr>
              <w:ind w:left="0"/>
              <w:jc w:val="center"/>
              <w:rPr>
                <w:sz w:val="20"/>
                <w:szCs w:val="20"/>
              </w:rPr>
            </w:pPr>
            <w:r>
              <w:rPr>
                <w:sz w:val="20"/>
                <w:szCs w:val="20"/>
              </w:rPr>
              <w:t>2016, 2Q</w:t>
            </w:r>
          </w:p>
        </w:tc>
        <w:tc>
          <w:tcPr>
            <w:tcW w:w="1984" w:type="dxa"/>
            <w:shd w:val="clear" w:color="auto" w:fill="auto"/>
            <w:vAlign w:val="center"/>
          </w:tcPr>
          <w:p w14:paraId="3C1572B6" w14:textId="7EA0DC58" w:rsidR="005A70A1" w:rsidRPr="004A24F6" w:rsidRDefault="005A70A1" w:rsidP="005A70A1">
            <w:pPr>
              <w:ind w:left="0"/>
              <w:jc w:val="center"/>
              <w:rPr>
                <w:sz w:val="20"/>
                <w:szCs w:val="20"/>
              </w:rPr>
            </w:pPr>
            <w:r>
              <w:rPr>
                <w:sz w:val="20"/>
                <w:szCs w:val="20"/>
              </w:rPr>
              <w:t>2022, 4Q</w:t>
            </w:r>
          </w:p>
        </w:tc>
        <w:tc>
          <w:tcPr>
            <w:tcW w:w="2267" w:type="dxa"/>
            <w:shd w:val="clear" w:color="auto" w:fill="auto"/>
            <w:vAlign w:val="center"/>
          </w:tcPr>
          <w:p w14:paraId="1DDE8B02" w14:textId="5BA08039" w:rsidR="005A70A1" w:rsidRPr="004A24F6" w:rsidRDefault="00EB6AF6" w:rsidP="005A70A1">
            <w:pPr>
              <w:ind w:left="0"/>
              <w:jc w:val="center"/>
              <w:rPr>
                <w:sz w:val="20"/>
                <w:szCs w:val="20"/>
              </w:rPr>
            </w:pPr>
            <w:r>
              <w:rPr>
                <w:sz w:val="20"/>
                <w:szCs w:val="20"/>
              </w:rPr>
              <w:t>Prioritná os 10</w:t>
            </w:r>
            <w:r w:rsidR="005A70A1">
              <w:rPr>
                <w:sz w:val="20"/>
                <w:szCs w:val="20"/>
              </w:rPr>
              <w:t>/IP 1</w:t>
            </w:r>
            <w:r w:rsidR="00D732D6">
              <w:rPr>
                <w:sz w:val="20"/>
                <w:szCs w:val="20"/>
              </w:rPr>
              <w:t>a)</w:t>
            </w:r>
          </w:p>
        </w:tc>
      </w:tr>
    </w:tbl>
    <w:p w14:paraId="14C7A900" w14:textId="77777777" w:rsidR="00033B40" w:rsidRPr="00033B40" w:rsidRDefault="00033B40" w:rsidP="00033B40">
      <w:pPr>
        <w:rPr>
          <w:lang w:eastAsia="cs-CZ"/>
        </w:rPr>
      </w:pPr>
    </w:p>
    <w:p w14:paraId="4AAB10D5" w14:textId="77777777" w:rsidR="00F83068" w:rsidRDefault="00F83068" w:rsidP="00F83068">
      <w:pPr>
        <w:pStyle w:val="Nadpis2"/>
        <w:rPr>
          <w:lang w:eastAsia="cs-CZ"/>
        </w:rPr>
        <w:sectPr w:rsidR="00F83068" w:rsidSect="00ED5953">
          <w:headerReference w:type="default" r:id="rId98"/>
          <w:footerReference w:type="default" r:id="rId99"/>
          <w:pgSz w:w="16838" w:h="11906" w:orient="landscape" w:code="9"/>
          <w:pgMar w:top="2041" w:right="1304" w:bottom="1474" w:left="1304" w:header="1474" w:footer="709" w:gutter="0"/>
          <w:cols w:space="708"/>
          <w:docGrid w:linePitch="360"/>
        </w:sectPr>
      </w:pPr>
    </w:p>
    <w:p w14:paraId="1FB19F30" w14:textId="77777777" w:rsidR="00F83068" w:rsidRDefault="00F83068" w:rsidP="002C1444">
      <w:pPr>
        <w:pStyle w:val="Nadpis2"/>
        <w:tabs>
          <w:tab w:val="clear" w:pos="709"/>
          <w:tab w:val="clear" w:pos="851"/>
        </w:tabs>
        <w:rPr>
          <w:lang w:eastAsia="cs-CZ"/>
        </w:rPr>
      </w:pPr>
      <w:bookmarkStart w:id="212" w:name="_Toc28951703"/>
      <w:r>
        <w:rPr>
          <w:lang w:eastAsia="cs-CZ"/>
        </w:rPr>
        <w:lastRenderedPageBreak/>
        <w:t>Výkonnostný rámec</w:t>
      </w:r>
      <w:bookmarkEnd w:id="212"/>
    </w:p>
    <w:p w14:paraId="7C34A5D0" w14:textId="77777777" w:rsidR="00F83068" w:rsidRPr="00F83068" w:rsidRDefault="00F83068" w:rsidP="00303840">
      <w:pPr>
        <w:pStyle w:val="Tab"/>
      </w:pPr>
      <w:r>
        <w:t>Výkonnostný rámec</w:t>
      </w:r>
    </w:p>
    <w:tbl>
      <w:tblPr>
        <w:tblStyle w:val="Mriekatabuky"/>
        <w:tblW w:w="92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84"/>
        <w:gridCol w:w="773"/>
        <w:gridCol w:w="1096"/>
        <w:gridCol w:w="2015"/>
        <w:gridCol w:w="1245"/>
        <w:gridCol w:w="1429"/>
        <w:gridCol w:w="1357"/>
      </w:tblGrid>
      <w:tr w:rsidR="007111F7" w14:paraId="29AB573D" w14:textId="77777777" w:rsidTr="009B48A1">
        <w:trPr>
          <w:trHeight w:val="284"/>
        </w:trPr>
        <w:tc>
          <w:tcPr>
            <w:tcW w:w="1384" w:type="dxa"/>
            <w:shd w:val="clear" w:color="auto" w:fill="C6D9F1" w:themeFill="text2" w:themeFillTint="33"/>
            <w:vAlign w:val="center"/>
          </w:tcPr>
          <w:p w14:paraId="0ACA114E" w14:textId="77777777" w:rsidR="00F83068" w:rsidRPr="00F83068" w:rsidRDefault="00F83068" w:rsidP="00A127CB">
            <w:pPr>
              <w:ind w:left="0"/>
              <w:jc w:val="center"/>
              <w:rPr>
                <w:b/>
                <w:sz w:val="18"/>
                <w:szCs w:val="18"/>
              </w:rPr>
            </w:pPr>
            <w:r w:rsidRPr="00F83068">
              <w:rPr>
                <w:b/>
                <w:sz w:val="18"/>
                <w:szCs w:val="18"/>
              </w:rPr>
              <w:t>Prioritná os</w:t>
            </w:r>
          </w:p>
        </w:tc>
        <w:tc>
          <w:tcPr>
            <w:tcW w:w="773" w:type="dxa"/>
            <w:shd w:val="clear" w:color="auto" w:fill="C6D9F1" w:themeFill="text2" w:themeFillTint="33"/>
            <w:vAlign w:val="center"/>
          </w:tcPr>
          <w:p w14:paraId="050690D1" w14:textId="77777777" w:rsidR="00F83068" w:rsidRPr="00F83068" w:rsidRDefault="00F83068" w:rsidP="00A127CB">
            <w:pPr>
              <w:ind w:left="0"/>
              <w:jc w:val="center"/>
              <w:rPr>
                <w:b/>
                <w:sz w:val="18"/>
                <w:szCs w:val="18"/>
              </w:rPr>
            </w:pPr>
            <w:r w:rsidRPr="00F83068">
              <w:rPr>
                <w:b/>
                <w:sz w:val="18"/>
                <w:szCs w:val="18"/>
              </w:rPr>
              <w:t>Fond</w:t>
            </w:r>
          </w:p>
        </w:tc>
        <w:tc>
          <w:tcPr>
            <w:tcW w:w="1096" w:type="dxa"/>
            <w:shd w:val="clear" w:color="auto" w:fill="C6D9F1" w:themeFill="text2" w:themeFillTint="33"/>
            <w:vAlign w:val="center"/>
          </w:tcPr>
          <w:p w14:paraId="67EE4D3B" w14:textId="77777777" w:rsidR="00F83068" w:rsidRPr="00F83068" w:rsidRDefault="00F83068" w:rsidP="00A127CB">
            <w:pPr>
              <w:ind w:left="0"/>
              <w:jc w:val="center"/>
              <w:rPr>
                <w:b/>
                <w:sz w:val="18"/>
                <w:szCs w:val="18"/>
              </w:rPr>
            </w:pPr>
            <w:r w:rsidRPr="00F83068">
              <w:rPr>
                <w:b/>
                <w:sz w:val="18"/>
                <w:szCs w:val="18"/>
              </w:rPr>
              <w:t>Kategória regiónov</w:t>
            </w:r>
          </w:p>
        </w:tc>
        <w:tc>
          <w:tcPr>
            <w:tcW w:w="2015" w:type="dxa"/>
            <w:shd w:val="clear" w:color="auto" w:fill="C6D9F1" w:themeFill="text2" w:themeFillTint="33"/>
            <w:vAlign w:val="center"/>
          </w:tcPr>
          <w:p w14:paraId="3C15D030" w14:textId="77777777" w:rsidR="00F83068" w:rsidRPr="00F83068" w:rsidRDefault="00F83068" w:rsidP="00A127CB">
            <w:pPr>
              <w:ind w:left="0"/>
              <w:jc w:val="center"/>
              <w:rPr>
                <w:b/>
                <w:sz w:val="18"/>
                <w:szCs w:val="18"/>
              </w:rPr>
            </w:pPr>
            <w:r w:rsidRPr="00F83068">
              <w:rPr>
                <w:b/>
                <w:sz w:val="18"/>
                <w:szCs w:val="18"/>
              </w:rPr>
              <w:t>Fáza implementácie, finančný ukazovateľ, ukazovateľ výstupu</w:t>
            </w:r>
          </w:p>
        </w:tc>
        <w:tc>
          <w:tcPr>
            <w:tcW w:w="1245" w:type="dxa"/>
            <w:shd w:val="clear" w:color="auto" w:fill="C6D9F1" w:themeFill="text2" w:themeFillTint="33"/>
            <w:vAlign w:val="center"/>
          </w:tcPr>
          <w:p w14:paraId="2BE08FAA" w14:textId="77777777" w:rsidR="00F83068" w:rsidRPr="00F83068" w:rsidRDefault="00F83068" w:rsidP="00A127CB">
            <w:pPr>
              <w:ind w:left="0"/>
              <w:jc w:val="center"/>
              <w:rPr>
                <w:b/>
                <w:sz w:val="18"/>
                <w:szCs w:val="18"/>
              </w:rPr>
            </w:pPr>
            <w:r w:rsidRPr="00F83068">
              <w:rPr>
                <w:b/>
                <w:sz w:val="18"/>
                <w:szCs w:val="18"/>
              </w:rPr>
              <w:t>Merná jednotka</w:t>
            </w:r>
          </w:p>
        </w:tc>
        <w:tc>
          <w:tcPr>
            <w:tcW w:w="1429" w:type="dxa"/>
            <w:shd w:val="clear" w:color="auto" w:fill="C6D9F1" w:themeFill="text2" w:themeFillTint="33"/>
            <w:vAlign w:val="center"/>
          </w:tcPr>
          <w:p w14:paraId="60F43882" w14:textId="77777777" w:rsidR="00F83068" w:rsidRPr="00F83068" w:rsidRDefault="00F83068" w:rsidP="00A127CB">
            <w:pPr>
              <w:ind w:left="0"/>
              <w:jc w:val="center"/>
              <w:rPr>
                <w:b/>
                <w:sz w:val="18"/>
                <w:szCs w:val="18"/>
              </w:rPr>
            </w:pPr>
            <w:r w:rsidRPr="00F83068">
              <w:rPr>
                <w:b/>
                <w:sz w:val="18"/>
                <w:szCs w:val="18"/>
              </w:rPr>
              <w:t>Čiastkový cieľ pre rok</w:t>
            </w:r>
          </w:p>
          <w:p w14:paraId="1428C592" w14:textId="77777777" w:rsidR="00F83068" w:rsidRPr="00F83068" w:rsidRDefault="00F83068" w:rsidP="00A127CB">
            <w:pPr>
              <w:ind w:left="0"/>
              <w:jc w:val="center"/>
              <w:rPr>
                <w:b/>
                <w:sz w:val="18"/>
                <w:szCs w:val="18"/>
              </w:rPr>
            </w:pPr>
            <w:r w:rsidRPr="00F83068">
              <w:rPr>
                <w:b/>
                <w:sz w:val="18"/>
                <w:szCs w:val="18"/>
              </w:rPr>
              <w:t>2018</w:t>
            </w:r>
          </w:p>
        </w:tc>
        <w:tc>
          <w:tcPr>
            <w:tcW w:w="1357" w:type="dxa"/>
            <w:shd w:val="clear" w:color="auto" w:fill="C6D9F1" w:themeFill="text2" w:themeFillTint="33"/>
            <w:vAlign w:val="center"/>
          </w:tcPr>
          <w:p w14:paraId="7B302C8E" w14:textId="77777777" w:rsidR="00F83068" w:rsidRPr="00F83068" w:rsidRDefault="00F83068" w:rsidP="00A127CB">
            <w:pPr>
              <w:ind w:left="0"/>
              <w:jc w:val="center"/>
              <w:rPr>
                <w:b/>
                <w:sz w:val="18"/>
                <w:szCs w:val="18"/>
              </w:rPr>
            </w:pPr>
            <w:r w:rsidRPr="00F83068">
              <w:rPr>
                <w:b/>
                <w:sz w:val="18"/>
                <w:szCs w:val="18"/>
              </w:rPr>
              <w:t>Cieľová hodnota</w:t>
            </w:r>
          </w:p>
          <w:p w14:paraId="022A3E79" w14:textId="77777777" w:rsidR="00F83068" w:rsidRPr="00F83068" w:rsidRDefault="00F83068" w:rsidP="00A127CB">
            <w:pPr>
              <w:ind w:left="0"/>
              <w:jc w:val="center"/>
              <w:rPr>
                <w:b/>
                <w:sz w:val="18"/>
                <w:szCs w:val="18"/>
              </w:rPr>
            </w:pPr>
            <w:r w:rsidRPr="00F83068">
              <w:rPr>
                <w:b/>
                <w:sz w:val="18"/>
                <w:szCs w:val="18"/>
              </w:rPr>
              <w:t>2023</w:t>
            </w:r>
          </w:p>
        </w:tc>
      </w:tr>
      <w:tr w:rsidR="003A7041" w14:paraId="266281DE" w14:textId="77777777" w:rsidTr="009B48A1">
        <w:trPr>
          <w:trHeight w:val="284"/>
        </w:trPr>
        <w:tc>
          <w:tcPr>
            <w:tcW w:w="1384" w:type="dxa"/>
            <w:shd w:val="clear" w:color="auto" w:fill="auto"/>
            <w:vAlign w:val="center"/>
          </w:tcPr>
          <w:p w14:paraId="2D3E8A3E" w14:textId="77777777" w:rsidR="00D3413F" w:rsidRPr="009A7820" w:rsidRDefault="003A7041">
            <w:pPr>
              <w:ind w:left="0"/>
              <w:rPr>
                <w:i/>
                <w:sz w:val="18"/>
                <w:szCs w:val="18"/>
              </w:rPr>
            </w:pPr>
            <w:r w:rsidRPr="009A7820">
              <w:rPr>
                <w:i/>
                <w:sz w:val="18"/>
                <w:szCs w:val="18"/>
              </w:rPr>
              <w:t>Prioritná os 1</w:t>
            </w:r>
          </w:p>
        </w:tc>
        <w:tc>
          <w:tcPr>
            <w:tcW w:w="773" w:type="dxa"/>
            <w:shd w:val="clear" w:color="auto" w:fill="auto"/>
            <w:vAlign w:val="center"/>
          </w:tcPr>
          <w:p w14:paraId="534A3727" w14:textId="77777777" w:rsidR="006B396A" w:rsidRPr="009A7820" w:rsidRDefault="003A7041">
            <w:pPr>
              <w:ind w:left="0"/>
              <w:jc w:val="center"/>
              <w:rPr>
                <w:i/>
                <w:sz w:val="18"/>
                <w:szCs w:val="18"/>
              </w:rPr>
            </w:pPr>
            <w:r w:rsidRPr="009A7820">
              <w:rPr>
                <w:i/>
                <w:sz w:val="18"/>
                <w:szCs w:val="18"/>
              </w:rPr>
              <w:t>KF</w:t>
            </w:r>
          </w:p>
        </w:tc>
        <w:tc>
          <w:tcPr>
            <w:tcW w:w="1096" w:type="dxa"/>
            <w:shd w:val="clear" w:color="auto" w:fill="auto"/>
            <w:vAlign w:val="center"/>
          </w:tcPr>
          <w:p w14:paraId="6132A9B5" w14:textId="77777777" w:rsidR="006B396A" w:rsidRPr="009A7820" w:rsidRDefault="003A7041">
            <w:pPr>
              <w:ind w:left="0"/>
              <w:jc w:val="center"/>
              <w:rPr>
                <w:i/>
                <w:sz w:val="18"/>
                <w:szCs w:val="18"/>
              </w:rPr>
            </w:pPr>
            <w:r w:rsidRPr="009A7820">
              <w:rPr>
                <w:i/>
                <w:sz w:val="18"/>
                <w:szCs w:val="18"/>
              </w:rPr>
              <w:t>N/A</w:t>
            </w:r>
          </w:p>
        </w:tc>
        <w:tc>
          <w:tcPr>
            <w:tcW w:w="2015" w:type="dxa"/>
            <w:shd w:val="clear" w:color="auto" w:fill="auto"/>
            <w:vAlign w:val="center"/>
          </w:tcPr>
          <w:p w14:paraId="6FA57D16" w14:textId="77777777" w:rsidR="006B396A" w:rsidRPr="009A7820" w:rsidRDefault="00076660">
            <w:pPr>
              <w:ind w:left="0"/>
              <w:rPr>
                <w:i/>
                <w:sz w:val="18"/>
                <w:szCs w:val="18"/>
              </w:rPr>
            </w:pPr>
            <w:r w:rsidRPr="009A7820">
              <w:rPr>
                <w:i/>
                <w:sz w:val="18"/>
                <w:szCs w:val="18"/>
              </w:rPr>
              <w:t>Celková dĺžka rekonštruovaných alebo zrenovovaných železničných tratí v sieti TEN-T</w:t>
            </w:r>
          </w:p>
        </w:tc>
        <w:tc>
          <w:tcPr>
            <w:tcW w:w="1245" w:type="dxa"/>
            <w:shd w:val="clear" w:color="auto" w:fill="auto"/>
            <w:vAlign w:val="center"/>
          </w:tcPr>
          <w:p w14:paraId="3ABCAA41" w14:textId="77777777" w:rsidR="006B396A" w:rsidRPr="009A7820" w:rsidRDefault="003A7041">
            <w:pPr>
              <w:ind w:left="0"/>
              <w:jc w:val="center"/>
              <w:rPr>
                <w:i/>
                <w:sz w:val="18"/>
                <w:szCs w:val="18"/>
              </w:rPr>
            </w:pPr>
            <w:r w:rsidRPr="009A7820">
              <w:rPr>
                <w:i/>
                <w:sz w:val="18"/>
                <w:szCs w:val="18"/>
              </w:rPr>
              <w:t>km</w:t>
            </w:r>
          </w:p>
        </w:tc>
        <w:tc>
          <w:tcPr>
            <w:tcW w:w="1429" w:type="dxa"/>
            <w:shd w:val="clear" w:color="auto" w:fill="auto"/>
            <w:vAlign w:val="center"/>
          </w:tcPr>
          <w:p w14:paraId="72DC63CA" w14:textId="055B18FD" w:rsidR="006B396A" w:rsidRPr="009A7820" w:rsidRDefault="00423005">
            <w:pPr>
              <w:ind w:left="0"/>
              <w:jc w:val="center"/>
              <w:rPr>
                <w:i/>
                <w:sz w:val="18"/>
                <w:szCs w:val="18"/>
                <w:lang w:val="en-GB"/>
              </w:rPr>
            </w:pPr>
            <w:r w:rsidRPr="009A7820">
              <w:rPr>
                <w:i/>
                <w:sz w:val="18"/>
                <w:szCs w:val="18"/>
                <w:lang w:val="en-GB"/>
              </w:rPr>
              <w:t>8,8</w:t>
            </w:r>
          </w:p>
        </w:tc>
        <w:tc>
          <w:tcPr>
            <w:tcW w:w="1357" w:type="dxa"/>
            <w:shd w:val="clear" w:color="auto" w:fill="auto"/>
            <w:vAlign w:val="center"/>
          </w:tcPr>
          <w:p w14:paraId="0BED36F8" w14:textId="12DA5C22" w:rsidR="006B396A" w:rsidRPr="009A7820" w:rsidRDefault="00423005">
            <w:pPr>
              <w:ind w:left="0"/>
              <w:jc w:val="center"/>
              <w:rPr>
                <w:i/>
                <w:sz w:val="18"/>
                <w:szCs w:val="18"/>
                <w:lang w:val="en-GB"/>
              </w:rPr>
            </w:pPr>
            <w:r w:rsidRPr="009A7820">
              <w:rPr>
                <w:i/>
                <w:sz w:val="18"/>
                <w:szCs w:val="18"/>
                <w:lang w:val="en-GB"/>
              </w:rPr>
              <w:t>34,</w:t>
            </w:r>
            <w:r w:rsidR="0006525C" w:rsidRPr="009A7820">
              <w:rPr>
                <w:i/>
                <w:sz w:val="18"/>
                <w:szCs w:val="18"/>
                <w:lang w:val="en-GB"/>
              </w:rPr>
              <w:t>8</w:t>
            </w:r>
          </w:p>
        </w:tc>
      </w:tr>
      <w:tr w:rsidR="00F83068" w14:paraId="4C7B1243" w14:textId="77777777" w:rsidTr="009B48A1">
        <w:trPr>
          <w:trHeight w:val="284"/>
        </w:trPr>
        <w:tc>
          <w:tcPr>
            <w:tcW w:w="1384" w:type="dxa"/>
            <w:shd w:val="clear" w:color="auto" w:fill="auto"/>
            <w:vAlign w:val="center"/>
          </w:tcPr>
          <w:p w14:paraId="2C1CD6D9" w14:textId="77777777" w:rsidR="00F83068" w:rsidRPr="009A7820" w:rsidRDefault="00F83068" w:rsidP="009553A0">
            <w:pPr>
              <w:ind w:left="0"/>
              <w:jc w:val="center"/>
              <w:rPr>
                <w:i/>
                <w:sz w:val="18"/>
                <w:szCs w:val="18"/>
              </w:rPr>
            </w:pPr>
            <w:r w:rsidRPr="009A7820">
              <w:rPr>
                <w:i/>
                <w:sz w:val="18"/>
                <w:szCs w:val="18"/>
              </w:rPr>
              <w:t>Prioritná os 1</w:t>
            </w:r>
          </w:p>
        </w:tc>
        <w:tc>
          <w:tcPr>
            <w:tcW w:w="773" w:type="dxa"/>
            <w:shd w:val="clear" w:color="auto" w:fill="auto"/>
            <w:vAlign w:val="center"/>
          </w:tcPr>
          <w:p w14:paraId="696B1B52"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4D04067C"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2E7999E4" w14:textId="409CD092"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0A118750" w14:textId="77777777" w:rsidR="00F83068" w:rsidRPr="009A7820" w:rsidRDefault="00A84867" w:rsidP="009553A0">
            <w:pPr>
              <w:ind w:left="0"/>
              <w:jc w:val="center"/>
              <w:rPr>
                <w:i/>
                <w:sz w:val="18"/>
                <w:szCs w:val="18"/>
              </w:rPr>
            </w:pPr>
            <w:r w:rsidRPr="009A7820">
              <w:rPr>
                <w:i/>
                <w:sz w:val="18"/>
                <w:szCs w:val="18"/>
              </w:rPr>
              <w:t>EUR</w:t>
            </w:r>
          </w:p>
        </w:tc>
        <w:tc>
          <w:tcPr>
            <w:tcW w:w="1429" w:type="dxa"/>
            <w:shd w:val="clear" w:color="auto" w:fill="auto"/>
            <w:vAlign w:val="center"/>
          </w:tcPr>
          <w:p w14:paraId="5D80C67A" w14:textId="5E0D3CFF" w:rsidR="00F83068" w:rsidRPr="009A7820" w:rsidRDefault="00423005" w:rsidP="00904E3F">
            <w:pPr>
              <w:ind w:left="0"/>
              <w:jc w:val="center"/>
              <w:rPr>
                <w:i/>
                <w:sz w:val="18"/>
                <w:szCs w:val="18"/>
              </w:rPr>
            </w:pPr>
            <w:r w:rsidRPr="009A7820">
              <w:rPr>
                <w:i/>
                <w:sz w:val="18"/>
                <w:szCs w:val="18"/>
              </w:rPr>
              <w:t>166 516 044</w:t>
            </w:r>
          </w:p>
        </w:tc>
        <w:tc>
          <w:tcPr>
            <w:tcW w:w="1357" w:type="dxa"/>
            <w:shd w:val="clear" w:color="auto" w:fill="auto"/>
            <w:vAlign w:val="center"/>
          </w:tcPr>
          <w:p w14:paraId="304B1BED" w14:textId="77777777" w:rsidR="00F83068" w:rsidRPr="009A7820" w:rsidRDefault="00904E3F" w:rsidP="00904E3F">
            <w:pPr>
              <w:ind w:left="0"/>
              <w:jc w:val="center"/>
              <w:rPr>
                <w:i/>
                <w:sz w:val="18"/>
                <w:szCs w:val="18"/>
                <w:lang w:val="en-GB"/>
              </w:rPr>
            </w:pPr>
            <w:r w:rsidRPr="009A7820">
              <w:rPr>
                <w:i/>
                <w:sz w:val="18"/>
                <w:szCs w:val="18"/>
                <w:lang w:val="en-GB"/>
              </w:rPr>
              <w:t>853 928 431</w:t>
            </w:r>
          </w:p>
        </w:tc>
      </w:tr>
      <w:tr w:rsidR="00F83068" w14:paraId="203CAAFD" w14:textId="77777777" w:rsidTr="009B48A1">
        <w:trPr>
          <w:trHeight w:val="284"/>
        </w:trPr>
        <w:tc>
          <w:tcPr>
            <w:tcW w:w="1384" w:type="dxa"/>
            <w:shd w:val="clear" w:color="auto" w:fill="auto"/>
            <w:vAlign w:val="center"/>
          </w:tcPr>
          <w:p w14:paraId="287872E7"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2</w:t>
            </w:r>
          </w:p>
        </w:tc>
        <w:tc>
          <w:tcPr>
            <w:tcW w:w="773" w:type="dxa"/>
            <w:shd w:val="clear" w:color="auto" w:fill="auto"/>
            <w:vAlign w:val="center"/>
          </w:tcPr>
          <w:p w14:paraId="2FDCC43D"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4361141A"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7E4D0F45" w14:textId="77777777" w:rsidR="00F83068" w:rsidRPr="009A7820" w:rsidRDefault="00F83068" w:rsidP="002B6EB5">
            <w:pPr>
              <w:ind w:left="0"/>
              <w:rPr>
                <w:i/>
                <w:sz w:val="18"/>
                <w:szCs w:val="18"/>
              </w:rPr>
            </w:pPr>
            <w:r w:rsidRPr="009A7820">
              <w:rPr>
                <w:i/>
                <w:sz w:val="18"/>
                <w:szCs w:val="18"/>
              </w:rPr>
              <w:t>Celková dĺžka novovybudovaných ciest</w:t>
            </w:r>
            <w:r w:rsidR="00F220EC" w:rsidRPr="009A7820">
              <w:rPr>
                <w:i/>
                <w:sz w:val="18"/>
                <w:szCs w:val="18"/>
              </w:rPr>
              <w:t xml:space="preserve"> v</w:t>
            </w:r>
            <w:r w:rsidR="002B6EB5" w:rsidRPr="009A7820">
              <w:rPr>
                <w:i/>
                <w:sz w:val="18"/>
                <w:szCs w:val="18"/>
              </w:rPr>
              <w:t xml:space="preserve"> sieti </w:t>
            </w:r>
            <w:r w:rsidR="00F220EC" w:rsidRPr="009A7820">
              <w:rPr>
                <w:i/>
                <w:sz w:val="18"/>
                <w:szCs w:val="18"/>
              </w:rPr>
              <w:t>TEN-T</w:t>
            </w:r>
          </w:p>
        </w:tc>
        <w:tc>
          <w:tcPr>
            <w:tcW w:w="1245" w:type="dxa"/>
            <w:shd w:val="clear" w:color="auto" w:fill="auto"/>
            <w:vAlign w:val="center"/>
          </w:tcPr>
          <w:p w14:paraId="6D4FC47F" w14:textId="77777777" w:rsidR="00F83068" w:rsidRPr="009A7820" w:rsidRDefault="00F83068" w:rsidP="009553A0">
            <w:pPr>
              <w:ind w:left="0"/>
              <w:jc w:val="center"/>
              <w:rPr>
                <w:i/>
                <w:sz w:val="18"/>
                <w:szCs w:val="18"/>
              </w:rPr>
            </w:pPr>
            <w:r w:rsidRPr="009A7820">
              <w:rPr>
                <w:i/>
                <w:sz w:val="18"/>
                <w:szCs w:val="18"/>
              </w:rPr>
              <w:t>km</w:t>
            </w:r>
          </w:p>
        </w:tc>
        <w:tc>
          <w:tcPr>
            <w:tcW w:w="1429" w:type="dxa"/>
            <w:shd w:val="clear" w:color="auto" w:fill="auto"/>
            <w:vAlign w:val="center"/>
          </w:tcPr>
          <w:p w14:paraId="283234D9" w14:textId="3CE9E8C4" w:rsidR="00F83068" w:rsidRPr="009A7820" w:rsidRDefault="0006525C" w:rsidP="0006525C">
            <w:pPr>
              <w:ind w:left="0"/>
              <w:jc w:val="center"/>
              <w:rPr>
                <w:i/>
                <w:sz w:val="18"/>
                <w:szCs w:val="18"/>
                <w:lang w:val="en-GB"/>
              </w:rPr>
            </w:pPr>
            <w:r w:rsidRPr="009A7820">
              <w:rPr>
                <w:i/>
                <w:sz w:val="18"/>
                <w:szCs w:val="18"/>
                <w:lang w:val="en-GB"/>
              </w:rPr>
              <w:t>16,6</w:t>
            </w:r>
          </w:p>
        </w:tc>
        <w:tc>
          <w:tcPr>
            <w:tcW w:w="1357" w:type="dxa"/>
            <w:shd w:val="clear" w:color="auto" w:fill="auto"/>
            <w:vAlign w:val="center"/>
          </w:tcPr>
          <w:p w14:paraId="29223449" w14:textId="749370C8" w:rsidR="00F83068" w:rsidRPr="009A7820" w:rsidRDefault="0006525C" w:rsidP="00613584">
            <w:pPr>
              <w:ind w:left="0"/>
              <w:jc w:val="center"/>
              <w:rPr>
                <w:i/>
                <w:sz w:val="18"/>
                <w:szCs w:val="18"/>
                <w:lang w:val="en-GB"/>
              </w:rPr>
            </w:pPr>
            <w:r w:rsidRPr="009A7820">
              <w:rPr>
                <w:i/>
                <w:sz w:val="18"/>
                <w:szCs w:val="18"/>
                <w:lang w:val="en-GB"/>
              </w:rPr>
              <w:t>111,</w:t>
            </w:r>
            <w:r w:rsidR="00613584" w:rsidRPr="009A7820">
              <w:rPr>
                <w:i/>
                <w:sz w:val="18"/>
                <w:szCs w:val="18"/>
                <w:lang w:val="en-GB"/>
              </w:rPr>
              <w:t>7</w:t>
            </w:r>
          </w:p>
        </w:tc>
      </w:tr>
      <w:tr w:rsidR="00F83068" w14:paraId="679A7EC0" w14:textId="77777777" w:rsidTr="009B48A1">
        <w:trPr>
          <w:trHeight w:val="284"/>
        </w:trPr>
        <w:tc>
          <w:tcPr>
            <w:tcW w:w="1384" w:type="dxa"/>
            <w:shd w:val="clear" w:color="auto" w:fill="auto"/>
            <w:vAlign w:val="center"/>
          </w:tcPr>
          <w:p w14:paraId="527876EA"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2</w:t>
            </w:r>
          </w:p>
        </w:tc>
        <w:tc>
          <w:tcPr>
            <w:tcW w:w="773" w:type="dxa"/>
            <w:shd w:val="clear" w:color="auto" w:fill="auto"/>
            <w:vAlign w:val="center"/>
          </w:tcPr>
          <w:p w14:paraId="7276C207"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50FE6A46"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4B3FD047" w14:textId="7D3150E1"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6A260D41" w14:textId="77777777" w:rsidR="00F83068" w:rsidRPr="009A7820" w:rsidRDefault="00A84867" w:rsidP="009553A0">
            <w:pPr>
              <w:ind w:left="0"/>
              <w:jc w:val="center"/>
              <w:rPr>
                <w:i/>
                <w:sz w:val="18"/>
                <w:szCs w:val="18"/>
              </w:rPr>
            </w:pPr>
            <w:r w:rsidRPr="009A7820">
              <w:rPr>
                <w:i/>
                <w:sz w:val="18"/>
                <w:szCs w:val="18"/>
              </w:rPr>
              <w:t>EUR</w:t>
            </w:r>
          </w:p>
        </w:tc>
        <w:tc>
          <w:tcPr>
            <w:tcW w:w="1429" w:type="dxa"/>
            <w:shd w:val="clear" w:color="auto" w:fill="auto"/>
            <w:vAlign w:val="center"/>
          </w:tcPr>
          <w:p w14:paraId="50D7722B" w14:textId="77777777" w:rsidR="00F83068" w:rsidRPr="009A7820" w:rsidRDefault="009D4E79" w:rsidP="009D4E79">
            <w:pPr>
              <w:ind w:left="0"/>
              <w:jc w:val="center"/>
              <w:rPr>
                <w:i/>
                <w:sz w:val="18"/>
                <w:szCs w:val="18"/>
              </w:rPr>
            </w:pPr>
            <w:r w:rsidRPr="009A7820">
              <w:rPr>
                <w:i/>
                <w:sz w:val="18"/>
                <w:szCs w:val="18"/>
              </w:rPr>
              <w:t>470 441 177</w:t>
            </w:r>
          </w:p>
        </w:tc>
        <w:tc>
          <w:tcPr>
            <w:tcW w:w="1357" w:type="dxa"/>
            <w:shd w:val="clear" w:color="auto" w:fill="auto"/>
            <w:vAlign w:val="center"/>
          </w:tcPr>
          <w:p w14:paraId="7443C99D" w14:textId="77777777" w:rsidR="00F83068" w:rsidRPr="009A7820" w:rsidRDefault="009D4E79" w:rsidP="009D4E79">
            <w:pPr>
              <w:ind w:left="0"/>
              <w:jc w:val="center"/>
              <w:rPr>
                <w:i/>
                <w:sz w:val="18"/>
                <w:szCs w:val="18"/>
                <w:lang w:val="en-GB"/>
              </w:rPr>
            </w:pPr>
            <w:r w:rsidRPr="009A7820">
              <w:rPr>
                <w:i/>
                <w:sz w:val="18"/>
                <w:szCs w:val="18"/>
                <w:lang w:val="en-GB"/>
              </w:rPr>
              <w:t>1 344 117 648</w:t>
            </w:r>
          </w:p>
        </w:tc>
      </w:tr>
      <w:tr w:rsidR="00F83068" w14:paraId="4A83881A" w14:textId="77777777" w:rsidTr="009B48A1">
        <w:trPr>
          <w:trHeight w:val="284"/>
        </w:trPr>
        <w:tc>
          <w:tcPr>
            <w:tcW w:w="1384" w:type="dxa"/>
            <w:shd w:val="clear" w:color="auto" w:fill="auto"/>
            <w:vAlign w:val="center"/>
          </w:tcPr>
          <w:p w14:paraId="2CFD6930"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3</w:t>
            </w:r>
          </w:p>
        </w:tc>
        <w:tc>
          <w:tcPr>
            <w:tcW w:w="773" w:type="dxa"/>
            <w:shd w:val="clear" w:color="auto" w:fill="auto"/>
            <w:vAlign w:val="center"/>
          </w:tcPr>
          <w:p w14:paraId="10B91D53"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28A6A630"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1C423949" w14:textId="77777777" w:rsidR="00F83068" w:rsidRPr="009A7820" w:rsidRDefault="00F83068" w:rsidP="009553A0">
            <w:pPr>
              <w:ind w:left="0"/>
              <w:rPr>
                <w:i/>
                <w:sz w:val="18"/>
                <w:szCs w:val="18"/>
              </w:rPr>
            </w:pPr>
            <w:r w:rsidRPr="009A7820">
              <w:rPr>
                <w:i/>
                <w:sz w:val="18"/>
                <w:szCs w:val="18"/>
              </w:rPr>
              <w:t>Celková dĺžka nových alebo zmodernizovaných tratí pre električky alebo metro</w:t>
            </w:r>
          </w:p>
        </w:tc>
        <w:tc>
          <w:tcPr>
            <w:tcW w:w="1245" w:type="dxa"/>
            <w:shd w:val="clear" w:color="auto" w:fill="auto"/>
            <w:vAlign w:val="center"/>
          </w:tcPr>
          <w:p w14:paraId="339C61B0" w14:textId="77777777" w:rsidR="00F83068" w:rsidRPr="009A7820" w:rsidRDefault="00F83068" w:rsidP="009553A0">
            <w:pPr>
              <w:ind w:left="0"/>
              <w:jc w:val="center"/>
              <w:rPr>
                <w:i/>
                <w:sz w:val="18"/>
                <w:szCs w:val="18"/>
              </w:rPr>
            </w:pPr>
            <w:r w:rsidRPr="009A7820">
              <w:rPr>
                <w:i/>
                <w:sz w:val="18"/>
                <w:szCs w:val="18"/>
              </w:rPr>
              <w:t>km</w:t>
            </w:r>
          </w:p>
        </w:tc>
        <w:tc>
          <w:tcPr>
            <w:tcW w:w="1429" w:type="dxa"/>
            <w:shd w:val="clear" w:color="auto" w:fill="auto"/>
            <w:vAlign w:val="center"/>
          </w:tcPr>
          <w:p w14:paraId="115C714F" w14:textId="575A90BB" w:rsidR="00F83068" w:rsidRPr="009A7820" w:rsidRDefault="00423005" w:rsidP="007C5776">
            <w:pPr>
              <w:ind w:left="0"/>
              <w:jc w:val="center"/>
              <w:rPr>
                <w:i/>
                <w:sz w:val="18"/>
                <w:szCs w:val="18"/>
                <w:lang w:val="en-GB"/>
              </w:rPr>
            </w:pPr>
            <w:r w:rsidRPr="009A7820">
              <w:rPr>
                <w:i/>
                <w:sz w:val="18"/>
                <w:szCs w:val="18"/>
                <w:lang w:val="en-GB"/>
              </w:rPr>
              <w:t>7,9</w:t>
            </w:r>
          </w:p>
        </w:tc>
        <w:tc>
          <w:tcPr>
            <w:tcW w:w="1357" w:type="dxa"/>
            <w:shd w:val="clear" w:color="auto" w:fill="auto"/>
            <w:vAlign w:val="center"/>
          </w:tcPr>
          <w:p w14:paraId="2273AB68" w14:textId="486F3B50" w:rsidR="00F83068" w:rsidRPr="009A7820" w:rsidRDefault="00423005" w:rsidP="007C5776">
            <w:pPr>
              <w:ind w:left="0"/>
              <w:jc w:val="center"/>
              <w:rPr>
                <w:i/>
                <w:sz w:val="18"/>
                <w:szCs w:val="18"/>
                <w:lang w:val="en-GB"/>
              </w:rPr>
            </w:pPr>
            <w:r w:rsidRPr="009A7820">
              <w:rPr>
                <w:i/>
                <w:sz w:val="18"/>
                <w:szCs w:val="18"/>
                <w:lang w:val="en-GB"/>
              </w:rPr>
              <w:t>18,5</w:t>
            </w:r>
          </w:p>
        </w:tc>
      </w:tr>
      <w:tr w:rsidR="00F83068" w14:paraId="55BAC53C" w14:textId="77777777" w:rsidTr="009B48A1">
        <w:trPr>
          <w:trHeight w:val="284"/>
        </w:trPr>
        <w:tc>
          <w:tcPr>
            <w:tcW w:w="1384" w:type="dxa"/>
            <w:shd w:val="clear" w:color="auto" w:fill="auto"/>
            <w:vAlign w:val="center"/>
          </w:tcPr>
          <w:p w14:paraId="330926B0"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3</w:t>
            </w:r>
          </w:p>
        </w:tc>
        <w:tc>
          <w:tcPr>
            <w:tcW w:w="773" w:type="dxa"/>
            <w:shd w:val="clear" w:color="auto" w:fill="auto"/>
            <w:vAlign w:val="center"/>
          </w:tcPr>
          <w:p w14:paraId="011DEE3B"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7448FB10"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2ED48668" w14:textId="417C41F4"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2A3510E2" w14:textId="77777777" w:rsidR="00F83068" w:rsidRPr="009A7820" w:rsidRDefault="00A84867" w:rsidP="009553A0">
            <w:pPr>
              <w:ind w:left="0"/>
              <w:jc w:val="center"/>
              <w:rPr>
                <w:i/>
                <w:sz w:val="18"/>
                <w:szCs w:val="18"/>
              </w:rPr>
            </w:pPr>
            <w:r w:rsidRPr="009A7820">
              <w:rPr>
                <w:i/>
                <w:sz w:val="18"/>
                <w:szCs w:val="18"/>
              </w:rPr>
              <w:t>EUR</w:t>
            </w:r>
          </w:p>
        </w:tc>
        <w:tc>
          <w:tcPr>
            <w:tcW w:w="1429" w:type="dxa"/>
            <w:shd w:val="clear" w:color="auto" w:fill="auto"/>
            <w:vAlign w:val="center"/>
          </w:tcPr>
          <w:p w14:paraId="50D5846B" w14:textId="77777777" w:rsidR="00F83068" w:rsidRPr="009A7820" w:rsidRDefault="009D4E79" w:rsidP="009D4E79">
            <w:pPr>
              <w:ind w:left="0"/>
              <w:jc w:val="center"/>
              <w:rPr>
                <w:i/>
                <w:sz w:val="18"/>
                <w:szCs w:val="18"/>
              </w:rPr>
            </w:pPr>
            <w:r w:rsidRPr="009A7820">
              <w:rPr>
                <w:i/>
                <w:sz w:val="18"/>
                <w:szCs w:val="18"/>
              </w:rPr>
              <w:t>113 770 589</w:t>
            </w:r>
          </w:p>
        </w:tc>
        <w:tc>
          <w:tcPr>
            <w:tcW w:w="1357" w:type="dxa"/>
            <w:shd w:val="clear" w:color="auto" w:fill="auto"/>
            <w:vAlign w:val="center"/>
          </w:tcPr>
          <w:p w14:paraId="2A45E04D" w14:textId="031A202B" w:rsidR="00F83068" w:rsidRPr="009A7820" w:rsidRDefault="006C7788" w:rsidP="006C7788">
            <w:pPr>
              <w:ind w:left="0"/>
              <w:jc w:val="center"/>
              <w:rPr>
                <w:i/>
                <w:sz w:val="18"/>
                <w:szCs w:val="18"/>
                <w:lang w:val="en-GB"/>
              </w:rPr>
            </w:pPr>
            <w:r>
              <w:rPr>
                <w:i/>
                <w:sz w:val="18"/>
                <w:szCs w:val="18"/>
                <w:lang w:val="en-GB"/>
              </w:rPr>
              <w:t>387 455 295</w:t>
            </w:r>
          </w:p>
        </w:tc>
      </w:tr>
      <w:tr w:rsidR="00F83068" w14:paraId="7FEC7864" w14:textId="77777777" w:rsidTr="009B48A1">
        <w:trPr>
          <w:trHeight w:val="1184"/>
        </w:trPr>
        <w:tc>
          <w:tcPr>
            <w:tcW w:w="1384" w:type="dxa"/>
            <w:shd w:val="clear" w:color="auto" w:fill="auto"/>
            <w:vAlign w:val="center"/>
          </w:tcPr>
          <w:p w14:paraId="792D71C6"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4</w:t>
            </w:r>
          </w:p>
        </w:tc>
        <w:tc>
          <w:tcPr>
            <w:tcW w:w="773" w:type="dxa"/>
            <w:shd w:val="clear" w:color="auto" w:fill="auto"/>
            <w:vAlign w:val="center"/>
          </w:tcPr>
          <w:p w14:paraId="5F72B71B"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4EE78284"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2286D786" w14:textId="6E433CAF" w:rsidR="00A24BA1" w:rsidRPr="009A7820" w:rsidRDefault="005E2902" w:rsidP="009553A0">
            <w:pPr>
              <w:ind w:left="0"/>
              <w:rPr>
                <w:i/>
                <w:sz w:val="18"/>
                <w:szCs w:val="18"/>
              </w:rPr>
            </w:pPr>
            <w:r w:rsidRPr="009A7820">
              <w:rPr>
                <w:i/>
                <w:sz w:val="18"/>
                <w:szCs w:val="18"/>
              </w:rPr>
              <w:t>Počet vyhlásených VO na</w:t>
            </w:r>
            <w:r w:rsidR="00047197" w:rsidRPr="009A7820">
              <w:rPr>
                <w:i/>
                <w:sz w:val="18"/>
                <w:szCs w:val="18"/>
              </w:rPr>
              <w:t xml:space="preserve"> obstaranie štúdií realizovateľnosti na</w:t>
            </w:r>
            <w:r w:rsidRPr="009A7820">
              <w:rPr>
                <w:i/>
                <w:sz w:val="18"/>
                <w:szCs w:val="18"/>
              </w:rPr>
              <w:t xml:space="preserve"> projekty verejného prístavu Bratislava</w:t>
            </w:r>
          </w:p>
        </w:tc>
        <w:tc>
          <w:tcPr>
            <w:tcW w:w="1245" w:type="dxa"/>
            <w:shd w:val="clear" w:color="auto" w:fill="auto"/>
            <w:vAlign w:val="center"/>
          </w:tcPr>
          <w:p w14:paraId="2A06F3CB" w14:textId="77777777" w:rsidR="00F83068" w:rsidRPr="009A7820" w:rsidRDefault="00F83068" w:rsidP="009553A0">
            <w:pPr>
              <w:ind w:left="0"/>
              <w:jc w:val="center"/>
              <w:rPr>
                <w:i/>
                <w:sz w:val="18"/>
                <w:szCs w:val="18"/>
              </w:rPr>
            </w:pPr>
            <w:r w:rsidRPr="009A7820">
              <w:rPr>
                <w:i/>
                <w:sz w:val="18"/>
                <w:szCs w:val="18"/>
              </w:rPr>
              <w:t>počet</w:t>
            </w:r>
          </w:p>
        </w:tc>
        <w:tc>
          <w:tcPr>
            <w:tcW w:w="1429" w:type="dxa"/>
            <w:shd w:val="clear" w:color="auto" w:fill="auto"/>
            <w:vAlign w:val="center"/>
          </w:tcPr>
          <w:p w14:paraId="67C36A7E" w14:textId="3C18313D" w:rsidR="00F83068" w:rsidRPr="009A7820" w:rsidRDefault="004F4004" w:rsidP="009553A0">
            <w:pPr>
              <w:ind w:left="0"/>
              <w:jc w:val="center"/>
              <w:rPr>
                <w:i/>
                <w:sz w:val="18"/>
                <w:szCs w:val="18"/>
                <w:lang w:val="en-GB"/>
              </w:rPr>
            </w:pPr>
            <w:r>
              <w:rPr>
                <w:i/>
                <w:sz w:val="18"/>
                <w:szCs w:val="18"/>
                <w:lang w:val="en-GB"/>
              </w:rPr>
              <w:t>2</w:t>
            </w:r>
          </w:p>
        </w:tc>
        <w:tc>
          <w:tcPr>
            <w:tcW w:w="1357" w:type="dxa"/>
            <w:shd w:val="clear" w:color="auto" w:fill="auto"/>
            <w:vAlign w:val="center"/>
          </w:tcPr>
          <w:p w14:paraId="4ED94302" w14:textId="77777777" w:rsidR="00F83068" w:rsidRPr="009A7820" w:rsidRDefault="00A24BA1" w:rsidP="009553A0">
            <w:pPr>
              <w:ind w:left="0"/>
              <w:jc w:val="center"/>
              <w:rPr>
                <w:i/>
                <w:sz w:val="18"/>
                <w:szCs w:val="18"/>
                <w:lang w:val="en-GB"/>
              </w:rPr>
            </w:pPr>
            <w:r w:rsidRPr="009A7820">
              <w:rPr>
                <w:i/>
                <w:sz w:val="18"/>
                <w:szCs w:val="18"/>
                <w:lang w:val="en-GB"/>
              </w:rPr>
              <w:t>2</w:t>
            </w:r>
          </w:p>
        </w:tc>
      </w:tr>
      <w:tr w:rsidR="003A7041" w14:paraId="7DBE9EF6" w14:textId="77777777" w:rsidTr="009B48A1">
        <w:trPr>
          <w:trHeight w:val="284"/>
        </w:trPr>
        <w:tc>
          <w:tcPr>
            <w:tcW w:w="1384" w:type="dxa"/>
            <w:shd w:val="clear" w:color="auto" w:fill="auto"/>
            <w:vAlign w:val="center"/>
          </w:tcPr>
          <w:p w14:paraId="2DD39E46" w14:textId="77777777" w:rsidR="00CA3C43" w:rsidRPr="009A7820" w:rsidRDefault="003A7041" w:rsidP="00CA3C43">
            <w:pPr>
              <w:ind w:left="0"/>
              <w:rPr>
                <w:i/>
                <w:noProof/>
                <w:sz w:val="18"/>
                <w:szCs w:val="18"/>
              </w:rPr>
            </w:pPr>
            <w:r w:rsidRPr="009A7820">
              <w:rPr>
                <w:i/>
                <w:sz w:val="18"/>
                <w:szCs w:val="18"/>
              </w:rPr>
              <w:t>Prioritná os 4</w:t>
            </w:r>
          </w:p>
        </w:tc>
        <w:tc>
          <w:tcPr>
            <w:tcW w:w="773" w:type="dxa"/>
            <w:shd w:val="clear" w:color="auto" w:fill="auto"/>
            <w:vAlign w:val="center"/>
          </w:tcPr>
          <w:p w14:paraId="2A6BA658" w14:textId="77777777" w:rsidR="006B396A" w:rsidRPr="009A7820" w:rsidRDefault="003A7041">
            <w:pPr>
              <w:ind w:left="0"/>
              <w:jc w:val="center"/>
              <w:rPr>
                <w:i/>
                <w:sz w:val="18"/>
                <w:szCs w:val="18"/>
              </w:rPr>
            </w:pPr>
            <w:r w:rsidRPr="009A7820">
              <w:rPr>
                <w:i/>
                <w:sz w:val="18"/>
                <w:szCs w:val="18"/>
              </w:rPr>
              <w:t>KF</w:t>
            </w:r>
          </w:p>
        </w:tc>
        <w:tc>
          <w:tcPr>
            <w:tcW w:w="1096" w:type="dxa"/>
            <w:shd w:val="clear" w:color="auto" w:fill="auto"/>
            <w:vAlign w:val="center"/>
          </w:tcPr>
          <w:p w14:paraId="7ED9394F" w14:textId="77777777" w:rsidR="006B396A" w:rsidRPr="009A7820" w:rsidRDefault="003A7041">
            <w:pPr>
              <w:ind w:left="0"/>
              <w:jc w:val="center"/>
              <w:rPr>
                <w:i/>
                <w:sz w:val="18"/>
                <w:szCs w:val="18"/>
              </w:rPr>
            </w:pPr>
            <w:r w:rsidRPr="009A7820">
              <w:rPr>
                <w:i/>
                <w:sz w:val="18"/>
                <w:szCs w:val="18"/>
              </w:rPr>
              <w:t>N/A</w:t>
            </w:r>
          </w:p>
        </w:tc>
        <w:tc>
          <w:tcPr>
            <w:tcW w:w="2015" w:type="dxa"/>
            <w:shd w:val="clear" w:color="auto" w:fill="auto"/>
            <w:vAlign w:val="center"/>
          </w:tcPr>
          <w:p w14:paraId="6E788681" w14:textId="77777777" w:rsidR="006B396A" w:rsidRPr="009A7820" w:rsidRDefault="003A7041">
            <w:pPr>
              <w:ind w:left="0"/>
              <w:rPr>
                <w:i/>
                <w:sz w:val="18"/>
                <w:szCs w:val="18"/>
              </w:rPr>
            </w:pPr>
            <w:r w:rsidRPr="009A7820">
              <w:rPr>
                <w:i/>
                <w:sz w:val="18"/>
                <w:szCs w:val="18"/>
              </w:rPr>
              <w:t xml:space="preserve">Počet zmodernizovaných verejných prístavov na sieti TEN-T </w:t>
            </w:r>
            <w:r w:rsidR="007111F7" w:rsidRPr="009A7820">
              <w:rPr>
                <w:i/>
                <w:sz w:val="18"/>
                <w:szCs w:val="18"/>
              </w:rPr>
              <w:t>CORE</w:t>
            </w:r>
          </w:p>
        </w:tc>
        <w:tc>
          <w:tcPr>
            <w:tcW w:w="1245" w:type="dxa"/>
            <w:shd w:val="clear" w:color="auto" w:fill="auto"/>
            <w:vAlign w:val="center"/>
          </w:tcPr>
          <w:p w14:paraId="20CCF7FA" w14:textId="77777777" w:rsidR="006B396A" w:rsidRPr="009A7820" w:rsidRDefault="003A7041">
            <w:pPr>
              <w:ind w:left="0"/>
              <w:jc w:val="center"/>
              <w:rPr>
                <w:i/>
                <w:sz w:val="18"/>
                <w:szCs w:val="18"/>
              </w:rPr>
            </w:pPr>
            <w:r w:rsidRPr="009A7820">
              <w:rPr>
                <w:i/>
                <w:sz w:val="18"/>
                <w:szCs w:val="18"/>
              </w:rPr>
              <w:t>počet</w:t>
            </w:r>
          </w:p>
        </w:tc>
        <w:tc>
          <w:tcPr>
            <w:tcW w:w="1429" w:type="dxa"/>
            <w:shd w:val="clear" w:color="auto" w:fill="auto"/>
            <w:vAlign w:val="center"/>
          </w:tcPr>
          <w:p w14:paraId="7252080F" w14:textId="77777777" w:rsidR="006B396A" w:rsidRPr="009A7820" w:rsidRDefault="003A7041">
            <w:pPr>
              <w:ind w:left="0"/>
              <w:jc w:val="center"/>
              <w:rPr>
                <w:i/>
                <w:sz w:val="18"/>
                <w:szCs w:val="18"/>
                <w:lang w:val="en-GB"/>
              </w:rPr>
            </w:pPr>
            <w:r w:rsidRPr="009A7820">
              <w:rPr>
                <w:i/>
                <w:sz w:val="18"/>
                <w:szCs w:val="18"/>
                <w:lang w:val="en-GB"/>
              </w:rPr>
              <w:t>0</w:t>
            </w:r>
          </w:p>
        </w:tc>
        <w:tc>
          <w:tcPr>
            <w:tcW w:w="1357" w:type="dxa"/>
            <w:shd w:val="clear" w:color="auto" w:fill="auto"/>
            <w:vAlign w:val="center"/>
          </w:tcPr>
          <w:p w14:paraId="500C2A46" w14:textId="77777777" w:rsidR="006B396A" w:rsidRPr="009A7820" w:rsidRDefault="003A7041">
            <w:pPr>
              <w:ind w:left="0"/>
              <w:jc w:val="center"/>
              <w:rPr>
                <w:i/>
                <w:sz w:val="18"/>
                <w:szCs w:val="18"/>
                <w:lang w:val="en-GB"/>
              </w:rPr>
            </w:pPr>
            <w:r w:rsidRPr="009A7820">
              <w:rPr>
                <w:i/>
                <w:sz w:val="18"/>
                <w:szCs w:val="18"/>
                <w:lang w:val="en-GB"/>
              </w:rPr>
              <w:t>1</w:t>
            </w:r>
          </w:p>
        </w:tc>
      </w:tr>
      <w:tr w:rsidR="00F83068" w14:paraId="29F8F9A3" w14:textId="77777777" w:rsidTr="009B48A1">
        <w:trPr>
          <w:trHeight w:val="284"/>
        </w:trPr>
        <w:tc>
          <w:tcPr>
            <w:tcW w:w="1384" w:type="dxa"/>
            <w:shd w:val="clear" w:color="auto" w:fill="auto"/>
            <w:vAlign w:val="center"/>
          </w:tcPr>
          <w:p w14:paraId="14E533EA"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4</w:t>
            </w:r>
          </w:p>
        </w:tc>
        <w:tc>
          <w:tcPr>
            <w:tcW w:w="773" w:type="dxa"/>
            <w:shd w:val="clear" w:color="auto" w:fill="auto"/>
            <w:vAlign w:val="center"/>
          </w:tcPr>
          <w:p w14:paraId="380544E4" w14:textId="77777777" w:rsidR="00F83068" w:rsidRPr="009A7820" w:rsidRDefault="00F83068" w:rsidP="009553A0">
            <w:pPr>
              <w:ind w:left="0"/>
              <w:jc w:val="center"/>
              <w:rPr>
                <w:i/>
                <w:sz w:val="18"/>
                <w:szCs w:val="18"/>
              </w:rPr>
            </w:pPr>
            <w:r w:rsidRPr="009A7820">
              <w:rPr>
                <w:i/>
                <w:sz w:val="18"/>
                <w:szCs w:val="18"/>
              </w:rPr>
              <w:t>KF</w:t>
            </w:r>
          </w:p>
        </w:tc>
        <w:tc>
          <w:tcPr>
            <w:tcW w:w="1096" w:type="dxa"/>
            <w:shd w:val="clear" w:color="auto" w:fill="auto"/>
            <w:vAlign w:val="center"/>
          </w:tcPr>
          <w:p w14:paraId="3D30B11A" w14:textId="77777777" w:rsidR="00F83068" w:rsidRPr="009A7820" w:rsidRDefault="00F83068" w:rsidP="009553A0">
            <w:pPr>
              <w:ind w:left="0"/>
              <w:jc w:val="center"/>
              <w:rPr>
                <w:i/>
                <w:sz w:val="18"/>
                <w:szCs w:val="18"/>
              </w:rPr>
            </w:pPr>
            <w:r w:rsidRPr="009A7820">
              <w:rPr>
                <w:i/>
                <w:sz w:val="18"/>
                <w:szCs w:val="18"/>
              </w:rPr>
              <w:t>N/A</w:t>
            </w:r>
          </w:p>
        </w:tc>
        <w:tc>
          <w:tcPr>
            <w:tcW w:w="2015" w:type="dxa"/>
            <w:shd w:val="clear" w:color="auto" w:fill="auto"/>
            <w:vAlign w:val="center"/>
          </w:tcPr>
          <w:p w14:paraId="1006F6DC" w14:textId="3AFC3C8F"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7639032D" w14:textId="77777777" w:rsidR="00F83068" w:rsidRPr="009A7820" w:rsidRDefault="00A84867" w:rsidP="009553A0">
            <w:pPr>
              <w:ind w:left="0"/>
              <w:jc w:val="center"/>
              <w:rPr>
                <w:i/>
                <w:sz w:val="18"/>
                <w:szCs w:val="18"/>
              </w:rPr>
            </w:pPr>
            <w:r w:rsidRPr="009A7820">
              <w:rPr>
                <w:i/>
                <w:sz w:val="18"/>
                <w:szCs w:val="18"/>
              </w:rPr>
              <w:t>EUR</w:t>
            </w:r>
          </w:p>
        </w:tc>
        <w:tc>
          <w:tcPr>
            <w:tcW w:w="1429" w:type="dxa"/>
            <w:shd w:val="clear" w:color="auto" w:fill="auto"/>
            <w:vAlign w:val="center"/>
          </w:tcPr>
          <w:p w14:paraId="043BCA77" w14:textId="7DCDEDB6" w:rsidR="00F83068" w:rsidRPr="009A7820" w:rsidRDefault="004F4004" w:rsidP="00D0287B">
            <w:pPr>
              <w:ind w:left="0"/>
              <w:jc w:val="center"/>
              <w:rPr>
                <w:i/>
                <w:sz w:val="18"/>
                <w:szCs w:val="18"/>
              </w:rPr>
            </w:pPr>
            <w:r w:rsidRPr="009E5B17">
              <w:rPr>
                <w:i/>
                <w:sz w:val="18"/>
                <w:szCs w:val="18"/>
              </w:rPr>
              <w:t>13 700 000</w:t>
            </w:r>
          </w:p>
        </w:tc>
        <w:tc>
          <w:tcPr>
            <w:tcW w:w="1357" w:type="dxa"/>
            <w:shd w:val="clear" w:color="auto" w:fill="auto"/>
            <w:vAlign w:val="center"/>
          </w:tcPr>
          <w:p w14:paraId="04D2E71D" w14:textId="642A04C9" w:rsidR="00F83068" w:rsidRPr="009A7820" w:rsidRDefault="006C7788" w:rsidP="006C7788">
            <w:pPr>
              <w:ind w:left="0"/>
              <w:jc w:val="center"/>
              <w:rPr>
                <w:i/>
                <w:sz w:val="18"/>
                <w:szCs w:val="18"/>
                <w:lang w:val="en-GB"/>
              </w:rPr>
            </w:pPr>
            <w:r>
              <w:rPr>
                <w:i/>
                <w:sz w:val="18"/>
                <w:szCs w:val="18"/>
                <w:lang w:val="en-GB"/>
              </w:rPr>
              <w:t>128 780 000</w:t>
            </w:r>
          </w:p>
        </w:tc>
      </w:tr>
      <w:tr w:rsidR="004F4004" w14:paraId="75C7103B" w14:textId="77777777" w:rsidTr="009B48A1">
        <w:trPr>
          <w:trHeight w:val="284"/>
        </w:trPr>
        <w:tc>
          <w:tcPr>
            <w:tcW w:w="1384" w:type="dxa"/>
            <w:shd w:val="clear" w:color="auto" w:fill="auto"/>
            <w:vAlign w:val="center"/>
          </w:tcPr>
          <w:p w14:paraId="4F8D9B3C" w14:textId="77777777" w:rsidR="004F4004" w:rsidRPr="009A7820" w:rsidRDefault="004F4004" w:rsidP="004F4004">
            <w:pPr>
              <w:ind w:left="0"/>
              <w:jc w:val="center"/>
              <w:rPr>
                <w:i/>
                <w:sz w:val="18"/>
                <w:szCs w:val="18"/>
              </w:rPr>
            </w:pPr>
            <w:r w:rsidRPr="009A7820">
              <w:rPr>
                <w:i/>
                <w:sz w:val="18"/>
                <w:szCs w:val="18"/>
              </w:rPr>
              <w:t>Prioritná os 5</w:t>
            </w:r>
          </w:p>
        </w:tc>
        <w:tc>
          <w:tcPr>
            <w:tcW w:w="773" w:type="dxa"/>
            <w:shd w:val="clear" w:color="auto" w:fill="auto"/>
            <w:vAlign w:val="center"/>
          </w:tcPr>
          <w:p w14:paraId="06892F68" w14:textId="77777777" w:rsidR="004F4004" w:rsidRPr="009A7820" w:rsidRDefault="004F4004" w:rsidP="004F4004">
            <w:pPr>
              <w:ind w:left="0"/>
              <w:jc w:val="center"/>
              <w:rPr>
                <w:i/>
                <w:sz w:val="18"/>
                <w:szCs w:val="18"/>
              </w:rPr>
            </w:pPr>
            <w:r w:rsidRPr="009A7820">
              <w:rPr>
                <w:i/>
                <w:sz w:val="18"/>
                <w:szCs w:val="18"/>
              </w:rPr>
              <w:t>EFRR</w:t>
            </w:r>
          </w:p>
        </w:tc>
        <w:tc>
          <w:tcPr>
            <w:tcW w:w="1096" w:type="dxa"/>
            <w:shd w:val="clear" w:color="auto" w:fill="auto"/>
            <w:vAlign w:val="center"/>
          </w:tcPr>
          <w:p w14:paraId="57EC5DC1" w14:textId="77777777" w:rsidR="004F4004" w:rsidRPr="009A7820" w:rsidRDefault="004F4004" w:rsidP="004F4004">
            <w:pPr>
              <w:ind w:left="0"/>
              <w:jc w:val="center"/>
              <w:rPr>
                <w:i/>
                <w:sz w:val="18"/>
                <w:szCs w:val="18"/>
              </w:rPr>
            </w:pPr>
            <w:r w:rsidRPr="009A7820">
              <w:rPr>
                <w:i/>
                <w:sz w:val="18"/>
                <w:szCs w:val="18"/>
              </w:rPr>
              <w:t>Menej rozvinutý</w:t>
            </w:r>
          </w:p>
        </w:tc>
        <w:tc>
          <w:tcPr>
            <w:tcW w:w="2015" w:type="dxa"/>
            <w:shd w:val="clear" w:color="auto" w:fill="auto"/>
            <w:vAlign w:val="center"/>
          </w:tcPr>
          <w:p w14:paraId="21D59F10" w14:textId="77777777" w:rsidR="004F4004" w:rsidRPr="009A7820" w:rsidRDefault="004F4004" w:rsidP="004F4004">
            <w:pPr>
              <w:ind w:left="0"/>
              <w:rPr>
                <w:i/>
                <w:sz w:val="18"/>
                <w:szCs w:val="18"/>
              </w:rPr>
            </w:pPr>
            <w:r w:rsidRPr="009A7820">
              <w:rPr>
                <w:i/>
                <w:sz w:val="18"/>
                <w:szCs w:val="18"/>
              </w:rPr>
              <w:t>Celková dĺžka rekonštruovanej alebo zrenovovanej železničnej trate</w:t>
            </w:r>
          </w:p>
        </w:tc>
        <w:tc>
          <w:tcPr>
            <w:tcW w:w="1245" w:type="dxa"/>
            <w:shd w:val="clear" w:color="auto" w:fill="auto"/>
            <w:vAlign w:val="center"/>
          </w:tcPr>
          <w:p w14:paraId="1B43FC83" w14:textId="77777777" w:rsidR="004F4004" w:rsidRPr="009A7820" w:rsidRDefault="004F4004" w:rsidP="004F4004">
            <w:pPr>
              <w:ind w:left="0"/>
              <w:jc w:val="center"/>
              <w:rPr>
                <w:i/>
                <w:sz w:val="18"/>
                <w:szCs w:val="18"/>
              </w:rPr>
            </w:pPr>
            <w:r w:rsidRPr="009A7820">
              <w:rPr>
                <w:i/>
                <w:sz w:val="18"/>
                <w:szCs w:val="18"/>
              </w:rPr>
              <w:t>km</w:t>
            </w:r>
          </w:p>
        </w:tc>
        <w:tc>
          <w:tcPr>
            <w:tcW w:w="1429" w:type="dxa"/>
            <w:shd w:val="clear" w:color="auto" w:fill="auto"/>
            <w:vAlign w:val="center"/>
          </w:tcPr>
          <w:p w14:paraId="1A3ADCF2" w14:textId="103116BD" w:rsidR="004F4004" w:rsidRPr="009A7820" w:rsidRDefault="004F4004" w:rsidP="004F4004">
            <w:pPr>
              <w:ind w:left="0"/>
              <w:jc w:val="center"/>
              <w:rPr>
                <w:i/>
                <w:sz w:val="18"/>
                <w:szCs w:val="18"/>
                <w:lang w:val="en-GB"/>
              </w:rPr>
            </w:pPr>
            <w:r w:rsidRPr="009E5B17">
              <w:rPr>
                <w:i/>
                <w:sz w:val="18"/>
                <w:szCs w:val="18"/>
                <w:lang w:val="en-GB"/>
              </w:rPr>
              <w:t>54,5</w:t>
            </w:r>
          </w:p>
        </w:tc>
        <w:tc>
          <w:tcPr>
            <w:tcW w:w="1357" w:type="dxa"/>
            <w:shd w:val="clear" w:color="auto" w:fill="auto"/>
            <w:vAlign w:val="center"/>
          </w:tcPr>
          <w:p w14:paraId="5F3B01F5" w14:textId="6E12BF78" w:rsidR="004F4004" w:rsidRPr="009A7820" w:rsidRDefault="004F4004" w:rsidP="004F4004">
            <w:pPr>
              <w:ind w:left="0"/>
              <w:jc w:val="center"/>
              <w:rPr>
                <w:i/>
                <w:sz w:val="18"/>
                <w:szCs w:val="18"/>
                <w:lang w:val="en-GB"/>
              </w:rPr>
            </w:pPr>
            <w:r w:rsidRPr="009E5B17">
              <w:rPr>
                <w:i/>
                <w:sz w:val="18"/>
                <w:szCs w:val="18"/>
                <w:lang w:val="en-GB"/>
              </w:rPr>
              <w:t>54,5</w:t>
            </w:r>
          </w:p>
        </w:tc>
      </w:tr>
      <w:tr w:rsidR="004F4004" w14:paraId="22F7A189" w14:textId="77777777" w:rsidTr="009B48A1">
        <w:trPr>
          <w:trHeight w:val="284"/>
        </w:trPr>
        <w:tc>
          <w:tcPr>
            <w:tcW w:w="1384" w:type="dxa"/>
            <w:shd w:val="clear" w:color="auto" w:fill="auto"/>
            <w:vAlign w:val="center"/>
          </w:tcPr>
          <w:p w14:paraId="70C6ADC7" w14:textId="77777777" w:rsidR="004F4004" w:rsidRPr="009A7820" w:rsidRDefault="004F4004" w:rsidP="004F4004">
            <w:pPr>
              <w:ind w:left="0"/>
              <w:jc w:val="center"/>
              <w:rPr>
                <w:i/>
                <w:sz w:val="18"/>
                <w:szCs w:val="18"/>
              </w:rPr>
            </w:pPr>
            <w:r w:rsidRPr="009A7820">
              <w:rPr>
                <w:i/>
                <w:sz w:val="18"/>
                <w:szCs w:val="18"/>
              </w:rPr>
              <w:t>Prioritná os 5</w:t>
            </w:r>
          </w:p>
        </w:tc>
        <w:tc>
          <w:tcPr>
            <w:tcW w:w="773" w:type="dxa"/>
            <w:shd w:val="clear" w:color="auto" w:fill="auto"/>
            <w:vAlign w:val="center"/>
          </w:tcPr>
          <w:p w14:paraId="11059F5C" w14:textId="77777777" w:rsidR="004F4004" w:rsidRPr="009A7820" w:rsidRDefault="004F4004" w:rsidP="004F4004">
            <w:pPr>
              <w:ind w:left="0"/>
              <w:jc w:val="center"/>
              <w:rPr>
                <w:i/>
                <w:sz w:val="18"/>
                <w:szCs w:val="18"/>
              </w:rPr>
            </w:pPr>
            <w:r w:rsidRPr="009A7820">
              <w:rPr>
                <w:i/>
                <w:sz w:val="18"/>
                <w:szCs w:val="18"/>
              </w:rPr>
              <w:t>EFRR</w:t>
            </w:r>
          </w:p>
        </w:tc>
        <w:tc>
          <w:tcPr>
            <w:tcW w:w="1096" w:type="dxa"/>
            <w:shd w:val="clear" w:color="auto" w:fill="auto"/>
            <w:vAlign w:val="center"/>
          </w:tcPr>
          <w:p w14:paraId="1FBF4DD6" w14:textId="77777777" w:rsidR="004F4004" w:rsidRPr="009A7820" w:rsidRDefault="004F4004" w:rsidP="004F4004">
            <w:pPr>
              <w:ind w:left="0"/>
              <w:jc w:val="center"/>
              <w:rPr>
                <w:i/>
                <w:sz w:val="18"/>
                <w:szCs w:val="18"/>
              </w:rPr>
            </w:pPr>
            <w:r w:rsidRPr="009A7820">
              <w:rPr>
                <w:i/>
                <w:sz w:val="18"/>
                <w:szCs w:val="18"/>
              </w:rPr>
              <w:t>Menej rozvinutý</w:t>
            </w:r>
          </w:p>
        </w:tc>
        <w:tc>
          <w:tcPr>
            <w:tcW w:w="2015" w:type="dxa"/>
            <w:shd w:val="clear" w:color="auto" w:fill="auto"/>
            <w:vAlign w:val="center"/>
          </w:tcPr>
          <w:p w14:paraId="0919D42D" w14:textId="77777777" w:rsidR="004F4004" w:rsidRPr="009A7820" w:rsidRDefault="004F4004" w:rsidP="004F4004">
            <w:pPr>
              <w:ind w:left="0"/>
              <w:rPr>
                <w:i/>
                <w:sz w:val="18"/>
                <w:szCs w:val="18"/>
              </w:rPr>
            </w:pPr>
            <w:r w:rsidRPr="009A7820">
              <w:rPr>
                <w:i/>
                <w:sz w:val="18"/>
                <w:szCs w:val="18"/>
              </w:rPr>
              <w:t>Počet lokalít s odstránením environmentálnej záťaže spôsobenej prevádzkou železničnej dopravy</w:t>
            </w:r>
          </w:p>
        </w:tc>
        <w:tc>
          <w:tcPr>
            <w:tcW w:w="1245" w:type="dxa"/>
            <w:shd w:val="clear" w:color="auto" w:fill="auto"/>
            <w:vAlign w:val="center"/>
          </w:tcPr>
          <w:p w14:paraId="3EED7620" w14:textId="77777777" w:rsidR="004F4004" w:rsidRPr="009A7820" w:rsidRDefault="004F4004" w:rsidP="004F4004">
            <w:pPr>
              <w:ind w:left="0"/>
              <w:jc w:val="center"/>
              <w:rPr>
                <w:i/>
                <w:sz w:val="18"/>
                <w:szCs w:val="18"/>
              </w:rPr>
            </w:pPr>
            <w:r w:rsidRPr="009A7820">
              <w:rPr>
                <w:i/>
                <w:sz w:val="18"/>
                <w:szCs w:val="18"/>
              </w:rPr>
              <w:t>počet</w:t>
            </w:r>
          </w:p>
        </w:tc>
        <w:tc>
          <w:tcPr>
            <w:tcW w:w="1429" w:type="dxa"/>
            <w:shd w:val="clear" w:color="auto" w:fill="auto"/>
            <w:vAlign w:val="center"/>
          </w:tcPr>
          <w:p w14:paraId="36D970CF" w14:textId="52DF9010" w:rsidR="004F4004" w:rsidRPr="009A7820" w:rsidRDefault="004F4004" w:rsidP="004F4004">
            <w:pPr>
              <w:ind w:left="0"/>
              <w:jc w:val="center"/>
              <w:rPr>
                <w:i/>
                <w:sz w:val="18"/>
                <w:szCs w:val="18"/>
              </w:rPr>
            </w:pPr>
            <w:r w:rsidRPr="009E5B17">
              <w:rPr>
                <w:i/>
                <w:sz w:val="18"/>
                <w:szCs w:val="18"/>
              </w:rPr>
              <w:t>3</w:t>
            </w:r>
          </w:p>
        </w:tc>
        <w:tc>
          <w:tcPr>
            <w:tcW w:w="1357" w:type="dxa"/>
            <w:shd w:val="clear" w:color="auto" w:fill="auto"/>
            <w:vAlign w:val="center"/>
          </w:tcPr>
          <w:p w14:paraId="4EC97E1B" w14:textId="43C1D5BE" w:rsidR="004F4004" w:rsidRPr="009A7820" w:rsidRDefault="004F4004" w:rsidP="004F4004">
            <w:pPr>
              <w:ind w:left="0"/>
              <w:jc w:val="center"/>
              <w:rPr>
                <w:i/>
                <w:sz w:val="18"/>
                <w:szCs w:val="18"/>
              </w:rPr>
            </w:pPr>
            <w:r w:rsidRPr="009E5B17">
              <w:rPr>
                <w:i/>
                <w:sz w:val="18"/>
                <w:szCs w:val="18"/>
              </w:rPr>
              <w:t>3</w:t>
            </w:r>
          </w:p>
        </w:tc>
      </w:tr>
      <w:tr w:rsidR="00F83068" w14:paraId="525A991D" w14:textId="77777777" w:rsidTr="009B48A1">
        <w:trPr>
          <w:trHeight w:val="284"/>
        </w:trPr>
        <w:tc>
          <w:tcPr>
            <w:tcW w:w="1384" w:type="dxa"/>
            <w:shd w:val="clear" w:color="auto" w:fill="auto"/>
            <w:vAlign w:val="center"/>
          </w:tcPr>
          <w:p w14:paraId="10FCC270" w14:textId="77777777" w:rsidR="00F83068" w:rsidRPr="009A7820" w:rsidRDefault="00F83068" w:rsidP="009553A0">
            <w:pPr>
              <w:ind w:left="0"/>
              <w:jc w:val="center"/>
              <w:rPr>
                <w:i/>
                <w:sz w:val="18"/>
                <w:szCs w:val="18"/>
              </w:rPr>
            </w:pPr>
            <w:r w:rsidRPr="009A7820">
              <w:rPr>
                <w:i/>
                <w:sz w:val="18"/>
                <w:szCs w:val="18"/>
              </w:rPr>
              <w:t xml:space="preserve">Prioritná os </w:t>
            </w:r>
            <w:r w:rsidR="006A289D" w:rsidRPr="009A7820">
              <w:rPr>
                <w:i/>
                <w:sz w:val="18"/>
                <w:szCs w:val="18"/>
              </w:rPr>
              <w:t>5</w:t>
            </w:r>
          </w:p>
        </w:tc>
        <w:tc>
          <w:tcPr>
            <w:tcW w:w="773" w:type="dxa"/>
            <w:shd w:val="clear" w:color="auto" w:fill="auto"/>
            <w:vAlign w:val="center"/>
          </w:tcPr>
          <w:p w14:paraId="4BBC08F8" w14:textId="77777777" w:rsidR="00F83068" w:rsidRPr="009A7820" w:rsidRDefault="00F83068" w:rsidP="009553A0">
            <w:pPr>
              <w:ind w:left="0"/>
              <w:jc w:val="center"/>
              <w:rPr>
                <w:i/>
                <w:sz w:val="18"/>
                <w:szCs w:val="18"/>
              </w:rPr>
            </w:pPr>
            <w:r w:rsidRPr="009A7820">
              <w:rPr>
                <w:i/>
                <w:sz w:val="18"/>
                <w:szCs w:val="18"/>
              </w:rPr>
              <w:t>EFRR</w:t>
            </w:r>
          </w:p>
        </w:tc>
        <w:tc>
          <w:tcPr>
            <w:tcW w:w="1096" w:type="dxa"/>
            <w:shd w:val="clear" w:color="auto" w:fill="auto"/>
            <w:vAlign w:val="center"/>
          </w:tcPr>
          <w:p w14:paraId="07B0FA79" w14:textId="77777777" w:rsidR="00F83068" w:rsidRPr="009A7820" w:rsidRDefault="00F83068" w:rsidP="009553A0">
            <w:pPr>
              <w:ind w:left="0"/>
              <w:jc w:val="center"/>
              <w:rPr>
                <w:i/>
                <w:sz w:val="18"/>
                <w:szCs w:val="18"/>
              </w:rPr>
            </w:pPr>
            <w:r w:rsidRPr="009A7820">
              <w:rPr>
                <w:i/>
                <w:sz w:val="18"/>
                <w:szCs w:val="18"/>
              </w:rPr>
              <w:t>Menej rozvinutý</w:t>
            </w:r>
          </w:p>
        </w:tc>
        <w:tc>
          <w:tcPr>
            <w:tcW w:w="2015" w:type="dxa"/>
            <w:shd w:val="clear" w:color="auto" w:fill="auto"/>
            <w:vAlign w:val="center"/>
          </w:tcPr>
          <w:p w14:paraId="2B85A869" w14:textId="7A0272F7" w:rsidR="00F83068" w:rsidRPr="009A7820" w:rsidRDefault="00F36122" w:rsidP="009553A0">
            <w:pPr>
              <w:ind w:left="0"/>
              <w:rPr>
                <w:i/>
                <w:sz w:val="18"/>
                <w:szCs w:val="18"/>
              </w:rPr>
            </w:pPr>
            <w:r w:rsidRPr="009A7820">
              <w:rPr>
                <w:i/>
                <w:sz w:val="18"/>
                <w:szCs w:val="18"/>
              </w:rPr>
              <w:t xml:space="preserve">Celková suma oprávnených výdavkov po ich certifikácii </w:t>
            </w:r>
            <w:r w:rsidRPr="009A7820">
              <w:rPr>
                <w:i/>
                <w:sz w:val="18"/>
                <w:szCs w:val="18"/>
              </w:rPr>
              <w:lastRenderedPageBreak/>
              <w:t>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419A7D51" w14:textId="77777777" w:rsidR="00F83068" w:rsidRPr="009A7820" w:rsidRDefault="00FE738D" w:rsidP="009553A0">
            <w:pPr>
              <w:ind w:left="0"/>
              <w:jc w:val="center"/>
              <w:rPr>
                <w:i/>
                <w:sz w:val="18"/>
                <w:szCs w:val="18"/>
              </w:rPr>
            </w:pPr>
            <w:r w:rsidRPr="009A7820">
              <w:rPr>
                <w:i/>
                <w:sz w:val="18"/>
                <w:szCs w:val="18"/>
              </w:rPr>
              <w:lastRenderedPageBreak/>
              <w:t>EUR</w:t>
            </w:r>
          </w:p>
        </w:tc>
        <w:tc>
          <w:tcPr>
            <w:tcW w:w="1429" w:type="dxa"/>
            <w:shd w:val="clear" w:color="auto" w:fill="auto"/>
            <w:vAlign w:val="center"/>
          </w:tcPr>
          <w:p w14:paraId="5EC6569A" w14:textId="646845BC" w:rsidR="00F83068" w:rsidRPr="009A7820" w:rsidRDefault="004F4004" w:rsidP="00D0287B">
            <w:pPr>
              <w:ind w:left="0"/>
              <w:jc w:val="center"/>
              <w:rPr>
                <w:i/>
                <w:sz w:val="18"/>
                <w:szCs w:val="18"/>
              </w:rPr>
            </w:pPr>
            <w:r w:rsidRPr="009E5B17">
              <w:rPr>
                <w:i/>
                <w:sz w:val="18"/>
                <w:szCs w:val="18"/>
              </w:rPr>
              <w:t>99 611 375</w:t>
            </w:r>
          </w:p>
        </w:tc>
        <w:tc>
          <w:tcPr>
            <w:tcW w:w="1357" w:type="dxa"/>
            <w:shd w:val="clear" w:color="auto" w:fill="auto"/>
            <w:vAlign w:val="center"/>
          </w:tcPr>
          <w:p w14:paraId="79F54B67" w14:textId="3B068104" w:rsidR="00F83068" w:rsidRPr="009A7820" w:rsidRDefault="006C7788" w:rsidP="006C7788">
            <w:pPr>
              <w:ind w:left="0"/>
              <w:jc w:val="center"/>
              <w:rPr>
                <w:i/>
                <w:sz w:val="18"/>
                <w:szCs w:val="18"/>
                <w:lang w:val="en-GB"/>
              </w:rPr>
            </w:pPr>
            <w:r>
              <w:rPr>
                <w:i/>
                <w:sz w:val="18"/>
                <w:szCs w:val="18"/>
                <w:lang w:val="en-GB"/>
              </w:rPr>
              <w:t>310 531 470</w:t>
            </w:r>
          </w:p>
        </w:tc>
      </w:tr>
      <w:tr w:rsidR="004F4004" w14:paraId="68388E6C" w14:textId="77777777" w:rsidTr="009B48A1">
        <w:trPr>
          <w:trHeight w:val="284"/>
        </w:trPr>
        <w:tc>
          <w:tcPr>
            <w:tcW w:w="1384" w:type="dxa"/>
            <w:shd w:val="clear" w:color="auto" w:fill="auto"/>
            <w:vAlign w:val="center"/>
          </w:tcPr>
          <w:p w14:paraId="78B0E08C" w14:textId="77777777" w:rsidR="004F4004" w:rsidRPr="009A7820" w:rsidRDefault="004F4004" w:rsidP="004F4004">
            <w:pPr>
              <w:ind w:left="0"/>
              <w:jc w:val="center"/>
              <w:rPr>
                <w:i/>
                <w:sz w:val="18"/>
                <w:szCs w:val="18"/>
              </w:rPr>
            </w:pPr>
            <w:r w:rsidRPr="009A7820">
              <w:rPr>
                <w:i/>
                <w:sz w:val="18"/>
                <w:szCs w:val="18"/>
              </w:rPr>
              <w:t>Prioritná os 6</w:t>
            </w:r>
          </w:p>
        </w:tc>
        <w:tc>
          <w:tcPr>
            <w:tcW w:w="773" w:type="dxa"/>
            <w:shd w:val="clear" w:color="auto" w:fill="auto"/>
            <w:vAlign w:val="center"/>
          </w:tcPr>
          <w:p w14:paraId="34A35418" w14:textId="77777777" w:rsidR="004F4004" w:rsidRPr="009A7820" w:rsidRDefault="004F4004" w:rsidP="004F4004">
            <w:pPr>
              <w:ind w:left="0"/>
              <w:jc w:val="center"/>
              <w:rPr>
                <w:i/>
                <w:sz w:val="18"/>
                <w:szCs w:val="18"/>
              </w:rPr>
            </w:pPr>
            <w:r w:rsidRPr="009A7820">
              <w:rPr>
                <w:i/>
                <w:sz w:val="18"/>
                <w:szCs w:val="18"/>
              </w:rPr>
              <w:t>EFRR</w:t>
            </w:r>
          </w:p>
        </w:tc>
        <w:tc>
          <w:tcPr>
            <w:tcW w:w="1096" w:type="dxa"/>
            <w:shd w:val="clear" w:color="auto" w:fill="auto"/>
            <w:vAlign w:val="center"/>
          </w:tcPr>
          <w:p w14:paraId="78DDF2A9" w14:textId="77777777" w:rsidR="004F4004" w:rsidRPr="009A7820" w:rsidRDefault="004F4004" w:rsidP="00433A86">
            <w:pPr>
              <w:ind w:left="0"/>
              <w:jc w:val="center"/>
              <w:rPr>
                <w:i/>
                <w:sz w:val="18"/>
                <w:szCs w:val="18"/>
              </w:rPr>
            </w:pPr>
            <w:r w:rsidRPr="009A7820">
              <w:rPr>
                <w:i/>
                <w:sz w:val="18"/>
                <w:szCs w:val="18"/>
              </w:rPr>
              <w:t>Menej rozvinutý</w:t>
            </w:r>
          </w:p>
        </w:tc>
        <w:tc>
          <w:tcPr>
            <w:tcW w:w="2015" w:type="dxa"/>
            <w:shd w:val="clear" w:color="auto" w:fill="auto"/>
            <w:vAlign w:val="center"/>
          </w:tcPr>
          <w:p w14:paraId="75B32458" w14:textId="77777777" w:rsidR="004F4004" w:rsidRPr="009A7820" w:rsidRDefault="004F4004" w:rsidP="004F4004">
            <w:pPr>
              <w:ind w:left="0"/>
              <w:rPr>
                <w:i/>
                <w:sz w:val="18"/>
                <w:szCs w:val="18"/>
              </w:rPr>
            </w:pPr>
            <w:r w:rsidRPr="009A7820">
              <w:rPr>
                <w:i/>
                <w:sz w:val="18"/>
                <w:szCs w:val="18"/>
              </w:rPr>
              <w:t>Celková dĺžka novovybudovaných ciest</w:t>
            </w:r>
          </w:p>
        </w:tc>
        <w:tc>
          <w:tcPr>
            <w:tcW w:w="1245" w:type="dxa"/>
            <w:shd w:val="clear" w:color="auto" w:fill="auto"/>
            <w:vAlign w:val="center"/>
          </w:tcPr>
          <w:p w14:paraId="748633FC" w14:textId="77777777" w:rsidR="004F4004" w:rsidRPr="009A7820" w:rsidRDefault="004F4004" w:rsidP="004F4004">
            <w:pPr>
              <w:ind w:left="0"/>
              <w:jc w:val="center"/>
              <w:rPr>
                <w:i/>
                <w:sz w:val="18"/>
                <w:szCs w:val="18"/>
              </w:rPr>
            </w:pPr>
            <w:r w:rsidRPr="009A7820">
              <w:rPr>
                <w:i/>
                <w:sz w:val="18"/>
                <w:szCs w:val="18"/>
              </w:rPr>
              <w:t>km</w:t>
            </w:r>
          </w:p>
        </w:tc>
        <w:tc>
          <w:tcPr>
            <w:tcW w:w="1429" w:type="dxa"/>
            <w:shd w:val="clear" w:color="auto" w:fill="auto"/>
            <w:vAlign w:val="center"/>
          </w:tcPr>
          <w:p w14:paraId="5B8539AA" w14:textId="6A90198A" w:rsidR="004F4004" w:rsidRPr="009A7820" w:rsidRDefault="004F4004" w:rsidP="004F4004">
            <w:pPr>
              <w:ind w:left="0"/>
              <w:jc w:val="center"/>
              <w:rPr>
                <w:i/>
                <w:sz w:val="18"/>
                <w:szCs w:val="18"/>
                <w:lang w:val="en-GB"/>
              </w:rPr>
            </w:pPr>
            <w:r w:rsidRPr="009E5B17">
              <w:rPr>
                <w:i/>
                <w:sz w:val="18"/>
                <w:szCs w:val="18"/>
                <w:lang w:val="en-GB"/>
              </w:rPr>
              <w:t>10,25</w:t>
            </w:r>
          </w:p>
        </w:tc>
        <w:tc>
          <w:tcPr>
            <w:tcW w:w="1357" w:type="dxa"/>
            <w:shd w:val="clear" w:color="auto" w:fill="auto"/>
            <w:vAlign w:val="center"/>
          </w:tcPr>
          <w:p w14:paraId="210216FC" w14:textId="29865A24" w:rsidR="004F4004" w:rsidRPr="009A7820" w:rsidRDefault="004F4004" w:rsidP="004F4004">
            <w:pPr>
              <w:ind w:left="0"/>
              <w:jc w:val="center"/>
              <w:rPr>
                <w:i/>
                <w:sz w:val="18"/>
                <w:szCs w:val="18"/>
                <w:lang w:val="en-GB"/>
              </w:rPr>
            </w:pPr>
            <w:r w:rsidRPr="009E5B17">
              <w:rPr>
                <w:i/>
                <w:sz w:val="18"/>
                <w:szCs w:val="18"/>
                <w:lang w:val="en-GB"/>
              </w:rPr>
              <w:t>31,75</w:t>
            </w:r>
          </w:p>
        </w:tc>
      </w:tr>
      <w:tr w:rsidR="00F83068" w14:paraId="4863BAA9" w14:textId="77777777" w:rsidTr="009B48A1">
        <w:trPr>
          <w:trHeight w:val="284"/>
        </w:trPr>
        <w:tc>
          <w:tcPr>
            <w:tcW w:w="1384" w:type="dxa"/>
            <w:shd w:val="clear" w:color="auto" w:fill="auto"/>
            <w:vAlign w:val="center"/>
          </w:tcPr>
          <w:p w14:paraId="5CBCAD02" w14:textId="77777777" w:rsidR="00F83068" w:rsidRPr="009A7820" w:rsidRDefault="00F83068" w:rsidP="009553A0">
            <w:pPr>
              <w:ind w:left="0"/>
              <w:jc w:val="center"/>
              <w:rPr>
                <w:i/>
                <w:sz w:val="18"/>
                <w:szCs w:val="18"/>
              </w:rPr>
            </w:pPr>
            <w:r w:rsidRPr="009A7820">
              <w:rPr>
                <w:i/>
                <w:sz w:val="18"/>
                <w:szCs w:val="18"/>
              </w:rPr>
              <w:t>Prioritná os 6</w:t>
            </w:r>
          </w:p>
        </w:tc>
        <w:tc>
          <w:tcPr>
            <w:tcW w:w="773" w:type="dxa"/>
            <w:shd w:val="clear" w:color="auto" w:fill="auto"/>
            <w:vAlign w:val="center"/>
          </w:tcPr>
          <w:p w14:paraId="4D461585" w14:textId="77777777" w:rsidR="00F83068" w:rsidRPr="009A7820" w:rsidRDefault="00F83068" w:rsidP="009553A0">
            <w:pPr>
              <w:ind w:left="0"/>
              <w:jc w:val="center"/>
              <w:rPr>
                <w:i/>
                <w:sz w:val="18"/>
                <w:szCs w:val="18"/>
              </w:rPr>
            </w:pPr>
            <w:r w:rsidRPr="009A7820">
              <w:rPr>
                <w:i/>
                <w:sz w:val="18"/>
                <w:szCs w:val="18"/>
              </w:rPr>
              <w:t>EFRR</w:t>
            </w:r>
          </w:p>
        </w:tc>
        <w:tc>
          <w:tcPr>
            <w:tcW w:w="1096" w:type="dxa"/>
            <w:shd w:val="clear" w:color="auto" w:fill="auto"/>
            <w:vAlign w:val="center"/>
          </w:tcPr>
          <w:p w14:paraId="14B46975" w14:textId="77777777" w:rsidR="00F83068" w:rsidRPr="009A7820" w:rsidRDefault="00F83068" w:rsidP="00433A86">
            <w:pPr>
              <w:ind w:left="0"/>
              <w:jc w:val="center"/>
              <w:rPr>
                <w:i/>
                <w:sz w:val="18"/>
                <w:szCs w:val="18"/>
              </w:rPr>
            </w:pPr>
            <w:r w:rsidRPr="009A7820">
              <w:rPr>
                <w:i/>
                <w:sz w:val="18"/>
                <w:szCs w:val="18"/>
              </w:rPr>
              <w:t>Menej rozvinutý</w:t>
            </w:r>
          </w:p>
        </w:tc>
        <w:tc>
          <w:tcPr>
            <w:tcW w:w="2015" w:type="dxa"/>
            <w:shd w:val="clear" w:color="auto" w:fill="auto"/>
            <w:vAlign w:val="center"/>
          </w:tcPr>
          <w:p w14:paraId="683E74AF" w14:textId="49BDC9F8"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3F0F4CD8" w14:textId="77777777" w:rsidR="00F83068" w:rsidRPr="009A7820" w:rsidRDefault="00FE738D" w:rsidP="009553A0">
            <w:pPr>
              <w:ind w:left="0"/>
              <w:jc w:val="center"/>
              <w:rPr>
                <w:i/>
                <w:sz w:val="18"/>
                <w:szCs w:val="18"/>
              </w:rPr>
            </w:pPr>
            <w:r w:rsidRPr="009A7820">
              <w:rPr>
                <w:i/>
                <w:sz w:val="18"/>
                <w:szCs w:val="18"/>
              </w:rPr>
              <w:t>EUR</w:t>
            </w:r>
          </w:p>
        </w:tc>
        <w:tc>
          <w:tcPr>
            <w:tcW w:w="1429" w:type="dxa"/>
            <w:shd w:val="clear" w:color="auto" w:fill="auto"/>
            <w:vAlign w:val="center"/>
          </w:tcPr>
          <w:p w14:paraId="4903CA31" w14:textId="77777777" w:rsidR="00F83068" w:rsidRPr="009A7820" w:rsidRDefault="00D0287B" w:rsidP="00D0287B">
            <w:pPr>
              <w:ind w:left="0"/>
              <w:jc w:val="center"/>
              <w:rPr>
                <w:i/>
                <w:sz w:val="18"/>
                <w:szCs w:val="18"/>
              </w:rPr>
            </w:pPr>
            <w:r w:rsidRPr="009A7820">
              <w:rPr>
                <w:i/>
                <w:sz w:val="18"/>
                <w:szCs w:val="18"/>
              </w:rPr>
              <w:t>142 575 656</w:t>
            </w:r>
          </w:p>
        </w:tc>
        <w:tc>
          <w:tcPr>
            <w:tcW w:w="1357" w:type="dxa"/>
            <w:shd w:val="clear" w:color="auto" w:fill="auto"/>
            <w:vAlign w:val="center"/>
          </w:tcPr>
          <w:p w14:paraId="31709DD5" w14:textId="039042CF" w:rsidR="00F83068" w:rsidRPr="009A7820" w:rsidRDefault="006C7788">
            <w:pPr>
              <w:ind w:left="0"/>
              <w:jc w:val="center"/>
              <w:rPr>
                <w:i/>
                <w:sz w:val="18"/>
                <w:szCs w:val="18"/>
                <w:lang w:val="en-GB"/>
              </w:rPr>
            </w:pPr>
            <w:r>
              <w:rPr>
                <w:i/>
                <w:sz w:val="18"/>
                <w:szCs w:val="18"/>
                <w:lang w:val="en-GB"/>
              </w:rPr>
              <w:t>946 924 744</w:t>
            </w:r>
          </w:p>
        </w:tc>
      </w:tr>
      <w:tr w:rsidR="00F83068" w14:paraId="54290CD0" w14:textId="77777777" w:rsidTr="009B48A1">
        <w:trPr>
          <w:trHeight w:val="284"/>
        </w:trPr>
        <w:tc>
          <w:tcPr>
            <w:tcW w:w="1384" w:type="dxa"/>
            <w:shd w:val="clear" w:color="auto" w:fill="auto"/>
            <w:vAlign w:val="center"/>
          </w:tcPr>
          <w:p w14:paraId="34FCCDC5" w14:textId="77777777" w:rsidR="00F83068" w:rsidRPr="009A7820" w:rsidRDefault="00F83068" w:rsidP="009553A0">
            <w:pPr>
              <w:ind w:left="0"/>
              <w:jc w:val="center"/>
              <w:rPr>
                <w:i/>
                <w:sz w:val="18"/>
                <w:szCs w:val="18"/>
              </w:rPr>
            </w:pPr>
            <w:r w:rsidRPr="009A7820">
              <w:rPr>
                <w:i/>
                <w:sz w:val="18"/>
                <w:szCs w:val="18"/>
              </w:rPr>
              <w:t>Prioritná os 7</w:t>
            </w:r>
          </w:p>
        </w:tc>
        <w:tc>
          <w:tcPr>
            <w:tcW w:w="773" w:type="dxa"/>
            <w:shd w:val="clear" w:color="auto" w:fill="auto"/>
            <w:vAlign w:val="center"/>
          </w:tcPr>
          <w:p w14:paraId="616ED961" w14:textId="77777777" w:rsidR="00F83068" w:rsidRPr="009A7820" w:rsidRDefault="00F83068" w:rsidP="009553A0">
            <w:pPr>
              <w:ind w:left="0"/>
              <w:jc w:val="center"/>
              <w:rPr>
                <w:i/>
                <w:sz w:val="18"/>
                <w:szCs w:val="18"/>
              </w:rPr>
            </w:pPr>
            <w:r w:rsidRPr="009A7820">
              <w:rPr>
                <w:i/>
                <w:sz w:val="18"/>
                <w:szCs w:val="18"/>
              </w:rPr>
              <w:t>EFRR</w:t>
            </w:r>
          </w:p>
        </w:tc>
        <w:tc>
          <w:tcPr>
            <w:tcW w:w="1096" w:type="dxa"/>
            <w:shd w:val="clear" w:color="auto" w:fill="auto"/>
            <w:vAlign w:val="center"/>
          </w:tcPr>
          <w:p w14:paraId="74963DC5" w14:textId="77777777" w:rsidR="00F83068" w:rsidRPr="009A7820" w:rsidRDefault="00F83068" w:rsidP="00433A86">
            <w:pPr>
              <w:ind w:left="0"/>
              <w:jc w:val="center"/>
              <w:rPr>
                <w:i/>
                <w:sz w:val="18"/>
                <w:szCs w:val="18"/>
              </w:rPr>
            </w:pPr>
            <w:r w:rsidRPr="009A7820">
              <w:rPr>
                <w:i/>
                <w:sz w:val="18"/>
                <w:szCs w:val="18"/>
              </w:rPr>
              <w:t>Menej rozvinutý</w:t>
            </w:r>
          </w:p>
        </w:tc>
        <w:tc>
          <w:tcPr>
            <w:tcW w:w="2015" w:type="dxa"/>
            <w:shd w:val="clear" w:color="auto" w:fill="auto"/>
            <w:vAlign w:val="center"/>
          </w:tcPr>
          <w:p w14:paraId="42CC9F1C" w14:textId="6FB28311" w:rsidR="00F83068" w:rsidRPr="009A7820" w:rsidRDefault="00F36122" w:rsidP="009553A0">
            <w:pPr>
              <w:ind w:left="0"/>
              <w:rPr>
                <w:i/>
                <w:sz w:val="18"/>
                <w:szCs w:val="18"/>
              </w:rPr>
            </w:pPr>
            <w:r w:rsidRPr="009A7820">
              <w:rPr>
                <w:i/>
                <w:sz w:val="18"/>
                <w:szCs w:val="18"/>
              </w:rPr>
              <w:t>Celková suma oprávnených výdavkov po ich certifikácii certifikačným orgánom</w:t>
            </w:r>
            <w:r w:rsidR="00BA5C04" w:rsidRPr="009A7820">
              <w:rPr>
                <w:i/>
                <w:sz w:val="18"/>
                <w:szCs w:val="18"/>
              </w:rPr>
              <w:t xml:space="preserve"> a predložení žiadostí o platby Európskej komisii</w:t>
            </w:r>
          </w:p>
        </w:tc>
        <w:tc>
          <w:tcPr>
            <w:tcW w:w="1245" w:type="dxa"/>
            <w:shd w:val="clear" w:color="auto" w:fill="auto"/>
            <w:vAlign w:val="center"/>
          </w:tcPr>
          <w:p w14:paraId="3F00C86B" w14:textId="77777777" w:rsidR="00F83068" w:rsidRPr="009A7820" w:rsidRDefault="00FE738D" w:rsidP="009553A0">
            <w:pPr>
              <w:ind w:left="0"/>
              <w:jc w:val="center"/>
              <w:rPr>
                <w:i/>
                <w:sz w:val="18"/>
                <w:szCs w:val="18"/>
                <w:lang w:val="en-US"/>
              </w:rPr>
            </w:pPr>
            <w:r w:rsidRPr="009A7820">
              <w:rPr>
                <w:i/>
                <w:sz w:val="18"/>
                <w:szCs w:val="18"/>
                <w:lang w:val="en-US"/>
              </w:rPr>
              <w:t>EUR</w:t>
            </w:r>
          </w:p>
        </w:tc>
        <w:tc>
          <w:tcPr>
            <w:tcW w:w="1429" w:type="dxa"/>
            <w:shd w:val="clear" w:color="auto" w:fill="auto"/>
            <w:vAlign w:val="center"/>
          </w:tcPr>
          <w:p w14:paraId="1C158325" w14:textId="293D2104" w:rsidR="00F83068" w:rsidRPr="009A7820" w:rsidRDefault="0049051F" w:rsidP="00D2031D">
            <w:pPr>
              <w:ind w:left="0"/>
              <w:jc w:val="center"/>
              <w:rPr>
                <w:i/>
                <w:sz w:val="18"/>
                <w:szCs w:val="18"/>
              </w:rPr>
            </w:pPr>
            <w:r w:rsidRPr="009A7820">
              <w:rPr>
                <w:i/>
                <w:sz w:val="18"/>
                <w:szCs w:val="18"/>
              </w:rPr>
              <w:t>13</w:t>
            </w:r>
            <w:r w:rsidR="00D2031D" w:rsidRPr="009A7820">
              <w:rPr>
                <w:i/>
                <w:sz w:val="18"/>
                <w:szCs w:val="18"/>
              </w:rPr>
              <w:t>2 097 309</w:t>
            </w:r>
          </w:p>
        </w:tc>
        <w:tc>
          <w:tcPr>
            <w:tcW w:w="1357" w:type="dxa"/>
            <w:shd w:val="clear" w:color="auto" w:fill="auto"/>
            <w:vAlign w:val="center"/>
          </w:tcPr>
          <w:p w14:paraId="0054E6DB" w14:textId="02DD8272" w:rsidR="00F83068" w:rsidRPr="009A7820" w:rsidRDefault="006C7788" w:rsidP="006C7788">
            <w:pPr>
              <w:ind w:left="0"/>
              <w:jc w:val="center"/>
              <w:rPr>
                <w:i/>
                <w:sz w:val="18"/>
                <w:szCs w:val="18"/>
                <w:lang w:val="en-GB"/>
              </w:rPr>
            </w:pPr>
            <w:r>
              <w:rPr>
                <w:i/>
                <w:sz w:val="18"/>
                <w:szCs w:val="18"/>
                <w:lang w:val="en-GB"/>
              </w:rPr>
              <w:t>866 988 591</w:t>
            </w:r>
          </w:p>
        </w:tc>
      </w:tr>
      <w:tr w:rsidR="00D25D03" w14:paraId="2281F186" w14:textId="77777777" w:rsidTr="009B48A1">
        <w:trPr>
          <w:cantSplit/>
          <w:trHeight w:val="284"/>
        </w:trPr>
        <w:tc>
          <w:tcPr>
            <w:tcW w:w="1384" w:type="dxa"/>
            <w:shd w:val="clear" w:color="auto" w:fill="auto"/>
            <w:vAlign w:val="center"/>
          </w:tcPr>
          <w:p w14:paraId="45DD7CAD" w14:textId="77777777" w:rsidR="00D25D03" w:rsidRPr="009A7820" w:rsidRDefault="00D25D03" w:rsidP="00E621B4">
            <w:pPr>
              <w:ind w:left="0"/>
              <w:rPr>
                <w:i/>
                <w:sz w:val="18"/>
                <w:szCs w:val="18"/>
              </w:rPr>
            </w:pPr>
            <w:r w:rsidRPr="009A7820">
              <w:rPr>
                <w:i/>
                <w:sz w:val="18"/>
                <w:szCs w:val="18"/>
              </w:rPr>
              <w:t>Prioritná os 7</w:t>
            </w:r>
          </w:p>
        </w:tc>
        <w:tc>
          <w:tcPr>
            <w:tcW w:w="773" w:type="dxa"/>
            <w:shd w:val="clear" w:color="auto" w:fill="auto"/>
            <w:vAlign w:val="center"/>
          </w:tcPr>
          <w:p w14:paraId="5D04DD66" w14:textId="77777777" w:rsidR="00D25D03" w:rsidRPr="009A7820" w:rsidRDefault="00D25D03" w:rsidP="00E621B4">
            <w:pPr>
              <w:ind w:left="0"/>
              <w:rPr>
                <w:i/>
                <w:sz w:val="18"/>
                <w:szCs w:val="18"/>
              </w:rPr>
            </w:pPr>
            <w:r w:rsidRPr="009A7820">
              <w:rPr>
                <w:i/>
                <w:sz w:val="18"/>
                <w:szCs w:val="18"/>
              </w:rPr>
              <w:t>EFRR</w:t>
            </w:r>
          </w:p>
        </w:tc>
        <w:tc>
          <w:tcPr>
            <w:tcW w:w="1096" w:type="dxa"/>
            <w:shd w:val="clear" w:color="auto" w:fill="auto"/>
            <w:vAlign w:val="center"/>
          </w:tcPr>
          <w:p w14:paraId="1EAE891E" w14:textId="77777777" w:rsidR="00D25D03" w:rsidRPr="009A7820" w:rsidRDefault="00D25D03" w:rsidP="00433A86">
            <w:pPr>
              <w:ind w:left="0"/>
              <w:jc w:val="center"/>
              <w:rPr>
                <w:i/>
                <w:sz w:val="18"/>
                <w:szCs w:val="18"/>
              </w:rPr>
            </w:pPr>
            <w:r w:rsidRPr="009A7820">
              <w:rPr>
                <w:i/>
                <w:sz w:val="18"/>
                <w:szCs w:val="18"/>
              </w:rPr>
              <w:t>Menej rozvinutý</w:t>
            </w:r>
          </w:p>
        </w:tc>
        <w:tc>
          <w:tcPr>
            <w:tcW w:w="2015" w:type="dxa"/>
            <w:shd w:val="clear" w:color="auto" w:fill="auto"/>
            <w:vAlign w:val="center"/>
          </w:tcPr>
          <w:p w14:paraId="28CF0F6E" w14:textId="77777777" w:rsidR="00D25D03" w:rsidRPr="009A7820" w:rsidRDefault="00D25D03" w:rsidP="00D25D03">
            <w:pPr>
              <w:ind w:left="0"/>
              <w:rPr>
                <w:i/>
                <w:sz w:val="18"/>
                <w:szCs w:val="18"/>
              </w:rPr>
            </w:pPr>
            <w:r w:rsidRPr="009A7820">
              <w:rPr>
                <w:i/>
                <w:sz w:val="18"/>
                <w:szCs w:val="18"/>
              </w:rPr>
              <w:t>Počet dodatočných centrálne využitých podporných systémov vnútornej správy v rámci ISVS (ako služieb v cloude SaaS)</w:t>
            </w:r>
          </w:p>
        </w:tc>
        <w:tc>
          <w:tcPr>
            <w:tcW w:w="1245" w:type="dxa"/>
            <w:shd w:val="clear" w:color="auto" w:fill="auto"/>
            <w:vAlign w:val="center"/>
          </w:tcPr>
          <w:p w14:paraId="2A8FA609" w14:textId="77777777" w:rsidR="00D25D03" w:rsidRPr="009A7820" w:rsidDel="00FE738D" w:rsidRDefault="00D25D03" w:rsidP="00D25D03">
            <w:pPr>
              <w:ind w:left="0"/>
              <w:jc w:val="center"/>
              <w:rPr>
                <w:i/>
                <w:sz w:val="18"/>
                <w:szCs w:val="18"/>
              </w:rPr>
            </w:pPr>
            <w:r w:rsidRPr="009A7820">
              <w:rPr>
                <w:i/>
                <w:sz w:val="18"/>
                <w:szCs w:val="18"/>
              </w:rPr>
              <w:t>počet</w:t>
            </w:r>
          </w:p>
        </w:tc>
        <w:tc>
          <w:tcPr>
            <w:tcW w:w="1429" w:type="dxa"/>
            <w:shd w:val="clear" w:color="auto" w:fill="auto"/>
            <w:vAlign w:val="center"/>
          </w:tcPr>
          <w:p w14:paraId="63E16E26" w14:textId="77777777" w:rsidR="00D25D03" w:rsidRPr="009A7820" w:rsidDel="00FE738D" w:rsidRDefault="00D25D03" w:rsidP="00D25D03">
            <w:pPr>
              <w:ind w:left="0"/>
              <w:jc w:val="center"/>
              <w:rPr>
                <w:i/>
                <w:sz w:val="18"/>
                <w:szCs w:val="18"/>
              </w:rPr>
            </w:pPr>
            <w:r w:rsidRPr="009A7820">
              <w:rPr>
                <w:i/>
                <w:sz w:val="18"/>
                <w:szCs w:val="18"/>
              </w:rPr>
              <w:t>2</w:t>
            </w:r>
          </w:p>
        </w:tc>
        <w:tc>
          <w:tcPr>
            <w:tcW w:w="1357" w:type="dxa"/>
            <w:shd w:val="clear" w:color="auto" w:fill="auto"/>
            <w:vAlign w:val="center"/>
          </w:tcPr>
          <w:p w14:paraId="5A4BA190" w14:textId="77777777" w:rsidR="00D25D03" w:rsidRPr="009A7820" w:rsidDel="00FE738D" w:rsidRDefault="00D25D03" w:rsidP="00D25D03">
            <w:pPr>
              <w:ind w:left="0"/>
              <w:jc w:val="center"/>
              <w:rPr>
                <w:i/>
                <w:sz w:val="18"/>
                <w:szCs w:val="18"/>
              </w:rPr>
            </w:pPr>
            <w:r w:rsidRPr="009A7820">
              <w:rPr>
                <w:i/>
                <w:sz w:val="18"/>
                <w:szCs w:val="18"/>
              </w:rPr>
              <w:t>7</w:t>
            </w:r>
          </w:p>
        </w:tc>
      </w:tr>
      <w:tr w:rsidR="00D25D03" w14:paraId="615C6294" w14:textId="77777777" w:rsidTr="009B48A1">
        <w:trPr>
          <w:trHeight w:val="284"/>
        </w:trPr>
        <w:tc>
          <w:tcPr>
            <w:tcW w:w="1384" w:type="dxa"/>
            <w:shd w:val="clear" w:color="auto" w:fill="auto"/>
            <w:vAlign w:val="center"/>
          </w:tcPr>
          <w:p w14:paraId="6E1B5DD8" w14:textId="77777777" w:rsidR="00D25D03" w:rsidRPr="009A7820" w:rsidRDefault="00D25D03" w:rsidP="00E621B4">
            <w:pPr>
              <w:ind w:left="0"/>
              <w:rPr>
                <w:i/>
                <w:sz w:val="18"/>
                <w:szCs w:val="18"/>
              </w:rPr>
            </w:pPr>
            <w:r w:rsidRPr="009A7820">
              <w:rPr>
                <w:i/>
                <w:sz w:val="18"/>
                <w:szCs w:val="18"/>
              </w:rPr>
              <w:t>Prioritná os 7</w:t>
            </w:r>
          </w:p>
        </w:tc>
        <w:tc>
          <w:tcPr>
            <w:tcW w:w="773" w:type="dxa"/>
            <w:shd w:val="clear" w:color="auto" w:fill="auto"/>
            <w:vAlign w:val="center"/>
          </w:tcPr>
          <w:p w14:paraId="2AEC2234" w14:textId="77777777" w:rsidR="00D25D03" w:rsidRPr="009A7820" w:rsidRDefault="00D25D03" w:rsidP="00E621B4">
            <w:pPr>
              <w:ind w:left="0"/>
              <w:rPr>
                <w:i/>
                <w:sz w:val="18"/>
                <w:szCs w:val="18"/>
              </w:rPr>
            </w:pPr>
            <w:r w:rsidRPr="009A7820">
              <w:rPr>
                <w:i/>
                <w:sz w:val="18"/>
                <w:szCs w:val="18"/>
              </w:rPr>
              <w:t>EFRR</w:t>
            </w:r>
          </w:p>
        </w:tc>
        <w:tc>
          <w:tcPr>
            <w:tcW w:w="1096" w:type="dxa"/>
            <w:shd w:val="clear" w:color="auto" w:fill="auto"/>
            <w:vAlign w:val="center"/>
          </w:tcPr>
          <w:p w14:paraId="3FE8ECBF" w14:textId="77777777" w:rsidR="00D25D03" w:rsidRPr="009A7820" w:rsidRDefault="00D25D03" w:rsidP="00433A86">
            <w:pPr>
              <w:ind w:left="0"/>
              <w:jc w:val="center"/>
              <w:rPr>
                <w:i/>
                <w:sz w:val="18"/>
                <w:szCs w:val="18"/>
              </w:rPr>
            </w:pPr>
            <w:r w:rsidRPr="009A7820">
              <w:rPr>
                <w:i/>
                <w:sz w:val="18"/>
                <w:szCs w:val="18"/>
              </w:rPr>
              <w:t>Menej rozvinutý</w:t>
            </w:r>
          </w:p>
        </w:tc>
        <w:tc>
          <w:tcPr>
            <w:tcW w:w="2015" w:type="dxa"/>
            <w:shd w:val="clear" w:color="auto" w:fill="auto"/>
            <w:vAlign w:val="center"/>
          </w:tcPr>
          <w:p w14:paraId="65CF3CA4" w14:textId="4D0B1D57" w:rsidR="00D25D03" w:rsidRPr="009A7820" w:rsidRDefault="00D25D03" w:rsidP="00786196">
            <w:pPr>
              <w:ind w:left="0"/>
              <w:rPr>
                <w:i/>
                <w:sz w:val="18"/>
                <w:szCs w:val="18"/>
              </w:rPr>
            </w:pPr>
            <w:r w:rsidRPr="009A7820">
              <w:rPr>
                <w:i/>
                <w:sz w:val="18"/>
                <w:szCs w:val="18"/>
              </w:rPr>
              <w:t>Dodatočný pomer</w:t>
            </w:r>
            <w:r w:rsidR="00786196">
              <w:rPr>
                <w:i/>
                <w:sz w:val="18"/>
                <w:szCs w:val="18"/>
              </w:rPr>
              <w:t xml:space="preserve"> ústredných orgánov</w:t>
            </w:r>
            <w:r w:rsidR="00786196" w:rsidRPr="009A7820">
              <w:rPr>
                <w:i/>
                <w:sz w:val="18"/>
                <w:szCs w:val="18"/>
              </w:rPr>
              <w:t xml:space="preserve"> </w:t>
            </w:r>
            <w:r w:rsidRPr="009A7820">
              <w:rPr>
                <w:i/>
                <w:sz w:val="18"/>
                <w:szCs w:val="18"/>
              </w:rPr>
              <w:t>štátnej správy zapojených do eGovernment cloudu</w:t>
            </w:r>
          </w:p>
        </w:tc>
        <w:tc>
          <w:tcPr>
            <w:tcW w:w="1245" w:type="dxa"/>
            <w:shd w:val="clear" w:color="auto" w:fill="auto"/>
            <w:vAlign w:val="center"/>
          </w:tcPr>
          <w:p w14:paraId="5A5656F0" w14:textId="77777777" w:rsidR="00D25D03" w:rsidRPr="009A7820" w:rsidDel="00FE738D" w:rsidRDefault="00D25D03" w:rsidP="00E621B4">
            <w:pPr>
              <w:ind w:left="0"/>
              <w:jc w:val="center"/>
              <w:rPr>
                <w:i/>
                <w:sz w:val="18"/>
                <w:szCs w:val="18"/>
              </w:rPr>
            </w:pPr>
            <w:r w:rsidRPr="009A7820">
              <w:rPr>
                <w:i/>
                <w:sz w:val="18"/>
                <w:szCs w:val="18"/>
              </w:rPr>
              <w:t>%</w:t>
            </w:r>
          </w:p>
        </w:tc>
        <w:tc>
          <w:tcPr>
            <w:tcW w:w="1429" w:type="dxa"/>
            <w:shd w:val="clear" w:color="auto" w:fill="auto"/>
            <w:vAlign w:val="center"/>
          </w:tcPr>
          <w:p w14:paraId="3D521C97" w14:textId="77777777" w:rsidR="00D25D03" w:rsidRPr="009A7820" w:rsidDel="00FE738D" w:rsidRDefault="00D25D03" w:rsidP="00E621B4">
            <w:pPr>
              <w:ind w:left="0"/>
              <w:jc w:val="center"/>
              <w:rPr>
                <w:i/>
                <w:sz w:val="18"/>
                <w:szCs w:val="18"/>
              </w:rPr>
            </w:pPr>
            <w:r w:rsidRPr="009A7820">
              <w:rPr>
                <w:i/>
                <w:sz w:val="18"/>
                <w:szCs w:val="18"/>
              </w:rPr>
              <w:t>30</w:t>
            </w:r>
          </w:p>
        </w:tc>
        <w:tc>
          <w:tcPr>
            <w:tcW w:w="1357" w:type="dxa"/>
            <w:shd w:val="clear" w:color="auto" w:fill="auto"/>
            <w:vAlign w:val="center"/>
          </w:tcPr>
          <w:p w14:paraId="121F99CF" w14:textId="77777777" w:rsidR="00D25D03" w:rsidRPr="009A7820" w:rsidDel="00FE738D" w:rsidRDefault="00D25D03" w:rsidP="00E621B4">
            <w:pPr>
              <w:ind w:left="0"/>
              <w:jc w:val="center"/>
              <w:rPr>
                <w:i/>
                <w:sz w:val="18"/>
                <w:szCs w:val="18"/>
              </w:rPr>
            </w:pPr>
            <w:r w:rsidRPr="009A7820">
              <w:rPr>
                <w:i/>
                <w:sz w:val="18"/>
                <w:szCs w:val="18"/>
                <w:lang w:val="en-US"/>
              </w:rPr>
              <w:t>100</w:t>
            </w:r>
          </w:p>
        </w:tc>
      </w:tr>
      <w:tr w:rsidR="004C631B" w14:paraId="65E3EE8F" w14:textId="77777777" w:rsidTr="009B48A1">
        <w:trPr>
          <w:trHeight w:val="284"/>
        </w:trPr>
        <w:tc>
          <w:tcPr>
            <w:tcW w:w="1384" w:type="dxa"/>
            <w:shd w:val="clear" w:color="auto" w:fill="auto"/>
            <w:vAlign w:val="center"/>
          </w:tcPr>
          <w:p w14:paraId="20A60708" w14:textId="083D0FF0" w:rsidR="004C631B" w:rsidRPr="009A7820" w:rsidRDefault="004C631B" w:rsidP="004C631B">
            <w:pPr>
              <w:ind w:left="0"/>
              <w:rPr>
                <w:i/>
                <w:sz w:val="18"/>
                <w:szCs w:val="18"/>
              </w:rPr>
            </w:pPr>
            <w:r>
              <w:rPr>
                <w:i/>
                <w:sz w:val="18"/>
                <w:szCs w:val="18"/>
              </w:rPr>
              <w:t>Prioritná os 9</w:t>
            </w:r>
          </w:p>
        </w:tc>
        <w:tc>
          <w:tcPr>
            <w:tcW w:w="773" w:type="dxa"/>
            <w:shd w:val="clear" w:color="auto" w:fill="auto"/>
            <w:vAlign w:val="center"/>
          </w:tcPr>
          <w:p w14:paraId="1C68701D" w14:textId="29993125" w:rsidR="004C631B" w:rsidRPr="009A7820" w:rsidRDefault="004C631B" w:rsidP="004C631B">
            <w:pPr>
              <w:ind w:left="0"/>
              <w:rPr>
                <w:i/>
                <w:sz w:val="18"/>
                <w:szCs w:val="18"/>
              </w:rPr>
            </w:pPr>
            <w:r>
              <w:rPr>
                <w:i/>
                <w:sz w:val="18"/>
                <w:szCs w:val="18"/>
              </w:rPr>
              <w:t>EFRR</w:t>
            </w:r>
          </w:p>
        </w:tc>
        <w:tc>
          <w:tcPr>
            <w:tcW w:w="1096" w:type="dxa"/>
            <w:shd w:val="clear" w:color="auto" w:fill="auto"/>
            <w:vAlign w:val="center"/>
          </w:tcPr>
          <w:p w14:paraId="6DA1C779" w14:textId="08D2D03D" w:rsidR="004C631B" w:rsidRPr="009A7820" w:rsidRDefault="004C631B" w:rsidP="004C631B">
            <w:pPr>
              <w:ind w:left="0"/>
              <w:jc w:val="center"/>
              <w:rPr>
                <w:i/>
                <w:sz w:val="18"/>
                <w:szCs w:val="18"/>
              </w:rPr>
            </w:pPr>
            <w:r w:rsidRPr="009A7820">
              <w:rPr>
                <w:i/>
                <w:sz w:val="18"/>
                <w:szCs w:val="18"/>
              </w:rPr>
              <w:t>Menej rozvinutý</w:t>
            </w:r>
          </w:p>
        </w:tc>
        <w:tc>
          <w:tcPr>
            <w:tcW w:w="2015" w:type="dxa"/>
            <w:shd w:val="clear" w:color="auto" w:fill="auto"/>
          </w:tcPr>
          <w:p w14:paraId="5649F4B2"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Finančný ukazovateľ:</w:t>
            </w:r>
          </w:p>
          <w:p w14:paraId="726E5CF9" w14:textId="6E3D3AAF" w:rsidR="004C631B" w:rsidRPr="009A7820" w:rsidRDefault="004C631B" w:rsidP="004C631B">
            <w:pPr>
              <w:ind w:left="0"/>
              <w:rPr>
                <w:i/>
                <w:sz w:val="18"/>
                <w:szCs w:val="18"/>
              </w:rPr>
            </w:pPr>
            <w:r w:rsidRPr="00E42853">
              <w:rPr>
                <w:i/>
                <w:sz w:val="18"/>
                <w:szCs w:val="18"/>
              </w:rPr>
              <w:t>Úroveň čerpania finančných prostriedkov</w:t>
            </w:r>
          </w:p>
        </w:tc>
        <w:tc>
          <w:tcPr>
            <w:tcW w:w="1245" w:type="dxa"/>
            <w:shd w:val="clear" w:color="auto" w:fill="auto"/>
            <w:vAlign w:val="center"/>
          </w:tcPr>
          <w:p w14:paraId="0EF1AB94" w14:textId="7D4CE4EB" w:rsidR="004C631B" w:rsidRPr="009A7820" w:rsidRDefault="004C631B" w:rsidP="004C631B">
            <w:pPr>
              <w:ind w:left="0"/>
              <w:jc w:val="center"/>
              <w:rPr>
                <w:i/>
                <w:sz w:val="18"/>
                <w:szCs w:val="18"/>
              </w:rPr>
            </w:pPr>
            <w:r w:rsidRPr="009E5B17">
              <w:rPr>
                <w:i/>
                <w:sz w:val="18"/>
                <w:szCs w:val="18"/>
                <w:lang w:val="en-US"/>
              </w:rPr>
              <w:t>EUR</w:t>
            </w:r>
          </w:p>
        </w:tc>
        <w:tc>
          <w:tcPr>
            <w:tcW w:w="1429" w:type="dxa"/>
            <w:shd w:val="clear" w:color="auto" w:fill="auto"/>
            <w:vAlign w:val="center"/>
          </w:tcPr>
          <w:p w14:paraId="68500EA0" w14:textId="09F714B8" w:rsidR="004C631B" w:rsidRPr="009A7820" w:rsidRDefault="004C631B" w:rsidP="004C631B">
            <w:pPr>
              <w:ind w:left="0"/>
              <w:jc w:val="center"/>
              <w:rPr>
                <w:i/>
                <w:sz w:val="18"/>
                <w:szCs w:val="18"/>
              </w:rPr>
            </w:pPr>
            <w:r w:rsidRPr="0091669F">
              <w:rPr>
                <w:i/>
                <w:sz w:val="18"/>
                <w:szCs w:val="18"/>
              </w:rPr>
              <w:t>691 586 749</w:t>
            </w:r>
          </w:p>
        </w:tc>
        <w:tc>
          <w:tcPr>
            <w:tcW w:w="1357" w:type="dxa"/>
            <w:shd w:val="clear" w:color="auto" w:fill="auto"/>
            <w:vAlign w:val="center"/>
          </w:tcPr>
          <w:p w14:paraId="624E035D" w14:textId="273C9A83" w:rsidR="004C631B" w:rsidRPr="009A7820" w:rsidRDefault="006C7788" w:rsidP="006C7788">
            <w:pPr>
              <w:ind w:left="0"/>
              <w:jc w:val="center"/>
              <w:rPr>
                <w:i/>
                <w:sz w:val="18"/>
                <w:szCs w:val="18"/>
                <w:lang w:val="en-US"/>
              </w:rPr>
            </w:pPr>
            <w:r>
              <w:rPr>
                <w:i/>
                <w:sz w:val="18"/>
                <w:szCs w:val="18"/>
                <w:lang w:val="en-US"/>
              </w:rPr>
              <w:t>2 156 200 368</w:t>
            </w:r>
          </w:p>
        </w:tc>
      </w:tr>
      <w:tr w:rsidR="004C631B" w14:paraId="53478FD9" w14:textId="77777777" w:rsidTr="009B48A1">
        <w:trPr>
          <w:trHeight w:val="284"/>
        </w:trPr>
        <w:tc>
          <w:tcPr>
            <w:tcW w:w="1384" w:type="dxa"/>
            <w:shd w:val="clear" w:color="auto" w:fill="auto"/>
            <w:vAlign w:val="center"/>
          </w:tcPr>
          <w:p w14:paraId="3B5280B2" w14:textId="1B9680D3" w:rsidR="004C631B" w:rsidRPr="009A7820" w:rsidRDefault="004C631B" w:rsidP="004C631B">
            <w:pPr>
              <w:ind w:left="0"/>
              <w:rPr>
                <w:i/>
                <w:sz w:val="18"/>
                <w:szCs w:val="18"/>
              </w:rPr>
            </w:pPr>
            <w:r>
              <w:rPr>
                <w:i/>
                <w:sz w:val="18"/>
                <w:szCs w:val="18"/>
              </w:rPr>
              <w:t>Prioritná os 9</w:t>
            </w:r>
          </w:p>
        </w:tc>
        <w:tc>
          <w:tcPr>
            <w:tcW w:w="773" w:type="dxa"/>
            <w:shd w:val="clear" w:color="auto" w:fill="auto"/>
            <w:vAlign w:val="center"/>
          </w:tcPr>
          <w:p w14:paraId="672010B1" w14:textId="77D8F019" w:rsidR="004C631B" w:rsidRPr="009A7820" w:rsidRDefault="004C631B" w:rsidP="004C631B">
            <w:pPr>
              <w:ind w:left="0"/>
              <w:rPr>
                <w:i/>
                <w:sz w:val="18"/>
                <w:szCs w:val="18"/>
              </w:rPr>
            </w:pPr>
            <w:r>
              <w:rPr>
                <w:i/>
                <w:sz w:val="18"/>
                <w:szCs w:val="18"/>
              </w:rPr>
              <w:t>EFRR</w:t>
            </w:r>
          </w:p>
        </w:tc>
        <w:tc>
          <w:tcPr>
            <w:tcW w:w="1096" w:type="dxa"/>
            <w:shd w:val="clear" w:color="auto" w:fill="auto"/>
            <w:vAlign w:val="center"/>
          </w:tcPr>
          <w:p w14:paraId="542D42F2" w14:textId="1A8B5FEC" w:rsidR="004C631B" w:rsidRPr="009A7820" w:rsidRDefault="004C631B" w:rsidP="004C631B">
            <w:pPr>
              <w:ind w:left="0"/>
              <w:jc w:val="center"/>
              <w:rPr>
                <w:i/>
                <w:sz w:val="18"/>
                <w:szCs w:val="18"/>
              </w:rPr>
            </w:pPr>
            <w:r w:rsidRPr="009A7820">
              <w:rPr>
                <w:i/>
                <w:sz w:val="18"/>
                <w:szCs w:val="18"/>
              </w:rPr>
              <w:t>Menej rozvinutý</w:t>
            </w:r>
          </w:p>
        </w:tc>
        <w:tc>
          <w:tcPr>
            <w:tcW w:w="2015" w:type="dxa"/>
            <w:shd w:val="clear" w:color="auto" w:fill="auto"/>
          </w:tcPr>
          <w:p w14:paraId="52E481B1"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676E2649" w14:textId="235043A9" w:rsidR="004C631B" w:rsidRPr="009A7820" w:rsidRDefault="004C631B" w:rsidP="004C631B">
            <w:pPr>
              <w:ind w:left="0"/>
              <w:rPr>
                <w:i/>
                <w:sz w:val="18"/>
                <w:szCs w:val="18"/>
              </w:rPr>
            </w:pPr>
            <w:r w:rsidRPr="00E42853">
              <w:rPr>
                <w:i/>
                <w:sz w:val="18"/>
                <w:szCs w:val="18"/>
              </w:rPr>
              <w:t>Počet zazmluvnených výskumných inštitúcií</w:t>
            </w:r>
          </w:p>
        </w:tc>
        <w:tc>
          <w:tcPr>
            <w:tcW w:w="1245" w:type="dxa"/>
            <w:shd w:val="clear" w:color="auto" w:fill="auto"/>
            <w:vAlign w:val="center"/>
          </w:tcPr>
          <w:p w14:paraId="07BFBFB3" w14:textId="3BD85A33" w:rsidR="004C631B" w:rsidRPr="009A7820" w:rsidRDefault="004C631B" w:rsidP="004C631B">
            <w:pPr>
              <w:ind w:left="0"/>
              <w:jc w:val="center"/>
              <w:rPr>
                <w:i/>
                <w:sz w:val="18"/>
                <w:szCs w:val="18"/>
              </w:rPr>
            </w:pPr>
            <w:r>
              <w:rPr>
                <w:i/>
                <w:sz w:val="18"/>
                <w:szCs w:val="18"/>
              </w:rPr>
              <w:t>počet</w:t>
            </w:r>
          </w:p>
        </w:tc>
        <w:tc>
          <w:tcPr>
            <w:tcW w:w="1429" w:type="dxa"/>
            <w:shd w:val="clear" w:color="auto" w:fill="auto"/>
            <w:vAlign w:val="center"/>
          </w:tcPr>
          <w:p w14:paraId="6229EF32" w14:textId="76092F17" w:rsidR="004C631B" w:rsidRPr="009A7820" w:rsidRDefault="004C631B" w:rsidP="004C631B">
            <w:pPr>
              <w:ind w:left="0"/>
              <w:jc w:val="center"/>
              <w:rPr>
                <w:i/>
                <w:sz w:val="18"/>
                <w:szCs w:val="18"/>
              </w:rPr>
            </w:pPr>
            <w:r>
              <w:rPr>
                <w:i/>
                <w:sz w:val="18"/>
                <w:szCs w:val="18"/>
              </w:rPr>
              <w:t>120</w:t>
            </w:r>
          </w:p>
        </w:tc>
        <w:tc>
          <w:tcPr>
            <w:tcW w:w="1357" w:type="dxa"/>
            <w:shd w:val="clear" w:color="auto" w:fill="auto"/>
            <w:vAlign w:val="center"/>
          </w:tcPr>
          <w:p w14:paraId="7DCA41B4" w14:textId="59607A05" w:rsidR="004C631B" w:rsidRPr="009A7820" w:rsidRDefault="004C631B" w:rsidP="004C631B">
            <w:pPr>
              <w:ind w:left="0"/>
              <w:jc w:val="center"/>
              <w:rPr>
                <w:i/>
                <w:sz w:val="18"/>
                <w:szCs w:val="18"/>
                <w:lang w:val="en-US"/>
              </w:rPr>
            </w:pPr>
            <w:r>
              <w:rPr>
                <w:i/>
                <w:sz w:val="18"/>
                <w:szCs w:val="18"/>
                <w:lang w:val="en-US"/>
              </w:rPr>
              <w:t>170</w:t>
            </w:r>
          </w:p>
        </w:tc>
      </w:tr>
      <w:tr w:rsidR="004C631B" w14:paraId="29DA4AAF" w14:textId="77777777" w:rsidTr="009B48A1">
        <w:trPr>
          <w:trHeight w:val="284"/>
        </w:trPr>
        <w:tc>
          <w:tcPr>
            <w:tcW w:w="1384" w:type="dxa"/>
            <w:shd w:val="clear" w:color="auto" w:fill="auto"/>
            <w:vAlign w:val="center"/>
          </w:tcPr>
          <w:p w14:paraId="25530393" w14:textId="6535E49C" w:rsidR="004C631B" w:rsidRPr="009A7820" w:rsidRDefault="004C631B" w:rsidP="004C631B">
            <w:pPr>
              <w:ind w:left="0"/>
              <w:rPr>
                <w:i/>
                <w:sz w:val="18"/>
                <w:szCs w:val="18"/>
              </w:rPr>
            </w:pPr>
            <w:r>
              <w:rPr>
                <w:i/>
                <w:sz w:val="18"/>
                <w:szCs w:val="18"/>
              </w:rPr>
              <w:t>Prioritná os 9</w:t>
            </w:r>
          </w:p>
        </w:tc>
        <w:tc>
          <w:tcPr>
            <w:tcW w:w="773" w:type="dxa"/>
            <w:shd w:val="clear" w:color="auto" w:fill="auto"/>
            <w:vAlign w:val="center"/>
          </w:tcPr>
          <w:p w14:paraId="7CBCD7A5" w14:textId="5F9029DC" w:rsidR="004C631B" w:rsidRPr="009A7820" w:rsidRDefault="004C631B" w:rsidP="004C631B">
            <w:pPr>
              <w:ind w:left="0"/>
              <w:rPr>
                <w:i/>
                <w:sz w:val="18"/>
                <w:szCs w:val="18"/>
              </w:rPr>
            </w:pPr>
            <w:r>
              <w:rPr>
                <w:i/>
                <w:sz w:val="18"/>
                <w:szCs w:val="18"/>
              </w:rPr>
              <w:t>EFRR</w:t>
            </w:r>
          </w:p>
        </w:tc>
        <w:tc>
          <w:tcPr>
            <w:tcW w:w="1096" w:type="dxa"/>
            <w:shd w:val="clear" w:color="auto" w:fill="auto"/>
            <w:vAlign w:val="center"/>
          </w:tcPr>
          <w:p w14:paraId="73A9CC73" w14:textId="6FEB9734" w:rsidR="004C631B" w:rsidRPr="009A7820" w:rsidRDefault="004C631B" w:rsidP="004C631B">
            <w:pPr>
              <w:ind w:left="0"/>
              <w:jc w:val="center"/>
              <w:rPr>
                <w:i/>
                <w:sz w:val="18"/>
                <w:szCs w:val="18"/>
              </w:rPr>
            </w:pPr>
            <w:r w:rsidRPr="009A7820">
              <w:rPr>
                <w:i/>
                <w:sz w:val="18"/>
                <w:szCs w:val="18"/>
              </w:rPr>
              <w:t>Menej rozvinutý</w:t>
            </w:r>
          </w:p>
        </w:tc>
        <w:tc>
          <w:tcPr>
            <w:tcW w:w="2015" w:type="dxa"/>
            <w:shd w:val="clear" w:color="auto" w:fill="auto"/>
          </w:tcPr>
          <w:p w14:paraId="18C21EA1"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54154D30" w14:textId="6A1DCEF1" w:rsidR="004C631B" w:rsidRPr="009A7820" w:rsidRDefault="004C631B" w:rsidP="004C631B">
            <w:pPr>
              <w:ind w:left="0"/>
              <w:rPr>
                <w:i/>
                <w:sz w:val="18"/>
                <w:szCs w:val="18"/>
              </w:rPr>
            </w:pPr>
            <w:r w:rsidRPr="00E42853">
              <w:rPr>
                <w:i/>
                <w:sz w:val="18"/>
                <w:szCs w:val="18"/>
              </w:rPr>
              <w:t>Počet podporených výskumných inštitúcií</w:t>
            </w:r>
          </w:p>
        </w:tc>
        <w:tc>
          <w:tcPr>
            <w:tcW w:w="1245" w:type="dxa"/>
            <w:shd w:val="clear" w:color="auto" w:fill="auto"/>
            <w:vAlign w:val="center"/>
          </w:tcPr>
          <w:p w14:paraId="503F1C8D" w14:textId="55C8A2D2" w:rsidR="004C631B" w:rsidRPr="009A7820" w:rsidRDefault="004C631B" w:rsidP="004C631B">
            <w:pPr>
              <w:ind w:left="0"/>
              <w:jc w:val="center"/>
              <w:rPr>
                <w:i/>
                <w:sz w:val="18"/>
                <w:szCs w:val="18"/>
              </w:rPr>
            </w:pPr>
            <w:r>
              <w:rPr>
                <w:i/>
                <w:sz w:val="18"/>
                <w:szCs w:val="18"/>
              </w:rPr>
              <w:t>počet</w:t>
            </w:r>
          </w:p>
        </w:tc>
        <w:tc>
          <w:tcPr>
            <w:tcW w:w="1429" w:type="dxa"/>
            <w:shd w:val="clear" w:color="auto" w:fill="auto"/>
            <w:vAlign w:val="center"/>
          </w:tcPr>
          <w:p w14:paraId="20373F91" w14:textId="0D1B362C" w:rsidR="004C631B" w:rsidRPr="009A7820" w:rsidRDefault="004C631B" w:rsidP="004C631B">
            <w:pPr>
              <w:ind w:left="0"/>
              <w:jc w:val="center"/>
              <w:rPr>
                <w:i/>
                <w:sz w:val="18"/>
                <w:szCs w:val="18"/>
              </w:rPr>
            </w:pPr>
            <w:r>
              <w:rPr>
                <w:i/>
                <w:sz w:val="18"/>
                <w:szCs w:val="18"/>
              </w:rPr>
              <w:t>0</w:t>
            </w:r>
          </w:p>
        </w:tc>
        <w:tc>
          <w:tcPr>
            <w:tcW w:w="1357" w:type="dxa"/>
            <w:shd w:val="clear" w:color="auto" w:fill="auto"/>
            <w:vAlign w:val="center"/>
          </w:tcPr>
          <w:p w14:paraId="028E5833" w14:textId="67F9EE54" w:rsidR="004C631B" w:rsidRPr="009A7820" w:rsidRDefault="004C631B" w:rsidP="004C631B">
            <w:pPr>
              <w:ind w:left="0"/>
              <w:jc w:val="center"/>
              <w:rPr>
                <w:i/>
                <w:sz w:val="18"/>
                <w:szCs w:val="18"/>
                <w:lang w:val="en-US"/>
              </w:rPr>
            </w:pPr>
            <w:r>
              <w:rPr>
                <w:i/>
                <w:sz w:val="18"/>
                <w:szCs w:val="18"/>
                <w:lang w:val="en-US"/>
              </w:rPr>
              <w:t>170</w:t>
            </w:r>
          </w:p>
        </w:tc>
      </w:tr>
      <w:tr w:rsidR="004C631B" w14:paraId="45B7759B" w14:textId="77777777" w:rsidTr="009B48A1">
        <w:trPr>
          <w:trHeight w:val="284"/>
        </w:trPr>
        <w:tc>
          <w:tcPr>
            <w:tcW w:w="1384" w:type="dxa"/>
            <w:shd w:val="clear" w:color="auto" w:fill="auto"/>
            <w:vAlign w:val="center"/>
          </w:tcPr>
          <w:p w14:paraId="59CA9B61" w14:textId="2EBAC02E" w:rsidR="004C631B" w:rsidRPr="009A7820" w:rsidRDefault="004C631B" w:rsidP="00351D17">
            <w:pPr>
              <w:ind w:left="0"/>
              <w:rPr>
                <w:i/>
                <w:sz w:val="18"/>
                <w:szCs w:val="18"/>
              </w:rPr>
            </w:pPr>
            <w:r>
              <w:rPr>
                <w:i/>
                <w:sz w:val="18"/>
                <w:szCs w:val="18"/>
              </w:rPr>
              <w:t>Prioritná os 10</w:t>
            </w:r>
          </w:p>
        </w:tc>
        <w:tc>
          <w:tcPr>
            <w:tcW w:w="773" w:type="dxa"/>
            <w:shd w:val="clear" w:color="auto" w:fill="auto"/>
            <w:vAlign w:val="center"/>
          </w:tcPr>
          <w:p w14:paraId="4CB7B5F0" w14:textId="4D6B67C5"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3ECB8451" w14:textId="685A7431"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48C3BC31"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Finančný ukazovateľ:</w:t>
            </w:r>
          </w:p>
          <w:p w14:paraId="209FDFE2" w14:textId="18178E34" w:rsidR="004C631B" w:rsidRPr="009A7820" w:rsidRDefault="004C631B" w:rsidP="00351D17">
            <w:pPr>
              <w:ind w:left="0"/>
              <w:rPr>
                <w:i/>
                <w:sz w:val="18"/>
                <w:szCs w:val="18"/>
              </w:rPr>
            </w:pPr>
            <w:r w:rsidRPr="00E42853">
              <w:rPr>
                <w:i/>
                <w:sz w:val="18"/>
                <w:szCs w:val="18"/>
              </w:rPr>
              <w:t>Úroveň čerpania finančných prostriedkov</w:t>
            </w:r>
          </w:p>
        </w:tc>
        <w:tc>
          <w:tcPr>
            <w:tcW w:w="1245" w:type="dxa"/>
            <w:shd w:val="clear" w:color="auto" w:fill="auto"/>
            <w:vAlign w:val="center"/>
          </w:tcPr>
          <w:p w14:paraId="305CAD61" w14:textId="343E43D2" w:rsidR="004C631B" w:rsidRPr="009A7820" w:rsidRDefault="004C631B" w:rsidP="00351D17">
            <w:pPr>
              <w:ind w:left="0"/>
              <w:jc w:val="center"/>
              <w:rPr>
                <w:i/>
                <w:sz w:val="18"/>
                <w:szCs w:val="18"/>
              </w:rPr>
            </w:pPr>
            <w:r w:rsidRPr="009E5B17">
              <w:rPr>
                <w:i/>
                <w:sz w:val="18"/>
                <w:szCs w:val="18"/>
                <w:lang w:val="en-US"/>
              </w:rPr>
              <w:t>EUR</w:t>
            </w:r>
          </w:p>
        </w:tc>
        <w:tc>
          <w:tcPr>
            <w:tcW w:w="1429" w:type="dxa"/>
            <w:shd w:val="clear" w:color="auto" w:fill="auto"/>
            <w:vAlign w:val="center"/>
          </w:tcPr>
          <w:p w14:paraId="6E7438A1" w14:textId="53BC9EB6" w:rsidR="004C631B" w:rsidRPr="009A7820" w:rsidRDefault="004C631B" w:rsidP="00351D17">
            <w:pPr>
              <w:ind w:left="0"/>
              <w:jc w:val="center"/>
              <w:rPr>
                <w:i/>
                <w:sz w:val="18"/>
                <w:szCs w:val="18"/>
              </w:rPr>
            </w:pPr>
            <w:r w:rsidRPr="0091669F">
              <w:rPr>
                <w:i/>
                <w:sz w:val="18"/>
                <w:szCs w:val="18"/>
              </w:rPr>
              <w:t>80 906 674</w:t>
            </w:r>
          </w:p>
        </w:tc>
        <w:tc>
          <w:tcPr>
            <w:tcW w:w="1357" w:type="dxa"/>
            <w:shd w:val="clear" w:color="auto" w:fill="auto"/>
            <w:vAlign w:val="center"/>
          </w:tcPr>
          <w:p w14:paraId="7BAD62E2" w14:textId="39F9D017" w:rsidR="004C631B" w:rsidRPr="009A7820" w:rsidRDefault="006C7788" w:rsidP="006C7788">
            <w:pPr>
              <w:ind w:left="0"/>
              <w:jc w:val="center"/>
              <w:rPr>
                <w:i/>
                <w:sz w:val="18"/>
                <w:szCs w:val="18"/>
                <w:lang w:val="en-US"/>
              </w:rPr>
            </w:pPr>
            <w:r>
              <w:rPr>
                <w:i/>
                <w:sz w:val="18"/>
                <w:szCs w:val="18"/>
                <w:lang w:val="en-US"/>
              </w:rPr>
              <w:t>254 312 151</w:t>
            </w:r>
          </w:p>
        </w:tc>
      </w:tr>
      <w:tr w:rsidR="004C631B" w14:paraId="1BFE9D91" w14:textId="77777777" w:rsidTr="009B48A1">
        <w:trPr>
          <w:trHeight w:val="284"/>
        </w:trPr>
        <w:tc>
          <w:tcPr>
            <w:tcW w:w="1384" w:type="dxa"/>
            <w:shd w:val="clear" w:color="auto" w:fill="auto"/>
            <w:vAlign w:val="center"/>
          </w:tcPr>
          <w:p w14:paraId="3BEF3948" w14:textId="523635FB" w:rsidR="004C631B" w:rsidRPr="009A7820" w:rsidRDefault="004C631B" w:rsidP="00351D17">
            <w:pPr>
              <w:ind w:left="0"/>
              <w:rPr>
                <w:i/>
                <w:sz w:val="18"/>
                <w:szCs w:val="18"/>
              </w:rPr>
            </w:pPr>
            <w:r>
              <w:rPr>
                <w:i/>
                <w:sz w:val="18"/>
                <w:szCs w:val="18"/>
              </w:rPr>
              <w:t>Prioritná os 10</w:t>
            </w:r>
          </w:p>
        </w:tc>
        <w:tc>
          <w:tcPr>
            <w:tcW w:w="773" w:type="dxa"/>
            <w:shd w:val="clear" w:color="auto" w:fill="auto"/>
            <w:vAlign w:val="center"/>
          </w:tcPr>
          <w:p w14:paraId="63755360" w14:textId="04C1C510"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270C6A03" w14:textId="71287542"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3FD80C9D"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224BAA4B" w14:textId="5E68CA23" w:rsidR="004C631B" w:rsidRPr="009A7820" w:rsidRDefault="004C631B" w:rsidP="00351D17">
            <w:pPr>
              <w:ind w:left="0"/>
              <w:rPr>
                <w:i/>
                <w:sz w:val="18"/>
                <w:szCs w:val="18"/>
              </w:rPr>
            </w:pPr>
            <w:r w:rsidRPr="00E42853">
              <w:rPr>
                <w:i/>
                <w:sz w:val="18"/>
                <w:szCs w:val="18"/>
              </w:rPr>
              <w:t>Počet zazmluvnených výskumných inštitúcií</w:t>
            </w:r>
          </w:p>
        </w:tc>
        <w:tc>
          <w:tcPr>
            <w:tcW w:w="1245" w:type="dxa"/>
            <w:shd w:val="clear" w:color="auto" w:fill="auto"/>
            <w:vAlign w:val="center"/>
          </w:tcPr>
          <w:p w14:paraId="4BD0B15F" w14:textId="7520708F"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20317736" w14:textId="788B06FF" w:rsidR="004C631B" w:rsidRPr="009A7820" w:rsidRDefault="004C631B" w:rsidP="00351D17">
            <w:pPr>
              <w:ind w:left="0"/>
              <w:jc w:val="center"/>
              <w:rPr>
                <w:i/>
                <w:sz w:val="18"/>
                <w:szCs w:val="18"/>
              </w:rPr>
            </w:pPr>
            <w:r>
              <w:rPr>
                <w:i/>
                <w:sz w:val="18"/>
                <w:szCs w:val="18"/>
              </w:rPr>
              <w:t>20</w:t>
            </w:r>
          </w:p>
        </w:tc>
        <w:tc>
          <w:tcPr>
            <w:tcW w:w="1357" w:type="dxa"/>
            <w:shd w:val="clear" w:color="auto" w:fill="auto"/>
            <w:vAlign w:val="center"/>
          </w:tcPr>
          <w:p w14:paraId="24B70319" w14:textId="089857F4" w:rsidR="004C631B" w:rsidRPr="009A7820" w:rsidRDefault="004C631B" w:rsidP="00351D17">
            <w:pPr>
              <w:ind w:left="0"/>
              <w:jc w:val="center"/>
              <w:rPr>
                <w:i/>
                <w:sz w:val="18"/>
                <w:szCs w:val="18"/>
                <w:lang w:val="en-US"/>
              </w:rPr>
            </w:pPr>
            <w:r>
              <w:rPr>
                <w:i/>
                <w:sz w:val="18"/>
                <w:szCs w:val="18"/>
                <w:lang w:val="en-US"/>
              </w:rPr>
              <w:t>30</w:t>
            </w:r>
          </w:p>
        </w:tc>
      </w:tr>
      <w:tr w:rsidR="004C631B" w14:paraId="0285DBE7" w14:textId="77777777" w:rsidTr="009B48A1">
        <w:trPr>
          <w:trHeight w:val="284"/>
        </w:trPr>
        <w:tc>
          <w:tcPr>
            <w:tcW w:w="1384" w:type="dxa"/>
            <w:shd w:val="clear" w:color="auto" w:fill="auto"/>
            <w:vAlign w:val="center"/>
          </w:tcPr>
          <w:p w14:paraId="7A18711D" w14:textId="5772F418" w:rsidR="004C631B" w:rsidRPr="009A7820" w:rsidRDefault="004C631B" w:rsidP="00351D17">
            <w:pPr>
              <w:ind w:left="0"/>
              <w:rPr>
                <w:i/>
                <w:sz w:val="18"/>
                <w:szCs w:val="18"/>
              </w:rPr>
            </w:pPr>
            <w:r>
              <w:rPr>
                <w:i/>
                <w:sz w:val="18"/>
                <w:szCs w:val="18"/>
              </w:rPr>
              <w:t>Prioritná os 10</w:t>
            </w:r>
          </w:p>
        </w:tc>
        <w:tc>
          <w:tcPr>
            <w:tcW w:w="773" w:type="dxa"/>
            <w:shd w:val="clear" w:color="auto" w:fill="auto"/>
            <w:vAlign w:val="center"/>
          </w:tcPr>
          <w:p w14:paraId="16B87074" w14:textId="700B2F5B"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3CBEE2FD" w14:textId="38274FAD"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53516F65"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0216DD61" w14:textId="762B6003" w:rsidR="004C631B" w:rsidRPr="009A7820" w:rsidRDefault="004C631B" w:rsidP="00351D17">
            <w:pPr>
              <w:ind w:left="0"/>
              <w:rPr>
                <w:i/>
                <w:sz w:val="18"/>
                <w:szCs w:val="18"/>
              </w:rPr>
            </w:pPr>
            <w:r w:rsidRPr="00E42853">
              <w:rPr>
                <w:i/>
                <w:sz w:val="18"/>
                <w:szCs w:val="18"/>
              </w:rPr>
              <w:t>Počet podporených výskumných inštitúcií</w:t>
            </w:r>
          </w:p>
        </w:tc>
        <w:tc>
          <w:tcPr>
            <w:tcW w:w="1245" w:type="dxa"/>
            <w:shd w:val="clear" w:color="auto" w:fill="auto"/>
            <w:vAlign w:val="center"/>
          </w:tcPr>
          <w:p w14:paraId="42378112" w14:textId="32ECC009"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665F572C" w14:textId="3F8FF774" w:rsidR="004C631B" w:rsidRPr="009A7820" w:rsidRDefault="004C631B" w:rsidP="00351D17">
            <w:pPr>
              <w:ind w:left="0"/>
              <w:jc w:val="center"/>
              <w:rPr>
                <w:i/>
                <w:sz w:val="18"/>
                <w:szCs w:val="18"/>
              </w:rPr>
            </w:pPr>
            <w:r>
              <w:rPr>
                <w:i/>
                <w:sz w:val="18"/>
                <w:szCs w:val="18"/>
              </w:rPr>
              <w:t>0</w:t>
            </w:r>
          </w:p>
        </w:tc>
        <w:tc>
          <w:tcPr>
            <w:tcW w:w="1357" w:type="dxa"/>
            <w:shd w:val="clear" w:color="auto" w:fill="auto"/>
            <w:vAlign w:val="center"/>
          </w:tcPr>
          <w:p w14:paraId="72A01656" w14:textId="11150359" w:rsidR="004C631B" w:rsidRPr="009A7820" w:rsidRDefault="004C631B" w:rsidP="00351D17">
            <w:pPr>
              <w:ind w:left="0"/>
              <w:jc w:val="center"/>
              <w:rPr>
                <w:i/>
                <w:sz w:val="18"/>
                <w:szCs w:val="18"/>
                <w:lang w:val="en-US"/>
              </w:rPr>
            </w:pPr>
            <w:r>
              <w:rPr>
                <w:i/>
                <w:sz w:val="18"/>
                <w:szCs w:val="18"/>
                <w:lang w:val="en-US"/>
              </w:rPr>
              <w:t>30</w:t>
            </w:r>
          </w:p>
        </w:tc>
      </w:tr>
      <w:tr w:rsidR="004C631B" w14:paraId="0FC2A320" w14:textId="77777777" w:rsidTr="009B48A1">
        <w:trPr>
          <w:trHeight w:val="284"/>
        </w:trPr>
        <w:tc>
          <w:tcPr>
            <w:tcW w:w="1384" w:type="dxa"/>
            <w:shd w:val="clear" w:color="auto" w:fill="auto"/>
            <w:vAlign w:val="center"/>
          </w:tcPr>
          <w:p w14:paraId="35B1017A" w14:textId="7B0CAD2C"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62927F28" w14:textId="305C64D3"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29251991" w14:textId="3C14A81E"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3DDAB5AF"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Finančný ukazovateľ:</w:t>
            </w:r>
          </w:p>
          <w:p w14:paraId="0F52A912" w14:textId="0A78BD90" w:rsidR="004C631B" w:rsidRPr="009A7820" w:rsidRDefault="004C631B" w:rsidP="00351D17">
            <w:pPr>
              <w:ind w:left="0"/>
              <w:rPr>
                <w:i/>
                <w:sz w:val="18"/>
                <w:szCs w:val="18"/>
              </w:rPr>
            </w:pPr>
            <w:r w:rsidRPr="00E42853">
              <w:rPr>
                <w:i/>
                <w:sz w:val="18"/>
                <w:szCs w:val="18"/>
              </w:rPr>
              <w:t>Úroveň čerpania finančných prostriedkov</w:t>
            </w:r>
          </w:p>
        </w:tc>
        <w:tc>
          <w:tcPr>
            <w:tcW w:w="1245" w:type="dxa"/>
            <w:shd w:val="clear" w:color="auto" w:fill="auto"/>
            <w:vAlign w:val="center"/>
          </w:tcPr>
          <w:p w14:paraId="712CBF66" w14:textId="5D6D5B57" w:rsidR="004C631B" w:rsidRPr="009A7820" w:rsidRDefault="004C631B" w:rsidP="00351D17">
            <w:pPr>
              <w:ind w:left="0"/>
              <w:jc w:val="center"/>
              <w:rPr>
                <w:i/>
                <w:sz w:val="18"/>
                <w:szCs w:val="18"/>
              </w:rPr>
            </w:pPr>
            <w:r w:rsidRPr="009E5B17">
              <w:rPr>
                <w:i/>
                <w:sz w:val="18"/>
                <w:szCs w:val="18"/>
                <w:lang w:val="en-US"/>
              </w:rPr>
              <w:t>EUR</w:t>
            </w:r>
          </w:p>
        </w:tc>
        <w:tc>
          <w:tcPr>
            <w:tcW w:w="1429" w:type="dxa"/>
            <w:shd w:val="clear" w:color="auto" w:fill="auto"/>
            <w:vAlign w:val="center"/>
          </w:tcPr>
          <w:p w14:paraId="5CB79E2B" w14:textId="475613DD" w:rsidR="004C631B" w:rsidRPr="009A7820" w:rsidRDefault="004C631B" w:rsidP="00351D17">
            <w:pPr>
              <w:ind w:left="0"/>
              <w:jc w:val="center"/>
              <w:rPr>
                <w:i/>
                <w:sz w:val="18"/>
                <w:szCs w:val="18"/>
              </w:rPr>
            </w:pPr>
            <w:r w:rsidRPr="0091669F">
              <w:rPr>
                <w:i/>
                <w:sz w:val="18"/>
                <w:szCs w:val="18"/>
              </w:rPr>
              <w:t>97 657 333</w:t>
            </w:r>
          </w:p>
        </w:tc>
        <w:tc>
          <w:tcPr>
            <w:tcW w:w="1357" w:type="dxa"/>
            <w:shd w:val="clear" w:color="auto" w:fill="auto"/>
            <w:vAlign w:val="center"/>
          </w:tcPr>
          <w:p w14:paraId="0B3BCA0A" w14:textId="3FB0DD9E" w:rsidR="004C631B" w:rsidRPr="009A7820" w:rsidRDefault="006C7788" w:rsidP="006C7788">
            <w:pPr>
              <w:ind w:left="0"/>
              <w:jc w:val="center"/>
              <w:rPr>
                <w:i/>
                <w:sz w:val="18"/>
                <w:szCs w:val="18"/>
                <w:lang w:val="en-US"/>
              </w:rPr>
            </w:pPr>
            <w:r>
              <w:rPr>
                <w:i/>
                <w:sz w:val="18"/>
                <w:szCs w:val="18"/>
                <w:lang w:val="en-US"/>
              </w:rPr>
              <w:t>625 515 366</w:t>
            </w:r>
          </w:p>
        </w:tc>
      </w:tr>
      <w:tr w:rsidR="004C631B" w14:paraId="41D8344E" w14:textId="77777777" w:rsidTr="009B48A1">
        <w:trPr>
          <w:trHeight w:val="284"/>
        </w:trPr>
        <w:tc>
          <w:tcPr>
            <w:tcW w:w="1384" w:type="dxa"/>
            <w:shd w:val="clear" w:color="auto" w:fill="auto"/>
            <w:vAlign w:val="center"/>
          </w:tcPr>
          <w:p w14:paraId="75F8DCB7" w14:textId="08088D9F"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67385229" w14:textId="4B2DC243"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76B4EE7F" w14:textId="7F82550C"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6EB76D72"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162E64CB" w14:textId="0DEEA3D5" w:rsidR="004C631B" w:rsidRPr="009A7820" w:rsidRDefault="004C631B" w:rsidP="00351D17">
            <w:pPr>
              <w:ind w:left="0"/>
              <w:rPr>
                <w:i/>
                <w:sz w:val="18"/>
                <w:szCs w:val="18"/>
              </w:rPr>
            </w:pPr>
            <w:r w:rsidRPr="00E42853">
              <w:rPr>
                <w:i/>
                <w:sz w:val="18"/>
                <w:szCs w:val="18"/>
              </w:rPr>
              <w:t>Počet podporených podnikov prostredníctvom poradenských centier pre MSP</w:t>
            </w:r>
          </w:p>
        </w:tc>
        <w:tc>
          <w:tcPr>
            <w:tcW w:w="1245" w:type="dxa"/>
            <w:shd w:val="clear" w:color="auto" w:fill="auto"/>
            <w:vAlign w:val="center"/>
          </w:tcPr>
          <w:p w14:paraId="0CDD6D88" w14:textId="639DB0D0"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25BFAD36" w14:textId="33951A44" w:rsidR="004C631B" w:rsidRPr="009A7820" w:rsidRDefault="004C631B" w:rsidP="00351D17">
            <w:pPr>
              <w:ind w:left="0"/>
              <w:jc w:val="center"/>
              <w:rPr>
                <w:i/>
                <w:sz w:val="18"/>
                <w:szCs w:val="18"/>
              </w:rPr>
            </w:pPr>
            <w:r>
              <w:rPr>
                <w:i/>
                <w:sz w:val="18"/>
                <w:szCs w:val="18"/>
              </w:rPr>
              <w:t>900</w:t>
            </w:r>
          </w:p>
        </w:tc>
        <w:tc>
          <w:tcPr>
            <w:tcW w:w="1357" w:type="dxa"/>
            <w:shd w:val="clear" w:color="auto" w:fill="auto"/>
            <w:vAlign w:val="center"/>
          </w:tcPr>
          <w:p w14:paraId="4564A9F0" w14:textId="7A1D8275" w:rsidR="004C631B" w:rsidRPr="009A7820" w:rsidRDefault="004C631B" w:rsidP="00351D17">
            <w:pPr>
              <w:ind w:left="0"/>
              <w:jc w:val="center"/>
              <w:rPr>
                <w:i/>
                <w:sz w:val="18"/>
                <w:szCs w:val="18"/>
                <w:lang w:val="en-US"/>
              </w:rPr>
            </w:pPr>
            <w:r>
              <w:rPr>
                <w:i/>
                <w:sz w:val="18"/>
                <w:szCs w:val="18"/>
                <w:lang w:val="en-US"/>
              </w:rPr>
              <w:t>3 200</w:t>
            </w:r>
          </w:p>
        </w:tc>
      </w:tr>
      <w:tr w:rsidR="004C631B" w14:paraId="63E3D9DC" w14:textId="77777777" w:rsidTr="009B48A1">
        <w:trPr>
          <w:trHeight w:val="284"/>
        </w:trPr>
        <w:tc>
          <w:tcPr>
            <w:tcW w:w="1384" w:type="dxa"/>
            <w:shd w:val="clear" w:color="auto" w:fill="auto"/>
            <w:vAlign w:val="center"/>
          </w:tcPr>
          <w:p w14:paraId="0ED5926B" w14:textId="5922C7F3"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325EBB1C" w14:textId="265DA273"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773CE966" w14:textId="46059882"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7BD56160"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76D2F226" w14:textId="44059AC2" w:rsidR="004C631B" w:rsidRPr="009A7820" w:rsidRDefault="004C631B" w:rsidP="00351D17">
            <w:pPr>
              <w:ind w:left="0"/>
              <w:rPr>
                <w:i/>
                <w:sz w:val="18"/>
                <w:szCs w:val="18"/>
              </w:rPr>
            </w:pPr>
            <w:r w:rsidRPr="00E42853">
              <w:rPr>
                <w:i/>
                <w:sz w:val="18"/>
                <w:szCs w:val="18"/>
              </w:rPr>
              <w:t xml:space="preserve">Počet podporených podnikov prostredníctvom </w:t>
            </w:r>
            <w:r w:rsidRPr="00E42853">
              <w:rPr>
                <w:i/>
                <w:sz w:val="18"/>
                <w:szCs w:val="18"/>
              </w:rPr>
              <w:lastRenderedPageBreak/>
              <w:t>poradenských centier pre MSP</w:t>
            </w:r>
          </w:p>
        </w:tc>
        <w:tc>
          <w:tcPr>
            <w:tcW w:w="1245" w:type="dxa"/>
            <w:shd w:val="clear" w:color="auto" w:fill="auto"/>
            <w:vAlign w:val="center"/>
          </w:tcPr>
          <w:p w14:paraId="15A0A500" w14:textId="084BC939" w:rsidR="004C631B" w:rsidRPr="009A7820" w:rsidRDefault="004C631B" w:rsidP="00351D17">
            <w:pPr>
              <w:ind w:left="0"/>
              <w:jc w:val="center"/>
              <w:rPr>
                <w:i/>
                <w:sz w:val="18"/>
                <w:szCs w:val="18"/>
              </w:rPr>
            </w:pPr>
            <w:r>
              <w:rPr>
                <w:i/>
                <w:sz w:val="18"/>
                <w:szCs w:val="18"/>
              </w:rPr>
              <w:lastRenderedPageBreak/>
              <w:t>počet</w:t>
            </w:r>
          </w:p>
        </w:tc>
        <w:tc>
          <w:tcPr>
            <w:tcW w:w="1429" w:type="dxa"/>
            <w:shd w:val="clear" w:color="auto" w:fill="auto"/>
            <w:vAlign w:val="center"/>
          </w:tcPr>
          <w:p w14:paraId="4EE6BAF4" w14:textId="5E734B93" w:rsidR="004C631B" w:rsidRPr="009A7820" w:rsidRDefault="004C631B" w:rsidP="00351D17">
            <w:pPr>
              <w:ind w:left="0"/>
              <w:jc w:val="center"/>
              <w:rPr>
                <w:i/>
                <w:sz w:val="18"/>
                <w:szCs w:val="18"/>
              </w:rPr>
            </w:pPr>
            <w:r>
              <w:rPr>
                <w:i/>
                <w:sz w:val="18"/>
                <w:szCs w:val="18"/>
              </w:rPr>
              <w:t>0</w:t>
            </w:r>
          </w:p>
        </w:tc>
        <w:tc>
          <w:tcPr>
            <w:tcW w:w="1357" w:type="dxa"/>
            <w:shd w:val="clear" w:color="auto" w:fill="auto"/>
            <w:vAlign w:val="center"/>
          </w:tcPr>
          <w:p w14:paraId="049F0733" w14:textId="08272544" w:rsidR="004C631B" w:rsidRPr="009A7820" w:rsidRDefault="004C631B" w:rsidP="00351D17">
            <w:pPr>
              <w:ind w:left="0"/>
              <w:jc w:val="center"/>
              <w:rPr>
                <w:i/>
                <w:sz w:val="18"/>
                <w:szCs w:val="18"/>
                <w:lang w:val="en-US"/>
              </w:rPr>
            </w:pPr>
            <w:r>
              <w:rPr>
                <w:i/>
                <w:sz w:val="18"/>
                <w:szCs w:val="18"/>
                <w:lang w:val="en-US"/>
              </w:rPr>
              <w:t>3 200</w:t>
            </w:r>
          </w:p>
        </w:tc>
      </w:tr>
      <w:tr w:rsidR="004C631B" w14:paraId="1C5366EA" w14:textId="77777777" w:rsidTr="009B48A1">
        <w:trPr>
          <w:trHeight w:val="284"/>
        </w:trPr>
        <w:tc>
          <w:tcPr>
            <w:tcW w:w="1384" w:type="dxa"/>
            <w:shd w:val="clear" w:color="auto" w:fill="auto"/>
            <w:vAlign w:val="center"/>
          </w:tcPr>
          <w:p w14:paraId="45E16FDB" w14:textId="62902D93"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748CFA80" w14:textId="50314CAC"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5F72E773" w14:textId="5FB88379"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22D2A258"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562616CB" w14:textId="05AABD99" w:rsidR="004C631B" w:rsidRPr="009A7820" w:rsidRDefault="004C631B" w:rsidP="00351D17">
            <w:pPr>
              <w:ind w:left="0"/>
              <w:rPr>
                <w:i/>
                <w:sz w:val="18"/>
                <w:szCs w:val="18"/>
              </w:rPr>
            </w:pPr>
            <w:r w:rsidRPr="00E42853">
              <w:rPr>
                <w:i/>
                <w:sz w:val="18"/>
                <w:szCs w:val="18"/>
              </w:rPr>
              <w:t>Počet podnikov, ktoré dostávajú nefinančnú podporu v rámci podpory poskytovania informačných, poradenských a mentorských služieb pre rozvoj MSP</w:t>
            </w:r>
          </w:p>
        </w:tc>
        <w:tc>
          <w:tcPr>
            <w:tcW w:w="1245" w:type="dxa"/>
            <w:shd w:val="clear" w:color="auto" w:fill="auto"/>
            <w:vAlign w:val="center"/>
          </w:tcPr>
          <w:p w14:paraId="0E4558CB" w14:textId="4666CEA8"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156C1E91" w14:textId="7112E0B0" w:rsidR="004C631B" w:rsidRPr="009A7820" w:rsidRDefault="004C631B" w:rsidP="00351D17">
            <w:pPr>
              <w:ind w:left="0"/>
              <w:jc w:val="center"/>
              <w:rPr>
                <w:i/>
                <w:sz w:val="18"/>
                <w:szCs w:val="18"/>
              </w:rPr>
            </w:pPr>
            <w:r>
              <w:rPr>
                <w:i/>
                <w:sz w:val="18"/>
                <w:szCs w:val="18"/>
              </w:rPr>
              <w:t>290</w:t>
            </w:r>
          </w:p>
        </w:tc>
        <w:tc>
          <w:tcPr>
            <w:tcW w:w="1357" w:type="dxa"/>
            <w:shd w:val="clear" w:color="auto" w:fill="auto"/>
            <w:vAlign w:val="center"/>
          </w:tcPr>
          <w:p w14:paraId="6FDD6AB4" w14:textId="7C42C216" w:rsidR="004C631B" w:rsidRPr="009A7820" w:rsidRDefault="004C631B" w:rsidP="00351D17">
            <w:pPr>
              <w:ind w:left="0"/>
              <w:jc w:val="center"/>
              <w:rPr>
                <w:i/>
                <w:sz w:val="18"/>
                <w:szCs w:val="18"/>
                <w:lang w:val="en-US"/>
              </w:rPr>
            </w:pPr>
            <w:r>
              <w:rPr>
                <w:i/>
                <w:sz w:val="18"/>
                <w:szCs w:val="18"/>
                <w:lang w:val="en-US"/>
              </w:rPr>
              <w:t>1 030</w:t>
            </w:r>
          </w:p>
        </w:tc>
      </w:tr>
      <w:tr w:rsidR="004C631B" w14:paraId="144EEB67" w14:textId="77777777" w:rsidTr="009B48A1">
        <w:trPr>
          <w:trHeight w:val="284"/>
        </w:trPr>
        <w:tc>
          <w:tcPr>
            <w:tcW w:w="1384" w:type="dxa"/>
            <w:shd w:val="clear" w:color="auto" w:fill="auto"/>
            <w:vAlign w:val="center"/>
          </w:tcPr>
          <w:p w14:paraId="0104E4AA" w14:textId="281CB377"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33C5025C" w14:textId="701D9E3D"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27F84A88" w14:textId="4498A767"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455B492A"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7B5010D7" w14:textId="5A129F3C" w:rsidR="004C631B" w:rsidRPr="009A7820" w:rsidRDefault="004C631B" w:rsidP="00351D17">
            <w:pPr>
              <w:ind w:left="0"/>
              <w:rPr>
                <w:i/>
                <w:sz w:val="18"/>
                <w:szCs w:val="18"/>
              </w:rPr>
            </w:pPr>
            <w:r w:rsidRPr="00E42853">
              <w:rPr>
                <w:i/>
                <w:sz w:val="18"/>
                <w:szCs w:val="18"/>
              </w:rPr>
              <w:t>Počet podnikov, ktoré dostávajú nefinančnú podporu v rámci podpory poskytovania informačných, poradenských a mentorských služieb pre rozvoj MSP</w:t>
            </w:r>
          </w:p>
        </w:tc>
        <w:tc>
          <w:tcPr>
            <w:tcW w:w="1245" w:type="dxa"/>
            <w:shd w:val="clear" w:color="auto" w:fill="auto"/>
            <w:vAlign w:val="center"/>
          </w:tcPr>
          <w:p w14:paraId="49A310F6" w14:textId="028A41C8"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0FCE918D" w14:textId="0D0A397A" w:rsidR="004C631B" w:rsidRPr="009A7820" w:rsidRDefault="004C631B" w:rsidP="00351D17">
            <w:pPr>
              <w:ind w:left="0"/>
              <w:jc w:val="center"/>
              <w:rPr>
                <w:i/>
                <w:sz w:val="18"/>
                <w:szCs w:val="18"/>
              </w:rPr>
            </w:pPr>
            <w:r>
              <w:rPr>
                <w:i/>
                <w:sz w:val="18"/>
                <w:szCs w:val="18"/>
              </w:rPr>
              <w:t>0</w:t>
            </w:r>
          </w:p>
        </w:tc>
        <w:tc>
          <w:tcPr>
            <w:tcW w:w="1357" w:type="dxa"/>
            <w:shd w:val="clear" w:color="auto" w:fill="auto"/>
            <w:vAlign w:val="center"/>
          </w:tcPr>
          <w:p w14:paraId="02B27C15" w14:textId="5C4BAA0E" w:rsidR="004C631B" w:rsidRPr="009A7820" w:rsidRDefault="004C631B" w:rsidP="00351D17">
            <w:pPr>
              <w:ind w:left="0"/>
              <w:jc w:val="center"/>
              <w:rPr>
                <w:i/>
                <w:sz w:val="18"/>
                <w:szCs w:val="18"/>
                <w:lang w:val="en-US"/>
              </w:rPr>
            </w:pPr>
            <w:r>
              <w:rPr>
                <w:i/>
                <w:sz w:val="18"/>
                <w:szCs w:val="18"/>
                <w:lang w:val="en-US"/>
              </w:rPr>
              <w:t>1 030</w:t>
            </w:r>
          </w:p>
        </w:tc>
      </w:tr>
      <w:tr w:rsidR="004C631B" w14:paraId="79DA1A82" w14:textId="77777777" w:rsidTr="009B48A1">
        <w:trPr>
          <w:trHeight w:val="284"/>
        </w:trPr>
        <w:tc>
          <w:tcPr>
            <w:tcW w:w="1384" w:type="dxa"/>
            <w:shd w:val="clear" w:color="auto" w:fill="auto"/>
            <w:vAlign w:val="center"/>
          </w:tcPr>
          <w:p w14:paraId="5D3E4C9B" w14:textId="5DC7B66A"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3A0DCE7F" w14:textId="51ADDB2C"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3EB79F1A" w14:textId="2F5AEA38"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6C40A51E"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255F6E6E" w14:textId="070B6DDB" w:rsidR="004C631B" w:rsidRPr="009A7820" w:rsidRDefault="004C631B" w:rsidP="00351D17">
            <w:pPr>
              <w:ind w:left="0"/>
              <w:rPr>
                <w:i/>
                <w:sz w:val="18"/>
                <w:szCs w:val="18"/>
              </w:rPr>
            </w:pPr>
            <w:r w:rsidRPr="00E42853">
              <w:rPr>
                <w:i/>
                <w:sz w:val="18"/>
                <w:szCs w:val="18"/>
              </w:rPr>
              <w:t>Počet podnikov, ktoré dostávajú nefinančnú podporu v rámci tvorby nových obchodných modelov kreatívneho priemyslu</w:t>
            </w:r>
          </w:p>
        </w:tc>
        <w:tc>
          <w:tcPr>
            <w:tcW w:w="1245" w:type="dxa"/>
            <w:shd w:val="clear" w:color="auto" w:fill="auto"/>
            <w:vAlign w:val="center"/>
          </w:tcPr>
          <w:p w14:paraId="591C3E76" w14:textId="33F63E8D"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2B95202B" w14:textId="08CA7993" w:rsidR="004C631B" w:rsidRPr="009A7820" w:rsidRDefault="004C631B" w:rsidP="00351D17">
            <w:pPr>
              <w:ind w:left="0"/>
              <w:jc w:val="center"/>
              <w:rPr>
                <w:i/>
                <w:sz w:val="18"/>
                <w:szCs w:val="18"/>
              </w:rPr>
            </w:pPr>
            <w:r>
              <w:rPr>
                <w:i/>
                <w:sz w:val="18"/>
                <w:szCs w:val="18"/>
              </w:rPr>
              <w:t>330</w:t>
            </w:r>
          </w:p>
        </w:tc>
        <w:tc>
          <w:tcPr>
            <w:tcW w:w="1357" w:type="dxa"/>
            <w:shd w:val="clear" w:color="auto" w:fill="auto"/>
            <w:vAlign w:val="center"/>
          </w:tcPr>
          <w:p w14:paraId="12FFC94C" w14:textId="5AA6A16A" w:rsidR="004C631B" w:rsidRPr="009A7820" w:rsidRDefault="004C631B" w:rsidP="00351D17">
            <w:pPr>
              <w:ind w:left="0"/>
              <w:jc w:val="center"/>
              <w:rPr>
                <w:i/>
                <w:sz w:val="18"/>
                <w:szCs w:val="18"/>
                <w:lang w:val="en-US"/>
              </w:rPr>
            </w:pPr>
            <w:r>
              <w:rPr>
                <w:i/>
                <w:sz w:val="18"/>
                <w:szCs w:val="18"/>
                <w:lang w:val="en-US"/>
              </w:rPr>
              <w:t>1 160</w:t>
            </w:r>
          </w:p>
        </w:tc>
      </w:tr>
      <w:tr w:rsidR="004C631B" w14:paraId="55FD0ECF" w14:textId="77777777" w:rsidTr="009B48A1">
        <w:trPr>
          <w:trHeight w:val="284"/>
        </w:trPr>
        <w:tc>
          <w:tcPr>
            <w:tcW w:w="1384" w:type="dxa"/>
            <w:shd w:val="clear" w:color="auto" w:fill="auto"/>
            <w:vAlign w:val="center"/>
          </w:tcPr>
          <w:p w14:paraId="5BDA6B5B" w14:textId="458B555F"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655571C6" w14:textId="0D56ECA4"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19FAB277" w14:textId="4DD82AFA"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08BB3A71"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419D4A89" w14:textId="11BDBFEB" w:rsidR="004C631B" w:rsidRPr="009A7820" w:rsidRDefault="004C631B" w:rsidP="00351D17">
            <w:pPr>
              <w:ind w:left="0"/>
              <w:rPr>
                <w:i/>
                <w:sz w:val="18"/>
                <w:szCs w:val="18"/>
              </w:rPr>
            </w:pPr>
            <w:r w:rsidRPr="00E42853">
              <w:rPr>
                <w:i/>
                <w:sz w:val="18"/>
                <w:szCs w:val="18"/>
              </w:rPr>
              <w:t>Počet podnikov, ktoré dostávajú nefinančnú podporu v rámci tvorby nových obchodných modelov kreatívneho priemyslu</w:t>
            </w:r>
          </w:p>
        </w:tc>
        <w:tc>
          <w:tcPr>
            <w:tcW w:w="1245" w:type="dxa"/>
            <w:shd w:val="clear" w:color="auto" w:fill="auto"/>
            <w:vAlign w:val="center"/>
          </w:tcPr>
          <w:p w14:paraId="4A41324D" w14:textId="388B0E2D"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42338738" w14:textId="49AB935D" w:rsidR="004C631B" w:rsidRPr="009A7820" w:rsidRDefault="004C631B" w:rsidP="00351D17">
            <w:pPr>
              <w:ind w:left="0"/>
              <w:jc w:val="center"/>
              <w:rPr>
                <w:i/>
                <w:sz w:val="18"/>
                <w:szCs w:val="18"/>
              </w:rPr>
            </w:pPr>
            <w:r>
              <w:rPr>
                <w:i/>
                <w:sz w:val="18"/>
                <w:szCs w:val="18"/>
              </w:rPr>
              <w:t>0</w:t>
            </w:r>
          </w:p>
        </w:tc>
        <w:tc>
          <w:tcPr>
            <w:tcW w:w="1357" w:type="dxa"/>
            <w:shd w:val="clear" w:color="auto" w:fill="auto"/>
            <w:vAlign w:val="center"/>
          </w:tcPr>
          <w:p w14:paraId="4DD7419D" w14:textId="56412768" w:rsidR="004C631B" w:rsidRPr="009A7820" w:rsidRDefault="004C631B" w:rsidP="00351D17">
            <w:pPr>
              <w:ind w:left="0"/>
              <w:jc w:val="center"/>
              <w:rPr>
                <w:i/>
                <w:sz w:val="18"/>
                <w:szCs w:val="18"/>
                <w:lang w:val="en-US"/>
              </w:rPr>
            </w:pPr>
            <w:r>
              <w:rPr>
                <w:i/>
                <w:sz w:val="18"/>
                <w:szCs w:val="18"/>
                <w:lang w:val="en-US"/>
              </w:rPr>
              <w:t>1 160</w:t>
            </w:r>
          </w:p>
        </w:tc>
      </w:tr>
      <w:tr w:rsidR="004C631B" w14:paraId="28404A01" w14:textId="77777777" w:rsidTr="009B48A1">
        <w:trPr>
          <w:trHeight w:val="284"/>
        </w:trPr>
        <w:tc>
          <w:tcPr>
            <w:tcW w:w="1384" w:type="dxa"/>
            <w:shd w:val="clear" w:color="auto" w:fill="auto"/>
            <w:vAlign w:val="center"/>
          </w:tcPr>
          <w:p w14:paraId="4EA4DAE4" w14:textId="1C91ABB5" w:rsidR="004C631B" w:rsidRPr="009A7820" w:rsidRDefault="004C631B" w:rsidP="00351D17">
            <w:pPr>
              <w:ind w:left="0"/>
              <w:rPr>
                <w:i/>
                <w:sz w:val="18"/>
                <w:szCs w:val="18"/>
              </w:rPr>
            </w:pPr>
            <w:r>
              <w:rPr>
                <w:i/>
                <w:sz w:val="18"/>
                <w:szCs w:val="18"/>
              </w:rPr>
              <w:t>Prioritná os 11</w:t>
            </w:r>
          </w:p>
        </w:tc>
        <w:tc>
          <w:tcPr>
            <w:tcW w:w="773" w:type="dxa"/>
            <w:shd w:val="clear" w:color="auto" w:fill="auto"/>
            <w:vAlign w:val="center"/>
          </w:tcPr>
          <w:p w14:paraId="256E3445" w14:textId="1B74F9F3"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0FD813EF" w14:textId="78F5A158" w:rsidR="004C631B" w:rsidRPr="009A7820" w:rsidRDefault="004C631B" w:rsidP="00351D17">
            <w:pPr>
              <w:ind w:left="0"/>
              <w:jc w:val="center"/>
              <w:rPr>
                <w:i/>
                <w:sz w:val="18"/>
                <w:szCs w:val="18"/>
              </w:rPr>
            </w:pPr>
            <w:r w:rsidRPr="009A7820">
              <w:rPr>
                <w:i/>
                <w:sz w:val="18"/>
                <w:szCs w:val="18"/>
              </w:rPr>
              <w:t>Menej rozvinutý</w:t>
            </w:r>
          </w:p>
        </w:tc>
        <w:tc>
          <w:tcPr>
            <w:tcW w:w="2015" w:type="dxa"/>
            <w:shd w:val="clear" w:color="auto" w:fill="auto"/>
          </w:tcPr>
          <w:p w14:paraId="1F96D541"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6F817BA2" w14:textId="787FD90E" w:rsidR="004C631B" w:rsidRPr="009A7820" w:rsidRDefault="004C631B" w:rsidP="00351D17">
            <w:pPr>
              <w:ind w:left="0"/>
              <w:rPr>
                <w:i/>
                <w:sz w:val="18"/>
                <w:szCs w:val="18"/>
              </w:rPr>
            </w:pPr>
            <w:r w:rsidRPr="00E42853">
              <w:rPr>
                <w:i/>
                <w:sz w:val="18"/>
                <w:szCs w:val="18"/>
              </w:rPr>
              <w:t>Počet podnikov, ktoré dostávajú granty</w:t>
            </w:r>
          </w:p>
        </w:tc>
        <w:tc>
          <w:tcPr>
            <w:tcW w:w="1245" w:type="dxa"/>
            <w:shd w:val="clear" w:color="auto" w:fill="auto"/>
            <w:vAlign w:val="center"/>
          </w:tcPr>
          <w:p w14:paraId="5570DE73" w14:textId="7AD5E6EF"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6612D17E" w14:textId="7B0953A2" w:rsidR="004C631B" w:rsidRPr="009A7820" w:rsidRDefault="004C631B" w:rsidP="00351D17">
            <w:pPr>
              <w:ind w:left="0"/>
              <w:jc w:val="center"/>
              <w:rPr>
                <w:i/>
                <w:sz w:val="18"/>
                <w:szCs w:val="18"/>
              </w:rPr>
            </w:pPr>
            <w:r>
              <w:rPr>
                <w:i/>
                <w:sz w:val="18"/>
                <w:szCs w:val="18"/>
              </w:rPr>
              <w:t>80</w:t>
            </w:r>
          </w:p>
        </w:tc>
        <w:tc>
          <w:tcPr>
            <w:tcW w:w="1357" w:type="dxa"/>
            <w:shd w:val="clear" w:color="auto" w:fill="auto"/>
            <w:vAlign w:val="center"/>
          </w:tcPr>
          <w:p w14:paraId="7AFBC84E" w14:textId="2FDA74F3" w:rsidR="004C631B" w:rsidRPr="009A7820" w:rsidRDefault="004C631B" w:rsidP="00351D17">
            <w:pPr>
              <w:ind w:left="0"/>
              <w:jc w:val="center"/>
              <w:rPr>
                <w:i/>
                <w:sz w:val="18"/>
                <w:szCs w:val="18"/>
                <w:lang w:val="en-US"/>
              </w:rPr>
            </w:pPr>
            <w:r>
              <w:rPr>
                <w:i/>
                <w:sz w:val="18"/>
                <w:szCs w:val="18"/>
                <w:lang w:val="en-US"/>
              </w:rPr>
              <w:t>300</w:t>
            </w:r>
          </w:p>
        </w:tc>
      </w:tr>
      <w:tr w:rsidR="004C631B" w14:paraId="23A2C2C2" w14:textId="77777777" w:rsidTr="009B48A1">
        <w:trPr>
          <w:trHeight w:val="284"/>
        </w:trPr>
        <w:tc>
          <w:tcPr>
            <w:tcW w:w="1384" w:type="dxa"/>
            <w:shd w:val="clear" w:color="auto" w:fill="auto"/>
            <w:vAlign w:val="center"/>
          </w:tcPr>
          <w:p w14:paraId="46F05D1C" w14:textId="6AC554EF" w:rsidR="004C631B" w:rsidRPr="009A7820" w:rsidRDefault="004C631B" w:rsidP="00351D17">
            <w:pPr>
              <w:ind w:left="0"/>
              <w:rPr>
                <w:i/>
                <w:sz w:val="18"/>
                <w:szCs w:val="18"/>
              </w:rPr>
            </w:pPr>
            <w:r>
              <w:rPr>
                <w:i/>
                <w:sz w:val="18"/>
                <w:szCs w:val="18"/>
              </w:rPr>
              <w:t>Prioritná os 12</w:t>
            </w:r>
          </w:p>
        </w:tc>
        <w:tc>
          <w:tcPr>
            <w:tcW w:w="773" w:type="dxa"/>
            <w:shd w:val="clear" w:color="auto" w:fill="auto"/>
            <w:vAlign w:val="center"/>
          </w:tcPr>
          <w:p w14:paraId="0E30E340" w14:textId="2F5839AE"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048ACD32" w14:textId="023B95B9"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7C7F50C6"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Finančný ukazovateľ:</w:t>
            </w:r>
          </w:p>
          <w:p w14:paraId="5BEE9A74" w14:textId="3B4ABBAF" w:rsidR="004C631B" w:rsidRPr="009A7820" w:rsidRDefault="004C631B" w:rsidP="00351D17">
            <w:pPr>
              <w:ind w:left="0"/>
              <w:rPr>
                <w:i/>
                <w:sz w:val="18"/>
                <w:szCs w:val="18"/>
              </w:rPr>
            </w:pPr>
            <w:r w:rsidRPr="00E42853">
              <w:rPr>
                <w:i/>
                <w:sz w:val="18"/>
                <w:szCs w:val="18"/>
              </w:rPr>
              <w:t>Úroveň čerpania finančných prostriedkov</w:t>
            </w:r>
          </w:p>
        </w:tc>
        <w:tc>
          <w:tcPr>
            <w:tcW w:w="1245" w:type="dxa"/>
            <w:shd w:val="clear" w:color="auto" w:fill="auto"/>
            <w:vAlign w:val="center"/>
          </w:tcPr>
          <w:p w14:paraId="6BA8432F" w14:textId="11CF4006" w:rsidR="004C631B" w:rsidRPr="009A7820" w:rsidRDefault="004C631B" w:rsidP="00351D17">
            <w:pPr>
              <w:ind w:left="0"/>
              <w:jc w:val="center"/>
              <w:rPr>
                <w:i/>
                <w:sz w:val="18"/>
                <w:szCs w:val="18"/>
              </w:rPr>
            </w:pPr>
            <w:r>
              <w:rPr>
                <w:i/>
                <w:sz w:val="18"/>
                <w:szCs w:val="18"/>
              </w:rPr>
              <w:t>EUR</w:t>
            </w:r>
          </w:p>
        </w:tc>
        <w:tc>
          <w:tcPr>
            <w:tcW w:w="1429" w:type="dxa"/>
            <w:shd w:val="clear" w:color="auto" w:fill="auto"/>
            <w:vAlign w:val="center"/>
          </w:tcPr>
          <w:p w14:paraId="31264342" w14:textId="56D7D682" w:rsidR="004C631B" w:rsidRPr="009A7820" w:rsidRDefault="004C631B" w:rsidP="00351D17">
            <w:pPr>
              <w:ind w:left="0"/>
              <w:jc w:val="center"/>
              <w:rPr>
                <w:i/>
                <w:sz w:val="18"/>
                <w:szCs w:val="18"/>
              </w:rPr>
            </w:pPr>
            <w:r w:rsidRPr="009664E3">
              <w:rPr>
                <w:i/>
                <w:sz w:val="18"/>
                <w:szCs w:val="18"/>
              </w:rPr>
              <w:t>9 826 155</w:t>
            </w:r>
          </w:p>
        </w:tc>
        <w:tc>
          <w:tcPr>
            <w:tcW w:w="1357" w:type="dxa"/>
            <w:shd w:val="clear" w:color="auto" w:fill="auto"/>
            <w:vAlign w:val="center"/>
          </w:tcPr>
          <w:p w14:paraId="23EF0515" w14:textId="7F32D960" w:rsidR="004C631B" w:rsidRPr="009A7820" w:rsidRDefault="006C7788" w:rsidP="006C7788">
            <w:pPr>
              <w:ind w:left="0"/>
              <w:jc w:val="center"/>
              <w:rPr>
                <w:i/>
                <w:sz w:val="18"/>
                <w:szCs w:val="18"/>
                <w:lang w:val="en-US"/>
              </w:rPr>
            </w:pPr>
            <w:r>
              <w:rPr>
                <w:i/>
                <w:sz w:val="18"/>
                <w:szCs w:val="18"/>
                <w:lang w:val="en-US"/>
              </w:rPr>
              <w:t>66 992 802</w:t>
            </w:r>
          </w:p>
        </w:tc>
      </w:tr>
      <w:tr w:rsidR="004C631B" w14:paraId="1F3C5117" w14:textId="77777777" w:rsidTr="009B48A1">
        <w:trPr>
          <w:trHeight w:val="284"/>
        </w:trPr>
        <w:tc>
          <w:tcPr>
            <w:tcW w:w="1384" w:type="dxa"/>
            <w:shd w:val="clear" w:color="auto" w:fill="auto"/>
            <w:vAlign w:val="center"/>
          </w:tcPr>
          <w:p w14:paraId="62988AC7" w14:textId="75CA1A5F" w:rsidR="004C631B" w:rsidRPr="009A7820" w:rsidRDefault="004C631B" w:rsidP="00351D17">
            <w:pPr>
              <w:ind w:left="0"/>
              <w:rPr>
                <w:i/>
                <w:sz w:val="18"/>
                <w:szCs w:val="18"/>
              </w:rPr>
            </w:pPr>
            <w:r>
              <w:rPr>
                <w:i/>
                <w:sz w:val="18"/>
                <w:szCs w:val="18"/>
              </w:rPr>
              <w:t>Prioritná os 12</w:t>
            </w:r>
          </w:p>
        </w:tc>
        <w:tc>
          <w:tcPr>
            <w:tcW w:w="773" w:type="dxa"/>
            <w:shd w:val="clear" w:color="auto" w:fill="auto"/>
            <w:vAlign w:val="center"/>
          </w:tcPr>
          <w:p w14:paraId="1110E729" w14:textId="6562935D"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5080D4D4" w14:textId="2024D8C8"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0221C21A"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Kľúčový vykonávací krok:</w:t>
            </w:r>
          </w:p>
          <w:p w14:paraId="7971A70C" w14:textId="642000F0" w:rsidR="004C631B" w:rsidRPr="009A7820" w:rsidRDefault="004C631B" w:rsidP="00351D17">
            <w:pPr>
              <w:ind w:left="0"/>
              <w:rPr>
                <w:i/>
                <w:sz w:val="18"/>
                <w:szCs w:val="18"/>
              </w:rPr>
            </w:pPr>
            <w:r w:rsidRPr="00E42853">
              <w:rPr>
                <w:i/>
                <w:sz w:val="18"/>
                <w:szCs w:val="18"/>
              </w:rPr>
              <w:t>Počet podporených podnikov prostredníctvom poradenských centier pre MSP</w:t>
            </w:r>
          </w:p>
        </w:tc>
        <w:tc>
          <w:tcPr>
            <w:tcW w:w="1245" w:type="dxa"/>
            <w:shd w:val="clear" w:color="auto" w:fill="auto"/>
            <w:vAlign w:val="center"/>
          </w:tcPr>
          <w:p w14:paraId="182275FE" w14:textId="7E769B34"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7D1543D9" w14:textId="272D16F3" w:rsidR="004C631B" w:rsidRPr="009A7820" w:rsidRDefault="004C631B" w:rsidP="00351D17">
            <w:pPr>
              <w:ind w:left="0"/>
              <w:jc w:val="center"/>
              <w:rPr>
                <w:i/>
                <w:sz w:val="18"/>
                <w:szCs w:val="18"/>
              </w:rPr>
            </w:pPr>
            <w:r>
              <w:rPr>
                <w:i/>
                <w:sz w:val="18"/>
                <w:szCs w:val="18"/>
              </w:rPr>
              <w:t>800</w:t>
            </w:r>
          </w:p>
        </w:tc>
        <w:tc>
          <w:tcPr>
            <w:tcW w:w="1357" w:type="dxa"/>
            <w:shd w:val="clear" w:color="auto" w:fill="auto"/>
            <w:vAlign w:val="center"/>
          </w:tcPr>
          <w:p w14:paraId="33D8CCFA" w14:textId="07D621E7" w:rsidR="004C631B" w:rsidRPr="009A7820" w:rsidRDefault="004C631B" w:rsidP="00351D17">
            <w:pPr>
              <w:ind w:left="0"/>
              <w:jc w:val="center"/>
              <w:rPr>
                <w:i/>
                <w:sz w:val="18"/>
                <w:szCs w:val="18"/>
                <w:lang w:val="en-US"/>
              </w:rPr>
            </w:pPr>
            <w:r>
              <w:rPr>
                <w:i/>
                <w:sz w:val="18"/>
                <w:szCs w:val="18"/>
                <w:lang w:val="en-US"/>
              </w:rPr>
              <w:t>2 600</w:t>
            </w:r>
          </w:p>
        </w:tc>
      </w:tr>
      <w:tr w:rsidR="004C631B" w14:paraId="4EC80D71" w14:textId="77777777" w:rsidTr="009B48A1">
        <w:trPr>
          <w:trHeight w:val="284"/>
        </w:trPr>
        <w:tc>
          <w:tcPr>
            <w:tcW w:w="1384" w:type="dxa"/>
            <w:shd w:val="clear" w:color="auto" w:fill="auto"/>
            <w:vAlign w:val="center"/>
          </w:tcPr>
          <w:p w14:paraId="78193004" w14:textId="3CDF422E" w:rsidR="004C631B" w:rsidRPr="009A7820" w:rsidRDefault="004C631B" w:rsidP="00351D17">
            <w:pPr>
              <w:ind w:left="0"/>
              <w:rPr>
                <w:i/>
                <w:sz w:val="18"/>
                <w:szCs w:val="18"/>
              </w:rPr>
            </w:pPr>
            <w:r>
              <w:rPr>
                <w:i/>
                <w:sz w:val="18"/>
                <w:szCs w:val="18"/>
              </w:rPr>
              <w:t>Prioritná os 12</w:t>
            </w:r>
          </w:p>
        </w:tc>
        <w:tc>
          <w:tcPr>
            <w:tcW w:w="773" w:type="dxa"/>
            <w:shd w:val="clear" w:color="auto" w:fill="auto"/>
            <w:vAlign w:val="center"/>
          </w:tcPr>
          <w:p w14:paraId="79540681" w14:textId="5BFABF71" w:rsidR="004C631B" w:rsidRPr="009A7820" w:rsidRDefault="004C631B" w:rsidP="00351D17">
            <w:pPr>
              <w:ind w:left="0"/>
              <w:rPr>
                <w:i/>
                <w:sz w:val="18"/>
                <w:szCs w:val="18"/>
              </w:rPr>
            </w:pPr>
            <w:r>
              <w:rPr>
                <w:i/>
                <w:sz w:val="18"/>
                <w:szCs w:val="18"/>
              </w:rPr>
              <w:t>EFRR</w:t>
            </w:r>
          </w:p>
        </w:tc>
        <w:tc>
          <w:tcPr>
            <w:tcW w:w="1096" w:type="dxa"/>
            <w:shd w:val="clear" w:color="auto" w:fill="auto"/>
            <w:vAlign w:val="center"/>
          </w:tcPr>
          <w:p w14:paraId="278A8936" w14:textId="409D29D4" w:rsidR="004C631B" w:rsidRPr="009A7820" w:rsidRDefault="004C631B" w:rsidP="00351D17">
            <w:pPr>
              <w:ind w:left="0"/>
              <w:jc w:val="center"/>
              <w:rPr>
                <w:i/>
                <w:sz w:val="18"/>
                <w:szCs w:val="18"/>
              </w:rPr>
            </w:pPr>
            <w:r>
              <w:rPr>
                <w:i/>
                <w:sz w:val="18"/>
                <w:szCs w:val="18"/>
              </w:rPr>
              <w:t>Rozvinutejší</w:t>
            </w:r>
          </w:p>
        </w:tc>
        <w:tc>
          <w:tcPr>
            <w:tcW w:w="2015" w:type="dxa"/>
            <w:shd w:val="clear" w:color="auto" w:fill="auto"/>
          </w:tcPr>
          <w:p w14:paraId="6E0141D7" w14:textId="77777777" w:rsidR="004C631B" w:rsidRPr="00E42853" w:rsidRDefault="004C631B" w:rsidP="004C631B">
            <w:pPr>
              <w:pStyle w:val="TableParagraph"/>
              <w:spacing w:before="45"/>
              <w:ind w:left="0"/>
              <w:rPr>
                <w:rFonts w:ascii="Times New Roman" w:eastAsia="Times New Roman" w:hAnsi="Times New Roman" w:cs="Times New Roman"/>
                <w:i/>
                <w:sz w:val="18"/>
                <w:szCs w:val="18"/>
                <w:lang w:val="sk-SK" w:eastAsia="sk-SK"/>
              </w:rPr>
            </w:pPr>
            <w:r w:rsidRPr="00E42853">
              <w:rPr>
                <w:rFonts w:ascii="Times New Roman" w:eastAsia="Times New Roman" w:hAnsi="Times New Roman" w:cs="Times New Roman"/>
                <w:i/>
                <w:sz w:val="18"/>
                <w:szCs w:val="18"/>
                <w:lang w:val="sk-SK" w:eastAsia="sk-SK"/>
              </w:rPr>
              <w:t>Ukazovateľ výstupu:</w:t>
            </w:r>
          </w:p>
          <w:p w14:paraId="08BEAA52" w14:textId="4147C952" w:rsidR="004C631B" w:rsidRPr="009A7820" w:rsidRDefault="004C631B" w:rsidP="00351D17">
            <w:pPr>
              <w:ind w:left="0"/>
              <w:rPr>
                <w:i/>
                <w:sz w:val="18"/>
                <w:szCs w:val="18"/>
              </w:rPr>
            </w:pPr>
            <w:r w:rsidRPr="00E42853">
              <w:rPr>
                <w:i/>
                <w:sz w:val="18"/>
                <w:szCs w:val="18"/>
              </w:rPr>
              <w:t>Počet podporených podnikov prostredníctvom poradenských centier pre MSP</w:t>
            </w:r>
          </w:p>
        </w:tc>
        <w:tc>
          <w:tcPr>
            <w:tcW w:w="1245" w:type="dxa"/>
            <w:shd w:val="clear" w:color="auto" w:fill="auto"/>
            <w:vAlign w:val="center"/>
          </w:tcPr>
          <w:p w14:paraId="1598CD21" w14:textId="3B709A86" w:rsidR="004C631B" w:rsidRPr="009A7820" w:rsidRDefault="004C631B" w:rsidP="00351D17">
            <w:pPr>
              <w:ind w:left="0"/>
              <w:jc w:val="center"/>
              <w:rPr>
                <w:i/>
                <w:sz w:val="18"/>
                <w:szCs w:val="18"/>
              </w:rPr>
            </w:pPr>
            <w:r>
              <w:rPr>
                <w:i/>
                <w:sz w:val="18"/>
                <w:szCs w:val="18"/>
              </w:rPr>
              <w:t>počet</w:t>
            </w:r>
          </w:p>
        </w:tc>
        <w:tc>
          <w:tcPr>
            <w:tcW w:w="1429" w:type="dxa"/>
            <w:shd w:val="clear" w:color="auto" w:fill="auto"/>
            <w:vAlign w:val="center"/>
          </w:tcPr>
          <w:p w14:paraId="22022D74" w14:textId="69E4D102" w:rsidR="004C631B" w:rsidRPr="009A7820" w:rsidRDefault="004C631B" w:rsidP="00351D17">
            <w:pPr>
              <w:ind w:left="0"/>
              <w:jc w:val="center"/>
              <w:rPr>
                <w:i/>
                <w:sz w:val="18"/>
                <w:szCs w:val="18"/>
              </w:rPr>
            </w:pPr>
            <w:r>
              <w:rPr>
                <w:i/>
                <w:sz w:val="18"/>
                <w:szCs w:val="18"/>
              </w:rPr>
              <w:t>0</w:t>
            </w:r>
          </w:p>
        </w:tc>
        <w:tc>
          <w:tcPr>
            <w:tcW w:w="1357" w:type="dxa"/>
            <w:shd w:val="clear" w:color="auto" w:fill="auto"/>
            <w:vAlign w:val="center"/>
          </w:tcPr>
          <w:p w14:paraId="48967309" w14:textId="0A331AC3" w:rsidR="004C631B" w:rsidRPr="009A7820" w:rsidRDefault="004C631B" w:rsidP="00351D17">
            <w:pPr>
              <w:ind w:left="0"/>
              <w:jc w:val="center"/>
              <w:rPr>
                <w:i/>
                <w:sz w:val="18"/>
                <w:szCs w:val="18"/>
                <w:lang w:val="en-US"/>
              </w:rPr>
            </w:pPr>
            <w:r>
              <w:rPr>
                <w:i/>
                <w:sz w:val="18"/>
                <w:szCs w:val="18"/>
                <w:lang w:val="en-US"/>
              </w:rPr>
              <w:t>2 600</w:t>
            </w:r>
          </w:p>
        </w:tc>
      </w:tr>
    </w:tbl>
    <w:p w14:paraId="5CA5F2EF" w14:textId="77777777" w:rsidR="00C87575" w:rsidRDefault="00C87575" w:rsidP="00F83068">
      <w:pPr>
        <w:rPr>
          <w:lang w:eastAsia="cs-CZ"/>
        </w:rPr>
        <w:sectPr w:rsidR="00C87575" w:rsidSect="00D1658B">
          <w:headerReference w:type="default" r:id="rId100"/>
          <w:footerReference w:type="default" r:id="rId101"/>
          <w:pgSz w:w="11906" w:h="16838"/>
          <w:pgMar w:top="1418" w:right="1361" w:bottom="1304" w:left="1474" w:header="709" w:footer="709" w:gutter="0"/>
          <w:cols w:space="708"/>
          <w:docGrid w:linePitch="360"/>
        </w:sectPr>
      </w:pPr>
    </w:p>
    <w:p w14:paraId="7076AA33" w14:textId="77777777" w:rsidR="00F83068" w:rsidRDefault="006A289D" w:rsidP="00E621B4">
      <w:pPr>
        <w:pStyle w:val="Nadpis2"/>
        <w:tabs>
          <w:tab w:val="clear" w:pos="709"/>
        </w:tabs>
        <w:jc w:val="both"/>
      </w:pPr>
      <w:bookmarkStart w:id="213" w:name="_Toc28951704"/>
      <w:r>
        <w:lastRenderedPageBreak/>
        <w:t>Zapojenie príslušných partnerov do prípravy operačného programu a úlohy partnerov v rámci implementácie, monitorovania a hodnotenia operačného programu</w:t>
      </w:r>
      <w:bookmarkEnd w:id="213"/>
    </w:p>
    <w:p w14:paraId="136C508E" w14:textId="77777777" w:rsidR="006A289D" w:rsidRDefault="006A289D" w:rsidP="00F14CFC">
      <w:pPr>
        <w:pStyle w:val="Tab"/>
        <w:tabs>
          <w:tab w:val="clear" w:pos="851"/>
        </w:tabs>
        <w:spacing w:after="60"/>
        <w:ind w:left="993" w:hanging="993"/>
        <w:jc w:val="both"/>
      </w:pPr>
      <w:r>
        <w:t xml:space="preserve">Prehľad zloženia a počet zástupcov Riadiaceho výboru pre prípravu Operačného programu Integrovaná infraštruktúra v programovom období 2014 </w:t>
      </w:r>
      <w:r w:rsidR="00475B10">
        <w:t>–</w:t>
      </w:r>
      <w:r>
        <w:t xml:space="preserve"> 2020</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434736" w:rsidRPr="006A289D" w14:paraId="22B8A750" w14:textId="77777777" w:rsidTr="00434736">
        <w:trPr>
          <w:trHeight w:val="284"/>
          <w:jc w:val="center"/>
        </w:trPr>
        <w:tc>
          <w:tcPr>
            <w:tcW w:w="675" w:type="dxa"/>
            <w:shd w:val="clear" w:color="auto" w:fill="C6D9F1" w:themeFill="text2" w:themeFillTint="33"/>
            <w:vAlign w:val="center"/>
          </w:tcPr>
          <w:p w14:paraId="3B17A8FC" w14:textId="77777777" w:rsidR="00434736" w:rsidRPr="006A289D" w:rsidRDefault="00434736" w:rsidP="00746F3A">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14:paraId="15BAABC2" w14:textId="77777777" w:rsidR="00434736" w:rsidRPr="006A289D" w:rsidRDefault="00434736" w:rsidP="00746F3A">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434736" w:rsidRPr="006A289D" w14:paraId="1FC06C0B" w14:textId="77777777" w:rsidTr="00434736">
        <w:trPr>
          <w:trHeight w:val="284"/>
          <w:jc w:val="center"/>
        </w:trPr>
        <w:tc>
          <w:tcPr>
            <w:tcW w:w="675" w:type="dxa"/>
            <w:vAlign w:val="center"/>
          </w:tcPr>
          <w:p w14:paraId="20F76FC5"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F87ABE3" w14:textId="77777777" w:rsidR="00434736" w:rsidRPr="006A289D" w:rsidRDefault="00434736" w:rsidP="00746F3A">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434736" w:rsidRPr="006A289D" w14:paraId="6D02A6F6" w14:textId="77777777" w:rsidTr="00434736">
        <w:trPr>
          <w:trHeight w:val="284"/>
          <w:jc w:val="center"/>
        </w:trPr>
        <w:tc>
          <w:tcPr>
            <w:tcW w:w="675" w:type="dxa"/>
            <w:vAlign w:val="center"/>
          </w:tcPr>
          <w:p w14:paraId="33FDB5FE"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73B9C81"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financií Slovenskej republiky</w:t>
            </w:r>
          </w:p>
        </w:tc>
      </w:tr>
      <w:tr w:rsidR="00434736" w:rsidRPr="006A289D" w14:paraId="2B3759DA" w14:textId="77777777" w:rsidTr="00434736">
        <w:trPr>
          <w:trHeight w:val="284"/>
          <w:jc w:val="center"/>
        </w:trPr>
        <w:tc>
          <w:tcPr>
            <w:tcW w:w="675" w:type="dxa"/>
            <w:vAlign w:val="center"/>
          </w:tcPr>
          <w:p w14:paraId="19CC23A1"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77F9F7F"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vnútra Slovenskej republiky</w:t>
            </w:r>
          </w:p>
        </w:tc>
      </w:tr>
      <w:tr w:rsidR="00434736" w:rsidRPr="006A289D" w14:paraId="0AB8F4B1" w14:textId="77777777" w:rsidTr="00434736">
        <w:trPr>
          <w:trHeight w:val="284"/>
          <w:jc w:val="center"/>
        </w:trPr>
        <w:tc>
          <w:tcPr>
            <w:tcW w:w="675" w:type="dxa"/>
            <w:vAlign w:val="center"/>
          </w:tcPr>
          <w:p w14:paraId="057EC1FC"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AE4A674"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zdravotníctva Slovenskej republiky</w:t>
            </w:r>
          </w:p>
        </w:tc>
      </w:tr>
      <w:tr w:rsidR="00434736" w:rsidRPr="006A289D" w14:paraId="497BE2B3" w14:textId="77777777" w:rsidTr="00434736">
        <w:trPr>
          <w:trHeight w:val="284"/>
          <w:jc w:val="center"/>
        </w:trPr>
        <w:tc>
          <w:tcPr>
            <w:tcW w:w="675" w:type="dxa"/>
            <w:vAlign w:val="center"/>
          </w:tcPr>
          <w:p w14:paraId="748FE198"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ECE865E"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kultúry Slovenskej republiky</w:t>
            </w:r>
          </w:p>
        </w:tc>
      </w:tr>
      <w:tr w:rsidR="00434736" w:rsidRPr="006A289D" w14:paraId="4E337DB7" w14:textId="77777777" w:rsidTr="00434736">
        <w:trPr>
          <w:trHeight w:val="284"/>
          <w:jc w:val="center"/>
        </w:trPr>
        <w:tc>
          <w:tcPr>
            <w:tcW w:w="675" w:type="dxa"/>
            <w:vAlign w:val="center"/>
          </w:tcPr>
          <w:p w14:paraId="30B4C0E0"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1580EAB"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obrany Slovenskej republiky</w:t>
            </w:r>
          </w:p>
        </w:tc>
      </w:tr>
      <w:tr w:rsidR="00434736" w:rsidRPr="006A289D" w14:paraId="2A3CF5C5" w14:textId="77777777" w:rsidTr="00434736">
        <w:trPr>
          <w:trHeight w:val="284"/>
          <w:jc w:val="center"/>
        </w:trPr>
        <w:tc>
          <w:tcPr>
            <w:tcW w:w="675" w:type="dxa"/>
            <w:vAlign w:val="center"/>
          </w:tcPr>
          <w:p w14:paraId="286AAE6C"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FB23004"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spravodlivosti Slovenskej republiky</w:t>
            </w:r>
          </w:p>
        </w:tc>
      </w:tr>
      <w:tr w:rsidR="00434736" w:rsidRPr="006A289D" w14:paraId="5D1481CC" w14:textId="77777777" w:rsidTr="00434736">
        <w:trPr>
          <w:trHeight w:val="284"/>
          <w:jc w:val="center"/>
        </w:trPr>
        <w:tc>
          <w:tcPr>
            <w:tcW w:w="675" w:type="dxa"/>
            <w:vAlign w:val="center"/>
          </w:tcPr>
          <w:p w14:paraId="7FAD5636"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7D1590B"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r>
      <w:tr w:rsidR="00434736" w:rsidRPr="006A289D" w14:paraId="6700365A" w14:textId="77777777" w:rsidTr="00434736">
        <w:trPr>
          <w:trHeight w:val="284"/>
          <w:jc w:val="center"/>
        </w:trPr>
        <w:tc>
          <w:tcPr>
            <w:tcW w:w="675" w:type="dxa"/>
            <w:vAlign w:val="center"/>
          </w:tcPr>
          <w:p w14:paraId="76C44559"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2A56A28"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r>
      <w:tr w:rsidR="00434736" w:rsidRPr="006A289D" w14:paraId="1381E040" w14:textId="77777777" w:rsidTr="00434736">
        <w:trPr>
          <w:trHeight w:val="284"/>
          <w:jc w:val="center"/>
        </w:trPr>
        <w:tc>
          <w:tcPr>
            <w:tcW w:w="675" w:type="dxa"/>
            <w:vAlign w:val="center"/>
          </w:tcPr>
          <w:p w14:paraId="0E32144F"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241C69C"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r>
      <w:tr w:rsidR="00434736" w:rsidRPr="006A289D" w14:paraId="75FBAAC7" w14:textId="77777777" w:rsidTr="00434736">
        <w:trPr>
          <w:trHeight w:val="284"/>
          <w:jc w:val="center"/>
        </w:trPr>
        <w:tc>
          <w:tcPr>
            <w:tcW w:w="675" w:type="dxa"/>
            <w:vAlign w:val="center"/>
          </w:tcPr>
          <w:p w14:paraId="7884C5FF"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8ACC42C"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práce, sociálnych vecí a rodiny Slovenskej republiky</w:t>
            </w:r>
          </w:p>
        </w:tc>
      </w:tr>
      <w:tr w:rsidR="00434736" w:rsidRPr="006A289D" w14:paraId="0DDE6461" w14:textId="77777777" w:rsidTr="00434736">
        <w:trPr>
          <w:trHeight w:val="284"/>
          <w:jc w:val="center"/>
        </w:trPr>
        <w:tc>
          <w:tcPr>
            <w:tcW w:w="675" w:type="dxa"/>
            <w:vAlign w:val="center"/>
          </w:tcPr>
          <w:p w14:paraId="52D394A5"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9FA5DA1"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Úrad vlády Slovenskej republiky</w:t>
            </w:r>
          </w:p>
        </w:tc>
      </w:tr>
      <w:tr w:rsidR="00434736" w:rsidRPr="006A289D" w14:paraId="17D2A6D4" w14:textId="77777777" w:rsidTr="00434736">
        <w:trPr>
          <w:trHeight w:val="284"/>
          <w:jc w:val="center"/>
        </w:trPr>
        <w:tc>
          <w:tcPr>
            <w:tcW w:w="675" w:type="dxa"/>
            <w:vAlign w:val="center"/>
          </w:tcPr>
          <w:p w14:paraId="27BDA253"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1090FC3" w14:textId="77777777" w:rsidR="00434736" w:rsidRPr="006A289D" w:rsidRDefault="00434736" w:rsidP="00746F3A">
            <w:pPr>
              <w:autoSpaceDE w:val="0"/>
              <w:autoSpaceDN w:val="0"/>
              <w:adjustRightInd w:val="0"/>
              <w:ind w:left="0"/>
              <w:jc w:val="both"/>
              <w:rPr>
                <w:color w:val="000000"/>
                <w:sz w:val="18"/>
                <w:szCs w:val="18"/>
              </w:rPr>
            </w:pPr>
            <w:r w:rsidRPr="006A289D">
              <w:rPr>
                <w:color w:val="000000"/>
                <w:sz w:val="18"/>
                <w:szCs w:val="18"/>
              </w:rPr>
              <w:t>Zástupca mimovládnych neziskových organizácií na základe</w:t>
            </w:r>
            <w:r>
              <w:rPr>
                <w:color w:val="000000"/>
                <w:sz w:val="18"/>
                <w:szCs w:val="18"/>
              </w:rPr>
              <w:t xml:space="preserve"> nominácie </w:t>
            </w:r>
            <w:r w:rsidRPr="006A289D">
              <w:rPr>
                <w:color w:val="000000"/>
                <w:sz w:val="18"/>
                <w:szCs w:val="18"/>
              </w:rPr>
              <w:t>Úradu splnomocnenca vlády SR pre rozvoj občianskej spoločnosti</w:t>
            </w:r>
          </w:p>
        </w:tc>
      </w:tr>
      <w:tr w:rsidR="00434736" w:rsidRPr="006A289D" w14:paraId="2E094259" w14:textId="77777777" w:rsidTr="00434736">
        <w:trPr>
          <w:trHeight w:val="284"/>
          <w:jc w:val="center"/>
        </w:trPr>
        <w:tc>
          <w:tcPr>
            <w:tcW w:w="675" w:type="dxa"/>
            <w:vAlign w:val="center"/>
          </w:tcPr>
          <w:p w14:paraId="0756C8D1"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762BD70"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Združenie samosprávnych krajov SK8</w:t>
            </w:r>
          </w:p>
        </w:tc>
      </w:tr>
      <w:tr w:rsidR="00434736" w:rsidRPr="006A289D" w14:paraId="3F35485C" w14:textId="77777777" w:rsidTr="00434736">
        <w:trPr>
          <w:trHeight w:val="284"/>
          <w:jc w:val="center"/>
        </w:trPr>
        <w:tc>
          <w:tcPr>
            <w:tcW w:w="675" w:type="dxa"/>
            <w:vAlign w:val="center"/>
          </w:tcPr>
          <w:p w14:paraId="34432201" w14:textId="77777777" w:rsidR="00434736" w:rsidRPr="006A289D" w:rsidRDefault="00434736" w:rsidP="00F14CFC">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E7C59C2"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Združenie miest a obcí Slovenska</w:t>
            </w:r>
          </w:p>
        </w:tc>
      </w:tr>
    </w:tbl>
    <w:p w14:paraId="6AC28561" w14:textId="780BA112" w:rsidR="00434736" w:rsidRPr="007F3EF4" w:rsidRDefault="00434736" w:rsidP="00434736">
      <w:pPr>
        <w:pStyle w:val="06Normal"/>
      </w:pPr>
      <w:r w:rsidRPr="007F3EF4">
        <w:t>Prehľad zloženia a počet zástupcov Riadiaceho výboru pre prípravu Operačného programu Integrovaná infraštruktúra v programovom období 2014 - 2020 v členení na počet zástupcov a počet zástupcov s hlasovacím právom je uvedený v tab. 1</w:t>
      </w:r>
      <w:r>
        <w:t>54</w:t>
      </w:r>
      <w:r w:rsidRPr="007F3EF4">
        <w:t xml:space="preserve"> v Prílohe </w:t>
      </w:r>
      <w:r>
        <w:t>21</w:t>
      </w:r>
      <w:r w:rsidRPr="007F3EF4">
        <w:t>.</w:t>
      </w:r>
    </w:p>
    <w:p w14:paraId="5E1960A8" w14:textId="77777777" w:rsidR="00582B63" w:rsidRDefault="00582B63" w:rsidP="00F14CFC">
      <w:pPr>
        <w:pStyle w:val="Tab"/>
        <w:tabs>
          <w:tab w:val="clear" w:pos="851"/>
        </w:tabs>
        <w:spacing w:before="240" w:after="60"/>
        <w:ind w:left="993" w:hanging="993"/>
        <w:jc w:val="both"/>
      </w:pPr>
      <w:r>
        <w:t>Prehľad zloženia a počet zástupcov Pracovnej skupiny pre programovanie v sektore doprava v programovom období 2014 – 2020</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434736" w:rsidRPr="006A289D" w14:paraId="4C161768" w14:textId="77777777" w:rsidTr="00434736">
        <w:trPr>
          <w:trHeight w:val="284"/>
          <w:jc w:val="center"/>
        </w:trPr>
        <w:tc>
          <w:tcPr>
            <w:tcW w:w="675" w:type="dxa"/>
            <w:shd w:val="clear" w:color="auto" w:fill="C6D9F1" w:themeFill="text2" w:themeFillTint="33"/>
            <w:vAlign w:val="center"/>
          </w:tcPr>
          <w:p w14:paraId="6B6176EB" w14:textId="77777777" w:rsidR="00434736" w:rsidRPr="006A289D" w:rsidRDefault="00434736" w:rsidP="00746F3A">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14:paraId="151C0864" w14:textId="77777777" w:rsidR="00434736" w:rsidRPr="006A289D" w:rsidRDefault="00434736" w:rsidP="00746F3A">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434736" w:rsidRPr="006A289D" w14:paraId="17325BBB" w14:textId="77777777" w:rsidTr="00434736">
        <w:trPr>
          <w:trHeight w:val="284"/>
          <w:jc w:val="center"/>
        </w:trPr>
        <w:tc>
          <w:tcPr>
            <w:tcW w:w="675" w:type="dxa"/>
            <w:vAlign w:val="center"/>
          </w:tcPr>
          <w:p w14:paraId="068CC5D4" w14:textId="77777777" w:rsidR="00434736"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18E0FB5" w14:textId="77777777" w:rsidR="00434736" w:rsidRDefault="00434736" w:rsidP="00746F3A">
            <w:pPr>
              <w:widowControl w:val="0"/>
              <w:tabs>
                <w:tab w:val="left" w:pos="0"/>
                <w:tab w:val="left" w:pos="851"/>
              </w:tabs>
              <w:adjustRightInd w:val="0"/>
              <w:ind w:left="454" w:hanging="454"/>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434736" w:rsidRPr="006A289D" w14:paraId="5898B95F" w14:textId="77777777" w:rsidTr="00434736">
        <w:trPr>
          <w:trHeight w:val="284"/>
          <w:jc w:val="center"/>
        </w:trPr>
        <w:tc>
          <w:tcPr>
            <w:tcW w:w="675" w:type="dxa"/>
            <w:vAlign w:val="center"/>
          </w:tcPr>
          <w:p w14:paraId="01F5DBE5"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50019431" w14:textId="77777777" w:rsidR="00434736" w:rsidRPr="006A289D" w:rsidRDefault="00434736" w:rsidP="00746F3A">
            <w:pPr>
              <w:autoSpaceDE w:val="0"/>
              <w:autoSpaceDN w:val="0"/>
              <w:adjustRightInd w:val="0"/>
              <w:ind w:hanging="1080"/>
              <w:rPr>
                <w:color w:val="000000"/>
                <w:sz w:val="18"/>
                <w:szCs w:val="18"/>
              </w:rPr>
            </w:pPr>
            <w:r>
              <w:rPr>
                <w:snapToGrid w:val="0"/>
                <w:sz w:val="18"/>
                <w:szCs w:val="18"/>
                <w:lang w:eastAsia="cs-CZ"/>
              </w:rPr>
              <w:t>Ministerstvo životného prostredia Slovenskej republiky</w:t>
            </w:r>
          </w:p>
        </w:tc>
      </w:tr>
      <w:tr w:rsidR="00434736" w14:paraId="1042CB2E" w14:textId="77777777" w:rsidTr="00434736">
        <w:trPr>
          <w:trHeight w:val="284"/>
          <w:jc w:val="center"/>
        </w:trPr>
        <w:tc>
          <w:tcPr>
            <w:tcW w:w="675" w:type="dxa"/>
            <w:vAlign w:val="center"/>
          </w:tcPr>
          <w:p w14:paraId="760C5FA7"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53BE8A52" w14:textId="0955C9E2" w:rsidR="00434736" w:rsidRDefault="00434736" w:rsidP="008C1738">
            <w:pPr>
              <w:autoSpaceDE w:val="0"/>
              <w:autoSpaceDN w:val="0"/>
              <w:adjustRightInd w:val="0"/>
              <w:ind w:hanging="1080"/>
              <w:rPr>
                <w:snapToGrid w:val="0"/>
                <w:sz w:val="18"/>
                <w:szCs w:val="18"/>
                <w:lang w:eastAsia="cs-CZ"/>
              </w:rPr>
            </w:pPr>
            <w:r>
              <w:rPr>
                <w:snapToGrid w:val="0"/>
                <w:sz w:val="18"/>
                <w:szCs w:val="18"/>
                <w:lang w:eastAsia="cs-CZ"/>
              </w:rPr>
              <w:t>Národná diaľničná spoločnosť, a. s.</w:t>
            </w:r>
          </w:p>
        </w:tc>
      </w:tr>
      <w:tr w:rsidR="00434736" w:rsidRPr="006A289D" w14:paraId="29373299" w14:textId="77777777" w:rsidTr="00434736">
        <w:trPr>
          <w:trHeight w:val="284"/>
          <w:jc w:val="center"/>
        </w:trPr>
        <w:tc>
          <w:tcPr>
            <w:tcW w:w="675" w:type="dxa"/>
            <w:vAlign w:val="center"/>
          </w:tcPr>
          <w:p w14:paraId="6D79700F"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6CCF32C" w14:textId="77777777" w:rsidR="00434736" w:rsidRPr="006A289D" w:rsidRDefault="00434736" w:rsidP="00746F3A">
            <w:pPr>
              <w:autoSpaceDE w:val="0"/>
              <w:autoSpaceDN w:val="0"/>
              <w:adjustRightInd w:val="0"/>
              <w:ind w:left="0"/>
              <w:rPr>
                <w:color w:val="000000"/>
                <w:sz w:val="18"/>
                <w:szCs w:val="18"/>
              </w:rPr>
            </w:pPr>
            <w:r>
              <w:rPr>
                <w:color w:val="000000"/>
                <w:sz w:val="18"/>
                <w:szCs w:val="18"/>
              </w:rPr>
              <w:t>Slovenská správa ciest</w:t>
            </w:r>
          </w:p>
        </w:tc>
      </w:tr>
      <w:tr w:rsidR="00434736" w:rsidRPr="006A289D" w14:paraId="77ECECA0" w14:textId="77777777" w:rsidTr="00434736">
        <w:trPr>
          <w:trHeight w:val="284"/>
          <w:jc w:val="center"/>
        </w:trPr>
        <w:tc>
          <w:tcPr>
            <w:tcW w:w="675" w:type="dxa"/>
            <w:vAlign w:val="center"/>
          </w:tcPr>
          <w:p w14:paraId="459CEF2C"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09051CA" w14:textId="77777777" w:rsidR="00434736" w:rsidRPr="006A289D" w:rsidRDefault="00434736" w:rsidP="00746F3A">
            <w:pPr>
              <w:autoSpaceDE w:val="0"/>
              <w:autoSpaceDN w:val="0"/>
              <w:adjustRightInd w:val="0"/>
              <w:ind w:left="0"/>
              <w:rPr>
                <w:color w:val="000000"/>
                <w:sz w:val="18"/>
                <w:szCs w:val="18"/>
              </w:rPr>
            </w:pPr>
            <w:r>
              <w:rPr>
                <w:color w:val="000000"/>
                <w:sz w:val="18"/>
                <w:szCs w:val="18"/>
              </w:rPr>
              <w:t>Železnice Slovenskej republiky</w:t>
            </w:r>
          </w:p>
        </w:tc>
      </w:tr>
      <w:tr w:rsidR="00434736" w:rsidRPr="006A289D" w14:paraId="22C07577" w14:textId="77777777" w:rsidTr="00434736">
        <w:trPr>
          <w:trHeight w:val="284"/>
          <w:jc w:val="center"/>
        </w:trPr>
        <w:tc>
          <w:tcPr>
            <w:tcW w:w="675" w:type="dxa"/>
            <w:vAlign w:val="center"/>
          </w:tcPr>
          <w:p w14:paraId="573E9ECC"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85EEEE0" w14:textId="77777777" w:rsidR="00434736" w:rsidRPr="006A289D" w:rsidRDefault="00434736" w:rsidP="00746F3A">
            <w:pPr>
              <w:autoSpaceDE w:val="0"/>
              <w:autoSpaceDN w:val="0"/>
              <w:adjustRightInd w:val="0"/>
              <w:ind w:left="0"/>
              <w:rPr>
                <w:color w:val="000000"/>
                <w:sz w:val="18"/>
                <w:szCs w:val="18"/>
              </w:rPr>
            </w:pPr>
            <w:r>
              <w:rPr>
                <w:color w:val="000000"/>
                <w:sz w:val="18"/>
                <w:szCs w:val="18"/>
              </w:rPr>
              <w:t>Železničná spoločnosť Cargo Slovakia, a. s.</w:t>
            </w:r>
          </w:p>
        </w:tc>
      </w:tr>
      <w:tr w:rsidR="00434736" w:rsidRPr="006A289D" w14:paraId="6433B498" w14:textId="77777777" w:rsidTr="00434736">
        <w:trPr>
          <w:trHeight w:val="284"/>
          <w:jc w:val="center"/>
        </w:trPr>
        <w:tc>
          <w:tcPr>
            <w:tcW w:w="675" w:type="dxa"/>
            <w:vAlign w:val="center"/>
          </w:tcPr>
          <w:p w14:paraId="4C671B9D"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A9B3785" w14:textId="77777777" w:rsidR="00434736" w:rsidRPr="006A289D" w:rsidRDefault="00434736" w:rsidP="00746F3A">
            <w:pPr>
              <w:autoSpaceDE w:val="0"/>
              <w:autoSpaceDN w:val="0"/>
              <w:adjustRightInd w:val="0"/>
              <w:ind w:left="0"/>
              <w:rPr>
                <w:color w:val="000000"/>
                <w:sz w:val="18"/>
                <w:szCs w:val="18"/>
              </w:rPr>
            </w:pPr>
            <w:r>
              <w:rPr>
                <w:color w:val="000000"/>
                <w:sz w:val="18"/>
                <w:szCs w:val="18"/>
              </w:rPr>
              <w:t>Letisko M. R. Štefánika – Airport Slovakia, a. s.</w:t>
            </w:r>
          </w:p>
        </w:tc>
      </w:tr>
      <w:tr w:rsidR="00434736" w:rsidRPr="006A289D" w14:paraId="558544E0" w14:textId="77777777" w:rsidTr="00434736">
        <w:trPr>
          <w:trHeight w:val="284"/>
          <w:jc w:val="center"/>
        </w:trPr>
        <w:tc>
          <w:tcPr>
            <w:tcW w:w="675" w:type="dxa"/>
            <w:vAlign w:val="center"/>
          </w:tcPr>
          <w:p w14:paraId="2EA41FA9"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95F5435" w14:textId="77777777" w:rsidR="00434736" w:rsidRPr="006A289D" w:rsidRDefault="00434736" w:rsidP="00746F3A">
            <w:pPr>
              <w:autoSpaceDE w:val="0"/>
              <w:autoSpaceDN w:val="0"/>
              <w:adjustRightInd w:val="0"/>
              <w:ind w:left="0"/>
              <w:rPr>
                <w:color w:val="000000"/>
                <w:sz w:val="18"/>
                <w:szCs w:val="18"/>
              </w:rPr>
            </w:pPr>
            <w:r>
              <w:rPr>
                <w:color w:val="000000"/>
                <w:sz w:val="18"/>
                <w:szCs w:val="18"/>
              </w:rPr>
              <w:t>Letisko Poprad – Tatry, a. s.</w:t>
            </w:r>
          </w:p>
        </w:tc>
      </w:tr>
      <w:tr w:rsidR="00434736" w:rsidRPr="006A289D" w14:paraId="5033E435" w14:textId="77777777" w:rsidTr="00434736">
        <w:trPr>
          <w:trHeight w:val="284"/>
          <w:jc w:val="center"/>
        </w:trPr>
        <w:tc>
          <w:tcPr>
            <w:tcW w:w="675" w:type="dxa"/>
            <w:vAlign w:val="center"/>
          </w:tcPr>
          <w:p w14:paraId="74B020EF"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3EC6FAE" w14:textId="77777777" w:rsidR="00434736" w:rsidRPr="006A289D" w:rsidRDefault="00434736" w:rsidP="00746F3A">
            <w:pPr>
              <w:autoSpaceDE w:val="0"/>
              <w:autoSpaceDN w:val="0"/>
              <w:adjustRightInd w:val="0"/>
              <w:ind w:left="0"/>
              <w:rPr>
                <w:color w:val="000000"/>
                <w:sz w:val="18"/>
                <w:szCs w:val="18"/>
              </w:rPr>
            </w:pPr>
            <w:r>
              <w:rPr>
                <w:color w:val="000000"/>
                <w:sz w:val="18"/>
                <w:szCs w:val="18"/>
              </w:rPr>
              <w:t>Letisková spoločnosť Žilina, a. s.</w:t>
            </w:r>
          </w:p>
        </w:tc>
      </w:tr>
      <w:tr w:rsidR="00434736" w:rsidRPr="006A289D" w14:paraId="375941DF" w14:textId="77777777" w:rsidTr="00434736">
        <w:trPr>
          <w:trHeight w:val="284"/>
          <w:jc w:val="center"/>
        </w:trPr>
        <w:tc>
          <w:tcPr>
            <w:tcW w:w="675" w:type="dxa"/>
            <w:vAlign w:val="center"/>
          </w:tcPr>
          <w:p w14:paraId="71C6AEFA"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E3391F9" w14:textId="77777777" w:rsidR="00434736" w:rsidRPr="006A289D" w:rsidRDefault="00434736" w:rsidP="00746F3A">
            <w:pPr>
              <w:autoSpaceDE w:val="0"/>
              <w:autoSpaceDN w:val="0"/>
              <w:adjustRightInd w:val="0"/>
              <w:ind w:left="0"/>
              <w:rPr>
                <w:color w:val="000000"/>
                <w:sz w:val="18"/>
                <w:szCs w:val="18"/>
              </w:rPr>
            </w:pPr>
            <w:r>
              <w:rPr>
                <w:color w:val="000000"/>
                <w:sz w:val="18"/>
                <w:szCs w:val="18"/>
              </w:rPr>
              <w:t>Letisko Piešťany, a. s.</w:t>
            </w:r>
          </w:p>
        </w:tc>
      </w:tr>
      <w:tr w:rsidR="00434736" w:rsidRPr="006A289D" w14:paraId="1EBF1321" w14:textId="77777777" w:rsidTr="00434736">
        <w:trPr>
          <w:trHeight w:val="284"/>
          <w:jc w:val="center"/>
        </w:trPr>
        <w:tc>
          <w:tcPr>
            <w:tcW w:w="675" w:type="dxa"/>
            <w:vAlign w:val="center"/>
          </w:tcPr>
          <w:p w14:paraId="7640E72B"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2F150B0" w14:textId="77777777" w:rsidR="00434736" w:rsidRPr="006A289D" w:rsidRDefault="00434736" w:rsidP="00746F3A">
            <w:pPr>
              <w:autoSpaceDE w:val="0"/>
              <w:autoSpaceDN w:val="0"/>
              <w:adjustRightInd w:val="0"/>
              <w:ind w:left="0"/>
              <w:rPr>
                <w:color w:val="000000"/>
                <w:sz w:val="18"/>
                <w:szCs w:val="18"/>
              </w:rPr>
            </w:pPr>
            <w:r>
              <w:rPr>
                <w:color w:val="000000"/>
                <w:sz w:val="18"/>
                <w:szCs w:val="18"/>
              </w:rPr>
              <w:t>Letisko Sliač, a. s.</w:t>
            </w:r>
          </w:p>
        </w:tc>
      </w:tr>
      <w:tr w:rsidR="00434736" w:rsidRPr="006A289D" w14:paraId="03B432D0" w14:textId="77777777" w:rsidTr="00434736">
        <w:trPr>
          <w:trHeight w:val="284"/>
          <w:jc w:val="center"/>
        </w:trPr>
        <w:tc>
          <w:tcPr>
            <w:tcW w:w="675" w:type="dxa"/>
            <w:vAlign w:val="center"/>
          </w:tcPr>
          <w:p w14:paraId="234D8CC4"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11E0262" w14:textId="77777777" w:rsidR="00434736" w:rsidRPr="006A289D" w:rsidRDefault="00434736" w:rsidP="00746F3A">
            <w:pPr>
              <w:autoSpaceDE w:val="0"/>
              <w:autoSpaceDN w:val="0"/>
              <w:adjustRightInd w:val="0"/>
              <w:ind w:left="0"/>
              <w:rPr>
                <w:color w:val="000000"/>
                <w:sz w:val="18"/>
                <w:szCs w:val="18"/>
              </w:rPr>
            </w:pPr>
            <w:r>
              <w:rPr>
                <w:color w:val="000000"/>
                <w:sz w:val="18"/>
                <w:szCs w:val="18"/>
              </w:rPr>
              <w:t>Agentúra na podporu rozvoja vodnej dopravy</w:t>
            </w:r>
          </w:p>
        </w:tc>
      </w:tr>
      <w:tr w:rsidR="00434736" w:rsidRPr="006A289D" w14:paraId="2B04F73B" w14:textId="77777777" w:rsidTr="00434736">
        <w:trPr>
          <w:trHeight w:val="284"/>
          <w:jc w:val="center"/>
        </w:trPr>
        <w:tc>
          <w:tcPr>
            <w:tcW w:w="675" w:type="dxa"/>
            <w:vAlign w:val="center"/>
          </w:tcPr>
          <w:p w14:paraId="330E1A33"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F0FD8B0" w14:textId="77777777" w:rsidR="00434736" w:rsidRDefault="00434736" w:rsidP="00746F3A">
            <w:pPr>
              <w:autoSpaceDE w:val="0"/>
              <w:autoSpaceDN w:val="0"/>
              <w:adjustRightInd w:val="0"/>
              <w:ind w:hanging="1080"/>
              <w:rPr>
                <w:color w:val="000000"/>
                <w:sz w:val="18"/>
                <w:szCs w:val="18"/>
              </w:rPr>
            </w:pPr>
            <w:r>
              <w:rPr>
                <w:color w:val="000000"/>
                <w:sz w:val="18"/>
                <w:szCs w:val="18"/>
              </w:rPr>
              <w:t>Verejné prístavy, a. s.</w:t>
            </w:r>
          </w:p>
        </w:tc>
      </w:tr>
      <w:tr w:rsidR="00434736" w14:paraId="22E9907D" w14:textId="77777777" w:rsidTr="00434736">
        <w:trPr>
          <w:trHeight w:val="284"/>
          <w:jc w:val="center"/>
        </w:trPr>
        <w:tc>
          <w:tcPr>
            <w:tcW w:w="675" w:type="dxa"/>
            <w:vAlign w:val="center"/>
          </w:tcPr>
          <w:p w14:paraId="788D5D5C"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24384D6" w14:textId="77777777" w:rsidR="00434736" w:rsidRDefault="00434736" w:rsidP="00746F3A">
            <w:pPr>
              <w:autoSpaceDE w:val="0"/>
              <w:autoSpaceDN w:val="0"/>
              <w:adjustRightInd w:val="0"/>
              <w:ind w:hanging="1080"/>
              <w:rPr>
                <w:color w:val="000000"/>
                <w:sz w:val="18"/>
                <w:szCs w:val="18"/>
              </w:rPr>
            </w:pPr>
            <w:r>
              <w:rPr>
                <w:color w:val="000000"/>
                <w:sz w:val="18"/>
                <w:szCs w:val="18"/>
              </w:rPr>
              <w:t>JASPERS</w:t>
            </w:r>
          </w:p>
        </w:tc>
      </w:tr>
      <w:tr w:rsidR="00434736" w14:paraId="2A2A806F" w14:textId="77777777" w:rsidTr="00434736">
        <w:trPr>
          <w:trHeight w:val="284"/>
          <w:jc w:val="center"/>
        </w:trPr>
        <w:tc>
          <w:tcPr>
            <w:tcW w:w="675" w:type="dxa"/>
            <w:vAlign w:val="center"/>
          </w:tcPr>
          <w:p w14:paraId="7558DD4E"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D2EE7A1" w14:textId="77777777" w:rsidR="00434736" w:rsidRDefault="00434736" w:rsidP="00746F3A">
            <w:pPr>
              <w:autoSpaceDE w:val="0"/>
              <w:autoSpaceDN w:val="0"/>
              <w:adjustRightInd w:val="0"/>
              <w:ind w:hanging="1080"/>
              <w:rPr>
                <w:color w:val="000000"/>
                <w:sz w:val="18"/>
                <w:szCs w:val="18"/>
              </w:rPr>
            </w:pPr>
            <w:r>
              <w:rPr>
                <w:color w:val="000000"/>
                <w:sz w:val="18"/>
                <w:szCs w:val="18"/>
              </w:rPr>
              <w:t>Hlavné mesto SR Bratislava</w:t>
            </w:r>
          </w:p>
        </w:tc>
      </w:tr>
      <w:tr w:rsidR="00434736" w:rsidRPr="006A289D" w14:paraId="3B1CF92D" w14:textId="77777777" w:rsidTr="00434736">
        <w:trPr>
          <w:trHeight w:val="284"/>
          <w:jc w:val="center"/>
        </w:trPr>
        <w:tc>
          <w:tcPr>
            <w:tcW w:w="675" w:type="dxa"/>
            <w:vAlign w:val="center"/>
          </w:tcPr>
          <w:p w14:paraId="3B8DEAB5"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E71E710" w14:textId="77777777" w:rsidR="00434736" w:rsidRPr="006A289D" w:rsidRDefault="00434736" w:rsidP="00746F3A">
            <w:pPr>
              <w:autoSpaceDE w:val="0"/>
              <w:autoSpaceDN w:val="0"/>
              <w:adjustRightInd w:val="0"/>
              <w:ind w:left="0"/>
              <w:rPr>
                <w:color w:val="000000"/>
                <w:sz w:val="18"/>
                <w:szCs w:val="18"/>
              </w:rPr>
            </w:pPr>
            <w:r>
              <w:rPr>
                <w:color w:val="000000"/>
                <w:sz w:val="18"/>
                <w:szCs w:val="18"/>
              </w:rPr>
              <w:t>Mesto Košice</w:t>
            </w:r>
          </w:p>
        </w:tc>
      </w:tr>
      <w:tr w:rsidR="00434736" w:rsidRPr="006A289D" w14:paraId="49936C47" w14:textId="77777777" w:rsidTr="00434736">
        <w:trPr>
          <w:trHeight w:val="284"/>
          <w:jc w:val="center"/>
        </w:trPr>
        <w:tc>
          <w:tcPr>
            <w:tcW w:w="675" w:type="dxa"/>
            <w:vAlign w:val="center"/>
          </w:tcPr>
          <w:p w14:paraId="61900E03"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E7671B0" w14:textId="77777777" w:rsidR="00434736" w:rsidRPr="006A289D" w:rsidRDefault="00434736" w:rsidP="00746F3A">
            <w:pPr>
              <w:autoSpaceDE w:val="0"/>
              <w:autoSpaceDN w:val="0"/>
              <w:adjustRightInd w:val="0"/>
              <w:ind w:hanging="1080"/>
              <w:rPr>
                <w:color w:val="000000"/>
                <w:sz w:val="18"/>
                <w:szCs w:val="18"/>
              </w:rPr>
            </w:pPr>
            <w:r>
              <w:rPr>
                <w:color w:val="000000"/>
                <w:sz w:val="18"/>
                <w:szCs w:val="18"/>
              </w:rPr>
              <w:t>Mesto Prešov</w:t>
            </w:r>
          </w:p>
        </w:tc>
      </w:tr>
      <w:tr w:rsidR="00434736" w14:paraId="7102C748" w14:textId="77777777" w:rsidTr="00434736">
        <w:trPr>
          <w:trHeight w:val="284"/>
          <w:jc w:val="center"/>
        </w:trPr>
        <w:tc>
          <w:tcPr>
            <w:tcW w:w="675" w:type="dxa"/>
            <w:vAlign w:val="center"/>
          </w:tcPr>
          <w:p w14:paraId="37ADB211"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D94FA96" w14:textId="77777777" w:rsidR="00434736" w:rsidRDefault="00434736" w:rsidP="00746F3A">
            <w:pPr>
              <w:autoSpaceDE w:val="0"/>
              <w:autoSpaceDN w:val="0"/>
              <w:adjustRightInd w:val="0"/>
              <w:ind w:hanging="1080"/>
              <w:rPr>
                <w:color w:val="000000"/>
                <w:sz w:val="18"/>
                <w:szCs w:val="18"/>
              </w:rPr>
            </w:pPr>
            <w:r>
              <w:rPr>
                <w:color w:val="000000"/>
                <w:sz w:val="18"/>
                <w:szCs w:val="18"/>
              </w:rPr>
              <w:t>Mesto Žilina</w:t>
            </w:r>
          </w:p>
        </w:tc>
      </w:tr>
      <w:tr w:rsidR="00434736" w14:paraId="1EDCE68F" w14:textId="77777777" w:rsidTr="00434736">
        <w:trPr>
          <w:trHeight w:val="284"/>
          <w:jc w:val="center"/>
        </w:trPr>
        <w:tc>
          <w:tcPr>
            <w:tcW w:w="675" w:type="dxa"/>
            <w:vAlign w:val="center"/>
          </w:tcPr>
          <w:p w14:paraId="12A411C4"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B4A4260" w14:textId="77777777" w:rsidR="00434736" w:rsidRDefault="00434736" w:rsidP="00746F3A">
            <w:pPr>
              <w:autoSpaceDE w:val="0"/>
              <w:autoSpaceDN w:val="0"/>
              <w:adjustRightInd w:val="0"/>
              <w:ind w:hanging="1080"/>
              <w:rPr>
                <w:color w:val="000000"/>
                <w:sz w:val="18"/>
                <w:szCs w:val="18"/>
              </w:rPr>
            </w:pPr>
            <w:r>
              <w:rPr>
                <w:color w:val="000000"/>
                <w:sz w:val="18"/>
                <w:szCs w:val="18"/>
              </w:rPr>
              <w:t xml:space="preserve">Úrad Bratislavského samosprávneho kraja </w:t>
            </w:r>
          </w:p>
        </w:tc>
      </w:tr>
      <w:tr w:rsidR="00434736" w14:paraId="5621A5F2" w14:textId="77777777" w:rsidTr="00434736">
        <w:trPr>
          <w:trHeight w:val="284"/>
          <w:jc w:val="center"/>
        </w:trPr>
        <w:tc>
          <w:tcPr>
            <w:tcW w:w="675" w:type="dxa"/>
            <w:vAlign w:val="center"/>
          </w:tcPr>
          <w:p w14:paraId="1B85B14D"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2EF9709" w14:textId="77777777" w:rsidR="00434736" w:rsidRDefault="00434736" w:rsidP="00746F3A">
            <w:pPr>
              <w:autoSpaceDE w:val="0"/>
              <w:autoSpaceDN w:val="0"/>
              <w:adjustRightInd w:val="0"/>
              <w:ind w:hanging="1080"/>
              <w:rPr>
                <w:color w:val="000000"/>
                <w:sz w:val="18"/>
                <w:szCs w:val="18"/>
              </w:rPr>
            </w:pPr>
            <w:r>
              <w:rPr>
                <w:color w:val="000000"/>
                <w:sz w:val="18"/>
                <w:szCs w:val="18"/>
              </w:rPr>
              <w:t>Úrad Banskobystrického samosprávneho kraja</w:t>
            </w:r>
          </w:p>
        </w:tc>
      </w:tr>
      <w:tr w:rsidR="00434736" w14:paraId="6DA0165D" w14:textId="77777777" w:rsidTr="00434736">
        <w:trPr>
          <w:trHeight w:val="284"/>
          <w:jc w:val="center"/>
        </w:trPr>
        <w:tc>
          <w:tcPr>
            <w:tcW w:w="675" w:type="dxa"/>
            <w:vAlign w:val="center"/>
          </w:tcPr>
          <w:p w14:paraId="63E829BA"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5C95A53A" w14:textId="77777777" w:rsidR="00434736" w:rsidRDefault="00434736" w:rsidP="00746F3A">
            <w:pPr>
              <w:autoSpaceDE w:val="0"/>
              <w:autoSpaceDN w:val="0"/>
              <w:adjustRightInd w:val="0"/>
              <w:ind w:hanging="1080"/>
              <w:rPr>
                <w:color w:val="000000"/>
                <w:sz w:val="18"/>
                <w:szCs w:val="18"/>
              </w:rPr>
            </w:pPr>
            <w:r>
              <w:rPr>
                <w:color w:val="000000"/>
                <w:sz w:val="18"/>
                <w:szCs w:val="18"/>
              </w:rPr>
              <w:t>Úrad Košického samosprávneho kraja</w:t>
            </w:r>
          </w:p>
        </w:tc>
      </w:tr>
      <w:tr w:rsidR="00434736" w14:paraId="6E588871" w14:textId="77777777" w:rsidTr="00434736">
        <w:trPr>
          <w:trHeight w:val="284"/>
          <w:jc w:val="center"/>
        </w:trPr>
        <w:tc>
          <w:tcPr>
            <w:tcW w:w="675" w:type="dxa"/>
            <w:vAlign w:val="center"/>
          </w:tcPr>
          <w:p w14:paraId="3186DE1B"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E037014" w14:textId="77777777" w:rsidR="00434736" w:rsidRDefault="00434736" w:rsidP="00746F3A">
            <w:pPr>
              <w:autoSpaceDE w:val="0"/>
              <w:autoSpaceDN w:val="0"/>
              <w:adjustRightInd w:val="0"/>
              <w:ind w:hanging="1080"/>
              <w:rPr>
                <w:color w:val="000000"/>
                <w:sz w:val="18"/>
                <w:szCs w:val="18"/>
              </w:rPr>
            </w:pPr>
            <w:r>
              <w:rPr>
                <w:color w:val="000000"/>
                <w:sz w:val="18"/>
                <w:szCs w:val="18"/>
              </w:rPr>
              <w:t>Úrad Nitrianskeho</w:t>
            </w:r>
            <w:r w:rsidRPr="006A54F9">
              <w:rPr>
                <w:color w:val="000000"/>
                <w:sz w:val="18"/>
                <w:szCs w:val="18"/>
              </w:rPr>
              <w:t xml:space="preserve"> samosprávneho kraja </w:t>
            </w:r>
          </w:p>
        </w:tc>
      </w:tr>
      <w:tr w:rsidR="00434736" w14:paraId="630C529D" w14:textId="77777777" w:rsidTr="00434736">
        <w:trPr>
          <w:trHeight w:val="284"/>
          <w:jc w:val="center"/>
        </w:trPr>
        <w:tc>
          <w:tcPr>
            <w:tcW w:w="675" w:type="dxa"/>
            <w:vAlign w:val="center"/>
          </w:tcPr>
          <w:p w14:paraId="55775B39"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5EF3836E" w14:textId="77777777" w:rsidR="00434736" w:rsidRDefault="00434736" w:rsidP="00746F3A">
            <w:pPr>
              <w:autoSpaceDE w:val="0"/>
              <w:autoSpaceDN w:val="0"/>
              <w:adjustRightInd w:val="0"/>
              <w:ind w:hanging="1080"/>
              <w:rPr>
                <w:color w:val="000000"/>
                <w:sz w:val="18"/>
                <w:szCs w:val="18"/>
              </w:rPr>
            </w:pPr>
            <w:r>
              <w:rPr>
                <w:color w:val="000000"/>
                <w:sz w:val="18"/>
                <w:szCs w:val="18"/>
              </w:rPr>
              <w:t>Úrad Prešovského</w:t>
            </w:r>
            <w:r w:rsidRPr="006A54F9">
              <w:rPr>
                <w:color w:val="000000"/>
                <w:sz w:val="18"/>
                <w:szCs w:val="18"/>
              </w:rPr>
              <w:t xml:space="preserve"> samosprávneho kraja </w:t>
            </w:r>
          </w:p>
        </w:tc>
      </w:tr>
      <w:tr w:rsidR="00434736" w14:paraId="4469119C" w14:textId="77777777" w:rsidTr="00434736">
        <w:trPr>
          <w:trHeight w:val="284"/>
          <w:jc w:val="center"/>
        </w:trPr>
        <w:tc>
          <w:tcPr>
            <w:tcW w:w="675" w:type="dxa"/>
            <w:vAlign w:val="center"/>
          </w:tcPr>
          <w:p w14:paraId="6ACA4852"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D455238" w14:textId="77777777" w:rsidR="00434736" w:rsidRDefault="00434736" w:rsidP="00746F3A">
            <w:pPr>
              <w:autoSpaceDE w:val="0"/>
              <w:autoSpaceDN w:val="0"/>
              <w:adjustRightInd w:val="0"/>
              <w:ind w:hanging="1080"/>
              <w:rPr>
                <w:color w:val="000000"/>
                <w:sz w:val="18"/>
                <w:szCs w:val="18"/>
              </w:rPr>
            </w:pPr>
            <w:r>
              <w:rPr>
                <w:color w:val="000000"/>
                <w:sz w:val="18"/>
                <w:szCs w:val="18"/>
              </w:rPr>
              <w:t>Úrad Trenčianskeho</w:t>
            </w:r>
            <w:r w:rsidRPr="006A54F9">
              <w:rPr>
                <w:color w:val="000000"/>
                <w:sz w:val="18"/>
                <w:szCs w:val="18"/>
              </w:rPr>
              <w:t xml:space="preserve"> samosprávneho kraja </w:t>
            </w:r>
          </w:p>
        </w:tc>
      </w:tr>
      <w:tr w:rsidR="00434736" w14:paraId="59D862D6" w14:textId="77777777" w:rsidTr="00434736">
        <w:trPr>
          <w:trHeight w:val="284"/>
          <w:jc w:val="center"/>
        </w:trPr>
        <w:tc>
          <w:tcPr>
            <w:tcW w:w="675" w:type="dxa"/>
            <w:vAlign w:val="center"/>
          </w:tcPr>
          <w:p w14:paraId="0DD5595A"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CD196B4" w14:textId="77777777" w:rsidR="00434736" w:rsidRDefault="00434736" w:rsidP="00746F3A">
            <w:pPr>
              <w:autoSpaceDE w:val="0"/>
              <w:autoSpaceDN w:val="0"/>
              <w:adjustRightInd w:val="0"/>
              <w:ind w:hanging="1080"/>
              <w:rPr>
                <w:color w:val="000000"/>
                <w:sz w:val="18"/>
                <w:szCs w:val="18"/>
              </w:rPr>
            </w:pPr>
            <w:r>
              <w:rPr>
                <w:color w:val="000000"/>
                <w:sz w:val="18"/>
                <w:szCs w:val="18"/>
              </w:rPr>
              <w:t>Úrad Trnavského</w:t>
            </w:r>
            <w:r w:rsidRPr="006A54F9">
              <w:rPr>
                <w:color w:val="000000"/>
                <w:sz w:val="18"/>
                <w:szCs w:val="18"/>
              </w:rPr>
              <w:t xml:space="preserve"> samosprávneho kraja </w:t>
            </w:r>
          </w:p>
        </w:tc>
      </w:tr>
      <w:tr w:rsidR="00434736" w14:paraId="29506DB0" w14:textId="77777777" w:rsidTr="00434736">
        <w:trPr>
          <w:trHeight w:val="284"/>
          <w:jc w:val="center"/>
        </w:trPr>
        <w:tc>
          <w:tcPr>
            <w:tcW w:w="675" w:type="dxa"/>
            <w:vAlign w:val="center"/>
          </w:tcPr>
          <w:p w14:paraId="5D5484E8"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E7B97F8" w14:textId="77777777" w:rsidR="00434736" w:rsidRDefault="00434736" w:rsidP="00746F3A">
            <w:pPr>
              <w:autoSpaceDE w:val="0"/>
              <w:autoSpaceDN w:val="0"/>
              <w:adjustRightInd w:val="0"/>
              <w:ind w:hanging="1080"/>
              <w:rPr>
                <w:color w:val="000000"/>
                <w:sz w:val="18"/>
                <w:szCs w:val="18"/>
              </w:rPr>
            </w:pPr>
            <w:r>
              <w:rPr>
                <w:color w:val="000000"/>
                <w:sz w:val="18"/>
                <w:szCs w:val="18"/>
              </w:rPr>
              <w:t>Úrad Žilinského</w:t>
            </w:r>
            <w:r w:rsidRPr="006A54F9">
              <w:rPr>
                <w:color w:val="000000"/>
                <w:sz w:val="18"/>
                <w:szCs w:val="18"/>
              </w:rPr>
              <w:t xml:space="preserve"> samosprávneho kraja </w:t>
            </w:r>
          </w:p>
        </w:tc>
      </w:tr>
      <w:tr w:rsidR="00434736" w14:paraId="1B0B0953" w14:textId="77777777" w:rsidTr="00434736">
        <w:trPr>
          <w:trHeight w:val="284"/>
          <w:jc w:val="center"/>
        </w:trPr>
        <w:tc>
          <w:tcPr>
            <w:tcW w:w="675" w:type="dxa"/>
            <w:vAlign w:val="center"/>
          </w:tcPr>
          <w:p w14:paraId="0D8CBE06"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B62B1C9" w14:textId="77777777" w:rsidR="00434736" w:rsidRDefault="00434736" w:rsidP="00746F3A">
            <w:pPr>
              <w:autoSpaceDE w:val="0"/>
              <w:autoSpaceDN w:val="0"/>
              <w:adjustRightInd w:val="0"/>
              <w:ind w:hanging="1080"/>
              <w:rPr>
                <w:color w:val="000000"/>
                <w:sz w:val="18"/>
                <w:szCs w:val="18"/>
              </w:rPr>
            </w:pPr>
            <w:r>
              <w:rPr>
                <w:color w:val="000000"/>
                <w:sz w:val="18"/>
                <w:szCs w:val="18"/>
              </w:rPr>
              <w:t>Únia dopravy, pôšt a telekomunikácií SR</w:t>
            </w:r>
          </w:p>
        </w:tc>
      </w:tr>
      <w:tr w:rsidR="00434736" w14:paraId="7612C507" w14:textId="77777777" w:rsidTr="00434736">
        <w:trPr>
          <w:trHeight w:val="284"/>
          <w:jc w:val="center"/>
        </w:trPr>
        <w:tc>
          <w:tcPr>
            <w:tcW w:w="675" w:type="dxa"/>
            <w:vAlign w:val="center"/>
          </w:tcPr>
          <w:p w14:paraId="11716AF4"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720D627" w14:textId="77777777" w:rsidR="00434736" w:rsidRDefault="00434736" w:rsidP="00746F3A">
            <w:pPr>
              <w:autoSpaceDE w:val="0"/>
              <w:autoSpaceDN w:val="0"/>
              <w:adjustRightInd w:val="0"/>
              <w:ind w:hanging="1080"/>
              <w:rPr>
                <w:color w:val="000000"/>
                <w:sz w:val="18"/>
                <w:szCs w:val="18"/>
              </w:rPr>
            </w:pPr>
            <w:r>
              <w:rPr>
                <w:color w:val="000000"/>
                <w:sz w:val="18"/>
                <w:szCs w:val="18"/>
              </w:rPr>
              <w:t>Združenie miest a obcí Slovenska</w:t>
            </w:r>
          </w:p>
        </w:tc>
      </w:tr>
      <w:tr w:rsidR="00434736" w14:paraId="547A3602" w14:textId="77777777" w:rsidTr="00434736">
        <w:trPr>
          <w:trHeight w:val="284"/>
          <w:jc w:val="center"/>
        </w:trPr>
        <w:tc>
          <w:tcPr>
            <w:tcW w:w="675" w:type="dxa"/>
            <w:vAlign w:val="center"/>
          </w:tcPr>
          <w:p w14:paraId="491D9594"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F00284F" w14:textId="77777777" w:rsidR="00434736" w:rsidRDefault="00434736" w:rsidP="00746F3A">
            <w:pPr>
              <w:autoSpaceDE w:val="0"/>
              <w:autoSpaceDN w:val="0"/>
              <w:adjustRightInd w:val="0"/>
              <w:ind w:hanging="1080"/>
              <w:rPr>
                <w:color w:val="000000"/>
                <w:sz w:val="18"/>
                <w:szCs w:val="18"/>
              </w:rPr>
            </w:pPr>
            <w:r>
              <w:rPr>
                <w:color w:val="000000"/>
                <w:sz w:val="18"/>
                <w:szCs w:val="18"/>
              </w:rPr>
              <w:t>Únia miest a obcí Slovenska</w:t>
            </w:r>
          </w:p>
        </w:tc>
      </w:tr>
      <w:tr w:rsidR="00434736" w14:paraId="740BCEA2" w14:textId="77777777" w:rsidTr="00434736">
        <w:trPr>
          <w:trHeight w:val="284"/>
          <w:jc w:val="center"/>
        </w:trPr>
        <w:tc>
          <w:tcPr>
            <w:tcW w:w="675" w:type="dxa"/>
            <w:vAlign w:val="center"/>
          </w:tcPr>
          <w:p w14:paraId="6F76DDD0"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E2874C4" w14:textId="77777777" w:rsidR="00434736" w:rsidRDefault="00434736" w:rsidP="00746F3A">
            <w:pPr>
              <w:autoSpaceDE w:val="0"/>
              <w:autoSpaceDN w:val="0"/>
              <w:adjustRightInd w:val="0"/>
              <w:ind w:hanging="1080"/>
              <w:rPr>
                <w:color w:val="000000"/>
                <w:sz w:val="18"/>
                <w:szCs w:val="18"/>
              </w:rPr>
            </w:pPr>
            <w:r>
              <w:rPr>
                <w:color w:val="000000"/>
                <w:sz w:val="18"/>
                <w:szCs w:val="18"/>
              </w:rPr>
              <w:t>Priatelia Zeme - CEPA</w:t>
            </w:r>
          </w:p>
        </w:tc>
      </w:tr>
      <w:tr w:rsidR="00434736" w14:paraId="2D265C2F" w14:textId="77777777" w:rsidTr="00434736">
        <w:trPr>
          <w:trHeight w:val="284"/>
          <w:jc w:val="center"/>
        </w:trPr>
        <w:tc>
          <w:tcPr>
            <w:tcW w:w="675" w:type="dxa"/>
            <w:vAlign w:val="center"/>
          </w:tcPr>
          <w:p w14:paraId="04030D53"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422CEFF" w14:textId="77777777" w:rsidR="00434736" w:rsidRDefault="00434736" w:rsidP="00746F3A">
            <w:pPr>
              <w:autoSpaceDE w:val="0"/>
              <w:autoSpaceDN w:val="0"/>
              <w:adjustRightInd w:val="0"/>
              <w:ind w:hanging="1080"/>
              <w:rPr>
                <w:color w:val="000000"/>
                <w:sz w:val="18"/>
                <w:szCs w:val="18"/>
              </w:rPr>
            </w:pPr>
            <w:r>
              <w:rPr>
                <w:color w:val="000000"/>
                <w:sz w:val="18"/>
                <w:szCs w:val="18"/>
              </w:rPr>
              <w:t>Výskumný ústav dopravný, a. s.</w:t>
            </w:r>
          </w:p>
        </w:tc>
      </w:tr>
      <w:tr w:rsidR="00434736" w14:paraId="5161C7DB" w14:textId="77777777" w:rsidTr="00434736">
        <w:trPr>
          <w:trHeight w:val="284"/>
          <w:jc w:val="center"/>
        </w:trPr>
        <w:tc>
          <w:tcPr>
            <w:tcW w:w="675" w:type="dxa"/>
            <w:vAlign w:val="center"/>
          </w:tcPr>
          <w:p w14:paraId="33AB4DD8"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DD617FB" w14:textId="77777777" w:rsidR="00434736" w:rsidRDefault="00434736" w:rsidP="00746F3A">
            <w:pPr>
              <w:autoSpaceDE w:val="0"/>
              <w:autoSpaceDN w:val="0"/>
              <w:adjustRightInd w:val="0"/>
              <w:ind w:hanging="1080"/>
              <w:rPr>
                <w:color w:val="000000"/>
                <w:sz w:val="18"/>
                <w:szCs w:val="18"/>
              </w:rPr>
            </w:pPr>
            <w:r>
              <w:rPr>
                <w:color w:val="000000"/>
                <w:sz w:val="18"/>
                <w:szCs w:val="18"/>
              </w:rPr>
              <w:t>Žilinská univerzita v Žiline</w:t>
            </w:r>
          </w:p>
        </w:tc>
      </w:tr>
      <w:tr w:rsidR="00434736" w14:paraId="5E7354C1" w14:textId="77777777" w:rsidTr="00434736">
        <w:trPr>
          <w:trHeight w:val="284"/>
          <w:jc w:val="center"/>
        </w:trPr>
        <w:tc>
          <w:tcPr>
            <w:tcW w:w="675" w:type="dxa"/>
            <w:vAlign w:val="center"/>
          </w:tcPr>
          <w:p w14:paraId="2F3D059C" w14:textId="77777777" w:rsidR="00434736" w:rsidRPr="006A289D" w:rsidRDefault="00434736" w:rsidP="00F14CFC">
            <w:pPr>
              <w:widowControl w:val="0"/>
              <w:numPr>
                <w:ilvl w:val="0"/>
                <w:numId w:val="78"/>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530CFE79" w14:textId="77777777" w:rsidR="00434736" w:rsidRDefault="00434736" w:rsidP="00746F3A">
            <w:pPr>
              <w:autoSpaceDE w:val="0"/>
              <w:autoSpaceDN w:val="0"/>
              <w:adjustRightInd w:val="0"/>
              <w:ind w:hanging="1080"/>
              <w:rPr>
                <w:color w:val="000000"/>
                <w:sz w:val="18"/>
                <w:szCs w:val="18"/>
              </w:rPr>
            </w:pPr>
            <w:r>
              <w:rPr>
                <w:color w:val="000000"/>
                <w:sz w:val="18"/>
                <w:szCs w:val="18"/>
              </w:rPr>
              <w:t>Slovenská technická univerzita, Bratislava</w:t>
            </w:r>
          </w:p>
        </w:tc>
      </w:tr>
    </w:tbl>
    <w:p w14:paraId="312F866C" w14:textId="4762E38E" w:rsidR="00434736" w:rsidRPr="007F3EF4" w:rsidRDefault="00434736" w:rsidP="00434736">
      <w:pPr>
        <w:pStyle w:val="06Normal"/>
      </w:pPr>
      <w:r w:rsidRPr="007F3EF4">
        <w:t>Prehľad zloženia a počet zástupcov Pracovnej skupiny pre pr</w:t>
      </w:r>
      <w:r>
        <w:t>ogramovanie v sektore doprava v </w:t>
      </w:r>
      <w:r w:rsidRPr="007F3EF4">
        <w:t xml:space="preserve">programovom období 2014 – 2020 v členení na počet zástupcov a počet zástupcov s hlasovacím právom je uvedený v tab. </w:t>
      </w:r>
      <w:r>
        <w:t>155</w:t>
      </w:r>
      <w:r w:rsidRPr="007F3EF4">
        <w:t xml:space="preserve"> v Prílohe </w:t>
      </w:r>
      <w:r>
        <w:t>21</w:t>
      </w:r>
      <w:r w:rsidRPr="007F3EF4">
        <w:t>.</w:t>
      </w:r>
    </w:p>
    <w:p w14:paraId="3C9F85C2" w14:textId="77777777" w:rsidR="00294C3C" w:rsidRDefault="00294C3C" w:rsidP="00F14CFC">
      <w:pPr>
        <w:pStyle w:val="Tab"/>
        <w:tabs>
          <w:tab w:val="clear" w:pos="851"/>
        </w:tabs>
        <w:spacing w:before="240" w:after="60"/>
        <w:ind w:left="993" w:hanging="993"/>
        <w:jc w:val="both"/>
      </w:pPr>
      <w:r>
        <w:t>Prehľad zloženia a počet zástupcov Pracovnej skupiny pre zabezpečenie plnenia ex an</w:t>
      </w:r>
      <w:r w:rsidR="00E621B4">
        <w:t>t</w:t>
      </w:r>
      <w:r>
        <w:t>e kondicionalít Rast v oblasti digitálnych služieb a </w:t>
      </w:r>
      <w:r w:rsidR="00E621B4">
        <w:t>Infraštruktúra</w:t>
      </w:r>
      <w:r>
        <w:t xml:space="preserve"> prístupovej siete novej </w:t>
      </w:r>
      <w:r w:rsidR="00D06789">
        <w:t>generácie</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434736" w:rsidRPr="006A289D" w14:paraId="25C4A3F0" w14:textId="77777777" w:rsidTr="00434736">
        <w:trPr>
          <w:trHeight w:val="284"/>
          <w:jc w:val="center"/>
        </w:trPr>
        <w:tc>
          <w:tcPr>
            <w:tcW w:w="675" w:type="dxa"/>
            <w:shd w:val="clear" w:color="auto" w:fill="C6D9F1" w:themeFill="text2" w:themeFillTint="33"/>
            <w:vAlign w:val="center"/>
          </w:tcPr>
          <w:p w14:paraId="37422B13" w14:textId="77777777" w:rsidR="00434736" w:rsidRPr="006A289D" w:rsidRDefault="00434736" w:rsidP="00746F3A">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14:paraId="007B5ABD" w14:textId="77777777" w:rsidR="00434736" w:rsidRPr="006A289D" w:rsidRDefault="00434736" w:rsidP="00746F3A">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434736" w:rsidRPr="006A289D" w14:paraId="35FA8D76" w14:textId="77777777" w:rsidTr="00434736">
        <w:trPr>
          <w:trHeight w:val="284"/>
          <w:jc w:val="center"/>
        </w:trPr>
        <w:tc>
          <w:tcPr>
            <w:tcW w:w="675" w:type="dxa"/>
            <w:vAlign w:val="center"/>
          </w:tcPr>
          <w:p w14:paraId="03D1E826" w14:textId="77777777" w:rsidR="00434736"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6C3AD3F" w14:textId="77777777" w:rsidR="00434736" w:rsidRDefault="00434736" w:rsidP="00746F3A">
            <w:pPr>
              <w:widowControl w:val="0"/>
              <w:tabs>
                <w:tab w:val="left" w:pos="0"/>
                <w:tab w:val="left" w:pos="851"/>
              </w:tabs>
              <w:adjustRightInd w:val="0"/>
              <w:ind w:left="454" w:hanging="454"/>
              <w:jc w:val="both"/>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434736" w:rsidRPr="006A289D" w14:paraId="5C3D3C4D" w14:textId="77777777" w:rsidTr="00434736">
        <w:trPr>
          <w:trHeight w:val="284"/>
          <w:jc w:val="center"/>
        </w:trPr>
        <w:tc>
          <w:tcPr>
            <w:tcW w:w="675" w:type="dxa"/>
            <w:vAlign w:val="center"/>
          </w:tcPr>
          <w:p w14:paraId="6811B5F1"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A7DC2BC" w14:textId="77777777" w:rsidR="00434736" w:rsidRPr="006A289D" w:rsidRDefault="00434736" w:rsidP="00746F3A">
            <w:pPr>
              <w:autoSpaceDE w:val="0"/>
              <w:autoSpaceDN w:val="0"/>
              <w:adjustRightInd w:val="0"/>
              <w:ind w:hanging="1080"/>
              <w:rPr>
                <w:color w:val="000000"/>
                <w:sz w:val="18"/>
                <w:szCs w:val="18"/>
              </w:rPr>
            </w:pPr>
            <w:r>
              <w:rPr>
                <w:snapToGrid w:val="0"/>
                <w:sz w:val="18"/>
                <w:szCs w:val="18"/>
                <w:lang w:eastAsia="cs-CZ"/>
              </w:rPr>
              <w:t>Úrad vlády SR – Centrálny koordinačný orgán</w:t>
            </w:r>
          </w:p>
        </w:tc>
      </w:tr>
      <w:tr w:rsidR="00434736" w14:paraId="2D0EDF54" w14:textId="77777777" w:rsidTr="00434736">
        <w:trPr>
          <w:trHeight w:val="284"/>
          <w:jc w:val="center"/>
        </w:trPr>
        <w:tc>
          <w:tcPr>
            <w:tcW w:w="675" w:type="dxa"/>
            <w:vAlign w:val="center"/>
          </w:tcPr>
          <w:p w14:paraId="343F3189"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75C2D42" w14:textId="328BC044" w:rsidR="00434736" w:rsidRDefault="00434736" w:rsidP="00746F3A">
            <w:pPr>
              <w:autoSpaceDE w:val="0"/>
              <w:autoSpaceDN w:val="0"/>
              <w:adjustRightInd w:val="0"/>
              <w:ind w:hanging="1080"/>
              <w:rPr>
                <w:snapToGrid w:val="0"/>
                <w:sz w:val="18"/>
                <w:szCs w:val="18"/>
                <w:lang w:eastAsia="cs-CZ"/>
              </w:rPr>
            </w:pPr>
            <w:r>
              <w:rPr>
                <w:snapToGrid w:val="0"/>
                <w:sz w:val="18"/>
                <w:szCs w:val="18"/>
                <w:lang w:eastAsia="cs-CZ"/>
              </w:rPr>
              <w:t>Úrad vlády SR - Riadiaci orgán pre OPIS</w:t>
            </w:r>
          </w:p>
        </w:tc>
      </w:tr>
      <w:tr w:rsidR="00434736" w:rsidRPr="006A289D" w14:paraId="1948D2B4" w14:textId="77777777" w:rsidTr="00434736">
        <w:trPr>
          <w:trHeight w:val="284"/>
          <w:jc w:val="center"/>
        </w:trPr>
        <w:tc>
          <w:tcPr>
            <w:tcW w:w="675" w:type="dxa"/>
            <w:vAlign w:val="center"/>
          </w:tcPr>
          <w:p w14:paraId="2E9A6100"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387FB6A"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financií Slovenskej republiky</w:t>
            </w:r>
          </w:p>
        </w:tc>
      </w:tr>
      <w:tr w:rsidR="00434736" w:rsidRPr="006A289D" w14:paraId="40B43AB6" w14:textId="77777777" w:rsidTr="00434736">
        <w:trPr>
          <w:trHeight w:val="284"/>
          <w:jc w:val="center"/>
        </w:trPr>
        <w:tc>
          <w:tcPr>
            <w:tcW w:w="675" w:type="dxa"/>
            <w:vAlign w:val="center"/>
          </w:tcPr>
          <w:p w14:paraId="19C7FB97"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80B8C2D"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vnútra Slovenskej republiky</w:t>
            </w:r>
          </w:p>
        </w:tc>
      </w:tr>
      <w:tr w:rsidR="00434736" w:rsidRPr="006A289D" w14:paraId="22617DC6" w14:textId="77777777" w:rsidTr="00434736">
        <w:trPr>
          <w:trHeight w:val="284"/>
          <w:jc w:val="center"/>
        </w:trPr>
        <w:tc>
          <w:tcPr>
            <w:tcW w:w="675" w:type="dxa"/>
            <w:vAlign w:val="center"/>
          </w:tcPr>
          <w:p w14:paraId="5D3D2C2F"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ED4FFA3"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zdravotníctva Slovenskej republiky</w:t>
            </w:r>
          </w:p>
        </w:tc>
      </w:tr>
      <w:tr w:rsidR="00434736" w:rsidRPr="006A289D" w14:paraId="0628DE6E" w14:textId="77777777" w:rsidTr="00434736">
        <w:trPr>
          <w:trHeight w:val="284"/>
          <w:jc w:val="center"/>
        </w:trPr>
        <w:tc>
          <w:tcPr>
            <w:tcW w:w="675" w:type="dxa"/>
            <w:vAlign w:val="center"/>
          </w:tcPr>
          <w:p w14:paraId="1122E34F"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2770107"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kultúry Slovenskej republiky</w:t>
            </w:r>
          </w:p>
        </w:tc>
      </w:tr>
      <w:tr w:rsidR="00434736" w:rsidRPr="006A289D" w14:paraId="112263A9" w14:textId="77777777" w:rsidTr="00434736">
        <w:trPr>
          <w:trHeight w:val="284"/>
          <w:jc w:val="center"/>
        </w:trPr>
        <w:tc>
          <w:tcPr>
            <w:tcW w:w="675" w:type="dxa"/>
            <w:vAlign w:val="center"/>
          </w:tcPr>
          <w:p w14:paraId="68E9E013"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F4628FE"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 xml:space="preserve">Ministerstvo </w:t>
            </w:r>
            <w:r>
              <w:rPr>
                <w:color w:val="000000"/>
                <w:sz w:val="18"/>
                <w:szCs w:val="18"/>
              </w:rPr>
              <w:t>životného prostredia</w:t>
            </w:r>
            <w:r w:rsidRPr="006A289D">
              <w:rPr>
                <w:color w:val="000000"/>
                <w:sz w:val="18"/>
                <w:szCs w:val="18"/>
              </w:rPr>
              <w:t xml:space="preserve"> Slovenskej republiky</w:t>
            </w:r>
          </w:p>
        </w:tc>
      </w:tr>
      <w:tr w:rsidR="00434736" w:rsidRPr="006A289D" w14:paraId="72A111FC" w14:textId="77777777" w:rsidTr="00434736">
        <w:trPr>
          <w:trHeight w:val="284"/>
          <w:jc w:val="center"/>
        </w:trPr>
        <w:tc>
          <w:tcPr>
            <w:tcW w:w="675" w:type="dxa"/>
            <w:vAlign w:val="center"/>
          </w:tcPr>
          <w:p w14:paraId="6F55F57A"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FB7342B"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r>
      <w:tr w:rsidR="00434736" w:rsidRPr="006A289D" w14:paraId="540D1A04" w14:textId="77777777" w:rsidTr="00434736">
        <w:trPr>
          <w:trHeight w:val="284"/>
          <w:jc w:val="center"/>
        </w:trPr>
        <w:tc>
          <w:tcPr>
            <w:tcW w:w="675" w:type="dxa"/>
            <w:vAlign w:val="center"/>
          </w:tcPr>
          <w:p w14:paraId="283BE536"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CD51B6A"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r>
      <w:tr w:rsidR="00434736" w:rsidRPr="006A289D" w14:paraId="19CCE728" w14:textId="77777777" w:rsidTr="00434736">
        <w:trPr>
          <w:trHeight w:val="284"/>
          <w:jc w:val="center"/>
        </w:trPr>
        <w:tc>
          <w:tcPr>
            <w:tcW w:w="675" w:type="dxa"/>
            <w:vAlign w:val="center"/>
          </w:tcPr>
          <w:p w14:paraId="15ABDCD4"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D436E87"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r>
      <w:tr w:rsidR="00434736" w:rsidRPr="006A289D" w14:paraId="3360CD40" w14:textId="77777777" w:rsidTr="00434736">
        <w:trPr>
          <w:trHeight w:val="284"/>
          <w:jc w:val="center"/>
        </w:trPr>
        <w:tc>
          <w:tcPr>
            <w:tcW w:w="675" w:type="dxa"/>
            <w:vAlign w:val="center"/>
          </w:tcPr>
          <w:p w14:paraId="64CC9D3B"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8B8C703" w14:textId="77777777" w:rsidR="00434736" w:rsidRPr="006A289D" w:rsidRDefault="00434736" w:rsidP="00746F3A">
            <w:pPr>
              <w:autoSpaceDE w:val="0"/>
              <w:autoSpaceDN w:val="0"/>
              <w:adjustRightInd w:val="0"/>
              <w:ind w:left="0"/>
              <w:jc w:val="both"/>
              <w:rPr>
                <w:color w:val="000000"/>
                <w:sz w:val="18"/>
                <w:szCs w:val="18"/>
              </w:rPr>
            </w:pPr>
            <w:r>
              <w:rPr>
                <w:color w:val="000000"/>
                <w:sz w:val="18"/>
                <w:szCs w:val="18"/>
              </w:rPr>
              <w:t>Partnerstvá pre prosperitu</w:t>
            </w:r>
          </w:p>
        </w:tc>
      </w:tr>
      <w:tr w:rsidR="00434736" w:rsidRPr="006A289D" w14:paraId="775BB356" w14:textId="77777777" w:rsidTr="00434736">
        <w:trPr>
          <w:trHeight w:val="284"/>
          <w:jc w:val="center"/>
        </w:trPr>
        <w:tc>
          <w:tcPr>
            <w:tcW w:w="675" w:type="dxa"/>
            <w:vAlign w:val="center"/>
          </w:tcPr>
          <w:p w14:paraId="23AED171"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4A59094" w14:textId="77777777" w:rsidR="00434736" w:rsidRDefault="00434736" w:rsidP="00746F3A">
            <w:pPr>
              <w:autoSpaceDE w:val="0"/>
              <w:autoSpaceDN w:val="0"/>
              <w:adjustRightInd w:val="0"/>
              <w:ind w:hanging="1080"/>
              <w:jc w:val="both"/>
              <w:rPr>
                <w:color w:val="000000"/>
                <w:sz w:val="18"/>
                <w:szCs w:val="18"/>
              </w:rPr>
            </w:pPr>
            <w:r>
              <w:rPr>
                <w:color w:val="000000"/>
                <w:sz w:val="18"/>
                <w:szCs w:val="18"/>
              </w:rPr>
              <w:t>IT Asociácia Slovenska</w:t>
            </w:r>
          </w:p>
        </w:tc>
      </w:tr>
      <w:tr w:rsidR="00434736" w14:paraId="616E125F" w14:textId="77777777" w:rsidTr="00434736">
        <w:trPr>
          <w:trHeight w:val="284"/>
          <w:jc w:val="center"/>
        </w:trPr>
        <w:tc>
          <w:tcPr>
            <w:tcW w:w="675" w:type="dxa"/>
            <w:vAlign w:val="center"/>
          </w:tcPr>
          <w:p w14:paraId="13FBE414"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169943B" w14:textId="77777777" w:rsidR="00434736" w:rsidRDefault="00434736" w:rsidP="00746F3A">
            <w:pPr>
              <w:autoSpaceDE w:val="0"/>
              <w:autoSpaceDN w:val="0"/>
              <w:adjustRightInd w:val="0"/>
              <w:ind w:hanging="1080"/>
              <w:jc w:val="both"/>
              <w:rPr>
                <w:color w:val="000000"/>
                <w:sz w:val="18"/>
                <w:szCs w:val="18"/>
              </w:rPr>
            </w:pPr>
            <w:r>
              <w:rPr>
                <w:color w:val="000000"/>
                <w:sz w:val="18"/>
                <w:szCs w:val="18"/>
              </w:rPr>
              <w:t>Únia miest Slovenska</w:t>
            </w:r>
          </w:p>
        </w:tc>
      </w:tr>
      <w:tr w:rsidR="00434736" w14:paraId="3FE8AC9A" w14:textId="77777777" w:rsidTr="00434736">
        <w:trPr>
          <w:trHeight w:val="284"/>
          <w:jc w:val="center"/>
        </w:trPr>
        <w:tc>
          <w:tcPr>
            <w:tcW w:w="675" w:type="dxa"/>
            <w:vAlign w:val="center"/>
          </w:tcPr>
          <w:p w14:paraId="56C3B1CF"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C89303C" w14:textId="77777777" w:rsidR="00434736" w:rsidRDefault="00434736" w:rsidP="00746F3A">
            <w:pPr>
              <w:autoSpaceDE w:val="0"/>
              <w:autoSpaceDN w:val="0"/>
              <w:adjustRightInd w:val="0"/>
              <w:ind w:hanging="1080"/>
              <w:jc w:val="both"/>
              <w:rPr>
                <w:color w:val="000000"/>
                <w:sz w:val="18"/>
                <w:szCs w:val="18"/>
              </w:rPr>
            </w:pPr>
            <w:r>
              <w:rPr>
                <w:color w:val="000000"/>
                <w:sz w:val="18"/>
                <w:szCs w:val="18"/>
              </w:rPr>
              <w:t>Združenie miest a obcí Slovenska</w:t>
            </w:r>
          </w:p>
        </w:tc>
      </w:tr>
      <w:tr w:rsidR="00434736" w:rsidRPr="006A289D" w14:paraId="3EBC7DDF" w14:textId="77777777" w:rsidTr="00434736">
        <w:trPr>
          <w:trHeight w:val="284"/>
          <w:jc w:val="center"/>
        </w:trPr>
        <w:tc>
          <w:tcPr>
            <w:tcW w:w="675" w:type="dxa"/>
            <w:vAlign w:val="center"/>
          </w:tcPr>
          <w:p w14:paraId="5C327326"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6786587" w14:textId="77777777" w:rsidR="00434736" w:rsidRPr="006A289D" w:rsidRDefault="00434736" w:rsidP="00746F3A">
            <w:pPr>
              <w:autoSpaceDE w:val="0"/>
              <w:autoSpaceDN w:val="0"/>
              <w:adjustRightInd w:val="0"/>
              <w:ind w:left="0"/>
              <w:rPr>
                <w:color w:val="000000"/>
                <w:sz w:val="18"/>
                <w:szCs w:val="18"/>
              </w:rPr>
            </w:pPr>
            <w:r w:rsidRPr="006A289D">
              <w:rPr>
                <w:color w:val="000000"/>
                <w:sz w:val="18"/>
                <w:szCs w:val="18"/>
              </w:rPr>
              <w:t>Združenie samosprávnych krajov SK8</w:t>
            </w:r>
          </w:p>
        </w:tc>
      </w:tr>
      <w:tr w:rsidR="00434736" w:rsidRPr="006A289D" w14:paraId="34DF5148" w14:textId="77777777" w:rsidTr="00434736">
        <w:trPr>
          <w:trHeight w:val="284"/>
          <w:jc w:val="center"/>
        </w:trPr>
        <w:tc>
          <w:tcPr>
            <w:tcW w:w="675" w:type="dxa"/>
            <w:vAlign w:val="center"/>
          </w:tcPr>
          <w:p w14:paraId="6035B3EB"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7442B65" w14:textId="77777777" w:rsidR="00434736" w:rsidRPr="006A289D" w:rsidRDefault="00434736" w:rsidP="00746F3A">
            <w:pPr>
              <w:autoSpaceDE w:val="0"/>
              <w:autoSpaceDN w:val="0"/>
              <w:adjustRightInd w:val="0"/>
              <w:ind w:hanging="1080"/>
              <w:rPr>
                <w:color w:val="000000"/>
                <w:sz w:val="18"/>
                <w:szCs w:val="18"/>
              </w:rPr>
            </w:pPr>
            <w:r>
              <w:rPr>
                <w:color w:val="000000"/>
                <w:sz w:val="18"/>
                <w:szCs w:val="18"/>
              </w:rPr>
              <w:t>Národná agentúra pre sieťové a elektronické služby</w:t>
            </w:r>
          </w:p>
        </w:tc>
      </w:tr>
      <w:tr w:rsidR="00434736" w14:paraId="65F64CEE" w14:textId="77777777" w:rsidTr="00434736">
        <w:trPr>
          <w:trHeight w:val="284"/>
          <w:jc w:val="center"/>
        </w:trPr>
        <w:tc>
          <w:tcPr>
            <w:tcW w:w="675" w:type="dxa"/>
            <w:vAlign w:val="center"/>
          </w:tcPr>
          <w:p w14:paraId="763E188F" w14:textId="77777777" w:rsidR="00434736" w:rsidRPr="006A289D" w:rsidRDefault="00434736" w:rsidP="00F14CFC">
            <w:pPr>
              <w:widowControl w:val="0"/>
              <w:numPr>
                <w:ilvl w:val="0"/>
                <w:numId w:val="82"/>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7412B3F" w14:textId="77777777" w:rsidR="00434736" w:rsidRDefault="00434736" w:rsidP="00746F3A">
            <w:pPr>
              <w:autoSpaceDE w:val="0"/>
              <w:autoSpaceDN w:val="0"/>
              <w:adjustRightInd w:val="0"/>
              <w:ind w:hanging="1080"/>
              <w:rPr>
                <w:color w:val="000000"/>
                <w:sz w:val="18"/>
                <w:szCs w:val="18"/>
              </w:rPr>
            </w:pPr>
            <w:r>
              <w:rPr>
                <w:color w:val="000000"/>
                <w:sz w:val="18"/>
                <w:szCs w:val="18"/>
              </w:rPr>
              <w:t>Slovenská technická univerzita</w:t>
            </w:r>
          </w:p>
        </w:tc>
      </w:tr>
    </w:tbl>
    <w:p w14:paraId="0720B062" w14:textId="55B970F8" w:rsidR="00434736" w:rsidRPr="00434736" w:rsidRDefault="00434736" w:rsidP="00434736">
      <w:pPr>
        <w:spacing w:before="240" w:after="100" w:afterAutospacing="1"/>
        <w:rPr>
          <w:snapToGrid w:val="0"/>
          <w:color w:val="333333"/>
          <w:sz w:val="22"/>
          <w:szCs w:val="22"/>
          <w:lang w:eastAsia="cs-CZ"/>
        </w:rPr>
      </w:pPr>
      <w:r w:rsidRPr="007F3EF4">
        <w:rPr>
          <w:snapToGrid w:val="0"/>
          <w:color w:val="333333"/>
          <w:sz w:val="22"/>
          <w:szCs w:val="22"/>
          <w:lang w:eastAsia="cs-CZ"/>
        </w:rPr>
        <w:t xml:space="preserve">Prehľad zloženia a počet zástupcov Pracovnej skupiny pre zabezpečenie plnenia ex ante kondicionalít Rast v oblasti digitálnych služieb a Infraštruktúra prístupovej siete novej generácie v členení na počet zástupcov a počet zástupcov s hlasovacím právom je uvedený v tab. </w:t>
      </w:r>
      <w:r>
        <w:rPr>
          <w:snapToGrid w:val="0"/>
          <w:color w:val="333333"/>
          <w:sz w:val="22"/>
          <w:szCs w:val="22"/>
          <w:lang w:eastAsia="cs-CZ"/>
        </w:rPr>
        <w:t>156</w:t>
      </w:r>
      <w:r w:rsidRPr="007F3EF4">
        <w:rPr>
          <w:snapToGrid w:val="0"/>
          <w:color w:val="333333"/>
          <w:sz w:val="22"/>
          <w:szCs w:val="22"/>
          <w:lang w:eastAsia="cs-CZ"/>
        </w:rPr>
        <w:t xml:space="preserve"> v Prílohe </w:t>
      </w:r>
      <w:r>
        <w:rPr>
          <w:snapToGrid w:val="0"/>
          <w:color w:val="333333"/>
          <w:sz w:val="22"/>
          <w:szCs w:val="22"/>
          <w:lang w:eastAsia="cs-CZ"/>
        </w:rPr>
        <w:t>21</w:t>
      </w:r>
      <w:r w:rsidRPr="007F3EF4">
        <w:rPr>
          <w:snapToGrid w:val="0"/>
          <w:color w:val="333333"/>
          <w:sz w:val="22"/>
          <w:szCs w:val="22"/>
          <w:lang w:eastAsia="cs-CZ"/>
        </w:rPr>
        <w:t>.</w:t>
      </w:r>
    </w:p>
    <w:p w14:paraId="1B99A81A" w14:textId="77777777" w:rsidR="00E33689" w:rsidRDefault="00E33689" w:rsidP="00E33689">
      <w:pPr>
        <w:pStyle w:val="Tab"/>
        <w:spacing w:before="240" w:after="60"/>
        <w:ind w:left="993" w:hanging="993"/>
        <w:jc w:val="both"/>
        <w:rPr>
          <w:color w:val="333333"/>
          <w:szCs w:val="22"/>
        </w:rPr>
      </w:pPr>
      <w:r>
        <w:rPr>
          <w:color w:val="333333"/>
          <w:szCs w:val="22"/>
        </w:rPr>
        <w:t>Zoznam partnerov zapojených do prípravy operačného programu (časť VaI)</w:t>
      </w:r>
    </w:p>
    <w:tbl>
      <w:tblPr>
        <w:tblStyle w:val="Mriekatabuky"/>
        <w:tblW w:w="655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552"/>
      </w:tblGrid>
      <w:tr w:rsidR="00D524AA" w:rsidRPr="00986939" w14:paraId="1D82C4BF" w14:textId="77777777" w:rsidTr="006C7788">
        <w:trPr>
          <w:trHeight w:val="284"/>
          <w:jc w:val="center"/>
        </w:trPr>
        <w:tc>
          <w:tcPr>
            <w:tcW w:w="6552" w:type="dxa"/>
            <w:shd w:val="clear" w:color="auto" w:fill="C6D9F1" w:themeFill="text2" w:themeFillTint="33"/>
            <w:vAlign w:val="center"/>
          </w:tcPr>
          <w:p w14:paraId="4F4ECFB2" w14:textId="77777777" w:rsidR="00D524AA" w:rsidRPr="00986939" w:rsidRDefault="00D524AA" w:rsidP="006C7788">
            <w:pPr>
              <w:widowControl w:val="0"/>
              <w:tabs>
                <w:tab w:val="left" w:pos="0"/>
                <w:tab w:val="left" w:pos="851"/>
              </w:tabs>
              <w:adjustRightInd w:val="0"/>
              <w:ind w:left="0"/>
              <w:jc w:val="center"/>
              <w:textAlignment w:val="baseline"/>
              <w:rPr>
                <w:snapToGrid w:val="0"/>
                <w:sz w:val="18"/>
                <w:szCs w:val="18"/>
                <w:lang w:eastAsia="cs-CZ"/>
              </w:rPr>
            </w:pPr>
            <w:r w:rsidRPr="00986939">
              <w:rPr>
                <w:snapToGrid w:val="0"/>
                <w:sz w:val="18"/>
                <w:szCs w:val="18"/>
                <w:lang w:eastAsia="cs-CZ"/>
              </w:rPr>
              <w:t>Názov zastúpeného subjektu</w:t>
            </w:r>
          </w:p>
        </w:tc>
      </w:tr>
      <w:tr w:rsidR="00D524AA" w:rsidRPr="00986939" w14:paraId="0DED7BC3" w14:textId="77777777" w:rsidTr="006C7788">
        <w:trPr>
          <w:trHeight w:val="284"/>
          <w:jc w:val="center"/>
        </w:trPr>
        <w:tc>
          <w:tcPr>
            <w:tcW w:w="6552" w:type="dxa"/>
            <w:vAlign w:val="center"/>
          </w:tcPr>
          <w:p w14:paraId="3CC28823" w14:textId="77777777" w:rsidR="00D524AA" w:rsidRPr="00351D17" w:rsidRDefault="00D524AA" w:rsidP="006C7788">
            <w:pPr>
              <w:widowControl w:val="0"/>
              <w:tabs>
                <w:tab w:val="left" w:pos="0"/>
                <w:tab w:val="left" w:pos="851"/>
              </w:tabs>
              <w:adjustRightInd w:val="0"/>
              <w:ind w:left="0"/>
              <w:textAlignment w:val="baseline"/>
              <w:rPr>
                <w:snapToGrid w:val="0"/>
                <w:sz w:val="18"/>
                <w:szCs w:val="18"/>
                <w:lang w:eastAsia="cs-CZ"/>
              </w:rPr>
            </w:pPr>
            <w:r w:rsidRPr="00351D17">
              <w:rPr>
                <w:sz w:val="18"/>
                <w:szCs w:val="18"/>
              </w:rPr>
              <w:t>Ministerstvo školstva, vedy, výskumu a športu SR</w:t>
            </w:r>
          </w:p>
        </w:tc>
      </w:tr>
      <w:tr w:rsidR="00D524AA" w:rsidRPr="00986939" w14:paraId="3B8ED95D" w14:textId="77777777" w:rsidTr="006C7788">
        <w:trPr>
          <w:trHeight w:val="284"/>
          <w:jc w:val="center"/>
        </w:trPr>
        <w:tc>
          <w:tcPr>
            <w:tcW w:w="6552" w:type="dxa"/>
            <w:vAlign w:val="center"/>
          </w:tcPr>
          <w:p w14:paraId="6AB1A188" w14:textId="77777777" w:rsidR="00D524AA" w:rsidRPr="00351D17" w:rsidRDefault="00D524AA" w:rsidP="006C7788">
            <w:pPr>
              <w:autoSpaceDE w:val="0"/>
              <w:autoSpaceDN w:val="0"/>
              <w:adjustRightInd w:val="0"/>
              <w:ind w:left="0"/>
              <w:rPr>
                <w:sz w:val="18"/>
                <w:szCs w:val="18"/>
              </w:rPr>
            </w:pPr>
            <w:r w:rsidRPr="00351D17">
              <w:rPr>
                <w:sz w:val="18"/>
                <w:szCs w:val="18"/>
              </w:rPr>
              <w:t>Agentúra pre ŠF EÚ MŠVVaŠ SR</w:t>
            </w:r>
          </w:p>
        </w:tc>
      </w:tr>
      <w:tr w:rsidR="00D524AA" w:rsidRPr="00986939" w14:paraId="0E7D8D04" w14:textId="77777777" w:rsidTr="006C7788">
        <w:trPr>
          <w:trHeight w:val="284"/>
          <w:jc w:val="center"/>
        </w:trPr>
        <w:tc>
          <w:tcPr>
            <w:tcW w:w="6552" w:type="dxa"/>
            <w:vAlign w:val="center"/>
          </w:tcPr>
          <w:p w14:paraId="7235A165" w14:textId="77777777" w:rsidR="00D524AA" w:rsidRPr="00351D17" w:rsidRDefault="00D524AA" w:rsidP="006C7788">
            <w:pPr>
              <w:autoSpaceDE w:val="0"/>
              <w:autoSpaceDN w:val="0"/>
              <w:adjustRightInd w:val="0"/>
              <w:ind w:left="0"/>
              <w:rPr>
                <w:snapToGrid w:val="0"/>
                <w:sz w:val="18"/>
                <w:szCs w:val="18"/>
                <w:lang w:eastAsia="cs-CZ"/>
              </w:rPr>
            </w:pPr>
            <w:r w:rsidRPr="00351D17">
              <w:rPr>
                <w:sz w:val="18"/>
                <w:szCs w:val="18"/>
              </w:rPr>
              <w:t>Ministerstvo hospodárstva SR</w:t>
            </w:r>
          </w:p>
        </w:tc>
      </w:tr>
      <w:tr w:rsidR="00D524AA" w:rsidRPr="00986939" w14:paraId="2D10CC1A" w14:textId="77777777" w:rsidTr="006C7788">
        <w:trPr>
          <w:trHeight w:val="284"/>
          <w:jc w:val="center"/>
        </w:trPr>
        <w:tc>
          <w:tcPr>
            <w:tcW w:w="6552" w:type="dxa"/>
            <w:vAlign w:val="center"/>
          </w:tcPr>
          <w:p w14:paraId="01978688" w14:textId="77777777" w:rsidR="00D524AA" w:rsidRPr="00351D17" w:rsidRDefault="00D524AA" w:rsidP="006C7788">
            <w:pPr>
              <w:autoSpaceDE w:val="0"/>
              <w:autoSpaceDN w:val="0"/>
              <w:adjustRightInd w:val="0"/>
              <w:ind w:left="0"/>
              <w:rPr>
                <w:sz w:val="18"/>
                <w:szCs w:val="18"/>
              </w:rPr>
            </w:pPr>
            <w:r w:rsidRPr="00351D17">
              <w:rPr>
                <w:sz w:val="18"/>
                <w:szCs w:val="18"/>
              </w:rPr>
              <w:t>Centrálny koordinačný orgán</w:t>
            </w:r>
          </w:p>
        </w:tc>
      </w:tr>
      <w:tr w:rsidR="00D524AA" w:rsidRPr="00986939" w14:paraId="6451565F" w14:textId="77777777" w:rsidTr="006C7788">
        <w:trPr>
          <w:trHeight w:val="284"/>
          <w:jc w:val="center"/>
        </w:trPr>
        <w:tc>
          <w:tcPr>
            <w:tcW w:w="6552" w:type="dxa"/>
            <w:vAlign w:val="center"/>
          </w:tcPr>
          <w:p w14:paraId="7872B9DD" w14:textId="77777777" w:rsidR="00D524AA" w:rsidRPr="00351D17" w:rsidRDefault="00D524AA" w:rsidP="006C7788">
            <w:pPr>
              <w:autoSpaceDE w:val="0"/>
              <w:autoSpaceDN w:val="0"/>
              <w:adjustRightInd w:val="0"/>
              <w:ind w:left="0"/>
              <w:rPr>
                <w:sz w:val="18"/>
                <w:szCs w:val="18"/>
              </w:rPr>
            </w:pPr>
            <w:r w:rsidRPr="00351D17">
              <w:rPr>
                <w:sz w:val="18"/>
                <w:szCs w:val="18"/>
              </w:rPr>
              <w:lastRenderedPageBreak/>
              <w:t>Ministerstvo financií SR</w:t>
            </w:r>
          </w:p>
        </w:tc>
      </w:tr>
      <w:tr w:rsidR="00D524AA" w:rsidRPr="00986939" w14:paraId="752DBFBE" w14:textId="77777777" w:rsidTr="006C7788">
        <w:trPr>
          <w:trHeight w:val="284"/>
          <w:jc w:val="center"/>
        </w:trPr>
        <w:tc>
          <w:tcPr>
            <w:tcW w:w="6552" w:type="dxa"/>
            <w:vAlign w:val="center"/>
          </w:tcPr>
          <w:p w14:paraId="1F6B5F25" w14:textId="77777777" w:rsidR="00D524AA" w:rsidRPr="00351D17" w:rsidRDefault="00D524AA" w:rsidP="006C7788">
            <w:pPr>
              <w:autoSpaceDE w:val="0"/>
              <w:autoSpaceDN w:val="0"/>
              <w:adjustRightInd w:val="0"/>
              <w:ind w:left="0"/>
              <w:rPr>
                <w:sz w:val="18"/>
                <w:szCs w:val="18"/>
              </w:rPr>
            </w:pPr>
            <w:r w:rsidRPr="00351D17">
              <w:rPr>
                <w:sz w:val="18"/>
                <w:szCs w:val="18"/>
              </w:rPr>
              <w:t>Ministerstvo životného prostredia SR</w:t>
            </w:r>
          </w:p>
        </w:tc>
      </w:tr>
      <w:tr w:rsidR="00D524AA" w:rsidRPr="00986939" w14:paraId="66474EA1" w14:textId="77777777" w:rsidTr="006C7788">
        <w:trPr>
          <w:trHeight w:val="284"/>
          <w:jc w:val="center"/>
        </w:trPr>
        <w:tc>
          <w:tcPr>
            <w:tcW w:w="6552" w:type="dxa"/>
            <w:vAlign w:val="center"/>
          </w:tcPr>
          <w:p w14:paraId="7721C9CA" w14:textId="77777777" w:rsidR="00D524AA" w:rsidRPr="00351D17" w:rsidRDefault="00D524AA" w:rsidP="006C7788">
            <w:pPr>
              <w:autoSpaceDE w:val="0"/>
              <w:autoSpaceDN w:val="0"/>
              <w:adjustRightInd w:val="0"/>
              <w:ind w:left="0"/>
              <w:rPr>
                <w:sz w:val="18"/>
                <w:szCs w:val="18"/>
              </w:rPr>
            </w:pPr>
            <w:r w:rsidRPr="00351D17">
              <w:rPr>
                <w:sz w:val="18"/>
                <w:szCs w:val="18"/>
              </w:rPr>
              <w:t>Ministerstvo pôdohospodárstva a rozvoja vidieka SR</w:t>
            </w:r>
          </w:p>
        </w:tc>
      </w:tr>
      <w:tr w:rsidR="00D524AA" w:rsidRPr="00986939" w14:paraId="1CA6109E" w14:textId="77777777" w:rsidTr="006C7788">
        <w:trPr>
          <w:trHeight w:val="284"/>
          <w:jc w:val="center"/>
        </w:trPr>
        <w:tc>
          <w:tcPr>
            <w:tcW w:w="6552" w:type="dxa"/>
            <w:vAlign w:val="center"/>
          </w:tcPr>
          <w:p w14:paraId="58A06741" w14:textId="77777777" w:rsidR="00D524AA" w:rsidRPr="00351D17" w:rsidRDefault="00D524AA" w:rsidP="006C7788">
            <w:pPr>
              <w:autoSpaceDE w:val="0"/>
              <w:autoSpaceDN w:val="0"/>
              <w:adjustRightInd w:val="0"/>
              <w:ind w:left="0"/>
              <w:rPr>
                <w:sz w:val="18"/>
                <w:szCs w:val="18"/>
              </w:rPr>
            </w:pPr>
            <w:r w:rsidRPr="00351D17">
              <w:rPr>
                <w:sz w:val="18"/>
                <w:szCs w:val="18"/>
              </w:rPr>
              <w:t>Ministerstvo zahraničných vecí SR a európskych záležitostí SR</w:t>
            </w:r>
          </w:p>
        </w:tc>
      </w:tr>
      <w:tr w:rsidR="00D524AA" w:rsidRPr="00986939" w14:paraId="66844B49" w14:textId="77777777" w:rsidTr="006C7788">
        <w:trPr>
          <w:trHeight w:val="284"/>
          <w:jc w:val="center"/>
        </w:trPr>
        <w:tc>
          <w:tcPr>
            <w:tcW w:w="6552" w:type="dxa"/>
            <w:vAlign w:val="center"/>
          </w:tcPr>
          <w:p w14:paraId="29D8355F" w14:textId="77777777" w:rsidR="00D524AA" w:rsidRPr="00351D17" w:rsidRDefault="00D524AA" w:rsidP="006C7788">
            <w:pPr>
              <w:autoSpaceDE w:val="0"/>
              <w:autoSpaceDN w:val="0"/>
              <w:adjustRightInd w:val="0"/>
              <w:ind w:left="0"/>
              <w:rPr>
                <w:sz w:val="18"/>
                <w:szCs w:val="18"/>
              </w:rPr>
            </w:pPr>
            <w:r w:rsidRPr="00351D17">
              <w:rPr>
                <w:sz w:val="18"/>
                <w:szCs w:val="18"/>
              </w:rPr>
              <w:t>Ministerstva práce, sociálnych vecí a rodiny SR</w:t>
            </w:r>
          </w:p>
        </w:tc>
      </w:tr>
      <w:tr w:rsidR="00D524AA" w:rsidRPr="00986939" w14:paraId="1C17FC25" w14:textId="77777777" w:rsidTr="006C7788">
        <w:trPr>
          <w:trHeight w:val="284"/>
          <w:jc w:val="center"/>
        </w:trPr>
        <w:tc>
          <w:tcPr>
            <w:tcW w:w="6552" w:type="dxa"/>
            <w:vAlign w:val="center"/>
          </w:tcPr>
          <w:p w14:paraId="7C491E2F" w14:textId="77777777" w:rsidR="00D524AA" w:rsidRPr="00351D17" w:rsidRDefault="00D524AA" w:rsidP="006C7788">
            <w:pPr>
              <w:autoSpaceDE w:val="0"/>
              <w:autoSpaceDN w:val="0"/>
              <w:adjustRightInd w:val="0"/>
              <w:ind w:left="0"/>
              <w:rPr>
                <w:sz w:val="18"/>
                <w:szCs w:val="18"/>
              </w:rPr>
            </w:pPr>
            <w:r w:rsidRPr="00351D17">
              <w:rPr>
                <w:sz w:val="18"/>
                <w:szCs w:val="18"/>
              </w:rPr>
              <w:t>Ministerstvo dopravy, výstavby a regionálneho rozvoja SR</w:t>
            </w:r>
          </w:p>
        </w:tc>
      </w:tr>
      <w:tr w:rsidR="00D524AA" w:rsidRPr="00986939" w14:paraId="6E9D62C3" w14:textId="77777777" w:rsidTr="006C7788">
        <w:trPr>
          <w:trHeight w:val="284"/>
          <w:jc w:val="center"/>
        </w:trPr>
        <w:tc>
          <w:tcPr>
            <w:tcW w:w="6552" w:type="dxa"/>
            <w:vAlign w:val="center"/>
          </w:tcPr>
          <w:p w14:paraId="5F30CFB6" w14:textId="77777777" w:rsidR="00D524AA" w:rsidRPr="00351D17" w:rsidRDefault="00D524AA" w:rsidP="006C7788">
            <w:pPr>
              <w:autoSpaceDE w:val="0"/>
              <w:autoSpaceDN w:val="0"/>
              <w:adjustRightInd w:val="0"/>
              <w:ind w:left="0"/>
              <w:rPr>
                <w:sz w:val="18"/>
                <w:szCs w:val="18"/>
              </w:rPr>
            </w:pPr>
            <w:r w:rsidRPr="00351D17">
              <w:rPr>
                <w:sz w:val="18"/>
                <w:szCs w:val="18"/>
              </w:rPr>
              <w:t>Ministerstvo vnútra SR</w:t>
            </w:r>
          </w:p>
        </w:tc>
      </w:tr>
      <w:tr w:rsidR="00D524AA" w:rsidRPr="00986939" w14:paraId="676DD73D" w14:textId="77777777" w:rsidTr="006C7788">
        <w:trPr>
          <w:trHeight w:val="284"/>
          <w:jc w:val="center"/>
        </w:trPr>
        <w:tc>
          <w:tcPr>
            <w:tcW w:w="6552" w:type="dxa"/>
            <w:vAlign w:val="center"/>
          </w:tcPr>
          <w:p w14:paraId="26E2D764" w14:textId="77777777" w:rsidR="00D524AA" w:rsidRPr="00351D17" w:rsidRDefault="00D524AA" w:rsidP="006C7788">
            <w:pPr>
              <w:autoSpaceDE w:val="0"/>
              <w:autoSpaceDN w:val="0"/>
              <w:adjustRightInd w:val="0"/>
              <w:ind w:left="0"/>
              <w:rPr>
                <w:sz w:val="18"/>
                <w:szCs w:val="18"/>
              </w:rPr>
            </w:pPr>
            <w:r w:rsidRPr="00351D17">
              <w:rPr>
                <w:sz w:val="18"/>
                <w:szCs w:val="18"/>
              </w:rPr>
              <w:t>Ministerstvo spravodlivosti SR</w:t>
            </w:r>
          </w:p>
        </w:tc>
      </w:tr>
      <w:tr w:rsidR="00D524AA" w:rsidRPr="00986939" w14:paraId="711D8877" w14:textId="77777777" w:rsidTr="006C7788">
        <w:trPr>
          <w:trHeight w:val="284"/>
          <w:jc w:val="center"/>
        </w:trPr>
        <w:tc>
          <w:tcPr>
            <w:tcW w:w="6552" w:type="dxa"/>
            <w:vAlign w:val="center"/>
          </w:tcPr>
          <w:p w14:paraId="7BE73D09" w14:textId="77777777" w:rsidR="00D524AA" w:rsidRPr="00351D17" w:rsidRDefault="00D524AA" w:rsidP="006C7788">
            <w:pPr>
              <w:autoSpaceDE w:val="0"/>
              <w:autoSpaceDN w:val="0"/>
              <w:adjustRightInd w:val="0"/>
              <w:ind w:left="0"/>
              <w:rPr>
                <w:sz w:val="18"/>
                <w:szCs w:val="18"/>
              </w:rPr>
            </w:pPr>
            <w:r w:rsidRPr="00351D17">
              <w:rPr>
                <w:sz w:val="18"/>
                <w:szCs w:val="18"/>
              </w:rPr>
              <w:t>Ministerstvo obrany SR</w:t>
            </w:r>
          </w:p>
        </w:tc>
      </w:tr>
      <w:tr w:rsidR="00D524AA" w:rsidRPr="00986939" w14:paraId="1A9E4A14" w14:textId="77777777" w:rsidTr="006C7788">
        <w:trPr>
          <w:trHeight w:val="284"/>
          <w:jc w:val="center"/>
        </w:trPr>
        <w:tc>
          <w:tcPr>
            <w:tcW w:w="6552" w:type="dxa"/>
            <w:vAlign w:val="center"/>
          </w:tcPr>
          <w:p w14:paraId="1509235C" w14:textId="77777777" w:rsidR="00D524AA" w:rsidRPr="00351D17" w:rsidRDefault="00D524AA" w:rsidP="006C7788">
            <w:pPr>
              <w:autoSpaceDE w:val="0"/>
              <w:autoSpaceDN w:val="0"/>
              <w:adjustRightInd w:val="0"/>
              <w:ind w:left="0"/>
              <w:rPr>
                <w:sz w:val="18"/>
                <w:szCs w:val="18"/>
              </w:rPr>
            </w:pPr>
            <w:r w:rsidRPr="00351D17">
              <w:rPr>
                <w:sz w:val="18"/>
                <w:szCs w:val="18"/>
              </w:rPr>
              <w:t>Ministerstvo zdravotníctva SR</w:t>
            </w:r>
          </w:p>
        </w:tc>
      </w:tr>
      <w:tr w:rsidR="00D524AA" w:rsidRPr="00986939" w14:paraId="40608A19" w14:textId="77777777" w:rsidTr="006C7788">
        <w:trPr>
          <w:trHeight w:val="284"/>
          <w:jc w:val="center"/>
        </w:trPr>
        <w:tc>
          <w:tcPr>
            <w:tcW w:w="6552" w:type="dxa"/>
            <w:vAlign w:val="center"/>
          </w:tcPr>
          <w:p w14:paraId="458CA9F2" w14:textId="77777777" w:rsidR="00D524AA" w:rsidRPr="00351D17" w:rsidRDefault="00D524AA" w:rsidP="006C7788">
            <w:pPr>
              <w:autoSpaceDE w:val="0"/>
              <w:autoSpaceDN w:val="0"/>
              <w:adjustRightInd w:val="0"/>
              <w:ind w:left="0"/>
              <w:rPr>
                <w:sz w:val="18"/>
                <w:szCs w:val="18"/>
              </w:rPr>
            </w:pPr>
            <w:r w:rsidRPr="00351D17">
              <w:rPr>
                <w:sz w:val="18"/>
                <w:szCs w:val="18"/>
              </w:rPr>
              <w:t>Úrad pre verejné obstarávanie</w:t>
            </w:r>
          </w:p>
        </w:tc>
      </w:tr>
      <w:tr w:rsidR="00D524AA" w:rsidRPr="00986939" w14:paraId="2C173CB2" w14:textId="77777777" w:rsidTr="006C7788">
        <w:trPr>
          <w:trHeight w:val="284"/>
          <w:jc w:val="center"/>
        </w:trPr>
        <w:tc>
          <w:tcPr>
            <w:tcW w:w="6552" w:type="dxa"/>
            <w:vAlign w:val="center"/>
          </w:tcPr>
          <w:p w14:paraId="529EAB1C" w14:textId="77777777" w:rsidR="00D524AA" w:rsidRPr="00351D17" w:rsidRDefault="00D524AA" w:rsidP="006C7788">
            <w:pPr>
              <w:autoSpaceDE w:val="0"/>
              <w:autoSpaceDN w:val="0"/>
              <w:adjustRightInd w:val="0"/>
              <w:ind w:left="0"/>
              <w:rPr>
                <w:sz w:val="18"/>
                <w:szCs w:val="18"/>
              </w:rPr>
            </w:pPr>
            <w:r w:rsidRPr="00351D17">
              <w:rPr>
                <w:sz w:val="18"/>
                <w:szCs w:val="18"/>
              </w:rPr>
              <w:t>Úrad splnomocnenca vlády SR pre rómske komunity</w:t>
            </w:r>
          </w:p>
        </w:tc>
      </w:tr>
      <w:tr w:rsidR="00D524AA" w:rsidRPr="00986939" w14:paraId="5DED276D" w14:textId="77777777" w:rsidTr="006C7788">
        <w:trPr>
          <w:trHeight w:val="284"/>
          <w:jc w:val="center"/>
        </w:trPr>
        <w:tc>
          <w:tcPr>
            <w:tcW w:w="6552" w:type="dxa"/>
            <w:vAlign w:val="center"/>
          </w:tcPr>
          <w:p w14:paraId="1280453E" w14:textId="77777777" w:rsidR="00D524AA" w:rsidRPr="00351D17" w:rsidRDefault="00D524AA" w:rsidP="006C7788">
            <w:pPr>
              <w:autoSpaceDE w:val="0"/>
              <w:autoSpaceDN w:val="0"/>
              <w:adjustRightInd w:val="0"/>
              <w:ind w:left="0"/>
              <w:rPr>
                <w:sz w:val="18"/>
                <w:szCs w:val="18"/>
              </w:rPr>
            </w:pPr>
            <w:r w:rsidRPr="00351D17">
              <w:rPr>
                <w:sz w:val="18"/>
                <w:szCs w:val="18"/>
              </w:rPr>
              <w:t>Úrad splnomocnenca vlády SR pre rozvoj občianskej spoločnosti</w:t>
            </w:r>
          </w:p>
        </w:tc>
      </w:tr>
      <w:tr w:rsidR="00D524AA" w:rsidRPr="00986939" w14:paraId="37B32C3B" w14:textId="77777777" w:rsidTr="006C7788">
        <w:trPr>
          <w:trHeight w:val="284"/>
          <w:jc w:val="center"/>
        </w:trPr>
        <w:tc>
          <w:tcPr>
            <w:tcW w:w="6552" w:type="dxa"/>
            <w:vAlign w:val="center"/>
          </w:tcPr>
          <w:p w14:paraId="6E0E5A82" w14:textId="77777777" w:rsidR="00D524AA" w:rsidRPr="00351D17" w:rsidRDefault="00D524AA" w:rsidP="006C7788">
            <w:pPr>
              <w:autoSpaceDE w:val="0"/>
              <w:autoSpaceDN w:val="0"/>
              <w:adjustRightInd w:val="0"/>
              <w:ind w:left="0"/>
              <w:rPr>
                <w:sz w:val="18"/>
                <w:szCs w:val="18"/>
              </w:rPr>
            </w:pPr>
            <w:r w:rsidRPr="00351D17">
              <w:rPr>
                <w:sz w:val="18"/>
                <w:szCs w:val="18"/>
              </w:rPr>
              <w:t>Úrad Bratislavského samosprávneho kraja</w:t>
            </w:r>
          </w:p>
        </w:tc>
      </w:tr>
      <w:tr w:rsidR="00D524AA" w:rsidRPr="00986939" w14:paraId="00BBAFDE" w14:textId="77777777" w:rsidTr="006C7788">
        <w:trPr>
          <w:trHeight w:val="284"/>
          <w:jc w:val="center"/>
        </w:trPr>
        <w:tc>
          <w:tcPr>
            <w:tcW w:w="6552" w:type="dxa"/>
            <w:vAlign w:val="center"/>
          </w:tcPr>
          <w:p w14:paraId="6FB4A8C6" w14:textId="77777777" w:rsidR="00D524AA" w:rsidRPr="00351D17" w:rsidRDefault="00D524AA" w:rsidP="006C7788">
            <w:pPr>
              <w:autoSpaceDE w:val="0"/>
              <w:autoSpaceDN w:val="0"/>
              <w:adjustRightInd w:val="0"/>
              <w:ind w:left="0"/>
              <w:rPr>
                <w:sz w:val="18"/>
                <w:szCs w:val="18"/>
              </w:rPr>
            </w:pPr>
            <w:r w:rsidRPr="00351D17">
              <w:rPr>
                <w:sz w:val="18"/>
                <w:szCs w:val="18"/>
              </w:rPr>
              <w:t>Úrad Trnavského samosprávneho kraja</w:t>
            </w:r>
          </w:p>
        </w:tc>
      </w:tr>
      <w:tr w:rsidR="00D524AA" w:rsidRPr="00986939" w14:paraId="7EE8418A" w14:textId="77777777" w:rsidTr="006C7788">
        <w:trPr>
          <w:trHeight w:val="284"/>
          <w:jc w:val="center"/>
        </w:trPr>
        <w:tc>
          <w:tcPr>
            <w:tcW w:w="6552" w:type="dxa"/>
            <w:vAlign w:val="center"/>
          </w:tcPr>
          <w:p w14:paraId="3B56758C" w14:textId="77777777" w:rsidR="00D524AA" w:rsidRPr="00351D17" w:rsidRDefault="00D524AA" w:rsidP="006C7788">
            <w:pPr>
              <w:autoSpaceDE w:val="0"/>
              <w:autoSpaceDN w:val="0"/>
              <w:adjustRightInd w:val="0"/>
              <w:ind w:left="0"/>
              <w:rPr>
                <w:sz w:val="18"/>
                <w:szCs w:val="18"/>
              </w:rPr>
            </w:pPr>
            <w:r w:rsidRPr="00351D17">
              <w:rPr>
                <w:sz w:val="18"/>
                <w:szCs w:val="18"/>
              </w:rPr>
              <w:t>Úrad Nitrianskeho samosprávneho kraja</w:t>
            </w:r>
          </w:p>
        </w:tc>
      </w:tr>
      <w:tr w:rsidR="00D524AA" w:rsidRPr="00986939" w14:paraId="12CC8532" w14:textId="77777777" w:rsidTr="006C7788">
        <w:trPr>
          <w:trHeight w:val="284"/>
          <w:jc w:val="center"/>
        </w:trPr>
        <w:tc>
          <w:tcPr>
            <w:tcW w:w="6552" w:type="dxa"/>
            <w:vAlign w:val="center"/>
          </w:tcPr>
          <w:p w14:paraId="2F2753F4" w14:textId="77777777" w:rsidR="00D524AA" w:rsidRPr="00351D17" w:rsidRDefault="00D524AA" w:rsidP="006C7788">
            <w:pPr>
              <w:autoSpaceDE w:val="0"/>
              <w:autoSpaceDN w:val="0"/>
              <w:adjustRightInd w:val="0"/>
              <w:ind w:left="0"/>
              <w:rPr>
                <w:sz w:val="18"/>
                <w:szCs w:val="18"/>
              </w:rPr>
            </w:pPr>
            <w:r w:rsidRPr="00351D17">
              <w:rPr>
                <w:sz w:val="18"/>
                <w:szCs w:val="18"/>
              </w:rPr>
              <w:t>Úrad Trenčianskeho samosprávneho kraja</w:t>
            </w:r>
          </w:p>
        </w:tc>
      </w:tr>
      <w:tr w:rsidR="00D524AA" w:rsidRPr="00986939" w14:paraId="6C83BF60" w14:textId="77777777" w:rsidTr="006C7788">
        <w:trPr>
          <w:trHeight w:val="284"/>
          <w:jc w:val="center"/>
        </w:trPr>
        <w:tc>
          <w:tcPr>
            <w:tcW w:w="6552" w:type="dxa"/>
            <w:vAlign w:val="center"/>
          </w:tcPr>
          <w:p w14:paraId="4B1E8291" w14:textId="77777777" w:rsidR="00D524AA" w:rsidRPr="00351D17" w:rsidRDefault="00D524AA" w:rsidP="006C7788">
            <w:pPr>
              <w:autoSpaceDE w:val="0"/>
              <w:autoSpaceDN w:val="0"/>
              <w:adjustRightInd w:val="0"/>
              <w:ind w:left="0"/>
              <w:rPr>
                <w:sz w:val="18"/>
                <w:szCs w:val="18"/>
              </w:rPr>
            </w:pPr>
            <w:r w:rsidRPr="00351D17">
              <w:rPr>
                <w:sz w:val="18"/>
                <w:szCs w:val="18"/>
              </w:rPr>
              <w:t>Úrad Banskobystrického samosprávneho kraja</w:t>
            </w:r>
          </w:p>
        </w:tc>
      </w:tr>
      <w:tr w:rsidR="00D524AA" w:rsidRPr="00986939" w14:paraId="7DB59899" w14:textId="77777777" w:rsidTr="006C7788">
        <w:trPr>
          <w:trHeight w:val="284"/>
          <w:jc w:val="center"/>
        </w:trPr>
        <w:tc>
          <w:tcPr>
            <w:tcW w:w="6552" w:type="dxa"/>
            <w:vAlign w:val="center"/>
          </w:tcPr>
          <w:p w14:paraId="1551C9C0" w14:textId="77777777" w:rsidR="00D524AA" w:rsidRPr="00351D17" w:rsidRDefault="00D524AA" w:rsidP="006C7788">
            <w:pPr>
              <w:autoSpaceDE w:val="0"/>
              <w:autoSpaceDN w:val="0"/>
              <w:adjustRightInd w:val="0"/>
              <w:ind w:left="0"/>
              <w:rPr>
                <w:sz w:val="18"/>
                <w:szCs w:val="18"/>
              </w:rPr>
            </w:pPr>
            <w:r w:rsidRPr="00351D17">
              <w:rPr>
                <w:sz w:val="18"/>
                <w:szCs w:val="18"/>
              </w:rPr>
              <w:t>Úrad Žilinského samosprávneho kraja</w:t>
            </w:r>
          </w:p>
        </w:tc>
      </w:tr>
      <w:tr w:rsidR="00D524AA" w:rsidRPr="00986939" w14:paraId="779D1413" w14:textId="77777777" w:rsidTr="006C7788">
        <w:trPr>
          <w:trHeight w:val="284"/>
          <w:jc w:val="center"/>
        </w:trPr>
        <w:tc>
          <w:tcPr>
            <w:tcW w:w="6552" w:type="dxa"/>
            <w:vAlign w:val="center"/>
          </w:tcPr>
          <w:p w14:paraId="3AAC1B38" w14:textId="77777777" w:rsidR="00D524AA" w:rsidRPr="00351D17" w:rsidRDefault="00D524AA" w:rsidP="006C7788">
            <w:pPr>
              <w:autoSpaceDE w:val="0"/>
              <w:autoSpaceDN w:val="0"/>
              <w:adjustRightInd w:val="0"/>
              <w:ind w:left="0"/>
              <w:rPr>
                <w:sz w:val="18"/>
                <w:szCs w:val="18"/>
              </w:rPr>
            </w:pPr>
            <w:r w:rsidRPr="00351D17">
              <w:rPr>
                <w:sz w:val="18"/>
                <w:szCs w:val="18"/>
              </w:rPr>
              <w:t>Úrad Košického samosprávneho kraja</w:t>
            </w:r>
          </w:p>
        </w:tc>
      </w:tr>
      <w:tr w:rsidR="00D524AA" w:rsidRPr="00986939" w14:paraId="153EA7DF" w14:textId="77777777" w:rsidTr="006C7788">
        <w:trPr>
          <w:trHeight w:val="284"/>
          <w:jc w:val="center"/>
        </w:trPr>
        <w:tc>
          <w:tcPr>
            <w:tcW w:w="6552" w:type="dxa"/>
            <w:vAlign w:val="center"/>
          </w:tcPr>
          <w:p w14:paraId="601809D9" w14:textId="77777777" w:rsidR="00D524AA" w:rsidRPr="00351D17" w:rsidRDefault="00D524AA" w:rsidP="006C7788">
            <w:pPr>
              <w:autoSpaceDE w:val="0"/>
              <w:autoSpaceDN w:val="0"/>
              <w:adjustRightInd w:val="0"/>
              <w:ind w:left="0"/>
              <w:rPr>
                <w:sz w:val="18"/>
                <w:szCs w:val="18"/>
              </w:rPr>
            </w:pPr>
            <w:r w:rsidRPr="00351D17">
              <w:rPr>
                <w:sz w:val="18"/>
                <w:szCs w:val="18"/>
              </w:rPr>
              <w:t>Úrad Prešovského samosprávneho kraja</w:t>
            </w:r>
          </w:p>
        </w:tc>
      </w:tr>
      <w:tr w:rsidR="00D524AA" w:rsidRPr="00986939" w14:paraId="5B9434CC" w14:textId="77777777" w:rsidTr="006C7788">
        <w:trPr>
          <w:trHeight w:val="284"/>
          <w:jc w:val="center"/>
        </w:trPr>
        <w:tc>
          <w:tcPr>
            <w:tcW w:w="6552" w:type="dxa"/>
            <w:vAlign w:val="center"/>
          </w:tcPr>
          <w:p w14:paraId="1FBAC7EB" w14:textId="77777777" w:rsidR="00D524AA" w:rsidRPr="00351D17" w:rsidRDefault="00D524AA" w:rsidP="006C7788">
            <w:pPr>
              <w:autoSpaceDE w:val="0"/>
              <w:autoSpaceDN w:val="0"/>
              <w:adjustRightInd w:val="0"/>
              <w:ind w:left="0"/>
              <w:rPr>
                <w:sz w:val="18"/>
                <w:szCs w:val="18"/>
              </w:rPr>
            </w:pPr>
            <w:r w:rsidRPr="00351D17">
              <w:rPr>
                <w:sz w:val="18"/>
                <w:szCs w:val="18"/>
              </w:rPr>
              <w:t>Slovenská akadémia vied</w:t>
            </w:r>
          </w:p>
        </w:tc>
      </w:tr>
      <w:tr w:rsidR="00D524AA" w:rsidRPr="00986939" w14:paraId="0B013EC9" w14:textId="77777777" w:rsidTr="006C7788">
        <w:trPr>
          <w:trHeight w:val="284"/>
          <w:jc w:val="center"/>
        </w:trPr>
        <w:tc>
          <w:tcPr>
            <w:tcW w:w="6552" w:type="dxa"/>
            <w:vAlign w:val="center"/>
          </w:tcPr>
          <w:p w14:paraId="5FBA5950" w14:textId="77777777" w:rsidR="00D524AA" w:rsidRPr="00351D17" w:rsidRDefault="00D524AA" w:rsidP="006C7788">
            <w:pPr>
              <w:autoSpaceDE w:val="0"/>
              <w:autoSpaceDN w:val="0"/>
              <w:adjustRightInd w:val="0"/>
              <w:ind w:left="0"/>
              <w:rPr>
                <w:sz w:val="18"/>
                <w:szCs w:val="18"/>
              </w:rPr>
            </w:pPr>
            <w:r w:rsidRPr="00351D17">
              <w:rPr>
                <w:sz w:val="18"/>
                <w:szCs w:val="18"/>
              </w:rPr>
              <w:t>Slovenská rektorská konferencia</w:t>
            </w:r>
          </w:p>
        </w:tc>
      </w:tr>
      <w:tr w:rsidR="00D524AA" w:rsidRPr="00986939" w14:paraId="28D2CCB2" w14:textId="77777777" w:rsidTr="006C7788">
        <w:trPr>
          <w:trHeight w:val="284"/>
          <w:jc w:val="center"/>
        </w:trPr>
        <w:tc>
          <w:tcPr>
            <w:tcW w:w="6552" w:type="dxa"/>
            <w:vAlign w:val="center"/>
          </w:tcPr>
          <w:p w14:paraId="49D26E00" w14:textId="77777777" w:rsidR="00D524AA" w:rsidRPr="00351D17" w:rsidRDefault="00D524AA" w:rsidP="006C7788">
            <w:pPr>
              <w:autoSpaceDE w:val="0"/>
              <w:autoSpaceDN w:val="0"/>
              <w:adjustRightInd w:val="0"/>
              <w:ind w:left="0"/>
              <w:rPr>
                <w:sz w:val="18"/>
                <w:szCs w:val="18"/>
              </w:rPr>
            </w:pPr>
            <w:r w:rsidRPr="00351D17">
              <w:rPr>
                <w:sz w:val="18"/>
                <w:szCs w:val="18"/>
              </w:rPr>
              <w:t>Rada vysokých škôl SR</w:t>
            </w:r>
          </w:p>
        </w:tc>
      </w:tr>
      <w:tr w:rsidR="00D524AA" w:rsidRPr="00986939" w14:paraId="33A71847" w14:textId="77777777" w:rsidTr="006C7788">
        <w:trPr>
          <w:trHeight w:val="284"/>
          <w:jc w:val="center"/>
        </w:trPr>
        <w:tc>
          <w:tcPr>
            <w:tcW w:w="6552" w:type="dxa"/>
            <w:vAlign w:val="center"/>
          </w:tcPr>
          <w:p w14:paraId="3A038236" w14:textId="77777777" w:rsidR="00D524AA" w:rsidRPr="00351D17" w:rsidRDefault="00D524AA" w:rsidP="006C7788">
            <w:pPr>
              <w:autoSpaceDE w:val="0"/>
              <w:autoSpaceDN w:val="0"/>
              <w:adjustRightInd w:val="0"/>
              <w:ind w:left="0"/>
              <w:rPr>
                <w:sz w:val="18"/>
                <w:szCs w:val="18"/>
              </w:rPr>
            </w:pPr>
            <w:r w:rsidRPr="00351D17">
              <w:rPr>
                <w:sz w:val="18"/>
                <w:szCs w:val="18"/>
              </w:rPr>
              <w:t>Slovenská akadémia pôdohospodárskych vied</w:t>
            </w:r>
          </w:p>
        </w:tc>
      </w:tr>
      <w:tr w:rsidR="00D524AA" w:rsidRPr="00986939" w14:paraId="3E0C28BA" w14:textId="77777777" w:rsidTr="006C7788">
        <w:trPr>
          <w:trHeight w:val="284"/>
          <w:jc w:val="center"/>
        </w:trPr>
        <w:tc>
          <w:tcPr>
            <w:tcW w:w="6552" w:type="dxa"/>
            <w:vAlign w:val="center"/>
          </w:tcPr>
          <w:p w14:paraId="2C5B1A49" w14:textId="77777777" w:rsidR="00D524AA" w:rsidRPr="00351D17" w:rsidRDefault="00D524AA" w:rsidP="006C7788">
            <w:pPr>
              <w:autoSpaceDE w:val="0"/>
              <w:autoSpaceDN w:val="0"/>
              <w:adjustRightInd w:val="0"/>
              <w:ind w:left="0"/>
              <w:rPr>
                <w:sz w:val="18"/>
                <w:szCs w:val="18"/>
              </w:rPr>
            </w:pPr>
            <w:r w:rsidRPr="00351D17">
              <w:rPr>
                <w:sz w:val="18"/>
                <w:szCs w:val="18"/>
              </w:rPr>
              <w:t>Zväz slovenských vedecko-technických spoločností</w:t>
            </w:r>
          </w:p>
        </w:tc>
      </w:tr>
      <w:tr w:rsidR="00D524AA" w:rsidRPr="00986939" w14:paraId="0E937DC2" w14:textId="77777777" w:rsidTr="006C7788">
        <w:trPr>
          <w:trHeight w:val="284"/>
          <w:jc w:val="center"/>
        </w:trPr>
        <w:tc>
          <w:tcPr>
            <w:tcW w:w="6552" w:type="dxa"/>
            <w:vAlign w:val="center"/>
          </w:tcPr>
          <w:p w14:paraId="738348F9" w14:textId="77777777" w:rsidR="00D524AA" w:rsidRPr="00351D17" w:rsidRDefault="00D524AA" w:rsidP="006C7788">
            <w:pPr>
              <w:autoSpaceDE w:val="0"/>
              <w:autoSpaceDN w:val="0"/>
              <w:adjustRightInd w:val="0"/>
              <w:ind w:left="0"/>
              <w:rPr>
                <w:sz w:val="18"/>
                <w:szCs w:val="18"/>
              </w:rPr>
            </w:pPr>
            <w:r w:rsidRPr="00351D17">
              <w:rPr>
                <w:sz w:val="18"/>
                <w:szCs w:val="18"/>
              </w:rPr>
              <w:t>Zväz priemyselných, výskumných a vývojových organizácií</w:t>
            </w:r>
          </w:p>
        </w:tc>
      </w:tr>
      <w:tr w:rsidR="00D524AA" w:rsidRPr="00986939" w14:paraId="45810F00" w14:textId="77777777" w:rsidTr="006C7788">
        <w:trPr>
          <w:trHeight w:val="284"/>
          <w:jc w:val="center"/>
        </w:trPr>
        <w:tc>
          <w:tcPr>
            <w:tcW w:w="6552" w:type="dxa"/>
            <w:vAlign w:val="center"/>
          </w:tcPr>
          <w:p w14:paraId="4B4C3459" w14:textId="77777777" w:rsidR="00D524AA" w:rsidRPr="00351D17" w:rsidRDefault="00D524AA" w:rsidP="006C7788">
            <w:pPr>
              <w:autoSpaceDE w:val="0"/>
              <w:autoSpaceDN w:val="0"/>
              <w:adjustRightInd w:val="0"/>
              <w:ind w:left="0"/>
              <w:rPr>
                <w:sz w:val="18"/>
                <w:szCs w:val="18"/>
              </w:rPr>
            </w:pPr>
            <w:r w:rsidRPr="00351D17">
              <w:rPr>
                <w:sz w:val="18"/>
                <w:szCs w:val="18"/>
              </w:rPr>
              <w:t>Únia miest Slovenska</w:t>
            </w:r>
          </w:p>
        </w:tc>
      </w:tr>
      <w:tr w:rsidR="00D524AA" w:rsidRPr="00986939" w14:paraId="63EB54F7" w14:textId="77777777" w:rsidTr="006C7788">
        <w:trPr>
          <w:trHeight w:val="284"/>
          <w:jc w:val="center"/>
        </w:trPr>
        <w:tc>
          <w:tcPr>
            <w:tcW w:w="6552" w:type="dxa"/>
            <w:vAlign w:val="center"/>
          </w:tcPr>
          <w:p w14:paraId="03295695" w14:textId="77777777" w:rsidR="00D524AA" w:rsidRPr="00351D17" w:rsidRDefault="00D524AA" w:rsidP="006C7788">
            <w:pPr>
              <w:autoSpaceDE w:val="0"/>
              <w:autoSpaceDN w:val="0"/>
              <w:adjustRightInd w:val="0"/>
              <w:ind w:left="0"/>
              <w:rPr>
                <w:sz w:val="18"/>
                <w:szCs w:val="18"/>
              </w:rPr>
            </w:pPr>
            <w:r w:rsidRPr="00351D17">
              <w:rPr>
                <w:sz w:val="18"/>
                <w:szCs w:val="18"/>
              </w:rPr>
              <w:t>Združenie miest a obcí Slovenska</w:t>
            </w:r>
          </w:p>
        </w:tc>
      </w:tr>
      <w:tr w:rsidR="00D524AA" w:rsidRPr="00986939" w14:paraId="3FF9852A" w14:textId="77777777" w:rsidTr="006C7788">
        <w:trPr>
          <w:trHeight w:val="284"/>
          <w:jc w:val="center"/>
        </w:trPr>
        <w:tc>
          <w:tcPr>
            <w:tcW w:w="6552" w:type="dxa"/>
            <w:vAlign w:val="center"/>
          </w:tcPr>
          <w:p w14:paraId="56276278" w14:textId="77777777" w:rsidR="00D524AA" w:rsidRPr="00351D17" w:rsidRDefault="00D524AA" w:rsidP="006C7788">
            <w:pPr>
              <w:autoSpaceDE w:val="0"/>
              <w:autoSpaceDN w:val="0"/>
              <w:adjustRightInd w:val="0"/>
              <w:ind w:left="0"/>
              <w:rPr>
                <w:sz w:val="18"/>
                <w:szCs w:val="18"/>
              </w:rPr>
            </w:pPr>
            <w:r w:rsidRPr="00351D17">
              <w:rPr>
                <w:sz w:val="18"/>
                <w:szCs w:val="18"/>
              </w:rPr>
              <w:t>Klub 500</w:t>
            </w:r>
          </w:p>
        </w:tc>
      </w:tr>
      <w:tr w:rsidR="00D524AA" w:rsidRPr="00986939" w14:paraId="7286F251" w14:textId="77777777" w:rsidTr="006C7788">
        <w:trPr>
          <w:trHeight w:val="284"/>
          <w:jc w:val="center"/>
        </w:trPr>
        <w:tc>
          <w:tcPr>
            <w:tcW w:w="6552" w:type="dxa"/>
            <w:vAlign w:val="center"/>
          </w:tcPr>
          <w:p w14:paraId="6276617D" w14:textId="77777777" w:rsidR="00D524AA" w:rsidRPr="00351D17" w:rsidRDefault="00D524AA" w:rsidP="006C7788">
            <w:pPr>
              <w:autoSpaceDE w:val="0"/>
              <w:autoSpaceDN w:val="0"/>
              <w:adjustRightInd w:val="0"/>
              <w:ind w:left="0"/>
              <w:rPr>
                <w:sz w:val="18"/>
                <w:szCs w:val="18"/>
              </w:rPr>
            </w:pPr>
            <w:r w:rsidRPr="00351D17">
              <w:rPr>
                <w:sz w:val="18"/>
                <w:szCs w:val="18"/>
              </w:rPr>
              <w:t>Podnikateľská aliancia Slovenska</w:t>
            </w:r>
          </w:p>
        </w:tc>
      </w:tr>
      <w:tr w:rsidR="00D524AA" w:rsidRPr="00986939" w14:paraId="4661EA7A" w14:textId="77777777" w:rsidTr="006C7788">
        <w:trPr>
          <w:trHeight w:val="284"/>
          <w:jc w:val="center"/>
        </w:trPr>
        <w:tc>
          <w:tcPr>
            <w:tcW w:w="6552" w:type="dxa"/>
            <w:vAlign w:val="center"/>
          </w:tcPr>
          <w:p w14:paraId="3E0AFB92" w14:textId="77777777" w:rsidR="00D524AA" w:rsidRPr="00351D17" w:rsidRDefault="00D524AA" w:rsidP="006C7788">
            <w:pPr>
              <w:autoSpaceDE w:val="0"/>
              <w:autoSpaceDN w:val="0"/>
              <w:adjustRightInd w:val="0"/>
              <w:ind w:left="0"/>
              <w:rPr>
                <w:sz w:val="18"/>
                <w:szCs w:val="18"/>
              </w:rPr>
            </w:pPr>
            <w:r w:rsidRPr="00351D17">
              <w:rPr>
                <w:sz w:val="18"/>
                <w:szCs w:val="18"/>
              </w:rPr>
              <w:t>Asociácia zamestnávateľských zväzov a združení SR</w:t>
            </w:r>
          </w:p>
        </w:tc>
      </w:tr>
      <w:tr w:rsidR="00D524AA" w:rsidRPr="00986939" w14:paraId="38729AA9" w14:textId="77777777" w:rsidTr="006C7788">
        <w:trPr>
          <w:trHeight w:val="284"/>
          <w:jc w:val="center"/>
        </w:trPr>
        <w:tc>
          <w:tcPr>
            <w:tcW w:w="6552" w:type="dxa"/>
            <w:vAlign w:val="center"/>
          </w:tcPr>
          <w:p w14:paraId="356D2D60" w14:textId="77777777" w:rsidR="00D524AA" w:rsidRPr="00351D17" w:rsidRDefault="00D524AA" w:rsidP="006C7788">
            <w:pPr>
              <w:autoSpaceDE w:val="0"/>
              <w:autoSpaceDN w:val="0"/>
              <w:adjustRightInd w:val="0"/>
              <w:ind w:left="0"/>
              <w:rPr>
                <w:sz w:val="18"/>
                <w:szCs w:val="18"/>
              </w:rPr>
            </w:pPr>
            <w:r w:rsidRPr="00351D17">
              <w:rPr>
                <w:sz w:val="18"/>
                <w:szCs w:val="18"/>
              </w:rPr>
              <w:t>Republiková únia zamestnávateľov</w:t>
            </w:r>
          </w:p>
        </w:tc>
      </w:tr>
      <w:tr w:rsidR="00D524AA" w:rsidRPr="00986939" w14:paraId="75048157" w14:textId="77777777" w:rsidTr="006C7788">
        <w:trPr>
          <w:trHeight w:val="284"/>
          <w:jc w:val="center"/>
        </w:trPr>
        <w:tc>
          <w:tcPr>
            <w:tcW w:w="6552" w:type="dxa"/>
            <w:vAlign w:val="center"/>
          </w:tcPr>
          <w:p w14:paraId="1FA4169E" w14:textId="77777777" w:rsidR="00D524AA" w:rsidRPr="00351D17" w:rsidRDefault="00D524AA" w:rsidP="006C7788">
            <w:pPr>
              <w:autoSpaceDE w:val="0"/>
              <w:autoSpaceDN w:val="0"/>
              <w:adjustRightInd w:val="0"/>
              <w:ind w:left="0"/>
              <w:rPr>
                <w:sz w:val="18"/>
                <w:szCs w:val="18"/>
              </w:rPr>
            </w:pPr>
            <w:r w:rsidRPr="00351D17">
              <w:rPr>
                <w:sz w:val="18"/>
                <w:szCs w:val="18"/>
              </w:rPr>
              <w:t>Slovenská agentúra pre rozvoj investícií a obchodu</w:t>
            </w:r>
          </w:p>
        </w:tc>
      </w:tr>
      <w:tr w:rsidR="00D524AA" w:rsidRPr="00986939" w14:paraId="3FF4B09B" w14:textId="77777777" w:rsidTr="006C7788">
        <w:trPr>
          <w:trHeight w:val="284"/>
          <w:jc w:val="center"/>
        </w:trPr>
        <w:tc>
          <w:tcPr>
            <w:tcW w:w="6552" w:type="dxa"/>
            <w:vAlign w:val="center"/>
          </w:tcPr>
          <w:p w14:paraId="48E2CD8F" w14:textId="77777777" w:rsidR="00D524AA" w:rsidRPr="00351D17" w:rsidRDefault="00D524AA" w:rsidP="006C7788">
            <w:pPr>
              <w:autoSpaceDE w:val="0"/>
              <w:autoSpaceDN w:val="0"/>
              <w:adjustRightInd w:val="0"/>
              <w:ind w:left="0"/>
              <w:rPr>
                <w:sz w:val="18"/>
                <w:szCs w:val="18"/>
              </w:rPr>
            </w:pPr>
            <w:r w:rsidRPr="00351D17">
              <w:rPr>
                <w:sz w:val="18"/>
                <w:szCs w:val="18"/>
              </w:rPr>
              <w:t>Slovenská obchodná a priemyselná komora</w:t>
            </w:r>
          </w:p>
        </w:tc>
      </w:tr>
      <w:tr w:rsidR="00D524AA" w:rsidRPr="00986939" w14:paraId="7CA1B517" w14:textId="77777777" w:rsidTr="006C7788">
        <w:trPr>
          <w:trHeight w:val="284"/>
          <w:jc w:val="center"/>
        </w:trPr>
        <w:tc>
          <w:tcPr>
            <w:tcW w:w="6552" w:type="dxa"/>
            <w:vAlign w:val="center"/>
          </w:tcPr>
          <w:p w14:paraId="2927F2FE" w14:textId="77777777" w:rsidR="00D524AA" w:rsidRPr="00351D17" w:rsidRDefault="00D524AA" w:rsidP="006C7788">
            <w:pPr>
              <w:autoSpaceDE w:val="0"/>
              <w:autoSpaceDN w:val="0"/>
              <w:adjustRightInd w:val="0"/>
              <w:ind w:left="0"/>
              <w:rPr>
                <w:sz w:val="18"/>
                <w:szCs w:val="18"/>
              </w:rPr>
            </w:pPr>
            <w:r w:rsidRPr="00351D17">
              <w:rPr>
                <w:sz w:val="18"/>
                <w:szCs w:val="18"/>
              </w:rPr>
              <w:t>Združenie bezpečnostného a obranného priemyslu SR</w:t>
            </w:r>
          </w:p>
        </w:tc>
      </w:tr>
      <w:tr w:rsidR="00D524AA" w:rsidRPr="00986939" w14:paraId="274141E9" w14:textId="77777777" w:rsidTr="006C7788">
        <w:trPr>
          <w:trHeight w:val="284"/>
          <w:jc w:val="center"/>
        </w:trPr>
        <w:tc>
          <w:tcPr>
            <w:tcW w:w="6552" w:type="dxa"/>
            <w:vAlign w:val="center"/>
          </w:tcPr>
          <w:p w14:paraId="62AD23BF" w14:textId="77777777" w:rsidR="00D524AA" w:rsidRPr="00351D17" w:rsidRDefault="00D524AA" w:rsidP="006C7788">
            <w:pPr>
              <w:autoSpaceDE w:val="0"/>
              <w:autoSpaceDN w:val="0"/>
              <w:adjustRightInd w:val="0"/>
              <w:ind w:left="0"/>
              <w:rPr>
                <w:sz w:val="18"/>
                <w:szCs w:val="18"/>
              </w:rPr>
            </w:pPr>
            <w:r w:rsidRPr="00351D17">
              <w:rPr>
                <w:sz w:val="18"/>
                <w:szCs w:val="18"/>
              </w:rPr>
              <w:t>Zväz strojárskeho priemyslu Slovenskej republiky</w:t>
            </w:r>
          </w:p>
        </w:tc>
      </w:tr>
      <w:tr w:rsidR="00D524AA" w:rsidRPr="00986939" w14:paraId="0ECDDA9D" w14:textId="77777777" w:rsidTr="006C7788">
        <w:trPr>
          <w:trHeight w:val="284"/>
          <w:jc w:val="center"/>
        </w:trPr>
        <w:tc>
          <w:tcPr>
            <w:tcW w:w="6552" w:type="dxa"/>
            <w:vAlign w:val="center"/>
          </w:tcPr>
          <w:p w14:paraId="0D8A543A" w14:textId="77777777" w:rsidR="00D524AA" w:rsidRPr="00351D17" w:rsidRDefault="00D524AA" w:rsidP="006C7788">
            <w:pPr>
              <w:autoSpaceDE w:val="0"/>
              <w:autoSpaceDN w:val="0"/>
              <w:adjustRightInd w:val="0"/>
              <w:ind w:left="0"/>
              <w:rPr>
                <w:sz w:val="18"/>
                <w:szCs w:val="18"/>
              </w:rPr>
            </w:pPr>
            <w:r w:rsidRPr="00351D17">
              <w:rPr>
                <w:sz w:val="18"/>
                <w:szCs w:val="18"/>
              </w:rPr>
              <w:t>Zväz automobilového priemyslu Slovenskej republiky</w:t>
            </w:r>
          </w:p>
        </w:tc>
      </w:tr>
      <w:tr w:rsidR="00D524AA" w:rsidRPr="00986939" w14:paraId="177A8F23" w14:textId="77777777" w:rsidTr="006C7788">
        <w:trPr>
          <w:trHeight w:val="284"/>
          <w:jc w:val="center"/>
        </w:trPr>
        <w:tc>
          <w:tcPr>
            <w:tcW w:w="6552" w:type="dxa"/>
            <w:vAlign w:val="center"/>
          </w:tcPr>
          <w:p w14:paraId="0A486C97" w14:textId="77777777" w:rsidR="00D524AA" w:rsidRPr="00351D17" w:rsidRDefault="00D524AA" w:rsidP="006C7788">
            <w:pPr>
              <w:autoSpaceDE w:val="0"/>
              <w:autoSpaceDN w:val="0"/>
              <w:adjustRightInd w:val="0"/>
              <w:ind w:left="0"/>
              <w:rPr>
                <w:sz w:val="18"/>
                <w:szCs w:val="18"/>
              </w:rPr>
            </w:pPr>
            <w:r w:rsidRPr="00351D17">
              <w:rPr>
                <w:sz w:val="18"/>
                <w:szCs w:val="18"/>
              </w:rPr>
              <w:t>Slovenská akademická informačná agentúra</w:t>
            </w:r>
          </w:p>
        </w:tc>
      </w:tr>
      <w:tr w:rsidR="00D524AA" w:rsidRPr="00986939" w14:paraId="35A3025D" w14:textId="77777777" w:rsidTr="006C7788">
        <w:trPr>
          <w:trHeight w:val="284"/>
          <w:jc w:val="center"/>
        </w:trPr>
        <w:tc>
          <w:tcPr>
            <w:tcW w:w="6552" w:type="dxa"/>
            <w:vAlign w:val="center"/>
          </w:tcPr>
          <w:p w14:paraId="53D1E09E" w14:textId="77777777" w:rsidR="00D524AA" w:rsidRPr="00351D17" w:rsidRDefault="00D524AA" w:rsidP="006C7788">
            <w:pPr>
              <w:autoSpaceDE w:val="0"/>
              <w:autoSpaceDN w:val="0"/>
              <w:adjustRightInd w:val="0"/>
              <w:ind w:left="0"/>
              <w:rPr>
                <w:sz w:val="18"/>
                <w:szCs w:val="18"/>
              </w:rPr>
            </w:pPr>
            <w:r w:rsidRPr="00351D17">
              <w:rPr>
                <w:sz w:val="18"/>
                <w:szCs w:val="18"/>
              </w:rPr>
              <w:t>Rada vlády SR pre mimovládne neziskové organizácie</w:t>
            </w:r>
          </w:p>
        </w:tc>
      </w:tr>
      <w:tr w:rsidR="00D524AA" w:rsidRPr="00986939" w14:paraId="5E88E130" w14:textId="77777777" w:rsidTr="006C7788">
        <w:trPr>
          <w:trHeight w:val="284"/>
          <w:jc w:val="center"/>
        </w:trPr>
        <w:tc>
          <w:tcPr>
            <w:tcW w:w="6552" w:type="dxa"/>
            <w:vAlign w:val="center"/>
          </w:tcPr>
          <w:p w14:paraId="499E7204" w14:textId="77777777" w:rsidR="00D524AA" w:rsidRPr="00351D17" w:rsidRDefault="00D524AA" w:rsidP="006C7788">
            <w:pPr>
              <w:autoSpaceDE w:val="0"/>
              <w:autoSpaceDN w:val="0"/>
              <w:adjustRightInd w:val="0"/>
              <w:ind w:left="0"/>
              <w:rPr>
                <w:sz w:val="18"/>
                <w:szCs w:val="18"/>
              </w:rPr>
            </w:pPr>
            <w:r w:rsidRPr="00351D17">
              <w:rPr>
                <w:sz w:val="18"/>
                <w:szCs w:val="18"/>
              </w:rPr>
              <w:t>Združenie podnikateľov Slovenska</w:t>
            </w:r>
          </w:p>
        </w:tc>
      </w:tr>
      <w:tr w:rsidR="00D524AA" w:rsidRPr="00986939" w14:paraId="12ED2E14" w14:textId="77777777" w:rsidTr="006C7788">
        <w:trPr>
          <w:trHeight w:val="284"/>
          <w:jc w:val="center"/>
        </w:trPr>
        <w:tc>
          <w:tcPr>
            <w:tcW w:w="6552" w:type="dxa"/>
            <w:vAlign w:val="center"/>
          </w:tcPr>
          <w:p w14:paraId="4433D131" w14:textId="77777777" w:rsidR="00D524AA" w:rsidRPr="00351D17" w:rsidRDefault="00D524AA" w:rsidP="006C7788">
            <w:pPr>
              <w:autoSpaceDE w:val="0"/>
              <w:autoSpaceDN w:val="0"/>
              <w:adjustRightInd w:val="0"/>
              <w:ind w:left="0"/>
              <w:rPr>
                <w:sz w:val="18"/>
                <w:szCs w:val="18"/>
              </w:rPr>
            </w:pPr>
            <w:r w:rsidRPr="00351D17">
              <w:rPr>
                <w:sz w:val="18"/>
                <w:szCs w:val="18"/>
              </w:rPr>
              <w:t>Štatistický úrad SR</w:t>
            </w:r>
          </w:p>
        </w:tc>
      </w:tr>
      <w:tr w:rsidR="00D524AA" w:rsidRPr="00986939" w14:paraId="0EA5E51F" w14:textId="77777777" w:rsidTr="006C7788">
        <w:trPr>
          <w:trHeight w:val="284"/>
          <w:jc w:val="center"/>
        </w:trPr>
        <w:tc>
          <w:tcPr>
            <w:tcW w:w="6552" w:type="dxa"/>
            <w:vAlign w:val="center"/>
          </w:tcPr>
          <w:p w14:paraId="300D709C" w14:textId="77777777" w:rsidR="00D524AA" w:rsidRPr="00351D17" w:rsidRDefault="00D524AA" w:rsidP="006C7788">
            <w:pPr>
              <w:autoSpaceDE w:val="0"/>
              <w:autoSpaceDN w:val="0"/>
              <w:adjustRightInd w:val="0"/>
              <w:ind w:left="0"/>
              <w:rPr>
                <w:sz w:val="18"/>
                <w:szCs w:val="18"/>
              </w:rPr>
            </w:pPr>
            <w:r w:rsidRPr="00351D17">
              <w:rPr>
                <w:sz w:val="18"/>
                <w:szCs w:val="18"/>
              </w:rPr>
              <w:t>Konfederácia odborových zväzov</w:t>
            </w:r>
          </w:p>
        </w:tc>
      </w:tr>
      <w:tr w:rsidR="00D524AA" w:rsidRPr="00986939" w14:paraId="572B9C9A" w14:textId="77777777" w:rsidTr="006C7788">
        <w:trPr>
          <w:trHeight w:val="284"/>
          <w:jc w:val="center"/>
        </w:trPr>
        <w:tc>
          <w:tcPr>
            <w:tcW w:w="6552" w:type="dxa"/>
            <w:vAlign w:val="center"/>
          </w:tcPr>
          <w:p w14:paraId="0D537E94" w14:textId="77777777" w:rsidR="00D524AA" w:rsidRPr="00351D17" w:rsidRDefault="00D524AA" w:rsidP="006C7788">
            <w:pPr>
              <w:autoSpaceDE w:val="0"/>
              <w:autoSpaceDN w:val="0"/>
              <w:adjustRightInd w:val="0"/>
              <w:ind w:left="0"/>
              <w:rPr>
                <w:sz w:val="18"/>
                <w:szCs w:val="18"/>
              </w:rPr>
            </w:pPr>
            <w:r w:rsidRPr="00351D17">
              <w:rPr>
                <w:sz w:val="18"/>
                <w:szCs w:val="18"/>
              </w:rPr>
              <w:t>Slovenská elektromechanická asociácia</w:t>
            </w:r>
          </w:p>
        </w:tc>
      </w:tr>
      <w:tr w:rsidR="00D524AA" w:rsidRPr="00986939" w14:paraId="53C6E614" w14:textId="77777777" w:rsidTr="006C7788">
        <w:trPr>
          <w:trHeight w:val="284"/>
          <w:jc w:val="center"/>
        </w:trPr>
        <w:tc>
          <w:tcPr>
            <w:tcW w:w="6552" w:type="dxa"/>
            <w:vAlign w:val="center"/>
          </w:tcPr>
          <w:p w14:paraId="3F23998F" w14:textId="77777777" w:rsidR="00D524AA" w:rsidRPr="00351D17" w:rsidRDefault="00D524AA" w:rsidP="006C7788">
            <w:pPr>
              <w:autoSpaceDE w:val="0"/>
              <w:autoSpaceDN w:val="0"/>
              <w:adjustRightInd w:val="0"/>
              <w:ind w:left="0"/>
              <w:rPr>
                <w:sz w:val="18"/>
                <w:szCs w:val="18"/>
              </w:rPr>
            </w:pPr>
            <w:r w:rsidRPr="00351D17">
              <w:rPr>
                <w:sz w:val="18"/>
                <w:szCs w:val="18"/>
              </w:rPr>
              <w:t>Slovenská živnostenská komora</w:t>
            </w:r>
          </w:p>
        </w:tc>
      </w:tr>
      <w:tr w:rsidR="00D524AA" w:rsidRPr="00986939" w14:paraId="04CA53EC" w14:textId="77777777" w:rsidTr="006C7788">
        <w:trPr>
          <w:trHeight w:val="284"/>
          <w:jc w:val="center"/>
        </w:trPr>
        <w:tc>
          <w:tcPr>
            <w:tcW w:w="6552" w:type="dxa"/>
            <w:vAlign w:val="center"/>
          </w:tcPr>
          <w:p w14:paraId="10757305" w14:textId="77777777" w:rsidR="00D524AA" w:rsidRPr="00351D17" w:rsidRDefault="00D524AA" w:rsidP="006C7788">
            <w:pPr>
              <w:autoSpaceDE w:val="0"/>
              <w:autoSpaceDN w:val="0"/>
              <w:adjustRightInd w:val="0"/>
              <w:ind w:left="0"/>
              <w:rPr>
                <w:sz w:val="18"/>
                <w:szCs w:val="18"/>
              </w:rPr>
            </w:pPr>
            <w:r w:rsidRPr="00351D17">
              <w:rPr>
                <w:sz w:val="18"/>
                <w:szCs w:val="18"/>
              </w:rPr>
              <w:t>Slovenský živnostenský zväz</w:t>
            </w:r>
          </w:p>
        </w:tc>
      </w:tr>
      <w:tr w:rsidR="00D524AA" w:rsidRPr="00986939" w14:paraId="2CAC275E" w14:textId="77777777" w:rsidTr="006C7788">
        <w:trPr>
          <w:trHeight w:val="284"/>
          <w:jc w:val="center"/>
        </w:trPr>
        <w:tc>
          <w:tcPr>
            <w:tcW w:w="6552" w:type="dxa"/>
            <w:vAlign w:val="center"/>
          </w:tcPr>
          <w:p w14:paraId="610234B0" w14:textId="77777777" w:rsidR="00D524AA" w:rsidRPr="00351D17" w:rsidRDefault="00D524AA" w:rsidP="006C7788">
            <w:pPr>
              <w:autoSpaceDE w:val="0"/>
              <w:autoSpaceDN w:val="0"/>
              <w:adjustRightInd w:val="0"/>
              <w:ind w:left="0"/>
              <w:rPr>
                <w:sz w:val="18"/>
                <w:szCs w:val="18"/>
              </w:rPr>
            </w:pPr>
            <w:r w:rsidRPr="00351D17">
              <w:rPr>
                <w:sz w:val="18"/>
                <w:szCs w:val="18"/>
              </w:rPr>
              <w:t>Zväz hutníctva, ťažobného priemyslu a geológie SR</w:t>
            </w:r>
          </w:p>
        </w:tc>
      </w:tr>
      <w:tr w:rsidR="00D524AA" w:rsidRPr="00986939" w14:paraId="38A1CB20" w14:textId="77777777" w:rsidTr="006C7788">
        <w:trPr>
          <w:trHeight w:val="284"/>
          <w:jc w:val="center"/>
        </w:trPr>
        <w:tc>
          <w:tcPr>
            <w:tcW w:w="6552" w:type="dxa"/>
            <w:vAlign w:val="center"/>
          </w:tcPr>
          <w:p w14:paraId="636F1C69" w14:textId="77777777" w:rsidR="00D524AA" w:rsidRPr="00351D17" w:rsidRDefault="00D524AA" w:rsidP="006C7788">
            <w:pPr>
              <w:autoSpaceDE w:val="0"/>
              <w:autoSpaceDN w:val="0"/>
              <w:adjustRightInd w:val="0"/>
              <w:ind w:left="0"/>
              <w:rPr>
                <w:sz w:val="18"/>
                <w:szCs w:val="18"/>
              </w:rPr>
            </w:pPr>
            <w:r w:rsidRPr="00351D17">
              <w:rPr>
                <w:sz w:val="18"/>
                <w:szCs w:val="18"/>
              </w:rPr>
              <w:t>Zväz stavebných podnikateľov Slovenska</w:t>
            </w:r>
          </w:p>
        </w:tc>
      </w:tr>
      <w:tr w:rsidR="00D524AA" w:rsidRPr="00986939" w14:paraId="6D9F5E64" w14:textId="77777777" w:rsidTr="006C7788">
        <w:trPr>
          <w:trHeight w:val="284"/>
          <w:jc w:val="center"/>
        </w:trPr>
        <w:tc>
          <w:tcPr>
            <w:tcW w:w="6552" w:type="dxa"/>
            <w:vAlign w:val="center"/>
          </w:tcPr>
          <w:p w14:paraId="31FA6271" w14:textId="77777777" w:rsidR="00D524AA" w:rsidRPr="00351D17" w:rsidRDefault="00D524AA" w:rsidP="006C7788">
            <w:pPr>
              <w:autoSpaceDE w:val="0"/>
              <w:autoSpaceDN w:val="0"/>
              <w:adjustRightInd w:val="0"/>
              <w:ind w:left="0"/>
              <w:rPr>
                <w:sz w:val="18"/>
                <w:szCs w:val="18"/>
              </w:rPr>
            </w:pPr>
            <w:r w:rsidRPr="00351D17">
              <w:rPr>
                <w:sz w:val="18"/>
                <w:szCs w:val="18"/>
              </w:rPr>
              <w:lastRenderedPageBreak/>
              <w:t>koordinátor horizontálnej priority Trvalo udržateľný rozvoj</w:t>
            </w:r>
          </w:p>
        </w:tc>
      </w:tr>
      <w:tr w:rsidR="00D524AA" w:rsidRPr="00986939" w14:paraId="7796B499" w14:textId="77777777" w:rsidTr="006C7788">
        <w:trPr>
          <w:trHeight w:val="284"/>
          <w:jc w:val="center"/>
        </w:trPr>
        <w:tc>
          <w:tcPr>
            <w:tcW w:w="6552" w:type="dxa"/>
            <w:vAlign w:val="center"/>
          </w:tcPr>
          <w:p w14:paraId="15F51E43" w14:textId="77777777" w:rsidR="00D524AA" w:rsidRPr="00351D17" w:rsidRDefault="00D524AA" w:rsidP="006C7788">
            <w:pPr>
              <w:autoSpaceDE w:val="0"/>
              <w:autoSpaceDN w:val="0"/>
              <w:adjustRightInd w:val="0"/>
              <w:ind w:left="0"/>
              <w:rPr>
                <w:sz w:val="18"/>
                <w:szCs w:val="18"/>
              </w:rPr>
            </w:pPr>
            <w:r w:rsidRPr="00351D17">
              <w:rPr>
                <w:sz w:val="18"/>
                <w:szCs w:val="18"/>
              </w:rPr>
              <w:t>koordinátor horizontálnej priority Rovnosť príležitostí</w:t>
            </w:r>
          </w:p>
        </w:tc>
      </w:tr>
      <w:tr w:rsidR="00D524AA" w:rsidRPr="00986939" w14:paraId="3D9820A1" w14:textId="77777777" w:rsidTr="006C7788">
        <w:trPr>
          <w:trHeight w:val="284"/>
          <w:jc w:val="center"/>
        </w:trPr>
        <w:tc>
          <w:tcPr>
            <w:tcW w:w="6552" w:type="dxa"/>
            <w:vAlign w:val="center"/>
          </w:tcPr>
          <w:p w14:paraId="6B9B3DA0" w14:textId="77777777" w:rsidR="00D524AA" w:rsidRPr="00351D17" w:rsidRDefault="00D524AA" w:rsidP="006C7788">
            <w:pPr>
              <w:autoSpaceDE w:val="0"/>
              <w:autoSpaceDN w:val="0"/>
              <w:adjustRightInd w:val="0"/>
              <w:ind w:left="0"/>
              <w:rPr>
                <w:sz w:val="18"/>
                <w:szCs w:val="18"/>
              </w:rPr>
            </w:pPr>
            <w:r w:rsidRPr="00351D17">
              <w:rPr>
                <w:sz w:val="18"/>
                <w:szCs w:val="18"/>
              </w:rPr>
              <w:t>Združenia výskumne a technicky orientovaných univerzít SR</w:t>
            </w:r>
          </w:p>
        </w:tc>
      </w:tr>
      <w:tr w:rsidR="00D524AA" w:rsidRPr="00986939" w14:paraId="022549A3" w14:textId="77777777" w:rsidTr="006C7788">
        <w:trPr>
          <w:trHeight w:val="284"/>
          <w:jc w:val="center"/>
        </w:trPr>
        <w:tc>
          <w:tcPr>
            <w:tcW w:w="6552" w:type="dxa"/>
            <w:vAlign w:val="center"/>
          </w:tcPr>
          <w:p w14:paraId="1028A3EC" w14:textId="77777777" w:rsidR="00D524AA" w:rsidRPr="00351D17" w:rsidRDefault="00D524AA" w:rsidP="006C7788">
            <w:pPr>
              <w:autoSpaceDE w:val="0"/>
              <w:autoSpaceDN w:val="0"/>
              <w:adjustRightInd w:val="0"/>
              <w:ind w:left="0"/>
              <w:rPr>
                <w:sz w:val="18"/>
                <w:szCs w:val="18"/>
              </w:rPr>
            </w:pPr>
            <w:r w:rsidRPr="00351D17">
              <w:rPr>
                <w:sz w:val="18"/>
                <w:szCs w:val="18"/>
              </w:rPr>
              <w:t>Predseda Rady predsedov pre priority výskumu a vývoja</w:t>
            </w:r>
          </w:p>
        </w:tc>
      </w:tr>
      <w:tr w:rsidR="00D524AA" w:rsidRPr="00986939" w14:paraId="28EDF933" w14:textId="77777777" w:rsidTr="006C7788">
        <w:trPr>
          <w:trHeight w:val="284"/>
          <w:jc w:val="center"/>
        </w:trPr>
        <w:tc>
          <w:tcPr>
            <w:tcW w:w="6552" w:type="dxa"/>
            <w:vAlign w:val="center"/>
          </w:tcPr>
          <w:p w14:paraId="6B86AED4" w14:textId="77777777" w:rsidR="00D524AA" w:rsidRPr="00351D17" w:rsidRDefault="00D524AA" w:rsidP="006C7788">
            <w:pPr>
              <w:autoSpaceDE w:val="0"/>
              <w:autoSpaceDN w:val="0"/>
              <w:adjustRightInd w:val="0"/>
              <w:ind w:left="0"/>
              <w:rPr>
                <w:sz w:val="18"/>
                <w:szCs w:val="18"/>
              </w:rPr>
            </w:pPr>
            <w:r w:rsidRPr="00351D17">
              <w:rPr>
                <w:sz w:val="18"/>
                <w:szCs w:val="18"/>
              </w:rPr>
              <w:t>Národný delegát Slovenskej republiky pre Európsku výskumnú radu</w:t>
            </w:r>
          </w:p>
        </w:tc>
      </w:tr>
      <w:tr w:rsidR="00D524AA" w:rsidRPr="00986939" w14:paraId="13F750F7" w14:textId="77777777" w:rsidTr="006C7788">
        <w:trPr>
          <w:trHeight w:val="284"/>
          <w:jc w:val="center"/>
        </w:trPr>
        <w:tc>
          <w:tcPr>
            <w:tcW w:w="6552" w:type="dxa"/>
            <w:vAlign w:val="center"/>
          </w:tcPr>
          <w:p w14:paraId="4C7DDF96" w14:textId="77777777" w:rsidR="00D524AA" w:rsidRPr="00351D17" w:rsidRDefault="00D524AA" w:rsidP="006C7788">
            <w:pPr>
              <w:autoSpaceDE w:val="0"/>
              <w:autoSpaceDN w:val="0"/>
              <w:adjustRightInd w:val="0"/>
              <w:ind w:left="0"/>
              <w:rPr>
                <w:sz w:val="18"/>
                <w:szCs w:val="18"/>
              </w:rPr>
            </w:pPr>
            <w:r w:rsidRPr="00351D17">
              <w:rPr>
                <w:sz w:val="18"/>
                <w:szCs w:val="18"/>
              </w:rPr>
              <w:t>Národný delegát Slovenskej republiky pre výskumné infraštruktúry</w:t>
            </w:r>
          </w:p>
        </w:tc>
      </w:tr>
      <w:tr w:rsidR="00D524AA" w:rsidRPr="00986939" w14:paraId="528BB6E8" w14:textId="77777777" w:rsidTr="006C7788">
        <w:trPr>
          <w:trHeight w:val="284"/>
          <w:jc w:val="center"/>
        </w:trPr>
        <w:tc>
          <w:tcPr>
            <w:tcW w:w="6552" w:type="dxa"/>
            <w:vAlign w:val="center"/>
          </w:tcPr>
          <w:p w14:paraId="11E9D48C" w14:textId="77777777" w:rsidR="00D524AA" w:rsidRPr="00351D17" w:rsidRDefault="00D524AA" w:rsidP="006C7788">
            <w:pPr>
              <w:pStyle w:val="TableParagraph"/>
              <w:spacing w:before="38"/>
              <w:ind w:left="0"/>
              <w:rPr>
                <w:rFonts w:ascii="Times New Roman" w:hAnsi="Times New Roman" w:cs="Times New Roman"/>
                <w:sz w:val="18"/>
                <w:szCs w:val="18"/>
                <w:lang w:val="sk-SK"/>
              </w:rPr>
            </w:pPr>
            <w:r w:rsidRPr="00351D17">
              <w:rPr>
                <w:rFonts w:ascii="Times New Roman" w:hAnsi="Times New Roman" w:cs="Times New Roman"/>
                <w:sz w:val="18"/>
                <w:szCs w:val="18"/>
                <w:lang w:val="sk-SK"/>
              </w:rPr>
              <w:t>Národný delegát Slovenskej republiky pre špecifický program Spolupráca 7. Rámcového programu EÚ pre výskum a vývoj</w:t>
            </w:r>
          </w:p>
        </w:tc>
      </w:tr>
      <w:tr w:rsidR="00D524AA" w:rsidRPr="00986939" w14:paraId="4B1E4BBA" w14:textId="77777777" w:rsidTr="006C7788">
        <w:trPr>
          <w:trHeight w:val="284"/>
          <w:jc w:val="center"/>
        </w:trPr>
        <w:tc>
          <w:tcPr>
            <w:tcW w:w="6552" w:type="dxa"/>
            <w:vAlign w:val="center"/>
          </w:tcPr>
          <w:p w14:paraId="54F4B706" w14:textId="77777777" w:rsidR="00D524AA" w:rsidRPr="00351D17" w:rsidRDefault="00D524AA" w:rsidP="006C7788">
            <w:pPr>
              <w:autoSpaceDE w:val="0"/>
              <w:autoSpaceDN w:val="0"/>
              <w:adjustRightInd w:val="0"/>
              <w:ind w:left="0"/>
              <w:rPr>
                <w:sz w:val="18"/>
                <w:szCs w:val="18"/>
              </w:rPr>
            </w:pPr>
            <w:r w:rsidRPr="00351D17">
              <w:rPr>
                <w:sz w:val="18"/>
                <w:szCs w:val="18"/>
              </w:rPr>
              <w:t>Slovenská inovačná a energetická agentúra</w:t>
            </w:r>
          </w:p>
        </w:tc>
      </w:tr>
      <w:tr w:rsidR="00D524AA" w:rsidRPr="00986939" w14:paraId="5334D26B" w14:textId="77777777" w:rsidTr="006C7788">
        <w:trPr>
          <w:trHeight w:val="284"/>
          <w:jc w:val="center"/>
        </w:trPr>
        <w:tc>
          <w:tcPr>
            <w:tcW w:w="6552" w:type="dxa"/>
            <w:vAlign w:val="center"/>
          </w:tcPr>
          <w:p w14:paraId="644C03A6" w14:textId="77777777" w:rsidR="00D524AA" w:rsidRPr="00351D17" w:rsidRDefault="00D524AA" w:rsidP="006C7788">
            <w:pPr>
              <w:autoSpaceDE w:val="0"/>
              <w:autoSpaceDN w:val="0"/>
              <w:adjustRightInd w:val="0"/>
              <w:ind w:left="0"/>
              <w:rPr>
                <w:sz w:val="18"/>
                <w:szCs w:val="18"/>
              </w:rPr>
            </w:pPr>
            <w:r w:rsidRPr="00351D17">
              <w:rPr>
                <w:sz w:val="18"/>
                <w:szCs w:val="18"/>
              </w:rPr>
              <w:t>Národná agentúra pre rozvoj malého a stredného podnikania</w:t>
            </w:r>
          </w:p>
        </w:tc>
      </w:tr>
      <w:tr w:rsidR="00D524AA" w:rsidRPr="00986939" w14:paraId="3EFD1C11" w14:textId="77777777" w:rsidTr="006C7788">
        <w:trPr>
          <w:trHeight w:val="284"/>
          <w:jc w:val="center"/>
        </w:trPr>
        <w:tc>
          <w:tcPr>
            <w:tcW w:w="6552" w:type="dxa"/>
            <w:vAlign w:val="center"/>
          </w:tcPr>
          <w:p w14:paraId="2C7927EB" w14:textId="77777777" w:rsidR="00D524AA" w:rsidRPr="00351D17" w:rsidRDefault="00D524AA" w:rsidP="006C7788">
            <w:pPr>
              <w:autoSpaceDE w:val="0"/>
              <w:autoSpaceDN w:val="0"/>
              <w:adjustRightInd w:val="0"/>
              <w:ind w:left="0"/>
              <w:rPr>
                <w:sz w:val="18"/>
                <w:szCs w:val="18"/>
              </w:rPr>
            </w:pPr>
            <w:r w:rsidRPr="00351D17">
              <w:rPr>
                <w:sz w:val="18"/>
                <w:szCs w:val="18"/>
              </w:rPr>
              <w:t>Asociácia priemyselnej ekológie na Slovensku</w:t>
            </w:r>
          </w:p>
        </w:tc>
      </w:tr>
      <w:tr w:rsidR="00D524AA" w:rsidRPr="00986939" w14:paraId="6E673E2D" w14:textId="77777777" w:rsidTr="006C7788">
        <w:trPr>
          <w:trHeight w:val="284"/>
          <w:jc w:val="center"/>
        </w:trPr>
        <w:tc>
          <w:tcPr>
            <w:tcW w:w="6552" w:type="dxa"/>
            <w:vAlign w:val="center"/>
          </w:tcPr>
          <w:p w14:paraId="0F2A8CC6" w14:textId="77777777" w:rsidR="00D524AA" w:rsidRPr="00351D17" w:rsidRDefault="00D524AA" w:rsidP="006C7788">
            <w:pPr>
              <w:autoSpaceDE w:val="0"/>
              <w:autoSpaceDN w:val="0"/>
              <w:adjustRightInd w:val="0"/>
              <w:ind w:left="0"/>
              <w:rPr>
                <w:sz w:val="18"/>
                <w:szCs w:val="18"/>
              </w:rPr>
            </w:pPr>
            <w:r w:rsidRPr="00351D17">
              <w:rPr>
                <w:sz w:val="18"/>
                <w:szCs w:val="18"/>
              </w:rPr>
              <w:t>IT Asociácia Slovenska</w:t>
            </w:r>
          </w:p>
        </w:tc>
      </w:tr>
      <w:tr w:rsidR="00D524AA" w:rsidRPr="00986939" w14:paraId="06834790" w14:textId="77777777" w:rsidTr="006C7788">
        <w:trPr>
          <w:trHeight w:val="284"/>
          <w:jc w:val="center"/>
        </w:trPr>
        <w:tc>
          <w:tcPr>
            <w:tcW w:w="6552" w:type="dxa"/>
            <w:vAlign w:val="center"/>
          </w:tcPr>
          <w:p w14:paraId="09C931AC" w14:textId="77777777" w:rsidR="00D524AA" w:rsidRPr="00351D17" w:rsidRDefault="00D524AA" w:rsidP="006C7788">
            <w:pPr>
              <w:autoSpaceDE w:val="0"/>
              <w:autoSpaceDN w:val="0"/>
              <w:adjustRightInd w:val="0"/>
              <w:ind w:left="0"/>
              <w:rPr>
                <w:sz w:val="18"/>
                <w:szCs w:val="18"/>
              </w:rPr>
            </w:pPr>
            <w:r w:rsidRPr="00351D17">
              <w:rPr>
                <w:sz w:val="18"/>
                <w:szCs w:val="18"/>
              </w:rPr>
              <w:t>Vidiecky parlament SR</w:t>
            </w:r>
          </w:p>
        </w:tc>
      </w:tr>
      <w:tr w:rsidR="00D524AA" w:rsidRPr="00986939" w14:paraId="10083127" w14:textId="77777777" w:rsidTr="006C7788">
        <w:trPr>
          <w:trHeight w:val="284"/>
          <w:jc w:val="center"/>
        </w:trPr>
        <w:tc>
          <w:tcPr>
            <w:tcW w:w="6552" w:type="dxa"/>
            <w:vAlign w:val="center"/>
          </w:tcPr>
          <w:p w14:paraId="755D1C00" w14:textId="77777777" w:rsidR="00D524AA" w:rsidRPr="00351D17" w:rsidRDefault="00D524AA" w:rsidP="006C7788">
            <w:pPr>
              <w:autoSpaceDE w:val="0"/>
              <w:autoSpaceDN w:val="0"/>
              <w:adjustRightInd w:val="0"/>
              <w:ind w:left="0"/>
              <w:rPr>
                <w:sz w:val="18"/>
                <w:szCs w:val="18"/>
              </w:rPr>
            </w:pPr>
            <w:r w:rsidRPr="00351D17">
              <w:rPr>
                <w:sz w:val="18"/>
                <w:szCs w:val="18"/>
              </w:rPr>
              <w:t>Únia klastrov Slovenska</w:t>
            </w:r>
          </w:p>
        </w:tc>
      </w:tr>
    </w:tbl>
    <w:p w14:paraId="61D7D25B" w14:textId="783DC704" w:rsidR="00D524AA" w:rsidRPr="00434736" w:rsidRDefault="00D524AA" w:rsidP="00D524AA">
      <w:pPr>
        <w:spacing w:before="240" w:after="100" w:afterAutospacing="1"/>
        <w:jc w:val="both"/>
        <w:rPr>
          <w:snapToGrid w:val="0"/>
          <w:color w:val="333333"/>
          <w:sz w:val="22"/>
          <w:szCs w:val="22"/>
          <w:lang w:eastAsia="cs-CZ"/>
        </w:rPr>
      </w:pPr>
      <w:r w:rsidRPr="007F3EF4">
        <w:rPr>
          <w:snapToGrid w:val="0"/>
          <w:color w:val="333333"/>
          <w:sz w:val="22"/>
          <w:szCs w:val="22"/>
          <w:lang w:eastAsia="cs-CZ"/>
        </w:rPr>
        <w:t xml:space="preserve">Prehľad zloženia a počet zástupcov </w:t>
      </w:r>
      <w:r w:rsidRPr="00D524AA">
        <w:rPr>
          <w:snapToGrid w:val="0"/>
          <w:color w:val="333333"/>
          <w:sz w:val="22"/>
          <w:szCs w:val="22"/>
          <w:lang w:eastAsia="cs-CZ"/>
        </w:rPr>
        <w:t>partnerov zapojených do prípravy operačného programu (časť VaI)</w:t>
      </w:r>
      <w:r w:rsidRPr="007F3EF4">
        <w:rPr>
          <w:snapToGrid w:val="0"/>
          <w:color w:val="333333"/>
          <w:sz w:val="22"/>
          <w:szCs w:val="22"/>
          <w:lang w:eastAsia="cs-CZ"/>
        </w:rPr>
        <w:t xml:space="preserve"> v členení na počet zástupcov a počet zástupcov s hlasovacím právom je uvedený v tab. </w:t>
      </w:r>
      <w:r>
        <w:rPr>
          <w:snapToGrid w:val="0"/>
          <w:color w:val="333333"/>
          <w:sz w:val="22"/>
          <w:szCs w:val="22"/>
          <w:lang w:eastAsia="cs-CZ"/>
        </w:rPr>
        <w:t>157 v </w:t>
      </w:r>
      <w:r w:rsidRPr="007F3EF4">
        <w:rPr>
          <w:snapToGrid w:val="0"/>
          <w:color w:val="333333"/>
          <w:sz w:val="22"/>
          <w:szCs w:val="22"/>
          <w:lang w:eastAsia="cs-CZ"/>
        </w:rPr>
        <w:t xml:space="preserve">Prílohe </w:t>
      </w:r>
      <w:r>
        <w:rPr>
          <w:snapToGrid w:val="0"/>
          <w:color w:val="333333"/>
          <w:sz w:val="22"/>
          <w:szCs w:val="22"/>
          <w:lang w:eastAsia="cs-CZ"/>
        </w:rPr>
        <w:t>21</w:t>
      </w:r>
      <w:r w:rsidRPr="007F3EF4">
        <w:rPr>
          <w:snapToGrid w:val="0"/>
          <w:color w:val="333333"/>
          <w:sz w:val="22"/>
          <w:szCs w:val="22"/>
          <w:lang w:eastAsia="cs-CZ"/>
        </w:rPr>
        <w:t>.</w:t>
      </w:r>
    </w:p>
    <w:p w14:paraId="16009161" w14:textId="77777777" w:rsidR="00294C3C" w:rsidRPr="00294C3C" w:rsidRDefault="00294C3C" w:rsidP="00D524AA">
      <w:pPr>
        <w:pStyle w:val="06Normal"/>
        <w:sectPr w:rsidR="00294C3C" w:rsidRPr="00294C3C" w:rsidSect="00D1658B">
          <w:headerReference w:type="default" r:id="rId102"/>
          <w:pgSz w:w="11906" w:h="16838"/>
          <w:pgMar w:top="1418" w:right="1361" w:bottom="1304" w:left="1474" w:header="709" w:footer="709" w:gutter="0"/>
          <w:cols w:space="708"/>
          <w:docGrid w:linePitch="360"/>
        </w:sectPr>
      </w:pPr>
    </w:p>
    <w:p w14:paraId="2ED5FEB2" w14:textId="77777777" w:rsidR="006A289D" w:rsidRDefault="00717C03" w:rsidP="00717C03">
      <w:pPr>
        <w:pStyle w:val="Nadpis1"/>
      </w:pPr>
      <w:bookmarkStart w:id="214" w:name="_Toc28951705"/>
      <w:r>
        <w:lastRenderedPageBreak/>
        <w:t>Prílohy</w:t>
      </w:r>
      <w:bookmarkEnd w:id="214"/>
    </w:p>
    <w:p w14:paraId="6298BEF0" w14:textId="77777777" w:rsidR="00717C03" w:rsidRDefault="00717C03" w:rsidP="00544A1F">
      <w:pPr>
        <w:pStyle w:val="Nadpis2"/>
        <w:spacing w:after="120"/>
      </w:pPr>
      <w:bookmarkStart w:id="215" w:name="_Toc28951706"/>
      <w:r>
        <w:t>Záverečná správa z ex ante hodnotenia OPII</w:t>
      </w:r>
      <w:bookmarkEnd w:id="215"/>
    </w:p>
    <w:p w14:paraId="18E1F9F2" w14:textId="77777777" w:rsidR="00ED6B9C" w:rsidRPr="00ED6B9C" w:rsidRDefault="0081149D" w:rsidP="00ED6B9C">
      <w:r>
        <w:t>Pozri prílohu 1.</w:t>
      </w:r>
    </w:p>
    <w:p w14:paraId="303E7CF3" w14:textId="77777777" w:rsidR="00717C03" w:rsidRDefault="00544A1F" w:rsidP="00544A1F">
      <w:pPr>
        <w:pStyle w:val="Nadpis2"/>
        <w:spacing w:before="180" w:after="120"/>
      </w:pPr>
      <w:bookmarkStart w:id="216" w:name="_Toc28951707"/>
      <w:r>
        <w:t>Zoznam skratiek</w:t>
      </w:r>
      <w:bookmarkEnd w:id="216"/>
    </w:p>
    <w:p w14:paraId="684C4D6B" w14:textId="77777777" w:rsidR="00ED6B9C" w:rsidRPr="00ED6B9C" w:rsidRDefault="0081149D" w:rsidP="00ED6B9C">
      <w:r>
        <w:t>Pozri prílohu 2.</w:t>
      </w:r>
    </w:p>
    <w:p w14:paraId="5242E53A" w14:textId="77777777" w:rsidR="00295546" w:rsidRPr="00295546" w:rsidRDefault="00295546" w:rsidP="00295546">
      <w:pPr>
        <w:pStyle w:val="Nadpis2"/>
        <w:tabs>
          <w:tab w:val="clear" w:pos="851"/>
        </w:tabs>
        <w:spacing w:before="180" w:after="120"/>
        <w:ind w:left="709" w:hanging="709"/>
      </w:pPr>
      <w:bookmarkStart w:id="217" w:name="_Toc28951708"/>
      <w:r w:rsidRPr="00295546">
        <w:t>Systém vzájomnej koordinácie medzi OP Integrovaná infraštruktúra a OP Efektívna verejná správa</w:t>
      </w:r>
      <w:bookmarkEnd w:id="217"/>
    </w:p>
    <w:p w14:paraId="6B60B65D" w14:textId="77777777" w:rsidR="00ED6B9C" w:rsidRPr="00295546" w:rsidRDefault="0081149D" w:rsidP="00ED6B9C">
      <w:r>
        <w:t xml:space="preserve">Pozri prílohu </w:t>
      </w:r>
      <w:r w:rsidR="00295546" w:rsidRPr="00295546">
        <w:t>3</w:t>
      </w:r>
      <w:r>
        <w:t>.</w:t>
      </w:r>
    </w:p>
    <w:p w14:paraId="7840F4E2" w14:textId="77777777" w:rsidR="00295546" w:rsidRPr="00295546" w:rsidRDefault="00295546" w:rsidP="00880B0C">
      <w:pPr>
        <w:pStyle w:val="Nadpis2"/>
        <w:tabs>
          <w:tab w:val="clear" w:pos="851"/>
          <w:tab w:val="num" w:pos="709"/>
        </w:tabs>
        <w:spacing w:before="180" w:after="120"/>
        <w:ind w:left="714" w:hanging="714"/>
      </w:pPr>
      <w:bookmarkStart w:id="218" w:name="_Toc28951709"/>
      <w:r w:rsidRPr="00295546">
        <w:t>Systém vzájomnej koordinácie medzi OP Integrovaná infraštruktúra a Programom rozvoja vidieka SR 2014 – 2020</w:t>
      </w:r>
      <w:bookmarkEnd w:id="218"/>
    </w:p>
    <w:p w14:paraId="6EFF7FE7" w14:textId="77777777" w:rsidR="00295546" w:rsidRPr="00ED6B9C" w:rsidRDefault="0081149D" w:rsidP="00295546">
      <w:r>
        <w:t xml:space="preserve">Pozri prílohu </w:t>
      </w:r>
      <w:r w:rsidR="000E00A5">
        <w:t>4</w:t>
      </w:r>
      <w:r>
        <w:t>.</w:t>
      </w:r>
    </w:p>
    <w:p w14:paraId="5ADAC038" w14:textId="77777777" w:rsidR="00880B0C" w:rsidRPr="00295546" w:rsidRDefault="00880B0C" w:rsidP="00880B0C">
      <w:pPr>
        <w:pStyle w:val="Nadpis2"/>
        <w:tabs>
          <w:tab w:val="clear" w:pos="851"/>
          <w:tab w:val="num" w:pos="709"/>
        </w:tabs>
        <w:spacing w:before="180" w:after="120"/>
      </w:pPr>
      <w:bookmarkStart w:id="219" w:name="_Toc28951710"/>
      <w:r>
        <w:t>Zlepšenie časovej dostupnosti</w:t>
      </w:r>
      <w:bookmarkEnd w:id="219"/>
    </w:p>
    <w:p w14:paraId="150D1590" w14:textId="77777777" w:rsidR="00880B0C" w:rsidRPr="00ED6B9C" w:rsidRDefault="0081149D" w:rsidP="00880B0C">
      <w:r>
        <w:t xml:space="preserve">Pozri prílohu </w:t>
      </w:r>
      <w:r w:rsidR="00880B0C">
        <w:t>5</w:t>
      </w:r>
      <w:r>
        <w:t>.</w:t>
      </w:r>
    </w:p>
    <w:p w14:paraId="3200FA66" w14:textId="77777777" w:rsidR="00880B0C" w:rsidRPr="00A263F6" w:rsidRDefault="00880B0C" w:rsidP="00880B0C">
      <w:pPr>
        <w:pStyle w:val="Nadpis2"/>
        <w:tabs>
          <w:tab w:val="clear" w:pos="851"/>
          <w:tab w:val="num" w:pos="709"/>
        </w:tabs>
        <w:spacing w:before="180" w:after="120"/>
      </w:pPr>
      <w:bookmarkStart w:id="220" w:name="_Toc28951711"/>
      <w:r w:rsidRPr="00A263F6">
        <w:t>Popis stavu a zámery v oblasti infraštruktúry pre VOD</w:t>
      </w:r>
      <w:bookmarkEnd w:id="220"/>
    </w:p>
    <w:p w14:paraId="6A92E0A9" w14:textId="77777777" w:rsidR="00A263F6" w:rsidRPr="00ED6B9C" w:rsidRDefault="0081149D" w:rsidP="00A263F6">
      <w:r>
        <w:t xml:space="preserve">Pozri prílohu </w:t>
      </w:r>
      <w:r w:rsidR="00A263F6">
        <w:t>6</w:t>
      </w:r>
      <w:r>
        <w:t>.</w:t>
      </w:r>
    </w:p>
    <w:p w14:paraId="1FC1A9C9" w14:textId="77777777" w:rsidR="00A263F6" w:rsidRPr="00A263F6" w:rsidRDefault="00A263F6" w:rsidP="00A263F6">
      <w:pPr>
        <w:pStyle w:val="Nadpis2"/>
        <w:tabs>
          <w:tab w:val="clear" w:pos="851"/>
          <w:tab w:val="num" w:pos="709"/>
        </w:tabs>
        <w:spacing w:before="180" w:after="120"/>
      </w:pPr>
      <w:bookmarkStart w:id="221" w:name="_Toc28951712"/>
      <w:r>
        <w:t>Mapy</w:t>
      </w:r>
      <w:bookmarkEnd w:id="221"/>
    </w:p>
    <w:p w14:paraId="639B3732" w14:textId="77777777" w:rsidR="00A263F6" w:rsidRPr="00ED6B9C" w:rsidRDefault="00A263F6" w:rsidP="00A263F6">
      <w:r>
        <w:t>Pozri prílohy</w:t>
      </w:r>
      <w:r w:rsidR="0081149D">
        <w:t xml:space="preserve"> </w:t>
      </w:r>
      <w:r>
        <w:t>7.1 – 7.5</w:t>
      </w:r>
      <w:r w:rsidR="0081149D">
        <w:t>.</w:t>
      </w:r>
    </w:p>
    <w:p w14:paraId="300C4845" w14:textId="77777777" w:rsidR="00A263F6" w:rsidRDefault="00A263F6" w:rsidP="00A263F6">
      <w:pPr>
        <w:pStyle w:val="Nadpis2"/>
        <w:tabs>
          <w:tab w:val="clear" w:pos="851"/>
          <w:tab w:val="num" w:pos="709"/>
        </w:tabs>
        <w:spacing w:before="180" w:after="120"/>
      </w:pPr>
      <w:bookmarkStart w:id="222" w:name="_Toc28951713"/>
      <w:r>
        <w:t>Všeobecné ex ante kondicionality</w:t>
      </w:r>
      <w:bookmarkEnd w:id="222"/>
    </w:p>
    <w:p w14:paraId="623D58E7" w14:textId="340479D9" w:rsidR="00A263F6" w:rsidRDefault="0081149D" w:rsidP="00A263F6">
      <w:r>
        <w:t xml:space="preserve">Pozri prílohu </w:t>
      </w:r>
      <w:r w:rsidR="00F14CFC">
        <w:t>8</w:t>
      </w:r>
      <w:r>
        <w:t>.</w:t>
      </w:r>
    </w:p>
    <w:p w14:paraId="5A67E456" w14:textId="1C73CCB2" w:rsidR="00852F01" w:rsidRDefault="00852F01" w:rsidP="00852F01">
      <w:pPr>
        <w:pStyle w:val="Nadpis2"/>
        <w:tabs>
          <w:tab w:val="clear" w:pos="851"/>
          <w:tab w:val="num" w:pos="709"/>
        </w:tabs>
        <w:spacing w:before="180" w:after="120"/>
      </w:pPr>
      <w:bookmarkStart w:id="223" w:name="_Toc28951714"/>
      <w:r>
        <w:t>Slovník základných pojmov</w:t>
      </w:r>
      <w:r w:rsidR="006D2321">
        <w:t xml:space="preserve"> v oblasti VaI</w:t>
      </w:r>
      <w:bookmarkEnd w:id="223"/>
    </w:p>
    <w:p w14:paraId="5EAF950D" w14:textId="77777777" w:rsidR="00852F01" w:rsidRDefault="00852F01" w:rsidP="00852F01">
      <w:r>
        <w:t>Pozri prílohu 9.</w:t>
      </w:r>
    </w:p>
    <w:p w14:paraId="10F5FD73" w14:textId="551A712C" w:rsidR="00852F01" w:rsidRDefault="00852F01" w:rsidP="00852F01">
      <w:pPr>
        <w:pStyle w:val="Nadpis2"/>
        <w:tabs>
          <w:tab w:val="clear" w:pos="851"/>
          <w:tab w:val="num" w:pos="709"/>
        </w:tabs>
        <w:spacing w:before="180" w:after="120"/>
      </w:pPr>
      <w:bookmarkStart w:id="224" w:name="_Toc28951715"/>
      <w:r w:rsidRPr="00B66C3F">
        <w:t>Zoznam oprávnených prijímateľov v oblasti VaI</w:t>
      </w:r>
      <w:bookmarkEnd w:id="224"/>
    </w:p>
    <w:p w14:paraId="72748CE8" w14:textId="7D97E133" w:rsidR="00C11DD2" w:rsidRPr="00C11DD2" w:rsidRDefault="00C11DD2" w:rsidP="00351D17">
      <w:r>
        <w:t>Pozri prílohu 10.</w:t>
      </w:r>
    </w:p>
    <w:p w14:paraId="4808E391" w14:textId="4205580D" w:rsidR="00852F01" w:rsidRDefault="00852F01" w:rsidP="00852F01">
      <w:pPr>
        <w:pStyle w:val="Nadpis2"/>
        <w:tabs>
          <w:tab w:val="clear" w:pos="851"/>
          <w:tab w:val="num" w:pos="709"/>
        </w:tabs>
        <w:spacing w:before="180" w:after="120"/>
      </w:pPr>
      <w:bookmarkStart w:id="225" w:name="_Toc28951716"/>
      <w:r>
        <w:t>Skúsenosti z programového obdobia 2007 – 2013 v oblasti VaI</w:t>
      </w:r>
      <w:bookmarkEnd w:id="225"/>
    </w:p>
    <w:p w14:paraId="180F13C2" w14:textId="77777777" w:rsidR="00852F01" w:rsidRDefault="00852F01" w:rsidP="00852F01">
      <w:r>
        <w:t>Pozri prílohu 11.</w:t>
      </w:r>
    </w:p>
    <w:p w14:paraId="1575CA67" w14:textId="77777777" w:rsidR="00852F01" w:rsidRDefault="00852F01" w:rsidP="00852F01">
      <w:pPr>
        <w:pStyle w:val="Nadpis2"/>
        <w:tabs>
          <w:tab w:val="clear" w:pos="709"/>
          <w:tab w:val="clear" w:pos="851"/>
        </w:tabs>
        <w:spacing w:before="180" w:after="120"/>
        <w:ind w:left="709" w:hanging="709"/>
      </w:pPr>
      <w:bookmarkStart w:id="226" w:name="_Toc28951717"/>
      <w:r>
        <w:t>Popis základných rozdielov medzi programovým obdobím 2007 – 2013 a programovým obdobím 2014 – 2020 v oblasti VaI</w:t>
      </w:r>
      <w:bookmarkEnd w:id="226"/>
    </w:p>
    <w:p w14:paraId="62E28B7C" w14:textId="77777777" w:rsidR="00852F01" w:rsidRDefault="00852F01" w:rsidP="00852F01">
      <w:r>
        <w:t>Pozri prílohu 12.</w:t>
      </w:r>
    </w:p>
    <w:p w14:paraId="280E0B7C" w14:textId="77777777" w:rsidR="00852F01" w:rsidRDefault="00852F01" w:rsidP="00852F01">
      <w:pPr>
        <w:pStyle w:val="Nadpis2"/>
        <w:tabs>
          <w:tab w:val="clear" w:pos="709"/>
          <w:tab w:val="clear" w:pos="851"/>
        </w:tabs>
        <w:spacing w:before="180" w:after="120"/>
        <w:ind w:left="709" w:hanging="709"/>
      </w:pPr>
      <w:bookmarkStart w:id="227" w:name="_Toc28951718"/>
      <w:r w:rsidRPr="00B66C3F">
        <w:t>Prehľad národných projektov podporených z OP VaV</w:t>
      </w:r>
      <w:bookmarkEnd w:id="227"/>
    </w:p>
    <w:p w14:paraId="3DDB5C0E" w14:textId="77777777" w:rsidR="00852F01" w:rsidRDefault="00852F01" w:rsidP="00852F01">
      <w:r>
        <w:t>Pozri prílohu 13.</w:t>
      </w:r>
    </w:p>
    <w:p w14:paraId="23674DEB" w14:textId="77777777" w:rsidR="00852F01" w:rsidRDefault="00852F01" w:rsidP="00852F01">
      <w:pPr>
        <w:pStyle w:val="Nadpis2"/>
        <w:tabs>
          <w:tab w:val="clear" w:pos="709"/>
          <w:tab w:val="clear" w:pos="851"/>
        </w:tabs>
        <w:spacing w:before="180" w:after="120"/>
        <w:ind w:left="709" w:hanging="709"/>
      </w:pPr>
      <w:bookmarkStart w:id="228" w:name="_Toc28951719"/>
      <w:r w:rsidRPr="001D53CA">
        <w:t>Základné princípy pre budovanie výskumnej infraštruktúry</w:t>
      </w:r>
      <w:r>
        <w:t xml:space="preserve"> v programovom období 2014 - 2020</w:t>
      </w:r>
      <w:bookmarkEnd w:id="228"/>
    </w:p>
    <w:p w14:paraId="4D24F920" w14:textId="77777777" w:rsidR="00852F01" w:rsidRDefault="00852F01" w:rsidP="00852F01">
      <w:r>
        <w:t>Pozri prílohu 14.</w:t>
      </w:r>
    </w:p>
    <w:p w14:paraId="1E7628C7" w14:textId="77777777" w:rsidR="00852F01" w:rsidRDefault="00852F01" w:rsidP="00852F01">
      <w:pPr>
        <w:pStyle w:val="Nadpis2"/>
        <w:tabs>
          <w:tab w:val="clear" w:pos="709"/>
          <w:tab w:val="clear" w:pos="851"/>
        </w:tabs>
        <w:spacing w:before="180" w:after="120"/>
        <w:ind w:left="709" w:hanging="709"/>
      </w:pPr>
      <w:bookmarkStart w:id="229" w:name="_Toc28951720"/>
      <w:r w:rsidRPr="00E42853">
        <w:rPr>
          <w:color w:val="4F81BD"/>
        </w:rPr>
        <w:t>Z</w:t>
      </w:r>
      <w:r w:rsidRPr="00E42853">
        <w:rPr>
          <w:rFonts w:hint="eastAsia"/>
          <w:color w:val="4F81BD"/>
        </w:rPr>
        <w:t>á</w:t>
      </w:r>
      <w:r w:rsidRPr="00E42853">
        <w:rPr>
          <w:color w:val="4F81BD"/>
        </w:rPr>
        <w:t>kladn</w:t>
      </w:r>
      <w:r w:rsidRPr="00E42853">
        <w:rPr>
          <w:rFonts w:hint="eastAsia"/>
          <w:color w:val="4F81BD"/>
        </w:rPr>
        <w:t>é</w:t>
      </w:r>
      <w:r w:rsidRPr="00E42853">
        <w:rPr>
          <w:color w:val="4F81BD"/>
        </w:rPr>
        <w:t xml:space="preserve"> princ</w:t>
      </w:r>
      <w:r w:rsidRPr="00E42853">
        <w:rPr>
          <w:rFonts w:hint="eastAsia"/>
          <w:color w:val="4F81BD"/>
        </w:rPr>
        <w:t>í</w:t>
      </w:r>
      <w:r w:rsidRPr="00E42853">
        <w:rPr>
          <w:color w:val="4F81BD"/>
        </w:rPr>
        <w:t>py monitorovania a hodnotenia implement</w:t>
      </w:r>
      <w:r w:rsidRPr="00E42853">
        <w:rPr>
          <w:rFonts w:hint="eastAsia"/>
          <w:color w:val="4F81BD"/>
        </w:rPr>
        <w:t>á</w:t>
      </w:r>
      <w:r w:rsidRPr="00E42853">
        <w:rPr>
          <w:color w:val="4F81BD"/>
        </w:rPr>
        <w:t>cie OP</w:t>
      </w:r>
      <w:r>
        <w:t>I</w:t>
      </w:r>
      <w:r w:rsidRPr="00E42853">
        <w:rPr>
          <w:color w:val="4F81BD"/>
        </w:rPr>
        <w:t>I</w:t>
      </w:r>
      <w:r>
        <w:t xml:space="preserve"> v oblasti VaI</w:t>
      </w:r>
      <w:bookmarkEnd w:id="229"/>
    </w:p>
    <w:p w14:paraId="36072034" w14:textId="77777777" w:rsidR="00852F01" w:rsidRDefault="00852F01" w:rsidP="00852F01">
      <w:r>
        <w:t>Pozri prílohu 15.</w:t>
      </w:r>
    </w:p>
    <w:p w14:paraId="4A6B306C" w14:textId="77777777" w:rsidR="00852F01" w:rsidRPr="00E42853" w:rsidRDefault="00852F01" w:rsidP="00852F01">
      <w:pPr>
        <w:pStyle w:val="Nadpis2"/>
      </w:pPr>
      <w:bookmarkStart w:id="230" w:name="_Toc28951721"/>
      <w:r w:rsidRPr="00B66C3F">
        <w:rPr>
          <w:color w:val="4F81BD"/>
        </w:rPr>
        <w:lastRenderedPageBreak/>
        <w:t>Štatistiky</w:t>
      </w:r>
      <w:bookmarkEnd w:id="230"/>
    </w:p>
    <w:p w14:paraId="0D2D8EA8" w14:textId="77777777" w:rsidR="00852F01" w:rsidRDefault="00852F01" w:rsidP="00852F01">
      <w:r>
        <w:t>Pozri prílohu 16.</w:t>
      </w:r>
    </w:p>
    <w:p w14:paraId="27C67A55" w14:textId="77777777" w:rsidR="00852F01" w:rsidRPr="006574BF" w:rsidRDefault="00852F01" w:rsidP="00852F01">
      <w:pPr>
        <w:pStyle w:val="Nadpis2"/>
        <w:tabs>
          <w:tab w:val="clear" w:pos="709"/>
          <w:tab w:val="clear" w:pos="851"/>
        </w:tabs>
        <w:spacing w:before="180" w:after="120"/>
        <w:ind w:left="709" w:hanging="709"/>
      </w:pPr>
      <w:bookmarkStart w:id="231" w:name="_Toc28951722"/>
      <w:r>
        <w:t>Koncept využívania inštitútu partnerstva vo výskumných projektoch v oblasti VaI</w:t>
      </w:r>
      <w:bookmarkEnd w:id="231"/>
    </w:p>
    <w:p w14:paraId="044FC44F" w14:textId="77777777" w:rsidR="00852F01" w:rsidRDefault="00852F01" w:rsidP="00852F01">
      <w:r>
        <w:t>Pozri prílohu 17.</w:t>
      </w:r>
    </w:p>
    <w:p w14:paraId="032AAB5F" w14:textId="77777777" w:rsidR="00852F01" w:rsidRDefault="00852F01" w:rsidP="00852F01">
      <w:pPr>
        <w:pStyle w:val="Nadpis2"/>
        <w:tabs>
          <w:tab w:val="clear" w:pos="709"/>
          <w:tab w:val="clear" w:pos="851"/>
        </w:tabs>
        <w:spacing w:before="180" w:after="120"/>
        <w:ind w:left="709" w:hanging="709"/>
      </w:pPr>
      <w:bookmarkStart w:id="232" w:name="_Toc28951723"/>
      <w:r>
        <w:t>Komplementarity a synergie OPII (časť VaI) s ostatnými programami EÚ a programami Európskej územnej spolupráce</w:t>
      </w:r>
      <w:bookmarkEnd w:id="232"/>
    </w:p>
    <w:p w14:paraId="16FD167C" w14:textId="77777777" w:rsidR="00852F01" w:rsidRDefault="00852F01" w:rsidP="00852F01">
      <w:r>
        <w:t>Pozri prílohu 18.</w:t>
      </w:r>
    </w:p>
    <w:p w14:paraId="065444A8" w14:textId="77777777" w:rsidR="00852F01" w:rsidRDefault="00852F01" w:rsidP="00852F01">
      <w:pPr>
        <w:pStyle w:val="Nadpis2"/>
        <w:tabs>
          <w:tab w:val="clear" w:pos="709"/>
          <w:tab w:val="clear" w:pos="851"/>
        </w:tabs>
        <w:spacing w:before="180" w:after="120"/>
        <w:ind w:left="709" w:hanging="709"/>
      </w:pPr>
      <w:bookmarkStart w:id="233" w:name="_Toc28951724"/>
      <w:r w:rsidRPr="00B66C3F">
        <w:t>Správy z ex ante hodnotenia OP VaI</w:t>
      </w:r>
      <w:bookmarkEnd w:id="233"/>
    </w:p>
    <w:p w14:paraId="69DA8E96" w14:textId="77777777" w:rsidR="00852F01" w:rsidRDefault="00852F01" w:rsidP="00852F01">
      <w:r>
        <w:t>Pozri prílohu 19.</w:t>
      </w:r>
    </w:p>
    <w:p w14:paraId="7325702E" w14:textId="7A40B3B3" w:rsidR="00852F01" w:rsidRDefault="00852F01">
      <w:pPr>
        <w:pStyle w:val="Nadpis2"/>
        <w:tabs>
          <w:tab w:val="clear" w:pos="709"/>
          <w:tab w:val="clear" w:pos="851"/>
        </w:tabs>
        <w:spacing w:before="180" w:after="120"/>
        <w:ind w:left="709" w:hanging="709"/>
      </w:pPr>
      <w:bookmarkStart w:id="234" w:name="_Toc28951725"/>
      <w:r w:rsidRPr="00296811">
        <w:t>Stanovisko k posudzovaniu vplyvov OP VaI na životné prostredie</w:t>
      </w:r>
      <w:bookmarkEnd w:id="234"/>
    </w:p>
    <w:p w14:paraId="7A561539" w14:textId="255178D2" w:rsidR="00852F01" w:rsidRDefault="00852F01" w:rsidP="00852F01">
      <w:r>
        <w:t>Pozri prílohu 20.</w:t>
      </w:r>
    </w:p>
    <w:p w14:paraId="5F4E8909" w14:textId="77777777" w:rsidR="00704FB6" w:rsidRDefault="00704FB6" w:rsidP="00704FB6">
      <w:pPr>
        <w:pStyle w:val="Nadpis2"/>
        <w:tabs>
          <w:tab w:val="clear" w:pos="709"/>
          <w:tab w:val="clear" w:pos="851"/>
        </w:tabs>
        <w:spacing w:before="180" w:after="120"/>
        <w:ind w:left="709" w:hanging="709"/>
      </w:pPr>
      <w:bookmarkStart w:id="235" w:name="_Toc28951726"/>
      <w:r w:rsidRPr="00704FB6">
        <w:t>Obrázky, grafy a texty</w:t>
      </w:r>
      <w:bookmarkEnd w:id="235"/>
    </w:p>
    <w:p w14:paraId="62EC11BB" w14:textId="77777777" w:rsidR="00704FB6" w:rsidRDefault="00704FB6" w:rsidP="00704FB6">
      <w:r>
        <w:t>Pozri prílohu 21.</w:t>
      </w:r>
    </w:p>
    <w:p w14:paraId="350AD902" w14:textId="77777777" w:rsidR="00704FB6" w:rsidRDefault="00704FB6" w:rsidP="00852F01"/>
    <w:p w14:paraId="69B38C82" w14:textId="615A25C5" w:rsidR="0071574C" w:rsidRDefault="0071574C" w:rsidP="00852F01">
      <w:pPr>
        <w:pStyle w:val="Nadpis2"/>
        <w:numPr>
          <w:ilvl w:val="0"/>
          <w:numId w:val="0"/>
        </w:numPr>
        <w:tabs>
          <w:tab w:val="clear" w:pos="709"/>
        </w:tabs>
        <w:spacing w:before="180" w:after="120"/>
        <w:ind w:left="851" w:hanging="851"/>
      </w:pPr>
    </w:p>
    <w:p w14:paraId="66888DF3" w14:textId="0424397B" w:rsidR="00A263F6" w:rsidRPr="00A263F6" w:rsidRDefault="00A263F6" w:rsidP="00A263F6"/>
    <w:p w14:paraId="1FBAA308" w14:textId="77777777" w:rsidR="00295546" w:rsidRPr="00295546" w:rsidRDefault="00295546" w:rsidP="00295546">
      <w:pPr>
        <w:pStyle w:val="Nadpis2"/>
        <w:numPr>
          <w:ilvl w:val="0"/>
          <w:numId w:val="0"/>
        </w:numPr>
        <w:tabs>
          <w:tab w:val="clear" w:pos="709"/>
        </w:tabs>
        <w:spacing w:before="180" w:after="120"/>
        <w:rPr>
          <w:highlight w:val="cyan"/>
        </w:rPr>
      </w:pPr>
    </w:p>
    <w:p w14:paraId="560D3821" w14:textId="77777777" w:rsidR="00544A1F" w:rsidRPr="00544A1F" w:rsidRDefault="00544A1F" w:rsidP="00544A1F"/>
    <w:p w14:paraId="542F3C1A" w14:textId="77777777" w:rsidR="00544A1F" w:rsidRPr="00544A1F" w:rsidRDefault="00544A1F" w:rsidP="00544A1F"/>
    <w:sectPr w:rsidR="00544A1F" w:rsidRPr="00544A1F" w:rsidSect="00D1658B">
      <w:headerReference w:type="default" r:id="rId103"/>
      <w:pgSz w:w="11906" w:h="16838"/>
      <w:pgMar w:top="1418" w:right="1361" w:bottom="130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39F035" w14:textId="77777777" w:rsidR="001D1617" w:rsidRDefault="001D1617">
      <w:r>
        <w:separator/>
      </w:r>
    </w:p>
  </w:endnote>
  <w:endnote w:type="continuationSeparator" w:id="0">
    <w:p w14:paraId="746830AB" w14:textId="77777777" w:rsidR="001D1617" w:rsidRDefault="001D1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ill Sans MT">
    <w:panose1 w:val="020B0502020104020203"/>
    <w:charset w:val="EE"/>
    <w:family w:val="swiss"/>
    <w:pitch w:val="variable"/>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28CCF" w14:textId="77777777" w:rsidR="001D1617" w:rsidRPr="00C6154C" w:rsidRDefault="001D1617"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2C080" w14:textId="767D3A1B" w:rsidR="001D1617" w:rsidRPr="00C6154C" w:rsidRDefault="001D1617" w:rsidP="00173210">
    <w:pPr>
      <w:pStyle w:val="Pta"/>
      <w:tabs>
        <w:tab w:val="clear" w:pos="9072"/>
        <w:tab w:val="left" w:pos="360"/>
        <w:tab w:val="right" w:pos="9001"/>
        <w:tab w:val="right" w:pos="14317"/>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1061E2">
      <w:rPr>
        <w:rStyle w:val="slostrany"/>
        <w:noProof/>
        <w:sz w:val="23"/>
        <w:szCs w:val="23"/>
      </w:rPr>
      <w:t>266</w:t>
    </w:r>
    <w:r w:rsidRPr="00C6154C">
      <w:rPr>
        <w:rStyle w:val="slostrany"/>
        <w:sz w:val="23"/>
        <w:szCs w:val="23"/>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7E719" w14:textId="6F8A266D" w:rsidR="001D1617" w:rsidRPr="00C6154C" w:rsidRDefault="001D1617" w:rsidP="00FA4C5A">
    <w:pPr>
      <w:pStyle w:val="Pta"/>
      <w:tabs>
        <w:tab w:val="clear" w:pos="9072"/>
        <w:tab w:val="left" w:pos="360"/>
        <w:tab w:val="right" w:pos="9001"/>
        <w:tab w:val="right" w:pos="14040"/>
      </w:tabs>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1061E2">
      <w:rPr>
        <w:rStyle w:val="slostrany"/>
        <w:noProof/>
        <w:sz w:val="23"/>
        <w:szCs w:val="23"/>
      </w:rPr>
      <w:t>275</w:t>
    </w:r>
    <w:r w:rsidRPr="00C6154C">
      <w:rPr>
        <w:rStyle w:val="slostrany"/>
        <w:sz w:val="23"/>
        <w:szCs w:val="2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8F1B" w14:textId="2930906F" w:rsidR="001D1617" w:rsidRPr="00C6154C" w:rsidRDefault="001D1617"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1061E2">
      <w:rPr>
        <w:rStyle w:val="slostrany"/>
        <w:noProof/>
        <w:sz w:val="23"/>
        <w:szCs w:val="23"/>
      </w:rPr>
      <w:t>34</w:t>
    </w:r>
    <w:r w:rsidRPr="00C6154C">
      <w:rPr>
        <w:rStyle w:val="slostrany"/>
        <w:sz w:val="23"/>
        <w:szCs w:val="2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9DC42" w14:textId="6FD23410" w:rsidR="001D1617" w:rsidRPr="00C6154C" w:rsidRDefault="001D1617"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1061E2">
      <w:rPr>
        <w:rStyle w:val="slostrany"/>
        <w:noProof/>
        <w:sz w:val="23"/>
        <w:szCs w:val="23"/>
      </w:rPr>
      <w:t>40</w:t>
    </w:r>
    <w:r w:rsidRPr="00C6154C">
      <w:rPr>
        <w:rStyle w:val="slostrany"/>
        <w:sz w:val="23"/>
        <w:szCs w:val="23"/>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D4398" w14:textId="6E720738" w:rsidR="001D1617" w:rsidRPr="00C6154C" w:rsidRDefault="001D1617"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1061E2">
      <w:rPr>
        <w:rStyle w:val="slostrany"/>
        <w:noProof/>
        <w:sz w:val="23"/>
        <w:szCs w:val="23"/>
      </w:rPr>
      <w:t>41</w:t>
    </w:r>
    <w:r w:rsidRPr="00C6154C">
      <w:rPr>
        <w:rStyle w:val="slostrany"/>
        <w:sz w:val="23"/>
        <w:szCs w:val="23"/>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2E24A" w14:textId="50EBB9FE" w:rsidR="001D1617" w:rsidRPr="00C6154C" w:rsidRDefault="001D1617"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1061E2">
      <w:rPr>
        <w:rStyle w:val="slostrany"/>
        <w:noProof/>
        <w:sz w:val="23"/>
        <w:szCs w:val="23"/>
      </w:rPr>
      <w:t>196</w:t>
    </w:r>
    <w:r w:rsidRPr="00C6154C">
      <w:rPr>
        <w:rStyle w:val="slostrany"/>
        <w:sz w:val="23"/>
        <w:szCs w:val="23"/>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F3C66" w14:textId="45C6553D" w:rsidR="001D1617" w:rsidRPr="00C6154C" w:rsidRDefault="001D1617"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1061E2">
      <w:rPr>
        <w:rStyle w:val="slostrany"/>
        <w:noProof/>
        <w:sz w:val="23"/>
        <w:szCs w:val="23"/>
      </w:rPr>
      <w:t>199</w:t>
    </w:r>
    <w:r w:rsidRPr="00C6154C">
      <w:rPr>
        <w:rStyle w:val="slostrany"/>
        <w:sz w:val="23"/>
        <w:szCs w:val="23"/>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46193" w14:textId="175C120E" w:rsidR="001D1617" w:rsidRPr="00C6154C" w:rsidRDefault="001D1617"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1061E2">
      <w:rPr>
        <w:rStyle w:val="slostrany"/>
        <w:noProof/>
        <w:sz w:val="23"/>
        <w:szCs w:val="23"/>
      </w:rPr>
      <w:t>212</w:t>
    </w:r>
    <w:r w:rsidRPr="00C6154C">
      <w:rPr>
        <w:rStyle w:val="slostrany"/>
        <w:sz w:val="23"/>
        <w:szCs w:val="23"/>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593AD" w14:textId="49952A73" w:rsidR="001D1617" w:rsidRPr="00C6154C" w:rsidRDefault="001D1617"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1061E2">
      <w:rPr>
        <w:rStyle w:val="slostrany"/>
        <w:noProof/>
        <w:sz w:val="23"/>
        <w:szCs w:val="23"/>
      </w:rPr>
      <w:t>258</w:t>
    </w:r>
    <w:r w:rsidRPr="00C6154C">
      <w:rPr>
        <w:rStyle w:val="slostrany"/>
        <w:sz w:val="23"/>
        <w:szCs w:val="23"/>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FDB30" w14:textId="14162C26" w:rsidR="001D1617" w:rsidRPr="00C6154C" w:rsidRDefault="001D1617"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1061E2">
      <w:rPr>
        <w:rStyle w:val="slostrany"/>
        <w:noProof/>
        <w:sz w:val="23"/>
        <w:szCs w:val="23"/>
      </w:rPr>
      <w:t>264</w:t>
    </w:r>
    <w:r w:rsidRPr="00C6154C">
      <w:rPr>
        <w:rStyle w:val="slostrany"/>
        <w:sz w:val="23"/>
        <w:szCs w:val="2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B306B7" w14:textId="77777777" w:rsidR="001D1617" w:rsidRDefault="001D1617">
      <w:r>
        <w:separator/>
      </w:r>
    </w:p>
  </w:footnote>
  <w:footnote w:type="continuationSeparator" w:id="0">
    <w:p w14:paraId="44677EA1" w14:textId="77777777" w:rsidR="001D1617" w:rsidRDefault="001D1617">
      <w:r>
        <w:continuationSeparator/>
      </w:r>
    </w:p>
  </w:footnote>
  <w:footnote w:id="1">
    <w:p w14:paraId="397BC25A" w14:textId="45538779" w:rsidR="001D1617" w:rsidRDefault="001D1617">
      <w:pPr>
        <w:pStyle w:val="Textpoznmkypodiarou"/>
      </w:pPr>
      <w:r>
        <w:rPr>
          <w:rStyle w:val="Odkaznapoznmkupodiarou"/>
        </w:rPr>
        <w:footnoteRef/>
      </w:r>
      <w:r>
        <w:t xml:space="preserve"> </w:t>
      </w:r>
      <w:r w:rsidRPr="00C270B2">
        <w:rPr>
          <w:sz w:val="18"/>
          <w:szCs w:val="18"/>
        </w:rPr>
        <w:t xml:space="preserve">Uznesením vlády SR č. </w:t>
      </w:r>
      <w:r>
        <w:rPr>
          <w:sz w:val="18"/>
          <w:szCs w:val="18"/>
        </w:rPr>
        <w:t>522/2019</w:t>
      </w:r>
      <w:r w:rsidRPr="00C270B2">
        <w:rPr>
          <w:sz w:val="18"/>
          <w:szCs w:val="18"/>
        </w:rPr>
        <w:t xml:space="preserve"> zo dňa 23.10.2019 schválila vláda SR návrh zlúčenia OPII a OP VaI.</w:t>
      </w:r>
    </w:p>
  </w:footnote>
  <w:footnote w:id="2">
    <w:p w14:paraId="109A1FEE" w14:textId="77777777" w:rsidR="001D1617" w:rsidRDefault="001D1617" w:rsidP="008C53BC">
      <w:pPr>
        <w:pStyle w:val="Textpoznmkypodiarou"/>
        <w:jc w:val="both"/>
      </w:pPr>
      <w:r>
        <w:rPr>
          <w:rStyle w:val="Odkaznapoznmkupodiarou"/>
        </w:rPr>
        <w:footnoteRef/>
      </w:r>
      <w:r>
        <w:t xml:space="preserve"> </w:t>
      </w:r>
      <w:r w:rsidRPr="008C53BC">
        <w:rPr>
          <w:sz w:val="18"/>
          <w:szCs w:val="18"/>
        </w:rPr>
        <w:t>S účinnosťou o</w:t>
      </w:r>
      <w:r>
        <w:rPr>
          <w:sz w:val="18"/>
          <w:szCs w:val="18"/>
        </w:rPr>
        <w:t xml:space="preserve">d 01.01.2017 došlo k zmene názvu z „Ministerstvo dopravy, výstavby a regionálneho rozvoja Slovenskej republiky“ na „Ministerstvo dopravy a výstavby Slovenskej republiky“. Táto zmena bola schválená zákonom č. 378/2016 Z. z. </w:t>
      </w:r>
      <w:r w:rsidRPr="003B0247">
        <w:rPr>
          <w:sz w:val="18"/>
          <w:szCs w:val="18"/>
        </w:rPr>
        <w:t>ktorým sa mení a dopĺňa zákon č. 575/2001 Z. z. o organizácii činnosti vlády a organiz</w:t>
      </w:r>
      <w:r>
        <w:rPr>
          <w:sz w:val="18"/>
          <w:szCs w:val="18"/>
        </w:rPr>
        <w:t>ácii ústrednej štátnej správy v </w:t>
      </w:r>
      <w:r w:rsidRPr="003B0247">
        <w:rPr>
          <w:sz w:val="18"/>
          <w:szCs w:val="18"/>
        </w:rPr>
        <w:t>znení neskorších predpisov a ktorým sa menia a dopĺňajú niektoré zákony</w:t>
      </w:r>
      <w:r>
        <w:rPr>
          <w:sz w:val="18"/>
          <w:szCs w:val="18"/>
        </w:rPr>
        <w:t>.</w:t>
      </w:r>
    </w:p>
  </w:footnote>
  <w:footnote w:id="3">
    <w:p w14:paraId="03C79F4B" w14:textId="77777777" w:rsidR="001D1617" w:rsidRPr="008D678B" w:rsidRDefault="001D1617" w:rsidP="008D678B">
      <w:pPr>
        <w:pStyle w:val="Odsekzoznamu"/>
        <w:ind w:left="0"/>
        <w:jc w:val="both"/>
        <w:rPr>
          <w:sz w:val="18"/>
          <w:szCs w:val="18"/>
        </w:rPr>
      </w:pPr>
      <w:r w:rsidRPr="008D678B">
        <w:rPr>
          <w:rStyle w:val="Odkaznapoznmkupodiarou"/>
          <w:sz w:val="20"/>
          <w:szCs w:val="20"/>
        </w:rPr>
        <w:footnoteRef/>
      </w:r>
      <w:r w:rsidRPr="008D678B">
        <w:rPr>
          <w:sz w:val="18"/>
          <w:szCs w:val="18"/>
        </w:rPr>
        <w:t xml:space="preserve"> Schválením zákona č. 171/2016 Z. z., ktorým sa mení a dopĺňa zákon č. </w:t>
      </w:r>
      <w:hyperlink r:id="rId1" w:tooltip="Odkaz na predpis alebo ustanovenie" w:history="1">
        <w:r w:rsidRPr="008D678B">
          <w:rPr>
            <w:sz w:val="18"/>
            <w:szCs w:val="18"/>
          </w:rPr>
          <w:t>575/2001 Z. z.</w:t>
        </w:r>
      </w:hyperlink>
      <w:r>
        <w:rPr>
          <w:sz w:val="18"/>
          <w:szCs w:val="18"/>
        </w:rPr>
        <w:t xml:space="preserve"> o organizácii činnosti vlády a </w:t>
      </w:r>
      <w:r w:rsidRPr="008D678B">
        <w:rPr>
          <w:sz w:val="18"/>
          <w:szCs w:val="18"/>
        </w:rPr>
        <w:t xml:space="preserve">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Pr="008C53BC">
        <w:rPr>
          <w:sz w:val="18"/>
          <w:szCs w:val="18"/>
        </w:rPr>
        <w:t>Funkciu Sprostredkovateľského orgánu pre prioritnú os 7 OPII pred 01.06.2016 vykonávalo Ministerstvo financií SR.</w:t>
      </w:r>
    </w:p>
  </w:footnote>
  <w:footnote w:id="4">
    <w:p w14:paraId="416C2BFB" w14:textId="7247527B"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SLOVSTAT.</w:t>
      </w:r>
    </w:p>
  </w:footnote>
  <w:footnote w:id="5">
    <w:p w14:paraId="27D13107" w14:textId="03C2F220"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Aj</w:t>
      </w:r>
      <w:r w:rsidRPr="00351D17">
        <w:rPr>
          <w:spacing w:val="14"/>
          <w:sz w:val="18"/>
          <w:szCs w:val="18"/>
        </w:rPr>
        <w:t xml:space="preserve"> </w:t>
      </w:r>
      <w:r w:rsidRPr="00351D17">
        <w:rPr>
          <w:spacing w:val="-1"/>
          <w:sz w:val="18"/>
          <w:szCs w:val="18"/>
        </w:rPr>
        <w:t>keď</w:t>
      </w:r>
      <w:r w:rsidRPr="00351D17">
        <w:rPr>
          <w:spacing w:val="13"/>
          <w:sz w:val="18"/>
          <w:szCs w:val="18"/>
        </w:rPr>
        <w:t xml:space="preserve"> </w:t>
      </w:r>
      <w:r w:rsidRPr="00351D17">
        <w:rPr>
          <w:spacing w:val="-1"/>
          <w:sz w:val="18"/>
          <w:szCs w:val="18"/>
        </w:rPr>
        <w:t>Slovenská</w:t>
      </w:r>
      <w:r w:rsidRPr="00351D17">
        <w:rPr>
          <w:spacing w:val="14"/>
          <w:sz w:val="18"/>
          <w:szCs w:val="18"/>
        </w:rPr>
        <w:t xml:space="preserve"> </w:t>
      </w:r>
      <w:r w:rsidRPr="00351D17">
        <w:rPr>
          <w:spacing w:val="-2"/>
          <w:sz w:val="18"/>
          <w:szCs w:val="18"/>
        </w:rPr>
        <w:t>r</w:t>
      </w:r>
      <w:r w:rsidRPr="00351D17">
        <w:rPr>
          <w:spacing w:val="-1"/>
          <w:sz w:val="18"/>
          <w:szCs w:val="18"/>
        </w:rPr>
        <w:t>epublika</w:t>
      </w:r>
      <w:r w:rsidRPr="00351D17">
        <w:rPr>
          <w:spacing w:val="14"/>
          <w:sz w:val="18"/>
          <w:szCs w:val="18"/>
        </w:rPr>
        <w:t xml:space="preserve"> </w:t>
      </w:r>
      <w:r w:rsidRPr="00351D17">
        <w:rPr>
          <w:spacing w:val="-1"/>
          <w:sz w:val="18"/>
          <w:szCs w:val="18"/>
        </w:rPr>
        <w:t>definovala</w:t>
      </w:r>
      <w:r w:rsidRPr="00351D17">
        <w:rPr>
          <w:spacing w:val="13"/>
          <w:sz w:val="18"/>
          <w:szCs w:val="18"/>
        </w:rPr>
        <w:t xml:space="preserve"> </w:t>
      </w:r>
      <w:r w:rsidRPr="00351D17">
        <w:rPr>
          <w:spacing w:val="-1"/>
          <w:sz w:val="18"/>
          <w:szCs w:val="18"/>
        </w:rPr>
        <w:t>tento</w:t>
      </w:r>
      <w:r w:rsidRPr="00351D17">
        <w:rPr>
          <w:spacing w:val="14"/>
          <w:sz w:val="18"/>
          <w:szCs w:val="18"/>
        </w:rPr>
        <w:t xml:space="preserve"> </w:t>
      </w:r>
      <w:r w:rsidRPr="00351D17">
        <w:rPr>
          <w:sz w:val="18"/>
          <w:szCs w:val="18"/>
        </w:rPr>
        <w:t>cieľ</w:t>
      </w:r>
      <w:r w:rsidRPr="00351D17">
        <w:rPr>
          <w:spacing w:val="14"/>
          <w:sz w:val="18"/>
          <w:szCs w:val="18"/>
        </w:rPr>
        <w:t xml:space="preserve"> </w:t>
      </w:r>
      <w:r w:rsidRPr="00351D17">
        <w:rPr>
          <w:sz w:val="18"/>
          <w:szCs w:val="18"/>
        </w:rPr>
        <w:t>v</w:t>
      </w:r>
      <w:r w:rsidRPr="00351D17">
        <w:rPr>
          <w:spacing w:val="13"/>
          <w:sz w:val="18"/>
          <w:szCs w:val="18"/>
        </w:rPr>
        <w:t xml:space="preserve"> </w:t>
      </w:r>
      <w:r w:rsidRPr="00351D17">
        <w:rPr>
          <w:sz w:val="18"/>
          <w:szCs w:val="18"/>
        </w:rPr>
        <w:t>zmysle</w:t>
      </w:r>
      <w:r w:rsidRPr="00351D17">
        <w:rPr>
          <w:spacing w:val="14"/>
          <w:sz w:val="18"/>
          <w:szCs w:val="18"/>
        </w:rPr>
        <w:t xml:space="preserve"> </w:t>
      </w:r>
      <w:r w:rsidRPr="00351D17">
        <w:rPr>
          <w:sz w:val="18"/>
          <w:szCs w:val="18"/>
        </w:rPr>
        <w:t>EÚ</w:t>
      </w:r>
      <w:r w:rsidRPr="00351D17">
        <w:rPr>
          <w:spacing w:val="13"/>
          <w:sz w:val="18"/>
          <w:szCs w:val="18"/>
        </w:rPr>
        <w:t xml:space="preserve"> </w:t>
      </w:r>
      <w:r w:rsidRPr="00351D17">
        <w:rPr>
          <w:sz w:val="18"/>
          <w:szCs w:val="18"/>
        </w:rPr>
        <w:t>2020</w:t>
      </w:r>
      <w:r w:rsidRPr="00351D17">
        <w:rPr>
          <w:spacing w:val="14"/>
          <w:sz w:val="18"/>
          <w:szCs w:val="18"/>
        </w:rPr>
        <w:t xml:space="preserve"> </w:t>
      </w:r>
      <w:r w:rsidRPr="00351D17">
        <w:rPr>
          <w:sz w:val="18"/>
          <w:szCs w:val="18"/>
        </w:rPr>
        <w:t>na</w:t>
      </w:r>
      <w:r w:rsidRPr="00351D17">
        <w:rPr>
          <w:spacing w:val="14"/>
          <w:sz w:val="18"/>
          <w:szCs w:val="18"/>
        </w:rPr>
        <w:t xml:space="preserve"> </w:t>
      </w:r>
      <w:r w:rsidRPr="00351D17">
        <w:rPr>
          <w:spacing w:val="-1"/>
          <w:sz w:val="18"/>
          <w:szCs w:val="18"/>
        </w:rPr>
        <w:t>úrovni</w:t>
      </w:r>
      <w:r w:rsidRPr="00351D17">
        <w:rPr>
          <w:spacing w:val="13"/>
          <w:sz w:val="18"/>
          <w:szCs w:val="18"/>
        </w:rPr>
        <w:t xml:space="preserve"> </w:t>
      </w:r>
      <w:r w:rsidRPr="00351D17">
        <w:rPr>
          <w:sz w:val="18"/>
          <w:szCs w:val="18"/>
        </w:rPr>
        <w:t>1</w:t>
      </w:r>
      <w:r w:rsidRPr="00351D17">
        <w:rPr>
          <w:spacing w:val="14"/>
          <w:sz w:val="18"/>
          <w:szCs w:val="18"/>
        </w:rPr>
        <w:t xml:space="preserve"> </w:t>
      </w:r>
      <w:r w:rsidRPr="00351D17">
        <w:rPr>
          <w:sz w:val="18"/>
          <w:szCs w:val="18"/>
        </w:rPr>
        <w:t>%</w:t>
      </w:r>
      <w:r w:rsidRPr="00351D17">
        <w:rPr>
          <w:spacing w:val="13"/>
          <w:sz w:val="18"/>
          <w:szCs w:val="18"/>
        </w:rPr>
        <w:t xml:space="preserve"> </w:t>
      </w:r>
      <w:r w:rsidRPr="00351D17">
        <w:rPr>
          <w:spacing w:val="-8"/>
          <w:sz w:val="18"/>
          <w:szCs w:val="18"/>
        </w:rPr>
        <w:t>HD</w:t>
      </w:r>
      <w:r w:rsidRPr="00351D17">
        <w:rPr>
          <w:spacing w:val="-6"/>
          <w:sz w:val="18"/>
          <w:szCs w:val="18"/>
        </w:rPr>
        <w:t>P</w:t>
      </w:r>
      <w:r w:rsidRPr="00351D17">
        <w:rPr>
          <w:spacing w:val="-9"/>
          <w:sz w:val="18"/>
          <w:szCs w:val="18"/>
        </w:rPr>
        <w:t>,</w:t>
      </w:r>
      <w:r w:rsidRPr="00351D17">
        <w:rPr>
          <w:spacing w:val="14"/>
          <w:sz w:val="18"/>
          <w:szCs w:val="18"/>
        </w:rPr>
        <w:t xml:space="preserve"> </w:t>
      </w:r>
      <w:r w:rsidRPr="00351D17">
        <w:rPr>
          <w:sz w:val="18"/>
          <w:szCs w:val="18"/>
        </w:rPr>
        <w:t>pri</w:t>
      </w:r>
      <w:r w:rsidRPr="00351D17">
        <w:rPr>
          <w:spacing w:val="14"/>
          <w:sz w:val="18"/>
          <w:szCs w:val="18"/>
        </w:rPr>
        <w:t xml:space="preserve"> </w:t>
      </w:r>
      <w:r w:rsidRPr="00351D17">
        <w:rPr>
          <w:spacing w:val="-1"/>
          <w:sz w:val="18"/>
          <w:szCs w:val="18"/>
        </w:rPr>
        <w:t>príprave</w:t>
      </w:r>
      <w:r w:rsidRPr="00351D17">
        <w:rPr>
          <w:spacing w:val="13"/>
          <w:sz w:val="18"/>
          <w:szCs w:val="18"/>
        </w:rPr>
        <w:t xml:space="preserve"> </w:t>
      </w:r>
      <w:r w:rsidRPr="00351D17">
        <w:rPr>
          <w:sz w:val="18"/>
          <w:szCs w:val="18"/>
        </w:rPr>
        <w:t>RIS3</w:t>
      </w:r>
      <w:r w:rsidRPr="00351D17">
        <w:rPr>
          <w:spacing w:val="14"/>
          <w:sz w:val="18"/>
          <w:szCs w:val="18"/>
        </w:rPr>
        <w:t xml:space="preserve"> </w:t>
      </w:r>
      <w:r w:rsidRPr="00351D17">
        <w:rPr>
          <w:sz w:val="18"/>
          <w:szCs w:val="18"/>
        </w:rPr>
        <w:t>SK</w:t>
      </w:r>
      <w:r w:rsidRPr="00351D17">
        <w:rPr>
          <w:spacing w:val="14"/>
          <w:sz w:val="18"/>
          <w:szCs w:val="18"/>
        </w:rPr>
        <w:t xml:space="preserve"> </w:t>
      </w:r>
      <w:r w:rsidRPr="00351D17">
        <w:rPr>
          <w:sz w:val="18"/>
          <w:szCs w:val="18"/>
        </w:rPr>
        <w:t>dochádza</w:t>
      </w:r>
      <w:r w:rsidRPr="00351D17">
        <w:rPr>
          <w:spacing w:val="13"/>
          <w:sz w:val="18"/>
          <w:szCs w:val="18"/>
        </w:rPr>
        <w:t xml:space="preserve"> </w:t>
      </w:r>
      <w:r w:rsidRPr="00351D17">
        <w:rPr>
          <w:sz w:val="18"/>
          <w:szCs w:val="18"/>
        </w:rPr>
        <w:t>k</w:t>
      </w:r>
      <w:r w:rsidRPr="00351D17">
        <w:rPr>
          <w:spacing w:val="14"/>
          <w:sz w:val="18"/>
          <w:szCs w:val="18"/>
        </w:rPr>
        <w:t xml:space="preserve"> </w:t>
      </w:r>
      <w:r w:rsidRPr="00351D17">
        <w:rPr>
          <w:sz w:val="18"/>
          <w:szCs w:val="18"/>
        </w:rPr>
        <w:t>jeho</w:t>
      </w:r>
      <w:r w:rsidRPr="00351D17">
        <w:rPr>
          <w:spacing w:val="13"/>
          <w:sz w:val="18"/>
          <w:szCs w:val="18"/>
        </w:rPr>
        <w:t xml:space="preserve"> </w:t>
      </w:r>
      <w:r w:rsidRPr="00351D17">
        <w:rPr>
          <w:spacing w:val="-2"/>
          <w:sz w:val="18"/>
          <w:szCs w:val="18"/>
        </w:rPr>
        <w:t>r</w:t>
      </w:r>
      <w:r w:rsidRPr="00351D17">
        <w:rPr>
          <w:spacing w:val="-1"/>
          <w:sz w:val="18"/>
          <w:szCs w:val="18"/>
        </w:rPr>
        <w:t>evízii</w:t>
      </w:r>
      <w:r w:rsidRPr="00351D17">
        <w:rPr>
          <w:spacing w:val="14"/>
          <w:sz w:val="18"/>
          <w:szCs w:val="18"/>
        </w:rPr>
        <w:t xml:space="preserve"> </w:t>
      </w:r>
      <w:r w:rsidRPr="00351D17">
        <w:rPr>
          <w:sz w:val="18"/>
          <w:szCs w:val="18"/>
        </w:rPr>
        <w:t>na</w:t>
      </w:r>
      <w:r w:rsidRPr="00351D17">
        <w:rPr>
          <w:spacing w:val="14"/>
          <w:sz w:val="18"/>
          <w:szCs w:val="18"/>
        </w:rPr>
        <w:t xml:space="preserve"> </w:t>
      </w:r>
      <w:r w:rsidRPr="00351D17">
        <w:rPr>
          <w:spacing w:val="-1"/>
          <w:sz w:val="18"/>
          <w:szCs w:val="18"/>
        </w:rPr>
        <w:t>úroveň</w:t>
      </w:r>
      <w:r w:rsidRPr="00351D17">
        <w:rPr>
          <w:spacing w:val="13"/>
          <w:sz w:val="18"/>
          <w:szCs w:val="18"/>
        </w:rPr>
        <w:t xml:space="preserve"> </w:t>
      </w:r>
      <w:r w:rsidRPr="00351D17">
        <w:rPr>
          <w:sz w:val="18"/>
          <w:szCs w:val="18"/>
        </w:rPr>
        <w:t>1,2</w:t>
      </w:r>
      <w:r w:rsidRPr="00351D17">
        <w:rPr>
          <w:spacing w:val="14"/>
          <w:sz w:val="18"/>
          <w:szCs w:val="18"/>
        </w:rPr>
        <w:t xml:space="preserve"> </w:t>
      </w:r>
      <w:r w:rsidRPr="00351D17">
        <w:rPr>
          <w:sz w:val="18"/>
          <w:szCs w:val="18"/>
        </w:rPr>
        <w:t>%</w:t>
      </w:r>
      <w:r w:rsidRPr="00351D17">
        <w:rPr>
          <w:spacing w:val="14"/>
          <w:sz w:val="18"/>
          <w:szCs w:val="18"/>
        </w:rPr>
        <w:t xml:space="preserve"> </w:t>
      </w:r>
      <w:r w:rsidRPr="00351D17">
        <w:rPr>
          <w:spacing w:val="-2"/>
          <w:sz w:val="18"/>
          <w:szCs w:val="18"/>
        </w:rPr>
        <w:t>H</w:t>
      </w:r>
      <w:r w:rsidRPr="00351D17">
        <w:rPr>
          <w:spacing w:val="-1"/>
          <w:sz w:val="18"/>
          <w:szCs w:val="18"/>
        </w:rPr>
        <w:t>DP.</w:t>
      </w:r>
    </w:p>
  </w:footnote>
  <w:footnote w:id="6">
    <w:p w14:paraId="58BB00C3" w14:textId="2FAE0F5E"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Časť 2.1 </w:t>
      </w:r>
      <w:r w:rsidRPr="00351D17">
        <w:rPr>
          <w:spacing w:val="-1"/>
          <w:sz w:val="18"/>
          <w:szCs w:val="18"/>
        </w:rPr>
        <w:t>Pozičného</w:t>
      </w:r>
      <w:r w:rsidRPr="00351D17">
        <w:rPr>
          <w:sz w:val="18"/>
          <w:szCs w:val="18"/>
        </w:rPr>
        <w:t xml:space="preserve"> dokumentu - </w:t>
      </w:r>
      <w:hyperlink r:id="rId2">
        <w:r w:rsidRPr="00351D17">
          <w:rPr>
            <w:spacing w:val="-1"/>
            <w:sz w:val="18"/>
            <w:szCs w:val="18"/>
          </w:rPr>
          <w:t>http://ec.europa.eu/regional_policy/what/future/pdf/partnership/sk_position_paper_sk.pdf</w:t>
        </w:r>
      </w:hyperlink>
      <w:r w:rsidRPr="00351D17">
        <w:rPr>
          <w:spacing w:val="-1"/>
          <w:sz w:val="18"/>
          <w:szCs w:val="18"/>
        </w:rPr>
        <w:t>.</w:t>
      </w:r>
    </w:p>
  </w:footnote>
  <w:footnote w:id="7">
    <w:p w14:paraId="5F87999F" w14:textId="4E0BE768"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Odporúčanie Rady, ktoré sa týka národného programu reforiem Slovenska na rok 2014 a ktorým sa predkladá stanovisko Rady k programu stability Slovenska na rok 2014 (odporúčanie č. 4)</w:t>
      </w:r>
    </w:p>
  </w:footnote>
  <w:footnote w:id="8">
    <w:p w14:paraId="1027ADF1" w14:textId="4E00BE06"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Kľúčová podnikateľská legislatívna norma – živnostenský zákon (č. 455/1991 Zb.) bol od svojho prijatia novelizovaný už 100-krát.</w:t>
      </w:r>
    </w:p>
  </w:footnote>
  <w:footnote w:id="9">
    <w:p w14:paraId="2C384813" w14:textId="1FCDDB7E" w:rsidR="001D1617" w:rsidRDefault="001D1617" w:rsidP="00351D17">
      <w:pPr>
        <w:pStyle w:val="Textpoznmkypodiarou"/>
        <w:jc w:val="both"/>
      </w:pPr>
      <w:r w:rsidRPr="00351D17">
        <w:rPr>
          <w:rStyle w:val="Odkaznapoznmkupodiarou"/>
          <w:sz w:val="18"/>
          <w:szCs w:val="18"/>
        </w:rPr>
        <w:footnoteRef/>
      </w:r>
      <w:r w:rsidRPr="00351D17">
        <w:rPr>
          <w:sz w:val="18"/>
          <w:szCs w:val="18"/>
        </w:rPr>
        <w:t xml:space="preserve"> Odporúčanie Rady, ktoré sa týka národného programu reforiem Slovenska na rok 2014 a ktorým sa predkladá stanovisko Rady k programu stability Slovenska na rok 2014 (odporúčanie č. 6).</w:t>
      </w:r>
    </w:p>
  </w:footnote>
  <w:footnote w:id="10">
    <w:p w14:paraId="35B91095" w14:textId="034194A3"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Národný program reforiem </w:t>
      </w:r>
      <w:r w:rsidRPr="00351D17">
        <w:rPr>
          <w:spacing w:val="-1"/>
          <w:w w:val="110"/>
          <w:sz w:val="18"/>
          <w:szCs w:val="18"/>
        </w:rPr>
        <w:t>Slovensk</w:t>
      </w:r>
      <w:r w:rsidRPr="00351D17">
        <w:rPr>
          <w:spacing w:val="-2"/>
          <w:w w:val="110"/>
          <w:sz w:val="18"/>
          <w:szCs w:val="18"/>
        </w:rPr>
        <w:t>ej republiky</w:t>
      </w:r>
      <w:r w:rsidRPr="00351D17">
        <w:rPr>
          <w:spacing w:val="48"/>
          <w:w w:val="110"/>
          <w:sz w:val="18"/>
          <w:szCs w:val="18"/>
        </w:rPr>
        <w:t xml:space="preserve"> </w:t>
      </w:r>
      <w:r w:rsidRPr="00351D17">
        <w:rPr>
          <w:w w:val="110"/>
          <w:sz w:val="18"/>
          <w:szCs w:val="18"/>
        </w:rPr>
        <w:t>2014</w:t>
      </w:r>
      <w:r w:rsidRPr="00351D17">
        <w:rPr>
          <w:spacing w:val="47"/>
          <w:w w:val="110"/>
          <w:sz w:val="18"/>
          <w:szCs w:val="18"/>
        </w:rPr>
        <w:t xml:space="preserve"> </w:t>
      </w:r>
      <w:r w:rsidRPr="00351D17">
        <w:rPr>
          <w:w w:val="110"/>
          <w:sz w:val="18"/>
          <w:szCs w:val="18"/>
        </w:rPr>
        <w:t>bol</w:t>
      </w:r>
      <w:r w:rsidRPr="00351D17">
        <w:rPr>
          <w:spacing w:val="48"/>
          <w:w w:val="110"/>
          <w:sz w:val="18"/>
          <w:szCs w:val="18"/>
        </w:rPr>
        <w:t xml:space="preserve"> </w:t>
      </w:r>
      <w:r w:rsidRPr="00351D17">
        <w:rPr>
          <w:spacing w:val="-1"/>
          <w:w w:val="110"/>
          <w:sz w:val="18"/>
          <w:szCs w:val="18"/>
        </w:rPr>
        <w:t>schválený</w:t>
      </w:r>
      <w:r w:rsidRPr="00351D17">
        <w:rPr>
          <w:spacing w:val="47"/>
          <w:w w:val="110"/>
          <w:sz w:val="18"/>
          <w:szCs w:val="18"/>
        </w:rPr>
        <w:t xml:space="preserve"> </w:t>
      </w:r>
      <w:r w:rsidRPr="00351D17">
        <w:rPr>
          <w:w w:val="110"/>
          <w:sz w:val="18"/>
          <w:szCs w:val="18"/>
        </w:rPr>
        <w:t>vládou</w:t>
      </w:r>
      <w:r w:rsidRPr="00351D17">
        <w:rPr>
          <w:spacing w:val="47"/>
          <w:w w:val="110"/>
          <w:sz w:val="18"/>
          <w:szCs w:val="18"/>
        </w:rPr>
        <w:t xml:space="preserve"> </w:t>
      </w:r>
      <w:r w:rsidRPr="00351D17">
        <w:rPr>
          <w:w w:val="110"/>
          <w:sz w:val="18"/>
          <w:szCs w:val="18"/>
        </w:rPr>
        <w:t>SR</w:t>
      </w:r>
      <w:r w:rsidRPr="00351D17">
        <w:rPr>
          <w:spacing w:val="47"/>
          <w:w w:val="110"/>
          <w:sz w:val="18"/>
          <w:szCs w:val="18"/>
        </w:rPr>
        <w:t xml:space="preserve"> </w:t>
      </w:r>
      <w:r w:rsidRPr="00351D17">
        <w:rPr>
          <w:w w:val="110"/>
          <w:sz w:val="18"/>
          <w:szCs w:val="18"/>
        </w:rPr>
        <w:t>23.</w:t>
      </w:r>
      <w:r w:rsidRPr="00351D17">
        <w:rPr>
          <w:spacing w:val="48"/>
          <w:w w:val="110"/>
          <w:sz w:val="18"/>
          <w:szCs w:val="18"/>
        </w:rPr>
        <w:t xml:space="preserve"> </w:t>
      </w:r>
      <w:r w:rsidRPr="00351D17">
        <w:rPr>
          <w:w w:val="110"/>
          <w:sz w:val="18"/>
          <w:szCs w:val="18"/>
        </w:rPr>
        <w:t>apríla</w:t>
      </w:r>
      <w:r w:rsidRPr="00351D17">
        <w:rPr>
          <w:spacing w:val="46"/>
          <w:w w:val="110"/>
          <w:sz w:val="18"/>
          <w:szCs w:val="18"/>
        </w:rPr>
        <w:t xml:space="preserve"> </w:t>
      </w:r>
      <w:r w:rsidRPr="00351D17">
        <w:rPr>
          <w:w w:val="110"/>
          <w:sz w:val="18"/>
          <w:szCs w:val="18"/>
        </w:rPr>
        <w:t>2014:</w:t>
      </w:r>
      <w:r w:rsidRPr="00351D17">
        <w:rPr>
          <w:spacing w:val="48"/>
          <w:w w:val="110"/>
          <w:sz w:val="18"/>
          <w:szCs w:val="18"/>
        </w:rPr>
        <w:t xml:space="preserve"> </w:t>
      </w:r>
      <w:hyperlink r:id="rId3">
        <w:r w:rsidRPr="00351D17">
          <w:rPr>
            <w:spacing w:val="-3"/>
            <w:w w:val="110"/>
            <w:sz w:val="18"/>
            <w:szCs w:val="18"/>
            <w:u w:val="single" w:color="62BB46"/>
          </w:rPr>
          <w:t>http:/</w:t>
        </w:r>
        <w:r w:rsidRPr="00351D17">
          <w:rPr>
            <w:spacing w:val="-2"/>
            <w:w w:val="110"/>
            <w:sz w:val="18"/>
            <w:szCs w:val="18"/>
            <w:u w:val="single" w:color="62BB46"/>
          </w:rPr>
          <w:t>/www</w:t>
        </w:r>
        <w:r w:rsidRPr="00351D17">
          <w:rPr>
            <w:spacing w:val="-3"/>
            <w:w w:val="110"/>
            <w:sz w:val="18"/>
            <w:szCs w:val="18"/>
            <w:u w:val="single" w:color="62BB46"/>
          </w:rPr>
          <w:t>.roko</w:t>
        </w:r>
        <w:r w:rsidRPr="00351D17">
          <w:rPr>
            <w:spacing w:val="-2"/>
            <w:w w:val="110"/>
            <w:sz w:val="18"/>
            <w:szCs w:val="18"/>
            <w:u w:val="single" w:color="62BB46"/>
          </w:rPr>
          <w:t>vania.sk/Rokovanie.aspx/</w:t>
        </w:r>
      </w:hyperlink>
      <w:r w:rsidRPr="00351D17">
        <w:rPr>
          <w:w w:val="113"/>
          <w:sz w:val="18"/>
          <w:szCs w:val="18"/>
        </w:rPr>
        <w:t xml:space="preserve"> </w:t>
      </w:r>
      <w:r w:rsidRPr="00351D17">
        <w:rPr>
          <w:spacing w:val="-2"/>
          <w:w w:val="110"/>
          <w:sz w:val="18"/>
          <w:szCs w:val="18"/>
          <w:u w:val="single" w:color="62BB46"/>
        </w:rPr>
        <w:t>BodRoko</w:t>
      </w:r>
      <w:r w:rsidRPr="00351D17">
        <w:rPr>
          <w:spacing w:val="-1"/>
          <w:w w:val="110"/>
          <w:sz w:val="18"/>
          <w:szCs w:val="18"/>
          <w:u w:val="single" w:color="62BB46"/>
        </w:rPr>
        <w:t>vaniaDetail?idMaterial=22344</w:t>
      </w:r>
    </w:p>
  </w:footnote>
  <w:footnote w:id="11">
    <w:p w14:paraId="19E8F669" w14:textId="66476703"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w:t>
      </w:r>
      <w:r w:rsidRPr="00351D17">
        <w:rPr>
          <w:spacing w:val="-3"/>
          <w:sz w:val="18"/>
          <w:szCs w:val="18"/>
        </w:rPr>
        <w:t>Str.</w:t>
      </w:r>
      <w:r w:rsidRPr="00351D17">
        <w:rPr>
          <w:sz w:val="18"/>
          <w:szCs w:val="18"/>
        </w:rPr>
        <w:t xml:space="preserve"> 5, </w:t>
      </w:r>
      <w:r w:rsidRPr="00351D17">
        <w:rPr>
          <w:spacing w:val="-1"/>
          <w:sz w:val="18"/>
          <w:szCs w:val="18"/>
        </w:rPr>
        <w:t>Innovation</w:t>
      </w:r>
      <w:r w:rsidRPr="00351D17">
        <w:rPr>
          <w:sz w:val="18"/>
          <w:szCs w:val="18"/>
        </w:rPr>
        <w:t xml:space="preserve"> Union </w:t>
      </w:r>
      <w:r w:rsidRPr="00351D17">
        <w:rPr>
          <w:spacing w:val="-1"/>
          <w:sz w:val="18"/>
          <w:szCs w:val="18"/>
        </w:rPr>
        <w:t>Scoreboard</w:t>
      </w:r>
      <w:r w:rsidRPr="00351D17">
        <w:rPr>
          <w:sz w:val="18"/>
          <w:szCs w:val="18"/>
        </w:rPr>
        <w:t xml:space="preserve"> </w:t>
      </w:r>
      <w:hyperlink r:id="rId4">
        <w:r w:rsidRPr="00351D17">
          <w:rPr>
            <w:spacing w:val="-1"/>
            <w:sz w:val="18"/>
            <w:szCs w:val="18"/>
          </w:rPr>
          <w:t>http://ec.europa.eu/enterprise/policies/innovation/files/ius/ius-2014_en.pdf</w:t>
        </w:r>
      </w:hyperlink>
      <w:r w:rsidRPr="00351D17">
        <w:rPr>
          <w:spacing w:val="-1"/>
          <w:sz w:val="18"/>
          <w:szCs w:val="18"/>
        </w:rPr>
        <w:t>.</w:t>
      </w:r>
    </w:p>
  </w:footnote>
  <w:footnote w:id="12">
    <w:p w14:paraId="35D4DD03" w14:textId="33E2A7F8"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RIS3 SK bola schválená uznesením vlády SR č. 665/2013 dňa 13. 11. 2013</w:t>
      </w:r>
      <w:r>
        <w:rPr>
          <w:sz w:val="18"/>
          <w:szCs w:val="18"/>
        </w:rPr>
        <w:t xml:space="preserve"> </w:t>
      </w:r>
      <w:r w:rsidRPr="00351D17">
        <w:rPr>
          <w:sz w:val="18"/>
          <w:szCs w:val="18"/>
        </w:rPr>
        <w:t>http://www.rokovania.sk/Rokovanie.aspx/BodRokovaniaDetail?idMaterial=23039</w:t>
      </w:r>
    </w:p>
  </w:footnote>
  <w:footnote w:id="13">
    <w:p w14:paraId="0F503CB3" w14:textId="3F379222"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Str. 5, stratégia RIS3 SK.</w:t>
      </w:r>
    </w:p>
  </w:footnote>
  <w:footnote w:id="14">
    <w:p w14:paraId="7EA93494" w14:textId="7135D25E"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Operačný program Výskum a vývoj.</w:t>
      </w:r>
    </w:p>
  </w:footnote>
  <w:footnote w:id="15">
    <w:p w14:paraId="710963D7" w14:textId="552D07D0"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w:t>
      </w:r>
      <w:r w:rsidRPr="00351D17">
        <w:rPr>
          <w:spacing w:val="-2"/>
          <w:w w:val="105"/>
          <w:sz w:val="18"/>
          <w:szCs w:val="18"/>
        </w:rPr>
        <w:t>Oper</w:t>
      </w:r>
      <w:r w:rsidRPr="00351D17">
        <w:rPr>
          <w:spacing w:val="-1"/>
          <w:w w:val="105"/>
          <w:sz w:val="18"/>
          <w:szCs w:val="18"/>
        </w:rPr>
        <w:t>ačný</w:t>
      </w:r>
      <w:r w:rsidRPr="00351D17">
        <w:rPr>
          <w:spacing w:val="9"/>
          <w:w w:val="105"/>
          <w:sz w:val="18"/>
          <w:szCs w:val="18"/>
        </w:rPr>
        <w:t xml:space="preserve"> </w:t>
      </w:r>
      <w:r w:rsidRPr="00351D17">
        <w:rPr>
          <w:spacing w:val="-2"/>
          <w:w w:val="105"/>
          <w:sz w:val="18"/>
          <w:szCs w:val="18"/>
        </w:rPr>
        <w:t>pr</w:t>
      </w:r>
      <w:r w:rsidRPr="00351D17">
        <w:rPr>
          <w:spacing w:val="-1"/>
          <w:w w:val="105"/>
          <w:sz w:val="18"/>
          <w:szCs w:val="18"/>
        </w:rPr>
        <w:t>ogram</w:t>
      </w:r>
      <w:r w:rsidRPr="00351D17">
        <w:rPr>
          <w:spacing w:val="9"/>
          <w:w w:val="105"/>
          <w:sz w:val="18"/>
          <w:szCs w:val="18"/>
        </w:rPr>
        <w:t xml:space="preserve"> </w:t>
      </w:r>
      <w:r w:rsidRPr="00351D17">
        <w:rPr>
          <w:spacing w:val="-2"/>
          <w:w w:val="105"/>
          <w:sz w:val="18"/>
          <w:szCs w:val="18"/>
        </w:rPr>
        <w:t>Konkur</w:t>
      </w:r>
      <w:r w:rsidRPr="00351D17">
        <w:rPr>
          <w:spacing w:val="-1"/>
          <w:w w:val="105"/>
          <w:sz w:val="18"/>
          <w:szCs w:val="18"/>
        </w:rPr>
        <w:t>encieschopnosť</w:t>
      </w:r>
      <w:r w:rsidRPr="00351D17">
        <w:rPr>
          <w:spacing w:val="9"/>
          <w:w w:val="105"/>
          <w:sz w:val="18"/>
          <w:szCs w:val="18"/>
        </w:rPr>
        <w:t xml:space="preserve"> </w:t>
      </w:r>
      <w:r w:rsidRPr="00351D17">
        <w:rPr>
          <w:w w:val="105"/>
          <w:sz w:val="18"/>
          <w:szCs w:val="18"/>
        </w:rPr>
        <w:t>a</w:t>
      </w:r>
      <w:r w:rsidRPr="00351D17">
        <w:rPr>
          <w:spacing w:val="9"/>
          <w:w w:val="105"/>
          <w:sz w:val="18"/>
          <w:szCs w:val="18"/>
        </w:rPr>
        <w:t xml:space="preserve"> </w:t>
      </w:r>
      <w:r w:rsidRPr="00351D17">
        <w:rPr>
          <w:w w:val="105"/>
          <w:sz w:val="18"/>
          <w:szCs w:val="18"/>
        </w:rPr>
        <w:t>hospodársky</w:t>
      </w:r>
      <w:r w:rsidRPr="00351D17">
        <w:rPr>
          <w:spacing w:val="9"/>
          <w:w w:val="105"/>
          <w:sz w:val="18"/>
          <w:szCs w:val="18"/>
        </w:rPr>
        <w:t xml:space="preserve"> </w:t>
      </w:r>
      <w:r w:rsidRPr="00351D17">
        <w:rPr>
          <w:spacing w:val="-2"/>
          <w:w w:val="105"/>
          <w:sz w:val="18"/>
          <w:szCs w:val="18"/>
        </w:rPr>
        <w:t>r</w:t>
      </w:r>
      <w:r w:rsidRPr="00351D17">
        <w:rPr>
          <w:spacing w:val="-1"/>
          <w:w w:val="105"/>
          <w:sz w:val="18"/>
          <w:szCs w:val="18"/>
        </w:rPr>
        <w:t>ast.</w:t>
      </w:r>
    </w:p>
  </w:footnote>
  <w:footnote w:id="16">
    <w:p w14:paraId="3EDA9904" w14:textId="33D98900" w:rsidR="001D1617" w:rsidRDefault="001D1617" w:rsidP="00351D17">
      <w:pPr>
        <w:pStyle w:val="Textpoznmkypodiarou"/>
        <w:jc w:val="both"/>
      </w:pPr>
      <w:r w:rsidRPr="00351D17">
        <w:rPr>
          <w:rStyle w:val="Odkaznapoznmkupodiarou"/>
          <w:sz w:val="18"/>
          <w:szCs w:val="18"/>
        </w:rPr>
        <w:footnoteRef/>
      </w:r>
      <w:r w:rsidRPr="00351D17">
        <w:rPr>
          <w:sz w:val="18"/>
          <w:szCs w:val="18"/>
        </w:rPr>
        <w:t xml:space="preserve"> OP</w:t>
      </w:r>
      <w:r w:rsidRPr="00F20513">
        <w:rPr>
          <w:sz w:val="18"/>
          <w:szCs w:val="18"/>
        </w:rPr>
        <w:t>II (časť</w:t>
      </w:r>
      <w:r w:rsidRPr="00351D17">
        <w:rPr>
          <w:sz w:val="18"/>
          <w:szCs w:val="18"/>
        </w:rPr>
        <w:t xml:space="preserve"> VaI</w:t>
      </w:r>
      <w:r w:rsidRPr="00F20513">
        <w:rPr>
          <w:sz w:val="18"/>
          <w:szCs w:val="18"/>
        </w:rPr>
        <w:t>)</w:t>
      </w:r>
      <w:r w:rsidRPr="00351D17">
        <w:rPr>
          <w:sz w:val="18"/>
          <w:szCs w:val="18"/>
        </w:rPr>
        <w:t xml:space="preserve"> nie je jediným implementačným nástrojom pre RIS3 SK. K jej implementácii môžu priamo alebo nepriamo prispievať aj ostatné relevantné operačné programy, ktorých aktivity riešia problematiku ľudských zdrojov, vzdelávania, informatizácie a ostatných súvisiacich oblastí relevantných pre RIS3 SK</w:t>
      </w:r>
    </w:p>
  </w:footnote>
  <w:footnote w:id="17">
    <w:p w14:paraId="1C36ABB5" w14:textId="77777777" w:rsidR="001D1617" w:rsidRPr="004C77FC" w:rsidRDefault="001D1617" w:rsidP="000C7996">
      <w:pPr>
        <w:pStyle w:val="Textpoznmkypodiarou"/>
        <w:jc w:val="both"/>
        <w:rPr>
          <w:sz w:val="18"/>
          <w:szCs w:val="18"/>
        </w:rPr>
      </w:pPr>
      <w:r w:rsidRPr="004C77FC">
        <w:rPr>
          <w:rStyle w:val="Odkaznapoznmkupodiarou"/>
          <w:sz w:val="18"/>
          <w:szCs w:val="18"/>
        </w:rPr>
        <w:footnoteRef/>
      </w:r>
      <w:r w:rsidRPr="004C77FC">
        <w:rPr>
          <w:sz w:val="18"/>
          <w:szCs w:val="18"/>
        </w:rPr>
        <w:t xml:space="preserve"> COM(2010) 2020 final</w:t>
      </w:r>
    </w:p>
  </w:footnote>
  <w:footnote w:id="18">
    <w:p w14:paraId="7865FFB7" w14:textId="3D51A5FB" w:rsidR="001D1617" w:rsidRPr="004C77FC" w:rsidRDefault="001D1617" w:rsidP="000C7996">
      <w:pPr>
        <w:pStyle w:val="Textpoznmkypodiarou"/>
        <w:rPr>
          <w:sz w:val="18"/>
          <w:szCs w:val="18"/>
        </w:rPr>
      </w:pPr>
      <w:r w:rsidRPr="004C77FC">
        <w:rPr>
          <w:rStyle w:val="Odkaznapoznmkupodiarou"/>
          <w:sz w:val="18"/>
          <w:szCs w:val="18"/>
        </w:rPr>
        <w:footnoteRef/>
      </w:r>
      <w:r>
        <w:rPr>
          <w:bCs/>
          <w:color w:val="000000"/>
          <w:sz w:val="18"/>
          <w:szCs w:val="18"/>
        </w:rPr>
        <w:t xml:space="preserve"> </w:t>
      </w:r>
      <w:r w:rsidRPr="004C77FC">
        <w:rPr>
          <w:bCs/>
          <w:color w:val="000000"/>
          <w:sz w:val="18"/>
          <w:szCs w:val="18"/>
        </w:rPr>
        <w:t>čl. 9 nariadenia</w:t>
      </w:r>
      <w:r>
        <w:rPr>
          <w:bCs/>
          <w:color w:val="000000"/>
          <w:sz w:val="18"/>
          <w:szCs w:val="18"/>
        </w:rPr>
        <w:t xml:space="preserve"> Európskeho parlamentu a Rady (EÚ) č.</w:t>
      </w:r>
      <w:r w:rsidRPr="004C77FC">
        <w:rPr>
          <w:bCs/>
          <w:color w:val="000000"/>
          <w:sz w:val="18"/>
          <w:szCs w:val="18"/>
        </w:rPr>
        <w:t xml:space="preserve"> 1303/2013</w:t>
      </w:r>
      <w:r>
        <w:rPr>
          <w:bCs/>
          <w:color w:val="000000"/>
          <w:sz w:val="18"/>
          <w:szCs w:val="18"/>
        </w:rPr>
        <w:t xml:space="preserve"> zo 17. decembra 2013</w:t>
      </w:r>
    </w:p>
  </w:footnote>
  <w:footnote w:id="19">
    <w:p w14:paraId="7C0FFBD3" w14:textId="77777777" w:rsidR="001D1617" w:rsidRPr="00C83378" w:rsidRDefault="001D1617" w:rsidP="000C7996">
      <w:pPr>
        <w:pStyle w:val="Textpoznmkypodiarou"/>
        <w:jc w:val="both"/>
        <w:rPr>
          <w:sz w:val="18"/>
          <w:szCs w:val="18"/>
        </w:rPr>
      </w:pPr>
      <w:r w:rsidRPr="00C83378">
        <w:rPr>
          <w:rStyle w:val="Odkaznapoznmkupodiarou"/>
          <w:sz w:val="18"/>
          <w:szCs w:val="18"/>
        </w:rPr>
        <w:footnoteRef/>
      </w:r>
      <w:r w:rsidRPr="00C83378">
        <w:rPr>
          <w:sz w:val="18"/>
          <w:szCs w:val="18"/>
        </w:rPr>
        <w:t xml:space="preserve"> Nariadenie Európskeho parlamentu a Rady (EÚ) č. 1316/2013 z 11. decembra 2013 o zriadení Nástroja na prepájanie Európy, ktorým sa mení nariadenie (EÚ) č. 913/2010 a zrušujú sa nariadenia (ES) č. 680/2007 a (ES) č. 67/2010</w:t>
      </w:r>
      <w:r>
        <w:rPr>
          <w:sz w:val="18"/>
          <w:szCs w:val="18"/>
        </w:rPr>
        <w:t>.</w:t>
      </w:r>
    </w:p>
  </w:footnote>
  <w:footnote w:id="20">
    <w:p w14:paraId="0C3CC0AC" w14:textId="45D13D50" w:rsidR="001D1617" w:rsidRPr="00D329F5" w:rsidRDefault="001D1617" w:rsidP="00A45389">
      <w:pPr>
        <w:pStyle w:val="Textpoznmkypodiarou"/>
        <w:jc w:val="both"/>
        <w:rPr>
          <w:color w:val="FF0000"/>
          <w:sz w:val="18"/>
          <w:szCs w:val="18"/>
        </w:rPr>
      </w:pPr>
      <w:r w:rsidRPr="00C83378">
        <w:rPr>
          <w:rStyle w:val="Odkaznapoznmkupodiarou"/>
          <w:sz w:val="18"/>
          <w:szCs w:val="18"/>
        </w:rPr>
        <w:footnoteRef/>
      </w:r>
      <w:r w:rsidRPr="00C83378">
        <w:rPr>
          <w:sz w:val="18"/>
          <w:szCs w:val="18"/>
        </w:rPr>
        <w:t xml:space="preserve"> </w:t>
      </w:r>
      <w:r w:rsidRPr="00B4180D">
        <w:rPr>
          <w:sz w:val="18"/>
          <w:szCs w:val="18"/>
        </w:rPr>
        <w:t>Detailnejšie informácie sú stanovené v riadiacej dokumentácii (Príručka pre žiadateľa</w:t>
      </w:r>
      <w:r w:rsidRPr="00B4180D">
        <w:t xml:space="preserve"> </w:t>
      </w:r>
      <w:r w:rsidRPr="00B4180D">
        <w:rPr>
          <w:sz w:val="18"/>
          <w:szCs w:val="18"/>
        </w:rPr>
        <w:t>o poskytnutie nenávratného finančného príspevku pre prioritnú os 1 až 6</w:t>
      </w:r>
      <w:r w:rsidRPr="00EE499B">
        <w:rPr>
          <w:sz w:val="18"/>
          <w:szCs w:val="18"/>
        </w:rPr>
        <w:t>, Metodická príručka k tvorbe analýz nákladov a prínosov (CBA) v rámci predkladania investičných projektov v oblasti dopravy pre programové obdobie 2014 - 2020).</w:t>
      </w:r>
    </w:p>
  </w:footnote>
  <w:footnote w:id="21">
    <w:p w14:paraId="11B83312" w14:textId="7FF2EB9E" w:rsidR="001D1617" w:rsidRPr="00487C15" w:rsidRDefault="001D1617" w:rsidP="000C7996">
      <w:pPr>
        <w:pStyle w:val="Textpoznmkypodiarou"/>
        <w:jc w:val="both"/>
        <w:rPr>
          <w:sz w:val="18"/>
          <w:szCs w:val="18"/>
        </w:rPr>
      </w:pPr>
      <w:r w:rsidRPr="00C83378">
        <w:rPr>
          <w:rStyle w:val="Odkaznapoznmkupodiarou"/>
          <w:sz w:val="18"/>
          <w:szCs w:val="18"/>
        </w:rPr>
        <w:footnoteRef/>
      </w:r>
      <w:r w:rsidRPr="00C83378">
        <w:rPr>
          <w:sz w:val="18"/>
          <w:szCs w:val="18"/>
        </w:rPr>
        <w:t xml:space="preserve"> Medzi útvarom plniacim úlohy poskytovateľa služieb riadenia informačno – technologických projektov vo verejnej správe a útvarmi plniacimi úlohy sprostredkovateľského orgánu pod riadiacim orgánom pre Operačný program Integrovaná infraštruktúra bude v zmysl</w:t>
      </w:r>
      <w:r>
        <w:rPr>
          <w:sz w:val="18"/>
          <w:szCs w:val="18"/>
        </w:rPr>
        <w:t xml:space="preserve">e čl. 125, bod 7 Nariadenia </w:t>
      </w:r>
      <w:r w:rsidRPr="00C83378">
        <w:rPr>
          <w:sz w:val="18"/>
          <w:szCs w:val="18"/>
        </w:rPr>
        <w:t>č. 1303/2013 zo 17. decembra 2013, zabezpečené primerané oddelenie funkcií.</w:t>
      </w:r>
      <w:r>
        <w:rPr>
          <w:sz w:val="18"/>
          <w:szCs w:val="18"/>
        </w:rPr>
        <w:t xml:space="preserve"> </w:t>
      </w:r>
    </w:p>
  </w:footnote>
  <w:footnote w:id="22">
    <w:p w14:paraId="628BEFEF" w14:textId="77777777" w:rsidR="001D1617" w:rsidRPr="00A70F9E" w:rsidRDefault="001D1617">
      <w:pPr>
        <w:pStyle w:val="Textpoznmkypodiarou"/>
        <w:rPr>
          <w:sz w:val="18"/>
          <w:szCs w:val="18"/>
        </w:rPr>
      </w:pPr>
      <w:r w:rsidRPr="00A70F9E">
        <w:rPr>
          <w:rStyle w:val="Odkaznapoznmkupodiarou"/>
          <w:sz w:val="18"/>
          <w:szCs w:val="18"/>
        </w:rPr>
        <w:footnoteRef/>
      </w:r>
      <w:r w:rsidRPr="00A70F9E">
        <w:rPr>
          <w:sz w:val="18"/>
          <w:szCs w:val="18"/>
        </w:rPr>
        <w:t xml:space="preserve"> Aktualizovaná národná stratégia ochrany biodiverzity do roku 2020 bola schválená UV SR č. 12 z 8.1.2014</w:t>
      </w:r>
    </w:p>
  </w:footnote>
  <w:footnote w:id="23">
    <w:p w14:paraId="2D809F15" w14:textId="77777777" w:rsidR="001D1617" w:rsidRPr="0044578F" w:rsidRDefault="001D1617" w:rsidP="00DB79F5">
      <w:pPr>
        <w:pStyle w:val="Textpoznmkypodiarou"/>
      </w:pPr>
      <w:r w:rsidRPr="00A70F9E">
        <w:rPr>
          <w:rStyle w:val="Odkaznapoznmkupodiarou"/>
          <w:sz w:val="18"/>
          <w:szCs w:val="18"/>
        </w:rPr>
        <w:footnoteRef/>
      </w:r>
      <w:r w:rsidRPr="00A70F9E">
        <w:rPr>
          <w:sz w:val="18"/>
          <w:szCs w:val="18"/>
        </w:rPr>
        <w:t xml:space="preserve"> Národný program reforiem Slovenskej republiky 2013 bol schválený UV SR č. 198 z 24.4.2013</w:t>
      </w:r>
    </w:p>
  </w:footnote>
  <w:footnote w:id="24">
    <w:p w14:paraId="3A63BAC0" w14:textId="77777777" w:rsidR="001D1617" w:rsidRPr="0098089F" w:rsidRDefault="001D1617" w:rsidP="007E1C72">
      <w:pPr>
        <w:pStyle w:val="Textpoznmkypodiarou"/>
        <w:jc w:val="both"/>
        <w:rPr>
          <w:sz w:val="18"/>
          <w:szCs w:val="18"/>
        </w:rPr>
      </w:pPr>
      <w:r w:rsidRPr="0098089F">
        <w:rPr>
          <w:rStyle w:val="Odkaznapoznmkupodiarou"/>
          <w:sz w:val="18"/>
          <w:szCs w:val="18"/>
        </w:rPr>
        <w:footnoteRef/>
      </w:r>
      <w:r>
        <w:rPr>
          <w:sz w:val="18"/>
          <w:szCs w:val="18"/>
        </w:rPr>
        <w:t xml:space="preserve"> N</w:t>
      </w:r>
      <w:r w:rsidRPr="0098089F">
        <w:rPr>
          <w:sz w:val="18"/>
          <w:szCs w:val="18"/>
        </w:rPr>
        <w:t xml:space="preserve">apr. Akčný plán energetickej efektívnosti na roky 2014 – 2016 s výhľadom do roku 2020, Smernica </w:t>
      </w:r>
      <w:r>
        <w:rPr>
          <w:sz w:val="18"/>
          <w:szCs w:val="18"/>
        </w:rPr>
        <w:t>2001/81/ES z 23. </w:t>
      </w:r>
      <w:r w:rsidRPr="0098089F">
        <w:rPr>
          <w:sz w:val="18"/>
          <w:szCs w:val="18"/>
        </w:rPr>
        <w:t>októbra 2001 o národných emisných stropoch pre určité znečisťujúce látky</w:t>
      </w:r>
      <w:r>
        <w:rPr>
          <w:sz w:val="18"/>
          <w:szCs w:val="18"/>
        </w:rPr>
        <w:t>.</w:t>
      </w:r>
    </w:p>
  </w:footnote>
  <w:footnote w:id="25">
    <w:p w14:paraId="1F003497" w14:textId="77777777" w:rsidR="001D1617" w:rsidRPr="009D73D9" w:rsidRDefault="001D1617" w:rsidP="009D73D9">
      <w:pPr>
        <w:pStyle w:val="Textpoznmkypodiarou"/>
        <w:jc w:val="both"/>
        <w:rPr>
          <w:sz w:val="18"/>
          <w:szCs w:val="18"/>
        </w:rPr>
      </w:pPr>
      <w:r w:rsidRPr="009D73D9">
        <w:rPr>
          <w:rStyle w:val="Odkaznapoznmkupodiarou"/>
          <w:sz w:val="18"/>
          <w:szCs w:val="18"/>
        </w:rPr>
        <w:footnoteRef/>
      </w:r>
      <w:r w:rsidRPr="009D73D9">
        <w:rPr>
          <w:sz w:val="18"/>
          <w:szCs w:val="18"/>
        </w:rPr>
        <w:t xml:space="preserve"> </w:t>
      </w:r>
      <w:r>
        <w:rPr>
          <w:sz w:val="18"/>
          <w:szCs w:val="18"/>
        </w:rPr>
        <w:t>Limitné</w:t>
      </w:r>
      <w:r w:rsidRPr="009D73D9">
        <w:rPr>
          <w:sz w:val="18"/>
          <w:szCs w:val="18"/>
        </w:rPr>
        <w:t xml:space="preserve"> hodnot</w:t>
      </w:r>
      <w:r>
        <w:rPr>
          <w:sz w:val="18"/>
          <w:szCs w:val="18"/>
        </w:rPr>
        <w:t>y pre prachové častice PM</w:t>
      </w:r>
      <w:r w:rsidRPr="00DB77C1">
        <w:rPr>
          <w:sz w:val="18"/>
          <w:szCs w:val="18"/>
          <w:vertAlign w:val="subscript"/>
        </w:rPr>
        <w:t>10</w:t>
      </w:r>
      <w:r>
        <w:rPr>
          <w:sz w:val="18"/>
          <w:szCs w:val="18"/>
        </w:rPr>
        <w:t xml:space="preserve"> boli </w:t>
      </w:r>
      <w:r w:rsidRPr="009D73D9">
        <w:rPr>
          <w:sz w:val="18"/>
          <w:szCs w:val="18"/>
        </w:rPr>
        <w:t>stanovené Smernicou Európskeho parlamentu a rady 2008/50/ES o kvalite okolité</w:t>
      </w:r>
      <w:r>
        <w:rPr>
          <w:sz w:val="18"/>
          <w:szCs w:val="18"/>
        </w:rPr>
        <w:t>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footnote>
  <w:footnote w:id="26">
    <w:p w14:paraId="65EE3A5A" w14:textId="77777777" w:rsidR="001D1617" w:rsidRDefault="001D1617">
      <w:pPr>
        <w:pStyle w:val="Textpoznmkypodiarou"/>
      </w:pPr>
      <w:r>
        <w:rPr>
          <w:rStyle w:val="Odkaznapoznmkupodiarou"/>
        </w:rPr>
        <w:footnoteRef/>
      </w:r>
      <w:r>
        <w:t xml:space="preserve"> </w:t>
      </w:r>
      <w:r w:rsidRPr="008B2833">
        <w:rPr>
          <w:sz w:val="18"/>
          <w:szCs w:val="18"/>
        </w:rPr>
        <w:t>http://informatizacia.sk/strategicky-dokument/16604s</w:t>
      </w:r>
    </w:p>
  </w:footnote>
  <w:footnote w:id="27">
    <w:p w14:paraId="7F41830E" w14:textId="77777777" w:rsidR="001D1617" w:rsidRPr="008B2833" w:rsidRDefault="001D1617" w:rsidP="00841ABF">
      <w:pPr>
        <w:pStyle w:val="Textpoznmkypodiarou"/>
        <w:jc w:val="both"/>
        <w:rPr>
          <w:sz w:val="18"/>
          <w:szCs w:val="18"/>
        </w:rPr>
      </w:pPr>
      <w:r w:rsidRPr="008B2833">
        <w:rPr>
          <w:rStyle w:val="Odkaznapoznmkupodiarou"/>
          <w:sz w:val="18"/>
          <w:szCs w:val="18"/>
        </w:rPr>
        <w:footnoteRef/>
      </w:r>
      <w:r w:rsidRPr="008B2833">
        <w:rPr>
          <w:sz w:val="18"/>
          <w:szCs w:val="18"/>
        </w:rPr>
        <w:t xml:space="preserve"> NPR SR 2013, príl. 1: Index sa pre danú krajinu vypočíta ako vážený priemer nasledujúcich troch indikátorov: dostupnosť e-governmentu (váha 50 %), využitie e-governmentu jednotlivcami (25 %) a využitie e-governmentu podnikmi (váha 25 %). Dostupnosť e-governmentu meria ponuku dvadsiatich základných služieb e-governmentu. Indikátor udáva podiel služieb dostupných prostredníctvom internetu z definovaných dvadsiatich verejných služieb</w:t>
      </w:r>
      <w:r>
        <w:rPr>
          <w:sz w:val="18"/>
          <w:szCs w:val="18"/>
        </w:rPr>
        <w:t>. Aby bola služba považovaná za </w:t>
      </w:r>
      <w:r w:rsidRPr="008B2833">
        <w:rPr>
          <w:sz w:val="18"/>
          <w:szCs w:val="18"/>
        </w:rPr>
        <w:t>dostupnú, musí dosahovať určitý stupeň sofistikácie. Využitie e-governmentu jednotlivcami, resp. podnikmi merajú koľko percent ľudí, resp. podnikov využilo v posledných troch mesiacoch internet na komunikáciu s verejnými inštitúciami (získanie informácii z web stránky, stiahnutie oficiálneho formulára alebo zaslanie vyplneného formulára). Zdroj: Eurostat</w:t>
      </w:r>
    </w:p>
  </w:footnote>
  <w:footnote w:id="28">
    <w:p w14:paraId="0F4DB3AA" w14:textId="77777777" w:rsidR="001D1617" w:rsidRPr="00D7167F" w:rsidRDefault="001D1617">
      <w:pPr>
        <w:pStyle w:val="Textpoznmkypodiarou"/>
        <w:rPr>
          <w:sz w:val="18"/>
          <w:szCs w:val="18"/>
        </w:rPr>
      </w:pPr>
      <w:r w:rsidRPr="00D7167F">
        <w:rPr>
          <w:rStyle w:val="Odkaznapoznmkupodiarou"/>
          <w:sz w:val="18"/>
          <w:szCs w:val="18"/>
        </w:rPr>
        <w:footnoteRef/>
      </w:r>
      <w:r w:rsidRPr="00D7167F">
        <w:rPr>
          <w:sz w:val="18"/>
          <w:szCs w:val="18"/>
        </w:rPr>
        <w:t xml:space="preserve"> http://informatizacia.sk/strategicky-dokument/16604s</w:t>
      </w:r>
    </w:p>
  </w:footnote>
  <w:footnote w:id="29">
    <w:p w14:paraId="1091360F" w14:textId="6B5E4D93" w:rsidR="001D1617" w:rsidRPr="00D7167F" w:rsidRDefault="001D1617" w:rsidP="00351D17">
      <w:pPr>
        <w:pStyle w:val="Odsekzoznamu"/>
        <w:ind w:left="0"/>
        <w:jc w:val="both"/>
        <w:rPr>
          <w:sz w:val="18"/>
          <w:szCs w:val="18"/>
        </w:rPr>
      </w:pPr>
      <w:r w:rsidRPr="00D7167F">
        <w:rPr>
          <w:rStyle w:val="Odkaznapoznmkupodiarou"/>
          <w:sz w:val="18"/>
          <w:szCs w:val="18"/>
        </w:rPr>
        <w:footnoteRef/>
      </w:r>
      <w:r w:rsidRPr="00D7167F">
        <w:rPr>
          <w:sz w:val="18"/>
          <w:szCs w:val="18"/>
        </w:rPr>
        <w:t xml:space="preserve"> Schválením zákona č. 171/2016 Z. z., ktorým sa mení a dopĺňa zákon č. </w:t>
      </w:r>
      <w:hyperlink r:id="rId5" w:tooltip="Odkaz na predpis alebo ustanovenie" w:history="1">
        <w:r w:rsidRPr="00D7167F">
          <w:rPr>
            <w:sz w:val="18"/>
            <w:szCs w:val="18"/>
          </w:rPr>
          <w:t>575/2001 Z. z.</w:t>
        </w:r>
      </w:hyperlink>
      <w:r w:rsidRPr="00D7167F">
        <w:rPr>
          <w:sz w:val="18"/>
          <w:szCs w:val="18"/>
        </w:rPr>
        <w:t xml:space="preserve"> o organizácii činnosti vlády a 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Funkciu Sprostredkovateľského orgánu pre prioritnú os 7 OPII pred 01.06.2016 vykonávalo Ministerstvo financií SR.</w:t>
      </w:r>
    </w:p>
  </w:footnote>
  <w:footnote w:id="30">
    <w:p w14:paraId="03C94FE4" w14:textId="12B4E805" w:rsidR="001D1617" w:rsidRPr="00D7167F" w:rsidRDefault="001D1617" w:rsidP="009832E1">
      <w:pPr>
        <w:pStyle w:val="Textpoznmkypodiarou"/>
        <w:jc w:val="both"/>
        <w:rPr>
          <w:sz w:val="18"/>
          <w:szCs w:val="18"/>
        </w:rPr>
      </w:pPr>
      <w:r w:rsidRPr="00D7167F">
        <w:rPr>
          <w:rStyle w:val="Odkaznapoznmkupodiarou"/>
          <w:sz w:val="18"/>
          <w:szCs w:val="18"/>
        </w:rPr>
        <w:footnoteRef/>
      </w:r>
      <w:r w:rsidRPr="00D7167F">
        <w:rPr>
          <w:sz w:val="18"/>
          <w:szCs w:val="18"/>
        </w:rPr>
        <w:t xml:space="preserve"> Stratégia Európa 2020 http://ec.europa.eu/regional_policy/what/europe2020/index_en.cfm, Špecifické odporúčania pre SR, Národný program reforiem Slovenskej republiky 2014, Program stability Slovenskej republiky na roky 2013 – 2016 http://ec.europa.eu/europe2020/europe-2020-in-your- country/slovensko/index_en.htm, Správa o stave vysokého školstva, interné analýzy MŠVVaŠ SR týkajúce sa účasti Slovenskej republiky v Európskom výskumnom priestore a podpory výskumu a vývoja z Operačného programu Výskum a vývoj 2007 – 2013, interné analýzy MH SR z oblasti inovácií a podpory MSP a Strategické hodnotenie OP KaHR 2007 – 2013 http://www.mhsr.sk/ext_dok-strategicke-hodnotenie-op-kahr/140055c?ext=orig, RIS3 SK</w:t>
      </w:r>
    </w:p>
  </w:footnote>
  <w:footnote w:id="31">
    <w:p w14:paraId="53427777" w14:textId="4135B6A6" w:rsidR="001D1617" w:rsidRPr="00351D17" w:rsidRDefault="001D1617">
      <w:pPr>
        <w:pStyle w:val="Textpoznmkypodiarou"/>
        <w:rPr>
          <w:sz w:val="18"/>
          <w:szCs w:val="18"/>
        </w:rPr>
      </w:pPr>
      <w:r w:rsidRPr="00D7167F">
        <w:rPr>
          <w:rStyle w:val="Odkaznapoznmkupodiarou"/>
          <w:sz w:val="18"/>
          <w:szCs w:val="18"/>
        </w:rPr>
        <w:footnoteRef/>
      </w:r>
      <w:r w:rsidRPr="00D7167F">
        <w:rPr>
          <w:sz w:val="18"/>
          <w:szCs w:val="18"/>
        </w:rPr>
        <w:t xml:space="preserve"> Eurostat 2012 – http://epp.eurostat.ec.europa.eu/portal/page/portal/science_technology_innovation/data/database; OECD MSTI Database ako aj OECD Science, Technology and Industry Scoreboard. Innovation for Growth - http://www.oecd.org/sti/scoreboard.htm a Innovatoin Union Scoreboard - http://ec.europa.eu/enterprise/policies/innovation/files/ius/ius-2014_en.pdf</w:t>
      </w:r>
    </w:p>
  </w:footnote>
  <w:footnote w:id="32">
    <w:p w14:paraId="443C1C70" w14:textId="468387FC"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Str. 7 a nasl. kap. 2 Analýza RIS3 SK.</w:t>
      </w:r>
    </w:p>
  </w:footnote>
  <w:footnote w:id="33">
    <w:p w14:paraId="39759290" w14:textId="1AD4DC3D" w:rsidR="001D1617" w:rsidRDefault="001D1617">
      <w:pPr>
        <w:pStyle w:val="Textpoznmkypodiarou"/>
      </w:pPr>
      <w:r w:rsidRPr="00351D17">
        <w:rPr>
          <w:rStyle w:val="Odkaznapoznmkupodiarou"/>
          <w:sz w:val="18"/>
          <w:szCs w:val="18"/>
        </w:rPr>
        <w:footnoteRef/>
      </w:r>
      <w:r w:rsidRPr="00351D17">
        <w:rPr>
          <w:sz w:val="18"/>
          <w:szCs w:val="18"/>
        </w:rPr>
        <w:t xml:space="preserve"> Eurostat a Slovstat.</w:t>
      </w:r>
    </w:p>
  </w:footnote>
  <w:footnote w:id="34">
    <w:p w14:paraId="5C627E14" w14:textId="1A1E0D4C"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Eurostat.</w:t>
      </w:r>
    </w:p>
  </w:footnote>
  <w:footnote w:id="35">
    <w:p w14:paraId="5265BC4A" w14:textId="1BA3D08D"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Aj keď SR definovala tento cieľ v zmysle Európy 2020 na úrovni 1 % z HDP, v RIS3 SK dochádza k jeho revízii na úroveň 1,2 % z HDP.</w:t>
      </w:r>
    </w:p>
  </w:footnote>
  <w:footnote w:id="36">
    <w:p w14:paraId="34D66F07" w14:textId="556B5F2D"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Vo vzťahu k VaI sú relevantné všetky podporené projekty z OP VaV, ktorých bolo cca. 500. Medzi pozitívne efekty možno zaradiť vybudovanie základnej verejnej infraštruktúry a zníženie dlhodobého modernizačného dlhu; zvýšenie potenciálu pre vstup do medzinárodných projektov VaV; systémom zdola nahor začal proces identifikácie silných tematických smerov slovenskej vedy a techniky, o ktoré má záujem priemysel a nastala kryštalizácia priorít a spájanie vedeckých tímov, ktoré umožnili univerzitám a SAV začať proces budovania vedeckých parkov a výskumných centier národného významu.</w:t>
      </w:r>
    </w:p>
  </w:footnote>
  <w:footnote w:id="37">
    <w:p w14:paraId="55AFA058" w14:textId="06953B1C" w:rsidR="001D1617" w:rsidRPr="00DF74FD" w:rsidRDefault="001D1617" w:rsidP="00351D17">
      <w:pPr>
        <w:pStyle w:val="Textpoznmkypodiarou"/>
        <w:jc w:val="both"/>
        <w:rPr>
          <w:sz w:val="18"/>
          <w:szCs w:val="18"/>
        </w:rPr>
      </w:pPr>
      <w:r w:rsidRPr="00DF74FD">
        <w:rPr>
          <w:rStyle w:val="Odkaznapoznmkupodiarou"/>
          <w:sz w:val="18"/>
          <w:szCs w:val="18"/>
        </w:rPr>
        <w:footnoteRef/>
      </w:r>
      <w:r w:rsidRPr="00DF74FD">
        <w:rPr>
          <w:sz w:val="18"/>
          <w:szCs w:val="18"/>
        </w:rPr>
        <w:t xml:space="preserve"> Vo vzťahu k VaI je základom OP KaHR prioritná os č.1 Inovácie a rast konkurencieschopnosti. V rámci nej bolo doposiaľ podporených celkovo 456 projektov, v čom je aj 83 nových podnikov na území celej SR.</w:t>
      </w:r>
    </w:p>
  </w:footnote>
  <w:footnote w:id="38">
    <w:p w14:paraId="76588869" w14:textId="282C3F08" w:rsidR="001D1617" w:rsidRPr="00DF74FD" w:rsidRDefault="001D1617">
      <w:pPr>
        <w:pStyle w:val="Textpoznmkypodiarou"/>
        <w:rPr>
          <w:sz w:val="18"/>
          <w:szCs w:val="18"/>
        </w:rPr>
      </w:pPr>
      <w:r w:rsidRPr="00DF74FD">
        <w:rPr>
          <w:rStyle w:val="Odkaznapoznmkupodiarou"/>
          <w:sz w:val="18"/>
          <w:szCs w:val="18"/>
        </w:rPr>
        <w:footnoteRef/>
      </w:r>
      <w:r w:rsidRPr="00DF74FD">
        <w:rPr>
          <w:sz w:val="18"/>
          <w:szCs w:val="18"/>
        </w:rPr>
        <w:t xml:space="preserve"> </w:t>
      </w:r>
      <w:r w:rsidRPr="00DF74FD">
        <w:rPr>
          <w:spacing w:val="-4"/>
          <w:w w:val="110"/>
          <w:sz w:val="18"/>
          <w:szCs w:val="18"/>
        </w:rPr>
        <w:t>Str</w:t>
      </w:r>
      <w:r w:rsidRPr="00DF74FD">
        <w:rPr>
          <w:spacing w:val="-3"/>
          <w:w w:val="110"/>
          <w:sz w:val="18"/>
          <w:szCs w:val="18"/>
        </w:rPr>
        <w:t>.</w:t>
      </w:r>
      <w:r w:rsidRPr="00DF74FD">
        <w:rPr>
          <w:spacing w:val="-18"/>
          <w:w w:val="110"/>
          <w:sz w:val="18"/>
          <w:szCs w:val="18"/>
        </w:rPr>
        <w:t xml:space="preserve"> </w:t>
      </w:r>
      <w:r w:rsidRPr="00DF74FD">
        <w:rPr>
          <w:w w:val="110"/>
          <w:sz w:val="18"/>
          <w:szCs w:val="18"/>
        </w:rPr>
        <w:t>38,</w:t>
      </w:r>
      <w:r w:rsidRPr="00DF74FD">
        <w:rPr>
          <w:spacing w:val="-18"/>
          <w:w w:val="110"/>
          <w:sz w:val="18"/>
          <w:szCs w:val="18"/>
        </w:rPr>
        <w:t xml:space="preserve"> </w:t>
      </w:r>
      <w:r w:rsidRPr="00DF74FD">
        <w:rPr>
          <w:spacing w:val="-1"/>
          <w:w w:val="110"/>
          <w:sz w:val="18"/>
          <w:szCs w:val="18"/>
        </w:rPr>
        <w:t>kapitola</w:t>
      </w:r>
      <w:r w:rsidRPr="00DF74FD">
        <w:rPr>
          <w:spacing w:val="-18"/>
          <w:w w:val="110"/>
          <w:sz w:val="18"/>
          <w:szCs w:val="18"/>
        </w:rPr>
        <w:t xml:space="preserve"> </w:t>
      </w:r>
      <w:r w:rsidRPr="00DF74FD">
        <w:rPr>
          <w:w w:val="110"/>
          <w:sz w:val="18"/>
          <w:szCs w:val="18"/>
        </w:rPr>
        <w:t>2.5.6.</w:t>
      </w:r>
      <w:r w:rsidRPr="00DF74FD">
        <w:rPr>
          <w:spacing w:val="-19"/>
          <w:w w:val="110"/>
          <w:sz w:val="18"/>
          <w:szCs w:val="18"/>
        </w:rPr>
        <w:t xml:space="preserve"> </w:t>
      </w:r>
      <w:r w:rsidRPr="00DF74FD">
        <w:rPr>
          <w:w w:val="110"/>
          <w:sz w:val="18"/>
          <w:szCs w:val="18"/>
        </w:rPr>
        <w:t>RIS3</w:t>
      </w:r>
      <w:r w:rsidRPr="00DF74FD">
        <w:rPr>
          <w:spacing w:val="-18"/>
          <w:w w:val="110"/>
          <w:sz w:val="18"/>
          <w:szCs w:val="18"/>
        </w:rPr>
        <w:t xml:space="preserve"> </w:t>
      </w:r>
      <w:r w:rsidRPr="00DF74FD">
        <w:rPr>
          <w:w w:val="110"/>
          <w:sz w:val="18"/>
          <w:szCs w:val="18"/>
        </w:rPr>
        <w:t>SK.</w:t>
      </w:r>
    </w:p>
  </w:footnote>
  <w:footnote w:id="39">
    <w:p w14:paraId="6E80FF37" w14:textId="13C5C0ED" w:rsidR="001D1617" w:rsidRPr="00DF74FD" w:rsidRDefault="001D1617" w:rsidP="00351D17">
      <w:pPr>
        <w:pStyle w:val="Textpoznmkypodiarou"/>
        <w:jc w:val="both"/>
        <w:rPr>
          <w:sz w:val="18"/>
          <w:szCs w:val="18"/>
        </w:rPr>
      </w:pPr>
      <w:r w:rsidRPr="00DF74FD">
        <w:rPr>
          <w:rStyle w:val="Odkaznapoznmkupodiarou"/>
          <w:sz w:val="18"/>
          <w:szCs w:val="18"/>
        </w:rPr>
        <w:footnoteRef/>
      </w:r>
      <w:r w:rsidRPr="00DF74FD">
        <w:rPr>
          <w:sz w:val="18"/>
          <w:szCs w:val="18"/>
        </w:rPr>
        <w:t xml:space="preserve"> Typickým príkladom je výmena starej výrobnej linky za novú, alebo výmena verejného osvetlenia, ktoré bez ostatných štrukturálnych zmien neprinášajú potrebné efekty vo forme pridanej hodnoty a udržateľných pracovných miest.</w:t>
      </w:r>
    </w:p>
  </w:footnote>
  <w:footnote w:id="40">
    <w:p w14:paraId="364A807D" w14:textId="5DF0DF1F" w:rsidR="001D1617" w:rsidRPr="00351D17" w:rsidRDefault="001D1617" w:rsidP="00351D17">
      <w:pPr>
        <w:pStyle w:val="Textpoznmkypodiarou"/>
        <w:jc w:val="both"/>
        <w:rPr>
          <w:sz w:val="18"/>
          <w:szCs w:val="18"/>
        </w:rPr>
      </w:pPr>
      <w:r w:rsidRPr="00DF74FD">
        <w:rPr>
          <w:rStyle w:val="Odkaznapoznmkupodiarou"/>
          <w:sz w:val="18"/>
          <w:szCs w:val="18"/>
        </w:rPr>
        <w:footnoteRef/>
      </w:r>
      <w:r w:rsidRPr="00DF74FD">
        <w:rPr>
          <w:sz w:val="18"/>
          <w:szCs w:val="18"/>
        </w:rPr>
        <w:t xml:space="preserve"> Žiadna ďalšia inštitúcia, univerzita, výskumný ústav či podnik nepublikovala ani len 100 prác v roku 2010 v medzinárodných vedeckých časopisoch uvádzaných v databázach SCOPUS. Prvé tri najvýkonnejšie inštitúcie sú z Bratislavy, aj keď nie všetky ich výkony pochádzajú z hlavného mesta. Cca 75 % publikácií pochádza z BSK, čo svedčí o výraznej asymetrii publikačných výkonov vedeckých inštitúcií SR. V Bratislave je v súčasnosti alokovaných viac ako 50 % personálnych aj technických kapacít výskumu.</w:t>
      </w:r>
    </w:p>
  </w:footnote>
  <w:footnote w:id="41">
    <w:p w14:paraId="17A26578" w14:textId="2BC10C9D" w:rsidR="001D1617" w:rsidRDefault="001D1617">
      <w:pPr>
        <w:pStyle w:val="Textpoznmkypodiarou"/>
      </w:pPr>
      <w:r w:rsidRPr="00351D17">
        <w:rPr>
          <w:rStyle w:val="Odkaznapoznmkupodiarou"/>
          <w:sz w:val="18"/>
          <w:szCs w:val="18"/>
        </w:rPr>
        <w:footnoteRef/>
      </w:r>
      <w:r w:rsidRPr="00351D17">
        <w:rPr>
          <w:sz w:val="18"/>
          <w:szCs w:val="18"/>
        </w:rPr>
        <w:t xml:space="preserve"> Ide o patenty podané súčasne v EPO, USPTO a JPO.</w:t>
      </w:r>
    </w:p>
  </w:footnote>
  <w:footnote w:id="42">
    <w:p w14:paraId="194A4627" w14:textId="1C8D18C3"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Eurostat.</w:t>
      </w:r>
    </w:p>
  </w:footnote>
  <w:footnote w:id="43">
    <w:p w14:paraId="30480CC6" w14:textId="641B0B57"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OECD Science, Technology and Industry Outlook 2010, http://www.oecd.org/sti/inno/41559370.pdf.</w:t>
      </w:r>
    </w:p>
  </w:footnote>
  <w:footnote w:id="44">
    <w:p w14:paraId="6DE93E1A" w14:textId="79E07774"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Annual data on HRST and sub-groups, by sex and age[hrst_st_ncat], Eurostat.</w:t>
      </w:r>
    </w:p>
  </w:footnote>
  <w:footnote w:id="45">
    <w:p w14:paraId="4A66E2FD" w14:textId="40E7983C" w:rsidR="001D1617" w:rsidRDefault="001D1617">
      <w:pPr>
        <w:pStyle w:val="Textpoznmkypodiarou"/>
      </w:pPr>
      <w:r w:rsidRPr="00351D17">
        <w:rPr>
          <w:rStyle w:val="Odkaznapoznmkupodiarou"/>
          <w:sz w:val="18"/>
          <w:szCs w:val="18"/>
        </w:rPr>
        <w:footnoteRef/>
      </w:r>
      <w:r w:rsidRPr="00351D17">
        <w:rPr>
          <w:sz w:val="18"/>
          <w:szCs w:val="18"/>
        </w:rPr>
        <w:t xml:space="preserve"> Str. 32 RIS3 SK.</w:t>
      </w:r>
    </w:p>
  </w:footnote>
  <w:footnote w:id="46">
    <w:p w14:paraId="77BC88EE" w14:textId="271D1F22"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E-corda 21.2.2014.</w:t>
      </w:r>
    </w:p>
  </w:footnote>
  <w:footnote w:id="47">
    <w:p w14:paraId="584A3739" w14:textId="75852627"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Napríklad Stratégia EÚ pre Dunajský región.</w:t>
      </w:r>
    </w:p>
  </w:footnote>
  <w:footnote w:id="48">
    <w:p w14:paraId="19ADDA75" w14:textId="7D8BCE7D"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Podnik do 250 zamestnancov a s obratom &lt; 50mil. EUR/rok, resp. bilančnou sumou &lt; 43 mil. EUR/rok.</w:t>
      </w:r>
    </w:p>
  </w:footnote>
  <w:footnote w:id="49">
    <w:p w14:paraId="2DD3962C" w14:textId="77777777" w:rsidR="001D1617" w:rsidRPr="00041463" w:rsidRDefault="001D1617" w:rsidP="00C37F9D">
      <w:pPr>
        <w:pStyle w:val="Textpoznmkypodiarou"/>
        <w:jc w:val="both"/>
        <w:rPr>
          <w:sz w:val="18"/>
          <w:szCs w:val="18"/>
        </w:rPr>
      </w:pPr>
      <w:r w:rsidRPr="00041463">
        <w:rPr>
          <w:rStyle w:val="Odkaznapoznmkupodiarou"/>
          <w:sz w:val="18"/>
          <w:szCs w:val="18"/>
        </w:rPr>
        <w:footnoteRef/>
      </w:r>
      <w:r w:rsidRPr="00041463">
        <w:rPr>
          <w:sz w:val="18"/>
          <w:szCs w:val="18"/>
        </w:rPr>
        <w:t xml:space="preserve"> </w:t>
      </w:r>
      <w:r w:rsidRPr="00041463">
        <w:rPr>
          <w:bCs/>
          <w:sz w:val="18"/>
          <w:szCs w:val="18"/>
        </w:rPr>
        <w:t xml:space="preserve">Princíp "pro rata" </w:t>
      </w:r>
      <w:r w:rsidRPr="00041463">
        <w:rPr>
          <w:b/>
          <w:bCs/>
          <w:sz w:val="18"/>
          <w:szCs w:val="18"/>
        </w:rPr>
        <w:t xml:space="preserve">– </w:t>
      </w:r>
      <w:r w:rsidRPr="00041463">
        <w:rPr>
          <w:bCs/>
          <w:sz w:val="18"/>
          <w:szCs w:val="18"/>
        </w:rPr>
        <w:t xml:space="preserve">pomerné financovanie výdavkov projektu s prospechom aj pre územie spadajúce do inej kategórie regiónov pre realizáciu aktivít </w:t>
      </w:r>
      <w:r>
        <w:rPr>
          <w:bCs/>
          <w:sz w:val="18"/>
          <w:szCs w:val="18"/>
        </w:rPr>
        <w:t>projektu v prospech programu.</w:t>
      </w:r>
    </w:p>
  </w:footnote>
  <w:footnote w:id="50">
    <w:p w14:paraId="6C04444D" w14:textId="77777777" w:rsidR="001D1617" w:rsidRPr="00A32FFD" w:rsidRDefault="001D1617">
      <w:pPr>
        <w:pStyle w:val="Textpoznmkypodiarou"/>
        <w:rPr>
          <w:sz w:val="18"/>
          <w:szCs w:val="18"/>
        </w:rPr>
      </w:pPr>
      <w:r w:rsidRPr="00A32FFD">
        <w:rPr>
          <w:rStyle w:val="Odkaznapoznmkupodiarou"/>
          <w:sz w:val="18"/>
          <w:szCs w:val="18"/>
        </w:rPr>
        <w:footnoteRef/>
      </w:r>
      <w:r w:rsidRPr="00A32FFD">
        <w:rPr>
          <w:sz w:val="18"/>
          <w:szCs w:val="18"/>
        </w:rPr>
        <w:t xml:space="preserve"> </w:t>
      </w:r>
      <w:r>
        <w:rPr>
          <w:sz w:val="18"/>
          <w:szCs w:val="18"/>
        </w:rPr>
        <w:t>Detailnejšie informácie o strategických dokumentoch sú uvedené v kapitole 1.</w:t>
      </w:r>
    </w:p>
  </w:footnote>
  <w:footnote w:id="51">
    <w:p w14:paraId="7ABD266B" w14:textId="77777777" w:rsidR="001D1617" w:rsidRPr="009F5E58" w:rsidRDefault="001D1617" w:rsidP="00E71E4A">
      <w:pPr>
        <w:pStyle w:val="Textpoznmkypodiarou"/>
        <w:jc w:val="both"/>
        <w:rPr>
          <w:sz w:val="18"/>
          <w:szCs w:val="18"/>
        </w:rPr>
      </w:pPr>
      <w:r w:rsidRPr="009F5E58">
        <w:rPr>
          <w:rStyle w:val="Odkaznapoznmkupodiarou"/>
          <w:sz w:val="18"/>
          <w:szCs w:val="18"/>
        </w:rPr>
        <w:footnoteRef/>
      </w:r>
      <w:r w:rsidRPr="009F5E58">
        <w:rPr>
          <w:sz w:val="18"/>
          <w:szCs w:val="18"/>
        </w:rPr>
        <w:t xml:space="preserve"> Rozhodnutie EK (2013) 4423 zo dňa 17.7.2013 o štátnej pomoci SA.34369 – 2013/C Výstavba a prevádzka verejných terminálov intermodálnej dopravy</w:t>
      </w:r>
    </w:p>
  </w:footnote>
  <w:footnote w:id="52">
    <w:p w14:paraId="4577DF2A" w14:textId="77777777" w:rsidR="001D1617" w:rsidRPr="0098089F" w:rsidRDefault="001D1617">
      <w:pPr>
        <w:pStyle w:val="Textpoznmkypodiarou"/>
        <w:rPr>
          <w:sz w:val="18"/>
          <w:szCs w:val="18"/>
        </w:rPr>
      </w:pPr>
      <w:r w:rsidRPr="0098089F">
        <w:rPr>
          <w:rStyle w:val="Odkaznapoznmkupodiarou"/>
          <w:sz w:val="18"/>
          <w:szCs w:val="18"/>
        </w:rPr>
        <w:footnoteRef/>
      </w:r>
      <w:r w:rsidRPr="0098089F">
        <w:rPr>
          <w:sz w:val="18"/>
          <w:szCs w:val="18"/>
        </w:rPr>
        <w:t xml:space="preserve"> úsek Bratislava Rača – Nové Mesto nad Váhom systémom ETCS L1</w:t>
      </w:r>
    </w:p>
  </w:footnote>
  <w:footnote w:id="53">
    <w:p w14:paraId="22B937AF" w14:textId="77777777" w:rsidR="001D1617" w:rsidRPr="00DF686B" w:rsidRDefault="001D1617">
      <w:pPr>
        <w:pStyle w:val="Textpoznmkypodiarou"/>
        <w:rPr>
          <w:sz w:val="18"/>
          <w:szCs w:val="18"/>
        </w:rPr>
      </w:pPr>
      <w:r w:rsidRPr="0098089F">
        <w:rPr>
          <w:rStyle w:val="Odkaznapoznmkupodiarou"/>
          <w:sz w:val="18"/>
          <w:szCs w:val="18"/>
        </w:rPr>
        <w:footnoteRef/>
      </w:r>
      <w:r w:rsidRPr="0098089F">
        <w:rPr>
          <w:sz w:val="18"/>
          <w:szCs w:val="18"/>
        </w:rPr>
        <w:t xml:space="preserve"> </w:t>
      </w:r>
      <w:hyperlink r:id="rId6" w:history="1">
        <w:r w:rsidRPr="0098089F">
          <w:rPr>
            <w:rStyle w:val="Hypertextovprepojenie"/>
            <w:sz w:val="18"/>
            <w:szCs w:val="18"/>
          </w:rPr>
          <w:t>http://www.telecom.gov.sk/files/statistika_vud/preprava_nakl.htm</w:t>
        </w:r>
      </w:hyperlink>
      <w:r w:rsidRPr="00307AAF">
        <w:rPr>
          <w:sz w:val="18"/>
          <w:szCs w:val="18"/>
        </w:rPr>
        <w:t xml:space="preserve"> </w:t>
      </w:r>
    </w:p>
  </w:footnote>
  <w:footnote w:id="54">
    <w:p w14:paraId="3699FDDB" w14:textId="77777777" w:rsidR="001D1617" w:rsidRPr="0094267E" w:rsidRDefault="001D1617" w:rsidP="0094267E">
      <w:pPr>
        <w:pStyle w:val="Textpoznmkypodiarou"/>
        <w:jc w:val="both"/>
        <w:rPr>
          <w:sz w:val="18"/>
          <w:szCs w:val="18"/>
        </w:rPr>
      </w:pPr>
      <w:r w:rsidRPr="0094267E">
        <w:rPr>
          <w:rStyle w:val="Odkaznapoznmkupodiarou"/>
          <w:sz w:val="18"/>
          <w:szCs w:val="18"/>
        </w:rPr>
        <w:footnoteRef/>
      </w:r>
      <w:r w:rsidRPr="0094267E">
        <w:rPr>
          <w:sz w:val="18"/>
          <w:szCs w:val="18"/>
        </w:rPr>
        <w:t xml:space="preserve"> Rozhodnutie Komisie č. 2012/88/EÚ z 25. januára 2012 o technickej špecifikácii interoperability týkajúcej sa subsystémov riadenia – zabezpečenia a návestenia transeurópskeho železničného systému; Smernica Európskeho Parlamentu a Rady 2008/57/ES zo 17. júna 2008 o interoperabilite systému železníc v Spoločenstve</w:t>
      </w:r>
    </w:p>
  </w:footnote>
  <w:footnote w:id="55">
    <w:p w14:paraId="4CAC86C3" w14:textId="77777777" w:rsidR="001D1617" w:rsidRPr="00DF686B" w:rsidRDefault="001D1617" w:rsidP="00240293">
      <w:pPr>
        <w:pStyle w:val="Textpoznmkypodiarou"/>
        <w:rPr>
          <w:sz w:val="18"/>
          <w:szCs w:val="18"/>
        </w:rPr>
      </w:pPr>
      <w:r>
        <w:rPr>
          <w:rStyle w:val="Odkaznapoznmkupodiarou"/>
          <w:sz w:val="18"/>
          <w:szCs w:val="18"/>
        </w:rPr>
        <w:footnoteRef/>
      </w:r>
      <w:r w:rsidRPr="00307AAF">
        <w:rPr>
          <w:sz w:val="18"/>
          <w:szCs w:val="18"/>
        </w:rPr>
        <w:t xml:space="preserve"> RegioJet, a. s. prevádzkujúci železničnú osobnú dopravu v úseku Bratislava - Komárno</w:t>
      </w:r>
    </w:p>
  </w:footnote>
  <w:footnote w:id="56">
    <w:p w14:paraId="11BAB644" w14:textId="77777777" w:rsidR="001D1617" w:rsidRPr="00032E50" w:rsidRDefault="001D1617" w:rsidP="00240293">
      <w:pPr>
        <w:pStyle w:val="Textpoznmkypodiarou"/>
        <w:rPr>
          <w:sz w:val="18"/>
          <w:szCs w:val="18"/>
        </w:rPr>
      </w:pPr>
      <w:r>
        <w:rPr>
          <w:rStyle w:val="Odkaznapoznmkupodiarou"/>
          <w:sz w:val="18"/>
          <w:szCs w:val="18"/>
        </w:rPr>
        <w:footnoteRef/>
      </w:r>
      <w:r w:rsidRPr="00307AAF">
        <w:rPr>
          <w:sz w:val="18"/>
          <w:szCs w:val="18"/>
        </w:rPr>
        <w:t xml:space="preserve"> Prieskum bol realizovaný Železničnou spoločnosťou Slovensko, a.s. v novembri 2012 (</w:t>
      </w:r>
      <w:hyperlink r:id="rId7" w:history="1">
        <w:r>
          <w:rPr>
            <w:rStyle w:val="Hypertextovprepojenie"/>
            <w:sz w:val="18"/>
            <w:szCs w:val="18"/>
          </w:rPr>
          <w:t>www.zssk.sk</w:t>
        </w:r>
      </w:hyperlink>
      <w:r w:rsidRPr="00307AAF">
        <w:rPr>
          <w:sz w:val="18"/>
          <w:szCs w:val="18"/>
        </w:rPr>
        <w:t>)</w:t>
      </w:r>
      <w:r w:rsidRPr="00032E50">
        <w:rPr>
          <w:sz w:val="18"/>
          <w:szCs w:val="18"/>
        </w:rPr>
        <w:t xml:space="preserve"> </w:t>
      </w:r>
    </w:p>
  </w:footnote>
  <w:footnote w:id="57">
    <w:p w14:paraId="42EF16DC" w14:textId="77777777" w:rsidR="001D1617" w:rsidRPr="00C96951" w:rsidRDefault="001D1617" w:rsidP="003C1464">
      <w:pPr>
        <w:pStyle w:val="Textpoznmkypodiarou"/>
        <w:jc w:val="both"/>
        <w:rPr>
          <w:sz w:val="18"/>
          <w:szCs w:val="18"/>
        </w:rPr>
      </w:pPr>
      <w:r w:rsidRPr="00EB510B">
        <w:rPr>
          <w:rStyle w:val="Odkaznapoznmkupodiarou"/>
          <w:sz w:val="18"/>
          <w:szCs w:val="18"/>
        </w:rPr>
        <w:footnoteRef/>
      </w:r>
      <w:r w:rsidRPr="00EB510B">
        <w:rPr>
          <w:sz w:val="18"/>
          <w:szCs w:val="18"/>
        </w:rPr>
        <w:t xml:space="preserve"> Zdroj: Strategický plán rozvoja dopravnej infraštruktúry SR do roku 2020 (výpočet MDVRR SR na základe vývoja dopravných výkonov podľa druhu ciest v tis. vozokm za priemerný deň roka (údaje za rok 2010)).</w:t>
      </w:r>
    </w:p>
  </w:footnote>
  <w:footnote w:id="58">
    <w:p w14:paraId="694CCCB0" w14:textId="18A430B8" w:rsidR="001D1617" w:rsidRPr="007B4B46" w:rsidRDefault="001D1617" w:rsidP="003C1464">
      <w:pPr>
        <w:pStyle w:val="Textpoznmkypodiarou"/>
        <w:jc w:val="both"/>
        <w:rPr>
          <w:sz w:val="18"/>
          <w:szCs w:val="18"/>
        </w:rPr>
      </w:pPr>
      <w:r w:rsidRPr="00EB510B">
        <w:rPr>
          <w:rStyle w:val="Odkaznapoznmkupodiarou"/>
          <w:sz w:val="18"/>
          <w:szCs w:val="18"/>
        </w:rPr>
        <w:footnoteRef/>
      </w:r>
      <w:r w:rsidRPr="00EB510B">
        <w:rPr>
          <w:sz w:val="18"/>
          <w:szCs w:val="18"/>
        </w:rPr>
        <w:t xml:space="preserve"> </w:t>
      </w:r>
      <w:r w:rsidRPr="00FE1FC7">
        <w:rPr>
          <w:sz w:val="18"/>
          <w:szCs w:val="18"/>
        </w:rPr>
        <w:t xml:space="preserve">Výpočet MDVRR SR na základe údajov z Cestnej databanky (zdroj: </w:t>
      </w:r>
      <w:hyperlink r:id="rId8" w:history="1">
        <w:r w:rsidRPr="00FE1FC7">
          <w:rPr>
            <w:rStyle w:val="Hypertextovprepojenie"/>
            <w:sz w:val="18"/>
            <w:szCs w:val="18"/>
          </w:rPr>
          <w:t>http://www.cdb.sk/sk/Vystupy-CDB/Statisticke-prehlady/Dlzky-cestnych-komunikacii.alej</w:t>
        </w:r>
      </w:hyperlink>
      <w:r w:rsidRPr="00FE1FC7">
        <w:rPr>
          <w:sz w:val="18"/>
          <w:szCs w:val="18"/>
        </w:rPr>
        <w:t>)</w:t>
      </w:r>
      <w:r>
        <w:rPr>
          <w:sz w:val="18"/>
          <w:szCs w:val="18"/>
        </w:rPr>
        <w:t>.</w:t>
      </w:r>
    </w:p>
  </w:footnote>
  <w:footnote w:id="59">
    <w:p w14:paraId="425562D0" w14:textId="77777777" w:rsidR="001D1617" w:rsidRPr="00274382" w:rsidRDefault="001D1617" w:rsidP="00F0116F">
      <w:pPr>
        <w:pStyle w:val="Textpoznmkypodiarou"/>
        <w:rPr>
          <w:sz w:val="18"/>
          <w:szCs w:val="18"/>
        </w:rPr>
      </w:pPr>
      <w:r w:rsidRPr="00230666">
        <w:rPr>
          <w:rStyle w:val="Odkaznapoznmkupodiarou"/>
          <w:sz w:val="18"/>
          <w:szCs w:val="18"/>
        </w:rPr>
        <w:footnoteRef/>
      </w:r>
      <w:r w:rsidRPr="00230666">
        <w:rPr>
          <w:sz w:val="18"/>
          <w:szCs w:val="18"/>
        </w:rPr>
        <w:t xml:space="preserve"> §11 </w:t>
      </w:r>
      <w:r>
        <w:rPr>
          <w:sz w:val="18"/>
          <w:szCs w:val="18"/>
        </w:rPr>
        <w:t xml:space="preserve">a 12 </w:t>
      </w:r>
      <w:r w:rsidRPr="00230666">
        <w:rPr>
          <w:sz w:val="18"/>
          <w:szCs w:val="18"/>
        </w:rPr>
        <w:t>zákona č. 137/2010 Z. z. o ovzduší v znení neskorších predpisov</w:t>
      </w:r>
    </w:p>
  </w:footnote>
  <w:footnote w:id="60">
    <w:p w14:paraId="60BCAE76" w14:textId="29B72DD1" w:rsidR="001D1617" w:rsidRPr="00A54DDC" w:rsidRDefault="001D1617" w:rsidP="00A54DDC">
      <w:pPr>
        <w:pStyle w:val="Textpoznmkypodiarou"/>
        <w:jc w:val="both"/>
        <w:rPr>
          <w:sz w:val="18"/>
          <w:szCs w:val="18"/>
        </w:rPr>
      </w:pPr>
      <w:r w:rsidRPr="00A54DDC">
        <w:rPr>
          <w:rStyle w:val="Odkaznapoznmkupodiarou"/>
          <w:sz w:val="18"/>
          <w:szCs w:val="18"/>
        </w:rPr>
        <w:footnoteRef/>
      </w:r>
      <w:r w:rsidRPr="00A54DDC">
        <w:rPr>
          <w:sz w:val="18"/>
          <w:szCs w:val="18"/>
        </w:rPr>
        <w:t xml:space="preserve"> </w:t>
      </w:r>
      <w:r>
        <w:rPr>
          <w:sz w:val="18"/>
          <w:szCs w:val="18"/>
        </w:rPr>
        <w:t>d</w:t>
      </w:r>
      <w:r w:rsidRPr="00A54DDC">
        <w:rPr>
          <w:sz w:val="18"/>
          <w:szCs w:val="18"/>
        </w:rPr>
        <w:t>ňa 9. decembra 2010 Európska komisia zverejnila návrh Oznámenia o Stratégii E</w:t>
      </w:r>
      <w:r>
        <w:rPr>
          <w:sz w:val="18"/>
          <w:szCs w:val="18"/>
        </w:rPr>
        <w:t>Ú pre dunajský región (odkaz) a </w:t>
      </w:r>
      <w:r w:rsidRPr="00A54DDC">
        <w:rPr>
          <w:sz w:val="18"/>
          <w:szCs w:val="18"/>
        </w:rPr>
        <w:t>sprievodný, pracovný dokument - Akčný plán Stratégie EÚ pre dunajský región. Rada pre všeobecné záležitosti na svojom zasadnutí dňa 13. apríla 2011 schválila závery Rady k Dunajskej stratégií. Dunajská stratégia bola schválená na zasadnutí Európskej rady 24. júna 2011. Aktualizovaná Národná pozícia k Stratégii EÚ pre dunajský región a návrh jej koordinácie bola schvál</w:t>
      </w:r>
      <w:r>
        <w:rPr>
          <w:sz w:val="18"/>
          <w:szCs w:val="18"/>
        </w:rPr>
        <w:t>ená UV SR č. 229/2011 (odkaz).</w:t>
      </w:r>
    </w:p>
  </w:footnote>
  <w:footnote w:id="61">
    <w:p w14:paraId="417DCA18" w14:textId="77777777" w:rsidR="001D1617" w:rsidRPr="0079404A" w:rsidRDefault="001D1617">
      <w:pPr>
        <w:pStyle w:val="Textpoznmkypodiarou"/>
        <w:rPr>
          <w:sz w:val="18"/>
          <w:szCs w:val="18"/>
        </w:rPr>
      </w:pPr>
      <w:r w:rsidRPr="0079404A">
        <w:rPr>
          <w:rStyle w:val="Odkaznapoznmkupodiarou"/>
          <w:sz w:val="18"/>
          <w:szCs w:val="18"/>
        </w:rPr>
        <w:footnoteRef/>
      </w:r>
      <w:r w:rsidRPr="0079404A">
        <w:rPr>
          <w:sz w:val="18"/>
          <w:szCs w:val="18"/>
        </w:rPr>
        <w:t xml:space="preserve"> schválený uznesením vlády SR č. 798 zo 14. decembra 2011</w:t>
      </w:r>
    </w:p>
  </w:footnote>
  <w:footnote w:id="62">
    <w:p w14:paraId="11BEE3C5" w14:textId="77777777" w:rsidR="001D1617" w:rsidRPr="00EB05E6" w:rsidRDefault="001D1617" w:rsidP="00EB05E6">
      <w:pPr>
        <w:pStyle w:val="Textpoznmkypodiarou"/>
        <w:jc w:val="both"/>
        <w:rPr>
          <w:sz w:val="18"/>
          <w:szCs w:val="18"/>
        </w:rPr>
      </w:pPr>
      <w:r w:rsidRPr="00EB05E6">
        <w:rPr>
          <w:rStyle w:val="Odkaznapoznmkupodiarou"/>
          <w:sz w:val="18"/>
          <w:szCs w:val="18"/>
        </w:rPr>
        <w:footnoteRef/>
      </w:r>
      <w:r w:rsidRPr="00EB05E6">
        <w:rPr>
          <w:sz w:val="18"/>
          <w:szCs w:val="18"/>
        </w:rPr>
        <w:t xml:space="preserve"> </w:t>
      </w:r>
      <w:r>
        <w:rPr>
          <w:sz w:val="18"/>
          <w:szCs w:val="18"/>
        </w:rPr>
        <w:t xml:space="preserve">zákon </w:t>
      </w:r>
      <w:r w:rsidRPr="00EB05E6">
        <w:rPr>
          <w:sz w:val="18"/>
          <w:szCs w:val="18"/>
        </w:rPr>
        <w:t>č. 249/2011 Z. z. o riadení bezpečnosti pozemných komunikácií a o zmene a doplnení niektorých zákonov v znení neskorších predpisov</w:t>
      </w:r>
      <w:r>
        <w:rPr>
          <w:sz w:val="18"/>
          <w:szCs w:val="18"/>
        </w:rPr>
        <w:t>,</w:t>
      </w:r>
      <w:r w:rsidRPr="00EB05E6">
        <w:rPr>
          <w:sz w:val="18"/>
          <w:szCs w:val="18"/>
        </w:rPr>
        <w:t xml:space="preserve"> vyhlášk</w:t>
      </w:r>
      <w:r>
        <w:rPr>
          <w:sz w:val="18"/>
          <w:szCs w:val="18"/>
        </w:rPr>
        <w:t>a</w:t>
      </w:r>
      <w:r w:rsidRPr="00EB05E6">
        <w:rPr>
          <w:sz w:val="18"/>
          <w:szCs w:val="18"/>
        </w:rPr>
        <w:t xml:space="preserve"> č. 251/2011 Z. z., ktorou sa ustanovujú podrobnosti riadenia bezpečnosti pozemných komunikácií a vyhlášk</w:t>
      </w:r>
      <w:r>
        <w:rPr>
          <w:sz w:val="18"/>
          <w:szCs w:val="18"/>
        </w:rPr>
        <w:t>a</w:t>
      </w:r>
      <w:r w:rsidRPr="00EB05E6">
        <w:rPr>
          <w:sz w:val="18"/>
          <w:szCs w:val="18"/>
        </w:rPr>
        <w:t xml:space="preserve"> č. 135/2012 Z. z., ktorou sa ustanovujú podrobnosti o odbornej </w:t>
      </w:r>
      <w:r>
        <w:rPr>
          <w:sz w:val="18"/>
          <w:szCs w:val="18"/>
        </w:rPr>
        <w:t>príprave, o odbornej skúške a o </w:t>
      </w:r>
      <w:r w:rsidRPr="00EB05E6">
        <w:rPr>
          <w:sz w:val="18"/>
          <w:szCs w:val="18"/>
        </w:rPr>
        <w:t>výkone činnosti audítora bezpečnosti pozemnej komunikácie, o zápise do zoznamu audítorov bezpečnosti pozemných komunikácií a o zápise do zoznamu vzdelávacích inštitúcií akreditovaných v odbore riadenia bezpečnosti pozemných komunikácií</w:t>
      </w:r>
    </w:p>
  </w:footnote>
  <w:footnote w:id="63">
    <w:p w14:paraId="6334C95E" w14:textId="77777777" w:rsidR="001D1617" w:rsidRDefault="001D1617" w:rsidP="00307AAF">
      <w:pPr>
        <w:jc w:val="both"/>
      </w:pPr>
      <w:r w:rsidRPr="00A21DD4">
        <w:rPr>
          <w:rStyle w:val="Odkaznapoznmkupodiarou"/>
          <w:sz w:val="18"/>
          <w:szCs w:val="18"/>
        </w:rPr>
        <w:footnoteRef/>
      </w:r>
      <w:r w:rsidRPr="00A21DD4">
        <w:rPr>
          <w:sz w:val="18"/>
          <w:szCs w:val="18"/>
        </w:rPr>
        <w:t xml:space="preserve"> Po zabezpečení komplexného strategického plánu udržateľného rozvoja dopravy v jednotlivých mestách, resp. regiónoch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r w:rsidRPr="00A21DD4">
        <w:rPr>
          <w:sz w:val="18"/>
          <w:szCs w:val="18"/>
        </w:rPr>
        <w:t>.</w:t>
      </w:r>
    </w:p>
  </w:footnote>
  <w:footnote w:id="64">
    <w:p w14:paraId="7B1DFBF4" w14:textId="77777777" w:rsidR="001D1617" w:rsidRPr="00B24732" w:rsidRDefault="001D1617" w:rsidP="00B24732">
      <w:pPr>
        <w:jc w:val="both"/>
        <w:rPr>
          <w:sz w:val="18"/>
          <w:szCs w:val="18"/>
        </w:rPr>
      </w:pPr>
      <w:r w:rsidRPr="00A21DD4">
        <w:rPr>
          <w:rStyle w:val="Odkaznapoznmkupodiarou"/>
          <w:sz w:val="18"/>
          <w:szCs w:val="18"/>
        </w:rPr>
        <w:footnoteRef/>
      </w:r>
      <w:r w:rsidRPr="00A21DD4">
        <w:rPr>
          <w:sz w:val="18"/>
          <w:szCs w:val="18"/>
        </w:rPr>
        <w:t xml:space="preserve"> Po zabezpečení komplexného strategického plánu udržateľného rozvoja dopravy v jednotlivých mestách, resp. regiónoch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r w:rsidRPr="00A21DD4">
        <w:rPr>
          <w:sz w:val="18"/>
          <w:szCs w:val="18"/>
        </w:rPr>
        <w:t>.</w:t>
      </w:r>
    </w:p>
    <w:p w14:paraId="4857B38E" w14:textId="77777777" w:rsidR="001D1617" w:rsidRDefault="001D1617">
      <w:pPr>
        <w:pStyle w:val="Textpoznmkypodiarou"/>
      </w:pPr>
    </w:p>
  </w:footnote>
  <w:footnote w:id="65">
    <w:p w14:paraId="6790286C" w14:textId="77777777" w:rsidR="001D1617" w:rsidRPr="00274382" w:rsidRDefault="001D1617" w:rsidP="00CC411D">
      <w:pPr>
        <w:pStyle w:val="Textpoznmkypodiarou"/>
        <w:rPr>
          <w:sz w:val="18"/>
          <w:szCs w:val="18"/>
        </w:rPr>
      </w:pPr>
      <w:r w:rsidRPr="00230666">
        <w:rPr>
          <w:rStyle w:val="Odkaznapoznmkupodiarou"/>
          <w:sz w:val="18"/>
          <w:szCs w:val="18"/>
        </w:rPr>
        <w:footnoteRef/>
      </w:r>
      <w:r w:rsidRPr="00230666">
        <w:rPr>
          <w:sz w:val="18"/>
          <w:szCs w:val="18"/>
        </w:rPr>
        <w:t xml:space="preserve"> §11 </w:t>
      </w:r>
      <w:r>
        <w:rPr>
          <w:sz w:val="18"/>
          <w:szCs w:val="18"/>
        </w:rPr>
        <w:t xml:space="preserve">a 12 </w:t>
      </w:r>
      <w:r w:rsidRPr="00230666">
        <w:rPr>
          <w:sz w:val="18"/>
          <w:szCs w:val="18"/>
        </w:rPr>
        <w:t>zákona č. 137/2010 Z. z. o ovzduší v znení neskorších predpisov</w:t>
      </w:r>
    </w:p>
  </w:footnote>
  <w:footnote w:id="66">
    <w:p w14:paraId="206BAF46" w14:textId="77777777" w:rsidR="001D1617" w:rsidRDefault="001D1617" w:rsidP="00065AE0">
      <w:pPr>
        <w:spacing w:before="240"/>
        <w:jc w:val="both"/>
        <w:rPr>
          <w:sz w:val="22"/>
          <w:szCs w:val="22"/>
          <w:vertAlign w:val="subscript"/>
        </w:rPr>
      </w:pPr>
      <w:r w:rsidRPr="00A21DD4">
        <w:rPr>
          <w:rStyle w:val="Odkaznapoznmkupodiarou"/>
        </w:rPr>
        <w:footnoteRef/>
      </w:r>
      <w:r w:rsidRPr="00A21DD4">
        <w:t xml:space="preserve"> </w:t>
      </w:r>
      <w:r w:rsidRPr="00A21DD4">
        <w:rPr>
          <w:sz w:val="18"/>
          <w:szCs w:val="18"/>
        </w:rPr>
        <w:t>Po ukončení prác na plánovaných štúdiách realizovateľnosti a stanovení realizačných variantov projektov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p>
    <w:p w14:paraId="5E2FC374" w14:textId="77777777" w:rsidR="001D1617" w:rsidRDefault="001D1617">
      <w:pPr>
        <w:pStyle w:val="Textpoznmkypodiarou"/>
      </w:pPr>
    </w:p>
  </w:footnote>
  <w:footnote w:id="67">
    <w:p w14:paraId="696A2DBA" w14:textId="77777777" w:rsidR="001D1617" w:rsidRDefault="001D1617">
      <w:pPr>
        <w:pStyle w:val="Textpoznmkypodiarou"/>
      </w:pPr>
      <w:r>
        <w:rPr>
          <w:rStyle w:val="Odkaznapoznmkupodiarou"/>
        </w:rPr>
        <w:footnoteRef/>
      </w:r>
      <w:r>
        <w:t xml:space="preserve"> </w:t>
      </w:r>
      <w:r w:rsidRPr="008F7124">
        <w:rPr>
          <w:sz w:val="18"/>
          <w:szCs w:val="18"/>
        </w:rPr>
        <w:t>úsek Bratislava Rača – Nové Mesto nad Váhom systémom ETCS L1</w:t>
      </w:r>
    </w:p>
  </w:footnote>
  <w:footnote w:id="68">
    <w:p w14:paraId="29692AB0" w14:textId="77777777" w:rsidR="001D1617" w:rsidRPr="004C77FC" w:rsidRDefault="001D1617">
      <w:pPr>
        <w:pStyle w:val="Textpoznmkypodiarou"/>
        <w:rPr>
          <w:sz w:val="18"/>
          <w:szCs w:val="18"/>
        </w:rPr>
      </w:pPr>
      <w:r w:rsidRPr="004C77FC">
        <w:rPr>
          <w:rStyle w:val="Odkaznapoznmkupodiarou"/>
          <w:sz w:val="18"/>
          <w:szCs w:val="18"/>
        </w:rPr>
        <w:footnoteRef/>
      </w:r>
      <w:r w:rsidRPr="004C77FC">
        <w:rPr>
          <w:sz w:val="18"/>
          <w:szCs w:val="18"/>
        </w:rPr>
        <w:t xml:space="preserve"> </w:t>
      </w:r>
      <w:r>
        <w:rPr>
          <w:sz w:val="18"/>
          <w:szCs w:val="18"/>
        </w:rPr>
        <w:t>S</w:t>
      </w:r>
      <w:r w:rsidRPr="004C77FC">
        <w:rPr>
          <w:sz w:val="18"/>
          <w:szCs w:val="18"/>
        </w:rPr>
        <w:t>chválený uznesením vlády SR č. 798 zo 14. d</w:t>
      </w:r>
      <w:r>
        <w:rPr>
          <w:sz w:val="18"/>
          <w:szCs w:val="18"/>
        </w:rPr>
        <w:t>ecembra 2011</w:t>
      </w:r>
    </w:p>
  </w:footnote>
  <w:footnote w:id="69">
    <w:p w14:paraId="42976DEA" w14:textId="77777777" w:rsidR="001D1617" w:rsidRPr="001756E5" w:rsidRDefault="001D1617">
      <w:pPr>
        <w:pStyle w:val="Textpoznmkypodiarou"/>
        <w:rPr>
          <w:sz w:val="18"/>
          <w:szCs w:val="18"/>
        </w:rPr>
      </w:pPr>
      <w:r w:rsidRPr="001756E5">
        <w:rPr>
          <w:rStyle w:val="Odkaznapoznmkupodiarou"/>
          <w:sz w:val="18"/>
          <w:szCs w:val="18"/>
        </w:rPr>
        <w:footnoteRef/>
      </w:r>
      <w:r w:rsidRPr="001756E5">
        <w:rPr>
          <w:sz w:val="18"/>
          <w:szCs w:val="18"/>
        </w:rPr>
        <w:t xml:space="preserve"> pozri zákon NR SR č. 249/2011 Z. z.</w:t>
      </w:r>
      <w:r>
        <w:rPr>
          <w:sz w:val="18"/>
          <w:szCs w:val="18"/>
        </w:rPr>
        <w:t xml:space="preserve"> </w:t>
      </w:r>
    </w:p>
  </w:footnote>
  <w:footnote w:id="70">
    <w:p w14:paraId="46608AE4" w14:textId="77777777" w:rsidR="001D1617" w:rsidRPr="001E09F3" w:rsidRDefault="001D1617">
      <w:pPr>
        <w:pStyle w:val="Textpoznmkypodiarou"/>
      </w:pPr>
      <w:r>
        <w:rPr>
          <w:rStyle w:val="Odkaznapoznmkupodiarou"/>
        </w:rPr>
        <w:footnoteRef/>
      </w:r>
      <w:r>
        <w:t xml:space="preserve"> § 7 (1)</w:t>
      </w:r>
    </w:p>
  </w:footnote>
  <w:footnote w:id="71">
    <w:p w14:paraId="00BD215A" w14:textId="77777777" w:rsidR="001D1617" w:rsidRDefault="001D1617" w:rsidP="00AD06FF">
      <w:pPr>
        <w:pStyle w:val="Textpoznmkypodiarou"/>
      </w:pPr>
      <w:r>
        <w:rPr>
          <w:rStyle w:val="Odkaznapoznmkupodiarou"/>
        </w:rPr>
        <w:footnoteRef/>
      </w:r>
      <w:r>
        <w:t xml:space="preserve"> </w:t>
      </w:r>
      <w:hyperlink r:id="rId9" w:history="1">
        <w:r w:rsidRPr="00367664">
          <w:rPr>
            <w:rStyle w:val="Hypertextovprepojenie"/>
          </w:rPr>
          <w:t>http://ec.europa.eu/information_society/newsroom/cf/itemdetail.cfm?item_id=6537</w:t>
        </w:r>
      </w:hyperlink>
    </w:p>
    <w:p w14:paraId="72B528F9" w14:textId="77777777" w:rsidR="001D1617" w:rsidRDefault="001D1617" w:rsidP="00445E30">
      <w:pPr>
        <w:pStyle w:val="Textpoznmkypodiarou"/>
      </w:pPr>
    </w:p>
  </w:footnote>
  <w:footnote w:id="72">
    <w:p w14:paraId="18DB6216" w14:textId="6908BA08" w:rsidR="001D1617" w:rsidRPr="00E73B3A" w:rsidRDefault="001D1617" w:rsidP="00B80F3A">
      <w:pPr>
        <w:pStyle w:val="Textpoznmkypodiarou"/>
        <w:rPr>
          <w:sz w:val="18"/>
          <w:szCs w:val="18"/>
        </w:rPr>
      </w:pPr>
      <w:r w:rsidRPr="00E73B3A">
        <w:rPr>
          <w:rStyle w:val="Odkaznapoznmkupodiarou"/>
          <w:sz w:val="18"/>
          <w:szCs w:val="18"/>
        </w:rPr>
        <w:footnoteRef/>
      </w:r>
      <w:r w:rsidRPr="00E73B3A">
        <w:rPr>
          <w:sz w:val="18"/>
          <w:szCs w:val="18"/>
        </w:rPr>
        <w:t xml:space="preserve"> </w:t>
      </w:r>
      <w:hyperlink r:id="rId10" w:history="1">
        <w:r w:rsidRPr="00E73B3A">
          <w:rPr>
            <w:rStyle w:val="Hypertextovprepojenie"/>
            <w:sz w:val="18"/>
            <w:szCs w:val="18"/>
          </w:rPr>
          <w:t>http://ec.europa.eu/information_society/newsroom/cf/itemdetail.cfm?item_id=6537</w:t>
        </w:r>
      </w:hyperlink>
    </w:p>
  </w:footnote>
  <w:footnote w:id="73">
    <w:p w14:paraId="21E212B6" w14:textId="77777777" w:rsidR="001D1617" w:rsidRDefault="001D1617" w:rsidP="00AB4F1B">
      <w:pPr>
        <w:pStyle w:val="Textpoznmkypodiarou"/>
        <w:jc w:val="both"/>
      </w:pPr>
      <w:r w:rsidRPr="00DC3404">
        <w:rPr>
          <w:rStyle w:val="Odkaznapoznmkupodiarou"/>
          <w:sz w:val="18"/>
          <w:szCs w:val="18"/>
        </w:rPr>
        <w:footnoteRef/>
      </w:r>
      <w:r w:rsidRPr="00DC3404">
        <w:rPr>
          <w:sz w:val="18"/>
          <w:szCs w:val="18"/>
        </w:rPr>
        <w:t xml:space="preserve"> Uznesenie vlády SR č. 322/2018 k návrhu Mechanizmu pilotnej schémy pre mestá a obce v oblasti Smart Cities financovaných z prostriedkov EŠIF a nástrojov podpory Európskej únie vrátane návratných foriem financovania</w:t>
      </w:r>
    </w:p>
  </w:footnote>
  <w:footnote w:id="74">
    <w:p w14:paraId="334E9E31" w14:textId="77777777" w:rsidR="001D1617" w:rsidRDefault="001D1617" w:rsidP="00B80F3A">
      <w:pPr>
        <w:pStyle w:val="Textpoznmkypodiarou"/>
        <w:jc w:val="both"/>
      </w:pPr>
      <w:r>
        <w:rPr>
          <w:rStyle w:val="Odkaznapoznmkupodiarou"/>
        </w:rPr>
        <w:footnoteRef/>
      </w:r>
      <w:r>
        <w:t xml:space="preserve"> </w:t>
      </w:r>
      <w:r>
        <w:rPr>
          <w:lang w:eastAsia="de-DE"/>
        </w:rPr>
        <w:t>Znevýhodnenú skupinu občanov tvoria z veľkej časti ľudia vo veku od 55 do 74 rokov, ľudia s nízkymi príjmami, nezamestnaní a ľudia s nižším vzdelaním alebo postihnutím.</w:t>
      </w:r>
    </w:p>
  </w:footnote>
  <w:footnote w:id="75">
    <w:p w14:paraId="6A177A1E" w14:textId="77777777" w:rsidR="001D1617" w:rsidRDefault="001D1617" w:rsidP="00582AB1">
      <w:pPr>
        <w:pStyle w:val="Textpoznmkypodiarou"/>
      </w:pPr>
      <w:r>
        <w:rPr>
          <w:rStyle w:val="Odkaznapoznmkupodiarou"/>
        </w:rPr>
        <w:footnoteRef/>
      </w:r>
      <w:r>
        <w:t xml:space="preserve"> </w:t>
      </w:r>
      <w:r w:rsidRPr="00DC3A62">
        <w:rPr>
          <w:sz w:val="18"/>
          <w:szCs w:val="18"/>
        </w:rPr>
        <w:t>http://informatizacia.sk/strategicky-dokument/16604s</w:t>
      </w:r>
    </w:p>
  </w:footnote>
  <w:footnote w:id="76">
    <w:p w14:paraId="21B4B335" w14:textId="77777777" w:rsidR="001D1617" w:rsidRDefault="001D1617" w:rsidP="00582AB1">
      <w:pPr>
        <w:pStyle w:val="Textpoznmkypodiarou"/>
      </w:pPr>
      <w:r>
        <w:rPr>
          <w:rStyle w:val="Odkaznapoznmkupodiarou"/>
        </w:rPr>
        <w:footnoteRef/>
      </w:r>
      <w:r>
        <w:t xml:space="preserve"> </w:t>
      </w:r>
      <w:r w:rsidRPr="00DC3A62">
        <w:rPr>
          <w:sz w:val="18"/>
          <w:szCs w:val="18"/>
        </w:rPr>
        <w:t>http://www.informatizacia.sk/narodna-strategia-pre-ib/6783s</w:t>
      </w:r>
    </w:p>
  </w:footnote>
  <w:footnote w:id="77">
    <w:p w14:paraId="08666947" w14:textId="7BF7A8E4" w:rsidR="001D16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Príloha č. </w:t>
      </w:r>
      <w:r w:rsidRPr="005C5FCF">
        <w:rPr>
          <w:sz w:val="18"/>
          <w:szCs w:val="18"/>
        </w:rPr>
        <w:t>13</w:t>
      </w:r>
      <w:r w:rsidRPr="00351D17">
        <w:rPr>
          <w:sz w:val="18"/>
          <w:szCs w:val="18"/>
        </w:rPr>
        <w:t xml:space="preserve"> Prehľad národných projektov </w:t>
      </w:r>
      <w:r>
        <w:rPr>
          <w:sz w:val="18"/>
          <w:szCs w:val="18"/>
        </w:rPr>
        <w:t>podporených z</w:t>
      </w:r>
      <w:r w:rsidRPr="00351D17">
        <w:rPr>
          <w:sz w:val="18"/>
          <w:szCs w:val="18"/>
        </w:rPr>
        <w:t xml:space="preserve"> OP</w:t>
      </w:r>
      <w:r>
        <w:rPr>
          <w:sz w:val="18"/>
          <w:szCs w:val="18"/>
        </w:rPr>
        <w:t xml:space="preserve"> </w:t>
      </w:r>
      <w:r w:rsidRPr="00351D17">
        <w:rPr>
          <w:sz w:val="18"/>
          <w:szCs w:val="18"/>
        </w:rPr>
        <w:t>VaV</w:t>
      </w:r>
      <w:r>
        <w:rPr>
          <w:sz w:val="18"/>
          <w:szCs w:val="18"/>
        </w:rPr>
        <w:t>.</w:t>
      </w:r>
    </w:p>
    <w:p w14:paraId="71D4DDE3" w14:textId="6A1655E8" w:rsidR="001D1617" w:rsidRDefault="001D1617" w:rsidP="00351D17">
      <w:pPr>
        <w:pStyle w:val="Textpoznmkypodiarou"/>
        <w:jc w:val="both"/>
      </w:pPr>
      <w:r w:rsidRPr="00351D17">
        <w:rPr>
          <w:sz w:val="18"/>
          <w:szCs w:val="18"/>
        </w:rPr>
        <w:t>Bude potrebné vychádzať z toho, že toto budú projekty prioritnej infraštrukt</w:t>
      </w:r>
      <w:r>
        <w:rPr>
          <w:sz w:val="18"/>
          <w:szCs w:val="18"/>
        </w:rPr>
        <w:t>úry pre žiadateľské inštitúcie. Ďalšie možnosti na </w:t>
      </w:r>
      <w:r w:rsidRPr="00351D17">
        <w:rPr>
          <w:sz w:val="18"/>
          <w:szCs w:val="18"/>
        </w:rPr>
        <w:t>modernizáciu existujúcej, resp. nákup novej infraštruktúry budú možné aj v rámci iných aktivít OP</w:t>
      </w:r>
      <w:r>
        <w:rPr>
          <w:sz w:val="18"/>
          <w:szCs w:val="18"/>
        </w:rPr>
        <w:t>I</w:t>
      </w:r>
      <w:r w:rsidRPr="00351D17">
        <w:rPr>
          <w:sz w:val="18"/>
          <w:szCs w:val="18"/>
        </w:rPr>
        <w:t>I – časť Výskum</w:t>
      </w:r>
      <w:r>
        <w:rPr>
          <w:sz w:val="18"/>
          <w:szCs w:val="18"/>
        </w:rPr>
        <w:t>.</w:t>
      </w:r>
    </w:p>
  </w:footnote>
  <w:footnote w:id="78">
    <w:p w14:paraId="0A95745C" w14:textId="7EDC54E6"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Podrobnejší popis aktivít podnikateľského centra je uvedený v rámci popisu príslušnej aktivity.</w:t>
      </w:r>
    </w:p>
  </w:footnote>
  <w:footnote w:id="79">
    <w:p w14:paraId="62127478" w14:textId="57B17FDF"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Príloha č. 1</w:t>
      </w:r>
      <w:r>
        <w:rPr>
          <w:sz w:val="18"/>
          <w:szCs w:val="18"/>
        </w:rPr>
        <w:t>7</w:t>
      </w:r>
      <w:r w:rsidRPr="00351D17">
        <w:rPr>
          <w:sz w:val="18"/>
          <w:szCs w:val="18"/>
        </w:rPr>
        <w:t xml:space="preserve"> OP</w:t>
      </w:r>
      <w:r>
        <w:rPr>
          <w:sz w:val="18"/>
          <w:szCs w:val="18"/>
        </w:rPr>
        <w:t>I</w:t>
      </w:r>
      <w:r w:rsidRPr="00351D17">
        <w:rPr>
          <w:sz w:val="18"/>
          <w:szCs w:val="18"/>
        </w:rPr>
        <w:t>I – Koncept využívania inštitútu partnerstva vo výskumných projektoch.</w:t>
      </w:r>
    </w:p>
  </w:footnote>
  <w:footnote w:id="80">
    <w:p w14:paraId="5E02731E" w14:textId="6C42195D"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Podrobný popis oprávnených prijímateľov v rámci OP</w:t>
      </w:r>
      <w:r>
        <w:rPr>
          <w:sz w:val="18"/>
          <w:szCs w:val="18"/>
        </w:rPr>
        <w:t>II</w:t>
      </w:r>
      <w:r w:rsidRPr="00351D17">
        <w:rPr>
          <w:sz w:val="18"/>
          <w:szCs w:val="18"/>
        </w:rPr>
        <w:t xml:space="preserve"> </w:t>
      </w:r>
      <w:r>
        <w:rPr>
          <w:sz w:val="18"/>
          <w:szCs w:val="18"/>
        </w:rPr>
        <w:t xml:space="preserve">(časť </w:t>
      </w:r>
      <w:r w:rsidRPr="00351D17">
        <w:rPr>
          <w:sz w:val="18"/>
          <w:szCs w:val="18"/>
        </w:rPr>
        <w:t>VaI</w:t>
      </w:r>
      <w:r>
        <w:rPr>
          <w:sz w:val="18"/>
          <w:szCs w:val="18"/>
        </w:rPr>
        <w:t>)</w:t>
      </w:r>
      <w:r w:rsidRPr="00351D17">
        <w:rPr>
          <w:sz w:val="18"/>
          <w:szCs w:val="18"/>
        </w:rPr>
        <w:t xml:space="preserve"> je uvedený v Prílohe č. </w:t>
      </w:r>
      <w:r w:rsidRPr="0095656C">
        <w:rPr>
          <w:sz w:val="18"/>
          <w:szCs w:val="18"/>
        </w:rPr>
        <w:t>10</w:t>
      </w:r>
      <w:r w:rsidRPr="00351D17">
        <w:rPr>
          <w:sz w:val="18"/>
          <w:szCs w:val="18"/>
        </w:rPr>
        <w:t>.</w:t>
      </w:r>
    </w:p>
  </w:footnote>
  <w:footnote w:id="81">
    <w:p w14:paraId="17B3D082" w14:textId="103933D1"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Zákon č.</w:t>
      </w:r>
      <w:r>
        <w:rPr>
          <w:sz w:val="18"/>
          <w:szCs w:val="18"/>
        </w:rPr>
        <w:t xml:space="preserve"> </w:t>
      </w:r>
      <w:r w:rsidRPr="00351D17">
        <w:rPr>
          <w:sz w:val="18"/>
          <w:szCs w:val="18"/>
        </w:rPr>
        <w:t>243/2017 Z. z. o verejnej výskumnej inštitúcii a o zmene a doplnení niektorých zákonov</w:t>
      </w:r>
      <w:r>
        <w:rPr>
          <w:sz w:val="18"/>
          <w:szCs w:val="18"/>
        </w:rPr>
        <w:t>.</w:t>
      </w:r>
    </w:p>
  </w:footnote>
  <w:footnote w:id="82">
    <w:p w14:paraId="33B6A6C4" w14:textId="4AABBF30"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Definícia inovácie je uvedená v prílohe č. 2 OP</w:t>
      </w:r>
      <w:r w:rsidRPr="00447E23">
        <w:rPr>
          <w:sz w:val="18"/>
          <w:szCs w:val="18"/>
        </w:rPr>
        <w:t>I</w:t>
      </w:r>
      <w:r w:rsidRPr="00351D17">
        <w:rPr>
          <w:sz w:val="18"/>
          <w:szCs w:val="18"/>
        </w:rPr>
        <w:t>I Slovník základných pojmov.</w:t>
      </w:r>
    </w:p>
  </w:footnote>
  <w:footnote w:id="83">
    <w:p w14:paraId="005322BB" w14:textId="121CAD57" w:rsidR="001D1617" w:rsidRDefault="001D1617" w:rsidP="00351D17">
      <w:pPr>
        <w:pStyle w:val="Textpoznmkypodiarou"/>
        <w:jc w:val="both"/>
      </w:pPr>
      <w:r w:rsidRPr="00351D17">
        <w:rPr>
          <w:rStyle w:val="Odkaznapoznmkupodiarou"/>
          <w:sz w:val="18"/>
          <w:szCs w:val="18"/>
        </w:rPr>
        <w:footnoteRef/>
      </w:r>
      <w:r w:rsidRPr="00351D17">
        <w:rPr>
          <w:sz w:val="18"/>
          <w:szCs w:val="18"/>
        </w:rPr>
        <w:t xml:space="preserve"> Smernica Európskeho parlamentu a Rady č. 2010/31/EÚ z 19. mája 2010 o energetickej hospodárnosti budov (prepracované znenie) (Ú. v. EÚ L 153,18. 6. 2010) – Každá investícia bude podmienená energetickým auditom, ktorý identifikuje najvhodnejšie opatrenia a bude v súlade s princípmi určenými tematickým cieľom 4 operačného programu Kvalita životného prostredia.</w:t>
      </w:r>
    </w:p>
  </w:footnote>
  <w:footnote w:id="84">
    <w:p w14:paraId="6635390B" w14:textId="526A3F86"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Príloha č. 1</w:t>
      </w:r>
      <w:r w:rsidRPr="009F4311">
        <w:rPr>
          <w:sz w:val="18"/>
          <w:szCs w:val="18"/>
        </w:rPr>
        <w:t>7</w:t>
      </w:r>
      <w:r w:rsidRPr="00351D17">
        <w:rPr>
          <w:sz w:val="18"/>
          <w:szCs w:val="18"/>
        </w:rPr>
        <w:t xml:space="preserve"> OP</w:t>
      </w:r>
      <w:r>
        <w:rPr>
          <w:sz w:val="18"/>
          <w:szCs w:val="18"/>
        </w:rPr>
        <w:t>I</w:t>
      </w:r>
      <w:r w:rsidRPr="00351D17">
        <w:rPr>
          <w:sz w:val="18"/>
          <w:szCs w:val="18"/>
        </w:rPr>
        <w:t>I - Koncept využívania inštitútu partnerstva vo výskumných projektoch.</w:t>
      </w:r>
    </w:p>
  </w:footnote>
  <w:footnote w:id="85">
    <w:p w14:paraId="791F727D" w14:textId="5ABAEB42" w:rsidR="001D1617" w:rsidRPr="00AB72F3" w:rsidRDefault="001D1617">
      <w:pPr>
        <w:pStyle w:val="Textpoznmkypodiarou"/>
        <w:rPr>
          <w:sz w:val="18"/>
          <w:szCs w:val="18"/>
        </w:rPr>
      </w:pPr>
      <w:r w:rsidRPr="00AB72F3">
        <w:rPr>
          <w:rStyle w:val="Odkaznapoznmkupodiarou"/>
          <w:sz w:val="18"/>
          <w:szCs w:val="18"/>
        </w:rPr>
        <w:footnoteRef/>
      </w:r>
      <w:r w:rsidRPr="00AB72F3">
        <w:rPr>
          <w:sz w:val="18"/>
          <w:szCs w:val="18"/>
        </w:rPr>
        <w:t xml:space="preserve"> Príloha</w:t>
      </w:r>
      <w:r w:rsidRPr="00AB72F3">
        <w:rPr>
          <w:spacing w:val="21"/>
          <w:sz w:val="18"/>
          <w:szCs w:val="18"/>
        </w:rPr>
        <w:t xml:space="preserve"> </w:t>
      </w:r>
      <w:r w:rsidRPr="00AB72F3">
        <w:rPr>
          <w:sz w:val="18"/>
          <w:szCs w:val="18"/>
        </w:rPr>
        <w:t>č.</w:t>
      </w:r>
      <w:r w:rsidRPr="00AB72F3">
        <w:rPr>
          <w:spacing w:val="21"/>
          <w:sz w:val="18"/>
          <w:szCs w:val="18"/>
        </w:rPr>
        <w:t xml:space="preserve"> </w:t>
      </w:r>
      <w:r w:rsidRPr="00AB72F3">
        <w:rPr>
          <w:sz w:val="18"/>
          <w:szCs w:val="18"/>
        </w:rPr>
        <w:t>17</w:t>
      </w:r>
      <w:r w:rsidRPr="00AB72F3">
        <w:rPr>
          <w:spacing w:val="20"/>
          <w:sz w:val="18"/>
          <w:szCs w:val="18"/>
        </w:rPr>
        <w:t xml:space="preserve"> </w:t>
      </w:r>
      <w:r w:rsidRPr="00AB72F3">
        <w:rPr>
          <w:sz w:val="18"/>
          <w:szCs w:val="18"/>
        </w:rPr>
        <w:t>OP</w:t>
      </w:r>
      <w:r w:rsidRPr="00AB72F3">
        <w:rPr>
          <w:spacing w:val="-2"/>
          <w:sz w:val="18"/>
          <w:szCs w:val="18"/>
        </w:rPr>
        <w:t>II</w:t>
      </w:r>
      <w:r w:rsidRPr="00AB72F3">
        <w:rPr>
          <w:spacing w:val="21"/>
          <w:sz w:val="18"/>
          <w:szCs w:val="18"/>
        </w:rPr>
        <w:t xml:space="preserve"> </w:t>
      </w:r>
      <w:r w:rsidRPr="00AB72F3">
        <w:rPr>
          <w:sz w:val="18"/>
          <w:szCs w:val="18"/>
        </w:rPr>
        <w:t>-</w:t>
      </w:r>
      <w:r w:rsidRPr="00AB72F3">
        <w:rPr>
          <w:spacing w:val="20"/>
          <w:sz w:val="18"/>
          <w:szCs w:val="18"/>
        </w:rPr>
        <w:t xml:space="preserve"> </w:t>
      </w:r>
      <w:r w:rsidRPr="00AB72F3">
        <w:rPr>
          <w:spacing w:val="-2"/>
          <w:sz w:val="18"/>
          <w:szCs w:val="18"/>
        </w:rPr>
        <w:t>K</w:t>
      </w:r>
      <w:r w:rsidRPr="00AB72F3">
        <w:rPr>
          <w:spacing w:val="-1"/>
          <w:sz w:val="18"/>
          <w:szCs w:val="18"/>
        </w:rPr>
        <w:t>oncept</w:t>
      </w:r>
      <w:r w:rsidRPr="00AB72F3">
        <w:rPr>
          <w:spacing w:val="21"/>
          <w:sz w:val="18"/>
          <w:szCs w:val="18"/>
        </w:rPr>
        <w:t xml:space="preserve"> </w:t>
      </w:r>
      <w:r w:rsidRPr="00AB72F3">
        <w:rPr>
          <w:spacing w:val="-1"/>
          <w:sz w:val="18"/>
          <w:szCs w:val="18"/>
        </w:rPr>
        <w:t>využívania</w:t>
      </w:r>
      <w:r w:rsidRPr="00AB72F3">
        <w:rPr>
          <w:spacing w:val="21"/>
          <w:sz w:val="18"/>
          <w:szCs w:val="18"/>
        </w:rPr>
        <w:t xml:space="preserve"> </w:t>
      </w:r>
      <w:r w:rsidRPr="00AB72F3">
        <w:rPr>
          <w:sz w:val="18"/>
          <w:szCs w:val="18"/>
        </w:rPr>
        <w:t>inštitútu</w:t>
      </w:r>
      <w:r w:rsidRPr="00AB72F3">
        <w:rPr>
          <w:spacing w:val="20"/>
          <w:sz w:val="18"/>
          <w:szCs w:val="18"/>
        </w:rPr>
        <w:t xml:space="preserve"> </w:t>
      </w:r>
      <w:r w:rsidRPr="00AB72F3">
        <w:rPr>
          <w:sz w:val="18"/>
          <w:szCs w:val="18"/>
        </w:rPr>
        <w:t>partnerstva</w:t>
      </w:r>
      <w:r w:rsidRPr="00AB72F3">
        <w:rPr>
          <w:spacing w:val="21"/>
          <w:sz w:val="18"/>
          <w:szCs w:val="18"/>
        </w:rPr>
        <w:t xml:space="preserve"> </w:t>
      </w:r>
      <w:r w:rsidRPr="00AB72F3">
        <w:rPr>
          <w:spacing w:val="-1"/>
          <w:sz w:val="18"/>
          <w:szCs w:val="18"/>
        </w:rPr>
        <w:t>vo</w:t>
      </w:r>
      <w:r w:rsidRPr="00AB72F3">
        <w:rPr>
          <w:spacing w:val="21"/>
          <w:sz w:val="18"/>
          <w:szCs w:val="18"/>
        </w:rPr>
        <w:t xml:space="preserve"> </w:t>
      </w:r>
      <w:r w:rsidRPr="00AB72F3">
        <w:rPr>
          <w:spacing w:val="-1"/>
          <w:sz w:val="18"/>
          <w:szCs w:val="18"/>
        </w:rPr>
        <w:t>výskumných</w:t>
      </w:r>
      <w:r w:rsidRPr="00AB72F3">
        <w:rPr>
          <w:spacing w:val="20"/>
          <w:sz w:val="18"/>
          <w:szCs w:val="18"/>
        </w:rPr>
        <w:t xml:space="preserve"> </w:t>
      </w:r>
      <w:r w:rsidRPr="00AB72F3">
        <w:rPr>
          <w:spacing w:val="-1"/>
          <w:sz w:val="18"/>
          <w:szCs w:val="18"/>
        </w:rPr>
        <w:t>projektoch.</w:t>
      </w:r>
    </w:p>
  </w:footnote>
  <w:footnote w:id="86">
    <w:p w14:paraId="43F75A10" w14:textId="4BC4D00D" w:rsidR="001D1617" w:rsidRPr="00351D17" w:rsidRDefault="001D1617" w:rsidP="00351D17">
      <w:pPr>
        <w:pStyle w:val="Textpoznmkypodiarou"/>
        <w:jc w:val="both"/>
        <w:rPr>
          <w:sz w:val="18"/>
          <w:szCs w:val="18"/>
        </w:rPr>
      </w:pPr>
      <w:r w:rsidRPr="00AB72F3">
        <w:rPr>
          <w:rStyle w:val="Odkaznapoznmkupodiarou"/>
          <w:sz w:val="18"/>
          <w:szCs w:val="18"/>
        </w:rPr>
        <w:footnoteRef/>
      </w:r>
      <w:r w:rsidRPr="00AB72F3">
        <w:rPr>
          <w:sz w:val="18"/>
          <w:szCs w:val="18"/>
        </w:rPr>
        <w:t xml:space="preserve"> V oblasti využívania finančných nástrojov budú aplikované výsledky ex ante hodnotenia pre finančné nástroje, vyžadovaného podľa čl. 37 ods. 2 všeobecného nariadenia pre finančné nástroje na programové obdobie 2014 – 2020.</w:t>
      </w:r>
    </w:p>
  </w:footnote>
  <w:footnote w:id="87">
    <w:p w14:paraId="112439AB" w14:textId="0B3EB164"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Podrobný popis oprávnených prijímateľov v rámci OP </w:t>
      </w:r>
      <w:r>
        <w:rPr>
          <w:sz w:val="18"/>
          <w:szCs w:val="18"/>
        </w:rPr>
        <w:t xml:space="preserve">(časť </w:t>
      </w:r>
      <w:r w:rsidRPr="00351D17">
        <w:rPr>
          <w:sz w:val="18"/>
          <w:szCs w:val="18"/>
        </w:rPr>
        <w:t>VaI</w:t>
      </w:r>
      <w:r>
        <w:rPr>
          <w:sz w:val="18"/>
          <w:szCs w:val="18"/>
        </w:rPr>
        <w:t>)</w:t>
      </w:r>
      <w:r w:rsidRPr="00351D17">
        <w:rPr>
          <w:sz w:val="18"/>
          <w:szCs w:val="18"/>
        </w:rPr>
        <w:t xml:space="preserve"> je uvedený v Prílohe č. 10.</w:t>
      </w:r>
    </w:p>
  </w:footnote>
  <w:footnote w:id="88">
    <w:p w14:paraId="7C2F7A56" w14:textId="0A59E7DD"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Základným predpokladom pre vyhodnotenie kritéria bude miera evidovanej nezamestnanosti v regióne v čase výberu.</w:t>
      </w:r>
    </w:p>
  </w:footnote>
  <w:footnote w:id="89">
    <w:p w14:paraId="2B64A65A" w14:textId="070B4812"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Bude potrebné vychádzať z toho, že toto budú projekty prioritnej infraštruktúry pre žiadateľské inštitúcie. Ďalšie možnosti na modernizáciu existujúcej, resp. nákup novej infraštruktúry budú možné aj v rámci iných aktivít OP</w:t>
      </w:r>
      <w:r>
        <w:rPr>
          <w:sz w:val="18"/>
          <w:szCs w:val="18"/>
        </w:rPr>
        <w:t>II</w:t>
      </w:r>
      <w:r w:rsidRPr="00351D17">
        <w:rPr>
          <w:sz w:val="18"/>
          <w:szCs w:val="18"/>
        </w:rPr>
        <w:t xml:space="preserve"> – časť Výskum.</w:t>
      </w:r>
    </w:p>
  </w:footnote>
  <w:footnote w:id="90">
    <w:p w14:paraId="14D76D18" w14:textId="378BB51F"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V oblasti využívania finančných nástrojov budú aplikované výsledky ex ante hodnotenia pre finančné nástroje, vyžadovaného podľa čl. 37 ods. 2 všeobecného nariadenia pre finančné nástroje na programové obdobie 2014 – 2020.</w:t>
      </w:r>
    </w:p>
  </w:footnote>
  <w:footnote w:id="91">
    <w:p w14:paraId="73590315" w14:textId="00AA6CBD"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Zákon č. 243/2017 Z. z. o verejnej výskumnej inštitúcii a o zmene a doplnení niektorých zákonov.</w:t>
      </w:r>
    </w:p>
  </w:footnote>
  <w:footnote w:id="92">
    <w:p w14:paraId="47595D84" w14:textId="5356B69E" w:rsidR="001D1617" w:rsidRPr="00351D17" w:rsidRDefault="001D1617" w:rsidP="00351D17">
      <w:pPr>
        <w:pStyle w:val="Textkomentra"/>
        <w:jc w:val="both"/>
        <w:rPr>
          <w:sz w:val="18"/>
          <w:szCs w:val="18"/>
        </w:rPr>
      </w:pPr>
      <w:r w:rsidRPr="00351D17">
        <w:rPr>
          <w:rStyle w:val="Odkaznapoznmkupodiarou"/>
          <w:sz w:val="18"/>
          <w:szCs w:val="18"/>
        </w:rPr>
        <w:footnoteRef/>
      </w:r>
      <w:r w:rsidRPr="00351D17">
        <w:rPr>
          <w:sz w:val="18"/>
          <w:szCs w:val="18"/>
        </w:rPr>
        <w:t xml:space="preserve"> Podpora veľkých podnikov bude realizovaná, avšak pri rešpektovaní dvoch princípov preferovania MSP: a) nižšia miera financovania pre veľké podniky v porovnaní s MSP; b) preukázanie zapojenia MSP a/alebo verejného orgánu</w:t>
      </w:r>
      <w:r>
        <w:rPr>
          <w:sz w:val="18"/>
          <w:szCs w:val="18"/>
        </w:rPr>
        <w:t>.</w:t>
      </w:r>
    </w:p>
    <w:p w14:paraId="3879A2FD" w14:textId="07368578" w:rsidR="001D1617" w:rsidRDefault="001D1617">
      <w:pPr>
        <w:pStyle w:val="Textpoznmkypodiarou"/>
      </w:pPr>
    </w:p>
  </w:footnote>
  <w:footnote w:id="93">
    <w:p w14:paraId="5946877F" w14:textId="77777777" w:rsidR="001D1617" w:rsidRPr="00351D17" w:rsidRDefault="001D1617" w:rsidP="00E10737">
      <w:pPr>
        <w:pStyle w:val="Textpoznmkypodiarou"/>
        <w:jc w:val="both"/>
        <w:rPr>
          <w:sz w:val="18"/>
          <w:szCs w:val="18"/>
        </w:rPr>
      </w:pPr>
      <w:r w:rsidRPr="00351D17">
        <w:rPr>
          <w:rStyle w:val="Odkaznapoznmkupodiarou"/>
          <w:sz w:val="18"/>
          <w:szCs w:val="18"/>
        </w:rPr>
        <w:footnoteRef/>
      </w:r>
      <w:r w:rsidRPr="00351D17">
        <w:rPr>
          <w:sz w:val="18"/>
          <w:szCs w:val="18"/>
        </w:rPr>
        <w:t xml:space="preserve"> </w:t>
      </w:r>
      <w:r w:rsidRPr="00774B1F">
        <w:rPr>
          <w:sz w:val="18"/>
          <w:szCs w:val="18"/>
        </w:rPr>
        <w:t>V oblasti využívania finančných nástrojov budú aplikované výsledky ex ante hodnotenia pre finančné nástroje, vyžadovaného podľa čl. 37 ods. 2 všeobecného nariadenia pre finančné nástroje na programové obdobie 2014 – 2020.</w:t>
      </w:r>
    </w:p>
  </w:footnote>
  <w:footnote w:id="94">
    <w:p w14:paraId="19877635" w14:textId="527928FE"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Podrobný popis oprávnených prijímateľov v rámci OP</w:t>
      </w:r>
      <w:r>
        <w:rPr>
          <w:sz w:val="18"/>
          <w:szCs w:val="18"/>
        </w:rPr>
        <w:t>II (časť</w:t>
      </w:r>
      <w:r w:rsidRPr="00351D17">
        <w:rPr>
          <w:sz w:val="18"/>
          <w:szCs w:val="18"/>
        </w:rPr>
        <w:t xml:space="preserve"> VaI</w:t>
      </w:r>
      <w:r>
        <w:rPr>
          <w:sz w:val="18"/>
          <w:szCs w:val="18"/>
        </w:rPr>
        <w:t>)</w:t>
      </w:r>
      <w:r w:rsidRPr="00351D17">
        <w:rPr>
          <w:sz w:val="18"/>
          <w:szCs w:val="18"/>
        </w:rPr>
        <w:t xml:space="preserve"> </w:t>
      </w:r>
      <w:r>
        <w:rPr>
          <w:sz w:val="18"/>
          <w:szCs w:val="18"/>
        </w:rPr>
        <w:t xml:space="preserve">je uvedený v </w:t>
      </w:r>
      <w:r w:rsidRPr="005F6D66">
        <w:rPr>
          <w:sz w:val="18"/>
          <w:szCs w:val="18"/>
        </w:rPr>
        <w:t xml:space="preserve">Prílohe č. </w:t>
      </w:r>
      <w:r>
        <w:rPr>
          <w:sz w:val="18"/>
          <w:szCs w:val="18"/>
        </w:rPr>
        <w:t>10</w:t>
      </w:r>
      <w:r w:rsidRPr="00351D17">
        <w:rPr>
          <w:sz w:val="18"/>
          <w:szCs w:val="18"/>
        </w:rPr>
        <w:t>.</w:t>
      </w:r>
    </w:p>
  </w:footnote>
  <w:footnote w:id="95">
    <w:p w14:paraId="46D56D89" w14:textId="36F90D3C"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Oblasti vysokej/ stredne vysokej technologickej úrovne výroby a poznatkovo intenz</w:t>
      </w:r>
      <w:r>
        <w:rPr>
          <w:sz w:val="18"/>
          <w:szCs w:val="18"/>
        </w:rPr>
        <w:t>ívnych služieb identifikované v </w:t>
      </w:r>
      <w:r w:rsidRPr="00351D17">
        <w:rPr>
          <w:sz w:val="18"/>
          <w:szCs w:val="18"/>
        </w:rPr>
        <w:t>zmysle členenia Eurostatu, viď: http://epp.eurostat.ec.europa.eu/statistics_explained/index.php/High-tech_statistics.</w:t>
      </w:r>
    </w:p>
  </w:footnote>
  <w:footnote w:id="96">
    <w:p w14:paraId="18623A48" w14:textId="2DBE58D6"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Podrobný popis oprávnených prijímateľov v rámci OP</w:t>
      </w:r>
      <w:r>
        <w:rPr>
          <w:sz w:val="18"/>
          <w:szCs w:val="18"/>
        </w:rPr>
        <w:t>I</w:t>
      </w:r>
      <w:r w:rsidRPr="00351D17">
        <w:rPr>
          <w:sz w:val="18"/>
          <w:szCs w:val="18"/>
        </w:rPr>
        <w:t xml:space="preserve">I </w:t>
      </w:r>
      <w:r>
        <w:rPr>
          <w:sz w:val="18"/>
          <w:szCs w:val="18"/>
        </w:rPr>
        <w:t xml:space="preserve">(časť VaI) </w:t>
      </w:r>
      <w:r w:rsidRPr="00351D17">
        <w:rPr>
          <w:sz w:val="18"/>
          <w:szCs w:val="18"/>
        </w:rPr>
        <w:t>je uvedený v</w:t>
      </w:r>
      <w:r>
        <w:rPr>
          <w:sz w:val="18"/>
          <w:szCs w:val="18"/>
        </w:rPr>
        <w:t> Prílohe č. 10.</w:t>
      </w:r>
    </w:p>
  </w:footnote>
  <w:footnote w:id="97">
    <w:p w14:paraId="30C6BA55" w14:textId="4D1DCD4C" w:rsidR="001D1617" w:rsidRPr="00931F6F"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V oblasti využívania finančných nástrojov budú aplikované výsledky ex ante hodnotenia pre finančné nástroje, </w:t>
      </w:r>
      <w:r w:rsidRPr="00931F6F">
        <w:rPr>
          <w:sz w:val="18"/>
          <w:szCs w:val="18"/>
        </w:rPr>
        <w:t>vyžadovaného podľa čl. 37 ods. 2 všeobecného nariadenia pre finančné nástroje na programové obdobie 2014 – 2020.</w:t>
      </w:r>
    </w:p>
  </w:footnote>
  <w:footnote w:id="98">
    <w:p w14:paraId="2C184787" w14:textId="3BC0D257" w:rsidR="001D1617" w:rsidRDefault="001D1617">
      <w:pPr>
        <w:pStyle w:val="Textpoznmkypodiarou"/>
      </w:pPr>
      <w:r w:rsidRPr="00931F6F">
        <w:rPr>
          <w:rStyle w:val="Odkaznapoznmkupodiarou"/>
          <w:sz w:val="18"/>
          <w:szCs w:val="18"/>
        </w:rPr>
        <w:footnoteRef/>
      </w:r>
      <w:r w:rsidRPr="00931F6F">
        <w:rPr>
          <w:sz w:val="18"/>
          <w:szCs w:val="18"/>
        </w:rPr>
        <w:t xml:space="preserve"> </w:t>
      </w:r>
      <w:r>
        <w:rPr>
          <w:sz w:val="18"/>
          <w:szCs w:val="18"/>
        </w:rPr>
        <w:t>Z</w:t>
      </w:r>
      <w:r w:rsidRPr="00931F6F">
        <w:rPr>
          <w:sz w:val="18"/>
          <w:szCs w:val="18"/>
        </w:rPr>
        <w:t>ákon č. 505/2009 Z. z. o akreditácii orgánov posudzovania zhody a o zmene a doplnení niektorých.</w:t>
      </w:r>
    </w:p>
  </w:footnote>
  <w:footnote w:id="99">
    <w:p w14:paraId="17306953" w14:textId="18E23616"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w:t>
      </w:r>
      <w:r>
        <w:rPr>
          <w:sz w:val="18"/>
          <w:szCs w:val="18"/>
        </w:rPr>
        <w:t>Z</w:t>
      </w:r>
      <w:r w:rsidRPr="00351D17">
        <w:rPr>
          <w:sz w:val="18"/>
          <w:szCs w:val="18"/>
        </w:rPr>
        <w:t>ákon č. 505/2009 Z. z. o akreditácii orgánov posudzovania zhody a o zmene a doplnení niektorých zákonov v znení neskorších predpisov.</w:t>
      </w:r>
    </w:p>
  </w:footnote>
  <w:footnote w:id="100">
    <w:p w14:paraId="1224AC95" w14:textId="064860CC" w:rsidR="001D1617" w:rsidRPr="00DD0B15" w:rsidRDefault="001D1617" w:rsidP="00274CA5">
      <w:pPr>
        <w:pStyle w:val="Textpoznmkypodiarou"/>
        <w:jc w:val="both"/>
        <w:rPr>
          <w:sz w:val="18"/>
          <w:szCs w:val="18"/>
        </w:rPr>
      </w:pPr>
      <w:r w:rsidRPr="00DD0B15">
        <w:rPr>
          <w:rStyle w:val="Odkaznapoznmkupodiarou"/>
          <w:sz w:val="18"/>
          <w:szCs w:val="18"/>
        </w:rPr>
        <w:footnoteRef/>
      </w:r>
      <w:r w:rsidRPr="00DD0B15">
        <w:rPr>
          <w:sz w:val="18"/>
          <w:szCs w:val="18"/>
        </w:rPr>
        <w:t xml:space="preserve"> Špecifický cieľ </w:t>
      </w:r>
      <w:r>
        <w:rPr>
          <w:sz w:val="18"/>
          <w:szCs w:val="18"/>
        </w:rPr>
        <w:t>13</w:t>
      </w:r>
      <w:r w:rsidRPr="00DD0B15">
        <w:rPr>
          <w:sz w:val="18"/>
          <w:szCs w:val="18"/>
        </w:rPr>
        <w:t>.1 bude napĺňaný aj prostredníctvom špecifických podporných aktiv</w:t>
      </w:r>
      <w:r>
        <w:rPr>
          <w:sz w:val="18"/>
          <w:szCs w:val="18"/>
        </w:rPr>
        <w:t xml:space="preserve">ít </w:t>
      </w:r>
      <w:r w:rsidRPr="00AF7F4D">
        <w:rPr>
          <w:sz w:val="18"/>
          <w:szCs w:val="18"/>
        </w:rPr>
        <w:t xml:space="preserve">uvedených </w:t>
      </w:r>
      <w:r w:rsidRPr="00351D17">
        <w:rPr>
          <w:sz w:val="18"/>
          <w:szCs w:val="18"/>
        </w:rPr>
        <w:t>v ods. 2.</w:t>
      </w:r>
      <w:r w:rsidRPr="00AF7F4D">
        <w:rPr>
          <w:sz w:val="18"/>
          <w:szCs w:val="18"/>
        </w:rPr>
        <w:t>9.4 a </w:t>
      </w:r>
      <w:r w:rsidRPr="00351D17">
        <w:rPr>
          <w:sz w:val="18"/>
          <w:szCs w:val="18"/>
        </w:rPr>
        <w:t>ods. 2.10</w:t>
      </w:r>
      <w:r w:rsidRPr="00AF7F4D">
        <w:rPr>
          <w:sz w:val="18"/>
          <w:szCs w:val="18"/>
        </w:rPr>
        <w:t>.4</w:t>
      </w:r>
      <w:r>
        <w:rPr>
          <w:sz w:val="18"/>
          <w:szCs w:val="18"/>
        </w:rPr>
        <w:t>.</w:t>
      </w:r>
      <w:r w:rsidRPr="00AF7F4D">
        <w:rPr>
          <w:sz w:val="18"/>
          <w:szCs w:val="18"/>
        </w:rPr>
        <w:t xml:space="preserve"> OPII ako aj podporných aktivít na znižovanie a</w:t>
      </w:r>
      <w:r w:rsidRPr="00DD0B15">
        <w:rPr>
          <w:sz w:val="18"/>
          <w:szCs w:val="18"/>
        </w:rPr>
        <w:t>dministratívnej záťaže</w:t>
      </w:r>
      <w:r>
        <w:rPr>
          <w:sz w:val="18"/>
          <w:szCs w:val="18"/>
        </w:rPr>
        <w:t>, bližšie špecifikovaných v </w:t>
      </w:r>
      <w:r w:rsidRPr="00DD0B15">
        <w:rPr>
          <w:sz w:val="18"/>
          <w:szCs w:val="18"/>
        </w:rPr>
        <w:t xml:space="preserve">kapitole </w:t>
      </w:r>
      <w:r w:rsidRPr="00351D17">
        <w:rPr>
          <w:sz w:val="18"/>
          <w:szCs w:val="18"/>
        </w:rPr>
        <w:t>10 OPII.</w:t>
      </w:r>
    </w:p>
  </w:footnote>
  <w:footnote w:id="101">
    <w:p w14:paraId="0C035FF4" w14:textId="344C5C67" w:rsidR="001D1617" w:rsidRDefault="001D1617" w:rsidP="00351D17">
      <w:pPr>
        <w:pStyle w:val="Textpoznmkypodiarou"/>
        <w:jc w:val="both"/>
      </w:pPr>
      <w:r>
        <w:rPr>
          <w:rStyle w:val="Odkaznapoznmkupodiarou"/>
        </w:rPr>
        <w:footnoteRef/>
      </w:r>
      <w:r>
        <w:t xml:space="preserve"> </w:t>
      </w:r>
      <w:r w:rsidRPr="00351D17">
        <w:rPr>
          <w:sz w:val="18"/>
          <w:szCs w:val="18"/>
        </w:rPr>
        <w:t>Na základe výsledkov realizovanej analýzy administratívnych kapacít (AK) a efektív</w:t>
      </w:r>
      <w:r>
        <w:rPr>
          <w:sz w:val="18"/>
          <w:szCs w:val="18"/>
        </w:rPr>
        <w:t>nosti subjektov zodpovedných za </w:t>
      </w:r>
      <w:r w:rsidRPr="00351D17">
        <w:rPr>
          <w:sz w:val="18"/>
          <w:szCs w:val="18"/>
        </w:rPr>
        <w:t>EŠIF a administratívnych kapacít prijímateľov pomoci bola identifikovaná nielen priemerná potreba počtu AK potrebná pre zabezpečenie dostatočnej implementácie OP VaI, ale aj rámec podpory v oblastiach riadenia a rozvoja AK subjektov zodpovedných za EŠIF. (viď Analýza AK, Kapitoly B.2, a B.4) Na úrovni SR je zároveň plánované prijatie ucelenej stratégie posilnenia a riadenia AK zo strany CKO. Opatrenia realizované v rámci tejto stratégie budú zamerané najmä na zvýšenie kvality AK s osobitným dôrazom na špecifické oblasti (viď. PD, Kapitola 2.5).</w:t>
      </w:r>
    </w:p>
  </w:footnote>
  <w:footnote w:id="102">
    <w:p w14:paraId="75886BB0" w14:textId="1CAACEDB"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str. 262, kapitola 2.5, PD SR.</w:t>
      </w:r>
    </w:p>
  </w:footnote>
  <w:footnote w:id="103">
    <w:p w14:paraId="3643C724" w14:textId="09B4FE45"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Na tieto oblasti budú nadväzovať aj plánované aktivity na znižovanie administratívnej záťaže v rámci OP</w:t>
      </w:r>
      <w:r>
        <w:rPr>
          <w:sz w:val="18"/>
          <w:szCs w:val="18"/>
        </w:rPr>
        <w:t>II (časť VaI)</w:t>
      </w:r>
      <w:r w:rsidRPr="00351D17">
        <w:rPr>
          <w:sz w:val="18"/>
          <w:szCs w:val="18"/>
        </w:rPr>
        <w:t xml:space="preserve"> bližšie špecifikované v kapitole 10</w:t>
      </w:r>
      <w:r>
        <w:rPr>
          <w:sz w:val="18"/>
          <w:szCs w:val="18"/>
        </w:rPr>
        <w:t>,</w:t>
      </w:r>
      <w:r w:rsidRPr="00351D17">
        <w:rPr>
          <w:sz w:val="18"/>
          <w:szCs w:val="18"/>
        </w:rPr>
        <w:t xml:space="preserve"> ako aj aktivity pri nastavovaní procesov implementácie projektov a nárokov kladených na administratívu vo vzťahu k prijímateľom (najmä dostupné, kvalitné a zrozumiteľné informácie v podobe umožňujúcej jednoduchú prácu s nimi, overovanie informácií o prijímateľoch a projektoch priamou komunikáciou s relevantnými štátnymi organizáciami bez ich vyžadovania od prijímateľov a pod.). Okrem uvedených oblastí sú navrhované nasledujúce opatrenia smerované na znižovanie AZ prijímateľov (viď. PD, Kapitola 2.6, strana 267).</w:t>
      </w:r>
    </w:p>
  </w:footnote>
  <w:footnote w:id="104">
    <w:p w14:paraId="1508B689" w14:textId="02D46F07" w:rsidR="001D1617" w:rsidRDefault="001D1617">
      <w:pPr>
        <w:pStyle w:val="Textpoznmkypodiarou"/>
      </w:pPr>
      <w:r w:rsidRPr="00351D17">
        <w:rPr>
          <w:rStyle w:val="Odkaznapoznmkupodiarou"/>
          <w:sz w:val="18"/>
          <w:szCs w:val="18"/>
        </w:rPr>
        <w:footnoteRef/>
      </w:r>
      <w:r w:rsidRPr="00351D17">
        <w:rPr>
          <w:sz w:val="18"/>
          <w:szCs w:val="18"/>
        </w:rPr>
        <w:t xml:space="preserve"> Partnerská dohoda SR na roky 2014 – 2020, Kapitola 2.5.</w:t>
      </w:r>
    </w:p>
  </w:footnote>
  <w:footnote w:id="105">
    <w:p w14:paraId="05C8EEDA" w14:textId="1A658720" w:rsidR="001D1617" w:rsidRPr="007F059A" w:rsidRDefault="001D1617">
      <w:pPr>
        <w:pStyle w:val="Textpoznmkypodiarou"/>
        <w:rPr>
          <w:sz w:val="18"/>
          <w:szCs w:val="18"/>
        </w:rPr>
      </w:pPr>
      <w:r w:rsidRPr="007F059A">
        <w:rPr>
          <w:rStyle w:val="Odkaznapoznmkupodiarou"/>
          <w:sz w:val="18"/>
          <w:szCs w:val="18"/>
        </w:rPr>
        <w:footnoteRef/>
      </w:r>
      <w:r w:rsidRPr="007F059A">
        <w:rPr>
          <w:sz w:val="18"/>
          <w:szCs w:val="18"/>
        </w:rPr>
        <w:t xml:space="preserve"> Str. 233 a nasl. PD SR, kap. 3.1.1 Miestny rozvoj vedený komunitou (CLLD).</w:t>
      </w:r>
    </w:p>
  </w:footnote>
  <w:footnote w:id="106">
    <w:p w14:paraId="713D5264" w14:textId="319DA2B1" w:rsidR="001D1617" w:rsidRPr="007F059A" w:rsidRDefault="001D1617">
      <w:pPr>
        <w:pStyle w:val="Textpoznmkypodiarou"/>
        <w:rPr>
          <w:sz w:val="18"/>
          <w:szCs w:val="18"/>
        </w:rPr>
      </w:pPr>
      <w:r w:rsidRPr="007F059A">
        <w:rPr>
          <w:rStyle w:val="Odkaznapoznmkupodiarou"/>
          <w:sz w:val="18"/>
          <w:szCs w:val="18"/>
        </w:rPr>
        <w:footnoteRef/>
      </w:r>
      <w:r w:rsidRPr="007F059A">
        <w:rPr>
          <w:sz w:val="18"/>
          <w:szCs w:val="18"/>
        </w:rPr>
        <w:t xml:space="preserve"> Str. 237 a nasl. PD SR, kap. 3.1.3 Udržateľný mestský rozvoj.</w:t>
      </w:r>
    </w:p>
  </w:footnote>
  <w:footnote w:id="107">
    <w:p w14:paraId="04239F7E" w14:textId="78A3A4B4" w:rsidR="001D1617" w:rsidRPr="007F059A" w:rsidRDefault="001D1617">
      <w:pPr>
        <w:pStyle w:val="Textpoznmkypodiarou"/>
        <w:rPr>
          <w:sz w:val="18"/>
          <w:szCs w:val="18"/>
        </w:rPr>
      </w:pPr>
      <w:r w:rsidRPr="007F059A">
        <w:rPr>
          <w:rStyle w:val="Odkaznapoznmkupodiarou"/>
          <w:sz w:val="18"/>
          <w:szCs w:val="18"/>
        </w:rPr>
        <w:footnoteRef/>
      </w:r>
      <w:r w:rsidRPr="007F059A">
        <w:rPr>
          <w:sz w:val="18"/>
          <w:szCs w:val="18"/>
        </w:rPr>
        <w:t xml:space="preserve"> Str. 236 a nasl. PD SR, kap. 3.1.2 Integrované územné investície.</w:t>
      </w:r>
    </w:p>
  </w:footnote>
  <w:footnote w:id="108">
    <w:p w14:paraId="6626F9CD" w14:textId="25BB0E04" w:rsidR="001D1617" w:rsidRPr="007F059A" w:rsidRDefault="001D1617">
      <w:pPr>
        <w:pStyle w:val="Textpoznmkypodiarou"/>
        <w:rPr>
          <w:sz w:val="18"/>
          <w:szCs w:val="18"/>
        </w:rPr>
      </w:pPr>
      <w:r w:rsidRPr="007F059A">
        <w:rPr>
          <w:rStyle w:val="Odkaznapoznmkupodiarou"/>
          <w:sz w:val="18"/>
          <w:szCs w:val="18"/>
        </w:rPr>
        <w:footnoteRef/>
      </w:r>
      <w:r w:rsidRPr="007F059A">
        <w:rPr>
          <w:sz w:val="18"/>
          <w:szCs w:val="18"/>
        </w:rPr>
        <w:t xml:space="preserve"> Str. 157 OPII.</w:t>
      </w:r>
    </w:p>
  </w:footnote>
  <w:footnote w:id="109">
    <w:p w14:paraId="7AF55E81" w14:textId="61F19335" w:rsidR="001D1617" w:rsidRPr="007F059A" w:rsidRDefault="001D1617">
      <w:pPr>
        <w:pStyle w:val="Textpoznmkypodiarou"/>
        <w:rPr>
          <w:sz w:val="18"/>
          <w:szCs w:val="18"/>
        </w:rPr>
      </w:pPr>
      <w:r w:rsidRPr="007F059A">
        <w:rPr>
          <w:rStyle w:val="Odkaznapoznmkupodiarou"/>
          <w:sz w:val="18"/>
          <w:szCs w:val="18"/>
        </w:rPr>
        <w:footnoteRef/>
      </w:r>
      <w:r w:rsidRPr="007F059A">
        <w:rPr>
          <w:sz w:val="18"/>
          <w:szCs w:val="18"/>
        </w:rPr>
        <w:t xml:space="preserve"> Str. 159 – 160 OPII, príklady aktivít v rámci špecifického cieľa 9.2.</w:t>
      </w:r>
    </w:p>
  </w:footnote>
  <w:footnote w:id="110">
    <w:p w14:paraId="43804736" w14:textId="1ACD80DB" w:rsidR="001D1617" w:rsidRPr="007F059A" w:rsidRDefault="001D1617" w:rsidP="00351D17">
      <w:pPr>
        <w:pStyle w:val="Textpoznmkypodiarou"/>
        <w:jc w:val="both"/>
        <w:rPr>
          <w:sz w:val="18"/>
          <w:szCs w:val="18"/>
        </w:rPr>
      </w:pPr>
      <w:r w:rsidRPr="007F059A">
        <w:rPr>
          <w:rStyle w:val="Odkaznapoznmkupodiarou"/>
          <w:sz w:val="18"/>
          <w:szCs w:val="18"/>
        </w:rPr>
        <w:footnoteRef/>
      </w:r>
      <w:r w:rsidRPr="007F059A">
        <w:rPr>
          <w:sz w:val="18"/>
          <w:szCs w:val="18"/>
        </w:rPr>
        <w:t xml:space="preserve"> Str. 178 OPII, Zvýšenie výskumnej aktivity BSK prostredníctvom revitalizácie a posilnenia výskumno-vzdelávacích, inovačných a podnikateľských kapacít výskumných inštitúcií v Bratislave.</w:t>
      </w:r>
    </w:p>
  </w:footnote>
  <w:footnote w:id="111">
    <w:p w14:paraId="2C4BB7B8" w14:textId="77777777" w:rsidR="001D1617" w:rsidRPr="001E09F3" w:rsidRDefault="001D1617" w:rsidP="001E09F3">
      <w:pPr>
        <w:pStyle w:val="Textpoznmkypodiarou"/>
        <w:jc w:val="both"/>
        <w:rPr>
          <w:sz w:val="18"/>
          <w:szCs w:val="18"/>
        </w:rPr>
      </w:pPr>
      <w:r w:rsidRPr="007F059A">
        <w:rPr>
          <w:rStyle w:val="Odkaznapoznmkupodiarou"/>
          <w:sz w:val="18"/>
          <w:szCs w:val="18"/>
        </w:rPr>
        <w:footnoteRef/>
      </w:r>
      <w:r w:rsidRPr="007F059A">
        <w:rPr>
          <w:sz w:val="18"/>
          <w:szCs w:val="18"/>
        </w:rPr>
        <w:t xml:space="preserve"> V znení nariadenia vlády Slovenskej republiky č. 461/2011 Z. z. zo 16. novembra 2011, ktorým sa vyhlasujú zmeny a doplnky záväznej časti Koncepcie územného rozvoja Slovenska 2001.</w:t>
      </w:r>
    </w:p>
  </w:footnote>
  <w:footnote w:id="112">
    <w:p w14:paraId="227B5630" w14:textId="57D260AA" w:rsidR="001D1617" w:rsidRPr="00014C2B" w:rsidRDefault="001D1617">
      <w:pPr>
        <w:pStyle w:val="Textpoznmkypodiarou"/>
        <w:rPr>
          <w:sz w:val="18"/>
          <w:szCs w:val="18"/>
        </w:rPr>
      </w:pPr>
      <w:r w:rsidRPr="00014C2B">
        <w:rPr>
          <w:rStyle w:val="Odkaznapoznmkupodiarou"/>
          <w:sz w:val="18"/>
          <w:szCs w:val="18"/>
        </w:rPr>
        <w:footnoteRef/>
      </w:r>
      <w:r w:rsidRPr="00014C2B">
        <w:rPr>
          <w:sz w:val="18"/>
          <w:szCs w:val="18"/>
        </w:rPr>
        <w:t xml:space="preserve"> </w:t>
      </w:r>
      <w:r w:rsidRPr="00014C2B">
        <w:rPr>
          <w:w w:val="110"/>
          <w:sz w:val="18"/>
          <w:szCs w:val="18"/>
        </w:rPr>
        <w:t>SEC(2010) 1489.</w:t>
      </w:r>
    </w:p>
  </w:footnote>
  <w:footnote w:id="113">
    <w:p w14:paraId="023AE51B" w14:textId="0C2C2AEA" w:rsidR="001D1617" w:rsidRDefault="001D1617">
      <w:pPr>
        <w:pStyle w:val="Textpoznmkypodiarou"/>
      </w:pPr>
      <w:r w:rsidRPr="00014C2B">
        <w:rPr>
          <w:rStyle w:val="Odkaznapoznmkupodiarou"/>
          <w:sz w:val="18"/>
          <w:szCs w:val="18"/>
        </w:rPr>
        <w:footnoteRef/>
      </w:r>
      <w:r w:rsidRPr="00014C2B">
        <w:rPr>
          <w:sz w:val="18"/>
          <w:szCs w:val="18"/>
        </w:rPr>
        <w:t xml:space="preserve"> Uznesením vlády SR č. 522/2019 zo dňa 23.10.2019 schválila vláda SR návrh zlúčenia OPII a OP VaI.</w:t>
      </w:r>
    </w:p>
  </w:footnote>
  <w:footnote w:id="114">
    <w:p w14:paraId="6FD3E1E9" w14:textId="77777777" w:rsidR="001D1617" w:rsidRPr="00BC793A" w:rsidRDefault="001D1617" w:rsidP="00B476FF">
      <w:pPr>
        <w:pStyle w:val="Textpoznmkypodiarou"/>
        <w:rPr>
          <w:sz w:val="18"/>
          <w:szCs w:val="18"/>
        </w:rPr>
      </w:pPr>
      <w:r w:rsidRPr="00BC793A">
        <w:rPr>
          <w:rStyle w:val="Odkaznapoznmkupodiarou"/>
          <w:sz w:val="18"/>
          <w:szCs w:val="18"/>
        </w:rPr>
        <w:footnoteRef/>
      </w:r>
      <w:r w:rsidRPr="00BC793A">
        <w:rPr>
          <w:sz w:val="18"/>
          <w:szCs w:val="18"/>
        </w:rPr>
        <w:t xml:space="preserve"> Atlas rómskych komunít 2013 (</w:t>
      </w:r>
      <w:hyperlink r:id="rId11" w:history="1">
        <w:r w:rsidRPr="00BC793A">
          <w:rPr>
            <w:rStyle w:val="Hypertextovprepojenie"/>
            <w:sz w:val="18"/>
            <w:szCs w:val="18"/>
          </w:rPr>
          <w:t>http://www.minv.sk/?atlas_2013</w:t>
        </w:r>
      </w:hyperlink>
      <w:r w:rsidRPr="00BC793A">
        <w:rPr>
          <w:sz w:val="18"/>
          <w:szCs w:val="18"/>
        </w:rPr>
        <w:t>)</w:t>
      </w:r>
    </w:p>
  </w:footnote>
  <w:footnote w:id="115">
    <w:p w14:paraId="2E8EA035" w14:textId="77777777" w:rsidR="001D1617" w:rsidRPr="00BC793A" w:rsidRDefault="001D1617" w:rsidP="00B476FF">
      <w:pPr>
        <w:pStyle w:val="Textpoznmkypodiarou"/>
        <w:rPr>
          <w:sz w:val="18"/>
          <w:szCs w:val="18"/>
        </w:rPr>
      </w:pPr>
      <w:r w:rsidRPr="00BC793A">
        <w:rPr>
          <w:rStyle w:val="Odkaznapoznmkupodiarou"/>
          <w:sz w:val="18"/>
          <w:szCs w:val="18"/>
        </w:rPr>
        <w:footnoteRef/>
      </w:r>
      <w:r w:rsidRPr="00BC793A">
        <w:rPr>
          <w:sz w:val="18"/>
          <w:szCs w:val="18"/>
        </w:rPr>
        <w:t xml:space="preserve"> </w:t>
      </w:r>
      <w:hyperlink r:id="rId12" w:history="1">
        <w:r w:rsidRPr="00BC793A">
          <w:rPr>
            <w:rStyle w:val="Hypertextovprepojenie"/>
            <w:sz w:val="18"/>
            <w:szCs w:val="18"/>
          </w:rPr>
          <w:t>http://www.minv.sk/swift_data/source/romovia/dokumenty/StrategiaSR_integraciaRomov.pdf</w:t>
        </w:r>
      </w:hyperlink>
    </w:p>
  </w:footnote>
  <w:footnote w:id="116">
    <w:p w14:paraId="30A4CEC5" w14:textId="77777777" w:rsidR="001D1617" w:rsidRPr="00BC793A" w:rsidRDefault="001D1617" w:rsidP="00B476FF">
      <w:pPr>
        <w:pStyle w:val="Textpoznmkypodiarou"/>
        <w:rPr>
          <w:sz w:val="18"/>
          <w:szCs w:val="18"/>
        </w:rPr>
      </w:pPr>
      <w:r w:rsidRPr="00BC793A">
        <w:rPr>
          <w:rStyle w:val="Odkaznapoznmkupodiarou"/>
          <w:sz w:val="18"/>
          <w:szCs w:val="18"/>
        </w:rPr>
        <w:footnoteRef/>
      </w:r>
      <w:r w:rsidRPr="00BC793A">
        <w:rPr>
          <w:sz w:val="18"/>
          <w:szCs w:val="18"/>
        </w:rPr>
        <w:t xml:space="preserve"> </w:t>
      </w:r>
      <w:hyperlink r:id="rId13" w:history="1">
        <w:r w:rsidRPr="00BC793A">
          <w:rPr>
            <w:rStyle w:val="Hypertextovprepojenie"/>
            <w:sz w:val="18"/>
            <w:szCs w:val="18"/>
          </w:rPr>
          <w:t>http://www.minv.sk/?romske-komunity-uvod&amp;subor=160529</w:t>
        </w:r>
      </w:hyperlink>
    </w:p>
  </w:footnote>
  <w:footnote w:id="117">
    <w:p w14:paraId="3D9D3A47" w14:textId="77777777" w:rsidR="001D1617" w:rsidRPr="00BC793A" w:rsidRDefault="001D1617" w:rsidP="00B476FF">
      <w:pPr>
        <w:pStyle w:val="Textpoznmkypodiarou"/>
        <w:rPr>
          <w:sz w:val="18"/>
          <w:szCs w:val="18"/>
        </w:rPr>
      </w:pPr>
      <w:r w:rsidRPr="00BC793A">
        <w:rPr>
          <w:rStyle w:val="Odkaznapoznmkupodiarou"/>
          <w:sz w:val="18"/>
          <w:szCs w:val="18"/>
        </w:rPr>
        <w:footnoteRef/>
      </w:r>
      <w:r w:rsidRPr="00BC793A">
        <w:rPr>
          <w:sz w:val="18"/>
          <w:szCs w:val="18"/>
        </w:rPr>
        <w:t xml:space="preserve"> COM(2013) 460 final </w:t>
      </w:r>
      <w:hyperlink r:id="rId14" w:history="1">
        <w:r w:rsidRPr="00BC793A">
          <w:rPr>
            <w:rStyle w:val="Hypertextovprepojenie"/>
            <w:sz w:val="18"/>
            <w:szCs w:val="18"/>
          </w:rPr>
          <w:t>http://ec.europa.eu/justice/discrimination/files/com_2013_460_en.pdf</w:t>
        </w:r>
      </w:hyperlink>
    </w:p>
  </w:footnote>
  <w:footnote w:id="118">
    <w:p w14:paraId="53D1800C" w14:textId="77777777" w:rsidR="001D1617" w:rsidRDefault="001D1617" w:rsidP="00B476FF">
      <w:pPr>
        <w:pStyle w:val="Textpoznmkypodiarou"/>
      </w:pPr>
      <w:r w:rsidRPr="00BC793A">
        <w:rPr>
          <w:rStyle w:val="Odkaznapoznmkupodiarou"/>
          <w:sz w:val="18"/>
          <w:szCs w:val="18"/>
        </w:rPr>
        <w:footnoteRef/>
      </w:r>
      <w:r w:rsidRPr="00BC793A">
        <w:rPr>
          <w:sz w:val="18"/>
          <w:szCs w:val="18"/>
        </w:rPr>
        <w:t xml:space="preserve"> COM(2013) 83 final </w:t>
      </w:r>
      <w:hyperlink r:id="rId15" w:history="1">
        <w:r w:rsidRPr="00BC793A">
          <w:rPr>
            <w:rStyle w:val="Hypertextovprepojenie"/>
            <w:sz w:val="18"/>
            <w:szCs w:val="18"/>
          </w:rPr>
          <w:t>http://eur-lex.europa.eu/LexUriServ/LexUriServ.do?uri=COM:2013:0083:FIN:SK:PDF</w:t>
        </w:r>
      </w:hyperlink>
    </w:p>
  </w:footnote>
  <w:footnote w:id="119">
    <w:p w14:paraId="083A5AA5" w14:textId="64F86887"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Uznesenia vlády SR č. 171/2014, 354/2016 a</w:t>
      </w:r>
      <w:r>
        <w:rPr>
          <w:sz w:val="18"/>
          <w:szCs w:val="18"/>
        </w:rPr>
        <w:t> </w:t>
      </w:r>
      <w:r w:rsidRPr="00704009">
        <w:rPr>
          <w:sz w:val="18"/>
          <w:szCs w:val="18"/>
        </w:rPr>
        <w:t>522/2019</w:t>
      </w:r>
      <w:r>
        <w:rPr>
          <w:sz w:val="18"/>
          <w:szCs w:val="18"/>
        </w:rPr>
        <w:t>.</w:t>
      </w:r>
    </w:p>
  </w:footnote>
  <w:footnote w:id="120">
    <w:p w14:paraId="272A266D" w14:textId="61F637E4" w:rsidR="001D1617" w:rsidRPr="00275DF6" w:rsidRDefault="001D1617" w:rsidP="00275DF6">
      <w:pPr>
        <w:pStyle w:val="Textpoznmkypodiarou"/>
        <w:jc w:val="both"/>
        <w:rPr>
          <w:sz w:val="18"/>
          <w:szCs w:val="18"/>
        </w:rPr>
      </w:pPr>
      <w:r w:rsidRPr="00275DF6">
        <w:rPr>
          <w:rStyle w:val="Odkaznapoznmkupodiarou"/>
          <w:sz w:val="18"/>
          <w:szCs w:val="18"/>
        </w:rPr>
        <w:footnoteRef/>
      </w:r>
      <w:r w:rsidRPr="00275DF6">
        <w:rPr>
          <w:sz w:val="18"/>
          <w:szCs w:val="18"/>
        </w:rPr>
        <w:t xml:space="preserve"> </w:t>
      </w:r>
      <w:r>
        <w:rPr>
          <w:sz w:val="18"/>
          <w:szCs w:val="18"/>
        </w:rPr>
        <w:t xml:space="preserve">Uznesenie vlády SR č. 318/2013 </w:t>
      </w:r>
      <w:r w:rsidRPr="00275DF6">
        <w:rPr>
          <w:sz w:val="18"/>
          <w:szCs w:val="18"/>
        </w:rPr>
        <w:t>k návrhu na určenie certifikačného orgánu a orgánu auditu pre operačné programy programového obdobia 2014 – 2020</w:t>
      </w:r>
      <w:r>
        <w:rPr>
          <w:sz w:val="18"/>
          <w:szCs w:val="18"/>
        </w:rPr>
        <w:t>.</w:t>
      </w:r>
    </w:p>
  </w:footnote>
  <w:footnote w:id="121">
    <w:p w14:paraId="1710E3D0" w14:textId="6367F4F4" w:rsidR="001D1617" w:rsidRPr="00C270B2" w:rsidRDefault="001D1617" w:rsidP="00C7220A">
      <w:pPr>
        <w:pStyle w:val="Odsekzoznamu"/>
        <w:ind w:left="0"/>
        <w:jc w:val="both"/>
        <w:rPr>
          <w:sz w:val="18"/>
          <w:szCs w:val="18"/>
        </w:rPr>
      </w:pPr>
      <w:r w:rsidRPr="00C7220A">
        <w:rPr>
          <w:rStyle w:val="Odkaznapoznmkupodiarou"/>
          <w:sz w:val="18"/>
          <w:szCs w:val="18"/>
        </w:rPr>
        <w:footnoteRef/>
      </w:r>
      <w:r>
        <w:t xml:space="preserve"> </w:t>
      </w:r>
      <w:r w:rsidRPr="008D678B">
        <w:rPr>
          <w:sz w:val="18"/>
          <w:szCs w:val="18"/>
        </w:rPr>
        <w:t xml:space="preserve">Schválením zákona č. 171/2016 Z. z., ktorým sa mení a dopĺňa zákon č. </w:t>
      </w:r>
      <w:hyperlink r:id="rId16" w:tooltip="Odkaz na predpis alebo ustanovenie" w:history="1">
        <w:r w:rsidRPr="008D678B">
          <w:rPr>
            <w:sz w:val="18"/>
            <w:szCs w:val="18"/>
          </w:rPr>
          <w:t>575/2001 Z. z.</w:t>
        </w:r>
      </w:hyperlink>
      <w:r>
        <w:rPr>
          <w:sz w:val="18"/>
          <w:szCs w:val="18"/>
        </w:rPr>
        <w:t xml:space="preserve"> o organizácii činnosti vlády a </w:t>
      </w:r>
      <w:r w:rsidRPr="008D678B">
        <w:rPr>
          <w:sz w:val="18"/>
          <w:szCs w:val="18"/>
        </w:rPr>
        <w:t xml:space="preserve">organizácii ústrednej štátnej správy v znení neskorších predpisov a ktorým sa menia a dopĺňajú niektoré zákony, prešla s účinnosťou od 1.6.2016 pôsobnosť Ministerstva financií SR v oblasti informatizácie spoločnosti na Úrad podpredsedu </w:t>
      </w:r>
      <w:r w:rsidRPr="00C270B2">
        <w:rPr>
          <w:sz w:val="18"/>
          <w:szCs w:val="18"/>
        </w:rPr>
        <w:t>vlády SR pre investície a informatizáciu. V nadväznosti na zmenu kompetenčného zákona vláda SR schválila Úrad podpredsedu vlády SR pre investície a informatizáciu za sprostredkovateľský orgán pre prioritnú os 7 – Informačná spoločnosť. Funkciu Sprostredkovateľského orgánu pre prioritnú os 7 OPII pred 01.06.2016 vykonávalo Ministerstvo financií SR.</w:t>
      </w:r>
    </w:p>
  </w:footnote>
  <w:footnote w:id="122">
    <w:p w14:paraId="21B00379" w14:textId="7F0D2194" w:rsidR="001D1617" w:rsidRDefault="001D1617" w:rsidP="00975EAF">
      <w:pPr>
        <w:pStyle w:val="Textpoznmkypodiarou"/>
      </w:pPr>
      <w:r w:rsidRPr="00C270B2">
        <w:rPr>
          <w:rStyle w:val="Odkaznapoznmkupodiarou"/>
          <w:sz w:val="18"/>
          <w:szCs w:val="18"/>
        </w:rPr>
        <w:footnoteRef/>
      </w:r>
      <w:r w:rsidRPr="00C270B2">
        <w:rPr>
          <w:sz w:val="18"/>
          <w:szCs w:val="18"/>
        </w:rPr>
        <w:t xml:space="preserve"> Uznesením vlády SR č. </w:t>
      </w:r>
      <w:r>
        <w:rPr>
          <w:sz w:val="18"/>
          <w:szCs w:val="18"/>
        </w:rPr>
        <w:t>522/2019</w:t>
      </w:r>
      <w:r w:rsidRPr="00C270B2">
        <w:rPr>
          <w:sz w:val="18"/>
          <w:szCs w:val="18"/>
        </w:rPr>
        <w:t xml:space="preserve"> zo dňa 23.10.2019 schválila vláda SR návrh zlúčenia OPII a OP VaI.</w:t>
      </w:r>
    </w:p>
  </w:footnote>
  <w:footnote w:id="123">
    <w:p w14:paraId="7882012F" w14:textId="7508EE74" w:rsidR="001D1617" w:rsidRPr="00351D17" w:rsidRDefault="001D1617" w:rsidP="00975EAF">
      <w:pPr>
        <w:pStyle w:val="Textpoznmkypodiarou"/>
        <w:jc w:val="both"/>
        <w:rPr>
          <w:sz w:val="18"/>
          <w:szCs w:val="18"/>
        </w:rPr>
      </w:pPr>
      <w:r w:rsidRPr="00351D17">
        <w:rPr>
          <w:rStyle w:val="Odkaznapoznmkupodiarou"/>
          <w:sz w:val="18"/>
          <w:szCs w:val="18"/>
        </w:rPr>
        <w:footnoteRef/>
      </w:r>
      <w:r w:rsidRPr="00351D17">
        <w:rPr>
          <w:sz w:val="18"/>
          <w:szCs w:val="18"/>
        </w:rPr>
        <w:t xml:space="preserve"> Od zlúčenia OP</w:t>
      </w:r>
      <w:r>
        <w:rPr>
          <w:sz w:val="18"/>
          <w:szCs w:val="18"/>
        </w:rPr>
        <w:t> </w:t>
      </w:r>
      <w:r w:rsidRPr="00351D17">
        <w:rPr>
          <w:sz w:val="18"/>
          <w:szCs w:val="18"/>
        </w:rPr>
        <w:t>VaI s</w:t>
      </w:r>
      <w:r>
        <w:rPr>
          <w:sz w:val="18"/>
          <w:szCs w:val="18"/>
        </w:rPr>
        <w:t xml:space="preserve"> </w:t>
      </w:r>
      <w:r w:rsidRPr="00351D17">
        <w:rPr>
          <w:sz w:val="18"/>
          <w:szCs w:val="18"/>
        </w:rPr>
        <w:t>OPII bude princíp partnerstva vo fáze implementácie, monitorovania a hodnotenia OP zabezpečovaný prostredníctvom Monitorovacieho výboru pre OPII, do ktorého bude začlenený primeraný počet partnerov z Monitorovacieho výboru pre OP VaI, ktorý zlúčením operačných programov ukončí svoju činnosť.</w:t>
      </w:r>
      <w:r>
        <w:rPr>
          <w:sz w:val="18"/>
          <w:szCs w:val="18"/>
        </w:rPr>
        <w:t xml:space="preserve"> Zároveň pre oblasť VaI bude zriadená v zmysle paragrafu 7, ods. 5 zákona č. 292/2014 Z. z. Komisia pri Monitorovacom výbore. </w:t>
      </w:r>
    </w:p>
  </w:footnote>
  <w:footnote w:id="124">
    <w:p w14:paraId="73A07669" w14:textId="4287AB87" w:rsidR="001D1617" w:rsidRPr="00351D17" w:rsidRDefault="001D1617">
      <w:pPr>
        <w:pStyle w:val="Textpoznmkypodiarou"/>
        <w:rPr>
          <w:sz w:val="18"/>
          <w:szCs w:val="18"/>
        </w:rPr>
      </w:pPr>
      <w:r w:rsidRPr="00351D17">
        <w:rPr>
          <w:rStyle w:val="Odkaznapoznmkupodiarou"/>
          <w:sz w:val="18"/>
          <w:szCs w:val="18"/>
        </w:rPr>
        <w:footnoteRef/>
      </w:r>
      <w:r w:rsidRPr="00351D17">
        <w:rPr>
          <w:sz w:val="18"/>
          <w:szCs w:val="18"/>
        </w:rPr>
        <w:t xml:space="preserve"> Vykonávacie nariadenie Komisie (EÚ) č. 215/2014.</w:t>
      </w:r>
    </w:p>
  </w:footnote>
  <w:footnote w:id="125">
    <w:p w14:paraId="5F3817EE" w14:textId="7E87118C" w:rsidR="001D1617" w:rsidRPr="00F058A0" w:rsidRDefault="001D1617">
      <w:pPr>
        <w:pStyle w:val="Textpoznmkypodiarou"/>
        <w:rPr>
          <w:sz w:val="18"/>
          <w:szCs w:val="18"/>
        </w:rPr>
      </w:pPr>
      <w:r w:rsidRPr="00F058A0">
        <w:rPr>
          <w:rStyle w:val="Odkaznapoznmkupodiarou"/>
          <w:sz w:val="18"/>
          <w:szCs w:val="18"/>
        </w:rPr>
        <w:footnoteRef/>
      </w:r>
      <w:r w:rsidRPr="00F058A0">
        <w:rPr>
          <w:sz w:val="18"/>
          <w:szCs w:val="18"/>
        </w:rPr>
        <w:t xml:space="preserve"> Str. 118 a nasl., kapitola 2.1, PD SR.</w:t>
      </w:r>
    </w:p>
  </w:footnote>
  <w:footnote w:id="126">
    <w:p w14:paraId="7E006F96" w14:textId="77777777" w:rsidR="001D1617" w:rsidRPr="008D678B" w:rsidRDefault="001D1617" w:rsidP="00410253">
      <w:pPr>
        <w:pStyle w:val="Odsekzoznamu"/>
        <w:ind w:left="0"/>
        <w:jc w:val="both"/>
        <w:rPr>
          <w:sz w:val="18"/>
          <w:szCs w:val="18"/>
        </w:rPr>
      </w:pPr>
      <w:r w:rsidRPr="00410253">
        <w:rPr>
          <w:rStyle w:val="Odkaznapoznmkupodiarou"/>
          <w:sz w:val="18"/>
          <w:szCs w:val="18"/>
        </w:rPr>
        <w:footnoteRef/>
      </w:r>
      <w:r>
        <w:t xml:space="preserve"> </w:t>
      </w:r>
      <w:r w:rsidRPr="008D678B">
        <w:rPr>
          <w:sz w:val="18"/>
          <w:szCs w:val="18"/>
        </w:rPr>
        <w:t xml:space="preserve">Schválením zákona č. 171/2016 Z. z., ktorým sa mení a dopĺňa zákon č. </w:t>
      </w:r>
      <w:hyperlink r:id="rId17" w:tooltip="Odkaz na predpis alebo ustanovenie" w:history="1">
        <w:r w:rsidRPr="008D678B">
          <w:rPr>
            <w:sz w:val="18"/>
            <w:szCs w:val="18"/>
          </w:rPr>
          <w:t>575/2001 Z. z.</w:t>
        </w:r>
      </w:hyperlink>
      <w:r w:rsidRPr="008D678B">
        <w:rPr>
          <w:sz w:val="18"/>
          <w:szCs w:val="18"/>
        </w:rPr>
        <w:t xml:space="preserve"> o organizácii činnosti vlády a 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Pr="008C53BC">
        <w:rPr>
          <w:sz w:val="18"/>
          <w:szCs w:val="18"/>
        </w:rPr>
        <w:t>Funkciu Sprostredkovateľského orgánu pre prioritnú os 7 OPII pred 01.06.2016 vykonávalo Ministerstvo financií SR.</w:t>
      </w:r>
    </w:p>
    <w:p w14:paraId="71C5C334" w14:textId="77777777" w:rsidR="001D1617" w:rsidRDefault="001D1617" w:rsidP="00A94935">
      <w:pPr>
        <w:pStyle w:val="Textpoznmkypodiarou"/>
        <w:jc w:val="both"/>
      </w:pPr>
    </w:p>
  </w:footnote>
  <w:footnote w:id="127">
    <w:p w14:paraId="4ADE8984" w14:textId="788161AC" w:rsidR="001D1617" w:rsidRDefault="001D1617">
      <w:pPr>
        <w:pStyle w:val="Textpoznmkypodiarou"/>
      </w:pPr>
      <w:r>
        <w:rPr>
          <w:rStyle w:val="Odkaznapoznmkupodiarou"/>
        </w:rPr>
        <w:footnoteRef/>
      </w:r>
      <w:r>
        <w:t xml:space="preserve"> </w:t>
      </w:r>
      <w:r w:rsidRPr="00D13F15">
        <w:rPr>
          <w:sz w:val="18"/>
          <w:szCs w:val="18"/>
        </w:rPr>
        <w:t>S účinnosťou od 01.01.2016 úlohy koordinátora pomoci plní Protimonopolný úrad SR v súlade so zákonom č. 358/2015 Z. z. o úprave niektorých vzť</w:t>
      </w:r>
      <w:r>
        <w:rPr>
          <w:sz w:val="18"/>
          <w:szCs w:val="18"/>
        </w:rPr>
        <w:t>ahov v oblasti štátnej pomoci a </w:t>
      </w:r>
      <w:r w:rsidRPr="00D13F15">
        <w:rPr>
          <w:sz w:val="18"/>
          <w:szCs w:val="18"/>
        </w:rPr>
        <w:t>minimálnej pomoci a o zmene a doplnení niektorých zákonov (zákon o štátnej pomoci).</w:t>
      </w:r>
    </w:p>
  </w:footnote>
  <w:footnote w:id="128">
    <w:p w14:paraId="6DE2803E" w14:textId="5451F3E4" w:rsidR="001D1617" w:rsidRPr="00351D17" w:rsidRDefault="001D1617" w:rsidP="00351D17">
      <w:pPr>
        <w:pStyle w:val="Textpoznmkypodiarou"/>
        <w:jc w:val="both"/>
        <w:rPr>
          <w:sz w:val="18"/>
          <w:szCs w:val="18"/>
        </w:rPr>
      </w:pPr>
      <w:r w:rsidRPr="00351D17">
        <w:rPr>
          <w:rStyle w:val="Odkaznapoznmkupodiarou"/>
          <w:sz w:val="18"/>
          <w:szCs w:val="18"/>
        </w:rPr>
        <w:footnoteRef/>
      </w:r>
      <w:r w:rsidRPr="00351D17">
        <w:rPr>
          <w:sz w:val="18"/>
          <w:szCs w:val="18"/>
        </w:rPr>
        <w:t xml:space="preserve"> Str. 266, PD SR, kap. 2.6 Súhrn plánovaných opatrení v programoch, vrátane orientačného harmonogramu na dosiahnutie zníženia administratívnej záťaže prijímateľov.</w:t>
      </w:r>
    </w:p>
  </w:footnote>
  <w:footnote w:id="129">
    <w:p w14:paraId="5D03E6C9" w14:textId="542FB271" w:rsidR="001D1617" w:rsidRDefault="001D1617" w:rsidP="00351D17">
      <w:pPr>
        <w:pStyle w:val="Textpoznmkypodiarou"/>
        <w:jc w:val="both"/>
      </w:pPr>
      <w:r w:rsidRPr="00351D17">
        <w:rPr>
          <w:rStyle w:val="Odkaznapoznmkupodiarou"/>
          <w:sz w:val="18"/>
          <w:szCs w:val="18"/>
        </w:rPr>
        <w:footnoteRef/>
      </w:r>
      <w:r w:rsidRPr="00351D17">
        <w:rPr>
          <w:sz w:val="18"/>
          <w:szCs w:val="18"/>
        </w:rPr>
        <w:t xml:space="preserve"> Faktická realizácia jednotlivých navrhovaných opatrení je závislá na podmienkach posky</w:t>
      </w:r>
      <w:r>
        <w:rPr>
          <w:sz w:val="18"/>
          <w:szCs w:val="18"/>
        </w:rPr>
        <w:t>tnutia pomoci v zmysle zákona o </w:t>
      </w:r>
      <w:r w:rsidRPr="00351D17">
        <w:rPr>
          <w:sz w:val="18"/>
          <w:szCs w:val="18"/>
        </w:rPr>
        <w:t xml:space="preserve">príspevku poskytovanom z európskych štrukturálnych a investičných fondov a o zmene </w:t>
      </w:r>
      <w:r>
        <w:rPr>
          <w:sz w:val="18"/>
          <w:szCs w:val="18"/>
        </w:rPr>
        <w:t>a doplnení niektorých zákonov a </w:t>
      </w:r>
      <w:r w:rsidRPr="00351D17">
        <w:rPr>
          <w:sz w:val="18"/>
          <w:szCs w:val="18"/>
        </w:rPr>
        <w:t>nastavení systému riadenia a systému finančného riadenia EŠIF na národnej úrovni.</w:t>
      </w:r>
    </w:p>
  </w:footnote>
  <w:footnote w:id="130">
    <w:p w14:paraId="564E6EE2" w14:textId="208B5EA1" w:rsidR="001D1617" w:rsidRPr="00D613C3" w:rsidRDefault="001D1617" w:rsidP="00EA5B5E">
      <w:pPr>
        <w:pStyle w:val="Textpoznmkypodiarou"/>
        <w:jc w:val="both"/>
        <w:rPr>
          <w:sz w:val="18"/>
          <w:szCs w:val="18"/>
        </w:rPr>
      </w:pPr>
      <w:r w:rsidRPr="00D613C3">
        <w:rPr>
          <w:rStyle w:val="Odkaznapoznmkupodiarou"/>
          <w:sz w:val="18"/>
          <w:szCs w:val="18"/>
        </w:rPr>
        <w:footnoteRef/>
      </w:r>
      <w:r w:rsidRPr="00D613C3">
        <w:rPr>
          <w:sz w:val="18"/>
          <w:szCs w:val="18"/>
        </w:rPr>
        <w:t xml:space="preserve"> V legislatíve SR nie je zásada „znečisťovateľ platí“ definovaná ... pozri Prílohu 21.</w:t>
      </w:r>
    </w:p>
  </w:footnote>
  <w:footnote w:id="131">
    <w:p w14:paraId="1A00BD74" w14:textId="097412E9" w:rsidR="001D1617" w:rsidRPr="0022239E" w:rsidRDefault="001D1617" w:rsidP="005A70A1">
      <w:pPr>
        <w:pStyle w:val="Textpoznmkypodiarou"/>
        <w:jc w:val="both"/>
        <w:rPr>
          <w:sz w:val="18"/>
          <w:szCs w:val="18"/>
        </w:rPr>
      </w:pPr>
      <w:r w:rsidRPr="0022239E">
        <w:rPr>
          <w:rStyle w:val="Odkaznapoznmkupodiarou"/>
          <w:sz w:val="18"/>
          <w:szCs w:val="18"/>
        </w:rPr>
        <w:footnoteRef/>
      </w:r>
      <w:r w:rsidRPr="0022239E">
        <w:rPr>
          <w:sz w:val="18"/>
          <w:szCs w:val="18"/>
        </w:rPr>
        <w:t xml:space="preserve"> </w:t>
      </w:r>
      <w:r w:rsidRPr="000C3BBA">
        <w:rPr>
          <w:sz w:val="18"/>
          <w:szCs w:val="18"/>
        </w:rPr>
        <w:t>Národný akčný plán pre zelené verejné obstarávanie v Slovenskej republike na roky 2016 – 2020, uznesenie vlády SR č.</w:t>
      </w:r>
      <w:r>
        <w:rPr>
          <w:sz w:val="18"/>
          <w:szCs w:val="18"/>
        </w:rPr>
        <w:t> </w:t>
      </w:r>
      <w:r w:rsidRPr="000C3BBA">
        <w:rPr>
          <w:sz w:val="18"/>
          <w:szCs w:val="18"/>
        </w:rPr>
        <w:t xml:space="preserve">590/2016 zo 14. 12. 2016 </w:t>
      </w:r>
      <w:r>
        <w:rPr>
          <w:sz w:val="18"/>
          <w:szCs w:val="18"/>
        </w:rPr>
        <w:t>(</w:t>
      </w:r>
      <w:hyperlink r:id="rId18" w:history="1">
        <w:r w:rsidRPr="00B97378">
          <w:rPr>
            <w:rStyle w:val="Hypertextovprepojenie"/>
            <w:sz w:val="18"/>
            <w:szCs w:val="18"/>
          </w:rPr>
          <w:t>https://rokovania.gov.sk/RVL/Material/21622/1</w:t>
        </w:r>
      </w:hyperlink>
      <w:r>
        <w:rPr>
          <w:sz w:val="18"/>
          <w:szCs w:val="18"/>
        </w:rPr>
        <w:t>) stanovuje</w:t>
      </w:r>
      <w:r w:rsidRPr="000C3BBA">
        <w:rPr>
          <w:sz w:val="18"/>
          <w:szCs w:val="18"/>
        </w:rPr>
        <w:t xml:space="preserve"> prioritné skupiny produktov</w:t>
      </w:r>
      <w:r>
        <w:rPr>
          <w:sz w:val="18"/>
          <w:szCs w:val="18"/>
        </w:rPr>
        <w:t xml:space="preserve">. </w:t>
      </w:r>
      <w:r w:rsidRPr="00234552">
        <w:rPr>
          <w:sz w:val="18"/>
          <w:szCs w:val="18"/>
        </w:rPr>
        <w:t>Zavedené bude povinné uplatňovanie konkrétnych environmentálnych charakteristík pre vybrané produktové skupiny: Kopírovací a</w:t>
      </w:r>
      <w:r>
        <w:rPr>
          <w:sz w:val="18"/>
          <w:szCs w:val="18"/>
        </w:rPr>
        <w:t> </w:t>
      </w:r>
      <w:r w:rsidRPr="00234552">
        <w:rPr>
          <w:sz w:val="18"/>
          <w:szCs w:val="18"/>
        </w:rPr>
        <w:t>grafický papier, Kancelárske IT zariadenia a Vozidl</w:t>
      </w:r>
      <w:r>
        <w:rPr>
          <w:sz w:val="18"/>
          <w:szCs w:val="18"/>
        </w:rPr>
        <w:t>á a dopravné služby.</w:t>
      </w:r>
    </w:p>
  </w:footnote>
  <w:footnote w:id="132">
    <w:p w14:paraId="2970CD74" w14:textId="77777777" w:rsidR="001D1617" w:rsidRDefault="001D1617" w:rsidP="007D7FD9">
      <w:pPr>
        <w:pStyle w:val="Textpoznmkypodiarou"/>
        <w:jc w:val="both"/>
      </w:pPr>
      <w:r w:rsidRPr="0022239E">
        <w:rPr>
          <w:rStyle w:val="Odkaznapoznmkupodiarou"/>
          <w:sz w:val="18"/>
          <w:szCs w:val="18"/>
        </w:rPr>
        <w:footnoteRef/>
      </w:r>
      <w:r w:rsidRPr="0022239E">
        <w:rPr>
          <w:sz w:val="18"/>
          <w:szCs w:val="18"/>
        </w:rPr>
        <w:t xml:space="preserve"> Smernica Európskeho Parlamentu a Rady 2010/75/EÚ o priemyselných emisiách (integrovaná prevencia a kontrola znečisťovania životného prostredia); Smernica 2001/81/ES Európskeho parlamentu a rady o národných emisných stropoch pre určité látky znečisťujúce ovzdušie; Smernica Európskeho parlamentu a Rady 2008/50/ES</w:t>
      </w:r>
      <w:r>
        <w:rPr>
          <w:sz w:val="18"/>
          <w:szCs w:val="18"/>
        </w:rPr>
        <w:t xml:space="preserve"> o kvalite okolitého ovzdušia a </w:t>
      </w:r>
      <w:r w:rsidRPr="0022239E">
        <w:rPr>
          <w:sz w:val="18"/>
          <w:szCs w:val="18"/>
        </w:rPr>
        <w:t>čistejšom ovzduší v Európe.</w:t>
      </w:r>
    </w:p>
  </w:footnote>
  <w:footnote w:id="133">
    <w:p w14:paraId="37F2C658" w14:textId="062442EA" w:rsidR="001D1617" w:rsidRPr="000438F7" w:rsidRDefault="001D1617" w:rsidP="00351D17">
      <w:pPr>
        <w:pStyle w:val="Textpoznmkypodiarou"/>
        <w:jc w:val="both"/>
        <w:rPr>
          <w:sz w:val="18"/>
          <w:szCs w:val="18"/>
        </w:rPr>
      </w:pPr>
      <w:r w:rsidRPr="000438F7">
        <w:rPr>
          <w:rStyle w:val="Odkaznapoznmkupodiarou"/>
          <w:sz w:val="18"/>
          <w:szCs w:val="18"/>
        </w:rPr>
        <w:footnoteRef/>
      </w:r>
      <w:r w:rsidRPr="000438F7">
        <w:rPr>
          <w:sz w:val="18"/>
          <w:szCs w:val="18"/>
        </w:rPr>
        <w:t xml:space="preserve"> Str. 99, PD SR, kap. 1.5.2 Podpora rovnosti mužov a žien, nediskriminácie a prístupnosti – popisuje základné smerovanie a princípy dodržiavania horizontálneho princípu rovnosti medzi mužmi a ženami v rámci EŠIF na národnej úrovni.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9B145" w14:textId="77777777" w:rsidR="001D1617" w:rsidRPr="004D502F" w:rsidRDefault="001D1617" w:rsidP="00776478">
    <w:pPr>
      <w:pStyle w:val="Hlavika"/>
      <w:tabs>
        <w:tab w:val="clear" w:pos="9072"/>
        <w:tab w:val="right" w:pos="9071"/>
        <w:tab w:val="right" w:pos="13860"/>
      </w:tabs>
      <w:rPr>
        <w:caps/>
        <w:sz w:val="20"/>
        <w:szCs w:val="20"/>
      </w:rPr>
    </w:pPr>
    <w:r>
      <w:rPr>
        <w:sz w:val="20"/>
        <w:szCs w:val="20"/>
      </w:rPr>
      <w:tab/>
    </w:r>
    <w:r>
      <w:rPr>
        <w:sz w:val="20"/>
        <w:szCs w:val="20"/>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96872" w14:textId="313095FF"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6</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2D059" w14:textId="2FF7165A"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7</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F2B6" w14:textId="352155CF"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8</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8EA22" w14:textId="5AE5BB3E"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9</w:t>
    </w:r>
  </w:p>
  <w:p w14:paraId="13CAC969" w14:textId="77777777" w:rsidR="001D1617" w:rsidRDefault="001D161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2F0DF" w14:textId="3A4D1995"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10</w:t>
    </w:r>
  </w:p>
  <w:p w14:paraId="7B7F9225" w14:textId="77777777" w:rsidR="001D1617" w:rsidRDefault="001D1617"/>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10634" w14:textId="3ADB3DB9"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11</w:t>
    </w:r>
  </w:p>
  <w:p w14:paraId="10679FB5" w14:textId="77777777" w:rsidR="001D1617" w:rsidRDefault="001D1617"/>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AF5E5" w14:textId="07DBBED2"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12</w:t>
    </w:r>
  </w:p>
  <w:p w14:paraId="1A782E5B" w14:textId="77777777" w:rsidR="001D1617" w:rsidRDefault="001D1617"/>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FDF1B" w14:textId="14344540"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13</w:t>
    </w:r>
  </w:p>
  <w:p w14:paraId="73CECE45" w14:textId="77777777" w:rsidR="001D1617" w:rsidRDefault="001D1617"/>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46E45" w14:textId="34515C40" w:rsidR="001D1617" w:rsidRPr="004D502F" w:rsidRDefault="001D1617" w:rsidP="002E2353">
    <w:pPr>
      <w:pStyle w:val="Hlavika"/>
      <w:tabs>
        <w:tab w:val="clear" w:pos="9072"/>
        <w:tab w:val="right" w:pos="9071"/>
        <w:tab w:val="right" w:pos="14264"/>
      </w:tabs>
      <w:rPr>
        <w:caps/>
        <w:sz w:val="20"/>
        <w:szCs w:val="20"/>
      </w:rPr>
    </w:pPr>
    <w:r>
      <w:rPr>
        <w:sz w:val="20"/>
        <w:szCs w:val="20"/>
      </w:rPr>
      <w:t>Operačný program Integrovaná infraštruktúra (v. 7.0)</w:t>
    </w:r>
    <w:r>
      <w:rPr>
        <w:sz w:val="20"/>
        <w:szCs w:val="20"/>
      </w:rPr>
      <w:tab/>
    </w:r>
    <w:r>
      <w:rPr>
        <w:sz w:val="20"/>
        <w:szCs w:val="20"/>
      </w:rPr>
      <w:tab/>
    </w:r>
    <w:r>
      <w:rPr>
        <w:sz w:val="20"/>
        <w:szCs w:val="20"/>
      </w:rPr>
      <w:tab/>
      <w:t>FINANČNÝ PLÁN</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360E1" w14:textId="304CDF57" w:rsidR="001D1617" w:rsidRPr="004D502F" w:rsidRDefault="001D1617" w:rsidP="0079492E">
    <w:pPr>
      <w:pStyle w:val="Hlavika"/>
      <w:tabs>
        <w:tab w:val="clear" w:pos="9072"/>
        <w:tab w:val="right" w:pos="9071"/>
        <w:tab w:val="right" w:pos="14034"/>
      </w:tabs>
      <w:rPr>
        <w:caps/>
        <w:sz w:val="20"/>
        <w:szCs w:val="20"/>
      </w:rPr>
    </w:pPr>
    <w:r>
      <w:rPr>
        <w:sz w:val="20"/>
        <w:szCs w:val="20"/>
      </w:rPr>
      <w:t>Operačný program Integrovaná infraštruktúra (v. 7.0)</w:t>
    </w:r>
    <w:r>
      <w:rPr>
        <w:sz w:val="20"/>
        <w:szCs w:val="20"/>
      </w:rPr>
      <w:tab/>
    </w:r>
    <w:r>
      <w:rPr>
        <w:sz w:val="20"/>
        <w:szCs w:val="20"/>
      </w:rPr>
      <w:tab/>
      <w:t>INTEGROVANÝ PRÍSTUP</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A5712" w14:textId="77777777" w:rsidR="001D1617" w:rsidRPr="004D502F" w:rsidRDefault="001D1617" w:rsidP="00776478">
    <w:pPr>
      <w:pStyle w:val="Hlavika"/>
      <w:tabs>
        <w:tab w:val="clear" w:pos="9072"/>
        <w:tab w:val="right" w:pos="9071"/>
        <w:tab w:val="right" w:pos="13860"/>
      </w:tabs>
      <w:rPr>
        <w:caps/>
        <w:sz w:val="20"/>
        <w:szCs w:val="20"/>
      </w:rPr>
    </w:pPr>
    <w:r>
      <w:rPr>
        <w:sz w:val="20"/>
        <w:szCs w:val="20"/>
      </w:rPr>
      <w:tab/>
    </w:r>
    <w:r>
      <w:rPr>
        <w:sz w:val="20"/>
        <w:szCs w:val="20"/>
      </w:rPr>
      <w:tab/>
    </w:r>
    <w:r>
      <w:rPr>
        <w:sz w:val="20"/>
        <w:szCs w:val="20"/>
      </w:rPr>
      <w:tab/>
    </w:r>
    <w:r>
      <w:rPr>
        <w:sz w:val="20"/>
        <w:szCs w:val="20"/>
      </w:rPr>
      <w:tab/>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D80DA" w14:textId="1020C927" w:rsidR="001D1617" w:rsidRPr="004D502F" w:rsidRDefault="001D1617" w:rsidP="0079492E">
    <w:pPr>
      <w:pStyle w:val="Hlavika"/>
      <w:tabs>
        <w:tab w:val="clear" w:pos="9072"/>
        <w:tab w:val="right" w:pos="9071"/>
        <w:tab w:val="right" w:pos="14034"/>
      </w:tabs>
      <w:rPr>
        <w:caps/>
        <w:sz w:val="20"/>
        <w:szCs w:val="20"/>
      </w:rPr>
    </w:pPr>
    <w:r>
      <w:rPr>
        <w:sz w:val="20"/>
        <w:szCs w:val="20"/>
      </w:rPr>
      <w:t>Operačný program Integrovaná infraštruktúra (v. 7.0)</w:t>
    </w:r>
    <w:r>
      <w:rPr>
        <w:sz w:val="20"/>
        <w:szCs w:val="20"/>
      </w:rPr>
      <w:tab/>
    </w:r>
    <w:r>
      <w:rPr>
        <w:sz w:val="20"/>
        <w:szCs w:val="20"/>
      </w:rPr>
      <w:tab/>
      <w:t>ŠPECIFICKÉ POTREBY</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A3B1D" w14:textId="54D187A7" w:rsidR="001D1617" w:rsidRPr="004D502F" w:rsidRDefault="001D1617" w:rsidP="0079492E">
    <w:pPr>
      <w:pStyle w:val="Hlavika"/>
      <w:tabs>
        <w:tab w:val="clear" w:pos="9072"/>
        <w:tab w:val="right" w:pos="9071"/>
        <w:tab w:val="right" w:pos="14034"/>
      </w:tabs>
      <w:rPr>
        <w:caps/>
        <w:sz w:val="20"/>
        <w:szCs w:val="20"/>
      </w:rPr>
    </w:pPr>
    <w:r>
      <w:rPr>
        <w:sz w:val="20"/>
        <w:szCs w:val="20"/>
      </w:rPr>
      <w:t>Operačný program Integrovaná infraštruktúra (v. 7.0)</w:t>
    </w:r>
    <w:r>
      <w:rPr>
        <w:sz w:val="20"/>
        <w:szCs w:val="20"/>
      </w:rPr>
      <w:tab/>
    </w:r>
    <w:r>
      <w:rPr>
        <w:sz w:val="20"/>
        <w:szCs w:val="20"/>
      </w:rPr>
      <w:tab/>
      <w:t>SUBJEKTY ZAPOJENÉ DO IMPLEMENTÁCIE</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8DBE9" w14:textId="054DEB23" w:rsidR="001D1617" w:rsidRPr="004D502F" w:rsidRDefault="001D1617" w:rsidP="0079492E">
    <w:pPr>
      <w:pStyle w:val="Hlavika"/>
      <w:tabs>
        <w:tab w:val="clear" w:pos="9072"/>
        <w:tab w:val="right" w:pos="9071"/>
        <w:tab w:val="right" w:pos="14034"/>
      </w:tabs>
      <w:rPr>
        <w:caps/>
        <w:sz w:val="20"/>
        <w:szCs w:val="20"/>
      </w:rPr>
    </w:pPr>
    <w:r>
      <w:rPr>
        <w:sz w:val="20"/>
        <w:szCs w:val="20"/>
      </w:rPr>
      <w:t>Operačný program Integrovaná infraštruktúra (v. 7.0)</w:t>
    </w:r>
    <w:r>
      <w:rPr>
        <w:sz w:val="20"/>
        <w:szCs w:val="20"/>
      </w:rPr>
      <w:tab/>
    </w:r>
    <w:r>
      <w:rPr>
        <w:sz w:val="20"/>
        <w:szCs w:val="20"/>
      </w:rPr>
      <w:tab/>
      <w:t>KOORDINÁCIA S INÝMI OP</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D3DE3" w14:textId="19424C8C" w:rsidR="001D1617" w:rsidRPr="004D502F" w:rsidRDefault="001D1617" w:rsidP="001A49CC">
    <w:pPr>
      <w:pStyle w:val="Hlavika"/>
      <w:tabs>
        <w:tab w:val="clear" w:pos="9072"/>
        <w:tab w:val="right" w:pos="9071"/>
        <w:tab w:val="right" w:pos="14208"/>
      </w:tabs>
      <w:rPr>
        <w:caps/>
        <w:sz w:val="20"/>
        <w:szCs w:val="20"/>
      </w:rPr>
    </w:pPr>
    <w:r>
      <w:rPr>
        <w:sz w:val="20"/>
        <w:szCs w:val="20"/>
      </w:rPr>
      <w:t>Operačný program Integrovaná infraštruktúra (v. 7.0)</w:t>
    </w:r>
    <w:r>
      <w:rPr>
        <w:sz w:val="20"/>
        <w:szCs w:val="20"/>
      </w:rPr>
      <w:tab/>
    </w:r>
    <w:r>
      <w:rPr>
        <w:sz w:val="20"/>
        <w:szCs w:val="20"/>
      </w:rPr>
      <w:tab/>
    </w:r>
    <w:r>
      <w:rPr>
        <w:sz w:val="20"/>
        <w:szCs w:val="20"/>
      </w:rPr>
      <w:tab/>
      <w:t>EX ANTE KONDICIONALITY</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6A380" w14:textId="1F7F5E7E" w:rsidR="001D1617" w:rsidRPr="00ED5953" w:rsidRDefault="001D1617" w:rsidP="0079492E">
    <w:pPr>
      <w:pStyle w:val="Hlavika"/>
      <w:tabs>
        <w:tab w:val="clear" w:pos="9072"/>
        <w:tab w:val="right" w:pos="9071"/>
        <w:tab w:val="right" w:pos="14034"/>
      </w:tabs>
      <w:rPr>
        <w:caps/>
        <w:sz w:val="20"/>
        <w:szCs w:val="20"/>
      </w:rPr>
    </w:pPr>
    <w:r>
      <w:rPr>
        <w:sz w:val="20"/>
        <w:szCs w:val="20"/>
      </w:rPr>
      <w:t>Operačný program Integrovaná infraštruktúra (v. 7.0)</w:t>
    </w:r>
    <w:r>
      <w:rPr>
        <w:sz w:val="20"/>
        <w:szCs w:val="20"/>
      </w:rPr>
      <w:tab/>
    </w:r>
    <w:r>
      <w:rPr>
        <w:sz w:val="20"/>
        <w:szCs w:val="20"/>
      </w:rPr>
      <w:tab/>
      <w:t>ZNÍŽENIE ADMINISTRATÍVNEJ ZÁŤAŽE</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EE0F2" w14:textId="7458D41F" w:rsidR="001D1617" w:rsidRPr="004D502F" w:rsidRDefault="001D1617" w:rsidP="0079492E">
    <w:pPr>
      <w:pStyle w:val="Hlavika"/>
      <w:tabs>
        <w:tab w:val="clear" w:pos="9072"/>
        <w:tab w:val="right" w:pos="9071"/>
        <w:tab w:val="right" w:pos="14034"/>
      </w:tabs>
      <w:rPr>
        <w:caps/>
        <w:sz w:val="20"/>
        <w:szCs w:val="20"/>
      </w:rPr>
    </w:pPr>
    <w:r>
      <w:rPr>
        <w:sz w:val="20"/>
        <w:szCs w:val="20"/>
      </w:rPr>
      <w:t>Operačný program Integrovaná infraštruktúra (v. 7.0)</w:t>
    </w:r>
    <w:r>
      <w:rPr>
        <w:sz w:val="20"/>
        <w:szCs w:val="20"/>
      </w:rPr>
      <w:tab/>
    </w:r>
    <w:r>
      <w:rPr>
        <w:sz w:val="20"/>
        <w:szCs w:val="20"/>
      </w:rPr>
      <w:tab/>
      <w:t>HORIZONTÁLNE PRINCÍPY</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33766" w14:textId="0ECEACFD" w:rsidR="001D1617" w:rsidRPr="004D502F" w:rsidRDefault="001D1617" w:rsidP="00ED5953">
    <w:pPr>
      <w:pStyle w:val="Hlavika"/>
      <w:tabs>
        <w:tab w:val="clear" w:pos="9072"/>
        <w:tab w:val="right" w:pos="9071"/>
        <w:tab w:val="right" w:pos="14317"/>
      </w:tabs>
      <w:rPr>
        <w:caps/>
        <w:sz w:val="20"/>
        <w:szCs w:val="20"/>
      </w:rPr>
    </w:pPr>
    <w:r>
      <w:rPr>
        <w:sz w:val="20"/>
        <w:szCs w:val="20"/>
      </w:rPr>
      <w:t>Operačný program Integrovaná infraštruktúra (v. 7.0)</w:t>
    </w:r>
    <w:r>
      <w:rPr>
        <w:sz w:val="20"/>
        <w:szCs w:val="20"/>
      </w:rPr>
      <w:tab/>
    </w:r>
    <w:r>
      <w:rPr>
        <w:sz w:val="20"/>
        <w:szCs w:val="20"/>
      </w:rPr>
      <w:tab/>
    </w:r>
    <w:r>
      <w:rPr>
        <w:sz w:val="20"/>
        <w:szCs w:val="20"/>
      </w:rPr>
      <w:tab/>
      <w:t>SAMOSTATNÉ ČASTI</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BAEEB" w14:textId="29CF25FA" w:rsidR="001D1617" w:rsidRPr="004D502F" w:rsidRDefault="001D1617" w:rsidP="0079492E">
    <w:pPr>
      <w:pStyle w:val="Hlavika"/>
      <w:tabs>
        <w:tab w:val="clear" w:pos="9072"/>
        <w:tab w:val="right" w:pos="9071"/>
        <w:tab w:val="right" w:pos="14034"/>
      </w:tabs>
      <w:rPr>
        <w:caps/>
        <w:sz w:val="20"/>
        <w:szCs w:val="20"/>
      </w:rPr>
    </w:pPr>
    <w:r>
      <w:rPr>
        <w:sz w:val="20"/>
        <w:szCs w:val="20"/>
      </w:rPr>
      <w:t>Operačný program Integrovaná infraštruktúra (v. 7.0)</w:t>
    </w:r>
    <w:r>
      <w:rPr>
        <w:sz w:val="20"/>
        <w:szCs w:val="20"/>
      </w:rPr>
      <w:tab/>
    </w:r>
    <w:r>
      <w:rPr>
        <w:sz w:val="20"/>
        <w:szCs w:val="20"/>
      </w:rPr>
      <w:tab/>
      <w:t>VÝKONNOSTNÝ RÁMEC</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D0753" w14:textId="0AF0A6EA" w:rsidR="001D1617" w:rsidRPr="004D502F" w:rsidRDefault="001D1617" w:rsidP="0079492E">
    <w:pPr>
      <w:pStyle w:val="Hlavika"/>
      <w:tabs>
        <w:tab w:val="clear" w:pos="9072"/>
        <w:tab w:val="right" w:pos="9071"/>
        <w:tab w:val="right" w:pos="14034"/>
      </w:tabs>
      <w:rPr>
        <w:caps/>
        <w:sz w:val="20"/>
        <w:szCs w:val="20"/>
      </w:rPr>
    </w:pPr>
    <w:r>
      <w:rPr>
        <w:sz w:val="20"/>
        <w:szCs w:val="20"/>
      </w:rPr>
      <w:t>Operačný program Integrovaná infraštruktúra (v. 7.0)</w:t>
    </w:r>
    <w:r>
      <w:rPr>
        <w:sz w:val="20"/>
        <w:szCs w:val="20"/>
      </w:rPr>
      <w:tab/>
    </w:r>
    <w:r>
      <w:rPr>
        <w:sz w:val="20"/>
        <w:szCs w:val="20"/>
      </w:rPr>
      <w:tab/>
      <w:t>ZAPOJENIE PARTNEROV</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4C455" w14:textId="4D40103C" w:rsidR="001D1617" w:rsidRPr="004D502F" w:rsidRDefault="001D1617" w:rsidP="0079492E">
    <w:pPr>
      <w:pStyle w:val="Hlavika"/>
      <w:tabs>
        <w:tab w:val="clear" w:pos="9072"/>
        <w:tab w:val="right" w:pos="9071"/>
        <w:tab w:val="right" w:pos="14034"/>
      </w:tabs>
      <w:rPr>
        <w:caps/>
        <w:sz w:val="20"/>
        <w:szCs w:val="20"/>
      </w:rPr>
    </w:pPr>
    <w:r>
      <w:rPr>
        <w:sz w:val="20"/>
        <w:szCs w:val="20"/>
      </w:rPr>
      <w:t>Operačný program Integrovaná infraštruktúra (v. 7.0)</w:t>
    </w:r>
    <w:r>
      <w:rPr>
        <w:sz w:val="20"/>
        <w:szCs w:val="20"/>
      </w:rPr>
      <w:tab/>
    </w:r>
    <w:r>
      <w:rPr>
        <w:sz w:val="20"/>
        <w:szCs w:val="20"/>
      </w:rPr>
      <w:tab/>
      <w:t>PRÍLOHY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275CF" w14:textId="5CCA360E" w:rsidR="001D1617" w:rsidRPr="004D502F" w:rsidRDefault="001D1617" w:rsidP="00776478">
    <w:pPr>
      <w:pStyle w:val="Hlavika"/>
      <w:tabs>
        <w:tab w:val="clear" w:pos="9072"/>
        <w:tab w:val="right" w:pos="9071"/>
        <w:tab w:val="right" w:pos="13860"/>
      </w:tabs>
      <w:rPr>
        <w:caps/>
        <w:sz w:val="20"/>
        <w:szCs w:val="20"/>
      </w:rPr>
    </w:pPr>
    <w:r>
      <w:rPr>
        <w:sz w:val="20"/>
        <w:szCs w:val="20"/>
      </w:rPr>
      <w:t>Operačný program Integrovaná infraštruktúra (v. 7.0)</w:t>
    </w:r>
    <w:r>
      <w:rPr>
        <w:sz w:val="20"/>
        <w:szCs w:val="20"/>
      </w:rPr>
      <w:tab/>
    </w:r>
    <w:r>
      <w:rPr>
        <w:sz w:val="20"/>
        <w:szCs w:val="20"/>
      </w:rPr>
      <w:tab/>
      <w:t>STRATÉGIA</w:t>
    </w:r>
    <w:r>
      <w:rPr>
        <w:sz w:val="20"/>
        <w:szCs w:val="20"/>
      </w:rPr>
      <w:tab/>
    </w:r>
    <w:r>
      <w:rPr>
        <w:sz w:val="20"/>
        <w:szCs w:val="20"/>
      </w:rPr>
      <w:tab/>
    </w:r>
  </w:p>
  <w:p w14:paraId="6AB29B3C" w14:textId="77777777" w:rsidR="001D1617" w:rsidRDefault="001D161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722A6" w14:textId="54888C6E" w:rsidR="001D1617" w:rsidRPr="004D502F" w:rsidRDefault="001D1617" w:rsidP="00C87B04">
    <w:pPr>
      <w:pStyle w:val="Hlavika"/>
      <w:tabs>
        <w:tab w:val="clear" w:pos="9072"/>
        <w:tab w:val="right" w:pos="9071"/>
        <w:tab w:val="right" w:pos="14124"/>
      </w:tabs>
      <w:rPr>
        <w:caps/>
        <w:sz w:val="20"/>
        <w:szCs w:val="20"/>
      </w:rPr>
    </w:pPr>
    <w:r>
      <w:rPr>
        <w:sz w:val="20"/>
        <w:szCs w:val="20"/>
      </w:rPr>
      <w:t>Operačný program Integrovaná infraštruktúra (v. 7.0)</w:t>
    </w:r>
    <w:r>
      <w:rPr>
        <w:sz w:val="20"/>
        <w:szCs w:val="20"/>
      </w:rPr>
      <w:tab/>
    </w:r>
    <w:r>
      <w:rPr>
        <w:sz w:val="20"/>
        <w:szCs w:val="20"/>
      </w:rPr>
      <w:tab/>
    </w:r>
    <w:r>
      <w:rPr>
        <w:sz w:val="20"/>
        <w:szCs w:val="20"/>
      </w:rPr>
      <w:tab/>
      <w:t>STRATÉGIA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BD21D" w14:textId="15802D88" w:rsidR="001D1617" w:rsidRPr="004D502F" w:rsidRDefault="001D1617" w:rsidP="00C87B04">
    <w:pPr>
      <w:pStyle w:val="Hlavika"/>
      <w:tabs>
        <w:tab w:val="clear" w:pos="9072"/>
        <w:tab w:val="right" w:pos="9071"/>
        <w:tab w:val="right" w:pos="14124"/>
      </w:tabs>
      <w:rPr>
        <w:caps/>
        <w:sz w:val="20"/>
        <w:szCs w:val="20"/>
      </w:rPr>
    </w:pPr>
    <w:r>
      <w:rPr>
        <w:sz w:val="20"/>
        <w:szCs w:val="20"/>
      </w:rPr>
      <w:t>Operačný program Integrovaná infraštruktúra (v. 7.0)</w:t>
    </w:r>
    <w:r>
      <w:rPr>
        <w:sz w:val="20"/>
        <w:szCs w:val="20"/>
      </w:rPr>
      <w:tab/>
    </w:r>
    <w:r>
      <w:rPr>
        <w:sz w:val="20"/>
        <w:szCs w:val="20"/>
      </w:rPr>
      <w:tab/>
      <w:t>PRIORITNÉ OSI/ PO 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9C287" w14:textId="715F7E83" w:rsidR="001D1617" w:rsidRPr="004D502F" w:rsidRDefault="001D1617" w:rsidP="00776478">
    <w:pPr>
      <w:pStyle w:val="Hlavika"/>
      <w:tabs>
        <w:tab w:val="clear" w:pos="9072"/>
        <w:tab w:val="right" w:pos="9071"/>
        <w:tab w:val="right" w:pos="13860"/>
      </w:tabs>
      <w:rPr>
        <w:caps/>
        <w:sz w:val="20"/>
        <w:szCs w:val="20"/>
      </w:rPr>
    </w:pPr>
    <w:r>
      <w:rPr>
        <w:sz w:val="20"/>
        <w:szCs w:val="20"/>
      </w:rPr>
      <w:t>Operačný program Integrovaná infraštruktúra (v. 7.0)</w:t>
    </w:r>
    <w:r>
      <w:rPr>
        <w:sz w:val="20"/>
        <w:szCs w:val="20"/>
      </w:rPr>
      <w:tab/>
    </w:r>
    <w:r>
      <w:rPr>
        <w:sz w:val="20"/>
        <w:szCs w:val="20"/>
      </w:rPr>
      <w:tab/>
      <w:t>PRIORITNÉ OSI/ PO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CC63D" w14:textId="77856C0F"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BF31E" w14:textId="548F810C"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17A96" w14:textId="20567E1B" w:rsidR="001D1617" w:rsidRPr="00B64495" w:rsidRDefault="001D1617" w:rsidP="00776478">
    <w:pPr>
      <w:pStyle w:val="Hlavika"/>
      <w:tabs>
        <w:tab w:val="clear" w:pos="9072"/>
        <w:tab w:val="right" w:pos="9071"/>
        <w:tab w:val="right" w:pos="13860"/>
      </w:tabs>
      <w:rPr>
        <w:sz w:val="20"/>
        <w:szCs w:val="20"/>
      </w:rPr>
    </w:pPr>
    <w:r>
      <w:rPr>
        <w:sz w:val="20"/>
        <w:szCs w:val="20"/>
      </w:rPr>
      <w:t>Operačný program Integrovaná infraštruktúra (v. 7.0)</w:t>
    </w:r>
    <w:r>
      <w:rPr>
        <w:sz w:val="20"/>
        <w:szCs w:val="20"/>
      </w:rPr>
      <w:tab/>
    </w:r>
    <w:r>
      <w:rPr>
        <w:sz w:val="20"/>
        <w:szCs w:val="20"/>
      </w:rPr>
      <w:tab/>
      <w:t>PRIORITNÉ OSI/ PO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689A0A"/>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00D69324"/>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360CEFDC"/>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1EE737C"/>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A0E4CA8C"/>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9EFFC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84E0DA"/>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C2C14E"/>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D46CC4"/>
    <w:lvl w:ilvl="0">
      <w:start w:val="1"/>
      <w:numFmt w:val="decimal"/>
      <w:pStyle w:val="slovanzoznam"/>
      <w:lvlText w:val="%1."/>
      <w:lvlJc w:val="left"/>
      <w:pPr>
        <w:tabs>
          <w:tab w:val="num" w:pos="360"/>
        </w:tabs>
        <w:ind w:left="360" w:hanging="360"/>
      </w:pPr>
    </w:lvl>
  </w:abstractNum>
  <w:abstractNum w:abstractNumId="9" w15:restartNumberingAfterBreak="0">
    <w:nsid w:val="00352E13"/>
    <w:multiLevelType w:val="hybridMultilevel"/>
    <w:tmpl w:val="B32C4768"/>
    <w:lvl w:ilvl="0" w:tplc="F1D28E10">
      <w:start w:val="1"/>
      <w:numFmt w:val="bullet"/>
      <w:lvlText w:val="•"/>
      <w:lvlJc w:val="left"/>
      <w:pPr>
        <w:ind w:left="820" w:hanging="124"/>
      </w:pPr>
      <w:rPr>
        <w:rFonts w:ascii="Arial Narrow" w:eastAsia="Arial Narrow" w:hAnsi="Arial Narrow" w:hint="default"/>
        <w:w w:val="112"/>
        <w:sz w:val="20"/>
        <w:szCs w:val="20"/>
      </w:rPr>
    </w:lvl>
    <w:lvl w:ilvl="1" w:tplc="6EB8E648">
      <w:start w:val="1"/>
      <w:numFmt w:val="bullet"/>
      <w:lvlText w:val="•"/>
      <w:lvlJc w:val="left"/>
      <w:pPr>
        <w:ind w:left="1866" w:hanging="124"/>
      </w:pPr>
      <w:rPr>
        <w:rFonts w:hint="default"/>
      </w:rPr>
    </w:lvl>
    <w:lvl w:ilvl="2" w:tplc="05A85402">
      <w:start w:val="1"/>
      <w:numFmt w:val="bullet"/>
      <w:lvlText w:val="•"/>
      <w:lvlJc w:val="left"/>
      <w:pPr>
        <w:ind w:left="2913" w:hanging="124"/>
      </w:pPr>
      <w:rPr>
        <w:rFonts w:hint="default"/>
      </w:rPr>
    </w:lvl>
    <w:lvl w:ilvl="3" w:tplc="2DEC46C8">
      <w:start w:val="1"/>
      <w:numFmt w:val="bullet"/>
      <w:lvlText w:val="•"/>
      <w:lvlJc w:val="left"/>
      <w:pPr>
        <w:ind w:left="3959" w:hanging="124"/>
      </w:pPr>
      <w:rPr>
        <w:rFonts w:hint="default"/>
      </w:rPr>
    </w:lvl>
    <w:lvl w:ilvl="4" w:tplc="E39ECE50">
      <w:start w:val="1"/>
      <w:numFmt w:val="bullet"/>
      <w:lvlText w:val="•"/>
      <w:lvlJc w:val="left"/>
      <w:pPr>
        <w:ind w:left="5006" w:hanging="124"/>
      </w:pPr>
      <w:rPr>
        <w:rFonts w:hint="default"/>
      </w:rPr>
    </w:lvl>
    <w:lvl w:ilvl="5" w:tplc="6786FF82">
      <w:start w:val="1"/>
      <w:numFmt w:val="bullet"/>
      <w:lvlText w:val="•"/>
      <w:lvlJc w:val="left"/>
      <w:pPr>
        <w:ind w:left="6052" w:hanging="124"/>
      </w:pPr>
      <w:rPr>
        <w:rFonts w:hint="default"/>
      </w:rPr>
    </w:lvl>
    <w:lvl w:ilvl="6" w:tplc="E4C4CACA">
      <w:start w:val="1"/>
      <w:numFmt w:val="bullet"/>
      <w:lvlText w:val="•"/>
      <w:lvlJc w:val="left"/>
      <w:pPr>
        <w:ind w:left="7099" w:hanging="124"/>
      </w:pPr>
      <w:rPr>
        <w:rFonts w:hint="default"/>
      </w:rPr>
    </w:lvl>
    <w:lvl w:ilvl="7" w:tplc="4E28CC86">
      <w:start w:val="1"/>
      <w:numFmt w:val="bullet"/>
      <w:lvlText w:val="•"/>
      <w:lvlJc w:val="left"/>
      <w:pPr>
        <w:ind w:left="8146" w:hanging="124"/>
      </w:pPr>
      <w:rPr>
        <w:rFonts w:hint="default"/>
      </w:rPr>
    </w:lvl>
    <w:lvl w:ilvl="8" w:tplc="B9547B50">
      <w:start w:val="1"/>
      <w:numFmt w:val="bullet"/>
      <w:lvlText w:val="•"/>
      <w:lvlJc w:val="left"/>
      <w:pPr>
        <w:ind w:left="9192" w:hanging="124"/>
      </w:pPr>
      <w:rPr>
        <w:rFonts w:hint="default"/>
      </w:rPr>
    </w:lvl>
  </w:abstractNum>
  <w:abstractNum w:abstractNumId="10" w15:restartNumberingAfterBreak="0">
    <w:nsid w:val="00950469"/>
    <w:multiLevelType w:val="multilevel"/>
    <w:tmpl w:val="A0C083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11E105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1584456"/>
    <w:multiLevelType w:val="multilevel"/>
    <w:tmpl w:val="996AE82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2"/>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1B22592"/>
    <w:multiLevelType w:val="hybridMultilevel"/>
    <w:tmpl w:val="1B328F54"/>
    <w:lvl w:ilvl="0" w:tplc="2522FA52">
      <w:start w:val="1"/>
      <w:numFmt w:val="bullet"/>
      <w:lvlText w:val="•"/>
      <w:lvlJc w:val="left"/>
      <w:pPr>
        <w:ind w:left="839" w:hanging="114"/>
      </w:pPr>
      <w:rPr>
        <w:rFonts w:ascii="Gill Sans MT" w:eastAsia="Gill Sans MT" w:hAnsi="Gill Sans MT" w:hint="default"/>
        <w:w w:val="91"/>
        <w:sz w:val="20"/>
        <w:szCs w:val="20"/>
      </w:rPr>
    </w:lvl>
    <w:lvl w:ilvl="1" w:tplc="AE5C97F2">
      <w:start w:val="1"/>
      <w:numFmt w:val="bullet"/>
      <w:lvlText w:val="•"/>
      <w:lvlJc w:val="left"/>
      <w:pPr>
        <w:ind w:left="1886" w:hanging="114"/>
      </w:pPr>
      <w:rPr>
        <w:rFonts w:hint="default"/>
      </w:rPr>
    </w:lvl>
    <w:lvl w:ilvl="2" w:tplc="8FF89BE4">
      <w:start w:val="1"/>
      <w:numFmt w:val="bullet"/>
      <w:lvlText w:val="•"/>
      <w:lvlJc w:val="left"/>
      <w:pPr>
        <w:ind w:left="2932" w:hanging="114"/>
      </w:pPr>
      <w:rPr>
        <w:rFonts w:hint="default"/>
      </w:rPr>
    </w:lvl>
    <w:lvl w:ilvl="3" w:tplc="FC04A966">
      <w:start w:val="1"/>
      <w:numFmt w:val="bullet"/>
      <w:lvlText w:val="•"/>
      <w:lvlJc w:val="left"/>
      <w:pPr>
        <w:ind w:left="3979" w:hanging="114"/>
      </w:pPr>
      <w:rPr>
        <w:rFonts w:hint="default"/>
      </w:rPr>
    </w:lvl>
    <w:lvl w:ilvl="4" w:tplc="58A2959A">
      <w:start w:val="1"/>
      <w:numFmt w:val="bullet"/>
      <w:lvlText w:val="•"/>
      <w:lvlJc w:val="left"/>
      <w:pPr>
        <w:ind w:left="5025" w:hanging="114"/>
      </w:pPr>
      <w:rPr>
        <w:rFonts w:hint="default"/>
      </w:rPr>
    </w:lvl>
    <w:lvl w:ilvl="5" w:tplc="A5AC25F0">
      <w:start w:val="1"/>
      <w:numFmt w:val="bullet"/>
      <w:lvlText w:val="•"/>
      <w:lvlJc w:val="left"/>
      <w:pPr>
        <w:ind w:left="6072" w:hanging="114"/>
      </w:pPr>
      <w:rPr>
        <w:rFonts w:hint="default"/>
      </w:rPr>
    </w:lvl>
    <w:lvl w:ilvl="6" w:tplc="E92E2EF6">
      <w:start w:val="1"/>
      <w:numFmt w:val="bullet"/>
      <w:lvlText w:val="•"/>
      <w:lvlJc w:val="left"/>
      <w:pPr>
        <w:ind w:left="7119" w:hanging="114"/>
      </w:pPr>
      <w:rPr>
        <w:rFonts w:hint="default"/>
      </w:rPr>
    </w:lvl>
    <w:lvl w:ilvl="7" w:tplc="13FC3336">
      <w:start w:val="1"/>
      <w:numFmt w:val="bullet"/>
      <w:lvlText w:val="•"/>
      <w:lvlJc w:val="left"/>
      <w:pPr>
        <w:ind w:left="8165" w:hanging="114"/>
      </w:pPr>
      <w:rPr>
        <w:rFonts w:hint="default"/>
      </w:rPr>
    </w:lvl>
    <w:lvl w:ilvl="8" w:tplc="E4FE9186">
      <w:start w:val="1"/>
      <w:numFmt w:val="bullet"/>
      <w:lvlText w:val="•"/>
      <w:lvlJc w:val="left"/>
      <w:pPr>
        <w:ind w:left="9212" w:hanging="114"/>
      </w:pPr>
      <w:rPr>
        <w:rFonts w:hint="default"/>
      </w:rPr>
    </w:lvl>
  </w:abstractNum>
  <w:abstractNum w:abstractNumId="14" w15:restartNumberingAfterBreak="0">
    <w:nsid w:val="03C145A3"/>
    <w:multiLevelType w:val="hybridMultilevel"/>
    <w:tmpl w:val="C52A6CDC"/>
    <w:lvl w:ilvl="0" w:tplc="69403BC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4887408"/>
    <w:multiLevelType w:val="multilevel"/>
    <w:tmpl w:val="79B8F6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4.1"/>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49E4E0C"/>
    <w:multiLevelType w:val="hybridMultilevel"/>
    <w:tmpl w:val="E91EE1FC"/>
    <w:lvl w:ilvl="0" w:tplc="42CCFE80">
      <w:start w:val="1"/>
      <w:numFmt w:val="bullet"/>
      <w:lvlText w:val="-"/>
      <w:lvlJc w:val="left"/>
      <w:pPr>
        <w:ind w:left="70" w:hanging="84"/>
      </w:pPr>
      <w:rPr>
        <w:rFonts w:ascii="Gill Sans MT" w:eastAsia="Gill Sans MT" w:hAnsi="Gill Sans MT" w:hint="default"/>
        <w:color w:val="0089CF"/>
        <w:w w:val="85"/>
        <w:sz w:val="16"/>
        <w:szCs w:val="16"/>
      </w:rPr>
    </w:lvl>
    <w:lvl w:ilvl="1" w:tplc="010EB8A0">
      <w:start w:val="1"/>
      <w:numFmt w:val="bullet"/>
      <w:lvlText w:val="•"/>
      <w:lvlJc w:val="left"/>
      <w:pPr>
        <w:ind w:left="774" w:hanging="84"/>
      </w:pPr>
      <w:rPr>
        <w:rFonts w:hint="default"/>
      </w:rPr>
    </w:lvl>
    <w:lvl w:ilvl="2" w:tplc="5C30F540">
      <w:start w:val="1"/>
      <w:numFmt w:val="bullet"/>
      <w:lvlText w:val="•"/>
      <w:lvlJc w:val="left"/>
      <w:pPr>
        <w:ind w:left="1478" w:hanging="84"/>
      </w:pPr>
      <w:rPr>
        <w:rFonts w:hint="default"/>
      </w:rPr>
    </w:lvl>
    <w:lvl w:ilvl="3" w:tplc="54CC9C44">
      <w:start w:val="1"/>
      <w:numFmt w:val="bullet"/>
      <w:lvlText w:val="•"/>
      <w:lvlJc w:val="left"/>
      <w:pPr>
        <w:ind w:left="2182" w:hanging="84"/>
      </w:pPr>
      <w:rPr>
        <w:rFonts w:hint="default"/>
      </w:rPr>
    </w:lvl>
    <w:lvl w:ilvl="4" w:tplc="7EE20CA6">
      <w:start w:val="1"/>
      <w:numFmt w:val="bullet"/>
      <w:lvlText w:val="•"/>
      <w:lvlJc w:val="left"/>
      <w:pPr>
        <w:ind w:left="2886" w:hanging="84"/>
      </w:pPr>
      <w:rPr>
        <w:rFonts w:hint="default"/>
      </w:rPr>
    </w:lvl>
    <w:lvl w:ilvl="5" w:tplc="93B02C04">
      <w:start w:val="1"/>
      <w:numFmt w:val="bullet"/>
      <w:lvlText w:val="•"/>
      <w:lvlJc w:val="left"/>
      <w:pPr>
        <w:ind w:left="3590" w:hanging="84"/>
      </w:pPr>
      <w:rPr>
        <w:rFonts w:hint="default"/>
      </w:rPr>
    </w:lvl>
    <w:lvl w:ilvl="6" w:tplc="13BED5BA">
      <w:start w:val="1"/>
      <w:numFmt w:val="bullet"/>
      <w:lvlText w:val="•"/>
      <w:lvlJc w:val="left"/>
      <w:pPr>
        <w:ind w:left="4294" w:hanging="84"/>
      </w:pPr>
      <w:rPr>
        <w:rFonts w:hint="default"/>
      </w:rPr>
    </w:lvl>
    <w:lvl w:ilvl="7" w:tplc="B8AC11FA">
      <w:start w:val="1"/>
      <w:numFmt w:val="bullet"/>
      <w:lvlText w:val="•"/>
      <w:lvlJc w:val="left"/>
      <w:pPr>
        <w:ind w:left="4998" w:hanging="84"/>
      </w:pPr>
      <w:rPr>
        <w:rFonts w:hint="default"/>
      </w:rPr>
    </w:lvl>
    <w:lvl w:ilvl="8" w:tplc="0BB6848C">
      <w:start w:val="1"/>
      <w:numFmt w:val="bullet"/>
      <w:lvlText w:val="•"/>
      <w:lvlJc w:val="left"/>
      <w:pPr>
        <w:ind w:left="5702" w:hanging="84"/>
      </w:pPr>
      <w:rPr>
        <w:rFonts w:hint="default"/>
      </w:rPr>
    </w:lvl>
  </w:abstractNum>
  <w:abstractNum w:abstractNumId="17" w15:restartNumberingAfterBreak="0">
    <w:nsid w:val="04DA401B"/>
    <w:multiLevelType w:val="hybridMultilevel"/>
    <w:tmpl w:val="F4E0DDB2"/>
    <w:lvl w:ilvl="0" w:tplc="1D98B184">
      <w:start w:val="1"/>
      <w:numFmt w:val="bullet"/>
      <w:lvlText w:val="─"/>
      <w:lvlJc w:val="left"/>
      <w:pPr>
        <w:ind w:left="1800" w:hanging="360"/>
      </w:pPr>
      <w:rPr>
        <w:rFonts w:ascii="Arial Narrow" w:hAnsi="Arial Narro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8" w15:restartNumberingAfterBreak="0">
    <w:nsid w:val="05EC64B8"/>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6A755A9"/>
    <w:multiLevelType w:val="hybridMultilevel"/>
    <w:tmpl w:val="0DA61E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82B1B93"/>
    <w:multiLevelType w:val="hybridMultilevel"/>
    <w:tmpl w:val="187A8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83E5C1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8555B19"/>
    <w:multiLevelType w:val="hybridMultilevel"/>
    <w:tmpl w:val="8806BED6"/>
    <w:lvl w:ilvl="0" w:tplc="04050001">
      <w:start w:val="1"/>
      <w:numFmt w:val="bullet"/>
      <w:pStyle w:val="odsaden"/>
      <w:lvlText w:val=""/>
      <w:lvlJc w:val="left"/>
      <w:pPr>
        <w:tabs>
          <w:tab w:val="num" w:pos="360"/>
        </w:tabs>
        <w:ind w:left="36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86778C9"/>
    <w:multiLevelType w:val="hybridMultilevel"/>
    <w:tmpl w:val="1EF4C30A"/>
    <w:lvl w:ilvl="0" w:tplc="D6C6E96A">
      <w:start w:val="1"/>
      <w:numFmt w:val="bullet"/>
      <w:lvlText w:val="-"/>
      <w:lvlJc w:val="left"/>
      <w:pPr>
        <w:ind w:left="70" w:hanging="69"/>
      </w:pPr>
      <w:rPr>
        <w:rFonts w:ascii="Gill Sans MT" w:eastAsia="Gill Sans MT" w:hAnsi="Gill Sans MT" w:hint="default"/>
        <w:color w:val="0089CF"/>
        <w:w w:val="88"/>
        <w:sz w:val="13"/>
        <w:szCs w:val="13"/>
      </w:rPr>
    </w:lvl>
    <w:lvl w:ilvl="1" w:tplc="2398F14C">
      <w:start w:val="1"/>
      <w:numFmt w:val="bullet"/>
      <w:lvlText w:val="•"/>
      <w:lvlJc w:val="left"/>
      <w:pPr>
        <w:ind w:left="392" w:hanging="69"/>
      </w:pPr>
    </w:lvl>
    <w:lvl w:ilvl="2" w:tplc="8E2A489E">
      <w:start w:val="1"/>
      <w:numFmt w:val="bullet"/>
      <w:lvlText w:val="•"/>
      <w:lvlJc w:val="left"/>
      <w:pPr>
        <w:ind w:left="714" w:hanging="69"/>
      </w:pPr>
    </w:lvl>
    <w:lvl w:ilvl="3" w:tplc="6B60A298">
      <w:start w:val="1"/>
      <w:numFmt w:val="bullet"/>
      <w:lvlText w:val="•"/>
      <w:lvlJc w:val="left"/>
      <w:pPr>
        <w:ind w:left="1036" w:hanging="69"/>
      </w:pPr>
    </w:lvl>
    <w:lvl w:ilvl="4" w:tplc="4000D26C">
      <w:start w:val="1"/>
      <w:numFmt w:val="bullet"/>
      <w:lvlText w:val="•"/>
      <w:lvlJc w:val="left"/>
      <w:pPr>
        <w:ind w:left="1358" w:hanging="69"/>
      </w:pPr>
    </w:lvl>
    <w:lvl w:ilvl="5" w:tplc="3968A11E">
      <w:start w:val="1"/>
      <w:numFmt w:val="bullet"/>
      <w:lvlText w:val="•"/>
      <w:lvlJc w:val="left"/>
      <w:pPr>
        <w:ind w:left="1680" w:hanging="69"/>
      </w:pPr>
    </w:lvl>
    <w:lvl w:ilvl="6" w:tplc="7E841EF4">
      <w:start w:val="1"/>
      <w:numFmt w:val="bullet"/>
      <w:lvlText w:val="•"/>
      <w:lvlJc w:val="left"/>
      <w:pPr>
        <w:ind w:left="2002" w:hanging="69"/>
      </w:pPr>
    </w:lvl>
    <w:lvl w:ilvl="7" w:tplc="D68AFF98">
      <w:start w:val="1"/>
      <w:numFmt w:val="bullet"/>
      <w:lvlText w:val="•"/>
      <w:lvlJc w:val="left"/>
      <w:pPr>
        <w:ind w:left="2324" w:hanging="69"/>
      </w:pPr>
    </w:lvl>
    <w:lvl w:ilvl="8" w:tplc="1834E10E">
      <w:start w:val="1"/>
      <w:numFmt w:val="bullet"/>
      <w:lvlText w:val="•"/>
      <w:lvlJc w:val="left"/>
      <w:pPr>
        <w:ind w:left="2646" w:hanging="69"/>
      </w:pPr>
    </w:lvl>
  </w:abstractNum>
  <w:abstractNum w:abstractNumId="24" w15:restartNumberingAfterBreak="0">
    <w:nsid w:val="08BC378D"/>
    <w:multiLevelType w:val="hybridMultilevel"/>
    <w:tmpl w:val="9E70B6E4"/>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5" w15:restartNumberingAfterBreak="0">
    <w:nsid w:val="09C172C4"/>
    <w:multiLevelType w:val="hybridMultilevel"/>
    <w:tmpl w:val="96245108"/>
    <w:lvl w:ilvl="0" w:tplc="041B000F">
      <w:start w:val="1"/>
      <w:numFmt w:val="decimal"/>
      <w:lvlText w:val="%1."/>
      <w:lvlJc w:val="left"/>
      <w:pPr>
        <w:ind w:left="70" w:hanging="146"/>
      </w:pPr>
      <w:rPr>
        <w:rFonts w:hint="default"/>
        <w:color w:val="0089CF"/>
        <w:w w:val="110"/>
        <w:sz w:val="14"/>
        <w:szCs w:val="14"/>
      </w:rPr>
    </w:lvl>
    <w:lvl w:ilvl="1" w:tplc="59C2FFB6">
      <w:start w:val="1"/>
      <w:numFmt w:val="bullet"/>
      <w:lvlText w:val="•"/>
      <w:lvlJc w:val="left"/>
      <w:pPr>
        <w:ind w:left="280" w:hanging="146"/>
      </w:pPr>
    </w:lvl>
    <w:lvl w:ilvl="2" w:tplc="A58A3DE0">
      <w:start w:val="1"/>
      <w:numFmt w:val="bullet"/>
      <w:lvlText w:val="•"/>
      <w:lvlJc w:val="left"/>
      <w:pPr>
        <w:ind w:left="491" w:hanging="146"/>
      </w:pPr>
    </w:lvl>
    <w:lvl w:ilvl="3" w:tplc="317498A0">
      <w:start w:val="1"/>
      <w:numFmt w:val="bullet"/>
      <w:lvlText w:val="•"/>
      <w:lvlJc w:val="left"/>
      <w:pPr>
        <w:ind w:left="702" w:hanging="146"/>
      </w:pPr>
    </w:lvl>
    <w:lvl w:ilvl="4" w:tplc="D9AC4006">
      <w:start w:val="1"/>
      <w:numFmt w:val="bullet"/>
      <w:lvlText w:val="•"/>
      <w:lvlJc w:val="left"/>
      <w:pPr>
        <w:ind w:left="913" w:hanging="146"/>
      </w:pPr>
    </w:lvl>
    <w:lvl w:ilvl="5" w:tplc="9B9A0D92">
      <w:start w:val="1"/>
      <w:numFmt w:val="bullet"/>
      <w:lvlText w:val="•"/>
      <w:lvlJc w:val="left"/>
      <w:pPr>
        <w:ind w:left="1124" w:hanging="146"/>
      </w:pPr>
    </w:lvl>
    <w:lvl w:ilvl="6" w:tplc="E71EECC6">
      <w:start w:val="1"/>
      <w:numFmt w:val="bullet"/>
      <w:lvlText w:val="•"/>
      <w:lvlJc w:val="left"/>
      <w:pPr>
        <w:ind w:left="1335" w:hanging="146"/>
      </w:pPr>
    </w:lvl>
    <w:lvl w:ilvl="7" w:tplc="E97A917A">
      <w:start w:val="1"/>
      <w:numFmt w:val="bullet"/>
      <w:lvlText w:val="•"/>
      <w:lvlJc w:val="left"/>
      <w:pPr>
        <w:ind w:left="1546" w:hanging="146"/>
      </w:pPr>
    </w:lvl>
    <w:lvl w:ilvl="8" w:tplc="87869E4A">
      <w:start w:val="1"/>
      <w:numFmt w:val="bullet"/>
      <w:lvlText w:val="•"/>
      <w:lvlJc w:val="left"/>
      <w:pPr>
        <w:ind w:left="1757" w:hanging="146"/>
      </w:pPr>
    </w:lvl>
  </w:abstractNum>
  <w:abstractNum w:abstractNumId="26" w15:restartNumberingAfterBreak="0">
    <w:nsid w:val="09C869B1"/>
    <w:multiLevelType w:val="hybridMultilevel"/>
    <w:tmpl w:val="128C05B4"/>
    <w:lvl w:ilvl="0" w:tplc="3E3A8A14">
      <w:start w:val="1"/>
      <w:numFmt w:val="bullet"/>
      <w:lvlText w:val="•"/>
      <w:lvlJc w:val="left"/>
      <w:pPr>
        <w:ind w:left="1440" w:hanging="114"/>
      </w:pPr>
      <w:rPr>
        <w:rFonts w:ascii="Gill Sans MT" w:eastAsia="Gill Sans MT" w:hAnsi="Gill Sans MT" w:hint="default"/>
        <w:w w:val="91"/>
        <w:sz w:val="20"/>
        <w:szCs w:val="20"/>
      </w:rPr>
    </w:lvl>
    <w:lvl w:ilvl="1" w:tplc="CC2A0832">
      <w:start w:val="1"/>
      <w:numFmt w:val="bullet"/>
      <w:lvlText w:val="-"/>
      <w:lvlJc w:val="left"/>
      <w:pPr>
        <w:ind w:left="2181" w:hanging="93"/>
      </w:pPr>
      <w:rPr>
        <w:rFonts w:ascii="Gill Sans MT" w:eastAsia="Gill Sans MT" w:hAnsi="Gill Sans MT" w:hint="default"/>
        <w:color w:val="0089CF"/>
        <w:w w:val="101"/>
        <w:sz w:val="16"/>
        <w:szCs w:val="16"/>
      </w:rPr>
    </w:lvl>
    <w:lvl w:ilvl="2" w:tplc="B58A1330">
      <w:start w:val="1"/>
      <w:numFmt w:val="bullet"/>
      <w:lvlText w:val="•"/>
      <w:lvlJc w:val="left"/>
      <w:pPr>
        <w:ind w:left="3195" w:hanging="93"/>
      </w:pPr>
      <w:rPr>
        <w:rFonts w:hint="default"/>
      </w:rPr>
    </w:lvl>
    <w:lvl w:ilvl="3" w:tplc="9EAA77D8">
      <w:start w:val="1"/>
      <w:numFmt w:val="bullet"/>
      <w:lvlText w:val="•"/>
      <w:lvlJc w:val="left"/>
      <w:pPr>
        <w:ind w:left="4209" w:hanging="93"/>
      </w:pPr>
      <w:rPr>
        <w:rFonts w:hint="default"/>
      </w:rPr>
    </w:lvl>
    <w:lvl w:ilvl="4" w:tplc="10D4F81C">
      <w:start w:val="1"/>
      <w:numFmt w:val="bullet"/>
      <w:lvlText w:val="•"/>
      <w:lvlJc w:val="left"/>
      <w:pPr>
        <w:ind w:left="5222" w:hanging="93"/>
      </w:pPr>
      <w:rPr>
        <w:rFonts w:hint="default"/>
      </w:rPr>
    </w:lvl>
    <w:lvl w:ilvl="5" w:tplc="E8BC3AB0">
      <w:start w:val="1"/>
      <w:numFmt w:val="bullet"/>
      <w:lvlText w:val="•"/>
      <w:lvlJc w:val="left"/>
      <w:pPr>
        <w:ind w:left="6236" w:hanging="93"/>
      </w:pPr>
      <w:rPr>
        <w:rFonts w:hint="default"/>
      </w:rPr>
    </w:lvl>
    <w:lvl w:ilvl="6" w:tplc="E80218D2">
      <w:start w:val="1"/>
      <w:numFmt w:val="bullet"/>
      <w:lvlText w:val="•"/>
      <w:lvlJc w:val="left"/>
      <w:pPr>
        <w:ind w:left="7250" w:hanging="93"/>
      </w:pPr>
      <w:rPr>
        <w:rFonts w:hint="default"/>
      </w:rPr>
    </w:lvl>
    <w:lvl w:ilvl="7" w:tplc="72908902">
      <w:start w:val="1"/>
      <w:numFmt w:val="bullet"/>
      <w:lvlText w:val="•"/>
      <w:lvlJc w:val="left"/>
      <w:pPr>
        <w:ind w:left="8264" w:hanging="93"/>
      </w:pPr>
      <w:rPr>
        <w:rFonts w:hint="default"/>
      </w:rPr>
    </w:lvl>
    <w:lvl w:ilvl="8" w:tplc="9CEA2C60">
      <w:start w:val="1"/>
      <w:numFmt w:val="bullet"/>
      <w:lvlText w:val="•"/>
      <w:lvlJc w:val="left"/>
      <w:pPr>
        <w:ind w:left="9277" w:hanging="93"/>
      </w:pPr>
      <w:rPr>
        <w:rFonts w:hint="default"/>
      </w:rPr>
    </w:lvl>
  </w:abstractNum>
  <w:abstractNum w:abstractNumId="27" w15:restartNumberingAfterBreak="0">
    <w:nsid w:val="0A797897"/>
    <w:multiLevelType w:val="hybridMultilevel"/>
    <w:tmpl w:val="2488EFB2"/>
    <w:lvl w:ilvl="0" w:tplc="041B0011">
      <w:start w:val="1"/>
      <w:numFmt w:val="decimal"/>
      <w:lvlText w:val="%1)"/>
      <w:lvlJc w:val="left"/>
      <w:pPr>
        <w:ind w:left="480" w:hanging="420"/>
      </w:pPr>
    </w:lvl>
    <w:lvl w:ilvl="1" w:tplc="041B0019">
      <w:start w:val="1"/>
      <w:numFmt w:val="lowerLetter"/>
      <w:lvlText w:val="%2."/>
      <w:lvlJc w:val="left"/>
      <w:pPr>
        <w:ind w:left="1140" w:hanging="360"/>
      </w:pPr>
    </w:lvl>
    <w:lvl w:ilvl="2" w:tplc="041B001B">
      <w:start w:val="1"/>
      <w:numFmt w:val="lowerRoman"/>
      <w:lvlText w:val="%3."/>
      <w:lvlJc w:val="right"/>
      <w:pPr>
        <w:ind w:left="1860" w:hanging="180"/>
      </w:pPr>
    </w:lvl>
    <w:lvl w:ilvl="3" w:tplc="041B000F">
      <w:start w:val="1"/>
      <w:numFmt w:val="decimal"/>
      <w:lvlText w:val="%4."/>
      <w:lvlJc w:val="left"/>
      <w:pPr>
        <w:ind w:left="2580" w:hanging="360"/>
      </w:pPr>
    </w:lvl>
    <w:lvl w:ilvl="4" w:tplc="041B0019">
      <w:start w:val="1"/>
      <w:numFmt w:val="lowerLetter"/>
      <w:lvlText w:val="%5."/>
      <w:lvlJc w:val="left"/>
      <w:pPr>
        <w:ind w:left="3300" w:hanging="360"/>
      </w:pPr>
    </w:lvl>
    <w:lvl w:ilvl="5" w:tplc="041B001B">
      <w:start w:val="1"/>
      <w:numFmt w:val="lowerRoman"/>
      <w:lvlText w:val="%6."/>
      <w:lvlJc w:val="right"/>
      <w:pPr>
        <w:ind w:left="4020" w:hanging="180"/>
      </w:pPr>
    </w:lvl>
    <w:lvl w:ilvl="6" w:tplc="041B000F">
      <w:start w:val="1"/>
      <w:numFmt w:val="decimal"/>
      <w:lvlText w:val="%7."/>
      <w:lvlJc w:val="left"/>
      <w:pPr>
        <w:ind w:left="4740" w:hanging="360"/>
      </w:pPr>
    </w:lvl>
    <w:lvl w:ilvl="7" w:tplc="041B0019">
      <w:start w:val="1"/>
      <w:numFmt w:val="lowerLetter"/>
      <w:lvlText w:val="%8."/>
      <w:lvlJc w:val="left"/>
      <w:pPr>
        <w:ind w:left="5460" w:hanging="360"/>
      </w:pPr>
    </w:lvl>
    <w:lvl w:ilvl="8" w:tplc="041B001B">
      <w:start w:val="1"/>
      <w:numFmt w:val="lowerRoman"/>
      <w:lvlText w:val="%9."/>
      <w:lvlJc w:val="right"/>
      <w:pPr>
        <w:ind w:left="6180" w:hanging="180"/>
      </w:pPr>
    </w:lvl>
  </w:abstractNum>
  <w:abstractNum w:abstractNumId="28" w15:restartNumberingAfterBreak="0">
    <w:nsid w:val="0AE938FB"/>
    <w:multiLevelType w:val="hybridMultilevel"/>
    <w:tmpl w:val="4A7CD4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B5E55A2"/>
    <w:multiLevelType w:val="hybridMultilevel"/>
    <w:tmpl w:val="A42CAFFA"/>
    <w:lvl w:ilvl="0" w:tplc="8D162BDA">
      <w:start w:val="1"/>
      <w:numFmt w:val="decimal"/>
      <w:pStyle w:val="NzovTabuky"/>
      <w:lvlText w:val="Tab. %1"/>
      <w:lvlJc w:val="left"/>
      <w:pPr>
        <w:tabs>
          <w:tab w:val="num" w:pos="0"/>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50019">
      <w:start w:val="1"/>
      <w:numFmt w:val="lowerLetter"/>
      <w:lvlText w:val="%2."/>
      <w:lvlJc w:val="left"/>
      <w:pPr>
        <w:tabs>
          <w:tab w:val="num" w:pos="1440"/>
        </w:tabs>
        <w:ind w:left="1440" w:hanging="360"/>
      </w:pPr>
    </w:lvl>
    <w:lvl w:ilvl="2" w:tplc="53E614DE">
      <w:start w:val="1"/>
      <w:numFmt w:val="lowerLetter"/>
      <w:lvlText w:val="%3)"/>
      <w:lvlJc w:val="left"/>
      <w:pPr>
        <w:tabs>
          <w:tab w:val="num" w:pos="2685"/>
        </w:tabs>
        <w:ind w:left="2685" w:hanging="705"/>
      </w:pPr>
      <w:rPr>
        <w:rFonts w:hint="default"/>
      </w:rPr>
    </w:lvl>
    <w:lvl w:ilvl="3" w:tplc="0405000F">
      <w:start w:val="1"/>
      <w:numFmt w:val="decimal"/>
      <w:lvlText w:val="%4."/>
      <w:lvlJc w:val="left"/>
      <w:pPr>
        <w:tabs>
          <w:tab w:val="num" w:pos="2880"/>
        </w:tabs>
        <w:ind w:left="2880" w:hanging="360"/>
      </w:pPr>
      <w:rPr>
        <w:rFonts w:hint="default"/>
        <w:sz w:val="23"/>
        <w:szCs w:val="23"/>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0B765348"/>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C067A7A"/>
    <w:multiLevelType w:val="multilevel"/>
    <w:tmpl w:val="4DE4A254"/>
    <w:lvl w:ilvl="0">
      <w:start w:val="1"/>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0CB40F0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0DBE76E8"/>
    <w:multiLevelType w:val="hybridMultilevel"/>
    <w:tmpl w:val="E670ED06"/>
    <w:lvl w:ilvl="0" w:tplc="AF9C6B26">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F891AF0"/>
    <w:multiLevelType w:val="multilevel"/>
    <w:tmpl w:val="188E79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7.2.%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0FFA0ECF"/>
    <w:multiLevelType w:val="multilevel"/>
    <w:tmpl w:val="A8D0E18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0E85940"/>
    <w:multiLevelType w:val="multilevel"/>
    <w:tmpl w:val="63C28692"/>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4"/>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19E1D3E"/>
    <w:multiLevelType w:val="hybridMultilevel"/>
    <w:tmpl w:val="18C47810"/>
    <w:lvl w:ilvl="0" w:tplc="A4EEAB9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1BC01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1C5623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2224F9F"/>
    <w:multiLevelType w:val="hybridMultilevel"/>
    <w:tmpl w:val="2BF47D66"/>
    <w:lvl w:ilvl="0" w:tplc="07BE7656">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128D5A2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13491635"/>
    <w:multiLevelType w:val="hybridMultilevel"/>
    <w:tmpl w:val="B02E867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35717ED"/>
    <w:multiLevelType w:val="hybridMultilevel"/>
    <w:tmpl w:val="FD6E2A3C"/>
    <w:lvl w:ilvl="0" w:tplc="9EFCD042">
      <w:start w:val="1"/>
      <w:numFmt w:val="upp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4" w15:restartNumberingAfterBreak="0">
    <w:nsid w:val="13D04A2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148E3159"/>
    <w:multiLevelType w:val="hybridMultilevel"/>
    <w:tmpl w:val="0DD62EEE"/>
    <w:lvl w:ilvl="0" w:tplc="885C9E44">
      <w:start w:val="1"/>
      <w:numFmt w:val="decimal"/>
      <w:pStyle w:val="NzovObrzku"/>
      <w:lvlText w:val="Obr. %1"/>
      <w:lvlJc w:val="left"/>
      <w:pPr>
        <w:tabs>
          <w:tab w:val="num" w:pos="180"/>
        </w:tabs>
        <w:ind w:left="1031" w:hanging="851"/>
      </w:pPr>
      <w:rPr>
        <w:rFonts w:hint="default"/>
      </w:rPr>
    </w:lvl>
    <w:lvl w:ilvl="1" w:tplc="04A6A25A">
      <w:start w:val="1"/>
      <w:numFmt w:val="lowerLetter"/>
      <w:lvlText w:val="%2)"/>
      <w:lvlJc w:val="left"/>
      <w:pPr>
        <w:tabs>
          <w:tab w:val="num" w:pos="1650"/>
        </w:tabs>
        <w:ind w:left="1650" w:hanging="57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15050E89"/>
    <w:multiLevelType w:val="hybridMultilevel"/>
    <w:tmpl w:val="8130863E"/>
    <w:lvl w:ilvl="0" w:tplc="AF9C6B26">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16BC705F"/>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16E2226E"/>
    <w:multiLevelType w:val="hybridMultilevel"/>
    <w:tmpl w:val="20C0CD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17762D0C"/>
    <w:multiLevelType w:val="hybridMultilevel"/>
    <w:tmpl w:val="E2F42E62"/>
    <w:lvl w:ilvl="0" w:tplc="090ED596">
      <w:start w:val="1"/>
      <w:numFmt w:val="bullet"/>
      <w:lvlText w:val="-"/>
      <w:lvlJc w:val="left"/>
      <w:pPr>
        <w:ind w:left="1004" w:hanging="360"/>
      </w:pPr>
      <w:rPr>
        <w:rFonts w:ascii="Arial" w:hAnsi="Arial" w:hint="default"/>
      </w:rPr>
    </w:lvl>
    <w:lvl w:ilvl="1" w:tplc="D35AB388">
      <w:numFmt w:val="bullet"/>
      <w:lvlText w:val="•"/>
      <w:lvlJc w:val="left"/>
      <w:pPr>
        <w:ind w:left="2069" w:hanging="705"/>
      </w:pPr>
      <w:rPr>
        <w:rFonts w:ascii="Times New Roman" w:eastAsia="Times New Roman" w:hAnsi="Times New Roman" w:cs="Times New Roman"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0" w15:restartNumberingAfterBreak="0">
    <w:nsid w:val="17DA4157"/>
    <w:multiLevelType w:val="hybridMultilevel"/>
    <w:tmpl w:val="D5D6EDE4"/>
    <w:lvl w:ilvl="0" w:tplc="F1CA7754">
      <w:start w:val="3"/>
      <w:numFmt w:val="lowerLetter"/>
      <w:lvlText w:val="%1)"/>
      <w:lvlJc w:val="left"/>
      <w:pPr>
        <w:ind w:left="70" w:hanging="180"/>
      </w:pPr>
      <w:rPr>
        <w:rFonts w:ascii="Times New Roman" w:eastAsia="Gill Sans MT" w:hAnsi="Times New Roman" w:cs="Times New Roman" w:hint="default"/>
        <w:color w:val="auto"/>
        <w:w w:val="114"/>
        <w:sz w:val="18"/>
        <w:szCs w:val="18"/>
      </w:rPr>
    </w:lvl>
    <w:lvl w:ilvl="1" w:tplc="0A2691C6">
      <w:start w:val="1"/>
      <w:numFmt w:val="bullet"/>
      <w:lvlText w:val="•"/>
      <w:lvlJc w:val="left"/>
      <w:pPr>
        <w:ind w:left="774" w:hanging="180"/>
      </w:pPr>
      <w:rPr>
        <w:rFonts w:hint="default"/>
      </w:rPr>
    </w:lvl>
    <w:lvl w:ilvl="2" w:tplc="FEFE00BE">
      <w:start w:val="1"/>
      <w:numFmt w:val="bullet"/>
      <w:lvlText w:val="•"/>
      <w:lvlJc w:val="left"/>
      <w:pPr>
        <w:ind w:left="1478" w:hanging="180"/>
      </w:pPr>
      <w:rPr>
        <w:rFonts w:hint="default"/>
      </w:rPr>
    </w:lvl>
    <w:lvl w:ilvl="3" w:tplc="F2B830F0">
      <w:start w:val="1"/>
      <w:numFmt w:val="bullet"/>
      <w:lvlText w:val="•"/>
      <w:lvlJc w:val="left"/>
      <w:pPr>
        <w:ind w:left="2182" w:hanging="180"/>
      </w:pPr>
      <w:rPr>
        <w:rFonts w:hint="default"/>
      </w:rPr>
    </w:lvl>
    <w:lvl w:ilvl="4" w:tplc="ADF07CA8">
      <w:start w:val="1"/>
      <w:numFmt w:val="bullet"/>
      <w:lvlText w:val="•"/>
      <w:lvlJc w:val="left"/>
      <w:pPr>
        <w:ind w:left="2886" w:hanging="180"/>
      </w:pPr>
      <w:rPr>
        <w:rFonts w:hint="default"/>
      </w:rPr>
    </w:lvl>
    <w:lvl w:ilvl="5" w:tplc="D702DEBA">
      <w:start w:val="1"/>
      <w:numFmt w:val="bullet"/>
      <w:lvlText w:val="•"/>
      <w:lvlJc w:val="left"/>
      <w:pPr>
        <w:ind w:left="3590" w:hanging="180"/>
      </w:pPr>
      <w:rPr>
        <w:rFonts w:hint="default"/>
      </w:rPr>
    </w:lvl>
    <w:lvl w:ilvl="6" w:tplc="340C2E54">
      <w:start w:val="1"/>
      <w:numFmt w:val="bullet"/>
      <w:lvlText w:val="•"/>
      <w:lvlJc w:val="left"/>
      <w:pPr>
        <w:ind w:left="4294" w:hanging="180"/>
      </w:pPr>
      <w:rPr>
        <w:rFonts w:hint="default"/>
      </w:rPr>
    </w:lvl>
    <w:lvl w:ilvl="7" w:tplc="C4A20CC4">
      <w:start w:val="1"/>
      <w:numFmt w:val="bullet"/>
      <w:lvlText w:val="•"/>
      <w:lvlJc w:val="left"/>
      <w:pPr>
        <w:ind w:left="4998" w:hanging="180"/>
      </w:pPr>
      <w:rPr>
        <w:rFonts w:hint="default"/>
      </w:rPr>
    </w:lvl>
    <w:lvl w:ilvl="8" w:tplc="3EF010D8">
      <w:start w:val="1"/>
      <w:numFmt w:val="bullet"/>
      <w:lvlText w:val="•"/>
      <w:lvlJc w:val="left"/>
      <w:pPr>
        <w:ind w:left="5702" w:hanging="180"/>
      </w:pPr>
      <w:rPr>
        <w:rFonts w:hint="default"/>
      </w:rPr>
    </w:lvl>
  </w:abstractNum>
  <w:abstractNum w:abstractNumId="51" w15:restartNumberingAfterBreak="0">
    <w:nsid w:val="18C57B01"/>
    <w:multiLevelType w:val="hybridMultilevel"/>
    <w:tmpl w:val="347E38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18D66C85"/>
    <w:multiLevelType w:val="multilevel"/>
    <w:tmpl w:val="340C28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192D10F9"/>
    <w:multiLevelType w:val="hybridMultilevel"/>
    <w:tmpl w:val="B8F07614"/>
    <w:lvl w:ilvl="0" w:tplc="090ED596">
      <w:start w:val="1"/>
      <w:numFmt w:val="bullet"/>
      <w:lvlText w:val="-"/>
      <w:lvlJc w:val="left"/>
      <w:pPr>
        <w:ind w:left="778" w:hanging="360"/>
      </w:pPr>
      <w:rPr>
        <w:rFonts w:ascii="Arial" w:hAnsi="Arial" w:hint="default"/>
      </w:rPr>
    </w:lvl>
    <w:lvl w:ilvl="1" w:tplc="041B0003" w:tentative="1">
      <w:start w:val="1"/>
      <w:numFmt w:val="bullet"/>
      <w:lvlText w:val="o"/>
      <w:lvlJc w:val="left"/>
      <w:pPr>
        <w:ind w:left="1498" w:hanging="360"/>
      </w:pPr>
      <w:rPr>
        <w:rFonts w:ascii="Courier New" w:hAnsi="Courier New" w:cs="Courier New" w:hint="default"/>
      </w:rPr>
    </w:lvl>
    <w:lvl w:ilvl="2" w:tplc="041B0005">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54" w15:restartNumberingAfterBreak="0">
    <w:nsid w:val="19587654"/>
    <w:multiLevelType w:val="hybridMultilevel"/>
    <w:tmpl w:val="A776F0C2"/>
    <w:lvl w:ilvl="0" w:tplc="6594429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1A567EE4"/>
    <w:multiLevelType w:val="hybridMultilevel"/>
    <w:tmpl w:val="75B623E6"/>
    <w:lvl w:ilvl="0" w:tplc="ADA07AB4">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6" w15:restartNumberingAfterBreak="0">
    <w:nsid w:val="1AC775B2"/>
    <w:multiLevelType w:val="hybridMultilevel"/>
    <w:tmpl w:val="E02A46BC"/>
    <w:lvl w:ilvl="0" w:tplc="F6E4309E">
      <w:start w:val="1"/>
      <w:numFmt w:val="bullet"/>
      <w:lvlText w:val="-"/>
      <w:lvlJc w:val="left"/>
      <w:pPr>
        <w:ind w:left="69" w:hanging="224"/>
      </w:pPr>
      <w:rPr>
        <w:rFonts w:ascii="Gill Sans MT" w:eastAsia="Gill Sans MT" w:hAnsi="Gill Sans MT" w:hint="default"/>
        <w:color w:val="0089CF"/>
        <w:w w:val="88"/>
        <w:sz w:val="16"/>
        <w:szCs w:val="16"/>
      </w:rPr>
    </w:lvl>
    <w:lvl w:ilvl="1" w:tplc="92E6FAFE">
      <w:start w:val="1"/>
      <w:numFmt w:val="bullet"/>
      <w:lvlText w:val="•"/>
      <w:lvlJc w:val="left"/>
      <w:pPr>
        <w:ind w:left="533" w:hanging="224"/>
      </w:pPr>
      <w:rPr>
        <w:rFonts w:hint="default"/>
      </w:rPr>
    </w:lvl>
    <w:lvl w:ilvl="2" w:tplc="704A68E2">
      <w:start w:val="1"/>
      <w:numFmt w:val="bullet"/>
      <w:lvlText w:val="•"/>
      <w:lvlJc w:val="left"/>
      <w:pPr>
        <w:ind w:left="997" w:hanging="224"/>
      </w:pPr>
      <w:rPr>
        <w:rFonts w:hint="default"/>
      </w:rPr>
    </w:lvl>
    <w:lvl w:ilvl="3" w:tplc="1A64B708">
      <w:start w:val="1"/>
      <w:numFmt w:val="bullet"/>
      <w:lvlText w:val="•"/>
      <w:lvlJc w:val="left"/>
      <w:pPr>
        <w:ind w:left="1461" w:hanging="224"/>
      </w:pPr>
      <w:rPr>
        <w:rFonts w:hint="default"/>
      </w:rPr>
    </w:lvl>
    <w:lvl w:ilvl="4" w:tplc="62549A80">
      <w:start w:val="1"/>
      <w:numFmt w:val="bullet"/>
      <w:lvlText w:val="•"/>
      <w:lvlJc w:val="left"/>
      <w:pPr>
        <w:ind w:left="1925" w:hanging="224"/>
      </w:pPr>
      <w:rPr>
        <w:rFonts w:hint="default"/>
      </w:rPr>
    </w:lvl>
    <w:lvl w:ilvl="5" w:tplc="9FAAB6B2">
      <w:start w:val="1"/>
      <w:numFmt w:val="bullet"/>
      <w:lvlText w:val="•"/>
      <w:lvlJc w:val="left"/>
      <w:pPr>
        <w:ind w:left="2389" w:hanging="224"/>
      </w:pPr>
      <w:rPr>
        <w:rFonts w:hint="default"/>
      </w:rPr>
    </w:lvl>
    <w:lvl w:ilvl="6" w:tplc="7046C644">
      <w:start w:val="1"/>
      <w:numFmt w:val="bullet"/>
      <w:lvlText w:val="•"/>
      <w:lvlJc w:val="left"/>
      <w:pPr>
        <w:ind w:left="2853" w:hanging="224"/>
      </w:pPr>
      <w:rPr>
        <w:rFonts w:hint="default"/>
      </w:rPr>
    </w:lvl>
    <w:lvl w:ilvl="7" w:tplc="98BE1D44">
      <w:start w:val="1"/>
      <w:numFmt w:val="bullet"/>
      <w:lvlText w:val="•"/>
      <w:lvlJc w:val="left"/>
      <w:pPr>
        <w:ind w:left="3317" w:hanging="224"/>
      </w:pPr>
      <w:rPr>
        <w:rFonts w:hint="default"/>
      </w:rPr>
    </w:lvl>
    <w:lvl w:ilvl="8" w:tplc="1748ADE4">
      <w:start w:val="1"/>
      <w:numFmt w:val="bullet"/>
      <w:lvlText w:val="•"/>
      <w:lvlJc w:val="left"/>
      <w:pPr>
        <w:ind w:left="3780" w:hanging="224"/>
      </w:pPr>
      <w:rPr>
        <w:rFonts w:hint="default"/>
      </w:rPr>
    </w:lvl>
  </w:abstractNum>
  <w:abstractNum w:abstractNumId="57" w15:restartNumberingAfterBreak="0">
    <w:nsid w:val="1D3C3DE0"/>
    <w:multiLevelType w:val="multilevel"/>
    <w:tmpl w:val="4DE4A254"/>
    <w:lvl w:ilvl="0">
      <w:start w:val="1"/>
      <w:numFmt w:val="decimal"/>
      <w:lvlText w:val="%1"/>
      <w:lvlJc w:val="left"/>
      <w:pPr>
        <w:ind w:left="705" w:hanging="705"/>
      </w:pPr>
      <w:rPr>
        <w:rFonts w:hint="default"/>
      </w:rPr>
    </w:lvl>
    <w:lvl w:ilvl="1">
      <w:start w:val="2"/>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1D44604A"/>
    <w:multiLevelType w:val="hybridMultilevel"/>
    <w:tmpl w:val="A82647F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1D631B89"/>
    <w:multiLevelType w:val="hybridMultilevel"/>
    <w:tmpl w:val="0548E1C4"/>
    <w:lvl w:ilvl="0" w:tplc="BA4C81A8">
      <w:start w:val="1"/>
      <w:numFmt w:val="bullet"/>
      <w:lvlText w:val="•"/>
      <w:lvlJc w:val="left"/>
      <w:pPr>
        <w:ind w:left="120" w:hanging="114"/>
      </w:pPr>
      <w:rPr>
        <w:rFonts w:ascii="Gill Sans MT" w:eastAsia="Gill Sans MT" w:hAnsi="Gill Sans MT" w:hint="default"/>
        <w:w w:val="91"/>
        <w:sz w:val="20"/>
        <w:szCs w:val="20"/>
      </w:rPr>
    </w:lvl>
    <w:lvl w:ilvl="1" w:tplc="9058203E">
      <w:start w:val="1"/>
      <w:numFmt w:val="bullet"/>
      <w:lvlText w:val="•"/>
      <w:lvlJc w:val="left"/>
      <w:pPr>
        <w:ind w:left="1238" w:hanging="114"/>
      </w:pPr>
      <w:rPr>
        <w:rFonts w:hint="default"/>
      </w:rPr>
    </w:lvl>
    <w:lvl w:ilvl="2" w:tplc="381031FE">
      <w:start w:val="1"/>
      <w:numFmt w:val="bullet"/>
      <w:lvlText w:val="•"/>
      <w:lvlJc w:val="left"/>
      <w:pPr>
        <w:ind w:left="2357" w:hanging="114"/>
      </w:pPr>
      <w:rPr>
        <w:rFonts w:hint="default"/>
      </w:rPr>
    </w:lvl>
    <w:lvl w:ilvl="3" w:tplc="54FE20E8">
      <w:start w:val="1"/>
      <w:numFmt w:val="bullet"/>
      <w:lvlText w:val="•"/>
      <w:lvlJc w:val="left"/>
      <w:pPr>
        <w:ind w:left="3475" w:hanging="114"/>
      </w:pPr>
      <w:rPr>
        <w:rFonts w:hint="default"/>
      </w:rPr>
    </w:lvl>
    <w:lvl w:ilvl="4" w:tplc="B992AEE0">
      <w:start w:val="1"/>
      <w:numFmt w:val="bullet"/>
      <w:lvlText w:val="•"/>
      <w:lvlJc w:val="left"/>
      <w:pPr>
        <w:ind w:left="4594" w:hanging="114"/>
      </w:pPr>
      <w:rPr>
        <w:rFonts w:hint="default"/>
      </w:rPr>
    </w:lvl>
    <w:lvl w:ilvl="5" w:tplc="648A581E">
      <w:start w:val="1"/>
      <w:numFmt w:val="bullet"/>
      <w:lvlText w:val="•"/>
      <w:lvlJc w:val="left"/>
      <w:pPr>
        <w:ind w:left="5712" w:hanging="114"/>
      </w:pPr>
      <w:rPr>
        <w:rFonts w:hint="default"/>
      </w:rPr>
    </w:lvl>
    <w:lvl w:ilvl="6" w:tplc="CEC85688">
      <w:start w:val="1"/>
      <w:numFmt w:val="bullet"/>
      <w:lvlText w:val="•"/>
      <w:lvlJc w:val="left"/>
      <w:pPr>
        <w:ind w:left="6831" w:hanging="114"/>
      </w:pPr>
      <w:rPr>
        <w:rFonts w:hint="default"/>
      </w:rPr>
    </w:lvl>
    <w:lvl w:ilvl="7" w:tplc="3126CC8E">
      <w:start w:val="1"/>
      <w:numFmt w:val="bullet"/>
      <w:lvlText w:val="•"/>
      <w:lvlJc w:val="left"/>
      <w:pPr>
        <w:ind w:left="7950" w:hanging="114"/>
      </w:pPr>
      <w:rPr>
        <w:rFonts w:hint="default"/>
      </w:rPr>
    </w:lvl>
    <w:lvl w:ilvl="8" w:tplc="0F1E6BC4">
      <w:start w:val="1"/>
      <w:numFmt w:val="bullet"/>
      <w:lvlText w:val="•"/>
      <w:lvlJc w:val="left"/>
      <w:pPr>
        <w:ind w:left="9068" w:hanging="114"/>
      </w:pPr>
      <w:rPr>
        <w:rFonts w:hint="default"/>
      </w:rPr>
    </w:lvl>
  </w:abstractNum>
  <w:abstractNum w:abstractNumId="60" w15:restartNumberingAfterBreak="0">
    <w:nsid w:val="1D95067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1DCC6098"/>
    <w:multiLevelType w:val="hybridMultilevel"/>
    <w:tmpl w:val="49325370"/>
    <w:lvl w:ilvl="0" w:tplc="2B7A6EF6">
      <w:start w:val="1"/>
      <w:numFmt w:val="decimal"/>
      <w:pStyle w:val="Obrhajo"/>
      <w:lvlText w:val="Obráz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1E3D5029"/>
    <w:multiLevelType w:val="multilevel"/>
    <w:tmpl w:val="DE8644D8"/>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1EC233FB"/>
    <w:multiLevelType w:val="multilevel"/>
    <w:tmpl w:val="A9907666"/>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1F761B4F"/>
    <w:multiLevelType w:val="hybridMultilevel"/>
    <w:tmpl w:val="94169308"/>
    <w:lvl w:ilvl="0" w:tplc="33C44038">
      <w:start w:val="110"/>
      <w:numFmt w:val="bullet"/>
      <w:lvlText w:val="-"/>
      <w:lvlJc w:val="left"/>
      <w:pPr>
        <w:ind w:left="720" w:hanging="360"/>
      </w:pPr>
      <w:rPr>
        <w:rFonts w:ascii="Arial" w:eastAsia="Times New Roman" w:hAnsi="Arial" w:cs="Arial"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20255994"/>
    <w:multiLevelType w:val="hybridMultilevel"/>
    <w:tmpl w:val="6EECC02A"/>
    <w:lvl w:ilvl="0" w:tplc="C2BE930E">
      <w:start w:val="1"/>
      <w:numFmt w:val="decimal"/>
      <w:pStyle w:val="Tab"/>
      <w:lvlText w:val="Tab. %1"/>
      <w:lvlJc w:val="left"/>
      <w:pPr>
        <w:ind w:left="2345"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start w:val="1"/>
      <w:numFmt w:val="lowerLetter"/>
      <w:lvlText w:val="%2."/>
      <w:lvlJc w:val="left"/>
      <w:pPr>
        <w:ind w:left="3425" w:hanging="360"/>
      </w:pPr>
    </w:lvl>
    <w:lvl w:ilvl="2" w:tplc="041B001B">
      <w:start w:val="1"/>
      <w:numFmt w:val="lowerRoman"/>
      <w:lvlText w:val="%3."/>
      <w:lvlJc w:val="right"/>
      <w:pPr>
        <w:ind w:left="4145" w:hanging="180"/>
      </w:pPr>
    </w:lvl>
    <w:lvl w:ilvl="3" w:tplc="041B000F">
      <w:start w:val="1"/>
      <w:numFmt w:val="decimal"/>
      <w:lvlText w:val="%4."/>
      <w:lvlJc w:val="left"/>
      <w:pPr>
        <w:ind w:left="4865" w:hanging="360"/>
      </w:pPr>
    </w:lvl>
    <w:lvl w:ilvl="4" w:tplc="041B0019" w:tentative="1">
      <w:start w:val="1"/>
      <w:numFmt w:val="lowerLetter"/>
      <w:lvlText w:val="%5."/>
      <w:lvlJc w:val="left"/>
      <w:pPr>
        <w:ind w:left="5585" w:hanging="360"/>
      </w:pPr>
    </w:lvl>
    <w:lvl w:ilvl="5" w:tplc="041B001B" w:tentative="1">
      <w:start w:val="1"/>
      <w:numFmt w:val="lowerRoman"/>
      <w:lvlText w:val="%6."/>
      <w:lvlJc w:val="right"/>
      <w:pPr>
        <w:ind w:left="6305" w:hanging="180"/>
      </w:pPr>
    </w:lvl>
    <w:lvl w:ilvl="6" w:tplc="041B000F" w:tentative="1">
      <w:start w:val="1"/>
      <w:numFmt w:val="decimal"/>
      <w:lvlText w:val="%7."/>
      <w:lvlJc w:val="left"/>
      <w:pPr>
        <w:ind w:left="7025" w:hanging="360"/>
      </w:pPr>
    </w:lvl>
    <w:lvl w:ilvl="7" w:tplc="041B0019" w:tentative="1">
      <w:start w:val="1"/>
      <w:numFmt w:val="lowerLetter"/>
      <w:lvlText w:val="%8."/>
      <w:lvlJc w:val="left"/>
      <w:pPr>
        <w:ind w:left="7745" w:hanging="360"/>
      </w:pPr>
    </w:lvl>
    <w:lvl w:ilvl="8" w:tplc="041B001B" w:tentative="1">
      <w:start w:val="1"/>
      <w:numFmt w:val="lowerRoman"/>
      <w:lvlText w:val="%9."/>
      <w:lvlJc w:val="right"/>
      <w:pPr>
        <w:ind w:left="8465" w:hanging="180"/>
      </w:pPr>
    </w:lvl>
  </w:abstractNum>
  <w:abstractNum w:abstractNumId="66" w15:restartNumberingAfterBreak="0">
    <w:nsid w:val="21B14D48"/>
    <w:multiLevelType w:val="hybridMultilevel"/>
    <w:tmpl w:val="0B5AB9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23CF7935"/>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257F24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2655450F"/>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2773179E"/>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1" w15:restartNumberingAfterBreak="0">
    <w:nsid w:val="277C056A"/>
    <w:multiLevelType w:val="hybridMultilevel"/>
    <w:tmpl w:val="DE087D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285C0894"/>
    <w:multiLevelType w:val="hybridMultilevel"/>
    <w:tmpl w:val="ACA259F2"/>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73" w15:restartNumberingAfterBreak="0">
    <w:nsid w:val="29C7625C"/>
    <w:multiLevelType w:val="hybridMultilevel"/>
    <w:tmpl w:val="7D3E1B2E"/>
    <w:lvl w:ilvl="0" w:tplc="0160251E">
      <w:start w:val="1"/>
      <w:numFmt w:val="bullet"/>
      <w:lvlText w:val="-"/>
      <w:lvlJc w:val="left"/>
      <w:pPr>
        <w:ind w:left="720" w:hanging="360"/>
      </w:pPr>
      <w:rPr>
        <w:rFonts w:ascii="Gill Sans MT" w:eastAsia="Gill Sans MT" w:hAnsi="Gill Sans MT" w:hint="default"/>
        <w:w w:val="88"/>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2B9B1498"/>
    <w:multiLevelType w:val="hybridMultilevel"/>
    <w:tmpl w:val="67E67566"/>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2BCF59FE"/>
    <w:multiLevelType w:val="hybridMultilevel"/>
    <w:tmpl w:val="41A25ADE"/>
    <w:lvl w:ilvl="0" w:tplc="69403BC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2BE10B54"/>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2C964247"/>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2CE45BD1"/>
    <w:multiLevelType w:val="hybridMultilevel"/>
    <w:tmpl w:val="73B6AA64"/>
    <w:lvl w:ilvl="0" w:tplc="7C0C4ABE">
      <w:start w:val="1"/>
      <w:numFmt w:val="bullet"/>
      <w:lvlText w:val="–"/>
      <w:lvlJc w:val="left"/>
      <w:pPr>
        <w:ind w:left="1004" w:hanging="360"/>
      </w:pPr>
      <w:rPr>
        <w:rFonts w:ascii="Gill Sans MT" w:eastAsia="Gill Sans MT" w:hAnsi="Gill Sans MT" w:hint="default"/>
        <w:color w:val="0089CF"/>
        <w:w w:val="131"/>
        <w:sz w:val="16"/>
        <w:szCs w:val="16"/>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79" w15:restartNumberingAfterBreak="0">
    <w:nsid w:val="2D071C6C"/>
    <w:multiLevelType w:val="hybridMultilevel"/>
    <w:tmpl w:val="28D6F776"/>
    <w:lvl w:ilvl="0" w:tplc="431633AA">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2E274E05"/>
    <w:multiLevelType w:val="multilevel"/>
    <w:tmpl w:val="18083B30"/>
    <w:numStyleLink w:val="tl4"/>
  </w:abstractNum>
  <w:abstractNum w:abstractNumId="81" w15:restartNumberingAfterBreak="0">
    <w:nsid w:val="2F492DA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2FA04388"/>
    <w:multiLevelType w:val="hybridMultilevel"/>
    <w:tmpl w:val="840C2C0A"/>
    <w:lvl w:ilvl="0" w:tplc="0B92304E">
      <w:start w:val="1"/>
      <w:numFmt w:val="lowerLetter"/>
      <w:lvlText w:val="%1)"/>
      <w:lvlJc w:val="left"/>
      <w:pPr>
        <w:ind w:left="70" w:hanging="183"/>
      </w:pPr>
      <w:rPr>
        <w:rFonts w:ascii="Times New Roman" w:eastAsia="Gill Sans MT" w:hAnsi="Times New Roman" w:cs="Times New Roman" w:hint="default"/>
        <w:color w:val="auto"/>
        <w:w w:val="118"/>
        <w:sz w:val="18"/>
        <w:szCs w:val="18"/>
      </w:rPr>
    </w:lvl>
    <w:lvl w:ilvl="1" w:tplc="C62E8502">
      <w:start w:val="1"/>
      <w:numFmt w:val="bullet"/>
      <w:lvlText w:val="•"/>
      <w:lvlJc w:val="left"/>
      <w:pPr>
        <w:ind w:left="774" w:hanging="183"/>
      </w:pPr>
      <w:rPr>
        <w:rFonts w:hint="default"/>
      </w:rPr>
    </w:lvl>
    <w:lvl w:ilvl="2" w:tplc="FC42309C">
      <w:start w:val="1"/>
      <w:numFmt w:val="bullet"/>
      <w:lvlText w:val="•"/>
      <w:lvlJc w:val="left"/>
      <w:pPr>
        <w:ind w:left="1478" w:hanging="183"/>
      </w:pPr>
      <w:rPr>
        <w:rFonts w:hint="default"/>
      </w:rPr>
    </w:lvl>
    <w:lvl w:ilvl="3" w:tplc="214CC9EA">
      <w:start w:val="1"/>
      <w:numFmt w:val="bullet"/>
      <w:lvlText w:val="•"/>
      <w:lvlJc w:val="left"/>
      <w:pPr>
        <w:ind w:left="2182" w:hanging="183"/>
      </w:pPr>
      <w:rPr>
        <w:rFonts w:hint="default"/>
      </w:rPr>
    </w:lvl>
    <w:lvl w:ilvl="4" w:tplc="A8B00FBA">
      <w:start w:val="1"/>
      <w:numFmt w:val="bullet"/>
      <w:lvlText w:val="•"/>
      <w:lvlJc w:val="left"/>
      <w:pPr>
        <w:ind w:left="2886" w:hanging="183"/>
      </w:pPr>
      <w:rPr>
        <w:rFonts w:hint="default"/>
      </w:rPr>
    </w:lvl>
    <w:lvl w:ilvl="5" w:tplc="9CAE5D2C">
      <w:start w:val="1"/>
      <w:numFmt w:val="bullet"/>
      <w:lvlText w:val="•"/>
      <w:lvlJc w:val="left"/>
      <w:pPr>
        <w:ind w:left="3590" w:hanging="183"/>
      </w:pPr>
      <w:rPr>
        <w:rFonts w:hint="default"/>
      </w:rPr>
    </w:lvl>
    <w:lvl w:ilvl="6" w:tplc="E3FCC70A">
      <w:start w:val="1"/>
      <w:numFmt w:val="bullet"/>
      <w:lvlText w:val="•"/>
      <w:lvlJc w:val="left"/>
      <w:pPr>
        <w:ind w:left="4294" w:hanging="183"/>
      </w:pPr>
      <w:rPr>
        <w:rFonts w:hint="default"/>
      </w:rPr>
    </w:lvl>
    <w:lvl w:ilvl="7" w:tplc="6FC6A304">
      <w:start w:val="1"/>
      <w:numFmt w:val="bullet"/>
      <w:lvlText w:val="•"/>
      <w:lvlJc w:val="left"/>
      <w:pPr>
        <w:ind w:left="4998" w:hanging="183"/>
      </w:pPr>
      <w:rPr>
        <w:rFonts w:hint="default"/>
      </w:rPr>
    </w:lvl>
    <w:lvl w:ilvl="8" w:tplc="586CC3AE">
      <w:start w:val="1"/>
      <w:numFmt w:val="bullet"/>
      <w:lvlText w:val="•"/>
      <w:lvlJc w:val="left"/>
      <w:pPr>
        <w:ind w:left="5702" w:hanging="183"/>
      </w:pPr>
      <w:rPr>
        <w:rFonts w:hint="default"/>
      </w:rPr>
    </w:lvl>
  </w:abstractNum>
  <w:abstractNum w:abstractNumId="83" w15:restartNumberingAfterBreak="0">
    <w:nsid w:val="301A1AE0"/>
    <w:multiLevelType w:val="multilevel"/>
    <w:tmpl w:val="3E22248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85" w15:restartNumberingAfterBreak="0">
    <w:nsid w:val="30FA13FF"/>
    <w:multiLevelType w:val="hybridMultilevel"/>
    <w:tmpl w:val="80F22DAA"/>
    <w:lvl w:ilvl="0" w:tplc="4708702A">
      <w:start w:val="1"/>
      <w:numFmt w:val="bullet"/>
      <w:lvlText w:val="-"/>
      <w:lvlJc w:val="left"/>
      <w:pPr>
        <w:ind w:left="70" w:hanging="80"/>
      </w:pPr>
      <w:rPr>
        <w:rFonts w:ascii="Gill Sans MT" w:eastAsia="Gill Sans MT" w:hAnsi="Gill Sans MT" w:hint="default"/>
        <w:color w:val="auto"/>
        <w:w w:val="85"/>
        <w:sz w:val="16"/>
        <w:szCs w:val="16"/>
      </w:rPr>
    </w:lvl>
    <w:lvl w:ilvl="1" w:tplc="36F019D6">
      <w:start w:val="1"/>
      <w:numFmt w:val="bullet"/>
      <w:lvlText w:val="•"/>
      <w:lvlJc w:val="left"/>
      <w:pPr>
        <w:ind w:left="774" w:hanging="80"/>
      </w:pPr>
      <w:rPr>
        <w:rFonts w:hint="default"/>
      </w:rPr>
    </w:lvl>
    <w:lvl w:ilvl="2" w:tplc="A0C4E950">
      <w:start w:val="1"/>
      <w:numFmt w:val="bullet"/>
      <w:lvlText w:val="•"/>
      <w:lvlJc w:val="left"/>
      <w:pPr>
        <w:ind w:left="1478" w:hanging="80"/>
      </w:pPr>
      <w:rPr>
        <w:rFonts w:hint="default"/>
      </w:rPr>
    </w:lvl>
    <w:lvl w:ilvl="3" w:tplc="260023A2">
      <w:start w:val="1"/>
      <w:numFmt w:val="bullet"/>
      <w:lvlText w:val="•"/>
      <w:lvlJc w:val="left"/>
      <w:pPr>
        <w:ind w:left="2182" w:hanging="80"/>
      </w:pPr>
      <w:rPr>
        <w:rFonts w:hint="default"/>
      </w:rPr>
    </w:lvl>
    <w:lvl w:ilvl="4" w:tplc="7BE4533E">
      <w:start w:val="1"/>
      <w:numFmt w:val="bullet"/>
      <w:lvlText w:val="•"/>
      <w:lvlJc w:val="left"/>
      <w:pPr>
        <w:ind w:left="2886" w:hanging="80"/>
      </w:pPr>
      <w:rPr>
        <w:rFonts w:hint="default"/>
      </w:rPr>
    </w:lvl>
    <w:lvl w:ilvl="5" w:tplc="E1D2FB74">
      <w:start w:val="1"/>
      <w:numFmt w:val="bullet"/>
      <w:lvlText w:val="•"/>
      <w:lvlJc w:val="left"/>
      <w:pPr>
        <w:ind w:left="3590" w:hanging="80"/>
      </w:pPr>
      <w:rPr>
        <w:rFonts w:hint="default"/>
      </w:rPr>
    </w:lvl>
    <w:lvl w:ilvl="6" w:tplc="51F0CB58">
      <w:start w:val="1"/>
      <w:numFmt w:val="bullet"/>
      <w:lvlText w:val="•"/>
      <w:lvlJc w:val="left"/>
      <w:pPr>
        <w:ind w:left="4294" w:hanging="80"/>
      </w:pPr>
      <w:rPr>
        <w:rFonts w:hint="default"/>
      </w:rPr>
    </w:lvl>
    <w:lvl w:ilvl="7" w:tplc="6B3EAD14">
      <w:start w:val="1"/>
      <w:numFmt w:val="bullet"/>
      <w:lvlText w:val="•"/>
      <w:lvlJc w:val="left"/>
      <w:pPr>
        <w:ind w:left="4998" w:hanging="80"/>
      </w:pPr>
      <w:rPr>
        <w:rFonts w:hint="default"/>
      </w:rPr>
    </w:lvl>
    <w:lvl w:ilvl="8" w:tplc="632E335E">
      <w:start w:val="1"/>
      <w:numFmt w:val="bullet"/>
      <w:lvlText w:val="•"/>
      <w:lvlJc w:val="left"/>
      <w:pPr>
        <w:ind w:left="5702" w:hanging="80"/>
      </w:pPr>
      <w:rPr>
        <w:rFonts w:hint="default"/>
      </w:rPr>
    </w:lvl>
  </w:abstractNum>
  <w:abstractNum w:abstractNumId="86" w15:restartNumberingAfterBreak="0">
    <w:nsid w:val="31194597"/>
    <w:multiLevelType w:val="hybridMultilevel"/>
    <w:tmpl w:val="B2561B10"/>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31217EF7"/>
    <w:multiLevelType w:val="multilevel"/>
    <w:tmpl w:val="53AC3E44"/>
    <w:lvl w:ilvl="0">
      <w:start w:val="2"/>
      <w:numFmt w:val="decimal"/>
      <w:lvlText w:val="%1"/>
      <w:lvlJc w:val="left"/>
      <w:pPr>
        <w:ind w:left="891" w:hanging="712"/>
      </w:pPr>
      <w:rPr>
        <w:rFonts w:hint="default"/>
      </w:rPr>
    </w:lvl>
    <w:lvl w:ilvl="1">
      <w:start w:val="4"/>
      <w:numFmt w:val="decimal"/>
      <w:lvlText w:val="%1.%2"/>
      <w:lvlJc w:val="left"/>
      <w:pPr>
        <w:ind w:left="891" w:hanging="712"/>
      </w:pPr>
      <w:rPr>
        <w:rFonts w:ascii="Gill Sans MT" w:eastAsia="Gill Sans MT" w:hAnsi="Gill Sans MT" w:hint="default"/>
        <w:b/>
        <w:bCs/>
        <w:color w:val="0089CF"/>
        <w:w w:val="104"/>
        <w:sz w:val="24"/>
        <w:szCs w:val="24"/>
      </w:rPr>
    </w:lvl>
    <w:lvl w:ilvl="2">
      <w:start w:val="1"/>
      <w:numFmt w:val="decimal"/>
      <w:lvlText w:val="%1.%2.%3"/>
      <w:lvlJc w:val="left"/>
      <w:pPr>
        <w:ind w:left="1260" w:hanging="1080"/>
        <w:jc w:val="right"/>
      </w:pPr>
      <w:rPr>
        <w:rFonts w:ascii="Gill Sans MT" w:eastAsia="Gill Sans MT" w:hAnsi="Gill Sans MT" w:hint="default"/>
        <w:b/>
        <w:bCs/>
        <w:color w:val="0089CF"/>
        <w:w w:val="104"/>
        <w:sz w:val="20"/>
        <w:szCs w:val="20"/>
      </w:rPr>
    </w:lvl>
    <w:lvl w:ilvl="3">
      <w:start w:val="1"/>
      <w:numFmt w:val="decimal"/>
      <w:lvlText w:val="%1.%2.%3.%4"/>
      <w:lvlJc w:val="left"/>
      <w:pPr>
        <w:ind w:left="1260" w:hanging="1080"/>
      </w:pPr>
      <w:rPr>
        <w:rFonts w:ascii="Gill Sans MT" w:eastAsia="Gill Sans MT" w:hAnsi="Gill Sans MT" w:hint="default"/>
        <w:b/>
        <w:bCs/>
        <w:color w:val="0089CF"/>
        <w:w w:val="104"/>
        <w:sz w:val="20"/>
        <w:szCs w:val="20"/>
      </w:rPr>
    </w:lvl>
    <w:lvl w:ilvl="4">
      <w:start w:val="1"/>
      <w:numFmt w:val="bullet"/>
      <w:lvlText w:val="•"/>
      <w:lvlJc w:val="left"/>
      <w:pPr>
        <w:ind w:left="1440" w:hanging="114"/>
      </w:pPr>
      <w:rPr>
        <w:rFonts w:ascii="Gill Sans MT" w:eastAsia="Gill Sans MT" w:hAnsi="Gill Sans MT" w:hint="default"/>
        <w:w w:val="91"/>
        <w:sz w:val="20"/>
        <w:szCs w:val="20"/>
      </w:rPr>
    </w:lvl>
    <w:lvl w:ilvl="5">
      <w:start w:val="1"/>
      <w:numFmt w:val="bullet"/>
      <w:lvlText w:val="•"/>
      <w:lvlJc w:val="left"/>
      <w:pPr>
        <w:ind w:left="2927" w:hanging="114"/>
      </w:pPr>
      <w:rPr>
        <w:rFonts w:hint="default"/>
      </w:rPr>
    </w:lvl>
    <w:lvl w:ilvl="6">
      <w:start w:val="1"/>
      <w:numFmt w:val="bullet"/>
      <w:lvlText w:val="•"/>
      <w:lvlJc w:val="left"/>
      <w:pPr>
        <w:ind w:left="3975" w:hanging="114"/>
      </w:pPr>
      <w:rPr>
        <w:rFonts w:hint="default"/>
      </w:rPr>
    </w:lvl>
    <w:lvl w:ilvl="7">
      <w:start w:val="1"/>
      <w:numFmt w:val="bullet"/>
      <w:lvlText w:val="•"/>
      <w:lvlJc w:val="left"/>
      <w:pPr>
        <w:ind w:left="5022" w:hanging="114"/>
      </w:pPr>
      <w:rPr>
        <w:rFonts w:hint="default"/>
      </w:rPr>
    </w:lvl>
    <w:lvl w:ilvl="8">
      <w:start w:val="1"/>
      <w:numFmt w:val="bullet"/>
      <w:lvlText w:val="•"/>
      <w:lvlJc w:val="left"/>
      <w:pPr>
        <w:ind w:left="6070" w:hanging="114"/>
      </w:pPr>
      <w:rPr>
        <w:rFonts w:hint="default"/>
      </w:rPr>
    </w:lvl>
  </w:abstractNum>
  <w:abstractNum w:abstractNumId="88" w15:restartNumberingAfterBreak="0">
    <w:nsid w:val="31AB32B4"/>
    <w:multiLevelType w:val="hybridMultilevel"/>
    <w:tmpl w:val="A0161018"/>
    <w:lvl w:ilvl="0" w:tplc="33C44038">
      <w:start w:val="110"/>
      <w:numFmt w:val="bullet"/>
      <w:lvlText w:val="-"/>
      <w:lvlJc w:val="left"/>
      <w:pPr>
        <w:ind w:left="928" w:hanging="360"/>
      </w:pPr>
      <w:rPr>
        <w:rFonts w:ascii="Arial" w:eastAsia="Times New Roman" w:hAnsi="Arial" w:cs="Arial"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9" w15:restartNumberingAfterBreak="0">
    <w:nsid w:val="329E1CCA"/>
    <w:multiLevelType w:val="hybridMultilevel"/>
    <w:tmpl w:val="6F72CC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32CC7788"/>
    <w:multiLevelType w:val="hybridMultilevel"/>
    <w:tmpl w:val="CE2E525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32E71711"/>
    <w:multiLevelType w:val="hybridMultilevel"/>
    <w:tmpl w:val="30B4F728"/>
    <w:lvl w:ilvl="0" w:tplc="7DCEC2AE">
      <w:start w:val="1"/>
      <w:numFmt w:val="bullet"/>
      <w:lvlText w:val="•"/>
      <w:lvlJc w:val="left"/>
      <w:pPr>
        <w:ind w:left="833" w:hanging="114"/>
      </w:pPr>
      <w:rPr>
        <w:rFonts w:ascii="Gill Sans MT" w:eastAsia="Gill Sans MT" w:hAnsi="Gill Sans MT" w:hint="default"/>
        <w:w w:val="91"/>
        <w:sz w:val="20"/>
        <w:szCs w:val="20"/>
      </w:rPr>
    </w:lvl>
    <w:lvl w:ilvl="1" w:tplc="2F0414F8">
      <w:start w:val="1"/>
      <w:numFmt w:val="bullet"/>
      <w:lvlText w:val="-"/>
      <w:lvlJc w:val="left"/>
      <w:pPr>
        <w:ind w:left="1440" w:hanging="106"/>
      </w:pPr>
      <w:rPr>
        <w:rFonts w:ascii="Gill Sans MT" w:eastAsia="Gill Sans MT" w:hAnsi="Gill Sans MT" w:hint="default"/>
        <w:w w:val="88"/>
        <w:sz w:val="20"/>
        <w:szCs w:val="20"/>
      </w:rPr>
    </w:lvl>
    <w:lvl w:ilvl="2" w:tplc="F3628B58">
      <w:start w:val="1"/>
      <w:numFmt w:val="bullet"/>
      <w:lvlText w:val="•"/>
      <w:lvlJc w:val="left"/>
      <w:pPr>
        <w:ind w:left="1545" w:hanging="106"/>
      </w:pPr>
      <w:rPr>
        <w:rFonts w:hint="default"/>
      </w:rPr>
    </w:lvl>
    <w:lvl w:ilvl="3" w:tplc="187E0958">
      <w:start w:val="1"/>
      <w:numFmt w:val="bullet"/>
      <w:lvlText w:val="•"/>
      <w:lvlJc w:val="left"/>
      <w:pPr>
        <w:ind w:left="2765" w:hanging="106"/>
      </w:pPr>
      <w:rPr>
        <w:rFonts w:hint="default"/>
      </w:rPr>
    </w:lvl>
    <w:lvl w:ilvl="4" w:tplc="C388A944">
      <w:start w:val="1"/>
      <w:numFmt w:val="bullet"/>
      <w:lvlText w:val="•"/>
      <w:lvlJc w:val="left"/>
      <w:pPr>
        <w:ind w:left="3985" w:hanging="106"/>
      </w:pPr>
      <w:rPr>
        <w:rFonts w:hint="default"/>
      </w:rPr>
    </w:lvl>
    <w:lvl w:ilvl="5" w:tplc="3B047A08">
      <w:start w:val="1"/>
      <w:numFmt w:val="bullet"/>
      <w:lvlText w:val="•"/>
      <w:lvlJc w:val="left"/>
      <w:pPr>
        <w:ind w:left="5205" w:hanging="106"/>
      </w:pPr>
      <w:rPr>
        <w:rFonts w:hint="default"/>
      </w:rPr>
    </w:lvl>
    <w:lvl w:ilvl="6" w:tplc="F3209360">
      <w:start w:val="1"/>
      <w:numFmt w:val="bullet"/>
      <w:lvlText w:val="•"/>
      <w:lvlJc w:val="left"/>
      <w:pPr>
        <w:ind w:left="6425" w:hanging="106"/>
      </w:pPr>
      <w:rPr>
        <w:rFonts w:hint="default"/>
      </w:rPr>
    </w:lvl>
    <w:lvl w:ilvl="7" w:tplc="41E42D7A">
      <w:start w:val="1"/>
      <w:numFmt w:val="bullet"/>
      <w:lvlText w:val="•"/>
      <w:lvlJc w:val="left"/>
      <w:pPr>
        <w:ind w:left="7645" w:hanging="106"/>
      </w:pPr>
      <w:rPr>
        <w:rFonts w:hint="default"/>
      </w:rPr>
    </w:lvl>
    <w:lvl w:ilvl="8" w:tplc="166229D2">
      <w:start w:val="1"/>
      <w:numFmt w:val="bullet"/>
      <w:lvlText w:val="•"/>
      <w:lvlJc w:val="left"/>
      <w:pPr>
        <w:ind w:left="8865" w:hanging="106"/>
      </w:pPr>
      <w:rPr>
        <w:rFonts w:hint="default"/>
      </w:rPr>
    </w:lvl>
  </w:abstractNum>
  <w:abstractNum w:abstractNumId="92" w15:restartNumberingAfterBreak="0">
    <w:nsid w:val="33A446D6"/>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344A469B"/>
    <w:multiLevelType w:val="multilevel"/>
    <w:tmpl w:val="04B885A4"/>
    <w:lvl w:ilvl="0">
      <w:start w:val="2"/>
      <w:numFmt w:val="decimal"/>
      <w:lvlText w:val="%1"/>
      <w:lvlJc w:val="left"/>
      <w:pPr>
        <w:ind w:left="1880" w:hanging="1080"/>
      </w:pPr>
      <w:rPr>
        <w:rFonts w:hint="default"/>
      </w:rPr>
    </w:lvl>
    <w:lvl w:ilvl="1">
      <w:start w:val="3"/>
      <w:numFmt w:val="decimal"/>
      <w:lvlText w:val="%1.%2"/>
      <w:lvlJc w:val="left"/>
      <w:pPr>
        <w:ind w:left="1880" w:hanging="1080"/>
      </w:pPr>
      <w:rPr>
        <w:rFonts w:hint="default"/>
      </w:rPr>
    </w:lvl>
    <w:lvl w:ilvl="2">
      <w:start w:val="3"/>
      <w:numFmt w:val="decimal"/>
      <w:lvlText w:val="%1.%2.%3"/>
      <w:lvlJc w:val="left"/>
      <w:pPr>
        <w:ind w:left="1880" w:hanging="1080"/>
        <w:jc w:val="right"/>
      </w:pPr>
      <w:rPr>
        <w:rFonts w:ascii="Gill Sans MT" w:eastAsia="Gill Sans MT" w:hAnsi="Gill Sans MT" w:hint="default"/>
        <w:b/>
        <w:bCs/>
        <w:color w:val="0089CF"/>
        <w:w w:val="104"/>
        <w:sz w:val="20"/>
        <w:szCs w:val="20"/>
      </w:rPr>
    </w:lvl>
    <w:lvl w:ilvl="3">
      <w:start w:val="1"/>
      <w:numFmt w:val="decimal"/>
      <w:lvlText w:val="%1.%2.%3.%4"/>
      <w:lvlJc w:val="left"/>
      <w:pPr>
        <w:ind w:left="1880" w:hanging="1080"/>
        <w:jc w:val="right"/>
      </w:pPr>
      <w:rPr>
        <w:rFonts w:ascii="Gill Sans MT" w:eastAsia="Gill Sans MT" w:hAnsi="Gill Sans MT" w:hint="default"/>
        <w:b/>
        <w:bCs/>
        <w:color w:val="0089CF"/>
        <w:w w:val="104"/>
        <w:sz w:val="20"/>
        <w:szCs w:val="20"/>
      </w:rPr>
    </w:lvl>
    <w:lvl w:ilvl="4">
      <w:start w:val="1"/>
      <w:numFmt w:val="bullet"/>
      <w:lvlText w:val="•"/>
      <w:lvlJc w:val="left"/>
      <w:pPr>
        <w:ind w:left="1439" w:hanging="114"/>
      </w:pPr>
      <w:rPr>
        <w:rFonts w:ascii="Gill Sans MT" w:eastAsia="Gill Sans MT" w:hAnsi="Gill Sans MT" w:hint="default"/>
        <w:w w:val="91"/>
        <w:sz w:val="20"/>
        <w:szCs w:val="20"/>
      </w:rPr>
    </w:lvl>
    <w:lvl w:ilvl="5">
      <w:start w:val="1"/>
      <w:numFmt w:val="bullet"/>
      <w:lvlText w:val="•"/>
      <w:lvlJc w:val="left"/>
      <w:pPr>
        <w:ind w:left="1880" w:hanging="114"/>
      </w:pPr>
      <w:rPr>
        <w:rFonts w:hint="default"/>
      </w:rPr>
    </w:lvl>
    <w:lvl w:ilvl="6">
      <w:start w:val="1"/>
      <w:numFmt w:val="bullet"/>
      <w:lvlText w:val="•"/>
      <w:lvlJc w:val="left"/>
      <w:pPr>
        <w:ind w:left="3141" w:hanging="114"/>
      </w:pPr>
      <w:rPr>
        <w:rFonts w:hint="default"/>
      </w:rPr>
    </w:lvl>
    <w:lvl w:ilvl="7">
      <w:start w:val="1"/>
      <w:numFmt w:val="bullet"/>
      <w:lvlText w:val="•"/>
      <w:lvlJc w:val="left"/>
      <w:pPr>
        <w:ind w:left="4402" w:hanging="114"/>
      </w:pPr>
      <w:rPr>
        <w:rFonts w:hint="default"/>
      </w:rPr>
    </w:lvl>
    <w:lvl w:ilvl="8">
      <w:start w:val="1"/>
      <w:numFmt w:val="bullet"/>
      <w:lvlText w:val="•"/>
      <w:lvlJc w:val="left"/>
      <w:pPr>
        <w:ind w:left="5663" w:hanging="114"/>
      </w:pPr>
      <w:rPr>
        <w:rFonts w:hint="default"/>
      </w:rPr>
    </w:lvl>
  </w:abstractNum>
  <w:abstractNum w:abstractNumId="94" w15:restartNumberingAfterBreak="0">
    <w:nsid w:val="35617EFD"/>
    <w:multiLevelType w:val="hybridMultilevel"/>
    <w:tmpl w:val="17E285CC"/>
    <w:lvl w:ilvl="0" w:tplc="422CF394">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95" w15:restartNumberingAfterBreak="0">
    <w:nsid w:val="358021BF"/>
    <w:multiLevelType w:val="multilevel"/>
    <w:tmpl w:val="836085FE"/>
    <w:lvl w:ilvl="0">
      <w:start w:val="1"/>
      <w:numFmt w:val="decimal"/>
      <w:lvlText w:val="%1"/>
      <w:lvlJc w:val="left"/>
      <w:pPr>
        <w:ind w:left="1700" w:hanging="816"/>
      </w:pPr>
      <w:rPr>
        <w:rFonts w:hint="default"/>
      </w:rPr>
    </w:lvl>
    <w:lvl w:ilvl="1">
      <w:start w:val="1"/>
      <w:numFmt w:val="decimal"/>
      <w:lvlText w:val="%1.%2"/>
      <w:lvlJc w:val="left"/>
      <w:pPr>
        <w:ind w:left="1700" w:hanging="816"/>
      </w:pPr>
      <w:rPr>
        <w:rFonts w:hint="default"/>
      </w:rPr>
    </w:lvl>
    <w:lvl w:ilvl="2">
      <w:start w:val="1"/>
      <w:numFmt w:val="decimal"/>
      <w:lvlText w:val="%1.%2.%3"/>
      <w:lvlJc w:val="left"/>
      <w:pPr>
        <w:ind w:left="1700" w:hanging="816"/>
      </w:pPr>
      <w:rPr>
        <w:rFonts w:hint="default"/>
      </w:rPr>
    </w:lvl>
    <w:lvl w:ilvl="3">
      <w:start w:val="1"/>
      <w:numFmt w:val="decimal"/>
      <w:lvlText w:val="%1.%2.%3.%4"/>
      <w:lvlJc w:val="left"/>
      <w:pPr>
        <w:ind w:left="1700" w:hanging="816"/>
        <w:jc w:val="right"/>
      </w:pPr>
      <w:rPr>
        <w:rFonts w:ascii="Arial" w:eastAsia="Arial" w:hAnsi="Arial" w:hint="default"/>
        <w:b/>
        <w:bCs/>
        <w:color w:val="0089CF"/>
        <w:w w:val="103"/>
        <w:sz w:val="20"/>
        <w:szCs w:val="20"/>
      </w:rPr>
    </w:lvl>
    <w:lvl w:ilvl="4">
      <w:start w:val="1"/>
      <w:numFmt w:val="bullet"/>
      <w:lvlText w:val="•"/>
      <w:lvlJc w:val="left"/>
      <w:pPr>
        <w:ind w:left="5542" w:hanging="816"/>
      </w:pPr>
      <w:rPr>
        <w:rFonts w:hint="default"/>
      </w:rPr>
    </w:lvl>
    <w:lvl w:ilvl="5">
      <w:start w:val="1"/>
      <w:numFmt w:val="bullet"/>
      <w:lvlText w:val="•"/>
      <w:lvlJc w:val="left"/>
      <w:pPr>
        <w:ind w:left="6502" w:hanging="816"/>
      </w:pPr>
      <w:rPr>
        <w:rFonts w:hint="default"/>
      </w:rPr>
    </w:lvl>
    <w:lvl w:ilvl="6">
      <w:start w:val="1"/>
      <w:numFmt w:val="bullet"/>
      <w:lvlText w:val="•"/>
      <w:lvlJc w:val="left"/>
      <w:pPr>
        <w:ind w:left="7463" w:hanging="816"/>
      </w:pPr>
      <w:rPr>
        <w:rFonts w:hint="default"/>
      </w:rPr>
    </w:lvl>
    <w:lvl w:ilvl="7">
      <w:start w:val="1"/>
      <w:numFmt w:val="bullet"/>
      <w:lvlText w:val="•"/>
      <w:lvlJc w:val="left"/>
      <w:pPr>
        <w:ind w:left="8423" w:hanging="816"/>
      </w:pPr>
      <w:rPr>
        <w:rFonts w:hint="default"/>
      </w:rPr>
    </w:lvl>
    <w:lvl w:ilvl="8">
      <w:start w:val="1"/>
      <w:numFmt w:val="bullet"/>
      <w:lvlText w:val="•"/>
      <w:lvlJc w:val="left"/>
      <w:pPr>
        <w:ind w:left="9384" w:hanging="816"/>
      </w:pPr>
      <w:rPr>
        <w:rFonts w:hint="default"/>
      </w:rPr>
    </w:lvl>
  </w:abstractNum>
  <w:abstractNum w:abstractNumId="96" w15:restartNumberingAfterBreak="0">
    <w:nsid w:val="369F3428"/>
    <w:multiLevelType w:val="hybridMultilevel"/>
    <w:tmpl w:val="4FA4B544"/>
    <w:lvl w:ilvl="0" w:tplc="421461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38B9408F"/>
    <w:multiLevelType w:val="hybridMultilevel"/>
    <w:tmpl w:val="D5D49C80"/>
    <w:lvl w:ilvl="0" w:tplc="7FB23A70">
      <w:start w:val="1"/>
      <w:numFmt w:val="bullet"/>
      <w:lvlText w:val="-"/>
      <w:lvlJc w:val="left"/>
      <w:pPr>
        <w:ind w:left="153" w:hanging="84"/>
      </w:pPr>
      <w:rPr>
        <w:rFonts w:ascii="Gill Sans MT" w:eastAsia="Gill Sans MT" w:hAnsi="Gill Sans MT" w:hint="default"/>
        <w:color w:val="0089CF"/>
        <w:w w:val="85"/>
        <w:sz w:val="16"/>
        <w:szCs w:val="16"/>
      </w:rPr>
    </w:lvl>
    <w:lvl w:ilvl="1" w:tplc="4C34FC2E">
      <w:start w:val="1"/>
      <w:numFmt w:val="bullet"/>
      <w:lvlText w:val="•"/>
      <w:lvlJc w:val="left"/>
      <w:pPr>
        <w:ind w:left="849" w:hanging="84"/>
      </w:pPr>
      <w:rPr>
        <w:rFonts w:hint="default"/>
      </w:rPr>
    </w:lvl>
    <w:lvl w:ilvl="2" w:tplc="F59ACC92">
      <w:start w:val="1"/>
      <w:numFmt w:val="bullet"/>
      <w:lvlText w:val="•"/>
      <w:lvlJc w:val="left"/>
      <w:pPr>
        <w:ind w:left="1545" w:hanging="84"/>
      </w:pPr>
      <w:rPr>
        <w:rFonts w:hint="default"/>
      </w:rPr>
    </w:lvl>
    <w:lvl w:ilvl="3" w:tplc="A906B5D2">
      <w:start w:val="1"/>
      <w:numFmt w:val="bullet"/>
      <w:lvlText w:val="•"/>
      <w:lvlJc w:val="left"/>
      <w:pPr>
        <w:ind w:left="2240" w:hanging="84"/>
      </w:pPr>
      <w:rPr>
        <w:rFonts w:hint="default"/>
      </w:rPr>
    </w:lvl>
    <w:lvl w:ilvl="4" w:tplc="D9D66B74">
      <w:start w:val="1"/>
      <w:numFmt w:val="bullet"/>
      <w:lvlText w:val="•"/>
      <w:lvlJc w:val="left"/>
      <w:pPr>
        <w:ind w:left="2936" w:hanging="84"/>
      </w:pPr>
      <w:rPr>
        <w:rFonts w:hint="default"/>
      </w:rPr>
    </w:lvl>
    <w:lvl w:ilvl="5" w:tplc="E3467E5C">
      <w:start w:val="1"/>
      <w:numFmt w:val="bullet"/>
      <w:lvlText w:val="•"/>
      <w:lvlJc w:val="left"/>
      <w:pPr>
        <w:ind w:left="3631" w:hanging="84"/>
      </w:pPr>
      <w:rPr>
        <w:rFonts w:hint="default"/>
      </w:rPr>
    </w:lvl>
    <w:lvl w:ilvl="6" w:tplc="F872BCBE">
      <w:start w:val="1"/>
      <w:numFmt w:val="bullet"/>
      <w:lvlText w:val="•"/>
      <w:lvlJc w:val="left"/>
      <w:pPr>
        <w:ind w:left="4327" w:hanging="84"/>
      </w:pPr>
      <w:rPr>
        <w:rFonts w:hint="default"/>
      </w:rPr>
    </w:lvl>
    <w:lvl w:ilvl="7" w:tplc="4D12F8D8">
      <w:start w:val="1"/>
      <w:numFmt w:val="bullet"/>
      <w:lvlText w:val="•"/>
      <w:lvlJc w:val="left"/>
      <w:pPr>
        <w:ind w:left="5023" w:hanging="84"/>
      </w:pPr>
      <w:rPr>
        <w:rFonts w:hint="default"/>
      </w:rPr>
    </w:lvl>
    <w:lvl w:ilvl="8" w:tplc="02F48788">
      <w:start w:val="1"/>
      <w:numFmt w:val="bullet"/>
      <w:lvlText w:val="•"/>
      <w:lvlJc w:val="left"/>
      <w:pPr>
        <w:ind w:left="5718" w:hanging="84"/>
      </w:pPr>
      <w:rPr>
        <w:rFonts w:hint="default"/>
      </w:rPr>
    </w:lvl>
  </w:abstractNum>
  <w:abstractNum w:abstractNumId="98" w15:restartNumberingAfterBreak="0">
    <w:nsid w:val="39FC412C"/>
    <w:multiLevelType w:val="hybridMultilevel"/>
    <w:tmpl w:val="F9280D16"/>
    <w:lvl w:ilvl="0" w:tplc="041B0005">
      <w:start w:val="1"/>
      <w:numFmt w:val="bullet"/>
      <w:lvlText w:val=""/>
      <w:lvlJc w:val="left"/>
      <w:pPr>
        <w:ind w:left="825" w:hanging="106"/>
      </w:pPr>
      <w:rPr>
        <w:rFonts w:ascii="Wingdings" w:hAnsi="Wingdings" w:hint="default"/>
        <w:w w:val="88"/>
        <w:sz w:val="20"/>
        <w:szCs w:val="20"/>
      </w:rPr>
    </w:lvl>
    <w:lvl w:ilvl="1" w:tplc="F412D828">
      <w:start w:val="1"/>
      <w:numFmt w:val="bullet"/>
      <w:lvlText w:val="•"/>
      <w:lvlJc w:val="left"/>
      <w:pPr>
        <w:ind w:left="1873" w:hanging="106"/>
      </w:pPr>
      <w:rPr>
        <w:rFonts w:hint="default"/>
      </w:rPr>
    </w:lvl>
    <w:lvl w:ilvl="2" w:tplc="0012235C">
      <w:start w:val="1"/>
      <w:numFmt w:val="bullet"/>
      <w:lvlText w:val="•"/>
      <w:lvlJc w:val="left"/>
      <w:pPr>
        <w:ind w:left="2921" w:hanging="106"/>
      </w:pPr>
      <w:rPr>
        <w:rFonts w:hint="default"/>
      </w:rPr>
    </w:lvl>
    <w:lvl w:ilvl="3" w:tplc="E9528F78">
      <w:start w:val="1"/>
      <w:numFmt w:val="bullet"/>
      <w:lvlText w:val="•"/>
      <w:lvlJc w:val="left"/>
      <w:pPr>
        <w:ind w:left="3969" w:hanging="106"/>
      </w:pPr>
      <w:rPr>
        <w:rFonts w:hint="default"/>
      </w:rPr>
    </w:lvl>
    <w:lvl w:ilvl="4" w:tplc="6F441038">
      <w:start w:val="1"/>
      <w:numFmt w:val="bullet"/>
      <w:lvlText w:val="•"/>
      <w:lvlJc w:val="left"/>
      <w:pPr>
        <w:ind w:left="5017" w:hanging="106"/>
      </w:pPr>
      <w:rPr>
        <w:rFonts w:hint="default"/>
      </w:rPr>
    </w:lvl>
    <w:lvl w:ilvl="5" w:tplc="BA8052DE">
      <w:start w:val="1"/>
      <w:numFmt w:val="bullet"/>
      <w:lvlText w:val="•"/>
      <w:lvlJc w:val="left"/>
      <w:pPr>
        <w:ind w:left="6065" w:hanging="106"/>
      </w:pPr>
      <w:rPr>
        <w:rFonts w:hint="default"/>
      </w:rPr>
    </w:lvl>
    <w:lvl w:ilvl="6" w:tplc="927AE722">
      <w:start w:val="1"/>
      <w:numFmt w:val="bullet"/>
      <w:lvlText w:val="•"/>
      <w:lvlJc w:val="left"/>
      <w:pPr>
        <w:ind w:left="7113" w:hanging="106"/>
      </w:pPr>
      <w:rPr>
        <w:rFonts w:hint="default"/>
      </w:rPr>
    </w:lvl>
    <w:lvl w:ilvl="7" w:tplc="8A60EED8">
      <w:start w:val="1"/>
      <w:numFmt w:val="bullet"/>
      <w:lvlText w:val="•"/>
      <w:lvlJc w:val="left"/>
      <w:pPr>
        <w:ind w:left="8161" w:hanging="106"/>
      </w:pPr>
      <w:rPr>
        <w:rFonts w:hint="default"/>
      </w:rPr>
    </w:lvl>
    <w:lvl w:ilvl="8" w:tplc="977ABDEC">
      <w:start w:val="1"/>
      <w:numFmt w:val="bullet"/>
      <w:lvlText w:val="•"/>
      <w:lvlJc w:val="left"/>
      <w:pPr>
        <w:ind w:left="9209" w:hanging="106"/>
      </w:pPr>
      <w:rPr>
        <w:rFonts w:hint="default"/>
      </w:rPr>
    </w:lvl>
  </w:abstractNum>
  <w:abstractNum w:abstractNumId="99" w15:restartNumberingAfterBreak="0">
    <w:nsid w:val="3A5A4D4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3A691D8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3B1D0E89"/>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3B876431"/>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3" w15:restartNumberingAfterBreak="0">
    <w:nsid w:val="3BF96FBC"/>
    <w:multiLevelType w:val="multilevel"/>
    <w:tmpl w:val="A9907666"/>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3D05373F"/>
    <w:multiLevelType w:val="multilevel"/>
    <w:tmpl w:val="550E60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2.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3EC95523"/>
    <w:multiLevelType w:val="hybridMultilevel"/>
    <w:tmpl w:val="9F1EE074"/>
    <w:lvl w:ilvl="0" w:tplc="9A0E778C">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406804E1"/>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410D4960"/>
    <w:multiLevelType w:val="hybridMultilevel"/>
    <w:tmpl w:val="C66831E2"/>
    <w:lvl w:ilvl="0" w:tplc="111CA83A">
      <w:start w:val="110"/>
      <w:numFmt w:val="bullet"/>
      <w:lvlText w:val="-"/>
      <w:lvlJc w:val="left"/>
      <w:pPr>
        <w:ind w:left="720" w:hanging="360"/>
      </w:pPr>
      <w:rPr>
        <w:rFonts w:ascii="Arial" w:eastAsia="Times New Roman" w:hAnsi="Arial" w:cs="Arial" w:hint="default"/>
        <w:color w:val="auto"/>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41EF4255"/>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4326417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44D31CF4"/>
    <w:multiLevelType w:val="hybridMultilevel"/>
    <w:tmpl w:val="D7A2FCBC"/>
    <w:lvl w:ilvl="0" w:tplc="50CE8436">
      <w:start w:val="1"/>
      <w:numFmt w:val="decimal"/>
      <w:pStyle w:val="Graf"/>
      <w:lvlText w:val="Graf. %1"/>
      <w:lvlJc w:val="left"/>
      <w:pPr>
        <w:ind w:left="720" w:hanging="360"/>
      </w:pPr>
      <w:rPr>
        <w:rFonts w:hint="default"/>
      </w:rPr>
    </w:lvl>
    <w:lvl w:ilvl="1" w:tplc="6EB2001A">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45691A82"/>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3" w15:restartNumberingAfterBreak="0">
    <w:nsid w:val="479909E7"/>
    <w:multiLevelType w:val="hybridMultilevel"/>
    <w:tmpl w:val="410E29F2"/>
    <w:lvl w:ilvl="0" w:tplc="A9464E2E">
      <w:start w:val="25"/>
      <w:numFmt w:val="decimal"/>
      <w:lvlText w:val="%1."/>
      <w:lvlJc w:val="left"/>
      <w:pPr>
        <w:ind w:left="118" w:hanging="337"/>
      </w:pPr>
      <w:rPr>
        <w:rFonts w:ascii="Gill Sans MT" w:eastAsia="Gill Sans MT" w:hAnsi="Gill Sans MT" w:hint="default"/>
        <w:w w:val="110"/>
        <w:sz w:val="20"/>
        <w:szCs w:val="20"/>
      </w:rPr>
    </w:lvl>
    <w:lvl w:ilvl="1" w:tplc="CC8497DE">
      <w:start w:val="1"/>
      <w:numFmt w:val="bullet"/>
      <w:lvlText w:val="•"/>
      <w:lvlJc w:val="left"/>
      <w:pPr>
        <w:ind w:left="720" w:hanging="152"/>
      </w:pPr>
      <w:rPr>
        <w:rFonts w:ascii="Gill Sans MT" w:eastAsia="Gill Sans MT" w:hAnsi="Gill Sans MT" w:hint="default"/>
        <w:w w:val="91"/>
        <w:sz w:val="20"/>
        <w:szCs w:val="20"/>
      </w:rPr>
    </w:lvl>
    <w:lvl w:ilvl="2" w:tplc="AFDAE042">
      <w:start w:val="1"/>
      <w:numFmt w:val="bullet"/>
      <w:lvlText w:val="•"/>
      <w:lvlJc w:val="left"/>
      <w:pPr>
        <w:ind w:left="1830" w:hanging="152"/>
      </w:pPr>
      <w:rPr>
        <w:rFonts w:hint="default"/>
      </w:rPr>
    </w:lvl>
    <w:lvl w:ilvl="3" w:tplc="D2B28062">
      <w:start w:val="1"/>
      <w:numFmt w:val="bullet"/>
      <w:lvlText w:val="•"/>
      <w:lvlJc w:val="left"/>
      <w:pPr>
        <w:ind w:left="2939" w:hanging="152"/>
      </w:pPr>
      <w:rPr>
        <w:rFonts w:hint="default"/>
      </w:rPr>
    </w:lvl>
    <w:lvl w:ilvl="4" w:tplc="D08644CC">
      <w:start w:val="1"/>
      <w:numFmt w:val="bullet"/>
      <w:lvlText w:val="•"/>
      <w:lvlJc w:val="left"/>
      <w:pPr>
        <w:ind w:left="4048" w:hanging="152"/>
      </w:pPr>
      <w:rPr>
        <w:rFonts w:hint="default"/>
      </w:rPr>
    </w:lvl>
    <w:lvl w:ilvl="5" w:tplc="BB08D9E4">
      <w:start w:val="1"/>
      <w:numFmt w:val="bullet"/>
      <w:lvlText w:val="•"/>
      <w:lvlJc w:val="left"/>
      <w:pPr>
        <w:ind w:left="5158" w:hanging="152"/>
      </w:pPr>
      <w:rPr>
        <w:rFonts w:hint="default"/>
      </w:rPr>
    </w:lvl>
    <w:lvl w:ilvl="6" w:tplc="C2E8AF66">
      <w:start w:val="1"/>
      <w:numFmt w:val="bullet"/>
      <w:lvlText w:val="•"/>
      <w:lvlJc w:val="left"/>
      <w:pPr>
        <w:ind w:left="6267" w:hanging="152"/>
      </w:pPr>
      <w:rPr>
        <w:rFonts w:hint="default"/>
      </w:rPr>
    </w:lvl>
    <w:lvl w:ilvl="7" w:tplc="77D46886">
      <w:start w:val="1"/>
      <w:numFmt w:val="bullet"/>
      <w:lvlText w:val="•"/>
      <w:lvlJc w:val="left"/>
      <w:pPr>
        <w:ind w:left="7377" w:hanging="152"/>
      </w:pPr>
      <w:rPr>
        <w:rFonts w:hint="default"/>
      </w:rPr>
    </w:lvl>
    <w:lvl w:ilvl="8" w:tplc="3934F93E">
      <w:start w:val="1"/>
      <w:numFmt w:val="bullet"/>
      <w:lvlText w:val="•"/>
      <w:lvlJc w:val="left"/>
      <w:pPr>
        <w:ind w:left="8486" w:hanging="152"/>
      </w:pPr>
      <w:rPr>
        <w:rFonts w:hint="default"/>
      </w:rPr>
    </w:lvl>
  </w:abstractNum>
  <w:abstractNum w:abstractNumId="114" w15:restartNumberingAfterBreak="0">
    <w:nsid w:val="48471B03"/>
    <w:multiLevelType w:val="hybridMultilevel"/>
    <w:tmpl w:val="12162692"/>
    <w:lvl w:ilvl="0" w:tplc="362460E2">
      <w:start w:val="1"/>
      <w:numFmt w:val="bullet"/>
      <w:lvlText w:val="-"/>
      <w:lvlJc w:val="left"/>
      <w:pPr>
        <w:ind w:left="2181" w:hanging="93"/>
      </w:pPr>
      <w:rPr>
        <w:rFonts w:ascii="Gill Sans MT" w:eastAsia="Gill Sans MT" w:hAnsi="Gill Sans MT" w:hint="default"/>
        <w:color w:val="0089CF"/>
        <w:w w:val="101"/>
        <w:sz w:val="16"/>
        <w:szCs w:val="16"/>
      </w:rPr>
    </w:lvl>
    <w:lvl w:ilvl="1" w:tplc="356E1A5E">
      <w:start w:val="1"/>
      <w:numFmt w:val="bullet"/>
      <w:lvlText w:val="•"/>
      <w:lvlJc w:val="left"/>
      <w:pPr>
        <w:ind w:left="3093" w:hanging="93"/>
      </w:pPr>
      <w:rPr>
        <w:rFonts w:hint="default"/>
      </w:rPr>
    </w:lvl>
    <w:lvl w:ilvl="2" w:tplc="DC74D6C6">
      <w:start w:val="1"/>
      <w:numFmt w:val="bullet"/>
      <w:lvlText w:val="•"/>
      <w:lvlJc w:val="left"/>
      <w:pPr>
        <w:ind w:left="4006" w:hanging="93"/>
      </w:pPr>
      <w:rPr>
        <w:rFonts w:hint="default"/>
      </w:rPr>
    </w:lvl>
    <w:lvl w:ilvl="3" w:tplc="2AC2AD4C">
      <w:start w:val="1"/>
      <w:numFmt w:val="bullet"/>
      <w:lvlText w:val="•"/>
      <w:lvlJc w:val="left"/>
      <w:pPr>
        <w:ind w:left="4918" w:hanging="93"/>
      </w:pPr>
      <w:rPr>
        <w:rFonts w:hint="default"/>
      </w:rPr>
    </w:lvl>
    <w:lvl w:ilvl="4" w:tplc="B2A2684A">
      <w:start w:val="1"/>
      <w:numFmt w:val="bullet"/>
      <w:lvlText w:val="•"/>
      <w:lvlJc w:val="left"/>
      <w:pPr>
        <w:ind w:left="5831" w:hanging="93"/>
      </w:pPr>
      <w:rPr>
        <w:rFonts w:hint="default"/>
      </w:rPr>
    </w:lvl>
    <w:lvl w:ilvl="5" w:tplc="48B826AA">
      <w:start w:val="1"/>
      <w:numFmt w:val="bullet"/>
      <w:lvlText w:val="•"/>
      <w:lvlJc w:val="left"/>
      <w:pPr>
        <w:ind w:left="6743" w:hanging="93"/>
      </w:pPr>
      <w:rPr>
        <w:rFonts w:hint="default"/>
      </w:rPr>
    </w:lvl>
    <w:lvl w:ilvl="6" w:tplc="90267206">
      <w:start w:val="1"/>
      <w:numFmt w:val="bullet"/>
      <w:lvlText w:val="•"/>
      <w:lvlJc w:val="left"/>
      <w:pPr>
        <w:ind w:left="7655" w:hanging="93"/>
      </w:pPr>
      <w:rPr>
        <w:rFonts w:hint="default"/>
      </w:rPr>
    </w:lvl>
    <w:lvl w:ilvl="7" w:tplc="C96E376A">
      <w:start w:val="1"/>
      <w:numFmt w:val="bullet"/>
      <w:lvlText w:val="•"/>
      <w:lvlJc w:val="left"/>
      <w:pPr>
        <w:ind w:left="8568" w:hanging="93"/>
      </w:pPr>
      <w:rPr>
        <w:rFonts w:hint="default"/>
      </w:rPr>
    </w:lvl>
    <w:lvl w:ilvl="8" w:tplc="4710B9A2">
      <w:start w:val="1"/>
      <w:numFmt w:val="bullet"/>
      <w:lvlText w:val="•"/>
      <w:lvlJc w:val="left"/>
      <w:pPr>
        <w:ind w:left="9480" w:hanging="93"/>
      </w:pPr>
      <w:rPr>
        <w:rFonts w:hint="default"/>
      </w:rPr>
    </w:lvl>
  </w:abstractNum>
  <w:abstractNum w:abstractNumId="115" w15:restartNumberingAfterBreak="0">
    <w:nsid w:val="48B22AB6"/>
    <w:multiLevelType w:val="hybridMultilevel"/>
    <w:tmpl w:val="8F5403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49353B99"/>
    <w:multiLevelType w:val="hybridMultilevel"/>
    <w:tmpl w:val="F6A48FE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4A236DF0"/>
    <w:multiLevelType w:val="hybridMultilevel"/>
    <w:tmpl w:val="B5E22E06"/>
    <w:lvl w:ilvl="0" w:tplc="E1AE80DC">
      <w:start w:val="1"/>
      <w:numFmt w:val="decimal"/>
      <w:lvlText w:val="%1)"/>
      <w:lvlJc w:val="left"/>
      <w:pPr>
        <w:ind w:left="1199" w:hanging="360"/>
      </w:pPr>
      <w:rPr>
        <w:rFonts w:ascii="Arial" w:hAnsi="Arial" w:hint="default"/>
        <w:sz w:val="22"/>
      </w:rPr>
    </w:lvl>
    <w:lvl w:ilvl="1" w:tplc="041B0003" w:tentative="1">
      <w:start w:val="1"/>
      <w:numFmt w:val="bullet"/>
      <w:lvlText w:val="o"/>
      <w:lvlJc w:val="left"/>
      <w:pPr>
        <w:ind w:left="1919" w:hanging="360"/>
      </w:pPr>
      <w:rPr>
        <w:rFonts w:ascii="Courier New" w:hAnsi="Courier New" w:cs="Courier New" w:hint="default"/>
      </w:rPr>
    </w:lvl>
    <w:lvl w:ilvl="2" w:tplc="041B0005" w:tentative="1">
      <w:start w:val="1"/>
      <w:numFmt w:val="bullet"/>
      <w:lvlText w:val=""/>
      <w:lvlJc w:val="left"/>
      <w:pPr>
        <w:ind w:left="2639" w:hanging="360"/>
      </w:pPr>
      <w:rPr>
        <w:rFonts w:ascii="Wingdings" w:hAnsi="Wingdings" w:hint="default"/>
      </w:rPr>
    </w:lvl>
    <w:lvl w:ilvl="3" w:tplc="041B0001" w:tentative="1">
      <w:start w:val="1"/>
      <w:numFmt w:val="bullet"/>
      <w:lvlText w:val=""/>
      <w:lvlJc w:val="left"/>
      <w:pPr>
        <w:ind w:left="3359" w:hanging="360"/>
      </w:pPr>
      <w:rPr>
        <w:rFonts w:ascii="Symbol" w:hAnsi="Symbol" w:hint="default"/>
      </w:rPr>
    </w:lvl>
    <w:lvl w:ilvl="4" w:tplc="041B0003" w:tentative="1">
      <w:start w:val="1"/>
      <w:numFmt w:val="bullet"/>
      <w:lvlText w:val="o"/>
      <w:lvlJc w:val="left"/>
      <w:pPr>
        <w:ind w:left="4079" w:hanging="360"/>
      </w:pPr>
      <w:rPr>
        <w:rFonts w:ascii="Courier New" w:hAnsi="Courier New" w:cs="Courier New" w:hint="default"/>
      </w:rPr>
    </w:lvl>
    <w:lvl w:ilvl="5" w:tplc="041B0005" w:tentative="1">
      <w:start w:val="1"/>
      <w:numFmt w:val="bullet"/>
      <w:lvlText w:val=""/>
      <w:lvlJc w:val="left"/>
      <w:pPr>
        <w:ind w:left="4799" w:hanging="360"/>
      </w:pPr>
      <w:rPr>
        <w:rFonts w:ascii="Wingdings" w:hAnsi="Wingdings" w:hint="default"/>
      </w:rPr>
    </w:lvl>
    <w:lvl w:ilvl="6" w:tplc="041B0001" w:tentative="1">
      <w:start w:val="1"/>
      <w:numFmt w:val="bullet"/>
      <w:lvlText w:val=""/>
      <w:lvlJc w:val="left"/>
      <w:pPr>
        <w:ind w:left="5519" w:hanging="360"/>
      </w:pPr>
      <w:rPr>
        <w:rFonts w:ascii="Symbol" w:hAnsi="Symbol" w:hint="default"/>
      </w:rPr>
    </w:lvl>
    <w:lvl w:ilvl="7" w:tplc="041B0003" w:tentative="1">
      <w:start w:val="1"/>
      <w:numFmt w:val="bullet"/>
      <w:lvlText w:val="o"/>
      <w:lvlJc w:val="left"/>
      <w:pPr>
        <w:ind w:left="6239" w:hanging="360"/>
      </w:pPr>
      <w:rPr>
        <w:rFonts w:ascii="Courier New" w:hAnsi="Courier New" w:cs="Courier New" w:hint="default"/>
      </w:rPr>
    </w:lvl>
    <w:lvl w:ilvl="8" w:tplc="041B0005" w:tentative="1">
      <w:start w:val="1"/>
      <w:numFmt w:val="bullet"/>
      <w:lvlText w:val=""/>
      <w:lvlJc w:val="left"/>
      <w:pPr>
        <w:ind w:left="6959" w:hanging="360"/>
      </w:pPr>
      <w:rPr>
        <w:rFonts w:ascii="Wingdings" w:hAnsi="Wingdings" w:hint="default"/>
      </w:rPr>
    </w:lvl>
  </w:abstractNum>
  <w:abstractNum w:abstractNumId="118" w15:restartNumberingAfterBreak="0">
    <w:nsid w:val="4A415C9A"/>
    <w:multiLevelType w:val="hybridMultilevel"/>
    <w:tmpl w:val="73CE2A92"/>
    <w:lvl w:ilvl="0" w:tplc="8A8A6E76">
      <w:start w:val="1"/>
      <w:numFmt w:val="bullet"/>
      <w:lvlText w:val="-"/>
      <w:lvlJc w:val="left"/>
      <w:pPr>
        <w:ind w:left="839" w:hanging="137"/>
      </w:pPr>
      <w:rPr>
        <w:rFonts w:ascii="Gill Sans MT" w:eastAsia="Gill Sans MT" w:hAnsi="Gill Sans MT" w:hint="default"/>
        <w:w w:val="88"/>
        <w:sz w:val="20"/>
        <w:szCs w:val="20"/>
      </w:rPr>
    </w:lvl>
    <w:lvl w:ilvl="1" w:tplc="4846FA3E">
      <w:start w:val="1"/>
      <w:numFmt w:val="bullet"/>
      <w:lvlText w:val="•"/>
      <w:lvlJc w:val="left"/>
      <w:pPr>
        <w:ind w:left="1439" w:hanging="236"/>
      </w:pPr>
      <w:rPr>
        <w:rFonts w:ascii="Gill Sans MT" w:eastAsia="Gill Sans MT" w:hAnsi="Gill Sans MT" w:hint="default"/>
        <w:w w:val="91"/>
        <w:sz w:val="20"/>
        <w:szCs w:val="20"/>
      </w:rPr>
    </w:lvl>
    <w:lvl w:ilvl="2" w:tplc="E41C8558">
      <w:start w:val="1"/>
      <w:numFmt w:val="bullet"/>
      <w:lvlText w:val="•"/>
      <w:lvlJc w:val="left"/>
      <w:pPr>
        <w:ind w:left="2468" w:hanging="236"/>
      </w:pPr>
    </w:lvl>
    <w:lvl w:ilvl="3" w:tplc="E5DA7810">
      <w:start w:val="1"/>
      <w:numFmt w:val="bullet"/>
      <w:lvlText w:val="•"/>
      <w:lvlJc w:val="left"/>
      <w:pPr>
        <w:ind w:left="3498" w:hanging="236"/>
      </w:pPr>
    </w:lvl>
    <w:lvl w:ilvl="4" w:tplc="5F26B3D8">
      <w:start w:val="1"/>
      <w:numFmt w:val="bullet"/>
      <w:lvlText w:val="•"/>
      <w:lvlJc w:val="left"/>
      <w:pPr>
        <w:ind w:left="4528" w:hanging="236"/>
      </w:pPr>
    </w:lvl>
    <w:lvl w:ilvl="5" w:tplc="00609EF4">
      <w:start w:val="1"/>
      <w:numFmt w:val="bullet"/>
      <w:lvlText w:val="•"/>
      <w:lvlJc w:val="left"/>
      <w:pPr>
        <w:ind w:left="5557" w:hanging="236"/>
      </w:pPr>
    </w:lvl>
    <w:lvl w:ilvl="6" w:tplc="6344C746">
      <w:start w:val="1"/>
      <w:numFmt w:val="bullet"/>
      <w:lvlText w:val="•"/>
      <w:lvlJc w:val="left"/>
      <w:pPr>
        <w:ind w:left="6587" w:hanging="236"/>
      </w:pPr>
    </w:lvl>
    <w:lvl w:ilvl="7" w:tplc="51023860">
      <w:start w:val="1"/>
      <w:numFmt w:val="bullet"/>
      <w:lvlText w:val="•"/>
      <w:lvlJc w:val="left"/>
      <w:pPr>
        <w:ind w:left="7616" w:hanging="236"/>
      </w:pPr>
    </w:lvl>
    <w:lvl w:ilvl="8" w:tplc="35E4BC66">
      <w:start w:val="1"/>
      <w:numFmt w:val="bullet"/>
      <w:lvlText w:val="•"/>
      <w:lvlJc w:val="left"/>
      <w:pPr>
        <w:ind w:left="8646" w:hanging="236"/>
      </w:pPr>
    </w:lvl>
  </w:abstractNum>
  <w:abstractNum w:abstractNumId="119" w15:restartNumberingAfterBreak="0">
    <w:nsid w:val="4B0A79C9"/>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4BE84821"/>
    <w:multiLevelType w:val="multilevel"/>
    <w:tmpl w:val="7120764E"/>
    <w:lvl w:ilvl="0">
      <w:start w:val="2"/>
      <w:numFmt w:val="decimal"/>
      <w:lvlText w:val="%1"/>
      <w:lvlJc w:val="left"/>
      <w:pPr>
        <w:ind w:left="1868" w:hanging="1080"/>
      </w:pPr>
      <w:rPr>
        <w:rFonts w:hint="default"/>
      </w:rPr>
    </w:lvl>
    <w:lvl w:ilvl="1">
      <w:start w:val="1"/>
      <w:numFmt w:val="decimal"/>
      <w:lvlText w:val="%1.%2"/>
      <w:lvlJc w:val="left"/>
      <w:pPr>
        <w:ind w:left="1868" w:hanging="1080"/>
      </w:pPr>
      <w:rPr>
        <w:rFonts w:hint="default"/>
      </w:rPr>
    </w:lvl>
    <w:lvl w:ilvl="2">
      <w:start w:val="3"/>
      <w:numFmt w:val="decimal"/>
      <w:lvlText w:val="%1.%2.%3"/>
      <w:lvlJc w:val="left"/>
      <w:pPr>
        <w:ind w:left="1868" w:hanging="1080"/>
        <w:jc w:val="right"/>
      </w:pPr>
      <w:rPr>
        <w:rFonts w:ascii="Gill Sans MT" w:eastAsia="Gill Sans MT" w:hAnsi="Gill Sans MT" w:hint="default"/>
        <w:b/>
        <w:bCs/>
        <w:color w:val="0089CF"/>
        <w:w w:val="104"/>
        <w:sz w:val="20"/>
        <w:szCs w:val="20"/>
      </w:rPr>
    </w:lvl>
    <w:lvl w:ilvl="3">
      <w:start w:val="1"/>
      <w:numFmt w:val="decimal"/>
      <w:lvlText w:val="%1.%2.%3.%4"/>
      <w:lvlJc w:val="left"/>
      <w:pPr>
        <w:ind w:left="1868" w:hanging="1080"/>
      </w:pPr>
      <w:rPr>
        <w:rFonts w:ascii="Gill Sans MT" w:eastAsia="Gill Sans MT" w:hAnsi="Gill Sans MT" w:hint="default"/>
        <w:b/>
        <w:bCs/>
        <w:color w:val="0089CF"/>
        <w:w w:val="104"/>
        <w:sz w:val="20"/>
        <w:szCs w:val="20"/>
      </w:rPr>
    </w:lvl>
    <w:lvl w:ilvl="4">
      <w:start w:val="1"/>
      <w:numFmt w:val="bullet"/>
      <w:lvlText w:val="•"/>
      <w:lvlJc w:val="left"/>
      <w:pPr>
        <w:ind w:left="1427" w:hanging="114"/>
      </w:pPr>
      <w:rPr>
        <w:rFonts w:ascii="Gill Sans MT" w:eastAsia="Gill Sans MT" w:hAnsi="Gill Sans MT" w:hint="default"/>
        <w:w w:val="91"/>
        <w:sz w:val="20"/>
        <w:szCs w:val="20"/>
      </w:rPr>
    </w:lvl>
    <w:lvl w:ilvl="5">
      <w:start w:val="1"/>
      <w:numFmt w:val="bullet"/>
      <w:lvlText w:val="•"/>
      <w:lvlJc w:val="left"/>
      <w:pPr>
        <w:ind w:left="4241" w:hanging="114"/>
      </w:pPr>
      <w:rPr>
        <w:rFonts w:hint="default"/>
      </w:rPr>
    </w:lvl>
    <w:lvl w:ilvl="6">
      <w:start w:val="1"/>
      <w:numFmt w:val="bullet"/>
      <w:lvlText w:val="•"/>
      <w:lvlJc w:val="left"/>
      <w:pPr>
        <w:ind w:left="5032" w:hanging="114"/>
      </w:pPr>
      <w:rPr>
        <w:rFonts w:hint="default"/>
      </w:rPr>
    </w:lvl>
    <w:lvl w:ilvl="7">
      <w:start w:val="1"/>
      <w:numFmt w:val="bullet"/>
      <w:lvlText w:val="•"/>
      <w:lvlJc w:val="left"/>
      <w:pPr>
        <w:ind w:left="5823" w:hanging="114"/>
      </w:pPr>
      <w:rPr>
        <w:rFonts w:hint="default"/>
      </w:rPr>
    </w:lvl>
    <w:lvl w:ilvl="8">
      <w:start w:val="1"/>
      <w:numFmt w:val="bullet"/>
      <w:lvlText w:val="•"/>
      <w:lvlJc w:val="left"/>
      <w:pPr>
        <w:ind w:left="6614" w:hanging="114"/>
      </w:pPr>
      <w:rPr>
        <w:rFonts w:hint="default"/>
      </w:rPr>
    </w:lvl>
  </w:abstractNum>
  <w:abstractNum w:abstractNumId="121" w15:restartNumberingAfterBreak="0">
    <w:nsid w:val="4C4D7839"/>
    <w:multiLevelType w:val="multilevel"/>
    <w:tmpl w:val="DE8644D8"/>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2" w15:restartNumberingAfterBreak="0">
    <w:nsid w:val="4D7264F4"/>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3" w15:restartNumberingAfterBreak="0">
    <w:nsid w:val="4E1827EB"/>
    <w:multiLevelType w:val="multilevel"/>
    <w:tmpl w:val="1D8A9B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4" w15:restartNumberingAfterBreak="0">
    <w:nsid w:val="51B43C70"/>
    <w:multiLevelType w:val="hybridMultilevel"/>
    <w:tmpl w:val="0EDC658C"/>
    <w:lvl w:ilvl="0" w:tplc="E496F79E">
      <w:start w:val="1"/>
      <w:numFmt w:val="bullet"/>
      <w:lvlText w:val="-"/>
      <w:lvlJc w:val="left"/>
      <w:pPr>
        <w:ind w:left="825" w:hanging="106"/>
      </w:pPr>
      <w:rPr>
        <w:rFonts w:ascii="Gill Sans MT" w:eastAsia="Gill Sans MT" w:hAnsi="Gill Sans MT" w:hint="default"/>
        <w:w w:val="88"/>
        <w:sz w:val="20"/>
        <w:szCs w:val="20"/>
      </w:rPr>
    </w:lvl>
    <w:lvl w:ilvl="1" w:tplc="F412D828">
      <w:start w:val="1"/>
      <w:numFmt w:val="bullet"/>
      <w:lvlText w:val="•"/>
      <w:lvlJc w:val="left"/>
      <w:pPr>
        <w:ind w:left="1873" w:hanging="106"/>
      </w:pPr>
      <w:rPr>
        <w:rFonts w:hint="default"/>
      </w:rPr>
    </w:lvl>
    <w:lvl w:ilvl="2" w:tplc="0012235C">
      <w:start w:val="1"/>
      <w:numFmt w:val="bullet"/>
      <w:lvlText w:val="•"/>
      <w:lvlJc w:val="left"/>
      <w:pPr>
        <w:ind w:left="2921" w:hanging="106"/>
      </w:pPr>
      <w:rPr>
        <w:rFonts w:hint="default"/>
      </w:rPr>
    </w:lvl>
    <w:lvl w:ilvl="3" w:tplc="E9528F78">
      <w:start w:val="1"/>
      <w:numFmt w:val="bullet"/>
      <w:lvlText w:val="•"/>
      <w:lvlJc w:val="left"/>
      <w:pPr>
        <w:ind w:left="3969" w:hanging="106"/>
      </w:pPr>
      <w:rPr>
        <w:rFonts w:hint="default"/>
      </w:rPr>
    </w:lvl>
    <w:lvl w:ilvl="4" w:tplc="6F441038">
      <w:start w:val="1"/>
      <w:numFmt w:val="bullet"/>
      <w:lvlText w:val="•"/>
      <w:lvlJc w:val="left"/>
      <w:pPr>
        <w:ind w:left="5017" w:hanging="106"/>
      </w:pPr>
      <w:rPr>
        <w:rFonts w:hint="default"/>
      </w:rPr>
    </w:lvl>
    <w:lvl w:ilvl="5" w:tplc="BA8052DE">
      <w:start w:val="1"/>
      <w:numFmt w:val="bullet"/>
      <w:lvlText w:val="•"/>
      <w:lvlJc w:val="left"/>
      <w:pPr>
        <w:ind w:left="6065" w:hanging="106"/>
      </w:pPr>
      <w:rPr>
        <w:rFonts w:hint="default"/>
      </w:rPr>
    </w:lvl>
    <w:lvl w:ilvl="6" w:tplc="927AE722">
      <w:start w:val="1"/>
      <w:numFmt w:val="bullet"/>
      <w:lvlText w:val="•"/>
      <w:lvlJc w:val="left"/>
      <w:pPr>
        <w:ind w:left="7113" w:hanging="106"/>
      </w:pPr>
      <w:rPr>
        <w:rFonts w:hint="default"/>
      </w:rPr>
    </w:lvl>
    <w:lvl w:ilvl="7" w:tplc="8A60EED8">
      <w:start w:val="1"/>
      <w:numFmt w:val="bullet"/>
      <w:lvlText w:val="•"/>
      <w:lvlJc w:val="left"/>
      <w:pPr>
        <w:ind w:left="8161" w:hanging="106"/>
      </w:pPr>
      <w:rPr>
        <w:rFonts w:hint="default"/>
      </w:rPr>
    </w:lvl>
    <w:lvl w:ilvl="8" w:tplc="977ABDEC">
      <w:start w:val="1"/>
      <w:numFmt w:val="bullet"/>
      <w:lvlText w:val="•"/>
      <w:lvlJc w:val="left"/>
      <w:pPr>
        <w:ind w:left="9209" w:hanging="106"/>
      </w:pPr>
      <w:rPr>
        <w:rFonts w:hint="default"/>
      </w:rPr>
    </w:lvl>
  </w:abstractNum>
  <w:abstractNum w:abstractNumId="125" w15:restartNumberingAfterBreak="0">
    <w:nsid w:val="51E0428F"/>
    <w:multiLevelType w:val="hybridMultilevel"/>
    <w:tmpl w:val="52B07F4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26" w15:restartNumberingAfterBreak="0">
    <w:nsid w:val="528917B9"/>
    <w:multiLevelType w:val="multilevel"/>
    <w:tmpl w:val="B6F4343C"/>
    <w:lvl w:ilvl="0">
      <w:start w:val="3"/>
      <w:numFmt w:val="decimal"/>
      <w:lvlText w:val="%1"/>
      <w:lvlJc w:val="left"/>
      <w:pPr>
        <w:ind w:left="119" w:hanging="384"/>
      </w:pPr>
      <w:rPr>
        <w:rFonts w:hint="default"/>
      </w:rPr>
    </w:lvl>
    <w:lvl w:ilvl="1">
      <w:start w:val="1"/>
      <w:numFmt w:val="decimal"/>
      <w:lvlText w:val="%1.%2"/>
      <w:lvlJc w:val="left"/>
      <w:pPr>
        <w:ind w:left="119" w:hanging="384"/>
      </w:pPr>
      <w:rPr>
        <w:rFonts w:ascii="Times New Roman" w:eastAsia="Lucida Sans" w:hAnsi="Times New Roman" w:cs="Times New Roman" w:hint="default"/>
        <w:spacing w:val="0"/>
        <w:w w:val="100"/>
        <w:sz w:val="22"/>
        <w:szCs w:val="22"/>
      </w:rPr>
    </w:lvl>
    <w:lvl w:ilvl="2">
      <w:start w:val="1"/>
      <w:numFmt w:val="decimal"/>
      <w:lvlText w:val="%1.%2.%3"/>
      <w:lvlJc w:val="left"/>
      <w:pPr>
        <w:ind w:left="1341" w:hanging="502"/>
      </w:pPr>
      <w:rPr>
        <w:rFonts w:ascii="Lucida Sans" w:eastAsia="Lucida Sans" w:hAnsi="Lucida Sans" w:hint="default"/>
        <w:spacing w:val="-1"/>
        <w:w w:val="89"/>
        <w:sz w:val="20"/>
        <w:szCs w:val="20"/>
      </w:rPr>
    </w:lvl>
    <w:lvl w:ilvl="3">
      <w:start w:val="1"/>
      <w:numFmt w:val="bullet"/>
      <w:lvlText w:val="•"/>
      <w:lvlJc w:val="left"/>
      <w:pPr>
        <w:ind w:left="3555" w:hanging="502"/>
      </w:pPr>
      <w:rPr>
        <w:rFonts w:hint="default"/>
      </w:rPr>
    </w:lvl>
    <w:lvl w:ilvl="4">
      <w:start w:val="1"/>
      <w:numFmt w:val="bullet"/>
      <w:lvlText w:val="•"/>
      <w:lvlJc w:val="left"/>
      <w:pPr>
        <w:ind w:left="4662" w:hanging="502"/>
      </w:pPr>
      <w:rPr>
        <w:rFonts w:hint="default"/>
      </w:rPr>
    </w:lvl>
    <w:lvl w:ilvl="5">
      <w:start w:val="1"/>
      <w:numFmt w:val="bullet"/>
      <w:lvlText w:val="•"/>
      <w:lvlJc w:val="left"/>
      <w:pPr>
        <w:ind w:left="5769" w:hanging="502"/>
      </w:pPr>
      <w:rPr>
        <w:rFonts w:hint="default"/>
      </w:rPr>
    </w:lvl>
    <w:lvl w:ilvl="6">
      <w:start w:val="1"/>
      <w:numFmt w:val="bullet"/>
      <w:lvlText w:val="•"/>
      <w:lvlJc w:val="left"/>
      <w:pPr>
        <w:ind w:left="6876" w:hanging="502"/>
      </w:pPr>
      <w:rPr>
        <w:rFonts w:hint="default"/>
      </w:rPr>
    </w:lvl>
    <w:lvl w:ilvl="7">
      <w:start w:val="1"/>
      <w:numFmt w:val="bullet"/>
      <w:lvlText w:val="•"/>
      <w:lvlJc w:val="left"/>
      <w:pPr>
        <w:ind w:left="7984" w:hanging="502"/>
      </w:pPr>
      <w:rPr>
        <w:rFonts w:hint="default"/>
      </w:rPr>
    </w:lvl>
    <w:lvl w:ilvl="8">
      <w:start w:val="1"/>
      <w:numFmt w:val="bullet"/>
      <w:lvlText w:val="•"/>
      <w:lvlJc w:val="left"/>
      <w:pPr>
        <w:ind w:left="9091" w:hanging="502"/>
      </w:pPr>
      <w:rPr>
        <w:rFonts w:hint="default"/>
      </w:rPr>
    </w:lvl>
  </w:abstractNum>
  <w:abstractNum w:abstractNumId="127" w15:restartNumberingAfterBreak="0">
    <w:nsid w:val="53534DEA"/>
    <w:multiLevelType w:val="multilevel"/>
    <w:tmpl w:val="78A243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43D609D"/>
    <w:multiLevelType w:val="multilevel"/>
    <w:tmpl w:val="8298805C"/>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9" w15:restartNumberingAfterBreak="0">
    <w:nsid w:val="544D5AFE"/>
    <w:multiLevelType w:val="multilevel"/>
    <w:tmpl w:val="3858088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3"/>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5490705C"/>
    <w:multiLevelType w:val="multilevel"/>
    <w:tmpl w:val="3858088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3"/>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57AB007E"/>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57BA47E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57FC290E"/>
    <w:multiLevelType w:val="hybridMultilevel"/>
    <w:tmpl w:val="79589FE0"/>
    <w:lvl w:ilvl="0" w:tplc="EF04033E">
      <w:start w:val="1"/>
      <w:numFmt w:val="bullet"/>
      <w:lvlText w:val="•"/>
      <w:lvlJc w:val="left"/>
      <w:pPr>
        <w:ind w:left="120" w:hanging="107"/>
      </w:pPr>
      <w:rPr>
        <w:rFonts w:ascii="Gill Sans MT" w:eastAsia="Gill Sans MT" w:hAnsi="Gill Sans MT" w:hint="default"/>
        <w:w w:val="91"/>
        <w:sz w:val="20"/>
        <w:szCs w:val="20"/>
      </w:rPr>
    </w:lvl>
    <w:lvl w:ilvl="1" w:tplc="E2BAA32C">
      <w:start w:val="1"/>
      <w:numFmt w:val="bullet"/>
      <w:lvlText w:val="•"/>
      <w:lvlJc w:val="left"/>
      <w:pPr>
        <w:ind w:left="1238" w:hanging="107"/>
      </w:pPr>
      <w:rPr>
        <w:rFonts w:hint="default"/>
      </w:rPr>
    </w:lvl>
    <w:lvl w:ilvl="2" w:tplc="53762B0C">
      <w:start w:val="1"/>
      <w:numFmt w:val="bullet"/>
      <w:lvlText w:val="•"/>
      <w:lvlJc w:val="left"/>
      <w:pPr>
        <w:ind w:left="2357" w:hanging="107"/>
      </w:pPr>
      <w:rPr>
        <w:rFonts w:hint="default"/>
      </w:rPr>
    </w:lvl>
    <w:lvl w:ilvl="3" w:tplc="B300A36E">
      <w:start w:val="1"/>
      <w:numFmt w:val="bullet"/>
      <w:lvlText w:val="•"/>
      <w:lvlJc w:val="left"/>
      <w:pPr>
        <w:ind w:left="3475" w:hanging="107"/>
      </w:pPr>
      <w:rPr>
        <w:rFonts w:hint="default"/>
      </w:rPr>
    </w:lvl>
    <w:lvl w:ilvl="4" w:tplc="1EE0BC18">
      <w:start w:val="1"/>
      <w:numFmt w:val="bullet"/>
      <w:lvlText w:val="•"/>
      <w:lvlJc w:val="left"/>
      <w:pPr>
        <w:ind w:left="4594" w:hanging="107"/>
      </w:pPr>
      <w:rPr>
        <w:rFonts w:hint="default"/>
      </w:rPr>
    </w:lvl>
    <w:lvl w:ilvl="5" w:tplc="97BA445A">
      <w:start w:val="1"/>
      <w:numFmt w:val="bullet"/>
      <w:lvlText w:val="•"/>
      <w:lvlJc w:val="left"/>
      <w:pPr>
        <w:ind w:left="5712" w:hanging="107"/>
      </w:pPr>
      <w:rPr>
        <w:rFonts w:hint="default"/>
      </w:rPr>
    </w:lvl>
    <w:lvl w:ilvl="6" w:tplc="7B4CB368">
      <w:start w:val="1"/>
      <w:numFmt w:val="bullet"/>
      <w:lvlText w:val="•"/>
      <w:lvlJc w:val="left"/>
      <w:pPr>
        <w:ind w:left="6831" w:hanging="107"/>
      </w:pPr>
      <w:rPr>
        <w:rFonts w:hint="default"/>
      </w:rPr>
    </w:lvl>
    <w:lvl w:ilvl="7" w:tplc="08A879F0">
      <w:start w:val="1"/>
      <w:numFmt w:val="bullet"/>
      <w:lvlText w:val="•"/>
      <w:lvlJc w:val="left"/>
      <w:pPr>
        <w:ind w:left="7950" w:hanging="107"/>
      </w:pPr>
      <w:rPr>
        <w:rFonts w:hint="default"/>
      </w:rPr>
    </w:lvl>
    <w:lvl w:ilvl="8" w:tplc="5E72A6F4">
      <w:start w:val="1"/>
      <w:numFmt w:val="bullet"/>
      <w:lvlText w:val="•"/>
      <w:lvlJc w:val="left"/>
      <w:pPr>
        <w:ind w:left="9068" w:hanging="107"/>
      </w:pPr>
      <w:rPr>
        <w:rFonts w:hint="default"/>
      </w:rPr>
    </w:lvl>
  </w:abstractNum>
  <w:abstractNum w:abstractNumId="134" w15:restartNumberingAfterBreak="0">
    <w:nsid w:val="5812011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58201BA8"/>
    <w:multiLevelType w:val="multilevel"/>
    <w:tmpl w:val="DF22ADC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59C65A72"/>
    <w:multiLevelType w:val="hybridMultilevel"/>
    <w:tmpl w:val="3F5AB016"/>
    <w:lvl w:ilvl="0" w:tplc="F2926A80">
      <w:start w:val="1"/>
      <w:numFmt w:val="bullet"/>
      <w:lvlText w:val="-"/>
      <w:lvlJc w:val="left"/>
      <w:pPr>
        <w:ind w:left="184" w:hanging="115"/>
      </w:pPr>
      <w:rPr>
        <w:rFonts w:ascii="Gill Sans MT" w:eastAsia="Gill Sans MT" w:hAnsi="Gill Sans MT" w:hint="default"/>
        <w:color w:val="0089CF"/>
        <w:w w:val="85"/>
        <w:sz w:val="16"/>
        <w:szCs w:val="16"/>
      </w:rPr>
    </w:lvl>
    <w:lvl w:ilvl="1" w:tplc="334C4646">
      <w:start w:val="1"/>
      <w:numFmt w:val="bullet"/>
      <w:lvlText w:val="•"/>
      <w:lvlJc w:val="left"/>
      <w:pPr>
        <w:ind w:left="877" w:hanging="115"/>
      </w:pPr>
      <w:rPr>
        <w:rFonts w:hint="default"/>
      </w:rPr>
    </w:lvl>
    <w:lvl w:ilvl="2" w:tplc="7B6C6B0A">
      <w:start w:val="1"/>
      <w:numFmt w:val="bullet"/>
      <w:lvlText w:val="•"/>
      <w:lvlJc w:val="left"/>
      <w:pPr>
        <w:ind w:left="1569" w:hanging="115"/>
      </w:pPr>
      <w:rPr>
        <w:rFonts w:hint="default"/>
      </w:rPr>
    </w:lvl>
    <w:lvl w:ilvl="3" w:tplc="C38C6EA8">
      <w:start w:val="1"/>
      <w:numFmt w:val="bullet"/>
      <w:lvlText w:val="•"/>
      <w:lvlJc w:val="left"/>
      <w:pPr>
        <w:ind w:left="2262" w:hanging="115"/>
      </w:pPr>
      <w:rPr>
        <w:rFonts w:hint="default"/>
      </w:rPr>
    </w:lvl>
    <w:lvl w:ilvl="4" w:tplc="B07C0CCE">
      <w:start w:val="1"/>
      <w:numFmt w:val="bullet"/>
      <w:lvlText w:val="•"/>
      <w:lvlJc w:val="left"/>
      <w:pPr>
        <w:ind w:left="2954" w:hanging="115"/>
      </w:pPr>
      <w:rPr>
        <w:rFonts w:hint="default"/>
      </w:rPr>
    </w:lvl>
    <w:lvl w:ilvl="5" w:tplc="7E2827B2">
      <w:start w:val="1"/>
      <w:numFmt w:val="bullet"/>
      <w:lvlText w:val="•"/>
      <w:lvlJc w:val="left"/>
      <w:pPr>
        <w:ind w:left="3647" w:hanging="115"/>
      </w:pPr>
      <w:rPr>
        <w:rFonts w:hint="default"/>
      </w:rPr>
    </w:lvl>
    <w:lvl w:ilvl="6" w:tplc="449EE15E">
      <w:start w:val="1"/>
      <w:numFmt w:val="bullet"/>
      <w:lvlText w:val="•"/>
      <w:lvlJc w:val="left"/>
      <w:pPr>
        <w:ind w:left="4339" w:hanging="115"/>
      </w:pPr>
      <w:rPr>
        <w:rFonts w:hint="default"/>
      </w:rPr>
    </w:lvl>
    <w:lvl w:ilvl="7" w:tplc="550C0998">
      <w:start w:val="1"/>
      <w:numFmt w:val="bullet"/>
      <w:lvlText w:val="•"/>
      <w:lvlJc w:val="left"/>
      <w:pPr>
        <w:ind w:left="5032" w:hanging="115"/>
      </w:pPr>
      <w:rPr>
        <w:rFonts w:hint="default"/>
      </w:rPr>
    </w:lvl>
    <w:lvl w:ilvl="8" w:tplc="4DBA7056">
      <w:start w:val="1"/>
      <w:numFmt w:val="bullet"/>
      <w:lvlText w:val="•"/>
      <w:lvlJc w:val="left"/>
      <w:pPr>
        <w:ind w:left="5724" w:hanging="115"/>
      </w:pPr>
      <w:rPr>
        <w:rFonts w:hint="default"/>
      </w:rPr>
    </w:lvl>
  </w:abstractNum>
  <w:abstractNum w:abstractNumId="137" w15:restartNumberingAfterBreak="0">
    <w:nsid w:val="5B0C15C0"/>
    <w:multiLevelType w:val="multilevel"/>
    <w:tmpl w:val="597EBD1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2"/>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5C7655F7"/>
    <w:multiLevelType w:val="hybridMultilevel"/>
    <w:tmpl w:val="4B2ADE8A"/>
    <w:lvl w:ilvl="0" w:tplc="E496F79E">
      <w:start w:val="1"/>
      <w:numFmt w:val="bullet"/>
      <w:lvlText w:val="-"/>
      <w:lvlJc w:val="left"/>
      <w:pPr>
        <w:ind w:left="825" w:hanging="106"/>
      </w:pPr>
      <w:rPr>
        <w:rFonts w:ascii="Gill Sans MT" w:eastAsia="Gill Sans MT" w:hAnsi="Gill Sans MT" w:hint="default"/>
        <w:w w:val="88"/>
        <w:sz w:val="20"/>
        <w:szCs w:val="20"/>
      </w:rPr>
    </w:lvl>
    <w:lvl w:ilvl="1" w:tplc="F412D828">
      <w:start w:val="1"/>
      <w:numFmt w:val="bullet"/>
      <w:lvlText w:val="•"/>
      <w:lvlJc w:val="left"/>
      <w:pPr>
        <w:ind w:left="1873" w:hanging="106"/>
      </w:pPr>
      <w:rPr>
        <w:rFonts w:hint="default"/>
      </w:rPr>
    </w:lvl>
    <w:lvl w:ilvl="2" w:tplc="0012235C">
      <w:start w:val="1"/>
      <w:numFmt w:val="bullet"/>
      <w:lvlText w:val="•"/>
      <w:lvlJc w:val="left"/>
      <w:pPr>
        <w:ind w:left="2921" w:hanging="106"/>
      </w:pPr>
      <w:rPr>
        <w:rFonts w:hint="default"/>
      </w:rPr>
    </w:lvl>
    <w:lvl w:ilvl="3" w:tplc="E9528F78">
      <w:start w:val="1"/>
      <w:numFmt w:val="bullet"/>
      <w:lvlText w:val="•"/>
      <w:lvlJc w:val="left"/>
      <w:pPr>
        <w:ind w:left="3969" w:hanging="106"/>
      </w:pPr>
      <w:rPr>
        <w:rFonts w:hint="default"/>
      </w:rPr>
    </w:lvl>
    <w:lvl w:ilvl="4" w:tplc="6F441038">
      <w:start w:val="1"/>
      <w:numFmt w:val="bullet"/>
      <w:lvlText w:val="•"/>
      <w:lvlJc w:val="left"/>
      <w:pPr>
        <w:ind w:left="5017" w:hanging="106"/>
      </w:pPr>
      <w:rPr>
        <w:rFonts w:hint="default"/>
      </w:rPr>
    </w:lvl>
    <w:lvl w:ilvl="5" w:tplc="BA8052DE">
      <w:start w:val="1"/>
      <w:numFmt w:val="bullet"/>
      <w:lvlText w:val="•"/>
      <w:lvlJc w:val="left"/>
      <w:pPr>
        <w:ind w:left="6065" w:hanging="106"/>
      </w:pPr>
      <w:rPr>
        <w:rFonts w:hint="default"/>
      </w:rPr>
    </w:lvl>
    <w:lvl w:ilvl="6" w:tplc="927AE722">
      <w:start w:val="1"/>
      <w:numFmt w:val="bullet"/>
      <w:lvlText w:val="•"/>
      <w:lvlJc w:val="left"/>
      <w:pPr>
        <w:ind w:left="7113" w:hanging="106"/>
      </w:pPr>
      <w:rPr>
        <w:rFonts w:hint="default"/>
      </w:rPr>
    </w:lvl>
    <w:lvl w:ilvl="7" w:tplc="8A60EED8">
      <w:start w:val="1"/>
      <w:numFmt w:val="bullet"/>
      <w:lvlText w:val="•"/>
      <w:lvlJc w:val="left"/>
      <w:pPr>
        <w:ind w:left="8161" w:hanging="106"/>
      </w:pPr>
      <w:rPr>
        <w:rFonts w:hint="default"/>
      </w:rPr>
    </w:lvl>
    <w:lvl w:ilvl="8" w:tplc="977ABDEC">
      <w:start w:val="1"/>
      <w:numFmt w:val="bullet"/>
      <w:lvlText w:val="•"/>
      <w:lvlJc w:val="left"/>
      <w:pPr>
        <w:ind w:left="9209" w:hanging="106"/>
      </w:pPr>
      <w:rPr>
        <w:rFonts w:hint="default"/>
      </w:rPr>
    </w:lvl>
  </w:abstractNum>
  <w:abstractNum w:abstractNumId="139" w15:restartNumberingAfterBreak="0">
    <w:nsid w:val="5D4A1F50"/>
    <w:multiLevelType w:val="hybridMultilevel"/>
    <w:tmpl w:val="DFB0EE3E"/>
    <w:lvl w:ilvl="0" w:tplc="F8EAD238">
      <w:start w:val="1"/>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5E7C7F63"/>
    <w:multiLevelType w:val="hybridMultilevel"/>
    <w:tmpl w:val="B27A78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5E872C61"/>
    <w:multiLevelType w:val="hybridMultilevel"/>
    <w:tmpl w:val="A0FECF92"/>
    <w:lvl w:ilvl="0" w:tplc="26807CC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5E996320"/>
    <w:multiLevelType w:val="hybridMultilevel"/>
    <w:tmpl w:val="1526AA5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5EAF21A9"/>
    <w:multiLevelType w:val="hybridMultilevel"/>
    <w:tmpl w:val="1C729844"/>
    <w:lvl w:ilvl="0" w:tplc="FBFECD24">
      <w:start w:val="1"/>
      <w:numFmt w:val="bullet"/>
      <w:lvlText w:val="•"/>
      <w:lvlJc w:val="left"/>
      <w:pPr>
        <w:ind w:left="720" w:hanging="114"/>
      </w:pPr>
      <w:rPr>
        <w:rFonts w:ascii="Gill Sans MT" w:eastAsia="Gill Sans MT" w:hAnsi="Gill Sans MT" w:hint="default"/>
        <w:w w:val="91"/>
        <w:sz w:val="20"/>
        <w:szCs w:val="20"/>
      </w:rPr>
    </w:lvl>
    <w:lvl w:ilvl="1" w:tplc="8E42EC56">
      <w:start w:val="1"/>
      <w:numFmt w:val="bullet"/>
      <w:lvlText w:val="-"/>
      <w:lvlJc w:val="left"/>
      <w:pPr>
        <w:ind w:left="2181" w:hanging="93"/>
      </w:pPr>
      <w:rPr>
        <w:rFonts w:ascii="Gill Sans MT" w:eastAsia="Gill Sans MT" w:hAnsi="Gill Sans MT" w:hint="default"/>
        <w:color w:val="0089CF"/>
        <w:w w:val="101"/>
        <w:sz w:val="16"/>
        <w:szCs w:val="16"/>
      </w:rPr>
    </w:lvl>
    <w:lvl w:ilvl="2" w:tplc="2A1275D2">
      <w:start w:val="1"/>
      <w:numFmt w:val="bullet"/>
      <w:lvlText w:val="•"/>
      <w:lvlJc w:val="left"/>
      <w:pPr>
        <w:ind w:left="3195" w:hanging="93"/>
      </w:pPr>
      <w:rPr>
        <w:rFonts w:hint="default"/>
      </w:rPr>
    </w:lvl>
    <w:lvl w:ilvl="3" w:tplc="55F4F3DE">
      <w:start w:val="1"/>
      <w:numFmt w:val="bullet"/>
      <w:lvlText w:val="•"/>
      <w:lvlJc w:val="left"/>
      <w:pPr>
        <w:ind w:left="4209" w:hanging="93"/>
      </w:pPr>
      <w:rPr>
        <w:rFonts w:hint="default"/>
      </w:rPr>
    </w:lvl>
    <w:lvl w:ilvl="4" w:tplc="35C67B98">
      <w:start w:val="1"/>
      <w:numFmt w:val="bullet"/>
      <w:lvlText w:val="•"/>
      <w:lvlJc w:val="left"/>
      <w:pPr>
        <w:ind w:left="5222" w:hanging="93"/>
      </w:pPr>
      <w:rPr>
        <w:rFonts w:hint="default"/>
      </w:rPr>
    </w:lvl>
    <w:lvl w:ilvl="5" w:tplc="E5047022">
      <w:start w:val="1"/>
      <w:numFmt w:val="bullet"/>
      <w:lvlText w:val="•"/>
      <w:lvlJc w:val="left"/>
      <w:pPr>
        <w:ind w:left="6236" w:hanging="93"/>
      </w:pPr>
      <w:rPr>
        <w:rFonts w:hint="default"/>
      </w:rPr>
    </w:lvl>
    <w:lvl w:ilvl="6" w:tplc="58F63E40">
      <w:start w:val="1"/>
      <w:numFmt w:val="bullet"/>
      <w:lvlText w:val="•"/>
      <w:lvlJc w:val="left"/>
      <w:pPr>
        <w:ind w:left="7250" w:hanging="93"/>
      </w:pPr>
      <w:rPr>
        <w:rFonts w:hint="default"/>
      </w:rPr>
    </w:lvl>
    <w:lvl w:ilvl="7" w:tplc="A5088E3C">
      <w:start w:val="1"/>
      <w:numFmt w:val="bullet"/>
      <w:lvlText w:val="•"/>
      <w:lvlJc w:val="left"/>
      <w:pPr>
        <w:ind w:left="8264" w:hanging="93"/>
      </w:pPr>
      <w:rPr>
        <w:rFonts w:hint="default"/>
      </w:rPr>
    </w:lvl>
    <w:lvl w:ilvl="8" w:tplc="22A6BA40">
      <w:start w:val="1"/>
      <w:numFmt w:val="bullet"/>
      <w:lvlText w:val="•"/>
      <w:lvlJc w:val="left"/>
      <w:pPr>
        <w:ind w:left="9277" w:hanging="93"/>
      </w:pPr>
      <w:rPr>
        <w:rFonts w:hint="default"/>
      </w:rPr>
    </w:lvl>
  </w:abstractNum>
  <w:abstractNum w:abstractNumId="144" w15:restartNumberingAfterBreak="0">
    <w:nsid w:val="5F6D302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60A9074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7" w15:restartNumberingAfterBreak="0">
    <w:nsid w:val="6107199C"/>
    <w:multiLevelType w:val="hybridMultilevel"/>
    <w:tmpl w:val="0DA61E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6156794E"/>
    <w:multiLevelType w:val="hybridMultilevel"/>
    <w:tmpl w:val="E1725FC6"/>
    <w:lvl w:ilvl="0" w:tplc="BFDE4B4C">
      <w:start w:val="1"/>
      <w:numFmt w:val="bullet"/>
      <w:lvlText w:val="–"/>
      <w:lvlJc w:val="left"/>
      <w:pPr>
        <w:ind w:left="119" w:hanging="179"/>
      </w:pPr>
      <w:rPr>
        <w:rFonts w:ascii="Gill Sans MT" w:eastAsia="Gill Sans MT" w:hAnsi="Gill Sans MT" w:hint="default"/>
        <w:w w:val="130"/>
        <w:sz w:val="20"/>
        <w:szCs w:val="20"/>
      </w:rPr>
    </w:lvl>
    <w:lvl w:ilvl="1" w:tplc="258003F2">
      <w:start w:val="1"/>
      <w:numFmt w:val="bullet"/>
      <w:lvlText w:val="•"/>
      <w:lvlJc w:val="left"/>
      <w:pPr>
        <w:ind w:left="839" w:hanging="137"/>
      </w:pPr>
      <w:rPr>
        <w:rFonts w:ascii="Gill Sans MT" w:eastAsia="Gill Sans MT" w:hAnsi="Gill Sans MT" w:hint="default"/>
        <w:w w:val="91"/>
        <w:sz w:val="20"/>
        <w:szCs w:val="20"/>
      </w:rPr>
    </w:lvl>
    <w:lvl w:ilvl="2" w:tplc="B8507E34">
      <w:start w:val="1"/>
      <w:numFmt w:val="bullet"/>
      <w:lvlText w:val="•"/>
      <w:lvlJc w:val="left"/>
      <w:pPr>
        <w:ind w:left="839" w:hanging="137"/>
      </w:pPr>
      <w:rPr>
        <w:rFonts w:hint="default"/>
      </w:rPr>
    </w:lvl>
    <w:lvl w:ilvl="3" w:tplc="01F434A4">
      <w:start w:val="1"/>
      <w:numFmt w:val="bullet"/>
      <w:lvlText w:val="•"/>
      <w:lvlJc w:val="left"/>
      <w:pPr>
        <w:ind w:left="2148" w:hanging="137"/>
      </w:pPr>
      <w:rPr>
        <w:rFonts w:hint="default"/>
      </w:rPr>
    </w:lvl>
    <w:lvl w:ilvl="4" w:tplc="FC0036F2">
      <w:start w:val="1"/>
      <w:numFmt w:val="bullet"/>
      <w:lvlText w:val="•"/>
      <w:lvlJc w:val="left"/>
      <w:pPr>
        <w:ind w:left="3456" w:hanging="137"/>
      </w:pPr>
      <w:rPr>
        <w:rFonts w:hint="default"/>
      </w:rPr>
    </w:lvl>
    <w:lvl w:ilvl="5" w:tplc="424E1918">
      <w:start w:val="1"/>
      <w:numFmt w:val="bullet"/>
      <w:lvlText w:val="•"/>
      <w:lvlJc w:val="left"/>
      <w:pPr>
        <w:ind w:left="4764" w:hanging="137"/>
      </w:pPr>
      <w:rPr>
        <w:rFonts w:hint="default"/>
      </w:rPr>
    </w:lvl>
    <w:lvl w:ilvl="6" w:tplc="F8F6A5C4">
      <w:start w:val="1"/>
      <w:numFmt w:val="bullet"/>
      <w:lvlText w:val="•"/>
      <w:lvlJc w:val="left"/>
      <w:pPr>
        <w:ind w:left="6072" w:hanging="137"/>
      </w:pPr>
      <w:rPr>
        <w:rFonts w:hint="default"/>
      </w:rPr>
    </w:lvl>
    <w:lvl w:ilvl="7" w:tplc="C51440C6">
      <w:start w:val="1"/>
      <w:numFmt w:val="bullet"/>
      <w:lvlText w:val="•"/>
      <w:lvlJc w:val="left"/>
      <w:pPr>
        <w:ind w:left="7380" w:hanging="137"/>
      </w:pPr>
      <w:rPr>
        <w:rFonts w:hint="default"/>
      </w:rPr>
    </w:lvl>
    <w:lvl w:ilvl="8" w:tplc="4762D748">
      <w:start w:val="1"/>
      <w:numFmt w:val="bullet"/>
      <w:lvlText w:val="•"/>
      <w:lvlJc w:val="left"/>
      <w:pPr>
        <w:ind w:left="8689" w:hanging="137"/>
      </w:pPr>
      <w:rPr>
        <w:rFonts w:hint="default"/>
      </w:rPr>
    </w:lvl>
  </w:abstractNum>
  <w:abstractNum w:abstractNumId="149" w15:restartNumberingAfterBreak="0">
    <w:nsid w:val="62494C49"/>
    <w:multiLevelType w:val="hybridMultilevel"/>
    <w:tmpl w:val="8542CF9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2B75924"/>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64E26DAD"/>
    <w:multiLevelType w:val="multilevel"/>
    <w:tmpl w:val="8C48366A"/>
    <w:lvl w:ilvl="0">
      <w:start w:val="9"/>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52" w15:restartNumberingAfterBreak="0">
    <w:nsid w:val="65886370"/>
    <w:multiLevelType w:val="hybridMultilevel"/>
    <w:tmpl w:val="07465136"/>
    <w:lvl w:ilvl="0" w:tplc="041B0005">
      <w:start w:val="1"/>
      <w:numFmt w:val="bullet"/>
      <w:lvlText w:val=""/>
      <w:lvlJc w:val="left"/>
      <w:pPr>
        <w:ind w:left="825" w:hanging="106"/>
      </w:pPr>
      <w:rPr>
        <w:rFonts w:ascii="Wingdings" w:hAnsi="Wingdings" w:hint="default"/>
        <w:w w:val="88"/>
        <w:sz w:val="20"/>
        <w:szCs w:val="20"/>
      </w:rPr>
    </w:lvl>
    <w:lvl w:ilvl="1" w:tplc="F412D828">
      <w:start w:val="1"/>
      <w:numFmt w:val="bullet"/>
      <w:lvlText w:val="•"/>
      <w:lvlJc w:val="left"/>
      <w:pPr>
        <w:ind w:left="1873" w:hanging="106"/>
      </w:pPr>
      <w:rPr>
        <w:rFonts w:hint="default"/>
      </w:rPr>
    </w:lvl>
    <w:lvl w:ilvl="2" w:tplc="0012235C">
      <w:start w:val="1"/>
      <w:numFmt w:val="bullet"/>
      <w:lvlText w:val="•"/>
      <w:lvlJc w:val="left"/>
      <w:pPr>
        <w:ind w:left="2921" w:hanging="106"/>
      </w:pPr>
      <w:rPr>
        <w:rFonts w:hint="default"/>
      </w:rPr>
    </w:lvl>
    <w:lvl w:ilvl="3" w:tplc="E9528F78">
      <w:start w:val="1"/>
      <w:numFmt w:val="bullet"/>
      <w:lvlText w:val="•"/>
      <w:lvlJc w:val="left"/>
      <w:pPr>
        <w:ind w:left="3969" w:hanging="106"/>
      </w:pPr>
      <w:rPr>
        <w:rFonts w:hint="default"/>
      </w:rPr>
    </w:lvl>
    <w:lvl w:ilvl="4" w:tplc="6F441038">
      <w:start w:val="1"/>
      <w:numFmt w:val="bullet"/>
      <w:lvlText w:val="•"/>
      <w:lvlJc w:val="left"/>
      <w:pPr>
        <w:ind w:left="5017" w:hanging="106"/>
      </w:pPr>
      <w:rPr>
        <w:rFonts w:hint="default"/>
      </w:rPr>
    </w:lvl>
    <w:lvl w:ilvl="5" w:tplc="BA8052DE">
      <w:start w:val="1"/>
      <w:numFmt w:val="bullet"/>
      <w:lvlText w:val="•"/>
      <w:lvlJc w:val="left"/>
      <w:pPr>
        <w:ind w:left="6065" w:hanging="106"/>
      </w:pPr>
      <w:rPr>
        <w:rFonts w:hint="default"/>
      </w:rPr>
    </w:lvl>
    <w:lvl w:ilvl="6" w:tplc="927AE722">
      <w:start w:val="1"/>
      <w:numFmt w:val="bullet"/>
      <w:lvlText w:val="•"/>
      <w:lvlJc w:val="left"/>
      <w:pPr>
        <w:ind w:left="7113" w:hanging="106"/>
      </w:pPr>
      <w:rPr>
        <w:rFonts w:hint="default"/>
      </w:rPr>
    </w:lvl>
    <w:lvl w:ilvl="7" w:tplc="8A60EED8">
      <w:start w:val="1"/>
      <w:numFmt w:val="bullet"/>
      <w:lvlText w:val="•"/>
      <w:lvlJc w:val="left"/>
      <w:pPr>
        <w:ind w:left="8161" w:hanging="106"/>
      </w:pPr>
      <w:rPr>
        <w:rFonts w:hint="default"/>
      </w:rPr>
    </w:lvl>
    <w:lvl w:ilvl="8" w:tplc="977ABDEC">
      <w:start w:val="1"/>
      <w:numFmt w:val="bullet"/>
      <w:lvlText w:val="•"/>
      <w:lvlJc w:val="left"/>
      <w:pPr>
        <w:ind w:left="9209" w:hanging="106"/>
      </w:pPr>
      <w:rPr>
        <w:rFonts w:hint="default"/>
      </w:rPr>
    </w:lvl>
  </w:abstractNum>
  <w:abstractNum w:abstractNumId="153" w15:restartNumberingAfterBreak="0">
    <w:nsid w:val="66865EF5"/>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679F1864"/>
    <w:multiLevelType w:val="hybridMultilevel"/>
    <w:tmpl w:val="B7A25690"/>
    <w:lvl w:ilvl="0" w:tplc="3B76A376">
      <w:start w:val="1"/>
      <w:numFmt w:val="bullet"/>
      <w:lvlText w:val="•"/>
      <w:lvlJc w:val="left"/>
      <w:pPr>
        <w:ind w:left="1440" w:hanging="114"/>
      </w:pPr>
      <w:rPr>
        <w:rFonts w:ascii="Gill Sans MT" w:eastAsia="Gill Sans MT" w:hAnsi="Gill Sans MT" w:hint="default"/>
        <w:w w:val="91"/>
        <w:sz w:val="20"/>
        <w:szCs w:val="20"/>
      </w:rPr>
    </w:lvl>
    <w:lvl w:ilvl="1" w:tplc="4F76C43E">
      <w:start w:val="1"/>
      <w:numFmt w:val="bullet"/>
      <w:lvlText w:val="•"/>
      <w:lvlJc w:val="left"/>
      <w:pPr>
        <w:ind w:left="2175" w:hanging="114"/>
      </w:pPr>
      <w:rPr>
        <w:rFonts w:hint="default"/>
      </w:rPr>
    </w:lvl>
    <w:lvl w:ilvl="2" w:tplc="F46C9646">
      <w:start w:val="1"/>
      <w:numFmt w:val="bullet"/>
      <w:lvlText w:val="•"/>
      <w:lvlJc w:val="left"/>
      <w:pPr>
        <w:ind w:left="2909" w:hanging="114"/>
      </w:pPr>
      <w:rPr>
        <w:rFonts w:hint="default"/>
      </w:rPr>
    </w:lvl>
    <w:lvl w:ilvl="3" w:tplc="7B8875EE">
      <w:start w:val="1"/>
      <w:numFmt w:val="bullet"/>
      <w:lvlText w:val="•"/>
      <w:lvlJc w:val="left"/>
      <w:pPr>
        <w:ind w:left="3644" w:hanging="114"/>
      </w:pPr>
      <w:rPr>
        <w:rFonts w:hint="default"/>
      </w:rPr>
    </w:lvl>
    <w:lvl w:ilvl="4" w:tplc="CE5E9536">
      <w:start w:val="1"/>
      <w:numFmt w:val="bullet"/>
      <w:lvlText w:val="•"/>
      <w:lvlJc w:val="left"/>
      <w:pPr>
        <w:ind w:left="4378" w:hanging="114"/>
      </w:pPr>
      <w:rPr>
        <w:rFonts w:hint="default"/>
      </w:rPr>
    </w:lvl>
    <w:lvl w:ilvl="5" w:tplc="D5826AE4">
      <w:start w:val="1"/>
      <w:numFmt w:val="bullet"/>
      <w:lvlText w:val="•"/>
      <w:lvlJc w:val="left"/>
      <w:pPr>
        <w:ind w:left="5113" w:hanging="114"/>
      </w:pPr>
      <w:rPr>
        <w:rFonts w:hint="default"/>
      </w:rPr>
    </w:lvl>
    <w:lvl w:ilvl="6" w:tplc="18A6D9A4">
      <w:start w:val="1"/>
      <w:numFmt w:val="bullet"/>
      <w:lvlText w:val="•"/>
      <w:lvlJc w:val="left"/>
      <w:pPr>
        <w:ind w:left="5847" w:hanging="114"/>
      </w:pPr>
      <w:rPr>
        <w:rFonts w:hint="default"/>
      </w:rPr>
    </w:lvl>
    <w:lvl w:ilvl="7" w:tplc="F8264C28">
      <w:start w:val="1"/>
      <w:numFmt w:val="bullet"/>
      <w:lvlText w:val="•"/>
      <w:lvlJc w:val="left"/>
      <w:pPr>
        <w:ind w:left="6582" w:hanging="114"/>
      </w:pPr>
      <w:rPr>
        <w:rFonts w:hint="default"/>
      </w:rPr>
    </w:lvl>
    <w:lvl w:ilvl="8" w:tplc="E79A9F12">
      <w:start w:val="1"/>
      <w:numFmt w:val="bullet"/>
      <w:lvlText w:val="•"/>
      <w:lvlJc w:val="left"/>
      <w:pPr>
        <w:ind w:left="7317" w:hanging="114"/>
      </w:pPr>
      <w:rPr>
        <w:rFonts w:hint="default"/>
      </w:rPr>
    </w:lvl>
  </w:abstractNum>
  <w:abstractNum w:abstractNumId="155" w15:restartNumberingAfterBreak="0">
    <w:nsid w:val="680E35F0"/>
    <w:multiLevelType w:val="hybridMultilevel"/>
    <w:tmpl w:val="F5404DEE"/>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68704BC4"/>
    <w:multiLevelType w:val="hybridMultilevel"/>
    <w:tmpl w:val="4B00BBB2"/>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69133C01"/>
    <w:multiLevelType w:val="hybridMultilevel"/>
    <w:tmpl w:val="726628F6"/>
    <w:lvl w:ilvl="0" w:tplc="C1847570">
      <w:start w:val="1"/>
      <w:numFmt w:val="bullet"/>
      <w:lvlText w:val="•"/>
      <w:lvlJc w:val="left"/>
      <w:pPr>
        <w:ind w:left="1440" w:hanging="114"/>
      </w:pPr>
      <w:rPr>
        <w:rFonts w:ascii="Gill Sans MT" w:eastAsia="Gill Sans MT" w:hAnsi="Gill Sans MT" w:hint="default"/>
        <w:w w:val="91"/>
        <w:sz w:val="20"/>
        <w:szCs w:val="20"/>
      </w:rPr>
    </w:lvl>
    <w:lvl w:ilvl="1" w:tplc="B7F85C66">
      <w:start w:val="1"/>
      <w:numFmt w:val="bullet"/>
      <w:lvlText w:val="•"/>
      <w:lvlJc w:val="left"/>
      <w:pPr>
        <w:ind w:left="2175" w:hanging="114"/>
      </w:pPr>
      <w:rPr>
        <w:rFonts w:hint="default"/>
      </w:rPr>
    </w:lvl>
    <w:lvl w:ilvl="2" w:tplc="1732216A">
      <w:start w:val="1"/>
      <w:numFmt w:val="bullet"/>
      <w:lvlText w:val="•"/>
      <w:lvlJc w:val="left"/>
      <w:pPr>
        <w:ind w:left="2910" w:hanging="114"/>
      </w:pPr>
      <w:rPr>
        <w:rFonts w:hint="default"/>
      </w:rPr>
    </w:lvl>
    <w:lvl w:ilvl="3" w:tplc="63C63856">
      <w:start w:val="1"/>
      <w:numFmt w:val="bullet"/>
      <w:lvlText w:val="•"/>
      <w:lvlJc w:val="left"/>
      <w:pPr>
        <w:ind w:left="3646" w:hanging="114"/>
      </w:pPr>
      <w:rPr>
        <w:rFonts w:hint="default"/>
      </w:rPr>
    </w:lvl>
    <w:lvl w:ilvl="4" w:tplc="B54A7122">
      <w:start w:val="1"/>
      <w:numFmt w:val="bullet"/>
      <w:lvlText w:val="•"/>
      <w:lvlJc w:val="left"/>
      <w:pPr>
        <w:ind w:left="4381" w:hanging="114"/>
      </w:pPr>
      <w:rPr>
        <w:rFonts w:hint="default"/>
      </w:rPr>
    </w:lvl>
    <w:lvl w:ilvl="5" w:tplc="B3C2BA94">
      <w:start w:val="1"/>
      <w:numFmt w:val="bullet"/>
      <w:lvlText w:val="•"/>
      <w:lvlJc w:val="left"/>
      <w:pPr>
        <w:ind w:left="5117" w:hanging="114"/>
      </w:pPr>
      <w:rPr>
        <w:rFonts w:hint="default"/>
      </w:rPr>
    </w:lvl>
    <w:lvl w:ilvl="6" w:tplc="31C26E76">
      <w:start w:val="1"/>
      <w:numFmt w:val="bullet"/>
      <w:lvlText w:val="•"/>
      <w:lvlJc w:val="left"/>
      <w:pPr>
        <w:ind w:left="5852" w:hanging="114"/>
      </w:pPr>
      <w:rPr>
        <w:rFonts w:hint="default"/>
      </w:rPr>
    </w:lvl>
    <w:lvl w:ilvl="7" w:tplc="4516B5C2">
      <w:start w:val="1"/>
      <w:numFmt w:val="bullet"/>
      <w:lvlText w:val="•"/>
      <w:lvlJc w:val="left"/>
      <w:pPr>
        <w:ind w:left="6588" w:hanging="114"/>
      </w:pPr>
      <w:rPr>
        <w:rFonts w:hint="default"/>
      </w:rPr>
    </w:lvl>
    <w:lvl w:ilvl="8" w:tplc="874864EC">
      <w:start w:val="1"/>
      <w:numFmt w:val="bullet"/>
      <w:lvlText w:val="•"/>
      <w:lvlJc w:val="left"/>
      <w:pPr>
        <w:ind w:left="7323" w:hanging="114"/>
      </w:pPr>
      <w:rPr>
        <w:rFonts w:hint="default"/>
      </w:rPr>
    </w:lvl>
  </w:abstractNum>
  <w:abstractNum w:abstractNumId="158" w15:restartNumberingAfterBreak="0">
    <w:nsid w:val="69A06453"/>
    <w:multiLevelType w:val="hybridMultilevel"/>
    <w:tmpl w:val="1854954C"/>
    <w:lvl w:ilvl="0" w:tplc="041B0017">
      <w:start w:val="1"/>
      <w:numFmt w:val="lowerLetter"/>
      <w:lvlText w:val="%1)"/>
      <w:lvlJc w:val="left"/>
      <w:pPr>
        <w:ind w:left="720" w:hanging="360"/>
      </w:pPr>
    </w:lvl>
    <w:lvl w:ilvl="1" w:tplc="11CAF76A">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themeColor="tex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0" w15:restartNumberingAfterBreak="0">
    <w:nsid w:val="6A03415D"/>
    <w:multiLevelType w:val="hybridMultilevel"/>
    <w:tmpl w:val="AC167276"/>
    <w:lvl w:ilvl="0" w:tplc="041B0005">
      <w:start w:val="1"/>
      <w:numFmt w:val="bullet"/>
      <w:lvlText w:val=""/>
      <w:lvlJc w:val="left"/>
      <w:pPr>
        <w:ind w:left="825" w:hanging="106"/>
      </w:pPr>
      <w:rPr>
        <w:rFonts w:ascii="Wingdings" w:hAnsi="Wingdings" w:hint="default"/>
        <w:w w:val="88"/>
        <w:sz w:val="20"/>
        <w:szCs w:val="20"/>
      </w:rPr>
    </w:lvl>
    <w:lvl w:ilvl="1" w:tplc="F412D828">
      <w:start w:val="1"/>
      <w:numFmt w:val="bullet"/>
      <w:lvlText w:val="•"/>
      <w:lvlJc w:val="left"/>
      <w:pPr>
        <w:ind w:left="1873" w:hanging="106"/>
      </w:pPr>
      <w:rPr>
        <w:rFonts w:hint="default"/>
      </w:rPr>
    </w:lvl>
    <w:lvl w:ilvl="2" w:tplc="0012235C">
      <w:start w:val="1"/>
      <w:numFmt w:val="bullet"/>
      <w:lvlText w:val="•"/>
      <w:lvlJc w:val="left"/>
      <w:pPr>
        <w:ind w:left="2921" w:hanging="106"/>
      </w:pPr>
      <w:rPr>
        <w:rFonts w:hint="default"/>
      </w:rPr>
    </w:lvl>
    <w:lvl w:ilvl="3" w:tplc="E9528F78">
      <w:start w:val="1"/>
      <w:numFmt w:val="bullet"/>
      <w:lvlText w:val="•"/>
      <w:lvlJc w:val="left"/>
      <w:pPr>
        <w:ind w:left="3969" w:hanging="106"/>
      </w:pPr>
      <w:rPr>
        <w:rFonts w:hint="default"/>
      </w:rPr>
    </w:lvl>
    <w:lvl w:ilvl="4" w:tplc="6F441038">
      <w:start w:val="1"/>
      <w:numFmt w:val="bullet"/>
      <w:lvlText w:val="•"/>
      <w:lvlJc w:val="left"/>
      <w:pPr>
        <w:ind w:left="5017" w:hanging="106"/>
      </w:pPr>
      <w:rPr>
        <w:rFonts w:hint="default"/>
      </w:rPr>
    </w:lvl>
    <w:lvl w:ilvl="5" w:tplc="BA8052DE">
      <w:start w:val="1"/>
      <w:numFmt w:val="bullet"/>
      <w:lvlText w:val="•"/>
      <w:lvlJc w:val="left"/>
      <w:pPr>
        <w:ind w:left="6065" w:hanging="106"/>
      </w:pPr>
      <w:rPr>
        <w:rFonts w:hint="default"/>
      </w:rPr>
    </w:lvl>
    <w:lvl w:ilvl="6" w:tplc="927AE722">
      <w:start w:val="1"/>
      <w:numFmt w:val="bullet"/>
      <w:lvlText w:val="•"/>
      <w:lvlJc w:val="left"/>
      <w:pPr>
        <w:ind w:left="7113" w:hanging="106"/>
      </w:pPr>
      <w:rPr>
        <w:rFonts w:hint="default"/>
      </w:rPr>
    </w:lvl>
    <w:lvl w:ilvl="7" w:tplc="8A60EED8">
      <w:start w:val="1"/>
      <w:numFmt w:val="bullet"/>
      <w:lvlText w:val="•"/>
      <w:lvlJc w:val="left"/>
      <w:pPr>
        <w:ind w:left="8161" w:hanging="106"/>
      </w:pPr>
      <w:rPr>
        <w:rFonts w:hint="default"/>
      </w:rPr>
    </w:lvl>
    <w:lvl w:ilvl="8" w:tplc="977ABDEC">
      <w:start w:val="1"/>
      <w:numFmt w:val="bullet"/>
      <w:lvlText w:val="•"/>
      <w:lvlJc w:val="left"/>
      <w:pPr>
        <w:ind w:left="9209" w:hanging="106"/>
      </w:pPr>
      <w:rPr>
        <w:rFonts w:hint="default"/>
      </w:rPr>
    </w:lvl>
  </w:abstractNum>
  <w:abstractNum w:abstractNumId="161" w15:restartNumberingAfterBreak="0">
    <w:nsid w:val="6B237124"/>
    <w:multiLevelType w:val="multilevel"/>
    <w:tmpl w:val="18083B30"/>
    <w:styleLink w:val="tl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3.3"/>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2" w15:restartNumberingAfterBreak="0">
    <w:nsid w:val="6B340515"/>
    <w:multiLevelType w:val="multilevel"/>
    <w:tmpl w:val="B2E4641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3"/>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6C205C46"/>
    <w:multiLevelType w:val="hybridMultilevel"/>
    <w:tmpl w:val="632277F6"/>
    <w:lvl w:ilvl="0" w:tplc="9E2691D8">
      <w:start w:val="1"/>
      <w:numFmt w:val="bullet"/>
      <w:lvlText w:val="-"/>
      <w:lvlJc w:val="left"/>
      <w:pPr>
        <w:ind w:left="70" w:hanging="84"/>
      </w:pPr>
      <w:rPr>
        <w:rFonts w:ascii="Gill Sans MT" w:eastAsia="Gill Sans MT" w:hAnsi="Gill Sans MT" w:hint="default"/>
        <w:color w:val="0089CF"/>
        <w:w w:val="85"/>
        <w:sz w:val="16"/>
        <w:szCs w:val="16"/>
      </w:rPr>
    </w:lvl>
    <w:lvl w:ilvl="1" w:tplc="AD9A86F4">
      <w:start w:val="1"/>
      <w:numFmt w:val="bullet"/>
      <w:lvlText w:val="•"/>
      <w:lvlJc w:val="left"/>
      <w:pPr>
        <w:ind w:left="774" w:hanging="84"/>
      </w:pPr>
      <w:rPr>
        <w:rFonts w:hint="default"/>
      </w:rPr>
    </w:lvl>
    <w:lvl w:ilvl="2" w:tplc="B246C336">
      <w:start w:val="1"/>
      <w:numFmt w:val="bullet"/>
      <w:lvlText w:val="•"/>
      <w:lvlJc w:val="left"/>
      <w:pPr>
        <w:ind w:left="1478" w:hanging="84"/>
      </w:pPr>
      <w:rPr>
        <w:rFonts w:hint="default"/>
      </w:rPr>
    </w:lvl>
    <w:lvl w:ilvl="3" w:tplc="A240E764">
      <w:start w:val="1"/>
      <w:numFmt w:val="bullet"/>
      <w:lvlText w:val="•"/>
      <w:lvlJc w:val="left"/>
      <w:pPr>
        <w:ind w:left="2182" w:hanging="84"/>
      </w:pPr>
      <w:rPr>
        <w:rFonts w:hint="default"/>
      </w:rPr>
    </w:lvl>
    <w:lvl w:ilvl="4" w:tplc="AD9CBD50">
      <w:start w:val="1"/>
      <w:numFmt w:val="bullet"/>
      <w:lvlText w:val="•"/>
      <w:lvlJc w:val="left"/>
      <w:pPr>
        <w:ind w:left="2886" w:hanging="84"/>
      </w:pPr>
      <w:rPr>
        <w:rFonts w:hint="default"/>
      </w:rPr>
    </w:lvl>
    <w:lvl w:ilvl="5" w:tplc="45AA0C80">
      <w:start w:val="1"/>
      <w:numFmt w:val="bullet"/>
      <w:lvlText w:val="•"/>
      <w:lvlJc w:val="left"/>
      <w:pPr>
        <w:ind w:left="3590" w:hanging="84"/>
      </w:pPr>
      <w:rPr>
        <w:rFonts w:hint="default"/>
      </w:rPr>
    </w:lvl>
    <w:lvl w:ilvl="6" w:tplc="0922D812">
      <w:start w:val="1"/>
      <w:numFmt w:val="bullet"/>
      <w:lvlText w:val="•"/>
      <w:lvlJc w:val="left"/>
      <w:pPr>
        <w:ind w:left="4294" w:hanging="84"/>
      </w:pPr>
      <w:rPr>
        <w:rFonts w:hint="default"/>
      </w:rPr>
    </w:lvl>
    <w:lvl w:ilvl="7" w:tplc="D7D47724">
      <w:start w:val="1"/>
      <w:numFmt w:val="bullet"/>
      <w:lvlText w:val="•"/>
      <w:lvlJc w:val="left"/>
      <w:pPr>
        <w:ind w:left="4998" w:hanging="84"/>
      </w:pPr>
      <w:rPr>
        <w:rFonts w:hint="default"/>
      </w:rPr>
    </w:lvl>
    <w:lvl w:ilvl="8" w:tplc="247CEFB2">
      <w:start w:val="1"/>
      <w:numFmt w:val="bullet"/>
      <w:lvlText w:val="•"/>
      <w:lvlJc w:val="left"/>
      <w:pPr>
        <w:ind w:left="5702" w:hanging="84"/>
      </w:pPr>
      <w:rPr>
        <w:rFonts w:hint="default"/>
      </w:rPr>
    </w:lvl>
  </w:abstractNum>
  <w:abstractNum w:abstractNumId="164" w15:restartNumberingAfterBreak="0">
    <w:nsid w:val="6D4E11A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15:restartNumberingAfterBreak="0">
    <w:nsid w:val="6DC3175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15:restartNumberingAfterBreak="0">
    <w:nsid w:val="6EDA7AFF"/>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6EE2156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8" w15:restartNumberingAfterBreak="0">
    <w:nsid w:val="6F5903C6"/>
    <w:multiLevelType w:val="hybridMultilevel"/>
    <w:tmpl w:val="C2D4D584"/>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6FF55FE2"/>
    <w:multiLevelType w:val="hybridMultilevel"/>
    <w:tmpl w:val="6870F4E6"/>
    <w:lvl w:ilvl="0" w:tplc="0CA44B36">
      <w:numFmt w:val="bullet"/>
      <w:pStyle w:val="tlZkladntextVavo"/>
      <w:lvlText w:val="-"/>
      <w:lvlJc w:val="left"/>
      <w:pPr>
        <w:tabs>
          <w:tab w:val="num" w:pos="360"/>
        </w:tabs>
        <w:ind w:left="360" w:hanging="360"/>
      </w:pPr>
      <w:rPr>
        <w:rFonts w:ascii="Times New Roman" w:eastAsia="Times New Roman" w:hAnsi="Times New Roman" w:cs="Times New Roman"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72C5476B"/>
    <w:multiLevelType w:val="multilevel"/>
    <w:tmpl w:val="A24CC3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3.1"/>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1" w15:restartNumberingAfterBreak="0">
    <w:nsid w:val="73030CEA"/>
    <w:multiLevelType w:val="hybridMultilevel"/>
    <w:tmpl w:val="CADE2BCE"/>
    <w:lvl w:ilvl="0" w:tplc="FDF09126">
      <w:start w:val="1"/>
      <w:numFmt w:val="lowerLetter"/>
      <w:lvlText w:val="%1)"/>
      <w:lvlJc w:val="left"/>
      <w:pPr>
        <w:ind w:left="70" w:hanging="183"/>
      </w:pPr>
      <w:rPr>
        <w:rFonts w:ascii="Times New Roman" w:eastAsia="Gill Sans MT" w:hAnsi="Times New Roman" w:cs="Times New Roman" w:hint="default"/>
        <w:color w:val="auto"/>
        <w:w w:val="118"/>
        <w:sz w:val="18"/>
        <w:szCs w:val="18"/>
      </w:rPr>
    </w:lvl>
    <w:lvl w:ilvl="1" w:tplc="E08E5BE8">
      <w:start w:val="1"/>
      <w:numFmt w:val="bullet"/>
      <w:lvlText w:val="•"/>
      <w:lvlJc w:val="left"/>
      <w:pPr>
        <w:ind w:left="774" w:hanging="183"/>
      </w:pPr>
      <w:rPr>
        <w:rFonts w:hint="default"/>
      </w:rPr>
    </w:lvl>
    <w:lvl w:ilvl="2" w:tplc="3FC82B68">
      <w:start w:val="1"/>
      <w:numFmt w:val="bullet"/>
      <w:lvlText w:val="•"/>
      <w:lvlJc w:val="left"/>
      <w:pPr>
        <w:ind w:left="1478" w:hanging="183"/>
      </w:pPr>
      <w:rPr>
        <w:rFonts w:hint="default"/>
      </w:rPr>
    </w:lvl>
    <w:lvl w:ilvl="3" w:tplc="B2421F56">
      <w:start w:val="1"/>
      <w:numFmt w:val="bullet"/>
      <w:lvlText w:val="•"/>
      <w:lvlJc w:val="left"/>
      <w:pPr>
        <w:ind w:left="2182" w:hanging="183"/>
      </w:pPr>
      <w:rPr>
        <w:rFonts w:hint="default"/>
      </w:rPr>
    </w:lvl>
    <w:lvl w:ilvl="4" w:tplc="8BA80E08">
      <w:start w:val="1"/>
      <w:numFmt w:val="bullet"/>
      <w:lvlText w:val="•"/>
      <w:lvlJc w:val="left"/>
      <w:pPr>
        <w:ind w:left="2886" w:hanging="183"/>
      </w:pPr>
      <w:rPr>
        <w:rFonts w:hint="default"/>
      </w:rPr>
    </w:lvl>
    <w:lvl w:ilvl="5" w:tplc="A52E7FC2">
      <w:start w:val="1"/>
      <w:numFmt w:val="bullet"/>
      <w:lvlText w:val="•"/>
      <w:lvlJc w:val="left"/>
      <w:pPr>
        <w:ind w:left="3590" w:hanging="183"/>
      </w:pPr>
      <w:rPr>
        <w:rFonts w:hint="default"/>
      </w:rPr>
    </w:lvl>
    <w:lvl w:ilvl="6" w:tplc="BB787C4E">
      <w:start w:val="1"/>
      <w:numFmt w:val="bullet"/>
      <w:lvlText w:val="•"/>
      <w:lvlJc w:val="left"/>
      <w:pPr>
        <w:ind w:left="4294" w:hanging="183"/>
      </w:pPr>
      <w:rPr>
        <w:rFonts w:hint="default"/>
      </w:rPr>
    </w:lvl>
    <w:lvl w:ilvl="7" w:tplc="1AA206EE">
      <w:start w:val="1"/>
      <w:numFmt w:val="bullet"/>
      <w:lvlText w:val="•"/>
      <w:lvlJc w:val="left"/>
      <w:pPr>
        <w:ind w:left="4998" w:hanging="183"/>
      </w:pPr>
      <w:rPr>
        <w:rFonts w:hint="default"/>
      </w:rPr>
    </w:lvl>
    <w:lvl w:ilvl="8" w:tplc="3ADED2AC">
      <w:start w:val="1"/>
      <w:numFmt w:val="bullet"/>
      <w:lvlText w:val="•"/>
      <w:lvlJc w:val="left"/>
      <w:pPr>
        <w:ind w:left="5702" w:hanging="183"/>
      </w:pPr>
      <w:rPr>
        <w:rFonts w:hint="default"/>
      </w:rPr>
    </w:lvl>
  </w:abstractNum>
  <w:abstractNum w:abstractNumId="172" w15:restartNumberingAfterBreak="0">
    <w:nsid w:val="732E07A2"/>
    <w:multiLevelType w:val="multilevel"/>
    <w:tmpl w:val="5C6ABE6A"/>
    <w:lvl w:ilvl="0">
      <w:start w:val="1"/>
      <w:numFmt w:val="bullet"/>
      <w:lvlText w:val="–"/>
      <w:lvlJc w:val="left"/>
      <w:pPr>
        <w:tabs>
          <w:tab w:val="num" w:pos="855"/>
        </w:tabs>
        <w:ind w:left="855" w:hanging="855"/>
      </w:pPr>
      <w:rPr>
        <w:rFonts w:ascii="Arial" w:hAnsi="Arial" w:hint="default"/>
        <w:color w:val="17365D"/>
        <w:sz w:val="18"/>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15:restartNumberingAfterBreak="0">
    <w:nsid w:val="73CB146F"/>
    <w:multiLevelType w:val="hybridMultilevel"/>
    <w:tmpl w:val="4DB22884"/>
    <w:lvl w:ilvl="0" w:tplc="9AEE1306">
      <w:start w:val="1"/>
      <w:numFmt w:val="bullet"/>
      <w:lvlText w:val="-"/>
      <w:lvlJc w:val="left"/>
      <w:pPr>
        <w:ind w:left="720" w:hanging="360"/>
      </w:pPr>
      <w:rPr>
        <w:rFonts w:ascii="Times New Roman" w:eastAsia="Times New Roman" w:hAnsi="Times New Roman" w:cs="Times New Roman" w:hint="default"/>
        <w:w w:val="88"/>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75E77074"/>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15:restartNumberingAfterBreak="0">
    <w:nsid w:val="76323FFE"/>
    <w:multiLevelType w:val="hybridMultilevel"/>
    <w:tmpl w:val="810E54EE"/>
    <w:lvl w:ilvl="0" w:tplc="A352F13A">
      <w:start w:val="1"/>
      <w:numFmt w:val="bullet"/>
      <w:lvlText w:val="-"/>
      <w:lvlJc w:val="left"/>
      <w:pPr>
        <w:ind w:left="70" w:hanging="95"/>
      </w:pPr>
      <w:rPr>
        <w:rFonts w:ascii="Gill Sans MT" w:eastAsia="Gill Sans MT" w:hAnsi="Gill Sans MT" w:hint="default"/>
        <w:color w:val="auto"/>
        <w:w w:val="85"/>
        <w:sz w:val="16"/>
        <w:szCs w:val="16"/>
      </w:rPr>
    </w:lvl>
    <w:lvl w:ilvl="1" w:tplc="37A65546">
      <w:start w:val="1"/>
      <w:numFmt w:val="bullet"/>
      <w:lvlText w:val="•"/>
      <w:lvlJc w:val="left"/>
      <w:pPr>
        <w:ind w:left="774" w:hanging="95"/>
      </w:pPr>
      <w:rPr>
        <w:rFonts w:hint="default"/>
      </w:rPr>
    </w:lvl>
    <w:lvl w:ilvl="2" w:tplc="B734EE06">
      <w:start w:val="1"/>
      <w:numFmt w:val="bullet"/>
      <w:lvlText w:val="•"/>
      <w:lvlJc w:val="left"/>
      <w:pPr>
        <w:ind w:left="1478" w:hanging="95"/>
      </w:pPr>
      <w:rPr>
        <w:rFonts w:hint="default"/>
      </w:rPr>
    </w:lvl>
    <w:lvl w:ilvl="3" w:tplc="0B866726">
      <w:start w:val="1"/>
      <w:numFmt w:val="bullet"/>
      <w:lvlText w:val="•"/>
      <w:lvlJc w:val="left"/>
      <w:pPr>
        <w:ind w:left="2182" w:hanging="95"/>
      </w:pPr>
      <w:rPr>
        <w:rFonts w:hint="default"/>
      </w:rPr>
    </w:lvl>
    <w:lvl w:ilvl="4" w:tplc="77D210FA">
      <w:start w:val="1"/>
      <w:numFmt w:val="bullet"/>
      <w:lvlText w:val="•"/>
      <w:lvlJc w:val="left"/>
      <w:pPr>
        <w:ind w:left="2886" w:hanging="95"/>
      </w:pPr>
      <w:rPr>
        <w:rFonts w:hint="default"/>
      </w:rPr>
    </w:lvl>
    <w:lvl w:ilvl="5" w:tplc="B7F24E86">
      <w:start w:val="1"/>
      <w:numFmt w:val="bullet"/>
      <w:lvlText w:val="•"/>
      <w:lvlJc w:val="left"/>
      <w:pPr>
        <w:ind w:left="3590" w:hanging="95"/>
      </w:pPr>
      <w:rPr>
        <w:rFonts w:hint="default"/>
      </w:rPr>
    </w:lvl>
    <w:lvl w:ilvl="6" w:tplc="E06C47F8">
      <w:start w:val="1"/>
      <w:numFmt w:val="bullet"/>
      <w:lvlText w:val="•"/>
      <w:lvlJc w:val="left"/>
      <w:pPr>
        <w:ind w:left="4294" w:hanging="95"/>
      </w:pPr>
      <w:rPr>
        <w:rFonts w:hint="default"/>
      </w:rPr>
    </w:lvl>
    <w:lvl w:ilvl="7" w:tplc="588ED3AA">
      <w:start w:val="1"/>
      <w:numFmt w:val="bullet"/>
      <w:lvlText w:val="•"/>
      <w:lvlJc w:val="left"/>
      <w:pPr>
        <w:ind w:left="4998" w:hanging="95"/>
      </w:pPr>
      <w:rPr>
        <w:rFonts w:hint="default"/>
      </w:rPr>
    </w:lvl>
    <w:lvl w:ilvl="8" w:tplc="9998F15C">
      <w:start w:val="1"/>
      <w:numFmt w:val="bullet"/>
      <w:lvlText w:val="•"/>
      <w:lvlJc w:val="left"/>
      <w:pPr>
        <w:ind w:left="5702" w:hanging="95"/>
      </w:pPr>
      <w:rPr>
        <w:rFonts w:hint="default"/>
      </w:rPr>
    </w:lvl>
  </w:abstractNum>
  <w:abstractNum w:abstractNumId="176" w15:restartNumberingAfterBreak="0">
    <w:nsid w:val="76643BDB"/>
    <w:multiLevelType w:val="multilevel"/>
    <w:tmpl w:val="AD1ECDD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77" w15:restartNumberingAfterBreak="0">
    <w:nsid w:val="767B1173"/>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8" w15:restartNumberingAfterBreak="0">
    <w:nsid w:val="77A725B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77D440FB"/>
    <w:multiLevelType w:val="multilevel"/>
    <w:tmpl w:val="DC983780"/>
    <w:lvl w:ilvl="0">
      <w:start w:val="1"/>
      <w:numFmt w:val="decimal"/>
      <w:lvlText w:val="%1"/>
      <w:lvlJc w:val="left"/>
      <w:pPr>
        <w:ind w:left="420" w:hanging="420"/>
      </w:pPr>
    </w:lvl>
    <w:lvl w:ilvl="1">
      <w:start w:val="1"/>
      <w:numFmt w:val="decimal"/>
      <w:pStyle w:val="Lukas2"/>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0" w15:restartNumberingAfterBreak="0">
    <w:nsid w:val="78FE76A9"/>
    <w:multiLevelType w:val="hybridMultilevel"/>
    <w:tmpl w:val="24AE7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798E0066"/>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2" w15:restartNumberingAfterBreak="0">
    <w:nsid w:val="7B275230"/>
    <w:multiLevelType w:val="multilevel"/>
    <w:tmpl w:val="ED185FF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3" w15:restartNumberingAfterBreak="0">
    <w:nsid w:val="7B360EFB"/>
    <w:multiLevelType w:val="hybridMultilevel"/>
    <w:tmpl w:val="D218714E"/>
    <w:lvl w:ilvl="0" w:tplc="54221A8A">
      <w:start w:val="1"/>
      <w:numFmt w:val="lowerLetter"/>
      <w:lvlText w:val="%1)"/>
      <w:lvlJc w:val="left"/>
      <w:pPr>
        <w:ind w:left="70" w:hanging="183"/>
      </w:pPr>
      <w:rPr>
        <w:rFonts w:ascii="Times New Roman" w:eastAsia="Gill Sans MT" w:hAnsi="Times New Roman" w:cs="Times New Roman" w:hint="default"/>
        <w:color w:val="auto"/>
        <w:w w:val="118"/>
        <w:sz w:val="18"/>
        <w:szCs w:val="18"/>
      </w:rPr>
    </w:lvl>
    <w:lvl w:ilvl="1" w:tplc="E2C8C370">
      <w:start w:val="1"/>
      <w:numFmt w:val="bullet"/>
      <w:lvlText w:val="•"/>
      <w:lvlJc w:val="left"/>
      <w:pPr>
        <w:ind w:left="774" w:hanging="183"/>
      </w:pPr>
      <w:rPr>
        <w:rFonts w:hint="default"/>
      </w:rPr>
    </w:lvl>
    <w:lvl w:ilvl="2" w:tplc="5A9A44A4">
      <w:start w:val="1"/>
      <w:numFmt w:val="bullet"/>
      <w:lvlText w:val="•"/>
      <w:lvlJc w:val="left"/>
      <w:pPr>
        <w:ind w:left="1478" w:hanging="183"/>
      </w:pPr>
      <w:rPr>
        <w:rFonts w:hint="default"/>
      </w:rPr>
    </w:lvl>
    <w:lvl w:ilvl="3" w:tplc="A8984488">
      <w:start w:val="1"/>
      <w:numFmt w:val="bullet"/>
      <w:lvlText w:val="•"/>
      <w:lvlJc w:val="left"/>
      <w:pPr>
        <w:ind w:left="2182" w:hanging="183"/>
      </w:pPr>
      <w:rPr>
        <w:rFonts w:hint="default"/>
      </w:rPr>
    </w:lvl>
    <w:lvl w:ilvl="4" w:tplc="7598A5AC">
      <w:start w:val="1"/>
      <w:numFmt w:val="bullet"/>
      <w:lvlText w:val="•"/>
      <w:lvlJc w:val="left"/>
      <w:pPr>
        <w:ind w:left="2886" w:hanging="183"/>
      </w:pPr>
      <w:rPr>
        <w:rFonts w:hint="default"/>
      </w:rPr>
    </w:lvl>
    <w:lvl w:ilvl="5" w:tplc="2A405EBA">
      <w:start w:val="1"/>
      <w:numFmt w:val="bullet"/>
      <w:lvlText w:val="•"/>
      <w:lvlJc w:val="left"/>
      <w:pPr>
        <w:ind w:left="3590" w:hanging="183"/>
      </w:pPr>
      <w:rPr>
        <w:rFonts w:hint="default"/>
      </w:rPr>
    </w:lvl>
    <w:lvl w:ilvl="6" w:tplc="998AB3D4">
      <w:start w:val="1"/>
      <w:numFmt w:val="bullet"/>
      <w:lvlText w:val="•"/>
      <w:lvlJc w:val="left"/>
      <w:pPr>
        <w:ind w:left="4294" w:hanging="183"/>
      </w:pPr>
      <w:rPr>
        <w:rFonts w:hint="default"/>
      </w:rPr>
    </w:lvl>
    <w:lvl w:ilvl="7" w:tplc="4BD6DC58">
      <w:start w:val="1"/>
      <w:numFmt w:val="bullet"/>
      <w:lvlText w:val="•"/>
      <w:lvlJc w:val="left"/>
      <w:pPr>
        <w:ind w:left="4998" w:hanging="183"/>
      </w:pPr>
      <w:rPr>
        <w:rFonts w:hint="default"/>
      </w:rPr>
    </w:lvl>
    <w:lvl w:ilvl="8" w:tplc="C11E5430">
      <w:start w:val="1"/>
      <w:numFmt w:val="bullet"/>
      <w:lvlText w:val="•"/>
      <w:lvlJc w:val="left"/>
      <w:pPr>
        <w:ind w:left="5702" w:hanging="183"/>
      </w:pPr>
      <w:rPr>
        <w:rFonts w:hint="default"/>
      </w:rPr>
    </w:lvl>
  </w:abstractNum>
  <w:abstractNum w:abstractNumId="184" w15:restartNumberingAfterBreak="0">
    <w:nsid w:val="7E403F29"/>
    <w:multiLevelType w:val="hybridMultilevel"/>
    <w:tmpl w:val="ADA40098"/>
    <w:lvl w:ilvl="0" w:tplc="12FCAEAA">
      <w:start w:val="1"/>
      <w:numFmt w:val="bullet"/>
      <w:lvlText w:val="•"/>
      <w:lvlJc w:val="left"/>
      <w:pPr>
        <w:ind w:left="840" w:hanging="103"/>
      </w:pPr>
      <w:rPr>
        <w:rFonts w:ascii="Gill Sans MT" w:eastAsia="Gill Sans MT" w:hAnsi="Gill Sans MT" w:hint="default"/>
        <w:w w:val="91"/>
        <w:sz w:val="20"/>
        <w:szCs w:val="20"/>
      </w:rPr>
    </w:lvl>
    <w:lvl w:ilvl="1" w:tplc="42B20CBE">
      <w:start w:val="1"/>
      <w:numFmt w:val="bullet"/>
      <w:lvlText w:val="•"/>
      <w:lvlJc w:val="left"/>
      <w:pPr>
        <w:ind w:left="1886" w:hanging="103"/>
      </w:pPr>
      <w:rPr>
        <w:rFonts w:hint="default"/>
      </w:rPr>
    </w:lvl>
    <w:lvl w:ilvl="2" w:tplc="3EA82202">
      <w:start w:val="1"/>
      <w:numFmt w:val="bullet"/>
      <w:lvlText w:val="•"/>
      <w:lvlJc w:val="left"/>
      <w:pPr>
        <w:ind w:left="2933" w:hanging="103"/>
      </w:pPr>
      <w:rPr>
        <w:rFonts w:hint="default"/>
      </w:rPr>
    </w:lvl>
    <w:lvl w:ilvl="3" w:tplc="FCEA215E">
      <w:start w:val="1"/>
      <w:numFmt w:val="bullet"/>
      <w:lvlText w:val="•"/>
      <w:lvlJc w:val="left"/>
      <w:pPr>
        <w:ind w:left="3979" w:hanging="103"/>
      </w:pPr>
      <w:rPr>
        <w:rFonts w:hint="default"/>
      </w:rPr>
    </w:lvl>
    <w:lvl w:ilvl="4" w:tplc="7E260E0E">
      <w:start w:val="1"/>
      <w:numFmt w:val="bullet"/>
      <w:lvlText w:val="•"/>
      <w:lvlJc w:val="left"/>
      <w:pPr>
        <w:ind w:left="5026" w:hanging="103"/>
      </w:pPr>
      <w:rPr>
        <w:rFonts w:hint="default"/>
      </w:rPr>
    </w:lvl>
    <w:lvl w:ilvl="5" w:tplc="9D9E4444">
      <w:start w:val="1"/>
      <w:numFmt w:val="bullet"/>
      <w:lvlText w:val="•"/>
      <w:lvlJc w:val="left"/>
      <w:pPr>
        <w:ind w:left="6072" w:hanging="103"/>
      </w:pPr>
      <w:rPr>
        <w:rFonts w:hint="default"/>
      </w:rPr>
    </w:lvl>
    <w:lvl w:ilvl="6" w:tplc="4306D34C">
      <w:start w:val="1"/>
      <w:numFmt w:val="bullet"/>
      <w:lvlText w:val="•"/>
      <w:lvlJc w:val="left"/>
      <w:pPr>
        <w:ind w:left="7119" w:hanging="103"/>
      </w:pPr>
      <w:rPr>
        <w:rFonts w:hint="default"/>
      </w:rPr>
    </w:lvl>
    <w:lvl w:ilvl="7" w:tplc="B600D022">
      <w:start w:val="1"/>
      <w:numFmt w:val="bullet"/>
      <w:lvlText w:val="•"/>
      <w:lvlJc w:val="left"/>
      <w:pPr>
        <w:ind w:left="8165" w:hanging="103"/>
      </w:pPr>
      <w:rPr>
        <w:rFonts w:hint="default"/>
      </w:rPr>
    </w:lvl>
    <w:lvl w:ilvl="8" w:tplc="61403BBE">
      <w:start w:val="1"/>
      <w:numFmt w:val="bullet"/>
      <w:lvlText w:val="•"/>
      <w:lvlJc w:val="left"/>
      <w:pPr>
        <w:ind w:left="9212" w:hanging="103"/>
      </w:pPr>
      <w:rPr>
        <w:rFonts w:hint="default"/>
      </w:rPr>
    </w:lvl>
  </w:abstractNum>
  <w:abstractNum w:abstractNumId="185" w15:restartNumberingAfterBreak="0">
    <w:nsid w:val="7EA3011A"/>
    <w:multiLevelType w:val="multilevel"/>
    <w:tmpl w:val="D8420CF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6" w15:restartNumberingAfterBreak="0">
    <w:nsid w:val="7F900298"/>
    <w:multiLevelType w:val="multilevel"/>
    <w:tmpl w:val="3708B33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7" w15:restartNumberingAfterBreak="0">
    <w:nsid w:val="7FCE53C1"/>
    <w:multiLevelType w:val="hybridMultilevel"/>
    <w:tmpl w:val="12E8A3C0"/>
    <w:lvl w:ilvl="0" w:tplc="1D98B184">
      <w:start w:val="1"/>
      <w:numFmt w:val="bullet"/>
      <w:lvlText w:val="─"/>
      <w:lvlJc w:val="left"/>
      <w:pPr>
        <w:ind w:left="1800" w:hanging="360"/>
      </w:pPr>
      <w:rPr>
        <w:rFonts w:ascii="Arial Narrow" w:hAnsi="Arial Narrow" w:hint="default"/>
        <w:color w:val="17365D"/>
        <w:sz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76"/>
  </w:num>
  <w:num w:numId="2">
    <w:abstractNumId w:val="29"/>
  </w:num>
  <w:num w:numId="3">
    <w:abstractNumId w:val="45"/>
  </w:num>
  <w:num w:numId="4">
    <w:abstractNumId w:val="169"/>
  </w:num>
  <w:num w:numId="5">
    <w:abstractNumId w:val="112"/>
  </w:num>
  <w:num w:numId="6">
    <w:abstractNumId w:val="8"/>
  </w:num>
  <w:num w:numId="7">
    <w:abstractNumId w:val="3"/>
  </w:num>
  <w:num w:numId="8">
    <w:abstractNumId w:val="2"/>
  </w:num>
  <w:num w:numId="9">
    <w:abstractNumId w:val="1"/>
  </w:num>
  <w:num w:numId="10">
    <w:abstractNumId w:val="0"/>
  </w:num>
  <w:num w:numId="11">
    <w:abstractNumId w:val="7"/>
  </w:num>
  <w:num w:numId="12">
    <w:abstractNumId w:val="6"/>
  </w:num>
  <w:num w:numId="13">
    <w:abstractNumId w:val="5"/>
  </w:num>
  <w:num w:numId="14">
    <w:abstractNumId w:val="4"/>
  </w:num>
  <w:num w:numId="15">
    <w:abstractNumId w:val="146"/>
  </w:num>
  <w:num w:numId="16">
    <w:abstractNumId w:val="88"/>
  </w:num>
  <w:num w:numId="17">
    <w:abstractNumId w:val="176"/>
    <w:lvlOverride w:ilvl="0">
      <w:startOverride w:val="2"/>
    </w:lvlOverride>
    <w:lvlOverride w:ilvl="1">
      <w:startOverride w:val="1"/>
    </w:lvlOverride>
    <w:lvlOverride w:ilvl="2">
      <w:startOverride w:val="1"/>
    </w:lvlOverride>
    <w:lvlOverride w:ilvl="3">
      <w:startOverride w:val="1"/>
    </w:lvlOverride>
  </w:num>
  <w:num w:numId="18">
    <w:abstractNumId w:val="65"/>
  </w:num>
  <w:num w:numId="19">
    <w:abstractNumId w:val="32"/>
  </w:num>
  <w:num w:numId="20">
    <w:abstractNumId w:val="69"/>
  </w:num>
  <w:num w:numId="21">
    <w:abstractNumId w:val="156"/>
  </w:num>
  <w:num w:numId="22">
    <w:abstractNumId w:val="61"/>
  </w:num>
  <w:num w:numId="23">
    <w:abstractNumId w:val="66"/>
  </w:num>
  <w:num w:numId="24">
    <w:abstractNumId w:val="102"/>
  </w:num>
  <w:num w:numId="25">
    <w:abstractNumId w:val="60"/>
  </w:num>
  <w:num w:numId="26">
    <w:abstractNumId w:val="68"/>
  </w:num>
  <w:num w:numId="27">
    <w:abstractNumId w:val="74"/>
  </w:num>
  <w:num w:numId="28">
    <w:abstractNumId w:val="110"/>
  </w:num>
  <w:num w:numId="29">
    <w:abstractNumId w:val="99"/>
  </w:num>
  <w:num w:numId="30">
    <w:abstractNumId w:val="11"/>
  </w:num>
  <w:num w:numId="31">
    <w:abstractNumId w:val="44"/>
  </w:num>
  <w:num w:numId="32">
    <w:abstractNumId w:val="35"/>
  </w:num>
  <w:num w:numId="33">
    <w:abstractNumId w:val="165"/>
  </w:num>
  <w:num w:numId="34">
    <w:abstractNumId w:val="186"/>
  </w:num>
  <w:num w:numId="35">
    <w:abstractNumId w:val="174"/>
  </w:num>
  <w:num w:numId="36">
    <w:abstractNumId w:val="135"/>
  </w:num>
  <w:num w:numId="37">
    <w:abstractNumId w:val="119"/>
  </w:num>
  <w:num w:numId="38">
    <w:abstractNumId w:val="164"/>
  </w:num>
  <w:num w:numId="39">
    <w:abstractNumId w:val="28"/>
  </w:num>
  <w:num w:numId="40">
    <w:abstractNumId w:val="72"/>
  </w:num>
  <w:num w:numId="41">
    <w:abstractNumId w:val="24"/>
  </w:num>
  <w:num w:numId="42">
    <w:abstractNumId w:val="86"/>
  </w:num>
  <w:num w:numId="43">
    <w:abstractNumId w:val="109"/>
  </w:num>
  <w:num w:numId="44">
    <w:abstractNumId w:val="90"/>
  </w:num>
  <w:num w:numId="45">
    <w:abstractNumId w:val="21"/>
  </w:num>
  <w:num w:numId="46">
    <w:abstractNumId w:val="158"/>
  </w:num>
  <w:num w:numId="47">
    <w:abstractNumId w:val="116"/>
  </w:num>
  <w:num w:numId="48">
    <w:abstractNumId w:val="144"/>
  </w:num>
  <w:num w:numId="49">
    <w:abstractNumId w:val="39"/>
  </w:num>
  <w:num w:numId="50">
    <w:abstractNumId w:val="30"/>
  </w:num>
  <w:num w:numId="51">
    <w:abstractNumId w:val="167"/>
  </w:num>
  <w:num w:numId="52">
    <w:abstractNumId w:val="22"/>
  </w:num>
  <w:num w:numId="53">
    <w:abstractNumId w:val="38"/>
  </w:num>
  <w:num w:numId="54">
    <w:abstractNumId w:val="127"/>
  </w:num>
  <w:num w:numId="55">
    <w:abstractNumId w:val="155"/>
  </w:num>
  <w:num w:numId="56">
    <w:abstractNumId w:val="168"/>
  </w:num>
  <w:num w:numId="57">
    <w:abstractNumId w:val="33"/>
  </w:num>
  <w:num w:numId="58">
    <w:abstractNumId w:val="172"/>
  </w:num>
  <w:num w:numId="59">
    <w:abstractNumId w:val="107"/>
  </w:num>
  <w:num w:numId="60">
    <w:abstractNumId w:val="53"/>
  </w:num>
  <w:num w:numId="61">
    <w:abstractNumId w:val="64"/>
  </w:num>
  <w:num w:numId="62">
    <w:abstractNumId w:val="149"/>
  </w:num>
  <w:num w:numId="63">
    <w:abstractNumId w:val="159"/>
  </w:num>
  <w:num w:numId="64">
    <w:abstractNumId w:val="19"/>
  </w:num>
  <w:num w:numId="65">
    <w:abstractNumId w:val="55"/>
  </w:num>
  <w:num w:numId="66">
    <w:abstractNumId w:val="43"/>
  </w:num>
  <w:num w:numId="67">
    <w:abstractNumId w:val="17"/>
  </w:num>
  <w:num w:numId="68">
    <w:abstractNumId w:val="14"/>
  </w:num>
  <w:num w:numId="69">
    <w:abstractNumId w:val="140"/>
  </w:num>
  <w:num w:numId="70">
    <w:abstractNumId w:val="49"/>
  </w:num>
  <w:num w:numId="71">
    <w:abstractNumId w:val="187"/>
  </w:num>
  <w:num w:numId="72">
    <w:abstractNumId w:val="106"/>
  </w:num>
  <w:num w:numId="73">
    <w:abstractNumId w:val="77"/>
  </w:num>
  <w:num w:numId="74">
    <w:abstractNumId w:val="181"/>
  </w:num>
  <w:num w:numId="75">
    <w:abstractNumId w:val="166"/>
  </w:num>
  <w:num w:numId="76">
    <w:abstractNumId w:val="54"/>
  </w:num>
  <w:num w:numId="77">
    <w:abstractNumId w:val="71"/>
  </w:num>
  <w:num w:numId="78">
    <w:abstractNumId w:val="70"/>
  </w:num>
  <w:num w:numId="79">
    <w:abstractNumId w:val="142"/>
  </w:num>
  <w:num w:numId="80">
    <w:abstractNumId w:val="58"/>
  </w:num>
  <w:num w:numId="81">
    <w:abstractNumId w:val="84"/>
  </w:num>
  <w:num w:numId="82">
    <w:abstractNumId w:val="37"/>
  </w:num>
  <w:num w:numId="83">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7"/>
  </w:num>
  <w:num w:numId="85">
    <w:abstractNumId w:val="10"/>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31"/>
  </w:num>
  <w:num w:numId="93">
    <w:abstractNumId w:val="83"/>
  </w:num>
  <w:num w:numId="94">
    <w:abstractNumId w:val="12"/>
  </w:num>
  <w:num w:numId="95">
    <w:abstractNumId w:val="130"/>
  </w:num>
  <w:num w:numId="96">
    <w:abstractNumId w:val="96"/>
  </w:num>
  <w:num w:numId="97">
    <w:abstractNumId w:val="182"/>
  </w:num>
  <w:num w:numId="98">
    <w:abstractNumId w:val="137"/>
  </w:num>
  <w:num w:numId="99">
    <w:abstractNumId w:val="162"/>
  </w:num>
  <w:num w:numId="100">
    <w:abstractNumId w:val="36"/>
  </w:num>
  <w:num w:numId="101">
    <w:abstractNumId w:val="52"/>
  </w:num>
  <w:num w:numId="102">
    <w:abstractNumId w:val="104"/>
  </w:num>
  <w:num w:numId="103">
    <w:abstractNumId w:val="34"/>
  </w:num>
  <w:num w:numId="104">
    <w:abstractNumId w:val="176"/>
  </w:num>
  <w:num w:numId="105">
    <w:abstractNumId w:val="176"/>
  </w:num>
  <w:num w:numId="106">
    <w:abstractNumId w:val="176"/>
  </w:num>
  <w:num w:numId="107">
    <w:abstractNumId w:val="176"/>
  </w:num>
  <w:num w:numId="108">
    <w:abstractNumId w:val="176"/>
  </w:num>
  <w:num w:numId="109">
    <w:abstractNumId w:val="176"/>
  </w:num>
  <w:num w:numId="110">
    <w:abstractNumId w:val="170"/>
  </w:num>
  <w:num w:numId="111">
    <w:abstractNumId w:val="161"/>
  </w:num>
  <w:num w:numId="112">
    <w:abstractNumId w:val="80"/>
  </w:num>
  <w:num w:numId="113">
    <w:abstractNumId w:val="1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3"/>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4">
    <w:abstractNumId w:val="1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4"/>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5">
    <w:abstractNumId w:val="1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5"/>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6">
    <w:abstractNumId w:val="1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6"/>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7">
    <w:abstractNumId w:val="17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2"/>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8">
    <w:abstractNumId w:val="176"/>
  </w:num>
  <w:num w:numId="119">
    <w:abstractNumId w:val="15"/>
  </w:num>
  <w:num w:numId="120">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2"/>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1">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3"/>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2">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4"/>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3">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5"/>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4">
    <w:abstractNumId w:val="1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6"/>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7"/>
  </w:num>
  <w:num w:numId="127">
    <w:abstractNumId w:val="46"/>
  </w:num>
  <w:num w:numId="128">
    <w:abstractNumId w:val="129"/>
  </w:num>
  <w:num w:numId="129">
    <w:abstractNumId w:val="150"/>
  </w:num>
  <w:num w:numId="130">
    <w:abstractNumId w:val="134"/>
  </w:num>
  <w:num w:numId="131">
    <w:abstractNumId w:val="42"/>
  </w:num>
  <w:num w:numId="132">
    <w:abstractNumId w:val="75"/>
  </w:num>
  <w:num w:numId="133">
    <w:abstractNumId w:val="122"/>
  </w:num>
  <w:num w:numId="134">
    <w:abstractNumId w:val="76"/>
  </w:num>
  <w:num w:numId="135">
    <w:abstractNumId w:val="92"/>
  </w:num>
  <w:num w:numId="136">
    <w:abstractNumId w:val="111"/>
  </w:num>
  <w:num w:numId="137">
    <w:abstractNumId w:val="123"/>
  </w:num>
  <w:num w:numId="13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20"/>
  </w:num>
  <w:num w:numId="155">
    <w:abstractNumId w:val="100"/>
  </w:num>
  <w:num w:numId="156">
    <w:abstractNumId w:val="73"/>
  </w:num>
  <w:num w:numId="157">
    <w:abstractNumId w:val="173"/>
  </w:num>
  <w:num w:numId="158">
    <w:abstractNumId w:val="79"/>
  </w:num>
  <w:num w:numId="159">
    <w:abstractNumId w:val="180"/>
  </w:num>
  <w:num w:numId="160">
    <w:abstractNumId w:val="94"/>
  </w:num>
  <w:num w:numId="161">
    <w:abstractNumId w:val="153"/>
  </w:num>
  <w:num w:numId="162">
    <w:abstractNumId w:val="139"/>
  </w:num>
  <w:num w:numId="163">
    <w:abstractNumId w:val="40"/>
  </w:num>
  <w:num w:numId="164">
    <w:abstractNumId w:val="101"/>
  </w:num>
  <w:num w:numId="165">
    <w:abstractNumId w:val="108"/>
  </w:num>
  <w:num w:numId="166">
    <w:abstractNumId w:val="18"/>
  </w:num>
  <w:num w:numId="167">
    <w:abstractNumId w:val="48"/>
  </w:num>
  <w:num w:numId="168">
    <w:abstractNumId w:val="89"/>
  </w:num>
  <w:num w:numId="169">
    <w:abstractNumId w:val="47"/>
  </w:num>
  <w:num w:numId="170">
    <w:abstractNumId w:val="93"/>
  </w:num>
  <w:num w:numId="171">
    <w:abstractNumId w:val="78"/>
  </w:num>
  <w:num w:numId="172">
    <w:abstractNumId w:val="143"/>
  </w:num>
  <w:num w:numId="173">
    <w:abstractNumId w:val="138"/>
  </w:num>
  <w:num w:numId="174">
    <w:abstractNumId w:val="91"/>
  </w:num>
  <w:num w:numId="175">
    <w:abstractNumId w:val="124"/>
  </w:num>
  <w:num w:numId="176">
    <w:abstractNumId w:val="152"/>
  </w:num>
  <w:num w:numId="177">
    <w:abstractNumId w:val="160"/>
  </w:num>
  <w:num w:numId="178">
    <w:abstractNumId w:val="98"/>
  </w:num>
  <w:num w:numId="179">
    <w:abstractNumId w:val="132"/>
  </w:num>
  <w:num w:numId="180">
    <w:abstractNumId w:val="154"/>
  </w:num>
  <w:num w:numId="181">
    <w:abstractNumId w:val="13"/>
  </w:num>
  <w:num w:numId="182">
    <w:abstractNumId w:val="26"/>
  </w:num>
  <w:num w:numId="183">
    <w:abstractNumId w:val="145"/>
  </w:num>
  <w:num w:numId="184">
    <w:abstractNumId w:val="87"/>
  </w:num>
  <w:num w:numId="185">
    <w:abstractNumId w:val="184"/>
  </w:num>
  <w:num w:numId="186">
    <w:abstractNumId w:val="125"/>
  </w:num>
  <w:num w:numId="187">
    <w:abstractNumId w:val="114"/>
  </w:num>
  <w:num w:numId="188">
    <w:abstractNumId w:val="65"/>
    <w:lvlOverride w:ilvl="0">
      <w:startOverride w:val="1"/>
    </w:lvlOverride>
  </w:num>
  <w:num w:numId="189">
    <w:abstractNumId w:val="141"/>
  </w:num>
  <w:num w:numId="190">
    <w:abstractNumId w:val="117"/>
  </w:num>
  <w:num w:numId="191">
    <w:abstractNumId w:val="133"/>
  </w:num>
  <w:num w:numId="192">
    <w:abstractNumId w:val="59"/>
  </w:num>
  <w:num w:numId="193">
    <w:abstractNumId w:val="95"/>
  </w:num>
  <w:num w:numId="194">
    <w:abstractNumId w:val="176"/>
  </w:num>
  <w:num w:numId="195">
    <w:abstractNumId w:val="113"/>
  </w:num>
  <w:num w:numId="196">
    <w:abstractNumId w:val="148"/>
  </w:num>
  <w:num w:numId="197">
    <w:abstractNumId w:val="45"/>
    <w:lvlOverride w:ilvl="0">
      <w:startOverride w:val="1"/>
    </w:lvlOverride>
  </w:num>
  <w:num w:numId="198">
    <w:abstractNumId w:val="45"/>
  </w:num>
  <w:num w:numId="199">
    <w:abstractNumId w:val="185"/>
  </w:num>
  <w:num w:numId="200">
    <w:abstractNumId w:val="45"/>
    <w:lvlOverride w:ilvl="0">
      <w:startOverride w:val="1"/>
    </w:lvlOverride>
  </w:num>
  <w:num w:numId="201">
    <w:abstractNumId w:val="45"/>
  </w:num>
  <w:num w:numId="202">
    <w:abstractNumId w:val="20"/>
  </w:num>
  <w:num w:numId="203">
    <w:abstractNumId w:val="126"/>
  </w:num>
  <w:num w:numId="204">
    <w:abstractNumId w:val="175"/>
  </w:num>
  <w:num w:numId="205">
    <w:abstractNumId w:val="85"/>
  </w:num>
  <w:num w:numId="206">
    <w:abstractNumId w:val="16"/>
  </w:num>
  <w:num w:numId="207">
    <w:abstractNumId w:val="82"/>
  </w:num>
  <w:num w:numId="208">
    <w:abstractNumId w:val="97"/>
  </w:num>
  <w:num w:numId="209">
    <w:abstractNumId w:val="171"/>
  </w:num>
  <w:num w:numId="210">
    <w:abstractNumId w:val="136"/>
  </w:num>
  <w:num w:numId="211">
    <w:abstractNumId w:val="183"/>
  </w:num>
  <w:num w:numId="212">
    <w:abstractNumId w:val="163"/>
  </w:num>
  <w:num w:numId="213">
    <w:abstractNumId w:val="50"/>
  </w:num>
  <w:num w:numId="214">
    <w:abstractNumId w:val="51"/>
  </w:num>
  <w:num w:numId="215">
    <w:abstractNumId w:val="31"/>
  </w:num>
  <w:num w:numId="216">
    <w:abstractNumId w:val="57"/>
  </w:num>
  <w:num w:numId="217">
    <w:abstractNumId w:val="105"/>
  </w:num>
  <w:num w:numId="218">
    <w:abstractNumId w:val="9"/>
  </w:num>
  <w:num w:numId="219">
    <w:abstractNumId w:val="81"/>
  </w:num>
  <w:num w:numId="220">
    <w:abstractNumId w:val="41"/>
  </w:num>
  <w:num w:numId="221">
    <w:abstractNumId w:val="65"/>
  </w:num>
  <w:num w:numId="222">
    <w:abstractNumId w:val="176"/>
  </w:num>
  <w:num w:numId="223">
    <w:abstractNumId w:val="103"/>
  </w:num>
  <w:num w:numId="224">
    <w:abstractNumId w:val="128"/>
  </w:num>
  <w:num w:numId="225">
    <w:abstractNumId w:val="121"/>
  </w:num>
  <w:num w:numId="226">
    <w:abstractNumId w:val="62"/>
  </w:num>
  <w:num w:numId="227">
    <w:abstractNumId w:val="178"/>
  </w:num>
  <w:num w:numId="228">
    <w:abstractNumId w:val="151"/>
  </w:num>
  <w:num w:numId="229">
    <w:abstractNumId w:val="63"/>
  </w:num>
  <w:num w:numId="230">
    <w:abstractNumId w:val="118"/>
  </w:num>
  <w:num w:numId="231">
    <w:abstractNumId w:val="23"/>
  </w:num>
  <w:num w:numId="232">
    <w:abstractNumId w:val="25"/>
  </w:num>
  <w:num w:numId="233">
    <w:abstractNumId w:val="56"/>
  </w:num>
  <w:num w:numId="234">
    <w:abstractNumId w:val="157"/>
  </w:num>
  <w:num w:numId="235">
    <w:abstractNumId w:val="115"/>
  </w:num>
  <w:num w:numId="236">
    <w:abstractNumId w:val="177"/>
  </w:num>
  <w:num w:numId="237">
    <w:abstractNumId w:val="147"/>
  </w:num>
  <w:num w:numId="23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76"/>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activeWritingStyle w:appName="MSWord" w:lang="en-US" w:vendorID="64" w:dllVersion="131078" w:nlCheck="1" w:checkStyle="0"/>
  <w:activeWritingStyle w:appName="MSWord" w:lang="en-GB" w:vendorID="64" w:dllVersion="131078" w:nlCheck="1" w:checkStyle="0"/>
  <w:activeWritingStyle w:appName="MSWord" w:lang="de-D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2"/>
  </w:compat>
  <w:rsids>
    <w:rsidRoot w:val="00040EA8"/>
    <w:rsid w:val="00000103"/>
    <w:rsid w:val="00000145"/>
    <w:rsid w:val="000001AA"/>
    <w:rsid w:val="000002DD"/>
    <w:rsid w:val="00000380"/>
    <w:rsid w:val="000004BF"/>
    <w:rsid w:val="00000C32"/>
    <w:rsid w:val="0000100C"/>
    <w:rsid w:val="0000115B"/>
    <w:rsid w:val="000013E0"/>
    <w:rsid w:val="0000158F"/>
    <w:rsid w:val="00001616"/>
    <w:rsid w:val="00001802"/>
    <w:rsid w:val="00001C64"/>
    <w:rsid w:val="00001CD8"/>
    <w:rsid w:val="00001D48"/>
    <w:rsid w:val="00001DBB"/>
    <w:rsid w:val="00001E19"/>
    <w:rsid w:val="00001E50"/>
    <w:rsid w:val="00001F60"/>
    <w:rsid w:val="00001F7B"/>
    <w:rsid w:val="00001FA7"/>
    <w:rsid w:val="0000201C"/>
    <w:rsid w:val="000020BE"/>
    <w:rsid w:val="00002108"/>
    <w:rsid w:val="00002408"/>
    <w:rsid w:val="000025A1"/>
    <w:rsid w:val="000026C4"/>
    <w:rsid w:val="00002732"/>
    <w:rsid w:val="00002894"/>
    <w:rsid w:val="000029CC"/>
    <w:rsid w:val="00002A07"/>
    <w:rsid w:val="00002B4A"/>
    <w:rsid w:val="00002DF5"/>
    <w:rsid w:val="00002F06"/>
    <w:rsid w:val="00002FE5"/>
    <w:rsid w:val="000030ED"/>
    <w:rsid w:val="00003144"/>
    <w:rsid w:val="00003243"/>
    <w:rsid w:val="0000339D"/>
    <w:rsid w:val="00003445"/>
    <w:rsid w:val="000035E2"/>
    <w:rsid w:val="000037CE"/>
    <w:rsid w:val="00003800"/>
    <w:rsid w:val="00003863"/>
    <w:rsid w:val="000039F2"/>
    <w:rsid w:val="00003CA7"/>
    <w:rsid w:val="00003CB9"/>
    <w:rsid w:val="00003E9A"/>
    <w:rsid w:val="00003EB6"/>
    <w:rsid w:val="00003F4A"/>
    <w:rsid w:val="000042CB"/>
    <w:rsid w:val="00004409"/>
    <w:rsid w:val="0000440C"/>
    <w:rsid w:val="00004465"/>
    <w:rsid w:val="00004681"/>
    <w:rsid w:val="00004682"/>
    <w:rsid w:val="000047C0"/>
    <w:rsid w:val="00004869"/>
    <w:rsid w:val="00004A0E"/>
    <w:rsid w:val="00004AD1"/>
    <w:rsid w:val="00004BA7"/>
    <w:rsid w:val="00004D2D"/>
    <w:rsid w:val="00004EAF"/>
    <w:rsid w:val="00005154"/>
    <w:rsid w:val="000052EB"/>
    <w:rsid w:val="000054AA"/>
    <w:rsid w:val="00005652"/>
    <w:rsid w:val="0000572F"/>
    <w:rsid w:val="000057FE"/>
    <w:rsid w:val="00005851"/>
    <w:rsid w:val="00005954"/>
    <w:rsid w:val="000060B9"/>
    <w:rsid w:val="000062A6"/>
    <w:rsid w:val="00006B17"/>
    <w:rsid w:val="00006C7B"/>
    <w:rsid w:val="00007064"/>
    <w:rsid w:val="0000711C"/>
    <w:rsid w:val="00007144"/>
    <w:rsid w:val="0000738A"/>
    <w:rsid w:val="00007584"/>
    <w:rsid w:val="0000758C"/>
    <w:rsid w:val="000078AE"/>
    <w:rsid w:val="0000793E"/>
    <w:rsid w:val="000079AE"/>
    <w:rsid w:val="00007BA3"/>
    <w:rsid w:val="00007FB8"/>
    <w:rsid w:val="000102FF"/>
    <w:rsid w:val="00010302"/>
    <w:rsid w:val="00010354"/>
    <w:rsid w:val="000105C3"/>
    <w:rsid w:val="0001065E"/>
    <w:rsid w:val="000106F8"/>
    <w:rsid w:val="00010709"/>
    <w:rsid w:val="00010750"/>
    <w:rsid w:val="00010967"/>
    <w:rsid w:val="0001098E"/>
    <w:rsid w:val="00010B4C"/>
    <w:rsid w:val="00010B74"/>
    <w:rsid w:val="00010C27"/>
    <w:rsid w:val="00010EE9"/>
    <w:rsid w:val="00010FF5"/>
    <w:rsid w:val="00011114"/>
    <w:rsid w:val="000111D4"/>
    <w:rsid w:val="00011391"/>
    <w:rsid w:val="0001144F"/>
    <w:rsid w:val="00011763"/>
    <w:rsid w:val="000119A4"/>
    <w:rsid w:val="00011B00"/>
    <w:rsid w:val="00011CBB"/>
    <w:rsid w:val="00011D2D"/>
    <w:rsid w:val="00011DA5"/>
    <w:rsid w:val="00011DEA"/>
    <w:rsid w:val="00012334"/>
    <w:rsid w:val="00012567"/>
    <w:rsid w:val="000126C7"/>
    <w:rsid w:val="00012781"/>
    <w:rsid w:val="0001286C"/>
    <w:rsid w:val="00012943"/>
    <w:rsid w:val="00012C2B"/>
    <w:rsid w:val="00012C57"/>
    <w:rsid w:val="00012CBA"/>
    <w:rsid w:val="00012EDA"/>
    <w:rsid w:val="00013012"/>
    <w:rsid w:val="0001303D"/>
    <w:rsid w:val="000130B7"/>
    <w:rsid w:val="000131A8"/>
    <w:rsid w:val="0001322A"/>
    <w:rsid w:val="000135C3"/>
    <w:rsid w:val="0001379D"/>
    <w:rsid w:val="000138C8"/>
    <w:rsid w:val="000139FD"/>
    <w:rsid w:val="00013E24"/>
    <w:rsid w:val="00013F16"/>
    <w:rsid w:val="00013FE7"/>
    <w:rsid w:val="00014044"/>
    <w:rsid w:val="00014191"/>
    <w:rsid w:val="000141AC"/>
    <w:rsid w:val="00014597"/>
    <w:rsid w:val="00014BE0"/>
    <w:rsid w:val="00014C2B"/>
    <w:rsid w:val="00014DEF"/>
    <w:rsid w:val="00014E85"/>
    <w:rsid w:val="00014EFA"/>
    <w:rsid w:val="00014F19"/>
    <w:rsid w:val="00015055"/>
    <w:rsid w:val="00015165"/>
    <w:rsid w:val="0001523F"/>
    <w:rsid w:val="000154EF"/>
    <w:rsid w:val="0001551C"/>
    <w:rsid w:val="00015759"/>
    <w:rsid w:val="00015A6B"/>
    <w:rsid w:val="00015E11"/>
    <w:rsid w:val="00015FD0"/>
    <w:rsid w:val="00016774"/>
    <w:rsid w:val="00016777"/>
    <w:rsid w:val="00016869"/>
    <w:rsid w:val="00016C03"/>
    <w:rsid w:val="00016D03"/>
    <w:rsid w:val="00016D05"/>
    <w:rsid w:val="00016E32"/>
    <w:rsid w:val="000171E5"/>
    <w:rsid w:val="00017327"/>
    <w:rsid w:val="0001734B"/>
    <w:rsid w:val="0001739E"/>
    <w:rsid w:val="000175AC"/>
    <w:rsid w:val="000175C6"/>
    <w:rsid w:val="00017683"/>
    <w:rsid w:val="00017AB5"/>
    <w:rsid w:val="00017AB9"/>
    <w:rsid w:val="00017B79"/>
    <w:rsid w:val="00017CD6"/>
    <w:rsid w:val="00020171"/>
    <w:rsid w:val="000207F2"/>
    <w:rsid w:val="00020845"/>
    <w:rsid w:val="000208A1"/>
    <w:rsid w:val="00020921"/>
    <w:rsid w:val="00020952"/>
    <w:rsid w:val="000209DA"/>
    <w:rsid w:val="00020AD9"/>
    <w:rsid w:val="00020E73"/>
    <w:rsid w:val="00021127"/>
    <w:rsid w:val="000211DF"/>
    <w:rsid w:val="000211F0"/>
    <w:rsid w:val="00021478"/>
    <w:rsid w:val="00021485"/>
    <w:rsid w:val="000214A4"/>
    <w:rsid w:val="000214B5"/>
    <w:rsid w:val="000214DD"/>
    <w:rsid w:val="00021669"/>
    <w:rsid w:val="00021679"/>
    <w:rsid w:val="00021741"/>
    <w:rsid w:val="000218C4"/>
    <w:rsid w:val="000219EB"/>
    <w:rsid w:val="00021B9F"/>
    <w:rsid w:val="00021BD6"/>
    <w:rsid w:val="00021BEB"/>
    <w:rsid w:val="00021F73"/>
    <w:rsid w:val="000220AD"/>
    <w:rsid w:val="00022240"/>
    <w:rsid w:val="00022242"/>
    <w:rsid w:val="00022363"/>
    <w:rsid w:val="00022543"/>
    <w:rsid w:val="0002277A"/>
    <w:rsid w:val="000229EC"/>
    <w:rsid w:val="000229F0"/>
    <w:rsid w:val="00022B1A"/>
    <w:rsid w:val="00022D4F"/>
    <w:rsid w:val="00022DEB"/>
    <w:rsid w:val="000232B6"/>
    <w:rsid w:val="000232E4"/>
    <w:rsid w:val="0002336D"/>
    <w:rsid w:val="000235EE"/>
    <w:rsid w:val="00023794"/>
    <w:rsid w:val="00023940"/>
    <w:rsid w:val="00023977"/>
    <w:rsid w:val="00023A4E"/>
    <w:rsid w:val="00023BF4"/>
    <w:rsid w:val="00023E87"/>
    <w:rsid w:val="00024186"/>
    <w:rsid w:val="00024247"/>
    <w:rsid w:val="0002426D"/>
    <w:rsid w:val="00024300"/>
    <w:rsid w:val="00024480"/>
    <w:rsid w:val="00024647"/>
    <w:rsid w:val="00024804"/>
    <w:rsid w:val="00024939"/>
    <w:rsid w:val="00024A3F"/>
    <w:rsid w:val="00024C05"/>
    <w:rsid w:val="00024C50"/>
    <w:rsid w:val="00024E8A"/>
    <w:rsid w:val="0002557C"/>
    <w:rsid w:val="00025994"/>
    <w:rsid w:val="00025B5E"/>
    <w:rsid w:val="00025CFE"/>
    <w:rsid w:val="00025D89"/>
    <w:rsid w:val="00025F67"/>
    <w:rsid w:val="0002612D"/>
    <w:rsid w:val="00026610"/>
    <w:rsid w:val="00026949"/>
    <w:rsid w:val="0002694F"/>
    <w:rsid w:val="000269B9"/>
    <w:rsid w:val="00026CCD"/>
    <w:rsid w:val="00026D39"/>
    <w:rsid w:val="00026D88"/>
    <w:rsid w:val="00026FB1"/>
    <w:rsid w:val="00027101"/>
    <w:rsid w:val="00027213"/>
    <w:rsid w:val="00027330"/>
    <w:rsid w:val="000274C2"/>
    <w:rsid w:val="00027635"/>
    <w:rsid w:val="00027742"/>
    <w:rsid w:val="0002774B"/>
    <w:rsid w:val="0002783C"/>
    <w:rsid w:val="00027912"/>
    <w:rsid w:val="00027BAE"/>
    <w:rsid w:val="00027D2D"/>
    <w:rsid w:val="00027F05"/>
    <w:rsid w:val="00030073"/>
    <w:rsid w:val="000300F5"/>
    <w:rsid w:val="00030141"/>
    <w:rsid w:val="000302A1"/>
    <w:rsid w:val="00030420"/>
    <w:rsid w:val="00030654"/>
    <w:rsid w:val="0003073E"/>
    <w:rsid w:val="00030965"/>
    <w:rsid w:val="000309CB"/>
    <w:rsid w:val="00030AC3"/>
    <w:rsid w:val="00030C7A"/>
    <w:rsid w:val="00030D6C"/>
    <w:rsid w:val="00030E13"/>
    <w:rsid w:val="00030EB2"/>
    <w:rsid w:val="00030FA9"/>
    <w:rsid w:val="000310D9"/>
    <w:rsid w:val="000313A6"/>
    <w:rsid w:val="000314C4"/>
    <w:rsid w:val="00031569"/>
    <w:rsid w:val="000316DC"/>
    <w:rsid w:val="00031740"/>
    <w:rsid w:val="00031817"/>
    <w:rsid w:val="00031895"/>
    <w:rsid w:val="000318B1"/>
    <w:rsid w:val="00031921"/>
    <w:rsid w:val="00031924"/>
    <w:rsid w:val="00031B9D"/>
    <w:rsid w:val="00031D73"/>
    <w:rsid w:val="00031E03"/>
    <w:rsid w:val="00031E1D"/>
    <w:rsid w:val="00032004"/>
    <w:rsid w:val="00032054"/>
    <w:rsid w:val="00032106"/>
    <w:rsid w:val="00032247"/>
    <w:rsid w:val="00032422"/>
    <w:rsid w:val="000327C4"/>
    <w:rsid w:val="00032986"/>
    <w:rsid w:val="00032A9F"/>
    <w:rsid w:val="00032E50"/>
    <w:rsid w:val="00032F77"/>
    <w:rsid w:val="00033203"/>
    <w:rsid w:val="000333C7"/>
    <w:rsid w:val="0003373C"/>
    <w:rsid w:val="00033754"/>
    <w:rsid w:val="000337DC"/>
    <w:rsid w:val="00033B40"/>
    <w:rsid w:val="00033D28"/>
    <w:rsid w:val="00033E09"/>
    <w:rsid w:val="00034021"/>
    <w:rsid w:val="000340F6"/>
    <w:rsid w:val="000341AE"/>
    <w:rsid w:val="000341FA"/>
    <w:rsid w:val="000343D1"/>
    <w:rsid w:val="0003478E"/>
    <w:rsid w:val="00034834"/>
    <w:rsid w:val="0003493B"/>
    <w:rsid w:val="000349BE"/>
    <w:rsid w:val="00034A3B"/>
    <w:rsid w:val="00034B49"/>
    <w:rsid w:val="00034C70"/>
    <w:rsid w:val="00034C99"/>
    <w:rsid w:val="00034D5D"/>
    <w:rsid w:val="00034DB4"/>
    <w:rsid w:val="00035067"/>
    <w:rsid w:val="000350AF"/>
    <w:rsid w:val="00035269"/>
    <w:rsid w:val="00035322"/>
    <w:rsid w:val="00035422"/>
    <w:rsid w:val="000354AA"/>
    <w:rsid w:val="0003566D"/>
    <w:rsid w:val="00035741"/>
    <w:rsid w:val="0003578A"/>
    <w:rsid w:val="00035872"/>
    <w:rsid w:val="000359A4"/>
    <w:rsid w:val="00035C38"/>
    <w:rsid w:val="00035D4E"/>
    <w:rsid w:val="00035E8F"/>
    <w:rsid w:val="00035E93"/>
    <w:rsid w:val="00035E99"/>
    <w:rsid w:val="00035ECF"/>
    <w:rsid w:val="00035F3D"/>
    <w:rsid w:val="00035FCB"/>
    <w:rsid w:val="000360AF"/>
    <w:rsid w:val="0003612E"/>
    <w:rsid w:val="000362CD"/>
    <w:rsid w:val="0003643D"/>
    <w:rsid w:val="00036648"/>
    <w:rsid w:val="000367D1"/>
    <w:rsid w:val="00036885"/>
    <w:rsid w:val="00036CA8"/>
    <w:rsid w:val="00036D41"/>
    <w:rsid w:val="00036DEC"/>
    <w:rsid w:val="000371C6"/>
    <w:rsid w:val="0003742A"/>
    <w:rsid w:val="00037493"/>
    <w:rsid w:val="000375A1"/>
    <w:rsid w:val="0003774F"/>
    <w:rsid w:val="00037970"/>
    <w:rsid w:val="00037982"/>
    <w:rsid w:val="000379AA"/>
    <w:rsid w:val="00037BD0"/>
    <w:rsid w:val="00037DAF"/>
    <w:rsid w:val="00037FA4"/>
    <w:rsid w:val="0004004B"/>
    <w:rsid w:val="000400C4"/>
    <w:rsid w:val="000402A6"/>
    <w:rsid w:val="00040473"/>
    <w:rsid w:val="00040594"/>
    <w:rsid w:val="000405EE"/>
    <w:rsid w:val="00040649"/>
    <w:rsid w:val="00040857"/>
    <w:rsid w:val="00040BA2"/>
    <w:rsid w:val="00040C11"/>
    <w:rsid w:val="00040C79"/>
    <w:rsid w:val="00040EA8"/>
    <w:rsid w:val="0004110B"/>
    <w:rsid w:val="00041463"/>
    <w:rsid w:val="0004146A"/>
    <w:rsid w:val="00041511"/>
    <w:rsid w:val="0004152C"/>
    <w:rsid w:val="0004163B"/>
    <w:rsid w:val="000416F3"/>
    <w:rsid w:val="00041913"/>
    <w:rsid w:val="00041B1D"/>
    <w:rsid w:val="00041BFF"/>
    <w:rsid w:val="00041D00"/>
    <w:rsid w:val="00041DCE"/>
    <w:rsid w:val="00041EBD"/>
    <w:rsid w:val="00041F3B"/>
    <w:rsid w:val="00041FAE"/>
    <w:rsid w:val="00042071"/>
    <w:rsid w:val="00042238"/>
    <w:rsid w:val="00042645"/>
    <w:rsid w:val="0004291D"/>
    <w:rsid w:val="00042CE1"/>
    <w:rsid w:val="00042D90"/>
    <w:rsid w:val="00042DB1"/>
    <w:rsid w:val="00042EAA"/>
    <w:rsid w:val="00042F7D"/>
    <w:rsid w:val="00043078"/>
    <w:rsid w:val="0004339B"/>
    <w:rsid w:val="000433A1"/>
    <w:rsid w:val="000433B4"/>
    <w:rsid w:val="000434C7"/>
    <w:rsid w:val="00043797"/>
    <w:rsid w:val="00043882"/>
    <w:rsid w:val="000438F7"/>
    <w:rsid w:val="00043D5B"/>
    <w:rsid w:val="00043DAD"/>
    <w:rsid w:val="000440D0"/>
    <w:rsid w:val="0004413B"/>
    <w:rsid w:val="000441F7"/>
    <w:rsid w:val="000442C6"/>
    <w:rsid w:val="000442FC"/>
    <w:rsid w:val="000442FF"/>
    <w:rsid w:val="0004453E"/>
    <w:rsid w:val="000446DB"/>
    <w:rsid w:val="00044760"/>
    <w:rsid w:val="0004491A"/>
    <w:rsid w:val="00044A65"/>
    <w:rsid w:val="00044C50"/>
    <w:rsid w:val="00044D42"/>
    <w:rsid w:val="00044DA2"/>
    <w:rsid w:val="00044E7B"/>
    <w:rsid w:val="00044EF3"/>
    <w:rsid w:val="00044F12"/>
    <w:rsid w:val="00045357"/>
    <w:rsid w:val="000453BD"/>
    <w:rsid w:val="0004557E"/>
    <w:rsid w:val="000455E2"/>
    <w:rsid w:val="000458CB"/>
    <w:rsid w:val="00045D20"/>
    <w:rsid w:val="00045E33"/>
    <w:rsid w:val="00045FEC"/>
    <w:rsid w:val="00046479"/>
    <w:rsid w:val="0004651B"/>
    <w:rsid w:val="00046522"/>
    <w:rsid w:val="000465F8"/>
    <w:rsid w:val="000468FB"/>
    <w:rsid w:val="00046A99"/>
    <w:rsid w:val="00046CEE"/>
    <w:rsid w:val="00046DD1"/>
    <w:rsid w:val="00046FA5"/>
    <w:rsid w:val="00046FE7"/>
    <w:rsid w:val="00047024"/>
    <w:rsid w:val="000470A0"/>
    <w:rsid w:val="0004715E"/>
    <w:rsid w:val="00047197"/>
    <w:rsid w:val="0004719B"/>
    <w:rsid w:val="0004739A"/>
    <w:rsid w:val="000473C9"/>
    <w:rsid w:val="00047577"/>
    <w:rsid w:val="00047697"/>
    <w:rsid w:val="0004778C"/>
    <w:rsid w:val="000477CA"/>
    <w:rsid w:val="00047C64"/>
    <w:rsid w:val="00047D9B"/>
    <w:rsid w:val="00047F58"/>
    <w:rsid w:val="00050092"/>
    <w:rsid w:val="000500AA"/>
    <w:rsid w:val="000500C4"/>
    <w:rsid w:val="000500D6"/>
    <w:rsid w:val="000503B0"/>
    <w:rsid w:val="000507A5"/>
    <w:rsid w:val="00050A7F"/>
    <w:rsid w:val="00050F67"/>
    <w:rsid w:val="00051030"/>
    <w:rsid w:val="000510BD"/>
    <w:rsid w:val="0005150B"/>
    <w:rsid w:val="000515BB"/>
    <w:rsid w:val="00051693"/>
    <w:rsid w:val="00051825"/>
    <w:rsid w:val="0005194E"/>
    <w:rsid w:val="000519F3"/>
    <w:rsid w:val="00051C12"/>
    <w:rsid w:val="00051D0A"/>
    <w:rsid w:val="00051FA0"/>
    <w:rsid w:val="00052092"/>
    <w:rsid w:val="000522E6"/>
    <w:rsid w:val="0005233A"/>
    <w:rsid w:val="00052463"/>
    <w:rsid w:val="00052669"/>
    <w:rsid w:val="00052699"/>
    <w:rsid w:val="00052783"/>
    <w:rsid w:val="00052860"/>
    <w:rsid w:val="00052B4E"/>
    <w:rsid w:val="00052BAB"/>
    <w:rsid w:val="00052C2F"/>
    <w:rsid w:val="00052DA7"/>
    <w:rsid w:val="00052E48"/>
    <w:rsid w:val="00052EFB"/>
    <w:rsid w:val="00053076"/>
    <w:rsid w:val="0005339D"/>
    <w:rsid w:val="000535ED"/>
    <w:rsid w:val="00053BFB"/>
    <w:rsid w:val="00053CA7"/>
    <w:rsid w:val="00053F77"/>
    <w:rsid w:val="0005408E"/>
    <w:rsid w:val="0005434B"/>
    <w:rsid w:val="000543A0"/>
    <w:rsid w:val="000544FB"/>
    <w:rsid w:val="00054652"/>
    <w:rsid w:val="000546B9"/>
    <w:rsid w:val="00054771"/>
    <w:rsid w:val="00054A37"/>
    <w:rsid w:val="00054BD1"/>
    <w:rsid w:val="00054BDD"/>
    <w:rsid w:val="00054C01"/>
    <w:rsid w:val="00054CA2"/>
    <w:rsid w:val="00054E03"/>
    <w:rsid w:val="00055017"/>
    <w:rsid w:val="00055034"/>
    <w:rsid w:val="000550A3"/>
    <w:rsid w:val="000550E0"/>
    <w:rsid w:val="0005527B"/>
    <w:rsid w:val="0005528D"/>
    <w:rsid w:val="000552CA"/>
    <w:rsid w:val="0005531F"/>
    <w:rsid w:val="0005537E"/>
    <w:rsid w:val="0005545C"/>
    <w:rsid w:val="000554F9"/>
    <w:rsid w:val="00055579"/>
    <w:rsid w:val="000557E8"/>
    <w:rsid w:val="000559DD"/>
    <w:rsid w:val="000559FE"/>
    <w:rsid w:val="00055AB1"/>
    <w:rsid w:val="00055B18"/>
    <w:rsid w:val="00055D48"/>
    <w:rsid w:val="00055D7F"/>
    <w:rsid w:val="0005600E"/>
    <w:rsid w:val="00056190"/>
    <w:rsid w:val="00056209"/>
    <w:rsid w:val="00056304"/>
    <w:rsid w:val="00056316"/>
    <w:rsid w:val="00056417"/>
    <w:rsid w:val="0005642C"/>
    <w:rsid w:val="000564A9"/>
    <w:rsid w:val="0005650E"/>
    <w:rsid w:val="0005683F"/>
    <w:rsid w:val="00056A8E"/>
    <w:rsid w:val="00056AA0"/>
    <w:rsid w:val="00056AC9"/>
    <w:rsid w:val="00056B77"/>
    <w:rsid w:val="00056BC7"/>
    <w:rsid w:val="00056DD9"/>
    <w:rsid w:val="00056EBB"/>
    <w:rsid w:val="00056FE9"/>
    <w:rsid w:val="00056FEB"/>
    <w:rsid w:val="00057281"/>
    <w:rsid w:val="000573E2"/>
    <w:rsid w:val="00057AC6"/>
    <w:rsid w:val="00060064"/>
    <w:rsid w:val="00060475"/>
    <w:rsid w:val="0006047B"/>
    <w:rsid w:val="000604DE"/>
    <w:rsid w:val="00060614"/>
    <w:rsid w:val="000608A9"/>
    <w:rsid w:val="00060B3A"/>
    <w:rsid w:val="00060B4D"/>
    <w:rsid w:val="00060BE0"/>
    <w:rsid w:val="00060C69"/>
    <w:rsid w:val="00060D7D"/>
    <w:rsid w:val="00060F8D"/>
    <w:rsid w:val="00061273"/>
    <w:rsid w:val="000617CF"/>
    <w:rsid w:val="0006183F"/>
    <w:rsid w:val="00061A55"/>
    <w:rsid w:val="00061ADC"/>
    <w:rsid w:val="00061B6C"/>
    <w:rsid w:val="00061BB4"/>
    <w:rsid w:val="00061DBA"/>
    <w:rsid w:val="00061E34"/>
    <w:rsid w:val="00061E6F"/>
    <w:rsid w:val="00061ECA"/>
    <w:rsid w:val="00062013"/>
    <w:rsid w:val="00062216"/>
    <w:rsid w:val="00062254"/>
    <w:rsid w:val="000623B9"/>
    <w:rsid w:val="00062523"/>
    <w:rsid w:val="000625B5"/>
    <w:rsid w:val="00062A23"/>
    <w:rsid w:val="00062CD7"/>
    <w:rsid w:val="00062EE2"/>
    <w:rsid w:val="00063102"/>
    <w:rsid w:val="00063472"/>
    <w:rsid w:val="000637D3"/>
    <w:rsid w:val="000638EE"/>
    <w:rsid w:val="00063B87"/>
    <w:rsid w:val="000641DC"/>
    <w:rsid w:val="000643C3"/>
    <w:rsid w:val="000643FD"/>
    <w:rsid w:val="00064423"/>
    <w:rsid w:val="00064592"/>
    <w:rsid w:val="00064611"/>
    <w:rsid w:val="00064680"/>
    <w:rsid w:val="000646DE"/>
    <w:rsid w:val="00064895"/>
    <w:rsid w:val="000648A6"/>
    <w:rsid w:val="00064C47"/>
    <w:rsid w:val="00064C6D"/>
    <w:rsid w:val="00064E0D"/>
    <w:rsid w:val="00064E45"/>
    <w:rsid w:val="00065129"/>
    <w:rsid w:val="0006525C"/>
    <w:rsid w:val="0006545E"/>
    <w:rsid w:val="00065843"/>
    <w:rsid w:val="000658AC"/>
    <w:rsid w:val="000659BB"/>
    <w:rsid w:val="000659BE"/>
    <w:rsid w:val="00065A8D"/>
    <w:rsid w:val="00065AB7"/>
    <w:rsid w:val="00065AE0"/>
    <w:rsid w:val="00065B9C"/>
    <w:rsid w:val="00065BC2"/>
    <w:rsid w:val="00065E1D"/>
    <w:rsid w:val="00065E56"/>
    <w:rsid w:val="00065E9E"/>
    <w:rsid w:val="00065F02"/>
    <w:rsid w:val="00065FB8"/>
    <w:rsid w:val="000661AB"/>
    <w:rsid w:val="000661E8"/>
    <w:rsid w:val="000662F4"/>
    <w:rsid w:val="0006662E"/>
    <w:rsid w:val="00066759"/>
    <w:rsid w:val="000669A1"/>
    <w:rsid w:val="00066A38"/>
    <w:rsid w:val="00066B08"/>
    <w:rsid w:val="00066B48"/>
    <w:rsid w:val="00066C59"/>
    <w:rsid w:val="00066D1B"/>
    <w:rsid w:val="0006707E"/>
    <w:rsid w:val="00067241"/>
    <w:rsid w:val="00067260"/>
    <w:rsid w:val="0006726F"/>
    <w:rsid w:val="0006733B"/>
    <w:rsid w:val="000673A2"/>
    <w:rsid w:val="0006789C"/>
    <w:rsid w:val="00067CAD"/>
    <w:rsid w:val="00067CE2"/>
    <w:rsid w:val="00067D0C"/>
    <w:rsid w:val="00067EA1"/>
    <w:rsid w:val="0007001F"/>
    <w:rsid w:val="0007035D"/>
    <w:rsid w:val="000705A7"/>
    <w:rsid w:val="0007062C"/>
    <w:rsid w:val="000708A8"/>
    <w:rsid w:val="00070C6D"/>
    <w:rsid w:val="00070D05"/>
    <w:rsid w:val="00071126"/>
    <w:rsid w:val="00071207"/>
    <w:rsid w:val="00071368"/>
    <w:rsid w:val="00071420"/>
    <w:rsid w:val="00071526"/>
    <w:rsid w:val="0007159A"/>
    <w:rsid w:val="00071875"/>
    <w:rsid w:val="0007196E"/>
    <w:rsid w:val="00071E0A"/>
    <w:rsid w:val="00072177"/>
    <w:rsid w:val="000721AD"/>
    <w:rsid w:val="00072379"/>
    <w:rsid w:val="0007238B"/>
    <w:rsid w:val="000723B6"/>
    <w:rsid w:val="000724EC"/>
    <w:rsid w:val="000727F9"/>
    <w:rsid w:val="0007299A"/>
    <w:rsid w:val="00073289"/>
    <w:rsid w:val="000734D5"/>
    <w:rsid w:val="000735D3"/>
    <w:rsid w:val="000735E8"/>
    <w:rsid w:val="00073601"/>
    <w:rsid w:val="00073945"/>
    <w:rsid w:val="00073C4D"/>
    <w:rsid w:val="00073CA7"/>
    <w:rsid w:val="00073CB5"/>
    <w:rsid w:val="00073FD8"/>
    <w:rsid w:val="00074128"/>
    <w:rsid w:val="000744CA"/>
    <w:rsid w:val="000744F1"/>
    <w:rsid w:val="000745B8"/>
    <w:rsid w:val="0007472B"/>
    <w:rsid w:val="00074894"/>
    <w:rsid w:val="000748A1"/>
    <w:rsid w:val="00074AD7"/>
    <w:rsid w:val="00074D29"/>
    <w:rsid w:val="00074DAA"/>
    <w:rsid w:val="00074E8F"/>
    <w:rsid w:val="00074FDC"/>
    <w:rsid w:val="000752A7"/>
    <w:rsid w:val="00075375"/>
    <w:rsid w:val="0007563C"/>
    <w:rsid w:val="0007581B"/>
    <w:rsid w:val="00075864"/>
    <w:rsid w:val="00075BF5"/>
    <w:rsid w:val="00075D03"/>
    <w:rsid w:val="00075E4D"/>
    <w:rsid w:val="00075E82"/>
    <w:rsid w:val="00075FC9"/>
    <w:rsid w:val="00075FF1"/>
    <w:rsid w:val="000760B0"/>
    <w:rsid w:val="000762C9"/>
    <w:rsid w:val="000762E8"/>
    <w:rsid w:val="000763E3"/>
    <w:rsid w:val="000764DF"/>
    <w:rsid w:val="000765CC"/>
    <w:rsid w:val="00076660"/>
    <w:rsid w:val="000767A2"/>
    <w:rsid w:val="00076AF8"/>
    <w:rsid w:val="00076C9D"/>
    <w:rsid w:val="00076D2D"/>
    <w:rsid w:val="00076DCE"/>
    <w:rsid w:val="00076DDE"/>
    <w:rsid w:val="000770F6"/>
    <w:rsid w:val="000771B3"/>
    <w:rsid w:val="00077340"/>
    <w:rsid w:val="00077787"/>
    <w:rsid w:val="00077889"/>
    <w:rsid w:val="0007788E"/>
    <w:rsid w:val="00077B14"/>
    <w:rsid w:val="00077B43"/>
    <w:rsid w:val="00077BBB"/>
    <w:rsid w:val="00077DB7"/>
    <w:rsid w:val="00080236"/>
    <w:rsid w:val="0008031C"/>
    <w:rsid w:val="00080926"/>
    <w:rsid w:val="00080A2F"/>
    <w:rsid w:val="00080B36"/>
    <w:rsid w:val="00081196"/>
    <w:rsid w:val="000811F0"/>
    <w:rsid w:val="00081282"/>
    <w:rsid w:val="00081343"/>
    <w:rsid w:val="00081880"/>
    <w:rsid w:val="00081996"/>
    <w:rsid w:val="00081A0D"/>
    <w:rsid w:val="00081AAD"/>
    <w:rsid w:val="00081B9D"/>
    <w:rsid w:val="00081C2B"/>
    <w:rsid w:val="00081C36"/>
    <w:rsid w:val="00081CC8"/>
    <w:rsid w:val="00081E00"/>
    <w:rsid w:val="00081E61"/>
    <w:rsid w:val="00081E89"/>
    <w:rsid w:val="0008218E"/>
    <w:rsid w:val="0008221F"/>
    <w:rsid w:val="000822C4"/>
    <w:rsid w:val="000822E2"/>
    <w:rsid w:val="000823A7"/>
    <w:rsid w:val="000823AD"/>
    <w:rsid w:val="000823DF"/>
    <w:rsid w:val="00082510"/>
    <w:rsid w:val="00082952"/>
    <w:rsid w:val="00082AE4"/>
    <w:rsid w:val="00082C9C"/>
    <w:rsid w:val="00082DC8"/>
    <w:rsid w:val="000834AA"/>
    <w:rsid w:val="00083992"/>
    <w:rsid w:val="00083A9D"/>
    <w:rsid w:val="00083AFB"/>
    <w:rsid w:val="00083BB4"/>
    <w:rsid w:val="00083C3E"/>
    <w:rsid w:val="00083C7E"/>
    <w:rsid w:val="00083D9C"/>
    <w:rsid w:val="00083DA4"/>
    <w:rsid w:val="00083F1A"/>
    <w:rsid w:val="00083FDC"/>
    <w:rsid w:val="00084052"/>
    <w:rsid w:val="000840D8"/>
    <w:rsid w:val="00084113"/>
    <w:rsid w:val="00084280"/>
    <w:rsid w:val="000842FF"/>
    <w:rsid w:val="00084406"/>
    <w:rsid w:val="00084440"/>
    <w:rsid w:val="00084516"/>
    <w:rsid w:val="0008481F"/>
    <w:rsid w:val="000848F4"/>
    <w:rsid w:val="000849D2"/>
    <w:rsid w:val="00084A2D"/>
    <w:rsid w:val="00084E73"/>
    <w:rsid w:val="00085334"/>
    <w:rsid w:val="0008542E"/>
    <w:rsid w:val="0008562B"/>
    <w:rsid w:val="00085670"/>
    <w:rsid w:val="00085A3F"/>
    <w:rsid w:val="00085A6E"/>
    <w:rsid w:val="00085AA0"/>
    <w:rsid w:val="00085AED"/>
    <w:rsid w:val="00085B90"/>
    <w:rsid w:val="00085C78"/>
    <w:rsid w:val="00085CE4"/>
    <w:rsid w:val="00085D0C"/>
    <w:rsid w:val="00085DE1"/>
    <w:rsid w:val="00085E17"/>
    <w:rsid w:val="00085F50"/>
    <w:rsid w:val="00086205"/>
    <w:rsid w:val="0008643E"/>
    <w:rsid w:val="00086455"/>
    <w:rsid w:val="00086480"/>
    <w:rsid w:val="000864E4"/>
    <w:rsid w:val="000865EA"/>
    <w:rsid w:val="0008662A"/>
    <w:rsid w:val="0008665D"/>
    <w:rsid w:val="000868E9"/>
    <w:rsid w:val="00086930"/>
    <w:rsid w:val="00086980"/>
    <w:rsid w:val="00086B3C"/>
    <w:rsid w:val="00086BB5"/>
    <w:rsid w:val="00086DD6"/>
    <w:rsid w:val="00086DD9"/>
    <w:rsid w:val="00086EBA"/>
    <w:rsid w:val="00086FBF"/>
    <w:rsid w:val="0008705A"/>
    <w:rsid w:val="00087080"/>
    <w:rsid w:val="00087272"/>
    <w:rsid w:val="000875D5"/>
    <w:rsid w:val="00087660"/>
    <w:rsid w:val="00087679"/>
    <w:rsid w:val="00087722"/>
    <w:rsid w:val="00087758"/>
    <w:rsid w:val="000879A4"/>
    <w:rsid w:val="00087ACC"/>
    <w:rsid w:val="00087C04"/>
    <w:rsid w:val="00087CDC"/>
    <w:rsid w:val="00087CFC"/>
    <w:rsid w:val="0009021E"/>
    <w:rsid w:val="00090354"/>
    <w:rsid w:val="0009040F"/>
    <w:rsid w:val="00090729"/>
    <w:rsid w:val="000909F4"/>
    <w:rsid w:val="00090A6F"/>
    <w:rsid w:val="00090AD1"/>
    <w:rsid w:val="00090FBA"/>
    <w:rsid w:val="00090FF1"/>
    <w:rsid w:val="00091162"/>
    <w:rsid w:val="0009122C"/>
    <w:rsid w:val="000912F5"/>
    <w:rsid w:val="00091392"/>
    <w:rsid w:val="0009146A"/>
    <w:rsid w:val="000916A4"/>
    <w:rsid w:val="00091767"/>
    <w:rsid w:val="00091A55"/>
    <w:rsid w:val="00091D80"/>
    <w:rsid w:val="00091F0A"/>
    <w:rsid w:val="00091F6D"/>
    <w:rsid w:val="00092150"/>
    <w:rsid w:val="0009231A"/>
    <w:rsid w:val="000924F1"/>
    <w:rsid w:val="000925F4"/>
    <w:rsid w:val="0009271B"/>
    <w:rsid w:val="00092993"/>
    <w:rsid w:val="00092A2B"/>
    <w:rsid w:val="00092C4E"/>
    <w:rsid w:val="00092D21"/>
    <w:rsid w:val="00092FD8"/>
    <w:rsid w:val="0009331A"/>
    <w:rsid w:val="00093B5A"/>
    <w:rsid w:val="00093CD6"/>
    <w:rsid w:val="00093E8E"/>
    <w:rsid w:val="000941D3"/>
    <w:rsid w:val="00094365"/>
    <w:rsid w:val="000943BF"/>
    <w:rsid w:val="0009444A"/>
    <w:rsid w:val="00094745"/>
    <w:rsid w:val="00094C64"/>
    <w:rsid w:val="00094F29"/>
    <w:rsid w:val="00095006"/>
    <w:rsid w:val="0009522F"/>
    <w:rsid w:val="000957EA"/>
    <w:rsid w:val="00095AE8"/>
    <w:rsid w:val="00095AEE"/>
    <w:rsid w:val="00095CA3"/>
    <w:rsid w:val="00095CD4"/>
    <w:rsid w:val="00095F6D"/>
    <w:rsid w:val="00096131"/>
    <w:rsid w:val="00096434"/>
    <w:rsid w:val="00096444"/>
    <w:rsid w:val="00096494"/>
    <w:rsid w:val="0009656B"/>
    <w:rsid w:val="00096662"/>
    <w:rsid w:val="0009695D"/>
    <w:rsid w:val="000969D3"/>
    <w:rsid w:val="00096B39"/>
    <w:rsid w:val="00096C15"/>
    <w:rsid w:val="00096CDA"/>
    <w:rsid w:val="00096CFD"/>
    <w:rsid w:val="00096DF3"/>
    <w:rsid w:val="00096E55"/>
    <w:rsid w:val="00096F32"/>
    <w:rsid w:val="00096F9B"/>
    <w:rsid w:val="000971F4"/>
    <w:rsid w:val="0009730B"/>
    <w:rsid w:val="0009741C"/>
    <w:rsid w:val="0009785D"/>
    <w:rsid w:val="0009786A"/>
    <w:rsid w:val="00097A87"/>
    <w:rsid w:val="00097E8D"/>
    <w:rsid w:val="00097FE1"/>
    <w:rsid w:val="000A0091"/>
    <w:rsid w:val="000A0280"/>
    <w:rsid w:val="000A0497"/>
    <w:rsid w:val="000A05AA"/>
    <w:rsid w:val="000A06EF"/>
    <w:rsid w:val="000A07BF"/>
    <w:rsid w:val="000A0811"/>
    <w:rsid w:val="000A0842"/>
    <w:rsid w:val="000A09A2"/>
    <w:rsid w:val="000A0C23"/>
    <w:rsid w:val="000A0C98"/>
    <w:rsid w:val="000A13DC"/>
    <w:rsid w:val="000A13E3"/>
    <w:rsid w:val="000A140F"/>
    <w:rsid w:val="000A142C"/>
    <w:rsid w:val="000A14BC"/>
    <w:rsid w:val="000A168A"/>
    <w:rsid w:val="000A19CB"/>
    <w:rsid w:val="000A1A12"/>
    <w:rsid w:val="000A1A2F"/>
    <w:rsid w:val="000A1BDD"/>
    <w:rsid w:val="000A1D4D"/>
    <w:rsid w:val="000A1E41"/>
    <w:rsid w:val="000A2385"/>
    <w:rsid w:val="000A243A"/>
    <w:rsid w:val="000A250E"/>
    <w:rsid w:val="000A2536"/>
    <w:rsid w:val="000A2726"/>
    <w:rsid w:val="000A2A93"/>
    <w:rsid w:val="000A2BEE"/>
    <w:rsid w:val="000A2C03"/>
    <w:rsid w:val="000A2D0A"/>
    <w:rsid w:val="000A30D1"/>
    <w:rsid w:val="000A344B"/>
    <w:rsid w:val="000A35C1"/>
    <w:rsid w:val="000A38C6"/>
    <w:rsid w:val="000A38FD"/>
    <w:rsid w:val="000A3A6A"/>
    <w:rsid w:val="000A3AE3"/>
    <w:rsid w:val="000A3C35"/>
    <w:rsid w:val="000A3CAB"/>
    <w:rsid w:val="000A3ED1"/>
    <w:rsid w:val="000A42CF"/>
    <w:rsid w:val="000A4483"/>
    <w:rsid w:val="000A44E7"/>
    <w:rsid w:val="000A4583"/>
    <w:rsid w:val="000A45FA"/>
    <w:rsid w:val="000A47E6"/>
    <w:rsid w:val="000A4998"/>
    <w:rsid w:val="000A4AA3"/>
    <w:rsid w:val="000A4C0D"/>
    <w:rsid w:val="000A4E4E"/>
    <w:rsid w:val="000A4EF1"/>
    <w:rsid w:val="000A4FE6"/>
    <w:rsid w:val="000A5078"/>
    <w:rsid w:val="000A50C0"/>
    <w:rsid w:val="000A5521"/>
    <w:rsid w:val="000A557A"/>
    <w:rsid w:val="000A570A"/>
    <w:rsid w:val="000A5788"/>
    <w:rsid w:val="000A586F"/>
    <w:rsid w:val="000A5B03"/>
    <w:rsid w:val="000A5CFB"/>
    <w:rsid w:val="000A5EC3"/>
    <w:rsid w:val="000A5FC4"/>
    <w:rsid w:val="000A6053"/>
    <w:rsid w:val="000A60F9"/>
    <w:rsid w:val="000A6471"/>
    <w:rsid w:val="000A6611"/>
    <w:rsid w:val="000A67F3"/>
    <w:rsid w:val="000A68E5"/>
    <w:rsid w:val="000A6C85"/>
    <w:rsid w:val="000A7192"/>
    <w:rsid w:val="000A71D7"/>
    <w:rsid w:val="000A72FE"/>
    <w:rsid w:val="000A745B"/>
    <w:rsid w:val="000A74E3"/>
    <w:rsid w:val="000A760C"/>
    <w:rsid w:val="000A77C8"/>
    <w:rsid w:val="000A7C40"/>
    <w:rsid w:val="000A7C9F"/>
    <w:rsid w:val="000B0194"/>
    <w:rsid w:val="000B01B8"/>
    <w:rsid w:val="000B029E"/>
    <w:rsid w:val="000B03DB"/>
    <w:rsid w:val="000B048E"/>
    <w:rsid w:val="000B059E"/>
    <w:rsid w:val="000B07AD"/>
    <w:rsid w:val="000B0868"/>
    <w:rsid w:val="000B09F7"/>
    <w:rsid w:val="000B0B2D"/>
    <w:rsid w:val="000B0B65"/>
    <w:rsid w:val="000B0EC5"/>
    <w:rsid w:val="000B1078"/>
    <w:rsid w:val="000B125D"/>
    <w:rsid w:val="000B165A"/>
    <w:rsid w:val="000B1917"/>
    <w:rsid w:val="000B1A9C"/>
    <w:rsid w:val="000B1C3A"/>
    <w:rsid w:val="000B1F2D"/>
    <w:rsid w:val="000B1FDB"/>
    <w:rsid w:val="000B200E"/>
    <w:rsid w:val="000B20E6"/>
    <w:rsid w:val="000B244C"/>
    <w:rsid w:val="000B2515"/>
    <w:rsid w:val="000B25AE"/>
    <w:rsid w:val="000B27E6"/>
    <w:rsid w:val="000B285F"/>
    <w:rsid w:val="000B291F"/>
    <w:rsid w:val="000B2A25"/>
    <w:rsid w:val="000B2A28"/>
    <w:rsid w:val="000B2C31"/>
    <w:rsid w:val="000B2C5A"/>
    <w:rsid w:val="000B2D64"/>
    <w:rsid w:val="000B2E6A"/>
    <w:rsid w:val="000B2F16"/>
    <w:rsid w:val="000B2F9E"/>
    <w:rsid w:val="000B2FAD"/>
    <w:rsid w:val="000B3037"/>
    <w:rsid w:val="000B31DB"/>
    <w:rsid w:val="000B34C8"/>
    <w:rsid w:val="000B34ED"/>
    <w:rsid w:val="000B37CF"/>
    <w:rsid w:val="000B37EA"/>
    <w:rsid w:val="000B3AC8"/>
    <w:rsid w:val="000B404F"/>
    <w:rsid w:val="000B416E"/>
    <w:rsid w:val="000B41E3"/>
    <w:rsid w:val="000B43C0"/>
    <w:rsid w:val="000B48BC"/>
    <w:rsid w:val="000B4A5D"/>
    <w:rsid w:val="000B4C83"/>
    <w:rsid w:val="000B4D66"/>
    <w:rsid w:val="000B4E07"/>
    <w:rsid w:val="000B5221"/>
    <w:rsid w:val="000B53E7"/>
    <w:rsid w:val="000B5740"/>
    <w:rsid w:val="000B5A72"/>
    <w:rsid w:val="000B5B6E"/>
    <w:rsid w:val="000B5BE9"/>
    <w:rsid w:val="000B5E5E"/>
    <w:rsid w:val="000B5FC1"/>
    <w:rsid w:val="000B5FDA"/>
    <w:rsid w:val="000B6067"/>
    <w:rsid w:val="000B60B1"/>
    <w:rsid w:val="000B60C2"/>
    <w:rsid w:val="000B60D5"/>
    <w:rsid w:val="000B6170"/>
    <w:rsid w:val="000B6426"/>
    <w:rsid w:val="000B656B"/>
    <w:rsid w:val="000B67B1"/>
    <w:rsid w:val="000B685B"/>
    <w:rsid w:val="000B6C28"/>
    <w:rsid w:val="000B6CB0"/>
    <w:rsid w:val="000B6DDF"/>
    <w:rsid w:val="000B6E3D"/>
    <w:rsid w:val="000B709A"/>
    <w:rsid w:val="000B7153"/>
    <w:rsid w:val="000B7213"/>
    <w:rsid w:val="000B7261"/>
    <w:rsid w:val="000B735B"/>
    <w:rsid w:val="000B740E"/>
    <w:rsid w:val="000B7709"/>
    <w:rsid w:val="000B799E"/>
    <w:rsid w:val="000B7A1E"/>
    <w:rsid w:val="000B7AD2"/>
    <w:rsid w:val="000B7EC0"/>
    <w:rsid w:val="000B7F70"/>
    <w:rsid w:val="000B7FA9"/>
    <w:rsid w:val="000C0084"/>
    <w:rsid w:val="000C0110"/>
    <w:rsid w:val="000C0183"/>
    <w:rsid w:val="000C0422"/>
    <w:rsid w:val="000C04BA"/>
    <w:rsid w:val="000C05EB"/>
    <w:rsid w:val="000C0624"/>
    <w:rsid w:val="000C08B1"/>
    <w:rsid w:val="000C0958"/>
    <w:rsid w:val="000C0A92"/>
    <w:rsid w:val="000C0C17"/>
    <w:rsid w:val="000C103D"/>
    <w:rsid w:val="000C1131"/>
    <w:rsid w:val="000C120F"/>
    <w:rsid w:val="000C14E8"/>
    <w:rsid w:val="000C1600"/>
    <w:rsid w:val="000C173C"/>
    <w:rsid w:val="000C17C1"/>
    <w:rsid w:val="000C1ACC"/>
    <w:rsid w:val="000C226E"/>
    <w:rsid w:val="000C23E4"/>
    <w:rsid w:val="000C249B"/>
    <w:rsid w:val="000C24E9"/>
    <w:rsid w:val="000C2622"/>
    <w:rsid w:val="000C28CF"/>
    <w:rsid w:val="000C2B49"/>
    <w:rsid w:val="000C2CD4"/>
    <w:rsid w:val="000C2DD3"/>
    <w:rsid w:val="000C2F2E"/>
    <w:rsid w:val="000C2FF3"/>
    <w:rsid w:val="000C2FF7"/>
    <w:rsid w:val="000C328F"/>
    <w:rsid w:val="000C361B"/>
    <w:rsid w:val="000C372C"/>
    <w:rsid w:val="000C3976"/>
    <w:rsid w:val="000C3A6B"/>
    <w:rsid w:val="000C3B58"/>
    <w:rsid w:val="000C3CC1"/>
    <w:rsid w:val="000C3F62"/>
    <w:rsid w:val="000C3FFD"/>
    <w:rsid w:val="000C4093"/>
    <w:rsid w:val="000C415A"/>
    <w:rsid w:val="000C4225"/>
    <w:rsid w:val="000C42B1"/>
    <w:rsid w:val="000C4501"/>
    <w:rsid w:val="000C457A"/>
    <w:rsid w:val="000C460C"/>
    <w:rsid w:val="000C4610"/>
    <w:rsid w:val="000C46BD"/>
    <w:rsid w:val="000C4B26"/>
    <w:rsid w:val="000C4B8F"/>
    <w:rsid w:val="000C4C9F"/>
    <w:rsid w:val="000C4EF3"/>
    <w:rsid w:val="000C4F47"/>
    <w:rsid w:val="000C4F55"/>
    <w:rsid w:val="000C4F90"/>
    <w:rsid w:val="000C4FFB"/>
    <w:rsid w:val="000C5027"/>
    <w:rsid w:val="000C5464"/>
    <w:rsid w:val="000C55CA"/>
    <w:rsid w:val="000C581E"/>
    <w:rsid w:val="000C5AF4"/>
    <w:rsid w:val="000C5BC7"/>
    <w:rsid w:val="000C5BD6"/>
    <w:rsid w:val="000C5C3F"/>
    <w:rsid w:val="000C5E08"/>
    <w:rsid w:val="000C5E1A"/>
    <w:rsid w:val="000C5ED2"/>
    <w:rsid w:val="000C60B1"/>
    <w:rsid w:val="000C641D"/>
    <w:rsid w:val="000C6575"/>
    <w:rsid w:val="000C6698"/>
    <w:rsid w:val="000C66CF"/>
    <w:rsid w:val="000C69ED"/>
    <w:rsid w:val="000C6A1E"/>
    <w:rsid w:val="000C6A9D"/>
    <w:rsid w:val="000C6AA2"/>
    <w:rsid w:val="000C6B6C"/>
    <w:rsid w:val="000C6BCC"/>
    <w:rsid w:val="000C6BD2"/>
    <w:rsid w:val="000C6DF8"/>
    <w:rsid w:val="000C6F87"/>
    <w:rsid w:val="000C6F8B"/>
    <w:rsid w:val="000C71A2"/>
    <w:rsid w:val="000C7435"/>
    <w:rsid w:val="000C7595"/>
    <w:rsid w:val="000C767F"/>
    <w:rsid w:val="000C78D3"/>
    <w:rsid w:val="000C7996"/>
    <w:rsid w:val="000C7B2E"/>
    <w:rsid w:val="000C7C80"/>
    <w:rsid w:val="000C7DC4"/>
    <w:rsid w:val="000D00B6"/>
    <w:rsid w:val="000D02B8"/>
    <w:rsid w:val="000D02C4"/>
    <w:rsid w:val="000D03CB"/>
    <w:rsid w:val="000D0499"/>
    <w:rsid w:val="000D05BE"/>
    <w:rsid w:val="000D079A"/>
    <w:rsid w:val="000D080F"/>
    <w:rsid w:val="000D0839"/>
    <w:rsid w:val="000D08E5"/>
    <w:rsid w:val="000D098A"/>
    <w:rsid w:val="000D0F48"/>
    <w:rsid w:val="000D15EA"/>
    <w:rsid w:val="000D16F9"/>
    <w:rsid w:val="000D1757"/>
    <w:rsid w:val="000D18BB"/>
    <w:rsid w:val="000D18EC"/>
    <w:rsid w:val="000D1994"/>
    <w:rsid w:val="000D1BBB"/>
    <w:rsid w:val="000D1C88"/>
    <w:rsid w:val="000D1E1E"/>
    <w:rsid w:val="000D2293"/>
    <w:rsid w:val="000D2457"/>
    <w:rsid w:val="000D274B"/>
    <w:rsid w:val="000D2781"/>
    <w:rsid w:val="000D27E2"/>
    <w:rsid w:val="000D2A33"/>
    <w:rsid w:val="000D2D48"/>
    <w:rsid w:val="000D2E50"/>
    <w:rsid w:val="000D3115"/>
    <w:rsid w:val="000D31C6"/>
    <w:rsid w:val="000D32EF"/>
    <w:rsid w:val="000D3352"/>
    <w:rsid w:val="000D3723"/>
    <w:rsid w:val="000D3838"/>
    <w:rsid w:val="000D3880"/>
    <w:rsid w:val="000D3B1A"/>
    <w:rsid w:val="000D3BF8"/>
    <w:rsid w:val="000D3D48"/>
    <w:rsid w:val="000D3E4E"/>
    <w:rsid w:val="000D3EBA"/>
    <w:rsid w:val="000D3EF1"/>
    <w:rsid w:val="000D415E"/>
    <w:rsid w:val="000D48AD"/>
    <w:rsid w:val="000D48B9"/>
    <w:rsid w:val="000D4914"/>
    <w:rsid w:val="000D4A23"/>
    <w:rsid w:val="000D4AF7"/>
    <w:rsid w:val="000D4D6D"/>
    <w:rsid w:val="000D4D89"/>
    <w:rsid w:val="000D51A1"/>
    <w:rsid w:val="000D51FA"/>
    <w:rsid w:val="000D5384"/>
    <w:rsid w:val="000D546A"/>
    <w:rsid w:val="000D54C1"/>
    <w:rsid w:val="000D57F2"/>
    <w:rsid w:val="000D5969"/>
    <w:rsid w:val="000D5AFB"/>
    <w:rsid w:val="000D5BA6"/>
    <w:rsid w:val="000D5BD3"/>
    <w:rsid w:val="000D5BEB"/>
    <w:rsid w:val="000D5FCB"/>
    <w:rsid w:val="000D6017"/>
    <w:rsid w:val="000D603C"/>
    <w:rsid w:val="000D64A5"/>
    <w:rsid w:val="000D64E4"/>
    <w:rsid w:val="000D6589"/>
    <w:rsid w:val="000D663F"/>
    <w:rsid w:val="000D66AE"/>
    <w:rsid w:val="000D66DA"/>
    <w:rsid w:val="000D6AC8"/>
    <w:rsid w:val="000D6DDE"/>
    <w:rsid w:val="000D6DF2"/>
    <w:rsid w:val="000D6E8F"/>
    <w:rsid w:val="000D6FFE"/>
    <w:rsid w:val="000D7228"/>
    <w:rsid w:val="000D7807"/>
    <w:rsid w:val="000D78BC"/>
    <w:rsid w:val="000D7976"/>
    <w:rsid w:val="000D7AB7"/>
    <w:rsid w:val="000D7BF3"/>
    <w:rsid w:val="000D7C8A"/>
    <w:rsid w:val="000E00A5"/>
    <w:rsid w:val="000E01C3"/>
    <w:rsid w:val="000E02BE"/>
    <w:rsid w:val="000E034D"/>
    <w:rsid w:val="000E0543"/>
    <w:rsid w:val="000E0925"/>
    <w:rsid w:val="000E0E7A"/>
    <w:rsid w:val="000E0EE2"/>
    <w:rsid w:val="000E15E6"/>
    <w:rsid w:val="000E1894"/>
    <w:rsid w:val="000E1968"/>
    <w:rsid w:val="000E1C17"/>
    <w:rsid w:val="000E1D20"/>
    <w:rsid w:val="000E1F31"/>
    <w:rsid w:val="000E2019"/>
    <w:rsid w:val="000E209D"/>
    <w:rsid w:val="000E20AC"/>
    <w:rsid w:val="000E21C5"/>
    <w:rsid w:val="000E2513"/>
    <w:rsid w:val="000E275B"/>
    <w:rsid w:val="000E2812"/>
    <w:rsid w:val="000E282B"/>
    <w:rsid w:val="000E2987"/>
    <w:rsid w:val="000E29E5"/>
    <w:rsid w:val="000E2B18"/>
    <w:rsid w:val="000E2D9A"/>
    <w:rsid w:val="000E3161"/>
    <w:rsid w:val="000E3442"/>
    <w:rsid w:val="000E34A6"/>
    <w:rsid w:val="000E3531"/>
    <w:rsid w:val="000E3619"/>
    <w:rsid w:val="000E3624"/>
    <w:rsid w:val="000E38C9"/>
    <w:rsid w:val="000E395D"/>
    <w:rsid w:val="000E3B22"/>
    <w:rsid w:val="000E3FB3"/>
    <w:rsid w:val="000E407E"/>
    <w:rsid w:val="000E40DE"/>
    <w:rsid w:val="000E41D5"/>
    <w:rsid w:val="000E4410"/>
    <w:rsid w:val="000E4488"/>
    <w:rsid w:val="000E4734"/>
    <w:rsid w:val="000E4780"/>
    <w:rsid w:val="000E4922"/>
    <w:rsid w:val="000E4A88"/>
    <w:rsid w:val="000E4AFA"/>
    <w:rsid w:val="000E4C3F"/>
    <w:rsid w:val="000E4C6E"/>
    <w:rsid w:val="000E4CC6"/>
    <w:rsid w:val="000E4E29"/>
    <w:rsid w:val="000E4F03"/>
    <w:rsid w:val="000E50AD"/>
    <w:rsid w:val="000E5146"/>
    <w:rsid w:val="000E51D3"/>
    <w:rsid w:val="000E5356"/>
    <w:rsid w:val="000E56E4"/>
    <w:rsid w:val="000E571B"/>
    <w:rsid w:val="000E582F"/>
    <w:rsid w:val="000E5ACF"/>
    <w:rsid w:val="000E5AED"/>
    <w:rsid w:val="000E5CC7"/>
    <w:rsid w:val="000E5F88"/>
    <w:rsid w:val="000E6012"/>
    <w:rsid w:val="000E6049"/>
    <w:rsid w:val="000E6140"/>
    <w:rsid w:val="000E626F"/>
    <w:rsid w:val="000E656B"/>
    <w:rsid w:val="000E6580"/>
    <w:rsid w:val="000E6A11"/>
    <w:rsid w:val="000E6C9D"/>
    <w:rsid w:val="000E6D6E"/>
    <w:rsid w:val="000E6E94"/>
    <w:rsid w:val="000E7006"/>
    <w:rsid w:val="000E71B1"/>
    <w:rsid w:val="000E73F2"/>
    <w:rsid w:val="000E751E"/>
    <w:rsid w:val="000E7562"/>
    <w:rsid w:val="000E7578"/>
    <w:rsid w:val="000E7646"/>
    <w:rsid w:val="000E77EF"/>
    <w:rsid w:val="000E7837"/>
    <w:rsid w:val="000E7900"/>
    <w:rsid w:val="000E7D30"/>
    <w:rsid w:val="000F0815"/>
    <w:rsid w:val="000F0861"/>
    <w:rsid w:val="000F08D0"/>
    <w:rsid w:val="000F0AE4"/>
    <w:rsid w:val="000F0D19"/>
    <w:rsid w:val="000F0D4E"/>
    <w:rsid w:val="000F0E0C"/>
    <w:rsid w:val="000F0E8A"/>
    <w:rsid w:val="000F15CD"/>
    <w:rsid w:val="000F1700"/>
    <w:rsid w:val="000F1738"/>
    <w:rsid w:val="000F1840"/>
    <w:rsid w:val="000F1975"/>
    <w:rsid w:val="000F1A84"/>
    <w:rsid w:val="000F1CD7"/>
    <w:rsid w:val="000F1CEC"/>
    <w:rsid w:val="000F1F42"/>
    <w:rsid w:val="000F210F"/>
    <w:rsid w:val="000F22C5"/>
    <w:rsid w:val="000F245C"/>
    <w:rsid w:val="000F26BB"/>
    <w:rsid w:val="000F2A73"/>
    <w:rsid w:val="000F2D7B"/>
    <w:rsid w:val="000F2D9F"/>
    <w:rsid w:val="000F3047"/>
    <w:rsid w:val="000F323A"/>
    <w:rsid w:val="000F3540"/>
    <w:rsid w:val="000F3551"/>
    <w:rsid w:val="000F3615"/>
    <w:rsid w:val="000F3837"/>
    <w:rsid w:val="000F38D3"/>
    <w:rsid w:val="000F3921"/>
    <w:rsid w:val="000F3ACB"/>
    <w:rsid w:val="000F3DF3"/>
    <w:rsid w:val="000F41DE"/>
    <w:rsid w:val="000F4281"/>
    <w:rsid w:val="000F44C9"/>
    <w:rsid w:val="000F46A7"/>
    <w:rsid w:val="000F477E"/>
    <w:rsid w:val="000F4C8C"/>
    <w:rsid w:val="000F4FCC"/>
    <w:rsid w:val="000F5150"/>
    <w:rsid w:val="000F5156"/>
    <w:rsid w:val="000F517E"/>
    <w:rsid w:val="000F53D5"/>
    <w:rsid w:val="000F5439"/>
    <w:rsid w:val="000F54D5"/>
    <w:rsid w:val="000F568E"/>
    <w:rsid w:val="000F5711"/>
    <w:rsid w:val="000F5716"/>
    <w:rsid w:val="000F57DE"/>
    <w:rsid w:val="000F58D2"/>
    <w:rsid w:val="000F5917"/>
    <w:rsid w:val="000F5932"/>
    <w:rsid w:val="000F5C48"/>
    <w:rsid w:val="000F5C5E"/>
    <w:rsid w:val="000F5C93"/>
    <w:rsid w:val="000F5D91"/>
    <w:rsid w:val="000F5E09"/>
    <w:rsid w:val="000F6041"/>
    <w:rsid w:val="000F621D"/>
    <w:rsid w:val="000F6223"/>
    <w:rsid w:val="000F6239"/>
    <w:rsid w:val="000F63E7"/>
    <w:rsid w:val="000F6614"/>
    <w:rsid w:val="000F6618"/>
    <w:rsid w:val="000F6778"/>
    <w:rsid w:val="000F6867"/>
    <w:rsid w:val="000F6A39"/>
    <w:rsid w:val="000F6ACE"/>
    <w:rsid w:val="000F6AE4"/>
    <w:rsid w:val="000F6CBF"/>
    <w:rsid w:val="000F6FCC"/>
    <w:rsid w:val="000F7317"/>
    <w:rsid w:val="000F739D"/>
    <w:rsid w:val="000F74D0"/>
    <w:rsid w:val="000F7659"/>
    <w:rsid w:val="000F76DA"/>
    <w:rsid w:val="000F7860"/>
    <w:rsid w:val="000F7A41"/>
    <w:rsid w:val="000F7B5B"/>
    <w:rsid w:val="000F7BA1"/>
    <w:rsid w:val="000F7D1E"/>
    <w:rsid w:val="000F7DF9"/>
    <w:rsid w:val="000F7EBC"/>
    <w:rsid w:val="000F7F37"/>
    <w:rsid w:val="000F7F57"/>
    <w:rsid w:val="000F7F70"/>
    <w:rsid w:val="000F7FA8"/>
    <w:rsid w:val="0010015D"/>
    <w:rsid w:val="00100242"/>
    <w:rsid w:val="0010052D"/>
    <w:rsid w:val="0010057D"/>
    <w:rsid w:val="001007B6"/>
    <w:rsid w:val="00100ABB"/>
    <w:rsid w:val="00100AC6"/>
    <w:rsid w:val="00101001"/>
    <w:rsid w:val="0010124D"/>
    <w:rsid w:val="00101530"/>
    <w:rsid w:val="001015DE"/>
    <w:rsid w:val="001019C1"/>
    <w:rsid w:val="00101B6E"/>
    <w:rsid w:val="00101BA5"/>
    <w:rsid w:val="00101DCF"/>
    <w:rsid w:val="00102080"/>
    <w:rsid w:val="001022C0"/>
    <w:rsid w:val="0010242D"/>
    <w:rsid w:val="0010257E"/>
    <w:rsid w:val="0010281D"/>
    <w:rsid w:val="00102B4F"/>
    <w:rsid w:val="00102C21"/>
    <w:rsid w:val="00102EDC"/>
    <w:rsid w:val="00102F39"/>
    <w:rsid w:val="00102F85"/>
    <w:rsid w:val="00103024"/>
    <w:rsid w:val="00103039"/>
    <w:rsid w:val="00103076"/>
    <w:rsid w:val="00103255"/>
    <w:rsid w:val="00103384"/>
    <w:rsid w:val="00103397"/>
    <w:rsid w:val="0010370A"/>
    <w:rsid w:val="00103895"/>
    <w:rsid w:val="001039E8"/>
    <w:rsid w:val="00103A63"/>
    <w:rsid w:val="00103ADB"/>
    <w:rsid w:val="00103B77"/>
    <w:rsid w:val="00103CDA"/>
    <w:rsid w:val="00103D8C"/>
    <w:rsid w:val="00104063"/>
    <w:rsid w:val="00104152"/>
    <w:rsid w:val="00104157"/>
    <w:rsid w:val="0010435A"/>
    <w:rsid w:val="0010440A"/>
    <w:rsid w:val="0010471D"/>
    <w:rsid w:val="001049F6"/>
    <w:rsid w:val="00104A31"/>
    <w:rsid w:val="00104ABA"/>
    <w:rsid w:val="00104D41"/>
    <w:rsid w:val="00104F2B"/>
    <w:rsid w:val="001053C0"/>
    <w:rsid w:val="00105418"/>
    <w:rsid w:val="0010547F"/>
    <w:rsid w:val="0010561F"/>
    <w:rsid w:val="00105712"/>
    <w:rsid w:val="001057A4"/>
    <w:rsid w:val="00105896"/>
    <w:rsid w:val="00105919"/>
    <w:rsid w:val="00105BD7"/>
    <w:rsid w:val="00105C55"/>
    <w:rsid w:val="00105CF5"/>
    <w:rsid w:val="001061E2"/>
    <w:rsid w:val="001064B6"/>
    <w:rsid w:val="0010657E"/>
    <w:rsid w:val="00106736"/>
    <w:rsid w:val="001067B1"/>
    <w:rsid w:val="00106B06"/>
    <w:rsid w:val="00106FAA"/>
    <w:rsid w:val="0010709A"/>
    <w:rsid w:val="001071A9"/>
    <w:rsid w:val="0010753B"/>
    <w:rsid w:val="0010759A"/>
    <w:rsid w:val="0010764F"/>
    <w:rsid w:val="001077F1"/>
    <w:rsid w:val="00107D65"/>
    <w:rsid w:val="00107E63"/>
    <w:rsid w:val="0011065D"/>
    <w:rsid w:val="0011067D"/>
    <w:rsid w:val="00110797"/>
    <w:rsid w:val="00110937"/>
    <w:rsid w:val="0011098D"/>
    <w:rsid w:val="00110ACA"/>
    <w:rsid w:val="00110AE0"/>
    <w:rsid w:val="00110BF2"/>
    <w:rsid w:val="00110C1D"/>
    <w:rsid w:val="00110D72"/>
    <w:rsid w:val="00110EBA"/>
    <w:rsid w:val="00110F4D"/>
    <w:rsid w:val="00110FA2"/>
    <w:rsid w:val="00111101"/>
    <w:rsid w:val="001111D0"/>
    <w:rsid w:val="001111E8"/>
    <w:rsid w:val="00111279"/>
    <w:rsid w:val="00111426"/>
    <w:rsid w:val="00111507"/>
    <w:rsid w:val="00111517"/>
    <w:rsid w:val="00111575"/>
    <w:rsid w:val="00111765"/>
    <w:rsid w:val="00111803"/>
    <w:rsid w:val="00111929"/>
    <w:rsid w:val="00111AF7"/>
    <w:rsid w:val="00111B03"/>
    <w:rsid w:val="00111B29"/>
    <w:rsid w:val="00111E2D"/>
    <w:rsid w:val="00111EC0"/>
    <w:rsid w:val="00111EEE"/>
    <w:rsid w:val="00112041"/>
    <w:rsid w:val="0011237E"/>
    <w:rsid w:val="00112435"/>
    <w:rsid w:val="001124F2"/>
    <w:rsid w:val="001124FB"/>
    <w:rsid w:val="001125FD"/>
    <w:rsid w:val="0011261A"/>
    <w:rsid w:val="00112882"/>
    <w:rsid w:val="001128A7"/>
    <w:rsid w:val="00112B35"/>
    <w:rsid w:val="00112B7D"/>
    <w:rsid w:val="00112BAA"/>
    <w:rsid w:val="00112CBC"/>
    <w:rsid w:val="00112E25"/>
    <w:rsid w:val="0011304E"/>
    <w:rsid w:val="001130C4"/>
    <w:rsid w:val="001133F5"/>
    <w:rsid w:val="00113498"/>
    <w:rsid w:val="001134B9"/>
    <w:rsid w:val="0011380F"/>
    <w:rsid w:val="00113814"/>
    <w:rsid w:val="00113A77"/>
    <w:rsid w:val="00113B17"/>
    <w:rsid w:val="00113ECB"/>
    <w:rsid w:val="001140D4"/>
    <w:rsid w:val="00114154"/>
    <w:rsid w:val="0011424E"/>
    <w:rsid w:val="00114387"/>
    <w:rsid w:val="00114483"/>
    <w:rsid w:val="001144CC"/>
    <w:rsid w:val="00114537"/>
    <w:rsid w:val="00114ACE"/>
    <w:rsid w:val="00114B56"/>
    <w:rsid w:val="00114B5D"/>
    <w:rsid w:val="00114B9D"/>
    <w:rsid w:val="00114DA6"/>
    <w:rsid w:val="00114DE2"/>
    <w:rsid w:val="00114E67"/>
    <w:rsid w:val="00114E93"/>
    <w:rsid w:val="00114F2E"/>
    <w:rsid w:val="00114FCE"/>
    <w:rsid w:val="001151E2"/>
    <w:rsid w:val="00115479"/>
    <w:rsid w:val="001154DA"/>
    <w:rsid w:val="0011571A"/>
    <w:rsid w:val="00115BDD"/>
    <w:rsid w:val="00115CFD"/>
    <w:rsid w:val="00115CFF"/>
    <w:rsid w:val="00115D91"/>
    <w:rsid w:val="001160C8"/>
    <w:rsid w:val="00116202"/>
    <w:rsid w:val="001167E6"/>
    <w:rsid w:val="00116D08"/>
    <w:rsid w:val="00116DC6"/>
    <w:rsid w:val="00116F98"/>
    <w:rsid w:val="001170EF"/>
    <w:rsid w:val="0011731F"/>
    <w:rsid w:val="0011749C"/>
    <w:rsid w:val="001174FD"/>
    <w:rsid w:val="0011770D"/>
    <w:rsid w:val="00117927"/>
    <w:rsid w:val="00117AB7"/>
    <w:rsid w:val="00117E41"/>
    <w:rsid w:val="0012003C"/>
    <w:rsid w:val="0012008C"/>
    <w:rsid w:val="0012040C"/>
    <w:rsid w:val="00120445"/>
    <w:rsid w:val="001205AC"/>
    <w:rsid w:val="00120748"/>
    <w:rsid w:val="001209CB"/>
    <w:rsid w:val="00120B6A"/>
    <w:rsid w:val="00120DCC"/>
    <w:rsid w:val="00120E6A"/>
    <w:rsid w:val="00120F84"/>
    <w:rsid w:val="00120FA0"/>
    <w:rsid w:val="00121089"/>
    <w:rsid w:val="001211BB"/>
    <w:rsid w:val="001211C0"/>
    <w:rsid w:val="001211CD"/>
    <w:rsid w:val="0012171E"/>
    <w:rsid w:val="001218A8"/>
    <w:rsid w:val="001218FD"/>
    <w:rsid w:val="00121A98"/>
    <w:rsid w:val="00121B61"/>
    <w:rsid w:val="00121BA8"/>
    <w:rsid w:val="00121CDC"/>
    <w:rsid w:val="00121D66"/>
    <w:rsid w:val="00121DC7"/>
    <w:rsid w:val="00121DF2"/>
    <w:rsid w:val="00121DFA"/>
    <w:rsid w:val="00121E16"/>
    <w:rsid w:val="00121F6E"/>
    <w:rsid w:val="0012217C"/>
    <w:rsid w:val="00122318"/>
    <w:rsid w:val="001223C5"/>
    <w:rsid w:val="001223C6"/>
    <w:rsid w:val="0012259A"/>
    <w:rsid w:val="001226F2"/>
    <w:rsid w:val="001227AD"/>
    <w:rsid w:val="00122AAF"/>
    <w:rsid w:val="00122AD8"/>
    <w:rsid w:val="00122DD1"/>
    <w:rsid w:val="00123040"/>
    <w:rsid w:val="001238A9"/>
    <w:rsid w:val="001238D9"/>
    <w:rsid w:val="00123D8D"/>
    <w:rsid w:val="00123F87"/>
    <w:rsid w:val="00123FE2"/>
    <w:rsid w:val="00124090"/>
    <w:rsid w:val="001240ED"/>
    <w:rsid w:val="001241E4"/>
    <w:rsid w:val="00124388"/>
    <w:rsid w:val="0012439B"/>
    <w:rsid w:val="00124401"/>
    <w:rsid w:val="0012450D"/>
    <w:rsid w:val="00124545"/>
    <w:rsid w:val="00124620"/>
    <w:rsid w:val="00124779"/>
    <w:rsid w:val="00124BEA"/>
    <w:rsid w:val="00124C2F"/>
    <w:rsid w:val="00124CC2"/>
    <w:rsid w:val="00124D47"/>
    <w:rsid w:val="00124DB9"/>
    <w:rsid w:val="00124E97"/>
    <w:rsid w:val="001251CD"/>
    <w:rsid w:val="0012521A"/>
    <w:rsid w:val="0012528F"/>
    <w:rsid w:val="001253F8"/>
    <w:rsid w:val="00125652"/>
    <w:rsid w:val="00125C8B"/>
    <w:rsid w:val="00125D5E"/>
    <w:rsid w:val="00125E77"/>
    <w:rsid w:val="00125FB5"/>
    <w:rsid w:val="001261E3"/>
    <w:rsid w:val="0012678D"/>
    <w:rsid w:val="001269E4"/>
    <w:rsid w:val="00126C03"/>
    <w:rsid w:val="00126CF3"/>
    <w:rsid w:val="00126D66"/>
    <w:rsid w:val="00126E8B"/>
    <w:rsid w:val="00126F47"/>
    <w:rsid w:val="0012713B"/>
    <w:rsid w:val="001271B7"/>
    <w:rsid w:val="0012742E"/>
    <w:rsid w:val="00127547"/>
    <w:rsid w:val="001278A6"/>
    <w:rsid w:val="00127905"/>
    <w:rsid w:val="00127948"/>
    <w:rsid w:val="001279CC"/>
    <w:rsid w:val="001279F5"/>
    <w:rsid w:val="00127B64"/>
    <w:rsid w:val="00127B8D"/>
    <w:rsid w:val="00127C38"/>
    <w:rsid w:val="00127D87"/>
    <w:rsid w:val="00130072"/>
    <w:rsid w:val="001300E5"/>
    <w:rsid w:val="0013016D"/>
    <w:rsid w:val="00130487"/>
    <w:rsid w:val="00130488"/>
    <w:rsid w:val="0013050A"/>
    <w:rsid w:val="0013050F"/>
    <w:rsid w:val="001305DD"/>
    <w:rsid w:val="0013073B"/>
    <w:rsid w:val="001308D4"/>
    <w:rsid w:val="00130946"/>
    <w:rsid w:val="00130A31"/>
    <w:rsid w:val="00130C50"/>
    <w:rsid w:val="00130CF3"/>
    <w:rsid w:val="00130DA2"/>
    <w:rsid w:val="00130EB3"/>
    <w:rsid w:val="00130FDC"/>
    <w:rsid w:val="001310E6"/>
    <w:rsid w:val="001310EB"/>
    <w:rsid w:val="001311A8"/>
    <w:rsid w:val="00131485"/>
    <w:rsid w:val="00131602"/>
    <w:rsid w:val="00131B7D"/>
    <w:rsid w:val="00132019"/>
    <w:rsid w:val="001320D9"/>
    <w:rsid w:val="00132218"/>
    <w:rsid w:val="001324A4"/>
    <w:rsid w:val="001324A5"/>
    <w:rsid w:val="00132512"/>
    <w:rsid w:val="0013262B"/>
    <w:rsid w:val="0013273E"/>
    <w:rsid w:val="00132751"/>
    <w:rsid w:val="00132829"/>
    <w:rsid w:val="001328F3"/>
    <w:rsid w:val="001329A9"/>
    <w:rsid w:val="00132BE1"/>
    <w:rsid w:val="00132CED"/>
    <w:rsid w:val="00132EB9"/>
    <w:rsid w:val="00132F3F"/>
    <w:rsid w:val="00132FF7"/>
    <w:rsid w:val="00133085"/>
    <w:rsid w:val="001339A0"/>
    <w:rsid w:val="001339CA"/>
    <w:rsid w:val="00133B4F"/>
    <w:rsid w:val="001341C7"/>
    <w:rsid w:val="00134223"/>
    <w:rsid w:val="001342C5"/>
    <w:rsid w:val="0013434D"/>
    <w:rsid w:val="0013448F"/>
    <w:rsid w:val="001347C4"/>
    <w:rsid w:val="00134A8F"/>
    <w:rsid w:val="00134C4D"/>
    <w:rsid w:val="00134D50"/>
    <w:rsid w:val="00134F95"/>
    <w:rsid w:val="001350E7"/>
    <w:rsid w:val="00135105"/>
    <w:rsid w:val="001351D2"/>
    <w:rsid w:val="00135216"/>
    <w:rsid w:val="001352D2"/>
    <w:rsid w:val="00135325"/>
    <w:rsid w:val="001355D9"/>
    <w:rsid w:val="00135742"/>
    <w:rsid w:val="00135761"/>
    <w:rsid w:val="0013586D"/>
    <w:rsid w:val="00135BDB"/>
    <w:rsid w:val="00135CD2"/>
    <w:rsid w:val="00135CDA"/>
    <w:rsid w:val="00135EE6"/>
    <w:rsid w:val="00135F59"/>
    <w:rsid w:val="00136340"/>
    <w:rsid w:val="00136782"/>
    <w:rsid w:val="001368EE"/>
    <w:rsid w:val="00136BF0"/>
    <w:rsid w:val="00136C3B"/>
    <w:rsid w:val="00136C3F"/>
    <w:rsid w:val="00136D4F"/>
    <w:rsid w:val="00136F9E"/>
    <w:rsid w:val="0013705E"/>
    <w:rsid w:val="00137331"/>
    <w:rsid w:val="0013738F"/>
    <w:rsid w:val="001373BA"/>
    <w:rsid w:val="001373DD"/>
    <w:rsid w:val="001374F6"/>
    <w:rsid w:val="001375FE"/>
    <w:rsid w:val="00137626"/>
    <w:rsid w:val="0013772B"/>
    <w:rsid w:val="001400CD"/>
    <w:rsid w:val="00140167"/>
    <w:rsid w:val="001404D7"/>
    <w:rsid w:val="0014080D"/>
    <w:rsid w:val="00140B2F"/>
    <w:rsid w:val="00141044"/>
    <w:rsid w:val="0014128B"/>
    <w:rsid w:val="00141429"/>
    <w:rsid w:val="0014142B"/>
    <w:rsid w:val="00141688"/>
    <w:rsid w:val="00141731"/>
    <w:rsid w:val="001417C7"/>
    <w:rsid w:val="00141AC1"/>
    <w:rsid w:val="00141B2E"/>
    <w:rsid w:val="00141D25"/>
    <w:rsid w:val="00141EB5"/>
    <w:rsid w:val="00141F5A"/>
    <w:rsid w:val="00141F64"/>
    <w:rsid w:val="00141F85"/>
    <w:rsid w:val="00142187"/>
    <w:rsid w:val="0014230E"/>
    <w:rsid w:val="001424B2"/>
    <w:rsid w:val="001425F0"/>
    <w:rsid w:val="00142C47"/>
    <w:rsid w:val="00142CD4"/>
    <w:rsid w:val="00143019"/>
    <w:rsid w:val="001430B7"/>
    <w:rsid w:val="001433FC"/>
    <w:rsid w:val="00143436"/>
    <w:rsid w:val="0014353C"/>
    <w:rsid w:val="00143606"/>
    <w:rsid w:val="001436B3"/>
    <w:rsid w:val="0014391D"/>
    <w:rsid w:val="00143A98"/>
    <w:rsid w:val="00143DDF"/>
    <w:rsid w:val="0014400A"/>
    <w:rsid w:val="00144067"/>
    <w:rsid w:val="001446CA"/>
    <w:rsid w:val="0014478B"/>
    <w:rsid w:val="00144797"/>
    <w:rsid w:val="001448ED"/>
    <w:rsid w:val="00144C8B"/>
    <w:rsid w:val="00144FEB"/>
    <w:rsid w:val="001450B9"/>
    <w:rsid w:val="001451D2"/>
    <w:rsid w:val="001451FF"/>
    <w:rsid w:val="00145240"/>
    <w:rsid w:val="00145325"/>
    <w:rsid w:val="0014547C"/>
    <w:rsid w:val="001454D5"/>
    <w:rsid w:val="001454F9"/>
    <w:rsid w:val="001457A0"/>
    <w:rsid w:val="001457A3"/>
    <w:rsid w:val="00145930"/>
    <w:rsid w:val="001459CA"/>
    <w:rsid w:val="00145A41"/>
    <w:rsid w:val="00145A9C"/>
    <w:rsid w:val="00145BB9"/>
    <w:rsid w:val="00145BF2"/>
    <w:rsid w:val="00145C70"/>
    <w:rsid w:val="00145CCF"/>
    <w:rsid w:val="00145E1A"/>
    <w:rsid w:val="00146184"/>
    <w:rsid w:val="001461D3"/>
    <w:rsid w:val="00146547"/>
    <w:rsid w:val="00146770"/>
    <w:rsid w:val="00146848"/>
    <w:rsid w:val="00146B18"/>
    <w:rsid w:val="00146C99"/>
    <w:rsid w:val="00146DD7"/>
    <w:rsid w:val="00146E5C"/>
    <w:rsid w:val="00147018"/>
    <w:rsid w:val="00147062"/>
    <w:rsid w:val="0014724E"/>
    <w:rsid w:val="00147B22"/>
    <w:rsid w:val="00147DF8"/>
    <w:rsid w:val="00147E57"/>
    <w:rsid w:val="00147ED3"/>
    <w:rsid w:val="001500B2"/>
    <w:rsid w:val="001501E4"/>
    <w:rsid w:val="00150622"/>
    <w:rsid w:val="0015083B"/>
    <w:rsid w:val="00150B27"/>
    <w:rsid w:val="00150B61"/>
    <w:rsid w:val="00150C0C"/>
    <w:rsid w:val="00150DCE"/>
    <w:rsid w:val="00150FEB"/>
    <w:rsid w:val="00151016"/>
    <w:rsid w:val="001510E5"/>
    <w:rsid w:val="00151195"/>
    <w:rsid w:val="001512ED"/>
    <w:rsid w:val="00151300"/>
    <w:rsid w:val="001513EA"/>
    <w:rsid w:val="001514B4"/>
    <w:rsid w:val="00151568"/>
    <w:rsid w:val="00151633"/>
    <w:rsid w:val="0015163A"/>
    <w:rsid w:val="001516A3"/>
    <w:rsid w:val="001516D0"/>
    <w:rsid w:val="00151BC6"/>
    <w:rsid w:val="001520AA"/>
    <w:rsid w:val="00152228"/>
    <w:rsid w:val="001523CE"/>
    <w:rsid w:val="001523D5"/>
    <w:rsid w:val="00152454"/>
    <w:rsid w:val="001524B1"/>
    <w:rsid w:val="001525B6"/>
    <w:rsid w:val="001525C2"/>
    <w:rsid w:val="001527B0"/>
    <w:rsid w:val="00152832"/>
    <w:rsid w:val="0015292F"/>
    <w:rsid w:val="00152A36"/>
    <w:rsid w:val="00152AED"/>
    <w:rsid w:val="00152E12"/>
    <w:rsid w:val="001534D6"/>
    <w:rsid w:val="00153542"/>
    <w:rsid w:val="00153809"/>
    <w:rsid w:val="0015385C"/>
    <w:rsid w:val="00153886"/>
    <w:rsid w:val="001538B8"/>
    <w:rsid w:val="001538FA"/>
    <w:rsid w:val="00153B90"/>
    <w:rsid w:val="00153D9A"/>
    <w:rsid w:val="00153E93"/>
    <w:rsid w:val="00153FEB"/>
    <w:rsid w:val="001543B5"/>
    <w:rsid w:val="00154458"/>
    <w:rsid w:val="001544F7"/>
    <w:rsid w:val="00154696"/>
    <w:rsid w:val="001548EC"/>
    <w:rsid w:val="00154A41"/>
    <w:rsid w:val="00154B29"/>
    <w:rsid w:val="00154B54"/>
    <w:rsid w:val="00154BD7"/>
    <w:rsid w:val="00154C19"/>
    <w:rsid w:val="00154C90"/>
    <w:rsid w:val="00155343"/>
    <w:rsid w:val="001554FB"/>
    <w:rsid w:val="0015556E"/>
    <w:rsid w:val="001557DB"/>
    <w:rsid w:val="00155870"/>
    <w:rsid w:val="00155917"/>
    <w:rsid w:val="00155A87"/>
    <w:rsid w:val="00155AC6"/>
    <w:rsid w:val="00155C28"/>
    <w:rsid w:val="00155D2B"/>
    <w:rsid w:val="00155E1B"/>
    <w:rsid w:val="00155E83"/>
    <w:rsid w:val="00155ECA"/>
    <w:rsid w:val="00155EFA"/>
    <w:rsid w:val="00155F02"/>
    <w:rsid w:val="00155F98"/>
    <w:rsid w:val="0015603E"/>
    <w:rsid w:val="00156183"/>
    <w:rsid w:val="001562D6"/>
    <w:rsid w:val="00156426"/>
    <w:rsid w:val="0015658D"/>
    <w:rsid w:val="0015685D"/>
    <w:rsid w:val="00156C8D"/>
    <w:rsid w:val="00156EAB"/>
    <w:rsid w:val="00156F48"/>
    <w:rsid w:val="00157117"/>
    <w:rsid w:val="00157151"/>
    <w:rsid w:val="00157157"/>
    <w:rsid w:val="00157220"/>
    <w:rsid w:val="0015724F"/>
    <w:rsid w:val="00157418"/>
    <w:rsid w:val="00157565"/>
    <w:rsid w:val="001577FB"/>
    <w:rsid w:val="00157A68"/>
    <w:rsid w:val="00157AAC"/>
    <w:rsid w:val="00157AAF"/>
    <w:rsid w:val="00157BD8"/>
    <w:rsid w:val="00157C28"/>
    <w:rsid w:val="00157C58"/>
    <w:rsid w:val="00157CAB"/>
    <w:rsid w:val="00157CC3"/>
    <w:rsid w:val="00157D12"/>
    <w:rsid w:val="00157DA7"/>
    <w:rsid w:val="00157E7C"/>
    <w:rsid w:val="0016003E"/>
    <w:rsid w:val="0016006A"/>
    <w:rsid w:val="0016030F"/>
    <w:rsid w:val="001605A7"/>
    <w:rsid w:val="0016090E"/>
    <w:rsid w:val="00160B01"/>
    <w:rsid w:val="00160BBA"/>
    <w:rsid w:val="00160E7F"/>
    <w:rsid w:val="00161034"/>
    <w:rsid w:val="0016110B"/>
    <w:rsid w:val="0016120A"/>
    <w:rsid w:val="0016128F"/>
    <w:rsid w:val="001612D4"/>
    <w:rsid w:val="001618EB"/>
    <w:rsid w:val="00161C73"/>
    <w:rsid w:val="00161D77"/>
    <w:rsid w:val="00161E1B"/>
    <w:rsid w:val="0016202B"/>
    <w:rsid w:val="0016258F"/>
    <w:rsid w:val="001629CA"/>
    <w:rsid w:val="00163223"/>
    <w:rsid w:val="00163270"/>
    <w:rsid w:val="00163339"/>
    <w:rsid w:val="001633C2"/>
    <w:rsid w:val="001633D1"/>
    <w:rsid w:val="001635C6"/>
    <w:rsid w:val="00163632"/>
    <w:rsid w:val="0016379E"/>
    <w:rsid w:val="00163B0A"/>
    <w:rsid w:val="00163B76"/>
    <w:rsid w:val="00163CFC"/>
    <w:rsid w:val="00163EF7"/>
    <w:rsid w:val="00164285"/>
    <w:rsid w:val="0016443C"/>
    <w:rsid w:val="001647D4"/>
    <w:rsid w:val="001647F4"/>
    <w:rsid w:val="00164A28"/>
    <w:rsid w:val="00164A49"/>
    <w:rsid w:val="00164BF9"/>
    <w:rsid w:val="00164C3F"/>
    <w:rsid w:val="00164D03"/>
    <w:rsid w:val="00164E7D"/>
    <w:rsid w:val="00164F4C"/>
    <w:rsid w:val="00164F66"/>
    <w:rsid w:val="0016500A"/>
    <w:rsid w:val="0016508C"/>
    <w:rsid w:val="00165468"/>
    <w:rsid w:val="0016597A"/>
    <w:rsid w:val="00165AE9"/>
    <w:rsid w:val="00165B6E"/>
    <w:rsid w:val="00165E2C"/>
    <w:rsid w:val="00165F74"/>
    <w:rsid w:val="00165F7F"/>
    <w:rsid w:val="001661A9"/>
    <w:rsid w:val="00166415"/>
    <w:rsid w:val="001664FD"/>
    <w:rsid w:val="0016654D"/>
    <w:rsid w:val="00166647"/>
    <w:rsid w:val="001668F1"/>
    <w:rsid w:val="0016695D"/>
    <w:rsid w:val="00166988"/>
    <w:rsid w:val="00166C8E"/>
    <w:rsid w:val="00166CB5"/>
    <w:rsid w:val="00166E44"/>
    <w:rsid w:val="0016708E"/>
    <w:rsid w:val="00167109"/>
    <w:rsid w:val="001671A3"/>
    <w:rsid w:val="001672D4"/>
    <w:rsid w:val="00167465"/>
    <w:rsid w:val="0016753A"/>
    <w:rsid w:val="00167623"/>
    <w:rsid w:val="00167736"/>
    <w:rsid w:val="00167B7A"/>
    <w:rsid w:val="00167CA1"/>
    <w:rsid w:val="00167CE5"/>
    <w:rsid w:val="00167DDA"/>
    <w:rsid w:val="00167F18"/>
    <w:rsid w:val="00167FA7"/>
    <w:rsid w:val="00167FAF"/>
    <w:rsid w:val="00170351"/>
    <w:rsid w:val="001705A3"/>
    <w:rsid w:val="001705E4"/>
    <w:rsid w:val="00170757"/>
    <w:rsid w:val="00170825"/>
    <w:rsid w:val="0017089B"/>
    <w:rsid w:val="00170A37"/>
    <w:rsid w:val="00170AB3"/>
    <w:rsid w:val="00170C0C"/>
    <w:rsid w:val="00170CE5"/>
    <w:rsid w:val="00170F7B"/>
    <w:rsid w:val="00171121"/>
    <w:rsid w:val="0017116A"/>
    <w:rsid w:val="001711B1"/>
    <w:rsid w:val="00171232"/>
    <w:rsid w:val="00171259"/>
    <w:rsid w:val="001713C8"/>
    <w:rsid w:val="001713CB"/>
    <w:rsid w:val="001714C1"/>
    <w:rsid w:val="001714C2"/>
    <w:rsid w:val="00171525"/>
    <w:rsid w:val="0017154B"/>
    <w:rsid w:val="00171706"/>
    <w:rsid w:val="00171724"/>
    <w:rsid w:val="00171746"/>
    <w:rsid w:val="00171776"/>
    <w:rsid w:val="001717E8"/>
    <w:rsid w:val="00171E2F"/>
    <w:rsid w:val="00171EDB"/>
    <w:rsid w:val="001721A6"/>
    <w:rsid w:val="00172222"/>
    <w:rsid w:val="001723FD"/>
    <w:rsid w:val="00172617"/>
    <w:rsid w:val="001726F5"/>
    <w:rsid w:val="00172720"/>
    <w:rsid w:val="00172899"/>
    <w:rsid w:val="001728EE"/>
    <w:rsid w:val="0017298D"/>
    <w:rsid w:val="00172AA7"/>
    <w:rsid w:val="00172B34"/>
    <w:rsid w:val="00172D19"/>
    <w:rsid w:val="00172D97"/>
    <w:rsid w:val="00172D9F"/>
    <w:rsid w:val="00172E0F"/>
    <w:rsid w:val="00172E1F"/>
    <w:rsid w:val="00172F5C"/>
    <w:rsid w:val="00172F92"/>
    <w:rsid w:val="00173049"/>
    <w:rsid w:val="00173210"/>
    <w:rsid w:val="0017337B"/>
    <w:rsid w:val="001733C0"/>
    <w:rsid w:val="001734D6"/>
    <w:rsid w:val="0017364C"/>
    <w:rsid w:val="001736BD"/>
    <w:rsid w:val="001736D7"/>
    <w:rsid w:val="00173762"/>
    <w:rsid w:val="00173A0D"/>
    <w:rsid w:val="00173AA7"/>
    <w:rsid w:val="00173BB0"/>
    <w:rsid w:val="00173E8D"/>
    <w:rsid w:val="001740DA"/>
    <w:rsid w:val="0017419B"/>
    <w:rsid w:val="001741F3"/>
    <w:rsid w:val="0017427A"/>
    <w:rsid w:val="0017429E"/>
    <w:rsid w:val="001742DB"/>
    <w:rsid w:val="0017447A"/>
    <w:rsid w:val="0017453C"/>
    <w:rsid w:val="00174576"/>
    <w:rsid w:val="0017468C"/>
    <w:rsid w:val="00174809"/>
    <w:rsid w:val="001748C1"/>
    <w:rsid w:val="0017494B"/>
    <w:rsid w:val="00174963"/>
    <w:rsid w:val="00174B4E"/>
    <w:rsid w:val="00174C63"/>
    <w:rsid w:val="00174D97"/>
    <w:rsid w:val="00174FE0"/>
    <w:rsid w:val="00175003"/>
    <w:rsid w:val="00175418"/>
    <w:rsid w:val="001756E5"/>
    <w:rsid w:val="001758DB"/>
    <w:rsid w:val="001759CB"/>
    <w:rsid w:val="00175AB9"/>
    <w:rsid w:val="00175C51"/>
    <w:rsid w:val="00175DE2"/>
    <w:rsid w:val="00175F67"/>
    <w:rsid w:val="00175F87"/>
    <w:rsid w:val="00175F8D"/>
    <w:rsid w:val="00176081"/>
    <w:rsid w:val="00176304"/>
    <w:rsid w:val="00176861"/>
    <w:rsid w:val="00176954"/>
    <w:rsid w:val="001769E1"/>
    <w:rsid w:val="00176AAA"/>
    <w:rsid w:val="00176CE7"/>
    <w:rsid w:val="00176E19"/>
    <w:rsid w:val="00176EE9"/>
    <w:rsid w:val="00176FAC"/>
    <w:rsid w:val="001770B1"/>
    <w:rsid w:val="00177696"/>
    <w:rsid w:val="001777AC"/>
    <w:rsid w:val="00177865"/>
    <w:rsid w:val="00177922"/>
    <w:rsid w:val="00177980"/>
    <w:rsid w:val="001779B7"/>
    <w:rsid w:val="00177B31"/>
    <w:rsid w:val="00177C1C"/>
    <w:rsid w:val="00177DC9"/>
    <w:rsid w:val="00180058"/>
    <w:rsid w:val="0018026F"/>
    <w:rsid w:val="001802B1"/>
    <w:rsid w:val="001802BA"/>
    <w:rsid w:val="00180312"/>
    <w:rsid w:val="00180361"/>
    <w:rsid w:val="0018043F"/>
    <w:rsid w:val="001805F7"/>
    <w:rsid w:val="001809A7"/>
    <w:rsid w:val="00180C0F"/>
    <w:rsid w:val="00180C36"/>
    <w:rsid w:val="00180E25"/>
    <w:rsid w:val="001810F3"/>
    <w:rsid w:val="001810FC"/>
    <w:rsid w:val="001811CF"/>
    <w:rsid w:val="001811DD"/>
    <w:rsid w:val="001812B0"/>
    <w:rsid w:val="001813E5"/>
    <w:rsid w:val="001814E9"/>
    <w:rsid w:val="00181670"/>
    <w:rsid w:val="001816E2"/>
    <w:rsid w:val="00181753"/>
    <w:rsid w:val="001819C8"/>
    <w:rsid w:val="00181A5E"/>
    <w:rsid w:val="00181E03"/>
    <w:rsid w:val="0018220F"/>
    <w:rsid w:val="001822C9"/>
    <w:rsid w:val="001823C0"/>
    <w:rsid w:val="001823C8"/>
    <w:rsid w:val="00182685"/>
    <w:rsid w:val="00182B2E"/>
    <w:rsid w:val="00182EE9"/>
    <w:rsid w:val="001831B8"/>
    <w:rsid w:val="00183227"/>
    <w:rsid w:val="001834A6"/>
    <w:rsid w:val="00183565"/>
    <w:rsid w:val="00183725"/>
    <w:rsid w:val="00183747"/>
    <w:rsid w:val="00183E9D"/>
    <w:rsid w:val="001841E2"/>
    <w:rsid w:val="001842EB"/>
    <w:rsid w:val="0018447E"/>
    <w:rsid w:val="001844D8"/>
    <w:rsid w:val="0018478C"/>
    <w:rsid w:val="00184A1B"/>
    <w:rsid w:val="00184B40"/>
    <w:rsid w:val="00184B41"/>
    <w:rsid w:val="00184B7D"/>
    <w:rsid w:val="00184C61"/>
    <w:rsid w:val="001851C5"/>
    <w:rsid w:val="00185512"/>
    <w:rsid w:val="00185611"/>
    <w:rsid w:val="0018562D"/>
    <w:rsid w:val="00185682"/>
    <w:rsid w:val="001856B5"/>
    <w:rsid w:val="001856FE"/>
    <w:rsid w:val="00185716"/>
    <w:rsid w:val="0018587B"/>
    <w:rsid w:val="001858DB"/>
    <w:rsid w:val="00185BA0"/>
    <w:rsid w:val="00185D6E"/>
    <w:rsid w:val="00185E12"/>
    <w:rsid w:val="001863C5"/>
    <w:rsid w:val="001863D5"/>
    <w:rsid w:val="00186510"/>
    <w:rsid w:val="00186585"/>
    <w:rsid w:val="001865D7"/>
    <w:rsid w:val="00186666"/>
    <w:rsid w:val="001867AC"/>
    <w:rsid w:val="001868DE"/>
    <w:rsid w:val="00186DB7"/>
    <w:rsid w:val="00186F92"/>
    <w:rsid w:val="00187041"/>
    <w:rsid w:val="00187052"/>
    <w:rsid w:val="00187179"/>
    <w:rsid w:val="00187489"/>
    <w:rsid w:val="001874AB"/>
    <w:rsid w:val="001875F2"/>
    <w:rsid w:val="001875F6"/>
    <w:rsid w:val="001876E5"/>
    <w:rsid w:val="0018774D"/>
    <w:rsid w:val="0018779B"/>
    <w:rsid w:val="001879C4"/>
    <w:rsid w:val="00187A21"/>
    <w:rsid w:val="00187A6A"/>
    <w:rsid w:val="00187B47"/>
    <w:rsid w:val="00187BA2"/>
    <w:rsid w:val="00187BA8"/>
    <w:rsid w:val="00187C9B"/>
    <w:rsid w:val="001909FA"/>
    <w:rsid w:val="00190B84"/>
    <w:rsid w:val="00190CE4"/>
    <w:rsid w:val="00190EF9"/>
    <w:rsid w:val="00191009"/>
    <w:rsid w:val="0019106F"/>
    <w:rsid w:val="00191197"/>
    <w:rsid w:val="00191251"/>
    <w:rsid w:val="001912A0"/>
    <w:rsid w:val="00191473"/>
    <w:rsid w:val="00191540"/>
    <w:rsid w:val="00191680"/>
    <w:rsid w:val="00191932"/>
    <w:rsid w:val="00191A73"/>
    <w:rsid w:val="00191AFA"/>
    <w:rsid w:val="00191B9E"/>
    <w:rsid w:val="00191C28"/>
    <w:rsid w:val="00191FCC"/>
    <w:rsid w:val="0019200F"/>
    <w:rsid w:val="00192209"/>
    <w:rsid w:val="0019223A"/>
    <w:rsid w:val="0019235B"/>
    <w:rsid w:val="001924D7"/>
    <w:rsid w:val="001925AC"/>
    <w:rsid w:val="0019277D"/>
    <w:rsid w:val="0019290F"/>
    <w:rsid w:val="00192A58"/>
    <w:rsid w:val="00192A61"/>
    <w:rsid w:val="00192B75"/>
    <w:rsid w:val="00192C2B"/>
    <w:rsid w:val="00192CA4"/>
    <w:rsid w:val="00192DC5"/>
    <w:rsid w:val="00192DDC"/>
    <w:rsid w:val="00192E40"/>
    <w:rsid w:val="00192F6C"/>
    <w:rsid w:val="00192FAC"/>
    <w:rsid w:val="0019302D"/>
    <w:rsid w:val="00193035"/>
    <w:rsid w:val="0019320A"/>
    <w:rsid w:val="00193237"/>
    <w:rsid w:val="00193245"/>
    <w:rsid w:val="0019341E"/>
    <w:rsid w:val="00193511"/>
    <w:rsid w:val="0019366F"/>
    <w:rsid w:val="00193790"/>
    <w:rsid w:val="00193A5E"/>
    <w:rsid w:val="00193D23"/>
    <w:rsid w:val="00193D5B"/>
    <w:rsid w:val="00193F0F"/>
    <w:rsid w:val="00193F4F"/>
    <w:rsid w:val="00193FDB"/>
    <w:rsid w:val="0019405F"/>
    <w:rsid w:val="0019421B"/>
    <w:rsid w:val="0019444D"/>
    <w:rsid w:val="001944E1"/>
    <w:rsid w:val="001944EC"/>
    <w:rsid w:val="00194560"/>
    <w:rsid w:val="001946EF"/>
    <w:rsid w:val="001947EA"/>
    <w:rsid w:val="0019490B"/>
    <w:rsid w:val="00194983"/>
    <w:rsid w:val="00194A32"/>
    <w:rsid w:val="00194AD0"/>
    <w:rsid w:val="00194BFD"/>
    <w:rsid w:val="00194C29"/>
    <w:rsid w:val="00194C8C"/>
    <w:rsid w:val="00194CDA"/>
    <w:rsid w:val="00194D44"/>
    <w:rsid w:val="00194D4C"/>
    <w:rsid w:val="00194D90"/>
    <w:rsid w:val="00194F12"/>
    <w:rsid w:val="00194F1E"/>
    <w:rsid w:val="00195157"/>
    <w:rsid w:val="0019519E"/>
    <w:rsid w:val="001952A0"/>
    <w:rsid w:val="00195302"/>
    <w:rsid w:val="00195303"/>
    <w:rsid w:val="001953A1"/>
    <w:rsid w:val="001956CB"/>
    <w:rsid w:val="00195717"/>
    <w:rsid w:val="00195750"/>
    <w:rsid w:val="001957DD"/>
    <w:rsid w:val="00195830"/>
    <w:rsid w:val="00195AA9"/>
    <w:rsid w:val="00195BC0"/>
    <w:rsid w:val="00195D55"/>
    <w:rsid w:val="00195DBF"/>
    <w:rsid w:val="00195E13"/>
    <w:rsid w:val="0019601A"/>
    <w:rsid w:val="001961A8"/>
    <w:rsid w:val="001963A7"/>
    <w:rsid w:val="00196486"/>
    <w:rsid w:val="001964BE"/>
    <w:rsid w:val="00196603"/>
    <w:rsid w:val="00196BA2"/>
    <w:rsid w:val="00196D09"/>
    <w:rsid w:val="00196D8A"/>
    <w:rsid w:val="00196E01"/>
    <w:rsid w:val="0019722D"/>
    <w:rsid w:val="0019733E"/>
    <w:rsid w:val="001974AE"/>
    <w:rsid w:val="00197539"/>
    <w:rsid w:val="0019777A"/>
    <w:rsid w:val="001977B0"/>
    <w:rsid w:val="001979AD"/>
    <w:rsid w:val="00197E17"/>
    <w:rsid w:val="00197E3C"/>
    <w:rsid w:val="00197EB6"/>
    <w:rsid w:val="00197F65"/>
    <w:rsid w:val="001A000A"/>
    <w:rsid w:val="001A007F"/>
    <w:rsid w:val="001A01AF"/>
    <w:rsid w:val="001A0313"/>
    <w:rsid w:val="001A070E"/>
    <w:rsid w:val="001A0734"/>
    <w:rsid w:val="001A07B8"/>
    <w:rsid w:val="001A08CE"/>
    <w:rsid w:val="001A09C7"/>
    <w:rsid w:val="001A0AB0"/>
    <w:rsid w:val="001A0D17"/>
    <w:rsid w:val="001A0D47"/>
    <w:rsid w:val="001A0FB7"/>
    <w:rsid w:val="001A0FF7"/>
    <w:rsid w:val="001A10A4"/>
    <w:rsid w:val="001A119E"/>
    <w:rsid w:val="001A11C3"/>
    <w:rsid w:val="001A13D3"/>
    <w:rsid w:val="001A172F"/>
    <w:rsid w:val="001A1784"/>
    <w:rsid w:val="001A1799"/>
    <w:rsid w:val="001A1926"/>
    <w:rsid w:val="001A218B"/>
    <w:rsid w:val="001A219E"/>
    <w:rsid w:val="001A2261"/>
    <w:rsid w:val="001A235B"/>
    <w:rsid w:val="001A244A"/>
    <w:rsid w:val="001A251E"/>
    <w:rsid w:val="001A25E4"/>
    <w:rsid w:val="001A28FF"/>
    <w:rsid w:val="001A295B"/>
    <w:rsid w:val="001A2979"/>
    <w:rsid w:val="001A29B4"/>
    <w:rsid w:val="001A2B4D"/>
    <w:rsid w:val="001A2C85"/>
    <w:rsid w:val="001A2D4E"/>
    <w:rsid w:val="001A2E08"/>
    <w:rsid w:val="001A2F1B"/>
    <w:rsid w:val="001A32FA"/>
    <w:rsid w:val="001A365B"/>
    <w:rsid w:val="001A39CE"/>
    <w:rsid w:val="001A3CD5"/>
    <w:rsid w:val="001A3F93"/>
    <w:rsid w:val="001A4084"/>
    <w:rsid w:val="001A422B"/>
    <w:rsid w:val="001A4250"/>
    <w:rsid w:val="001A42F2"/>
    <w:rsid w:val="001A4323"/>
    <w:rsid w:val="001A4745"/>
    <w:rsid w:val="001A49CC"/>
    <w:rsid w:val="001A51AC"/>
    <w:rsid w:val="001A52B6"/>
    <w:rsid w:val="001A5803"/>
    <w:rsid w:val="001A580D"/>
    <w:rsid w:val="001A5B6E"/>
    <w:rsid w:val="001A5BBE"/>
    <w:rsid w:val="001A5BE4"/>
    <w:rsid w:val="001A5FD3"/>
    <w:rsid w:val="001A608E"/>
    <w:rsid w:val="001A6282"/>
    <w:rsid w:val="001A6415"/>
    <w:rsid w:val="001A653B"/>
    <w:rsid w:val="001A655F"/>
    <w:rsid w:val="001A6C79"/>
    <w:rsid w:val="001A6CC8"/>
    <w:rsid w:val="001A6FEE"/>
    <w:rsid w:val="001A701A"/>
    <w:rsid w:val="001A70B2"/>
    <w:rsid w:val="001A71B0"/>
    <w:rsid w:val="001A7562"/>
    <w:rsid w:val="001A7563"/>
    <w:rsid w:val="001A7572"/>
    <w:rsid w:val="001A7746"/>
    <w:rsid w:val="001A7839"/>
    <w:rsid w:val="001A7A38"/>
    <w:rsid w:val="001A7A64"/>
    <w:rsid w:val="001A7BB2"/>
    <w:rsid w:val="001A7CC2"/>
    <w:rsid w:val="001A7D63"/>
    <w:rsid w:val="001A7DF6"/>
    <w:rsid w:val="001A7E88"/>
    <w:rsid w:val="001B02EA"/>
    <w:rsid w:val="001B0A51"/>
    <w:rsid w:val="001B0A55"/>
    <w:rsid w:val="001B0AEE"/>
    <w:rsid w:val="001B0C46"/>
    <w:rsid w:val="001B0EA2"/>
    <w:rsid w:val="001B0EC3"/>
    <w:rsid w:val="001B1001"/>
    <w:rsid w:val="001B11BD"/>
    <w:rsid w:val="001B1208"/>
    <w:rsid w:val="001B13CC"/>
    <w:rsid w:val="001B1460"/>
    <w:rsid w:val="001B14B0"/>
    <w:rsid w:val="001B1623"/>
    <w:rsid w:val="001B1683"/>
    <w:rsid w:val="001B1B99"/>
    <w:rsid w:val="001B1C91"/>
    <w:rsid w:val="001B1D60"/>
    <w:rsid w:val="001B1E42"/>
    <w:rsid w:val="001B1F21"/>
    <w:rsid w:val="001B1F63"/>
    <w:rsid w:val="001B2070"/>
    <w:rsid w:val="001B2089"/>
    <w:rsid w:val="001B2160"/>
    <w:rsid w:val="001B220B"/>
    <w:rsid w:val="001B225C"/>
    <w:rsid w:val="001B22E9"/>
    <w:rsid w:val="001B22EE"/>
    <w:rsid w:val="001B244D"/>
    <w:rsid w:val="001B246A"/>
    <w:rsid w:val="001B246B"/>
    <w:rsid w:val="001B24E9"/>
    <w:rsid w:val="001B2656"/>
    <w:rsid w:val="001B265A"/>
    <w:rsid w:val="001B2800"/>
    <w:rsid w:val="001B281C"/>
    <w:rsid w:val="001B291B"/>
    <w:rsid w:val="001B294B"/>
    <w:rsid w:val="001B2A29"/>
    <w:rsid w:val="001B2A38"/>
    <w:rsid w:val="001B2FE3"/>
    <w:rsid w:val="001B30ED"/>
    <w:rsid w:val="001B3298"/>
    <w:rsid w:val="001B3397"/>
    <w:rsid w:val="001B3405"/>
    <w:rsid w:val="001B34A0"/>
    <w:rsid w:val="001B360A"/>
    <w:rsid w:val="001B39EB"/>
    <w:rsid w:val="001B3BBC"/>
    <w:rsid w:val="001B3BFD"/>
    <w:rsid w:val="001B3C0A"/>
    <w:rsid w:val="001B3C29"/>
    <w:rsid w:val="001B3D6F"/>
    <w:rsid w:val="001B4152"/>
    <w:rsid w:val="001B422D"/>
    <w:rsid w:val="001B42D8"/>
    <w:rsid w:val="001B42F1"/>
    <w:rsid w:val="001B432E"/>
    <w:rsid w:val="001B44F0"/>
    <w:rsid w:val="001B4804"/>
    <w:rsid w:val="001B48C2"/>
    <w:rsid w:val="001B4E3E"/>
    <w:rsid w:val="001B4EE9"/>
    <w:rsid w:val="001B5010"/>
    <w:rsid w:val="001B506B"/>
    <w:rsid w:val="001B5121"/>
    <w:rsid w:val="001B51D6"/>
    <w:rsid w:val="001B54A9"/>
    <w:rsid w:val="001B54F0"/>
    <w:rsid w:val="001B56C1"/>
    <w:rsid w:val="001B56FA"/>
    <w:rsid w:val="001B5886"/>
    <w:rsid w:val="001B58CD"/>
    <w:rsid w:val="001B597A"/>
    <w:rsid w:val="001B5A56"/>
    <w:rsid w:val="001B5AB4"/>
    <w:rsid w:val="001B5B25"/>
    <w:rsid w:val="001B5B3B"/>
    <w:rsid w:val="001B5CC7"/>
    <w:rsid w:val="001B5E97"/>
    <w:rsid w:val="001B6206"/>
    <w:rsid w:val="001B624D"/>
    <w:rsid w:val="001B62D4"/>
    <w:rsid w:val="001B632C"/>
    <w:rsid w:val="001B64BE"/>
    <w:rsid w:val="001B64C8"/>
    <w:rsid w:val="001B66F6"/>
    <w:rsid w:val="001B6983"/>
    <w:rsid w:val="001B6CF1"/>
    <w:rsid w:val="001B6DAE"/>
    <w:rsid w:val="001B6E13"/>
    <w:rsid w:val="001B6E7B"/>
    <w:rsid w:val="001B6FF5"/>
    <w:rsid w:val="001B7076"/>
    <w:rsid w:val="001B716F"/>
    <w:rsid w:val="001B71DC"/>
    <w:rsid w:val="001B7443"/>
    <w:rsid w:val="001B76BF"/>
    <w:rsid w:val="001B77EF"/>
    <w:rsid w:val="001B7838"/>
    <w:rsid w:val="001B7903"/>
    <w:rsid w:val="001B798D"/>
    <w:rsid w:val="001B7A44"/>
    <w:rsid w:val="001B7B4F"/>
    <w:rsid w:val="001B7C58"/>
    <w:rsid w:val="001B7E07"/>
    <w:rsid w:val="001C0085"/>
    <w:rsid w:val="001C0115"/>
    <w:rsid w:val="001C01EC"/>
    <w:rsid w:val="001C0261"/>
    <w:rsid w:val="001C070F"/>
    <w:rsid w:val="001C08DF"/>
    <w:rsid w:val="001C0A35"/>
    <w:rsid w:val="001C0ADC"/>
    <w:rsid w:val="001C0FA4"/>
    <w:rsid w:val="001C10CB"/>
    <w:rsid w:val="001C12B0"/>
    <w:rsid w:val="001C13C7"/>
    <w:rsid w:val="001C13F5"/>
    <w:rsid w:val="001C1431"/>
    <w:rsid w:val="001C1580"/>
    <w:rsid w:val="001C160C"/>
    <w:rsid w:val="001C16EF"/>
    <w:rsid w:val="001C1B05"/>
    <w:rsid w:val="001C1BD7"/>
    <w:rsid w:val="001C1CC1"/>
    <w:rsid w:val="001C1EB0"/>
    <w:rsid w:val="001C1F0F"/>
    <w:rsid w:val="001C1FEC"/>
    <w:rsid w:val="001C20DB"/>
    <w:rsid w:val="001C24DC"/>
    <w:rsid w:val="001C255D"/>
    <w:rsid w:val="001C279F"/>
    <w:rsid w:val="001C2B04"/>
    <w:rsid w:val="001C2C61"/>
    <w:rsid w:val="001C2DEB"/>
    <w:rsid w:val="001C2E71"/>
    <w:rsid w:val="001C30AB"/>
    <w:rsid w:val="001C3791"/>
    <w:rsid w:val="001C3878"/>
    <w:rsid w:val="001C3951"/>
    <w:rsid w:val="001C3971"/>
    <w:rsid w:val="001C3A8E"/>
    <w:rsid w:val="001C3BCB"/>
    <w:rsid w:val="001C3CD7"/>
    <w:rsid w:val="001C3D3C"/>
    <w:rsid w:val="001C406F"/>
    <w:rsid w:val="001C4657"/>
    <w:rsid w:val="001C48C0"/>
    <w:rsid w:val="001C4AA3"/>
    <w:rsid w:val="001C4CD6"/>
    <w:rsid w:val="001C4F8D"/>
    <w:rsid w:val="001C53E4"/>
    <w:rsid w:val="001C5538"/>
    <w:rsid w:val="001C55C4"/>
    <w:rsid w:val="001C57F8"/>
    <w:rsid w:val="001C5841"/>
    <w:rsid w:val="001C5B9C"/>
    <w:rsid w:val="001C5BD8"/>
    <w:rsid w:val="001C5FD8"/>
    <w:rsid w:val="001C6299"/>
    <w:rsid w:val="001C6375"/>
    <w:rsid w:val="001C647E"/>
    <w:rsid w:val="001C649B"/>
    <w:rsid w:val="001C65B0"/>
    <w:rsid w:val="001C6708"/>
    <w:rsid w:val="001C6884"/>
    <w:rsid w:val="001C6CE9"/>
    <w:rsid w:val="001C6DB1"/>
    <w:rsid w:val="001C6F72"/>
    <w:rsid w:val="001C6FA8"/>
    <w:rsid w:val="001C70EA"/>
    <w:rsid w:val="001C726C"/>
    <w:rsid w:val="001C73B6"/>
    <w:rsid w:val="001C74D7"/>
    <w:rsid w:val="001C74FF"/>
    <w:rsid w:val="001C752C"/>
    <w:rsid w:val="001C755F"/>
    <w:rsid w:val="001C767C"/>
    <w:rsid w:val="001C76FA"/>
    <w:rsid w:val="001C7904"/>
    <w:rsid w:val="001C796C"/>
    <w:rsid w:val="001C79F7"/>
    <w:rsid w:val="001C7B0A"/>
    <w:rsid w:val="001C7D65"/>
    <w:rsid w:val="001D01A1"/>
    <w:rsid w:val="001D042B"/>
    <w:rsid w:val="001D04DE"/>
    <w:rsid w:val="001D059F"/>
    <w:rsid w:val="001D0600"/>
    <w:rsid w:val="001D08B7"/>
    <w:rsid w:val="001D09ED"/>
    <w:rsid w:val="001D0B41"/>
    <w:rsid w:val="001D0B4E"/>
    <w:rsid w:val="001D0D83"/>
    <w:rsid w:val="001D0EF8"/>
    <w:rsid w:val="001D1170"/>
    <w:rsid w:val="001D118C"/>
    <w:rsid w:val="001D158E"/>
    <w:rsid w:val="001D1617"/>
    <w:rsid w:val="001D1713"/>
    <w:rsid w:val="001D1747"/>
    <w:rsid w:val="001D181F"/>
    <w:rsid w:val="001D196A"/>
    <w:rsid w:val="001D1B4D"/>
    <w:rsid w:val="001D1BB8"/>
    <w:rsid w:val="001D1DF7"/>
    <w:rsid w:val="001D2104"/>
    <w:rsid w:val="001D222D"/>
    <w:rsid w:val="001D2348"/>
    <w:rsid w:val="001D234A"/>
    <w:rsid w:val="001D24BA"/>
    <w:rsid w:val="001D2514"/>
    <w:rsid w:val="001D299F"/>
    <w:rsid w:val="001D2A94"/>
    <w:rsid w:val="001D2D4D"/>
    <w:rsid w:val="001D3419"/>
    <w:rsid w:val="001D39DD"/>
    <w:rsid w:val="001D3CE8"/>
    <w:rsid w:val="001D3D2D"/>
    <w:rsid w:val="001D3D78"/>
    <w:rsid w:val="001D3DA7"/>
    <w:rsid w:val="001D3F92"/>
    <w:rsid w:val="001D40EC"/>
    <w:rsid w:val="001D4185"/>
    <w:rsid w:val="001D44AA"/>
    <w:rsid w:val="001D4614"/>
    <w:rsid w:val="001D46F7"/>
    <w:rsid w:val="001D4872"/>
    <w:rsid w:val="001D4905"/>
    <w:rsid w:val="001D4C44"/>
    <w:rsid w:val="001D4EF2"/>
    <w:rsid w:val="001D4FB0"/>
    <w:rsid w:val="001D5292"/>
    <w:rsid w:val="001D52E3"/>
    <w:rsid w:val="001D53E2"/>
    <w:rsid w:val="001D5400"/>
    <w:rsid w:val="001D54BD"/>
    <w:rsid w:val="001D590F"/>
    <w:rsid w:val="001D598B"/>
    <w:rsid w:val="001D5A6F"/>
    <w:rsid w:val="001D5A94"/>
    <w:rsid w:val="001D5CF4"/>
    <w:rsid w:val="001D5F47"/>
    <w:rsid w:val="001D607E"/>
    <w:rsid w:val="001D62C9"/>
    <w:rsid w:val="001D62D1"/>
    <w:rsid w:val="001D63A1"/>
    <w:rsid w:val="001D6670"/>
    <w:rsid w:val="001D6794"/>
    <w:rsid w:val="001D6873"/>
    <w:rsid w:val="001D68C8"/>
    <w:rsid w:val="001D6A34"/>
    <w:rsid w:val="001D6FAA"/>
    <w:rsid w:val="001D7038"/>
    <w:rsid w:val="001D73F2"/>
    <w:rsid w:val="001D7605"/>
    <w:rsid w:val="001D7718"/>
    <w:rsid w:val="001D7921"/>
    <w:rsid w:val="001D7A0C"/>
    <w:rsid w:val="001D7B93"/>
    <w:rsid w:val="001D7C03"/>
    <w:rsid w:val="001D7D08"/>
    <w:rsid w:val="001D7D83"/>
    <w:rsid w:val="001D7DC1"/>
    <w:rsid w:val="001D7F67"/>
    <w:rsid w:val="001E028A"/>
    <w:rsid w:val="001E02DA"/>
    <w:rsid w:val="001E03D0"/>
    <w:rsid w:val="001E0473"/>
    <w:rsid w:val="001E0483"/>
    <w:rsid w:val="001E057B"/>
    <w:rsid w:val="001E083F"/>
    <w:rsid w:val="001E08C9"/>
    <w:rsid w:val="001E08DC"/>
    <w:rsid w:val="001E09E9"/>
    <w:rsid w:val="001E09F3"/>
    <w:rsid w:val="001E0CE5"/>
    <w:rsid w:val="001E0DD8"/>
    <w:rsid w:val="001E0E6F"/>
    <w:rsid w:val="001E0E97"/>
    <w:rsid w:val="001E0E9D"/>
    <w:rsid w:val="001E0EA2"/>
    <w:rsid w:val="001E0EDD"/>
    <w:rsid w:val="001E0F5C"/>
    <w:rsid w:val="001E111B"/>
    <w:rsid w:val="001E11AB"/>
    <w:rsid w:val="001E13BA"/>
    <w:rsid w:val="001E13C3"/>
    <w:rsid w:val="001E149E"/>
    <w:rsid w:val="001E156F"/>
    <w:rsid w:val="001E1833"/>
    <w:rsid w:val="001E1859"/>
    <w:rsid w:val="001E199D"/>
    <w:rsid w:val="001E1CC6"/>
    <w:rsid w:val="001E1CE6"/>
    <w:rsid w:val="001E1D90"/>
    <w:rsid w:val="001E1E37"/>
    <w:rsid w:val="001E1EF1"/>
    <w:rsid w:val="001E2102"/>
    <w:rsid w:val="001E22AF"/>
    <w:rsid w:val="001E22B1"/>
    <w:rsid w:val="001E22D9"/>
    <w:rsid w:val="001E27D5"/>
    <w:rsid w:val="001E280D"/>
    <w:rsid w:val="001E28B5"/>
    <w:rsid w:val="001E2922"/>
    <w:rsid w:val="001E2AEB"/>
    <w:rsid w:val="001E2C60"/>
    <w:rsid w:val="001E2CE1"/>
    <w:rsid w:val="001E2FEF"/>
    <w:rsid w:val="001E30FC"/>
    <w:rsid w:val="001E332F"/>
    <w:rsid w:val="001E3340"/>
    <w:rsid w:val="001E33B3"/>
    <w:rsid w:val="001E347A"/>
    <w:rsid w:val="001E350A"/>
    <w:rsid w:val="001E3568"/>
    <w:rsid w:val="001E3681"/>
    <w:rsid w:val="001E3870"/>
    <w:rsid w:val="001E3C4C"/>
    <w:rsid w:val="001E3E82"/>
    <w:rsid w:val="001E3FF5"/>
    <w:rsid w:val="001E40A9"/>
    <w:rsid w:val="001E40D0"/>
    <w:rsid w:val="001E41FD"/>
    <w:rsid w:val="001E4396"/>
    <w:rsid w:val="001E460B"/>
    <w:rsid w:val="001E464A"/>
    <w:rsid w:val="001E48E9"/>
    <w:rsid w:val="001E4A99"/>
    <w:rsid w:val="001E4D8B"/>
    <w:rsid w:val="001E51E6"/>
    <w:rsid w:val="001E5209"/>
    <w:rsid w:val="001E52BB"/>
    <w:rsid w:val="001E5B04"/>
    <w:rsid w:val="001E5B29"/>
    <w:rsid w:val="001E62C5"/>
    <w:rsid w:val="001E6714"/>
    <w:rsid w:val="001E676C"/>
    <w:rsid w:val="001E6860"/>
    <w:rsid w:val="001E6CE1"/>
    <w:rsid w:val="001E6D52"/>
    <w:rsid w:val="001E6E6F"/>
    <w:rsid w:val="001E6E95"/>
    <w:rsid w:val="001E6EDF"/>
    <w:rsid w:val="001E6EF3"/>
    <w:rsid w:val="001E7054"/>
    <w:rsid w:val="001E7083"/>
    <w:rsid w:val="001E7094"/>
    <w:rsid w:val="001E723D"/>
    <w:rsid w:val="001E742D"/>
    <w:rsid w:val="001E76B5"/>
    <w:rsid w:val="001E7842"/>
    <w:rsid w:val="001E7B6E"/>
    <w:rsid w:val="001E7C38"/>
    <w:rsid w:val="001E7DDF"/>
    <w:rsid w:val="001E7E86"/>
    <w:rsid w:val="001E7EA1"/>
    <w:rsid w:val="001E7F69"/>
    <w:rsid w:val="001E7F70"/>
    <w:rsid w:val="001F027E"/>
    <w:rsid w:val="001F0286"/>
    <w:rsid w:val="001F0464"/>
    <w:rsid w:val="001F0565"/>
    <w:rsid w:val="001F058B"/>
    <w:rsid w:val="001F0842"/>
    <w:rsid w:val="001F0943"/>
    <w:rsid w:val="001F0994"/>
    <w:rsid w:val="001F09EB"/>
    <w:rsid w:val="001F0A61"/>
    <w:rsid w:val="001F0AD7"/>
    <w:rsid w:val="001F0B5F"/>
    <w:rsid w:val="001F0D30"/>
    <w:rsid w:val="001F1047"/>
    <w:rsid w:val="001F123E"/>
    <w:rsid w:val="001F13B0"/>
    <w:rsid w:val="001F143D"/>
    <w:rsid w:val="001F184C"/>
    <w:rsid w:val="001F1A7C"/>
    <w:rsid w:val="001F1AB7"/>
    <w:rsid w:val="001F1CC6"/>
    <w:rsid w:val="001F1D26"/>
    <w:rsid w:val="001F1DF7"/>
    <w:rsid w:val="001F2003"/>
    <w:rsid w:val="001F27E4"/>
    <w:rsid w:val="001F2894"/>
    <w:rsid w:val="001F2A64"/>
    <w:rsid w:val="001F2BE4"/>
    <w:rsid w:val="001F2DD5"/>
    <w:rsid w:val="001F31A0"/>
    <w:rsid w:val="001F3223"/>
    <w:rsid w:val="001F3250"/>
    <w:rsid w:val="001F326C"/>
    <w:rsid w:val="001F330D"/>
    <w:rsid w:val="001F34A1"/>
    <w:rsid w:val="001F365D"/>
    <w:rsid w:val="001F379E"/>
    <w:rsid w:val="001F37E7"/>
    <w:rsid w:val="001F3AF5"/>
    <w:rsid w:val="001F3DA5"/>
    <w:rsid w:val="001F3EDB"/>
    <w:rsid w:val="001F40F6"/>
    <w:rsid w:val="001F413D"/>
    <w:rsid w:val="001F4204"/>
    <w:rsid w:val="001F42B7"/>
    <w:rsid w:val="001F4303"/>
    <w:rsid w:val="001F434A"/>
    <w:rsid w:val="001F43D2"/>
    <w:rsid w:val="001F44CA"/>
    <w:rsid w:val="001F45EB"/>
    <w:rsid w:val="001F48D1"/>
    <w:rsid w:val="001F4927"/>
    <w:rsid w:val="001F4B1F"/>
    <w:rsid w:val="001F4C39"/>
    <w:rsid w:val="001F4CA8"/>
    <w:rsid w:val="001F4DE0"/>
    <w:rsid w:val="001F4FF0"/>
    <w:rsid w:val="001F5111"/>
    <w:rsid w:val="001F512A"/>
    <w:rsid w:val="001F537F"/>
    <w:rsid w:val="001F544A"/>
    <w:rsid w:val="001F54E2"/>
    <w:rsid w:val="001F54E4"/>
    <w:rsid w:val="001F5611"/>
    <w:rsid w:val="001F574A"/>
    <w:rsid w:val="001F5773"/>
    <w:rsid w:val="001F5926"/>
    <w:rsid w:val="001F5D2B"/>
    <w:rsid w:val="001F5E09"/>
    <w:rsid w:val="001F5F27"/>
    <w:rsid w:val="001F5F9C"/>
    <w:rsid w:val="001F603B"/>
    <w:rsid w:val="001F60B4"/>
    <w:rsid w:val="001F6115"/>
    <w:rsid w:val="001F6136"/>
    <w:rsid w:val="001F6175"/>
    <w:rsid w:val="001F6300"/>
    <w:rsid w:val="001F6827"/>
    <w:rsid w:val="001F69A9"/>
    <w:rsid w:val="001F6ABD"/>
    <w:rsid w:val="001F6B3B"/>
    <w:rsid w:val="001F6E0D"/>
    <w:rsid w:val="001F704F"/>
    <w:rsid w:val="001F709B"/>
    <w:rsid w:val="001F724F"/>
    <w:rsid w:val="001F7287"/>
    <w:rsid w:val="001F7418"/>
    <w:rsid w:val="001F75A5"/>
    <w:rsid w:val="001F76E8"/>
    <w:rsid w:val="001F76F7"/>
    <w:rsid w:val="001F78B9"/>
    <w:rsid w:val="001F7B73"/>
    <w:rsid w:val="001F7CAC"/>
    <w:rsid w:val="001F7DCB"/>
    <w:rsid w:val="001F7F1B"/>
    <w:rsid w:val="001F7F93"/>
    <w:rsid w:val="00200311"/>
    <w:rsid w:val="00200335"/>
    <w:rsid w:val="00200342"/>
    <w:rsid w:val="0020040D"/>
    <w:rsid w:val="00200438"/>
    <w:rsid w:val="0020055A"/>
    <w:rsid w:val="00200614"/>
    <w:rsid w:val="002006E5"/>
    <w:rsid w:val="00200763"/>
    <w:rsid w:val="0020080F"/>
    <w:rsid w:val="00200A27"/>
    <w:rsid w:val="00200AAA"/>
    <w:rsid w:val="00200B65"/>
    <w:rsid w:val="00200BA1"/>
    <w:rsid w:val="00200CDC"/>
    <w:rsid w:val="00200CDE"/>
    <w:rsid w:val="00200DD3"/>
    <w:rsid w:val="00200F05"/>
    <w:rsid w:val="00200F98"/>
    <w:rsid w:val="00201494"/>
    <w:rsid w:val="0020160D"/>
    <w:rsid w:val="002017F3"/>
    <w:rsid w:val="00201B8A"/>
    <w:rsid w:val="00201C8A"/>
    <w:rsid w:val="00201EDE"/>
    <w:rsid w:val="00201F39"/>
    <w:rsid w:val="002025A8"/>
    <w:rsid w:val="00202888"/>
    <w:rsid w:val="0020296A"/>
    <w:rsid w:val="00202DE4"/>
    <w:rsid w:val="002031EE"/>
    <w:rsid w:val="002032DD"/>
    <w:rsid w:val="00203323"/>
    <w:rsid w:val="0020336A"/>
    <w:rsid w:val="00203485"/>
    <w:rsid w:val="002035C2"/>
    <w:rsid w:val="00203764"/>
    <w:rsid w:val="002039E5"/>
    <w:rsid w:val="00203AE9"/>
    <w:rsid w:val="00203BC3"/>
    <w:rsid w:val="00203E9A"/>
    <w:rsid w:val="00203FA1"/>
    <w:rsid w:val="00204026"/>
    <w:rsid w:val="002041EF"/>
    <w:rsid w:val="002042EB"/>
    <w:rsid w:val="00204536"/>
    <w:rsid w:val="002046B0"/>
    <w:rsid w:val="00204862"/>
    <w:rsid w:val="00204A6F"/>
    <w:rsid w:val="00204A8C"/>
    <w:rsid w:val="00204AA1"/>
    <w:rsid w:val="00204B6F"/>
    <w:rsid w:val="00204CB9"/>
    <w:rsid w:val="00204FEA"/>
    <w:rsid w:val="00205207"/>
    <w:rsid w:val="00205262"/>
    <w:rsid w:val="002052AD"/>
    <w:rsid w:val="00205321"/>
    <w:rsid w:val="00205947"/>
    <w:rsid w:val="00205A32"/>
    <w:rsid w:val="00205A8D"/>
    <w:rsid w:val="00205E8E"/>
    <w:rsid w:val="002060F0"/>
    <w:rsid w:val="00206108"/>
    <w:rsid w:val="0020618C"/>
    <w:rsid w:val="002067C2"/>
    <w:rsid w:val="00206A4B"/>
    <w:rsid w:val="00206F89"/>
    <w:rsid w:val="00206FFC"/>
    <w:rsid w:val="00207360"/>
    <w:rsid w:val="00207764"/>
    <w:rsid w:val="00207822"/>
    <w:rsid w:val="00207826"/>
    <w:rsid w:val="002078C2"/>
    <w:rsid w:val="00207A60"/>
    <w:rsid w:val="00207B2B"/>
    <w:rsid w:val="00207DB9"/>
    <w:rsid w:val="00207FB8"/>
    <w:rsid w:val="00210028"/>
    <w:rsid w:val="0021011E"/>
    <w:rsid w:val="00210590"/>
    <w:rsid w:val="00210AD3"/>
    <w:rsid w:val="00210C42"/>
    <w:rsid w:val="00210C72"/>
    <w:rsid w:val="00210CEA"/>
    <w:rsid w:val="00210ECE"/>
    <w:rsid w:val="00210F05"/>
    <w:rsid w:val="002110BE"/>
    <w:rsid w:val="002110C9"/>
    <w:rsid w:val="00211465"/>
    <w:rsid w:val="002117D1"/>
    <w:rsid w:val="00211852"/>
    <w:rsid w:val="0021196B"/>
    <w:rsid w:val="00211A39"/>
    <w:rsid w:val="00211B68"/>
    <w:rsid w:val="00211B9C"/>
    <w:rsid w:val="00211EEF"/>
    <w:rsid w:val="00211F7F"/>
    <w:rsid w:val="0021214F"/>
    <w:rsid w:val="00212497"/>
    <w:rsid w:val="002124CD"/>
    <w:rsid w:val="00212771"/>
    <w:rsid w:val="002129BD"/>
    <w:rsid w:val="00212A16"/>
    <w:rsid w:val="00212BE9"/>
    <w:rsid w:val="00212DA9"/>
    <w:rsid w:val="00213042"/>
    <w:rsid w:val="0021312C"/>
    <w:rsid w:val="002131F3"/>
    <w:rsid w:val="0021331F"/>
    <w:rsid w:val="00213324"/>
    <w:rsid w:val="00213336"/>
    <w:rsid w:val="0021354F"/>
    <w:rsid w:val="002135E4"/>
    <w:rsid w:val="00213703"/>
    <w:rsid w:val="002139EC"/>
    <w:rsid w:val="00213B70"/>
    <w:rsid w:val="00213BA9"/>
    <w:rsid w:val="00213C78"/>
    <w:rsid w:val="00213CAD"/>
    <w:rsid w:val="00213D1F"/>
    <w:rsid w:val="00213DC7"/>
    <w:rsid w:val="00213FA4"/>
    <w:rsid w:val="0021401A"/>
    <w:rsid w:val="002140D3"/>
    <w:rsid w:val="002143E1"/>
    <w:rsid w:val="00214492"/>
    <w:rsid w:val="0021450D"/>
    <w:rsid w:val="0021452D"/>
    <w:rsid w:val="00214666"/>
    <w:rsid w:val="00214714"/>
    <w:rsid w:val="00214796"/>
    <w:rsid w:val="002148EB"/>
    <w:rsid w:val="00214936"/>
    <w:rsid w:val="00214B4E"/>
    <w:rsid w:val="00214BBC"/>
    <w:rsid w:val="00214C14"/>
    <w:rsid w:val="00214E78"/>
    <w:rsid w:val="002151BB"/>
    <w:rsid w:val="00215205"/>
    <w:rsid w:val="0021521E"/>
    <w:rsid w:val="002153B8"/>
    <w:rsid w:val="0021544A"/>
    <w:rsid w:val="00215604"/>
    <w:rsid w:val="002156C4"/>
    <w:rsid w:val="00215734"/>
    <w:rsid w:val="0021576F"/>
    <w:rsid w:val="00215A41"/>
    <w:rsid w:val="00215A54"/>
    <w:rsid w:val="00215B94"/>
    <w:rsid w:val="00215C43"/>
    <w:rsid w:val="00215D07"/>
    <w:rsid w:val="00215D2A"/>
    <w:rsid w:val="002162F9"/>
    <w:rsid w:val="0021639C"/>
    <w:rsid w:val="002163ED"/>
    <w:rsid w:val="00216499"/>
    <w:rsid w:val="0021661A"/>
    <w:rsid w:val="00216986"/>
    <w:rsid w:val="002169A8"/>
    <w:rsid w:val="002169F8"/>
    <w:rsid w:val="00216EC9"/>
    <w:rsid w:val="00217003"/>
    <w:rsid w:val="00217007"/>
    <w:rsid w:val="0021701E"/>
    <w:rsid w:val="002172A9"/>
    <w:rsid w:val="00217384"/>
    <w:rsid w:val="0021756C"/>
    <w:rsid w:val="00217702"/>
    <w:rsid w:val="002178AD"/>
    <w:rsid w:val="00217915"/>
    <w:rsid w:val="00217971"/>
    <w:rsid w:val="00217AED"/>
    <w:rsid w:val="00217BDF"/>
    <w:rsid w:val="00217BF5"/>
    <w:rsid w:val="00217DA4"/>
    <w:rsid w:val="00217EB3"/>
    <w:rsid w:val="00217FB7"/>
    <w:rsid w:val="00220482"/>
    <w:rsid w:val="0022070A"/>
    <w:rsid w:val="0022076D"/>
    <w:rsid w:val="002208F8"/>
    <w:rsid w:val="00220920"/>
    <w:rsid w:val="00220E8D"/>
    <w:rsid w:val="00220F4D"/>
    <w:rsid w:val="002211C1"/>
    <w:rsid w:val="00221418"/>
    <w:rsid w:val="00221560"/>
    <w:rsid w:val="0022157D"/>
    <w:rsid w:val="0022161F"/>
    <w:rsid w:val="00221DB5"/>
    <w:rsid w:val="00221E85"/>
    <w:rsid w:val="00221FBF"/>
    <w:rsid w:val="00222130"/>
    <w:rsid w:val="00222330"/>
    <w:rsid w:val="0022234B"/>
    <w:rsid w:val="0022239E"/>
    <w:rsid w:val="00222893"/>
    <w:rsid w:val="0022297A"/>
    <w:rsid w:val="00222B9A"/>
    <w:rsid w:val="00222E62"/>
    <w:rsid w:val="00223225"/>
    <w:rsid w:val="0022326E"/>
    <w:rsid w:val="00223299"/>
    <w:rsid w:val="002236C6"/>
    <w:rsid w:val="002239EB"/>
    <w:rsid w:val="00223B0D"/>
    <w:rsid w:val="00223E58"/>
    <w:rsid w:val="00224141"/>
    <w:rsid w:val="00224156"/>
    <w:rsid w:val="002241C7"/>
    <w:rsid w:val="00224271"/>
    <w:rsid w:val="002242E3"/>
    <w:rsid w:val="0022439F"/>
    <w:rsid w:val="0022443F"/>
    <w:rsid w:val="00224449"/>
    <w:rsid w:val="00224754"/>
    <w:rsid w:val="00224895"/>
    <w:rsid w:val="002248B3"/>
    <w:rsid w:val="00224A78"/>
    <w:rsid w:val="00224B13"/>
    <w:rsid w:val="00224BB8"/>
    <w:rsid w:val="00224C33"/>
    <w:rsid w:val="00224C4E"/>
    <w:rsid w:val="00225000"/>
    <w:rsid w:val="0022518A"/>
    <w:rsid w:val="0022547A"/>
    <w:rsid w:val="0022554F"/>
    <w:rsid w:val="002255CB"/>
    <w:rsid w:val="002255D8"/>
    <w:rsid w:val="002257C3"/>
    <w:rsid w:val="00225A80"/>
    <w:rsid w:val="00225B67"/>
    <w:rsid w:val="00225BB7"/>
    <w:rsid w:val="00225C2F"/>
    <w:rsid w:val="00225D80"/>
    <w:rsid w:val="00225F13"/>
    <w:rsid w:val="00226001"/>
    <w:rsid w:val="0022657F"/>
    <w:rsid w:val="002265FE"/>
    <w:rsid w:val="0022660E"/>
    <w:rsid w:val="002266E5"/>
    <w:rsid w:val="00226927"/>
    <w:rsid w:val="00226B5B"/>
    <w:rsid w:val="00226CE0"/>
    <w:rsid w:val="00226CF2"/>
    <w:rsid w:val="0022703D"/>
    <w:rsid w:val="002270B8"/>
    <w:rsid w:val="00227105"/>
    <w:rsid w:val="0022710A"/>
    <w:rsid w:val="0022723A"/>
    <w:rsid w:val="00227409"/>
    <w:rsid w:val="0022743B"/>
    <w:rsid w:val="00227526"/>
    <w:rsid w:val="0022776D"/>
    <w:rsid w:val="00227A2B"/>
    <w:rsid w:val="00227C41"/>
    <w:rsid w:val="00227EC1"/>
    <w:rsid w:val="00227FAA"/>
    <w:rsid w:val="00230443"/>
    <w:rsid w:val="00230485"/>
    <w:rsid w:val="002306A5"/>
    <w:rsid w:val="002306A6"/>
    <w:rsid w:val="00230DA8"/>
    <w:rsid w:val="00230F62"/>
    <w:rsid w:val="00230FCF"/>
    <w:rsid w:val="00231154"/>
    <w:rsid w:val="002311CB"/>
    <w:rsid w:val="002312DB"/>
    <w:rsid w:val="002314D6"/>
    <w:rsid w:val="0023189F"/>
    <w:rsid w:val="00231996"/>
    <w:rsid w:val="002320DF"/>
    <w:rsid w:val="002321CB"/>
    <w:rsid w:val="0023228E"/>
    <w:rsid w:val="002322CE"/>
    <w:rsid w:val="00232372"/>
    <w:rsid w:val="00232473"/>
    <w:rsid w:val="002326A8"/>
    <w:rsid w:val="00232750"/>
    <w:rsid w:val="0023275B"/>
    <w:rsid w:val="002327DB"/>
    <w:rsid w:val="0023292F"/>
    <w:rsid w:val="00232AE1"/>
    <w:rsid w:val="00232AF6"/>
    <w:rsid w:val="00232B28"/>
    <w:rsid w:val="00232CBA"/>
    <w:rsid w:val="00232F54"/>
    <w:rsid w:val="00232FCE"/>
    <w:rsid w:val="002333CE"/>
    <w:rsid w:val="0023347A"/>
    <w:rsid w:val="002335D4"/>
    <w:rsid w:val="00233841"/>
    <w:rsid w:val="002339DA"/>
    <w:rsid w:val="00233A7E"/>
    <w:rsid w:val="00233A94"/>
    <w:rsid w:val="0023402C"/>
    <w:rsid w:val="002342C0"/>
    <w:rsid w:val="002343D7"/>
    <w:rsid w:val="002343E0"/>
    <w:rsid w:val="002349D1"/>
    <w:rsid w:val="00234AB8"/>
    <w:rsid w:val="00234F15"/>
    <w:rsid w:val="00234FC0"/>
    <w:rsid w:val="0023524E"/>
    <w:rsid w:val="00235470"/>
    <w:rsid w:val="002355A9"/>
    <w:rsid w:val="002356CB"/>
    <w:rsid w:val="0023570C"/>
    <w:rsid w:val="00235A43"/>
    <w:rsid w:val="00235ACB"/>
    <w:rsid w:val="00235B11"/>
    <w:rsid w:val="00235B5C"/>
    <w:rsid w:val="00235D1D"/>
    <w:rsid w:val="002360E3"/>
    <w:rsid w:val="002362B1"/>
    <w:rsid w:val="002362E6"/>
    <w:rsid w:val="00236368"/>
    <w:rsid w:val="002363CF"/>
    <w:rsid w:val="0023641C"/>
    <w:rsid w:val="00236557"/>
    <w:rsid w:val="0023693A"/>
    <w:rsid w:val="002369B8"/>
    <w:rsid w:val="002369BD"/>
    <w:rsid w:val="00236A85"/>
    <w:rsid w:val="00236B83"/>
    <w:rsid w:val="00236C4C"/>
    <w:rsid w:val="00236E75"/>
    <w:rsid w:val="002371E0"/>
    <w:rsid w:val="00237362"/>
    <w:rsid w:val="0023741F"/>
    <w:rsid w:val="0023746B"/>
    <w:rsid w:val="002376F7"/>
    <w:rsid w:val="0023778D"/>
    <w:rsid w:val="00237899"/>
    <w:rsid w:val="002378AB"/>
    <w:rsid w:val="002379A7"/>
    <w:rsid w:val="00237AE3"/>
    <w:rsid w:val="00237F32"/>
    <w:rsid w:val="00237F4D"/>
    <w:rsid w:val="0024002B"/>
    <w:rsid w:val="00240293"/>
    <w:rsid w:val="002403EA"/>
    <w:rsid w:val="00240564"/>
    <w:rsid w:val="00240696"/>
    <w:rsid w:val="002406D3"/>
    <w:rsid w:val="002407A0"/>
    <w:rsid w:val="00240817"/>
    <w:rsid w:val="0024083C"/>
    <w:rsid w:val="0024094E"/>
    <w:rsid w:val="00240E53"/>
    <w:rsid w:val="002410CF"/>
    <w:rsid w:val="0024120F"/>
    <w:rsid w:val="00241293"/>
    <w:rsid w:val="002415A5"/>
    <w:rsid w:val="00241646"/>
    <w:rsid w:val="002416B7"/>
    <w:rsid w:val="002416C2"/>
    <w:rsid w:val="00241719"/>
    <w:rsid w:val="00241C3F"/>
    <w:rsid w:val="00241D1E"/>
    <w:rsid w:val="00241E72"/>
    <w:rsid w:val="00241E88"/>
    <w:rsid w:val="00241EDA"/>
    <w:rsid w:val="00242003"/>
    <w:rsid w:val="0024254B"/>
    <w:rsid w:val="0024267A"/>
    <w:rsid w:val="002428F0"/>
    <w:rsid w:val="00242D18"/>
    <w:rsid w:val="00242D9F"/>
    <w:rsid w:val="00242DBE"/>
    <w:rsid w:val="00242ECD"/>
    <w:rsid w:val="00243085"/>
    <w:rsid w:val="0024313E"/>
    <w:rsid w:val="002431F3"/>
    <w:rsid w:val="002432A3"/>
    <w:rsid w:val="002432C8"/>
    <w:rsid w:val="00243623"/>
    <w:rsid w:val="002438B6"/>
    <w:rsid w:val="0024395A"/>
    <w:rsid w:val="00243984"/>
    <w:rsid w:val="00243AAC"/>
    <w:rsid w:val="00243AC7"/>
    <w:rsid w:val="00243AC9"/>
    <w:rsid w:val="00243BAC"/>
    <w:rsid w:val="00243C1D"/>
    <w:rsid w:val="00243DA5"/>
    <w:rsid w:val="00243DCB"/>
    <w:rsid w:val="00243DCD"/>
    <w:rsid w:val="00243E2D"/>
    <w:rsid w:val="00243FC9"/>
    <w:rsid w:val="002444FE"/>
    <w:rsid w:val="0024455A"/>
    <w:rsid w:val="00244C49"/>
    <w:rsid w:val="00244D7D"/>
    <w:rsid w:val="00244D91"/>
    <w:rsid w:val="00244EE2"/>
    <w:rsid w:val="00244F23"/>
    <w:rsid w:val="00245268"/>
    <w:rsid w:val="0024576A"/>
    <w:rsid w:val="00245883"/>
    <w:rsid w:val="00245B94"/>
    <w:rsid w:val="00245F2C"/>
    <w:rsid w:val="00245F64"/>
    <w:rsid w:val="0024603F"/>
    <w:rsid w:val="00246110"/>
    <w:rsid w:val="00246266"/>
    <w:rsid w:val="0024626B"/>
    <w:rsid w:val="00246471"/>
    <w:rsid w:val="00246473"/>
    <w:rsid w:val="002466EC"/>
    <w:rsid w:val="002467BE"/>
    <w:rsid w:val="00246C34"/>
    <w:rsid w:val="00246CD2"/>
    <w:rsid w:val="00246D15"/>
    <w:rsid w:val="00246D6E"/>
    <w:rsid w:val="00246F4C"/>
    <w:rsid w:val="00246FE6"/>
    <w:rsid w:val="002470AD"/>
    <w:rsid w:val="002471F7"/>
    <w:rsid w:val="002474A8"/>
    <w:rsid w:val="0024761A"/>
    <w:rsid w:val="00247902"/>
    <w:rsid w:val="00247D79"/>
    <w:rsid w:val="00247E56"/>
    <w:rsid w:val="00247FA4"/>
    <w:rsid w:val="002501BD"/>
    <w:rsid w:val="0025020D"/>
    <w:rsid w:val="0025026A"/>
    <w:rsid w:val="002502D5"/>
    <w:rsid w:val="00250377"/>
    <w:rsid w:val="002503F2"/>
    <w:rsid w:val="00250497"/>
    <w:rsid w:val="00250501"/>
    <w:rsid w:val="002509D0"/>
    <w:rsid w:val="00250A71"/>
    <w:rsid w:val="00250CAA"/>
    <w:rsid w:val="00250D42"/>
    <w:rsid w:val="00250DD9"/>
    <w:rsid w:val="00251226"/>
    <w:rsid w:val="0025124F"/>
    <w:rsid w:val="00251F51"/>
    <w:rsid w:val="00251F8B"/>
    <w:rsid w:val="002520D6"/>
    <w:rsid w:val="00252314"/>
    <w:rsid w:val="00252443"/>
    <w:rsid w:val="00252537"/>
    <w:rsid w:val="00252650"/>
    <w:rsid w:val="0025276F"/>
    <w:rsid w:val="00252A55"/>
    <w:rsid w:val="00252B0C"/>
    <w:rsid w:val="00252BE4"/>
    <w:rsid w:val="00252D61"/>
    <w:rsid w:val="002531CF"/>
    <w:rsid w:val="002532DC"/>
    <w:rsid w:val="002532FC"/>
    <w:rsid w:val="002533C0"/>
    <w:rsid w:val="00253416"/>
    <w:rsid w:val="00253579"/>
    <w:rsid w:val="0025372B"/>
    <w:rsid w:val="00253743"/>
    <w:rsid w:val="002537A7"/>
    <w:rsid w:val="0025394F"/>
    <w:rsid w:val="00253A69"/>
    <w:rsid w:val="00253D1F"/>
    <w:rsid w:val="00253F00"/>
    <w:rsid w:val="002543F7"/>
    <w:rsid w:val="0025460C"/>
    <w:rsid w:val="00254775"/>
    <w:rsid w:val="0025487F"/>
    <w:rsid w:val="00254AF9"/>
    <w:rsid w:val="0025516A"/>
    <w:rsid w:val="00255170"/>
    <w:rsid w:val="002552FF"/>
    <w:rsid w:val="002553DF"/>
    <w:rsid w:val="00255507"/>
    <w:rsid w:val="002557AD"/>
    <w:rsid w:val="00255AC8"/>
    <w:rsid w:val="00255B2F"/>
    <w:rsid w:val="00255C61"/>
    <w:rsid w:val="00255E65"/>
    <w:rsid w:val="002560D2"/>
    <w:rsid w:val="00256219"/>
    <w:rsid w:val="0025621A"/>
    <w:rsid w:val="00256576"/>
    <w:rsid w:val="002565DF"/>
    <w:rsid w:val="0025668F"/>
    <w:rsid w:val="00256854"/>
    <w:rsid w:val="0025692B"/>
    <w:rsid w:val="00256DB6"/>
    <w:rsid w:val="00256FD9"/>
    <w:rsid w:val="0025700C"/>
    <w:rsid w:val="0025711F"/>
    <w:rsid w:val="00257548"/>
    <w:rsid w:val="0025768A"/>
    <w:rsid w:val="00257B72"/>
    <w:rsid w:val="00257BFF"/>
    <w:rsid w:val="00257CBF"/>
    <w:rsid w:val="00257F81"/>
    <w:rsid w:val="00260116"/>
    <w:rsid w:val="00260179"/>
    <w:rsid w:val="00260226"/>
    <w:rsid w:val="002602DB"/>
    <w:rsid w:val="00260391"/>
    <w:rsid w:val="002603E7"/>
    <w:rsid w:val="00260407"/>
    <w:rsid w:val="0026041C"/>
    <w:rsid w:val="0026060C"/>
    <w:rsid w:val="0026081F"/>
    <w:rsid w:val="00260899"/>
    <w:rsid w:val="00260A23"/>
    <w:rsid w:val="00260A7E"/>
    <w:rsid w:val="00260A8D"/>
    <w:rsid w:val="00260B62"/>
    <w:rsid w:val="00260D7D"/>
    <w:rsid w:val="00260D93"/>
    <w:rsid w:val="00260DC5"/>
    <w:rsid w:val="00260DFD"/>
    <w:rsid w:val="00260EA1"/>
    <w:rsid w:val="00260F36"/>
    <w:rsid w:val="002612D6"/>
    <w:rsid w:val="002612D9"/>
    <w:rsid w:val="00261315"/>
    <w:rsid w:val="0026155D"/>
    <w:rsid w:val="002615F9"/>
    <w:rsid w:val="0026186A"/>
    <w:rsid w:val="00261917"/>
    <w:rsid w:val="00261AFF"/>
    <w:rsid w:val="00261C60"/>
    <w:rsid w:val="00261C68"/>
    <w:rsid w:val="00261FD9"/>
    <w:rsid w:val="002620B8"/>
    <w:rsid w:val="002620CF"/>
    <w:rsid w:val="002621A4"/>
    <w:rsid w:val="002621A6"/>
    <w:rsid w:val="00262290"/>
    <w:rsid w:val="002624C8"/>
    <w:rsid w:val="002625D4"/>
    <w:rsid w:val="0026268C"/>
    <w:rsid w:val="002627ED"/>
    <w:rsid w:val="00262A8A"/>
    <w:rsid w:val="00262F38"/>
    <w:rsid w:val="00262F6A"/>
    <w:rsid w:val="0026316D"/>
    <w:rsid w:val="00263303"/>
    <w:rsid w:val="002633A9"/>
    <w:rsid w:val="002634E9"/>
    <w:rsid w:val="002635CD"/>
    <w:rsid w:val="002635F7"/>
    <w:rsid w:val="00263604"/>
    <w:rsid w:val="00263617"/>
    <w:rsid w:val="00263827"/>
    <w:rsid w:val="00263A69"/>
    <w:rsid w:val="00263B6B"/>
    <w:rsid w:val="00263B86"/>
    <w:rsid w:val="00263BDD"/>
    <w:rsid w:val="00263CB3"/>
    <w:rsid w:val="00263D8A"/>
    <w:rsid w:val="00263E07"/>
    <w:rsid w:val="00263E45"/>
    <w:rsid w:val="00263F58"/>
    <w:rsid w:val="002641E0"/>
    <w:rsid w:val="0026459B"/>
    <w:rsid w:val="002645EF"/>
    <w:rsid w:val="002646D7"/>
    <w:rsid w:val="002647F9"/>
    <w:rsid w:val="00264E13"/>
    <w:rsid w:val="00264F7E"/>
    <w:rsid w:val="00264FCD"/>
    <w:rsid w:val="00264FE7"/>
    <w:rsid w:val="00265015"/>
    <w:rsid w:val="002651A5"/>
    <w:rsid w:val="00265211"/>
    <w:rsid w:val="0026596B"/>
    <w:rsid w:val="00265A6E"/>
    <w:rsid w:val="00265CF1"/>
    <w:rsid w:val="00265D7B"/>
    <w:rsid w:val="0026603D"/>
    <w:rsid w:val="002660A1"/>
    <w:rsid w:val="0026611E"/>
    <w:rsid w:val="00266451"/>
    <w:rsid w:val="002667B5"/>
    <w:rsid w:val="002667FB"/>
    <w:rsid w:val="0026682D"/>
    <w:rsid w:val="0026688B"/>
    <w:rsid w:val="00266978"/>
    <w:rsid w:val="00266A2D"/>
    <w:rsid w:val="00266A31"/>
    <w:rsid w:val="00266AF0"/>
    <w:rsid w:val="00266B19"/>
    <w:rsid w:val="00266DA8"/>
    <w:rsid w:val="00266EAE"/>
    <w:rsid w:val="00266FF8"/>
    <w:rsid w:val="00267712"/>
    <w:rsid w:val="0026791A"/>
    <w:rsid w:val="00267AD9"/>
    <w:rsid w:val="00267BE1"/>
    <w:rsid w:val="00267E89"/>
    <w:rsid w:val="00270279"/>
    <w:rsid w:val="0027073A"/>
    <w:rsid w:val="002707CC"/>
    <w:rsid w:val="00270889"/>
    <w:rsid w:val="00270A09"/>
    <w:rsid w:val="00270AFF"/>
    <w:rsid w:val="00270B9E"/>
    <w:rsid w:val="00270F60"/>
    <w:rsid w:val="00270F61"/>
    <w:rsid w:val="00270F89"/>
    <w:rsid w:val="0027105D"/>
    <w:rsid w:val="002711AF"/>
    <w:rsid w:val="00271493"/>
    <w:rsid w:val="002714EF"/>
    <w:rsid w:val="00271637"/>
    <w:rsid w:val="00271648"/>
    <w:rsid w:val="002718AC"/>
    <w:rsid w:val="002719A8"/>
    <w:rsid w:val="00271B29"/>
    <w:rsid w:val="00271B82"/>
    <w:rsid w:val="00271C6D"/>
    <w:rsid w:val="00271D8B"/>
    <w:rsid w:val="00271EE3"/>
    <w:rsid w:val="00271F6A"/>
    <w:rsid w:val="00272038"/>
    <w:rsid w:val="0027229D"/>
    <w:rsid w:val="002722A8"/>
    <w:rsid w:val="002722EC"/>
    <w:rsid w:val="002723C5"/>
    <w:rsid w:val="00272575"/>
    <w:rsid w:val="002725DB"/>
    <w:rsid w:val="00272732"/>
    <w:rsid w:val="00272798"/>
    <w:rsid w:val="00272881"/>
    <w:rsid w:val="0027292C"/>
    <w:rsid w:val="00272B24"/>
    <w:rsid w:val="00272B79"/>
    <w:rsid w:val="00272D9A"/>
    <w:rsid w:val="00272DE1"/>
    <w:rsid w:val="00272E75"/>
    <w:rsid w:val="00273081"/>
    <w:rsid w:val="002730F3"/>
    <w:rsid w:val="00273282"/>
    <w:rsid w:val="002736B2"/>
    <w:rsid w:val="00273763"/>
    <w:rsid w:val="002739B6"/>
    <w:rsid w:val="00273B1A"/>
    <w:rsid w:val="00273B38"/>
    <w:rsid w:val="00273E83"/>
    <w:rsid w:val="00273ED6"/>
    <w:rsid w:val="002744B6"/>
    <w:rsid w:val="00274604"/>
    <w:rsid w:val="0027475E"/>
    <w:rsid w:val="00274CA5"/>
    <w:rsid w:val="00274DB3"/>
    <w:rsid w:val="00274EB0"/>
    <w:rsid w:val="00275251"/>
    <w:rsid w:val="00275277"/>
    <w:rsid w:val="00275348"/>
    <w:rsid w:val="002754C2"/>
    <w:rsid w:val="0027558B"/>
    <w:rsid w:val="0027568E"/>
    <w:rsid w:val="002756BD"/>
    <w:rsid w:val="00275867"/>
    <w:rsid w:val="002758FA"/>
    <w:rsid w:val="00275CA6"/>
    <w:rsid w:val="00275DF6"/>
    <w:rsid w:val="00275E75"/>
    <w:rsid w:val="00276151"/>
    <w:rsid w:val="00276400"/>
    <w:rsid w:val="0027665A"/>
    <w:rsid w:val="00276820"/>
    <w:rsid w:val="00276881"/>
    <w:rsid w:val="002769C1"/>
    <w:rsid w:val="00276C1B"/>
    <w:rsid w:val="00276CCF"/>
    <w:rsid w:val="00276D6D"/>
    <w:rsid w:val="00276E28"/>
    <w:rsid w:val="002771D1"/>
    <w:rsid w:val="002771DE"/>
    <w:rsid w:val="002779AF"/>
    <w:rsid w:val="00277B98"/>
    <w:rsid w:val="00277E3F"/>
    <w:rsid w:val="00277E98"/>
    <w:rsid w:val="0028000D"/>
    <w:rsid w:val="00280088"/>
    <w:rsid w:val="0028010B"/>
    <w:rsid w:val="002802DF"/>
    <w:rsid w:val="002804AD"/>
    <w:rsid w:val="0028057D"/>
    <w:rsid w:val="002805CA"/>
    <w:rsid w:val="00280635"/>
    <w:rsid w:val="0028066A"/>
    <w:rsid w:val="002807F7"/>
    <w:rsid w:val="00280808"/>
    <w:rsid w:val="00280AC3"/>
    <w:rsid w:val="00280B1B"/>
    <w:rsid w:val="00280D32"/>
    <w:rsid w:val="00280DC4"/>
    <w:rsid w:val="00280E08"/>
    <w:rsid w:val="00280EC7"/>
    <w:rsid w:val="00280F2B"/>
    <w:rsid w:val="0028105F"/>
    <w:rsid w:val="002810C1"/>
    <w:rsid w:val="002811CD"/>
    <w:rsid w:val="00281234"/>
    <w:rsid w:val="00281354"/>
    <w:rsid w:val="0028142B"/>
    <w:rsid w:val="00281468"/>
    <w:rsid w:val="00281585"/>
    <w:rsid w:val="002815DC"/>
    <w:rsid w:val="00281662"/>
    <w:rsid w:val="00281868"/>
    <w:rsid w:val="00281936"/>
    <w:rsid w:val="00281B58"/>
    <w:rsid w:val="00281BAC"/>
    <w:rsid w:val="002820E0"/>
    <w:rsid w:val="0028212C"/>
    <w:rsid w:val="0028249C"/>
    <w:rsid w:val="00282800"/>
    <w:rsid w:val="00282B45"/>
    <w:rsid w:val="00282DBD"/>
    <w:rsid w:val="00282DD2"/>
    <w:rsid w:val="00282E14"/>
    <w:rsid w:val="00282E5E"/>
    <w:rsid w:val="00282E72"/>
    <w:rsid w:val="00282E9B"/>
    <w:rsid w:val="0028301C"/>
    <w:rsid w:val="002830FF"/>
    <w:rsid w:val="0028311B"/>
    <w:rsid w:val="00283128"/>
    <w:rsid w:val="002834E3"/>
    <w:rsid w:val="0028363C"/>
    <w:rsid w:val="002836A7"/>
    <w:rsid w:val="002837B3"/>
    <w:rsid w:val="002839B2"/>
    <w:rsid w:val="00283A9E"/>
    <w:rsid w:val="00283C1C"/>
    <w:rsid w:val="00283CBC"/>
    <w:rsid w:val="00283D36"/>
    <w:rsid w:val="0028418B"/>
    <w:rsid w:val="002842C6"/>
    <w:rsid w:val="0028454B"/>
    <w:rsid w:val="002845A2"/>
    <w:rsid w:val="0028474B"/>
    <w:rsid w:val="00284950"/>
    <w:rsid w:val="00284956"/>
    <w:rsid w:val="00284B37"/>
    <w:rsid w:val="00284CE8"/>
    <w:rsid w:val="00284CFB"/>
    <w:rsid w:val="00284F93"/>
    <w:rsid w:val="00284FFD"/>
    <w:rsid w:val="0028506C"/>
    <w:rsid w:val="00285164"/>
    <w:rsid w:val="0028524B"/>
    <w:rsid w:val="00285413"/>
    <w:rsid w:val="0028551F"/>
    <w:rsid w:val="002855C1"/>
    <w:rsid w:val="00285648"/>
    <w:rsid w:val="00285655"/>
    <w:rsid w:val="00285A76"/>
    <w:rsid w:val="00285D9D"/>
    <w:rsid w:val="00286187"/>
    <w:rsid w:val="0028622E"/>
    <w:rsid w:val="00286256"/>
    <w:rsid w:val="00286337"/>
    <w:rsid w:val="0028635B"/>
    <w:rsid w:val="0028636D"/>
    <w:rsid w:val="002864B0"/>
    <w:rsid w:val="00286590"/>
    <w:rsid w:val="00286741"/>
    <w:rsid w:val="00286A56"/>
    <w:rsid w:val="00286E95"/>
    <w:rsid w:val="00286ED7"/>
    <w:rsid w:val="00286F4A"/>
    <w:rsid w:val="002870B6"/>
    <w:rsid w:val="00287321"/>
    <w:rsid w:val="002876DF"/>
    <w:rsid w:val="00287841"/>
    <w:rsid w:val="0028788C"/>
    <w:rsid w:val="0028789E"/>
    <w:rsid w:val="002878D7"/>
    <w:rsid w:val="002879E9"/>
    <w:rsid w:val="00287B43"/>
    <w:rsid w:val="00287C12"/>
    <w:rsid w:val="00287CE2"/>
    <w:rsid w:val="00287D57"/>
    <w:rsid w:val="00287DB9"/>
    <w:rsid w:val="00287ED7"/>
    <w:rsid w:val="0029005C"/>
    <w:rsid w:val="00290179"/>
    <w:rsid w:val="0029022F"/>
    <w:rsid w:val="002902B8"/>
    <w:rsid w:val="00290599"/>
    <w:rsid w:val="002907E0"/>
    <w:rsid w:val="00290872"/>
    <w:rsid w:val="002908DA"/>
    <w:rsid w:val="00290B27"/>
    <w:rsid w:val="00290C15"/>
    <w:rsid w:val="00290DCC"/>
    <w:rsid w:val="00290ECC"/>
    <w:rsid w:val="00290FC1"/>
    <w:rsid w:val="00291194"/>
    <w:rsid w:val="00291443"/>
    <w:rsid w:val="00291479"/>
    <w:rsid w:val="00291774"/>
    <w:rsid w:val="00291A9A"/>
    <w:rsid w:val="00291ED6"/>
    <w:rsid w:val="00291F16"/>
    <w:rsid w:val="00292231"/>
    <w:rsid w:val="002922DE"/>
    <w:rsid w:val="00292300"/>
    <w:rsid w:val="00292606"/>
    <w:rsid w:val="0029274B"/>
    <w:rsid w:val="00292821"/>
    <w:rsid w:val="00292982"/>
    <w:rsid w:val="00292D0C"/>
    <w:rsid w:val="00292D10"/>
    <w:rsid w:val="00292D37"/>
    <w:rsid w:val="00292E3D"/>
    <w:rsid w:val="00292EF9"/>
    <w:rsid w:val="0029303F"/>
    <w:rsid w:val="00293430"/>
    <w:rsid w:val="00293439"/>
    <w:rsid w:val="00293544"/>
    <w:rsid w:val="002936E8"/>
    <w:rsid w:val="00293710"/>
    <w:rsid w:val="002939CA"/>
    <w:rsid w:val="00293A8A"/>
    <w:rsid w:val="00293A91"/>
    <w:rsid w:val="00293B4C"/>
    <w:rsid w:val="00293B7D"/>
    <w:rsid w:val="00293BB3"/>
    <w:rsid w:val="00293C31"/>
    <w:rsid w:val="00293C83"/>
    <w:rsid w:val="00293DE9"/>
    <w:rsid w:val="00293F0F"/>
    <w:rsid w:val="00293F31"/>
    <w:rsid w:val="00294360"/>
    <w:rsid w:val="0029478D"/>
    <w:rsid w:val="00294932"/>
    <w:rsid w:val="00294A76"/>
    <w:rsid w:val="00294BF6"/>
    <w:rsid w:val="00294C3C"/>
    <w:rsid w:val="00294C9C"/>
    <w:rsid w:val="00294CF8"/>
    <w:rsid w:val="00294DF2"/>
    <w:rsid w:val="00294E9C"/>
    <w:rsid w:val="00295023"/>
    <w:rsid w:val="00295067"/>
    <w:rsid w:val="002951ED"/>
    <w:rsid w:val="002953A8"/>
    <w:rsid w:val="002953C3"/>
    <w:rsid w:val="00295512"/>
    <w:rsid w:val="00295546"/>
    <w:rsid w:val="002955C1"/>
    <w:rsid w:val="00295712"/>
    <w:rsid w:val="00295829"/>
    <w:rsid w:val="00295C5D"/>
    <w:rsid w:val="00295C9A"/>
    <w:rsid w:val="00295D73"/>
    <w:rsid w:val="002960E9"/>
    <w:rsid w:val="002961BA"/>
    <w:rsid w:val="00296335"/>
    <w:rsid w:val="002963EF"/>
    <w:rsid w:val="0029696D"/>
    <w:rsid w:val="00296AF8"/>
    <w:rsid w:val="00296B8D"/>
    <w:rsid w:val="00296BFF"/>
    <w:rsid w:val="00296E5D"/>
    <w:rsid w:val="00296F73"/>
    <w:rsid w:val="002971FC"/>
    <w:rsid w:val="00297233"/>
    <w:rsid w:val="0029760F"/>
    <w:rsid w:val="0029783C"/>
    <w:rsid w:val="0029786E"/>
    <w:rsid w:val="002978B3"/>
    <w:rsid w:val="00297978"/>
    <w:rsid w:val="002979B5"/>
    <w:rsid w:val="00297AE9"/>
    <w:rsid w:val="00297AF6"/>
    <w:rsid w:val="00297BEC"/>
    <w:rsid w:val="00297F82"/>
    <w:rsid w:val="00297F95"/>
    <w:rsid w:val="002A0086"/>
    <w:rsid w:val="002A03EC"/>
    <w:rsid w:val="002A057D"/>
    <w:rsid w:val="002A05BA"/>
    <w:rsid w:val="002A05FA"/>
    <w:rsid w:val="002A06BA"/>
    <w:rsid w:val="002A06EA"/>
    <w:rsid w:val="002A08BF"/>
    <w:rsid w:val="002A091D"/>
    <w:rsid w:val="002A0998"/>
    <w:rsid w:val="002A0B09"/>
    <w:rsid w:val="002A0D3B"/>
    <w:rsid w:val="002A0DD4"/>
    <w:rsid w:val="002A0EE8"/>
    <w:rsid w:val="002A0F6D"/>
    <w:rsid w:val="002A10A0"/>
    <w:rsid w:val="002A1106"/>
    <w:rsid w:val="002A123C"/>
    <w:rsid w:val="002A1309"/>
    <w:rsid w:val="002A1327"/>
    <w:rsid w:val="002A1644"/>
    <w:rsid w:val="002A1818"/>
    <w:rsid w:val="002A18A4"/>
    <w:rsid w:val="002A18B8"/>
    <w:rsid w:val="002A1B76"/>
    <w:rsid w:val="002A1D46"/>
    <w:rsid w:val="002A1E45"/>
    <w:rsid w:val="002A1E4C"/>
    <w:rsid w:val="002A2120"/>
    <w:rsid w:val="002A22E8"/>
    <w:rsid w:val="002A245E"/>
    <w:rsid w:val="002A247B"/>
    <w:rsid w:val="002A25C6"/>
    <w:rsid w:val="002A25E8"/>
    <w:rsid w:val="002A2785"/>
    <w:rsid w:val="002A294B"/>
    <w:rsid w:val="002A2AFB"/>
    <w:rsid w:val="002A2B27"/>
    <w:rsid w:val="002A2D33"/>
    <w:rsid w:val="002A2DA4"/>
    <w:rsid w:val="002A2F2F"/>
    <w:rsid w:val="002A2FCD"/>
    <w:rsid w:val="002A30CF"/>
    <w:rsid w:val="002A313F"/>
    <w:rsid w:val="002A32C9"/>
    <w:rsid w:val="002A32F1"/>
    <w:rsid w:val="002A3A37"/>
    <w:rsid w:val="002A3B8A"/>
    <w:rsid w:val="002A3D14"/>
    <w:rsid w:val="002A3D53"/>
    <w:rsid w:val="002A3D57"/>
    <w:rsid w:val="002A3D74"/>
    <w:rsid w:val="002A3DF8"/>
    <w:rsid w:val="002A42A9"/>
    <w:rsid w:val="002A443A"/>
    <w:rsid w:val="002A4953"/>
    <w:rsid w:val="002A4998"/>
    <w:rsid w:val="002A49A0"/>
    <w:rsid w:val="002A4DF8"/>
    <w:rsid w:val="002A53B1"/>
    <w:rsid w:val="002A54C7"/>
    <w:rsid w:val="002A54DC"/>
    <w:rsid w:val="002A54E3"/>
    <w:rsid w:val="002A5562"/>
    <w:rsid w:val="002A558C"/>
    <w:rsid w:val="002A57B5"/>
    <w:rsid w:val="002A57C5"/>
    <w:rsid w:val="002A5885"/>
    <w:rsid w:val="002A59BD"/>
    <w:rsid w:val="002A5BDE"/>
    <w:rsid w:val="002A5CD9"/>
    <w:rsid w:val="002A5DBE"/>
    <w:rsid w:val="002A5E25"/>
    <w:rsid w:val="002A62B5"/>
    <w:rsid w:val="002A6589"/>
    <w:rsid w:val="002A6649"/>
    <w:rsid w:val="002A67BC"/>
    <w:rsid w:val="002A6B5E"/>
    <w:rsid w:val="002A6BAC"/>
    <w:rsid w:val="002A6D30"/>
    <w:rsid w:val="002A6E06"/>
    <w:rsid w:val="002A7093"/>
    <w:rsid w:val="002A726A"/>
    <w:rsid w:val="002A73FD"/>
    <w:rsid w:val="002A749A"/>
    <w:rsid w:val="002A74CB"/>
    <w:rsid w:val="002A75AC"/>
    <w:rsid w:val="002A75BD"/>
    <w:rsid w:val="002A764D"/>
    <w:rsid w:val="002A76CF"/>
    <w:rsid w:val="002A792F"/>
    <w:rsid w:val="002A7B36"/>
    <w:rsid w:val="002A7FAE"/>
    <w:rsid w:val="002B0170"/>
    <w:rsid w:val="002B0252"/>
    <w:rsid w:val="002B0299"/>
    <w:rsid w:val="002B03EB"/>
    <w:rsid w:val="002B0417"/>
    <w:rsid w:val="002B05F3"/>
    <w:rsid w:val="002B05FE"/>
    <w:rsid w:val="002B06AF"/>
    <w:rsid w:val="002B06D9"/>
    <w:rsid w:val="002B0776"/>
    <w:rsid w:val="002B0966"/>
    <w:rsid w:val="002B0A41"/>
    <w:rsid w:val="002B0B02"/>
    <w:rsid w:val="002B0B3F"/>
    <w:rsid w:val="002B0BB0"/>
    <w:rsid w:val="002B0C64"/>
    <w:rsid w:val="002B0D25"/>
    <w:rsid w:val="002B0DAF"/>
    <w:rsid w:val="002B0DBA"/>
    <w:rsid w:val="002B0FD6"/>
    <w:rsid w:val="002B1277"/>
    <w:rsid w:val="002B1592"/>
    <w:rsid w:val="002B159C"/>
    <w:rsid w:val="002B15F4"/>
    <w:rsid w:val="002B167B"/>
    <w:rsid w:val="002B1697"/>
    <w:rsid w:val="002B18B5"/>
    <w:rsid w:val="002B1CE9"/>
    <w:rsid w:val="002B22C3"/>
    <w:rsid w:val="002B22E7"/>
    <w:rsid w:val="002B26C9"/>
    <w:rsid w:val="002B27B1"/>
    <w:rsid w:val="002B2961"/>
    <w:rsid w:val="002B2E32"/>
    <w:rsid w:val="002B2E6E"/>
    <w:rsid w:val="002B3007"/>
    <w:rsid w:val="002B341F"/>
    <w:rsid w:val="002B3477"/>
    <w:rsid w:val="002B3745"/>
    <w:rsid w:val="002B3755"/>
    <w:rsid w:val="002B39CB"/>
    <w:rsid w:val="002B3A74"/>
    <w:rsid w:val="002B3AF3"/>
    <w:rsid w:val="002B3BBF"/>
    <w:rsid w:val="002B40B4"/>
    <w:rsid w:val="002B42AD"/>
    <w:rsid w:val="002B4876"/>
    <w:rsid w:val="002B4B9A"/>
    <w:rsid w:val="002B4BA3"/>
    <w:rsid w:val="002B4BC9"/>
    <w:rsid w:val="002B4DC8"/>
    <w:rsid w:val="002B4E41"/>
    <w:rsid w:val="002B5261"/>
    <w:rsid w:val="002B5373"/>
    <w:rsid w:val="002B53CD"/>
    <w:rsid w:val="002B5531"/>
    <w:rsid w:val="002B5859"/>
    <w:rsid w:val="002B58BC"/>
    <w:rsid w:val="002B59BE"/>
    <w:rsid w:val="002B59DF"/>
    <w:rsid w:val="002B5C78"/>
    <w:rsid w:val="002B5D27"/>
    <w:rsid w:val="002B5D5D"/>
    <w:rsid w:val="002B634D"/>
    <w:rsid w:val="002B6544"/>
    <w:rsid w:val="002B6553"/>
    <w:rsid w:val="002B69EA"/>
    <w:rsid w:val="002B6A1D"/>
    <w:rsid w:val="002B6BBF"/>
    <w:rsid w:val="002B6EB5"/>
    <w:rsid w:val="002B706F"/>
    <w:rsid w:val="002B7098"/>
    <w:rsid w:val="002B75A9"/>
    <w:rsid w:val="002B7B94"/>
    <w:rsid w:val="002B7BEF"/>
    <w:rsid w:val="002B7DDA"/>
    <w:rsid w:val="002B7F93"/>
    <w:rsid w:val="002C00E3"/>
    <w:rsid w:val="002C026D"/>
    <w:rsid w:val="002C02E9"/>
    <w:rsid w:val="002C062D"/>
    <w:rsid w:val="002C0694"/>
    <w:rsid w:val="002C07BE"/>
    <w:rsid w:val="002C0B19"/>
    <w:rsid w:val="002C0CDB"/>
    <w:rsid w:val="002C0D3C"/>
    <w:rsid w:val="002C0D78"/>
    <w:rsid w:val="002C0E80"/>
    <w:rsid w:val="002C1144"/>
    <w:rsid w:val="002C120A"/>
    <w:rsid w:val="002C1258"/>
    <w:rsid w:val="002C126E"/>
    <w:rsid w:val="002C1444"/>
    <w:rsid w:val="002C1815"/>
    <w:rsid w:val="002C188C"/>
    <w:rsid w:val="002C1B86"/>
    <w:rsid w:val="002C1CFB"/>
    <w:rsid w:val="002C1D2F"/>
    <w:rsid w:val="002C1DD9"/>
    <w:rsid w:val="002C1F74"/>
    <w:rsid w:val="002C204F"/>
    <w:rsid w:val="002C20AE"/>
    <w:rsid w:val="002C2213"/>
    <w:rsid w:val="002C22CE"/>
    <w:rsid w:val="002C2343"/>
    <w:rsid w:val="002C24E2"/>
    <w:rsid w:val="002C252B"/>
    <w:rsid w:val="002C25C3"/>
    <w:rsid w:val="002C279B"/>
    <w:rsid w:val="002C280A"/>
    <w:rsid w:val="002C2907"/>
    <w:rsid w:val="002C2A2C"/>
    <w:rsid w:val="002C2CDE"/>
    <w:rsid w:val="002C2F48"/>
    <w:rsid w:val="002C2F59"/>
    <w:rsid w:val="002C2F7E"/>
    <w:rsid w:val="002C3238"/>
    <w:rsid w:val="002C3288"/>
    <w:rsid w:val="002C3298"/>
    <w:rsid w:val="002C373E"/>
    <w:rsid w:val="002C38AE"/>
    <w:rsid w:val="002C3BEA"/>
    <w:rsid w:val="002C3D5B"/>
    <w:rsid w:val="002C3E1A"/>
    <w:rsid w:val="002C3E57"/>
    <w:rsid w:val="002C4291"/>
    <w:rsid w:val="002C4294"/>
    <w:rsid w:val="002C4308"/>
    <w:rsid w:val="002C4380"/>
    <w:rsid w:val="002C46CA"/>
    <w:rsid w:val="002C48CB"/>
    <w:rsid w:val="002C495F"/>
    <w:rsid w:val="002C4C9E"/>
    <w:rsid w:val="002C4DF5"/>
    <w:rsid w:val="002C4EA7"/>
    <w:rsid w:val="002C4FC5"/>
    <w:rsid w:val="002C504E"/>
    <w:rsid w:val="002C54DE"/>
    <w:rsid w:val="002C5706"/>
    <w:rsid w:val="002C5A95"/>
    <w:rsid w:val="002C5B6B"/>
    <w:rsid w:val="002C5C09"/>
    <w:rsid w:val="002C5D10"/>
    <w:rsid w:val="002C5D35"/>
    <w:rsid w:val="002C6058"/>
    <w:rsid w:val="002C646A"/>
    <w:rsid w:val="002C6621"/>
    <w:rsid w:val="002C6630"/>
    <w:rsid w:val="002C6B3D"/>
    <w:rsid w:val="002C6EC4"/>
    <w:rsid w:val="002C6FA9"/>
    <w:rsid w:val="002C705B"/>
    <w:rsid w:val="002C7361"/>
    <w:rsid w:val="002C73D4"/>
    <w:rsid w:val="002C7563"/>
    <w:rsid w:val="002C79A0"/>
    <w:rsid w:val="002C79A8"/>
    <w:rsid w:val="002C7A41"/>
    <w:rsid w:val="002C7B71"/>
    <w:rsid w:val="002C7C0E"/>
    <w:rsid w:val="002C7C7A"/>
    <w:rsid w:val="002C7CDF"/>
    <w:rsid w:val="002D008C"/>
    <w:rsid w:val="002D00B2"/>
    <w:rsid w:val="002D011B"/>
    <w:rsid w:val="002D01A3"/>
    <w:rsid w:val="002D02ED"/>
    <w:rsid w:val="002D0318"/>
    <w:rsid w:val="002D04AA"/>
    <w:rsid w:val="002D06A1"/>
    <w:rsid w:val="002D08A2"/>
    <w:rsid w:val="002D090B"/>
    <w:rsid w:val="002D0945"/>
    <w:rsid w:val="002D09EF"/>
    <w:rsid w:val="002D0C1C"/>
    <w:rsid w:val="002D0C76"/>
    <w:rsid w:val="002D0CBF"/>
    <w:rsid w:val="002D0CDA"/>
    <w:rsid w:val="002D0D05"/>
    <w:rsid w:val="002D0D3B"/>
    <w:rsid w:val="002D0E5C"/>
    <w:rsid w:val="002D0F89"/>
    <w:rsid w:val="002D10B4"/>
    <w:rsid w:val="002D122E"/>
    <w:rsid w:val="002D13FE"/>
    <w:rsid w:val="002D1464"/>
    <w:rsid w:val="002D14F3"/>
    <w:rsid w:val="002D150C"/>
    <w:rsid w:val="002D1590"/>
    <w:rsid w:val="002D168A"/>
    <w:rsid w:val="002D1792"/>
    <w:rsid w:val="002D1E44"/>
    <w:rsid w:val="002D1EAD"/>
    <w:rsid w:val="002D2339"/>
    <w:rsid w:val="002D2414"/>
    <w:rsid w:val="002D256C"/>
    <w:rsid w:val="002D2AA6"/>
    <w:rsid w:val="002D2BA5"/>
    <w:rsid w:val="002D2F2D"/>
    <w:rsid w:val="002D3376"/>
    <w:rsid w:val="002D3545"/>
    <w:rsid w:val="002D385E"/>
    <w:rsid w:val="002D3963"/>
    <w:rsid w:val="002D39B8"/>
    <w:rsid w:val="002D3BED"/>
    <w:rsid w:val="002D40E1"/>
    <w:rsid w:val="002D43ED"/>
    <w:rsid w:val="002D44F0"/>
    <w:rsid w:val="002D451E"/>
    <w:rsid w:val="002D4605"/>
    <w:rsid w:val="002D4763"/>
    <w:rsid w:val="002D47EF"/>
    <w:rsid w:val="002D4992"/>
    <w:rsid w:val="002D4ADF"/>
    <w:rsid w:val="002D4C89"/>
    <w:rsid w:val="002D4D66"/>
    <w:rsid w:val="002D4DB4"/>
    <w:rsid w:val="002D5175"/>
    <w:rsid w:val="002D518D"/>
    <w:rsid w:val="002D52F1"/>
    <w:rsid w:val="002D5359"/>
    <w:rsid w:val="002D54DF"/>
    <w:rsid w:val="002D5849"/>
    <w:rsid w:val="002D5C0A"/>
    <w:rsid w:val="002D5C2D"/>
    <w:rsid w:val="002D5C57"/>
    <w:rsid w:val="002D5EB3"/>
    <w:rsid w:val="002D60A8"/>
    <w:rsid w:val="002D60C8"/>
    <w:rsid w:val="002D61DB"/>
    <w:rsid w:val="002D64E3"/>
    <w:rsid w:val="002D6501"/>
    <w:rsid w:val="002D656F"/>
    <w:rsid w:val="002D65CE"/>
    <w:rsid w:val="002D676A"/>
    <w:rsid w:val="002D694E"/>
    <w:rsid w:val="002D6A93"/>
    <w:rsid w:val="002D6BBD"/>
    <w:rsid w:val="002D6BF0"/>
    <w:rsid w:val="002D6CA9"/>
    <w:rsid w:val="002D6D1D"/>
    <w:rsid w:val="002D6E23"/>
    <w:rsid w:val="002D6E54"/>
    <w:rsid w:val="002D7047"/>
    <w:rsid w:val="002D7069"/>
    <w:rsid w:val="002D7082"/>
    <w:rsid w:val="002D70B5"/>
    <w:rsid w:val="002D7281"/>
    <w:rsid w:val="002D7548"/>
    <w:rsid w:val="002D75C0"/>
    <w:rsid w:val="002D76EA"/>
    <w:rsid w:val="002D7823"/>
    <w:rsid w:val="002D7838"/>
    <w:rsid w:val="002D7909"/>
    <w:rsid w:val="002D7A27"/>
    <w:rsid w:val="002D7A28"/>
    <w:rsid w:val="002D7A43"/>
    <w:rsid w:val="002D7C24"/>
    <w:rsid w:val="002D7D97"/>
    <w:rsid w:val="002D7DB3"/>
    <w:rsid w:val="002E001D"/>
    <w:rsid w:val="002E00DD"/>
    <w:rsid w:val="002E0174"/>
    <w:rsid w:val="002E021A"/>
    <w:rsid w:val="002E0275"/>
    <w:rsid w:val="002E0380"/>
    <w:rsid w:val="002E0392"/>
    <w:rsid w:val="002E03C8"/>
    <w:rsid w:val="002E0514"/>
    <w:rsid w:val="002E05C6"/>
    <w:rsid w:val="002E05F4"/>
    <w:rsid w:val="002E0673"/>
    <w:rsid w:val="002E0964"/>
    <w:rsid w:val="002E0B1A"/>
    <w:rsid w:val="002E0C1C"/>
    <w:rsid w:val="002E0C1F"/>
    <w:rsid w:val="002E0D21"/>
    <w:rsid w:val="002E0EF2"/>
    <w:rsid w:val="002E1021"/>
    <w:rsid w:val="002E1208"/>
    <w:rsid w:val="002E13F7"/>
    <w:rsid w:val="002E1881"/>
    <w:rsid w:val="002E18E9"/>
    <w:rsid w:val="002E1AB5"/>
    <w:rsid w:val="002E1CB6"/>
    <w:rsid w:val="002E2214"/>
    <w:rsid w:val="002E2316"/>
    <w:rsid w:val="002E2331"/>
    <w:rsid w:val="002E2353"/>
    <w:rsid w:val="002E26EE"/>
    <w:rsid w:val="002E28C9"/>
    <w:rsid w:val="002E2BB4"/>
    <w:rsid w:val="002E2CAF"/>
    <w:rsid w:val="002E2E44"/>
    <w:rsid w:val="002E2F16"/>
    <w:rsid w:val="002E2F2F"/>
    <w:rsid w:val="002E2FB2"/>
    <w:rsid w:val="002E30E3"/>
    <w:rsid w:val="002E328E"/>
    <w:rsid w:val="002E333B"/>
    <w:rsid w:val="002E33BB"/>
    <w:rsid w:val="002E33E4"/>
    <w:rsid w:val="002E35DD"/>
    <w:rsid w:val="002E3974"/>
    <w:rsid w:val="002E3C1B"/>
    <w:rsid w:val="002E3D67"/>
    <w:rsid w:val="002E3E52"/>
    <w:rsid w:val="002E4060"/>
    <w:rsid w:val="002E412E"/>
    <w:rsid w:val="002E433C"/>
    <w:rsid w:val="002E4616"/>
    <w:rsid w:val="002E4742"/>
    <w:rsid w:val="002E487D"/>
    <w:rsid w:val="002E4933"/>
    <w:rsid w:val="002E494E"/>
    <w:rsid w:val="002E4CA3"/>
    <w:rsid w:val="002E4D7C"/>
    <w:rsid w:val="002E4EAD"/>
    <w:rsid w:val="002E4F85"/>
    <w:rsid w:val="002E50E4"/>
    <w:rsid w:val="002E5138"/>
    <w:rsid w:val="002E54C8"/>
    <w:rsid w:val="002E5788"/>
    <w:rsid w:val="002E59F9"/>
    <w:rsid w:val="002E5BE6"/>
    <w:rsid w:val="002E5DD1"/>
    <w:rsid w:val="002E5E20"/>
    <w:rsid w:val="002E5EF9"/>
    <w:rsid w:val="002E61E9"/>
    <w:rsid w:val="002E6220"/>
    <w:rsid w:val="002E6232"/>
    <w:rsid w:val="002E626D"/>
    <w:rsid w:val="002E6432"/>
    <w:rsid w:val="002E66B1"/>
    <w:rsid w:val="002E66F1"/>
    <w:rsid w:val="002E6730"/>
    <w:rsid w:val="002E6744"/>
    <w:rsid w:val="002E6837"/>
    <w:rsid w:val="002E6A4D"/>
    <w:rsid w:val="002E6EFE"/>
    <w:rsid w:val="002E6EFF"/>
    <w:rsid w:val="002E6F5F"/>
    <w:rsid w:val="002E7092"/>
    <w:rsid w:val="002E7155"/>
    <w:rsid w:val="002E73F8"/>
    <w:rsid w:val="002E7406"/>
    <w:rsid w:val="002E742D"/>
    <w:rsid w:val="002E74DA"/>
    <w:rsid w:val="002E758D"/>
    <w:rsid w:val="002E783F"/>
    <w:rsid w:val="002E7B2C"/>
    <w:rsid w:val="002E7B4C"/>
    <w:rsid w:val="002E7CD3"/>
    <w:rsid w:val="002E7E9F"/>
    <w:rsid w:val="002F00D1"/>
    <w:rsid w:val="002F0174"/>
    <w:rsid w:val="002F0523"/>
    <w:rsid w:val="002F0896"/>
    <w:rsid w:val="002F0B15"/>
    <w:rsid w:val="002F0D14"/>
    <w:rsid w:val="002F0D43"/>
    <w:rsid w:val="002F0E19"/>
    <w:rsid w:val="002F0F27"/>
    <w:rsid w:val="002F1272"/>
    <w:rsid w:val="002F1455"/>
    <w:rsid w:val="002F1521"/>
    <w:rsid w:val="002F183B"/>
    <w:rsid w:val="002F18BC"/>
    <w:rsid w:val="002F1922"/>
    <w:rsid w:val="002F1A2F"/>
    <w:rsid w:val="002F1BC0"/>
    <w:rsid w:val="002F1D70"/>
    <w:rsid w:val="002F1DDF"/>
    <w:rsid w:val="002F1E06"/>
    <w:rsid w:val="002F21FD"/>
    <w:rsid w:val="002F231D"/>
    <w:rsid w:val="002F2401"/>
    <w:rsid w:val="002F24FC"/>
    <w:rsid w:val="002F2577"/>
    <w:rsid w:val="002F2679"/>
    <w:rsid w:val="002F26B1"/>
    <w:rsid w:val="002F2814"/>
    <w:rsid w:val="002F29AB"/>
    <w:rsid w:val="002F2B02"/>
    <w:rsid w:val="002F2CAA"/>
    <w:rsid w:val="002F2CB0"/>
    <w:rsid w:val="002F3117"/>
    <w:rsid w:val="002F31DA"/>
    <w:rsid w:val="002F3254"/>
    <w:rsid w:val="002F3376"/>
    <w:rsid w:val="002F3401"/>
    <w:rsid w:val="002F351E"/>
    <w:rsid w:val="002F3572"/>
    <w:rsid w:val="002F3608"/>
    <w:rsid w:val="002F3749"/>
    <w:rsid w:val="002F38B5"/>
    <w:rsid w:val="002F3912"/>
    <w:rsid w:val="002F3AB3"/>
    <w:rsid w:val="002F3AD0"/>
    <w:rsid w:val="002F3BE9"/>
    <w:rsid w:val="002F3CC9"/>
    <w:rsid w:val="002F3EBE"/>
    <w:rsid w:val="002F3F1C"/>
    <w:rsid w:val="002F3FE3"/>
    <w:rsid w:val="002F4204"/>
    <w:rsid w:val="002F466D"/>
    <w:rsid w:val="002F46A3"/>
    <w:rsid w:val="002F4803"/>
    <w:rsid w:val="002F48B5"/>
    <w:rsid w:val="002F4A0A"/>
    <w:rsid w:val="002F4F3B"/>
    <w:rsid w:val="002F5201"/>
    <w:rsid w:val="002F564C"/>
    <w:rsid w:val="002F56BA"/>
    <w:rsid w:val="002F5908"/>
    <w:rsid w:val="002F59B3"/>
    <w:rsid w:val="002F5BC5"/>
    <w:rsid w:val="002F5BEB"/>
    <w:rsid w:val="002F5BEE"/>
    <w:rsid w:val="002F6345"/>
    <w:rsid w:val="002F6597"/>
    <w:rsid w:val="002F6A5A"/>
    <w:rsid w:val="002F6CE8"/>
    <w:rsid w:val="002F6D7C"/>
    <w:rsid w:val="002F6F4D"/>
    <w:rsid w:val="002F70B6"/>
    <w:rsid w:val="002F71A6"/>
    <w:rsid w:val="002F734A"/>
    <w:rsid w:val="002F7385"/>
    <w:rsid w:val="002F73FC"/>
    <w:rsid w:val="002F780D"/>
    <w:rsid w:val="002F7A13"/>
    <w:rsid w:val="002F7B20"/>
    <w:rsid w:val="002F7B35"/>
    <w:rsid w:val="002F7BDD"/>
    <w:rsid w:val="002F7C48"/>
    <w:rsid w:val="002F7C4A"/>
    <w:rsid w:val="002F7C5F"/>
    <w:rsid w:val="002F7E1C"/>
    <w:rsid w:val="002F7F33"/>
    <w:rsid w:val="00300439"/>
    <w:rsid w:val="003004B7"/>
    <w:rsid w:val="003004E2"/>
    <w:rsid w:val="00300673"/>
    <w:rsid w:val="00300719"/>
    <w:rsid w:val="00300914"/>
    <w:rsid w:val="00300932"/>
    <w:rsid w:val="00300970"/>
    <w:rsid w:val="003009A0"/>
    <w:rsid w:val="003009BF"/>
    <w:rsid w:val="00300AE1"/>
    <w:rsid w:val="00300EFD"/>
    <w:rsid w:val="0030122A"/>
    <w:rsid w:val="0030130D"/>
    <w:rsid w:val="00301409"/>
    <w:rsid w:val="00301492"/>
    <w:rsid w:val="0030158F"/>
    <w:rsid w:val="00301633"/>
    <w:rsid w:val="00301800"/>
    <w:rsid w:val="0030197C"/>
    <w:rsid w:val="00301A50"/>
    <w:rsid w:val="00301BE6"/>
    <w:rsid w:val="00301C7E"/>
    <w:rsid w:val="00301D3C"/>
    <w:rsid w:val="00301F6B"/>
    <w:rsid w:val="00301F71"/>
    <w:rsid w:val="00301F95"/>
    <w:rsid w:val="0030201D"/>
    <w:rsid w:val="00302489"/>
    <w:rsid w:val="003024D9"/>
    <w:rsid w:val="00302666"/>
    <w:rsid w:val="00302704"/>
    <w:rsid w:val="00302837"/>
    <w:rsid w:val="00302B15"/>
    <w:rsid w:val="00302B67"/>
    <w:rsid w:val="00302D84"/>
    <w:rsid w:val="00302DA7"/>
    <w:rsid w:val="00302DEF"/>
    <w:rsid w:val="00302E0D"/>
    <w:rsid w:val="00302F63"/>
    <w:rsid w:val="00303035"/>
    <w:rsid w:val="00303180"/>
    <w:rsid w:val="00303279"/>
    <w:rsid w:val="003032E9"/>
    <w:rsid w:val="00303351"/>
    <w:rsid w:val="003033C6"/>
    <w:rsid w:val="00303565"/>
    <w:rsid w:val="00303840"/>
    <w:rsid w:val="00303892"/>
    <w:rsid w:val="003038C3"/>
    <w:rsid w:val="00303AB4"/>
    <w:rsid w:val="00303B9D"/>
    <w:rsid w:val="00303CA5"/>
    <w:rsid w:val="00303CDC"/>
    <w:rsid w:val="00303D32"/>
    <w:rsid w:val="00304011"/>
    <w:rsid w:val="00304255"/>
    <w:rsid w:val="0030438F"/>
    <w:rsid w:val="003044BA"/>
    <w:rsid w:val="00304AFD"/>
    <w:rsid w:val="00304BD4"/>
    <w:rsid w:val="00304E44"/>
    <w:rsid w:val="00304ECD"/>
    <w:rsid w:val="00305201"/>
    <w:rsid w:val="003052EB"/>
    <w:rsid w:val="003053ED"/>
    <w:rsid w:val="00305585"/>
    <w:rsid w:val="003055D5"/>
    <w:rsid w:val="003056E4"/>
    <w:rsid w:val="00305740"/>
    <w:rsid w:val="00305915"/>
    <w:rsid w:val="003059DD"/>
    <w:rsid w:val="00305A03"/>
    <w:rsid w:val="00305A06"/>
    <w:rsid w:val="00305A3F"/>
    <w:rsid w:val="00305BE0"/>
    <w:rsid w:val="00305E64"/>
    <w:rsid w:val="003060E7"/>
    <w:rsid w:val="0030611D"/>
    <w:rsid w:val="003063BC"/>
    <w:rsid w:val="00306462"/>
    <w:rsid w:val="003064FF"/>
    <w:rsid w:val="00306802"/>
    <w:rsid w:val="00306804"/>
    <w:rsid w:val="0030690C"/>
    <w:rsid w:val="00306E28"/>
    <w:rsid w:val="00307256"/>
    <w:rsid w:val="00307273"/>
    <w:rsid w:val="00307520"/>
    <w:rsid w:val="0030789E"/>
    <w:rsid w:val="00307A1D"/>
    <w:rsid w:val="00307AAF"/>
    <w:rsid w:val="00307AE1"/>
    <w:rsid w:val="00307B3B"/>
    <w:rsid w:val="00307BBF"/>
    <w:rsid w:val="00307DB9"/>
    <w:rsid w:val="00307EEC"/>
    <w:rsid w:val="00307FAB"/>
    <w:rsid w:val="00307FB4"/>
    <w:rsid w:val="0031023C"/>
    <w:rsid w:val="003103A7"/>
    <w:rsid w:val="003103BC"/>
    <w:rsid w:val="003104A0"/>
    <w:rsid w:val="003104FB"/>
    <w:rsid w:val="00310501"/>
    <w:rsid w:val="00310547"/>
    <w:rsid w:val="00310585"/>
    <w:rsid w:val="00310709"/>
    <w:rsid w:val="00310936"/>
    <w:rsid w:val="00310965"/>
    <w:rsid w:val="00310AD3"/>
    <w:rsid w:val="00310B67"/>
    <w:rsid w:val="00310C60"/>
    <w:rsid w:val="00310D04"/>
    <w:rsid w:val="00310D7F"/>
    <w:rsid w:val="00310E20"/>
    <w:rsid w:val="00310EB3"/>
    <w:rsid w:val="00310F2C"/>
    <w:rsid w:val="00310F5E"/>
    <w:rsid w:val="00311098"/>
    <w:rsid w:val="003110F7"/>
    <w:rsid w:val="003111AC"/>
    <w:rsid w:val="003112A7"/>
    <w:rsid w:val="0031175A"/>
    <w:rsid w:val="0031190C"/>
    <w:rsid w:val="00311C07"/>
    <w:rsid w:val="00311C84"/>
    <w:rsid w:val="00311DCE"/>
    <w:rsid w:val="00311E0C"/>
    <w:rsid w:val="0031202C"/>
    <w:rsid w:val="0031213B"/>
    <w:rsid w:val="00312167"/>
    <w:rsid w:val="003121B2"/>
    <w:rsid w:val="0031264B"/>
    <w:rsid w:val="0031279D"/>
    <w:rsid w:val="00312A54"/>
    <w:rsid w:val="00312B33"/>
    <w:rsid w:val="00312BCA"/>
    <w:rsid w:val="00312CA0"/>
    <w:rsid w:val="00312CBE"/>
    <w:rsid w:val="00312D2C"/>
    <w:rsid w:val="00312D8A"/>
    <w:rsid w:val="00313217"/>
    <w:rsid w:val="00313494"/>
    <w:rsid w:val="00313741"/>
    <w:rsid w:val="00313859"/>
    <w:rsid w:val="0031396E"/>
    <w:rsid w:val="003139C8"/>
    <w:rsid w:val="00313AD1"/>
    <w:rsid w:val="00313B27"/>
    <w:rsid w:val="00313CB2"/>
    <w:rsid w:val="00313DD9"/>
    <w:rsid w:val="00313F50"/>
    <w:rsid w:val="0031406D"/>
    <w:rsid w:val="0031408F"/>
    <w:rsid w:val="00314282"/>
    <w:rsid w:val="003143BF"/>
    <w:rsid w:val="003145EF"/>
    <w:rsid w:val="0031488D"/>
    <w:rsid w:val="00314DF8"/>
    <w:rsid w:val="00314E17"/>
    <w:rsid w:val="00314ECA"/>
    <w:rsid w:val="00314FE0"/>
    <w:rsid w:val="00315086"/>
    <w:rsid w:val="003150D2"/>
    <w:rsid w:val="003151A1"/>
    <w:rsid w:val="0031549F"/>
    <w:rsid w:val="003154D5"/>
    <w:rsid w:val="00315619"/>
    <w:rsid w:val="003157D0"/>
    <w:rsid w:val="00315A79"/>
    <w:rsid w:val="00315AF8"/>
    <w:rsid w:val="00315D3F"/>
    <w:rsid w:val="00315D47"/>
    <w:rsid w:val="00316085"/>
    <w:rsid w:val="003160DF"/>
    <w:rsid w:val="00316230"/>
    <w:rsid w:val="003162B7"/>
    <w:rsid w:val="00316852"/>
    <w:rsid w:val="003168A3"/>
    <w:rsid w:val="00316963"/>
    <w:rsid w:val="003169A9"/>
    <w:rsid w:val="00316BA9"/>
    <w:rsid w:val="00316CA6"/>
    <w:rsid w:val="00316F24"/>
    <w:rsid w:val="00317148"/>
    <w:rsid w:val="00317375"/>
    <w:rsid w:val="003174F8"/>
    <w:rsid w:val="0031787C"/>
    <w:rsid w:val="00317A82"/>
    <w:rsid w:val="00317B06"/>
    <w:rsid w:val="00317BC5"/>
    <w:rsid w:val="00317C25"/>
    <w:rsid w:val="00317D7E"/>
    <w:rsid w:val="00317EE9"/>
    <w:rsid w:val="00317FA5"/>
    <w:rsid w:val="00320259"/>
    <w:rsid w:val="00320318"/>
    <w:rsid w:val="00320341"/>
    <w:rsid w:val="00320493"/>
    <w:rsid w:val="00320545"/>
    <w:rsid w:val="003207B8"/>
    <w:rsid w:val="00320970"/>
    <w:rsid w:val="00320A1C"/>
    <w:rsid w:val="00320E00"/>
    <w:rsid w:val="00321062"/>
    <w:rsid w:val="003210F5"/>
    <w:rsid w:val="00321129"/>
    <w:rsid w:val="0032118A"/>
    <w:rsid w:val="0032146F"/>
    <w:rsid w:val="00321B01"/>
    <w:rsid w:val="00321C0D"/>
    <w:rsid w:val="00321E56"/>
    <w:rsid w:val="00321E65"/>
    <w:rsid w:val="00321F72"/>
    <w:rsid w:val="00322260"/>
    <w:rsid w:val="0032227A"/>
    <w:rsid w:val="003225AB"/>
    <w:rsid w:val="003225CA"/>
    <w:rsid w:val="003225CD"/>
    <w:rsid w:val="00322766"/>
    <w:rsid w:val="003228D9"/>
    <w:rsid w:val="003229D6"/>
    <w:rsid w:val="00322A11"/>
    <w:rsid w:val="00322A51"/>
    <w:rsid w:val="00322D00"/>
    <w:rsid w:val="00322D24"/>
    <w:rsid w:val="00323089"/>
    <w:rsid w:val="003234B2"/>
    <w:rsid w:val="00323610"/>
    <w:rsid w:val="0032370A"/>
    <w:rsid w:val="00323716"/>
    <w:rsid w:val="0032396F"/>
    <w:rsid w:val="00323993"/>
    <w:rsid w:val="00323AD4"/>
    <w:rsid w:val="00323E94"/>
    <w:rsid w:val="00323EBF"/>
    <w:rsid w:val="00324045"/>
    <w:rsid w:val="0032404F"/>
    <w:rsid w:val="00324242"/>
    <w:rsid w:val="00324277"/>
    <w:rsid w:val="0032473C"/>
    <w:rsid w:val="003247D6"/>
    <w:rsid w:val="0032491A"/>
    <w:rsid w:val="00324C0A"/>
    <w:rsid w:val="00324D13"/>
    <w:rsid w:val="00325043"/>
    <w:rsid w:val="00325286"/>
    <w:rsid w:val="0032550E"/>
    <w:rsid w:val="0032573D"/>
    <w:rsid w:val="003257B8"/>
    <w:rsid w:val="003257DC"/>
    <w:rsid w:val="00325AE0"/>
    <w:rsid w:val="00325F34"/>
    <w:rsid w:val="00325FC0"/>
    <w:rsid w:val="0032606B"/>
    <w:rsid w:val="00326096"/>
    <w:rsid w:val="0032620E"/>
    <w:rsid w:val="00326558"/>
    <w:rsid w:val="00326628"/>
    <w:rsid w:val="00326A7F"/>
    <w:rsid w:val="00326ACD"/>
    <w:rsid w:val="00326BBA"/>
    <w:rsid w:val="00326D6D"/>
    <w:rsid w:val="00327164"/>
    <w:rsid w:val="003272A4"/>
    <w:rsid w:val="003272B0"/>
    <w:rsid w:val="003272B8"/>
    <w:rsid w:val="00327424"/>
    <w:rsid w:val="003279D5"/>
    <w:rsid w:val="00327AD5"/>
    <w:rsid w:val="00327C87"/>
    <w:rsid w:val="00327DE0"/>
    <w:rsid w:val="00327E32"/>
    <w:rsid w:val="00327E8D"/>
    <w:rsid w:val="00327F10"/>
    <w:rsid w:val="00327F9E"/>
    <w:rsid w:val="0033002F"/>
    <w:rsid w:val="003300A6"/>
    <w:rsid w:val="00330474"/>
    <w:rsid w:val="003305F7"/>
    <w:rsid w:val="00330867"/>
    <w:rsid w:val="003309FB"/>
    <w:rsid w:val="00330A06"/>
    <w:rsid w:val="00330A22"/>
    <w:rsid w:val="00330AD1"/>
    <w:rsid w:val="00330B76"/>
    <w:rsid w:val="00330CAE"/>
    <w:rsid w:val="00330E10"/>
    <w:rsid w:val="00330ED2"/>
    <w:rsid w:val="00331026"/>
    <w:rsid w:val="00331543"/>
    <w:rsid w:val="00331568"/>
    <w:rsid w:val="00331593"/>
    <w:rsid w:val="003315C1"/>
    <w:rsid w:val="00331633"/>
    <w:rsid w:val="00331B95"/>
    <w:rsid w:val="00331BC3"/>
    <w:rsid w:val="00331DC8"/>
    <w:rsid w:val="00331E10"/>
    <w:rsid w:val="00331FD8"/>
    <w:rsid w:val="0033224C"/>
    <w:rsid w:val="003324BF"/>
    <w:rsid w:val="00332758"/>
    <w:rsid w:val="00332841"/>
    <w:rsid w:val="00332A12"/>
    <w:rsid w:val="00332A65"/>
    <w:rsid w:val="00332A8B"/>
    <w:rsid w:val="00332B73"/>
    <w:rsid w:val="00332BE0"/>
    <w:rsid w:val="00332C61"/>
    <w:rsid w:val="00332F47"/>
    <w:rsid w:val="00332F76"/>
    <w:rsid w:val="00332F90"/>
    <w:rsid w:val="00332FAF"/>
    <w:rsid w:val="00332FD3"/>
    <w:rsid w:val="00333437"/>
    <w:rsid w:val="00333475"/>
    <w:rsid w:val="003336BF"/>
    <w:rsid w:val="003337B9"/>
    <w:rsid w:val="00333873"/>
    <w:rsid w:val="00333A09"/>
    <w:rsid w:val="00333C60"/>
    <w:rsid w:val="00333C92"/>
    <w:rsid w:val="00333D81"/>
    <w:rsid w:val="00333E31"/>
    <w:rsid w:val="0033419E"/>
    <w:rsid w:val="003341A1"/>
    <w:rsid w:val="0033457A"/>
    <w:rsid w:val="0033493A"/>
    <w:rsid w:val="00334D65"/>
    <w:rsid w:val="00335054"/>
    <w:rsid w:val="0033507B"/>
    <w:rsid w:val="00335118"/>
    <w:rsid w:val="0033519B"/>
    <w:rsid w:val="003351D4"/>
    <w:rsid w:val="00335245"/>
    <w:rsid w:val="003353FE"/>
    <w:rsid w:val="0033570B"/>
    <w:rsid w:val="00335836"/>
    <w:rsid w:val="0033589A"/>
    <w:rsid w:val="00335BDC"/>
    <w:rsid w:val="00335CFC"/>
    <w:rsid w:val="00335ED5"/>
    <w:rsid w:val="00335FE3"/>
    <w:rsid w:val="0033618F"/>
    <w:rsid w:val="00336485"/>
    <w:rsid w:val="003364F9"/>
    <w:rsid w:val="00336500"/>
    <w:rsid w:val="00336529"/>
    <w:rsid w:val="003365E8"/>
    <w:rsid w:val="003365F5"/>
    <w:rsid w:val="00336B02"/>
    <w:rsid w:val="00336C1F"/>
    <w:rsid w:val="00336EBB"/>
    <w:rsid w:val="0033702A"/>
    <w:rsid w:val="003374D2"/>
    <w:rsid w:val="00337600"/>
    <w:rsid w:val="003376B5"/>
    <w:rsid w:val="003376E9"/>
    <w:rsid w:val="0033785D"/>
    <w:rsid w:val="00337AFA"/>
    <w:rsid w:val="00337C4C"/>
    <w:rsid w:val="00337D0C"/>
    <w:rsid w:val="00337E13"/>
    <w:rsid w:val="0034021C"/>
    <w:rsid w:val="003402FF"/>
    <w:rsid w:val="0034041B"/>
    <w:rsid w:val="003405A3"/>
    <w:rsid w:val="003405DB"/>
    <w:rsid w:val="00340621"/>
    <w:rsid w:val="0034071B"/>
    <w:rsid w:val="003408DE"/>
    <w:rsid w:val="003409FA"/>
    <w:rsid w:val="00340AB6"/>
    <w:rsid w:val="00340CE4"/>
    <w:rsid w:val="00340D80"/>
    <w:rsid w:val="00340E8B"/>
    <w:rsid w:val="00340EDA"/>
    <w:rsid w:val="00340FDD"/>
    <w:rsid w:val="00341386"/>
    <w:rsid w:val="003414E1"/>
    <w:rsid w:val="0034175C"/>
    <w:rsid w:val="0034178B"/>
    <w:rsid w:val="003417C1"/>
    <w:rsid w:val="003418E6"/>
    <w:rsid w:val="00341B33"/>
    <w:rsid w:val="00341B62"/>
    <w:rsid w:val="00341C09"/>
    <w:rsid w:val="00341C4C"/>
    <w:rsid w:val="00341E28"/>
    <w:rsid w:val="00341F6A"/>
    <w:rsid w:val="00341F7F"/>
    <w:rsid w:val="003420CE"/>
    <w:rsid w:val="003423B0"/>
    <w:rsid w:val="003423E1"/>
    <w:rsid w:val="003424F4"/>
    <w:rsid w:val="0034263E"/>
    <w:rsid w:val="0034277E"/>
    <w:rsid w:val="003427D1"/>
    <w:rsid w:val="00342C4E"/>
    <w:rsid w:val="00342FA5"/>
    <w:rsid w:val="0034306E"/>
    <w:rsid w:val="003430E5"/>
    <w:rsid w:val="0034317F"/>
    <w:rsid w:val="00343314"/>
    <w:rsid w:val="003434A9"/>
    <w:rsid w:val="003434B4"/>
    <w:rsid w:val="00343514"/>
    <w:rsid w:val="00343707"/>
    <w:rsid w:val="00343736"/>
    <w:rsid w:val="00343A1E"/>
    <w:rsid w:val="00343F1A"/>
    <w:rsid w:val="0034407F"/>
    <w:rsid w:val="003441B5"/>
    <w:rsid w:val="00344289"/>
    <w:rsid w:val="0034429F"/>
    <w:rsid w:val="00344541"/>
    <w:rsid w:val="00344613"/>
    <w:rsid w:val="00344715"/>
    <w:rsid w:val="003448BF"/>
    <w:rsid w:val="003449D2"/>
    <w:rsid w:val="00344C69"/>
    <w:rsid w:val="00344DE9"/>
    <w:rsid w:val="00344E5A"/>
    <w:rsid w:val="00344ED4"/>
    <w:rsid w:val="00344ED6"/>
    <w:rsid w:val="003456D6"/>
    <w:rsid w:val="003458F5"/>
    <w:rsid w:val="00345B52"/>
    <w:rsid w:val="00345E6A"/>
    <w:rsid w:val="00345E89"/>
    <w:rsid w:val="00345E8F"/>
    <w:rsid w:val="00345F49"/>
    <w:rsid w:val="0034618E"/>
    <w:rsid w:val="0034625D"/>
    <w:rsid w:val="0034630E"/>
    <w:rsid w:val="00346321"/>
    <w:rsid w:val="003463C1"/>
    <w:rsid w:val="00346795"/>
    <w:rsid w:val="00346BA3"/>
    <w:rsid w:val="00346C33"/>
    <w:rsid w:val="00346C6B"/>
    <w:rsid w:val="00346DAB"/>
    <w:rsid w:val="00346E75"/>
    <w:rsid w:val="00346EC2"/>
    <w:rsid w:val="00346F47"/>
    <w:rsid w:val="0034703A"/>
    <w:rsid w:val="003471EE"/>
    <w:rsid w:val="003478D8"/>
    <w:rsid w:val="00347998"/>
    <w:rsid w:val="00347B7C"/>
    <w:rsid w:val="00347E12"/>
    <w:rsid w:val="00347F44"/>
    <w:rsid w:val="00347F85"/>
    <w:rsid w:val="00347F8D"/>
    <w:rsid w:val="003502B4"/>
    <w:rsid w:val="003502D9"/>
    <w:rsid w:val="003503C3"/>
    <w:rsid w:val="003503ED"/>
    <w:rsid w:val="00350490"/>
    <w:rsid w:val="003506AE"/>
    <w:rsid w:val="00350834"/>
    <w:rsid w:val="00350894"/>
    <w:rsid w:val="00350B96"/>
    <w:rsid w:val="00350CAD"/>
    <w:rsid w:val="00350DA9"/>
    <w:rsid w:val="0035103A"/>
    <w:rsid w:val="00351456"/>
    <w:rsid w:val="00351508"/>
    <w:rsid w:val="00351597"/>
    <w:rsid w:val="0035180F"/>
    <w:rsid w:val="00351D17"/>
    <w:rsid w:val="00351D18"/>
    <w:rsid w:val="00351E59"/>
    <w:rsid w:val="00352100"/>
    <w:rsid w:val="00352162"/>
    <w:rsid w:val="003521D0"/>
    <w:rsid w:val="00352408"/>
    <w:rsid w:val="0035271F"/>
    <w:rsid w:val="0035279C"/>
    <w:rsid w:val="003529B4"/>
    <w:rsid w:val="00352B74"/>
    <w:rsid w:val="00352C87"/>
    <w:rsid w:val="00352CFE"/>
    <w:rsid w:val="00352D5F"/>
    <w:rsid w:val="00352E65"/>
    <w:rsid w:val="00352E73"/>
    <w:rsid w:val="00352F51"/>
    <w:rsid w:val="003531C5"/>
    <w:rsid w:val="0035323A"/>
    <w:rsid w:val="003534C3"/>
    <w:rsid w:val="00353558"/>
    <w:rsid w:val="0035386C"/>
    <w:rsid w:val="00353A37"/>
    <w:rsid w:val="00353A8B"/>
    <w:rsid w:val="00353B46"/>
    <w:rsid w:val="00353C9D"/>
    <w:rsid w:val="00353E0F"/>
    <w:rsid w:val="00353E17"/>
    <w:rsid w:val="00353ED7"/>
    <w:rsid w:val="00354059"/>
    <w:rsid w:val="003541CB"/>
    <w:rsid w:val="00354238"/>
    <w:rsid w:val="0035434D"/>
    <w:rsid w:val="00354357"/>
    <w:rsid w:val="0035447B"/>
    <w:rsid w:val="003545EF"/>
    <w:rsid w:val="00354629"/>
    <w:rsid w:val="0035483B"/>
    <w:rsid w:val="0035484B"/>
    <w:rsid w:val="00354AC9"/>
    <w:rsid w:val="0035504C"/>
    <w:rsid w:val="003550D2"/>
    <w:rsid w:val="0035513D"/>
    <w:rsid w:val="0035542A"/>
    <w:rsid w:val="003554BC"/>
    <w:rsid w:val="0035559C"/>
    <w:rsid w:val="0035563B"/>
    <w:rsid w:val="00355696"/>
    <w:rsid w:val="0035571B"/>
    <w:rsid w:val="00355775"/>
    <w:rsid w:val="003558CE"/>
    <w:rsid w:val="00355A50"/>
    <w:rsid w:val="00355AB2"/>
    <w:rsid w:val="00355B56"/>
    <w:rsid w:val="00355C37"/>
    <w:rsid w:val="00355E34"/>
    <w:rsid w:val="00355EA1"/>
    <w:rsid w:val="003562AB"/>
    <w:rsid w:val="0035633B"/>
    <w:rsid w:val="00356397"/>
    <w:rsid w:val="00356442"/>
    <w:rsid w:val="00356557"/>
    <w:rsid w:val="003565B9"/>
    <w:rsid w:val="003565C3"/>
    <w:rsid w:val="003566E0"/>
    <w:rsid w:val="00356862"/>
    <w:rsid w:val="00356885"/>
    <w:rsid w:val="003569A5"/>
    <w:rsid w:val="003569F0"/>
    <w:rsid w:val="00356A37"/>
    <w:rsid w:val="00356B6C"/>
    <w:rsid w:val="00356CD7"/>
    <w:rsid w:val="003571AD"/>
    <w:rsid w:val="003573C4"/>
    <w:rsid w:val="0035746A"/>
    <w:rsid w:val="003574A4"/>
    <w:rsid w:val="00357579"/>
    <w:rsid w:val="00357587"/>
    <w:rsid w:val="00357707"/>
    <w:rsid w:val="00357876"/>
    <w:rsid w:val="00357900"/>
    <w:rsid w:val="0035799E"/>
    <w:rsid w:val="00357C5D"/>
    <w:rsid w:val="00357DC0"/>
    <w:rsid w:val="00357F20"/>
    <w:rsid w:val="00357F26"/>
    <w:rsid w:val="003602E3"/>
    <w:rsid w:val="0036040D"/>
    <w:rsid w:val="00360488"/>
    <w:rsid w:val="0036056D"/>
    <w:rsid w:val="003605BA"/>
    <w:rsid w:val="00360AFE"/>
    <w:rsid w:val="00360B61"/>
    <w:rsid w:val="00360CF9"/>
    <w:rsid w:val="00361026"/>
    <w:rsid w:val="00361064"/>
    <w:rsid w:val="00361192"/>
    <w:rsid w:val="00361376"/>
    <w:rsid w:val="003613A6"/>
    <w:rsid w:val="0036146F"/>
    <w:rsid w:val="00361504"/>
    <w:rsid w:val="00361519"/>
    <w:rsid w:val="00361886"/>
    <w:rsid w:val="00361941"/>
    <w:rsid w:val="00361C31"/>
    <w:rsid w:val="00361CEC"/>
    <w:rsid w:val="00362287"/>
    <w:rsid w:val="003622D9"/>
    <w:rsid w:val="003623DE"/>
    <w:rsid w:val="003625FF"/>
    <w:rsid w:val="0036299D"/>
    <w:rsid w:val="00362CE5"/>
    <w:rsid w:val="003630F2"/>
    <w:rsid w:val="00363168"/>
    <w:rsid w:val="00363186"/>
    <w:rsid w:val="00363392"/>
    <w:rsid w:val="003633C0"/>
    <w:rsid w:val="0036354A"/>
    <w:rsid w:val="00363557"/>
    <w:rsid w:val="00363609"/>
    <w:rsid w:val="0036361F"/>
    <w:rsid w:val="00363805"/>
    <w:rsid w:val="00363858"/>
    <w:rsid w:val="00363907"/>
    <w:rsid w:val="00363C0B"/>
    <w:rsid w:val="00363C9E"/>
    <w:rsid w:val="00363F38"/>
    <w:rsid w:val="00363FB6"/>
    <w:rsid w:val="00364134"/>
    <w:rsid w:val="0036426A"/>
    <w:rsid w:val="003642BC"/>
    <w:rsid w:val="00364484"/>
    <w:rsid w:val="00364696"/>
    <w:rsid w:val="003647AA"/>
    <w:rsid w:val="003648CF"/>
    <w:rsid w:val="0036496D"/>
    <w:rsid w:val="003649C1"/>
    <w:rsid w:val="00364D94"/>
    <w:rsid w:val="00364E10"/>
    <w:rsid w:val="00364E92"/>
    <w:rsid w:val="0036524F"/>
    <w:rsid w:val="00365374"/>
    <w:rsid w:val="00365434"/>
    <w:rsid w:val="00365650"/>
    <w:rsid w:val="0036576D"/>
    <w:rsid w:val="00365F82"/>
    <w:rsid w:val="003660FF"/>
    <w:rsid w:val="003661A8"/>
    <w:rsid w:val="0036632E"/>
    <w:rsid w:val="00366330"/>
    <w:rsid w:val="00366449"/>
    <w:rsid w:val="00366482"/>
    <w:rsid w:val="00366763"/>
    <w:rsid w:val="0036690F"/>
    <w:rsid w:val="00366CB2"/>
    <w:rsid w:val="00366E59"/>
    <w:rsid w:val="00366E6F"/>
    <w:rsid w:val="003671C3"/>
    <w:rsid w:val="003671C6"/>
    <w:rsid w:val="00367406"/>
    <w:rsid w:val="003675A1"/>
    <w:rsid w:val="003676B4"/>
    <w:rsid w:val="003676F8"/>
    <w:rsid w:val="0036771B"/>
    <w:rsid w:val="00367833"/>
    <w:rsid w:val="00367C00"/>
    <w:rsid w:val="00370037"/>
    <w:rsid w:val="0037048E"/>
    <w:rsid w:val="00370541"/>
    <w:rsid w:val="00370578"/>
    <w:rsid w:val="003705F6"/>
    <w:rsid w:val="003706EE"/>
    <w:rsid w:val="003707FE"/>
    <w:rsid w:val="00370803"/>
    <w:rsid w:val="00370845"/>
    <w:rsid w:val="00370AE1"/>
    <w:rsid w:val="00370BC2"/>
    <w:rsid w:val="00370C54"/>
    <w:rsid w:val="00370E0F"/>
    <w:rsid w:val="00370E62"/>
    <w:rsid w:val="00370E6B"/>
    <w:rsid w:val="003710F6"/>
    <w:rsid w:val="003713A6"/>
    <w:rsid w:val="00371400"/>
    <w:rsid w:val="00371419"/>
    <w:rsid w:val="003715EF"/>
    <w:rsid w:val="003718B6"/>
    <w:rsid w:val="003719AB"/>
    <w:rsid w:val="00371AA8"/>
    <w:rsid w:val="00371AB0"/>
    <w:rsid w:val="00371ABD"/>
    <w:rsid w:val="00371AEE"/>
    <w:rsid w:val="00371D26"/>
    <w:rsid w:val="00371F03"/>
    <w:rsid w:val="00372068"/>
    <w:rsid w:val="003721BC"/>
    <w:rsid w:val="0037225D"/>
    <w:rsid w:val="003722F4"/>
    <w:rsid w:val="0037240A"/>
    <w:rsid w:val="00372720"/>
    <w:rsid w:val="003727CA"/>
    <w:rsid w:val="003727E5"/>
    <w:rsid w:val="00372908"/>
    <w:rsid w:val="00372B2A"/>
    <w:rsid w:val="00372B2D"/>
    <w:rsid w:val="00372B58"/>
    <w:rsid w:val="00372D21"/>
    <w:rsid w:val="00372D6D"/>
    <w:rsid w:val="00372ED3"/>
    <w:rsid w:val="0037324A"/>
    <w:rsid w:val="003732B3"/>
    <w:rsid w:val="0037341C"/>
    <w:rsid w:val="003736FC"/>
    <w:rsid w:val="003737B6"/>
    <w:rsid w:val="003737ED"/>
    <w:rsid w:val="00373814"/>
    <w:rsid w:val="0037383A"/>
    <w:rsid w:val="00373870"/>
    <w:rsid w:val="00373AE9"/>
    <w:rsid w:val="00373B81"/>
    <w:rsid w:val="00373CC0"/>
    <w:rsid w:val="00373CD9"/>
    <w:rsid w:val="00373D30"/>
    <w:rsid w:val="00373F09"/>
    <w:rsid w:val="00374380"/>
    <w:rsid w:val="003745AD"/>
    <w:rsid w:val="00374665"/>
    <w:rsid w:val="0037483C"/>
    <w:rsid w:val="00374B35"/>
    <w:rsid w:val="00374F04"/>
    <w:rsid w:val="00375404"/>
    <w:rsid w:val="003754EC"/>
    <w:rsid w:val="003755EB"/>
    <w:rsid w:val="00375696"/>
    <w:rsid w:val="003756C2"/>
    <w:rsid w:val="0037586D"/>
    <w:rsid w:val="00375A7A"/>
    <w:rsid w:val="00375EA5"/>
    <w:rsid w:val="0037633F"/>
    <w:rsid w:val="00376344"/>
    <w:rsid w:val="00376411"/>
    <w:rsid w:val="00376584"/>
    <w:rsid w:val="0037660C"/>
    <w:rsid w:val="0037674F"/>
    <w:rsid w:val="00376807"/>
    <w:rsid w:val="00376933"/>
    <w:rsid w:val="003769DE"/>
    <w:rsid w:val="00376A82"/>
    <w:rsid w:val="00376D42"/>
    <w:rsid w:val="00376D45"/>
    <w:rsid w:val="00377027"/>
    <w:rsid w:val="00377152"/>
    <w:rsid w:val="003771E3"/>
    <w:rsid w:val="0037727C"/>
    <w:rsid w:val="00377719"/>
    <w:rsid w:val="0037779A"/>
    <w:rsid w:val="003779C2"/>
    <w:rsid w:val="00377B6E"/>
    <w:rsid w:val="00377BB3"/>
    <w:rsid w:val="00377DE4"/>
    <w:rsid w:val="00380273"/>
    <w:rsid w:val="003804E6"/>
    <w:rsid w:val="00380529"/>
    <w:rsid w:val="003807CB"/>
    <w:rsid w:val="00380844"/>
    <w:rsid w:val="003808CA"/>
    <w:rsid w:val="00380A3A"/>
    <w:rsid w:val="00380A41"/>
    <w:rsid w:val="00380A6C"/>
    <w:rsid w:val="00380C25"/>
    <w:rsid w:val="00380C8D"/>
    <w:rsid w:val="00380E74"/>
    <w:rsid w:val="00380FB6"/>
    <w:rsid w:val="00381404"/>
    <w:rsid w:val="0038188F"/>
    <w:rsid w:val="00381909"/>
    <w:rsid w:val="00381955"/>
    <w:rsid w:val="00381A3A"/>
    <w:rsid w:val="00381CF7"/>
    <w:rsid w:val="00381F00"/>
    <w:rsid w:val="00381F2C"/>
    <w:rsid w:val="00381F9E"/>
    <w:rsid w:val="003820CC"/>
    <w:rsid w:val="003821B3"/>
    <w:rsid w:val="00382333"/>
    <w:rsid w:val="00382418"/>
    <w:rsid w:val="003824D2"/>
    <w:rsid w:val="00382524"/>
    <w:rsid w:val="00382593"/>
    <w:rsid w:val="00382AB7"/>
    <w:rsid w:val="00382ADF"/>
    <w:rsid w:val="00382B48"/>
    <w:rsid w:val="00382C91"/>
    <w:rsid w:val="00382CBC"/>
    <w:rsid w:val="00382CC1"/>
    <w:rsid w:val="00382F1F"/>
    <w:rsid w:val="003830C8"/>
    <w:rsid w:val="003830EA"/>
    <w:rsid w:val="00383132"/>
    <w:rsid w:val="003831F4"/>
    <w:rsid w:val="00383518"/>
    <w:rsid w:val="00383700"/>
    <w:rsid w:val="0038389E"/>
    <w:rsid w:val="00383A5D"/>
    <w:rsid w:val="00383A8E"/>
    <w:rsid w:val="00383C47"/>
    <w:rsid w:val="00383C9E"/>
    <w:rsid w:val="00383F3D"/>
    <w:rsid w:val="003844CC"/>
    <w:rsid w:val="0038472B"/>
    <w:rsid w:val="00384790"/>
    <w:rsid w:val="00384896"/>
    <w:rsid w:val="003849EC"/>
    <w:rsid w:val="00384A3C"/>
    <w:rsid w:val="00384AC4"/>
    <w:rsid w:val="00384B98"/>
    <w:rsid w:val="00384BF5"/>
    <w:rsid w:val="00384C91"/>
    <w:rsid w:val="00384CC0"/>
    <w:rsid w:val="003850A4"/>
    <w:rsid w:val="00385157"/>
    <w:rsid w:val="00385224"/>
    <w:rsid w:val="00385370"/>
    <w:rsid w:val="00385472"/>
    <w:rsid w:val="003854C8"/>
    <w:rsid w:val="003856FA"/>
    <w:rsid w:val="0038588E"/>
    <w:rsid w:val="003858FF"/>
    <w:rsid w:val="003859CA"/>
    <w:rsid w:val="00385A24"/>
    <w:rsid w:val="00385B89"/>
    <w:rsid w:val="00385D07"/>
    <w:rsid w:val="0038626E"/>
    <w:rsid w:val="0038638B"/>
    <w:rsid w:val="00386588"/>
    <w:rsid w:val="0038661C"/>
    <w:rsid w:val="003866FC"/>
    <w:rsid w:val="00386744"/>
    <w:rsid w:val="00386950"/>
    <w:rsid w:val="00386975"/>
    <w:rsid w:val="00386978"/>
    <w:rsid w:val="00386A15"/>
    <w:rsid w:val="00386A81"/>
    <w:rsid w:val="00386EC5"/>
    <w:rsid w:val="00387192"/>
    <w:rsid w:val="003871FA"/>
    <w:rsid w:val="00387368"/>
    <w:rsid w:val="003876A8"/>
    <w:rsid w:val="0038770E"/>
    <w:rsid w:val="00387818"/>
    <w:rsid w:val="00387922"/>
    <w:rsid w:val="00387A89"/>
    <w:rsid w:val="00387DF4"/>
    <w:rsid w:val="00387E40"/>
    <w:rsid w:val="00387F02"/>
    <w:rsid w:val="00387F17"/>
    <w:rsid w:val="00387F5D"/>
    <w:rsid w:val="0039002F"/>
    <w:rsid w:val="0039019E"/>
    <w:rsid w:val="00390497"/>
    <w:rsid w:val="0039050B"/>
    <w:rsid w:val="0039052B"/>
    <w:rsid w:val="003905CD"/>
    <w:rsid w:val="003907BC"/>
    <w:rsid w:val="00390B7B"/>
    <w:rsid w:val="00390F8E"/>
    <w:rsid w:val="0039105F"/>
    <w:rsid w:val="00391071"/>
    <w:rsid w:val="00391414"/>
    <w:rsid w:val="003914F1"/>
    <w:rsid w:val="00391594"/>
    <w:rsid w:val="0039168F"/>
    <w:rsid w:val="00391771"/>
    <w:rsid w:val="00391CDE"/>
    <w:rsid w:val="00391D58"/>
    <w:rsid w:val="00391E8C"/>
    <w:rsid w:val="00391F0F"/>
    <w:rsid w:val="00391FD8"/>
    <w:rsid w:val="00392043"/>
    <w:rsid w:val="0039225C"/>
    <w:rsid w:val="003928EA"/>
    <w:rsid w:val="00392BA1"/>
    <w:rsid w:val="00392CAD"/>
    <w:rsid w:val="00392CE8"/>
    <w:rsid w:val="00392D62"/>
    <w:rsid w:val="00392D83"/>
    <w:rsid w:val="00392D97"/>
    <w:rsid w:val="00392DB3"/>
    <w:rsid w:val="003931A1"/>
    <w:rsid w:val="00393213"/>
    <w:rsid w:val="0039330E"/>
    <w:rsid w:val="00393493"/>
    <w:rsid w:val="003937A3"/>
    <w:rsid w:val="003937EF"/>
    <w:rsid w:val="00393961"/>
    <w:rsid w:val="00393AD5"/>
    <w:rsid w:val="003940AE"/>
    <w:rsid w:val="003942E8"/>
    <w:rsid w:val="00394335"/>
    <w:rsid w:val="00394521"/>
    <w:rsid w:val="00394699"/>
    <w:rsid w:val="00394712"/>
    <w:rsid w:val="00394895"/>
    <w:rsid w:val="0039497A"/>
    <w:rsid w:val="00394B1F"/>
    <w:rsid w:val="00394C0B"/>
    <w:rsid w:val="00394D3A"/>
    <w:rsid w:val="00394FF9"/>
    <w:rsid w:val="003951B1"/>
    <w:rsid w:val="00395343"/>
    <w:rsid w:val="0039539A"/>
    <w:rsid w:val="00395776"/>
    <w:rsid w:val="0039577D"/>
    <w:rsid w:val="003957DF"/>
    <w:rsid w:val="0039594A"/>
    <w:rsid w:val="00395A04"/>
    <w:rsid w:val="00395D81"/>
    <w:rsid w:val="00395E06"/>
    <w:rsid w:val="00395E74"/>
    <w:rsid w:val="00395E85"/>
    <w:rsid w:val="00395FD3"/>
    <w:rsid w:val="003961A5"/>
    <w:rsid w:val="00396248"/>
    <w:rsid w:val="003964FA"/>
    <w:rsid w:val="0039667D"/>
    <w:rsid w:val="0039674C"/>
    <w:rsid w:val="00396807"/>
    <w:rsid w:val="00396915"/>
    <w:rsid w:val="00396A5D"/>
    <w:rsid w:val="00396A7C"/>
    <w:rsid w:val="00396AAF"/>
    <w:rsid w:val="00396B16"/>
    <w:rsid w:val="00396D0A"/>
    <w:rsid w:val="00396F35"/>
    <w:rsid w:val="003970E4"/>
    <w:rsid w:val="00397150"/>
    <w:rsid w:val="003971B0"/>
    <w:rsid w:val="00397396"/>
    <w:rsid w:val="003975FA"/>
    <w:rsid w:val="003976D8"/>
    <w:rsid w:val="003976F3"/>
    <w:rsid w:val="00397752"/>
    <w:rsid w:val="003977B7"/>
    <w:rsid w:val="003979A5"/>
    <w:rsid w:val="00397B1C"/>
    <w:rsid w:val="00397B4E"/>
    <w:rsid w:val="00397B7C"/>
    <w:rsid w:val="00397F1B"/>
    <w:rsid w:val="00397F40"/>
    <w:rsid w:val="003A0420"/>
    <w:rsid w:val="003A0826"/>
    <w:rsid w:val="003A08EA"/>
    <w:rsid w:val="003A0952"/>
    <w:rsid w:val="003A0BD8"/>
    <w:rsid w:val="003A0DBC"/>
    <w:rsid w:val="003A0EBB"/>
    <w:rsid w:val="003A1178"/>
    <w:rsid w:val="003A14D6"/>
    <w:rsid w:val="003A179D"/>
    <w:rsid w:val="003A19BF"/>
    <w:rsid w:val="003A19F5"/>
    <w:rsid w:val="003A1A86"/>
    <w:rsid w:val="003A1B16"/>
    <w:rsid w:val="003A1E59"/>
    <w:rsid w:val="003A2021"/>
    <w:rsid w:val="003A2024"/>
    <w:rsid w:val="003A213E"/>
    <w:rsid w:val="003A224D"/>
    <w:rsid w:val="003A2413"/>
    <w:rsid w:val="003A2522"/>
    <w:rsid w:val="003A264D"/>
    <w:rsid w:val="003A2893"/>
    <w:rsid w:val="003A2A52"/>
    <w:rsid w:val="003A2CA8"/>
    <w:rsid w:val="003A2E26"/>
    <w:rsid w:val="003A2E59"/>
    <w:rsid w:val="003A2E85"/>
    <w:rsid w:val="003A3069"/>
    <w:rsid w:val="003A30B4"/>
    <w:rsid w:val="003A3113"/>
    <w:rsid w:val="003A35D4"/>
    <w:rsid w:val="003A3679"/>
    <w:rsid w:val="003A3713"/>
    <w:rsid w:val="003A3731"/>
    <w:rsid w:val="003A37BF"/>
    <w:rsid w:val="003A3816"/>
    <w:rsid w:val="003A406F"/>
    <w:rsid w:val="003A41C9"/>
    <w:rsid w:val="003A4486"/>
    <w:rsid w:val="003A4557"/>
    <w:rsid w:val="003A4568"/>
    <w:rsid w:val="003A47CC"/>
    <w:rsid w:val="003A4867"/>
    <w:rsid w:val="003A49E9"/>
    <w:rsid w:val="003A4BC7"/>
    <w:rsid w:val="003A4E44"/>
    <w:rsid w:val="003A5197"/>
    <w:rsid w:val="003A527D"/>
    <w:rsid w:val="003A5365"/>
    <w:rsid w:val="003A54E4"/>
    <w:rsid w:val="003A5687"/>
    <w:rsid w:val="003A5861"/>
    <w:rsid w:val="003A5A55"/>
    <w:rsid w:val="003A5BAA"/>
    <w:rsid w:val="003A61BA"/>
    <w:rsid w:val="003A62AE"/>
    <w:rsid w:val="003A62BF"/>
    <w:rsid w:val="003A62E3"/>
    <w:rsid w:val="003A63E4"/>
    <w:rsid w:val="003A64EC"/>
    <w:rsid w:val="003A6650"/>
    <w:rsid w:val="003A696B"/>
    <w:rsid w:val="003A6AB8"/>
    <w:rsid w:val="003A6C6B"/>
    <w:rsid w:val="003A6CF4"/>
    <w:rsid w:val="003A6E7E"/>
    <w:rsid w:val="003A7041"/>
    <w:rsid w:val="003A7470"/>
    <w:rsid w:val="003A75D3"/>
    <w:rsid w:val="003A7690"/>
    <w:rsid w:val="003A78D4"/>
    <w:rsid w:val="003A7B0C"/>
    <w:rsid w:val="003A7B8E"/>
    <w:rsid w:val="003A7BA5"/>
    <w:rsid w:val="003A7CED"/>
    <w:rsid w:val="003A7F06"/>
    <w:rsid w:val="003A7F22"/>
    <w:rsid w:val="003A7F56"/>
    <w:rsid w:val="003A7FA9"/>
    <w:rsid w:val="003A7FD5"/>
    <w:rsid w:val="003B005F"/>
    <w:rsid w:val="003B00B6"/>
    <w:rsid w:val="003B00CC"/>
    <w:rsid w:val="003B0247"/>
    <w:rsid w:val="003B0326"/>
    <w:rsid w:val="003B07E0"/>
    <w:rsid w:val="003B0998"/>
    <w:rsid w:val="003B0A0D"/>
    <w:rsid w:val="003B0A32"/>
    <w:rsid w:val="003B0CB9"/>
    <w:rsid w:val="003B0ECB"/>
    <w:rsid w:val="003B103C"/>
    <w:rsid w:val="003B1114"/>
    <w:rsid w:val="003B134A"/>
    <w:rsid w:val="003B166E"/>
    <w:rsid w:val="003B1795"/>
    <w:rsid w:val="003B1964"/>
    <w:rsid w:val="003B1DEE"/>
    <w:rsid w:val="003B1E91"/>
    <w:rsid w:val="003B20A0"/>
    <w:rsid w:val="003B214C"/>
    <w:rsid w:val="003B21D6"/>
    <w:rsid w:val="003B240F"/>
    <w:rsid w:val="003B2472"/>
    <w:rsid w:val="003B2505"/>
    <w:rsid w:val="003B264B"/>
    <w:rsid w:val="003B2719"/>
    <w:rsid w:val="003B27C1"/>
    <w:rsid w:val="003B2906"/>
    <w:rsid w:val="003B2C00"/>
    <w:rsid w:val="003B2F29"/>
    <w:rsid w:val="003B2FB8"/>
    <w:rsid w:val="003B32AB"/>
    <w:rsid w:val="003B3476"/>
    <w:rsid w:val="003B35BF"/>
    <w:rsid w:val="003B394D"/>
    <w:rsid w:val="003B3C6C"/>
    <w:rsid w:val="003B3E08"/>
    <w:rsid w:val="003B3E4F"/>
    <w:rsid w:val="003B3FD8"/>
    <w:rsid w:val="003B4103"/>
    <w:rsid w:val="003B4346"/>
    <w:rsid w:val="003B4380"/>
    <w:rsid w:val="003B43F6"/>
    <w:rsid w:val="003B4487"/>
    <w:rsid w:val="003B454D"/>
    <w:rsid w:val="003B46B5"/>
    <w:rsid w:val="003B486C"/>
    <w:rsid w:val="003B4B2E"/>
    <w:rsid w:val="003B4BFD"/>
    <w:rsid w:val="003B4EAD"/>
    <w:rsid w:val="003B4FDE"/>
    <w:rsid w:val="003B5033"/>
    <w:rsid w:val="003B514C"/>
    <w:rsid w:val="003B5590"/>
    <w:rsid w:val="003B56E0"/>
    <w:rsid w:val="003B57BA"/>
    <w:rsid w:val="003B57F9"/>
    <w:rsid w:val="003B5844"/>
    <w:rsid w:val="003B59F3"/>
    <w:rsid w:val="003B5CF8"/>
    <w:rsid w:val="003B5ED7"/>
    <w:rsid w:val="003B5F91"/>
    <w:rsid w:val="003B5FD4"/>
    <w:rsid w:val="003B6051"/>
    <w:rsid w:val="003B60CF"/>
    <w:rsid w:val="003B61CF"/>
    <w:rsid w:val="003B623A"/>
    <w:rsid w:val="003B6277"/>
    <w:rsid w:val="003B6310"/>
    <w:rsid w:val="003B655D"/>
    <w:rsid w:val="003B661C"/>
    <w:rsid w:val="003B6760"/>
    <w:rsid w:val="003B6895"/>
    <w:rsid w:val="003B6995"/>
    <w:rsid w:val="003B69CE"/>
    <w:rsid w:val="003B6B6E"/>
    <w:rsid w:val="003B6E54"/>
    <w:rsid w:val="003B6EB4"/>
    <w:rsid w:val="003B6FAA"/>
    <w:rsid w:val="003B7300"/>
    <w:rsid w:val="003B7463"/>
    <w:rsid w:val="003B762C"/>
    <w:rsid w:val="003B77E6"/>
    <w:rsid w:val="003B79B1"/>
    <w:rsid w:val="003B7A35"/>
    <w:rsid w:val="003B7B00"/>
    <w:rsid w:val="003B7BEB"/>
    <w:rsid w:val="003B7C81"/>
    <w:rsid w:val="003B7D2E"/>
    <w:rsid w:val="003B7D5F"/>
    <w:rsid w:val="003B7E20"/>
    <w:rsid w:val="003C0018"/>
    <w:rsid w:val="003C03B3"/>
    <w:rsid w:val="003C04CB"/>
    <w:rsid w:val="003C0531"/>
    <w:rsid w:val="003C05DB"/>
    <w:rsid w:val="003C05E2"/>
    <w:rsid w:val="003C064E"/>
    <w:rsid w:val="003C0742"/>
    <w:rsid w:val="003C0783"/>
    <w:rsid w:val="003C088E"/>
    <w:rsid w:val="003C0AEA"/>
    <w:rsid w:val="003C0D40"/>
    <w:rsid w:val="003C1113"/>
    <w:rsid w:val="003C12F7"/>
    <w:rsid w:val="003C1352"/>
    <w:rsid w:val="003C1464"/>
    <w:rsid w:val="003C15FD"/>
    <w:rsid w:val="003C1C19"/>
    <w:rsid w:val="003C1CEA"/>
    <w:rsid w:val="003C1ED3"/>
    <w:rsid w:val="003C1FCB"/>
    <w:rsid w:val="003C2360"/>
    <w:rsid w:val="003C258B"/>
    <w:rsid w:val="003C25FB"/>
    <w:rsid w:val="003C26BC"/>
    <w:rsid w:val="003C2A44"/>
    <w:rsid w:val="003C2CC1"/>
    <w:rsid w:val="003C2EF2"/>
    <w:rsid w:val="003C2F73"/>
    <w:rsid w:val="003C2F83"/>
    <w:rsid w:val="003C31E9"/>
    <w:rsid w:val="003C3249"/>
    <w:rsid w:val="003C34CC"/>
    <w:rsid w:val="003C34EB"/>
    <w:rsid w:val="003C3BE0"/>
    <w:rsid w:val="003C3C82"/>
    <w:rsid w:val="003C3F21"/>
    <w:rsid w:val="003C3FC6"/>
    <w:rsid w:val="003C4129"/>
    <w:rsid w:val="003C4663"/>
    <w:rsid w:val="003C48E9"/>
    <w:rsid w:val="003C4F18"/>
    <w:rsid w:val="003C4FAF"/>
    <w:rsid w:val="003C54DE"/>
    <w:rsid w:val="003C5763"/>
    <w:rsid w:val="003C5A78"/>
    <w:rsid w:val="003C5B0C"/>
    <w:rsid w:val="003C60CC"/>
    <w:rsid w:val="003C61DD"/>
    <w:rsid w:val="003C636B"/>
    <w:rsid w:val="003C6445"/>
    <w:rsid w:val="003C65CF"/>
    <w:rsid w:val="003C6653"/>
    <w:rsid w:val="003C6705"/>
    <w:rsid w:val="003C68CF"/>
    <w:rsid w:val="003C6919"/>
    <w:rsid w:val="003C6C37"/>
    <w:rsid w:val="003C6C66"/>
    <w:rsid w:val="003C6D91"/>
    <w:rsid w:val="003C6DE3"/>
    <w:rsid w:val="003C6E5C"/>
    <w:rsid w:val="003C6E82"/>
    <w:rsid w:val="003C6F2A"/>
    <w:rsid w:val="003C6F4A"/>
    <w:rsid w:val="003C7118"/>
    <w:rsid w:val="003C76D1"/>
    <w:rsid w:val="003C76E7"/>
    <w:rsid w:val="003C786E"/>
    <w:rsid w:val="003C7C1D"/>
    <w:rsid w:val="003C7C4A"/>
    <w:rsid w:val="003C7CFD"/>
    <w:rsid w:val="003C7DF1"/>
    <w:rsid w:val="003C7EE3"/>
    <w:rsid w:val="003C7F67"/>
    <w:rsid w:val="003C7FD5"/>
    <w:rsid w:val="003D0271"/>
    <w:rsid w:val="003D04B6"/>
    <w:rsid w:val="003D08ED"/>
    <w:rsid w:val="003D10A1"/>
    <w:rsid w:val="003D110A"/>
    <w:rsid w:val="003D110D"/>
    <w:rsid w:val="003D11B1"/>
    <w:rsid w:val="003D1205"/>
    <w:rsid w:val="003D15BB"/>
    <w:rsid w:val="003D1606"/>
    <w:rsid w:val="003D1732"/>
    <w:rsid w:val="003D194A"/>
    <w:rsid w:val="003D1ABC"/>
    <w:rsid w:val="003D1B04"/>
    <w:rsid w:val="003D1DEB"/>
    <w:rsid w:val="003D1EB0"/>
    <w:rsid w:val="003D1FB8"/>
    <w:rsid w:val="003D1FDC"/>
    <w:rsid w:val="003D2013"/>
    <w:rsid w:val="003D217B"/>
    <w:rsid w:val="003D2184"/>
    <w:rsid w:val="003D23AB"/>
    <w:rsid w:val="003D25AC"/>
    <w:rsid w:val="003D2658"/>
    <w:rsid w:val="003D26F7"/>
    <w:rsid w:val="003D276C"/>
    <w:rsid w:val="003D2830"/>
    <w:rsid w:val="003D2A7D"/>
    <w:rsid w:val="003D2BB7"/>
    <w:rsid w:val="003D2C48"/>
    <w:rsid w:val="003D2D81"/>
    <w:rsid w:val="003D2E52"/>
    <w:rsid w:val="003D2E9C"/>
    <w:rsid w:val="003D2F71"/>
    <w:rsid w:val="003D32DF"/>
    <w:rsid w:val="003D32E0"/>
    <w:rsid w:val="003D33B0"/>
    <w:rsid w:val="003D3441"/>
    <w:rsid w:val="003D357B"/>
    <w:rsid w:val="003D3630"/>
    <w:rsid w:val="003D3662"/>
    <w:rsid w:val="003D3685"/>
    <w:rsid w:val="003D38A9"/>
    <w:rsid w:val="003D3A63"/>
    <w:rsid w:val="003D3AB5"/>
    <w:rsid w:val="003D3B51"/>
    <w:rsid w:val="003D3BDC"/>
    <w:rsid w:val="003D3FC4"/>
    <w:rsid w:val="003D4033"/>
    <w:rsid w:val="003D4273"/>
    <w:rsid w:val="003D44DE"/>
    <w:rsid w:val="003D4641"/>
    <w:rsid w:val="003D467D"/>
    <w:rsid w:val="003D4780"/>
    <w:rsid w:val="003D49BE"/>
    <w:rsid w:val="003D4AA1"/>
    <w:rsid w:val="003D4AE2"/>
    <w:rsid w:val="003D4B88"/>
    <w:rsid w:val="003D4BEF"/>
    <w:rsid w:val="003D526D"/>
    <w:rsid w:val="003D5270"/>
    <w:rsid w:val="003D566E"/>
    <w:rsid w:val="003D579C"/>
    <w:rsid w:val="003D58A8"/>
    <w:rsid w:val="003D5A3B"/>
    <w:rsid w:val="003D5CD2"/>
    <w:rsid w:val="003D601C"/>
    <w:rsid w:val="003D6037"/>
    <w:rsid w:val="003D60E4"/>
    <w:rsid w:val="003D616F"/>
    <w:rsid w:val="003D6170"/>
    <w:rsid w:val="003D62BF"/>
    <w:rsid w:val="003D633E"/>
    <w:rsid w:val="003D652F"/>
    <w:rsid w:val="003D69EC"/>
    <w:rsid w:val="003D6B7B"/>
    <w:rsid w:val="003D6BE1"/>
    <w:rsid w:val="003D6C17"/>
    <w:rsid w:val="003D6C45"/>
    <w:rsid w:val="003D6F47"/>
    <w:rsid w:val="003D6F7A"/>
    <w:rsid w:val="003D7253"/>
    <w:rsid w:val="003D729B"/>
    <w:rsid w:val="003D734E"/>
    <w:rsid w:val="003D75DB"/>
    <w:rsid w:val="003D76E0"/>
    <w:rsid w:val="003D7857"/>
    <w:rsid w:val="003D7ABC"/>
    <w:rsid w:val="003D7B98"/>
    <w:rsid w:val="003D7BC0"/>
    <w:rsid w:val="003D7D5A"/>
    <w:rsid w:val="003D7D8C"/>
    <w:rsid w:val="003D7DA2"/>
    <w:rsid w:val="003D7DC3"/>
    <w:rsid w:val="003D7E6D"/>
    <w:rsid w:val="003E0235"/>
    <w:rsid w:val="003E0543"/>
    <w:rsid w:val="003E067A"/>
    <w:rsid w:val="003E0858"/>
    <w:rsid w:val="003E0924"/>
    <w:rsid w:val="003E0B47"/>
    <w:rsid w:val="003E0FD5"/>
    <w:rsid w:val="003E1066"/>
    <w:rsid w:val="003E12CA"/>
    <w:rsid w:val="003E1330"/>
    <w:rsid w:val="003E16A9"/>
    <w:rsid w:val="003E16CF"/>
    <w:rsid w:val="003E16F8"/>
    <w:rsid w:val="003E1708"/>
    <w:rsid w:val="003E1B1A"/>
    <w:rsid w:val="003E1B91"/>
    <w:rsid w:val="003E1C5A"/>
    <w:rsid w:val="003E1E4C"/>
    <w:rsid w:val="003E1F44"/>
    <w:rsid w:val="003E1F94"/>
    <w:rsid w:val="003E2046"/>
    <w:rsid w:val="003E2190"/>
    <w:rsid w:val="003E2290"/>
    <w:rsid w:val="003E235E"/>
    <w:rsid w:val="003E2422"/>
    <w:rsid w:val="003E24D3"/>
    <w:rsid w:val="003E26E1"/>
    <w:rsid w:val="003E292D"/>
    <w:rsid w:val="003E2C72"/>
    <w:rsid w:val="003E2E64"/>
    <w:rsid w:val="003E2EE4"/>
    <w:rsid w:val="003E301A"/>
    <w:rsid w:val="003E31D1"/>
    <w:rsid w:val="003E35B3"/>
    <w:rsid w:val="003E364C"/>
    <w:rsid w:val="003E36F0"/>
    <w:rsid w:val="003E3824"/>
    <w:rsid w:val="003E38B5"/>
    <w:rsid w:val="003E3CBA"/>
    <w:rsid w:val="003E3EAD"/>
    <w:rsid w:val="003E4121"/>
    <w:rsid w:val="003E414C"/>
    <w:rsid w:val="003E41C7"/>
    <w:rsid w:val="003E45E9"/>
    <w:rsid w:val="003E466F"/>
    <w:rsid w:val="003E47E4"/>
    <w:rsid w:val="003E4851"/>
    <w:rsid w:val="003E490E"/>
    <w:rsid w:val="003E4BB2"/>
    <w:rsid w:val="003E4BEF"/>
    <w:rsid w:val="003E4C98"/>
    <w:rsid w:val="003E4F94"/>
    <w:rsid w:val="003E5065"/>
    <w:rsid w:val="003E520F"/>
    <w:rsid w:val="003E5295"/>
    <w:rsid w:val="003E530E"/>
    <w:rsid w:val="003E53E4"/>
    <w:rsid w:val="003E56FE"/>
    <w:rsid w:val="003E58F4"/>
    <w:rsid w:val="003E5B79"/>
    <w:rsid w:val="003E5E93"/>
    <w:rsid w:val="003E5EF6"/>
    <w:rsid w:val="003E5F51"/>
    <w:rsid w:val="003E605B"/>
    <w:rsid w:val="003E6203"/>
    <w:rsid w:val="003E636B"/>
    <w:rsid w:val="003E6406"/>
    <w:rsid w:val="003E6678"/>
    <w:rsid w:val="003E6704"/>
    <w:rsid w:val="003E67A7"/>
    <w:rsid w:val="003E6903"/>
    <w:rsid w:val="003E6998"/>
    <w:rsid w:val="003E69A3"/>
    <w:rsid w:val="003E6B01"/>
    <w:rsid w:val="003E6C7B"/>
    <w:rsid w:val="003E6D26"/>
    <w:rsid w:val="003E6E57"/>
    <w:rsid w:val="003E7096"/>
    <w:rsid w:val="003E73C6"/>
    <w:rsid w:val="003E7462"/>
    <w:rsid w:val="003E76AC"/>
    <w:rsid w:val="003E7870"/>
    <w:rsid w:val="003E79BA"/>
    <w:rsid w:val="003E7AD5"/>
    <w:rsid w:val="003E7AF6"/>
    <w:rsid w:val="003E7BBA"/>
    <w:rsid w:val="003E7E57"/>
    <w:rsid w:val="003F00CF"/>
    <w:rsid w:val="003F014D"/>
    <w:rsid w:val="003F04C0"/>
    <w:rsid w:val="003F052D"/>
    <w:rsid w:val="003F097A"/>
    <w:rsid w:val="003F0B7A"/>
    <w:rsid w:val="003F0E3E"/>
    <w:rsid w:val="003F1008"/>
    <w:rsid w:val="003F11D1"/>
    <w:rsid w:val="003F12B9"/>
    <w:rsid w:val="003F1430"/>
    <w:rsid w:val="003F1657"/>
    <w:rsid w:val="003F167E"/>
    <w:rsid w:val="003F16B6"/>
    <w:rsid w:val="003F18CE"/>
    <w:rsid w:val="003F19D2"/>
    <w:rsid w:val="003F1B84"/>
    <w:rsid w:val="003F1C90"/>
    <w:rsid w:val="003F1D36"/>
    <w:rsid w:val="003F1E0D"/>
    <w:rsid w:val="003F1FD9"/>
    <w:rsid w:val="003F20AF"/>
    <w:rsid w:val="003F230C"/>
    <w:rsid w:val="003F248B"/>
    <w:rsid w:val="003F2566"/>
    <w:rsid w:val="003F271B"/>
    <w:rsid w:val="003F27A3"/>
    <w:rsid w:val="003F28E7"/>
    <w:rsid w:val="003F2AC0"/>
    <w:rsid w:val="003F2B1F"/>
    <w:rsid w:val="003F2C5A"/>
    <w:rsid w:val="003F2C9D"/>
    <w:rsid w:val="003F2CF4"/>
    <w:rsid w:val="003F33A6"/>
    <w:rsid w:val="003F34AC"/>
    <w:rsid w:val="003F35D1"/>
    <w:rsid w:val="003F370A"/>
    <w:rsid w:val="003F3745"/>
    <w:rsid w:val="003F3913"/>
    <w:rsid w:val="003F3916"/>
    <w:rsid w:val="003F3C16"/>
    <w:rsid w:val="003F3C2D"/>
    <w:rsid w:val="003F422B"/>
    <w:rsid w:val="003F43D9"/>
    <w:rsid w:val="003F4400"/>
    <w:rsid w:val="003F4455"/>
    <w:rsid w:val="003F4491"/>
    <w:rsid w:val="003F4558"/>
    <w:rsid w:val="003F4561"/>
    <w:rsid w:val="003F46C1"/>
    <w:rsid w:val="003F4787"/>
    <w:rsid w:val="003F492A"/>
    <w:rsid w:val="003F4945"/>
    <w:rsid w:val="003F4BAA"/>
    <w:rsid w:val="003F4BEF"/>
    <w:rsid w:val="003F4C25"/>
    <w:rsid w:val="003F4CF8"/>
    <w:rsid w:val="003F4DB2"/>
    <w:rsid w:val="003F4E15"/>
    <w:rsid w:val="003F4F04"/>
    <w:rsid w:val="003F4F12"/>
    <w:rsid w:val="003F4FF4"/>
    <w:rsid w:val="003F500C"/>
    <w:rsid w:val="003F5248"/>
    <w:rsid w:val="003F553E"/>
    <w:rsid w:val="003F57B7"/>
    <w:rsid w:val="003F5E0A"/>
    <w:rsid w:val="003F5F09"/>
    <w:rsid w:val="003F5F7A"/>
    <w:rsid w:val="003F60C3"/>
    <w:rsid w:val="003F63EB"/>
    <w:rsid w:val="003F64CB"/>
    <w:rsid w:val="003F66AF"/>
    <w:rsid w:val="003F6957"/>
    <w:rsid w:val="003F697F"/>
    <w:rsid w:val="003F6A9E"/>
    <w:rsid w:val="003F6BA4"/>
    <w:rsid w:val="003F6D7D"/>
    <w:rsid w:val="003F6E3C"/>
    <w:rsid w:val="003F6E54"/>
    <w:rsid w:val="003F6F58"/>
    <w:rsid w:val="003F716C"/>
    <w:rsid w:val="003F72ED"/>
    <w:rsid w:val="003F7469"/>
    <w:rsid w:val="003F7586"/>
    <w:rsid w:val="003F781D"/>
    <w:rsid w:val="003F7919"/>
    <w:rsid w:val="003F7E0B"/>
    <w:rsid w:val="004000D7"/>
    <w:rsid w:val="00400137"/>
    <w:rsid w:val="004002AA"/>
    <w:rsid w:val="004003DF"/>
    <w:rsid w:val="00400685"/>
    <w:rsid w:val="004007CA"/>
    <w:rsid w:val="004008C9"/>
    <w:rsid w:val="00400BA4"/>
    <w:rsid w:val="00400C36"/>
    <w:rsid w:val="00400D80"/>
    <w:rsid w:val="00400ED9"/>
    <w:rsid w:val="004011D7"/>
    <w:rsid w:val="00401354"/>
    <w:rsid w:val="00401389"/>
    <w:rsid w:val="00401700"/>
    <w:rsid w:val="004017EA"/>
    <w:rsid w:val="004018A9"/>
    <w:rsid w:val="00401A34"/>
    <w:rsid w:val="00401C73"/>
    <w:rsid w:val="00401E0F"/>
    <w:rsid w:val="00401E74"/>
    <w:rsid w:val="00402057"/>
    <w:rsid w:val="004023CF"/>
    <w:rsid w:val="00402418"/>
    <w:rsid w:val="0040245C"/>
    <w:rsid w:val="00402491"/>
    <w:rsid w:val="004024F3"/>
    <w:rsid w:val="00402511"/>
    <w:rsid w:val="00402655"/>
    <w:rsid w:val="004027F7"/>
    <w:rsid w:val="004028FB"/>
    <w:rsid w:val="0040299D"/>
    <w:rsid w:val="004029A9"/>
    <w:rsid w:val="00402C49"/>
    <w:rsid w:val="00402D79"/>
    <w:rsid w:val="00402E14"/>
    <w:rsid w:val="00402E68"/>
    <w:rsid w:val="00402F2D"/>
    <w:rsid w:val="00402F8A"/>
    <w:rsid w:val="00403006"/>
    <w:rsid w:val="00403330"/>
    <w:rsid w:val="004033FF"/>
    <w:rsid w:val="00403409"/>
    <w:rsid w:val="0040347D"/>
    <w:rsid w:val="00403513"/>
    <w:rsid w:val="0040351A"/>
    <w:rsid w:val="00403541"/>
    <w:rsid w:val="0040373A"/>
    <w:rsid w:val="0040373B"/>
    <w:rsid w:val="00403827"/>
    <w:rsid w:val="0040386A"/>
    <w:rsid w:val="0040392B"/>
    <w:rsid w:val="00403953"/>
    <w:rsid w:val="00403D5F"/>
    <w:rsid w:val="00403EE8"/>
    <w:rsid w:val="00403F1A"/>
    <w:rsid w:val="00403F21"/>
    <w:rsid w:val="00403F7F"/>
    <w:rsid w:val="00404300"/>
    <w:rsid w:val="00404357"/>
    <w:rsid w:val="00404383"/>
    <w:rsid w:val="0040491A"/>
    <w:rsid w:val="004049E6"/>
    <w:rsid w:val="00404A68"/>
    <w:rsid w:val="00404AD3"/>
    <w:rsid w:val="00404C3F"/>
    <w:rsid w:val="00404DC8"/>
    <w:rsid w:val="00405479"/>
    <w:rsid w:val="0040547D"/>
    <w:rsid w:val="00405532"/>
    <w:rsid w:val="004055FC"/>
    <w:rsid w:val="00405780"/>
    <w:rsid w:val="00405861"/>
    <w:rsid w:val="00405891"/>
    <w:rsid w:val="004059A0"/>
    <w:rsid w:val="00405A46"/>
    <w:rsid w:val="00405BA4"/>
    <w:rsid w:val="004060A9"/>
    <w:rsid w:val="004062C0"/>
    <w:rsid w:val="00406334"/>
    <w:rsid w:val="00406339"/>
    <w:rsid w:val="0040650A"/>
    <w:rsid w:val="0040668E"/>
    <w:rsid w:val="00406977"/>
    <w:rsid w:val="00406B3B"/>
    <w:rsid w:val="00406FB7"/>
    <w:rsid w:val="00407075"/>
    <w:rsid w:val="00407203"/>
    <w:rsid w:val="004073F4"/>
    <w:rsid w:val="0040755C"/>
    <w:rsid w:val="0040759A"/>
    <w:rsid w:val="004077C1"/>
    <w:rsid w:val="004078D8"/>
    <w:rsid w:val="00407945"/>
    <w:rsid w:val="004079B2"/>
    <w:rsid w:val="00407D7D"/>
    <w:rsid w:val="00407E53"/>
    <w:rsid w:val="0041004E"/>
    <w:rsid w:val="00410144"/>
    <w:rsid w:val="00410169"/>
    <w:rsid w:val="00410250"/>
    <w:rsid w:val="00410253"/>
    <w:rsid w:val="00410294"/>
    <w:rsid w:val="00410404"/>
    <w:rsid w:val="00410849"/>
    <w:rsid w:val="00410882"/>
    <w:rsid w:val="004109B4"/>
    <w:rsid w:val="00410A42"/>
    <w:rsid w:val="00410AF7"/>
    <w:rsid w:val="00410B75"/>
    <w:rsid w:val="00410B8A"/>
    <w:rsid w:val="00410C90"/>
    <w:rsid w:val="00410F00"/>
    <w:rsid w:val="0041128A"/>
    <w:rsid w:val="004114E6"/>
    <w:rsid w:val="00411506"/>
    <w:rsid w:val="0041154C"/>
    <w:rsid w:val="0041162A"/>
    <w:rsid w:val="0041166A"/>
    <w:rsid w:val="00411977"/>
    <w:rsid w:val="00411A9E"/>
    <w:rsid w:val="00411B9D"/>
    <w:rsid w:val="00411C1A"/>
    <w:rsid w:val="00411D72"/>
    <w:rsid w:val="00411DF7"/>
    <w:rsid w:val="00411ED2"/>
    <w:rsid w:val="00411F8E"/>
    <w:rsid w:val="0041209B"/>
    <w:rsid w:val="00412116"/>
    <w:rsid w:val="004122C0"/>
    <w:rsid w:val="0041231D"/>
    <w:rsid w:val="00412385"/>
    <w:rsid w:val="004123F8"/>
    <w:rsid w:val="0041255A"/>
    <w:rsid w:val="00412577"/>
    <w:rsid w:val="004126A9"/>
    <w:rsid w:val="0041270A"/>
    <w:rsid w:val="0041274F"/>
    <w:rsid w:val="00412CB0"/>
    <w:rsid w:val="00412D5A"/>
    <w:rsid w:val="00413082"/>
    <w:rsid w:val="004130A8"/>
    <w:rsid w:val="00413157"/>
    <w:rsid w:val="004131E5"/>
    <w:rsid w:val="00413218"/>
    <w:rsid w:val="0041332E"/>
    <w:rsid w:val="0041356F"/>
    <w:rsid w:val="00413582"/>
    <w:rsid w:val="00413590"/>
    <w:rsid w:val="0041359E"/>
    <w:rsid w:val="00413609"/>
    <w:rsid w:val="00413632"/>
    <w:rsid w:val="0041376F"/>
    <w:rsid w:val="00413843"/>
    <w:rsid w:val="00413C36"/>
    <w:rsid w:val="00413C3F"/>
    <w:rsid w:val="004140B6"/>
    <w:rsid w:val="004142DD"/>
    <w:rsid w:val="00414655"/>
    <w:rsid w:val="00414802"/>
    <w:rsid w:val="004148CD"/>
    <w:rsid w:val="00414B41"/>
    <w:rsid w:val="00414B90"/>
    <w:rsid w:val="00414E5A"/>
    <w:rsid w:val="004150FE"/>
    <w:rsid w:val="0041510F"/>
    <w:rsid w:val="00415134"/>
    <w:rsid w:val="00415188"/>
    <w:rsid w:val="004153F6"/>
    <w:rsid w:val="00415587"/>
    <w:rsid w:val="004155EF"/>
    <w:rsid w:val="00415731"/>
    <w:rsid w:val="00415741"/>
    <w:rsid w:val="0041582B"/>
    <w:rsid w:val="00415897"/>
    <w:rsid w:val="00415DB2"/>
    <w:rsid w:val="00415FCE"/>
    <w:rsid w:val="0041621A"/>
    <w:rsid w:val="00416254"/>
    <w:rsid w:val="0041638B"/>
    <w:rsid w:val="00416616"/>
    <w:rsid w:val="004167C1"/>
    <w:rsid w:val="004168DF"/>
    <w:rsid w:val="00416C6A"/>
    <w:rsid w:val="00416F4F"/>
    <w:rsid w:val="0041714D"/>
    <w:rsid w:val="0041719C"/>
    <w:rsid w:val="00417306"/>
    <w:rsid w:val="004174B1"/>
    <w:rsid w:val="004174EF"/>
    <w:rsid w:val="004175D5"/>
    <w:rsid w:val="0041762C"/>
    <w:rsid w:val="0041771D"/>
    <w:rsid w:val="00417975"/>
    <w:rsid w:val="004179DE"/>
    <w:rsid w:val="00417AC5"/>
    <w:rsid w:val="00417B66"/>
    <w:rsid w:val="00417B82"/>
    <w:rsid w:val="00417E57"/>
    <w:rsid w:val="00417F51"/>
    <w:rsid w:val="0042011D"/>
    <w:rsid w:val="0042050C"/>
    <w:rsid w:val="004205D7"/>
    <w:rsid w:val="00420636"/>
    <w:rsid w:val="00420666"/>
    <w:rsid w:val="00420CCB"/>
    <w:rsid w:val="00420EB8"/>
    <w:rsid w:val="00420F23"/>
    <w:rsid w:val="00421132"/>
    <w:rsid w:val="00421164"/>
    <w:rsid w:val="00421287"/>
    <w:rsid w:val="0042143E"/>
    <w:rsid w:val="00421459"/>
    <w:rsid w:val="004216E3"/>
    <w:rsid w:val="0042172D"/>
    <w:rsid w:val="00421733"/>
    <w:rsid w:val="004217A1"/>
    <w:rsid w:val="004218E0"/>
    <w:rsid w:val="00421909"/>
    <w:rsid w:val="00421933"/>
    <w:rsid w:val="00421A3C"/>
    <w:rsid w:val="00421D20"/>
    <w:rsid w:val="00421EB7"/>
    <w:rsid w:val="004222F1"/>
    <w:rsid w:val="00422369"/>
    <w:rsid w:val="0042237C"/>
    <w:rsid w:val="004223C3"/>
    <w:rsid w:val="004225B0"/>
    <w:rsid w:val="004225D3"/>
    <w:rsid w:val="004225E0"/>
    <w:rsid w:val="00422762"/>
    <w:rsid w:val="00422855"/>
    <w:rsid w:val="00422920"/>
    <w:rsid w:val="00422BD2"/>
    <w:rsid w:val="00422CAA"/>
    <w:rsid w:val="00422CD9"/>
    <w:rsid w:val="00422EBD"/>
    <w:rsid w:val="00423005"/>
    <w:rsid w:val="004233BD"/>
    <w:rsid w:val="0042345F"/>
    <w:rsid w:val="004234F2"/>
    <w:rsid w:val="004235E9"/>
    <w:rsid w:val="00423749"/>
    <w:rsid w:val="00423A09"/>
    <w:rsid w:val="00423B59"/>
    <w:rsid w:val="00423C7D"/>
    <w:rsid w:val="00423CC9"/>
    <w:rsid w:val="004241F4"/>
    <w:rsid w:val="004246FD"/>
    <w:rsid w:val="00424792"/>
    <w:rsid w:val="00424A41"/>
    <w:rsid w:val="00424AC3"/>
    <w:rsid w:val="00424BC5"/>
    <w:rsid w:val="00424BF7"/>
    <w:rsid w:val="00424C68"/>
    <w:rsid w:val="00424F45"/>
    <w:rsid w:val="004250CD"/>
    <w:rsid w:val="0042523B"/>
    <w:rsid w:val="004252CC"/>
    <w:rsid w:val="00425328"/>
    <w:rsid w:val="00425422"/>
    <w:rsid w:val="00425447"/>
    <w:rsid w:val="00425611"/>
    <w:rsid w:val="0042569D"/>
    <w:rsid w:val="0042573A"/>
    <w:rsid w:val="00425742"/>
    <w:rsid w:val="004259DD"/>
    <w:rsid w:val="00425AE4"/>
    <w:rsid w:val="00425C7B"/>
    <w:rsid w:val="00425EFE"/>
    <w:rsid w:val="00426216"/>
    <w:rsid w:val="00426514"/>
    <w:rsid w:val="00426774"/>
    <w:rsid w:val="00426B3A"/>
    <w:rsid w:val="00426C56"/>
    <w:rsid w:val="00427024"/>
    <w:rsid w:val="00427110"/>
    <w:rsid w:val="004271D9"/>
    <w:rsid w:val="0042731D"/>
    <w:rsid w:val="004274C2"/>
    <w:rsid w:val="00427620"/>
    <w:rsid w:val="0042774B"/>
    <w:rsid w:val="00427CED"/>
    <w:rsid w:val="00427F17"/>
    <w:rsid w:val="004300AB"/>
    <w:rsid w:val="004300C2"/>
    <w:rsid w:val="00430178"/>
    <w:rsid w:val="00430223"/>
    <w:rsid w:val="0043029C"/>
    <w:rsid w:val="00430748"/>
    <w:rsid w:val="00430878"/>
    <w:rsid w:val="004309A7"/>
    <w:rsid w:val="004309E8"/>
    <w:rsid w:val="004309FF"/>
    <w:rsid w:val="00430B20"/>
    <w:rsid w:val="00430D91"/>
    <w:rsid w:val="00430EFA"/>
    <w:rsid w:val="0043107A"/>
    <w:rsid w:val="004311D1"/>
    <w:rsid w:val="0043132E"/>
    <w:rsid w:val="0043134D"/>
    <w:rsid w:val="0043143C"/>
    <w:rsid w:val="004314DF"/>
    <w:rsid w:val="004317C5"/>
    <w:rsid w:val="00432009"/>
    <w:rsid w:val="00432147"/>
    <w:rsid w:val="00432292"/>
    <w:rsid w:val="00432331"/>
    <w:rsid w:val="004323A3"/>
    <w:rsid w:val="00432420"/>
    <w:rsid w:val="00432625"/>
    <w:rsid w:val="0043272C"/>
    <w:rsid w:val="0043295B"/>
    <w:rsid w:val="00432C2A"/>
    <w:rsid w:val="00432C62"/>
    <w:rsid w:val="0043346E"/>
    <w:rsid w:val="004338F5"/>
    <w:rsid w:val="00433A86"/>
    <w:rsid w:val="00433AED"/>
    <w:rsid w:val="00433D31"/>
    <w:rsid w:val="00433F33"/>
    <w:rsid w:val="00433FAB"/>
    <w:rsid w:val="00433FE2"/>
    <w:rsid w:val="00434286"/>
    <w:rsid w:val="0043428D"/>
    <w:rsid w:val="0043449D"/>
    <w:rsid w:val="004344FA"/>
    <w:rsid w:val="0043455B"/>
    <w:rsid w:val="00434736"/>
    <w:rsid w:val="004347FA"/>
    <w:rsid w:val="0043485A"/>
    <w:rsid w:val="0043487E"/>
    <w:rsid w:val="004349A7"/>
    <w:rsid w:val="00434BB8"/>
    <w:rsid w:val="00434BE3"/>
    <w:rsid w:val="00434E3F"/>
    <w:rsid w:val="00434EDE"/>
    <w:rsid w:val="00434FFE"/>
    <w:rsid w:val="00435225"/>
    <w:rsid w:val="00435468"/>
    <w:rsid w:val="00435571"/>
    <w:rsid w:val="004355BA"/>
    <w:rsid w:val="00435869"/>
    <w:rsid w:val="00435961"/>
    <w:rsid w:val="0043597F"/>
    <w:rsid w:val="00435B6C"/>
    <w:rsid w:val="00435D48"/>
    <w:rsid w:val="00435E23"/>
    <w:rsid w:val="00436166"/>
    <w:rsid w:val="004361A6"/>
    <w:rsid w:val="004361B0"/>
    <w:rsid w:val="004361BD"/>
    <w:rsid w:val="00436246"/>
    <w:rsid w:val="00436734"/>
    <w:rsid w:val="0043676D"/>
    <w:rsid w:val="0043685E"/>
    <w:rsid w:val="004368D2"/>
    <w:rsid w:val="00436AAF"/>
    <w:rsid w:val="00436B06"/>
    <w:rsid w:val="00436CF8"/>
    <w:rsid w:val="00436D23"/>
    <w:rsid w:val="00436FAA"/>
    <w:rsid w:val="00437051"/>
    <w:rsid w:val="00437246"/>
    <w:rsid w:val="00437337"/>
    <w:rsid w:val="00437473"/>
    <w:rsid w:val="0043753E"/>
    <w:rsid w:val="00437551"/>
    <w:rsid w:val="004378B2"/>
    <w:rsid w:val="00437B06"/>
    <w:rsid w:val="00437B10"/>
    <w:rsid w:val="00437BF4"/>
    <w:rsid w:val="00437F63"/>
    <w:rsid w:val="00437FF7"/>
    <w:rsid w:val="004400AC"/>
    <w:rsid w:val="004401C0"/>
    <w:rsid w:val="004402B6"/>
    <w:rsid w:val="00440553"/>
    <w:rsid w:val="00440809"/>
    <w:rsid w:val="00440A48"/>
    <w:rsid w:val="00440E6C"/>
    <w:rsid w:val="00440F62"/>
    <w:rsid w:val="00441166"/>
    <w:rsid w:val="0044136B"/>
    <w:rsid w:val="00441642"/>
    <w:rsid w:val="00441681"/>
    <w:rsid w:val="0044197B"/>
    <w:rsid w:val="004419D0"/>
    <w:rsid w:val="00441B97"/>
    <w:rsid w:val="00441C9D"/>
    <w:rsid w:val="00441FA9"/>
    <w:rsid w:val="0044202C"/>
    <w:rsid w:val="004422B4"/>
    <w:rsid w:val="004424C4"/>
    <w:rsid w:val="00442528"/>
    <w:rsid w:val="004427AF"/>
    <w:rsid w:val="00442A34"/>
    <w:rsid w:val="00442B72"/>
    <w:rsid w:val="00442EA4"/>
    <w:rsid w:val="00442EF9"/>
    <w:rsid w:val="004430E3"/>
    <w:rsid w:val="00443205"/>
    <w:rsid w:val="0044327F"/>
    <w:rsid w:val="004432B8"/>
    <w:rsid w:val="004434AF"/>
    <w:rsid w:val="004434FA"/>
    <w:rsid w:val="00443583"/>
    <w:rsid w:val="004435CB"/>
    <w:rsid w:val="00443719"/>
    <w:rsid w:val="00443837"/>
    <w:rsid w:val="00443908"/>
    <w:rsid w:val="00443E3E"/>
    <w:rsid w:val="00443EBE"/>
    <w:rsid w:val="00443ED0"/>
    <w:rsid w:val="00444094"/>
    <w:rsid w:val="004440D5"/>
    <w:rsid w:val="00444276"/>
    <w:rsid w:val="00444763"/>
    <w:rsid w:val="00444764"/>
    <w:rsid w:val="0044480E"/>
    <w:rsid w:val="00444814"/>
    <w:rsid w:val="00444822"/>
    <w:rsid w:val="00444A65"/>
    <w:rsid w:val="00444AD4"/>
    <w:rsid w:val="0044510E"/>
    <w:rsid w:val="0044511D"/>
    <w:rsid w:val="004452B5"/>
    <w:rsid w:val="0044534E"/>
    <w:rsid w:val="00445442"/>
    <w:rsid w:val="004459AB"/>
    <w:rsid w:val="00445CCA"/>
    <w:rsid w:val="00445E30"/>
    <w:rsid w:val="00445F27"/>
    <w:rsid w:val="004460B0"/>
    <w:rsid w:val="00446228"/>
    <w:rsid w:val="00446600"/>
    <w:rsid w:val="0044677B"/>
    <w:rsid w:val="00446A32"/>
    <w:rsid w:val="00446B1B"/>
    <w:rsid w:val="00446C60"/>
    <w:rsid w:val="00446CBD"/>
    <w:rsid w:val="00446F94"/>
    <w:rsid w:val="00447362"/>
    <w:rsid w:val="004476AF"/>
    <w:rsid w:val="00447863"/>
    <w:rsid w:val="00447AAC"/>
    <w:rsid w:val="00447C5F"/>
    <w:rsid w:val="00447E02"/>
    <w:rsid w:val="00447E23"/>
    <w:rsid w:val="00447F10"/>
    <w:rsid w:val="00450369"/>
    <w:rsid w:val="004506BF"/>
    <w:rsid w:val="0045099A"/>
    <w:rsid w:val="00450A0F"/>
    <w:rsid w:val="00450D28"/>
    <w:rsid w:val="00450DD8"/>
    <w:rsid w:val="00450DE4"/>
    <w:rsid w:val="004510C7"/>
    <w:rsid w:val="0045124D"/>
    <w:rsid w:val="0045130D"/>
    <w:rsid w:val="004513D3"/>
    <w:rsid w:val="00451412"/>
    <w:rsid w:val="0045167E"/>
    <w:rsid w:val="00451775"/>
    <w:rsid w:val="004517B0"/>
    <w:rsid w:val="004517C8"/>
    <w:rsid w:val="0045189F"/>
    <w:rsid w:val="0045192B"/>
    <w:rsid w:val="004519BB"/>
    <w:rsid w:val="00451A51"/>
    <w:rsid w:val="00451CBC"/>
    <w:rsid w:val="00451D04"/>
    <w:rsid w:val="00451D08"/>
    <w:rsid w:val="00451F02"/>
    <w:rsid w:val="00451FEC"/>
    <w:rsid w:val="00452212"/>
    <w:rsid w:val="00452337"/>
    <w:rsid w:val="0045251E"/>
    <w:rsid w:val="0045271B"/>
    <w:rsid w:val="004528E4"/>
    <w:rsid w:val="004528F6"/>
    <w:rsid w:val="00452A36"/>
    <w:rsid w:val="00452B3D"/>
    <w:rsid w:val="00452C11"/>
    <w:rsid w:val="00452DCF"/>
    <w:rsid w:val="00452E40"/>
    <w:rsid w:val="00453227"/>
    <w:rsid w:val="00453441"/>
    <w:rsid w:val="004538EF"/>
    <w:rsid w:val="00453AD6"/>
    <w:rsid w:val="00453D6C"/>
    <w:rsid w:val="00453ED3"/>
    <w:rsid w:val="00453F9B"/>
    <w:rsid w:val="0045419C"/>
    <w:rsid w:val="00454294"/>
    <w:rsid w:val="0045443E"/>
    <w:rsid w:val="004546E3"/>
    <w:rsid w:val="00454712"/>
    <w:rsid w:val="00454821"/>
    <w:rsid w:val="004548AF"/>
    <w:rsid w:val="00454BC0"/>
    <w:rsid w:val="00454C4A"/>
    <w:rsid w:val="00454CE9"/>
    <w:rsid w:val="00454E05"/>
    <w:rsid w:val="00454E5F"/>
    <w:rsid w:val="00455061"/>
    <w:rsid w:val="00455230"/>
    <w:rsid w:val="004552B7"/>
    <w:rsid w:val="00455479"/>
    <w:rsid w:val="004554E7"/>
    <w:rsid w:val="0045553A"/>
    <w:rsid w:val="00455577"/>
    <w:rsid w:val="004557BB"/>
    <w:rsid w:val="00455982"/>
    <w:rsid w:val="00455A8D"/>
    <w:rsid w:val="00455BBA"/>
    <w:rsid w:val="00455D42"/>
    <w:rsid w:val="00455F12"/>
    <w:rsid w:val="0045604B"/>
    <w:rsid w:val="00456059"/>
    <w:rsid w:val="00456226"/>
    <w:rsid w:val="00456423"/>
    <w:rsid w:val="00456454"/>
    <w:rsid w:val="00456545"/>
    <w:rsid w:val="004565BF"/>
    <w:rsid w:val="0045665B"/>
    <w:rsid w:val="0045683D"/>
    <w:rsid w:val="004569A1"/>
    <w:rsid w:val="00456D6B"/>
    <w:rsid w:val="00456E26"/>
    <w:rsid w:val="004570F8"/>
    <w:rsid w:val="00457164"/>
    <w:rsid w:val="00457203"/>
    <w:rsid w:val="004574E5"/>
    <w:rsid w:val="00457605"/>
    <w:rsid w:val="004576F8"/>
    <w:rsid w:val="00457949"/>
    <w:rsid w:val="0045795F"/>
    <w:rsid w:val="00457A98"/>
    <w:rsid w:val="00457D62"/>
    <w:rsid w:val="00457D72"/>
    <w:rsid w:val="00457D86"/>
    <w:rsid w:val="00457ED2"/>
    <w:rsid w:val="00457F39"/>
    <w:rsid w:val="00460194"/>
    <w:rsid w:val="0046033A"/>
    <w:rsid w:val="004603EE"/>
    <w:rsid w:val="00460437"/>
    <w:rsid w:val="00460562"/>
    <w:rsid w:val="004605A6"/>
    <w:rsid w:val="00460944"/>
    <w:rsid w:val="00460992"/>
    <w:rsid w:val="00460A4F"/>
    <w:rsid w:val="00460AD9"/>
    <w:rsid w:val="00460CBA"/>
    <w:rsid w:val="00461155"/>
    <w:rsid w:val="0046117C"/>
    <w:rsid w:val="004611CB"/>
    <w:rsid w:val="0046129E"/>
    <w:rsid w:val="00461488"/>
    <w:rsid w:val="00461A60"/>
    <w:rsid w:val="00461D99"/>
    <w:rsid w:val="00462184"/>
    <w:rsid w:val="0046249F"/>
    <w:rsid w:val="0046254D"/>
    <w:rsid w:val="00462827"/>
    <w:rsid w:val="004628A1"/>
    <w:rsid w:val="00462927"/>
    <w:rsid w:val="00462963"/>
    <w:rsid w:val="00462A1D"/>
    <w:rsid w:val="00462B3B"/>
    <w:rsid w:val="00462D20"/>
    <w:rsid w:val="00463098"/>
    <w:rsid w:val="004630D8"/>
    <w:rsid w:val="004634BA"/>
    <w:rsid w:val="004637C8"/>
    <w:rsid w:val="004638A9"/>
    <w:rsid w:val="004638E6"/>
    <w:rsid w:val="00463BE9"/>
    <w:rsid w:val="00463C06"/>
    <w:rsid w:val="00463C69"/>
    <w:rsid w:val="00463D5B"/>
    <w:rsid w:val="00463EBB"/>
    <w:rsid w:val="00463EBC"/>
    <w:rsid w:val="00463F07"/>
    <w:rsid w:val="00463F18"/>
    <w:rsid w:val="00463F57"/>
    <w:rsid w:val="00464048"/>
    <w:rsid w:val="0046419E"/>
    <w:rsid w:val="0046429E"/>
    <w:rsid w:val="00464527"/>
    <w:rsid w:val="00464538"/>
    <w:rsid w:val="00464544"/>
    <w:rsid w:val="00464588"/>
    <w:rsid w:val="00464760"/>
    <w:rsid w:val="004648B9"/>
    <w:rsid w:val="00464929"/>
    <w:rsid w:val="00464934"/>
    <w:rsid w:val="00464B1F"/>
    <w:rsid w:val="00464B65"/>
    <w:rsid w:val="00464DE2"/>
    <w:rsid w:val="00464F16"/>
    <w:rsid w:val="0046514C"/>
    <w:rsid w:val="0046519F"/>
    <w:rsid w:val="004651D9"/>
    <w:rsid w:val="00465239"/>
    <w:rsid w:val="00465487"/>
    <w:rsid w:val="00465518"/>
    <w:rsid w:val="0046562D"/>
    <w:rsid w:val="004656AF"/>
    <w:rsid w:val="00465868"/>
    <w:rsid w:val="00465ABB"/>
    <w:rsid w:val="00465C50"/>
    <w:rsid w:val="00465E97"/>
    <w:rsid w:val="0046605C"/>
    <w:rsid w:val="004665D2"/>
    <w:rsid w:val="004669A0"/>
    <w:rsid w:val="004669E5"/>
    <w:rsid w:val="00466BAF"/>
    <w:rsid w:val="00466BB5"/>
    <w:rsid w:val="00466CEB"/>
    <w:rsid w:val="00466D23"/>
    <w:rsid w:val="00466EBD"/>
    <w:rsid w:val="0046708A"/>
    <w:rsid w:val="004671EC"/>
    <w:rsid w:val="004672FE"/>
    <w:rsid w:val="0046745C"/>
    <w:rsid w:val="004677B9"/>
    <w:rsid w:val="0046787F"/>
    <w:rsid w:val="004678E4"/>
    <w:rsid w:val="00467A1E"/>
    <w:rsid w:val="00467AC9"/>
    <w:rsid w:val="00467BCD"/>
    <w:rsid w:val="00467C48"/>
    <w:rsid w:val="00467D18"/>
    <w:rsid w:val="00467E7F"/>
    <w:rsid w:val="0047033D"/>
    <w:rsid w:val="00470351"/>
    <w:rsid w:val="0047044C"/>
    <w:rsid w:val="00470589"/>
    <w:rsid w:val="004705FB"/>
    <w:rsid w:val="00470782"/>
    <w:rsid w:val="0047081A"/>
    <w:rsid w:val="00470844"/>
    <w:rsid w:val="00470A47"/>
    <w:rsid w:val="00470A51"/>
    <w:rsid w:val="00470ACE"/>
    <w:rsid w:val="00470AED"/>
    <w:rsid w:val="00470AFF"/>
    <w:rsid w:val="00470B15"/>
    <w:rsid w:val="00470F43"/>
    <w:rsid w:val="0047110B"/>
    <w:rsid w:val="00471116"/>
    <w:rsid w:val="004712AB"/>
    <w:rsid w:val="004712CF"/>
    <w:rsid w:val="0047136E"/>
    <w:rsid w:val="00471471"/>
    <w:rsid w:val="004714D7"/>
    <w:rsid w:val="0047161F"/>
    <w:rsid w:val="004717C9"/>
    <w:rsid w:val="00471A30"/>
    <w:rsid w:val="00472042"/>
    <w:rsid w:val="00472116"/>
    <w:rsid w:val="00472264"/>
    <w:rsid w:val="004722F4"/>
    <w:rsid w:val="00472339"/>
    <w:rsid w:val="0047236B"/>
    <w:rsid w:val="004723AA"/>
    <w:rsid w:val="004724B2"/>
    <w:rsid w:val="00472604"/>
    <w:rsid w:val="00472785"/>
    <w:rsid w:val="004727DF"/>
    <w:rsid w:val="004729D5"/>
    <w:rsid w:val="00472AD0"/>
    <w:rsid w:val="00472DA4"/>
    <w:rsid w:val="00472EDE"/>
    <w:rsid w:val="00473160"/>
    <w:rsid w:val="00473260"/>
    <w:rsid w:val="004732A1"/>
    <w:rsid w:val="0047343C"/>
    <w:rsid w:val="0047347F"/>
    <w:rsid w:val="00473616"/>
    <w:rsid w:val="004736FA"/>
    <w:rsid w:val="00473940"/>
    <w:rsid w:val="00473BC3"/>
    <w:rsid w:val="00473D9E"/>
    <w:rsid w:val="00473E1A"/>
    <w:rsid w:val="00473F11"/>
    <w:rsid w:val="00473F3C"/>
    <w:rsid w:val="00473F56"/>
    <w:rsid w:val="0047405E"/>
    <w:rsid w:val="004740A3"/>
    <w:rsid w:val="004740BA"/>
    <w:rsid w:val="00474210"/>
    <w:rsid w:val="00474397"/>
    <w:rsid w:val="0047463B"/>
    <w:rsid w:val="004748C2"/>
    <w:rsid w:val="0047498B"/>
    <w:rsid w:val="004749E0"/>
    <w:rsid w:val="00474BC1"/>
    <w:rsid w:val="00474E9C"/>
    <w:rsid w:val="00474F85"/>
    <w:rsid w:val="00475120"/>
    <w:rsid w:val="004753A5"/>
    <w:rsid w:val="00475613"/>
    <w:rsid w:val="004756F7"/>
    <w:rsid w:val="004758C9"/>
    <w:rsid w:val="0047593D"/>
    <w:rsid w:val="00475970"/>
    <w:rsid w:val="00475A09"/>
    <w:rsid w:val="00475B10"/>
    <w:rsid w:val="00475B7E"/>
    <w:rsid w:val="00475E3A"/>
    <w:rsid w:val="00476181"/>
    <w:rsid w:val="0047618B"/>
    <w:rsid w:val="00476214"/>
    <w:rsid w:val="00476286"/>
    <w:rsid w:val="00476760"/>
    <w:rsid w:val="00476948"/>
    <w:rsid w:val="00476A65"/>
    <w:rsid w:val="00476C4A"/>
    <w:rsid w:val="00477169"/>
    <w:rsid w:val="004773A0"/>
    <w:rsid w:val="004773B0"/>
    <w:rsid w:val="0047755C"/>
    <w:rsid w:val="004775DD"/>
    <w:rsid w:val="00477A97"/>
    <w:rsid w:val="00477CE4"/>
    <w:rsid w:val="00477DC8"/>
    <w:rsid w:val="00477E14"/>
    <w:rsid w:val="00477FFC"/>
    <w:rsid w:val="004801B4"/>
    <w:rsid w:val="00480211"/>
    <w:rsid w:val="0048024E"/>
    <w:rsid w:val="0048028E"/>
    <w:rsid w:val="004805F4"/>
    <w:rsid w:val="004805FC"/>
    <w:rsid w:val="00480609"/>
    <w:rsid w:val="004807AE"/>
    <w:rsid w:val="004807E8"/>
    <w:rsid w:val="00480938"/>
    <w:rsid w:val="00480ADD"/>
    <w:rsid w:val="00480C55"/>
    <w:rsid w:val="00480E7E"/>
    <w:rsid w:val="00480F5C"/>
    <w:rsid w:val="00481036"/>
    <w:rsid w:val="004810C3"/>
    <w:rsid w:val="00481396"/>
    <w:rsid w:val="00481558"/>
    <w:rsid w:val="00481A0F"/>
    <w:rsid w:val="00481A1E"/>
    <w:rsid w:val="00481D99"/>
    <w:rsid w:val="0048210B"/>
    <w:rsid w:val="00482381"/>
    <w:rsid w:val="004827A9"/>
    <w:rsid w:val="00482974"/>
    <w:rsid w:val="004829AA"/>
    <w:rsid w:val="004829EE"/>
    <w:rsid w:val="00482E40"/>
    <w:rsid w:val="00482E70"/>
    <w:rsid w:val="00482E95"/>
    <w:rsid w:val="004830BC"/>
    <w:rsid w:val="004832FE"/>
    <w:rsid w:val="004834B4"/>
    <w:rsid w:val="0048368F"/>
    <w:rsid w:val="00483890"/>
    <w:rsid w:val="004839E4"/>
    <w:rsid w:val="00483C52"/>
    <w:rsid w:val="004844BF"/>
    <w:rsid w:val="004845C1"/>
    <w:rsid w:val="0048464D"/>
    <w:rsid w:val="00484831"/>
    <w:rsid w:val="00484902"/>
    <w:rsid w:val="00484A43"/>
    <w:rsid w:val="00484AFA"/>
    <w:rsid w:val="00484C19"/>
    <w:rsid w:val="00484C2F"/>
    <w:rsid w:val="00484E58"/>
    <w:rsid w:val="00484EF9"/>
    <w:rsid w:val="0048511F"/>
    <w:rsid w:val="0048532F"/>
    <w:rsid w:val="004854C9"/>
    <w:rsid w:val="0048556D"/>
    <w:rsid w:val="00485614"/>
    <w:rsid w:val="004857D7"/>
    <w:rsid w:val="00485AE8"/>
    <w:rsid w:val="00485AFD"/>
    <w:rsid w:val="00485DDA"/>
    <w:rsid w:val="004860A1"/>
    <w:rsid w:val="004860C2"/>
    <w:rsid w:val="00486396"/>
    <w:rsid w:val="004863E1"/>
    <w:rsid w:val="00486963"/>
    <w:rsid w:val="00486A05"/>
    <w:rsid w:val="00486B03"/>
    <w:rsid w:val="00486BD8"/>
    <w:rsid w:val="00486CD7"/>
    <w:rsid w:val="00486CD8"/>
    <w:rsid w:val="00486EB9"/>
    <w:rsid w:val="00486EC0"/>
    <w:rsid w:val="00486F32"/>
    <w:rsid w:val="00486FC4"/>
    <w:rsid w:val="00486FED"/>
    <w:rsid w:val="00487119"/>
    <w:rsid w:val="004872F4"/>
    <w:rsid w:val="0048733B"/>
    <w:rsid w:val="00487697"/>
    <w:rsid w:val="004876FE"/>
    <w:rsid w:val="0048786E"/>
    <w:rsid w:val="004878F3"/>
    <w:rsid w:val="00487A6C"/>
    <w:rsid w:val="00487A85"/>
    <w:rsid w:val="00487BFD"/>
    <w:rsid w:val="00487D8D"/>
    <w:rsid w:val="00487F15"/>
    <w:rsid w:val="00487F25"/>
    <w:rsid w:val="00490081"/>
    <w:rsid w:val="0049014B"/>
    <w:rsid w:val="004903A2"/>
    <w:rsid w:val="004904C3"/>
    <w:rsid w:val="0049051F"/>
    <w:rsid w:val="004907A9"/>
    <w:rsid w:val="004907EC"/>
    <w:rsid w:val="004908E8"/>
    <w:rsid w:val="00490958"/>
    <w:rsid w:val="00490AB4"/>
    <w:rsid w:val="00490BE5"/>
    <w:rsid w:val="0049106D"/>
    <w:rsid w:val="00491131"/>
    <w:rsid w:val="00491168"/>
    <w:rsid w:val="004913E3"/>
    <w:rsid w:val="004915BA"/>
    <w:rsid w:val="004917B6"/>
    <w:rsid w:val="004918FF"/>
    <w:rsid w:val="00491905"/>
    <w:rsid w:val="00491C6B"/>
    <w:rsid w:val="00491D43"/>
    <w:rsid w:val="00491DFA"/>
    <w:rsid w:val="00491E60"/>
    <w:rsid w:val="00491F3D"/>
    <w:rsid w:val="004923D6"/>
    <w:rsid w:val="004924A3"/>
    <w:rsid w:val="0049252B"/>
    <w:rsid w:val="0049268B"/>
    <w:rsid w:val="004926ED"/>
    <w:rsid w:val="00492859"/>
    <w:rsid w:val="00492A00"/>
    <w:rsid w:val="00492D9F"/>
    <w:rsid w:val="00492DC0"/>
    <w:rsid w:val="00492DCD"/>
    <w:rsid w:val="00492E52"/>
    <w:rsid w:val="004931C9"/>
    <w:rsid w:val="0049331C"/>
    <w:rsid w:val="004934D4"/>
    <w:rsid w:val="00493741"/>
    <w:rsid w:val="00493778"/>
    <w:rsid w:val="00493936"/>
    <w:rsid w:val="00493A9D"/>
    <w:rsid w:val="00493AC5"/>
    <w:rsid w:val="00493ED5"/>
    <w:rsid w:val="0049411D"/>
    <w:rsid w:val="00494274"/>
    <w:rsid w:val="00494324"/>
    <w:rsid w:val="00494356"/>
    <w:rsid w:val="0049438E"/>
    <w:rsid w:val="0049467D"/>
    <w:rsid w:val="00494909"/>
    <w:rsid w:val="0049498A"/>
    <w:rsid w:val="00494A97"/>
    <w:rsid w:val="00494AFE"/>
    <w:rsid w:val="00494EDC"/>
    <w:rsid w:val="00494F76"/>
    <w:rsid w:val="004950CF"/>
    <w:rsid w:val="004953AC"/>
    <w:rsid w:val="004955EA"/>
    <w:rsid w:val="00495B1F"/>
    <w:rsid w:val="00495C4E"/>
    <w:rsid w:val="00495CAB"/>
    <w:rsid w:val="00495ECB"/>
    <w:rsid w:val="00495F83"/>
    <w:rsid w:val="00496000"/>
    <w:rsid w:val="00496135"/>
    <w:rsid w:val="004964B1"/>
    <w:rsid w:val="004965C3"/>
    <w:rsid w:val="00496754"/>
    <w:rsid w:val="00496877"/>
    <w:rsid w:val="004968A4"/>
    <w:rsid w:val="004968B6"/>
    <w:rsid w:val="00496A0A"/>
    <w:rsid w:val="00496A84"/>
    <w:rsid w:val="00496D81"/>
    <w:rsid w:val="00496E13"/>
    <w:rsid w:val="00496E27"/>
    <w:rsid w:val="00497041"/>
    <w:rsid w:val="004971A3"/>
    <w:rsid w:val="004973AD"/>
    <w:rsid w:val="00497416"/>
    <w:rsid w:val="004976F7"/>
    <w:rsid w:val="0049783A"/>
    <w:rsid w:val="004978C7"/>
    <w:rsid w:val="00497902"/>
    <w:rsid w:val="00497BCE"/>
    <w:rsid w:val="00497DC7"/>
    <w:rsid w:val="00497EB4"/>
    <w:rsid w:val="00497F27"/>
    <w:rsid w:val="004A00B9"/>
    <w:rsid w:val="004A0453"/>
    <w:rsid w:val="004A04DD"/>
    <w:rsid w:val="004A05BA"/>
    <w:rsid w:val="004A05D9"/>
    <w:rsid w:val="004A0618"/>
    <w:rsid w:val="004A0823"/>
    <w:rsid w:val="004A08B9"/>
    <w:rsid w:val="004A0AB4"/>
    <w:rsid w:val="004A0B16"/>
    <w:rsid w:val="004A0C11"/>
    <w:rsid w:val="004A0C33"/>
    <w:rsid w:val="004A0CF1"/>
    <w:rsid w:val="004A0E89"/>
    <w:rsid w:val="004A0F6C"/>
    <w:rsid w:val="004A1067"/>
    <w:rsid w:val="004A112F"/>
    <w:rsid w:val="004A120A"/>
    <w:rsid w:val="004A1217"/>
    <w:rsid w:val="004A1735"/>
    <w:rsid w:val="004A18DA"/>
    <w:rsid w:val="004A1973"/>
    <w:rsid w:val="004A19FD"/>
    <w:rsid w:val="004A1A43"/>
    <w:rsid w:val="004A1B66"/>
    <w:rsid w:val="004A1B95"/>
    <w:rsid w:val="004A1C23"/>
    <w:rsid w:val="004A1DC2"/>
    <w:rsid w:val="004A1F99"/>
    <w:rsid w:val="004A1FAA"/>
    <w:rsid w:val="004A2133"/>
    <w:rsid w:val="004A22ED"/>
    <w:rsid w:val="004A2388"/>
    <w:rsid w:val="004A24F6"/>
    <w:rsid w:val="004A25C0"/>
    <w:rsid w:val="004A26FA"/>
    <w:rsid w:val="004A291C"/>
    <w:rsid w:val="004A2C2A"/>
    <w:rsid w:val="004A2EA1"/>
    <w:rsid w:val="004A2F85"/>
    <w:rsid w:val="004A3089"/>
    <w:rsid w:val="004A30E2"/>
    <w:rsid w:val="004A3258"/>
    <w:rsid w:val="004A334A"/>
    <w:rsid w:val="004A341E"/>
    <w:rsid w:val="004A345E"/>
    <w:rsid w:val="004A372B"/>
    <w:rsid w:val="004A37D3"/>
    <w:rsid w:val="004A3B2A"/>
    <w:rsid w:val="004A3BA0"/>
    <w:rsid w:val="004A3BBD"/>
    <w:rsid w:val="004A3C14"/>
    <w:rsid w:val="004A3CB8"/>
    <w:rsid w:val="004A3EB9"/>
    <w:rsid w:val="004A404D"/>
    <w:rsid w:val="004A414A"/>
    <w:rsid w:val="004A46D3"/>
    <w:rsid w:val="004A4725"/>
    <w:rsid w:val="004A479A"/>
    <w:rsid w:val="004A49AC"/>
    <w:rsid w:val="004A4D0E"/>
    <w:rsid w:val="004A4D3C"/>
    <w:rsid w:val="004A4E40"/>
    <w:rsid w:val="004A4EEB"/>
    <w:rsid w:val="004A50B6"/>
    <w:rsid w:val="004A5223"/>
    <w:rsid w:val="004A5298"/>
    <w:rsid w:val="004A54E8"/>
    <w:rsid w:val="004A5562"/>
    <w:rsid w:val="004A563C"/>
    <w:rsid w:val="004A59F0"/>
    <w:rsid w:val="004A5A62"/>
    <w:rsid w:val="004A5AB5"/>
    <w:rsid w:val="004A5CF0"/>
    <w:rsid w:val="004A61AB"/>
    <w:rsid w:val="004A62B9"/>
    <w:rsid w:val="004A64C1"/>
    <w:rsid w:val="004A6542"/>
    <w:rsid w:val="004A6832"/>
    <w:rsid w:val="004A6AD9"/>
    <w:rsid w:val="004A6E53"/>
    <w:rsid w:val="004A700A"/>
    <w:rsid w:val="004A706A"/>
    <w:rsid w:val="004A70A2"/>
    <w:rsid w:val="004A7245"/>
    <w:rsid w:val="004A724F"/>
    <w:rsid w:val="004A76F9"/>
    <w:rsid w:val="004A78FD"/>
    <w:rsid w:val="004A7A50"/>
    <w:rsid w:val="004A7B8A"/>
    <w:rsid w:val="004A7D1A"/>
    <w:rsid w:val="004B0489"/>
    <w:rsid w:val="004B05D6"/>
    <w:rsid w:val="004B070E"/>
    <w:rsid w:val="004B0736"/>
    <w:rsid w:val="004B07B6"/>
    <w:rsid w:val="004B08AA"/>
    <w:rsid w:val="004B0927"/>
    <w:rsid w:val="004B0AF3"/>
    <w:rsid w:val="004B0C4D"/>
    <w:rsid w:val="004B0D37"/>
    <w:rsid w:val="004B0F13"/>
    <w:rsid w:val="004B108E"/>
    <w:rsid w:val="004B1178"/>
    <w:rsid w:val="004B1577"/>
    <w:rsid w:val="004B163E"/>
    <w:rsid w:val="004B1642"/>
    <w:rsid w:val="004B1713"/>
    <w:rsid w:val="004B1ADF"/>
    <w:rsid w:val="004B1CA4"/>
    <w:rsid w:val="004B1CD2"/>
    <w:rsid w:val="004B1DC9"/>
    <w:rsid w:val="004B215C"/>
    <w:rsid w:val="004B21BE"/>
    <w:rsid w:val="004B2217"/>
    <w:rsid w:val="004B228A"/>
    <w:rsid w:val="004B22A9"/>
    <w:rsid w:val="004B22DD"/>
    <w:rsid w:val="004B263A"/>
    <w:rsid w:val="004B2670"/>
    <w:rsid w:val="004B2750"/>
    <w:rsid w:val="004B2795"/>
    <w:rsid w:val="004B281E"/>
    <w:rsid w:val="004B2838"/>
    <w:rsid w:val="004B29A2"/>
    <w:rsid w:val="004B2B6B"/>
    <w:rsid w:val="004B2DE2"/>
    <w:rsid w:val="004B2F57"/>
    <w:rsid w:val="004B2F84"/>
    <w:rsid w:val="004B3679"/>
    <w:rsid w:val="004B3818"/>
    <w:rsid w:val="004B3A46"/>
    <w:rsid w:val="004B3B89"/>
    <w:rsid w:val="004B3F0B"/>
    <w:rsid w:val="004B3F87"/>
    <w:rsid w:val="004B4070"/>
    <w:rsid w:val="004B411C"/>
    <w:rsid w:val="004B43F4"/>
    <w:rsid w:val="004B4458"/>
    <w:rsid w:val="004B44BB"/>
    <w:rsid w:val="004B45C7"/>
    <w:rsid w:val="004B4ADC"/>
    <w:rsid w:val="004B4BC8"/>
    <w:rsid w:val="004B4D09"/>
    <w:rsid w:val="004B4D49"/>
    <w:rsid w:val="004B4E3B"/>
    <w:rsid w:val="004B4E4C"/>
    <w:rsid w:val="004B502F"/>
    <w:rsid w:val="004B505E"/>
    <w:rsid w:val="004B5140"/>
    <w:rsid w:val="004B532C"/>
    <w:rsid w:val="004B56AA"/>
    <w:rsid w:val="004B56B6"/>
    <w:rsid w:val="004B57C2"/>
    <w:rsid w:val="004B593A"/>
    <w:rsid w:val="004B5A1E"/>
    <w:rsid w:val="004B5A2E"/>
    <w:rsid w:val="004B5A65"/>
    <w:rsid w:val="004B5B4F"/>
    <w:rsid w:val="004B5B60"/>
    <w:rsid w:val="004B5C76"/>
    <w:rsid w:val="004B5D4A"/>
    <w:rsid w:val="004B5F78"/>
    <w:rsid w:val="004B6004"/>
    <w:rsid w:val="004B612C"/>
    <w:rsid w:val="004B62D4"/>
    <w:rsid w:val="004B648D"/>
    <w:rsid w:val="004B66DB"/>
    <w:rsid w:val="004B6768"/>
    <w:rsid w:val="004B6787"/>
    <w:rsid w:val="004B692E"/>
    <w:rsid w:val="004B6B36"/>
    <w:rsid w:val="004B6E75"/>
    <w:rsid w:val="004B6ED5"/>
    <w:rsid w:val="004B6F21"/>
    <w:rsid w:val="004B6F59"/>
    <w:rsid w:val="004B6FAC"/>
    <w:rsid w:val="004B7037"/>
    <w:rsid w:val="004B705A"/>
    <w:rsid w:val="004B706B"/>
    <w:rsid w:val="004B707C"/>
    <w:rsid w:val="004B70E0"/>
    <w:rsid w:val="004B724C"/>
    <w:rsid w:val="004B72FD"/>
    <w:rsid w:val="004B7391"/>
    <w:rsid w:val="004B745E"/>
    <w:rsid w:val="004B753D"/>
    <w:rsid w:val="004B78A3"/>
    <w:rsid w:val="004B7B90"/>
    <w:rsid w:val="004B7F7B"/>
    <w:rsid w:val="004B7FB5"/>
    <w:rsid w:val="004C002A"/>
    <w:rsid w:val="004C03CE"/>
    <w:rsid w:val="004C0432"/>
    <w:rsid w:val="004C05C8"/>
    <w:rsid w:val="004C0762"/>
    <w:rsid w:val="004C0A8B"/>
    <w:rsid w:val="004C0BCA"/>
    <w:rsid w:val="004C0BF6"/>
    <w:rsid w:val="004C0D8D"/>
    <w:rsid w:val="004C0DF2"/>
    <w:rsid w:val="004C1021"/>
    <w:rsid w:val="004C11BD"/>
    <w:rsid w:val="004C1279"/>
    <w:rsid w:val="004C139F"/>
    <w:rsid w:val="004C1738"/>
    <w:rsid w:val="004C17A7"/>
    <w:rsid w:val="004C1854"/>
    <w:rsid w:val="004C19BD"/>
    <w:rsid w:val="004C19DA"/>
    <w:rsid w:val="004C1CD4"/>
    <w:rsid w:val="004C1D44"/>
    <w:rsid w:val="004C1D9D"/>
    <w:rsid w:val="004C1E9D"/>
    <w:rsid w:val="004C1EA4"/>
    <w:rsid w:val="004C200C"/>
    <w:rsid w:val="004C2146"/>
    <w:rsid w:val="004C2414"/>
    <w:rsid w:val="004C247C"/>
    <w:rsid w:val="004C2797"/>
    <w:rsid w:val="004C27E0"/>
    <w:rsid w:val="004C28AB"/>
    <w:rsid w:val="004C291B"/>
    <w:rsid w:val="004C2982"/>
    <w:rsid w:val="004C31CE"/>
    <w:rsid w:val="004C348E"/>
    <w:rsid w:val="004C35F3"/>
    <w:rsid w:val="004C385F"/>
    <w:rsid w:val="004C3AAA"/>
    <w:rsid w:val="004C3ACA"/>
    <w:rsid w:val="004C3B0E"/>
    <w:rsid w:val="004C3BC2"/>
    <w:rsid w:val="004C3C6A"/>
    <w:rsid w:val="004C3CFF"/>
    <w:rsid w:val="004C3E3A"/>
    <w:rsid w:val="004C3FE3"/>
    <w:rsid w:val="004C4357"/>
    <w:rsid w:val="004C44DA"/>
    <w:rsid w:val="004C4898"/>
    <w:rsid w:val="004C4906"/>
    <w:rsid w:val="004C492E"/>
    <w:rsid w:val="004C4A54"/>
    <w:rsid w:val="004C4A83"/>
    <w:rsid w:val="004C4CC1"/>
    <w:rsid w:val="004C5208"/>
    <w:rsid w:val="004C5225"/>
    <w:rsid w:val="004C54E5"/>
    <w:rsid w:val="004C5556"/>
    <w:rsid w:val="004C56B4"/>
    <w:rsid w:val="004C58E8"/>
    <w:rsid w:val="004C59F9"/>
    <w:rsid w:val="004C5AFD"/>
    <w:rsid w:val="004C5D03"/>
    <w:rsid w:val="004C5D2F"/>
    <w:rsid w:val="004C60D9"/>
    <w:rsid w:val="004C629B"/>
    <w:rsid w:val="004C62AF"/>
    <w:rsid w:val="004C62F9"/>
    <w:rsid w:val="004C631B"/>
    <w:rsid w:val="004C63A8"/>
    <w:rsid w:val="004C6580"/>
    <w:rsid w:val="004C659B"/>
    <w:rsid w:val="004C681F"/>
    <w:rsid w:val="004C68C1"/>
    <w:rsid w:val="004C68EF"/>
    <w:rsid w:val="004C6B73"/>
    <w:rsid w:val="004C6C31"/>
    <w:rsid w:val="004C6CAD"/>
    <w:rsid w:val="004C6D40"/>
    <w:rsid w:val="004C6D4E"/>
    <w:rsid w:val="004C6D58"/>
    <w:rsid w:val="004C6DED"/>
    <w:rsid w:val="004C7086"/>
    <w:rsid w:val="004C7333"/>
    <w:rsid w:val="004C77FC"/>
    <w:rsid w:val="004C795C"/>
    <w:rsid w:val="004C7C8D"/>
    <w:rsid w:val="004C7DDB"/>
    <w:rsid w:val="004C7F26"/>
    <w:rsid w:val="004D006E"/>
    <w:rsid w:val="004D008C"/>
    <w:rsid w:val="004D01F9"/>
    <w:rsid w:val="004D0303"/>
    <w:rsid w:val="004D05EB"/>
    <w:rsid w:val="004D0676"/>
    <w:rsid w:val="004D0828"/>
    <w:rsid w:val="004D0853"/>
    <w:rsid w:val="004D0C1C"/>
    <w:rsid w:val="004D0C73"/>
    <w:rsid w:val="004D0DEC"/>
    <w:rsid w:val="004D0F2B"/>
    <w:rsid w:val="004D10EA"/>
    <w:rsid w:val="004D1179"/>
    <w:rsid w:val="004D13FF"/>
    <w:rsid w:val="004D15F8"/>
    <w:rsid w:val="004D1854"/>
    <w:rsid w:val="004D18AF"/>
    <w:rsid w:val="004D1E75"/>
    <w:rsid w:val="004D1F30"/>
    <w:rsid w:val="004D2082"/>
    <w:rsid w:val="004D27AC"/>
    <w:rsid w:val="004D27AF"/>
    <w:rsid w:val="004D29B3"/>
    <w:rsid w:val="004D2BC1"/>
    <w:rsid w:val="004D2C0B"/>
    <w:rsid w:val="004D2C34"/>
    <w:rsid w:val="004D2CC5"/>
    <w:rsid w:val="004D2F68"/>
    <w:rsid w:val="004D3389"/>
    <w:rsid w:val="004D3409"/>
    <w:rsid w:val="004D3507"/>
    <w:rsid w:val="004D36A8"/>
    <w:rsid w:val="004D3764"/>
    <w:rsid w:val="004D39D8"/>
    <w:rsid w:val="004D3A39"/>
    <w:rsid w:val="004D3B7C"/>
    <w:rsid w:val="004D3CC1"/>
    <w:rsid w:val="004D3CDF"/>
    <w:rsid w:val="004D3D16"/>
    <w:rsid w:val="004D3DB0"/>
    <w:rsid w:val="004D4026"/>
    <w:rsid w:val="004D4308"/>
    <w:rsid w:val="004D4386"/>
    <w:rsid w:val="004D44A2"/>
    <w:rsid w:val="004D44E6"/>
    <w:rsid w:val="004D4794"/>
    <w:rsid w:val="004D47A7"/>
    <w:rsid w:val="004D47E7"/>
    <w:rsid w:val="004D49A1"/>
    <w:rsid w:val="004D4C79"/>
    <w:rsid w:val="004D4D3B"/>
    <w:rsid w:val="004D4D68"/>
    <w:rsid w:val="004D4F0C"/>
    <w:rsid w:val="004D4F21"/>
    <w:rsid w:val="004D502F"/>
    <w:rsid w:val="004D506B"/>
    <w:rsid w:val="004D507D"/>
    <w:rsid w:val="004D5139"/>
    <w:rsid w:val="004D5177"/>
    <w:rsid w:val="004D51ED"/>
    <w:rsid w:val="004D52B7"/>
    <w:rsid w:val="004D5472"/>
    <w:rsid w:val="004D54FE"/>
    <w:rsid w:val="004D551F"/>
    <w:rsid w:val="004D5547"/>
    <w:rsid w:val="004D56FD"/>
    <w:rsid w:val="004D5746"/>
    <w:rsid w:val="004D57D0"/>
    <w:rsid w:val="004D57F5"/>
    <w:rsid w:val="004D5BEA"/>
    <w:rsid w:val="004D5D58"/>
    <w:rsid w:val="004D5F09"/>
    <w:rsid w:val="004D60BF"/>
    <w:rsid w:val="004D6263"/>
    <w:rsid w:val="004D6331"/>
    <w:rsid w:val="004D6446"/>
    <w:rsid w:val="004D64D4"/>
    <w:rsid w:val="004D6503"/>
    <w:rsid w:val="004D652E"/>
    <w:rsid w:val="004D65C3"/>
    <w:rsid w:val="004D6664"/>
    <w:rsid w:val="004D666E"/>
    <w:rsid w:val="004D6D42"/>
    <w:rsid w:val="004D6DD3"/>
    <w:rsid w:val="004D6E66"/>
    <w:rsid w:val="004D6F23"/>
    <w:rsid w:val="004D6F9C"/>
    <w:rsid w:val="004D702D"/>
    <w:rsid w:val="004D774D"/>
    <w:rsid w:val="004D77EA"/>
    <w:rsid w:val="004D782E"/>
    <w:rsid w:val="004D7C6E"/>
    <w:rsid w:val="004D7D5F"/>
    <w:rsid w:val="004D7FC1"/>
    <w:rsid w:val="004E0074"/>
    <w:rsid w:val="004E02E3"/>
    <w:rsid w:val="004E05AB"/>
    <w:rsid w:val="004E05D1"/>
    <w:rsid w:val="004E0840"/>
    <w:rsid w:val="004E0952"/>
    <w:rsid w:val="004E0ADE"/>
    <w:rsid w:val="004E0B7A"/>
    <w:rsid w:val="004E0B9D"/>
    <w:rsid w:val="004E0CC2"/>
    <w:rsid w:val="004E0E0B"/>
    <w:rsid w:val="004E0EBB"/>
    <w:rsid w:val="004E0F4F"/>
    <w:rsid w:val="004E1033"/>
    <w:rsid w:val="004E1090"/>
    <w:rsid w:val="004E12D8"/>
    <w:rsid w:val="004E1435"/>
    <w:rsid w:val="004E14A2"/>
    <w:rsid w:val="004E14F5"/>
    <w:rsid w:val="004E16D3"/>
    <w:rsid w:val="004E1704"/>
    <w:rsid w:val="004E171D"/>
    <w:rsid w:val="004E1731"/>
    <w:rsid w:val="004E1787"/>
    <w:rsid w:val="004E1827"/>
    <w:rsid w:val="004E1962"/>
    <w:rsid w:val="004E1C3C"/>
    <w:rsid w:val="004E1CBA"/>
    <w:rsid w:val="004E2517"/>
    <w:rsid w:val="004E25BA"/>
    <w:rsid w:val="004E292E"/>
    <w:rsid w:val="004E29B6"/>
    <w:rsid w:val="004E29EE"/>
    <w:rsid w:val="004E2A67"/>
    <w:rsid w:val="004E2AAD"/>
    <w:rsid w:val="004E2BCC"/>
    <w:rsid w:val="004E2CD6"/>
    <w:rsid w:val="004E3073"/>
    <w:rsid w:val="004E32B0"/>
    <w:rsid w:val="004E341B"/>
    <w:rsid w:val="004E3474"/>
    <w:rsid w:val="004E362A"/>
    <w:rsid w:val="004E3653"/>
    <w:rsid w:val="004E36B3"/>
    <w:rsid w:val="004E37A2"/>
    <w:rsid w:val="004E3DBF"/>
    <w:rsid w:val="004E4201"/>
    <w:rsid w:val="004E4256"/>
    <w:rsid w:val="004E42A9"/>
    <w:rsid w:val="004E4375"/>
    <w:rsid w:val="004E44FA"/>
    <w:rsid w:val="004E4602"/>
    <w:rsid w:val="004E460E"/>
    <w:rsid w:val="004E48A8"/>
    <w:rsid w:val="004E48F5"/>
    <w:rsid w:val="004E4947"/>
    <w:rsid w:val="004E4962"/>
    <w:rsid w:val="004E4B4C"/>
    <w:rsid w:val="004E4BF9"/>
    <w:rsid w:val="004E4CD7"/>
    <w:rsid w:val="004E4D19"/>
    <w:rsid w:val="004E4DC3"/>
    <w:rsid w:val="004E4FC8"/>
    <w:rsid w:val="004E5103"/>
    <w:rsid w:val="004E5224"/>
    <w:rsid w:val="004E5329"/>
    <w:rsid w:val="004E536F"/>
    <w:rsid w:val="004E56B9"/>
    <w:rsid w:val="004E591E"/>
    <w:rsid w:val="004E5B21"/>
    <w:rsid w:val="004E5B57"/>
    <w:rsid w:val="004E5BA2"/>
    <w:rsid w:val="004E5C9F"/>
    <w:rsid w:val="004E5EF6"/>
    <w:rsid w:val="004E5F43"/>
    <w:rsid w:val="004E5F47"/>
    <w:rsid w:val="004E629F"/>
    <w:rsid w:val="004E65FB"/>
    <w:rsid w:val="004E662B"/>
    <w:rsid w:val="004E662F"/>
    <w:rsid w:val="004E666B"/>
    <w:rsid w:val="004E6912"/>
    <w:rsid w:val="004E6BEA"/>
    <w:rsid w:val="004E6DC0"/>
    <w:rsid w:val="004E6E72"/>
    <w:rsid w:val="004E6F67"/>
    <w:rsid w:val="004E7180"/>
    <w:rsid w:val="004E71BC"/>
    <w:rsid w:val="004E727C"/>
    <w:rsid w:val="004E7365"/>
    <w:rsid w:val="004E7390"/>
    <w:rsid w:val="004E7505"/>
    <w:rsid w:val="004E753F"/>
    <w:rsid w:val="004E7D4A"/>
    <w:rsid w:val="004F0234"/>
    <w:rsid w:val="004F037D"/>
    <w:rsid w:val="004F05F6"/>
    <w:rsid w:val="004F0628"/>
    <w:rsid w:val="004F087A"/>
    <w:rsid w:val="004F095F"/>
    <w:rsid w:val="004F09D2"/>
    <w:rsid w:val="004F0CC7"/>
    <w:rsid w:val="004F0E99"/>
    <w:rsid w:val="004F0EF9"/>
    <w:rsid w:val="004F10E4"/>
    <w:rsid w:val="004F1340"/>
    <w:rsid w:val="004F13DC"/>
    <w:rsid w:val="004F1557"/>
    <w:rsid w:val="004F173B"/>
    <w:rsid w:val="004F1BED"/>
    <w:rsid w:val="004F1D2B"/>
    <w:rsid w:val="004F1D34"/>
    <w:rsid w:val="004F1E2A"/>
    <w:rsid w:val="004F1FA3"/>
    <w:rsid w:val="004F20A5"/>
    <w:rsid w:val="004F21B8"/>
    <w:rsid w:val="004F2297"/>
    <w:rsid w:val="004F22BB"/>
    <w:rsid w:val="004F22C1"/>
    <w:rsid w:val="004F24EA"/>
    <w:rsid w:val="004F2745"/>
    <w:rsid w:val="004F28BE"/>
    <w:rsid w:val="004F2A28"/>
    <w:rsid w:val="004F2DD9"/>
    <w:rsid w:val="004F323E"/>
    <w:rsid w:val="004F3387"/>
    <w:rsid w:val="004F3403"/>
    <w:rsid w:val="004F36FD"/>
    <w:rsid w:val="004F39F1"/>
    <w:rsid w:val="004F3A6B"/>
    <w:rsid w:val="004F3E30"/>
    <w:rsid w:val="004F4004"/>
    <w:rsid w:val="004F4667"/>
    <w:rsid w:val="004F4717"/>
    <w:rsid w:val="004F48EE"/>
    <w:rsid w:val="004F4929"/>
    <w:rsid w:val="004F4BCE"/>
    <w:rsid w:val="004F4CDC"/>
    <w:rsid w:val="004F50E8"/>
    <w:rsid w:val="004F52BD"/>
    <w:rsid w:val="004F5343"/>
    <w:rsid w:val="004F53B5"/>
    <w:rsid w:val="004F55E7"/>
    <w:rsid w:val="004F56C9"/>
    <w:rsid w:val="004F5778"/>
    <w:rsid w:val="004F5847"/>
    <w:rsid w:val="004F58E6"/>
    <w:rsid w:val="004F5977"/>
    <w:rsid w:val="004F5AA6"/>
    <w:rsid w:val="004F5B3E"/>
    <w:rsid w:val="004F5B5A"/>
    <w:rsid w:val="004F5BD6"/>
    <w:rsid w:val="004F5E32"/>
    <w:rsid w:val="004F5E84"/>
    <w:rsid w:val="004F608D"/>
    <w:rsid w:val="004F6560"/>
    <w:rsid w:val="004F65EC"/>
    <w:rsid w:val="004F6836"/>
    <w:rsid w:val="004F6A6E"/>
    <w:rsid w:val="004F6B99"/>
    <w:rsid w:val="004F6CAC"/>
    <w:rsid w:val="004F6CCA"/>
    <w:rsid w:val="004F6FD4"/>
    <w:rsid w:val="004F6FEE"/>
    <w:rsid w:val="004F70C4"/>
    <w:rsid w:val="004F71AD"/>
    <w:rsid w:val="004F741B"/>
    <w:rsid w:val="004F7481"/>
    <w:rsid w:val="004F7487"/>
    <w:rsid w:val="004F78B9"/>
    <w:rsid w:val="004F7907"/>
    <w:rsid w:val="004F790E"/>
    <w:rsid w:val="004F79E2"/>
    <w:rsid w:val="004F7EFA"/>
    <w:rsid w:val="004F7FE3"/>
    <w:rsid w:val="005003BA"/>
    <w:rsid w:val="005004D9"/>
    <w:rsid w:val="00500663"/>
    <w:rsid w:val="005006C7"/>
    <w:rsid w:val="0050077E"/>
    <w:rsid w:val="005007DB"/>
    <w:rsid w:val="00500919"/>
    <w:rsid w:val="0050097D"/>
    <w:rsid w:val="00500998"/>
    <w:rsid w:val="005009AB"/>
    <w:rsid w:val="00500A84"/>
    <w:rsid w:val="00500C11"/>
    <w:rsid w:val="00500CBC"/>
    <w:rsid w:val="00500DC2"/>
    <w:rsid w:val="00500EE8"/>
    <w:rsid w:val="00501116"/>
    <w:rsid w:val="00501263"/>
    <w:rsid w:val="005012D9"/>
    <w:rsid w:val="0050140A"/>
    <w:rsid w:val="0050196C"/>
    <w:rsid w:val="00501BDE"/>
    <w:rsid w:val="00502224"/>
    <w:rsid w:val="0050245A"/>
    <w:rsid w:val="0050249A"/>
    <w:rsid w:val="005026D2"/>
    <w:rsid w:val="0050285B"/>
    <w:rsid w:val="005029D4"/>
    <w:rsid w:val="005029E4"/>
    <w:rsid w:val="00502CB0"/>
    <w:rsid w:val="00502E87"/>
    <w:rsid w:val="00502F78"/>
    <w:rsid w:val="00503010"/>
    <w:rsid w:val="0050303A"/>
    <w:rsid w:val="00503243"/>
    <w:rsid w:val="00503331"/>
    <w:rsid w:val="00503696"/>
    <w:rsid w:val="00503812"/>
    <w:rsid w:val="00503840"/>
    <w:rsid w:val="00503CBA"/>
    <w:rsid w:val="00503EE2"/>
    <w:rsid w:val="0050405E"/>
    <w:rsid w:val="0050430C"/>
    <w:rsid w:val="0050466A"/>
    <w:rsid w:val="005046B7"/>
    <w:rsid w:val="005046C5"/>
    <w:rsid w:val="00504BAE"/>
    <w:rsid w:val="00504C4E"/>
    <w:rsid w:val="00504E83"/>
    <w:rsid w:val="00504EAB"/>
    <w:rsid w:val="00504EC8"/>
    <w:rsid w:val="00504F65"/>
    <w:rsid w:val="00505240"/>
    <w:rsid w:val="005052B8"/>
    <w:rsid w:val="005052C7"/>
    <w:rsid w:val="0050541A"/>
    <w:rsid w:val="0050563F"/>
    <w:rsid w:val="0050599A"/>
    <w:rsid w:val="00505D50"/>
    <w:rsid w:val="00505D61"/>
    <w:rsid w:val="00505D94"/>
    <w:rsid w:val="00505E88"/>
    <w:rsid w:val="00505EB5"/>
    <w:rsid w:val="005062DB"/>
    <w:rsid w:val="005063E5"/>
    <w:rsid w:val="005064BA"/>
    <w:rsid w:val="0050673B"/>
    <w:rsid w:val="00506794"/>
    <w:rsid w:val="0050688E"/>
    <w:rsid w:val="005068BC"/>
    <w:rsid w:val="005068E6"/>
    <w:rsid w:val="0050693E"/>
    <w:rsid w:val="00506B38"/>
    <w:rsid w:val="00506B4A"/>
    <w:rsid w:val="00506BF6"/>
    <w:rsid w:val="00506DAD"/>
    <w:rsid w:val="00506E06"/>
    <w:rsid w:val="00506EF4"/>
    <w:rsid w:val="00506F06"/>
    <w:rsid w:val="00507288"/>
    <w:rsid w:val="00507443"/>
    <w:rsid w:val="00507464"/>
    <w:rsid w:val="00507633"/>
    <w:rsid w:val="0050764B"/>
    <w:rsid w:val="0050770E"/>
    <w:rsid w:val="005077FD"/>
    <w:rsid w:val="0050798E"/>
    <w:rsid w:val="00507A88"/>
    <w:rsid w:val="00507C30"/>
    <w:rsid w:val="00507DC9"/>
    <w:rsid w:val="0051022D"/>
    <w:rsid w:val="00510351"/>
    <w:rsid w:val="005104F5"/>
    <w:rsid w:val="0051060C"/>
    <w:rsid w:val="00510782"/>
    <w:rsid w:val="005109C6"/>
    <w:rsid w:val="00510BE5"/>
    <w:rsid w:val="00510C1F"/>
    <w:rsid w:val="00510DD7"/>
    <w:rsid w:val="00510E08"/>
    <w:rsid w:val="00510E85"/>
    <w:rsid w:val="00511101"/>
    <w:rsid w:val="0051111C"/>
    <w:rsid w:val="005112E1"/>
    <w:rsid w:val="005112E6"/>
    <w:rsid w:val="00511430"/>
    <w:rsid w:val="0051145C"/>
    <w:rsid w:val="0051151F"/>
    <w:rsid w:val="005115A9"/>
    <w:rsid w:val="00511760"/>
    <w:rsid w:val="0051186A"/>
    <w:rsid w:val="00511B97"/>
    <w:rsid w:val="00511CE0"/>
    <w:rsid w:val="00511D1F"/>
    <w:rsid w:val="0051208E"/>
    <w:rsid w:val="00512155"/>
    <w:rsid w:val="005121AF"/>
    <w:rsid w:val="0051228F"/>
    <w:rsid w:val="00512324"/>
    <w:rsid w:val="00512452"/>
    <w:rsid w:val="0051257A"/>
    <w:rsid w:val="00512644"/>
    <w:rsid w:val="00512645"/>
    <w:rsid w:val="005126BA"/>
    <w:rsid w:val="00512754"/>
    <w:rsid w:val="005127BB"/>
    <w:rsid w:val="0051287A"/>
    <w:rsid w:val="005128E6"/>
    <w:rsid w:val="00512ACC"/>
    <w:rsid w:val="005130AF"/>
    <w:rsid w:val="005131B4"/>
    <w:rsid w:val="0051339A"/>
    <w:rsid w:val="005134EA"/>
    <w:rsid w:val="00513743"/>
    <w:rsid w:val="005139F6"/>
    <w:rsid w:val="00513A51"/>
    <w:rsid w:val="00513B3D"/>
    <w:rsid w:val="00513C0E"/>
    <w:rsid w:val="00513E48"/>
    <w:rsid w:val="00514059"/>
    <w:rsid w:val="00514081"/>
    <w:rsid w:val="00514212"/>
    <w:rsid w:val="005142E7"/>
    <w:rsid w:val="0051445F"/>
    <w:rsid w:val="00514463"/>
    <w:rsid w:val="00514474"/>
    <w:rsid w:val="0051448A"/>
    <w:rsid w:val="00514526"/>
    <w:rsid w:val="00514625"/>
    <w:rsid w:val="00514626"/>
    <w:rsid w:val="00514788"/>
    <w:rsid w:val="00514805"/>
    <w:rsid w:val="005148F3"/>
    <w:rsid w:val="005149A5"/>
    <w:rsid w:val="005149A6"/>
    <w:rsid w:val="005149DE"/>
    <w:rsid w:val="00514D1F"/>
    <w:rsid w:val="00514D28"/>
    <w:rsid w:val="00514DE2"/>
    <w:rsid w:val="005155B3"/>
    <w:rsid w:val="0051563D"/>
    <w:rsid w:val="005156F4"/>
    <w:rsid w:val="00515789"/>
    <w:rsid w:val="005158EB"/>
    <w:rsid w:val="00515AAC"/>
    <w:rsid w:val="00515D8F"/>
    <w:rsid w:val="00515EC5"/>
    <w:rsid w:val="005161D2"/>
    <w:rsid w:val="005162F6"/>
    <w:rsid w:val="00516558"/>
    <w:rsid w:val="005166DB"/>
    <w:rsid w:val="00516A4D"/>
    <w:rsid w:val="00516BAB"/>
    <w:rsid w:val="00516E4E"/>
    <w:rsid w:val="00516E5B"/>
    <w:rsid w:val="00516FD2"/>
    <w:rsid w:val="005171A9"/>
    <w:rsid w:val="0051736B"/>
    <w:rsid w:val="00517430"/>
    <w:rsid w:val="0051765F"/>
    <w:rsid w:val="005176DB"/>
    <w:rsid w:val="00517A49"/>
    <w:rsid w:val="00517A4B"/>
    <w:rsid w:val="00517A90"/>
    <w:rsid w:val="00517A9E"/>
    <w:rsid w:val="00517B66"/>
    <w:rsid w:val="00517D37"/>
    <w:rsid w:val="00517E84"/>
    <w:rsid w:val="00517F3D"/>
    <w:rsid w:val="00517F4E"/>
    <w:rsid w:val="00520326"/>
    <w:rsid w:val="00520624"/>
    <w:rsid w:val="005207FC"/>
    <w:rsid w:val="00520860"/>
    <w:rsid w:val="005208B0"/>
    <w:rsid w:val="005208B8"/>
    <w:rsid w:val="005209D5"/>
    <w:rsid w:val="00520E11"/>
    <w:rsid w:val="00520F29"/>
    <w:rsid w:val="0052108C"/>
    <w:rsid w:val="005214E5"/>
    <w:rsid w:val="00521511"/>
    <w:rsid w:val="005218A9"/>
    <w:rsid w:val="00521921"/>
    <w:rsid w:val="0052195C"/>
    <w:rsid w:val="00521D27"/>
    <w:rsid w:val="00521D73"/>
    <w:rsid w:val="00521F67"/>
    <w:rsid w:val="00522182"/>
    <w:rsid w:val="00522308"/>
    <w:rsid w:val="0052269C"/>
    <w:rsid w:val="00522713"/>
    <w:rsid w:val="00522766"/>
    <w:rsid w:val="00522972"/>
    <w:rsid w:val="00522A67"/>
    <w:rsid w:val="00522AF4"/>
    <w:rsid w:val="00522E4D"/>
    <w:rsid w:val="00522E80"/>
    <w:rsid w:val="00522F65"/>
    <w:rsid w:val="005235FA"/>
    <w:rsid w:val="00523629"/>
    <w:rsid w:val="005236D8"/>
    <w:rsid w:val="005239DA"/>
    <w:rsid w:val="00523BD2"/>
    <w:rsid w:val="00523BD3"/>
    <w:rsid w:val="00523DE9"/>
    <w:rsid w:val="00523E2B"/>
    <w:rsid w:val="005240FF"/>
    <w:rsid w:val="005241BA"/>
    <w:rsid w:val="00524261"/>
    <w:rsid w:val="005244C3"/>
    <w:rsid w:val="00524523"/>
    <w:rsid w:val="0052455F"/>
    <w:rsid w:val="005246E7"/>
    <w:rsid w:val="00524724"/>
    <w:rsid w:val="00524782"/>
    <w:rsid w:val="005247D0"/>
    <w:rsid w:val="005249FC"/>
    <w:rsid w:val="005249FE"/>
    <w:rsid w:val="00524AA2"/>
    <w:rsid w:val="00524BD3"/>
    <w:rsid w:val="00524C8F"/>
    <w:rsid w:val="00524D42"/>
    <w:rsid w:val="00524EDF"/>
    <w:rsid w:val="00524F40"/>
    <w:rsid w:val="0052512A"/>
    <w:rsid w:val="0052529A"/>
    <w:rsid w:val="00525542"/>
    <w:rsid w:val="00525553"/>
    <w:rsid w:val="00525558"/>
    <w:rsid w:val="0052569A"/>
    <w:rsid w:val="00525746"/>
    <w:rsid w:val="005259ED"/>
    <w:rsid w:val="00525CED"/>
    <w:rsid w:val="00525D19"/>
    <w:rsid w:val="00525D7A"/>
    <w:rsid w:val="00525EEB"/>
    <w:rsid w:val="00525F16"/>
    <w:rsid w:val="005260AC"/>
    <w:rsid w:val="005262E1"/>
    <w:rsid w:val="0052671A"/>
    <w:rsid w:val="005267FD"/>
    <w:rsid w:val="00526B79"/>
    <w:rsid w:val="00526B8E"/>
    <w:rsid w:val="00526D63"/>
    <w:rsid w:val="00526E14"/>
    <w:rsid w:val="005272E3"/>
    <w:rsid w:val="00527364"/>
    <w:rsid w:val="0052776A"/>
    <w:rsid w:val="00527D03"/>
    <w:rsid w:val="00527D0C"/>
    <w:rsid w:val="00527FCD"/>
    <w:rsid w:val="00530025"/>
    <w:rsid w:val="005302FD"/>
    <w:rsid w:val="005303A7"/>
    <w:rsid w:val="0053070F"/>
    <w:rsid w:val="00530BAF"/>
    <w:rsid w:val="00530C79"/>
    <w:rsid w:val="00530D3E"/>
    <w:rsid w:val="00531108"/>
    <w:rsid w:val="0053114A"/>
    <w:rsid w:val="00531326"/>
    <w:rsid w:val="0053144C"/>
    <w:rsid w:val="00531599"/>
    <w:rsid w:val="00531983"/>
    <w:rsid w:val="0053199A"/>
    <w:rsid w:val="00531AAB"/>
    <w:rsid w:val="00531D09"/>
    <w:rsid w:val="00531ED0"/>
    <w:rsid w:val="00531FA5"/>
    <w:rsid w:val="00531FD8"/>
    <w:rsid w:val="0053218A"/>
    <w:rsid w:val="0053218F"/>
    <w:rsid w:val="00532216"/>
    <w:rsid w:val="00532295"/>
    <w:rsid w:val="00532532"/>
    <w:rsid w:val="005325FC"/>
    <w:rsid w:val="005326DC"/>
    <w:rsid w:val="00532745"/>
    <w:rsid w:val="005327E1"/>
    <w:rsid w:val="005328FC"/>
    <w:rsid w:val="00532A29"/>
    <w:rsid w:val="00532B29"/>
    <w:rsid w:val="00532B5D"/>
    <w:rsid w:val="00532D47"/>
    <w:rsid w:val="00532DA2"/>
    <w:rsid w:val="00532E5A"/>
    <w:rsid w:val="00532E86"/>
    <w:rsid w:val="00532EB4"/>
    <w:rsid w:val="0053317A"/>
    <w:rsid w:val="0053328A"/>
    <w:rsid w:val="005334B6"/>
    <w:rsid w:val="005335E3"/>
    <w:rsid w:val="005337C2"/>
    <w:rsid w:val="00533853"/>
    <w:rsid w:val="0053390F"/>
    <w:rsid w:val="00533A38"/>
    <w:rsid w:val="00533ABD"/>
    <w:rsid w:val="00533ADC"/>
    <w:rsid w:val="00533BD0"/>
    <w:rsid w:val="00533CA8"/>
    <w:rsid w:val="00533D4E"/>
    <w:rsid w:val="00533DA4"/>
    <w:rsid w:val="00533E41"/>
    <w:rsid w:val="00533F16"/>
    <w:rsid w:val="00533F51"/>
    <w:rsid w:val="00533F6B"/>
    <w:rsid w:val="005342FD"/>
    <w:rsid w:val="0053436B"/>
    <w:rsid w:val="005345FE"/>
    <w:rsid w:val="00534606"/>
    <w:rsid w:val="0053467A"/>
    <w:rsid w:val="00534B62"/>
    <w:rsid w:val="00534B8E"/>
    <w:rsid w:val="00534BC1"/>
    <w:rsid w:val="00534CD6"/>
    <w:rsid w:val="00534CDA"/>
    <w:rsid w:val="00534CE8"/>
    <w:rsid w:val="00534D6A"/>
    <w:rsid w:val="00534F34"/>
    <w:rsid w:val="0053528E"/>
    <w:rsid w:val="0053545C"/>
    <w:rsid w:val="0053567E"/>
    <w:rsid w:val="0053577C"/>
    <w:rsid w:val="005358B7"/>
    <w:rsid w:val="00535A8F"/>
    <w:rsid w:val="00535AC0"/>
    <w:rsid w:val="00535AC8"/>
    <w:rsid w:val="00535D9C"/>
    <w:rsid w:val="00535EA7"/>
    <w:rsid w:val="00535F35"/>
    <w:rsid w:val="00535F4D"/>
    <w:rsid w:val="0053602F"/>
    <w:rsid w:val="00536169"/>
    <w:rsid w:val="00536237"/>
    <w:rsid w:val="0053633C"/>
    <w:rsid w:val="005363EC"/>
    <w:rsid w:val="0053667F"/>
    <w:rsid w:val="005366C5"/>
    <w:rsid w:val="0053689F"/>
    <w:rsid w:val="005368EC"/>
    <w:rsid w:val="00536927"/>
    <w:rsid w:val="00536969"/>
    <w:rsid w:val="005369A5"/>
    <w:rsid w:val="00536A7D"/>
    <w:rsid w:val="00536D1C"/>
    <w:rsid w:val="00536D7F"/>
    <w:rsid w:val="00536E08"/>
    <w:rsid w:val="00536E5D"/>
    <w:rsid w:val="00536F2D"/>
    <w:rsid w:val="00536FE7"/>
    <w:rsid w:val="005370B9"/>
    <w:rsid w:val="00537342"/>
    <w:rsid w:val="00537457"/>
    <w:rsid w:val="00537580"/>
    <w:rsid w:val="005375AF"/>
    <w:rsid w:val="005378C1"/>
    <w:rsid w:val="005378DD"/>
    <w:rsid w:val="005379E4"/>
    <w:rsid w:val="00537D6B"/>
    <w:rsid w:val="00537E1C"/>
    <w:rsid w:val="00537EF9"/>
    <w:rsid w:val="00537FB5"/>
    <w:rsid w:val="0054009E"/>
    <w:rsid w:val="0054041E"/>
    <w:rsid w:val="0054051F"/>
    <w:rsid w:val="0054056E"/>
    <w:rsid w:val="00540586"/>
    <w:rsid w:val="0054073C"/>
    <w:rsid w:val="005407B4"/>
    <w:rsid w:val="00540C7E"/>
    <w:rsid w:val="00540D67"/>
    <w:rsid w:val="00540DF5"/>
    <w:rsid w:val="00540E16"/>
    <w:rsid w:val="00540F33"/>
    <w:rsid w:val="00540F71"/>
    <w:rsid w:val="005410B8"/>
    <w:rsid w:val="00541145"/>
    <w:rsid w:val="005412B0"/>
    <w:rsid w:val="005413FA"/>
    <w:rsid w:val="00541737"/>
    <w:rsid w:val="0054176D"/>
    <w:rsid w:val="00541BB7"/>
    <w:rsid w:val="00541BBB"/>
    <w:rsid w:val="00541C21"/>
    <w:rsid w:val="00541C9D"/>
    <w:rsid w:val="00541CF5"/>
    <w:rsid w:val="00541DA3"/>
    <w:rsid w:val="0054210D"/>
    <w:rsid w:val="00542136"/>
    <w:rsid w:val="00542171"/>
    <w:rsid w:val="005421C5"/>
    <w:rsid w:val="00542288"/>
    <w:rsid w:val="005425FF"/>
    <w:rsid w:val="00542647"/>
    <w:rsid w:val="005426B6"/>
    <w:rsid w:val="005427C6"/>
    <w:rsid w:val="00542A2D"/>
    <w:rsid w:val="00542B03"/>
    <w:rsid w:val="00542B21"/>
    <w:rsid w:val="00542CCE"/>
    <w:rsid w:val="00542EA6"/>
    <w:rsid w:val="0054316D"/>
    <w:rsid w:val="005432AF"/>
    <w:rsid w:val="005433F0"/>
    <w:rsid w:val="0054340F"/>
    <w:rsid w:val="00543454"/>
    <w:rsid w:val="00543A9E"/>
    <w:rsid w:val="00543AEB"/>
    <w:rsid w:val="00543CE8"/>
    <w:rsid w:val="00543D4A"/>
    <w:rsid w:val="00544053"/>
    <w:rsid w:val="005440A0"/>
    <w:rsid w:val="005440EE"/>
    <w:rsid w:val="005442FB"/>
    <w:rsid w:val="0054436E"/>
    <w:rsid w:val="00544391"/>
    <w:rsid w:val="005443CD"/>
    <w:rsid w:val="00544408"/>
    <w:rsid w:val="005445BA"/>
    <w:rsid w:val="005446B0"/>
    <w:rsid w:val="00544A1F"/>
    <w:rsid w:val="00544B1D"/>
    <w:rsid w:val="00544BEA"/>
    <w:rsid w:val="00544DDF"/>
    <w:rsid w:val="00544E0C"/>
    <w:rsid w:val="00544E5F"/>
    <w:rsid w:val="00544FD2"/>
    <w:rsid w:val="005450B6"/>
    <w:rsid w:val="00545448"/>
    <w:rsid w:val="00545635"/>
    <w:rsid w:val="005459C2"/>
    <w:rsid w:val="00545AAA"/>
    <w:rsid w:val="00545AD7"/>
    <w:rsid w:val="00545B43"/>
    <w:rsid w:val="00545B7A"/>
    <w:rsid w:val="00545DA8"/>
    <w:rsid w:val="0054606F"/>
    <w:rsid w:val="0054634E"/>
    <w:rsid w:val="005463B0"/>
    <w:rsid w:val="00546533"/>
    <w:rsid w:val="00546795"/>
    <w:rsid w:val="005467F2"/>
    <w:rsid w:val="005469E6"/>
    <w:rsid w:val="00546AE0"/>
    <w:rsid w:val="00546D29"/>
    <w:rsid w:val="00546D61"/>
    <w:rsid w:val="00546D70"/>
    <w:rsid w:val="00546E3C"/>
    <w:rsid w:val="0054703C"/>
    <w:rsid w:val="005470F2"/>
    <w:rsid w:val="005472A3"/>
    <w:rsid w:val="005473E1"/>
    <w:rsid w:val="00547412"/>
    <w:rsid w:val="005476E4"/>
    <w:rsid w:val="00547874"/>
    <w:rsid w:val="0054795E"/>
    <w:rsid w:val="00547A1E"/>
    <w:rsid w:val="00547AF1"/>
    <w:rsid w:val="00547B2D"/>
    <w:rsid w:val="00547BA3"/>
    <w:rsid w:val="00547BC9"/>
    <w:rsid w:val="00547D2C"/>
    <w:rsid w:val="00547F5F"/>
    <w:rsid w:val="00550915"/>
    <w:rsid w:val="005509D9"/>
    <w:rsid w:val="00550A0C"/>
    <w:rsid w:val="00550A65"/>
    <w:rsid w:val="00550C65"/>
    <w:rsid w:val="00550CC7"/>
    <w:rsid w:val="00550D15"/>
    <w:rsid w:val="00550DBD"/>
    <w:rsid w:val="00550E2F"/>
    <w:rsid w:val="00550E88"/>
    <w:rsid w:val="00550FAB"/>
    <w:rsid w:val="005510D0"/>
    <w:rsid w:val="005510E2"/>
    <w:rsid w:val="00551266"/>
    <w:rsid w:val="005512F7"/>
    <w:rsid w:val="00551418"/>
    <w:rsid w:val="00551501"/>
    <w:rsid w:val="0055156D"/>
    <w:rsid w:val="005518D9"/>
    <w:rsid w:val="00551933"/>
    <w:rsid w:val="005519BC"/>
    <w:rsid w:val="00551A01"/>
    <w:rsid w:val="00551A93"/>
    <w:rsid w:val="00551B23"/>
    <w:rsid w:val="00551C21"/>
    <w:rsid w:val="00551D20"/>
    <w:rsid w:val="00551D34"/>
    <w:rsid w:val="00551EC8"/>
    <w:rsid w:val="00551F1E"/>
    <w:rsid w:val="00551F63"/>
    <w:rsid w:val="00551FE4"/>
    <w:rsid w:val="005521A2"/>
    <w:rsid w:val="005521C5"/>
    <w:rsid w:val="005522DC"/>
    <w:rsid w:val="00552418"/>
    <w:rsid w:val="0055244E"/>
    <w:rsid w:val="005526F1"/>
    <w:rsid w:val="005527DF"/>
    <w:rsid w:val="00552935"/>
    <w:rsid w:val="00552CC8"/>
    <w:rsid w:val="00552E89"/>
    <w:rsid w:val="00552F1F"/>
    <w:rsid w:val="00553061"/>
    <w:rsid w:val="00553126"/>
    <w:rsid w:val="005532AE"/>
    <w:rsid w:val="00553341"/>
    <w:rsid w:val="005534CD"/>
    <w:rsid w:val="00553531"/>
    <w:rsid w:val="00553557"/>
    <w:rsid w:val="005535B5"/>
    <w:rsid w:val="005537F2"/>
    <w:rsid w:val="0055381F"/>
    <w:rsid w:val="00554072"/>
    <w:rsid w:val="005540DE"/>
    <w:rsid w:val="0055410A"/>
    <w:rsid w:val="0055429A"/>
    <w:rsid w:val="005544DE"/>
    <w:rsid w:val="00554538"/>
    <w:rsid w:val="0055497E"/>
    <w:rsid w:val="005549F7"/>
    <w:rsid w:val="00555034"/>
    <w:rsid w:val="00555061"/>
    <w:rsid w:val="0055506C"/>
    <w:rsid w:val="005551CD"/>
    <w:rsid w:val="005551F3"/>
    <w:rsid w:val="005552F4"/>
    <w:rsid w:val="00555652"/>
    <w:rsid w:val="00555F33"/>
    <w:rsid w:val="00556036"/>
    <w:rsid w:val="00556074"/>
    <w:rsid w:val="005561E8"/>
    <w:rsid w:val="005561EB"/>
    <w:rsid w:val="005563D4"/>
    <w:rsid w:val="005564FD"/>
    <w:rsid w:val="005565B2"/>
    <w:rsid w:val="005565B8"/>
    <w:rsid w:val="00556619"/>
    <w:rsid w:val="0055664C"/>
    <w:rsid w:val="005567C9"/>
    <w:rsid w:val="0055697F"/>
    <w:rsid w:val="005569C8"/>
    <w:rsid w:val="00556AC1"/>
    <w:rsid w:val="00556AE9"/>
    <w:rsid w:val="00556C7D"/>
    <w:rsid w:val="00556F21"/>
    <w:rsid w:val="00556F32"/>
    <w:rsid w:val="00556F60"/>
    <w:rsid w:val="00556FE2"/>
    <w:rsid w:val="005571DE"/>
    <w:rsid w:val="00557428"/>
    <w:rsid w:val="005575B7"/>
    <w:rsid w:val="00557668"/>
    <w:rsid w:val="005576BC"/>
    <w:rsid w:val="00557701"/>
    <w:rsid w:val="005577E4"/>
    <w:rsid w:val="005577F2"/>
    <w:rsid w:val="00557A82"/>
    <w:rsid w:val="00557C09"/>
    <w:rsid w:val="00557D41"/>
    <w:rsid w:val="00557F1F"/>
    <w:rsid w:val="00560245"/>
    <w:rsid w:val="00560251"/>
    <w:rsid w:val="00560291"/>
    <w:rsid w:val="0056039A"/>
    <w:rsid w:val="005606E9"/>
    <w:rsid w:val="00560710"/>
    <w:rsid w:val="00560754"/>
    <w:rsid w:val="00560A3A"/>
    <w:rsid w:val="00560B49"/>
    <w:rsid w:val="00560E8E"/>
    <w:rsid w:val="00560FC2"/>
    <w:rsid w:val="00561033"/>
    <w:rsid w:val="00561113"/>
    <w:rsid w:val="00561397"/>
    <w:rsid w:val="00561490"/>
    <w:rsid w:val="00561557"/>
    <w:rsid w:val="0056159D"/>
    <w:rsid w:val="0056164A"/>
    <w:rsid w:val="00561694"/>
    <w:rsid w:val="005616DD"/>
    <w:rsid w:val="0056176D"/>
    <w:rsid w:val="00561DDB"/>
    <w:rsid w:val="00561F87"/>
    <w:rsid w:val="00562055"/>
    <w:rsid w:val="00562061"/>
    <w:rsid w:val="00562277"/>
    <w:rsid w:val="00562289"/>
    <w:rsid w:val="0056229B"/>
    <w:rsid w:val="0056238C"/>
    <w:rsid w:val="00562442"/>
    <w:rsid w:val="0056257C"/>
    <w:rsid w:val="00562650"/>
    <w:rsid w:val="005626F5"/>
    <w:rsid w:val="00562706"/>
    <w:rsid w:val="005627E2"/>
    <w:rsid w:val="00562892"/>
    <w:rsid w:val="00562AC9"/>
    <w:rsid w:val="00562CC3"/>
    <w:rsid w:val="00562D59"/>
    <w:rsid w:val="00562D98"/>
    <w:rsid w:val="0056328B"/>
    <w:rsid w:val="00563402"/>
    <w:rsid w:val="00563470"/>
    <w:rsid w:val="0056351C"/>
    <w:rsid w:val="0056353D"/>
    <w:rsid w:val="00563585"/>
    <w:rsid w:val="0056363F"/>
    <w:rsid w:val="005637EC"/>
    <w:rsid w:val="0056386F"/>
    <w:rsid w:val="00563BE7"/>
    <w:rsid w:val="00563C02"/>
    <w:rsid w:val="00563C48"/>
    <w:rsid w:val="00563D98"/>
    <w:rsid w:val="00563EF4"/>
    <w:rsid w:val="00563FF5"/>
    <w:rsid w:val="00564504"/>
    <w:rsid w:val="0056463E"/>
    <w:rsid w:val="00564847"/>
    <w:rsid w:val="00564B18"/>
    <w:rsid w:val="00564BB6"/>
    <w:rsid w:val="00564C0A"/>
    <w:rsid w:val="00564E3C"/>
    <w:rsid w:val="00565125"/>
    <w:rsid w:val="005652A1"/>
    <w:rsid w:val="0056535E"/>
    <w:rsid w:val="005654CD"/>
    <w:rsid w:val="005656F5"/>
    <w:rsid w:val="00565706"/>
    <w:rsid w:val="00565775"/>
    <w:rsid w:val="0056582E"/>
    <w:rsid w:val="00565974"/>
    <w:rsid w:val="00565B58"/>
    <w:rsid w:val="00566091"/>
    <w:rsid w:val="0056625F"/>
    <w:rsid w:val="005663A6"/>
    <w:rsid w:val="005664A2"/>
    <w:rsid w:val="005664B1"/>
    <w:rsid w:val="005665D4"/>
    <w:rsid w:val="005667F7"/>
    <w:rsid w:val="00566887"/>
    <w:rsid w:val="0056688E"/>
    <w:rsid w:val="005668D7"/>
    <w:rsid w:val="00566927"/>
    <w:rsid w:val="00566A52"/>
    <w:rsid w:val="00566AFF"/>
    <w:rsid w:val="00566B32"/>
    <w:rsid w:val="00566C0E"/>
    <w:rsid w:val="00566D1D"/>
    <w:rsid w:val="00566D43"/>
    <w:rsid w:val="00566DA6"/>
    <w:rsid w:val="00567093"/>
    <w:rsid w:val="005670F3"/>
    <w:rsid w:val="00567347"/>
    <w:rsid w:val="005673A2"/>
    <w:rsid w:val="005673FB"/>
    <w:rsid w:val="0056740F"/>
    <w:rsid w:val="005675EC"/>
    <w:rsid w:val="0056762D"/>
    <w:rsid w:val="0056778E"/>
    <w:rsid w:val="00567A8E"/>
    <w:rsid w:val="00567B24"/>
    <w:rsid w:val="00567CBB"/>
    <w:rsid w:val="00567D8D"/>
    <w:rsid w:val="00567E19"/>
    <w:rsid w:val="0057013B"/>
    <w:rsid w:val="00570255"/>
    <w:rsid w:val="005703D4"/>
    <w:rsid w:val="00570661"/>
    <w:rsid w:val="00570A14"/>
    <w:rsid w:val="00570AA8"/>
    <w:rsid w:val="00570C90"/>
    <w:rsid w:val="00570E4D"/>
    <w:rsid w:val="005710C2"/>
    <w:rsid w:val="005713AB"/>
    <w:rsid w:val="005713DC"/>
    <w:rsid w:val="00571496"/>
    <w:rsid w:val="00571536"/>
    <w:rsid w:val="0057159B"/>
    <w:rsid w:val="005715B7"/>
    <w:rsid w:val="00571646"/>
    <w:rsid w:val="0057171B"/>
    <w:rsid w:val="0057173A"/>
    <w:rsid w:val="00571C11"/>
    <w:rsid w:val="00571CE4"/>
    <w:rsid w:val="00571D09"/>
    <w:rsid w:val="00571E1A"/>
    <w:rsid w:val="00571F1E"/>
    <w:rsid w:val="00572198"/>
    <w:rsid w:val="005723E2"/>
    <w:rsid w:val="00572414"/>
    <w:rsid w:val="005724F0"/>
    <w:rsid w:val="00572867"/>
    <w:rsid w:val="005728A1"/>
    <w:rsid w:val="00572BD1"/>
    <w:rsid w:val="00572C26"/>
    <w:rsid w:val="00572D2F"/>
    <w:rsid w:val="00572D82"/>
    <w:rsid w:val="00572DC4"/>
    <w:rsid w:val="00572F26"/>
    <w:rsid w:val="00572F4D"/>
    <w:rsid w:val="00572FFD"/>
    <w:rsid w:val="0057301E"/>
    <w:rsid w:val="0057307C"/>
    <w:rsid w:val="005734D7"/>
    <w:rsid w:val="00573905"/>
    <w:rsid w:val="00573929"/>
    <w:rsid w:val="00573C4A"/>
    <w:rsid w:val="00573D3A"/>
    <w:rsid w:val="00573F55"/>
    <w:rsid w:val="00574044"/>
    <w:rsid w:val="00574048"/>
    <w:rsid w:val="00574139"/>
    <w:rsid w:val="005748D2"/>
    <w:rsid w:val="00574916"/>
    <w:rsid w:val="00574C83"/>
    <w:rsid w:val="00574D06"/>
    <w:rsid w:val="00574D3E"/>
    <w:rsid w:val="00574D83"/>
    <w:rsid w:val="00574D99"/>
    <w:rsid w:val="00575102"/>
    <w:rsid w:val="00575147"/>
    <w:rsid w:val="00575182"/>
    <w:rsid w:val="00575345"/>
    <w:rsid w:val="005754AA"/>
    <w:rsid w:val="00575545"/>
    <w:rsid w:val="005755C6"/>
    <w:rsid w:val="005758C7"/>
    <w:rsid w:val="005759D4"/>
    <w:rsid w:val="00575A32"/>
    <w:rsid w:val="00575BFA"/>
    <w:rsid w:val="00575DED"/>
    <w:rsid w:val="00575E98"/>
    <w:rsid w:val="00575F34"/>
    <w:rsid w:val="005760E8"/>
    <w:rsid w:val="005761EA"/>
    <w:rsid w:val="0057664A"/>
    <w:rsid w:val="00576730"/>
    <w:rsid w:val="005769AA"/>
    <w:rsid w:val="00576A8F"/>
    <w:rsid w:val="0057723D"/>
    <w:rsid w:val="0057738B"/>
    <w:rsid w:val="00577483"/>
    <w:rsid w:val="0057749E"/>
    <w:rsid w:val="005777A2"/>
    <w:rsid w:val="005778A0"/>
    <w:rsid w:val="00577B09"/>
    <w:rsid w:val="00577C22"/>
    <w:rsid w:val="00577C4B"/>
    <w:rsid w:val="00577DC7"/>
    <w:rsid w:val="00577E2B"/>
    <w:rsid w:val="005802B9"/>
    <w:rsid w:val="0058047B"/>
    <w:rsid w:val="00580632"/>
    <w:rsid w:val="005808E5"/>
    <w:rsid w:val="005809CD"/>
    <w:rsid w:val="00580BAF"/>
    <w:rsid w:val="00580C16"/>
    <w:rsid w:val="00580C40"/>
    <w:rsid w:val="00580E9F"/>
    <w:rsid w:val="00580ECF"/>
    <w:rsid w:val="00580F02"/>
    <w:rsid w:val="00580F8D"/>
    <w:rsid w:val="005812A1"/>
    <w:rsid w:val="005812B2"/>
    <w:rsid w:val="00581428"/>
    <w:rsid w:val="005815C1"/>
    <w:rsid w:val="00581676"/>
    <w:rsid w:val="00581763"/>
    <w:rsid w:val="00581987"/>
    <w:rsid w:val="00581E71"/>
    <w:rsid w:val="00581F96"/>
    <w:rsid w:val="00582216"/>
    <w:rsid w:val="005822BC"/>
    <w:rsid w:val="005822D3"/>
    <w:rsid w:val="005825BB"/>
    <w:rsid w:val="005829F2"/>
    <w:rsid w:val="00582AB1"/>
    <w:rsid w:val="00582B1E"/>
    <w:rsid w:val="00582B1F"/>
    <w:rsid w:val="00582B21"/>
    <w:rsid w:val="00582B63"/>
    <w:rsid w:val="00582DAF"/>
    <w:rsid w:val="00582E02"/>
    <w:rsid w:val="00582EC0"/>
    <w:rsid w:val="00582EE9"/>
    <w:rsid w:val="00582F95"/>
    <w:rsid w:val="00582FFF"/>
    <w:rsid w:val="005833D5"/>
    <w:rsid w:val="005833E6"/>
    <w:rsid w:val="00583631"/>
    <w:rsid w:val="005839F8"/>
    <w:rsid w:val="00583A66"/>
    <w:rsid w:val="00583ADC"/>
    <w:rsid w:val="00583BED"/>
    <w:rsid w:val="00583CD6"/>
    <w:rsid w:val="00583CEB"/>
    <w:rsid w:val="00583DA2"/>
    <w:rsid w:val="00583E6F"/>
    <w:rsid w:val="005841F1"/>
    <w:rsid w:val="0058430B"/>
    <w:rsid w:val="005845A1"/>
    <w:rsid w:val="00584758"/>
    <w:rsid w:val="005847CE"/>
    <w:rsid w:val="00584873"/>
    <w:rsid w:val="00584889"/>
    <w:rsid w:val="00584982"/>
    <w:rsid w:val="00584B3B"/>
    <w:rsid w:val="00584BBE"/>
    <w:rsid w:val="00584DDB"/>
    <w:rsid w:val="00584E06"/>
    <w:rsid w:val="00585126"/>
    <w:rsid w:val="00585176"/>
    <w:rsid w:val="005854ED"/>
    <w:rsid w:val="00585610"/>
    <w:rsid w:val="0058565E"/>
    <w:rsid w:val="005858C3"/>
    <w:rsid w:val="0058593C"/>
    <w:rsid w:val="00585958"/>
    <w:rsid w:val="00585985"/>
    <w:rsid w:val="00585BBA"/>
    <w:rsid w:val="00585CF1"/>
    <w:rsid w:val="0058624F"/>
    <w:rsid w:val="005862A6"/>
    <w:rsid w:val="005862CC"/>
    <w:rsid w:val="005862DE"/>
    <w:rsid w:val="005863B5"/>
    <w:rsid w:val="00586465"/>
    <w:rsid w:val="005864FD"/>
    <w:rsid w:val="00586717"/>
    <w:rsid w:val="00586731"/>
    <w:rsid w:val="00586784"/>
    <w:rsid w:val="00586846"/>
    <w:rsid w:val="005869F3"/>
    <w:rsid w:val="00586D87"/>
    <w:rsid w:val="00586ED9"/>
    <w:rsid w:val="00586EF2"/>
    <w:rsid w:val="00586FBD"/>
    <w:rsid w:val="0058746F"/>
    <w:rsid w:val="00587B1F"/>
    <w:rsid w:val="00587CC8"/>
    <w:rsid w:val="00587D12"/>
    <w:rsid w:val="00587DBD"/>
    <w:rsid w:val="00587F89"/>
    <w:rsid w:val="00587FB0"/>
    <w:rsid w:val="005904BB"/>
    <w:rsid w:val="0059085E"/>
    <w:rsid w:val="0059087A"/>
    <w:rsid w:val="005908AD"/>
    <w:rsid w:val="005909C9"/>
    <w:rsid w:val="00590C34"/>
    <w:rsid w:val="00590CCF"/>
    <w:rsid w:val="00591012"/>
    <w:rsid w:val="005914D4"/>
    <w:rsid w:val="00591638"/>
    <w:rsid w:val="00591703"/>
    <w:rsid w:val="00591786"/>
    <w:rsid w:val="005917D8"/>
    <w:rsid w:val="00591998"/>
    <w:rsid w:val="005919F4"/>
    <w:rsid w:val="00591AA7"/>
    <w:rsid w:val="00591B3B"/>
    <w:rsid w:val="00591D27"/>
    <w:rsid w:val="00591D68"/>
    <w:rsid w:val="00591F36"/>
    <w:rsid w:val="00592099"/>
    <w:rsid w:val="005920C8"/>
    <w:rsid w:val="005921BD"/>
    <w:rsid w:val="005921F2"/>
    <w:rsid w:val="005922F6"/>
    <w:rsid w:val="0059235D"/>
    <w:rsid w:val="00592538"/>
    <w:rsid w:val="00592864"/>
    <w:rsid w:val="00592A13"/>
    <w:rsid w:val="00592A79"/>
    <w:rsid w:val="00592C8D"/>
    <w:rsid w:val="00592DC7"/>
    <w:rsid w:val="00592EF6"/>
    <w:rsid w:val="005930DD"/>
    <w:rsid w:val="0059315B"/>
    <w:rsid w:val="00593259"/>
    <w:rsid w:val="00593264"/>
    <w:rsid w:val="00593310"/>
    <w:rsid w:val="00593398"/>
    <w:rsid w:val="00593457"/>
    <w:rsid w:val="005935A2"/>
    <w:rsid w:val="005935B2"/>
    <w:rsid w:val="0059384B"/>
    <w:rsid w:val="00593877"/>
    <w:rsid w:val="0059390D"/>
    <w:rsid w:val="005939CC"/>
    <w:rsid w:val="00593A09"/>
    <w:rsid w:val="00593B9A"/>
    <w:rsid w:val="00593F14"/>
    <w:rsid w:val="005940A9"/>
    <w:rsid w:val="0059419E"/>
    <w:rsid w:val="005941FA"/>
    <w:rsid w:val="00594575"/>
    <w:rsid w:val="005945B7"/>
    <w:rsid w:val="0059465A"/>
    <w:rsid w:val="0059479C"/>
    <w:rsid w:val="005947D9"/>
    <w:rsid w:val="005948D0"/>
    <w:rsid w:val="00594942"/>
    <w:rsid w:val="00594A7F"/>
    <w:rsid w:val="00594BE8"/>
    <w:rsid w:val="00594C84"/>
    <w:rsid w:val="00594C91"/>
    <w:rsid w:val="00594F2C"/>
    <w:rsid w:val="00595030"/>
    <w:rsid w:val="005954B6"/>
    <w:rsid w:val="005954CE"/>
    <w:rsid w:val="0059569A"/>
    <w:rsid w:val="00595B4D"/>
    <w:rsid w:val="00595BA0"/>
    <w:rsid w:val="00595C25"/>
    <w:rsid w:val="00595CD6"/>
    <w:rsid w:val="00595D82"/>
    <w:rsid w:val="00595E09"/>
    <w:rsid w:val="00595E51"/>
    <w:rsid w:val="00595E60"/>
    <w:rsid w:val="00595F87"/>
    <w:rsid w:val="00596109"/>
    <w:rsid w:val="00596126"/>
    <w:rsid w:val="005962D8"/>
    <w:rsid w:val="005964B2"/>
    <w:rsid w:val="005964FF"/>
    <w:rsid w:val="00596863"/>
    <w:rsid w:val="00596942"/>
    <w:rsid w:val="0059698C"/>
    <w:rsid w:val="005969BA"/>
    <w:rsid w:val="00596A07"/>
    <w:rsid w:val="00596A30"/>
    <w:rsid w:val="00596B1F"/>
    <w:rsid w:val="00596BE6"/>
    <w:rsid w:val="00596CF7"/>
    <w:rsid w:val="00596DBE"/>
    <w:rsid w:val="00596DCF"/>
    <w:rsid w:val="00596DE1"/>
    <w:rsid w:val="00596E97"/>
    <w:rsid w:val="0059718E"/>
    <w:rsid w:val="0059728F"/>
    <w:rsid w:val="005972A7"/>
    <w:rsid w:val="00597399"/>
    <w:rsid w:val="0059739E"/>
    <w:rsid w:val="00597439"/>
    <w:rsid w:val="0059746E"/>
    <w:rsid w:val="005974F0"/>
    <w:rsid w:val="00597601"/>
    <w:rsid w:val="005979EA"/>
    <w:rsid w:val="00597A25"/>
    <w:rsid w:val="00597B31"/>
    <w:rsid w:val="00597CE7"/>
    <w:rsid w:val="00597E5F"/>
    <w:rsid w:val="00597F06"/>
    <w:rsid w:val="005A0057"/>
    <w:rsid w:val="005A00A4"/>
    <w:rsid w:val="005A024D"/>
    <w:rsid w:val="005A026A"/>
    <w:rsid w:val="005A0452"/>
    <w:rsid w:val="005A067D"/>
    <w:rsid w:val="005A06CF"/>
    <w:rsid w:val="005A0833"/>
    <w:rsid w:val="005A0964"/>
    <w:rsid w:val="005A09D3"/>
    <w:rsid w:val="005A0B75"/>
    <w:rsid w:val="005A0BE6"/>
    <w:rsid w:val="005A0E08"/>
    <w:rsid w:val="005A0FC1"/>
    <w:rsid w:val="005A10E0"/>
    <w:rsid w:val="005A115F"/>
    <w:rsid w:val="005A11E4"/>
    <w:rsid w:val="005A15A0"/>
    <w:rsid w:val="005A15BC"/>
    <w:rsid w:val="005A1832"/>
    <w:rsid w:val="005A18A5"/>
    <w:rsid w:val="005A18E4"/>
    <w:rsid w:val="005A195C"/>
    <w:rsid w:val="005A1A06"/>
    <w:rsid w:val="005A1C7E"/>
    <w:rsid w:val="005A1CC3"/>
    <w:rsid w:val="005A1CE1"/>
    <w:rsid w:val="005A1FA1"/>
    <w:rsid w:val="005A1FAA"/>
    <w:rsid w:val="005A1FF2"/>
    <w:rsid w:val="005A1FFC"/>
    <w:rsid w:val="005A211F"/>
    <w:rsid w:val="005A2459"/>
    <w:rsid w:val="005A2537"/>
    <w:rsid w:val="005A25A7"/>
    <w:rsid w:val="005A268F"/>
    <w:rsid w:val="005A2772"/>
    <w:rsid w:val="005A27B5"/>
    <w:rsid w:val="005A295F"/>
    <w:rsid w:val="005A2A4B"/>
    <w:rsid w:val="005A2BA1"/>
    <w:rsid w:val="005A2BB8"/>
    <w:rsid w:val="005A2CB9"/>
    <w:rsid w:val="005A2F00"/>
    <w:rsid w:val="005A2FB8"/>
    <w:rsid w:val="005A3285"/>
    <w:rsid w:val="005A3654"/>
    <w:rsid w:val="005A3691"/>
    <w:rsid w:val="005A376F"/>
    <w:rsid w:val="005A37B0"/>
    <w:rsid w:val="005A395F"/>
    <w:rsid w:val="005A3ADD"/>
    <w:rsid w:val="005A3B46"/>
    <w:rsid w:val="005A3C90"/>
    <w:rsid w:val="005A3DD3"/>
    <w:rsid w:val="005A3DF0"/>
    <w:rsid w:val="005A3E99"/>
    <w:rsid w:val="005A409F"/>
    <w:rsid w:val="005A42F6"/>
    <w:rsid w:val="005A455F"/>
    <w:rsid w:val="005A4589"/>
    <w:rsid w:val="005A468F"/>
    <w:rsid w:val="005A4775"/>
    <w:rsid w:val="005A4951"/>
    <w:rsid w:val="005A4A19"/>
    <w:rsid w:val="005A4C46"/>
    <w:rsid w:val="005A4D0C"/>
    <w:rsid w:val="005A4E7E"/>
    <w:rsid w:val="005A4E9C"/>
    <w:rsid w:val="005A4F14"/>
    <w:rsid w:val="005A5359"/>
    <w:rsid w:val="005A5451"/>
    <w:rsid w:val="005A55B1"/>
    <w:rsid w:val="005A574D"/>
    <w:rsid w:val="005A5850"/>
    <w:rsid w:val="005A5A1F"/>
    <w:rsid w:val="005A5BBA"/>
    <w:rsid w:val="005A5C3E"/>
    <w:rsid w:val="005A5C78"/>
    <w:rsid w:val="005A5E6D"/>
    <w:rsid w:val="005A5F2E"/>
    <w:rsid w:val="005A5F91"/>
    <w:rsid w:val="005A5F93"/>
    <w:rsid w:val="005A60E1"/>
    <w:rsid w:val="005A6670"/>
    <w:rsid w:val="005A679C"/>
    <w:rsid w:val="005A6AFD"/>
    <w:rsid w:val="005A70A1"/>
    <w:rsid w:val="005A713D"/>
    <w:rsid w:val="005A727A"/>
    <w:rsid w:val="005A72C4"/>
    <w:rsid w:val="005A7328"/>
    <w:rsid w:val="005A735F"/>
    <w:rsid w:val="005A7576"/>
    <w:rsid w:val="005A76B1"/>
    <w:rsid w:val="005A781D"/>
    <w:rsid w:val="005A783E"/>
    <w:rsid w:val="005A793B"/>
    <w:rsid w:val="005A7DE6"/>
    <w:rsid w:val="005A7F08"/>
    <w:rsid w:val="005A7F76"/>
    <w:rsid w:val="005A7F7B"/>
    <w:rsid w:val="005B0117"/>
    <w:rsid w:val="005B0126"/>
    <w:rsid w:val="005B0555"/>
    <w:rsid w:val="005B05A0"/>
    <w:rsid w:val="005B064C"/>
    <w:rsid w:val="005B064D"/>
    <w:rsid w:val="005B0782"/>
    <w:rsid w:val="005B080D"/>
    <w:rsid w:val="005B0C15"/>
    <w:rsid w:val="005B0F75"/>
    <w:rsid w:val="005B0FA1"/>
    <w:rsid w:val="005B0FD3"/>
    <w:rsid w:val="005B11BD"/>
    <w:rsid w:val="005B1368"/>
    <w:rsid w:val="005B136E"/>
    <w:rsid w:val="005B138A"/>
    <w:rsid w:val="005B169A"/>
    <w:rsid w:val="005B181E"/>
    <w:rsid w:val="005B18DD"/>
    <w:rsid w:val="005B1A3B"/>
    <w:rsid w:val="005B1CA2"/>
    <w:rsid w:val="005B207B"/>
    <w:rsid w:val="005B20DD"/>
    <w:rsid w:val="005B2161"/>
    <w:rsid w:val="005B2268"/>
    <w:rsid w:val="005B234B"/>
    <w:rsid w:val="005B2764"/>
    <w:rsid w:val="005B2931"/>
    <w:rsid w:val="005B2974"/>
    <w:rsid w:val="005B29E7"/>
    <w:rsid w:val="005B2B56"/>
    <w:rsid w:val="005B2BC5"/>
    <w:rsid w:val="005B2C9E"/>
    <w:rsid w:val="005B2DDA"/>
    <w:rsid w:val="005B3236"/>
    <w:rsid w:val="005B32C2"/>
    <w:rsid w:val="005B32CE"/>
    <w:rsid w:val="005B33B6"/>
    <w:rsid w:val="005B33C8"/>
    <w:rsid w:val="005B33D6"/>
    <w:rsid w:val="005B348A"/>
    <w:rsid w:val="005B379F"/>
    <w:rsid w:val="005B3C90"/>
    <w:rsid w:val="005B3CBE"/>
    <w:rsid w:val="005B3D5F"/>
    <w:rsid w:val="005B3D85"/>
    <w:rsid w:val="005B3D8E"/>
    <w:rsid w:val="005B3E16"/>
    <w:rsid w:val="005B3E50"/>
    <w:rsid w:val="005B3E93"/>
    <w:rsid w:val="005B3F24"/>
    <w:rsid w:val="005B4169"/>
    <w:rsid w:val="005B420B"/>
    <w:rsid w:val="005B4214"/>
    <w:rsid w:val="005B43DF"/>
    <w:rsid w:val="005B48E8"/>
    <w:rsid w:val="005B4FE5"/>
    <w:rsid w:val="005B516F"/>
    <w:rsid w:val="005B522D"/>
    <w:rsid w:val="005B5390"/>
    <w:rsid w:val="005B55EB"/>
    <w:rsid w:val="005B577A"/>
    <w:rsid w:val="005B5877"/>
    <w:rsid w:val="005B589D"/>
    <w:rsid w:val="005B598A"/>
    <w:rsid w:val="005B59BB"/>
    <w:rsid w:val="005B5CF4"/>
    <w:rsid w:val="005B60E4"/>
    <w:rsid w:val="005B6119"/>
    <w:rsid w:val="005B628F"/>
    <w:rsid w:val="005B631E"/>
    <w:rsid w:val="005B63E8"/>
    <w:rsid w:val="005B658E"/>
    <w:rsid w:val="005B67DE"/>
    <w:rsid w:val="005B67E0"/>
    <w:rsid w:val="005B6CF5"/>
    <w:rsid w:val="005B6EFA"/>
    <w:rsid w:val="005B70F5"/>
    <w:rsid w:val="005B7216"/>
    <w:rsid w:val="005B73D6"/>
    <w:rsid w:val="005B74D2"/>
    <w:rsid w:val="005B7678"/>
    <w:rsid w:val="005B76BC"/>
    <w:rsid w:val="005B7841"/>
    <w:rsid w:val="005B78D2"/>
    <w:rsid w:val="005B7A72"/>
    <w:rsid w:val="005B7AAA"/>
    <w:rsid w:val="005B7B57"/>
    <w:rsid w:val="005B7C08"/>
    <w:rsid w:val="005B7C20"/>
    <w:rsid w:val="005B7C47"/>
    <w:rsid w:val="005B7F12"/>
    <w:rsid w:val="005C00B6"/>
    <w:rsid w:val="005C00D0"/>
    <w:rsid w:val="005C01F9"/>
    <w:rsid w:val="005C0220"/>
    <w:rsid w:val="005C02CF"/>
    <w:rsid w:val="005C0307"/>
    <w:rsid w:val="005C040E"/>
    <w:rsid w:val="005C0507"/>
    <w:rsid w:val="005C0508"/>
    <w:rsid w:val="005C05DF"/>
    <w:rsid w:val="005C05FF"/>
    <w:rsid w:val="005C0605"/>
    <w:rsid w:val="005C060D"/>
    <w:rsid w:val="005C06A2"/>
    <w:rsid w:val="005C0993"/>
    <w:rsid w:val="005C0A80"/>
    <w:rsid w:val="005C0AD1"/>
    <w:rsid w:val="005C0B99"/>
    <w:rsid w:val="005C0CB9"/>
    <w:rsid w:val="005C0D9F"/>
    <w:rsid w:val="005C0F28"/>
    <w:rsid w:val="005C0F73"/>
    <w:rsid w:val="005C10C1"/>
    <w:rsid w:val="005C1187"/>
    <w:rsid w:val="005C124E"/>
    <w:rsid w:val="005C134D"/>
    <w:rsid w:val="005C1580"/>
    <w:rsid w:val="005C161B"/>
    <w:rsid w:val="005C1928"/>
    <w:rsid w:val="005C1956"/>
    <w:rsid w:val="005C1CA2"/>
    <w:rsid w:val="005C1D34"/>
    <w:rsid w:val="005C1DD8"/>
    <w:rsid w:val="005C1ECE"/>
    <w:rsid w:val="005C1F22"/>
    <w:rsid w:val="005C20A3"/>
    <w:rsid w:val="005C226A"/>
    <w:rsid w:val="005C2275"/>
    <w:rsid w:val="005C239A"/>
    <w:rsid w:val="005C2633"/>
    <w:rsid w:val="005C27E1"/>
    <w:rsid w:val="005C28EE"/>
    <w:rsid w:val="005C2955"/>
    <w:rsid w:val="005C29BB"/>
    <w:rsid w:val="005C2B6D"/>
    <w:rsid w:val="005C2BF4"/>
    <w:rsid w:val="005C2BF7"/>
    <w:rsid w:val="005C2D29"/>
    <w:rsid w:val="005C3417"/>
    <w:rsid w:val="005C341B"/>
    <w:rsid w:val="005C3614"/>
    <w:rsid w:val="005C3AEA"/>
    <w:rsid w:val="005C3E23"/>
    <w:rsid w:val="005C4151"/>
    <w:rsid w:val="005C4171"/>
    <w:rsid w:val="005C432E"/>
    <w:rsid w:val="005C4382"/>
    <w:rsid w:val="005C44D9"/>
    <w:rsid w:val="005C48E6"/>
    <w:rsid w:val="005C492E"/>
    <w:rsid w:val="005C4AAD"/>
    <w:rsid w:val="005C4C98"/>
    <w:rsid w:val="005C4D32"/>
    <w:rsid w:val="005C4FA9"/>
    <w:rsid w:val="005C5318"/>
    <w:rsid w:val="005C539B"/>
    <w:rsid w:val="005C53C4"/>
    <w:rsid w:val="005C5401"/>
    <w:rsid w:val="005C5533"/>
    <w:rsid w:val="005C5560"/>
    <w:rsid w:val="005C571C"/>
    <w:rsid w:val="005C590D"/>
    <w:rsid w:val="005C5DC1"/>
    <w:rsid w:val="005C5EDE"/>
    <w:rsid w:val="005C5F0F"/>
    <w:rsid w:val="005C5FCF"/>
    <w:rsid w:val="005C613C"/>
    <w:rsid w:val="005C61C6"/>
    <w:rsid w:val="005C688D"/>
    <w:rsid w:val="005C6926"/>
    <w:rsid w:val="005C6A19"/>
    <w:rsid w:val="005C6AA5"/>
    <w:rsid w:val="005C6C0B"/>
    <w:rsid w:val="005C6C45"/>
    <w:rsid w:val="005C6C8F"/>
    <w:rsid w:val="005C6D54"/>
    <w:rsid w:val="005C6EB0"/>
    <w:rsid w:val="005C731B"/>
    <w:rsid w:val="005C7A09"/>
    <w:rsid w:val="005C7B1B"/>
    <w:rsid w:val="005C7BBA"/>
    <w:rsid w:val="005C7CAF"/>
    <w:rsid w:val="005C7F53"/>
    <w:rsid w:val="005D0201"/>
    <w:rsid w:val="005D04A1"/>
    <w:rsid w:val="005D0549"/>
    <w:rsid w:val="005D0624"/>
    <w:rsid w:val="005D07C5"/>
    <w:rsid w:val="005D0CDF"/>
    <w:rsid w:val="005D12F7"/>
    <w:rsid w:val="005D1386"/>
    <w:rsid w:val="005D1429"/>
    <w:rsid w:val="005D1540"/>
    <w:rsid w:val="005D17AD"/>
    <w:rsid w:val="005D18B9"/>
    <w:rsid w:val="005D1B25"/>
    <w:rsid w:val="005D1E25"/>
    <w:rsid w:val="005D1E86"/>
    <w:rsid w:val="005D1ECF"/>
    <w:rsid w:val="005D2026"/>
    <w:rsid w:val="005D2173"/>
    <w:rsid w:val="005D2179"/>
    <w:rsid w:val="005D2725"/>
    <w:rsid w:val="005D28A4"/>
    <w:rsid w:val="005D28CB"/>
    <w:rsid w:val="005D291D"/>
    <w:rsid w:val="005D2B99"/>
    <w:rsid w:val="005D2BF1"/>
    <w:rsid w:val="005D2EA6"/>
    <w:rsid w:val="005D2FF1"/>
    <w:rsid w:val="005D3140"/>
    <w:rsid w:val="005D3210"/>
    <w:rsid w:val="005D328F"/>
    <w:rsid w:val="005D32EE"/>
    <w:rsid w:val="005D3563"/>
    <w:rsid w:val="005D37A6"/>
    <w:rsid w:val="005D37B9"/>
    <w:rsid w:val="005D3A1C"/>
    <w:rsid w:val="005D3B8C"/>
    <w:rsid w:val="005D3CF1"/>
    <w:rsid w:val="005D3CF5"/>
    <w:rsid w:val="005D3DC0"/>
    <w:rsid w:val="005D3ECA"/>
    <w:rsid w:val="005D3F10"/>
    <w:rsid w:val="005D3FCE"/>
    <w:rsid w:val="005D405C"/>
    <w:rsid w:val="005D40A3"/>
    <w:rsid w:val="005D41FB"/>
    <w:rsid w:val="005D444E"/>
    <w:rsid w:val="005D471C"/>
    <w:rsid w:val="005D481C"/>
    <w:rsid w:val="005D4B85"/>
    <w:rsid w:val="005D4BFE"/>
    <w:rsid w:val="005D4D84"/>
    <w:rsid w:val="005D4DD9"/>
    <w:rsid w:val="005D4DEE"/>
    <w:rsid w:val="005D501D"/>
    <w:rsid w:val="005D512C"/>
    <w:rsid w:val="005D5247"/>
    <w:rsid w:val="005D5319"/>
    <w:rsid w:val="005D5365"/>
    <w:rsid w:val="005D5456"/>
    <w:rsid w:val="005D54B3"/>
    <w:rsid w:val="005D5739"/>
    <w:rsid w:val="005D57B4"/>
    <w:rsid w:val="005D58CE"/>
    <w:rsid w:val="005D5958"/>
    <w:rsid w:val="005D5A7C"/>
    <w:rsid w:val="005D5E88"/>
    <w:rsid w:val="005D5FB5"/>
    <w:rsid w:val="005D60E5"/>
    <w:rsid w:val="005D6313"/>
    <w:rsid w:val="005D6683"/>
    <w:rsid w:val="005D68AA"/>
    <w:rsid w:val="005D68F3"/>
    <w:rsid w:val="005D69F9"/>
    <w:rsid w:val="005D6A7B"/>
    <w:rsid w:val="005D70C7"/>
    <w:rsid w:val="005D7377"/>
    <w:rsid w:val="005D74B7"/>
    <w:rsid w:val="005D74D6"/>
    <w:rsid w:val="005D75DF"/>
    <w:rsid w:val="005D7704"/>
    <w:rsid w:val="005D771F"/>
    <w:rsid w:val="005D79C4"/>
    <w:rsid w:val="005D7AAA"/>
    <w:rsid w:val="005D7BCD"/>
    <w:rsid w:val="005D7C6C"/>
    <w:rsid w:val="005D7E7A"/>
    <w:rsid w:val="005D7F24"/>
    <w:rsid w:val="005E000E"/>
    <w:rsid w:val="005E061C"/>
    <w:rsid w:val="005E0668"/>
    <w:rsid w:val="005E096E"/>
    <w:rsid w:val="005E096F"/>
    <w:rsid w:val="005E0B0F"/>
    <w:rsid w:val="005E0DE6"/>
    <w:rsid w:val="005E0E28"/>
    <w:rsid w:val="005E0EC2"/>
    <w:rsid w:val="005E0F90"/>
    <w:rsid w:val="005E11B2"/>
    <w:rsid w:val="005E13F5"/>
    <w:rsid w:val="005E1546"/>
    <w:rsid w:val="005E1655"/>
    <w:rsid w:val="005E1717"/>
    <w:rsid w:val="005E1745"/>
    <w:rsid w:val="005E1806"/>
    <w:rsid w:val="005E1B27"/>
    <w:rsid w:val="005E1C1B"/>
    <w:rsid w:val="005E23FA"/>
    <w:rsid w:val="005E25BF"/>
    <w:rsid w:val="005E2713"/>
    <w:rsid w:val="005E2902"/>
    <w:rsid w:val="005E2A17"/>
    <w:rsid w:val="005E2B8B"/>
    <w:rsid w:val="005E2BF8"/>
    <w:rsid w:val="005E2D69"/>
    <w:rsid w:val="005E2E5A"/>
    <w:rsid w:val="005E2E65"/>
    <w:rsid w:val="005E2F9E"/>
    <w:rsid w:val="005E2FAC"/>
    <w:rsid w:val="005E2FB4"/>
    <w:rsid w:val="005E33BF"/>
    <w:rsid w:val="005E35C3"/>
    <w:rsid w:val="005E39D4"/>
    <w:rsid w:val="005E3BD2"/>
    <w:rsid w:val="005E3D99"/>
    <w:rsid w:val="005E4016"/>
    <w:rsid w:val="005E411E"/>
    <w:rsid w:val="005E416B"/>
    <w:rsid w:val="005E4172"/>
    <w:rsid w:val="005E4249"/>
    <w:rsid w:val="005E42B2"/>
    <w:rsid w:val="005E42EE"/>
    <w:rsid w:val="005E4550"/>
    <w:rsid w:val="005E4867"/>
    <w:rsid w:val="005E48CF"/>
    <w:rsid w:val="005E491B"/>
    <w:rsid w:val="005E4C6B"/>
    <w:rsid w:val="005E4D6E"/>
    <w:rsid w:val="005E4DC8"/>
    <w:rsid w:val="005E4E13"/>
    <w:rsid w:val="005E4E5F"/>
    <w:rsid w:val="005E4F02"/>
    <w:rsid w:val="005E4F70"/>
    <w:rsid w:val="005E506F"/>
    <w:rsid w:val="005E52E1"/>
    <w:rsid w:val="005E54D5"/>
    <w:rsid w:val="005E5543"/>
    <w:rsid w:val="005E572B"/>
    <w:rsid w:val="005E5833"/>
    <w:rsid w:val="005E5996"/>
    <w:rsid w:val="005E5AE5"/>
    <w:rsid w:val="005E5C29"/>
    <w:rsid w:val="005E5CA3"/>
    <w:rsid w:val="005E5FD4"/>
    <w:rsid w:val="005E6267"/>
    <w:rsid w:val="005E6489"/>
    <w:rsid w:val="005E648F"/>
    <w:rsid w:val="005E652B"/>
    <w:rsid w:val="005E656D"/>
    <w:rsid w:val="005E660D"/>
    <w:rsid w:val="005E689C"/>
    <w:rsid w:val="005E6B52"/>
    <w:rsid w:val="005E6E3E"/>
    <w:rsid w:val="005E7225"/>
    <w:rsid w:val="005E73E1"/>
    <w:rsid w:val="005E7462"/>
    <w:rsid w:val="005E7B78"/>
    <w:rsid w:val="005E7C00"/>
    <w:rsid w:val="005E7E5E"/>
    <w:rsid w:val="005F0266"/>
    <w:rsid w:val="005F0272"/>
    <w:rsid w:val="005F08B8"/>
    <w:rsid w:val="005F09BE"/>
    <w:rsid w:val="005F0AD2"/>
    <w:rsid w:val="005F0D79"/>
    <w:rsid w:val="005F0E01"/>
    <w:rsid w:val="005F0E5E"/>
    <w:rsid w:val="005F1168"/>
    <w:rsid w:val="005F12A9"/>
    <w:rsid w:val="005F1661"/>
    <w:rsid w:val="005F18A4"/>
    <w:rsid w:val="005F192E"/>
    <w:rsid w:val="005F1B36"/>
    <w:rsid w:val="005F1BD2"/>
    <w:rsid w:val="005F1C86"/>
    <w:rsid w:val="005F1D54"/>
    <w:rsid w:val="005F1D99"/>
    <w:rsid w:val="005F1EB5"/>
    <w:rsid w:val="005F1F7A"/>
    <w:rsid w:val="005F2106"/>
    <w:rsid w:val="005F2114"/>
    <w:rsid w:val="005F23E4"/>
    <w:rsid w:val="005F2470"/>
    <w:rsid w:val="005F279F"/>
    <w:rsid w:val="005F2C13"/>
    <w:rsid w:val="005F2CA7"/>
    <w:rsid w:val="005F2EB2"/>
    <w:rsid w:val="005F2EC5"/>
    <w:rsid w:val="005F2FE6"/>
    <w:rsid w:val="005F30B9"/>
    <w:rsid w:val="005F32BC"/>
    <w:rsid w:val="005F3467"/>
    <w:rsid w:val="005F3482"/>
    <w:rsid w:val="005F3816"/>
    <w:rsid w:val="005F3881"/>
    <w:rsid w:val="005F394D"/>
    <w:rsid w:val="005F3A30"/>
    <w:rsid w:val="005F3A72"/>
    <w:rsid w:val="005F3A8C"/>
    <w:rsid w:val="005F3BF0"/>
    <w:rsid w:val="005F3C3E"/>
    <w:rsid w:val="005F3C84"/>
    <w:rsid w:val="005F3C98"/>
    <w:rsid w:val="005F3CE8"/>
    <w:rsid w:val="005F3D53"/>
    <w:rsid w:val="005F41EC"/>
    <w:rsid w:val="005F422D"/>
    <w:rsid w:val="005F42EC"/>
    <w:rsid w:val="005F44B5"/>
    <w:rsid w:val="005F4AF3"/>
    <w:rsid w:val="005F4B6A"/>
    <w:rsid w:val="005F4D2C"/>
    <w:rsid w:val="005F5239"/>
    <w:rsid w:val="005F5252"/>
    <w:rsid w:val="005F570C"/>
    <w:rsid w:val="005F5905"/>
    <w:rsid w:val="005F59EB"/>
    <w:rsid w:val="005F5BA4"/>
    <w:rsid w:val="005F5E35"/>
    <w:rsid w:val="005F5F0D"/>
    <w:rsid w:val="005F60D4"/>
    <w:rsid w:val="005F6118"/>
    <w:rsid w:val="005F642E"/>
    <w:rsid w:val="005F671D"/>
    <w:rsid w:val="005F687E"/>
    <w:rsid w:val="005F68F7"/>
    <w:rsid w:val="005F6B9E"/>
    <w:rsid w:val="005F6D66"/>
    <w:rsid w:val="005F6DD3"/>
    <w:rsid w:val="005F6E8B"/>
    <w:rsid w:val="005F6FBE"/>
    <w:rsid w:val="005F7021"/>
    <w:rsid w:val="005F73FC"/>
    <w:rsid w:val="005F7511"/>
    <w:rsid w:val="005F76B2"/>
    <w:rsid w:val="005F7975"/>
    <w:rsid w:val="005F7B6C"/>
    <w:rsid w:val="005F7BEC"/>
    <w:rsid w:val="005F7D97"/>
    <w:rsid w:val="005F7ECA"/>
    <w:rsid w:val="00600006"/>
    <w:rsid w:val="0060002A"/>
    <w:rsid w:val="00600041"/>
    <w:rsid w:val="006001C5"/>
    <w:rsid w:val="00600289"/>
    <w:rsid w:val="00600550"/>
    <w:rsid w:val="00600571"/>
    <w:rsid w:val="006005A5"/>
    <w:rsid w:val="006006EF"/>
    <w:rsid w:val="00600731"/>
    <w:rsid w:val="0060073A"/>
    <w:rsid w:val="00600746"/>
    <w:rsid w:val="0060079A"/>
    <w:rsid w:val="006007D9"/>
    <w:rsid w:val="00600971"/>
    <w:rsid w:val="00600AA5"/>
    <w:rsid w:val="00600AE5"/>
    <w:rsid w:val="00600AEB"/>
    <w:rsid w:val="00600DD0"/>
    <w:rsid w:val="00601115"/>
    <w:rsid w:val="00601168"/>
    <w:rsid w:val="00601224"/>
    <w:rsid w:val="00601232"/>
    <w:rsid w:val="006012B4"/>
    <w:rsid w:val="006017A5"/>
    <w:rsid w:val="0060188F"/>
    <w:rsid w:val="0060191F"/>
    <w:rsid w:val="006019FD"/>
    <w:rsid w:val="00601A19"/>
    <w:rsid w:val="0060210A"/>
    <w:rsid w:val="0060211C"/>
    <w:rsid w:val="00602398"/>
    <w:rsid w:val="006023C4"/>
    <w:rsid w:val="006024A6"/>
    <w:rsid w:val="00602567"/>
    <w:rsid w:val="00602789"/>
    <w:rsid w:val="006027D4"/>
    <w:rsid w:val="00602AFB"/>
    <w:rsid w:val="00602D00"/>
    <w:rsid w:val="00602D0A"/>
    <w:rsid w:val="006030E8"/>
    <w:rsid w:val="006032B6"/>
    <w:rsid w:val="006033DB"/>
    <w:rsid w:val="006033FD"/>
    <w:rsid w:val="00603619"/>
    <w:rsid w:val="0060367D"/>
    <w:rsid w:val="00603842"/>
    <w:rsid w:val="00603856"/>
    <w:rsid w:val="00603AC2"/>
    <w:rsid w:val="00603E3A"/>
    <w:rsid w:val="00603E55"/>
    <w:rsid w:val="00603EFB"/>
    <w:rsid w:val="0060432D"/>
    <w:rsid w:val="006044EE"/>
    <w:rsid w:val="006045B2"/>
    <w:rsid w:val="0060466A"/>
    <w:rsid w:val="0060467A"/>
    <w:rsid w:val="00604876"/>
    <w:rsid w:val="00604878"/>
    <w:rsid w:val="00604ACE"/>
    <w:rsid w:val="00604B4F"/>
    <w:rsid w:val="00604BD2"/>
    <w:rsid w:val="00604D47"/>
    <w:rsid w:val="00604E9E"/>
    <w:rsid w:val="0060503A"/>
    <w:rsid w:val="006050E6"/>
    <w:rsid w:val="00605156"/>
    <w:rsid w:val="00605200"/>
    <w:rsid w:val="0060528D"/>
    <w:rsid w:val="00605381"/>
    <w:rsid w:val="006053FF"/>
    <w:rsid w:val="0060573A"/>
    <w:rsid w:val="0060597D"/>
    <w:rsid w:val="00605CC5"/>
    <w:rsid w:val="00605D5C"/>
    <w:rsid w:val="00605D8E"/>
    <w:rsid w:val="00605EB5"/>
    <w:rsid w:val="00605FB3"/>
    <w:rsid w:val="00606153"/>
    <w:rsid w:val="006061E6"/>
    <w:rsid w:val="0060658F"/>
    <w:rsid w:val="006065C5"/>
    <w:rsid w:val="0060660A"/>
    <w:rsid w:val="0060675C"/>
    <w:rsid w:val="00606C35"/>
    <w:rsid w:val="00606E36"/>
    <w:rsid w:val="00606E6E"/>
    <w:rsid w:val="00606F20"/>
    <w:rsid w:val="00606F3B"/>
    <w:rsid w:val="00607091"/>
    <w:rsid w:val="006070E7"/>
    <w:rsid w:val="006071A1"/>
    <w:rsid w:val="0060725D"/>
    <w:rsid w:val="006073A4"/>
    <w:rsid w:val="00607465"/>
    <w:rsid w:val="0060749B"/>
    <w:rsid w:val="00607528"/>
    <w:rsid w:val="0060789C"/>
    <w:rsid w:val="0060792C"/>
    <w:rsid w:val="00607AD7"/>
    <w:rsid w:val="00607B67"/>
    <w:rsid w:val="00607D47"/>
    <w:rsid w:val="006100C4"/>
    <w:rsid w:val="006101F9"/>
    <w:rsid w:val="00610429"/>
    <w:rsid w:val="00610500"/>
    <w:rsid w:val="00610547"/>
    <w:rsid w:val="006105C2"/>
    <w:rsid w:val="006105C4"/>
    <w:rsid w:val="00610683"/>
    <w:rsid w:val="00610817"/>
    <w:rsid w:val="00610DF8"/>
    <w:rsid w:val="00610E42"/>
    <w:rsid w:val="00610FF0"/>
    <w:rsid w:val="0061142A"/>
    <w:rsid w:val="006114AE"/>
    <w:rsid w:val="006114B4"/>
    <w:rsid w:val="00611611"/>
    <w:rsid w:val="00611759"/>
    <w:rsid w:val="00611BC5"/>
    <w:rsid w:val="00611BE2"/>
    <w:rsid w:val="00612118"/>
    <w:rsid w:val="0061212B"/>
    <w:rsid w:val="006121B9"/>
    <w:rsid w:val="0061225F"/>
    <w:rsid w:val="0061244C"/>
    <w:rsid w:val="006126AF"/>
    <w:rsid w:val="006128FF"/>
    <w:rsid w:val="00612910"/>
    <w:rsid w:val="00612CF6"/>
    <w:rsid w:val="00612D9A"/>
    <w:rsid w:val="006130AB"/>
    <w:rsid w:val="006131EF"/>
    <w:rsid w:val="00613220"/>
    <w:rsid w:val="0061331B"/>
    <w:rsid w:val="00613584"/>
    <w:rsid w:val="006135DB"/>
    <w:rsid w:val="00613635"/>
    <w:rsid w:val="006138EC"/>
    <w:rsid w:val="00613AE8"/>
    <w:rsid w:val="0061403A"/>
    <w:rsid w:val="006142AF"/>
    <w:rsid w:val="00614692"/>
    <w:rsid w:val="006146C0"/>
    <w:rsid w:val="006146EF"/>
    <w:rsid w:val="00614798"/>
    <w:rsid w:val="00614951"/>
    <w:rsid w:val="00614A8F"/>
    <w:rsid w:val="00614BE9"/>
    <w:rsid w:val="00615080"/>
    <w:rsid w:val="00615148"/>
    <w:rsid w:val="006152B1"/>
    <w:rsid w:val="006153E7"/>
    <w:rsid w:val="00615437"/>
    <w:rsid w:val="00615684"/>
    <w:rsid w:val="006156DD"/>
    <w:rsid w:val="006156FF"/>
    <w:rsid w:val="0061579D"/>
    <w:rsid w:val="006157F1"/>
    <w:rsid w:val="00615B5B"/>
    <w:rsid w:val="00615B69"/>
    <w:rsid w:val="00615CD3"/>
    <w:rsid w:val="00615E30"/>
    <w:rsid w:val="00615E34"/>
    <w:rsid w:val="00615E7D"/>
    <w:rsid w:val="00615EE4"/>
    <w:rsid w:val="00615FA5"/>
    <w:rsid w:val="00616002"/>
    <w:rsid w:val="0061600D"/>
    <w:rsid w:val="00616026"/>
    <w:rsid w:val="006160B3"/>
    <w:rsid w:val="00616158"/>
    <w:rsid w:val="0061648E"/>
    <w:rsid w:val="0061667C"/>
    <w:rsid w:val="00616A3D"/>
    <w:rsid w:val="00616B2B"/>
    <w:rsid w:val="00616D36"/>
    <w:rsid w:val="00616EE0"/>
    <w:rsid w:val="00616F7D"/>
    <w:rsid w:val="00617122"/>
    <w:rsid w:val="0061720C"/>
    <w:rsid w:val="006173C5"/>
    <w:rsid w:val="006175DF"/>
    <w:rsid w:val="006175ED"/>
    <w:rsid w:val="00617A9E"/>
    <w:rsid w:val="00617E35"/>
    <w:rsid w:val="00617E5A"/>
    <w:rsid w:val="00620111"/>
    <w:rsid w:val="00620751"/>
    <w:rsid w:val="006209EC"/>
    <w:rsid w:val="00620E64"/>
    <w:rsid w:val="00620E6B"/>
    <w:rsid w:val="00621268"/>
    <w:rsid w:val="006217E1"/>
    <w:rsid w:val="00621A35"/>
    <w:rsid w:val="00621E40"/>
    <w:rsid w:val="00622103"/>
    <w:rsid w:val="006223BF"/>
    <w:rsid w:val="00622428"/>
    <w:rsid w:val="0062250B"/>
    <w:rsid w:val="00622524"/>
    <w:rsid w:val="006226DD"/>
    <w:rsid w:val="006229B6"/>
    <w:rsid w:val="00622A37"/>
    <w:rsid w:val="00622D55"/>
    <w:rsid w:val="00622E22"/>
    <w:rsid w:val="00622E90"/>
    <w:rsid w:val="00622FB4"/>
    <w:rsid w:val="00623117"/>
    <w:rsid w:val="00623187"/>
    <w:rsid w:val="00623229"/>
    <w:rsid w:val="006234C9"/>
    <w:rsid w:val="006234F9"/>
    <w:rsid w:val="00623798"/>
    <w:rsid w:val="006237F7"/>
    <w:rsid w:val="00623AD0"/>
    <w:rsid w:val="00623B92"/>
    <w:rsid w:val="00623D51"/>
    <w:rsid w:val="006243A2"/>
    <w:rsid w:val="006243C8"/>
    <w:rsid w:val="00624458"/>
    <w:rsid w:val="006248CB"/>
    <w:rsid w:val="006249AB"/>
    <w:rsid w:val="006249FF"/>
    <w:rsid w:val="00624A30"/>
    <w:rsid w:val="00624A82"/>
    <w:rsid w:val="00624CA8"/>
    <w:rsid w:val="00624DD0"/>
    <w:rsid w:val="00624EBD"/>
    <w:rsid w:val="00624F7B"/>
    <w:rsid w:val="00624FF9"/>
    <w:rsid w:val="006251A9"/>
    <w:rsid w:val="006251EB"/>
    <w:rsid w:val="00625227"/>
    <w:rsid w:val="0062525E"/>
    <w:rsid w:val="00625311"/>
    <w:rsid w:val="0062533A"/>
    <w:rsid w:val="00625408"/>
    <w:rsid w:val="00625636"/>
    <w:rsid w:val="00625725"/>
    <w:rsid w:val="00625909"/>
    <w:rsid w:val="00625932"/>
    <w:rsid w:val="0062594A"/>
    <w:rsid w:val="00625AAC"/>
    <w:rsid w:val="00625B83"/>
    <w:rsid w:val="00625B89"/>
    <w:rsid w:val="00625E44"/>
    <w:rsid w:val="00625E76"/>
    <w:rsid w:val="00625E8C"/>
    <w:rsid w:val="00625FB8"/>
    <w:rsid w:val="0062604D"/>
    <w:rsid w:val="006261DD"/>
    <w:rsid w:val="006261ED"/>
    <w:rsid w:val="0062632F"/>
    <w:rsid w:val="00626829"/>
    <w:rsid w:val="00626833"/>
    <w:rsid w:val="0062690B"/>
    <w:rsid w:val="00626D84"/>
    <w:rsid w:val="00626E93"/>
    <w:rsid w:val="00626FEB"/>
    <w:rsid w:val="00627001"/>
    <w:rsid w:val="00627002"/>
    <w:rsid w:val="00627052"/>
    <w:rsid w:val="006272CE"/>
    <w:rsid w:val="006273E6"/>
    <w:rsid w:val="006274E8"/>
    <w:rsid w:val="0062769B"/>
    <w:rsid w:val="00627A3C"/>
    <w:rsid w:val="00627B9A"/>
    <w:rsid w:val="00627BD1"/>
    <w:rsid w:val="00627C21"/>
    <w:rsid w:val="00627E22"/>
    <w:rsid w:val="00627E8B"/>
    <w:rsid w:val="00630020"/>
    <w:rsid w:val="00630077"/>
    <w:rsid w:val="00630091"/>
    <w:rsid w:val="006300F2"/>
    <w:rsid w:val="006301D9"/>
    <w:rsid w:val="00630200"/>
    <w:rsid w:val="006302B1"/>
    <w:rsid w:val="006302C7"/>
    <w:rsid w:val="00630352"/>
    <w:rsid w:val="00630534"/>
    <w:rsid w:val="00630539"/>
    <w:rsid w:val="0063064B"/>
    <w:rsid w:val="0063086F"/>
    <w:rsid w:val="0063093C"/>
    <w:rsid w:val="006309F6"/>
    <w:rsid w:val="00630C37"/>
    <w:rsid w:val="00630DA8"/>
    <w:rsid w:val="00631051"/>
    <w:rsid w:val="00631249"/>
    <w:rsid w:val="0063138A"/>
    <w:rsid w:val="0063184D"/>
    <w:rsid w:val="00631B38"/>
    <w:rsid w:val="00631C2D"/>
    <w:rsid w:val="00631CDB"/>
    <w:rsid w:val="00631F13"/>
    <w:rsid w:val="00631F28"/>
    <w:rsid w:val="006323AA"/>
    <w:rsid w:val="0063263E"/>
    <w:rsid w:val="00632729"/>
    <w:rsid w:val="00632895"/>
    <w:rsid w:val="00632B5C"/>
    <w:rsid w:val="00632B7B"/>
    <w:rsid w:val="00632CA0"/>
    <w:rsid w:val="00632D24"/>
    <w:rsid w:val="00632DFF"/>
    <w:rsid w:val="00632E1F"/>
    <w:rsid w:val="00632F1F"/>
    <w:rsid w:val="00633125"/>
    <w:rsid w:val="00633210"/>
    <w:rsid w:val="00633294"/>
    <w:rsid w:val="006333A2"/>
    <w:rsid w:val="00633561"/>
    <w:rsid w:val="00633CD5"/>
    <w:rsid w:val="00633DA6"/>
    <w:rsid w:val="00633E0B"/>
    <w:rsid w:val="00633F73"/>
    <w:rsid w:val="00633F89"/>
    <w:rsid w:val="00633FB8"/>
    <w:rsid w:val="00634026"/>
    <w:rsid w:val="00634104"/>
    <w:rsid w:val="00634112"/>
    <w:rsid w:val="00634202"/>
    <w:rsid w:val="00634383"/>
    <w:rsid w:val="00634445"/>
    <w:rsid w:val="006348B5"/>
    <w:rsid w:val="0063495F"/>
    <w:rsid w:val="00634B94"/>
    <w:rsid w:val="00634C33"/>
    <w:rsid w:val="00634DF3"/>
    <w:rsid w:val="00634EE7"/>
    <w:rsid w:val="00635225"/>
    <w:rsid w:val="006353E2"/>
    <w:rsid w:val="00635600"/>
    <w:rsid w:val="00635726"/>
    <w:rsid w:val="00635945"/>
    <w:rsid w:val="00635A60"/>
    <w:rsid w:val="00635A7A"/>
    <w:rsid w:val="00635FCE"/>
    <w:rsid w:val="00636399"/>
    <w:rsid w:val="006363FF"/>
    <w:rsid w:val="006364FE"/>
    <w:rsid w:val="006366D0"/>
    <w:rsid w:val="00636C2F"/>
    <w:rsid w:val="00636EF1"/>
    <w:rsid w:val="006372D4"/>
    <w:rsid w:val="006372DA"/>
    <w:rsid w:val="00637575"/>
    <w:rsid w:val="00637588"/>
    <w:rsid w:val="00637654"/>
    <w:rsid w:val="00637672"/>
    <w:rsid w:val="006377C1"/>
    <w:rsid w:val="00637848"/>
    <w:rsid w:val="0064037D"/>
    <w:rsid w:val="006404D3"/>
    <w:rsid w:val="00640786"/>
    <w:rsid w:val="00640A1F"/>
    <w:rsid w:val="00640D4B"/>
    <w:rsid w:val="00640E24"/>
    <w:rsid w:val="00641234"/>
    <w:rsid w:val="00641317"/>
    <w:rsid w:val="006413CB"/>
    <w:rsid w:val="00641416"/>
    <w:rsid w:val="00641510"/>
    <w:rsid w:val="006416C9"/>
    <w:rsid w:val="00641830"/>
    <w:rsid w:val="00641D45"/>
    <w:rsid w:val="00641F4E"/>
    <w:rsid w:val="006420E1"/>
    <w:rsid w:val="006421D9"/>
    <w:rsid w:val="00642328"/>
    <w:rsid w:val="006424E3"/>
    <w:rsid w:val="0064273B"/>
    <w:rsid w:val="0064278A"/>
    <w:rsid w:val="0064284A"/>
    <w:rsid w:val="00642A7B"/>
    <w:rsid w:val="00642AB9"/>
    <w:rsid w:val="00642B3B"/>
    <w:rsid w:val="00642CCD"/>
    <w:rsid w:val="00642CF5"/>
    <w:rsid w:val="00642D4F"/>
    <w:rsid w:val="00642DE6"/>
    <w:rsid w:val="00642FB4"/>
    <w:rsid w:val="006430C2"/>
    <w:rsid w:val="00643151"/>
    <w:rsid w:val="0064317D"/>
    <w:rsid w:val="006432F3"/>
    <w:rsid w:val="0064348C"/>
    <w:rsid w:val="0064387D"/>
    <w:rsid w:val="006438D6"/>
    <w:rsid w:val="0064397C"/>
    <w:rsid w:val="006439B7"/>
    <w:rsid w:val="00643B84"/>
    <w:rsid w:val="00643C48"/>
    <w:rsid w:val="00643E77"/>
    <w:rsid w:val="00643EA5"/>
    <w:rsid w:val="00644028"/>
    <w:rsid w:val="00644160"/>
    <w:rsid w:val="0064424B"/>
    <w:rsid w:val="00644480"/>
    <w:rsid w:val="00644491"/>
    <w:rsid w:val="006446A4"/>
    <w:rsid w:val="006446A9"/>
    <w:rsid w:val="006447A3"/>
    <w:rsid w:val="0064480A"/>
    <w:rsid w:val="006448A9"/>
    <w:rsid w:val="00644B00"/>
    <w:rsid w:val="00644DB5"/>
    <w:rsid w:val="00644DEB"/>
    <w:rsid w:val="00644F9A"/>
    <w:rsid w:val="00644FD2"/>
    <w:rsid w:val="006452C3"/>
    <w:rsid w:val="006454C8"/>
    <w:rsid w:val="00645818"/>
    <w:rsid w:val="00645894"/>
    <w:rsid w:val="006458FB"/>
    <w:rsid w:val="00645909"/>
    <w:rsid w:val="0064599D"/>
    <w:rsid w:val="00645B1E"/>
    <w:rsid w:val="00645C19"/>
    <w:rsid w:val="00645CA5"/>
    <w:rsid w:val="00645D32"/>
    <w:rsid w:val="0064631E"/>
    <w:rsid w:val="00646472"/>
    <w:rsid w:val="00646488"/>
    <w:rsid w:val="00646591"/>
    <w:rsid w:val="00646913"/>
    <w:rsid w:val="00647078"/>
    <w:rsid w:val="00647195"/>
    <w:rsid w:val="006472DF"/>
    <w:rsid w:val="006472E7"/>
    <w:rsid w:val="0064736C"/>
    <w:rsid w:val="0064738B"/>
    <w:rsid w:val="006473FF"/>
    <w:rsid w:val="00647527"/>
    <w:rsid w:val="00647986"/>
    <w:rsid w:val="00647992"/>
    <w:rsid w:val="00647B62"/>
    <w:rsid w:val="00647DFE"/>
    <w:rsid w:val="00647F89"/>
    <w:rsid w:val="006500CF"/>
    <w:rsid w:val="0065020A"/>
    <w:rsid w:val="006503F7"/>
    <w:rsid w:val="0065042D"/>
    <w:rsid w:val="00650893"/>
    <w:rsid w:val="006508DC"/>
    <w:rsid w:val="006508F6"/>
    <w:rsid w:val="00650BF5"/>
    <w:rsid w:val="00650D55"/>
    <w:rsid w:val="00650DB9"/>
    <w:rsid w:val="006511E3"/>
    <w:rsid w:val="006512BB"/>
    <w:rsid w:val="006512F3"/>
    <w:rsid w:val="006512FD"/>
    <w:rsid w:val="0065136A"/>
    <w:rsid w:val="0065138D"/>
    <w:rsid w:val="0065141A"/>
    <w:rsid w:val="006516B3"/>
    <w:rsid w:val="006516F9"/>
    <w:rsid w:val="0065171B"/>
    <w:rsid w:val="00651E4B"/>
    <w:rsid w:val="00651FB0"/>
    <w:rsid w:val="00651FE3"/>
    <w:rsid w:val="006524EC"/>
    <w:rsid w:val="0065251F"/>
    <w:rsid w:val="0065259E"/>
    <w:rsid w:val="0065262D"/>
    <w:rsid w:val="006527F8"/>
    <w:rsid w:val="00652968"/>
    <w:rsid w:val="00652991"/>
    <w:rsid w:val="00652A11"/>
    <w:rsid w:val="00652C24"/>
    <w:rsid w:val="00652DBA"/>
    <w:rsid w:val="006533FB"/>
    <w:rsid w:val="00653821"/>
    <w:rsid w:val="00653849"/>
    <w:rsid w:val="006538B2"/>
    <w:rsid w:val="00653A6A"/>
    <w:rsid w:val="00653CB7"/>
    <w:rsid w:val="00654060"/>
    <w:rsid w:val="0065407E"/>
    <w:rsid w:val="0065417E"/>
    <w:rsid w:val="006541AE"/>
    <w:rsid w:val="006541C6"/>
    <w:rsid w:val="00654264"/>
    <w:rsid w:val="006543D7"/>
    <w:rsid w:val="00654600"/>
    <w:rsid w:val="006546B5"/>
    <w:rsid w:val="00654767"/>
    <w:rsid w:val="006547D7"/>
    <w:rsid w:val="00654843"/>
    <w:rsid w:val="006548E9"/>
    <w:rsid w:val="00654965"/>
    <w:rsid w:val="00654AA5"/>
    <w:rsid w:val="00654ABB"/>
    <w:rsid w:val="00654E59"/>
    <w:rsid w:val="00654E6C"/>
    <w:rsid w:val="00654EA5"/>
    <w:rsid w:val="0065509C"/>
    <w:rsid w:val="00655175"/>
    <w:rsid w:val="0065524D"/>
    <w:rsid w:val="006552C9"/>
    <w:rsid w:val="00655430"/>
    <w:rsid w:val="006556AD"/>
    <w:rsid w:val="00655806"/>
    <w:rsid w:val="006558A6"/>
    <w:rsid w:val="00655C4F"/>
    <w:rsid w:val="00656069"/>
    <w:rsid w:val="006561A6"/>
    <w:rsid w:val="0065664D"/>
    <w:rsid w:val="0065670F"/>
    <w:rsid w:val="00656940"/>
    <w:rsid w:val="00656ACA"/>
    <w:rsid w:val="00656F8F"/>
    <w:rsid w:val="00657079"/>
    <w:rsid w:val="00657140"/>
    <w:rsid w:val="00657168"/>
    <w:rsid w:val="006571CB"/>
    <w:rsid w:val="00657346"/>
    <w:rsid w:val="00657399"/>
    <w:rsid w:val="00657589"/>
    <w:rsid w:val="00657594"/>
    <w:rsid w:val="00657737"/>
    <w:rsid w:val="006579CE"/>
    <w:rsid w:val="00657F95"/>
    <w:rsid w:val="0066028B"/>
    <w:rsid w:val="0066031F"/>
    <w:rsid w:val="0066038C"/>
    <w:rsid w:val="006606FD"/>
    <w:rsid w:val="00660962"/>
    <w:rsid w:val="00660978"/>
    <w:rsid w:val="0066098C"/>
    <w:rsid w:val="00660B5B"/>
    <w:rsid w:val="00660DE4"/>
    <w:rsid w:val="00660E93"/>
    <w:rsid w:val="00660EEA"/>
    <w:rsid w:val="00661106"/>
    <w:rsid w:val="00661272"/>
    <w:rsid w:val="00661596"/>
    <w:rsid w:val="0066192A"/>
    <w:rsid w:val="0066199A"/>
    <w:rsid w:val="00661AD4"/>
    <w:rsid w:val="00661D5C"/>
    <w:rsid w:val="00661DBB"/>
    <w:rsid w:val="00662003"/>
    <w:rsid w:val="006620FC"/>
    <w:rsid w:val="006621E3"/>
    <w:rsid w:val="00662287"/>
    <w:rsid w:val="00662A38"/>
    <w:rsid w:val="00662B05"/>
    <w:rsid w:val="00662EB4"/>
    <w:rsid w:val="00662FEC"/>
    <w:rsid w:val="00663032"/>
    <w:rsid w:val="006630C5"/>
    <w:rsid w:val="006631E2"/>
    <w:rsid w:val="006631FF"/>
    <w:rsid w:val="006633C4"/>
    <w:rsid w:val="00663ADF"/>
    <w:rsid w:val="00663AEF"/>
    <w:rsid w:val="00663C27"/>
    <w:rsid w:val="00663CCE"/>
    <w:rsid w:val="0066408D"/>
    <w:rsid w:val="006640B0"/>
    <w:rsid w:val="00664523"/>
    <w:rsid w:val="00664AE9"/>
    <w:rsid w:val="00664B4F"/>
    <w:rsid w:val="00664FD6"/>
    <w:rsid w:val="00665390"/>
    <w:rsid w:val="006653D9"/>
    <w:rsid w:val="006653DC"/>
    <w:rsid w:val="00665629"/>
    <w:rsid w:val="00665641"/>
    <w:rsid w:val="0066569A"/>
    <w:rsid w:val="00665766"/>
    <w:rsid w:val="00665CF6"/>
    <w:rsid w:val="00665D65"/>
    <w:rsid w:val="00665EC4"/>
    <w:rsid w:val="00665F1F"/>
    <w:rsid w:val="006661B0"/>
    <w:rsid w:val="00666235"/>
    <w:rsid w:val="006662F4"/>
    <w:rsid w:val="0066634C"/>
    <w:rsid w:val="006665A0"/>
    <w:rsid w:val="00666650"/>
    <w:rsid w:val="00666687"/>
    <w:rsid w:val="006666F8"/>
    <w:rsid w:val="0066678E"/>
    <w:rsid w:val="00666914"/>
    <w:rsid w:val="00666AAD"/>
    <w:rsid w:val="00666B92"/>
    <w:rsid w:val="00666C40"/>
    <w:rsid w:val="00666C64"/>
    <w:rsid w:val="00666E47"/>
    <w:rsid w:val="00666EED"/>
    <w:rsid w:val="006670FC"/>
    <w:rsid w:val="006671DB"/>
    <w:rsid w:val="00667729"/>
    <w:rsid w:val="00667BA2"/>
    <w:rsid w:val="00667CF1"/>
    <w:rsid w:val="00667D1C"/>
    <w:rsid w:val="00667EB9"/>
    <w:rsid w:val="00670358"/>
    <w:rsid w:val="006703C0"/>
    <w:rsid w:val="0067041E"/>
    <w:rsid w:val="00670421"/>
    <w:rsid w:val="006704A7"/>
    <w:rsid w:val="00670718"/>
    <w:rsid w:val="00670772"/>
    <w:rsid w:val="00670913"/>
    <w:rsid w:val="00670935"/>
    <w:rsid w:val="00670FB7"/>
    <w:rsid w:val="00671066"/>
    <w:rsid w:val="0067118D"/>
    <w:rsid w:val="006711BE"/>
    <w:rsid w:val="00671254"/>
    <w:rsid w:val="0067153D"/>
    <w:rsid w:val="006716AD"/>
    <w:rsid w:val="006716F0"/>
    <w:rsid w:val="006717D4"/>
    <w:rsid w:val="0067181B"/>
    <w:rsid w:val="006718DF"/>
    <w:rsid w:val="006719B5"/>
    <w:rsid w:val="00671A3E"/>
    <w:rsid w:val="006720A3"/>
    <w:rsid w:val="006721EC"/>
    <w:rsid w:val="006723DC"/>
    <w:rsid w:val="00672528"/>
    <w:rsid w:val="006725EE"/>
    <w:rsid w:val="00672882"/>
    <w:rsid w:val="00672D10"/>
    <w:rsid w:val="00673352"/>
    <w:rsid w:val="00673398"/>
    <w:rsid w:val="00673487"/>
    <w:rsid w:val="0067357D"/>
    <w:rsid w:val="0067389E"/>
    <w:rsid w:val="0067391C"/>
    <w:rsid w:val="00673A03"/>
    <w:rsid w:val="00673A99"/>
    <w:rsid w:val="00673BB6"/>
    <w:rsid w:val="00673C61"/>
    <w:rsid w:val="00673ED6"/>
    <w:rsid w:val="006740D5"/>
    <w:rsid w:val="00674117"/>
    <w:rsid w:val="006742E2"/>
    <w:rsid w:val="0067460B"/>
    <w:rsid w:val="00674630"/>
    <w:rsid w:val="00674753"/>
    <w:rsid w:val="00674BFE"/>
    <w:rsid w:val="00674F61"/>
    <w:rsid w:val="0067557F"/>
    <w:rsid w:val="0067563F"/>
    <w:rsid w:val="00675758"/>
    <w:rsid w:val="006757EC"/>
    <w:rsid w:val="00675868"/>
    <w:rsid w:val="00675AC2"/>
    <w:rsid w:val="00675AFA"/>
    <w:rsid w:val="00675B73"/>
    <w:rsid w:val="00675C72"/>
    <w:rsid w:val="00675CB7"/>
    <w:rsid w:val="00675ECA"/>
    <w:rsid w:val="00675F10"/>
    <w:rsid w:val="00675F7C"/>
    <w:rsid w:val="00676042"/>
    <w:rsid w:val="00676272"/>
    <w:rsid w:val="0067638F"/>
    <w:rsid w:val="00676407"/>
    <w:rsid w:val="0067654F"/>
    <w:rsid w:val="00676732"/>
    <w:rsid w:val="00676ACB"/>
    <w:rsid w:val="00676B7B"/>
    <w:rsid w:val="00676BEB"/>
    <w:rsid w:val="00676E21"/>
    <w:rsid w:val="00676E8F"/>
    <w:rsid w:val="00677294"/>
    <w:rsid w:val="0067734E"/>
    <w:rsid w:val="0067743F"/>
    <w:rsid w:val="0067757A"/>
    <w:rsid w:val="00677D10"/>
    <w:rsid w:val="0068016C"/>
    <w:rsid w:val="00680975"/>
    <w:rsid w:val="00680DB6"/>
    <w:rsid w:val="00680EC3"/>
    <w:rsid w:val="00680F44"/>
    <w:rsid w:val="00680FF4"/>
    <w:rsid w:val="0068106F"/>
    <w:rsid w:val="00681111"/>
    <w:rsid w:val="00681182"/>
    <w:rsid w:val="0068136C"/>
    <w:rsid w:val="0068141A"/>
    <w:rsid w:val="00681460"/>
    <w:rsid w:val="00681576"/>
    <w:rsid w:val="006816A4"/>
    <w:rsid w:val="0068181E"/>
    <w:rsid w:val="006818F1"/>
    <w:rsid w:val="0068190E"/>
    <w:rsid w:val="006819EF"/>
    <w:rsid w:val="00681B6A"/>
    <w:rsid w:val="00681CE1"/>
    <w:rsid w:val="00681DFB"/>
    <w:rsid w:val="00681E04"/>
    <w:rsid w:val="00681ECB"/>
    <w:rsid w:val="00682283"/>
    <w:rsid w:val="006822C5"/>
    <w:rsid w:val="006824CA"/>
    <w:rsid w:val="006824F2"/>
    <w:rsid w:val="0068269C"/>
    <w:rsid w:val="00682745"/>
    <w:rsid w:val="006828DB"/>
    <w:rsid w:val="0068297D"/>
    <w:rsid w:val="00682C0A"/>
    <w:rsid w:val="0068304E"/>
    <w:rsid w:val="0068320D"/>
    <w:rsid w:val="0068334E"/>
    <w:rsid w:val="006833DC"/>
    <w:rsid w:val="006833ED"/>
    <w:rsid w:val="00683625"/>
    <w:rsid w:val="006836E1"/>
    <w:rsid w:val="0068376C"/>
    <w:rsid w:val="006839C1"/>
    <w:rsid w:val="00683A4C"/>
    <w:rsid w:val="00683BA4"/>
    <w:rsid w:val="00683C80"/>
    <w:rsid w:val="00683D04"/>
    <w:rsid w:val="00683E98"/>
    <w:rsid w:val="00683EE0"/>
    <w:rsid w:val="00683FD9"/>
    <w:rsid w:val="00684048"/>
    <w:rsid w:val="006840BB"/>
    <w:rsid w:val="00684260"/>
    <w:rsid w:val="00684571"/>
    <w:rsid w:val="006845F6"/>
    <w:rsid w:val="00684627"/>
    <w:rsid w:val="0068478E"/>
    <w:rsid w:val="00684954"/>
    <w:rsid w:val="006849CA"/>
    <w:rsid w:val="00684C4D"/>
    <w:rsid w:val="00684CEC"/>
    <w:rsid w:val="00685164"/>
    <w:rsid w:val="006851EB"/>
    <w:rsid w:val="006853FA"/>
    <w:rsid w:val="00685605"/>
    <w:rsid w:val="00685A20"/>
    <w:rsid w:val="00685A44"/>
    <w:rsid w:val="00686362"/>
    <w:rsid w:val="006863E7"/>
    <w:rsid w:val="006864FD"/>
    <w:rsid w:val="006865D7"/>
    <w:rsid w:val="00686668"/>
    <w:rsid w:val="0068675E"/>
    <w:rsid w:val="006867C6"/>
    <w:rsid w:val="006868DA"/>
    <w:rsid w:val="00686DA5"/>
    <w:rsid w:val="00686EFB"/>
    <w:rsid w:val="00686F60"/>
    <w:rsid w:val="00686F75"/>
    <w:rsid w:val="00686FED"/>
    <w:rsid w:val="006870F9"/>
    <w:rsid w:val="006872C6"/>
    <w:rsid w:val="006873B9"/>
    <w:rsid w:val="00687597"/>
    <w:rsid w:val="0068761B"/>
    <w:rsid w:val="006877FC"/>
    <w:rsid w:val="00687986"/>
    <w:rsid w:val="00687B28"/>
    <w:rsid w:val="00687BE8"/>
    <w:rsid w:val="00687D96"/>
    <w:rsid w:val="00687E97"/>
    <w:rsid w:val="00687F3E"/>
    <w:rsid w:val="00687FB3"/>
    <w:rsid w:val="00690784"/>
    <w:rsid w:val="00690BD7"/>
    <w:rsid w:val="00690C48"/>
    <w:rsid w:val="00690CA6"/>
    <w:rsid w:val="00690D64"/>
    <w:rsid w:val="00690D8E"/>
    <w:rsid w:val="00690D9E"/>
    <w:rsid w:val="00690E89"/>
    <w:rsid w:val="00691018"/>
    <w:rsid w:val="0069105F"/>
    <w:rsid w:val="0069127B"/>
    <w:rsid w:val="00691489"/>
    <w:rsid w:val="006915C2"/>
    <w:rsid w:val="006916BC"/>
    <w:rsid w:val="006917BB"/>
    <w:rsid w:val="0069189E"/>
    <w:rsid w:val="006919BC"/>
    <w:rsid w:val="006919EC"/>
    <w:rsid w:val="00691AAC"/>
    <w:rsid w:val="00691C81"/>
    <w:rsid w:val="00691E24"/>
    <w:rsid w:val="00691EAB"/>
    <w:rsid w:val="00691F01"/>
    <w:rsid w:val="00691F9D"/>
    <w:rsid w:val="00692098"/>
    <w:rsid w:val="00692172"/>
    <w:rsid w:val="00692653"/>
    <w:rsid w:val="006926AE"/>
    <w:rsid w:val="006929E0"/>
    <w:rsid w:val="006929E2"/>
    <w:rsid w:val="00692AF7"/>
    <w:rsid w:val="00692B2C"/>
    <w:rsid w:val="00692B3D"/>
    <w:rsid w:val="00692BC8"/>
    <w:rsid w:val="00692BD6"/>
    <w:rsid w:val="00692CF5"/>
    <w:rsid w:val="00692D3B"/>
    <w:rsid w:val="00692DFF"/>
    <w:rsid w:val="00692E3F"/>
    <w:rsid w:val="00692EE0"/>
    <w:rsid w:val="00692F75"/>
    <w:rsid w:val="00692F7D"/>
    <w:rsid w:val="00692F90"/>
    <w:rsid w:val="006932FA"/>
    <w:rsid w:val="00693328"/>
    <w:rsid w:val="0069332D"/>
    <w:rsid w:val="0069340F"/>
    <w:rsid w:val="006934F4"/>
    <w:rsid w:val="0069352A"/>
    <w:rsid w:val="00693628"/>
    <w:rsid w:val="006937F3"/>
    <w:rsid w:val="00693945"/>
    <w:rsid w:val="00693E9C"/>
    <w:rsid w:val="00693F68"/>
    <w:rsid w:val="00693FFB"/>
    <w:rsid w:val="00694082"/>
    <w:rsid w:val="00694160"/>
    <w:rsid w:val="006941BD"/>
    <w:rsid w:val="006943D1"/>
    <w:rsid w:val="00694548"/>
    <w:rsid w:val="00694560"/>
    <w:rsid w:val="0069472D"/>
    <w:rsid w:val="006948AC"/>
    <w:rsid w:val="00694946"/>
    <w:rsid w:val="00694A46"/>
    <w:rsid w:val="00694A90"/>
    <w:rsid w:val="00694B86"/>
    <w:rsid w:val="00694BBA"/>
    <w:rsid w:val="00694C91"/>
    <w:rsid w:val="00695031"/>
    <w:rsid w:val="00695178"/>
    <w:rsid w:val="00695214"/>
    <w:rsid w:val="006952EE"/>
    <w:rsid w:val="00695360"/>
    <w:rsid w:val="0069577D"/>
    <w:rsid w:val="00695974"/>
    <w:rsid w:val="00695C39"/>
    <w:rsid w:val="00695C9C"/>
    <w:rsid w:val="00695D48"/>
    <w:rsid w:val="00695E28"/>
    <w:rsid w:val="00695F56"/>
    <w:rsid w:val="00695F68"/>
    <w:rsid w:val="00695F7C"/>
    <w:rsid w:val="00696126"/>
    <w:rsid w:val="0069615A"/>
    <w:rsid w:val="00696194"/>
    <w:rsid w:val="006962CB"/>
    <w:rsid w:val="006962F6"/>
    <w:rsid w:val="006963B9"/>
    <w:rsid w:val="00696795"/>
    <w:rsid w:val="00696847"/>
    <w:rsid w:val="00696864"/>
    <w:rsid w:val="00696AB7"/>
    <w:rsid w:val="00696B20"/>
    <w:rsid w:val="00696E91"/>
    <w:rsid w:val="00696FA0"/>
    <w:rsid w:val="00697265"/>
    <w:rsid w:val="0069737F"/>
    <w:rsid w:val="006973DA"/>
    <w:rsid w:val="006974FE"/>
    <w:rsid w:val="006975BD"/>
    <w:rsid w:val="006975C3"/>
    <w:rsid w:val="0069764F"/>
    <w:rsid w:val="0069785F"/>
    <w:rsid w:val="00697A53"/>
    <w:rsid w:val="00697A67"/>
    <w:rsid w:val="00697AA6"/>
    <w:rsid w:val="00697B30"/>
    <w:rsid w:val="00697E74"/>
    <w:rsid w:val="00697F42"/>
    <w:rsid w:val="00697F66"/>
    <w:rsid w:val="006A00A5"/>
    <w:rsid w:val="006A014D"/>
    <w:rsid w:val="006A025D"/>
    <w:rsid w:val="006A02E1"/>
    <w:rsid w:val="006A04A4"/>
    <w:rsid w:val="006A0671"/>
    <w:rsid w:val="006A06AC"/>
    <w:rsid w:val="006A0770"/>
    <w:rsid w:val="006A09B5"/>
    <w:rsid w:val="006A0AA8"/>
    <w:rsid w:val="006A0DD1"/>
    <w:rsid w:val="006A10AA"/>
    <w:rsid w:val="006A1110"/>
    <w:rsid w:val="006A11B2"/>
    <w:rsid w:val="006A135A"/>
    <w:rsid w:val="006A13E6"/>
    <w:rsid w:val="006A14F4"/>
    <w:rsid w:val="006A1574"/>
    <w:rsid w:val="006A1611"/>
    <w:rsid w:val="006A1832"/>
    <w:rsid w:val="006A1A1A"/>
    <w:rsid w:val="006A1B34"/>
    <w:rsid w:val="006A1BA1"/>
    <w:rsid w:val="006A1C9C"/>
    <w:rsid w:val="006A1D36"/>
    <w:rsid w:val="006A1ED5"/>
    <w:rsid w:val="006A2088"/>
    <w:rsid w:val="006A211C"/>
    <w:rsid w:val="006A21CE"/>
    <w:rsid w:val="006A2361"/>
    <w:rsid w:val="006A240E"/>
    <w:rsid w:val="006A2499"/>
    <w:rsid w:val="006A24B4"/>
    <w:rsid w:val="006A289D"/>
    <w:rsid w:val="006A28B5"/>
    <w:rsid w:val="006A2D5B"/>
    <w:rsid w:val="006A2FC8"/>
    <w:rsid w:val="006A31BD"/>
    <w:rsid w:val="006A31F9"/>
    <w:rsid w:val="006A37EB"/>
    <w:rsid w:val="006A385D"/>
    <w:rsid w:val="006A391B"/>
    <w:rsid w:val="006A3A5A"/>
    <w:rsid w:val="006A3E98"/>
    <w:rsid w:val="006A3F9D"/>
    <w:rsid w:val="006A40C9"/>
    <w:rsid w:val="006A4177"/>
    <w:rsid w:val="006A427C"/>
    <w:rsid w:val="006A4302"/>
    <w:rsid w:val="006A46CC"/>
    <w:rsid w:val="006A4A43"/>
    <w:rsid w:val="006A4CEB"/>
    <w:rsid w:val="006A4CFC"/>
    <w:rsid w:val="006A4D88"/>
    <w:rsid w:val="006A4DF6"/>
    <w:rsid w:val="006A4E19"/>
    <w:rsid w:val="006A4F11"/>
    <w:rsid w:val="006A4F68"/>
    <w:rsid w:val="006A5083"/>
    <w:rsid w:val="006A53F8"/>
    <w:rsid w:val="006A5648"/>
    <w:rsid w:val="006A57DC"/>
    <w:rsid w:val="006A5AE5"/>
    <w:rsid w:val="006A5BAF"/>
    <w:rsid w:val="006A5C20"/>
    <w:rsid w:val="006A5C51"/>
    <w:rsid w:val="006A5EC0"/>
    <w:rsid w:val="006A5F56"/>
    <w:rsid w:val="006A5F9D"/>
    <w:rsid w:val="006A6215"/>
    <w:rsid w:val="006A630B"/>
    <w:rsid w:val="006A6445"/>
    <w:rsid w:val="006A64F4"/>
    <w:rsid w:val="006A661F"/>
    <w:rsid w:val="006A666F"/>
    <w:rsid w:val="006A685A"/>
    <w:rsid w:val="006A68EF"/>
    <w:rsid w:val="006A6AAD"/>
    <w:rsid w:val="006A6E18"/>
    <w:rsid w:val="006A6E26"/>
    <w:rsid w:val="006A6F52"/>
    <w:rsid w:val="006A70E8"/>
    <w:rsid w:val="006A7220"/>
    <w:rsid w:val="006A761C"/>
    <w:rsid w:val="006A78B1"/>
    <w:rsid w:val="006A7919"/>
    <w:rsid w:val="006A79B6"/>
    <w:rsid w:val="006A7AAB"/>
    <w:rsid w:val="006A7B81"/>
    <w:rsid w:val="006A7C2D"/>
    <w:rsid w:val="006A7D0F"/>
    <w:rsid w:val="006A7D7B"/>
    <w:rsid w:val="006A7D9F"/>
    <w:rsid w:val="006A7E45"/>
    <w:rsid w:val="006A7F08"/>
    <w:rsid w:val="006A7FC5"/>
    <w:rsid w:val="006B00CB"/>
    <w:rsid w:val="006B00DB"/>
    <w:rsid w:val="006B00DF"/>
    <w:rsid w:val="006B011D"/>
    <w:rsid w:val="006B029D"/>
    <w:rsid w:val="006B04D6"/>
    <w:rsid w:val="006B04DD"/>
    <w:rsid w:val="006B05D0"/>
    <w:rsid w:val="006B0BF9"/>
    <w:rsid w:val="006B0C29"/>
    <w:rsid w:val="006B0CDE"/>
    <w:rsid w:val="006B0D46"/>
    <w:rsid w:val="006B0ED8"/>
    <w:rsid w:val="006B0F6B"/>
    <w:rsid w:val="006B0FAF"/>
    <w:rsid w:val="006B0FB4"/>
    <w:rsid w:val="006B1067"/>
    <w:rsid w:val="006B1167"/>
    <w:rsid w:val="006B1217"/>
    <w:rsid w:val="006B1594"/>
    <w:rsid w:val="006B16DF"/>
    <w:rsid w:val="006B1753"/>
    <w:rsid w:val="006B1995"/>
    <w:rsid w:val="006B19B1"/>
    <w:rsid w:val="006B1A61"/>
    <w:rsid w:val="006B1DC2"/>
    <w:rsid w:val="006B1E21"/>
    <w:rsid w:val="006B1F28"/>
    <w:rsid w:val="006B227B"/>
    <w:rsid w:val="006B2410"/>
    <w:rsid w:val="006B242E"/>
    <w:rsid w:val="006B290E"/>
    <w:rsid w:val="006B2BF5"/>
    <w:rsid w:val="006B2D9E"/>
    <w:rsid w:val="006B2DA1"/>
    <w:rsid w:val="006B2EA4"/>
    <w:rsid w:val="006B2EC7"/>
    <w:rsid w:val="006B2EF5"/>
    <w:rsid w:val="006B3063"/>
    <w:rsid w:val="006B3100"/>
    <w:rsid w:val="006B310B"/>
    <w:rsid w:val="006B3185"/>
    <w:rsid w:val="006B34FA"/>
    <w:rsid w:val="006B37DF"/>
    <w:rsid w:val="006B396A"/>
    <w:rsid w:val="006B398C"/>
    <w:rsid w:val="006B3B55"/>
    <w:rsid w:val="006B3DD2"/>
    <w:rsid w:val="006B3E82"/>
    <w:rsid w:val="006B40AE"/>
    <w:rsid w:val="006B40C1"/>
    <w:rsid w:val="006B419A"/>
    <w:rsid w:val="006B41AD"/>
    <w:rsid w:val="006B437E"/>
    <w:rsid w:val="006B43D8"/>
    <w:rsid w:val="006B4555"/>
    <w:rsid w:val="006B45DF"/>
    <w:rsid w:val="006B467B"/>
    <w:rsid w:val="006B46AA"/>
    <w:rsid w:val="006B46D7"/>
    <w:rsid w:val="006B4890"/>
    <w:rsid w:val="006B48D1"/>
    <w:rsid w:val="006B4993"/>
    <w:rsid w:val="006B4ABB"/>
    <w:rsid w:val="006B4B45"/>
    <w:rsid w:val="006B4B80"/>
    <w:rsid w:val="006B4BBD"/>
    <w:rsid w:val="006B4DB3"/>
    <w:rsid w:val="006B4DF8"/>
    <w:rsid w:val="006B50C3"/>
    <w:rsid w:val="006B519C"/>
    <w:rsid w:val="006B5298"/>
    <w:rsid w:val="006B5337"/>
    <w:rsid w:val="006B5341"/>
    <w:rsid w:val="006B536D"/>
    <w:rsid w:val="006B5649"/>
    <w:rsid w:val="006B57AE"/>
    <w:rsid w:val="006B5836"/>
    <w:rsid w:val="006B5892"/>
    <w:rsid w:val="006B59D0"/>
    <w:rsid w:val="006B59D9"/>
    <w:rsid w:val="006B6022"/>
    <w:rsid w:val="006B60AA"/>
    <w:rsid w:val="006B63AA"/>
    <w:rsid w:val="006B6584"/>
    <w:rsid w:val="006B6704"/>
    <w:rsid w:val="006B6723"/>
    <w:rsid w:val="006B677D"/>
    <w:rsid w:val="006B68A4"/>
    <w:rsid w:val="006B6ADA"/>
    <w:rsid w:val="006B6BBE"/>
    <w:rsid w:val="006B6C74"/>
    <w:rsid w:val="006B6D60"/>
    <w:rsid w:val="006B7152"/>
    <w:rsid w:val="006B71B4"/>
    <w:rsid w:val="006B73DA"/>
    <w:rsid w:val="006B762B"/>
    <w:rsid w:val="006B7789"/>
    <w:rsid w:val="006B7933"/>
    <w:rsid w:val="006B79A7"/>
    <w:rsid w:val="006B7D09"/>
    <w:rsid w:val="006B7D90"/>
    <w:rsid w:val="006B7DE1"/>
    <w:rsid w:val="006C0040"/>
    <w:rsid w:val="006C0071"/>
    <w:rsid w:val="006C009F"/>
    <w:rsid w:val="006C0102"/>
    <w:rsid w:val="006C0108"/>
    <w:rsid w:val="006C0178"/>
    <w:rsid w:val="006C04CD"/>
    <w:rsid w:val="006C0530"/>
    <w:rsid w:val="006C0552"/>
    <w:rsid w:val="006C055B"/>
    <w:rsid w:val="006C06CF"/>
    <w:rsid w:val="006C07EB"/>
    <w:rsid w:val="006C080E"/>
    <w:rsid w:val="006C0A9F"/>
    <w:rsid w:val="006C0AC2"/>
    <w:rsid w:val="006C0C65"/>
    <w:rsid w:val="006C0C9D"/>
    <w:rsid w:val="006C0F4F"/>
    <w:rsid w:val="006C117E"/>
    <w:rsid w:val="006C136A"/>
    <w:rsid w:val="006C163E"/>
    <w:rsid w:val="006C1830"/>
    <w:rsid w:val="006C18CC"/>
    <w:rsid w:val="006C18E0"/>
    <w:rsid w:val="006C1945"/>
    <w:rsid w:val="006C1C2C"/>
    <w:rsid w:val="006C1CE9"/>
    <w:rsid w:val="006C1D08"/>
    <w:rsid w:val="006C1D49"/>
    <w:rsid w:val="006C1F13"/>
    <w:rsid w:val="006C2175"/>
    <w:rsid w:val="006C2202"/>
    <w:rsid w:val="006C283B"/>
    <w:rsid w:val="006C2A15"/>
    <w:rsid w:val="006C2AD6"/>
    <w:rsid w:val="006C2BB7"/>
    <w:rsid w:val="006C2CDD"/>
    <w:rsid w:val="006C2F79"/>
    <w:rsid w:val="006C2FDA"/>
    <w:rsid w:val="006C323B"/>
    <w:rsid w:val="006C34D1"/>
    <w:rsid w:val="006C3635"/>
    <w:rsid w:val="006C372B"/>
    <w:rsid w:val="006C395D"/>
    <w:rsid w:val="006C3A0D"/>
    <w:rsid w:val="006C3DA0"/>
    <w:rsid w:val="006C3E68"/>
    <w:rsid w:val="006C3F1F"/>
    <w:rsid w:val="006C4036"/>
    <w:rsid w:val="006C4140"/>
    <w:rsid w:val="006C41C9"/>
    <w:rsid w:val="006C44BB"/>
    <w:rsid w:val="006C44DC"/>
    <w:rsid w:val="006C45B8"/>
    <w:rsid w:val="006C4706"/>
    <w:rsid w:val="006C48D1"/>
    <w:rsid w:val="006C4E81"/>
    <w:rsid w:val="006C5094"/>
    <w:rsid w:val="006C53EE"/>
    <w:rsid w:val="006C54BB"/>
    <w:rsid w:val="006C555E"/>
    <w:rsid w:val="006C56AD"/>
    <w:rsid w:val="006C56D1"/>
    <w:rsid w:val="006C574F"/>
    <w:rsid w:val="006C5A8B"/>
    <w:rsid w:val="006C5D7A"/>
    <w:rsid w:val="006C5DC5"/>
    <w:rsid w:val="006C5E9C"/>
    <w:rsid w:val="006C5F8F"/>
    <w:rsid w:val="006C613D"/>
    <w:rsid w:val="006C6184"/>
    <w:rsid w:val="006C62ED"/>
    <w:rsid w:val="006C63BA"/>
    <w:rsid w:val="006C6466"/>
    <w:rsid w:val="006C665D"/>
    <w:rsid w:val="006C6731"/>
    <w:rsid w:val="006C67FB"/>
    <w:rsid w:val="006C6A20"/>
    <w:rsid w:val="006C6A76"/>
    <w:rsid w:val="006C6C34"/>
    <w:rsid w:val="006C6CF3"/>
    <w:rsid w:val="006C6D9E"/>
    <w:rsid w:val="006C6DB6"/>
    <w:rsid w:val="006C724F"/>
    <w:rsid w:val="006C7389"/>
    <w:rsid w:val="006C7788"/>
    <w:rsid w:val="006C797A"/>
    <w:rsid w:val="006C7A3E"/>
    <w:rsid w:val="006C7A96"/>
    <w:rsid w:val="006C7D59"/>
    <w:rsid w:val="006D0025"/>
    <w:rsid w:val="006D0040"/>
    <w:rsid w:val="006D017D"/>
    <w:rsid w:val="006D0382"/>
    <w:rsid w:val="006D05D3"/>
    <w:rsid w:val="006D06BF"/>
    <w:rsid w:val="006D0738"/>
    <w:rsid w:val="006D086E"/>
    <w:rsid w:val="006D097F"/>
    <w:rsid w:val="006D0A10"/>
    <w:rsid w:val="006D0F30"/>
    <w:rsid w:val="006D1112"/>
    <w:rsid w:val="006D1198"/>
    <w:rsid w:val="006D11EA"/>
    <w:rsid w:val="006D123B"/>
    <w:rsid w:val="006D13E1"/>
    <w:rsid w:val="006D1410"/>
    <w:rsid w:val="006D1511"/>
    <w:rsid w:val="006D1523"/>
    <w:rsid w:val="006D17A5"/>
    <w:rsid w:val="006D192B"/>
    <w:rsid w:val="006D1942"/>
    <w:rsid w:val="006D1953"/>
    <w:rsid w:val="006D1D2B"/>
    <w:rsid w:val="006D1F40"/>
    <w:rsid w:val="006D1F70"/>
    <w:rsid w:val="006D209C"/>
    <w:rsid w:val="006D22FA"/>
    <w:rsid w:val="006D2321"/>
    <w:rsid w:val="006D24A5"/>
    <w:rsid w:val="006D2599"/>
    <w:rsid w:val="006D26F0"/>
    <w:rsid w:val="006D28E3"/>
    <w:rsid w:val="006D2912"/>
    <w:rsid w:val="006D2C04"/>
    <w:rsid w:val="006D2CB3"/>
    <w:rsid w:val="006D2F8D"/>
    <w:rsid w:val="006D31B2"/>
    <w:rsid w:val="006D31C5"/>
    <w:rsid w:val="006D3336"/>
    <w:rsid w:val="006D3422"/>
    <w:rsid w:val="006D348A"/>
    <w:rsid w:val="006D349B"/>
    <w:rsid w:val="006D3568"/>
    <w:rsid w:val="006D36ED"/>
    <w:rsid w:val="006D383A"/>
    <w:rsid w:val="006D3A6A"/>
    <w:rsid w:val="006D3A95"/>
    <w:rsid w:val="006D3DC5"/>
    <w:rsid w:val="006D3F03"/>
    <w:rsid w:val="006D3FF1"/>
    <w:rsid w:val="006D4078"/>
    <w:rsid w:val="006D407F"/>
    <w:rsid w:val="006D4125"/>
    <w:rsid w:val="006D4176"/>
    <w:rsid w:val="006D4331"/>
    <w:rsid w:val="006D46AC"/>
    <w:rsid w:val="006D46AF"/>
    <w:rsid w:val="006D4857"/>
    <w:rsid w:val="006D49F5"/>
    <w:rsid w:val="006D4B05"/>
    <w:rsid w:val="006D4B6E"/>
    <w:rsid w:val="006D5061"/>
    <w:rsid w:val="006D54C9"/>
    <w:rsid w:val="006D560E"/>
    <w:rsid w:val="006D5EA2"/>
    <w:rsid w:val="006D61D9"/>
    <w:rsid w:val="006D6201"/>
    <w:rsid w:val="006D620A"/>
    <w:rsid w:val="006D6874"/>
    <w:rsid w:val="006D68B6"/>
    <w:rsid w:val="006D6BF1"/>
    <w:rsid w:val="006D6E77"/>
    <w:rsid w:val="006D7079"/>
    <w:rsid w:val="006D70C2"/>
    <w:rsid w:val="006D737E"/>
    <w:rsid w:val="006D73F5"/>
    <w:rsid w:val="006D74EC"/>
    <w:rsid w:val="006D7ABF"/>
    <w:rsid w:val="006D7C82"/>
    <w:rsid w:val="006D7D4B"/>
    <w:rsid w:val="006D7DC1"/>
    <w:rsid w:val="006E008C"/>
    <w:rsid w:val="006E0110"/>
    <w:rsid w:val="006E0173"/>
    <w:rsid w:val="006E0202"/>
    <w:rsid w:val="006E023B"/>
    <w:rsid w:val="006E03D6"/>
    <w:rsid w:val="006E03F4"/>
    <w:rsid w:val="006E0560"/>
    <w:rsid w:val="006E05A6"/>
    <w:rsid w:val="006E0872"/>
    <w:rsid w:val="006E0891"/>
    <w:rsid w:val="006E0956"/>
    <w:rsid w:val="006E09B8"/>
    <w:rsid w:val="006E09F6"/>
    <w:rsid w:val="006E0A57"/>
    <w:rsid w:val="006E0C7E"/>
    <w:rsid w:val="006E0DB2"/>
    <w:rsid w:val="006E0E14"/>
    <w:rsid w:val="006E0EF2"/>
    <w:rsid w:val="006E1082"/>
    <w:rsid w:val="006E109F"/>
    <w:rsid w:val="006E14DA"/>
    <w:rsid w:val="006E173C"/>
    <w:rsid w:val="006E1943"/>
    <w:rsid w:val="006E19AF"/>
    <w:rsid w:val="006E19B7"/>
    <w:rsid w:val="006E1A43"/>
    <w:rsid w:val="006E1AF7"/>
    <w:rsid w:val="006E1EB7"/>
    <w:rsid w:val="006E1FE5"/>
    <w:rsid w:val="006E22AE"/>
    <w:rsid w:val="006E231B"/>
    <w:rsid w:val="006E2667"/>
    <w:rsid w:val="006E271C"/>
    <w:rsid w:val="006E2753"/>
    <w:rsid w:val="006E275F"/>
    <w:rsid w:val="006E2A05"/>
    <w:rsid w:val="006E2A59"/>
    <w:rsid w:val="006E2CDB"/>
    <w:rsid w:val="006E2EFE"/>
    <w:rsid w:val="006E2FE0"/>
    <w:rsid w:val="006E31DE"/>
    <w:rsid w:val="006E329E"/>
    <w:rsid w:val="006E3306"/>
    <w:rsid w:val="006E33AF"/>
    <w:rsid w:val="006E3417"/>
    <w:rsid w:val="006E3454"/>
    <w:rsid w:val="006E3502"/>
    <w:rsid w:val="006E3BAA"/>
    <w:rsid w:val="006E3E02"/>
    <w:rsid w:val="006E4056"/>
    <w:rsid w:val="006E405A"/>
    <w:rsid w:val="006E4069"/>
    <w:rsid w:val="006E40B9"/>
    <w:rsid w:val="006E416B"/>
    <w:rsid w:val="006E4198"/>
    <w:rsid w:val="006E42B0"/>
    <w:rsid w:val="006E4375"/>
    <w:rsid w:val="006E483E"/>
    <w:rsid w:val="006E4C1B"/>
    <w:rsid w:val="006E4DA0"/>
    <w:rsid w:val="006E4E2B"/>
    <w:rsid w:val="006E4F70"/>
    <w:rsid w:val="006E4FA9"/>
    <w:rsid w:val="006E50CA"/>
    <w:rsid w:val="006E5486"/>
    <w:rsid w:val="006E56B2"/>
    <w:rsid w:val="006E57ED"/>
    <w:rsid w:val="006E5B42"/>
    <w:rsid w:val="006E5B97"/>
    <w:rsid w:val="006E5CB3"/>
    <w:rsid w:val="006E5CF4"/>
    <w:rsid w:val="006E5CF8"/>
    <w:rsid w:val="006E5DA2"/>
    <w:rsid w:val="006E6046"/>
    <w:rsid w:val="006E60D6"/>
    <w:rsid w:val="006E65E3"/>
    <w:rsid w:val="006E6766"/>
    <w:rsid w:val="006E6E60"/>
    <w:rsid w:val="006E6F33"/>
    <w:rsid w:val="006E738B"/>
    <w:rsid w:val="006E755A"/>
    <w:rsid w:val="006E779C"/>
    <w:rsid w:val="006E77CE"/>
    <w:rsid w:val="006E7A95"/>
    <w:rsid w:val="006E7C44"/>
    <w:rsid w:val="006E7E3E"/>
    <w:rsid w:val="006E7ECE"/>
    <w:rsid w:val="006F011F"/>
    <w:rsid w:val="006F04C3"/>
    <w:rsid w:val="006F04CA"/>
    <w:rsid w:val="006F068A"/>
    <w:rsid w:val="006F0C97"/>
    <w:rsid w:val="006F0CDF"/>
    <w:rsid w:val="006F1281"/>
    <w:rsid w:val="006F12B5"/>
    <w:rsid w:val="006F1344"/>
    <w:rsid w:val="006F1686"/>
    <w:rsid w:val="006F1709"/>
    <w:rsid w:val="006F1714"/>
    <w:rsid w:val="006F1945"/>
    <w:rsid w:val="006F1AE7"/>
    <w:rsid w:val="006F1C2F"/>
    <w:rsid w:val="006F1D53"/>
    <w:rsid w:val="006F1DE4"/>
    <w:rsid w:val="006F21C8"/>
    <w:rsid w:val="006F2292"/>
    <w:rsid w:val="006F24E4"/>
    <w:rsid w:val="006F24FD"/>
    <w:rsid w:val="006F263A"/>
    <w:rsid w:val="006F2A67"/>
    <w:rsid w:val="006F2AD6"/>
    <w:rsid w:val="006F2BC5"/>
    <w:rsid w:val="006F2DBA"/>
    <w:rsid w:val="006F2EA7"/>
    <w:rsid w:val="006F2F0D"/>
    <w:rsid w:val="006F30BF"/>
    <w:rsid w:val="006F31FD"/>
    <w:rsid w:val="006F3295"/>
    <w:rsid w:val="006F34A9"/>
    <w:rsid w:val="006F34BE"/>
    <w:rsid w:val="006F34E6"/>
    <w:rsid w:val="006F34E8"/>
    <w:rsid w:val="006F3647"/>
    <w:rsid w:val="006F3827"/>
    <w:rsid w:val="006F383D"/>
    <w:rsid w:val="006F3935"/>
    <w:rsid w:val="006F3AF9"/>
    <w:rsid w:val="006F3B63"/>
    <w:rsid w:val="006F3B67"/>
    <w:rsid w:val="006F3D82"/>
    <w:rsid w:val="006F4046"/>
    <w:rsid w:val="006F42B0"/>
    <w:rsid w:val="006F43FD"/>
    <w:rsid w:val="006F47FB"/>
    <w:rsid w:val="006F4850"/>
    <w:rsid w:val="006F487C"/>
    <w:rsid w:val="006F50B6"/>
    <w:rsid w:val="006F51FE"/>
    <w:rsid w:val="006F520A"/>
    <w:rsid w:val="006F52E9"/>
    <w:rsid w:val="006F53E3"/>
    <w:rsid w:val="006F5418"/>
    <w:rsid w:val="006F567F"/>
    <w:rsid w:val="006F56B2"/>
    <w:rsid w:val="006F5820"/>
    <w:rsid w:val="006F5927"/>
    <w:rsid w:val="006F5CFE"/>
    <w:rsid w:val="006F5D77"/>
    <w:rsid w:val="006F5DDD"/>
    <w:rsid w:val="006F5E2C"/>
    <w:rsid w:val="006F622E"/>
    <w:rsid w:val="006F647A"/>
    <w:rsid w:val="006F670D"/>
    <w:rsid w:val="006F685B"/>
    <w:rsid w:val="006F69BE"/>
    <w:rsid w:val="006F6A43"/>
    <w:rsid w:val="006F6A54"/>
    <w:rsid w:val="006F6DC3"/>
    <w:rsid w:val="006F700C"/>
    <w:rsid w:val="006F705D"/>
    <w:rsid w:val="006F708E"/>
    <w:rsid w:val="006F713D"/>
    <w:rsid w:val="006F728C"/>
    <w:rsid w:val="006F73FF"/>
    <w:rsid w:val="006F7403"/>
    <w:rsid w:val="006F74E9"/>
    <w:rsid w:val="006F7C16"/>
    <w:rsid w:val="006F7CE9"/>
    <w:rsid w:val="006F7D54"/>
    <w:rsid w:val="006F7EE3"/>
    <w:rsid w:val="00700247"/>
    <w:rsid w:val="007002A5"/>
    <w:rsid w:val="00700361"/>
    <w:rsid w:val="007003C0"/>
    <w:rsid w:val="0070048B"/>
    <w:rsid w:val="00700515"/>
    <w:rsid w:val="0070051D"/>
    <w:rsid w:val="0070072A"/>
    <w:rsid w:val="00700750"/>
    <w:rsid w:val="0070081F"/>
    <w:rsid w:val="0070088B"/>
    <w:rsid w:val="007008C5"/>
    <w:rsid w:val="00700A11"/>
    <w:rsid w:val="00700A91"/>
    <w:rsid w:val="00700BE9"/>
    <w:rsid w:val="00700BFD"/>
    <w:rsid w:val="00700DAE"/>
    <w:rsid w:val="00701144"/>
    <w:rsid w:val="00701277"/>
    <w:rsid w:val="007012C7"/>
    <w:rsid w:val="007012F0"/>
    <w:rsid w:val="0070161A"/>
    <w:rsid w:val="007016D3"/>
    <w:rsid w:val="00701882"/>
    <w:rsid w:val="00701FFB"/>
    <w:rsid w:val="00702179"/>
    <w:rsid w:val="007021F9"/>
    <w:rsid w:val="0070237B"/>
    <w:rsid w:val="007024F8"/>
    <w:rsid w:val="00702851"/>
    <w:rsid w:val="0070294E"/>
    <w:rsid w:val="007029A7"/>
    <w:rsid w:val="007029CD"/>
    <w:rsid w:val="00702B4C"/>
    <w:rsid w:val="00702DF0"/>
    <w:rsid w:val="00702E4E"/>
    <w:rsid w:val="00703072"/>
    <w:rsid w:val="007031A0"/>
    <w:rsid w:val="00703221"/>
    <w:rsid w:val="0070348D"/>
    <w:rsid w:val="007034BA"/>
    <w:rsid w:val="00703633"/>
    <w:rsid w:val="007037DC"/>
    <w:rsid w:val="00703812"/>
    <w:rsid w:val="00703880"/>
    <w:rsid w:val="00703A49"/>
    <w:rsid w:val="00703BFB"/>
    <w:rsid w:val="00703F92"/>
    <w:rsid w:val="00704009"/>
    <w:rsid w:val="007040BA"/>
    <w:rsid w:val="00704129"/>
    <w:rsid w:val="00704242"/>
    <w:rsid w:val="00704271"/>
    <w:rsid w:val="007042C2"/>
    <w:rsid w:val="00704565"/>
    <w:rsid w:val="007046E5"/>
    <w:rsid w:val="00704A96"/>
    <w:rsid w:val="00704D6F"/>
    <w:rsid w:val="00704EEC"/>
    <w:rsid w:val="00704FB5"/>
    <w:rsid w:val="00704FB6"/>
    <w:rsid w:val="007051B1"/>
    <w:rsid w:val="007052BE"/>
    <w:rsid w:val="00705379"/>
    <w:rsid w:val="007054D9"/>
    <w:rsid w:val="007059C6"/>
    <w:rsid w:val="00705B96"/>
    <w:rsid w:val="00705C10"/>
    <w:rsid w:val="00705CD3"/>
    <w:rsid w:val="00705FE2"/>
    <w:rsid w:val="0070605E"/>
    <w:rsid w:val="00706075"/>
    <w:rsid w:val="00706077"/>
    <w:rsid w:val="00706210"/>
    <w:rsid w:val="00706341"/>
    <w:rsid w:val="00706354"/>
    <w:rsid w:val="00706451"/>
    <w:rsid w:val="0070645C"/>
    <w:rsid w:val="007069C0"/>
    <w:rsid w:val="00706CE3"/>
    <w:rsid w:val="00706EC1"/>
    <w:rsid w:val="00707006"/>
    <w:rsid w:val="00707102"/>
    <w:rsid w:val="0070712C"/>
    <w:rsid w:val="00707153"/>
    <w:rsid w:val="007077B1"/>
    <w:rsid w:val="00707899"/>
    <w:rsid w:val="00707BC0"/>
    <w:rsid w:val="00707C93"/>
    <w:rsid w:val="00707D5C"/>
    <w:rsid w:val="00707EEF"/>
    <w:rsid w:val="00707FF8"/>
    <w:rsid w:val="0071003F"/>
    <w:rsid w:val="00710149"/>
    <w:rsid w:val="00710166"/>
    <w:rsid w:val="00710541"/>
    <w:rsid w:val="0071069C"/>
    <w:rsid w:val="007107EF"/>
    <w:rsid w:val="00710EB8"/>
    <w:rsid w:val="00710F2E"/>
    <w:rsid w:val="00710F64"/>
    <w:rsid w:val="00710F80"/>
    <w:rsid w:val="007111F7"/>
    <w:rsid w:val="00711470"/>
    <w:rsid w:val="007114D2"/>
    <w:rsid w:val="00711579"/>
    <w:rsid w:val="00711642"/>
    <w:rsid w:val="0071199E"/>
    <w:rsid w:val="00711A8D"/>
    <w:rsid w:val="00711B06"/>
    <w:rsid w:val="00711C44"/>
    <w:rsid w:val="00711D3B"/>
    <w:rsid w:val="00711F12"/>
    <w:rsid w:val="00711FC2"/>
    <w:rsid w:val="0071202F"/>
    <w:rsid w:val="00712813"/>
    <w:rsid w:val="00712826"/>
    <w:rsid w:val="0071293B"/>
    <w:rsid w:val="00712B8C"/>
    <w:rsid w:val="00712BB2"/>
    <w:rsid w:val="00712D7B"/>
    <w:rsid w:val="00712DA6"/>
    <w:rsid w:val="00712E2B"/>
    <w:rsid w:val="00712EE4"/>
    <w:rsid w:val="00712F4F"/>
    <w:rsid w:val="007130EC"/>
    <w:rsid w:val="007133BC"/>
    <w:rsid w:val="007135DD"/>
    <w:rsid w:val="007136D9"/>
    <w:rsid w:val="007139B4"/>
    <w:rsid w:val="00713BA4"/>
    <w:rsid w:val="00713CEB"/>
    <w:rsid w:val="00713D29"/>
    <w:rsid w:val="00713E31"/>
    <w:rsid w:val="00713ED5"/>
    <w:rsid w:val="0071418D"/>
    <w:rsid w:val="007142AB"/>
    <w:rsid w:val="007146C7"/>
    <w:rsid w:val="0071478D"/>
    <w:rsid w:val="007148C3"/>
    <w:rsid w:val="00714AD3"/>
    <w:rsid w:val="00714C65"/>
    <w:rsid w:val="00714D35"/>
    <w:rsid w:val="00714D4F"/>
    <w:rsid w:val="00714FAC"/>
    <w:rsid w:val="0071513F"/>
    <w:rsid w:val="007152D5"/>
    <w:rsid w:val="00715373"/>
    <w:rsid w:val="0071574C"/>
    <w:rsid w:val="0071581C"/>
    <w:rsid w:val="0071586E"/>
    <w:rsid w:val="00715F47"/>
    <w:rsid w:val="007164BA"/>
    <w:rsid w:val="00716686"/>
    <w:rsid w:val="0071675C"/>
    <w:rsid w:val="0071679C"/>
    <w:rsid w:val="00716828"/>
    <w:rsid w:val="00716865"/>
    <w:rsid w:val="00716B06"/>
    <w:rsid w:val="00716ED5"/>
    <w:rsid w:val="0071703B"/>
    <w:rsid w:val="00717559"/>
    <w:rsid w:val="00717A06"/>
    <w:rsid w:val="00717B18"/>
    <w:rsid w:val="00717B5F"/>
    <w:rsid w:val="00717BAB"/>
    <w:rsid w:val="00717C03"/>
    <w:rsid w:val="00717C5D"/>
    <w:rsid w:val="00717D0E"/>
    <w:rsid w:val="00717D6D"/>
    <w:rsid w:val="00717F3B"/>
    <w:rsid w:val="007200B7"/>
    <w:rsid w:val="007202DB"/>
    <w:rsid w:val="007203D7"/>
    <w:rsid w:val="00720669"/>
    <w:rsid w:val="0072066B"/>
    <w:rsid w:val="007208CB"/>
    <w:rsid w:val="00720946"/>
    <w:rsid w:val="00720BC0"/>
    <w:rsid w:val="00720C22"/>
    <w:rsid w:val="00720D40"/>
    <w:rsid w:val="00720EC2"/>
    <w:rsid w:val="00721174"/>
    <w:rsid w:val="007212D8"/>
    <w:rsid w:val="007214ED"/>
    <w:rsid w:val="007215CD"/>
    <w:rsid w:val="00721691"/>
    <w:rsid w:val="00721749"/>
    <w:rsid w:val="007218DA"/>
    <w:rsid w:val="00721B9C"/>
    <w:rsid w:val="00721CD7"/>
    <w:rsid w:val="007223F5"/>
    <w:rsid w:val="0072242B"/>
    <w:rsid w:val="0072243C"/>
    <w:rsid w:val="00722618"/>
    <w:rsid w:val="00722707"/>
    <w:rsid w:val="0072277F"/>
    <w:rsid w:val="00722794"/>
    <w:rsid w:val="007228F7"/>
    <w:rsid w:val="00722A9C"/>
    <w:rsid w:val="00722C7F"/>
    <w:rsid w:val="00722D15"/>
    <w:rsid w:val="00722F2B"/>
    <w:rsid w:val="00722F7F"/>
    <w:rsid w:val="00722F86"/>
    <w:rsid w:val="00722FF1"/>
    <w:rsid w:val="00723140"/>
    <w:rsid w:val="00723147"/>
    <w:rsid w:val="00723172"/>
    <w:rsid w:val="007234E1"/>
    <w:rsid w:val="007237E5"/>
    <w:rsid w:val="00723843"/>
    <w:rsid w:val="0072386B"/>
    <w:rsid w:val="007238F5"/>
    <w:rsid w:val="00723B97"/>
    <w:rsid w:val="00723CE9"/>
    <w:rsid w:val="00723F62"/>
    <w:rsid w:val="00724086"/>
    <w:rsid w:val="007241CB"/>
    <w:rsid w:val="007241D2"/>
    <w:rsid w:val="00724212"/>
    <w:rsid w:val="00724219"/>
    <w:rsid w:val="00724226"/>
    <w:rsid w:val="00724249"/>
    <w:rsid w:val="00724364"/>
    <w:rsid w:val="0072469D"/>
    <w:rsid w:val="007246DC"/>
    <w:rsid w:val="00724712"/>
    <w:rsid w:val="0072476E"/>
    <w:rsid w:val="00724855"/>
    <w:rsid w:val="00724952"/>
    <w:rsid w:val="00724A19"/>
    <w:rsid w:val="00724C30"/>
    <w:rsid w:val="00724CE0"/>
    <w:rsid w:val="00724D58"/>
    <w:rsid w:val="00724D7B"/>
    <w:rsid w:val="00724E8C"/>
    <w:rsid w:val="00724F64"/>
    <w:rsid w:val="0072505A"/>
    <w:rsid w:val="00725114"/>
    <w:rsid w:val="007252EE"/>
    <w:rsid w:val="00725472"/>
    <w:rsid w:val="00725633"/>
    <w:rsid w:val="007256FD"/>
    <w:rsid w:val="0072585A"/>
    <w:rsid w:val="007258CF"/>
    <w:rsid w:val="00725A10"/>
    <w:rsid w:val="00725C95"/>
    <w:rsid w:val="00725EB0"/>
    <w:rsid w:val="00725FEF"/>
    <w:rsid w:val="00726065"/>
    <w:rsid w:val="0072606B"/>
    <w:rsid w:val="007261F4"/>
    <w:rsid w:val="00726357"/>
    <w:rsid w:val="00726573"/>
    <w:rsid w:val="007267EC"/>
    <w:rsid w:val="007269A9"/>
    <w:rsid w:val="00726C12"/>
    <w:rsid w:val="00726C5B"/>
    <w:rsid w:val="00726F1A"/>
    <w:rsid w:val="00726F66"/>
    <w:rsid w:val="00727030"/>
    <w:rsid w:val="0072706D"/>
    <w:rsid w:val="007271C4"/>
    <w:rsid w:val="0072736B"/>
    <w:rsid w:val="00727378"/>
    <w:rsid w:val="00727705"/>
    <w:rsid w:val="00727717"/>
    <w:rsid w:val="007278BA"/>
    <w:rsid w:val="007278E4"/>
    <w:rsid w:val="00727AA5"/>
    <w:rsid w:val="00727B8B"/>
    <w:rsid w:val="00727E37"/>
    <w:rsid w:val="00727EDF"/>
    <w:rsid w:val="00727F1E"/>
    <w:rsid w:val="00730097"/>
    <w:rsid w:val="007301C9"/>
    <w:rsid w:val="00730267"/>
    <w:rsid w:val="007303CF"/>
    <w:rsid w:val="007304E3"/>
    <w:rsid w:val="00730543"/>
    <w:rsid w:val="00730628"/>
    <w:rsid w:val="007307DA"/>
    <w:rsid w:val="007308FC"/>
    <w:rsid w:val="007309EA"/>
    <w:rsid w:val="00730B68"/>
    <w:rsid w:val="00730CF1"/>
    <w:rsid w:val="00731203"/>
    <w:rsid w:val="00731428"/>
    <w:rsid w:val="007316CC"/>
    <w:rsid w:val="00731789"/>
    <w:rsid w:val="007317BD"/>
    <w:rsid w:val="0073184A"/>
    <w:rsid w:val="00731870"/>
    <w:rsid w:val="007319F9"/>
    <w:rsid w:val="00731A6E"/>
    <w:rsid w:val="00731AB4"/>
    <w:rsid w:val="00731AEB"/>
    <w:rsid w:val="00731D73"/>
    <w:rsid w:val="00731F50"/>
    <w:rsid w:val="00731FB2"/>
    <w:rsid w:val="007320DD"/>
    <w:rsid w:val="00732111"/>
    <w:rsid w:val="007328D5"/>
    <w:rsid w:val="00732910"/>
    <w:rsid w:val="0073291A"/>
    <w:rsid w:val="00732BF4"/>
    <w:rsid w:val="00732F6D"/>
    <w:rsid w:val="0073322E"/>
    <w:rsid w:val="007335BE"/>
    <w:rsid w:val="0073361F"/>
    <w:rsid w:val="00733AC6"/>
    <w:rsid w:val="00733DE5"/>
    <w:rsid w:val="00733F1A"/>
    <w:rsid w:val="00733F47"/>
    <w:rsid w:val="007341B9"/>
    <w:rsid w:val="0073433B"/>
    <w:rsid w:val="007343C4"/>
    <w:rsid w:val="00734829"/>
    <w:rsid w:val="007348B8"/>
    <w:rsid w:val="00734AA3"/>
    <w:rsid w:val="00734B3C"/>
    <w:rsid w:val="00734EBE"/>
    <w:rsid w:val="00734F2C"/>
    <w:rsid w:val="00735168"/>
    <w:rsid w:val="007351C8"/>
    <w:rsid w:val="007351D5"/>
    <w:rsid w:val="00735390"/>
    <w:rsid w:val="007354D0"/>
    <w:rsid w:val="007356D6"/>
    <w:rsid w:val="00735802"/>
    <w:rsid w:val="00735965"/>
    <w:rsid w:val="007359C2"/>
    <w:rsid w:val="007359C7"/>
    <w:rsid w:val="00735C39"/>
    <w:rsid w:val="00735E31"/>
    <w:rsid w:val="007360BE"/>
    <w:rsid w:val="00736174"/>
    <w:rsid w:val="007364D6"/>
    <w:rsid w:val="0073670C"/>
    <w:rsid w:val="00736790"/>
    <w:rsid w:val="00736C06"/>
    <w:rsid w:val="00736C1D"/>
    <w:rsid w:val="00736C47"/>
    <w:rsid w:val="00736E20"/>
    <w:rsid w:val="00737116"/>
    <w:rsid w:val="00737294"/>
    <w:rsid w:val="007377C5"/>
    <w:rsid w:val="00737CB5"/>
    <w:rsid w:val="00737D63"/>
    <w:rsid w:val="00737D97"/>
    <w:rsid w:val="00737DE6"/>
    <w:rsid w:val="0074006D"/>
    <w:rsid w:val="007402ED"/>
    <w:rsid w:val="00740319"/>
    <w:rsid w:val="007405C8"/>
    <w:rsid w:val="0074062A"/>
    <w:rsid w:val="00740654"/>
    <w:rsid w:val="00740A15"/>
    <w:rsid w:val="00740B46"/>
    <w:rsid w:val="00740C33"/>
    <w:rsid w:val="00740C3E"/>
    <w:rsid w:val="00740CEB"/>
    <w:rsid w:val="00740D68"/>
    <w:rsid w:val="00740EA8"/>
    <w:rsid w:val="00741089"/>
    <w:rsid w:val="00741111"/>
    <w:rsid w:val="007415E8"/>
    <w:rsid w:val="00741694"/>
    <w:rsid w:val="0074192B"/>
    <w:rsid w:val="00741ACF"/>
    <w:rsid w:val="00741AE5"/>
    <w:rsid w:val="00741B5C"/>
    <w:rsid w:val="00741BD6"/>
    <w:rsid w:val="00741C47"/>
    <w:rsid w:val="00741E65"/>
    <w:rsid w:val="00742003"/>
    <w:rsid w:val="0074200D"/>
    <w:rsid w:val="00742101"/>
    <w:rsid w:val="007422A3"/>
    <w:rsid w:val="00742783"/>
    <w:rsid w:val="00742847"/>
    <w:rsid w:val="0074296E"/>
    <w:rsid w:val="00742C4B"/>
    <w:rsid w:val="00742D29"/>
    <w:rsid w:val="00742DBF"/>
    <w:rsid w:val="00742F97"/>
    <w:rsid w:val="00743001"/>
    <w:rsid w:val="0074358D"/>
    <w:rsid w:val="0074378B"/>
    <w:rsid w:val="00743879"/>
    <w:rsid w:val="0074388F"/>
    <w:rsid w:val="00743950"/>
    <w:rsid w:val="007439A3"/>
    <w:rsid w:val="007439E2"/>
    <w:rsid w:val="00743CFF"/>
    <w:rsid w:val="00743DC7"/>
    <w:rsid w:val="00743E7D"/>
    <w:rsid w:val="00743F8A"/>
    <w:rsid w:val="0074408A"/>
    <w:rsid w:val="0074411C"/>
    <w:rsid w:val="00744418"/>
    <w:rsid w:val="007446E8"/>
    <w:rsid w:val="00744822"/>
    <w:rsid w:val="0074487F"/>
    <w:rsid w:val="00744A77"/>
    <w:rsid w:val="00744A95"/>
    <w:rsid w:val="00744BD3"/>
    <w:rsid w:val="00744C23"/>
    <w:rsid w:val="00744E67"/>
    <w:rsid w:val="00744ECB"/>
    <w:rsid w:val="00744FD9"/>
    <w:rsid w:val="00745153"/>
    <w:rsid w:val="007451DF"/>
    <w:rsid w:val="007451FB"/>
    <w:rsid w:val="0074524E"/>
    <w:rsid w:val="00745282"/>
    <w:rsid w:val="0074538A"/>
    <w:rsid w:val="007453B7"/>
    <w:rsid w:val="007454E8"/>
    <w:rsid w:val="0074555E"/>
    <w:rsid w:val="0074556A"/>
    <w:rsid w:val="0074579C"/>
    <w:rsid w:val="00745922"/>
    <w:rsid w:val="00745A59"/>
    <w:rsid w:val="00745A69"/>
    <w:rsid w:val="007460B3"/>
    <w:rsid w:val="0074623A"/>
    <w:rsid w:val="00746331"/>
    <w:rsid w:val="0074643F"/>
    <w:rsid w:val="0074646A"/>
    <w:rsid w:val="007464B3"/>
    <w:rsid w:val="007465CC"/>
    <w:rsid w:val="007465F2"/>
    <w:rsid w:val="0074698D"/>
    <w:rsid w:val="00746BFB"/>
    <w:rsid w:val="00746D68"/>
    <w:rsid w:val="00746F3A"/>
    <w:rsid w:val="00746FBE"/>
    <w:rsid w:val="00747204"/>
    <w:rsid w:val="0074725D"/>
    <w:rsid w:val="007472F3"/>
    <w:rsid w:val="00747395"/>
    <w:rsid w:val="00747661"/>
    <w:rsid w:val="00747D38"/>
    <w:rsid w:val="00747F12"/>
    <w:rsid w:val="00747F20"/>
    <w:rsid w:val="00747F39"/>
    <w:rsid w:val="00750075"/>
    <w:rsid w:val="007500EF"/>
    <w:rsid w:val="00750184"/>
    <w:rsid w:val="00750292"/>
    <w:rsid w:val="00750298"/>
    <w:rsid w:val="00750863"/>
    <w:rsid w:val="00750A42"/>
    <w:rsid w:val="00750AAA"/>
    <w:rsid w:val="00750D9B"/>
    <w:rsid w:val="00750E26"/>
    <w:rsid w:val="00750E53"/>
    <w:rsid w:val="00751065"/>
    <w:rsid w:val="007512C4"/>
    <w:rsid w:val="0075131D"/>
    <w:rsid w:val="00751402"/>
    <w:rsid w:val="00751606"/>
    <w:rsid w:val="007516BE"/>
    <w:rsid w:val="007519E8"/>
    <w:rsid w:val="00751A3C"/>
    <w:rsid w:val="00751A47"/>
    <w:rsid w:val="00751B87"/>
    <w:rsid w:val="00751EAF"/>
    <w:rsid w:val="00751F79"/>
    <w:rsid w:val="007520B5"/>
    <w:rsid w:val="007520D5"/>
    <w:rsid w:val="007520DD"/>
    <w:rsid w:val="00752218"/>
    <w:rsid w:val="007523F3"/>
    <w:rsid w:val="007524D7"/>
    <w:rsid w:val="007527F6"/>
    <w:rsid w:val="007528D6"/>
    <w:rsid w:val="00752A39"/>
    <w:rsid w:val="00752AB3"/>
    <w:rsid w:val="00752AD4"/>
    <w:rsid w:val="00752BB0"/>
    <w:rsid w:val="00752BF3"/>
    <w:rsid w:val="00752D6A"/>
    <w:rsid w:val="00752D6F"/>
    <w:rsid w:val="00752EDA"/>
    <w:rsid w:val="0075315D"/>
    <w:rsid w:val="007534B0"/>
    <w:rsid w:val="007534D0"/>
    <w:rsid w:val="00753797"/>
    <w:rsid w:val="00753924"/>
    <w:rsid w:val="007539A9"/>
    <w:rsid w:val="00753B4D"/>
    <w:rsid w:val="00753C90"/>
    <w:rsid w:val="00754103"/>
    <w:rsid w:val="00754206"/>
    <w:rsid w:val="007542BE"/>
    <w:rsid w:val="0075442E"/>
    <w:rsid w:val="00754431"/>
    <w:rsid w:val="007544C7"/>
    <w:rsid w:val="0075467B"/>
    <w:rsid w:val="0075493F"/>
    <w:rsid w:val="0075495A"/>
    <w:rsid w:val="007549A1"/>
    <w:rsid w:val="00754B38"/>
    <w:rsid w:val="00754B91"/>
    <w:rsid w:val="00754BF2"/>
    <w:rsid w:val="00754CE8"/>
    <w:rsid w:val="00754E2D"/>
    <w:rsid w:val="00754F09"/>
    <w:rsid w:val="00754F1C"/>
    <w:rsid w:val="00754F57"/>
    <w:rsid w:val="00754FAD"/>
    <w:rsid w:val="007550F8"/>
    <w:rsid w:val="00755180"/>
    <w:rsid w:val="0075527F"/>
    <w:rsid w:val="00755374"/>
    <w:rsid w:val="00755424"/>
    <w:rsid w:val="0075546F"/>
    <w:rsid w:val="0075554E"/>
    <w:rsid w:val="0075556E"/>
    <w:rsid w:val="00755573"/>
    <w:rsid w:val="0075565B"/>
    <w:rsid w:val="00755663"/>
    <w:rsid w:val="0075576B"/>
    <w:rsid w:val="00755855"/>
    <w:rsid w:val="00755859"/>
    <w:rsid w:val="00755A42"/>
    <w:rsid w:val="00755AD9"/>
    <w:rsid w:val="00755B4F"/>
    <w:rsid w:val="00755B7C"/>
    <w:rsid w:val="00755C5A"/>
    <w:rsid w:val="00755E09"/>
    <w:rsid w:val="00755E31"/>
    <w:rsid w:val="00755E93"/>
    <w:rsid w:val="00756013"/>
    <w:rsid w:val="00756123"/>
    <w:rsid w:val="00756441"/>
    <w:rsid w:val="0075666A"/>
    <w:rsid w:val="00756A03"/>
    <w:rsid w:val="00756A17"/>
    <w:rsid w:val="00756C2A"/>
    <w:rsid w:val="00756D41"/>
    <w:rsid w:val="00756D47"/>
    <w:rsid w:val="00756DD2"/>
    <w:rsid w:val="00756EE1"/>
    <w:rsid w:val="0075703E"/>
    <w:rsid w:val="007570E4"/>
    <w:rsid w:val="00757224"/>
    <w:rsid w:val="00757416"/>
    <w:rsid w:val="00757424"/>
    <w:rsid w:val="0075762C"/>
    <w:rsid w:val="00757661"/>
    <w:rsid w:val="007576DA"/>
    <w:rsid w:val="00757704"/>
    <w:rsid w:val="00757931"/>
    <w:rsid w:val="007579B8"/>
    <w:rsid w:val="00757B2D"/>
    <w:rsid w:val="00757BF3"/>
    <w:rsid w:val="00757D9F"/>
    <w:rsid w:val="00757F37"/>
    <w:rsid w:val="00760011"/>
    <w:rsid w:val="007600F5"/>
    <w:rsid w:val="00760128"/>
    <w:rsid w:val="007603E6"/>
    <w:rsid w:val="0076049E"/>
    <w:rsid w:val="007606E0"/>
    <w:rsid w:val="00760A00"/>
    <w:rsid w:val="00760A7B"/>
    <w:rsid w:val="00760FAC"/>
    <w:rsid w:val="00761009"/>
    <w:rsid w:val="0076103D"/>
    <w:rsid w:val="00761075"/>
    <w:rsid w:val="0076108C"/>
    <w:rsid w:val="0076110E"/>
    <w:rsid w:val="007612BF"/>
    <w:rsid w:val="007614FF"/>
    <w:rsid w:val="00761771"/>
    <w:rsid w:val="007617FA"/>
    <w:rsid w:val="0076183F"/>
    <w:rsid w:val="007619B6"/>
    <w:rsid w:val="00761BCB"/>
    <w:rsid w:val="00761D5C"/>
    <w:rsid w:val="00761D9A"/>
    <w:rsid w:val="00762540"/>
    <w:rsid w:val="007625C9"/>
    <w:rsid w:val="007628F8"/>
    <w:rsid w:val="00762D38"/>
    <w:rsid w:val="00762DF4"/>
    <w:rsid w:val="0076301E"/>
    <w:rsid w:val="00763275"/>
    <w:rsid w:val="007633ED"/>
    <w:rsid w:val="00763406"/>
    <w:rsid w:val="0076347B"/>
    <w:rsid w:val="0076364D"/>
    <w:rsid w:val="00763AE2"/>
    <w:rsid w:val="00763E4F"/>
    <w:rsid w:val="00763F07"/>
    <w:rsid w:val="00763FE7"/>
    <w:rsid w:val="00764025"/>
    <w:rsid w:val="00764402"/>
    <w:rsid w:val="00764418"/>
    <w:rsid w:val="007645B9"/>
    <w:rsid w:val="0076484B"/>
    <w:rsid w:val="007648AD"/>
    <w:rsid w:val="00764909"/>
    <w:rsid w:val="00764B81"/>
    <w:rsid w:val="00764D3B"/>
    <w:rsid w:val="00764DB1"/>
    <w:rsid w:val="00764DD8"/>
    <w:rsid w:val="00764E12"/>
    <w:rsid w:val="00764E2A"/>
    <w:rsid w:val="00764E5D"/>
    <w:rsid w:val="00764F5E"/>
    <w:rsid w:val="00765170"/>
    <w:rsid w:val="007651E7"/>
    <w:rsid w:val="0076548D"/>
    <w:rsid w:val="007654E6"/>
    <w:rsid w:val="00765B55"/>
    <w:rsid w:val="00765C94"/>
    <w:rsid w:val="00765CC6"/>
    <w:rsid w:val="00765DFA"/>
    <w:rsid w:val="00766109"/>
    <w:rsid w:val="007661DF"/>
    <w:rsid w:val="00766297"/>
    <w:rsid w:val="007663AB"/>
    <w:rsid w:val="007663D0"/>
    <w:rsid w:val="007664E4"/>
    <w:rsid w:val="007666D0"/>
    <w:rsid w:val="00766BF1"/>
    <w:rsid w:val="00766E9C"/>
    <w:rsid w:val="0076701A"/>
    <w:rsid w:val="00767055"/>
    <w:rsid w:val="0076723C"/>
    <w:rsid w:val="00767370"/>
    <w:rsid w:val="007674AD"/>
    <w:rsid w:val="0076764A"/>
    <w:rsid w:val="007678C2"/>
    <w:rsid w:val="00767A0E"/>
    <w:rsid w:val="00767A4C"/>
    <w:rsid w:val="00767C48"/>
    <w:rsid w:val="00767C9B"/>
    <w:rsid w:val="00767CDC"/>
    <w:rsid w:val="00767F26"/>
    <w:rsid w:val="00767F2A"/>
    <w:rsid w:val="007700D4"/>
    <w:rsid w:val="00770173"/>
    <w:rsid w:val="007703B7"/>
    <w:rsid w:val="00770430"/>
    <w:rsid w:val="007706B7"/>
    <w:rsid w:val="007707D6"/>
    <w:rsid w:val="007707EB"/>
    <w:rsid w:val="00770D1B"/>
    <w:rsid w:val="00770D43"/>
    <w:rsid w:val="00770DCB"/>
    <w:rsid w:val="00770E78"/>
    <w:rsid w:val="00770F16"/>
    <w:rsid w:val="007712BE"/>
    <w:rsid w:val="00771371"/>
    <w:rsid w:val="00771580"/>
    <w:rsid w:val="007715EE"/>
    <w:rsid w:val="007717A5"/>
    <w:rsid w:val="00771862"/>
    <w:rsid w:val="00771980"/>
    <w:rsid w:val="00771B2A"/>
    <w:rsid w:val="00771B40"/>
    <w:rsid w:val="00771BF4"/>
    <w:rsid w:val="00771CEB"/>
    <w:rsid w:val="00771D2D"/>
    <w:rsid w:val="00771DCA"/>
    <w:rsid w:val="00771E42"/>
    <w:rsid w:val="00771E8D"/>
    <w:rsid w:val="00771F01"/>
    <w:rsid w:val="00771F19"/>
    <w:rsid w:val="00772172"/>
    <w:rsid w:val="007723A2"/>
    <w:rsid w:val="00772412"/>
    <w:rsid w:val="00772736"/>
    <w:rsid w:val="00772D17"/>
    <w:rsid w:val="00773590"/>
    <w:rsid w:val="00773AA0"/>
    <w:rsid w:val="00773AAF"/>
    <w:rsid w:val="00773AB9"/>
    <w:rsid w:val="00773B07"/>
    <w:rsid w:val="00773BFB"/>
    <w:rsid w:val="00773DF8"/>
    <w:rsid w:val="00773ED5"/>
    <w:rsid w:val="00773EEB"/>
    <w:rsid w:val="00773FAE"/>
    <w:rsid w:val="0077429A"/>
    <w:rsid w:val="007744C0"/>
    <w:rsid w:val="007744EB"/>
    <w:rsid w:val="007745BF"/>
    <w:rsid w:val="007746D2"/>
    <w:rsid w:val="0077488D"/>
    <w:rsid w:val="00774907"/>
    <w:rsid w:val="00774AB4"/>
    <w:rsid w:val="00774B1F"/>
    <w:rsid w:val="00774C59"/>
    <w:rsid w:val="00774ED8"/>
    <w:rsid w:val="00775071"/>
    <w:rsid w:val="00775077"/>
    <w:rsid w:val="0077507B"/>
    <w:rsid w:val="007750EB"/>
    <w:rsid w:val="007750F3"/>
    <w:rsid w:val="00775364"/>
    <w:rsid w:val="007756CB"/>
    <w:rsid w:val="007757B2"/>
    <w:rsid w:val="007757DB"/>
    <w:rsid w:val="00775A41"/>
    <w:rsid w:val="00775AEC"/>
    <w:rsid w:val="00775F65"/>
    <w:rsid w:val="00776105"/>
    <w:rsid w:val="00776115"/>
    <w:rsid w:val="00776175"/>
    <w:rsid w:val="007761F5"/>
    <w:rsid w:val="00776478"/>
    <w:rsid w:val="00776555"/>
    <w:rsid w:val="00776856"/>
    <w:rsid w:val="00776B89"/>
    <w:rsid w:val="00776C39"/>
    <w:rsid w:val="00776C8C"/>
    <w:rsid w:val="00776CCC"/>
    <w:rsid w:val="00776D9D"/>
    <w:rsid w:val="00776E7E"/>
    <w:rsid w:val="00776E9B"/>
    <w:rsid w:val="00776FE1"/>
    <w:rsid w:val="007772B0"/>
    <w:rsid w:val="007773CB"/>
    <w:rsid w:val="007773F2"/>
    <w:rsid w:val="0077749F"/>
    <w:rsid w:val="007776AA"/>
    <w:rsid w:val="007779B9"/>
    <w:rsid w:val="00777CCB"/>
    <w:rsid w:val="00777DA1"/>
    <w:rsid w:val="00777EAE"/>
    <w:rsid w:val="00777F72"/>
    <w:rsid w:val="007800C7"/>
    <w:rsid w:val="007802E4"/>
    <w:rsid w:val="007802F6"/>
    <w:rsid w:val="00780317"/>
    <w:rsid w:val="0078034A"/>
    <w:rsid w:val="00780371"/>
    <w:rsid w:val="007804A8"/>
    <w:rsid w:val="00780574"/>
    <w:rsid w:val="00780615"/>
    <w:rsid w:val="00780647"/>
    <w:rsid w:val="007806C4"/>
    <w:rsid w:val="007806E7"/>
    <w:rsid w:val="00780887"/>
    <w:rsid w:val="00780BEF"/>
    <w:rsid w:val="00780CE4"/>
    <w:rsid w:val="00780D0F"/>
    <w:rsid w:val="00780DDA"/>
    <w:rsid w:val="00780F51"/>
    <w:rsid w:val="00780F8A"/>
    <w:rsid w:val="00781016"/>
    <w:rsid w:val="00781218"/>
    <w:rsid w:val="0078125B"/>
    <w:rsid w:val="0078130F"/>
    <w:rsid w:val="007813D5"/>
    <w:rsid w:val="007816FC"/>
    <w:rsid w:val="00781721"/>
    <w:rsid w:val="00781834"/>
    <w:rsid w:val="00781959"/>
    <w:rsid w:val="00781B9B"/>
    <w:rsid w:val="00781E0B"/>
    <w:rsid w:val="00782007"/>
    <w:rsid w:val="007820EB"/>
    <w:rsid w:val="00782193"/>
    <w:rsid w:val="007821D1"/>
    <w:rsid w:val="00782216"/>
    <w:rsid w:val="0078233D"/>
    <w:rsid w:val="0078248E"/>
    <w:rsid w:val="007826A7"/>
    <w:rsid w:val="007826AC"/>
    <w:rsid w:val="0078275F"/>
    <w:rsid w:val="007828EF"/>
    <w:rsid w:val="00782A2A"/>
    <w:rsid w:val="00782A3A"/>
    <w:rsid w:val="00782B04"/>
    <w:rsid w:val="00782DC1"/>
    <w:rsid w:val="00782F43"/>
    <w:rsid w:val="00783107"/>
    <w:rsid w:val="00783131"/>
    <w:rsid w:val="00783420"/>
    <w:rsid w:val="0078352F"/>
    <w:rsid w:val="007835A3"/>
    <w:rsid w:val="0078360F"/>
    <w:rsid w:val="00783AC5"/>
    <w:rsid w:val="00783BCE"/>
    <w:rsid w:val="00783F4E"/>
    <w:rsid w:val="00784312"/>
    <w:rsid w:val="00784313"/>
    <w:rsid w:val="00784C4C"/>
    <w:rsid w:val="00784F45"/>
    <w:rsid w:val="0078508D"/>
    <w:rsid w:val="007851BD"/>
    <w:rsid w:val="007854A7"/>
    <w:rsid w:val="0078566C"/>
    <w:rsid w:val="00785A94"/>
    <w:rsid w:val="00785D42"/>
    <w:rsid w:val="00785E59"/>
    <w:rsid w:val="00786037"/>
    <w:rsid w:val="00786196"/>
    <w:rsid w:val="0078628A"/>
    <w:rsid w:val="00786642"/>
    <w:rsid w:val="00786650"/>
    <w:rsid w:val="00786749"/>
    <w:rsid w:val="0078682F"/>
    <w:rsid w:val="00786A3F"/>
    <w:rsid w:val="00786AE3"/>
    <w:rsid w:val="00786B94"/>
    <w:rsid w:val="00786C6D"/>
    <w:rsid w:val="00786E1B"/>
    <w:rsid w:val="00786E64"/>
    <w:rsid w:val="00787128"/>
    <w:rsid w:val="007872DA"/>
    <w:rsid w:val="007874B4"/>
    <w:rsid w:val="007874DB"/>
    <w:rsid w:val="007874F6"/>
    <w:rsid w:val="0078773F"/>
    <w:rsid w:val="007877CC"/>
    <w:rsid w:val="007878E5"/>
    <w:rsid w:val="00787D6F"/>
    <w:rsid w:val="00787EFD"/>
    <w:rsid w:val="007901C9"/>
    <w:rsid w:val="00790242"/>
    <w:rsid w:val="0079038F"/>
    <w:rsid w:val="0079050B"/>
    <w:rsid w:val="00790575"/>
    <w:rsid w:val="0079058C"/>
    <w:rsid w:val="007905BA"/>
    <w:rsid w:val="00790651"/>
    <w:rsid w:val="007907F5"/>
    <w:rsid w:val="00790879"/>
    <w:rsid w:val="00790E4A"/>
    <w:rsid w:val="00790EC3"/>
    <w:rsid w:val="0079101D"/>
    <w:rsid w:val="007910E2"/>
    <w:rsid w:val="00791132"/>
    <w:rsid w:val="0079115D"/>
    <w:rsid w:val="00791358"/>
    <w:rsid w:val="0079152E"/>
    <w:rsid w:val="00791530"/>
    <w:rsid w:val="0079162C"/>
    <w:rsid w:val="00791687"/>
    <w:rsid w:val="00791689"/>
    <w:rsid w:val="00791698"/>
    <w:rsid w:val="007916E2"/>
    <w:rsid w:val="00791E9D"/>
    <w:rsid w:val="00791ECE"/>
    <w:rsid w:val="00792492"/>
    <w:rsid w:val="0079261E"/>
    <w:rsid w:val="007926C8"/>
    <w:rsid w:val="007926E9"/>
    <w:rsid w:val="0079271E"/>
    <w:rsid w:val="00792854"/>
    <w:rsid w:val="00792BC3"/>
    <w:rsid w:val="00792D3F"/>
    <w:rsid w:val="0079309F"/>
    <w:rsid w:val="0079318B"/>
    <w:rsid w:val="00793392"/>
    <w:rsid w:val="007934A3"/>
    <w:rsid w:val="0079356B"/>
    <w:rsid w:val="0079358F"/>
    <w:rsid w:val="0079387A"/>
    <w:rsid w:val="007938E9"/>
    <w:rsid w:val="0079394C"/>
    <w:rsid w:val="007939C4"/>
    <w:rsid w:val="00793EC9"/>
    <w:rsid w:val="0079404A"/>
    <w:rsid w:val="0079406F"/>
    <w:rsid w:val="00794186"/>
    <w:rsid w:val="007941A8"/>
    <w:rsid w:val="0079430B"/>
    <w:rsid w:val="00794704"/>
    <w:rsid w:val="0079487A"/>
    <w:rsid w:val="0079492E"/>
    <w:rsid w:val="00794C47"/>
    <w:rsid w:val="00794C5C"/>
    <w:rsid w:val="00794CE5"/>
    <w:rsid w:val="00794D3D"/>
    <w:rsid w:val="00794DCA"/>
    <w:rsid w:val="00794F43"/>
    <w:rsid w:val="00794F7C"/>
    <w:rsid w:val="00795059"/>
    <w:rsid w:val="007951F7"/>
    <w:rsid w:val="00795332"/>
    <w:rsid w:val="00795338"/>
    <w:rsid w:val="007955EA"/>
    <w:rsid w:val="0079567B"/>
    <w:rsid w:val="00795771"/>
    <w:rsid w:val="007957C5"/>
    <w:rsid w:val="007957D3"/>
    <w:rsid w:val="00795900"/>
    <w:rsid w:val="00795A03"/>
    <w:rsid w:val="00795C71"/>
    <w:rsid w:val="00795EB3"/>
    <w:rsid w:val="00795F9A"/>
    <w:rsid w:val="00796205"/>
    <w:rsid w:val="00796218"/>
    <w:rsid w:val="00796253"/>
    <w:rsid w:val="007963EB"/>
    <w:rsid w:val="00796592"/>
    <w:rsid w:val="007966D9"/>
    <w:rsid w:val="007967A6"/>
    <w:rsid w:val="0079687A"/>
    <w:rsid w:val="007969EB"/>
    <w:rsid w:val="00796B0F"/>
    <w:rsid w:val="00797245"/>
    <w:rsid w:val="0079727A"/>
    <w:rsid w:val="0079731A"/>
    <w:rsid w:val="00797377"/>
    <w:rsid w:val="007973FA"/>
    <w:rsid w:val="007974DA"/>
    <w:rsid w:val="00797AE3"/>
    <w:rsid w:val="00797E9D"/>
    <w:rsid w:val="00797F8A"/>
    <w:rsid w:val="00797F8D"/>
    <w:rsid w:val="007A065B"/>
    <w:rsid w:val="007A071F"/>
    <w:rsid w:val="007A0A0F"/>
    <w:rsid w:val="007A0C5A"/>
    <w:rsid w:val="007A0CF5"/>
    <w:rsid w:val="007A1292"/>
    <w:rsid w:val="007A12F8"/>
    <w:rsid w:val="007A14AE"/>
    <w:rsid w:val="007A1616"/>
    <w:rsid w:val="007A1668"/>
    <w:rsid w:val="007A1801"/>
    <w:rsid w:val="007A18E9"/>
    <w:rsid w:val="007A1917"/>
    <w:rsid w:val="007A19C0"/>
    <w:rsid w:val="007A19D7"/>
    <w:rsid w:val="007A1A65"/>
    <w:rsid w:val="007A1C4B"/>
    <w:rsid w:val="007A1C6A"/>
    <w:rsid w:val="007A1E42"/>
    <w:rsid w:val="007A1F6B"/>
    <w:rsid w:val="007A20F6"/>
    <w:rsid w:val="007A2135"/>
    <w:rsid w:val="007A21C3"/>
    <w:rsid w:val="007A2518"/>
    <w:rsid w:val="007A25AE"/>
    <w:rsid w:val="007A291F"/>
    <w:rsid w:val="007A295D"/>
    <w:rsid w:val="007A2A1E"/>
    <w:rsid w:val="007A2BA2"/>
    <w:rsid w:val="007A2C81"/>
    <w:rsid w:val="007A2D66"/>
    <w:rsid w:val="007A2E25"/>
    <w:rsid w:val="007A332D"/>
    <w:rsid w:val="007A34F5"/>
    <w:rsid w:val="007A36C8"/>
    <w:rsid w:val="007A36CE"/>
    <w:rsid w:val="007A38A0"/>
    <w:rsid w:val="007A3C3A"/>
    <w:rsid w:val="007A3DCE"/>
    <w:rsid w:val="007A3DD5"/>
    <w:rsid w:val="007A4303"/>
    <w:rsid w:val="007A438E"/>
    <w:rsid w:val="007A43FC"/>
    <w:rsid w:val="007A461E"/>
    <w:rsid w:val="007A4650"/>
    <w:rsid w:val="007A46CC"/>
    <w:rsid w:val="007A46DD"/>
    <w:rsid w:val="007A46DF"/>
    <w:rsid w:val="007A4918"/>
    <w:rsid w:val="007A4C02"/>
    <w:rsid w:val="007A4E44"/>
    <w:rsid w:val="007A5015"/>
    <w:rsid w:val="007A51D6"/>
    <w:rsid w:val="007A528F"/>
    <w:rsid w:val="007A52BE"/>
    <w:rsid w:val="007A52D7"/>
    <w:rsid w:val="007A5325"/>
    <w:rsid w:val="007A5351"/>
    <w:rsid w:val="007A53B0"/>
    <w:rsid w:val="007A574E"/>
    <w:rsid w:val="007A575F"/>
    <w:rsid w:val="007A5798"/>
    <w:rsid w:val="007A5948"/>
    <w:rsid w:val="007A5A14"/>
    <w:rsid w:val="007A5AD0"/>
    <w:rsid w:val="007A5BF2"/>
    <w:rsid w:val="007A5C0C"/>
    <w:rsid w:val="007A5C2C"/>
    <w:rsid w:val="007A5E30"/>
    <w:rsid w:val="007A624F"/>
    <w:rsid w:val="007A6267"/>
    <w:rsid w:val="007A642F"/>
    <w:rsid w:val="007A64E2"/>
    <w:rsid w:val="007A656A"/>
    <w:rsid w:val="007A6575"/>
    <w:rsid w:val="007A65ED"/>
    <w:rsid w:val="007A65F4"/>
    <w:rsid w:val="007A661A"/>
    <w:rsid w:val="007A69DA"/>
    <w:rsid w:val="007A6AC9"/>
    <w:rsid w:val="007A6C06"/>
    <w:rsid w:val="007A6CF3"/>
    <w:rsid w:val="007A6D23"/>
    <w:rsid w:val="007A700E"/>
    <w:rsid w:val="007A702B"/>
    <w:rsid w:val="007A75B0"/>
    <w:rsid w:val="007A7A65"/>
    <w:rsid w:val="007A7AA8"/>
    <w:rsid w:val="007A7C55"/>
    <w:rsid w:val="007A7D94"/>
    <w:rsid w:val="007A7F83"/>
    <w:rsid w:val="007A7FD2"/>
    <w:rsid w:val="007B0145"/>
    <w:rsid w:val="007B01EF"/>
    <w:rsid w:val="007B02E3"/>
    <w:rsid w:val="007B0318"/>
    <w:rsid w:val="007B0656"/>
    <w:rsid w:val="007B067D"/>
    <w:rsid w:val="007B084B"/>
    <w:rsid w:val="007B08FE"/>
    <w:rsid w:val="007B0DD3"/>
    <w:rsid w:val="007B10A4"/>
    <w:rsid w:val="007B10B7"/>
    <w:rsid w:val="007B10C7"/>
    <w:rsid w:val="007B112A"/>
    <w:rsid w:val="007B12E1"/>
    <w:rsid w:val="007B13D3"/>
    <w:rsid w:val="007B14EB"/>
    <w:rsid w:val="007B1562"/>
    <w:rsid w:val="007B158F"/>
    <w:rsid w:val="007B15C4"/>
    <w:rsid w:val="007B17A2"/>
    <w:rsid w:val="007B17ED"/>
    <w:rsid w:val="007B1855"/>
    <w:rsid w:val="007B1A68"/>
    <w:rsid w:val="007B1B35"/>
    <w:rsid w:val="007B1BB3"/>
    <w:rsid w:val="007B1BF6"/>
    <w:rsid w:val="007B1C03"/>
    <w:rsid w:val="007B1CE3"/>
    <w:rsid w:val="007B1D94"/>
    <w:rsid w:val="007B1E07"/>
    <w:rsid w:val="007B1ED7"/>
    <w:rsid w:val="007B1EF1"/>
    <w:rsid w:val="007B1F76"/>
    <w:rsid w:val="007B1FFB"/>
    <w:rsid w:val="007B2037"/>
    <w:rsid w:val="007B2040"/>
    <w:rsid w:val="007B211A"/>
    <w:rsid w:val="007B2297"/>
    <w:rsid w:val="007B231A"/>
    <w:rsid w:val="007B258A"/>
    <w:rsid w:val="007B25B0"/>
    <w:rsid w:val="007B2885"/>
    <w:rsid w:val="007B2908"/>
    <w:rsid w:val="007B2D3C"/>
    <w:rsid w:val="007B2E64"/>
    <w:rsid w:val="007B2FEB"/>
    <w:rsid w:val="007B300F"/>
    <w:rsid w:val="007B323B"/>
    <w:rsid w:val="007B333F"/>
    <w:rsid w:val="007B33FD"/>
    <w:rsid w:val="007B3439"/>
    <w:rsid w:val="007B3484"/>
    <w:rsid w:val="007B385A"/>
    <w:rsid w:val="007B3860"/>
    <w:rsid w:val="007B392F"/>
    <w:rsid w:val="007B39F6"/>
    <w:rsid w:val="007B3AB7"/>
    <w:rsid w:val="007B3B68"/>
    <w:rsid w:val="007B3B80"/>
    <w:rsid w:val="007B3BC7"/>
    <w:rsid w:val="007B3CCF"/>
    <w:rsid w:val="007B3F04"/>
    <w:rsid w:val="007B3F2C"/>
    <w:rsid w:val="007B4050"/>
    <w:rsid w:val="007B4055"/>
    <w:rsid w:val="007B43F1"/>
    <w:rsid w:val="007B44DD"/>
    <w:rsid w:val="007B45D3"/>
    <w:rsid w:val="007B4678"/>
    <w:rsid w:val="007B485B"/>
    <w:rsid w:val="007B4B46"/>
    <w:rsid w:val="007B4C4A"/>
    <w:rsid w:val="007B4CF6"/>
    <w:rsid w:val="007B4D3D"/>
    <w:rsid w:val="007B4D9B"/>
    <w:rsid w:val="007B4FE4"/>
    <w:rsid w:val="007B5018"/>
    <w:rsid w:val="007B50AC"/>
    <w:rsid w:val="007B5236"/>
    <w:rsid w:val="007B5263"/>
    <w:rsid w:val="007B5318"/>
    <w:rsid w:val="007B541F"/>
    <w:rsid w:val="007B5608"/>
    <w:rsid w:val="007B565C"/>
    <w:rsid w:val="007B5922"/>
    <w:rsid w:val="007B5946"/>
    <w:rsid w:val="007B59FF"/>
    <w:rsid w:val="007B5A18"/>
    <w:rsid w:val="007B5D64"/>
    <w:rsid w:val="007B5FB3"/>
    <w:rsid w:val="007B6168"/>
    <w:rsid w:val="007B6187"/>
    <w:rsid w:val="007B621D"/>
    <w:rsid w:val="007B670F"/>
    <w:rsid w:val="007B6A02"/>
    <w:rsid w:val="007B6B89"/>
    <w:rsid w:val="007B6CEE"/>
    <w:rsid w:val="007B6E49"/>
    <w:rsid w:val="007B6EAF"/>
    <w:rsid w:val="007B6FA1"/>
    <w:rsid w:val="007B7084"/>
    <w:rsid w:val="007B70F9"/>
    <w:rsid w:val="007B7164"/>
    <w:rsid w:val="007B758D"/>
    <w:rsid w:val="007B76A8"/>
    <w:rsid w:val="007B7724"/>
    <w:rsid w:val="007B777E"/>
    <w:rsid w:val="007B7781"/>
    <w:rsid w:val="007B77D5"/>
    <w:rsid w:val="007B7961"/>
    <w:rsid w:val="007B7B2E"/>
    <w:rsid w:val="007B7D58"/>
    <w:rsid w:val="007B7ED7"/>
    <w:rsid w:val="007B7FF8"/>
    <w:rsid w:val="007C005E"/>
    <w:rsid w:val="007C0076"/>
    <w:rsid w:val="007C0081"/>
    <w:rsid w:val="007C0323"/>
    <w:rsid w:val="007C0325"/>
    <w:rsid w:val="007C0408"/>
    <w:rsid w:val="007C0494"/>
    <w:rsid w:val="007C05FA"/>
    <w:rsid w:val="007C082F"/>
    <w:rsid w:val="007C086C"/>
    <w:rsid w:val="007C08AB"/>
    <w:rsid w:val="007C0E65"/>
    <w:rsid w:val="007C0F7B"/>
    <w:rsid w:val="007C0FF0"/>
    <w:rsid w:val="007C1063"/>
    <w:rsid w:val="007C10B0"/>
    <w:rsid w:val="007C1339"/>
    <w:rsid w:val="007C13B5"/>
    <w:rsid w:val="007C1422"/>
    <w:rsid w:val="007C1462"/>
    <w:rsid w:val="007C14C4"/>
    <w:rsid w:val="007C14E7"/>
    <w:rsid w:val="007C14EC"/>
    <w:rsid w:val="007C1790"/>
    <w:rsid w:val="007C19B6"/>
    <w:rsid w:val="007C1B88"/>
    <w:rsid w:val="007C1D4D"/>
    <w:rsid w:val="007C1DEE"/>
    <w:rsid w:val="007C1EE6"/>
    <w:rsid w:val="007C1F68"/>
    <w:rsid w:val="007C21D2"/>
    <w:rsid w:val="007C21FC"/>
    <w:rsid w:val="007C220F"/>
    <w:rsid w:val="007C2236"/>
    <w:rsid w:val="007C22A0"/>
    <w:rsid w:val="007C22BF"/>
    <w:rsid w:val="007C22C7"/>
    <w:rsid w:val="007C2422"/>
    <w:rsid w:val="007C26EE"/>
    <w:rsid w:val="007C29F8"/>
    <w:rsid w:val="007C2AAD"/>
    <w:rsid w:val="007C2AB1"/>
    <w:rsid w:val="007C2CBD"/>
    <w:rsid w:val="007C2CE0"/>
    <w:rsid w:val="007C2D26"/>
    <w:rsid w:val="007C321D"/>
    <w:rsid w:val="007C3362"/>
    <w:rsid w:val="007C3553"/>
    <w:rsid w:val="007C3569"/>
    <w:rsid w:val="007C3E5F"/>
    <w:rsid w:val="007C3E71"/>
    <w:rsid w:val="007C3ED5"/>
    <w:rsid w:val="007C4177"/>
    <w:rsid w:val="007C484C"/>
    <w:rsid w:val="007C4899"/>
    <w:rsid w:val="007C4D7F"/>
    <w:rsid w:val="007C4E10"/>
    <w:rsid w:val="007C4ED3"/>
    <w:rsid w:val="007C4F83"/>
    <w:rsid w:val="007C53A8"/>
    <w:rsid w:val="007C550E"/>
    <w:rsid w:val="007C5776"/>
    <w:rsid w:val="007C578D"/>
    <w:rsid w:val="007C5810"/>
    <w:rsid w:val="007C5AC4"/>
    <w:rsid w:val="007C5AC7"/>
    <w:rsid w:val="007C5BBD"/>
    <w:rsid w:val="007C5C9C"/>
    <w:rsid w:val="007C5CAF"/>
    <w:rsid w:val="007C5D39"/>
    <w:rsid w:val="007C5D64"/>
    <w:rsid w:val="007C5E47"/>
    <w:rsid w:val="007C5EC3"/>
    <w:rsid w:val="007C5F24"/>
    <w:rsid w:val="007C60E8"/>
    <w:rsid w:val="007C6358"/>
    <w:rsid w:val="007C6398"/>
    <w:rsid w:val="007C63ED"/>
    <w:rsid w:val="007C68BA"/>
    <w:rsid w:val="007C6DBC"/>
    <w:rsid w:val="007C73B1"/>
    <w:rsid w:val="007C73E3"/>
    <w:rsid w:val="007C746C"/>
    <w:rsid w:val="007C76D9"/>
    <w:rsid w:val="007C783C"/>
    <w:rsid w:val="007C7881"/>
    <w:rsid w:val="007C78E6"/>
    <w:rsid w:val="007C791B"/>
    <w:rsid w:val="007C7F0C"/>
    <w:rsid w:val="007D00C6"/>
    <w:rsid w:val="007D0131"/>
    <w:rsid w:val="007D015E"/>
    <w:rsid w:val="007D027A"/>
    <w:rsid w:val="007D02BB"/>
    <w:rsid w:val="007D050A"/>
    <w:rsid w:val="007D0534"/>
    <w:rsid w:val="007D083E"/>
    <w:rsid w:val="007D0A38"/>
    <w:rsid w:val="007D0C73"/>
    <w:rsid w:val="007D0F74"/>
    <w:rsid w:val="007D111A"/>
    <w:rsid w:val="007D13E8"/>
    <w:rsid w:val="007D160C"/>
    <w:rsid w:val="007D1694"/>
    <w:rsid w:val="007D16A3"/>
    <w:rsid w:val="007D16B8"/>
    <w:rsid w:val="007D18F3"/>
    <w:rsid w:val="007D1A8E"/>
    <w:rsid w:val="007D1ED7"/>
    <w:rsid w:val="007D217E"/>
    <w:rsid w:val="007D22F0"/>
    <w:rsid w:val="007D24FC"/>
    <w:rsid w:val="007D250D"/>
    <w:rsid w:val="007D253B"/>
    <w:rsid w:val="007D2A03"/>
    <w:rsid w:val="007D2D51"/>
    <w:rsid w:val="007D3219"/>
    <w:rsid w:val="007D3243"/>
    <w:rsid w:val="007D32C1"/>
    <w:rsid w:val="007D32CC"/>
    <w:rsid w:val="007D32DA"/>
    <w:rsid w:val="007D34B5"/>
    <w:rsid w:val="007D37B3"/>
    <w:rsid w:val="007D3829"/>
    <w:rsid w:val="007D38F6"/>
    <w:rsid w:val="007D38F8"/>
    <w:rsid w:val="007D3971"/>
    <w:rsid w:val="007D3AA7"/>
    <w:rsid w:val="007D3BD7"/>
    <w:rsid w:val="007D3C25"/>
    <w:rsid w:val="007D3D3C"/>
    <w:rsid w:val="007D3DD2"/>
    <w:rsid w:val="007D3EB6"/>
    <w:rsid w:val="007D3ECD"/>
    <w:rsid w:val="007D3FAB"/>
    <w:rsid w:val="007D4013"/>
    <w:rsid w:val="007D4267"/>
    <w:rsid w:val="007D42F2"/>
    <w:rsid w:val="007D4ACB"/>
    <w:rsid w:val="007D4C8E"/>
    <w:rsid w:val="007D4D8F"/>
    <w:rsid w:val="007D4EF7"/>
    <w:rsid w:val="007D4FD2"/>
    <w:rsid w:val="007D50EA"/>
    <w:rsid w:val="007D5178"/>
    <w:rsid w:val="007D51BB"/>
    <w:rsid w:val="007D525D"/>
    <w:rsid w:val="007D5475"/>
    <w:rsid w:val="007D54A2"/>
    <w:rsid w:val="007D54B0"/>
    <w:rsid w:val="007D558F"/>
    <w:rsid w:val="007D560A"/>
    <w:rsid w:val="007D5ABB"/>
    <w:rsid w:val="007D5B8F"/>
    <w:rsid w:val="007D5CB6"/>
    <w:rsid w:val="007D5DD6"/>
    <w:rsid w:val="007D5DE9"/>
    <w:rsid w:val="007D5F25"/>
    <w:rsid w:val="007D61ED"/>
    <w:rsid w:val="007D69C6"/>
    <w:rsid w:val="007D6A97"/>
    <w:rsid w:val="007D6AB2"/>
    <w:rsid w:val="007D6BAB"/>
    <w:rsid w:val="007D6C95"/>
    <w:rsid w:val="007D6D65"/>
    <w:rsid w:val="007D6E89"/>
    <w:rsid w:val="007D6F3D"/>
    <w:rsid w:val="007D6F4E"/>
    <w:rsid w:val="007D6F6C"/>
    <w:rsid w:val="007D700B"/>
    <w:rsid w:val="007D7102"/>
    <w:rsid w:val="007D71AA"/>
    <w:rsid w:val="007D73BF"/>
    <w:rsid w:val="007D73ED"/>
    <w:rsid w:val="007D7511"/>
    <w:rsid w:val="007D7597"/>
    <w:rsid w:val="007D75AF"/>
    <w:rsid w:val="007D7732"/>
    <w:rsid w:val="007D789A"/>
    <w:rsid w:val="007D7918"/>
    <w:rsid w:val="007D7929"/>
    <w:rsid w:val="007D79B5"/>
    <w:rsid w:val="007D7DB7"/>
    <w:rsid w:val="007D7F18"/>
    <w:rsid w:val="007D7FD9"/>
    <w:rsid w:val="007E0067"/>
    <w:rsid w:val="007E034E"/>
    <w:rsid w:val="007E04D8"/>
    <w:rsid w:val="007E04EE"/>
    <w:rsid w:val="007E05F8"/>
    <w:rsid w:val="007E0738"/>
    <w:rsid w:val="007E07C3"/>
    <w:rsid w:val="007E07ED"/>
    <w:rsid w:val="007E0991"/>
    <w:rsid w:val="007E09DB"/>
    <w:rsid w:val="007E0ACD"/>
    <w:rsid w:val="007E0C63"/>
    <w:rsid w:val="007E0D4A"/>
    <w:rsid w:val="007E0F51"/>
    <w:rsid w:val="007E162E"/>
    <w:rsid w:val="007E17C7"/>
    <w:rsid w:val="007E17F5"/>
    <w:rsid w:val="007E192B"/>
    <w:rsid w:val="007E1C72"/>
    <w:rsid w:val="007E1CCD"/>
    <w:rsid w:val="007E1CD1"/>
    <w:rsid w:val="007E1D8D"/>
    <w:rsid w:val="007E1F39"/>
    <w:rsid w:val="007E1F87"/>
    <w:rsid w:val="007E23FA"/>
    <w:rsid w:val="007E258D"/>
    <w:rsid w:val="007E25FB"/>
    <w:rsid w:val="007E2603"/>
    <w:rsid w:val="007E2610"/>
    <w:rsid w:val="007E27A8"/>
    <w:rsid w:val="007E286D"/>
    <w:rsid w:val="007E29D0"/>
    <w:rsid w:val="007E29FA"/>
    <w:rsid w:val="007E2AA1"/>
    <w:rsid w:val="007E2D51"/>
    <w:rsid w:val="007E2E64"/>
    <w:rsid w:val="007E2EB7"/>
    <w:rsid w:val="007E3352"/>
    <w:rsid w:val="007E3595"/>
    <w:rsid w:val="007E36A4"/>
    <w:rsid w:val="007E3B31"/>
    <w:rsid w:val="007E3C81"/>
    <w:rsid w:val="007E3F79"/>
    <w:rsid w:val="007E3FB7"/>
    <w:rsid w:val="007E3FB8"/>
    <w:rsid w:val="007E40AE"/>
    <w:rsid w:val="007E4119"/>
    <w:rsid w:val="007E438D"/>
    <w:rsid w:val="007E440D"/>
    <w:rsid w:val="007E44AB"/>
    <w:rsid w:val="007E4577"/>
    <w:rsid w:val="007E467D"/>
    <w:rsid w:val="007E4730"/>
    <w:rsid w:val="007E48FF"/>
    <w:rsid w:val="007E4972"/>
    <w:rsid w:val="007E49DB"/>
    <w:rsid w:val="007E4A3D"/>
    <w:rsid w:val="007E4C6D"/>
    <w:rsid w:val="007E4C9B"/>
    <w:rsid w:val="007E4FE5"/>
    <w:rsid w:val="007E5337"/>
    <w:rsid w:val="007E5723"/>
    <w:rsid w:val="007E5AA2"/>
    <w:rsid w:val="007E5AD8"/>
    <w:rsid w:val="007E5B00"/>
    <w:rsid w:val="007E5BB1"/>
    <w:rsid w:val="007E6227"/>
    <w:rsid w:val="007E6230"/>
    <w:rsid w:val="007E632A"/>
    <w:rsid w:val="007E660B"/>
    <w:rsid w:val="007E67B4"/>
    <w:rsid w:val="007E6893"/>
    <w:rsid w:val="007E69BD"/>
    <w:rsid w:val="007E69E9"/>
    <w:rsid w:val="007E6A1D"/>
    <w:rsid w:val="007E6C59"/>
    <w:rsid w:val="007E6D25"/>
    <w:rsid w:val="007E6DD5"/>
    <w:rsid w:val="007E7093"/>
    <w:rsid w:val="007E7231"/>
    <w:rsid w:val="007E72DD"/>
    <w:rsid w:val="007E7491"/>
    <w:rsid w:val="007E759D"/>
    <w:rsid w:val="007E75AF"/>
    <w:rsid w:val="007E75F1"/>
    <w:rsid w:val="007E761C"/>
    <w:rsid w:val="007E7762"/>
    <w:rsid w:val="007E7C49"/>
    <w:rsid w:val="007E7D73"/>
    <w:rsid w:val="007E7E12"/>
    <w:rsid w:val="007E7E60"/>
    <w:rsid w:val="007E7E9B"/>
    <w:rsid w:val="007E7EEA"/>
    <w:rsid w:val="007E7FB5"/>
    <w:rsid w:val="007E7FE5"/>
    <w:rsid w:val="007F0282"/>
    <w:rsid w:val="007F02EF"/>
    <w:rsid w:val="007F0301"/>
    <w:rsid w:val="007F03A8"/>
    <w:rsid w:val="007F059A"/>
    <w:rsid w:val="007F0603"/>
    <w:rsid w:val="007F0644"/>
    <w:rsid w:val="007F0E1A"/>
    <w:rsid w:val="007F102A"/>
    <w:rsid w:val="007F117C"/>
    <w:rsid w:val="007F1354"/>
    <w:rsid w:val="007F13FC"/>
    <w:rsid w:val="007F1576"/>
    <w:rsid w:val="007F15B9"/>
    <w:rsid w:val="007F17FB"/>
    <w:rsid w:val="007F1816"/>
    <w:rsid w:val="007F1872"/>
    <w:rsid w:val="007F1914"/>
    <w:rsid w:val="007F1B08"/>
    <w:rsid w:val="007F1B5F"/>
    <w:rsid w:val="007F1C63"/>
    <w:rsid w:val="007F1E02"/>
    <w:rsid w:val="007F1F71"/>
    <w:rsid w:val="007F1F74"/>
    <w:rsid w:val="007F1F7A"/>
    <w:rsid w:val="007F1F95"/>
    <w:rsid w:val="007F1FFE"/>
    <w:rsid w:val="007F2181"/>
    <w:rsid w:val="007F2270"/>
    <w:rsid w:val="007F23D9"/>
    <w:rsid w:val="007F2B86"/>
    <w:rsid w:val="007F2C41"/>
    <w:rsid w:val="007F2C71"/>
    <w:rsid w:val="007F3122"/>
    <w:rsid w:val="007F3147"/>
    <w:rsid w:val="007F3190"/>
    <w:rsid w:val="007F328B"/>
    <w:rsid w:val="007F32A7"/>
    <w:rsid w:val="007F32DF"/>
    <w:rsid w:val="007F34A5"/>
    <w:rsid w:val="007F3738"/>
    <w:rsid w:val="007F387E"/>
    <w:rsid w:val="007F389B"/>
    <w:rsid w:val="007F395F"/>
    <w:rsid w:val="007F39EF"/>
    <w:rsid w:val="007F3A88"/>
    <w:rsid w:val="007F3BF5"/>
    <w:rsid w:val="007F3C50"/>
    <w:rsid w:val="007F3EF4"/>
    <w:rsid w:val="007F40F5"/>
    <w:rsid w:val="007F41AE"/>
    <w:rsid w:val="007F4232"/>
    <w:rsid w:val="007F4263"/>
    <w:rsid w:val="007F4269"/>
    <w:rsid w:val="007F44FA"/>
    <w:rsid w:val="007F4617"/>
    <w:rsid w:val="007F46E9"/>
    <w:rsid w:val="007F4804"/>
    <w:rsid w:val="007F4D27"/>
    <w:rsid w:val="007F4D3C"/>
    <w:rsid w:val="007F4D74"/>
    <w:rsid w:val="007F4DB5"/>
    <w:rsid w:val="007F4E58"/>
    <w:rsid w:val="007F4EB2"/>
    <w:rsid w:val="007F503C"/>
    <w:rsid w:val="007F5068"/>
    <w:rsid w:val="007F51DA"/>
    <w:rsid w:val="007F51DD"/>
    <w:rsid w:val="007F548A"/>
    <w:rsid w:val="007F5527"/>
    <w:rsid w:val="007F568F"/>
    <w:rsid w:val="007F5696"/>
    <w:rsid w:val="007F56D6"/>
    <w:rsid w:val="007F602E"/>
    <w:rsid w:val="007F6046"/>
    <w:rsid w:val="007F609F"/>
    <w:rsid w:val="007F60B9"/>
    <w:rsid w:val="007F610B"/>
    <w:rsid w:val="007F615D"/>
    <w:rsid w:val="007F635C"/>
    <w:rsid w:val="007F6433"/>
    <w:rsid w:val="007F6482"/>
    <w:rsid w:val="007F65B2"/>
    <w:rsid w:val="007F6777"/>
    <w:rsid w:val="007F6790"/>
    <w:rsid w:val="007F68EA"/>
    <w:rsid w:val="007F6B70"/>
    <w:rsid w:val="007F6CB8"/>
    <w:rsid w:val="007F6CEC"/>
    <w:rsid w:val="007F6EEC"/>
    <w:rsid w:val="007F7131"/>
    <w:rsid w:val="007F715A"/>
    <w:rsid w:val="007F7347"/>
    <w:rsid w:val="007F734A"/>
    <w:rsid w:val="007F7370"/>
    <w:rsid w:val="007F74C3"/>
    <w:rsid w:val="007F7671"/>
    <w:rsid w:val="007F7810"/>
    <w:rsid w:val="007F7A48"/>
    <w:rsid w:val="007F7A94"/>
    <w:rsid w:val="007F7B7B"/>
    <w:rsid w:val="007F7DBA"/>
    <w:rsid w:val="007F7FA5"/>
    <w:rsid w:val="008004B2"/>
    <w:rsid w:val="0080090C"/>
    <w:rsid w:val="00800C99"/>
    <w:rsid w:val="008010E9"/>
    <w:rsid w:val="0080127C"/>
    <w:rsid w:val="0080131B"/>
    <w:rsid w:val="008015EB"/>
    <w:rsid w:val="008018E6"/>
    <w:rsid w:val="00801AC6"/>
    <w:rsid w:val="00801AF3"/>
    <w:rsid w:val="00801B01"/>
    <w:rsid w:val="00801B55"/>
    <w:rsid w:val="00801BBF"/>
    <w:rsid w:val="00801CBD"/>
    <w:rsid w:val="00801D32"/>
    <w:rsid w:val="00801ED1"/>
    <w:rsid w:val="00801EDE"/>
    <w:rsid w:val="00801F59"/>
    <w:rsid w:val="00802157"/>
    <w:rsid w:val="008022FD"/>
    <w:rsid w:val="0080231E"/>
    <w:rsid w:val="00802431"/>
    <w:rsid w:val="00802684"/>
    <w:rsid w:val="008028D1"/>
    <w:rsid w:val="00802979"/>
    <w:rsid w:val="00803355"/>
    <w:rsid w:val="0080339E"/>
    <w:rsid w:val="0080355B"/>
    <w:rsid w:val="0080382C"/>
    <w:rsid w:val="00803A40"/>
    <w:rsid w:val="00803AE7"/>
    <w:rsid w:val="00803D71"/>
    <w:rsid w:val="00803D8D"/>
    <w:rsid w:val="00803E4C"/>
    <w:rsid w:val="00803F28"/>
    <w:rsid w:val="0080402B"/>
    <w:rsid w:val="00804063"/>
    <w:rsid w:val="008040DC"/>
    <w:rsid w:val="00804265"/>
    <w:rsid w:val="00804287"/>
    <w:rsid w:val="008042B0"/>
    <w:rsid w:val="0080431B"/>
    <w:rsid w:val="00804454"/>
    <w:rsid w:val="0080449B"/>
    <w:rsid w:val="00804554"/>
    <w:rsid w:val="0080462F"/>
    <w:rsid w:val="00804966"/>
    <w:rsid w:val="00804D00"/>
    <w:rsid w:val="00804E09"/>
    <w:rsid w:val="00804FF1"/>
    <w:rsid w:val="0080518E"/>
    <w:rsid w:val="008051D5"/>
    <w:rsid w:val="00805210"/>
    <w:rsid w:val="0080533A"/>
    <w:rsid w:val="00805427"/>
    <w:rsid w:val="0080550D"/>
    <w:rsid w:val="00805528"/>
    <w:rsid w:val="00805543"/>
    <w:rsid w:val="00805811"/>
    <w:rsid w:val="00805E87"/>
    <w:rsid w:val="00805EBE"/>
    <w:rsid w:val="00805EBF"/>
    <w:rsid w:val="00805F70"/>
    <w:rsid w:val="00806008"/>
    <w:rsid w:val="008064C5"/>
    <w:rsid w:val="008064D0"/>
    <w:rsid w:val="00806510"/>
    <w:rsid w:val="0080651F"/>
    <w:rsid w:val="0080659B"/>
    <w:rsid w:val="008065DE"/>
    <w:rsid w:val="00806701"/>
    <w:rsid w:val="008067E1"/>
    <w:rsid w:val="00806884"/>
    <w:rsid w:val="00806B9A"/>
    <w:rsid w:val="0080736F"/>
    <w:rsid w:val="008073AA"/>
    <w:rsid w:val="0080747D"/>
    <w:rsid w:val="008074C4"/>
    <w:rsid w:val="0080751C"/>
    <w:rsid w:val="0080766B"/>
    <w:rsid w:val="008076B4"/>
    <w:rsid w:val="0080790D"/>
    <w:rsid w:val="00807BE6"/>
    <w:rsid w:val="00807C73"/>
    <w:rsid w:val="00807EAE"/>
    <w:rsid w:val="00810209"/>
    <w:rsid w:val="0081024D"/>
    <w:rsid w:val="0081027C"/>
    <w:rsid w:val="00810558"/>
    <w:rsid w:val="008106A8"/>
    <w:rsid w:val="0081094A"/>
    <w:rsid w:val="00810DF9"/>
    <w:rsid w:val="00810E6B"/>
    <w:rsid w:val="0081107F"/>
    <w:rsid w:val="008110E1"/>
    <w:rsid w:val="008110F7"/>
    <w:rsid w:val="008110FD"/>
    <w:rsid w:val="00811325"/>
    <w:rsid w:val="0081132A"/>
    <w:rsid w:val="0081149D"/>
    <w:rsid w:val="00811583"/>
    <w:rsid w:val="008115B4"/>
    <w:rsid w:val="00811B71"/>
    <w:rsid w:val="00811CDA"/>
    <w:rsid w:val="00811DC7"/>
    <w:rsid w:val="00812011"/>
    <w:rsid w:val="0081209E"/>
    <w:rsid w:val="008120B9"/>
    <w:rsid w:val="00812280"/>
    <w:rsid w:val="008122DD"/>
    <w:rsid w:val="00812321"/>
    <w:rsid w:val="008126CD"/>
    <w:rsid w:val="008127CE"/>
    <w:rsid w:val="00812AC5"/>
    <w:rsid w:val="00812F49"/>
    <w:rsid w:val="00813174"/>
    <w:rsid w:val="008131E7"/>
    <w:rsid w:val="00813922"/>
    <w:rsid w:val="00813B3C"/>
    <w:rsid w:val="00813F90"/>
    <w:rsid w:val="008140C6"/>
    <w:rsid w:val="008141AA"/>
    <w:rsid w:val="008141BB"/>
    <w:rsid w:val="00814270"/>
    <w:rsid w:val="00814304"/>
    <w:rsid w:val="00814439"/>
    <w:rsid w:val="008146D6"/>
    <w:rsid w:val="008148E3"/>
    <w:rsid w:val="008149D0"/>
    <w:rsid w:val="008149FA"/>
    <w:rsid w:val="00814A83"/>
    <w:rsid w:val="00814AB3"/>
    <w:rsid w:val="00814C84"/>
    <w:rsid w:val="00814CFF"/>
    <w:rsid w:val="00814D13"/>
    <w:rsid w:val="00814EAC"/>
    <w:rsid w:val="00814F0C"/>
    <w:rsid w:val="00815186"/>
    <w:rsid w:val="008151E9"/>
    <w:rsid w:val="008153A2"/>
    <w:rsid w:val="008155EB"/>
    <w:rsid w:val="008156DD"/>
    <w:rsid w:val="00815A47"/>
    <w:rsid w:val="00815AD6"/>
    <w:rsid w:val="00815E3C"/>
    <w:rsid w:val="00815EA6"/>
    <w:rsid w:val="00816037"/>
    <w:rsid w:val="0081635B"/>
    <w:rsid w:val="0081636D"/>
    <w:rsid w:val="008164AE"/>
    <w:rsid w:val="008169E6"/>
    <w:rsid w:val="00816AB4"/>
    <w:rsid w:val="00816B1A"/>
    <w:rsid w:val="00816E10"/>
    <w:rsid w:val="0081713A"/>
    <w:rsid w:val="008172DC"/>
    <w:rsid w:val="008176E8"/>
    <w:rsid w:val="00817D84"/>
    <w:rsid w:val="00817E2A"/>
    <w:rsid w:val="00817E51"/>
    <w:rsid w:val="0082028D"/>
    <w:rsid w:val="008202AD"/>
    <w:rsid w:val="008202DF"/>
    <w:rsid w:val="008202E2"/>
    <w:rsid w:val="008202F0"/>
    <w:rsid w:val="008203C5"/>
    <w:rsid w:val="008205AD"/>
    <w:rsid w:val="0082068B"/>
    <w:rsid w:val="008207E1"/>
    <w:rsid w:val="00820836"/>
    <w:rsid w:val="00820990"/>
    <w:rsid w:val="008209BB"/>
    <w:rsid w:val="00820A31"/>
    <w:rsid w:val="00820A90"/>
    <w:rsid w:val="00820BBB"/>
    <w:rsid w:val="00820D43"/>
    <w:rsid w:val="00820DD4"/>
    <w:rsid w:val="00820EAD"/>
    <w:rsid w:val="00820F24"/>
    <w:rsid w:val="00820F3F"/>
    <w:rsid w:val="00820F51"/>
    <w:rsid w:val="008213D0"/>
    <w:rsid w:val="0082162E"/>
    <w:rsid w:val="0082170C"/>
    <w:rsid w:val="008219B3"/>
    <w:rsid w:val="00822460"/>
    <w:rsid w:val="008226DB"/>
    <w:rsid w:val="00822722"/>
    <w:rsid w:val="00822908"/>
    <w:rsid w:val="00822C13"/>
    <w:rsid w:val="00822DDB"/>
    <w:rsid w:val="00822E2F"/>
    <w:rsid w:val="00822E72"/>
    <w:rsid w:val="00822E78"/>
    <w:rsid w:val="0082307D"/>
    <w:rsid w:val="0082333B"/>
    <w:rsid w:val="00823727"/>
    <w:rsid w:val="0082386E"/>
    <w:rsid w:val="008238F5"/>
    <w:rsid w:val="00823A79"/>
    <w:rsid w:val="00823AB8"/>
    <w:rsid w:val="00823B91"/>
    <w:rsid w:val="00823BB1"/>
    <w:rsid w:val="00823DE1"/>
    <w:rsid w:val="00823ED1"/>
    <w:rsid w:val="00824620"/>
    <w:rsid w:val="008246A5"/>
    <w:rsid w:val="00824C0B"/>
    <w:rsid w:val="00824DA6"/>
    <w:rsid w:val="008251D9"/>
    <w:rsid w:val="008254BC"/>
    <w:rsid w:val="00825797"/>
    <w:rsid w:val="00825844"/>
    <w:rsid w:val="00825AF0"/>
    <w:rsid w:val="00825B54"/>
    <w:rsid w:val="00825BA2"/>
    <w:rsid w:val="00825D58"/>
    <w:rsid w:val="008260D3"/>
    <w:rsid w:val="008264EE"/>
    <w:rsid w:val="00826682"/>
    <w:rsid w:val="00826928"/>
    <w:rsid w:val="00826D28"/>
    <w:rsid w:val="00827019"/>
    <w:rsid w:val="008272B0"/>
    <w:rsid w:val="008273BB"/>
    <w:rsid w:val="008273C8"/>
    <w:rsid w:val="00827523"/>
    <w:rsid w:val="00827550"/>
    <w:rsid w:val="00827902"/>
    <w:rsid w:val="00827A46"/>
    <w:rsid w:val="00827AAD"/>
    <w:rsid w:val="00827C34"/>
    <w:rsid w:val="00827E8B"/>
    <w:rsid w:val="00827FE5"/>
    <w:rsid w:val="008300D2"/>
    <w:rsid w:val="0083012F"/>
    <w:rsid w:val="00830243"/>
    <w:rsid w:val="0083024E"/>
    <w:rsid w:val="008309E2"/>
    <w:rsid w:val="008309F4"/>
    <w:rsid w:val="00830AE0"/>
    <w:rsid w:val="00830B22"/>
    <w:rsid w:val="00830C15"/>
    <w:rsid w:val="00830CB2"/>
    <w:rsid w:val="00830D66"/>
    <w:rsid w:val="008310CC"/>
    <w:rsid w:val="008315B2"/>
    <w:rsid w:val="00831EB5"/>
    <w:rsid w:val="00831F9B"/>
    <w:rsid w:val="008320BA"/>
    <w:rsid w:val="00832264"/>
    <w:rsid w:val="008325A9"/>
    <w:rsid w:val="008326E5"/>
    <w:rsid w:val="0083270B"/>
    <w:rsid w:val="0083273F"/>
    <w:rsid w:val="008327A9"/>
    <w:rsid w:val="008327AA"/>
    <w:rsid w:val="00832942"/>
    <w:rsid w:val="0083294D"/>
    <w:rsid w:val="008329B2"/>
    <w:rsid w:val="00832ABD"/>
    <w:rsid w:val="00832BDC"/>
    <w:rsid w:val="00832D07"/>
    <w:rsid w:val="00832E04"/>
    <w:rsid w:val="00832F51"/>
    <w:rsid w:val="00832FC0"/>
    <w:rsid w:val="0083303D"/>
    <w:rsid w:val="00833081"/>
    <w:rsid w:val="0083334B"/>
    <w:rsid w:val="008334C0"/>
    <w:rsid w:val="00833502"/>
    <w:rsid w:val="0083359D"/>
    <w:rsid w:val="008335D4"/>
    <w:rsid w:val="008336DE"/>
    <w:rsid w:val="008336E9"/>
    <w:rsid w:val="00833784"/>
    <w:rsid w:val="00833939"/>
    <w:rsid w:val="00833EF3"/>
    <w:rsid w:val="0083428D"/>
    <w:rsid w:val="00834513"/>
    <w:rsid w:val="00834628"/>
    <w:rsid w:val="008346D4"/>
    <w:rsid w:val="00834743"/>
    <w:rsid w:val="0083486C"/>
    <w:rsid w:val="00834DD2"/>
    <w:rsid w:val="008352DB"/>
    <w:rsid w:val="0083540B"/>
    <w:rsid w:val="00835547"/>
    <w:rsid w:val="00835644"/>
    <w:rsid w:val="0083571F"/>
    <w:rsid w:val="0083578B"/>
    <w:rsid w:val="00835A23"/>
    <w:rsid w:val="00835A81"/>
    <w:rsid w:val="00835B41"/>
    <w:rsid w:val="00835C32"/>
    <w:rsid w:val="00836045"/>
    <w:rsid w:val="008361B7"/>
    <w:rsid w:val="00836322"/>
    <w:rsid w:val="00836467"/>
    <w:rsid w:val="00836583"/>
    <w:rsid w:val="00836615"/>
    <w:rsid w:val="0083665B"/>
    <w:rsid w:val="008366DE"/>
    <w:rsid w:val="0083678A"/>
    <w:rsid w:val="0083686C"/>
    <w:rsid w:val="00836B06"/>
    <w:rsid w:val="00836DE5"/>
    <w:rsid w:val="00836F91"/>
    <w:rsid w:val="0083703E"/>
    <w:rsid w:val="008370CC"/>
    <w:rsid w:val="008371F5"/>
    <w:rsid w:val="00837250"/>
    <w:rsid w:val="0083727B"/>
    <w:rsid w:val="008377CE"/>
    <w:rsid w:val="00837A10"/>
    <w:rsid w:val="00837ACB"/>
    <w:rsid w:val="00837E68"/>
    <w:rsid w:val="00837F14"/>
    <w:rsid w:val="00840A3D"/>
    <w:rsid w:val="00840A9D"/>
    <w:rsid w:val="00840ABF"/>
    <w:rsid w:val="00840B9D"/>
    <w:rsid w:val="00840BB4"/>
    <w:rsid w:val="00840C48"/>
    <w:rsid w:val="00840FE9"/>
    <w:rsid w:val="008410C6"/>
    <w:rsid w:val="00841381"/>
    <w:rsid w:val="008418D5"/>
    <w:rsid w:val="00841ABF"/>
    <w:rsid w:val="00841B04"/>
    <w:rsid w:val="00841E12"/>
    <w:rsid w:val="00841E19"/>
    <w:rsid w:val="0084210E"/>
    <w:rsid w:val="00842117"/>
    <w:rsid w:val="008421B3"/>
    <w:rsid w:val="0084240A"/>
    <w:rsid w:val="00842704"/>
    <w:rsid w:val="008428EC"/>
    <w:rsid w:val="00842B1C"/>
    <w:rsid w:val="00842B8F"/>
    <w:rsid w:val="00842CF6"/>
    <w:rsid w:val="00842F32"/>
    <w:rsid w:val="00843053"/>
    <w:rsid w:val="00843137"/>
    <w:rsid w:val="00843179"/>
    <w:rsid w:val="008431D1"/>
    <w:rsid w:val="00843409"/>
    <w:rsid w:val="0084356F"/>
    <w:rsid w:val="00843A6B"/>
    <w:rsid w:val="00843AF4"/>
    <w:rsid w:val="00843EC7"/>
    <w:rsid w:val="00843FD6"/>
    <w:rsid w:val="0084414B"/>
    <w:rsid w:val="00844178"/>
    <w:rsid w:val="0084422F"/>
    <w:rsid w:val="00844520"/>
    <w:rsid w:val="008448E1"/>
    <w:rsid w:val="00844906"/>
    <w:rsid w:val="00844E17"/>
    <w:rsid w:val="00844FF2"/>
    <w:rsid w:val="00845254"/>
    <w:rsid w:val="00845305"/>
    <w:rsid w:val="008453E1"/>
    <w:rsid w:val="008454E7"/>
    <w:rsid w:val="008454F4"/>
    <w:rsid w:val="0084550E"/>
    <w:rsid w:val="00845548"/>
    <w:rsid w:val="008457B0"/>
    <w:rsid w:val="00845D1F"/>
    <w:rsid w:val="00845DD6"/>
    <w:rsid w:val="00845E34"/>
    <w:rsid w:val="00845E47"/>
    <w:rsid w:val="00845F60"/>
    <w:rsid w:val="008461FF"/>
    <w:rsid w:val="008462E5"/>
    <w:rsid w:val="00846528"/>
    <w:rsid w:val="008468BC"/>
    <w:rsid w:val="008469C7"/>
    <w:rsid w:val="00846E5D"/>
    <w:rsid w:val="00846E98"/>
    <w:rsid w:val="00846EC8"/>
    <w:rsid w:val="00846F7F"/>
    <w:rsid w:val="00846FE1"/>
    <w:rsid w:val="00847108"/>
    <w:rsid w:val="00847828"/>
    <w:rsid w:val="00847830"/>
    <w:rsid w:val="008478E9"/>
    <w:rsid w:val="0084798B"/>
    <w:rsid w:val="00847A05"/>
    <w:rsid w:val="00847CD9"/>
    <w:rsid w:val="00847D74"/>
    <w:rsid w:val="00847EB9"/>
    <w:rsid w:val="00850014"/>
    <w:rsid w:val="00850140"/>
    <w:rsid w:val="0085045E"/>
    <w:rsid w:val="008506DB"/>
    <w:rsid w:val="008509D7"/>
    <w:rsid w:val="008509D8"/>
    <w:rsid w:val="00850BCB"/>
    <w:rsid w:val="00850C67"/>
    <w:rsid w:val="00850E8F"/>
    <w:rsid w:val="00850F67"/>
    <w:rsid w:val="0085110B"/>
    <w:rsid w:val="00851162"/>
    <w:rsid w:val="00851525"/>
    <w:rsid w:val="00851539"/>
    <w:rsid w:val="00851574"/>
    <w:rsid w:val="00851706"/>
    <w:rsid w:val="00851B47"/>
    <w:rsid w:val="00851F34"/>
    <w:rsid w:val="008520D6"/>
    <w:rsid w:val="008523DE"/>
    <w:rsid w:val="00852440"/>
    <w:rsid w:val="00852701"/>
    <w:rsid w:val="00852786"/>
    <w:rsid w:val="00852835"/>
    <w:rsid w:val="00852855"/>
    <w:rsid w:val="008528E2"/>
    <w:rsid w:val="0085299B"/>
    <w:rsid w:val="00852AD1"/>
    <w:rsid w:val="00852B08"/>
    <w:rsid w:val="00852C03"/>
    <w:rsid w:val="00852DFE"/>
    <w:rsid w:val="00852E95"/>
    <w:rsid w:val="00852F01"/>
    <w:rsid w:val="00852FD4"/>
    <w:rsid w:val="0085315F"/>
    <w:rsid w:val="008531D0"/>
    <w:rsid w:val="008532DE"/>
    <w:rsid w:val="00853308"/>
    <w:rsid w:val="00853569"/>
    <w:rsid w:val="008539E4"/>
    <w:rsid w:val="00853ADF"/>
    <w:rsid w:val="00853D4E"/>
    <w:rsid w:val="00854049"/>
    <w:rsid w:val="00854214"/>
    <w:rsid w:val="008542E6"/>
    <w:rsid w:val="00854495"/>
    <w:rsid w:val="0085462D"/>
    <w:rsid w:val="00854690"/>
    <w:rsid w:val="00854758"/>
    <w:rsid w:val="008547FE"/>
    <w:rsid w:val="008548D2"/>
    <w:rsid w:val="008549F6"/>
    <w:rsid w:val="00854A84"/>
    <w:rsid w:val="00854B1F"/>
    <w:rsid w:val="00854CBF"/>
    <w:rsid w:val="00854EA5"/>
    <w:rsid w:val="00854EE9"/>
    <w:rsid w:val="00855264"/>
    <w:rsid w:val="008552CA"/>
    <w:rsid w:val="008553F7"/>
    <w:rsid w:val="008554D4"/>
    <w:rsid w:val="00855556"/>
    <w:rsid w:val="008557F1"/>
    <w:rsid w:val="00855A83"/>
    <w:rsid w:val="00855ADF"/>
    <w:rsid w:val="00855BCA"/>
    <w:rsid w:val="00855C01"/>
    <w:rsid w:val="00855E7E"/>
    <w:rsid w:val="00855F56"/>
    <w:rsid w:val="00855F68"/>
    <w:rsid w:val="00856102"/>
    <w:rsid w:val="008562BC"/>
    <w:rsid w:val="00856359"/>
    <w:rsid w:val="008563AC"/>
    <w:rsid w:val="00856446"/>
    <w:rsid w:val="008565A0"/>
    <w:rsid w:val="0085663E"/>
    <w:rsid w:val="0085680F"/>
    <w:rsid w:val="008569DB"/>
    <w:rsid w:val="00856F1B"/>
    <w:rsid w:val="00857474"/>
    <w:rsid w:val="00857489"/>
    <w:rsid w:val="008574E8"/>
    <w:rsid w:val="00857515"/>
    <w:rsid w:val="008575BD"/>
    <w:rsid w:val="008576F1"/>
    <w:rsid w:val="00857744"/>
    <w:rsid w:val="00857912"/>
    <w:rsid w:val="00857989"/>
    <w:rsid w:val="00857A8A"/>
    <w:rsid w:val="00857D8E"/>
    <w:rsid w:val="00857E7F"/>
    <w:rsid w:val="00857F1A"/>
    <w:rsid w:val="00860354"/>
    <w:rsid w:val="008603AC"/>
    <w:rsid w:val="008603AD"/>
    <w:rsid w:val="008605E7"/>
    <w:rsid w:val="008606F7"/>
    <w:rsid w:val="00860862"/>
    <w:rsid w:val="00860925"/>
    <w:rsid w:val="00860A4A"/>
    <w:rsid w:val="00860D22"/>
    <w:rsid w:val="00860E18"/>
    <w:rsid w:val="00860F82"/>
    <w:rsid w:val="00861161"/>
    <w:rsid w:val="00861167"/>
    <w:rsid w:val="008611CD"/>
    <w:rsid w:val="00861297"/>
    <w:rsid w:val="00861321"/>
    <w:rsid w:val="0086145D"/>
    <w:rsid w:val="008614B0"/>
    <w:rsid w:val="008614DD"/>
    <w:rsid w:val="00861571"/>
    <w:rsid w:val="00861726"/>
    <w:rsid w:val="0086173B"/>
    <w:rsid w:val="00861831"/>
    <w:rsid w:val="00861880"/>
    <w:rsid w:val="008618A8"/>
    <w:rsid w:val="0086191B"/>
    <w:rsid w:val="00861922"/>
    <w:rsid w:val="00861962"/>
    <w:rsid w:val="00861E5E"/>
    <w:rsid w:val="00861F08"/>
    <w:rsid w:val="0086209B"/>
    <w:rsid w:val="0086212A"/>
    <w:rsid w:val="0086225E"/>
    <w:rsid w:val="0086228E"/>
    <w:rsid w:val="008622EB"/>
    <w:rsid w:val="00862314"/>
    <w:rsid w:val="00862336"/>
    <w:rsid w:val="0086241B"/>
    <w:rsid w:val="00862522"/>
    <w:rsid w:val="00862584"/>
    <w:rsid w:val="00862921"/>
    <w:rsid w:val="008629C6"/>
    <w:rsid w:val="00862B2F"/>
    <w:rsid w:val="00862BE6"/>
    <w:rsid w:val="00862FFB"/>
    <w:rsid w:val="00863082"/>
    <w:rsid w:val="008630CE"/>
    <w:rsid w:val="008630F8"/>
    <w:rsid w:val="00863337"/>
    <w:rsid w:val="0086340A"/>
    <w:rsid w:val="008636DF"/>
    <w:rsid w:val="00863755"/>
    <w:rsid w:val="0086376F"/>
    <w:rsid w:val="00863946"/>
    <w:rsid w:val="008639E5"/>
    <w:rsid w:val="00863B9B"/>
    <w:rsid w:val="00863DD5"/>
    <w:rsid w:val="00863E87"/>
    <w:rsid w:val="00863EB7"/>
    <w:rsid w:val="00863F85"/>
    <w:rsid w:val="008640A2"/>
    <w:rsid w:val="0086444C"/>
    <w:rsid w:val="008644AD"/>
    <w:rsid w:val="0086468F"/>
    <w:rsid w:val="00864756"/>
    <w:rsid w:val="00864893"/>
    <w:rsid w:val="008649CB"/>
    <w:rsid w:val="00864D53"/>
    <w:rsid w:val="00864F71"/>
    <w:rsid w:val="0086501B"/>
    <w:rsid w:val="00865432"/>
    <w:rsid w:val="00865568"/>
    <w:rsid w:val="008655A2"/>
    <w:rsid w:val="008655F1"/>
    <w:rsid w:val="0086561D"/>
    <w:rsid w:val="0086575E"/>
    <w:rsid w:val="00865844"/>
    <w:rsid w:val="008658B7"/>
    <w:rsid w:val="00865906"/>
    <w:rsid w:val="00865AD7"/>
    <w:rsid w:val="00865B2A"/>
    <w:rsid w:val="00865C97"/>
    <w:rsid w:val="00865CAE"/>
    <w:rsid w:val="00865DF3"/>
    <w:rsid w:val="00865EC3"/>
    <w:rsid w:val="008660ED"/>
    <w:rsid w:val="00866316"/>
    <w:rsid w:val="00866334"/>
    <w:rsid w:val="0086635F"/>
    <w:rsid w:val="00866435"/>
    <w:rsid w:val="0086645B"/>
    <w:rsid w:val="0086658F"/>
    <w:rsid w:val="008667A8"/>
    <w:rsid w:val="008669E8"/>
    <w:rsid w:val="00866B50"/>
    <w:rsid w:val="00866BCB"/>
    <w:rsid w:val="00866CD5"/>
    <w:rsid w:val="00866D01"/>
    <w:rsid w:val="00866DB9"/>
    <w:rsid w:val="00866DD5"/>
    <w:rsid w:val="00866FB0"/>
    <w:rsid w:val="00867027"/>
    <w:rsid w:val="00867477"/>
    <w:rsid w:val="008675E2"/>
    <w:rsid w:val="00867927"/>
    <w:rsid w:val="00867ADB"/>
    <w:rsid w:val="00867F33"/>
    <w:rsid w:val="00867F5D"/>
    <w:rsid w:val="00867FCA"/>
    <w:rsid w:val="00870367"/>
    <w:rsid w:val="0087036B"/>
    <w:rsid w:val="0087036F"/>
    <w:rsid w:val="00870516"/>
    <w:rsid w:val="008706CD"/>
    <w:rsid w:val="00870924"/>
    <w:rsid w:val="0087096F"/>
    <w:rsid w:val="008709E6"/>
    <w:rsid w:val="00870A10"/>
    <w:rsid w:val="00870ADF"/>
    <w:rsid w:val="00870BFA"/>
    <w:rsid w:val="00870C1B"/>
    <w:rsid w:val="00870E8C"/>
    <w:rsid w:val="00870FE1"/>
    <w:rsid w:val="00871229"/>
    <w:rsid w:val="0087127E"/>
    <w:rsid w:val="008713E2"/>
    <w:rsid w:val="008714A6"/>
    <w:rsid w:val="008714D2"/>
    <w:rsid w:val="008715B8"/>
    <w:rsid w:val="0087161A"/>
    <w:rsid w:val="00871892"/>
    <w:rsid w:val="00871985"/>
    <w:rsid w:val="00871B12"/>
    <w:rsid w:val="00871CB1"/>
    <w:rsid w:val="00871D4A"/>
    <w:rsid w:val="008720E1"/>
    <w:rsid w:val="00872555"/>
    <w:rsid w:val="008725A7"/>
    <w:rsid w:val="008726AE"/>
    <w:rsid w:val="0087273C"/>
    <w:rsid w:val="0087279B"/>
    <w:rsid w:val="00872A81"/>
    <w:rsid w:val="00872B73"/>
    <w:rsid w:val="00872BED"/>
    <w:rsid w:val="00872C53"/>
    <w:rsid w:val="00872D30"/>
    <w:rsid w:val="00872E87"/>
    <w:rsid w:val="0087300B"/>
    <w:rsid w:val="00873085"/>
    <w:rsid w:val="008730A1"/>
    <w:rsid w:val="00873284"/>
    <w:rsid w:val="0087338C"/>
    <w:rsid w:val="00873719"/>
    <w:rsid w:val="008738F3"/>
    <w:rsid w:val="00873B39"/>
    <w:rsid w:val="00873E43"/>
    <w:rsid w:val="00873E44"/>
    <w:rsid w:val="00873E4E"/>
    <w:rsid w:val="0087416F"/>
    <w:rsid w:val="00874171"/>
    <w:rsid w:val="008744BD"/>
    <w:rsid w:val="008744CB"/>
    <w:rsid w:val="008744FB"/>
    <w:rsid w:val="0087461E"/>
    <w:rsid w:val="00874657"/>
    <w:rsid w:val="008746C4"/>
    <w:rsid w:val="0087471C"/>
    <w:rsid w:val="00874AA2"/>
    <w:rsid w:val="00874D6D"/>
    <w:rsid w:val="00874FC5"/>
    <w:rsid w:val="008750CA"/>
    <w:rsid w:val="008753A8"/>
    <w:rsid w:val="008755C9"/>
    <w:rsid w:val="008757B6"/>
    <w:rsid w:val="008757F4"/>
    <w:rsid w:val="00875865"/>
    <w:rsid w:val="00875AFC"/>
    <w:rsid w:val="00875D66"/>
    <w:rsid w:val="00875E32"/>
    <w:rsid w:val="00875EE8"/>
    <w:rsid w:val="00875F16"/>
    <w:rsid w:val="00875FD4"/>
    <w:rsid w:val="00876182"/>
    <w:rsid w:val="00876234"/>
    <w:rsid w:val="008768C9"/>
    <w:rsid w:val="00876C4A"/>
    <w:rsid w:val="00876CC2"/>
    <w:rsid w:val="00876D30"/>
    <w:rsid w:val="00876ECD"/>
    <w:rsid w:val="00876FFE"/>
    <w:rsid w:val="00877188"/>
    <w:rsid w:val="008771CD"/>
    <w:rsid w:val="00877268"/>
    <w:rsid w:val="008775D8"/>
    <w:rsid w:val="008776E4"/>
    <w:rsid w:val="0087774E"/>
    <w:rsid w:val="00877858"/>
    <w:rsid w:val="00877AC5"/>
    <w:rsid w:val="00877B1D"/>
    <w:rsid w:val="00877F61"/>
    <w:rsid w:val="00877F6F"/>
    <w:rsid w:val="0088006D"/>
    <w:rsid w:val="00880072"/>
    <w:rsid w:val="0088014E"/>
    <w:rsid w:val="0088031B"/>
    <w:rsid w:val="0088095A"/>
    <w:rsid w:val="008809E1"/>
    <w:rsid w:val="00880B0C"/>
    <w:rsid w:val="00880D01"/>
    <w:rsid w:val="00880E51"/>
    <w:rsid w:val="00880EB5"/>
    <w:rsid w:val="00881028"/>
    <w:rsid w:val="008812AE"/>
    <w:rsid w:val="00881373"/>
    <w:rsid w:val="00881420"/>
    <w:rsid w:val="008815EA"/>
    <w:rsid w:val="00881653"/>
    <w:rsid w:val="008816D6"/>
    <w:rsid w:val="00881835"/>
    <w:rsid w:val="00881899"/>
    <w:rsid w:val="00881960"/>
    <w:rsid w:val="0088197E"/>
    <w:rsid w:val="008819BA"/>
    <w:rsid w:val="00881AE4"/>
    <w:rsid w:val="00881AF5"/>
    <w:rsid w:val="00881B4C"/>
    <w:rsid w:val="00881D59"/>
    <w:rsid w:val="00881D97"/>
    <w:rsid w:val="00881DE1"/>
    <w:rsid w:val="00881DE6"/>
    <w:rsid w:val="008821F9"/>
    <w:rsid w:val="008822F9"/>
    <w:rsid w:val="008824F4"/>
    <w:rsid w:val="008825EF"/>
    <w:rsid w:val="0088269B"/>
    <w:rsid w:val="008826DB"/>
    <w:rsid w:val="008827C2"/>
    <w:rsid w:val="008829B9"/>
    <w:rsid w:val="00882AE8"/>
    <w:rsid w:val="00882B0C"/>
    <w:rsid w:val="00882B3B"/>
    <w:rsid w:val="00882BF0"/>
    <w:rsid w:val="00882CC5"/>
    <w:rsid w:val="00882D9E"/>
    <w:rsid w:val="00882DC9"/>
    <w:rsid w:val="0088303C"/>
    <w:rsid w:val="0088335B"/>
    <w:rsid w:val="00883D92"/>
    <w:rsid w:val="00883DDA"/>
    <w:rsid w:val="00883E00"/>
    <w:rsid w:val="00883EF3"/>
    <w:rsid w:val="00884062"/>
    <w:rsid w:val="0088412F"/>
    <w:rsid w:val="008842AD"/>
    <w:rsid w:val="008842C1"/>
    <w:rsid w:val="008845EA"/>
    <w:rsid w:val="008846C1"/>
    <w:rsid w:val="00884745"/>
    <w:rsid w:val="00884859"/>
    <w:rsid w:val="00884ABD"/>
    <w:rsid w:val="00884D1B"/>
    <w:rsid w:val="00884D57"/>
    <w:rsid w:val="00884E09"/>
    <w:rsid w:val="00885055"/>
    <w:rsid w:val="008854D1"/>
    <w:rsid w:val="00885924"/>
    <w:rsid w:val="00885972"/>
    <w:rsid w:val="00885A46"/>
    <w:rsid w:val="00885AF7"/>
    <w:rsid w:val="00885C8C"/>
    <w:rsid w:val="00885CF8"/>
    <w:rsid w:val="00885D33"/>
    <w:rsid w:val="00885D54"/>
    <w:rsid w:val="00885DA1"/>
    <w:rsid w:val="00885DE9"/>
    <w:rsid w:val="00885E5B"/>
    <w:rsid w:val="008861C6"/>
    <w:rsid w:val="0088647B"/>
    <w:rsid w:val="00886495"/>
    <w:rsid w:val="00886795"/>
    <w:rsid w:val="008869F8"/>
    <w:rsid w:val="008869FE"/>
    <w:rsid w:val="00886BD5"/>
    <w:rsid w:val="00886C75"/>
    <w:rsid w:val="00886CE1"/>
    <w:rsid w:val="00886D39"/>
    <w:rsid w:val="00886E9D"/>
    <w:rsid w:val="00887130"/>
    <w:rsid w:val="0088736E"/>
    <w:rsid w:val="00887420"/>
    <w:rsid w:val="008874F1"/>
    <w:rsid w:val="00887575"/>
    <w:rsid w:val="008875A0"/>
    <w:rsid w:val="008876ED"/>
    <w:rsid w:val="00887810"/>
    <w:rsid w:val="008878EC"/>
    <w:rsid w:val="008879A7"/>
    <w:rsid w:val="00887C51"/>
    <w:rsid w:val="00887D03"/>
    <w:rsid w:val="00887F75"/>
    <w:rsid w:val="00887F9B"/>
    <w:rsid w:val="00890190"/>
    <w:rsid w:val="00890276"/>
    <w:rsid w:val="00890379"/>
    <w:rsid w:val="00890398"/>
    <w:rsid w:val="00890671"/>
    <w:rsid w:val="00890993"/>
    <w:rsid w:val="00890B46"/>
    <w:rsid w:val="00890B89"/>
    <w:rsid w:val="00890C80"/>
    <w:rsid w:val="00890CCE"/>
    <w:rsid w:val="00890D24"/>
    <w:rsid w:val="00890D82"/>
    <w:rsid w:val="00890D89"/>
    <w:rsid w:val="00890E24"/>
    <w:rsid w:val="00891064"/>
    <w:rsid w:val="0089133F"/>
    <w:rsid w:val="00891368"/>
    <w:rsid w:val="00891516"/>
    <w:rsid w:val="00891717"/>
    <w:rsid w:val="008919EC"/>
    <w:rsid w:val="00891A50"/>
    <w:rsid w:val="00891A6F"/>
    <w:rsid w:val="00891AE7"/>
    <w:rsid w:val="00891BB3"/>
    <w:rsid w:val="00891E74"/>
    <w:rsid w:val="00891EE6"/>
    <w:rsid w:val="008921B8"/>
    <w:rsid w:val="008921DE"/>
    <w:rsid w:val="00892424"/>
    <w:rsid w:val="0089242E"/>
    <w:rsid w:val="008924BA"/>
    <w:rsid w:val="00892927"/>
    <w:rsid w:val="00892971"/>
    <w:rsid w:val="008929F9"/>
    <w:rsid w:val="00892A00"/>
    <w:rsid w:val="00892B10"/>
    <w:rsid w:val="00892C97"/>
    <w:rsid w:val="00892CF4"/>
    <w:rsid w:val="00892E97"/>
    <w:rsid w:val="00893238"/>
    <w:rsid w:val="0089326F"/>
    <w:rsid w:val="00893319"/>
    <w:rsid w:val="0089335C"/>
    <w:rsid w:val="00893391"/>
    <w:rsid w:val="008934D8"/>
    <w:rsid w:val="008936B3"/>
    <w:rsid w:val="0089379E"/>
    <w:rsid w:val="00893953"/>
    <w:rsid w:val="00893D7E"/>
    <w:rsid w:val="008940CA"/>
    <w:rsid w:val="00894146"/>
    <w:rsid w:val="00894218"/>
    <w:rsid w:val="00894411"/>
    <w:rsid w:val="00894723"/>
    <w:rsid w:val="008947F1"/>
    <w:rsid w:val="00894812"/>
    <w:rsid w:val="00894893"/>
    <w:rsid w:val="008949BD"/>
    <w:rsid w:val="008949D6"/>
    <w:rsid w:val="00894A8A"/>
    <w:rsid w:val="00894CA5"/>
    <w:rsid w:val="00894DD8"/>
    <w:rsid w:val="00894F53"/>
    <w:rsid w:val="008951AD"/>
    <w:rsid w:val="0089523C"/>
    <w:rsid w:val="0089526C"/>
    <w:rsid w:val="00895421"/>
    <w:rsid w:val="00895429"/>
    <w:rsid w:val="00895560"/>
    <w:rsid w:val="008955F5"/>
    <w:rsid w:val="008956DB"/>
    <w:rsid w:val="0089595E"/>
    <w:rsid w:val="00895B0C"/>
    <w:rsid w:val="00895C3A"/>
    <w:rsid w:val="00896147"/>
    <w:rsid w:val="0089630A"/>
    <w:rsid w:val="008963C4"/>
    <w:rsid w:val="008964F6"/>
    <w:rsid w:val="008965E2"/>
    <w:rsid w:val="00896620"/>
    <w:rsid w:val="00896780"/>
    <w:rsid w:val="008968C2"/>
    <w:rsid w:val="00896944"/>
    <w:rsid w:val="00896A75"/>
    <w:rsid w:val="00896E5A"/>
    <w:rsid w:val="00896F26"/>
    <w:rsid w:val="00897297"/>
    <w:rsid w:val="008975C2"/>
    <w:rsid w:val="00897768"/>
    <w:rsid w:val="00897820"/>
    <w:rsid w:val="00897AE6"/>
    <w:rsid w:val="00897BBF"/>
    <w:rsid w:val="00897D48"/>
    <w:rsid w:val="00897DD1"/>
    <w:rsid w:val="00897E7A"/>
    <w:rsid w:val="008A005B"/>
    <w:rsid w:val="008A0538"/>
    <w:rsid w:val="008A059C"/>
    <w:rsid w:val="008A087E"/>
    <w:rsid w:val="008A0B19"/>
    <w:rsid w:val="008A0BB8"/>
    <w:rsid w:val="008A0EDA"/>
    <w:rsid w:val="008A1202"/>
    <w:rsid w:val="008A1429"/>
    <w:rsid w:val="008A1450"/>
    <w:rsid w:val="008A1780"/>
    <w:rsid w:val="008A1823"/>
    <w:rsid w:val="008A1885"/>
    <w:rsid w:val="008A1DC7"/>
    <w:rsid w:val="008A1E0E"/>
    <w:rsid w:val="008A1F0E"/>
    <w:rsid w:val="008A22D1"/>
    <w:rsid w:val="008A2589"/>
    <w:rsid w:val="008A2657"/>
    <w:rsid w:val="008A26B3"/>
    <w:rsid w:val="008A27A9"/>
    <w:rsid w:val="008A2AF3"/>
    <w:rsid w:val="008A2B76"/>
    <w:rsid w:val="008A2D18"/>
    <w:rsid w:val="008A2F7A"/>
    <w:rsid w:val="008A2FC0"/>
    <w:rsid w:val="008A3027"/>
    <w:rsid w:val="008A32B6"/>
    <w:rsid w:val="008A372C"/>
    <w:rsid w:val="008A393B"/>
    <w:rsid w:val="008A3AC0"/>
    <w:rsid w:val="008A422C"/>
    <w:rsid w:val="008A441C"/>
    <w:rsid w:val="008A46CB"/>
    <w:rsid w:val="008A4B40"/>
    <w:rsid w:val="008A4C17"/>
    <w:rsid w:val="008A4E02"/>
    <w:rsid w:val="008A4E3D"/>
    <w:rsid w:val="008A4F0B"/>
    <w:rsid w:val="008A50B2"/>
    <w:rsid w:val="008A520B"/>
    <w:rsid w:val="008A5398"/>
    <w:rsid w:val="008A53FB"/>
    <w:rsid w:val="008A5431"/>
    <w:rsid w:val="008A54E9"/>
    <w:rsid w:val="008A5663"/>
    <w:rsid w:val="008A5821"/>
    <w:rsid w:val="008A58E8"/>
    <w:rsid w:val="008A5C48"/>
    <w:rsid w:val="008A5DAF"/>
    <w:rsid w:val="008A5DC8"/>
    <w:rsid w:val="008A6203"/>
    <w:rsid w:val="008A662C"/>
    <w:rsid w:val="008A66A2"/>
    <w:rsid w:val="008A6832"/>
    <w:rsid w:val="008A6932"/>
    <w:rsid w:val="008A6D1C"/>
    <w:rsid w:val="008A6E63"/>
    <w:rsid w:val="008A6E7E"/>
    <w:rsid w:val="008A72F1"/>
    <w:rsid w:val="008A767D"/>
    <w:rsid w:val="008A7809"/>
    <w:rsid w:val="008A7A68"/>
    <w:rsid w:val="008A7A90"/>
    <w:rsid w:val="008A7DDE"/>
    <w:rsid w:val="008B0429"/>
    <w:rsid w:val="008B047C"/>
    <w:rsid w:val="008B04A0"/>
    <w:rsid w:val="008B0569"/>
    <w:rsid w:val="008B0704"/>
    <w:rsid w:val="008B08AA"/>
    <w:rsid w:val="008B0901"/>
    <w:rsid w:val="008B09F2"/>
    <w:rsid w:val="008B09FB"/>
    <w:rsid w:val="008B0AE6"/>
    <w:rsid w:val="008B0BF0"/>
    <w:rsid w:val="008B0DD1"/>
    <w:rsid w:val="008B0ED8"/>
    <w:rsid w:val="008B0F5A"/>
    <w:rsid w:val="008B109E"/>
    <w:rsid w:val="008B10A3"/>
    <w:rsid w:val="008B1150"/>
    <w:rsid w:val="008B128D"/>
    <w:rsid w:val="008B1490"/>
    <w:rsid w:val="008B1537"/>
    <w:rsid w:val="008B1667"/>
    <w:rsid w:val="008B168F"/>
    <w:rsid w:val="008B171A"/>
    <w:rsid w:val="008B178B"/>
    <w:rsid w:val="008B180F"/>
    <w:rsid w:val="008B183E"/>
    <w:rsid w:val="008B18AE"/>
    <w:rsid w:val="008B1A7A"/>
    <w:rsid w:val="008B1BAF"/>
    <w:rsid w:val="008B20A9"/>
    <w:rsid w:val="008B214B"/>
    <w:rsid w:val="008B2504"/>
    <w:rsid w:val="008B25AF"/>
    <w:rsid w:val="008B2833"/>
    <w:rsid w:val="008B2A01"/>
    <w:rsid w:val="008B2B50"/>
    <w:rsid w:val="008B2C36"/>
    <w:rsid w:val="008B2EEA"/>
    <w:rsid w:val="008B35B2"/>
    <w:rsid w:val="008B36F6"/>
    <w:rsid w:val="008B39FF"/>
    <w:rsid w:val="008B3A6F"/>
    <w:rsid w:val="008B3C9F"/>
    <w:rsid w:val="008B3E71"/>
    <w:rsid w:val="008B4054"/>
    <w:rsid w:val="008B4078"/>
    <w:rsid w:val="008B40D0"/>
    <w:rsid w:val="008B4113"/>
    <w:rsid w:val="008B45C2"/>
    <w:rsid w:val="008B48D0"/>
    <w:rsid w:val="008B4963"/>
    <w:rsid w:val="008B4A4E"/>
    <w:rsid w:val="008B4E0B"/>
    <w:rsid w:val="008B4F28"/>
    <w:rsid w:val="008B50FA"/>
    <w:rsid w:val="008B5141"/>
    <w:rsid w:val="008B5324"/>
    <w:rsid w:val="008B5483"/>
    <w:rsid w:val="008B5675"/>
    <w:rsid w:val="008B58EB"/>
    <w:rsid w:val="008B5C8F"/>
    <w:rsid w:val="008B5CD4"/>
    <w:rsid w:val="008B5E9B"/>
    <w:rsid w:val="008B5F31"/>
    <w:rsid w:val="008B5FCC"/>
    <w:rsid w:val="008B6090"/>
    <w:rsid w:val="008B6179"/>
    <w:rsid w:val="008B644D"/>
    <w:rsid w:val="008B683D"/>
    <w:rsid w:val="008B6C3E"/>
    <w:rsid w:val="008B6D60"/>
    <w:rsid w:val="008B6E32"/>
    <w:rsid w:val="008B6EF9"/>
    <w:rsid w:val="008B6F51"/>
    <w:rsid w:val="008B7060"/>
    <w:rsid w:val="008B70DD"/>
    <w:rsid w:val="008B721B"/>
    <w:rsid w:val="008B72A2"/>
    <w:rsid w:val="008B7665"/>
    <w:rsid w:val="008B76D7"/>
    <w:rsid w:val="008B77FF"/>
    <w:rsid w:val="008B790A"/>
    <w:rsid w:val="008B7B5F"/>
    <w:rsid w:val="008B7D18"/>
    <w:rsid w:val="008B7D42"/>
    <w:rsid w:val="008B7DB3"/>
    <w:rsid w:val="008B7F38"/>
    <w:rsid w:val="008C013C"/>
    <w:rsid w:val="008C028A"/>
    <w:rsid w:val="008C0344"/>
    <w:rsid w:val="008C05A3"/>
    <w:rsid w:val="008C062C"/>
    <w:rsid w:val="008C07BA"/>
    <w:rsid w:val="008C086B"/>
    <w:rsid w:val="008C0B3F"/>
    <w:rsid w:val="008C0D69"/>
    <w:rsid w:val="008C0EAA"/>
    <w:rsid w:val="008C0F32"/>
    <w:rsid w:val="008C0F7E"/>
    <w:rsid w:val="008C1054"/>
    <w:rsid w:val="008C112D"/>
    <w:rsid w:val="008C116E"/>
    <w:rsid w:val="008C11DC"/>
    <w:rsid w:val="008C130E"/>
    <w:rsid w:val="008C134F"/>
    <w:rsid w:val="008C1662"/>
    <w:rsid w:val="008C1732"/>
    <w:rsid w:val="008C1738"/>
    <w:rsid w:val="008C1946"/>
    <w:rsid w:val="008C1C26"/>
    <w:rsid w:val="008C1D4C"/>
    <w:rsid w:val="008C1DDA"/>
    <w:rsid w:val="008C1EA7"/>
    <w:rsid w:val="008C23E0"/>
    <w:rsid w:val="008C2503"/>
    <w:rsid w:val="008C2589"/>
    <w:rsid w:val="008C2605"/>
    <w:rsid w:val="008C26BF"/>
    <w:rsid w:val="008C26EE"/>
    <w:rsid w:val="008C2818"/>
    <w:rsid w:val="008C2991"/>
    <w:rsid w:val="008C2ADF"/>
    <w:rsid w:val="008C2B0F"/>
    <w:rsid w:val="008C30F6"/>
    <w:rsid w:val="008C318F"/>
    <w:rsid w:val="008C3208"/>
    <w:rsid w:val="008C338F"/>
    <w:rsid w:val="008C3441"/>
    <w:rsid w:val="008C344C"/>
    <w:rsid w:val="008C374A"/>
    <w:rsid w:val="008C377A"/>
    <w:rsid w:val="008C379B"/>
    <w:rsid w:val="008C37B5"/>
    <w:rsid w:val="008C3815"/>
    <w:rsid w:val="008C3868"/>
    <w:rsid w:val="008C3A1D"/>
    <w:rsid w:val="008C3B30"/>
    <w:rsid w:val="008C3C48"/>
    <w:rsid w:val="008C3C9C"/>
    <w:rsid w:val="008C3CDA"/>
    <w:rsid w:val="008C3DE7"/>
    <w:rsid w:val="008C424D"/>
    <w:rsid w:val="008C438D"/>
    <w:rsid w:val="008C460A"/>
    <w:rsid w:val="008C4679"/>
    <w:rsid w:val="008C48B2"/>
    <w:rsid w:val="008C494D"/>
    <w:rsid w:val="008C4A20"/>
    <w:rsid w:val="008C4C07"/>
    <w:rsid w:val="008C4C8C"/>
    <w:rsid w:val="008C4F1E"/>
    <w:rsid w:val="008C5005"/>
    <w:rsid w:val="008C52AB"/>
    <w:rsid w:val="008C52D0"/>
    <w:rsid w:val="008C534E"/>
    <w:rsid w:val="008C5398"/>
    <w:rsid w:val="008C53BC"/>
    <w:rsid w:val="008C5477"/>
    <w:rsid w:val="008C54F4"/>
    <w:rsid w:val="008C5640"/>
    <w:rsid w:val="008C5651"/>
    <w:rsid w:val="008C5A74"/>
    <w:rsid w:val="008C5C7D"/>
    <w:rsid w:val="008C5E2A"/>
    <w:rsid w:val="008C5E51"/>
    <w:rsid w:val="008C6187"/>
    <w:rsid w:val="008C628A"/>
    <w:rsid w:val="008C6369"/>
    <w:rsid w:val="008C6AC8"/>
    <w:rsid w:val="008C6BED"/>
    <w:rsid w:val="008C6C94"/>
    <w:rsid w:val="008C6ED3"/>
    <w:rsid w:val="008C6F41"/>
    <w:rsid w:val="008C72A7"/>
    <w:rsid w:val="008C72BE"/>
    <w:rsid w:val="008C74E1"/>
    <w:rsid w:val="008C7876"/>
    <w:rsid w:val="008C7B98"/>
    <w:rsid w:val="008C7DF9"/>
    <w:rsid w:val="008C7F42"/>
    <w:rsid w:val="008D02C4"/>
    <w:rsid w:val="008D02D4"/>
    <w:rsid w:val="008D03C3"/>
    <w:rsid w:val="008D03F2"/>
    <w:rsid w:val="008D059B"/>
    <w:rsid w:val="008D0677"/>
    <w:rsid w:val="008D0B7C"/>
    <w:rsid w:val="008D0D8B"/>
    <w:rsid w:val="008D0DC0"/>
    <w:rsid w:val="008D13A1"/>
    <w:rsid w:val="008D1458"/>
    <w:rsid w:val="008D1467"/>
    <w:rsid w:val="008D1624"/>
    <w:rsid w:val="008D1657"/>
    <w:rsid w:val="008D1D56"/>
    <w:rsid w:val="008D1E05"/>
    <w:rsid w:val="008D1E3E"/>
    <w:rsid w:val="008D1F42"/>
    <w:rsid w:val="008D1FCE"/>
    <w:rsid w:val="008D20C4"/>
    <w:rsid w:val="008D21A8"/>
    <w:rsid w:val="008D21BF"/>
    <w:rsid w:val="008D2360"/>
    <w:rsid w:val="008D23CC"/>
    <w:rsid w:val="008D24AC"/>
    <w:rsid w:val="008D2722"/>
    <w:rsid w:val="008D2741"/>
    <w:rsid w:val="008D27C2"/>
    <w:rsid w:val="008D2C17"/>
    <w:rsid w:val="008D2E44"/>
    <w:rsid w:val="008D2EDE"/>
    <w:rsid w:val="008D3244"/>
    <w:rsid w:val="008D3274"/>
    <w:rsid w:val="008D32BD"/>
    <w:rsid w:val="008D3498"/>
    <w:rsid w:val="008D3783"/>
    <w:rsid w:val="008D392B"/>
    <w:rsid w:val="008D3A89"/>
    <w:rsid w:val="008D3ACD"/>
    <w:rsid w:val="008D3C80"/>
    <w:rsid w:val="008D3EC5"/>
    <w:rsid w:val="008D3FC7"/>
    <w:rsid w:val="008D424A"/>
    <w:rsid w:val="008D455B"/>
    <w:rsid w:val="008D45C7"/>
    <w:rsid w:val="008D4651"/>
    <w:rsid w:val="008D46F8"/>
    <w:rsid w:val="008D476E"/>
    <w:rsid w:val="008D4801"/>
    <w:rsid w:val="008D4D08"/>
    <w:rsid w:val="008D4D23"/>
    <w:rsid w:val="008D4DC4"/>
    <w:rsid w:val="008D4F62"/>
    <w:rsid w:val="008D4F95"/>
    <w:rsid w:val="008D4FD2"/>
    <w:rsid w:val="008D516F"/>
    <w:rsid w:val="008D51FD"/>
    <w:rsid w:val="008D54D4"/>
    <w:rsid w:val="008D5578"/>
    <w:rsid w:val="008D55A6"/>
    <w:rsid w:val="008D55BD"/>
    <w:rsid w:val="008D55D2"/>
    <w:rsid w:val="008D575A"/>
    <w:rsid w:val="008D5932"/>
    <w:rsid w:val="008D595B"/>
    <w:rsid w:val="008D5B7E"/>
    <w:rsid w:val="008D5BAF"/>
    <w:rsid w:val="008D5F28"/>
    <w:rsid w:val="008D614C"/>
    <w:rsid w:val="008D635A"/>
    <w:rsid w:val="008D6399"/>
    <w:rsid w:val="008D65CF"/>
    <w:rsid w:val="008D6702"/>
    <w:rsid w:val="008D678B"/>
    <w:rsid w:val="008D6910"/>
    <w:rsid w:val="008D6ACA"/>
    <w:rsid w:val="008D6D5B"/>
    <w:rsid w:val="008D6FCE"/>
    <w:rsid w:val="008D713D"/>
    <w:rsid w:val="008D7170"/>
    <w:rsid w:val="008D7216"/>
    <w:rsid w:val="008D72CF"/>
    <w:rsid w:val="008D72DC"/>
    <w:rsid w:val="008D745E"/>
    <w:rsid w:val="008D748A"/>
    <w:rsid w:val="008D7569"/>
    <w:rsid w:val="008D75E7"/>
    <w:rsid w:val="008D7615"/>
    <w:rsid w:val="008D781D"/>
    <w:rsid w:val="008D78A5"/>
    <w:rsid w:val="008D7972"/>
    <w:rsid w:val="008D7AE3"/>
    <w:rsid w:val="008D7C78"/>
    <w:rsid w:val="008D7CB3"/>
    <w:rsid w:val="008D7CB5"/>
    <w:rsid w:val="008D7DC6"/>
    <w:rsid w:val="008D7DDA"/>
    <w:rsid w:val="008D7F1C"/>
    <w:rsid w:val="008D7F23"/>
    <w:rsid w:val="008E047B"/>
    <w:rsid w:val="008E05C9"/>
    <w:rsid w:val="008E05E4"/>
    <w:rsid w:val="008E071A"/>
    <w:rsid w:val="008E0850"/>
    <w:rsid w:val="008E0877"/>
    <w:rsid w:val="008E09CF"/>
    <w:rsid w:val="008E0A94"/>
    <w:rsid w:val="008E0AB5"/>
    <w:rsid w:val="008E0B02"/>
    <w:rsid w:val="008E0D8A"/>
    <w:rsid w:val="008E1022"/>
    <w:rsid w:val="008E1103"/>
    <w:rsid w:val="008E12BE"/>
    <w:rsid w:val="008E12D4"/>
    <w:rsid w:val="008E1596"/>
    <w:rsid w:val="008E15F1"/>
    <w:rsid w:val="008E162C"/>
    <w:rsid w:val="008E171B"/>
    <w:rsid w:val="008E175B"/>
    <w:rsid w:val="008E191C"/>
    <w:rsid w:val="008E196E"/>
    <w:rsid w:val="008E1BB9"/>
    <w:rsid w:val="008E1EB7"/>
    <w:rsid w:val="008E1F4D"/>
    <w:rsid w:val="008E21CF"/>
    <w:rsid w:val="008E22E0"/>
    <w:rsid w:val="008E22F4"/>
    <w:rsid w:val="008E235E"/>
    <w:rsid w:val="008E24F3"/>
    <w:rsid w:val="008E25D3"/>
    <w:rsid w:val="008E2625"/>
    <w:rsid w:val="008E274F"/>
    <w:rsid w:val="008E28F3"/>
    <w:rsid w:val="008E299F"/>
    <w:rsid w:val="008E2D5A"/>
    <w:rsid w:val="008E2E9E"/>
    <w:rsid w:val="008E3246"/>
    <w:rsid w:val="008E3412"/>
    <w:rsid w:val="008E3507"/>
    <w:rsid w:val="008E35D1"/>
    <w:rsid w:val="008E37D3"/>
    <w:rsid w:val="008E37EE"/>
    <w:rsid w:val="008E382C"/>
    <w:rsid w:val="008E393B"/>
    <w:rsid w:val="008E3A43"/>
    <w:rsid w:val="008E3C4A"/>
    <w:rsid w:val="008E401A"/>
    <w:rsid w:val="008E409B"/>
    <w:rsid w:val="008E409F"/>
    <w:rsid w:val="008E43FD"/>
    <w:rsid w:val="008E46E4"/>
    <w:rsid w:val="008E4961"/>
    <w:rsid w:val="008E4A65"/>
    <w:rsid w:val="008E4C4F"/>
    <w:rsid w:val="008E4EC2"/>
    <w:rsid w:val="008E4F00"/>
    <w:rsid w:val="008E4F1A"/>
    <w:rsid w:val="008E4FC8"/>
    <w:rsid w:val="008E542A"/>
    <w:rsid w:val="008E54C1"/>
    <w:rsid w:val="008E5745"/>
    <w:rsid w:val="008E5951"/>
    <w:rsid w:val="008E5B92"/>
    <w:rsid w:val="008E5D77"/>
    <w:rsid w:val="008E5E1D"/>
    <w:rsid w:val="008E5F24"/>
    <w:rsid w:val="008E5FAD"/>
    <w:rsid w:val="008E6164"/>
    <w:rsid w:val="008E6268"/>
    <w:rsid w:val="008E63FF"/>
    <w:rsid w:val="008E64D6"/>
    <w:rsid w:val="008E6686"/>
    <w:rsid w:val="008E67C2"/>
    <w:rsid w:val="008E67FB"/>
    <w:rsid w:val="008E6A04"/>
    <w:rsid w:val="008E6E09"/>
    <w:rsid w:val="008E6E75"/>
    <w:rsid w:val="008E7026"/>
    <w:rsid w:val="008E708A"/>
    <w:rsid w:val="008E70C6"/>
    <w:rsid w:val="008E73B1"/>
    <w:rsid w:val="008E75F3"/>
    <w:rsid w:val="008E784D"/>
    <w:rsid w:val="008E78BC"/>
    <w:rsid w:val="008E7947"/>
    <w:rsid w:val="008E7A45"/>
    <w:rsid w:val="008E7AB4"/>
    <w:rsid w:val="008E7C57"/>
    <w:rsid w:val="008E7EF1"/>
    <w:rsid w:val="008E7F5C"/>
    <w:rsid w:val="008E7FAA"/>
    <w:rsid w:val="008F02FC"/>
    <w:rsid w:val="008F05FD"/>
    <w:rsid w:val="008F062D"/>
    <w:rsid w:val="008F0746"/>
    <w:rsid w:val="008F0976"/>
    <w:rsid w:val="008F0B27"/>
    <w:rsid w:val="008F0C0B"/>
    <w:rsid w:val="008F0C3C"/>
    <w:rsid w:val="008F0F28"/>
    <w:rsid w:val="008F1063"/>
    <w:rsid w:val="008F10F1"/>
    <w:rsid w:val="008F1139"/>
    <w:rsid w:val="008F12B4"/>
    <w:rsid w:val="008F14B6"/>
    <w:rsid w:val="008F160F"/>
    <w:rsid w:val="008F1708"/>
    <w:rsid w:val="008F177A"/>
    <w:rsid w:val="008F17B1"/>
    <w:rsid w:val="008F19D9"/>
    <w:rsid w:val="008F1A06"/>
    <w:rsid w:val="008F1A11"/>
    <w:rsid w:val="008F1B3E"/>
    <w:rsid w:val="008F1EC9"/>
    <w:rsid w:val="008F21B7"/>
    <w:rsid w:val="008F21CB"/>
    <w:rsid w:val="008F221C"/>
    <w:rsid w:val="008F2251"/>
    <w:rsid w:val="008F2365"/>
    <w:rsid w:val="008F2386"/>
    <w:rsid w:val="008F243C"/>
    <w:rsid w:val="008F2467"/>
    <w:rsid w:val="008F24FD"/>
    <w:rsid w:val="008F2522"/>
    <w:rsid w:val="008F258A"/>
    <w:rsid w:val="008F2AFE"/>
    <w:rsid w:val="008F2B12"/>
    <w:rsid w:val="008F2B34"/>
    <w:rsid w:val="008F2DC3"/>
    <w:rsid w:val="008F3121"/>
    <w:rsid w:val="008F3180"/>
    <w:rsid w:val="008F31EB"/>
    <w:rsid w:val="008F3440"/>
    <w:rsid w:val="008F34E0"/>
    <w:rsid w:val="008F350F"/>
    <w:rsid w:val="008F369A"/>
    <w:rsid w:val="008F36AD"/>
    <w:rsid w:val="008F3990"/>
    <w:rsid w:val="008F3CB1"/>
    <w:rsid w:val="008F3D01"/>
    <w:rsid w:val="008F3D1D"/>
    <w:rsid w:val="008F3D6B"/>
    <w:rsid w:val="008F3EC1"/>
    <w:rsid w:val="008F4026"/>
    <w:rsid w:val="008F41DD"/>
    <w:rsid w:val="008F4213"/>
    <w:rsid w:val="008F44B5"/>
    <w:rsid w:val="008F453A"/>
    <w:rsid w:val="008F45D6"/>
    <w:rsid w:val="008F48C9"/>
    <w:rsid w:val="008F4C5A"/>
    <w:rsid w:val="008F4EE1"/>
    <w:rsid w:val="008F4FAC"/>
    <w:rsid w:val="008F5010"/>
    <w:rsid w:val="008F521D"/>
    <w:rsid w:val="008F541D"/>
    <w:rsid w:val="008F5423"/>
    <w:rsid w:val="008F5780"/>
    <w:rsid w:val="008F57FB"/>
    <w:rsid w:val="008F58E9"/>
    <w:rsid w:val="008F5A74"/>
    <w:rsid w:val="008F5B94"/>
    <w:rsid w:val="008F60F4"/>
    <w:rsid w:val="008F6102"/>
    <w:rsid w:val="008F622D"/>
    <w:rsid w:val="008F62E3"/>
    <w:rsid w:val="008F65D1"/>
    <w:rsid w:val="008F67B1"/>
    <w:rsid w:val="008F6833"/>
    <w:rsid w:val="008F686C"/>
    <w:rsid w:val="008F68C3"/>
    <w:rsid w:val="008F6A62"/>
    <w:rsid w:val="008F6CF3"/>
    <w:rsid w:val="008F6DDD"/>
    <w:rsid w:val="008F6E74"/>
    <w:rsid w:val="008F7124"/>
    <w:rsid w:val="008F7334"/>
    <w:rsid w:val="008F74E1"/>
    <w:rsid w:val="008F7551"/>
    <w:rsid w:val="008F760C"/>
    <w:rsid w:val="008F76BF"/>
    <w:rsid w:val="008F7760"/>
    <w:rsid w:val="008F7795"/>
    <w:rsid w:val="008F77D0"/>
    <w:rsid w:val="008F78EC"/>
    <w:rsid w:val="008F7A72"/>
    <w:rsid w:val="008F7BAE"/>
    <w:rsid w:val="008F7CCD"/>
    <w:rsid w:val="008F7E19"/>
    <w:rsid w:val="008F7F04"/>
    <w:rsid w:val="008F7F62"/>
    <w:rsid w:val="008F7FC8"/>
    <w:rsid w:val="00900053"/>
    <w:rsid w:val="009003AD"/>
    <w:rsid w:val="009003C0"/>
    <w:rsid w:val="00900449"/>
    <w:rsid w:val="0090052A"/>
    <w:rsid w:val="0090054D"/>
    <w:rsid w:val="00900589"/>
    <w:rsid w:val="00900CAB"/>
    <w:rsid w:val="00900CF6"/>
    <w:rsid w:val="0090102F"/>
    <w:rsid w:val="009010A0"/>
    <w:rsid w:val="00901173"/>
    <w:rsid w:val="009011C1"/>
    <w:rsid w:val="009011DB"/>
    <w:rsid w:val="00901255"/>
    <w:rsid w:val="0090134E"/>
    <w:rsid w:val="00901671"/>
    <w:rsid w:val="00901810"/>
    <w:rsid w:val="00901942"/>
    <w:rsid w:val="00901955"/>
    <w:rsid w:val="00901B23"/>
    <w:rsid w:val="00901B27"/>
    <w:rsid w:val="00901D60"/>
    <w:rsid w:val="00901DB5"/>
    <w:rsid w:val="00901E9B"/>
    <w:rsid w:val="00901F43"/>
    <w:rsid w:val="00902068"/>
    <w:rsid w:val="009020AB"/>
    <w:rsid w:val="009025D6"/>
    <w:rsid w:val="009025FF"/>
    <w:rsid w:val="00902667"/>
    <w:rsid w:val="00902714"/>
    <w:rsid w:val="0090299A"/>
    <w:rsid w:val="00902A3C"/>
    <w:rsid w:val="00902AD8"/>
    <w:rsid w:val="00902B54"/>
    <w:rsid w:val="00902CE7"/>
    <w:rsid w:val="00902E3C"/>
    <w:rsid w:val="009033D7"/>
    <w:rsid w:val="00903627"/>
    <w:rsid w:val="00903726"/>
    <w:rsid w:val="00903799"/>
    <w:rsid w:val="009039C0"/>
    <w:rsid w:val="00903C0E"/>
    <w:rsid w:val="00903C69"/>
    <w:rsid w:val="00903EB7"/>
    <w:rsid w:val="0090406C"/>
    <w:rsid w:val="00904106"/>
    <w:rsid w:val="009041DF"/>
    <w:rsid w:val="0090432D"/>
    <w:rsid w:val="009044DD"/>
    <w:rsid w:val="00904569"/>
    <w:rsid w:val="009045A8"/>
    <w:rsid w:val="009048EB"/>
    <w:rsid w:val="00904920"/>
    <w:rsid w:val="00904E3F"/>
    <w:rsid w:val="00904E66"/>
    <w:rsid w:val="00905354"/>
    <w:rsid w:val="00905497"/>
    <w:rsid w:val="009054AE"/>
    <w:rsid w:val="00905804"/>
    <w:rsid w:val="00905A66"/>
    <w:rsid w:val="00905C21"/>
    <w:rsid w:val="00905C47"/>
    <w:rsid w:val="00905DB4"/>
    <w:rsid w:val="00905DFE"/>
    <w:rsid w:val="00905E3D"/>
    <w:rsid w:val="00905E84"/>
    <w:rsid w:val="00905EB3"/>
    <w:rsid w:val="00905F81"/>
    <w:rsid w:val="00905F9A"/>
    <w:rsid w:val="00906183"/>
    <w:rsid w:val="0090639B"/>
    <w:rsid w:val="0090641B"/>
    <w:rsid w:val="0090641E"/>
    <w:rsid w:val="009065A5"/>
    <w:rsid w:val="00906633"/>
    <w:rsid w:val="00906833"/>
    <w:rsid w:val="00906911"/>
    <w:rsid w:val="0090691A"/>
    <w:rsid w:val="00906BFE"/>
    <w:rsid w:val="00906CBA"/>
    <w:rsid w:val="00906DAF"/>
    <w:rsid w:val="00906DB4"/>
    <w:rsid w:val="00906F95"/>
    <w:rsid w:val="00907125"/>
    <w:rsid w:val="009071A3"/>
    <w:rsid w:val="00907276"/>
    <w:rsid w:val="009073BB"/>
    <w:rsid w:val="00907465"/>
    <w:rsid w:val="009074BC"/>
    <w:rsid w:val="00907551"/>
    <w:rsid w:val="00907635"/>
    <w:rsid w:val="00907B8F"/>
    <w:rsid w:val="00907DFF"/>
    <w:rsid w:val="00907E1C"/>
    <w:rsid w:val="00907E9A"/>
    <w:rsid w:val="00907FAD"/>
    <w:rsid w:val="00910112"/>
    <w:rsid w:val="00910197"/>
    <w:rsid w:val="00910246"/>
    <w:rsid w:val="00910531"/>
    <w:rsid w:val="0091058B"/>
    <w:rsid w:val="009105D3"/>
    <w:rsid w:val="00910923"/>
    <w:rsid w:val="0091093E"/>
    <w:rsid w:val="00910AC3"/>
    <w:rsid w:val="00910EF9"/>
    <w:rsid w:val="00910F6C"/>
    <w:rsid w:val="00910FD1"/>
    <w:rsid w:val="0091110D"/>
    <w:rsid w:val="00911139"/>
    <w:rsid w:val="009113CA"/>
    <w:rsid w:val="0091140D"/>
    <w:rsid w:val="00911749"/>
    <w:rsid w:val="009117D3"/>
    <w:rsid w:val="009117F4"/>
    <w:rsid w:val="009119A9"/>
    <w:rsid w:val="00911DD5"/>
    <w:rsid w:val="009122FB"/>
    <w:rsid w:val="00912686"/>
    <w:rsid w:val="009126A9"/>
    <w:rsid w:val="009126B7"/>
    <w:rsid w:val="00912759"/>
    <w:rsid w:val="00912851"/>
    <w:rsid w:val="00912C9C"/>
    <w:rsid w:val="00912DDE"/>
    <w:rsid w:val="00912FC2"/>
    <w:rsid w:val="00913164"/>
    <w:rsid w:val="009131FF"/>
    <w:rsid w:val="009134A1"/>
    <w:rsid w:val="009134A8"/>
    <w:rsid w:val="0091358E"/>
    <w:rsid w:val="0091361B"/>
    <w:rsid w:val="009136A5"/>
    <w:rsid w:val="00913929"/>
    <w:rsid w:val="009139A5"/>
    <w:rsid w:val="00913E86"/>
    <w:rsid w:val="009142D2"/>
    <w:rsid w:val="00914477"/>
    <w:rsid w:val="00914498"/>
    <w:rsid w:val="00914509"/>
    <w:rsid w:val="0091450C"/>
    <w:rsid w:val="00914537"/>
    <w:rsid w:val="009145E2"/>
    <w:rsid w:val="0091460D"/>
    <w:rsid w:val="00914632"/>
    <w:rsid w:val="00914A19"/>
    <w:rsid w:val="00914B00"/>
    <w:rsid w:val="00914B58"/>
    <w:rsid w:val="00914BCD"/>
    <w:rsid w:val="00914DA0"/>
    <w:rsid w:val="009152AD"/>
    <w:rsid w:val="00915377"/>
    <w:rsid w:val="009154D7"/>
    <w:rsid w:val="009155EB"/>
    <w:rsid w:val="009156A1"/>
    <w:rsid w:val="0091573B"/>
    <w:rsid w:val="0091579F"/>
    <w:rsid w:val="009158C8"/>
    <w:rsid w:val="00915975"/>
    <w:rsid w:val="00915A45"/>
    <w:rsid w:val="00915B9E"/>
    <w:rsid w:val="00915DA1"/>
    <w:rsid w:val="00915EAC"/>
    <w:rsid w:val="00915F43"/>
    <w:rsid w:val="0091605F"/>
    <w:rsid w:val="009161AF"/>
    <w:rsid w:val="009161D9"/>
    <w:rsid w:val="00916299"/>
    <w:rsid w:val="00916624"/>
    <w:rsid w:val="00916794"/>
    <w:rsid w:val="0091683D"/>
    <w:rsid w:val="00916A79"/>
    <w:rsid w:val="00916BB3"/>
    <w:rsid w:val="00916C12"/>
    <w:rsid w:val="00916D13"/>
    <w:rsid w:val="00916E93"/>
    <w:rsid w:val="00917247"/>
    <w:rsid w:val="00917312"/>
    <w:rsid w:val="009173E4"/>
    <w:rsid w:val="00917506"/>
    <w:rsid w:val="00917543"/>
    <w:rsid w:val="00917767"/>
    <w:rsid w:val="009178BC"/>
    <w:rsid w:val="00917A2E"/>
    <w:rsid w:val="00917A4D"/>
    <w:rsid w:val="00917B57"/>
    <w:rsid w:val="00917C37"/>
    <w:rsid w:val="00917CA4"/>
    <w:rsid w:val="00917E01"/>
    <w:rsid w:val="00917EC1"/>
    <w:rsid w:val="0092036C"/>
    <w:rsid w:val="009204F4"/>
    <w:rsid w:val="009205CD"/>
    <w:rsid w:val="00920696"/>
    <w:rsid w:val="009206C2"/>
    <w:rsid w:val="009208C4"/>
    <w:rsid w:val="009208C6"/>
    <w:rsid w:val="00920A4D"/>
    <w:rsid w:val="00920C03"/>
    <w:rsid w:val="00920CED"/>
    <w:rsid w:val="00920D92"/>
    <w:rsid w:val="00920E0A"/>
    <w:rsid w:val="00920ECF"/>
    <w:rsid w:val="00920F16"/>
    <w:rsid w:val="0092105C"/>
    <w:rsid w:val="0092109B"/>
    <w:rsid w:val="0092149A"/>
    <w:rsid w:val="0092170C"/>
    <w:rsid w:val="009219D3"/>
    <w:rsid w:val="009219F5"/>
    <w:rsid w:val="00921C2E"/>
    <w:rsid w:val="00921C3A"/>
    <w:rsid w:val="00921CC7"/>
    <w:rsid w:val="00921D99"/>
    <w:rsid w:val="00921E8C"/>
    <w:rsid w:val="009220BA"/>
    <w:rsid w:val="009220FF"/>
    <w:rsid w:val="00922455"/>
    <w:rsid w:val="00922519"/>
    <w:rsid w:val="0092269D"/>
    <w:rsid w:val="0092270F"/>
    <w:rsid w:val="00922726"/>
    <w:rsid w:val="009227DD"/>
    <w:rsid w:val="0092284D"/>
    <w:rsid w:val="00922C4C"/>
    <w:rsid w:val="00922D98"/>
    <w:rsid w:val="00922ED8"/>
    <w:rsid w:val="00922FDA"/>
    <w:rsid w:val="00923161"/>
    <w:rsid w:val="00923431"/>
    <w:rsid w:val="0092346B"/>
    <w:rsid w:val="00923563"/>
    <w:rsid w:val="00923609"/>
    <w:rsid w:val="0092365D"/>
    <w:rsid w:val="009236AA"/>
    <w:rsid w:val="009236FA"/>
    <w:rsid w:val="00923A05"/>
    <w:rsid w:val="00923D3E"/>
    <w:rsid w:val="00923DAC"/>
    <w:rsid w:val="00923E7C"/>
    <w:rsid w:val="00923EC6"/>
    <w:rsid w:val="00924049"/>
    <w:rsid w:val="00924062"/>
    <w:rsid w:val="00924208"/>
    <w:rsid w:val="009243CC"/>
    <w:rsid w:val="009243D4"/>
    <w:rsid w:val="00924446"/>
    <w:rsid w:val="0092448A"/>
    <w:rsid w:val="00924638"/>
    <w:rsid w:val="009247CD"/>
    <w:rsid w:val="009248E3"/>
    <w:rsid w:val="00924B04"/>
    <w:rsid w:val="00924DEE"/>
    <w:rsid w:val="00924FAD"/>
    <w:rsid w:val="00925000"/>
    <w:rsid w:val="00925142"/>
    <w:rsid w:val="00925208"/>
    <w:rsid w:val="00925364"/>
    <w:rsid w:val="009253F8"/>
    <w:rsid w:val="00925491"/>
    <w:rsid w:val="009255DE"/>
    <w:rsid w:val="00925615"/>
    <w:rsid w:val="009258A8"/>
    <w:rsid w:val="00925960"/>
    <w:rsid w:val="0092599B"/>
    <w:rsid w:val="00925AC7"/>
    <w:rsid w:val="00925ACF"/>
    <w:rsid w:val="00925CD0"/>
    <w:rsid w:val="00925F28"/>
    <w:rsid w:val="0092606D"/>
    <w:rsid w:val="009261EF"/>
    <w:rsid w:val="00926438"/>
    <w:rsid w:val="00926490"/>
    <w:rsid w:val="0092661A"/>
    <w:rsid w:val="0092668C"/>
    <w:rsid w:val="00926772"/>
    <w:rsid w:val="00926843"/>
    <w:rsid w:val="009269B3"/>
    <w:rsid w:val="00926A5E"/>
    <w:rsid w:val="00926CEF"/>
    <w:rsid w:val="0092704A"/>
    <w:rsid w:val="009273DF"/>
    <w:rsid w:val="009274E8"/>
    <w:rsid w:val="00927656"/>
    <w:rsid w:val="00927845"/>
    <w:rsid w:val="009278F7"/>
    <w:rsid w:val="00927DE7"/>
    <w:rsid w:val="00927E86"/>
    <w:rsid w:val="009300CB"/>
    <w:rsid w:val="009301A3"/>
    <w:rsid w:val="009305A0"/>
    <w:rsid w:val="00930A70"/>
    <w:rsid w:val="00930A7E"/>
    <w:rsid w:val="00930D34"/>
    <w:rsid w:val="00930E0A"/>
    <w:rsid w:val="00931648"/>
    <w:rsid w:val="009317BD"/>
    <w:rsid w:val="009319A1"/>
    <w:rsid w:val="00931B98"/>
    <w:rsid w:val="00931BD5"/>
    <w:rsid w:val="00931C39"/>
    <w:rsid w:val="00931CBE"/>
    <w:rsid w:val="00931E07"/>
    <w:rsid w:val="00931F48"/>
    <w:rsid w:val="00931F6F"/>
    <w:rsid w:val="009322BF"/>
    <w:rsid w:val="0093234B"/>
    <w:rsid w:val="00932518"/>
    <w:rsid w:val="00932B7F"/>
    <w:rsid w:val="00932C73"/>
    <w:rsid w:val="00933167"/>
    <w:rsid w:val="00933595"/>
    <w:rsid w:val="009335E3"/>
    <w:rsid w:val="0093364C"/>
    <w:rsid w:val="0093380C"/>
    <w:rsid w:val="0093380E"/>
    <w:rsid w:val="009338FB"/>
    <w:rsid w:val="00933932"/>
    <w:rsid w:val="00933A0E"/>
    <w:rsid w:val="00933B70"/>
    <w:rsid w:val="00933CC3"/>
    <w:rsid w:val="00933D0D"/>
    <w:rsid w:val="00933D49"/>
    <w:rsid w:val="00933D5F"/>
    <w:rsid w:val="00933F97"/>
    <w:rsid w:val="009341C3"/>
    <w:rsid w:val="0093429F"/>
    <w:rsid w:val="009343CE"/>
    <w:rsid w:val="00934785"/>
    <w:rsid w:val="00934A21"/>
    <w:rsid w:val="00934A3A"/>
    <w:rsid w:val="00934B37"/>
    <w:rsid w:val="00934F8E"/>
    <w:rsid w:val="0093520B"/>
    <w:rsid w:val="009352AA"/>
    <w:rsid w:val="00935304"/>
    <w:rsid w:val="009353F5"/>
    <w:rsid w:val="009354F5"/>
    <w:rsid w:val="0093552F"/>
    <w:rsid w:val="009355BE"/>
    <w:rsid w:val="00935651"/>
    <w:rsid w:val="00935765"/>
    <w:rsid w:val="00935791"/>
    <w:rsid w:val="00935B71"/>
    <w:rsid w:val="00935CB6"/>
    <w:rsid w:val="00935D56"/>
    <w:rsid w:val="00935D6D"/>
    <w:rsid w:val="00935D8E"/>
    <w:rsid w:val="00935DD6"/>
    <w:rsid w:val="00935F03"/>
    <w:rsid w:val="00936515"/>
    <w:rsid w:val="00936742"/>
    <w:rsid w:val="00936743"/>
    <w:rsid w:val="00936D79"/>
    <w:rsid w:val="00936FFD"/>
    <w:rsid w:val="009370D5"/>
    <w:rsid w:val="009373D6"/>
    <w:rsid w:val="009373D8"/>
    <w:rsid w:val="0093740C"/>
    <w:rsid w:val="009374C3"/>
    <w:rsid w:val="0093754C"/>
    <w:rsid w:val="0093755F"/>
    <w:rsid w:val="0093782F"/>
    <w:rsid w:val="00937867"/>
    <w:rsid w:val="00937974"/>
    <w:rsid w:val="00937BBA"/>
    <w:rsid w:val="00937C4B"/>
    <w:rsid w:val="00937DE7"/>
    <w:rsid w:val="00937F34"/>
    <w:rsid w:val="00940029"/>
    <w:rsid w:val="009400AA"/>
    <w:rsid w:val="00940393"/>
    <w:rsid w:val="00940891"/>
    <w:rsid w:val="00940AE1"/>
    <w:rsid w:val="00940BC5"/>
    <w:rsid w:val="00940D32"/>
    <w:rsid w:val="009411B0"/>
    <w:rsid w:val="0094177F"/>
    <w:rsid w:val="00941890"/>
    <w:rsid w:val="009418C4"/>
    <w:rsid w:val="009419A7"/>
    <w:rsid w:val="00941ADD"/>
    <w:rsid w:val="00941BEF"/>
    <w:rsid w:val="00941BFA"/>
    <w:rsid w:val="00942320"/>
    <w:rsid w:val="00942382"/>
    <w:rsid w:val="009424A5"/>
    <w:rsid w:val="0094260C"/>
    <w:rsid w:val="00942633"/>
    <w:rsid w:val="0094263F"/>
    <w:rsid w:val="0094267E"/>
    <w:rsid w:val="00942A3D"/>
    <w:rsid w:val="00942BC5"/>
    <w:rsid w:val="00942C12"/>
    <w:rsid w:val="00942EC3"/>
    <w:rsid w:val="00943546"/>
    <w:rsid w:val="0094359C"/>
    <w:rsid w:val="009435B6"/>
    <w:rsid w:val="009435D0"/>
    <w:rsid w:val="0094367D"/>
    <w:rsid w:val="00943681"/>
    <w:rsid w:val="0094388C"/>
    <w:rsid w:val="009438B8"/>
    <w:rsid w:val="00943961"/>
    <w:rsid w:val="00943A8B"/>
    <w:rsid w:val="00943BBC"/>
    <w:rsid w:val="00943D3F"/>
    <w:rsid w:val="00943EC2"/>
    <w:rsid w:val="00943EF2"/>
    <w:rsid w:val="0094403D"/>
    <w:rsid w:val="00944337"/>
    <w:rsid w:val="0094442F"/>
    <w:rsid w:val="00944455"/>
    <w:rsid w:val="00944591"/>
    <w:rsid w:val="009445D7"/>
    <w:rsid w:val="0094467A"/>
    <w:rsid w:val="00944688"/>
    <w:rsid w:val="009446F8"/>
    <w:rsid w:val="009447BA"/>
    <w:rsid w:val="009447CD"/>
    <w:rsid w:val="009447E7"/>
    <w:rsid w:val="00944AF7"/>
    <w:rsid w:val="00944B6D"/>
    <w:rsid w:val="00944BEC"/>
    <w:rsid w:val="00944DAE"/>
    <w:rsid w:val="00944DC6"/>
    <w:rsid w:val="00944EC5"/>
    <w:rsid w:val="00944ECC"/>
    <w:rsid w:val="00944F63"/>
    <w:rsid w:val="009452FE"/>
    <w:rsid w:val="00945411"/>
    <w:rsid w:val="009457EC"/>
    <w:rsid w:val="009457FA"/>
    <w:rsid w:val="00945873"/>
    <w:rsid w:val="00945B8B"/>
    <w:rsid w:val="00945BC1"/>
    <w:rsid w:val="00945C27"/>
    <w:rsid w:val="00945D03"/>
    <w:rsid w:val="00945F5D"/>
    <w:rsid w:val="0094600E"/>
    <w:rsid w:val="009460D7"/>
    <w:rsid w:val="00946159"/>
    <w:rsid w:val="0094618F"/>
    <w:rsid w:val="00946222"/>
    <w:rsid w:val="009464D1"/>
    <w:rsid w:val="00946557"/>
    <w:rsid w:val="009465F2"/>
    <w:rsid w:val="00946613"/>
    <w:rsid w:val="00946A5F"/>
    <w:rsid w:val="00946B2F"/>
    <w:rsid w:val="00946BFF"/>
    <w:rsid w:val="00946E6C"/>
    <w:rsid w:val="009471BC"/>
    <w:rsid w:val="009471E0"/>
    <w:rsid w:val="009473DC"/>
    <w:rsid w:val="009473E8"/>
    <w:rsid w:val="009476B2"/>
    <w:rsid w:val="009477DE"/>
    <w:rsid w:val="00947CA1"/>
    <w:rsid w:val="00947CA6"/>
    <w:rsid w:val="00947FCB"/>
    <w:rsid w:val="00947FDE"/>
    <w:rsid w:val="00950002"/>
    <w:rsid w:val="00950365"/>
    <w:rsid w:val="0095038A"/>
    <w:rsid w:val="009503E5"/>
    <w:rsid w:val="0095074F"/>
    <w:rsid w:val="00950834"/>
    <w:rsid w:val="00950A76"/>
    <w:rsid w:val="00950EB2"/>
    <w:rsid w:val="00950FC6"/>
    <w:rsid w:val="009513AF"/>
    <w:rsid w:val="009515F5"/>
    <w:rsid w:val="0095191D"/>
    <w:rsid w:val="00951978"/>
    <w:rsid w:val="00951B81"/>
    <w:rsid w:val="00951BA0"/>
    <w:rsid w:val="00951CF6"/>
    <w:rsid w:val="00951E78"/>
    <w:rsid w:val="009520EF"/>
    <w:rsid w:val="00952184"/>
    <w:rsid w:val="0095227D"/>
    <w:rsid w:val="009522AE"/>
    <w:rsid w:val="0095230C"/>
    <w:rsid w:val="009526AA"/>
    <w:rsid w:val="00952AEB"/>
    <w:rsid w:val="00952C31"/>
    <w:rsid w:val="00952CDF"/>
    <w:rsid w:val="00952D2F"/>
    <w:rsid w:val="00952EE8"/>
    <w:rsid w:val="00952F33"/>
    <w:rsid w:val="00953071"/>
    <w:rsid w:val="00953295"/>
    <w:rsid w:val="00953440"/>
    <w:rsid w:val="009534A7"/>
    <w:rsid w:val="0095352E"/>
    <w:rsid w:val="009536A7"/>
    <w:rsid w:val="0095383D"/>
    <w:rsid w:val="009538AE"/>
    <w:rsid w:val="00953951"/>
    <w:rsid w:val="00953A06"/>
    <w:rsid w:val="00953B11"/>
    <w:rsid w:val="00953B1C"/>
    <w:rsid w:val="00953B98"/>
    <w:rsid w:val="00953D77"/>
    <w:rsid w:val="00953E95"/>
    <w:rsid w:val="0095424A"/>
    <w:rsid w:val="00954581"/>
    <w:rsid w:val="009545EC"/>
    <w:rsid w:val="009547A6"/>
    <w:rsid w:val="009547AE"/>
    <w:rsid w:val="00954946"/>
    <w:rsid w:val="0095496E"/>
    <w:rsid w:val="00954B16"/>
    <w:rsid w:val="00954BE8"/>
    <w:rsid w:val="00954D1E"/>
    <w:rsid w:val="00954E38"/>
    <w:rsid w:val="00954E97"/>
    <w:rsid w:val="00954ECE"/>
    <w:rsid w:val="009550FD"/>
    <w:rsid w:val="0095532D"/>
    <w:rsid w:val="009553A0"/>
    <w:rsid w:val="00955746"/>
    <w:rsid w:val="00955861"/>
    <w:rsid w:val="009558E4"/>
    <w:rsid w:val="00955BE2"/>
    <w:rsid w:val="00955F2D"/>
    <w:rsid w:val="00955FFB"/>
    <w:rsid w:val="00956281"/>
    <w:rsid w:val="0095646D"/>
    <w:rsid w:val="0095656C"/>
    <w:rsid w:val="0095664F"/>
    <w:rsid w:val="0095692A"/>
    <w:rsid w:val="00956ABA"/>
    <w:rsid w:val="00956ABD"/>
    <w:rsid w:val="00956CE3"/>
    <w:rsid w:val="00956CF4"/>
    <w:rsid w:val="00956FB5"/>
    <w:rsid w:val="009571A6"/>
    <w:rsid w:val="0095743E"/>
    <w:rsid w:val="00957445"/>
    <w:rsid w:val="009577EE"/>
    <w:rsid w:val="009578D1"/>
    <w:rsid w:val="00957AFB"/>
    <w:rsid w:val="00957B1F"/>
    <w:rsid w:val="009600F8"/>
    <w:rsid w:val="00960153"/>
    <w:rsid w:val="00960170"/>
    <w:rsid w:val="00960182"/>
    <w:rsid w:val="00960367"/>
    <w:rsid w:val="009603F4"/>
    <w:rsid w:val="00960672"/>
    <w:rsid w:val="00960708"/>
    <w:rsid w:val="009608D0"/>
    <w:rsid w:val="00960932"/>
    <w:rsid w:val="0096099F"/>
    <w:rsid w:val="009609F7"/>
    <w:rsid w:val="00960A39"/>
    <w:rsid w:val="00960B04"/>
    <w:rsid w:val="00960BB9"/>
    <w:rsid w:val="00960C8D"/>
    <w:rsid w:val="00960F28"/>
    <w:rsid w:val="00960F65"/>
    <w:rsid w:val="00960F72"/>
    <w:rsid w:val="009614CC"/>
    <w:rsid w:val="009614F9"/>
    <w:rsid w:val="009615A8"/>
    <w:rsid w:val="009617C9"/>
    <w:rsid w:val="00961B27"/>
    <w:rsid w:val="00961B7D"/>
    <w:rsid w:val="00961BA0"/>
    <w:rsid w:val="00961BBF"/>
    <w:rsid w:val="00961D25"/>
    <w:rsid w:val="00961F60"/>
    <w:rsid w:val="0096209D"/>
    <w:rsid w:val="009620CF"/>
    <w:rsid w:val="00962153"/>
    <w:rsid w:val="00962282"/>
    <w:rsid w:val="00962484"/>
    <w:rsid w:val="009625EA"/>
    <w:rsid w:val="009626BA"/>
    <w:rsid w:val="00962816"/>
    <w:rsid w:val="00962B8A"/>
    <w:rsid w:val="00962C1A"/>
    <w:rsid w:val="00962CDE"/>
    <w:rsid w:val="009630BB"/>
    <w:rsid w:val="009630CE"/>
    <w:rsid w:val="0096350E"/>
    <w:rsid w:val="00963570"/>
    <w:rsid w:val="0096357E"/>
    <w:rsid w:val="00963596"/>
    <w:rsid w:val="009638E2"/>
    <w:rsid w:val="00963A5B"/>
    <w:rsid w:val="00963AC5"/>
    <w:rsid w:val="00963B1F"/>
    <w:rsid w:val="00963B93"/>
    <w:rsid w:val="00963C66"/>
    <w:rsid w:val="00963E6E"/>
    <w:rsid w:val="00963E79"/>
    <w:rsid w:val="0096402A"/>
    <w:rsid w:val="00964182"/>
    <w:rsid w:val="00964294"/>
    <w:rsid w:val="0096436C"/>
    <w:rsid w:val="009644F0"/>
    <w:rsid w:val="0096473C"/>
    <w:rsid w:val="00964828"/>
    <w:rsid w:val="00964BC4"/>
    <w:rsid w:val="009655EA"/>
    <w:rsid w:val="009657D9"/>
    <w:rsid w:val="00965802"/>
    <w:rsid w:val="0096590E"/>
    <w:rsid w:val="009659DF"/>
    <w:rsid w:val="00965A75"/>
    <w:rsid w:val="00965BB6"/>
    <w:rsid w:val="00965CE5"/>
    <w:rsid w:val="00965D62"/>
    <w:rsid w:val="00965E97"/>
    <w:rsid w:val="00965F84"/>
    <w:rsid w:val="00965F87"/>
    <w:rsid w:val="00965FC4"/>
    <w:rsid w:val="00966075"/>
    <w:rsid w:val="009660F8"/>
    <w:rsid w:val="00966167"/>
    <w:rsid w:val="00966322"/>
    <w:rsid w:val="009663F3"/>
    <w:rsid w:val="009664BB"/>
    <w:rsid w:val="00966569"/>
    <w:rsid w:val="0096656C"/>
    <w:rsid w:val="0096662A"/>
    <w:rsid w:val="0096667C"/>
    <w:rsid w:val="009667CA"/>
    <w:rsid w:val="009668B0"/>
    <w:rsid w:val="00966910"/>
    <w:rsid w:val="0096691D"/>
    <w:rsid w:val="00966930"/>
    <w:rsid w:val="00966944"/>
    <w:rsid w:val="009669FB"/>
    <w:rsid w:val="00966B1F"/>
    <w:rsid w:val="00966B28"/>
    <w:rsid w:val="00966BCD"/>
    <w:rsid w:val="00966BCE"/>
    <w:rsid w:val="00966D0E"/>
    <w:rsid w:val="00966D8A"/>
    <w:rsid w:val="009670EB"/>
    <w:rsid w:val="00967267"/>
    <w:rsid w:val="009672A2"/>
    <w:rsid w:val="0096738C"/>
    <w:rsid w:val="0096746C"/>
    <w:rsid w:val="0096767E"/>
    <w:rsid w:val="0096792A"/>
    <w:rsid w:val="00967D59"/>
    <w:rsid w:val="00970083"/>
    <w:rsid w:val="0097015E"/>
    <w:rsid w:val="009703B5"/>
    <w:rsid w:val="009703BA"/>
    <w:rsid w:val="0097090B"/>
    <w:rsid w:val="00970DC7"/>
    <w:rsid w:val="009711B9"/>
    <w:rsid w:val="00971266"/>
    <w:rsid w:val="009712D0"/>
    <w:rsid w:val="009714CB"/>
    <w:rsid w:val="0097150E"/>
    <w:rsid w:val="00971535"/>
    <w:rsid w:val="00971645"/>
    <w:rsid w:val="009718B9"/>
    <w:rsid w:val="009718D0"/>
    <w:rsid w:val="009718F2"/>
    <w:rsid w:val="00971B2B"/>
    <w:rsid w:val="00971E0D"/>
    <w:rsid w:val="00971F59"/>
    <w:rsid w:val="00972098"/>
    <w:rsid w:val="009720F6"/>
    <w:rsid w:val="009721E3"/>
    <w:rsid w:val="00972322"/>
    <w:rsid w:val="00972393"/>
    <w:rsid w:val="00972409"/>
    <w:rsid w:val="0097245A"/>
    <w:rsid w:val="0097279B"/>
    <w:rsid w:val="009727F6"/>
    <w:rsid w:val="00972873"/>
    <w:rsid w:val="00972B22"/>
    <w:rsid w:val="00972E87"/>
    <w:rsid w:val="0097314E"/>
    <w:rsid w:val="009732BE"/>
    <w:rsid w:val="00973357"/>
    <w:rsid w:val="00973394"/>
    <w:rsid w:val="0097366C"/>
    <w:rsid w:val="009738B8"/>
    <w:rsid w:val="00973972"/>
    <w:rsid w:val="00973BD5"/>
    <w:rsid w:val="00973BF7"/>
    <w:rsid w:val="00973C62"/>
    <w:rsid w:val="00973D18"/>
    <w:rsid w:val="00973D6B"/>
    <w:rsid w:val="00973E49"/>
    <w:rsid w:val="00973E88"/>
    <w:rsid w:val="00973ECE"/>
    <w:rsid w:val="00974139"/>
    <w:rsid w:val="0097418A"/>
    <w:rsid w:val="009741CC"/>
    <w:rsid w:val="009742F9"/>
    <w:rsid w:val="00974BE4"/>
    <w:rsid w:val="00974D81"/>
    <w:rsid w:val="0097503F"/>
    <w:rsid w:val="0097508B"/>
    <w:rsid w:val="009750D2"/>
    <w:rsid w:val="0097530E"/>
    <w:rsid w:val="0097549F"/>
    <w:rsid w:val="0097567F"/>
    <w:rsid w:val="009757EE"/>
    <w:rsid w:val="00975803"/>
    <w:rsid w:val="009758D8"/>
    <w:rsid w:val="00975959"/>
    <w:rsid w:val="009759C5"/>
    <w:rsid w:val="00975CC7"/>
    <w:rsid w:val="00975EAF"/>
    <w:rsid w:val="00976069"/>
    <w:rsid w:val="009762D9"/>
    <w:rsid w:val="0097630C"/>
    <w:rsid w:val="00976349"/>
    <w:rsid w:val="009764D4"/>
    <w:rsid w:val="00976839"/>
    <w:rsid w:val="00976C76"/>
    <w:rsid w:val="00976C79"/>
    <w:rsid w:val="00976F47"/>
    <w:rsid w:val="00977540"/>
    <w:rsid w:val="00977694"/>
    <w:rsid w:val="009778F4"/>
    <w:rsid w:val="009779FA"/>
    <w:rsid w:val="00977A1E"/>
    <w:rsid w:val="00977B45"/>
    <w:rsid w:val="00977C53"/>
    <w:rsid w:val="00977D5F"/>
    <w:rsid w:val="00977DF1"/>
    <w:rsid w:val="00977F9A"/>
    <w:rsid w:val="00980332"/>
    <w:rsid w:val="009803FA"/>
    <w:rsid w:val="009805C6"/>
    <w:rsid w:val="00980624"/>
    <w:rsid w:val="0098089F"/>
    <w:rsid w:val="00980977"/>
    <w:rsid w:val="00980A90"/>
    <w:rsid w:val="00980BFD"/>
    <w:rsid w:val="00980CBB"/>
    <w:rsid w:val="00980CEB"/>
    <w:rsid w:val="00980D3A"/>
    <w:rsid w:val="00980E51"/>
    <w:rsid w:val="00980ED3"/>
    <w:rsid w:val="009810A3"/>
    <w:rsid w:val="009810FC"/>
    <w:rsid w:val="00981199"/>
    <w:rsid w:val="00981204"/>
    <w:rsid w:val="009813CD"/>
    <w:rsid w:val="009814BD"/>
    <w:rsid w:val="009819C2"/>
    <w:rsid w:val="009820FC"/>
    <w:rsid w:val="009829E2"/>
    <w:rsid w:val="00982A4C"/>
    <w:rsid w:val="00982A55"/>
    <w:rsid w:val="00982AF3"/>
    <w:rsid w:val="00982C70"/>
    <w:rsid w:val="00982E6F"/>
    <w:rsid w:val="00983077"/>
    <w:rsid w:val="00983084"/>
    <w:rsid w:val="00983133"/>
    <w:rsid w:val="009831A2"/>
    <w:rsid w:val="009832E1"/>
    <w:rsid w:val="0098344C"/>
    <w:rsid w:val="0098355B"/>
    <w:rsid w:val="00983733"/>
    <w:rsid w:val="00983739"/>
    <w:rsid w:val="0098377A"/>
    <w:rsid w:val="009839EE"/>
    <w:rsid w:val="00983AAA"/>
    <w:rsid w:val="00983ABA"/>
    <w:rsid w:val="0098400E"/>
    <w:rsid w:val="0098411F"/>
    <w:rsid w:val="009841A5"/>
    <w:rsid w:val="009841AD"/>
    <w:rsid w:val="009844AF"/>
    <w:rsid w:val="009844E9"/>
    <w:rsid w:val="00984713"/>
    <w:rsid w:val="00984827"/>
    <w:rsid w:val="0098495D"/>
    <w:rsid w:val="0098498F"/>
    <w:rsid w:val="009849D8"/>
    <w:rsid w:val="00984A2A"/>
    <w:rsid w:val="00984A57"/>
    <w:rsid w:val="00984B88"/>
    <w:rsid w:val="00984BC5"/>
    <w:rsid w:val="00984C56"/>
    <w:rsid w:val="00984E01"/>
    <w:rsid w:val="009850BE"/>
    <w:rsid w:val="0098515E"/>
    <w:rsid w:val="00985352"/>
    <w:rsid w:val="00985475"/>
    <w:rsid w:val="00985699"/>
    <w:rsid w:val="009856D5"/>
    <w:rsid w:val="009856F4"/>
    <w:rsid w:val="00985833"/>
    <w:rsid w:val="00985881"/>
    <w:rsid w:val="009859CD"/>
    <w:rsid w:val="00985AB1"/>
    <w:rsid w:val="00985CA4"/>
    <w:rsid w:val="00985EBF"/>
    <w:rsid w:val="00985ED6"/>
    <w:rsid w:val="009865B3"/>
    <w:rsid w:val="009865E8"/>
    <w:rsid w:val="009869C8"/>
    <w:rsid w:val="00986A9D"/>
    <w:rsid w:val="00986AC7"/>
    <w:rsid w:val="00986D84"/>
    <w:rsid w:val="00986DC3"/>
    <w:rsid w:val="00986E43"/>
    <w:rsid w:val="00986FA0"/>
    <w:rsid w:val="00986FEF"/>
    <w:rsid w:val="0098702C"/>
    <w:rsid w:val="00987116"/>
    <w:rsid w:val="00987622"/>
    <w:rsid w:val="0098765F"/>
    <w:rsid w:val="009878FC"/>
    <w:rsid w:val="009879BD"/>
    <w:rsid w:val="00987ACF"/>
    <w:rsid w:val="00987B14"/>
    <w:rsid w:val="00987B25"/>
    <w:rsid w:val="00987B49"/>
    <w:rsid w:val="00987C72"/>
    <w:rsid w:val="00987D48"/>
    <w:rsid w:val="00990247"/>
    <w:rsid w:val="00990535"/>
    <w:rsid w:val="0099090D"/>
    <w:rsid w:val="00990981"/>
    <w:rsid w:val="00990D97"/>
    <w:rsid w:val="00990DAC"/>
    <w:rsid w:val="00990F7A"/>
    <w:rsid w:val="0099105A"/>
    <w:rsid w:val="00991219"/>
    <w:rsid w:val="0099137C"/>
    <w:rsid w:val="0099153F"/>
    <w:rsid w:val="009917ED"/>
    <w:rsid w:val="009917F6"/>
    <w:rsid w:val="00991853"/>
    <w:rsid w:val="0099197E"/>
    <w:rsid w:val="009919CB"/>
    <w:rsid w:val="00991C84"/>
    <w:rsid w:val="00991E1B"/>
    <w:rsid w:val="00991E26"/>
    <w:rsid w:val="00991F6F"/>
    <w:rsid w:val="00992058"/>
    <w:rsid w:val="0099217A"/>
    <w:rsid w:val="009923B0"/>
    <w:rsid w:val="009923EA"/>
    <w:rsid w:val="00992417"/>
    <w:rsid w:val="00992443"/>
    <w:rsid w:val="0099297A"/>
    <w:rsid w:val="00992CD7"/>
    <w:rsid w:val="00992D1D"/>
    <w:rsid w:val="00992D8E"/>
    <w:rsid w:val="00992EC2"/>
    <w:rsid w:val="00993055"/>
    <w:rsid w:val="00993299"/>
    <w:rsid w:val="009932DE"/>
    <w:rsid w:val="009934DB"/>
    <w:rsid w:val="00993AF7"/>
    <w:rsid w:val="00993C5D"/>
    <w:rsid w:val="00994173"/>
    <w:rsid w:val="009943BA"/>
    <w:rsid w:val="009945F8"/>
    <w:rsid w:val="0099462A"/>
    <w:rsid w:val="009946F5"/>
    <w:rsid w:val="009947C7"/>
    <w:rsid w:val="00994832"/>
    <w:rsid w:val="00994B59"/>
    <w:rsid w:val="00994CDE"/>
    <w:rsid w:val="00994F30"/>
    <w:rsid w:val="0099501F"/>
    <w:rsid w:val="009954AA"/>
    <w:rsid w:val="00995607"/>
    <w:rsid w:val="00995668"/>
    <w:rsid w:val="00995A2B"/>
    <w:rsid w:val="00995CC7"/>
    <w:rsid w:val="00995EBC"/>
    <w:rsid w:val="009961C2"/>
    <w:rsid w:val="00996236"/>
    <w:rsid w:val="00996348"/>
    <w:rsid w:val="009966E3"/>
    <w:rsid w:val="00996753"/>
    <w:rsid w:val="00996952"/>
    <w:rsid w:val="00996A92"/>
    <w:rsid w:val="00996C2F"/>
    <w:rsid w:val="00996D6D"/>
    <w:rsid w:val="00996E6E"/>
    <w:rsid w:val="00996F2F"/>
    <w:rsid w:val="00996F67"/>
    <w:rsid w:val="009971C7"/>
    <w:rsid w:val="00997473"/>
    <w:rsid w:val="0099750E"/>
    <w:rsid w:val="00997534"/>
    <w:rsid w:val="00997578"/>
    <w:rsid w:val="009976F3"/>
    <w:rsid w:val="00997724"/>
    <w:rsid w:val="009977C6"/>
    <w:rsid w:val="0099789C"/>
    <w:rsid w:val="0099799F"/>
    <w:rsid w:val="00997CBF"/>
    <w:rsid w:val="00997E96"/>
    <w:rsid w:val="00997F45"/>
    <w:rsid w:val="00997FDB"/>
    <w:rsid w:val="009A005F"/>
    <w:rsid w:val="009A014E"/>
    <w:rsid w:val="009A0435"/>
    <w:rsid w:val="009A0497"/>
    <w:rsid w:val="009A0833"/>
    <w:rsid w:val="009A08A8"/>
    <w:rsid w:val="009A0CAE"/>
    <w:rsid w:val="009A0CE7"/>
    <w:rsid w:val="009A0CF0"/>
    <w:rsid w:val="009A0DA9"/>
    <w:rsid w:val="009A0E18"/>
    <w:rsid w:val="009A0F34"/>
    <w:rsid w:val="009A101A"/>
    <w:rsid w:val="009A1037"/>
    <w:rsid w:val="009A12EB"/>
    <w:rsid w:val="009A13B7"/>
    <w:rsid w:val="009A143C"/>
    <w:rsid w:val="009A1455"/>
    <w:rsid w:val="009A1488"/>
    <w:rsid w:val="009A1579"/>
    <w:rsid w:val="009A17DD"/>
    <w:rsid w:val="009A184B"/>
    <w:rsid w:val="009A192C"/>
    <w:rsid w:val="009A1A26"/>
    <w:rsid w:val="009A1CD4"/>
    <w:rsid w:val="009A1DDB"/>
    <w:rsid w:val="009A1E13"/>
    <w:rsid w:val="009A1E2A"/>
    <w:rsid w:val="009A1EDB"/>
    <w:rsid w:val="009A1F28"/>
    <w:rsid w:val="009A20BD"/>
    <w:rsid w:val="009A2183"/>
    <w:rsid w:val="009A23D6"/>
    <w:rsid w:val="009A24C3"/>
    <w:rsid w:val="009A2636"/>
    <w:rsid w:val="009A2645"/>
    <w:rsid w:val="009A2771"/>
    <w:rsid w:val="009A28A7"/>
    <w:rsid w:val="009A2B28"/>
    <w:rsid w:val="009A2F2B"/>
    <w:rsid w:val="009A334A"/>
    <w:rsid w:val="009A362C"/>
    <w:rsid w:val="009A388F"/>
    <w:rsid w:val="009A398F"/>
    <w:rsid w:val="009A3AC8"/>
    <w:rsid w:val="009A3ED7"/>
    <w:rsid w:val="009A4172"/>
    <w:rsid w:val="009A4303"/>
    <w:rsid w:val="009A45AF"/>
    <w:rsid w:val="009A46B4"/>
    <w:rsid w:val="009A47B5"/>
    <w:rsid w:val="009A482A"/>
    <w:rsid w:val="009A48BB"/>
    <w:rsid w:val="009A4A32"/>
    <w:rsid w:val="009A4FBA"/>
    <w:rsid w:val="009A4FFB"/>
    <w:rsid w:val="009A5292"/>
    <w:rsid w:val="009A530B"/>
    <w:rsid w:val="009A53C1"/>
    <w:rsid w:val="009A55ED"/>
    <w:rsid w:val="009A562A"/>
    <w:rsid w:val="009A59C9"/>
    <w:rsid w:val="009A5BB4"/>
    <w:rsid w:val="009A5D4D"/>
    <w:rsid w:val="009A5E12"/>
    <w:rsid w:val="009A5E32"/>
    <w:rsid w:val="009A5EB4"/>
    <w:rsid w:val="009A604C"/>
    <w:rsid w:val="009A612E"/>
    <w:rsid w:val="009A627A"/>
    <w:rsid w:val="009A6338"/>
    <w:rsid w:val="009A642B"/>
    <w:rsid w:val="009A643C"/>
    <w:rsid w:val="009A64EC"/>
    <w:rsid w:val="009A67C5"/>
    <w:rsid w:val="009A686C"/>
    <w:rsid w:val="009A6945"/>
    <w:rsid w:val="009A6A92"/>
    <w:rsid w:val="009A6B4A"/>
    <w:rsid w:val="009A6B9A"/>
    <w:rsid w:val="009A6DB6"/>
    <w:rsid w:val="009A6E02"/>
    <w:rsid w:val="009A70C1"/>
    <w:rsid w:val="009A731B"/>
    <w:rsid w:val="009A770B"/>
    <w:rsid w:val="009A7765"/>
    <w:rsid w:val="009A7820"/>
    <w:rsid w:val="009A7904"/>
    <w:rsid w:val="009A790B"/>
    <w:rsid w:val="009A7ABA"/>
    <w:rsid w:val="009A7B23"/>
    <w:rsid w:val="009A7B93"/>
    <w:rsid w:val="009A7BBB"/>
    <w:rsid w:val="009A7CA1"/>
    <w:rsid w:val="009A7E2C"/>
    <w:rsid w:val="009B003F"/>
    <w:rsid w:val="009B00D4"/>
    <w:rsid w:val="009B0138"/>
    <w:rsid w:val="009B023A"/>
    <w:rsid w:val="009B0272"/>
    <w:rsid w:val="009B03E3"/>
    <w:rsid w:val="009B045A"/>
    <w:rsid w:val="009B0667"/>
    <w:rsid w:val="009B0696"/>
    <w:rsid w:val="009B0883"/>
    <w:rsid w:val="009B09F7"/>
    <w:rsid w:val="009B0A92"/>
    <w:rsid w:val="009B0C30"/>
    <w:rsid w:val="009B0C8E"/>
    <w:rsid w:val="009B0D69"/>
    <w:rsid w:val="009B0D94"/>
    <w:rsid w:val="009B1244"/>
    <w:rsid w:val="009B133F"/>
    <w:rsid w:val="009B13EB"/>
    <w:rsid w:val="009B1462"/>
    <w:rsid w:val="009B19BF"/>
    <w:rsid w:val="009B19EB"/>
    <w:rsid w:val="009B1B9D"/>
    <w:rsid w:val="009B1CB4"/>
    <w:rsid w:val="009B1D3D"/>
    <w:rsid w:val="009B1D7C"/>
    <w:rsid w:val="009B20AE"/>
    <w:rsid w:val="009B215D"/>
    <w:rsid w:val="009B2745"/>
    <w:rsid w:val="009B2843"/>
    <w:rsid w:val="009B2B7A"/>
    <w:rsid w:val="009B2CD6"/>
    <w:rsid w:val="009B2DCA"/>
    <w:rsid w:val="009B30A1"/>
    <w:rsid w:val="009B326E"/>
    <w:rsid w:val="009B32D5"/>
    <w:rsid w:val="009B354C"/>
    <w:rsid w:val="009B38BB"/>
    <w:rsid w:val="009B38F1"/>
    <w:rsid w:val="009B3A5F"/>
    <w:rsid w:val="009B3E58"/>
    <w:rsid w:val="009B3F82"/>
    <w:rsid w:val="009B4034"/>
    <w:rsid w:val="009B432C"/>
    <w:rsid w:val="009B4397"/>
    <w:rsid w:val="009B4402"/>
    <w:rsid w:val="009B44E6"/>
    <w:rsid w:val="009B4561"/>
    <w:rsid w:val="009B48A1"/>
    <w:rsid w:val="009B4B77"/>
    <w:rsid w:val="009B4EF2"/>
    <w:rsid w:val="009B513B"/>
    <w:rsid w:val="009B5663"/>
    <w:rsid w:val="009B5A9A"/>
    <w:rsid w:val="009B5F7C"/>
    <w:rsid w:val="009B6564"/>
    <w:rsid w:val="009B65F3"/>
    <w:rsid w:val="009B67CA"/>
    <w:rsid w:val="009B68D1"/>
    <w:rsid w:val="009B6D5B"/>
    <w:rsid w:val="009B6DF5"/>
    <w:rsid w:val="009B6EEA"/>
    <w:rsid w:val="009B705D"/>
    <w:rsid w:val="009B7082"/>
    <w:rsid w:val="009B72BF"/>
    <w:rsid w:val="009B7499"/>
    <w:rsid w:val="009B767A"/>
    <w:rsid w:val="009B76DD"/>
    <w:rsid w:val="009B78E0"/>
    <w:rsid w:val="009B7902"/>
    <w:rsid w:val="009B7A49"/>
    <w:rsid w:val="009B7A89"/>
    <w:rsid w:val="009B7BF1"/>
    <w:rsid w:val="009C0120"/>
    <w:rsid w:val="009C01D5"/>
    <w:rsid w:val="009C02F9"/>
    <w:rsid w:val="009C054F"/>
    <w:rsid w:val="009C0571"/>
    <w:rsid w:val="009C08E3"/>
    <w:rsid w:val="009C0C69"/>
    <w:rsid w:val="009C0F39"/>
    <w:rsid w:val="009C10D2"/>
    <w:rsid w:val="009C1167"/>
    <w:rsid w:val="009C1170"/>
    <w:rsid w:val="009C134D"/>
    <w:rsid w:val="009C13C9"/>
    <w:rsid w:val="009C1B8A"/>
    <w:rsid w:val="009C1C15"/>
    <w:rsid w:val="009C1D51"/>
    <w:rsid w:val="009C1EE0"/>
    <w:rsid w:val="009C1F81"/>
    <w:rsid w:val="009C208B"/>
    <w:rsid w:val="009C22DC"/>
    <w:rsid w:val="009C2302"/>
    <w:rsid w:val="009C254C"/>
    <w:rsid w:val="009C2C7B"/>
    <w:rsid w:val="009C2E0B"/>
    <w:rsid w:val="009C2EFA"/>
    <w:rsid w:val="009C3035"/>
    <w:rsid w:val="009C340C"/>
    <w:rsid w:val="009C35C2"/>
    <w:rsid w:val="009C3A15"/>
    <w:rsid w:val="009C3C89"/>
    <w:rsid w:val="009C3CC5"/>
    <w:rsid w:val="009C3D6D"/>
    <w:rsid w:val="009C3D90"/>
    <w:rsid w:val="009C4121"/>
    <w:rsid w:val="009C4613"/>
    <w:rsid w:val="009C4836"/>
    <w:rsid w:val="009C485C"/>
    <w:rsid w:val="009C4989"/>
    <w:rsid w:val="009C4B0E"/>
    <w:rsid w:val="009C4CE4"/>
    <w:rsid w:val="009C4D4F"/>
    <w:rsid w:val="009C4E06"/>
    <w:rsid w:val="009C4E73"/>
    <w:rsid w:val="009C505C"/>
    <w:rsid w:val="009C5161"/>
    <w:rsid w:val="009C54BA"/>
    <w:rsid w:val="009C5569"/>
    <w:rsid w:val="009C55B3"/>
    <w:rsid w:val="009C58E1"/>
    <w:rsid w:val="009C59DC"/>
    <w:rsid w:val="009C5ABA"/>
    <w:rsid w:val="009C5C2B"/>
    <w:rsid w:val="009C5DAC"/>
    <w:rsid w:val="009C5DFA"/>
    <w:rsid w:val="009C6127"/>
    <w:rsid w:val="009C6351"/>
    <w:rsid w:val="009C66CB"/>
    <w:rsid w:val="009C6B68"/>
    <w:rsid w:val="009C6CEB"/>
    <w:rsid w:val="009C6DA9"/>
    <w:rsid w:val="009C6DEA"/>
    <w:rsid w:val="009C6EE2"/>
    <w:rsid w:val="009C6FF1"/>
    <w:rsid w:val="009C7040"/>
    <w:rsid w:val="009C70C7"/>
    <w:rsid w:val="009C7394"/>
    <w:rsid w:val="009C745D"/>
    <w:rsid w:val="009C74AA"/>
    <w:rsid w:val="009C75DD"/>
    <w:rsid w:val="009C77E3"/>
    <w:rsid w:val="009C77F9"/>
    <w:rsid w:val="009C7809"/>
    <w:rsid w:val="009C7859"/>
    <w:rsid w:val="009C7880"/>
    <w:rsid w:val="009C78FF"/>
    <w:rsid w:val="009C79FA"/>
    <w:rsid w:val="009C7A54"/>
    <w:rsid w:val="009C7A6E"/>
    <w:rsid w:val="009C7D14"/>
    <w:rsid w:val="009C7D97"/>
    <w:rsid w:val="009D0094"/>
    <w:rsid w:val="009D0274"/>
    <w:rsid w:val="009D0301"/>
    <w:rsid w:val="009D03AD"/>
    <w:rsid w:val="009D0410"/>
    <w:rsid w:val="009D052B"/>
    <w:rsid w:val="009D0571"/>
    <w:rsid w:val="009D0635"/>
    <w:rsid w:val="009D06BA"/>
    <w:rsid w:val="009D06C6"/>
    <w:rsid w:val="009D0768"/>
    <w:rsid w:val="009D07B5"/>
    <w:rsid w:val="009D08C8"/>
    <w:rsid w:val="009D09D5"/>
    <w:rsid w:val="009D0D5F"/>
    <w:rsid w:val="009D1170"/>
    <w:rsid w:val="009D13E7"/>
    <w:rsid w:val="009D1ADA"/>
    <w:rsid w:val="009D1C0B"/>
    <w:rsid w:val="009D1C80"/>
    <w:rsid w:val="009D1CAE"/>
    <w:rsid w:val="009D1D0E"/>
    <w:rsid w:val="009D1D11"/>
    <w:rsid w:val="009D1D50"/>
    <w:rsid w:val="009D1E93"/>
    <w:rsid w:val="009D2281"/>
    <w:rsid w:val="009D2413"/>
    <w:rsid w:val="009D2679"/>
    <w:rsid w:val="009D2785"/>
    <w:rsid w:val="009D280B"/>
    <w:rsid w:val="009D2AA5"/>
    <w:rsid w:val="009D2BD5"/>
    <w:rsid w:val="009D2CD7"/>
    <w:rsid w:val="009D2D07"/>
    <w:rsid w:val="009D2DF9"/>
    <w:rsid w:val="009D2EC1"/>
    <w:rsid w:val="009D2F05"/>
    <w:rsid w:val="009D309A"/>
    <w:rsid w:val="009D3239"/>
    <w:rsid w:val="009D328D"/>
    <w:rsid w:val="009D32AB"/>
    <w:rsid w:val="009D3367"/>
    <w:rsid w:val="009D3727"/>
    <w:rsid w:val="009D38C1"/>
    <w:rsid w:val="009D3A3A"/>
    <w:rsid w:val="009D3CB1"/>
    <w:rsid w:val="009D4080"/>
    <w:rsid w:val="009D4096"/>
    <w:rsid w:val="009D4121"/>
    <w:rsid w:val="009D417C"/>
    <w:rsid w:val="009D41FF"/>
    <w:rsid w:val="009D44D5"/>
    <w:rsid w:val="009D4663"/>
    <w:rsid w:val="009D4788"/>
    <w:rsid w:val="009D47C7"/>
    <w:rsid w:val="009D495B"/>
    <w:rsid w:val="009D4CA5"/>
    <w:rsid w:val="009D4E38"/>
    <w:rsid w:val="009D4E79"/>
    <w:rsid w:val="009D4F65"/>
    <w:rsid w:val="009D4FDD"/>
    <w:rsid w:val="009D5219"/>
    <w:rsid w:val="009D527D"/>
    <w:rsid w:val="009D53AD"/>
    <w:rsid w:val="009D55AF"/>
    <w:rsid w:val="009D5821"/>
    <w:rsid w:val="009D5B87"/>
    <w:rsid w:val="009D5CFB"/>
    <w:rsid w:val="009D5D8C"/>
    <w:rsid w:val="009D5F99"/>
    <w:rsid w:val="009D6097"/>
    <w:rsid w:val="009D621E"/>
    <w:rsid w:val="009D6232"/>
    <w:rsid w:val="009D66F4"/>
    <w:rsid w:val="009D670B"/>
    <w:rsid w:val="009D6849"/>
    <w:rsid w:val="009D689D"/>
    <w:rsid w:val="009D6ABF"/>
    <w:rsid w:val="009D6CE0"/>
    <w:rsid w:val="009D6D24"/>
    <w:rsid w:val="009D6D58"/>
    <w:rsid w:val="009D6DC0"/>
    <w:rsid w:val="009D7238"/>
    <w:rsid w:val="009D724D"/>
    <w:rsid w:val="009D73D9"/>
    <w:rsid w:val="009D744E"/>
    <w:rsid w:val="009D7476"/>
    <w:rsid w:val="009D7599"/>
    <w:rsid w:val="009D75BA"/>
    <w:rsid w:val="009D7674"/>
    <w:rsid w:val="009D7814"/>
    <w:rsid w:val="009D7A38"/>
    <w:rsid w:val="009D7B2C"/>
    <w:rsid w:val="009D7FEC"/>
    <w:rsid w:val="009E002A"/>
    <w:rsid w:val="009E0158"/>
    <w:rsid w:val="009E0256"/>
    <w:rsid w:val="009E03A7"/>
    <w:rsid w:val="009E0557"/>
    <w:rsid w:val="009E07CE"/>
    <w:rsid w:val="009E0ABB"/>
    <w:rsid w:val="009E0B34"/>
    <w:rsid w:val="009E0D61"/>
    <w:rsid w:val="009E0F4D"/>
    <w:rsid w:val="009E0F91"/>
    <w:rsid w:val="009E12B8"/>
    <w:rsid w:val="009E17D5"/>
    <w:rsid w:val="009E19A7"/>
    <w:rsid w:val="009E1BFC"/>
    <w:rsid w:val="009E1C90"/>
    <w:rsid w:val="009E1D78"/>
    <w:rsid w:val="009E1EBE"/>
    <w:rsid w:val="009E2091"/>
    <w:rsid w:val="009E2253"/>
    <w:rsid w:val="009E230A"/>
    <w:rsid w:val="009E23F1"/>
    <w:rsid w:val="009E2860"/>
    <w:rsid w:val="009E296B"/>
    <w:rsid w:val="009E2993"/>
    <w:rsid w:val="009E2A6F"/>
    <w:rsid w:val="009E2DB5"/>
    <w:rsid w:val="009E316F"/>
    <w:rsid w:val="009E342B"/>
    <w:rsid w:val="009E372C"/>
    <w:rsid w:val="009E37D5"/>
    <w:rsid w:val="009E37F5"/>
    <w:rsid w:val="009E387A"/>
    <w:rsid w:val="009E3970"/>
    <w:rsid w:val="009E3980"/>
    <w:rsid w:val="009E3986"/>
    <w:rsid w:val="009E3A48"/>
    <w:rsid w:val="009E3B33"/>
    <w:rsid w:val="009E3D4A"/>
    <w:rsid w:val="009E3DBF"/>
    <w:rsid w:val="009E3E3F"/>
    <w:rsid w:val="009E3F9B"/>
    <w:rsid w:val="009E3FD2"/>
    <w:rsid w:val="009E40DC"/>
    <w:rsid w:val="009E43D3"/>
    <w:rsid w:val="009E442C"/>
    <w:rsid w:val="009E46B2"/>
    <w:rsid w:val="009E499E"/>
    <w:rsid w:val="009E4CF7"/>
    <w:rsid w:val="009E4F70"/>
    <w:rsid w:val="009E532D"/>
    <w:rsid w:val="009E5355"/>
    <w:rsid w:val="009E5522"/>
    <w:rsid w:val="009E5875"/>
    <w:rsid w:val="009E5A94"/>
    <w:rsid w:val="009E5B3B"/>
    <w:rsid w:val="009E5BD0"/>
    <w:rsid w:val="009E60CD"/>
    <w:rsid w:val="009E6147"/>
    <w:rsid w:val="009E61C8"/>
    <w:rsid w:val="009E61D7"/>
    <w:rsid w:val="009E6497"/>
    <w:rsid w:val="009E64BD"/>
    <w:rsid w:val="009E6882"/>
    <w:rsid w:val="009E68D3"/>
    <w:rsid w:val="009E6949"/>
    <w:rsid w:val="009E6972"/>
    <w:rsid w:val="009E6B6D"/>
    <w:rsid w:val="009E6B86"/>
    <w:rsid w:val="009E6CC2"/>
    <w:rsid w:val="009E6CE6"/>
    <w:rsid w:val="009E6DDA"/>
    <w:rsid w:val="009E6F05"/>
    <w:rsid w:val="009E727E"/>
    <w:rsid w:val="009E72DE"/>
    <w:rsid w:val="009E732F"/>
    <w:rsid w:val="009E73A0"/>
    <w:rsid w:val="009E7677"/>
    <w:rsid w:val="009E7875"/>
    <w:rsid w:val="009E7981"/>
    <w:rsid w:val="009E7CFF"/>
    <w:rsid w:val="009E7E4F"/>
    <w:rsid w:val="009E7FA8"/>
    <w:rsid w:val="009F0004"/>
    <w:rsid w:val="009F007F"/>
    <w:rsid w:val="009F00C0"/>
    <w:rsid w:val="009F0163"/>
    <w:rsid w:val="009F03A2"/>
    <w:rsid w:val="009F066F"/>
    <w:rsid w:val="009F06D7"/>
    <w:rsid w:val="009F0733"/>
    <w:rsid w:val="009F07A3"/>
    <w:rsid w:val="009F0BB2"/>
    <w:rsid w:val="009F0CBD"/>
    <w:rsid w:val="009F0D8A"/>
    <w:rsid w:val="009F0F6D"/>
    <w:rsid w:val="009F0F96"/>
    <w:rsid w:val="009F12A2"/>
    <w:rsid w:val="009F13BE"/>
    <w:rsid w:val="009F1416"/>
    <w:rsid w:val="009F1575"/>
    <w:rsid w:val="009F1791"/>
    <w:rsid w:val="009F17E0"/>
    <w:rsid w:val="009F19DE"/>
    <w:rsid w:val="009F1B1B"/>
    <w:rsid w:val="009F1B74"/>
    <w:rsid w:val="009F1BB0"/>
    <w:rsid w:val="009F227F"/>
    <w:rsid w:val="009F22B5"/>
    <w:rsid w:val="009F2702"/>
    <w:rsid w:val="009F272A"/>
    <w:rsid w:val="009F2AC4"/>
    <w:rsid w:val="009F2BB1"/>
    <w:rsid w:val="009F2F36"/>
    <w:rsid w:val="009F32A3"/>
    <w:rsid w:val="009F3392"/>
    <w:rsid w:val="009F3793"/>
    <w:rsid w:val="009F37B4"/>
    <w:rsid w:val="009F3941"/>
    <w:rsid w:val="009F3949"/>
    <w:rsid w:val="009F3A35"/>
    <w:rsid w:val="009F3A68"/>
    <w:rsid w:val="009F3A6A"/>
    <w:rsid w:val="009F3DFA"/>
    <w:rsid w:val="009F3F3E"/>
    <w:rsid w:val="009F42CC"/>
    <w:rsid w:val="009F4311"/>
    <w:rsid w:val="009F4339"/>
    <w:rsid w:val="009F4555"/>
    <w:rsid w:val="009F464E"/>
    <w:rsid w:val="009F485C"/>
    <w:rsid w:val="009F493C"/>
    <w:rsid w:val="009F4AC6"/>
    <w:rsid w:val="009F4AD4"/>
    <w:rsid w:val="009F4C86"/>
    <w:rsid w:val="009F4D9E"/>
    <w:rsid w:val="009F4EF7"/>
    <w:rsid w:val="009F4FA6"/>
    <w:rsid w:val="009F500B"/>
    <w:rsid w:val="009F50D2"/>
    <w:rsid w:val="009F51C0"/>
    <w:rsid w:val="009F51FA"/>
    <w:rsid w:val="009F5334"/>
    <w:rsid w:val="009F5363"/>
    <w:rsid w:val="009F53D6"/>
    <w:rsid w:val="009F53DE"/>
    <w:rsid w:val="009F5601"/>
    <w:rsid w:val="009F56EC"/>
    <w:rsid w:val="009F575C"/>
    <w:rsid w:val="009F5B80"/>
    <w:rsid w:val="009F5CD9"/>
    <w:rsid w:val="009F5E12"/>
    <w:rsid w:val="009F5E58"/>
    <w:rsid w:val="009F610A"/>
    <w:rsid w:val="009F62BE"/>
    <w:rsid w:val="009F659F"/>
    <w:rsid w:val="009F65C5"/>
    <w:rsid w:val="009F6646"/>
    <w:rsid w:val="009F66A2"/>
    <w:rsid w:val="009F6C7A"/>
    <w:rsid w:val="009F7012"/>
    <w:rsid w:val="009F706A"/>
    <w:rsid w:val="009F72A4"/>
    <w:rsid w:val="009F75CE"/>
    <w:rsid w:val="009F77C2"/>
    <w:rsid w:val="009F78F6"/>
    <w:rsid w:val="009F7BD7"/>
    <w:rsid w:val="009F7CCA"/>
    <w:rsid w:val="009F7E3E"/>
    <w:rsid w:val="009F7EC8"/>
    <w:rsid w:val="009F7EDD"/>
    <w:rsid w:val="009F7F92"/>
    <w:rsid w:val="00A0010D"/>
    <w:rsid w:val="00A00353"/>
    <w:rsid w:val="00A00389"/>
    <w:rsid w:val="00A0052E"/>
    <w:rsid w:val="00A0064F"/>
    <w:rsid w:val="00A00792"/>
    <w:rsid w:val="00A007B5"/>
    <w:rsid w:val="00A00824"/>
    <w:rsid w:val="00A00AA4"/>
    <w:rsid w:val="00A00AD6"/>
    <w:rsid w:val="00A00CDA"/>
    <w:rsid w:val="00A00DAE"/>
    <w:rsid w:val="00A00F48"/>
    <w:rsid w:val="00A010F8"/>
    <w:rsid w:val="00A012CC"/>
    <w:rsid w:val="00A01334"/>
    <w:rsid w:val="00A01662"/>
    <w:rsid w:val="00A01CA1"/>
    <w:rsid w:val="00A01D5E"/>
    <w:rsid w:val="00A02099"/>
    <w:rsid w:val="00A0235E"/>
    <w:rsid w:val="00A02463"/>
    <w:rsid w:val="00A02689"/>
    <w:rsid w:val="00A02E09"/>
    <w:rsid w:val="00A02E11"/>
    <w:rsid w:val="00A02F9E"/>
    <w:rsid w:val="00A0310B"/>
    <w:rsid w:val="00A031BB"/>
    <w:rsid w:val="00A03693"/>
    <w:rsid w:val="00A037C9"/>
    <w:rsid w:val="00A03980"/>
    <w:rsid w:val="00A039F6"/>
    <w:rsid w:val="00A03A10"/>
    <w:rsid w:val="00A03A94"/>
    <w:rsid w:val="00A03AB0"/>
    <w:rsid w:val="00A03B68"/>
    <w:rsid w:val="00A03C8E"/>
    <w:rsid w:val="00A03DB0"/>
    <w:rsid w:val="00A03E76"/>
    <w:rsid w:val="00A03EBF"/>
    <w:rsid w:val="00A03F95"/>
    <w:rsid w:val="00A03F99"/>
    <w:rsid w:val="00A0446D"/>
    <w:rsid w:val="00A04556"/>
    <w:rsid w:val="00A047F0"/>
    <w:rsid w:val="00A04B0A"/>
    <w:rsid w:val="00A04C5A"/>
    <w:rsid w:val="00A04C7F"/>
    <w:rsid w:val="00A04F8D"/>
    <w:rsid w:val="00A04FAA"/>
    <w:rsid w:val="00A04FCE"/>
    <w:rsid w:val="00A05030"/>
    <w:rsid w:val="00A05096"/>
    <w:rsid w:val="00A051FD"/>
    <w:rsid w:val="00A053D9"/>
    <w:rsid w:val="00A056AB"/>
    <w:rsid w:val="00A0579D"/>
    <w:rsid w:val="00A058A4"/>
    <w:rsid w:val="00A05915"/>
    <w:rsid w:val="00A059E1"/>
    <w:rsid w:val="00A059F1"/>
    <w:rsid w:val="00A05CA8"/>
    <w:rsid w:val="00A05F67"/>
    <w:rsid w:val="00A05F82"/>
    <w:rsid w:val="00A06038"/>
    <w:rsid w:val="00A061EC"/>
    <w:rsid w:val="00A062D6"/>
    <w:rsid w:val="00A0639E"/>
    <w:rsid w:val="00A06438"/>
    <w:rsid w:val="00A06443"/>
    <w:rsid w:val="00A0684F"/>
    <w:rsid w:val="00A06894"/>
    <w:rsid w:val="00A068A9"/>
    <w:rsid w:val="00A068AE"/>
    <w:rsid w:val="00A068C5"/>
    <w:rsid w:val="00A0692B"/>
    <w:rsid w:val="00A06976"/>
    <w:rsid w:val="00A069D9"/>
    <w:rsid w:val="00A06AA1"/>
    <w:rsid w:val="00A06CCF"/>
    <w:rsid w:val="00A06D2B"/>
    <w:rsid w:val="00A07223"/>
    <w:rsid w:val="00A07379"/>
    <w:rsid w:val="00A07433"/>
    <w:rsid w:val="00A07465"/>
    <w:rsid w:val="00A0774D"/>
    <w:rsid w:val="00A079C7"/>
    <w:rsid w:val="00A07B4D"/>
    <w:rsid w:val="00A101DD"/>
    <w:rsid w:val="00A103CF"/>
    <w:rsid w:val="00A107D9"/>
    <w:rsid w:val="00A10A8A"/>
    <w:rsid w:val="00A10C59"/>
    <w:rsid w:val="00A10C81"/>
    <w:rsid w:val="00A10D33"/>
    <w:rsid w:val="00A10F39"/>
    <w:rsid w:val="00A11099"/>
    <w:rsid w:val="00A11335"/>
    <w:rsid w:val="00A1157C"/>
    <w:rsid w:val="00A1161E"/>
    <w:rsid w:val="00A11661"/>
    <w:rsid w:val="00A116B6"/>
    <w:rsid w:val="00A1185E"/>
    <w:rsid w:val="00A11AC8"/>
    <w:rsid w:val="00A11B25"/>
    <w:rsid w:val="00A11C8B"/>
    <w:rsid w:val="00A11F69"/>
    <w:rsid w:val="00A1220E"/>
    <w:rsid w:val="00A12495"/>
    <w:rsid w:val="00A125D9"/>
    <w:rsid w:val="00A12605"/>
    <w:rsid w:val="00A12654"/>
    <w:rsid w:val="00A127CB"/>
    <w:rsid w:val="00A12BDB"/>
    <w:rsid w:val="00A12CA9"/>
    <w:rsid w:val="00A12CB3"/>
    <w:rsid w:val="00A12E55"/>
    <w:rsid w:val="00A12F6F"/>
    <w:rsid w:val="00A12F8D"/>
    <w:rsid w:val="00A131FA"/>
    <w:rsid w:val="00A1326E"/>
    <w:rsid w:val="00A13302"/>
    <w:rsid w:val="00A13305"/>
    <w:rsid w:val="00A1352C"/>
    <w:rsid w:val="00A13558"/>
    <w:rsid w:val="00A13745"/>
    <w:rsid w:val="00A13D30"/>
    <w:rsid w:val="00A13D94"/>
    <w:rsid w:val="00A13E19"/>
    <w:rsid w:val="00A13E85"/>
    <w:rsid w:val="00A13F4C"/>
    <w:rsid w:val="00A13FFA"/>
    <w:rsid w:val="00A14063"/>
    <w:rsid w:val="00A14443"/>
    <w:rsid w:val="00A144EE"/>
    <w:rsid w:val="00A14521"/>
    <w:rsid w:val="00A1452D"/>
    <w:rsid w:val="00A146D8"/>
    <w:rsid w:val="00A14700"/>
    <w:rsid w:val="00A14796"/>
    <w:rsid w:val="00A1488D"/>
    <w:rsid w:val="00A1494B"/>
    <w:rsid w:val="00A14968"/>
    <w:rsid w:val="00A14A16"/>
    <w:rsid w:val="00A14C6F"/>
    <w:rsid w:val="00A14CE7"/>
    <w:rsid w:val="00A14D52"/>
    <w:rsid w:val="00A14D95"/>
    <w:rsid w:val="00A14E55"/>
    <w:rsid w:val="00A14EEC"/>
    <w:rsid w:val="00A1506C"/>
    <w:rsid w:val="00A15101"/>
    <w:rsid w:val="00A15282"/>
    <w:rsid w:val="00A15381"/>
    <w:rsid w:val="00A153DB"/>
    <w:rsid w:val="00A154CF"/>
    <w:rsid w:val="00A15611"/>
    <w:rsid w:val="00A157A1"/>
    <w:rsid w:val="00A1595F"/>
    <w:rsid w:val="00A15CEB"/>
    <w:rsid w:val="00A15D01"/>
    <w:rsid w:val="00A15D3A"/>
    <w:rsid w:val="00A15DFB"/>
    <w:rsid w:val="00A16021"/>
    <w:rsid w:val="00A161A7"/>
    <w:rsid w:val="00A1622E"/>
    <w:rsid w:val="00A1641E"/>
    <w:rsid w:val="00A164DB"/>
    <w:rsid w:val="00A166F8"/>
    <w:rsid w:val="00A1674F"/>
    <w:rsid w:val="00A1677C"/>
    <w:rsid w:val="00A16D33"/>
    <w:rsid w:val="00A16E44"/>
    <w:rsid w:val="00A17083"/>
    <w:rsid w:val="00A17209"/>
    <w:rsid w:val="00A17295"/>
    <w:rsid w:val="00A172C4"/>
    <w:rsid w:val="00A174FF"/>
    <w:rsid w:val="00A17528"/>
    <w:rsid w:val="00A17801"/>
    <w:rsid w:val="00A179EF"/>
    <w:rsid w:val="00A17B24"/>
    <w:rsid w:val="00A17BAE"/>
    <w:rsid w:val="00A17F26"/>
    <w:rsid w:val="00A17F5B"/>
    <w:rsid w:val="00A201B9"/>
    <w:rsid w:val="00A203F1"/>
    <w:rsid w:val="00A203F6"/>
    <w:rsid w:val="00A20533"/>
    <w:rsid w:val="00A206A0"/>
    <w:rsid w:val="00A20836"/>
    <w:rsid w:val="00A208DC"/>
    <w:rsid w:val="00A208E8"/>
    <w:rsid w:val="00A20A13"/>
    <w:rsid w:val="00A20CF7"/>
    <w:rsid w:val="00A21081"/>
    <w:rsid w:val="00A21270"/>
    <w:rsid w:val="00A21309"/>
    <w:rsid w:val="00A214A3"/>
    <w:rsid w:val="00A2161B"/>
    <w:rsid w:val="00A21936"/>
    <w:rsid w:val="00A219A1"/>
    <w:rsid w:val="00A21D05"/>
    <w:rsid w:val="00A21D7B"/>
    <w:rsid w:val="00A21DD4"/>
    <w:rsid w:val="00A21F53"/>
    <w:rsid w:val="00A21FFD"/>
    <w:rsid w:val="00A223D5"/>
    <w:rsid w:val="00A223D8"/>
    <w:rsid w:val="00A2246F"/>
    <w:rsid w:val="00A225C4"/>
    <w:rsid w:val="00A2262A"/>
    <w:rsid w:val="00A2265E"/>
    <w:rsid w:val="00A22691"/>
    <w:rsid w:val="00A22817"/>
    <w:rsid w:val="00A2281E"/>
    <w:rsid w:val="00A22911"/>
    <w:rsid w:val="00A22BB7"/>
    <w:rsid w:val="00A22DE9"/>
    <w:rsid w:val="00A22E11"/>
    <w:rsid w:val="00A22EFA"/>
    <w:rsid w:val="00A22FDC"/>
    <w:rsid w:val="00A230E6"/>
    <w:rsid w:val="00A2323A"/>
    <w:rsid w:val="00A235CA"/>
    <w:rsid w:val="00A23688"/>
    <w:rsid w:val="00A23812"/>
    <w:rsid w:val="00A2385A"/>
    <w:rsid w:val="00A23870"/>
    <w:rsid w:val="00A239FB"/>
    <w:rsid w:val="00A23A5E"/>
    <w:rsid w:val="00A23AA6"/>
    <w:rsid w:val="00A23B4B"/>
    <w:rsid w:val="00A23B88"/>
    <w:rsid w:val="00A243D9"/>
    <w:rsid w:val="00A243DC"/>
    <w:rsid w:val="00A2453E"/>
    <w:rsid w:val="00A2460D"/>
    <w:rsid w:val="00A246DF"/>
    <w:rsid w:val="00A24828"/>
    <w:rsid w:val="00A24BA1"/>
    <w:rsid w:val="00A24BD0"/>
    <w:rsid w:val="00A25938"/>
    <w:rsid w:val="00A25D11"/>
    <w:rsid w:val="00A25E11"/>
    <w:rsid w:val="00A25F7A"/>
    <w:rsid w:val="00A2628C"/>
    <w:rsid w:val="00A26290"/>
    <w:rsid w:val="00A26311"/>
    <w:rsid w:val="00A263F6"/>
    <w:rsid w:val="00A265ED"/>
    <w:rsid w:val="00A266BF"/>
    <w:rsid w:val="00A267B0"/>
    <w:rsid w:val="00A26926"/>
    <w:rsid w:val="00A26B61"/>
    <w:rsid w:val="00A26C31"/>
    <w:rsid w:val="00A26C41"/>
    <w:rsid w:val="00A26F41"/>
    <w:rsid w:val="00A27027"/>
    <w:rsid w:val="00A2712C"/>
    <w:rsid w:val="00A27189"/>
    <w:rsid w:val="00A272A1"/>
    <w:rsid w:val="00A27372"/>
    <w:rsid w:val="00A273C1"/>
    <w:rsid w:val="00A27404"/>
    <w:rsid w:val="00A27553"/>
    <w:rsid w:val="00A27775"/>
    <w:rsid w:val="00A2783D"/>
    <w:rsid w:val="00A279F9"/>
    <w:rsid w:val="00A27B86"/>
    <w:rsid w:val="00A27F56"/>
    <w:rsid w:val="00A30354"/>
    <w:rsid w:val="00A30759"/>
    <w:rsid w:val="00A30B32"/>
    <w:rsid w:val="00A30CC5"/>
    <w:rsid w:val="00A30D1E"/>
    <w:rsid w:val="00A311D1"/>
    <w:rsid w:val="00A314AD"/>
    <w:rsid w:val="00A314F5"/>
    <w:rsid w:val="00A3165F"/>
    <w:rsid w:val="00A3184A"/>
    <w:rsid w:val="00A31891"/>
    <w:rsid w:val="00A319E8"/>
    <w:rsid w:val="00A31BD5"/>
    <w:rsid w:val="00A31C47"/>
    <w:rsid w:val="00A31C6C"/>
    <w:rsid w:val="00A31C74"/>
    <w:rsid w:val="00A31CFB"/>
    <w:rsid w:val="00A31E54"/>
    <w:rsid w:val="00A31E92"/>
    <w:rsid w:val="00A3244A"/>
    <w:rsid w:val="00A32843"/>
    <w:rsid w:val="00A32A21"/>
    <w:rsid w:val="00A32C6C"/>
    <w:rsid w:val="00A32CA4"/>
    <w:rsid w:val="00A32CE1"/>
    <w:rsid w:val="00A32E89"/>
    <w:rsid w:val="00A32FFD"/>
    <w:rsid w:val="00A33179"/>
    <w:rsid w:val="00A3343F"/>
    <w:rsid w:val="00A336AF"/>
    <w:rsid w:val="00A33941"/>
    <w:rsid w:val="00A339CC"/>
    <w:rsid w:val="00A339EC"/>
    <w:rsid w:val="00A33B1E"/>
    <w:rsid w:val="00A33D8F"/>
    <w:rsid w:val="00A33F15"/>
    <w:rsid w:val="00A33FBC"/>
    <w:rsid w:val="00A34357"/>
    <w:rsid w:val="00A3435B"/>
    <w:rsid w:val="00A34544"/>
    <w:rsid w:val="00A3464A"/>
    <w:rsid w:val="00A3478E"/>
    <w:rsid w:val="00A347B6"/>
    <w:rsid w:val="00A3491C"/>
    <w:rsid w:val="00A34B41"/>
    <w:rsid w:val="00A34DD1"/>
    <w:rsid w:val="00A34ECD"/>
    <w:rsid w:val="00A35061"/>
    <w:rsid w:val="00A354FD"/>
    <w:rsid w:val="00A35791"/>
    <w:rsid w:val="00A35825"/>
    <w:rsid w:val="00A35A95"/>
    <w:rsid w:val="00A35B52"/>
    <w:rsid w:val="00A35B72"/>
    <w:rsid w:val="00A35DB7"/>
    <w:rsid w:val="00A35F3F"/>
    <w:rsid w:val="00A36057"/>
    <w:rsid w:val="00A3625F"/>
    <w:rsid w:val="00A363CD"/>
    <w:rsid w:val="00A363EC"/>
    <w:rsid w:val="00A3643F"/>
    <w:rsid w:val="00A365DB"/>
    <w:rsid w:val="00A3669F"/>
    <w:rsid w:val="00A3678E"/>
    <w:rsid w:val="00A368C8"/>
    <w:rsid w:val="00A36990"/>
    <w:rsid w:val="00A36B34"/>
    <w:rsid w:val="00A36B70"/>
    <w:rsid w:val="00A36CF0"/>
    <w:rsid w:val="00A36E48"/>
    <w:rsid w:val="00A36FBC"/>
    <w:rsid w:val="00A373BD"/>
    <w:rsid w:val="00A37428"/>
    <w:rsid w:val="00A37510"/>
    <w:rsid w:val="00A37531"/>
    <w:rsid w:val="00A37645"/>
    <w:rsid w:val="00A379D7"/>
    <w:rsid w:val="00A37BB7"/>
    <w:rsid w:val="00A37DA9"/>
    <w:rsid w:val="00A37E2F"/>
    <w:rsid w:val="00A40188"/>
    <w:rsid w:val="00A40474"/>
    <w:rsid w:val="00A404BA"/>
    <w:rsid w:val="00A40631"/>
    <w:rsid w:val="00A4065A"/>
    <w:rsid w:val="00A406FE"/>
    <w:rsid w:val="00A409CF"/>
    <w:rsid w:val="00A40B8F"/>
    <w:rsid w:val="00A40CD6"/>
    <w:rsid w:val="00A40CE0"/>
    <w:rsid w:val="00A40D18"/>
    <w:rsid w:val="00A40D4E"/>
    <w:rsid w:val="00A40E36"/>
    <w:rsid w:val="00A40E43"/>
    <w:rsid w:val="00A40F23"/>
    <w:rsid w:val="00A40F24"/>
    <w:rsid w:val="00A41021"/>
    <w:rsid w:val="00A411C4"/>
    <w:rsid w:val="00A413C1"/>
    <w:rsid w:val="00A41B0B"/>
    <w:rsid w:val="00A41B2D"/>
    <w:rsid w:val="00A41BAA"/>
    <w:rsid w:val="00A41CEC"/>
    <w:rsid w:val="00A41E12"/>
    <w:rsid w:val="00A421A1"/>
    <w:rsid w:val="00A42359"/>
    <w:rsid w:val="00A423DD"/>
    <w:rsid w:val="00A427AD"/>
    <w:rsid w:val="00A427EF"/>
    <w:rsid w:val="00A4292C"/>
    <w:rsid w:val="00A42CC2"/>
    <w:rsid w:val="00A433A0"/>
    <w:rsid w:val="00A43699"/>
    <w:rsid w:val="00A436E6"/>
    <w:rsid w:val="00A43710"/>
    <w:rsid w:val="00A438EA"/>
    <w:rsid w:val="00A43C3E"/>
    <w:rsid w:val="00A43D2F"/>
    <w:rsid w:val="00A43D97"/>
    <w:rsid w:val="00A43F53"/>
    <w:rsid w:val="00A43FAA"/>
    <w:rsid w:val="00A44082"/>
    <w:rsid w:val="00A4423E"/>
    <w:rsid w:val="00A44801"/>
    <w:rsid w:val="00A44809"/>
    <w:rsid w:val="00A4481D"/>
    <w:rsid w:val="00A44A61"/>
    <w:rsid w:val="00A44AD0"/>
    <w:rsid w:val="00A44B8F"/>
    <w:rsid w:val="00A44C30"/>
    <w:rsid w:val="00A44C8D"/>
    <w:rsid w:val="00A44CDE"/>
    <w:rsid w:val="00A45022"/>
    <w:rsid w:val="00A45055"/>
    <w:rsid w:val="00A450F7"/>
    <w:rsid w:val="00A451E4"/>
    <w:rsid w:val="00A452FA"/>
    <w:rsid w:val="00A45389"/>
    <w:rsid w:val="00A458B1"/>
    <w:rsid w:val="00A459C8"/>
    <w:rsid w:val="00A459CF"/>
    <w:rsid w:val="00A45DD4"/>
    <w:rsid w:val="00A46114"/>
    <w:rsid w:val="00A4620D"/>
    <w:rsid w:val="00A46217"/>
    <w:rsid w:val="00A46376"/>
    <w:rsid w:val="00A46625"/>
    <w:rsid w:val="00A46838"/>
    <w:rsid w:val="00A4695A"/>
    <w:rsid w:val="00A46C7F"/>
    <w:rsid w:val="00A46E0F"/>
    <w:rsid w:val="00A46F98"/>
    <w:rsid w:val="00A472E8"/>
    <w:rsid w:val="00A47321"/>
    <w:rsid w:val="00A47333"/>
    <w:rsid w:val="00A4747C"/>
    <w:rsid w:val="00A4767D"/>
    <w:rsid w:val="00A4782F"/>
    <w:rsid w:val="00A478FF"/>
    <w:rsid w:val="00A4798B"/>
    <w:rsid w:val="00A47B26"/>
    <w:rsid w:val="00A47C85"/>
    <w:rsid w:val="00A47DC4"/>
    <w:rsid w:val="00A47E1F"/>
    <w:rsid w:val="00A50125"/>
    <w:rsid w:val="00A50148"/>
    <w:rsid w:val="00A5017D"/>
    <w:rsid w:val="00A50273"/>
    <w:rsid w:val="00A50DEB"/>
    <w:rsid w:val="00A51019"/>
    <w:rsid w:val="00A51038"/>
    <w:rsid w:val="00A5105C"/>
    <w:rsid w:val="00A512B2"/>
    <w:rsid w:val="00A51315"/>
    <w:rsid w:val="00A51373"/>
    <w:rsid w:val="00A51873"/>
    <w:rsid w:val="00A51BC7"/>
    <w:rsid w:val="00A51C44"/>
    <w:rsid w:val="00A51DFE"/>
    <w:rsid w:val="00A51E9C"/>
    <w:rsid w:val="00A51F3E"/>
    <w:rsid w:val="00A51F53"/>
    <w:rsid w:val="00A51FB4"/>
    <w:rsid w:val="00A52094"/>
    <w:rsid w:val="00A5213B"/>
    <w:rsid w:val="00A52308"/>
    <w:rsid w:val="00A5256F"/>
    <w:rsid w:val="00A52597"/>
    <w:rsid w:val="00A525C5"/>
    <w:rsid w:val="00A526ED"/>
    <w:rsid w:val="00A529BF"/>
    <w:rsid w:val="00A52AAF"/>
    <w:rsid w:val="00A52B52"/>
    <w:rsid w:val="00A52C47"/>
    <w:rsid w:val="00A52D79"/>
    <w:rsid w:val="00A52D89"/>
    <w:rsid w:val="00A52D96"/>
    <w:rsid w:val="00A52F03"/>
    <w:rsid w:val="00A53259"/>
    <w:rsid w:val="00A5333D"/>
    <w:rsid w:val="00A5342B"/>
    <w:rsid w:val="00A5346D"/>
    <w:rsid w:val="00A53494"/>
    <w:rsid w:val="00A536B5"/>
    <w:rsid w:val="00A53780"/>
    <w:rsid w:val="00A54013"/>
    <w:rsid w:val="00A5408C"/>
    <w:rsid w:val="00A542A7"/>
    <w:rsid w:val="00A542FA"/>
    <w:rsid w:val="00A54556"/>
    <w:rsid w:val="00A54627"/>
    <w:rsid w:val="00A54682"/>
    <w:rsid w:val="00A546AE"/>
    <w:rsid w:val="00A54711"/>
    <w:rsid w:val="00A54755"/>
    <w:rsid w:val="00A54C2E"/>
    <w:rsid w:val="00A54DDC"/>
    <w:rsid w:val="00A54E4E"/>
    <w:rsid w:val="00A54F5A"/>
    <w:rsid w:val="00A54FB7"/>
    <w:rsid w:val="00A54FD2"/>
    <w:rsid w:val="00A55005"/>
    <w:rsid w:val="00A55018"/>
    <w:rsid w:val="00A55059"/>
    <w:rsid w:val="00A550BF"/>
    <w:rsid w:val="00A5515A"/>
    <w:rsid w:val="00A5517E"/>
    <w:rsid w:val="00A552A0"/>
    <w:rsid w:val="00A552F7"/>
    <w:rsid w:val="00A5539C"/>
    <w:rsid w:val="00A55641"/>
    <w:rsid w:val="00A55705"/>
    <w:rsid w:val="00A55708"/>
    <w:rsid w:val="00A5581D"/>
    <w:rsid w:val="00A558B1"/>
    <w:rsid w:val="00A558FF"/>
    <w:rsid w:val="00A5599D"/>
    <w:rsid w:val="00A55A5B"/>
    <w:rsid w:val="00A55A8E"/>
    <w:rsid w:val="00A55B02"/>
    <w:rsid w:val="00A55BEE"/>
    <w:rsid w:val="00A55DDC"/>
    <w:rsid w:val="00A55DEE"/>
    <w:rsid w:val="00A55ECF"/>
    <w:rsid w:val="00A56214"/>
    <w:rsid w:val="00A56264"/>
    <w:rsid w:val="00A56294"/>
    <w:rsid w:val="00A567BA"/>
    <w:rsid w:val="00A56861"/>
    <w:rsid w:val="00A5690C"/>
    <w:rsid w:val="00A5692F"/>
    <w:rsid w:val="00A5694D"/>
    <w:rsid w:val="00A56B14"/>
    <w:rsid w:val="00A56C8E"/>
    <w:rsid w:val="00A56E8A"/>
    <w:rsid w:val="00A57278"/>
    <w:rsid w:val="00A5733B"/>
    <w:rsid w:val="00A57464"/>
    <w:rsid w:val="00A576A5"/>
    <w:rsid w:val="00A57703"/>
    <w:rsid w:val="00A578A6"/>
    <w:rsid w:val="00A57CD4"/>
    <w:rsid w:val="00A57D4A"/>
    <w:rsid w:val="00A57E71"/>
    <w:rsid w:val="00A57EB5"/>
    <w:rsid w:val="00A57FC1"/>
    <w:rsid w:val="00A60106"/>
    <w:rsid w:val="00A60558"/>
    <w:rsid w:val="00A6056F"/>
    <w:rsid w:val="00A60A9A"/>
    <w:rsid w:val="00A60D84"/>
    <w:rsid w:val="00A60DDC"/>
    <w:rsid w:val="00A60F6A"/>
    <w:rsid w:val="00A6104C"/>
    <w:rsid w:val="00A6133B"/>
    <w:rsid w:val="00A61495"/>
    <w:rsid w:val="00A61521"/>
    <w:rsid w:val="00A6184A"/>
    <w:rsid w:val="00A61855"/>
    <w:rsid w:val="00A61928"/>
    <w:rsid w:val="00A61940"/>
    <w:rsid w:val="00A61BAA"/>
    <w:rsid w:val="00A61CEC"/>
    <w:rsid w:val="00A61D4A"/>
    <w:rsid w:val="00A61DDD"/>
    <w:rsid w:val="00A61E1D"/>
    <w:rsid w:val="00A61E5A"/>
    <w:rsid w:val="00A61F2A"/>
    <w:rsid w:val="00A61F72"/>
    <w:rsid w:val="00A6202D"/>
    <w:rsid w:val="00A62257"/>
    <w:rsid w:val="00A622E9"/>
    <w:rsid w:val="00A623B9"/>
    <w:rsid w:val="00A6252C"/>
    <w:rsid w:val="00A6277A"/>
    <w:rsid w:val="00A6282E"/>
    <w:rsid w:val="00A62874"/>
    <w:rsid w:val="00A62C42"/>
    <w:rsid w:val="00A62CAE"/>
    <w:rsid w:val="00A62D09"/>
    <w:rsid w:val="00A62DE3"/>
    <w:rsid w:val="00A62F95"/>
    <w:rsid w:val="00A6313B"/>
    <w:rsid w:val="00A632F2"/>
    <w:rsid w:val="00A633A4"/>
    <w:rsid w:val="00A633FF"/>
    <w:rsid w:val="00A6346D"/>
    <w:rsid w:val="00A63483"/>
    <w:rsid w:val="00A6353B"/>
    <w:rsid w:val="00A63545"/>
    <w:rsid w:val="00A635BE"/>
    <w:rsid w:val="00A6381B"/>
    <w:rsid w:val="00A63A90"/>
    <w:rsid w:val="00A63C16"/>
    <w:rsid w:val="00A63C21"/>
    <w:rsid w:val="00A63D94"/>
    <w:rsid w:val="00A63F99"/>
    <w:rsid w:val="00A64158"/>
    <w:rsid w:val="00A642C0"/>
    <w:rsid w:val="00A6445A"/>
    <w:rsid w:val="00A64465"/>
    <w:rsid w:val="00A647DA"/>
    <w:rsid w:val="00A64A64"/>
    <w:rsid w:val="00A64BE6"/>
    <w:rsid w:val="00A64DD0"/>
    <w:rsid w:val="00A64E2E"/>
    <w:rsid w:val="00A65000"/>
    <w:rsid w:val="00A65143"/>
    <w:rsid w:val="00A65149"/>
    <w:rsid w:val="00A652C7"/>
    <w:rsid w:val="00A6547B"/>
    <w:rsid w:val="00A65645"/>
    <w:rsid w:val="00A656AE"/>
    <w:rsid w:val="00A657C3"/>
    <w:rsid w:val="00A65AF9"/>
    <w:rsid w:val="00A65DD6"/>
    <w:rsid w:val="00A6600D"/>
    <w:rsid w:val="00A66098"/>
    <w:rsid w:val="00A660B4"/>
    <w:rsid w:val="00A66112"/>
    <w:rsid w:val="00A661C0"/>
    <w:rsid w:val="00A662B5"/>
    <w:rsid w:val="00A6634C"/>
    <w:rsid w:val="00A66578"/>
    <w:rsid w:val="00A667BC"/>
    <w:rsid w:val="00A66866"/>
    <w:rsid w:val="00A66889"/>
    <w:rsid w:val="00A668CD"/>
    <w:rsid w:val="00A66C74"/>
    <w:rsid w:val="00A66DA0"/>
    <w:rsid w:val="00A66DAE"/>
    <w:rsid w:val="00A66DF9"/>
    <w:rsid w:val="00A67013"/>
    <w:rsid w:val="00A67528"/>
    <w:rsid w:val="00A67538"/>
    <w:rsid w:val="00A67575"/>
    <w:rsid w:val="00A6798D"/>
    <w:rsid w:val="00A67CD6"/>
    <w:rsid w:val="00A67F3C"/>
    <w:rsid w:val="00A70096"/>
    <w:rsid w:val="00A70183"/>
    <w:rsid w:val="00A7018C"/>
    <w:rsid w:val="00A701D4"/>
    <w:rsid w:val="00A70287"/>
    <w:rsid w:val="00A70613"/>
    <w:rsid w:val="00A70614"/>
    <w:rsid w:val="00A7075D"/>
    <w:rsid w:val="00A70838"/>
    <w:rsid w:val="00A7098E"/>
    <w:rsid w:val="00A70AA6"/>
    <w:rsid w:val="00A70C17"/>
    <w:rsid w:val="00A70E3E"/>
    <w:rsid w:val="00A70ECC"/>
    <w:rsid w:val="00A70ECD"/>
    <w:rsid w:val="00A70F5F"/>
    <w:rsid w:val="00A70F9E"/>
    <w:rsid w:val="00A71029"/>
    <w:rsid w:val="00A71181"/>
    <w:rsid w:val="00A712E8"/>
    <w:rsid w:val="00A71309"/>
    <w:rsid w:val="00A71589"/>
    <w:rsid w:val="00A715C9"/>
    <w:rsid w:val="00A71714"/>
    <w:rsid w:val="00A7187D"/>
    <w:rsid w:val="00A718FF"/>
    <w:rsid w:val="00A71AE9"/>
    <w:rsid w:val="00A71B23"/>
    <w:rsid w:val="00A71C3A"/>
    <w:rsid w:val="00A71D00"/>
    <w:rsid w:val="00A71D04"/>
    <w:rsid w:val="00A7209F"/>
    <w:rsid w:val="00A721A1"/>
    <w:rsid w:val="00A721C1"/>
    <w:rsid w:val="00A721D8"/>
    <w:rsid w:val="00A722D4"/>
    <w:rsid w:val="00A72394"/>
    <w:rsid w:val="00A72421"/>
    <w:rsid w:val="00A72729"/>
    <w:rsid w:val="00A72802"/>
    <w:rsid w:val="00A72811"/>
    <w:rsid w:val="00A728B0"/>
    <w:rsid w:val="00A72C5D"/>
    <w:rsid w:val="00A72EBE"/>
    <w:rsid w:val="00A72EE6"/>
    <w:rsid w:val="00A72F7B"/>
    <w:rsid w:val="00A72FA3"/>
    <w:rsid w:val="00A7309B"/>
    <w:rsid w:val="00A73207"/>
    <w:rsid w:val="00A73320"/>
    <w:rsid w:val="00A733BC"/>
    <w:rsid w:val="00A735F6"/>
    <w:rsid w:val="00A739BD"/>
    <w:rsid w:val="00A73A69"/>
    <w:rsid w:val="00A73AF4"/>
    <w:rsid w:val="00A73D34"/>
    <w:rsid w:val="00A73DA9"/>
    <w:rsid w:val="00A73DC8"/>
    <w:rsid w:val="00A73FAE"/>
    <w:rsid w:val="00A73FC3"/>
    <w:rsid w:val="00A740BF"/>
    <w:rsid w:val="00A74343"/>
    <w:rsid w:val="00A744AD"/>
    <w:rsid w:val="00A745A8"/>
    <w:rsid w:val="00A7471D"/>
    <w:rsid w:val="00A74779"/>
    <w:rsid w:val="00A7479E"/>
    <w:rsid w:val="00A7484B"/>
    <w:rsid w:val="00A7485A"/>
    <w:rsid w:val="00A74915"/>
    <w:rsid w:val="00A7498E"/>
    <w:rsid w:val="00A75A8E"/>
    <w:rsid w:val="00A75C5C"/>
    <w:rsid w:val="00A75D50"/>
    <w:rsid w:val="00A75DAC"/>
    <w:rsid w:val="00A75E2B"/>
    <w:rsid w:val="00A75EA1"/>
    <w:rsid w:val="00A75F0C"/>
    <w:rsid w:val="00A75FB8"/>
    <w:rsid w:val="00A76014"/>
    <w:rsid w:val="00A761BA"/>
    <w:rsid w:val="00A761D2"/>
    <w:rsid w:val="00A76358"/>
    <w:rsid w:val="00A76386"/>
    <w:rsid w:val="00A76486"/>
    <w:rsid w:val="00A76697"/>
    <w:rsid w:val="00A76747"/>
    <w:rsid w:val="00A7679A"/>
    <w:rsid w:val="00A76D96"/>
    <w:rsid w:val="00A76E49"/>
    <w:rsid w:val="00A76EC9"/>
    <w:rsid w:val="00A76F04"/>
    <w:rsid w:val="00A76FD3"/>
    <w:rsid w:val="00A7724A"/>
    <w:rsid w:val="00A775A2"/>
    <w:rsid w:val="00A776A4"/>
    <w:rsid w:val="00A776A8"/>
    <w:rsid w:val="00A77758"/>
    <w:rsid w:val="00A777B2"/>
    <w:rsid w:val="00A77A6B"/>
    <w:rsid w:val="00A77C61"/>
    <w:rsid w:val="00A77C8B"/>
    <w:rsid w:val="00A77D8A"/>
    <w:rsid w:val="00A77FA6"/>
    <w:rsid w:val="00A8000C"/>
    <w:rsid w:val="00A80038"/>
    <w:rsid w:val="00A80092"/>
    <w:rsid w:val="00A80464"/>
    <w:rsid w:val="00A806F5"/>
    <w:rsid w:val="00A8078B"/>
    <w:rsid w:val="00A80A3A"/>
    <w:rsid w:val="00A80BF6"/>
    <w:rsid w:val="00A80D2C"/>
    <w:rsid w:val="00A80E29"/>
    <w:rsid w:val="00A81174"/>
    <w:rsid w:val="00A811F8"/>
    <w:rsid w:val="00A81302"/>
    <w:rsid w:val="00A8142B"/>
    <w:rsid w:val="00A8163E"/>
    <w:rsid w:val="00A8166A"/>
    <w:rsid w:val="00A8182F"/>
    <w:rsid w:val="00A81874"/>
    <w:rsid w:val="00A818D4"/>
    <w:rsid w:val="00A81981"/>
    <w:rsid w:val="00A81A3D"/>
    <w:rsid w:val="00A81C6A"/>
    <w:rsid w:val="00A81D3C"/>
    <w:rsid w:val="00A81E26"/>
    <w:rsid w:val="00A81F26"/>
    <w:rsid w:val="00A8204C"/>
    <w:rsid w:val="00A820A4"/>
    <w:rsid w:val="00A82150"/>
    <w:rsid w:val="00A82268"/>
    <w:rsid w:val="00A82332"/>
    <w:rsid w:val="00A82532"/>
    <w:rsid w:val="00A82612"/>
    <w:rsid w:val="00A826E3"/>
    <w:rsid w:val="00A827E1"/>
    <w:rsid w:val="00A8289B"/>
    <w:rsid w:val="00A82CE4"/>
    <w:rsid w:val="00A82E2E"/>
    <w:rsid w:val="00A82F40"/>
    <w:rsid w:val="00A82FF0"/>
    <w:rsid w:val="00A83041"/>
    <w:rsid w:val="00A830E6"/>
    <w:rsid w:val="00A832A7"/>
    <w:rsid w:val="00A834E8"/>
    <w:rsid w:val="00A837FB"/>
    <w:rsid w:val="00A8383D"/>
    <w:rsid w:val="00A838F5"/>
    <w:rsid w:val="00A838FB"/>
    <w:rsid w:val="00A83B85"/>
    <w:rsid w:val="00A83E10"/>
    <w:rsid w:val="00A84001"/>
    <w:rsid w:val="00A84066"/>
    <w:rsid w:val="00A840C1"/>
    <w:rsid w:val="00A8421C"/>
    <w:rsid w:val="00A84662"/>
    <w:rsid w:val="00A8467D"/>
    <w:rsid w:val="00A8477A"/>
    <w:rsid w:val="00A84867"/>
    <w:rsid w:val="00A84AE8"/>
    <w:rsid w:val="00A84B84"/>
    <w:rsid w:val="00A84B89"/>
    <w:rsid w:val="00A84BFC"/>
    <w:rsid w:val="00A84E8B"/>
    <w:rsid w:val="00A84F9C"/>
    <w:rsid w:val="00A85032"/>
    <w:rsid w:val="00A850A4"/>
    <w:rsid w:val="00A85387"/>
    <w:rsid w:val="00A85936"/>
    <w:rsid w:val="00A859F8"/>
    <w:rsid w:val="00A85ABD"/>
    <w:rsid w:val="00A85B4C"/>
    <w:rsid w:val="00A85B5A"/>
    <w:rsid w:val="00A85D47"/>
    <w:rsid w:val="00A85D6C"/>
    <w:rsid w:val="00A86068"/>
    <w:rsid w:val="00A860CA"/>
    <w:rsid w:val="00A860ED"/>
    <w:rsid w:val="00A86365"/>
    <w:rsid w:val="00A863E4"/>
    <w:rsid w:val="00A86400"/>
    <w:rsid w:val="00A86517"/>
    <w:rsid w:val="00A865D1"/>
    <w:rsid w:val="00A867CB"/>
    <w:rsid w:val="00A86B4C"/>
    <w:rsid w:val="00A86BB7"/>
    <w:rsid w:val="00A86D07"/>
    <w:rsid w:val="00A86F87"/>
    <w:rsid w:val="00A8701F"/>
    <w:rsid w:val="00A8706D"/>
    <w:rsid w:val="00A87261"/>
    <w:rsid w:val="00A8729E"/>
    <w:rsid w:val="00A872E5"/>
    <w:rsid w:val="00A87457"/>
    <w:rsid w:val="00A874A1"/>
    <w:rsid w:val="00A87692"/>
    <w:rsid w:val="00A877C6"/>
    <w:rsid w:val="00A8794D"/>
    <w:rsid w:val="00A879EA"/>
    <w:rsid w:val="00A87B3C"/>
    <w:rsid w:val="00A87E2D"/>
    <w:rsid w:val="00A87ECF"/>
    <w:rsid w:val="00A87ED4"/>
    <w:rsid w:val="00A87F67"/>
    <w:rsid w:val="00A90115"/>
    <w:rsid w:val="00A90117"/>
    <w:rsid w:val="00A90241"/>
    <w:rsid w:val="00A903F2"/>
    <w:rsid w:val="00A907F9"/>
    <w:rsid w:val="00A9080A"/>
    <w:rsid w:val="00A90856"/>
    <w:rsid w:val="00A90B85"/>
    <w:rsid w:val="00A90D57"/>
    <w:rsid w:val="00A90F5F"/>
    <w:rsid w:val="00A91476"/>
    <w:rsid w:val="00A9150A"/>
    <w:rsid w:val="00A91551"/>
    <w:rsid w:val="00A9173F"/>
    <w:rsid w:val="00A9187F"/>
    <w:rsid w:val="00A91917"/>
    <w:rsid w:val="00A91AA5"/>
    <w:rsid w:val="00A91BEA"/>
    <w:rsid w:val="00A91C80"/>
    <w:rsid w:val="00A91D47"/>
    <w:rsid w:val="00A91DF7"/>
    <w:rsid w:val="00A91E60"/>
    <w:rsid w:val="00A91ECF"/>
    <w:rsid w:val="00A91F2C"/>
    <w:rsid w:val="00A92264"/>
    <w:rsid w:val="00A92639"/>
    <w:rsid w:val="00A92948"/>
    <w:rsid w:val="00A92B18"/>
    <w:rsid w:val="00A92E87"/>
    <w:rsid w:val="00A92F86"/>
    <w:rsid w:val="00A93110"/>
    <w:rsid w:val="00A9348A"/>
    <w:rsid w:val="00A93552"/>
    <w:rsid w:val="00A9363B"/>
    <w:rsid w:val="00A93A2A"/>
    <w:rsid w:val="00A93A77"/>
    <w:rsid w:val="00A93E8E"/>
    <w:rsid w:val="00A94042"/>
    <w:rsid w:val="00A94297"/>
    <w:rsid w:val="00A94509"/>
    <w:rsid w:val="00A94755"/>
    <w:rsid w:val="00A94865"/>
    <w:rsid w:val="00A94935"/>
    <w:rsid w:val="00A94976"/>
    <w:rsid w:val="00A94A33"/>
    <w:rsid w:val="00A94B83"/>
    <w:rsid w:val="00A9504D"/>
    <w:rsid w:val="00A950A9"/>
    <w:rsid w:val="00A9521B"/>
    <w:rsid w:val="00A95296"/>
    <w:rsid w:val="00A952F9"/>
    <w:rsid w:val="00A9544D"/>
    <w:rsid w:val="00A95966"/>
    <w:rsid w:val="00A95C35"/>
    <w:rsid w:val="00A95CE7"/>
    <w:rsid w:val="00A95E2C"/>
    <w:rsid w:val="00A95F98"/>
    <w:rsid w:val="00A960CB"/>
    <w:rsid w:val="00A961E4"/>
    <w:rsid w:val="00A96237"/>
    <w:rsid w:val="00A96480"/>
    <w:rsid w:val="00A9650A"/>
    <w:rsid w:val="00A9656E"/>
    <w:rsid w:val="00A96583"/>
    <w:rsid w:val="00A966BB"/>
    <w:rsid w:val="00A968EC"/>
    <w:rsid w:val="00A96935"/>
    <w:rsid w:val="00A96A2F"/>
    <w:rsid w:val="00A96A5A"/>
    <w:rsid w:val="00A96BC1"/>
    <w:rsid w:val="00A96D0D"/>
    <w:rsid w:val="00A96E24"/>
    <w:rsid w:val="00A970C2"/>
    <w:rsid w:val="00A97189"/>
    <w:rsid w:val="00A97238"/>
    <w:rsid w:val="00A9752B"/>
    <w:rsid w:val="00A976C4"/>
    <w:rsid w:val="00A9782C"/>
    <w:rsid w:val="00A97BE7"/>
    <w:rsid w:val="00A97CA1"/>
    <w:rsid w:val="00A97EC8"/>
    <w:rsid w:val="00A97EE7"/>
    <w:rsid w:val="00AA0177"/>
    <w:rsid w:val="00AA037B"/>
    <w:rsid w:val="00AA038A"/>
    <w:rsid w:val="00AA067E"/>
    <w:rsid w:val="00AA06F5"/>
    <w:rsid w:val="00AA08BC"/>
    <w:rsid w:val="00AA090A"/>
    <w:rsid w:val="00AA0AA2"/>
    <w:rsid w:val="00AA0C9F"/>
    <w:rsid w:val="00AA0DDE"/>
    <w:rsid w:val="00AA0EBA"/>
    <w:rsid w:val="00AA0FC1"/>
    <w:rsid w:val="00AA10B3"/>
    <w:rsid w:val="00AA10D4"/>
    <w:rsid w:val="00AA1421"/>
    <w:rsid w:val="00AA1713"/>
    <w:rsid w:val="00AA171E"/>
    <w:rsid w:val="00AA1824"/>
    <w:rsid w:val="00AA1C15"/>
    <w:rsid w:val="00AA1CAC"/>
    <w:rsid w:val="00AA1DB7"/>
    <w:rsid w:val="00AA1F96"/>
    <w:rsid w:val="00AA208A"/>
    <w:rsid w:val="00AA2093"/>
    <w:rsid w:val="00AA2113"/>
    <w:rsid w:val="00AA23BF"/>
    <w:rsid w:val="00AA2746"/>
    <w:rsid w:val="00AA2759"/>
    <w:rsid w:val="00AA2792"/>
    <w:rsid w:val="00AA2812"/>
    <w:rsid w:val="00AA2984"/>
    <w:rsid w:val="00AA2B51"/>
    <w:rsid w:val="00AA2CFF"/>
    <w:rsid w:val="00AA2EE1"/>
    <w:rsid w:val="00AA304D"/>
    <w:rsid w:val="00AA3379"/>
    <w:rsid w:val="00AA33A8"/>
    <w:rsid w:val="00AA359F"/>
    <w:rsid w:val="00AA3677"/>
    <w:rsid w:val="00AA3693"/>
    <w:rsid w:val="00AA36B8"/>
    <w:rsid w:val="00AA3767"/>
    <w:rsid w:val="00AA3872"/>
    <w:rsid w:val="00AA3ACD"/>
    <w:rsid w:val="00AA3B48"/>
    <w:rsid w:val="00AA3B4B"/>
    <w:rsid w:val="00AA3DA8"/>
    <w:rsid w:val="00AA3F2D"/>
    <w:rsid w:val="00AA4138"/>
    <w:rsid w:val="00AA4355"/>
    <w:rsid w:val="00AA43D4"/>
    <w:rsid w:val="00AA450B"/>
    <w:rsid w:val="00AA4877"/>
    <w:rsid w:val="00AA4B05"/>
    <w:rsid w:val="00AA4B95"/>
    <w:rsid w:val="00AA4CE5"/>
    <w:rsid w:val="00AA4CE7"/>
    <w:rsid w:val="00AA4E4A"/>
    <w:rsid w:val="00AA4F20"/>
    <w:rsid w:val="00AA506C"/>
    <w:rsid w:val="00AA50A3"/>
    <w:rsid w:val="00AA50D3"/>
    <w:rsid w:val="00AA5129"/>
    <w:rsid w:val="00AA57CB"/>
    <w:rsid w:val="00AA5913"/>
    <w:rsid w:val="00AA5972"/>
    <w:rsid w:val="00AA59B6"/>
    <w:rsid w:val="00AA5A0F"/>
    <w:rsid w:val="00AA5B0B"/>
    <w:rsid w:val="00AA5C69"/>
    <w:rsid w:val="00AA5C7B"/>
    <w:rsid w:val="00AA5CCA"/>
    <w:rsid w:val="00AA5D31"/>
    <w:rsid w:val="00AA5D69"/>
    <w:rsid w:val="00AA5DC9"/>
    <w:rsid w:val="00AA5DDB"/>
    <w:rsid w:val="00AA5FC1"/>
    <w:rsid w:val="00AA6085"/>
    <w:rsid w:val="00AA60BD"/>
    <w:rsid w:val="00AA648D"/>
    <w:rsid w:val="00AA65C6"/>
    <w:rsid w:val="00AA67FA"/>
    <w:rsid w:val="00AA6B7F"/>
    <w:rsid w:val="00AA6C5B"/>
    <w:rsid w:val="00AA6D0F"/>
    <w:rsid w:val="00AA7073"/>
    <w:rsid w:val="00AA71E1"/>
    <w:rsid w:val="00AA734D"/>
    <w:rsid w:val="00AA7471"/>
    <w:rsid w:val="00AA7551"/>
    <w:rsid w:val="00AA7566"/>
    <w:rsid w:val="00AA75E2"/>
    <w:rsid w:val="00AA7638"/>
    <w:rsid w:val="00AA7881"/>
    <w:rsid w:val="00AA7DA5"/>
    <w:rsid w:val="00AA7FA9"/>
    <w:rsid w:val="00AB0437"/>
    <w:rsid w:val="00AB0442"/>
    <w:rsid w:val="00AB07A5"/>
    <w:rsid w:val="00AB0CC1"/>
    <w:rsid w:val="00AB0D0E"/>
    <w:rsid w:val="00AB0D30"/>
    <w:rsid w:val="00AB10B5"/>
    <w:rsid w:val="00AB10FB"/>
    <w:rsid w:val="00AB1298"/>
    <w:rsid w:val="00AB1564"/>
    <w:rsid w:val="00AB1572"/>
    <w:rsid w:val="00AB15F7"/>
    <w:rsid w:val="00AB1889"/>
    <w:rsid w:val="00AB18C1"/>
    <w:rsid w:val="00AB1918"/>
    <w:rsid w:val="00AB1B52"/>
    <w:rsid w:val="00AB1C3B"/>
    <w:rsid w:val="00AB1EA7"/>
    <w:rsid w:val="00AB1F09"/>
    <w:rsid w:val="00AB1F6E"/>
    <w:rsid w:val="00AB2123"/>
    <w:rsid w:val="00AB2387"/>
    <w:rsid w:val="00AB24B6"/>
    <w:rsid w:val="00AB2513"/>
    <w:rsid w:val="00AB2642"/>
    <w:rsid w:val="00AB268C"/>
    <w:rsid w:val="00AB2789"/>
    <w:rsid w:val="00AB2E54"/>
    <w:rsid w:val="00AB3308"/>
    <w:rsid w:val="00AB3351"/>
    <w:rsid w:val="00AB35D3"/>
    <w:rsid w:val="00AB3740"/>
    <w:rsid w:val="00AB37B9"/>
    <w:rsid w:val="00AB37C0"/>
    <w:rsid w:val="00AB3947"/>
    <w:rsid w:val="00AB3A83"/>
    <w:rsid w:val="00AB3B71"/>
    <w:rsid w:val="00AB3BE5"/>
    <w:rsid w:val="00AB3BF2"/>
    <w:rsid w:val="00AB3C7A"/>
    <w:rsid w:val="00AB406E"/>
    <w:rsid w:val="00AB40B4"/>
    <w:rsid w:val="00AB4121"/>
    <w:rsid w:val="00AB4187"/>
    <w:rsid w:val="00AB4241"/>
    <w:rsid w:val="00AB42F8"/>
    <w:rsid w:val="00AB43DE"/>
    <w:rsid w:val="00AB443B"/>
    <w:rsid w:val="00AB448C"/>
    <w:rsid w:val="00AB46ED"/>
    <w:rsid w:val="00AB4848"/>
    <w:rsid w:val="00AB4E41"/>
    <w:rsid w:val="00AB4E42"/>
    <w:rsid w:val="00AB4F1B"/>
    <w:rsid w:val="00AB504F"/>
    <w:rsid w:val="00AB5104"/>
    <w:rsid w:val="00AB582D"/>
    <w:rsid w:val="00AB5859"/>
    <w:rsid w:val="00AB58F5"/>
    <w:rsid w:val="00AB5B13"/>
    <w:rsid w:val="00AB5B28"/>
    <w:rsid w:val="00AB5B55"/>
    <w:rsid w:val="00AB5BFB"/>
    <w:rsid w:val="00AB5D98"/>
    <w:rsid w:val="00AB5EEF"/>
    <w:rsid w:val="00AB6079"/>
    <w:rsid w:val="00AB6092"/>
    <w:rsid w:val="00AB65B2"/>
    <w:rsid w:val="00AB6B93"/>
    <w:rsid w:val="00AB6BA2"/>
    <w:rsid w:val="00AB6E89"/>
    <w:rsid w:val="00AB6EA6"/>
    <w:rsid w:val="00AB6EF9"/>
    <w:rsid w:val="00AB6F21"/>
    <w:rsid w:val="00AB6F7B"/>
    <w:rsid w:val="00AB7006"/>
    <w:rsid w:val="00AB715E"/>
    <w:rsid w:val="00AB72F3"/>
    <w:rsid w:val="00AB7318"/>
    <w:rsid w:val="00AB7399"/>
    <w:rsid w:val="00AB746F"/>
    <w:rsid w:val="00AB76B8"/>
    <w:rsid w:val="00AB770A"/>
    <w:rsid w:val="00AB7B44"/>
    <w:rsid w:val="00AB7BFB"/>
    <w:rsid w:val="00AB7DE5"/>
    <w:rsid w:val="00AC006E"/>
    <w:rsid w:val="00AC05DB"/>
    <w:rsid w:val="00AC0678"/>
    <w:rsid w:val="00AC06BB"/>
    <w:rsid w:val="00AC0BAA"/>
    <w:rsid w:val="00AC0C53"/>
    <w:rsid w:val="00AC0DCB"/>
    <w:rsid w:val="00AC0E8C"/>
    <w:rsid w:val="00AC103C"/>
    <w:rsid w:val="00AC13EE"/>
    <w:rsid w:val="00AC1510"/>
    <w:rsid w:val="00AC16AC"/>
    <w:rsid w:val="00AC1783"/>
    <w:rsid w:val="00AC1948"/>
    <w:rsid w:val="00AC1A52"/>
    <w:rsid w:val="00AC1BF2"/>
    <w:rsid w:val="00AC1EF0"/>
    <w:rsid w:val="00AC21A9"/>
    <w:rsid w:val="00AC256B"/>
    <w:rsid w:val="00AC258B"/>
    <w:rsid w:val="00AC2591"/>
    <w:rsid w:val="00AC25AF"/>
    <w:rsid w:val="00AC2637"/>
    <w:rsid w:val="00AC263A"/>
    <w:rsid w:val="00AC2791"/>
    <w:rsid w:val="00AC29B2"/>
    <w:rsid w:val="00AC2A6B"/>
    <w:rsid w:val="00AC2BC5"/>
    <w:rsid w:val="00AC2DD9"/>
    <w:rsid w:val="00AC2E4F"/>
    <w:rsid w:val="00AC2E72"/>
    <w:rsid w:val="00AC3728"/>
    <w:rsid w:val="00AC37EB"/>
    <w:rsid w:val="00AC3925"/>
    <w:rsid w:val="00AC39FC"/>
    <w:rsid w:val="00AC3C64"/>
    <w:rsid w:val="00AC3C99"/>
    <w:rsid w:val="00AC40E5"/>
    <w:rsid w:val="00AC42C1"/>
    <w:rsid w:val="00AC42D8"/>
    <w:rsid w:val="00AC4342"/>
    <w:rsid w:val="00AC4441"/>
    <w:rsid w:val="00AC4608"/>
    <w:rsid w:val="00AC4875"/>
    <w:rsid w:val="00AC4AEC"/>
    <w:rsid w:val="00AC4B66"/>
    <w:rsid w:val="00AC4B71"/>
    <w:rsid w:val="00AC4B80"/>
    <w:rsid w:val="00AC4B84"/>
    <w:rsid w:val="00AC4BEC"/>
    <w:rsid w:val="00AC4CBF"/>
    <w:rsid w:val="00AC51E7"/>
    <w:rsid w:val="00AC5594"/>
    <w:rsid w:val="00AC5A07"/>
    <w:rsid w:val="00AC5D3C"/>
    <w:rsid w:val="00AC5D99"/>
    <w:rsid w:val="00AC5DAB"/>
    <w:rsid w:val="00AC5E53"/>
    <w:rsid w:val="00AC5EDA"/>
    <w:rsid w:val="00AC615D"/>
    <w:rsid w:val="00AC62AB"/>
    <w:rsid w:val="00AC6515"/>
    <w:rsid w:val="00AC665E"/>
    <w:rsid w:val="00AC6A87"/>
    <w:rsid w:val="00AC6C11"/>
    <w:rsid w:val="00AC6C3C"/>
    <w:rsid w:val="00AC6CF9"/>
    <w:rsid w:val="00AC6F16"/>
    <w:rsid w:val="00AC6F62"/>
    <w:rsid w:val="00AC70CD"/>
    <w:rsid w:val="00AC7251"/>
    <w:rsid w:val="00AC74E9"/>
    <w:rsid w:val="00AC7B75"/>
    <w:rsid w:val="00AC7B86"/>
    <w:rsid w:val="00AC7C49"/>
    <w:rsid w:val="00AC7DCD"/>
    <w:rsid w:val="00AC7DF4"/>
    <w:rsid w:val="00AC7E42"/>
    <w:rsid w:val="00AC7F07"/>
    <w:rsid w:val="00AD0055"/>
    <w:rsid w:val="00AD007E"/>
    <w:rsid w:val="00AD02BA"/>
    <w:rsid w:val="00AD054E"/>
    <w:rsid w:val="00AD06FF"/>
    <w:rsid w:val="00AD0759"/>
    <w:rsid w:val="00AD0B83"/>
    <w:rsid w:val="00AD0BC3"/>
    <w:rsid w:val="00AD0F6C"/>
    <w:rsid w:val="00AD10F9"/>
    <w:rsid w:val="00AD111F"/>
    <w:rsid w:val="00AD1123"/>
    <w:rsid w:val="00AD11FC"/>
    <w:rsid w:val="00AD1239"/>
    <w:rsid w:val="00AD12DB"/>
    <w:rsid w:val="00AD14AA"/>
    <w:rsid w:val="00AD179E"/>
    <w:rsid w:val="00AD1841"/>
    <w:rsid w:val="00AD1873"/>
    <w:rsid w:val="00AD18D0"/>
    <w:rsid w:val="00AD1979"/>
    <w:rsid w:val="00AD19D9"/>
    <w:rsid w:val="00AD1B18"/>
    <w:rsid w:val="00AD207E"/>
    <w:rsid w:val="00AD2118"/>
    <w:rsid w:val="00AD2408"/>
    <w:rsid w:val="00AD2615"/>
    <w:rsid w:val="00AD2817"/>
    <w:rsid w:val="00AD2970"/>
    <w:rsid w:val="00AD29CD"/>
    <w:rsid w:val="00AD2B9A"/>
    <w:rsid w:val="00AD2C07"/>
    <w:rsid w:val="00AD2D8D"/>
    <w:rsid w:val="00AD2E2F"/>
    <w:rsid w:val="00AD2E3D"/>
    <w:rsid w:val="00AD2EBD"/>
    <w:rsid w:val="00AD30CA"/>
    <w:rsid w:val="00AD31CE"/>
    <w:rsid w:val="00AD332F"/>
    <w:rsid w:val="00AD3437"/>
    <w:rsid w:val="00AD34C1"/>
    <w:rsid w:val="00AD3627"/>
    <w:rsid w:val="00AD379B"/>
    <w:rsid w:val="00AD3917"/>
    <w:rsid w:val="00AD3BA1"/>
    <w:rsid w:val="00AD3BE1"/>
    <w:rsid w:val="00AD3BFB"/>
    <w:rsid w:val="00AD3CEE"/>
    <w:rsid w:val="00AD3DCA"/>
    <w:rsid w:val="00AD3E3C"/>
    <w:rsid w:val="00AD3F5B"/>
    <w:rsid w:val="00AD3FD4"/>
    <w:rsid w:val="00AD3FF0"/>
    <w:rsid w:val="00AD4101"/>
    <w:rsid w:val="00AD4726"/>
    <w:rsid w:val="00AD4768"/>
    <w:rsid w:val="00AD48C5"/>
    <w:rsid w:val="00AD4987"/>
    <w:rsid w:val="00AD4D97"/>
    <w:rsid w:val="00AD4E55"/>
    <w:rsid w:val="00AD51C1"/>
    <w:rsid w:val="00AD536E"/>
    <w:rsid w:val="00AD539F"/>
    <w:rsid w:val="00AD53BE"/>
    <w:rsid w:val="00AD5446"/>
    <w:rsid w:val="00AD553E"/>
    <w:rsid w:val="00AD555E"/>
    <w:rsid w:val="00AD55D4"/>
    <w:rsid w:val="00AD569F"/>
    <w:rsid w:val="00AD57F3"/>
    <w:rsid w:val="00AD5C57"/>
    <w:rsid w:val="00AD5FF0"/>
    <w:rsid w:val="00AD602B"/>
    <w:rsid w:val="00AD6182"/>
    <w:rsid w:val="00AD649F"/>
    <w:rsid w:val="00AD6509"/>
    <w:rsid w:val="00AD6523"/>
    <w:rsid w:val="00AD6568"/>
    <w:rsid w:val="00AD6729"/>
    <w:rsid w:val="00AD68BE"/>
    <w:rsid w:val="00AD6A0A"/>
    <w:rsid w:val="00AD6D35"/>
    <w:rsid w:val="00AD6F57"/>
    <w:rsid w:val="00AD70D0"/>
    <w:rsid w:val="00AD7178"/>
    <w:rsid w:val="00AD7281"/>
    <w:rsid w:val="00AD7294"/>
    <w:rsid w:val="00AD73FE"/>
    <w:rsid w:val="00AD7412"/>
    <w:rsid w:val="00AD74A3"/>
    <w:rsid w:val="00AD782B"/>
    <w:rsid w:val="00AD7CCD"/>
    <w:rsid w:val="00AD7EAE"/>
    <w:rsid w:val="00AD7F56"/>
    <w:rsid w:val="00AE00C1"/>
    <w:rsid w:val="00AE01E5"/>
    <w:rsid w:val="00AE0256"/>
    <w:rsid w:val="00AE02EC"/>
    <w:rsid w:val="00AE04F6"/>
    <w:rsid w:val="00AE0516"/>
    <w:rsid w:val="00AE061D"/>
    <w:rsid w:val="00AE07CE"/>
    <w:rsid w:val="00AE08AC"/>
    <w:rsid w:val="00AE0936"/>
    <w:rsid w:val="00AE0B55"/>
    <w:rsid w:val="00AE1210"/>
    <w:rsid w:val="00AE1234"/>
    <w:rsid w:val="00AE12DF"/>
    <w:rsid w:val="00AE1520"/>
    <w:rsid w:val="00AE1736"/>
    <w:rsid w:val="00AE1792"/>
    <w:rsid w:val="00AE18A0"/>
    <w:rsid w:val="00AE1913"/>
    <w:rsid w:val="00AE1AEA"/>
    <w:rsid w:val="00AE1C0D"/>
    <w:rsid w:val="00AE1C8E"/>
    <w:rsid w:val="00AE1E24"/>
    <w:rsid w:val="00AE209C"/>
    <w:rsid w:val="00AE20DB"/>
    <w:rsid w:val="00AE218A"/>
    <w:rsid w:val="00AE218F"/>
    <w:rsid w:val="00AE23AA"/>
    <w:rsid w:val="00AE23F0"/>
    <w:rsid w:val="00AE2514"/>
    <w:rsid w:val="00AE2722"/>
    <w:rsid w:val="00AE2A87"/>
    <w:rsid w:val="00AE337C"/>
    <w:rsid w:val="00AE33A6"/>
    <w:rsid w:val="00AE3532"/>
    <w:rsid w:val="00AE3749"/>
    <w:rsid w:val="00AE38C4"/>
    <w:rsid w:val="00AE3AEB"/>
    <w:rsid w:val="00AE3BCB"/>
    <w:rsid w:val="00AE3BDF"/>
    <w:rsid w:val="00AE3D53"/>
    <w:rsid w:val="00AE3DEA"/>
    <w:rsid w:val="00AE3E3D"/>
    <w:rsid w:val="00AE4659"/>
    <w:rsid w:val="00AE46A5"/>
    <w:rsid w:val="00AE48CB"/>
    <w:rsid w:val="00AE49A6"/>
    <w:rsid w:val="00AE4BB5"/>
    <w:rsid w:val="00AE5092"/>
    <w:rsid w:val="00AE50A9"/>
    <w:rsid w:val="00AE50F5"/>
    <w:rsid w:val="00AE5124"/>
    <w:rsid w:val="00AE5149"/>
    <w:rsid w:val="00AE51C2"/>
    <w:rsid w:val="00AE51CD"/>
    <w:rsid w:val="00AE5455"/>
    <w:rsid w:val="00AE5464"/>
    <w:rsid w:val="00AE54A8"/>
    <w:rsid w:val="00AE57E4"/>
    <w:rsid w:val="00AE583A"/>
    <w:rsid w:val="00AE590B"/>
    <w:rsid w:val="00AE5B55"/>
    <w:rsid w:val="00AE5BB5"/>
    <w:rsid w:val="00AE5C49"/>
    <w:rsid w:val="00AE5DAA"/>
    <w:rsid w:val="00AE5EA9"/>
    <w:rsid w:val="00AE5EC5"/>
    <w:rsid w:val="00AE5F00"/>
    <w:rsid w:val="00AE5FF7"/>
    <w:rsid w:val="00AE61C7"/>
    <w:rsid w:val="00AE6528"/>
    <w:rsid w:val="00AE670D"/>
    <w:rsid w:val="00AE689A"/>
    <w:rsid w:val="00AE6A43"/>
    <w:rsid w:val="00AE6A9D"/>
    <w:rsid w:val="00AE6CA3"/>
    <w:rsid w:val="00AE6F6E"/>
    <w:rsid w:val="00AE7085"/>
    <w:rsid w:val="00AE7304"/>
    <w:rsid w:val="00AE73BA"/>
    <w:rsid w:val="00AE73C7"/>
    <w:rsid w:val="00AE778A"/>
    <w:rsid w:val="00AE79FC"/>
    <w:rsid w:val="00AE7B7E"/>
    <w:rsid w:val="00AE7C7B"/>
    <w:rsid w:val="00AE7DCB"/>
    <w:rsid w:val="00AE7E05"/>
    <w:rsid w:val="00AE7ED9"/>
    <w:rsid w:val="00AE7EE4"/>
    <w:rsid w:val="00AF036B"/>
    <w:rsid w:val="00AF07B8"/>
    <w:rsid w:val="00AF0934"/>
    <w:rsid w:val="00AF0969"/>
    <w:rsid w:val="00AF09A3"/>
    <w:rsid w:val="00AF0CC7"/>
    <w:rsid w:val="00AF0D5F"/>
    <w:rsid w:val="00AF0E57"/>
    <w:rsid w:val="00AF109D"/>
    <w:rsid w:val="00AF137D"/>
    <w:rsid w:val="00AF150C"/>
    <w:rsid w:val="00AF1723"/>
    <w:rsid w:val="00AF1740"/>
    <w:rsid w:val="00AF18C1"/>
    <w:rsid w:val="00AF1D1E"/>
    <w:rsid w:val="00AF1E4F"/>
    <w:rsid w:val="00AF2095"/>
    <w:rsid w:val="00AF23FC"/>
    <w:rsid w:val="00AF2441"/>
    <w:rsid w:val="00AF254B"/>
    <w:rsid w:val="00AF2661"/>
    <w:rsid w:val="00AF27FE"/>
    <w:rsid w:val="00AF28D6"/>
    <w:rsid w:val="00AF28FA"/>
    <w:rsid w:val="00AF2EF4"/>
    <w:rsid w:val="00AF2F60"/>
    <w:rsid w:val="00AF3136"/>
    <w:rsid w:val="00AF3164"/>
    <w:rsid w:val="00AF3173"/>
    <w:rsid w:val="00AF36EA"/>
    <w:rsid w:val="00AF36F9"/>
    <w:rsid w:val="00AF3AEE"/>
    <w:rsid w:val="00AF3C8B"/>
    <w:rsid w:val="00AF4020"/>
    <w:rsid w:val="00AF4034"/>
    <w:rsid w:val="00AF405D"/>
    <w:rsid w:val="00AF4338"/>
    <w:rsid w:val="00AF44B7"/>
    <w:rsid w:val="00AF451F"/>
    <w:rsid w:val="00AF47E4"/>
    <w:rsid w:val="00AF486D"/>
    <w:rsid w:val="00AF4BD8"/>
    <w:rsid w:val="00AF4C7E"/>
    <w:rsid w:val="00AF5090"/>
    <w:rsid w:val="00AF5112"/>
    <w:rsid w:val="00AF5171"/>
    <w:rsid w:val="00AF524A"/>
    <w:rsid w:val="00AF56C3"/>
    <w:rsid w:val="00AF57EB"/>
    <w:rsid w:val="00AF59D4"/>
    <w:rsid w:val="00AF59E9"/>
    <w:rsid w:val="00AF5EC5"/>
    <w:rsid w:val="00AF5F23"/>
    <w:rsid w:val="00AF5FB5"/>
    <w:rsid w:val="00AF6057"/>
    <w:rsid w:val="00AF6170"/>
    <w:rsid w:val="00AF641E"/>
    <w:rsid w:val="00AF6481"/>
    <w:rsid w:val="00AF64B8"/>
    <w:rsid w:val="00AF6766"/>
    <w:rsid w:val="00AF68C4"/>
    <w:rsid w:val="00AF6A6C"/>
    <w:rsid w:val="00AF6C1B"/>
    <w:rsid w:val="00AF6E1C"/>
    <w:rsid w:val="00AF6FD1"/>
    <w:rsid w:val="00AF7005"/>
    <w:rsid w:val="00AF70E0"/>
    <w:rsid w:val="00AF712E"/>
    <w:rsid w:val="00AF71BD"/>
    <w:rsid w:val="00AF73A9"/>
    <w:rsid w:val="00AF73D7"/>
    <w:rsid w:val="00AF73EC"/>
    <w:rsid w:val="00AF748C"/>
    <w:rsid w:val="00AF74A0"/>
    <w:rsid w:val="00AF784B"/>
    <w:rsid w:val="00AF7887"/>
    <w:rsid w:val="00AF78D4"/>
    <w:rsid w:val="00AF7B7D"/>
    <w:rsid w:val="00AF7D8E"/>
    <w:rsid w:val="00AF7DCB"/>
    <w:rsid w:val="00AF7F4D"/>
    <w:rsid w:val="00B00047"/>
    <w:rsid w:val="00B00129"/>
    <w:rsid w:val="00B00146"/>
    <w:rsid w:val="00B001E7"/>
    <w:rsid w:val="00B00282"/>
    <w:rsid w:val="00B00334"/>
    <w:rsid w:val="00B005C6"/>
    <w:rsid w:val="00B00648"/>
    <w:rsid w:val="00B0076A"/>
    <w:rsid w:val="00B00B31"/>
    <w:rsid w:val="00B00B41"/>
    <w:rsid w:val="00B00D47"/>
    <w:rsid w:val="00B00DD8"/>
    <w:rsid w:val="00B00E2B"/>
    <w:rsid w:val="00B00F30"/>
    <w:rsid w:val="00B00FC7"/>
    <w:rsid w:val="00B01098"/>
    <w:rsid w:val="00B010A9"/>
    <w:rsid w:val="00B0132F"/>
    <w:rsid w:val="00B01538"/>
    <w:rsid w:val="00B015D8"/>
    <w:rsid w:val="00B01699"/>
    <w:rsid w:val="00B016E5"/>
    <w:rsid w:val="00B0180F"/>
    <w:rsid w:val="00B0186E"/>
    <w:rsid w:val="00B01984"/>
    <w:rsid w:val="00B01A82"/>
    <w:rsid w:val="00B01B4E"/>
    <w:rsid w:val="00B01DF9"/>
    <w:rsid w:val="00B01ED0"/>
    <w:rsid w:val="00B01F8F"/>
    <w:rsid w:val="00B01FFF"/>
    <w:rsid w:val="00B02154"/>
    <w:rsid w:val="00B02367"/>
    <w:rsid w:val="00B02430"/>
    <w:rsid w:val="00B02757"/>
    <w:rsid w:val="00B02965"/>
    <w:rsid w:val="00B02B02"/>
    <w:rsid w:val="00B02BEC"/>
    <w:rsid w:val="00B02C98"/>
    <w:rsid w:val="00B02D2D"/>
    <w:rsid w:val="00B02E9C"/>
    <w:rsid w:val="00B02EE0"/>
    <w:rsid w:val="00B02EE1"/>
    <w:rsid w:val="00B02EE8"/>
    <w:rsid w:val="00B03008"/>
    <w:rsid w:val="00B033D1"/>
    <w:rsid w:val="00B035A7"/>
    <w:rsid w:val="00B03995"/>
    <w:rsid w:val="00B039AF"/>
    <w:rsid w:val="00B039C7"/>
    <w:rsid w:val="00B03EDC"/>
    <w:rsid w:val="00B03F41"/>
    <w:rsid w:val="00B041B5"/>
    <w:rsid w:val="00B041CE"/>
    <w:rsid w:val="00B04247"/>
    <w:rsid w:val="00B0425C"/>
    <w:rsid w:val="00B04283"/>
    <w:rsid w:val="00B047AC"/>
    <w:rsid w:val="00B0483C"/>
    <w:rsid w:val="00B04853"/>
    <w:rsid w:val="00B04940"/>
    <w:rsid w:val="00B04958"/>
    <w:rsid w:val="00B04A23"/>
    <w:rsid w:val="00B04AA8"/>
    <w:rsid w:val="00B05022"/>
    <w:rsid w:val="00B0506A"/>
    <w:rsid w:val="00B0524C"/>
    <w:rsid w:val="00B05371"/>
    <w:rsid w:val="00B053B5"/>
    <w:rsid w:val="00B0559E"/>
    <w:rsid w:val="00B05974"/>
    <w:rsid w:val="00B05A4B"/>
    <w:rsid w:val="00B05BB3"/>
    <w:rsid w:val="00B05FFC"/>
    <w:rsid w:val="00B06035"/>
    <w:rsid w:val="00B060C1"/>
    <w:rsid w:val="00B06205"/>
    <w:rsid w:val="00B06359"/>
    <w:rsid w:val="00B06507"/>
    <w:rsid w:val="00B06559"/>
    <w:rsid w:val="00B0655E"/>
    <w:rsid w:val="00B06565"/>
    <w:rsid w:val="00B065EE"/>
    <w:rsid w:val="00B06664"/>
    <w:rsid w:val="00B0675E"/>
    <w:rsid w:val="00B069A9"/>
    <w:rsid w:val="00B06B2A"/>
    <w:rsid w:val="00B06D65"/>
    <w:rsid w:val="00B06E03"/>
    <w:rsid w:val="00B06E0B"/>
    <w:rsid w:val="00B070AD"/>
    <w:rsid w:val="00B073B2"/>
    <w:rsid w:val="00B07504"/>
    <w:rsid w:val="00B0750A"/>
    <w:rsid w:val="00B0763B"/>
    <w:rsid w:val="00B07856"/>
    <w:rsid w:val="00B078E0"/>
    <w:rsid w:val="00B07988"/>
    <w:rsid w:val="00B079BD"/>
    <w:rsid w:val="00B07A34"/>
    <w:rsid w:val="00B07C42"/>
    <w:rsid w:val="00B07C6E"/>
    <w:rsid w:val="00B07CE1"/>
    <w:rsid w:val="00B07CE3"/>
    <w:rsid w:val="00B07CE8"/>
    <w:rsid w:val="00B07D5E"/>
    <w:rsid w:val="00B10043"/>
    <w:rsid w:val="00B10093"/>
    <w:rsid w:val="00B1025B"/>
    <w:rsid w:val="00B10282"/>
    <w:rsid w:val="00B102C1"/>
    <w:rsid w:val="00B10360"/>
    <w:rsid w:val="00B1055B"/>
    <w:rsid w:val="00B107A1"/>
    <w:rsid w:val="00B10805"/>
    <w:rsid w:val="00B10B2C"/>
    <w:rsid w:val="00B10CA1"/>
    <w:rsid w:val="00B10E42"/>
    <w:rsid w:val="00B10E6E"/>
    <w:rsid w:val="00B10E8E"/>
    <w:rsid w:val="00B11074"/>
    <w:rsid w:val="00B112CD"/>
    <w:rsid w:val="00B11554"/>
    <w:rsid w:val="00B115F5"/>
    <w:rsid w:val="00B119B2"/>
    <w:rsid w:val="00B11B2A"/>
    <w:rsid w:val="00B11DE0"/>
    <w:rsid w:val="00B11E59"/>
    <w:rsid w:val="00B1214B"/>
    <w:rsid w:val="00B121D0"/>
    <w:rsid w:val="00B122C4"/>
    <w:rsid w:val="00B12474"/>
    <w:rsid w:val="00B12545"/>
    <w:rsid w:val="00B125FC"/>
    <w:rsid w:val="00B12678"/>
    <w:rsid w:val="00B12858"/>
    <w:rsid w:val="00B128FC"/>
    <w:rsid w:val="00B12931"/>
    <w:rsid w:val="00B12955"/>
    <w:rsid w:val="00B12BBF"/>
    <w:rsid w:val="00B12BD5"/>
    <w:rsid w:val="00B12BE8"/>
    <w:rsid w:val="00B12F82"/>
    <w:rsid w:val="00B1311E"/>
    <w:rsid w:val="00B132E3"/>
    <w:rsid w:val="00B1338B"/>
    <w:rsid w:val="00B135BB"/>
    <w:rsid w:val="00B135CB"/>
    <w:rsid w:val="00B1366E"/>
    <w:rsid w:val="00B13789"/>
    <w:rsid w:val="00B1378F"/>
    <w:rsid w:val="00B1384A"/>
    <w:rsid w:val="00B1388D"/>
    <w:rsid w:val="00B13AC1"/>
    <w:rsid w:val="00B13D17"/>
    <w:rsid w:val="00B14059"/>
    <w:rsid w:val="00B14761"/>
    <w:rsid w:val="00B147F0"/>
    <w:rsid w:val="00B149B1"/>
    <w:rsid w:val="00B14B22"/>
    <w:rsid w:val="00B14C2E"/>
    <w:rsid w:val="00B14C9D"/>
    <w:rsid w:val="00B1515B"/>
    <w:rsid w:val="00B15191"/>
    <w:rsid w:val="00B151E5"/>
    <w:rsid w:val="00B1533C"/>
    <w:rsid w:val="00B15387"/>
    <w:rsid w:val="00B15509"/>
    <w:rsid w:val="00B155DF"/>
    <w:rsid w:val="00B156BF"/>
    <w:rsid w:val="00B157DD"/>
    <w:rsid w:val="00B1581F"/>
    <w:rsid w:val="00B1592C"/>
    <w:rsid w:val="00B1593C"/>
    <w:rsid w:val="00B15953"/>
    <w:rsid w:val="00B159A3"/>
    <w:rsid w:val="00B15A9E"/>
    <w:rsid w:val="00B15B39"/>
    <w:rsid w:val="00B15DC9"/>
    <w:rsid w:val="00B15DF2"/>
    <w:rsid w:val="00B15DF7"/>
    <w:rsid w:val="00B15E47"/>
    <w:rsid w:val="00B15F26"/>
    <w:rsid w:val="00B15FCF"/>
    <w:rsid w:val="00B15FD4"/>
    <w:rsid w:val="00B16115"/>
    <w:rsid w:val="00B16159"/>
    <w:rsid w:val="00B161A4"/>
    <w:rsid w:val="00B1662D"/>
    <w:rsid w:val="00B16691"/>
    <w:rsid w:val="00B1677B"/>
    <w:rsid w:val="00B167D5"/>
    <w:rsid w:val="00B16A3E"/>
    <w:rsid w:val="00B16C5A"/>
    <w:rsid w:val="00B16DF8"/>
    <w:rsid w:val="00B16E27"/>
    <w:rsid w:val="00B17135"/>
    <w:rsid w:val="00B17256"/>
    <w:rsid w:val="00B17293"/>
    <w:rsid w:val="00B17675"/>
    <w:rsid w:val="00B17820"/>
    <w:rsid w:val="00B17851"/>
    <w:rsid w:val="00B17876"/>
    <w:rsid w:val="00B17A28"/>
    <w:rsid w:val="00B17C76"/>
    <w:rsid w:val="00B17F9B"/>
    <w:rsid w:val="00B2001F"/>
    <w:rsid w:val="00B201CD"/>
    <w:rsid w:val="00B202BD"/>
    <w:rsid w:val="00B202EB"/>
    <w:rsid w:val="00B2034B"/>
    <w:rsid w:val="00B205A2"/>
    <w:rsid w:val="00B20755"/>
    <w:rsid w:val="00B209EE"/>
    <w:rsid w:val="00B20AC8"/>
    <w:rsid w:val="00B20C50"/>
    <w:rsid w:val="00B212A6"/>
    <w:rsid w:val="00B212B8"/>
    <w:rsid w:val="00B21366"/>
    <w:rsid w:val="00B214CB"/>
    <w:rsid w:val="00B21855"/>
    <w:rsid w:val="00B2186A"/>
    <w:rsid w:val="00B2195D"/>
    <w:rsid w:val="00B21986"/>
    <w:rsid w:val="00B21BA6"/>
    <w:rsid w:val="00B21BC0"/>
    <w:rsid w:val="00B21D0F"/>
    <w:rsid w:val="00B21E63"/>
    <w:rsid w:val="00B21F3C"/>
    <w:rsid w:val="00B22078"/>
    <w:rsid w:val="00B220EE"/>
    <w:rsid w:val="00B22270"/>
    <w:rsid w:val="00B225D6"/>
    <w:rsid w:val="00B22611"/>
    <w:rsid w:val="00B2263B"/>
    <w:rsid w:val="00B227D3"/>
    <w:rsid w:val="00B22875"/>
    <w:rsid w:val="00B229D9"/>
    <w:rsid w:val="00B22AE8"/>
    <w:rsid w:val="00B22BC1"/>
    <w:rsid w:val="00B22BEA"/>
    <w:rsid w:val="00B22CB5"/>
    <w:rsid w:val="00B22CFA"/>
    <w:rsid w:val="00B22CFD"/>
    <w:rsid w:val="00B22D12"/>
    <w:rsid w:val="00B22D87"/>
    <w:rsid w:val="00B22E9A"/>
    <w:rsid w:val="00B22F2B"/>
    <w:rsid w:val="00B2324E"/>
    <w:rsid w:val="00B23435"/>
    <w:rsid w:val="00B235E4"/>
    <w:rsid w:val="00B238AB"/>
    <w:rsid w:val="00B23A43"/>
    <w:rsid w:val="00B23C32"/>
    <w:rsid w:val="00B23E8E"/>
    <w:rsid w:val="00B2402B"/>
    <w:rsid w:val="00B240C5"/>
    <w:rsid w:val="00B24282"/>
    <w:rsid w:val="00B24732"/>
    <w:rsid w:val="00B24764"/>
    <w:rsid w:val="00B24901"/>
    <w:rsid w:val="00B2491A"/>
    <w:rsid w:val="00B24AE6"/>
    <w:rsid w:val="00B24B21"/>
    <w:rsid w:val="00B24B4D"/>
    <w:rsid w:val="00B24B85"/>
    <w:rsid w:val="00B24B97"/>
    <w:rsid w:val="00B24C58"/>
    <w:rsid w:val="00B24CCC"/>
    <w:rsid w:val="00B24E88"/>
    <w:rsid w:val="00B251F0"/>
    <w:rsid w:val="00B255F1"/>
    <w:rsid w:val="00B25ABE"/>
    <w:rsid w:val="00B25AF0"/>
    <w:rsid w:val="00B25C8D"/>
    <w:rsid w:val="00B25E29"/>
    <w:rsid w:val="00B26030"/>
    <w:rsid w:val="00B26214"/>
    <w:rsid w:val="00B2624C"/>
    <w:rsid w:val="00B266F5"/>
    <w:rsid w:val="00B26787"/>
    <w:rsid w:val="00B2678A"/>
    <w:rsid w:val="00B26D43"/>
    <w:rsid w:val="00B27032"/>
    <w:rsid w:val="00B27112"/>
    <w:rsid w:val="00B27175"/>
    <w:rsid w:val="00B2722B"/>
    <w:rsid w:val="00B27E77"/>
    <w:rsid w:val="00B27EEF"/>
    <w:rsid w:val="00B3045E"/>
    <w:rsid w:val="00B309AB"/>
    <w:rsid w:val="00B30BEC"/>
    <w:rsid w:val="00B30F74"/>
    <w:rsid w:val="00B31096"/>
    <w:rsid w:val="00B313EA"/>
    <w:rsid w:val="00B314E3"/>
    <w:rsid w:val="00B3159B"/>
    <w:rsid w:val="00B31852"/>
    <w:rsid w:val="00B31C6B"/>
    <w:rsid w:val="00B31CF6"/>
    <w:rsid w:val="00B31E7F"/>
    <w:rsid w:val="00B321C5"/>
    <w:rsid w:val="00B322C7"/>
    <w:rsid w:val="00B32301"/>
    <w:rsid w:val="00B32353"/>
    <w:rsid w:val="00B32A17"/>
    <w:rsid w:val="00B32B80"/>
    <w:rsid w:val="00B32B9A"/>
    <w:rsid w:val="00B32CAC"/>
    <w:rsid w:val="00B33125"/>
    <w:rsid w:val="00B33174"/>
    <w:rsid w:val="00B331A7"/>
    <w:rsid w:val="00B3337E"/>
    <w:rsid w:val="00B33881"/>
    <w:rsid w:val="00B33BF0"/>
    <w:rsid w:val="00B33CC1"/>
    <w:rsid w:val="00B33CE2"/>
    <w:rsid w:val="00B33E01"/>
    <w:rsid w:val="00B33E6A"/>
    <w:rsid w:val="00B343B6"/>
    <w:rsid w:val="00B343CF"/>
    <w:rsid w:val="00B343EB"/>
    <w:rsid w:val="00B34659"/>
    <w:rsid w:val="00B346A4"/>
    <w:rsid w:val="00B34943"/>
    <w:rsid w:val="00B349F9"/>
    <w:rsid w:val="00B34AB4"/>
    <w:rsid w:val="00B34E50"/>
    <w:rsid w:val="00B352E8"/>
    <w:rsid w:val="00B352EC"/>
    <w:rsid w:val="00B35559"/>
    <w:rsid w:val="00B355DB"/>
    <w:rsid w:val="00B355EB"/>
    <w:rsid w:val="00B35663"/>
    <w:rsid w:val="00B3579D"/>
    <w:rsid w:val="00B358BF"/>
    <w:rsid w:val="00B358CB"/>
    <w:rsid w:val="00B35980"/>
    <w:rsid w:val="00B35B00"/>
    <w:rsid w:val="00B35B16"/>
    <w:rsid w:val="00B35CAD"/>
    <w:rsid w:val="00B35DDA"/>
    <w:rsid w:val="00B3613F"/>
    <w:rsid w:val="00B3617A"/>
    <w:rsid w:val="00B363BA"/>
    <w:rsid w:val="00B36458"/>
    <w:rsid w:val="00B3665A"/>
    <w:rsid w:val="00B36831"/>
    <w:rsid w:val="00B36AEB"/>
    <w:rsid w:val="00B36C15"/>
    <w:rsid w:val="00B36D42"/>
    <w:rsid w:val="00B36E19"/>
    <w:rsid w:val="00B36FDE"/>
    <w:rsid w:val="00B37541"/>
    <w:rsid w:val="00B37611"/>
    <w:rsid w:val="00B37620"/>
    <w:rsid w:val="00B3782C"/>
    <w:rsid w:val="00B3797A"/>
    <w:rsid w:val="00B37B45"/>
    <w:rsid w:val="00B37BBB"/>
    <w:rsid w:val="00B37D66"/>
    <w:rsid w:val="00B37F38"/>
    <w:rsid w:val="00B4012D"/>
    <w:rsid w:val="00B40321"/>
    <w:rsid w:val="00B40403"/>
    <w:rsid w:val="00B4059B"/>
    <w:rsid w:val="00B4060E"/>
    <w:rsid w:val="00B406A0"/>
    <w:rsid w:val="00B40C0D"/>
    <w:rsid w:val="00B40D96"/>
    <w:rsid w:val="00B40ED8"/>
    <w:rsid w:val="00B41004"/>
    <w:rsid w:val="00B410EF"/>
    <w:rsid w:val="00B41211"/>
    <w:rsid w:val="00B41271"/>
    <w:rsid w:val="00B412B1"/>
    <w:rsid w:val="00B412E1"/>
    <w:rsid w:val="00B413D9"/>
    <w:rsid w:val="00B4144C"/>
    <w:rsid w:val="00B41609"/>
    <w:rsid w:val="00B416A3"/>
    <w:rsid w:val="00B41725"/>
    <w:rsid w:val="00B41765"/>
    <w:rsid w:val="00B4180D"/>
    <w:rsid w:val="00B419AE"/>
    <w:rsid w:val="00B41C49"/>
    <w:rsid w:val="00B41D55"/>
    <w:rsid w:val="00B41DEF"/>
    <w:rsid w:val="00B41FBD"/>
    <w:rsid w:val="00B42269"/>
    <w:rsid w:val="00B4275F"/>
    <w:rsid w:val="00B4294D"/>
    <w:rsid w:val="00B429EC"/>
    <w:rsid w:val="00B42B34"/>
    <w:rsid w:val="00B42BEE"/>
    <w:rsid w:val="00B42D86"/>
    <w:rsid w:val="00B42F79"/>
    <w:rsid w:val="00B42F84"/>
    <w:rsid w:val="00B42FF5"/>
    <w:rsid w:val="00B42FF9"/>
    <w:rsid w:val="00B43240"/>
    <w:rsid w:val="00B432A1"/>
    <w:rsid w:val="00B43329"/>
    <w:rsid w:val="00B4349A"/>
    <w:rsid w:val="00B434E6"/>
    <w:rsid w:val="00B436A0"/>
    <w:rsid w:val="00B436A7"/>
    <w:rsid w:val="00B436EF"/>
    <w:rsid w:val="00B43761"/>
    <w:rsid w:val="00B43824"/>
    <w:rsid w:val="00B43834"/>
    <w:rsid w:val="00B439A8"/>
    <w:rsid w:val="00B43A1E"/>
    <w:rsid w:val="00B43B46"/>
    <w:rsid w:val="00B43C22"/>
    <w:rsid w:val="00B43C9E"/>
    <w:rsid w:val="00B43CF0"/>
    <w:rsid w:val="00B43DCE"/>
    <w:rsid w:val="00B43EC8"/>
    <w:rsid w:val="00B4415E"/>
    <w:rsid w:val="00B44192"/>
    <w:rsid w:val="00B441F2"/>
    <w:rsid w:val="00B44211"/>
    <w:rsid w:val="00B44664"/>
    <w:rsid w:val="00B44676"/>
    <w:rsid w:val="00B4476F"/>
    <w:rsid w:val="00B448B3"/>
    <w:rsid w:val="00B449A5"/>
    <w:rsid w:val="00B44B08"/>
    <w:rsid w:val="00B44BC5"/>
    <w:rsid w:val="00B44BC7"/>
    <w:rsid w:val="00B44CC5"/>
    <w:rsid w:val="00B44D41"/>
    <w:rsid w:val="00B44ED3"/>
    <w:rsid w:val="00B450D8"/>
    <w:rsid w:val="00B45156"/>
    <w:rsid w:val="00B451DE"/>
    <w:rsid w:val="00B453CD"/>
    <w:rsid w:val="00B45451"/>
    <w:rsid w:val="00B45694"/>
    <w:rsid w:val="00B45705"/>
    <w:rsid w:val="00B457C1"/>
    <w:rsid w:val="00B45B29"/>
    <w:rsid w:val="00B45B4D"/>
    <w:rsid w:val="00B45B96"/>
    <w:rsid w:val="00B45E13"/>
    <w:rsid w:val="00B45E44"/>
    <w:rsid w:val="00B460C9"/>
    <w:rsid w:val="00B467E1"/>
    <w:rsid w:val="00B468E3"/>
    <w:rsid w:val="00B468F6"/>
    <w:rsid w:val="00B4698C"/>
    <w:rsid w:val="00B46A66"/>
    <w:rsid w:val="00B46A72"/>
    <w:rsid w:val="00B46A90"/>
    <w:rsid w:val="00B46AE2"/>
    <w:rsid w:val="00B46F1E"/>
    <w:rsid w:val="00B46F42"/>
    <w:rsid w:val="00B470DE"/>
    <w:rsid w:val="00B471EF"/>
    <w:rsid w:val="00B47277"/>
    <w:rsid w:val="00B472D7"/>
    <w:rsid w:val="00B472DB"/>
    <w:rsid w:val="00B47588"/>
    <w:rsid w:val="00B475A0"/>
    <w:rsid w:val="00B476FF"/>
    <w:rsid w:val="00B477C1"/>
    <w:rsid w:val="00B47869"/>
    <w:rsid w:val="00B478B1"/>
    <w:rsid w:val="00B47A1A"/>
    <w:rsid w:val="00B47AE2"/>
    <w:rsid w:val="00B47C60"/>
    <w:rsid w:val="00B47DA8"/>
    <w:rsid w:val="00B47DE2"/>
    <w:rsid w:val="00B47E7D"/>
    <w:rsid w:val="00B47E8A"/>
    <w:rsid w:val="00B47F2A"/>
    <w:rsid w:val="00B5000B"/>
    <w:rsid w:val="00B50248"/>
    <w:rsid w:val="00B5032D"/>
    <w:rsid w:val="00B50334"/>
    <w:rsid w:val="00B50453"/>
    <w:rsid w:val="00B505C4"/>
    <w:rsid w:val="00B50808"/>
    <w:rsid w:val="00B509EA"/>
    <w:rsid w:val="00B50D9E"/>
    <w:rsid w:val="00B50E83"/>
    <w:rsid w:val="00B50FEF"/>
    <w:rsid w:val="00B51130"/>
    <w:rsid w:val="00B512DB"/>
    <w:rsid w:val="00B51300"/>
    <w:rsid w:val="00B51335"/>
    <w:rsid w:val="00B514D2"/>
    <w:rsid w:val="00B517A5"/>
    <w:rsid w:val="00B51B0F"/>
    <w:rsid w:val="00B51C3D"/>
    <w:rsid w:val="00B51D12"/>
    <w:rsid w:val="00B51D57"/>
    <w:rsid w:val="00B51D7E"/>
    <w:rsid w:val="00B51D8A"/>
    <w:rsid w:val="00B52187"/>
    <w:rsid w:val="00B521A0"/>
    <w:rsid w:val="00B521A8"/>
    <w:rsid w:val="00B521A9"/>
    <w:rsid w:val="00B525A6"/>
    <w:rsid w:val="00B52676"/>
    <w:rsid w:val="00B52994"/>
    <w:rsid w:val="00B52A2A"/>
    <w:rsid w:val="00B52A89"/>
    <w:rsid w:val="00B52B20"/>
    <w:rsid w:val="00B52CA5"/>
    <w:rsid w:val="00B52E18"/>
    <w:rsid w:val="00B530A3"/>
    <w:rsid w:val="00B531A6"/>
    <w:rsid w:val="00B53422"/>
    <w:rsid w:val="00B53AFC"/>
    <w:rsid w:val="00B53AFE"/>
    <w:rsid w:val="00B53EF8"/>
    <w:rsid w:val="00B53FF7"/>
    <w:rsid w:val="00B54010"/>
    <w:rsid w:val="00B54481"/>
    <w:rsid w:val="00B5471A"/>
    <w:rsid w:val="00B54871"/>
    <w:rsid w:val="00B548A0"/>
    <w:rsid w:val="00B548A5"/>
    <w:rsid w:val="00B548F8"/>
    <w:rsid w:val="00B54964"/>
    <w:rsid w:val="00B54BA7"/>
    <w:rsid w:val="00B54F96"/>
    <w:rsid w:val="00B55067"/>
    <w:rsid w:val="00B550A9"/>
    <w:rsid w:val="00B5521C"/>
    <w:rsid w:val="00B55220"/>
    <w:rsid w:val="00B55225"/>
    <w:rsid w:val="00B5529D"/>
    <w:rsid w:val="00B552F4"/>
    <w:rsid w:val="00B55937"/>
    <w:rsid w:val="00B559E9"/>
    <w:rsid w:val="00B55AAD"/>
    <w:rsid w:val="00B55AEA"/>
    <w:rsid w:val="00B55B36"/>
    <w:rsid w:val="00B55B84"/>
    <w:rsid w:val="00B55C69"/>
    <w:rsid w:val="00B55D07"/>
    <w:rsid w:val="00B55F34"/>
    <w:rsid w:val="00B55F84"/>
    <w:rsid w:val="00B561AC"/>
    <w:rsid w:val="00B56344"/>
    <w:rsid w:val="00B563C9"/>
    <w:rsid w:val="00B566E3"/>
    <w:rsid w:val="00B5677F"/>
    <w:rsid w:val="00B5678A"/>
    <w:rsid w:val="00B5685A"/>
    <w:rsid w:val="00B568E7"/>
    <w:rsid w:val="00B569A4"/>
    <w:rsid w:val="00B56E9D"/>
    <w:rsid w:val="00B57054"/>
    <w:rsid w:val="00B57356"/>
    <w:rsid w:val="00B5739A"/>
    <w:rsid w:val="00B573C4"/>
    <w:rsid w:val="00B5782B"/>
    <w:rsid w:val="00B57860"/>
    <w:rsid w:val="00B5789D"/>
    <w:rsid w:val="00B579B9"/>
    <w:rsid w:val="00B57D33"/>
    <w:rsid w:val="00B57DE2"/>
    <w:rsid w:val="00B57DE6"/>
    <w:rsid w:val="00B57E2B"/>
    <w:rsid w:val="00B601B8"/>
    <w:rsid w:val="00B6024A"/>
    <w:rsid w:val="00B603A7"/>
    <w:rsid w:val="00B6044F"/>
    <w:rsid w:val="00B6047D"/>
    <w:rsid w:val="00B60580"/>
    <w:rsid w:val="00B6059F"/>
    <w:rsid w:val="00B605EC"/>
    <w:rsid w:val="00B60AF8"/>
    <w:rsid w:val="00B6100E"/>
    <w:rsid w:val="00B61220"/>
    <w:rsid w:val="00B6123A"/>
    <w:rsid w:val="00B61240"/>
    <w:rsid w:val="00B613FC"/>
    <w:rsid w:val="00B61533"/>
    <w:rsid w:val="00B619E8"/>
    <w:rsid w:val="00B61AAF"/>
    <w:rsid w:val="00B61C2B"/>
    <w:rsid w:val="00B61C79"/>
    <w:rsid w:val="00B61E0C"/>
    <w:rsid w:val="00B61E69"/>
    <w:rsid w:val="00B62043"/>
    <w:rsid w:val="00B620C0"/>
    <w:rsid w:val="00B621F7"/>
    <w:rsid w:val="00B621FC"/>
    <w:rsid w:val="00B62322"/>
    <w:rsid w:val="00B62455"/>
    <w:rsid w:val="00B62464"/>
    <w:rsid w:val="00B6249B"/>
    <w:rsid w:val="00B624EB"/>
    <w:rsid w:val="00B6257E"/>
    <w:rsid w:val="00B626D9"/>
    <w:rsid w:val="00B628DA"/>
    <w:rsid w:val="00B62A20"/>
    <w:rsid w:val="00B6310B"/>
    <w:rsid w:val="00B631D2"/>
    <w:rsid w:val="00B63492"/>
    <w:rsid w:val="00B6355A"/>
    <w:rsid w:val="00B63749"/>
    <w:rsid w:val="00B637E4"/>
    <w:rsid w:val="00B639EF"/>
    <w:rsid w:val="00B63DA5"/>
    <w:rsid w:val="00B6417B"/>
    <w:rsid w:val="00B6421C"/>
    <w:rsid w:val="00B6427C"/>
    <w:rsid w:val="00B642C3"/>
    <w:rsid w:val="00B64320"/>
    <w:rsid w:val="00B64495"/>
    <w:rsid w:val="00B64539"/>
    <w:rsid w:val="00B64B26"/>
    <w:rsid w:val="00B64BC9"/>
    <w:rsid w:val="00B64F74"/>
    <w:rsid w:val="00B6513B"/>
    <w:rsid w:val="00B6526D"/>
    <w:rsid w:val="00B65586"/>
    <w:rsid w:val="00B65643"/>
    <w:rsid w:val="00B65AAE"/>
    <w:rsid w:val="00B65B83"/>
    <w:rsid w:val="00B65BC8"/>
    <w:rsid w:val="00B65DE0"/>
    <w:rsid w:val="00B65E55"/>
    <w:rsid w:val="00B65F30"/>
    <w:rsid w:val="00B66003"/>
    <w:rsid w:val="00B661FF"/>
    <w:rsid w:val="00B66271"/>
    <w:rsid w:val="00B662DE"/>
    <w:rsid w:val="00B664A8"/>
    <w:rsid w:val="00B66592"/>
    <w:rsid w:val="00B665C3"/>
    <w:rsid w:val="00B665EF"/>
    <w:rsid w:val="00B667B2"/>
    <w:rsid w:val="00B66824"/>
    <w:rsid w:val="00B6686F"/>
    <w:rsid w:val="00B6696B"/>
    <w:rsid w:val="00B66AC0"/>
    <w:rsid w:val="00B66D61"/>
    <w:rsid w:val="00B66F4A"/>
    <w:rsid w:val="00B66F5C"/>
    <w:rsid w:val="00B6706D"/>
    <w:rsid w:val="00B67153"/>
    <w:rsid w:val="00B67201"/>
    <w:rsid w:val="00B67550"/>
    <w:rsid w:val="00B67583"/>
    <w:rsid w:val="00B675C3"/>
    <w:rsid w:val="00B6762A"/>
    <w:rsid w:val="00B6767C"/>
    <w:rsid w:val="00B67773"/>
    <w:rsid w:val="00B677CE"/>
    <w:rsid w:val="00B6785D"/>
    <w:rsid w:val="00B678B2"/>
    <w:rsid w:val="00B678DE"/>
    <w:rsid w:val="00B67AC2"/>
    <w:rsid w:val="00B67DA7"/>
    <w:rsid w:val="00B67ECB"/>
    <w:rsid w:val="00B67F41"/>
    <w:rsid w:val="00B67FE4"/>
    <w:rsid w:val="00B7000D"/>
    <w:rsid w:val="00B70155"/>
    <w:rsid w:val="00B701AB"/>
    <w:rsid w:val="00B70850"/>
    <w:rsid w:val="00B708AE"/>
    <w:rsid w:val="00B70BE3"/>
    <w:rsid w:val="00B70C0D"/>
    <w:rsid w:val="00B70CB5"/>
    <w:rsid w:val="00B70DA2"/>
    <w:rsid w:val="00B715C0"/>
    <w:rsid w:val="00B7168C"/>
    <w:rsid w:val="00B718B2"/>
    <w:rsid w:val="00B71901"/>
    <w:rsid w:val="00B719CA"/>
    <w:rsid w:val="00B719DF"/>
    <w:rsid w:val="00B71C39"/>
    <w:rsid w:val="00B71D18"/>
    <w:rsid w:val="00B71D2C"/>
    <w:rsid w:val="00B71DB7"/>
    <w:rsid w:val="00B72014"/>
    <w:rsid w:val="00B72278"/>
    <w:rsid w:val="00B72418"/>
    <w:rsid w:val="00B7243C"/>
    <w:rsid w:val="00B7265F"/>
    <w:rsid w:val="00B727CC"/>
    <w:rsid w:val="00B72C8D"/>
    <w:rsid w:val="00B72D09"/>
    <w:rsid w:val="00B72EF3"/>
    <w:rsid w:val="00B7324A"/>
    <w:rsid w:val="00B7327F"/>
    <w:rsid w:val="00B73716"/>
    <w:rsid w:val="00B737A6"/>
    <w:rsid w:val="00B737CB"/>
    <w:rsid w:val="00B739FD"/>
    <w:rsid w:val="00B73A13"/>
    <w:rsid w:val="00B742DA"/>
    <w:rsid w:val="00B74394"/>
    <w:rsid w:val="00B743A7"/>
    <w:rsid w:val="00B7452C"/>
    <w:rsid w:val="00B746DE"/>
    <w:rsid w:val="00B7474A"/>
    <w:rsid w:val="00B7489C"/>
    <w:rsid w:val="00B748A4"/>
    <w:rsid w:val="00B749DC"/>
    <w:rsid w:val="00B74B20"/>
    <w:rsid w:val="00B74C1E"/>
    <w:rsid w:val="00B74C3F"/>
    <w:rsid w:val="00B74CB1"/>
    <w:rsid w:val="00B74CD4"/>
    <w:rsid w:val="00B74D09"/>
    <w:rsid w:val="00B74D77"/>
    <w:rsid w:val="00B75106"/>
    <w:rsid w:val="00B7524F"/>
    <w:rsid w:val="00B754C0"/>
    <w:rsid w:val="00B756A3"/>
    <w:rsid w:val="00B75A50"/>
    <w:rsid w:val="00B75B14"/>
    <w:rsid w:val="00B75D6B"/>
    <w:rsid w:val="00B75D77"/>
    <w:rsid w:val="00B75EB9"/>
    <w:rsid w:val="00B75FBB"/>
    <w:rsid w:val="00B76046"/>
    <w:rsid w:val="00B76252"/>
    <w:rsid w:val="00B7625E"/>
    <w:rsid w:val="00B766DC"/>
    <w:rsid w:val="00B7670A"/>
    <w:rsid w:val="00B7688A"/>
    <w:rsid w:val="00B76CB3"/>
    <w:rsid w:val="00B76CC8"/>
    <w:rsid w:val="00B76DC7"/>
    <w:rsid w:val="00B76E29"/>
    <w:rsid w:val="00B76ED6"/>
    <w:rsid w:val="00B76EFB"/>
    <w:rsid w:val="00B77269"/>
    <w:rsid w:val="00B7727D"/>
    <w:rsid w:val="00B7745B"/>
    <w:rsid w:val="00B77761"/>
    <w:rsid w:val="00B7777B"/>
    <w:rsid w:val="00B77914"/>
    <w:rsid w:val="00B77AD5"/>
    <w:rsid w:val="00B77B55"/>
    <w:rsid w:val="00B77DA1"/>
    <w:rsid w:val="00B77F2C"/>
    <w:rsid w:val="00B80149"/>
    <w:rsid w:val="00B801A5"/>
    <w:rsid w:val="00B80350"/>
    <w:rsid w:val="00B80461"/>
    <w:rsid w:val="00B80489"/>
    <w:rsid w:val="00B804B8"/>
    <w:rsid w:val="00B80579"/>
    <w:rsid w:val="00B805C2"/>
    <w:rsid w:val="00B808F9"/>
    <w:rsid w:val="00B809A3"/>
    <w:rsid w:val="00B809CA"/>
    <w:rsid w:val="00B80A59"/>
    <w:rsid w:val="00B80A7A"/>
    <w:rsid w:val="00B80F3A"/>
    <w:rsid w:val="00B80FD8"/>
    <w:rsid w:val="00B810B9"/>
    <w:rsid w:val="00B811C3"/>
    <w:rsid w:val="00B811EA"/>
    <w:rsid w:val="00B81304"/>
    <w:rsid w:val="00B813D6"/>
    <w:rsid w:val="00B814C5"/>
    <w:rsid w:val="00B81579"/>
    <w:rsid w:val="00B81630"/>
    <w:rsid w:val="00B8170C"/>
    <w:rsid w:val="00B81768"/>
    <w:rsid w:val="00B81A34"/>
    <w:rsid w:val="00B81A6F"/>
    <w:rsid w:val="00B81AD3"/>
    <w:rsid w:val="00B81C7F"/>
    <w:rsid w:val="00B81CA0"/>
    <w:rsid w:val="00B81CCA"/>
    <w:rsid w:val="00B81E1B"/>
    <w:rsid w:val="00B81EAD"/>
    <w:rsid w:val="00B81FB9"/>
    <w:rsid w:val="00B820C5"/>
    <w:rsid w:val="00B82142"/>
    <w:rsid w:val="00B822F3"/>
    <w:rsid w:val="00B822F9"/>
    <w:rsid w:val="00B82309"/>
    <w:rsid w:val="00B8234E"/>
    <w:rsid w:val="00B82368"/>
    <w:rsid w:val="00B824E1"/>
    <w:rsid w:val="00B82663"/>
    <w:rsid w:val="00B82AAE"/>
    <w:rsid w:val="00B82B0A"/>
    <w:rsid w:val="00B82B16"/>
    <w:rsid w:val="00B82C01"/>
    <w:rsid w:val="00B82DEF"/>
    <w:rsid w:val="00B832D0"/>
    <w:rsid w:val="00B83454"/>
    <w:rsid w:val="00B83688"/>
    <w:rsid w:val="00B83697"/>
    <w:rsid w:val="00B83782"/>
    <w:rsid w:val="00B83833"/>
    <w:rsid w:val="00B8385F"/>
    <w:rsid w:val="00B838B0"/>
    <w:rsid w:val="00B838DE"/>
    <w:rsid w:val="00B83976"/>
    <w:rsid w:val="00B83AE2"/>
    <w:rsid w:val="00B83BE4"/>
    <w:rsid w:val="00B83F8E"/>
    <w:rsid w:val="00B84292"/>
    <w:rsid w:val="00B8453F"/>
    <w:rsid w:val="00B845FB"/>
    <w:rsid w:val="00B84908"/>
    <w:rsid w:val="00B8490E"/>
    <w:rsid w:val="00B849C0"/>
    <w:rsid w:val="00B84B17"/>
    <w:rsid w:val="00B84C5F"/>
    <w:rsid w:val="00B84D43"/>
    <w:rsid w:val="00B84D95"/>
    <w:rsid w:val="00B84E39"/>
    <w:rsid w:val="00B85013"/>
    <w:rsid w:val="00B85027"/>
    <w:rsid w:val="00B85121"/>
    <w:rsid w:val="00B85382"/>
    <w:rsid w:val="00B857E7"/>
    <w:rsid w:val="00B85C78"/>
    <w:rsid w:val="00B860B5"/>
    <w:rsid w:val="00B8623A"/>
    <w:rsid w:val="00B86402"/>
    <w:rsid w:val="00B8684F"/>
    <w:rsid w:val="00B8698D"/>
    <w:rsid w:val="00B86A92"/>
    <w:rsid w:val="00B86AED"/>
    <w:rsid w:val="00B86B90"/>
    <w:rsid w:val="00B86BCA"/>
    <w:rsid w:val="00B86DA7"/>
    <w:rsid w:val="00B86DD1"/>
    <w:rsid w:val="00B86F83"/>
    <w:rsid w:val="00B86FB5"/>
    <w:rsid w:val="00B86FFC"/>
    <w:rsid w:val="00B87307"/>
    <w:rsid w:val="00B87311"/>
    <w:rsid w:val="00B87331"/>
    <w:rsid w:val="00B87367"/>
    <w:rsid w:val="00B87504"/>
    <w:rsid w:val="00B876C6"/>
    <w:rsid w:val="00B87A79"/>
    <w:rsid w:val="00B87E5E"/>
    <w:rsid w:val="00B87E94"/>
    <w:rsid w:val="00B87E95"/>
    <w:rsid w:val="00B87F06"/>
    <w:rsid w:val="00B90042"/>
    <w:rsid w:val="00B90118"/>
    <w:rsid w:val="00B901D6"/>
    <w:rsid w:val="00B9041A"/>
    <w:rsid w:val="00B90659"/>
    <w:rsid w:val="00B9096E"/>
    <w:rsid w:val="00B90EBC"/>
    <w:rsid w:val="00B911DA"/>
    <w:rsid w:val="00B9120D"/>
    <w:rsid w:val="00B91293"/>
    <w:rsid w:val="00B91311"/>
    <w:rsid w:val="00B9132E"/>
    <w:rsid w:val="00B91388"/>
    <w:rsid w:val="00B915D0"/>
    <w:rsid w:val="00B916DB"/>
    <w:rsid w:val="00B91798"/>
    <w:rsid w:val="00B91875"/>
    <w:rsid w:val="00B91883"/>
    <w:rsid w:val="00B91A30"/>
    <w:rsid w:val="00B91AAB"/>
    <w:rsid w:val="00B91BF1"/>
    <w:rsid w:val="00B91C99"/>
    <w:rsid w:val="00B91D74"/>
    <w:rsid w:val="00B91E44"/>
    <w:rsid w:val="00B920A3"/>
    <w:rsid w:val="00B92188"/>
    <w:rsid w:val="00B92199"/>
    <w:rsid w:val="00B922B8"/>
    <w:rsid w:val="00B9237F"/>
    <w:rsid w:val="00B923E1"/>
    <w:rsid w:val="00B923EA"/>
    <w:rsid w:val="00B9273A"/>
    <w:rsid w:val="00B92ECB"/>
    <w:rsid w:val="00B92FB1"/>
    <w:rsid w:val="00B930DC"/>
    <w:rsid w:val="00B931CD"/>
    <w:rsid w:val="00B93355"/>
    <w:rsid w:val="00B934AE"/>
    <w:rsid w:val="00B93612"/>
    <w:rsid w:val="00B93625"/>
    <w:rsid w:val="00B9387B"/>
    <w:rsid w:val="00B9392B"/>
    <w:rsid w:val="00B93DFB"/>
    <w:rsid w:val="00B93FFC"/>
    <w:rsid w:val="00B941F2"/>
    <w:rsid w:val="00B942F0"/>
    <w:rsid w:val="00B942F3"/>
    <w:rsid w:val="00B94323"/>
    <w:rsid w:val="00B94339"/>
    <w:rsid w:val="00B9446F"/>
    <w:rsid w:val="00B946BF"/>
    <w:rsid w:val="00B946C5"/>
    <w:rsid w:val="00B94778"/>
    <w:rsid w:val="00B947A1"/>
    <w:rsid w:val="00B94841"/>
    <w:rsid w:val="00B9485E"/>
    <w:rsid w:val="00B94A3B"/>
    <w:rsid w:val="00B94A69"/>
    <w:rsid w:val="00B94AC6"/>
    <w:rsid w:val="00B94B40"/>
    <w:rsid w:val="00B94F46"/>
    <w:rsid w:val="00B9501A"/>
    <w:rsid w:val="00B9508F"/>
    <w:rsid w:val="00B9526F"/>
    <w:rsid w:val="00B952B9"/>
    <w:rsid w:val="00B9535B"/>
    <w:rsid w:val="00B9555B"/>
    <w:rsid w:val="00B955B3"/>
    <w:rsid w:val="00B9578D"/>
    <w:rsid w:val="00B9592B"/>
    <w:rsid w:val="00B95ADC"/>
    <w:rsid w:val="00B95FD1"/>
    <w:rsid w:val="00B96159"/>
    <w:rsid w:val="00B96197"/>
    <w:rsid w:val="00B961B4"/>
    <w:rsid w:val="00B9625F"/>
    <w:rsid w:val="00B96281"/>
    <w:rsid w:val="00B9630A"/>
    <w:rsid w:val="00B964E1"/>
    <w:rsid w:val="00B966C9"/>
    <w:rsid w:val="00B966CD"/>
    <w:rsid w:val="00B96760"/>
    <w:rsid w:val="00B96803"/>
    <w:rsid w:val="00B9704A"/>
    <w:rsid w:val="00B97127"/>
    <w:rsid w:val="00B97893"/>
    <w:rsid w:val="00B978A7"/>
    <w:rsid w:val="00B97933"/>
    <w:rsid w:val="00B9798A"/>
    <w:rsid w:val="00B97C06"/>
    <w:rsid w:val="00B97C79"/>
    <w:rsid w:val="00B97F6A"/>
    <w:rsid w:val="00BA014E"/>
    <w:rsid w:val="00BA0283"/>
    <w:rsid w:val="00BA045F"/>
    <w:rsid w:val="00BA0644"/>
    <w:rsid w:val="00BA08CC"/>
    <w:rsid w:val="00BA096F"/>
    <w:rsid w:val="00BA09AF"/>
    <w:rsid w:val="00BA0A60"/>
    <w:rsid w:val="00BA0B5A"/>
    <w:rsid w:val="00BA0C02"/>
    <w:rsid w:val="00BA0CE6"/>
    <w:rsid w:val="00BA0D97"/>
    <w:rsid w:val="00BA1011"/>
    <w:rsid w:val="00BA1112"/>
    <w:rsid w:val="00BA1584"/>
    <w:rsid w:val="00BA15E8"/>
    <w:rsid w:val="00BA1727"/>
    <w:rsid w:val="00BA1B8D"/>
    <w:rsid w:val="00BA1BF7"/>
    <w:rsid w:val="00BA1E45"/>
    <w:rsid w:val="00BA1F45"/>
    <w:rsid w:val="00BA2078"/>
    <w:rsid w:val="00BA213E"/>
    <w:rsid w:val="00BA2178"/>
    <w:rsid w:val="00BA2313"/>
    <w:rsid w:val="00BA244A"/>
    <w:rsid w:val="00BA2529"/>
    <w:rsid w:val="00BA25AC"/>
    <w:rsid w:val="00BA284C"/>
    <w:rsid w:val="00BA28CD"/>
    <w:rsid w:val="00BA2B63"/>
    <w:rsid w:val="00BA2CBF"/>
    <w:rsid w:val="00BA2E0F"/>
    <w:rsid w:val="00BA3092"/>
    <w:rsid w:val="00BA3105"/>
    <w:rsid w:val="00BA31A9"/>
    <w:rsid w:val="00BA32E2"/>
    <w:rsid w:val="00BA361C"/>
    <w:rsid w:val="00BA362D"/>
    <w:rsid w:val="00BA36BA"/>
    <w:rsid w:val="00BA3793"/>
    <w:rsid w:val="00BA389B"/>
    <w:rsid w:val="00BA418D"/>
    <w:rsid w:val="00BA41B8"/>
    <w:rsid w:val="00BA42C2"/>
    <w:rsid w:val="00BA4393"/>
    <w:rsid w:val="00BA463A"/>
    <w:rsid w:val="00BA46E1"/>
    <w:rsid w:val="00BA485B"/>
    <w:rsid w:val="00BA4B68"/>
    <w:rsid w:val="00BA4DBE"/>
    <w:rsid w:val="00BA515E"/>
    <w:rsid w:val="00BA5250"/>
    <w:rsid w:val="00BA53BC"/>
    <w:rsid w:val="00BA55CB"/>
    <w:rsid w:val="00BA56BC"/>
    <w:rsid w:val="00BA57CA"/>
    <w:rsid w:val="00BA57D1"/>
    <w:rsid w:val="00BA5A4B"/>
    <w:rsid w:val="00BA5A6D"/>
    <w:rsid w:val="00BA5A71"/>
    <w:rsid w:val="00BA5B53"/>
    <w:rsid w:val="00BA5B9A"/>
    <w:rsid w:val="00BA5C04"/>
    <w:rsid w:val="00BA5E3E"/>
    <w:rsid w:val="00BA5F51"/>
    <w:rsid w:val="00BA5FC4"/>
    <w:rsid w:val="00BA60C3"/>
    <w:rsid w:val="00BA61DB"/>
    <w:rsid w:val="00BA6303"/>
    <w:rsid w:val="00BA641B"/>
    <w:rsid w:val="00BA641D"/>
    <w:rsid w:val="00BA66EB"/>
    <w:rsid w:val="00BA6705"/>
    <w:rsid w:val="00BA6746"/>
    <w:rsid w:val="00BA677E"/>
    <w:rsid w:val="00BA6A4F"/>
    <w:rsid w:val="00BA6A57"/>
    <w:rsid w:val="00BA6A87"/>
    <w:rsid w:val="00BA6AC1"/>
    <w:rsid w:val="00BA6CFE"/>
    <w:rsid w:val="00BA6DED"/>
    <w:rsid w:val="00BA6E33"/>
    <w:rsid w:val="00BA6F42"/>
    <w:rsid w:val="00BA71AB"/>
    <w:rsid w:val="00BA721E"/>
    <w:rsid w:val="00BA7279"/>
    <w:rsid w:val="00BA744B"/>
    <w:rsid w:val="00BA74B2"/>
    <w:rsid w:val="00BA7618"/>
    <w:rsid w:val="00BA7D83"/>
    <w:rsid w:val="00BA7DDF"/>
    <w:rsid w:val="00BA7E0A"/>
    <w:rsid w:val="00BB002D"/>
    <w:rsid w:val="00BB0122"/>
    <w:rsid w:val="00BB0375"/>
    <w:rsid w:val="00BB0429"/>
    <w:rsid w:val="00BB0536"/>
    <w:rsid w:val="00BB0656"/>
    <w:rsid w:val="00BB06FB"/>
    <w:rsid w:val="00BB0A21"/>
    <w:rsid w:val="00BB0A5E"/>
    <w:rsid w:val="00BB0AC5"/>
    <w:rsid w:val="00BB0BDA"/>
    <w:rsid w:val="00BB0E8D"/>
    <w:rsid w:val="00BB0F74"/>
    <w:rsid w:val="00BB11B1"/>
    <w:rsid w:val="00BB12B0"/>
    <w:rsid w:val="00BB141D"/>
    <w:rsid w:val="00BB15FA"/>
    <w:rsid w:val="00BB16C3"/>
    <w:rsid w:val="00BB17DA"/>
    <w:rsid w:val="00BB1B28"/>
    <w:rsid w:val="00BB1B56"/>
    <w:rsid w:val="00BB1CB0"/>
    <w:rsid w:val="00BB1EB0"/>
    <w:rsid w:val="00BB220B"/>
    <w:rsid w:val="00BB2308"/>
    <w:rsid w:val="00BB232B"/>
    <w:rsid w:val="00BB28AC"/>
    <w:rsid w:val="00BB28C7"/>
    <w:rsid w:val="00BB2A9E"/>
    <w:rsid w:val="00BB2B1D"/>
    <w:rsid w:val="00BB2C30"/>
    <w:rsid w:val="00BB2CBD"/>
    <w:rsid w:val="00BB2E01"/>
    <w:rsid w:val="00BB2F89"/>
    <w:rsid w:val="00BB3058"/>
    <w:rsid w:val="00BB307D"/>
    <w:rsid w:val="00BB31DD"/>
    <w:rsid w:val="00BB3249"/>
    <w:rsid w:val="00BB3348"/>
    <w:rsid w:val="00BB3478"/>
    <w:rsid w:val="00BB36EE"/>
    <w:rsid w:val="00BB3799"/>
    <w:rsid w:val="00BB3D68"/>
    <w:rsid w:val="00BB3DA9"/>
    <w:rsid w:val="00BB3E79"/>
    <w:rsid w:val="00BB417A"/>
    <w:rsid w:val="00BB4385"/>
    <w:rsid w:val="00BB450D"/>
    <w:rsid w:val="00BB47D1"/>
    <w:rsid w:val="00BB47F2"/>
    <w:rsid w:val="00BB4901"/>
    <w:rsid w:val="00BB492F"/>
    <w:rsid w:val="00BB4A9F"/>
    <w:rsid w:val="00BB4AD2"/>
    <w:rsid w:val="00BB4BFC"/>
    <w:rsid w:val="00BB4E1B"/>
    <w:rsid w:val="00BB5240"/>
    <w:rsid w:val="00BB52BA"/>
    <w:rsid w:val="00BB5573"/>
    <w:rsid w:val="00BB5732"/>
    <w:rsid w:val="00BB5828"/>
    <w:rsid w:val="00BB5866"/>
    <w:rsid w:val="00BB5A4A"/>
    <w:rsid w:val="00BB5B6C"/>
    <w:rsid w:val="00BB5BE0"/>
    <w:rsid w:val="00BB5D33"/>
    <w:rsid w:val="00BB5DCC"/>
    <w:rsid w:val="00BB5EED"/>
    <w:rsid w:val="00BB5FB9"/>
    <w:rsid w:val="00BB5FDC"/>
    <w:rsid w:val="00BB6329"/>
    <w:rsid w:val="00BB641F"/>
    <w:rsid w:val="00BB6534"/>
    <w:rsid w:val="00BB6733"/>
    <w:rsid w:val="00BB682D"/>
    <w:rsid w:val="00BB68C1"/>
    <w:rsid w:val="00BB6BA0"/>
    <w:rsid w:val="00BB6CB1"/>
    <w:rsid w:val="00BB6D3E"/>
    <w:rsid w:val="00BB6D62"/>
    <w:rsid w:val="00BB6E40"/>
    <w:rsid w:val="00BB7072"/>
    <w:rsid w:val="00BB70B1"/>
    <w:rsid w:val="00BB70EF"/>
    <w:rsid w:val="00BB7128"/>
    <w:rsid w:val="00BB7242"/>
    <w:rsid w:val="00BB7486"/>
    <w:rsid w:val="00BB76B3"/>
    <w:rsid w:val="00BB78BA"/>
    <w:rsid w:val="00BB79C0"/>
    <w:rsid w:val="00BB7E58"/>
    <w:rsid w:val="00BB7EAA"/>
    <w:rsid w:val="00BC004D"/>
    <w:rsid w:val="00BC0276"/>
    <w:rsid w:val="00BC03FF"/>
    <w:rsid w:val="00BC0810"/>
    <w:rsid w:val="00BC0DBF"/>
    <w:rsid w:val="00BC0FC3"/>
    <w:rsid w:val="00BC105C"/>
    <w:rsid w:val="00BC1088"/>
    <w:rsid w:val="00BC1232"/>
    <w:rsid w:val="00BC169E"/>
    <w:rsid w:val="00BC16A3"/>
    <w:rsid w:val="00BC1936"/>
    <w:rsid w:val="00BC1974"/>
    <w:rsid w:val="00BC19DB"/>
    <w:rsid w:val="00BC1A39"/>
    <w:rsid w:val="00BC1AC3"/>
    <w:rsid w:val="00BC1BB4"/>
    <w:rsid w:val="00BC1D1C"/>
    <w:rsid w:val="00BC1E9D"/>
    <w:rsid w:val="00BC1FAC"/>
    <w:rsid w:val="00BC2230"/>
    <w:rsid w:val="00BC2562"/>
    <w:rsid w:val="00BC26E1"/>
    <w:rsid w:val="00BC2789"/>
    <w:rsid w:val="00BC27BD"/>
    <w:rsid w:val="00BC2B15"/>
    <w:rsid w:val="00BC2BAB"/>
    <w:rsid w:val="00BC2C67"/>
    <w:rsid w:val="00BC3075"/>
    <w:rsid w:val="00BC307B"/>
    <w:rsid w:val="00BC3228"/>
    <w:rsid w:val="00BC33D9"/>
    <w:rsid w:val="00BC352B"/>
    <w:rsid w:val="00BC36B9"/>
    <w:rsid w:val="00BC37C2"/>
    <w:rsid w:val="00BC3842"/>
    <w:rsid w:val="00BC3896"/>
    <w:rsid w:val="00BC3D41"/>
    <w:rsid w:val="00BC3DD7"/>
    <w:rsid w:val="00BC3E0A"/>
    <w:rsid w:val="00BC3FC0"/>
    <w:rsid w:val="00BC3FC6"/>
    <w:rsid w:val="00BC4209"/>
    <w:rsid w:val="00BC42E3"/>
    <w:rsid w:val="00BC431A"/>
    <w:rsid w:val="00BC43DB"/>
    <w:rsid w:val="00BC45D4"/>
    <w:rsid w:val="00BC484A"/>
    <w:rsid w:val="00BC4D51"/>
    <w:rsid w:val="00BC4D7D"/>
    <w:rsid w:val="00BC4D8E"/>
    <w:rsid w:val="00BC5135"/>
    <w:rsid w:val="00BC542D"/>
    <w:rsid w:val="00BC559D"/>
    <w:rsid w:val="00BC578E"/>
    <w:rsid w:val="00BC5BC9"/>
    <w:rsid w:val="00BC5F51"/>
    <w:rsid w:val="00BC5F61"/>
    <w:rsid w:val="00BC6110"/>
    <w:rsid w:val="00BC6194"/>
    <w:rsid w:val="00BC61D9"/>
    <w:rsid w:val="00BC6202"/>
    <w:rsid w:val="00BC6870"/>
    <w:rsid w:val="00BC6D02"/>
    <w:rsid w:val="00BC70C1"/>
    <w:rsid w:val="00BC710A"/>
    <w:rsid w:val="00BC7446"/>
    <w:rsid w:val="00BC7554"/>
    <w:rsid w:val="00BC75AF"/>
    <w:rsid w:val="00BC7782"/>
    <w:rsid w:val="00BC7846"/>
    <w:rsid w:val="00BC793A"/>
    <w:rsid w:val="00BC7AA9"/>
    <w:rsid w:val="00BC7BD6"/>
    <w:rsid w:val="00BC7FD2"/>
    <w:rsid w:val="00BD01BE"/>
    <w:rsid w:val="00BD02B3"/>
    <w:rsid w:val="00BD042A"/>
    <w:rsid w:val="00BD042F"/>
    <w:rsid w:val="00BD04D6"/>
    <w:rsid w:val="00BD0512"/>
    <w:rsid w:val="00BD0794"/>
    <w:rsid w:val="00BD0993"/>
    <w:rsid w:val="00BD0B11"/>
    <w:rsid w:val="00BD0CE1"/>
    <w:rsid w:val="00BD0CE7"/>
    <w:rsid w:val="00BD0D05"/>
    <w:rsid w:val="00BD0D07"/>
    <w:rsid w:val="00BD0E9C"/>
    <w:rsid w:val="00BD1000"/>
    <w:rsid w:val="00BD1156"/>
    <w:rsid w:val="00BD122D"/>
    <w:rsid w:val="00BD1379"/>
    <w:rsid w:val="00BD13FE"/>
    <w:rsid w:val="00BD144E"/>
    <w:rsid w:val="00BD15E1"/>
    <w:rsid w:val="00BD1610"/>
    <w:rsid w:val="00BD1641"/>
    <w:rsid w:val="00BD16CC"/>
    <w:rsid w:val="00BD17C5"/>
    <w:rsid w:val="00BD18A0"/>
    <w:rsid w:val="00BD1C9E"/>
    <w:rsid w:val="00BD1DAA"/>
    <w:rsid w:val="00BD1E16"/>
    <w:rsid w:val="00BD1FFD"/>
    <w:rsid w:val="00BD2060"/>
    <w:rsid w:val="00BD20C9"/>
    <w:rsid w:val="00BD227D"/>
    <w:rsid w:val="00BD22C2"/>
    <w:rsid w:val="00BD2381"/>
    <w:rsid w:val="00BD284C"/>
    <w:rsid w:val="00BD2856"/>
    <w:rsid w:val="00BD2921"/>
    <w:rsid w:val="00BD2979"/>
    <w:rsid w:val="00BD29D9"/>
    <w:rsid w:val="00BD2BC8"/>
    <w:rsid w:val="00BD2C3E"/>
    <w:rsid w:val="00BD2DD2"/>
    <w:rsid w:val="00BD2DE4"/>
    <w:rsid w:val="00BD2F70"/>
    <w:rsid w:val="00BD31FB"/>
    <w:rsid w:val="00BD32BF"/>
    <w:rsid w:val="00BD39A7"/>
    <w:rsid w:val="00BD3CE6"/>
    <w:rsid w:val="00BD3D79"/>
    <w:rsid w:val="00BD3F53"/>
    <w:rsid w:val="00BD4106"/>
    <w:rsid w:val="00BD4223"/>
    <w:rsid w:val="00BD4405"/>
    <w:rsid w:val="00BD4636"/>
    <w:rsid w:val="00BD46BD"/>
    <w:rsid w:val="00BD4776"/>
    <w:rsid w:val="00BD4816"/>
    <w:rsid w:val="00BD4A4E"/>
    <w:rsid w:val="00BD4A75"/>
    <w:rsid w:val="00BD4B34"/>
    <w:rsid w:val="00BD4C99"/>
    <w:rsid w:val="00BD4F41"/>
    <w:rsid w:val="00BD51B3"/>
    <w:rsid w:val="00BD5284"/>
    <w:rsid w:val="00BD54AA"/>
    <w:rsid w:val="00BD55E3"/>
    <w:rsid w:val="00BD563C"/>
    <w:rsid w:val="00BD5676"/>
    <w:rsid w:val="00BD56FE"/>
    <w:rsid w:val="00BD5764"/>
    <w:rsid w:val="00BD5898"/>
    <w:rsid w:val="00BD5D4E"/>
    <w:rsid w:val="00BD5D68"/>
    <w:rsid w:val="00BD5F43"/>
    <w:rsid w:val="00BD60A8"/>
    <w:rsid w:val="00BD60EA"/>
    <w:rsid w:val="00BD60EE"/>
    <w:rsid w:val="00BD616E"/>
    <w:rsid w:val="00BD6262"/>
    <w:rsid w:val="00BD655F"/>
    <w:rsid w:val="00BD6715"/>
    <w:rsid w:val="00BD6762"/>
    <w:rsid w:val="00BD67CA"/>
    <w:rsid w:val="00BD6849"/>
    <w:rsid w:val="00BD6C22"/>
    <w:rsid w:val="00BD6D22"/>
    <w:rsid w:val="00BD6E9E"/>
    <w:rsid w:val="00BD6EA4"/>
    <w:rsid w:val="00BD6ECA"/>
    <w:rsid w:val="00BD70D9"/>
    <w:rsid w:val="00BD7143"/>
    <w:rsid w:val="00BD7203"/>
    <w:rsid w:val="00BD749D"/>
    <w:rsid w:val="00BD785D"/>
    <w:rsid w:val="00BD78EF"/>
    <w:rsid w:val="00BD79A1"/>
    <w:rsid w:val="00BD7C70"/>
    <w:rsid w:val="00BD7EB7"/>
    <w:rsid w:val="00BE008B"/>
    <w:rsid w:val="00BE0598"/>
    <w:rsid w:val="00BE0A27"/>
    <w:rsid w:val="00BE0B89"/>
    <w:rsid w:val="00BE0BA9"/>
    <w:rsid w:val="00BE1136"/>
    <w:rsid w:val="00BE1712"/>
    <w:rsid w:val="00BE18C6"/>
    <w:rsid w:val="00BE18D5"/>
    <w:rsid w:val="00BE192D"/>
    <w:rsid w:val="00BE1B70"/>
    <w:rsid w:val="00BE1B72"/>
    <w:rsid w:val="00BE1CF1"/>
    <w:rsid w:val="00BE1DDE"/>
    <w:rsid w:val="00BE1E37"/>
    <w:rsid w:val="00BE1EF7"/>
    <w:rsid w:val="00BE2065"/>
    <w:rsid w:val="00BE21BF"/>
    <w:rsid w:val="00BE224B"/>
    <w:rsid w:val="00BE2306"/>
    <w:rsid w:val="00BE236D"/>
    <w:rsid w:val="00BE23DB"/>
    <w:rsid w:val="00BE2404"/>
    <w:rsid w:val="00BE2468"/>
    <w:rsid w:val="00BE278B"/>
    <w:rsid w:val="00BE288A"/>
    <w:rsid w:val="00BE2983"/>
    <w:rsid w:val="00BE29B8"/>
    <w:rsid w:val="00BE2A67"/>
    <w:rsid w:val="00BE2A68"/>
    <w:rsid w:val="00BE2F52"/>
    <w:rsid w:val="00BE3083"/>
    <w:rsid w:val="00BE3246"/>
    <w:rsid w:val="00BE330B"/>
    <w:rsid w:val="00BE33F0"/>
    <w:rsid w:val="00BE3458"/>
    <w:rsid w:val="00BE3988"/>
    <w:rsid w:val="00BE39BF"/>
    <w:rsid w:val="00BE3A18"/>
    <w:rsid w:val="00BE3AF6"/>
    <w:rsid w:val="00BE3D2B"/>
    <w:rsid w:val="00BE3EFB"/>
    <w:rsid w:val="00BE4125"/>
    <w:rsid w:val="00BE4166"/>
    <w:rsid w:val="00BE4221"/>
    <w:rsid w:val="00BE446D"/>
    <w:rsid w:val="00BE47D1"/>
    <w:rsid w:val="00BE4B82"/>
    <w:rsid w:val="00BE4F45"/>
    <w:rsid w:val="00BE4F7C"/>
    <w:rsid w:val="00BE4FBB"/>
    <w:rsid w:val="00BE5104"/>
    <w:rsid w:val="00BE5251"/>
    <w:rsid w:val="00BE546B"/>
    <w:rsid w:val="00BE54AF"/>
    <w:rsid w:val="00BE55E5"/>
    <w:rsid w:val="00BE561C"/>
    <w:rsid w:val="00BE577F"/>
    <w:rsid w:val="00BE5865"/>
    <w:rsid w:val="00BE5915"/>
    <w:rsid w:val="00BE5936"/>
    <w:rsid w:val="00BE5E7C"/>
    <w:rsid w:val="00BE60C4"/>
    <w:rsid w:val="00BE60D1"/>
    <w:rsid w:val="00BE6286"/>
    <w:rsid w:val="00BE6287"/>
    <w:rsid w:val="00BE62FC"/>
    <w:rsid w:val="00BE63CE"/>
    <w:rsid w:val="00BE64EF"/>
    <w:rsid w:val="00BE6608"/>
    <w:rsid w:val="00BE66C8"/>
    <w:rsid w:val="00BE6976"/>
    <w:rsid w:val="00BE6A44"/>
    <w:rsid w:val="00BE6A76"/>
    <w:rsid w:val="00BE6A7A"/>
    <w:rsid w:val="00BE6A9C"/>
    <w:rsid w:val="00BE6B29"/>
    <w:rsid w:val="00BE6F53"/>
    <w:rsid w:val="00BE6FEB"/>
    <w:rsid w:val="00BE709D"/>
    <w:rsid w:val="00BE721C"/>
    <w:rsid w:val="00BE728D"/>
    <w:rsid w:val="00BE72B1"/>
    <w:rsid w:val="00BE73DE"/>
    <w:rsid w:val="00BE7497"/>
    <w:rsid w:val="00BE74C6"/>
    <w:rsid w:val="00BE7572"/>
    <w:rsid w:val="00BE7663"/>
    <w:rsid w:val="00BE798F"/>
    <w:rsid w:val="00BE7AAB"/>
    <w:rsid w:val="00BE7B39"/>
    <w:rsid w:val="00BE7BBC"/>
    <w:rsid w:val="00BE7BD2"/>
    <w:rsid w:val="00BE7E07"/>
    <w:rsid w:val="00BE7FF6"/>
    <w:rsid w:val="00BF0060"/>
    <w:rsid w:val="00BF00DA"/>
    <w:rsid w:val="00BF0170"/>
    <w:rsid w:val="00BF0317"/>
    <w:rsid w:val="00BF0551"/>
    <w:rsid w:val="00BF05B6"/>
    <w:rsid w:val="00BF0638"/>
    <w:rsid w:val="00BF0782"/>
    <w:rsid w:val="00BF07C2"/>
    <w:rsid w:val="00BF0895"/>
    <w:rsid w:val="00BF0A40"/>
    <w:rsid w:val="00BF0B5D"/>
    <w:rsid w:val="00BF0B93"/>
    <w:rsid w:val="00BF0BCA"/>
    <w:rsid w:val="00BF107B"/>
    <w:rsid w:val="00BF129F"/>
    <w:rsid w:val="00BF142C"/>
    <w:rsid w:val="00BF164D"/>
    <w:rsid w:val="00BF1798"/>
    <w:rsid w:val="00BF17E4"/>
    <w:rsid w:val="00BF1822"/>
    <w:rsid w:val="00BF19E6"/>
    <w:rsid w:val="00BF1B52"/>
    <w:rsid w:val="00BF1D90"/>
    <w:rsid w:val="00BF1F12"/>
    <w:rsid w:val="00BF1F38"/>
    <w:rsid w:val="00BF1F98"/>
    <w:rsid w:val="00BF20E2"/>
    <w:rsid w:val="00BF21B9"/>
    <w:rsid w:val="00BF22F4"/>
    <w:rsid w:val="00BF2425"/>
    <w:rsid w:val="00BF262E"/>
    <w:rsid w:val="00BF26E5"/>
    <w:rsid w:val="00BF279D"/>
    <w:rsid w:val="00BF27BA"/>
    <w:rsid w:val="00BF27C2"/>
    <w:rsid w:val="00BF287F"/>
    <w:rsid w:val="00BF294D"/>
    <w:rsid w:val="00BF2AED"/>
    <w:rsid w:val="00BF2C21"/>
    <w:rsid w:val="00BF300D"/>
    <w:rsid w:val="00BF30A9"/>
    <w:rsid w:val="00BF31B6"/>
    <w:rsid w:val="00BF3412"/>
    <w:rsid w:val="00BF342B"/>
    <w:rsid w:val="00BF366A"/>
    <w:rsid w:val="00BF3BB7"/>
    <w:rsid w:val="00BF3C41"/>
    <w:rsid w:val="00BF3DAC"/>
    <w:rsid w:val="00BF3F71"/>
    <w:rsid w:val="00BF4208"/>
    <w:rsid w:val="00BF4248"/>
    <w:rsid w:val="00BF42BE"/>
    <w:rsid w:val="00BF43C3"/>
    <w:rsid w:val="00BF466D"/>
    <w:rsid w:val="00BF48DE"/>
    <w:rsid w:val="00BF4E57"/>
    <w:rsid w:val="00BF5318"/>
    <w:rsid w:val="00BF59C6"/>
    <w:rsid w:val="00BF5B01"/>
    <w:rsid w:val="00BF5DFB"/>
    <w:rsid w:val="00BF5FFC"/>
    <w:rsid w:val="00BF617B"/>
    <w:rsid w:val="00BF61E3"/>
    <w:rsid w:val="00BF6655"/>
    <w:rsid w:val="00BF671C"/>
    <w:rsid w:val="00BF6A92"/>
    <w:rsid w:val="00BF6CF1"/>
    <w:rsid w:val="00BF6FB8"/>
    <w:rsid w:val="00BF74D9"/>
    <w:rsid w:val="00BF7576"/>
    <w:rsid w:val="00BF7695"/>
    <w:rsid w:val="00BF774A"/>
    <w:rsid w:val="00BF77A3"/>
    <w:rsid w:val="00BF7879"/>
    <w:rsid w:val="00BF7AE1"/>
    <w:rsid w:val="00BF7B44"/>
    <w:rsid w:val="00BF7C3B"/>
    <w:rsid w:val="00BF7CBC"/>
    <w:rsid w:val="00BF7CF7"/>
    <w:rsid w:val="00BF7D7B"/>
    <w:rsid w:val="00BF7E55"/>
    <w:rsid w:val="00BF7F82"/>
    <w:rsid w:val="00C0002B"/>
    <w:rsid w:val="00C00117"/>
    <w:rsid w:val="00C004C3"/>
    <w:rsid w:val="00C005DB"/>
    <w:rsid w:val="00C00864"/>
    <w:rsid w:val="00C00B6E"/>
    <w:rsid w:val="00C00C19"/>
    <w:rsid w:val="00C00F59"/>
    <w:rsid w:val="00C00FAE"/>
    <w:rsid w:val="00C01133"/>
    <w:rsid w:val="00C01195"/>
    <w:rsid w:val="00C01246"/>
    <w:rsid w:val="00C013D2"/>
    <w:rsid w:val="00C01453"/>
    <w:rsid w:val="00C016DB"/>
    <w:rsid w:val="00C01747"/>
    <w:rsid w:val="00C018D9"/>
    <w:rsid w:val="00C01A8E"/>
    <w:rsid w:val="00C01AB1"/>
    <w:rsid w:val="00C01B3C"/>
    <w:rsid w:val="00C01B4E"/>
    <w:rsid w:val="00C01C0D"/>
    <w:rsid w:val="00C01C79"/>
    <w:rsid w:val="00C01C7B"/>
    <w:rsid w:val="00C01E5B"/>
    <w:rsid w:val="00C01E89"/>
    <w:rsid w:val="00C01F12"/>
    <w:rsid w:val="00C02493"/>
    <w:rsid w:val="00C0251A"/>
    <w:rsid w:val="00C02674"/>
    <w:rsid w:val="00C02716"/>
    <w:rsid w:val="00C0290F"/>
    <w:rsid w:val="00C02A56"/>
    <w:rsid w:val="00C02AFD"/>
    <w:rsid w:val="00C02BB5"/>
    <w:rsid w:val="00C02C8D"/>
    <w:rsid w:val="00C02FF3"/>
    <w:rsid w:val="00C032FE"/>
    <w:rsid w:val="00C03470"/>
    <w:rsid w:val="00C0353A"/>
    <w:rsid w:val="00C0376A"/>
    <w:rsid w:val="00C0376E"/>
    <w:rsid w:val="00C03997"/>
    <w:rsid w:val="00C03CA7"/>
    <w:rsid w:val="00C03F11"/>
    <w:rsid w:val="00C03FDE"/>
    <w:rsid w:val="00C0401D"/>
    <w:rsid w:val="00C042BF"/>
    <w:rsid w:val="00C043B7"/>
    <w:rsid w:val="00C045BA"/>
    <w:rsid w:val="00C045EE"/>
    <w:rsid w:val="00C04643"/>
    <w:rsid w:val="00C04856"/>
    <w:rsid w:val="00C04939"/>
    <w:rsid w:val="00C04D2A"/>
    <w:rsid w:val="00C04D96"/>
    <w:rsid w:val="00C05064"/>
    <w:rsid w:val="00C051C1"/>
    <w:rsid w:val="00C051E5"/>
    <w:rsid w:val="00C055E1"/>
    <w:rsid w:val="00C05725"/>
    <w:rsid w:val="00C05824"/>
    <w:rsid w:val="00C059B8"/>
    <w:rsid w:val="00C05A80"/>
    <w:rsid w:val="00C05C10"/>
    <w:rsid w:val="00C05D5E"/>
    <w:rsid w:val="00C05E04"/>
    <w:rsid w:val="00C061DD"/>
    <w:rsid w:val="00C0626E"/>
    <w:rsid w:val="00C062D5"/>
    <w:rsid w:val="00C06320"/>
    <w:rsid w:val="00C06323"/>
    <w:rsid w:val="00C063CD"/>
    <w:rsid w:val="00C06584"/>
    <w:rsid w:val="00C06809"/>
    <w:rsid w:val="00C06A61"/>
    <w:rsid w:val="00C06B09"/>
    <w:rsid w:val="00C06B93"/>
    <w:rsid w:val="00C0705F"/>
    <w:rsid w:val="00C07071"/>
    <w:rsid w:val="00C07293"/>
    <w:rsid w:val="00C072FC"/>
    <w:rsid w:val="00C0730B"/>
    <w:rsid w:val="00C0755C"/>
    <w:rsid w:val="00C075C4"/>
    <w:rsid w:val="00C0760A"/>
    <w:rsid w:val="00C078B3"/>
    <w:rsid w:val="00C078C2"/>
    <w:rsid w:val="00C07C20"/>
    <w:rsid w:val="00C07CC7"/>
    <w:rsid w:val="00C07D58"/>
    <w:rsid w:val="00C07E86"/>
    <w:rsid w:val="00C1009A"/>
    <w:rsid w:val="00C10288"/>
    <w:rsid w:val="00C103B4"/>
    <w:rsid w:val="00C103D6"/>
    <w:rsid w:val="00C1043C"/>
    <w:rsid w:val="00C10501"/>
    <w:rsid w:val="00C106A5"/>
    <w:rsid w:val="00C107C2"/>
    <w:rsid w:val="00C1088B"/>
    <w:rsid w:val="00C1095D"/>
    <w:rsid w:val="00C109E1"/>
    <w:rsid w:val="00C10D7E"/>
    <w:rsid w:val="00C10D8D"/>
    <w:rsid w:val="00C10E43"/>
    <w:rsid w:val="00C10E96"/>
    <w:rsid w:val="00C10EA7"/>
    <w:rsid w:val="00C10F5A"/>
    <w:rsid w:val="00C110CC"/>
    <w:rsid w:val="00C1115D"/>
    <w:rsid w:val="00C112B0"/>
    <w:rsid w:val="00C11486"/>
    <w:rsid w:val="00C11781"/>
    <w:rsid w:val="00C118DA"/>
    <w:rsid w:val="00C11A47"/>
    <w:rsid w:val="00C11B31"/>
    <w:rsid w:val="00C11B80"/>
    <w:rsid w:val="00C11DD2"/>
    <w:rsid w:val="00C11EF5"/>
    <w:rsid w:val="00C120CF"/>
    <w:rsid w:val="00C1222C"/>
    <w:rsid w:val="00C1247A"/>
    <w:rsid w:val="00C124C9"/>
    <w:rsid w:val="00C128D7"/>
    <w:rsid w:val="00C12A86"/>
    <w:rsid w:val="00C12D9A"/>
    <w:rsid w:val="00C12E61"/>
    <w:rsid w:val="00C13015"/>
    <w:rsid w:val="00C1301A"/>
    <w:rsid w:val="00C13068"/>
    <w:rsid w:val="00C1308E"/>
    <w:rsid w:val="00C1318D"/>
    <w:rsid w:val="00C13201"/>
    <w:rsid w:val="00C13380"/>
    <w:rsid w:val="00C134EA"/>
    <w:rsid w:val="00C13509"/>
    <w:rsid w:val="00C13AB7"/>
    <w:rsid w:val="00C13ABC"/>
    <w:rsid w:val="00C13B08"/>
    <w:rsid w:val="00C13B9A"/>
    <w:rsid w:val="00C13C54"/>
    <w:rsid w:val="00C13F17"/>
    <w:rsid w:val="00C14140"/>
    <w:rsid w:val="00C14174"/>
    <w:rsid w:val="00C141F9"/>
    <w:rsid w:val="00C14367"/>
    <w:rsid w:val="00C143D5"/>
    <w:rsid w:val="00C147D2"/>
    <w:rsid w:val="00C149C8"/>
    <w:rsid w:val="00C14A51"/>
    <w:rsid w:val="00C14BF3"/>
    <w:rsid w:val="00C14E90"/>
    <w:rsid w:val="00C14F34"/>
    <w:rsid w:val="00C151E7"/>
    <w:rsid w:val="00C15241"/>
    <w:rsid w:val="00C154C4"/>
    <w:rsid w:val="00C155B3"/>
    <w:rsid w:val="00C1561B"/>
    <w:rsid w:val="00C157AF"/>
    <w:rsid w:val="00C159D2"/>
    <w:rsid w:val="00C159EF"/>
    <w:rsid w:val="00C15BA3"/>
    <w:rsid w:val="00C15CF2"/>
    <w:rsid w:val="00C15D13"/>
    <w:rsid w:val="00C1602A"/>
    <w:rsid w:val="00C1611F"/>
    <w:rsid w:val="00C16196"/>
    <w:rsid w:val="00C16378"/>
    <w:rsid w:val="00C163F6"/>
    <w:rsid w:val="00C164CA"/>
    <w:rsid w:val="00C16644"/>
    <w:rsid w:val="00C168B3"/>
    <w:rsid w:val="00C16910"/>
    <w:rsid w:val="00C16927"/>
    <w:rsid w:val="00C16B43"/>
    <w:rsid w:val="00C16B51"/>
    <w:rsid w:val="00C16B86"/>
    <w:rsid w:val="00C16CBA"/>
    <w:rsid w:val="00C16CF7"/>
    <w:rsid w:val="00C16E48"/>
    <w:rsid w:val="00C16F73"/>
    <w:rsid w:val="00C16FCA"/>
    <w:rsid w:val="00C1700B"/>
    <w:rsid w:val="00C172AA"/>
    <w:rsid w:val="00C173D9"/>
    <w:rsid w:val="00C17470"/>
    <w:rsid w:val="00C174B7"/>
    <w:rsid w:val="00C175B1"/>
    <w:rsid w:val="00C175EC"/>
    <w:rsid w:val="00C1766C"/>
    <w:rsid w:val="00C176D8"/>
    <w:rsid w:val="00C17808"/>
    <w:rsid w:val="00C17AAF"/>
    <w:rsid w:val="00C17C57"/>
    <w:rsid w:val="00C17CED"/>
    <w:rsid w:val="00C20609"/>
    <w:rsid w:val="00C20672"/>
    <w:rsid w:val="00C20762"/>
    <w:rsid w:val="00C2092C"/>
    <w:rsid w:val="00C20A38"/>
    <w:rsid w:val="00C20A9C"/>
    <w:rsid w:val="00C20B1B"/>
    <w:rsid w:val="00C20BC1"/>
    <w:rsid w:val="00C20F69"/>
    <w:rsid w:val="00C211CF"/>
    <w:rsid w:val="00C213F7"/>
    <w:rsid w:val="00C2164A"/>
    <w:rsid w:val="00C216AA"/>
    <w:rsid w:val="00C219DD"/>
    <w:rsid w:val="00C21AE2"/>
    <w:rsid w:val="00C21C54"/>
    <w:rsid w:val="00C21CCA"/>
    <w:rsid w:val="00C21F19"/>
    <w:rsid w:val="00C221CD"/>
    <w:rsid w:val="00C221E4"/>
    <w:rsid w:val="00C2244C"/>
    <w:rsid w:val="00C224FF"/>
    <w:rsid w:val="00C22699"/>
    <w:rsid w:val="00C2279E"/>
    <w:rsid w:val="00C22BEA"/>
    <w:rsid w:val="00C22E12"/>
    <w:rsid w:val="00C22EFA"/>
    <w:rsid w:val="00C22FAD"/>
    <w:rsid w:val="00C2331F"/>
    <w:rsid w:val="00C23A6B"/>
    <w:rsid w:val="00C23BB5"/>
    <w:rsid w:val="00C23D3E"/>
    <w:rsid w:val="00C23E0D"/>
    <w:rsid w:val="00C23E8C"/>
    <w:rsid w:val="00C23EEE"/>
    <w:rsid w:val="00C2402B"/>
    <w:rsid w:val="00C241E4"/>
    <w:rsid w:val="00C24325"/>
    <w:rsid w:val="00C2433D"/>
    <w:rsid w:val="00C244EE"/>
    <w:rsid w:val="00C248AC"/>
    <w:rsid w:val="00C2493F"/>
    <w:rsid w:val="00C24B5B"/>
    <w:rsid w:val="00C24E77"/>
    <w:rsid w:val="00C25031"/>
    <w:rsid w:val="00C251E9"/>
    <w:rsid w:val="00C252B4"/>
    <w:rsid w:val="00C253FA"/>
    <w:rsid w:val="00C25464"/>
    <w:rsid w:val="00C2551D"/>
    <w:rsid w:val="00C25593"/>
    <w:rsid w:val="00C25A21"/>
    <w:rsid w:val="00C25C36"/>
    <w:rsid w:val="00C25D0D"/>
    <w:rsid w:val="00C25D4A"/>
    <w:rsid w:val="00C25D7F"/>
    <w:rsid w:val="00C25D83"/>
    <w:rsid w:val="00C25DF0"/>
    <w:rsid w:val="00C25EC4"/>
    <w:rsid w:val="00C26329"/>
    <w:rsid w:val="00C2639F"/>
    <w:rsid w:val="00C2696E"/>
    <w:rsid w:val="00C26A2D"/>
    <w:rsid w:val="00C26BF2"/>
    <w:rsid w:val="00C26E36"/>
    <w:rsid w:val="00C2707D"/>
    <w:rsid w:val="00C270B2"/>
    <w:rsid w:val="00C270EB"/>
    <w:rsid w:val="00C27308"/>
    <w:rsid w:val="00C27347"/>
    <w:rsid w:val="00C273E7"/>
    <w:rsid w:val="00C276AF"/>
    <w:rsid w:val="00C27A8E"/>
    <w:rsid w:val="00C27CAE"/>
    <w:rsid w:val="00C27D89"/>
    <w:rsid w:val="00C27ED7"/>
    <w:rsid w:val="00C27EE2"/>
    <w:rsid w:val="00C3019C"/>
    <w:rsid w:val="00C301D9"/>
    <w:rsid w:val="00C302BE"/>
    <w:rsid w:val="00C30419"/>
    <w:rsid w:val="00C30637"/>
    <w:rsid w:val="00C30660"/>
    <w:rsid w:val="00C30671"/>
    <w:rsid w:val="00C30B28"/>
    <w:rsid w:val="00C30EC3"/>
    <w:rsid w:val="00C3107B"/>
    <w:rsid w:val="00C310B1"/>
    <w:rsid w:val="00C3113F"/>
    <w:rsid w:val="00C31165"/>
    <w:rsid w:val="00C31297"/>
    <w:rsid w:val="00C312D0"/>
    <w:rsid w:val="00C31334"/>
    <w:rsid w:val="00C3136F"/>
    <w:rsid w:val="00C3192E"/>
    <w:rsid w:val="00C319C5"/>
    <w:rsid w:val="00C31A97"/>
    <w:rsid w:val="00C320F1"/>
    <w:rsid w:val="00C3246A"/>
    <w:rsid w:val="00C3267E"/>
    <w:rsid w:val="00C326A4"/>
    <w:rsid w:val="00C32785"/>
    <w:rsid w:val="00C32922"/>
    <w:rsid w:val="00C32A15"/>
    <w:rsid w:val="00C32BFA"/>
    <w:rsid w:val="00C32C84"/>
    <w:rsid w:val="00C32D5A"/>
    <w:rsid w:val="00C32DEB"/>
    <w:rsid w:val="00C33129"/>
    <w:rsid w:val="00C33206"/>
    <w:rsid w:val="00C33275"/>
    <w:rsid w:val="00C332C7"/>
    <w:rsid w:val="00C332C9"/>
    <w:rsid w:val="00C3336D"/>
    <w:rsid w:val="00C3346E"/>
    <w:rsid w:val="00C33600"/>
    <w:rsid w:val="00C33609"/>
    <w:rsid w:val="00C338B5"/>
    <w:rsid w:val="00C3399A"/>
    <w:rsid w:val="00C339FD"/>
    <w:rsid w:val="00C33A71"/>
    <w:rsid w:val="00C33B7C"/>
    <w:rsid w:val="00C33DD8"/>
    <w:rsid w:val="00C33E12"/>
    <w:rsid w:val="00C33F0D"/>
    <w:rsid w:val="00C3405E"/>
    <w:rsid w:val="00C3408A"/>
    <w:rsid w:val="00C342AD"/>
    <w:rsid w:val="00C344A1"/>
    <w:rsid w:val="00C3458A"/>
    <w:rsid w:val="00C34707"/>
    <w:rsid w:val="00C347AF"/>
    <w:rsid w:val="00C34988"/>
    <w:rsid w:val="00C34B85"/>
    <w:rsid w:val="00C34D3D"/>
    <w:rsid w:val="00C34E55"/>
    <w:rsid w:val="00C3502E"/>
    <w:rsid w:val="00C35489"/>
    <w:rsid w:val="00C35731"/>
    <w:rsid w:val="00C3577E"/>
    <w:rsid w:val="00C3593D"/>
    <w:rsid w:val="00C35983"/>
    <w:rsid w:val="00C35A0D"/>
    <w:rsid w:val="00C35D0B"/>
    <w:rsid w:val="00C35D1A"/>
    <w:rsid w:val="00C35DDD"/>
    <w:rsid w:val="00C35E4E"/>
    <w:rsid w:val="00C35E51"/>
    <w:rsid w:val="00C35FB6"/>
    <w:rsid w:val="00C36087"/>
    <w:rsid w:val="00C361B9"/>
    <w:rsid w:val="00C36296"/>
    <w:rsid w:val="00C3634F"/>
    <w:rsid w:val="00C36473"/>
    <w:rsid w:val="00C3655B"/>
    <w:rsid w:val="00C36681"/>
    <w:rsid w:val="00C368A7"/>
    <w:rsid w:val="00C369A4"/>
    <w:rsid w:val="00C36A1B"/>
    <w:rsid w:val="00C36F0A"/>
    <w:rsid w:val="00C37507"/>
    <w:rsid w:val="00C3754B"/>
    <w:rsid w:val="00C3769A"/>
    <w:rsid w:val="00C37958"/>
    <w:rsid w:val="00C37ECB"/>
    <w:rsid w:val="00C37F9D"/>
    <w:rsid w:val="00C37FFE"/>
    <w:rsid w:val="00C40084"/>
    <w:rsid w:val="00C400E8"/>
    <w:rsid w:val="00C40126"/>
    <w:rsid w:val="00C401C8"/>
    <w:rsid w:val="00C402C4"/>
    <w:rsid w:val="00C40323"/>
    <w:rsid w:val="00C4052B"/>
    <w:rsid w:val="00C4052E"/>
    <w:rsid w:val="00C405C0"/>
    <w:rsid w:val="00C405E1"/>
    <w:rsid w:val="00C407A5"/>
    <w:rsid w:val="00C407CD"/>
    <w:rsid w:val="00C407D4"/>
    <w:rsid w:val="00C40AA0"/>
    <w:rsid w:val="00C40AF1"/>
    <w:rsid w:val="00C40B2C"/>
    <w:rsid w:val="00C40F2A"/>
    <w:rsid w:val="00C4123C"/>
    <w:rsid w:val="00C41685"/>
    <w:rsid w:val="00C41766"/>
    <w:rsid w:val="00C41EFF"/>
    <w:rsid w:val="00C41FE0"/>
    <w:rsid w:val="00C420AC"/>
    <w:rsid w:val="00C42188"/>
    <w:rsid w:val="00C421A1"/>
    <w:rsid w:val="00C42219"/>
    <w:rsid w:val="00C42429"/>
    <w:rsid w:val="00C425EB"/>
    <w:rsid w:val="00C426A0"/>
    <w:rsid w:val="00C42864"/>
    <w:rsid w:val="00C42942"/>
    <w:rsid w:val="00C42A2D"/>
    <w:rsid w:val="00C42A52"/>
    <w:rsid w:val="00C42BDA"/>
    <w:rsid w:val="00C42E4C"/>
    <w:rsid w:val="00C42F88"/>
    <w:rsid w:val="00C42FEA"/>
    <w:rsid w:val="00C434E4"/>
    <w:rsid w:val="00C4361A"/>
    <w:rsid w:val="00C43726"/>
    <w:rsid w:val="00C437B6"/>
    <w:rsid w:val="00C43A10"/>
    <w:rsid w:val="00C43C7A"/>
    <w:rsid w:val="00C43CDB"/>
    <w:rsid w:val="00C43D5B"/>
    <w:rsid w:val="00C43DA3"/>
    <w:rsid w:val="00C43E6C"/>
    <w:rsid w:val="00C440A5"/>
    <w:rsid w:val="00C44280"/>
    <w:rsid w:val="00C445F9"/>
    <w:rsid w:val="00C447BF"/>
    <w:rsid w:val="00C448C7"/>
    <w:rsid w:val="00C448E3"/>
    <w:rsid w:val="00C44931"/>
    <w:rsid w:val="00C44DB1"/>
    <w:rsid w:val="00C44F1C"/>
    <w:rsid w:val="00C45220"/>
    <w:rsid w:val="00C45480"/>
    <w:rsid w:val="00C45554"/>
    <w:rsid w:val="00C455BE"/>
    <w:rsid w:val="00C455C6"/>
    <w:rsid w:val="00C459D2"/>
    <w:rsid w:val="00C459E1"/>
    <w:rsid w:val="00C45A7C"/>
    <w:rsid w:val="00C45B38"/>
    <w:rsid w:val="00C45BB9"/>
    <w:rsid w:val="00C45CFB"/>
    <w:rsid w:val="00C45F20"/>
    <w:rsid w:val="00C460AC"/>
    <w:rsid w:val="00C46270"/>
    <w:rsid w:val="00C462D1"/>
    <w:rsid w:val="00C466B0"/>
    <w:rsid w:val="00C466F5"/>
    <w:rsid w:val="00C46A55"/>
    <w:rsid w:val="00C46CA9"/>
    <w:rsid w:val="00C46D80"/>
    <w:rsid w:val="00C46DE1"/>
    <w:rsid w:val="00C46EB1"/>
    <w:rsid w:val="00C47453"/>
    <w:rsid w:val="00C47585"/>
    <w:rsid w:val="00C47B19"/>
    <w:rsid w:val="00C47C9F"/>
    <w:rsid w:val="00C47D7E"/>
    <w:rsid w:val="00C47E2C"/>
    <w:rsid w:val="00C50058"/>
    <w:rsid w:val="00C500A7"/>
    <w:rsid w:val="00C500D6"/>
    <w:rsid w:val="00C500F8"/>
    <w:rsid w:val="00C50383"/>
    <w:rsid w:val="00C50416"/>
    <w:rsid w:val="00C504A9"/>
    <w:rsid w:val="00C5050D"/>
    <w:rsid w:val="00C50519"/>
    <w:rsid w:val="00C5057F"/>
    <w:rsid w:val="00C50605"/>
    <w:rsid w:val="00C50A5B"/>
    <w:rsid w:val="00C50A7C"/>
    <w:rsid w:val="00C50B68"/>
    <w:rsid w:val="00C50F92"/>
    <w:rsid w:val="00C51025"/>
    <w:rsid w:val="00C5117B"/>
    <w:rsid w:val="00C51314"/>
    <w:rsid w:val="00C5131A"/>
    <w:rsid w:val="00C51483"/>
    <w:rsid w:val="00C517C2"/>
    <w:rsid w:val="00C51EC1"/>
    <w:rsid w:val="00C5224F"/>
    <w:rsid w:val="00C52353"/>
    <w:rsid w:val="00C52381"/>
    <w:rsid w:val="00C52463"/>
    <w:rsid w:val="00C524F3"/>
    <w:rsid w:val="00C5251B"/>
    <w:rsid w:val="00C52583"/>
    <w:rsid w:val="00C5277A"/>
    <w:rsid w:val="00C52A44"/>
    <w:rsid w:val="00C52CA4"/>
    <w:rsid w:val="00C52EC1"/>
    <w:rsid w:val="00C52F22"/>
    <w:rsid w:val="00C52F3E"/>
    <w:rsid w:val="00C53011"/>
    <w:rsid w:val="00C5309D"/>
    <w:rsid w:val="00C5328B"/>
    <w:rsid w:val="00C53320"/>
    <w:rsid w:val="00C5354A"/>
    <w:rsid w:val="00C536C5"/>
    <w:rsid w:val="00C53723"/>
    <w:rsid w:val="00C537D7"/>
    <w:rsid w:val="00C538DE"/>
    <w:rsid w:val="00C538F1"/>
    <w:rsid w:val="00C5396F"/>
    <w:rsid w:val="00C53A21"/>
    <w:rsid w:val="00C53B00"/>
    <w:rsid w:val="00C53C63"/>
    <w:rsid w:val="00C53D6E"/>
    <w:rsid w:val="00C53D8F"/>
    <w:rsid w:val="00C53EB9"/>
    <w:rsid w:val="00C541CB"/>
    <w:rsid w:val="00C542F3"/>
    <w:rsid w:val="00C54528"/>
    <w:rsid w:val="00C54B59"/>
    <w:rsid w:val="00C54D53"/>
    <w:rsid w:val="00C54E4F"/>
    <w:rsid w:val="00C54F8F"/>
    <w:rsid w:val="00C550B3"/>
    <w:rsid w:val="00C550D7"/>
    <w:rsid w:val="00C5538C"/>
    <w:rsid w:val="00C55646"/>
    <w:rsid w:val="00C5568B"/>
    <w:rsid w:val="00C55C71"/>
    <w:rsid w:val="00C55D1B"/>
    <w:rsid w:val="00C55E41"/>
    <w:rsid w:val="00C55F05"/>
    <w:rsid w:val="00C56135"/>
    <w:rsid w:val="00C562FE"/>
    <w:rsid w:val="00C56B4B"/>
    <w:rsid w:val="00C56D22"/>
    <w:rsid w:val="00C56D46"/>
    <w:rsid w:val="00C57196"/>
    <w:rsid w:val="00C572B8"/>
    <w:rsid w:val="00C5736E"/>
    <w:rsid w:val="00C5767C"/>
    <w:rsid w:val="00C576E7"/>
    <w:rsid w:val="00C5773F"/>
    <w:rsid w:val="00C578CB"/>
    <w:rsid w:val="00C57B57"/>
    <w:rsid w:val="00C57BA1"/>
    <w:rsid w:val="00C57BB6"/>
    <w:rsid w:val="00C57D15"/>
    <w:rsid w:val="00C57E3F"/>
    <w:rsid w:val="00C57F2B"/>
    <w:rsid w:val="00C6002D"/>
    <w:rsid w:val="00C6005A"/>
    <w:rsid w:val="00C60161"/>
    <w:rsid w:val="00C60178"/>
    <w:rsid w:val="00C6029F"/>
    <w:rsid w:val="00C60305"/>
    <w:rsid w:val="00C6037F"/>
    <w:rsid w:val="00C60528"/>
    <w:rsid w:val="00C6058E"/>
    <w:rsid w:val="00C6058F"/>
    <w:rsid w:val="00C608EE"/>
    <w:rsid w:val="00C6097E"/>
    <w:rsid w:val="00C60B08"/>
    <w:rsid w:val="00C60EBF"/>
    <w:rsid w:val="00C60F24"/>
    <w:rsid w:val="00C6130A"/>
    <w:rsid w:val="00C61342"/>
    <w:rsid w:val="00C6154C"/>
    <w:rsid w:val="00C61597"/>
    <w:rsid w:val="00C616B4"/>
    <w:rsid w:val="00C6185A"/>
    <w:rsid w:val="00C61880"/>
    <w:rsid w:val="00C61925"/>
    <w:rsid w:val="00C61976"/>
    <w:rsid w:val="00C61D3A"/>
    <w:rsid w:val="00C622E0"/>
    <w:rsid w:val="00C62360"/>
    <w:rsid w:val="00C624BF"/>
    <w:rsid w:val="00C624FD"/>
    <w:rsid w:val="00C625C7"/>
    <w:rsid w:val="00C629E3"/>
    <w:rsid w:val="00C62AAA"/>
    <w:rsid w:val="00C62D43"/>
    <w:rsid w:val="00C62F22"/>
    <w:rsid w:val="00C631BD"/>
    <w:rsid w:val="00C63371"/>
    <w:rsid w:val="00C63508"/>
    <w:rsid w:val="00C63674"/>
    <w:rsid w:val="00C63748"/>
    <w:rsid w:val="00C63B3F"/>
    <w:rsid w:val="00C63BEC"/>
    <w:rsid w:val="00C63C07"/>
    <w:rsid w:val="00C63CB5"/>
    <w:rsid w:val="00C63DBA"/>
    <w:rsid w:val="00C63F07"/>
    <w:rsid w:val="00C63F88"/>
    <w:rsid w:val="00C64169"/>
    <w:rsid w:val="00C642A7"/>
    <w:rsid w:val="00C643CB"/>
    <w:rsid w:val="00C64402"/>
    <w:rsid w:val="00C64754"/>
    <w:rsid w:val="00C64891"/>
    <w:rsid w:val="00C64A52"/>
    <w:rsid w:val="00C64FC1"/>
    <w:rsid w:val="00C65104"/>
    <w:rsid w:val="00C65195"/>
    <w:rsid w:val="00C65230"/>
    <w:rsid w:val="00C6527E"/>
    <w:rsid w:val="00C653AD"/>
    <w:rsid w:val="00C6555C"/>
    <w:rsid w:val="00C6556F"/>
    <w:rsid w:val="00C6577F"/>
    <w:rsid w:val="00C657DF"/>
    <w:rsid w:val="00C659EE"/>
    <w:rsid w:val="00C65B55"/>
    <w:rsid w:val="00C65BE1"/>
    <w:rsid w:val="00C65C3D"/>
    <w:rsid w:val="00C65CE4"/>
    <w:rsid w:val="00C65DBF"/>
    <w:rsid w:val="00C65E51"/>
    <w:rsid w:val="00C65EC1"/>
    <w:rsid w:val="00C65EEB"/>
    <w:rsid w:val="00C660BA"/>
    <w:rsid w:val="00C660D8"/>
    <w:rsid w:val="00C6612B"/>
    <w:rsid w:val="00C66208"/>
    <w:rsid w:val="00C6642C"/>
    <w:rsid w:val="00C6646C"/>
    <w:rsid w:val="00C665EA"/>
    <w:rsid w:val="00C667CD"/>
    <w:rsid w:val="00C66997"/>
    <w:rsid w:val="00C66A81"/>
    <w:rsid w:val="00C66B5F"/>
    <w:rsid w:val="00C66C2F"/>
    <w:rsid w:val="00C66EDA"/>
    <w:rsid w:val="00C66F15"/>
    <w:rsid w:val="00C66FDF"/>
    <w:rsid w:val="00C671EC"/>
    <w:rsid w:val="00C675BB"/>
    <w:rsid w:val="00C67802"/>
    <w:rsid w:val="00C6784D"/>
    <w:rsid w:val="00C678E6"/>
    <w:rsid w:val="00C67937"/>
    <w:rsid w:val="00C67AE9"/>
    <w:rsid w:val="00C67BCD"/>
    <w:rsid w:val="00C67BCE"/>
    <w:rsid w:val="00C67BDB"/>
    <w:rsid w:val="00C67BE6"/>
    <w:rsid w:val="00C67E0F"/>
    <w:rsid w:val="00C70018"/>
    <w:rsid w:val="00C700FC"/>
    <w:rsid w:val="00C7019C"/>
    <w:rsid w:val="00C70238"/>
    <w:rsid w:val="00C703E0"/>
    <w:rsid w:val="00C70714"/>
    <w:rsid w:val="00C70775"/>
    <w:rsid w:val="00C707A4"/>
    <w:rsid w:val="00C707AC"/>
    <w:rsid w:val="00C70A2C"/>
    <w:rsid w:val="00C70B57"/>
    <w:rsid w:val="00C70C65"/>
    <w:rsid w:val="00C70CBF"/>
    <w:rsid w:val="00C70DC9"/>
    <w:rsid w:val="00C71081"/>
    <w:rsid w:val="00C71084"/>
    <w:rsid w:val="00C7118C"/>
    <w:rsid w:val="00C715E0"/>
    <w:rsid w:val="00C715FF"/>
    <w:rsid w:val="00C716CB"/>
    <w:rsid w:val="00C717A6"/>
    <w:rsid w:val="00C717D6"/>
    <w:rsid w:val="00C718DF"/>
    <w:rsid w:val="00C719AA"/>
    <w:rsid w:val="00C719DF"/>
    <w:rsid w:val="00C71A62"/>
    <w:rsid w:val="00C71B00"/>
    <w:rsid w:val="00C71B75"/>
    <w:rsid w:val="00C71BF0"/>
    <w:rsid w:val="00C71C5D"/>
    <w:rsid w:val="00C71C7D"/>
    <w:rsid w:val="00C71CCC"/>
    <w:rsid w:val="00C71D8A"/>
    <w:rsid w:val="00C71FF4"/>
    <w:rsid w:val="00C721BD"/>
    <w:rsid w:val="00C7220A"/>
    <w:rsid w:val="00C7221A"/>
    <w:rsid w:val="00C72225"/>
    <w:rsid w:val="00C7225F"/>
    <w:rsid w:val="00C7236C"/>
    <w:rsid w:val="00C7253C"/>
    <w:rsid w:val="00C72662"/>
    <w:rsid w:val="00C72847"/>
    <w:rsid w:val="00C72948"/>
    <w:rsid w:val="00C72951"/>
    <w:rsid w:val="00C729B0"/>
    <w:rsid w:val="00C72C35"/>
    <w:rsid w:val="00C72DA9"/>
    <w:rsid w:val="00C72E6F"/>
    <w:rsid w:val="00C7316A"/>
    <w:rsid w:val="00C73572"/>
    <w:rsid w:val="00C735D8"/>
    <w:rsid w:val="00C73642"/>
    <w:rsid w:val="00C739AB"/>
    <w:rsid w:val="00C73A2D"/>
    <w:rsid w:val="00C73B2E"/>
    <w:rsid w:val="00C73B5C"/>
    <w:rsid w:val="00C73B93"/>
    <w:rsid w:val="00C73EAD"/>
    <w:rsid w:val="00C73FEF"/>
    <w:rsid w:val="00C74112"/>
    <w:rsid w:val="00C7419F"/>
    <w:rsid w:val="00C7427F"/>
    <w:rsid w:val="00C7432E"/>
    <w:rsid w:val="00C743ED"/>
    <w:rsid w:val="00C745F8"/>
    <w:rsid w:val="00C748D7"/>
    <w:rsid w:val="00C748DA"/>
    <w:rsid w:val="00C74CFD"/>
    <w:rsid w:val="00C74E4A"/>
    <w:rsid w:val="00C74F2A"/>
    <w:rsid w:val="00C7502B"/>
    <w:rsid w:val="00C7506D"/>
    <w:rsid w:val="00C751DB"/>
    <w:rsid w:val="00C7523B"/>
    <w:rsid w:val="00C75426"/>
    <w:rsid w:val="00C7566B"/>
    <w:rsid w:val="00C75A21"/>
    <w:rsid w:val="00C75D17"/>
    <w:rsid w:val="00C75EAE"/>
    <w:rsid w:val="00C76011"/>
    <w:rsid w:val="00C76509"/>
    <w:rsid w:val="00C765B0"/>
    <w:rsid w:val="00C765B7"/>
    <w:rsid w:val="00C7667B"/>
    <w:rsid w:val="00C767AA"/>
    <w:rsid w:val="00C767DE"/>
    <w:rsid w:val="00C7695D"/>
    <w:rsid w:val="00C769C6"/>
    <w:rsid w:val="00C76B84"/>
    <w:rsid w:val="00C76BDE"/>
    <w:rsid w:val="00C76C60"/>
    <w:rsid w:val="00C77214"/>
    <w:rsid w:val="00C77242"/>
    <w:rsid w:val="00C7735A"/>
    <w:rsid w:val="00C773E4"/>
    <w:rsid w:val="00C77498"/>
    <w:rsid w:val="00C774B3"/>
    <w:rsid w:val="00C7766E"/>
    <w:rsid w:val="00C777BD"/>
    <w:rsid w:val="00C7792F"/>
    <w:rsid w:val="00C7799F"/>
    <w:rsid w:val="00C77AE4"/>
    <w:rsid w:val="00C77C45"/>
    <w:rsid w:val="00C77E56"/>
    <w:rsid w:val="00C77EC2"/>
    <w:rsid w:val="00C77F66"/>
    <w:rsid w:val="00C80146"/>
    <w:rsid w:val="00C8030F"/>
    <w:rsid w:val="00C8036E"/>
    <w:rsid w:val="00C80539"/>
    <w:rsid w:val="00C80590"/>
    <w:rsid w:val="00C806A8"/>
    <w:rsid w:val="00C806CF"/>
    <w:rsid w:val="00C80AE2"/>
    <w:rsid w:val="00C80B24"/>
    <w:rsid w:val="00C80CF6"/>
    <w:rsid w:val="00C80F9C"/>
    <w:rsid w:val="00C8101C"/>
    <w:rsid w:val="00C811BF"/>
    <w:rsid w:val="00C8132B"/>
    <w:rsid w:val="00C813A1"/>
    <w:rsid w:val="00C813A5"/>
    <w:rsid w:val="00C813F1"/>
    <w:rsid w:val="00C8157B"/>
    <w:rsid w:val="00C8158D"/>
    <w:rsid w:val="00C817DE"/>
    <w:rsid w:val="00C81966"/>
    <w:rsid w:val="00C8197C"/>
    <w:rsid w:val="00C81CD2"/>
    <w:rsid w:val="00C820FC"/>
    <w:rsid w:val="00C821E2"/>
    <w:rsid w:val="00C822B4"/>
    <w:rsid w:val="00C822F9"/>
    <w:rsid w:val="00C82330"/>
    <w:rsid w:val="00C82482"/>
    <w:rsid w:val="00C82510"/>
    <w:rsid w:val="00C82A21"/>
    <w:rsid w:val="00C82A8A"/>
    <w:rsid w:val="00C82B4C"/>
    <w:rsid w:val="00C82B9A"/>
    <w:rsid w:val="00C82CC0"/>
    <w:rsid w:val="00C82DBA"/>
    <w:rsid w:val="00C82DBC"/>
    <w:rsid w:val="00C83252"/>
    <w:rsid w:val="00C83378"/>
    <w:rsid w:val="00C837C9"/>
    <w:rsid w:val="00C838D5"/>
    <w:rsid w:val="00C83E3D"/>
    <w:rsid w:val="00C83E72"/>
    <w:rsid w:val="00C83F01"/>
    <w:rsid w:val="00C83F51"/>
    <w:rsid w:val="00C84224"/>
    <w:rsid w:val="00C847CC"/>
    <w:rsid w:val="00C847DC"/>
    <w:rsid w:val="00C8481E"/>
    <w:rsid w:val="00C84869"/>
    <w:rsid w:val="00C848FF"/>
    <w:rsid w:val="00C84930"/>
    <w:rsid w:val="00C849B7"/>
    <w:rsid w:val="00C853FB"/>
    <w:rsid w:val="00C85545"/>
    <w:rsid w:val="00C85553"/>
    <w:rsid w:val="00C855EC"/>
    <w:rsid w:val="00C856B3"/>
    <w:rsid w:val="00C85797"/>
    <w:rsid w:val="00C857E9"/>
    <w:rsid w:val="00C85836"/>
    <w:rsid w:val="00C8587B"/>
    <w:rsid w:val="00C85CBF"/>
    <w:rsid w:val="00C85F45"/>
    <w:rsid w:val="00C861EF"/>
    <w:rsid w:val="00C8635B"/>
    <w:rsid w:val="00C86403"/>
    <w:rsid w:val="00C86449"/>
    <w:rsid w:val="00C868EB"/>
    <w:rsid w:val="00C86A1F"/>
    <w:rsid w:val="00C86BDE"/>
    <w:rsid w:val="00C86CD2"/>
    <w:rsid w:val="00C86EA8"/>
    <w:rsid w:val="00C87072"/>
    <w:rsid w:val="00C87140"/>
    <w:rsid w:val="00C8717F"/>
    <w:rsid w:val="00C87472"/>
    <w:rsid w:val="00C87575"/>
    <w:rsid w:val="00C875B0"/>
    <w:rsid w:val="00C876F4"/>
    <w:rsid w:val="00C8788C"/>
    <w:rsid w:val="00C87B04"/>
    <w:rsid w:val="00C87EEF"/>
    <w:rsid w:val="00C90260"/>
    <w:rsid w:val="00C90507"/>
    <w:rsid w:val="00C90A09"/>
    <w:rsid w:val="00C90AA5"/>
    <w:rsid w:val="00C90BA5"/>
    <w:rsid w:val="00C90BAD"/>
    <w:rsid w:val="00C90C18"/>
    <w:rsid w:val="00C90DAA"/>
    <w:rsid w:val="00C90F0E"/>
    <w:rsid w:val="00C90F9A"/>
    <w:rsid w:val="00C91107"/>
    <w:rsid w:val="00C911FA"/>
    <w:rsid w:val="00C91263"/>
    <w:rsid w:val="00C912EA"/>
    <w:rsid w:val="00C91476"/>
    <w:rsid w:val="00C914A2"/>
    <w:rsid w:val="00C9153B"/>
    <w:rsid w:val="00C915C3"/>
    <w:rsid w:val="00C915DD"/>
    <w:rsid w:val="00C91666"/>
    <w:rsid w:val="00C917A0"/>
    <w:rsid w:val="00C918A1"/>
    <w:rsid w:val="00C918F4"/>
    <w:rsid w:val="00C9190E"/>
    <w:rsid w:val="00C91AC6"/>
    <w:rsid w:val="00C91B8C"/>
    <w:rsid w:val="00C91BCC"/>
    <w:rsid w:val="00C91CE3"/>
    <w:rsid w:val="00C91D26"/>
    <w:rsid w:val="00C91E57"/>
    <w:rsid w:val="00C9206D"/>
    <w:rsid w:val="00C923F6"/>
    <w:rsid w:val="00C9250F"/>
    <w:rsid w:val="00C925C8"/>
    <w:rsid w:val="00C92632"/>
    <w:rsid w:val="00C92776"/>
    <w:rsid w:val="00C9285C"/>
    <w:rsid w:val="00C92891"/>
    <w:rsid w:val="00C92C9F"/>
    <w:rsid w:val="00C92CD5"/>
    <w:rsid w:val="00C92D0E"/>
    <w:rsid w:val="00C92DDE"/>
    <w:rsid w:val="00C93095"/>
    <w:rsid w:val="00C93170"/>
    <w:rsid w:val="00C93175"/>
    <w:rsid w:val="00C934D9"/>
    <w:rsid w:val="00C93504"/>
    <w:rsid w:val="00C93650"/>
    <w:rsid w:val="00C936CA"/>
    <w:rsid w:val="00C937A8"/>
    <w:rsid w:val="00C937E8"/>
    <w:rsid w:val="00C93868"/>
    <w:rsid w:val="00C9386D"/>
    <w:rsid w:val="00C9394A"/>
    <w:rsid w:val="00C93974"/>
    <w:rsid w:val="00C939E7"/>
    <w:rsid w:val="00C93A12"/>
    <w:rsid w:val="00C93AAC"/>
    <w:rsid w:val="00C93AE6"/>
    <w:rsid w:val="00C93BA8"/>
    <w:rsid w:val="00C93E9B"/>
    <w:rsid w:val="00C93F31"/>
    <w:rsid w:val="00C9410B"/>
    <w:rsid w:val="00C94134"/>
    <w:rsid w:val="00C941DB"/>
    <w:rsid w:val="00C942BD"/>
    <w:rsid w:val="00C943A0"/>
    <w:rsid w:val="00C94760"/>
    <w:rsid w:val="00C94A47"/>
    <w:rsid w:val="00C94E1A"/>
    <w:rsid w:val="00C94EE5"/>
    <w:rsid w:val="00C94FAA"/>
    <w:rsid w:val="00C951B8"/>
    <w:rsid w:val="00C953A9"/>
    <w:rsid w:val="00C9586A"/>
    <w:rsid w:val="00C95A6B"/>
    <w:rsid w:val="00C95C79"/>
    <w:rsid w:val="00C95D18"/>
    <w:rsid w:val="00C95D88"/>
    <w:rsid w:val="00C95E7A"/>
    <w:rsid w:val="00C960B2"/>
    <w:rsid w:val="00C962D3"/>
    <w:rsid w:val="00C96320"/>
    <w:rsid w:val="00C9634A"/>
    <w:rsid w:val="00C963AA"/>
    <w:rsid w:val="00C9653C"/>
    <w:rsid w:val="00C96564"/>
    <w:rsid w:val="00C965C2"/>
    <w:rsid w:val="00C96800"/>
    <w:rsid w:val="00C96801"/>
    <w:rsid w:val="00C96951"/>
    <w:rsid w:val="00C96E0F"/>
    <w:rsid w:val="00C96E70"/>
    <w:rsid w:val="00C96EDA"/>
    <w:rsid w:val="00C96EE1"/>
    <w:rsid w:val="00C970F1"/>
    <w:rsid w:val="00C971FE"/>
    <w:rsid w:val="00C97206"/>
    <w:rsid w:val="00C973A1"/>
    <w:rsid w:val="00C973C6"/>
    <w:rsid w:val="00C97560"/>
    <w:rsid w:val="00C976AD"/>
    <w:rsid w:val="00C97723"/>
    <w:rsid w:val="00C97C8F"/>
    <w:rsid w:val="00C97DEF"/>
    <w:rsid w:val="00C97E44"/>
    <w:rsid w:val="00CA00A9"/>
    <w:rsid w:val="00CA0216"/>
    <w:rsid w:val="00CA03C7"/>
    <w:rsid w:val="00CA0563"/>
    <w:rsid w:val="00CA0894"/>
    <w:rsid w:val="00CA092D"/>
    <w:rsid w:val="00CA095E"/>
    <w:rsid w:val="00CA0B80"/>
    <w:rsid w:val="00CA1355"/>
    <w:rsid w:val="00CA1383"/>
    <w:rsid w:val="00CA138A"/>
    <w:rsid w:val="00CA18B0"/>
    <w:rsid w:val="00CA1D45"/>
    <w:rsid w:val="00CA1FA3"/>
    <w:rsid w:val="00CA1FE3"/>
    <w:rsid w:val="00CA229E"/>
    <w:rsid w:val="00CA2558"/>
    <w:rsid w:val="00CA26BB"/>
    <w:rsid w:val="00CA2817"/>
    <w:rsid w:val="00CA2A11"/>
    <w:rsid w:val="00CA2AA1"/>
    <w:rsid w:val="00CA2BD2"/>
    <w:rsid w:val="00CA2DA2"/>
    <w:rsid w:val="00CA319F"/>
    <w:rsid w:val="00CA320E"/>
    <w:rsid w:val="00CA32C7"/>
    <w:rsid w:val="00CA38F6"/>
    <w:rsid w:val="00CA392D"/>
    <w:rsid w:val="00CA39D0"/>
    <w:rsid w:val="00CA3B6E"/>
    <w:rsid w:val="00CA3BFA"/>
    <w:rsid w:val="00CA3C43"/>
    <w:rsid w:val="00CA3E33"/>
    <w:rsid w:val="00CA3EB5"/>
    <w:rsid w:val="00CA3FE2"/>
    <w:rsid w:val="00CA42D1"/>
    <w:rsid w:val="00CA4585"/>
    <w:rsid w:val="00CA462D"/>
    <w:rsid w:val="00CA47F0"/>
    <w:rsid w:val="00CA4A62"/>
    <w:rsid w:val="00CA4A78"/>
    <w:rsid w:val="00CA4C45"/>
    <w:rsid w:val="00CA4DD4"/>
    <w:rsid w:val="00CA5053"/>
    <w:rsid w:val="00CA5273"/>
    <w:rsid w:val="00CA5835"/>
    <w:rsid w:val="00CA5B3E"/>
    <w:rsid w:val="00CA5B77"/>
    <w:rsid w:val="00CA5BB4"/>
    <w:rsid w:val="00CA5CFF"/>
    <w:rsid w:val="00CA5FFF"/>
    <w:rsid w:val="00CA605E"/>
    <w:rsid w:val="00CA66BC"/>
    <w:rsid w:val="00CA67A3"/>
    <w:rsid w:val="00CA69EA"/>
    <w:rsid w:val="00CA6C27"/>
    <w:rsid w:val="00CA6C2E"/>
    <w:rsid w:val="00CA6DF1"/>
    <w:rsid w:val="00CA7039"/>
    <w:rsid w:val="00CA70F7"/>
    <w:rsid w:val="00CA727C"/>
    <w:rsid w:val="00CA7639"/>
    <w:rsid w:val="00CA7884"/>
    <w:rsid w:val="00CA7A0F"/>
    <w:rsid w:val="00CA7B73"/>
    <w:rsid w:val="00CA7B7E"/>
    <w:rsid w:val="00CA7BDA"/>
    <w:rsid w:val="00CB0028"/>
    <w:rsid w:val="00CB0258"/>
    <w:rsid w:val="00CB03E6"/>
    <w:rsid w:val="00CB0529"/>
    <w:rsid w:val="00CB061D"/>
    <w:rsid w:val="00CB0655"/>
    <w:rsid w:val="00CB0A38"/>
    <w:rsid w:val="00CB0A68"/>
    <w:rsid w:val="00CB0AE0"/>
    <w:rsid w:val="00CB0CD3"/>
    <w:rsid w:val="00CB0E35"/>
    <w:rsid w:val="00CB1456"/>
    <w:rsid w:val="00CB1635"/>
    <w:rsid w:val="00CB18E7"/>
    <w:rsid w:val="00CB18E8"/>
    <w:rsid w:val="00CB1918"/>
    <w:rsid w:val="00CB1D94"/>
    <w:rsid w:val="00CB1EA1"/>
    <w:rsid w:val="00CB1F98"/>
    <w:rsid w:val="00CB206A"/>
    <w:rsid w:val="00CB2381"/>
    <w:rsid w:val="00CB2438"/>
    <w:rsid w:val="00CB25AE"/>
    <w:rsid w:val="00CB2A2F"/>
    <w:rsid w:val="00CB2B8B"/>
    <w:rsid w:val="00CB2FA7"/>
    <w:rsid w:val="00CB3378"/>
    <w:rsid w:val="00CB354D"/>
    <w:rsid w:val="00CB35A8"/>
    <w:rsid w:val="00CB390C"/>
    <w:rsid w:val="00CB39F5"/>
    <w:rsid w:val="00CB3CA2"/>
    <w:rsid w:val="00CB3D58"/>
    <w:rsid w:val="00CB3E7C"/>
    <w:rsid w:val="00CB45DF"/>
    <w:rsid w:val="00CB461F"/>
    <w:rsid w:val="00CB467D"/>
    <w:rsid w:val="00CB47A1"/>
    <w:rsid w:val="00CB4C15"/>
    <w:rsid w:val="00CB51D5"/>
    <w:rsid w:val="00CB5221"/>
    <w:rsid w:val="00CB567F"/>
    <w:rsid w:val="00CB590F"/>
    <w:rsid w:val="00CB59EA"/>
    <w:rsid w:val="00CB5AE9"/>
    <w:rsid w:val="00CB5B46"/>
    <w:rsid w:val="00CB5C0B"/>
    <w:rsid w:val="00CB5DAD"/>
    <w:rsid w:val="00CB61C4"/>
    <w:rsid w:val="00CB63F3"/>
    <w:rsid w:val="00CB6511"/>
    <w:rsid w:val="00CB66BA"/>
    <w:rsid w:val="00CB6967"/>
    <w:rsid w:val="00CB6971"/>
    <w:rsid w:val="00CB6B05"/>
    <w:rsid w:val="00CB6BE0"/>
    <w:rsid w:val="00CB6D9A"/>
    <w:rsid w:val="00CB6DC9"/>
    <w:rsid w:val="00CB6E65"/>
    <w:rsid w:val="00CB6FF0"/>
    <w:rsid w:val="00CB7036"/>
    <w:rsid w:val="00CB71B5"/>
    <w:rsid w:val="00CB73F3"/>
    <w:rsid w:val="00CB7968"/>
    <w:rsid w:val="00CB7A15"/>
    <w:rsid w:val="00CB7EF4"/>
    <w:rsid w:val="00CB7F78"/>
    <w:rsid w:val="00CC028B"/>
    <w:rsid w:val="00CC032B"/>
    <w:rsid w:val="00CC04E3"/>
    <w:rsid w:val="00CC05C0"/>
    <w:rsid w:val="00CC088F"/>
    <w:rsid w:val="00CC0A00"/>
    <w:rsid w:val="00CC0B5A"/>
    <w:rsid w:val="00CC0B78"/>
    <w:rsid w:val="00CC0BAA"/>
    <w:rsid w:val="00CC0C30"/>
    <w:rsid w:val="00CC0DF7"/>
    <w:rsid w:val="00CC0F81"/>
    <w:rsid w:val="00CC100A"/>
    <w:rsid w:val="00CC11BF"/>
    <w:rsid w:val="00CC1BF9"/>
    <w:rsid w:val="00CC1C6B"/>
    <w:rsid w:val="00CC1CF1"/>
    <w:rsid w:val="00CC2273"/>
    <w:rsid w:val="00CC22DF"/>
    <w:rsid w:val="00CC2391"/>
    <w:rsid w:val="00CC249E"/>
    <w:rsid w:val="00CC24BF"/>
    <w:rsid w:val="00CC27D4"/>
    <w:rsid w:val="00CC2809"/>
    <w:rsid w:val="00CC2841"/>
    <w:rsid w:val="00CC2920"/>
    <w:rsid w:val="00CC2C10"/>
    <w:rsid w:val="00CC3076"/>
    <w:rsid w:val="00CC317D"/>
    <w:rsid w:val="00CC3327"/>
    <w:rsid w:val="00CC35AE"/>
    <w:rsid w:val="00CC3705"/>
    <w:rsid w:val="00CC37C6"/>
    <w:rsid w:val="00CC38FC"/>
    <w:rsid w:val="00CC3948"/>
    <w:rsid w:val="00CC3B93"/>
    <w:rsid w:val="00CC3BFA"/>
    <w:rsid w:val="00CC3C06"/>
    <w:rsid w:val="00CC3C72"/>
    <w:rsid w:val="00CC3CB2"/>
    <w:rsid w:val="00CC3D8F"/>
    <w:rsid w:val="00CC3F29"/>
    <w:rsid w:val="00CC4000"/>
    <w:rsid w:val="00CC411D"/>
    <w:rsid w:val="00CC4431"/>
    <w:rsid w:val="00CC4475"/>
    <w:rsid w:val="00CC44B3"/>
    <w:rsid w:val="00CC4631"/>
    <w:rsid w:val="00CC4917"/>
    <w:rsid w:val="00CC497B"/>
    <w:rsid w:val="00CC4B6E"/>
    <w:rsid w:val="00CC4CBE"/>
    <w:rsid w:val="00CC4E97"/>
    <w:rsid w:val="00CC4F17"/>
    <w:rsid w:val="00CC4FB5"/>
    <w:rsid w:val="00CC5220"/>
    <w:rsid w:val="00CC52CB"/>
    <w:rsid w:val="00CC565D"/>
    <w:rsid w:val="00CC5832"/>
    <w:rsid w:val="00CC58DC"/>
    <w:rsid w:val="00CC593A"/>
    <w:rsid w:val="00CC59B1"/>
    <w:rsid w:val="00CC5A3C"/>
    <w:rsid w:val="00CC5C52"/>
    <w:rsid w:val="00CC5C62"/>
    <w:rsid w:val="00CC5EAE"/>
    <w:rsid w:val="00CC6147"/>
    <w:rsid w:val="00CC62B2"/>
    <w:rsid w:val="00CC66AA"/>
    <w:rsid w:val="00CC67E8"/>
    <w:rsid w:val="00CC681B"/>
    <w:rsid w:val="00CC69B3"/>
    <w:rsid w:val="00CC6A96"/>
    <w:rsid w:val="00CC6B25"/>
    <w:rsid w:val="00CC6BE1"/>
    <w:rsid w:val="00CC6FC6"/>
    <w:rsid w:val="00CC71EA"/>
    <w:rsid w:val="00CC7245"/>
    <w:rsid w:val="00CC72C4"/>
    <w:rsid w:val="00CC747E"/>
    <w:rsid w:val="00CC7521"/>
    <w:rsid w:val="00CC7593"/>
    <w:rsid w:val="00CC763F"/>
    <w:rsid w:val="00CC7896"/>
    <w:rsid w:val="00CC7989"/>
    <w:rsid w:val="00CC7B61"/>
    <w:rsid w:val="00CC7B65"/>
    <w:rsid w:val="00CC7C21"/>
    <w:rsid w:val="00CC7F18"/>
    <w:rsid w:val="00CD03A4"/>
    <w:rsid w:val="00CD0433"/>
    <w:rsid w:val="00CD0626"/>
    <w:rsid w:val="00CD0660"/>
    <w:rsid w:val="00CD0736"/>
    <w:rsid w:val="00CD08F6"/>
    <w:rsid w:val="00CD093E"/>
    <w:rsid w:val="00CD0BED"/>
    <w:rsid w:val="00CD0D8D"/>
    <w:rsid w:val="00CD0EAC"/>
    <w:rsid w:val="00CD10EC"/>
    <w:rsid w:val="00CD1311"/>
    <w:rsid w:val="00CD1409"/>
    <w:rsid w:val="00CD1421"/>
    <w:rsid w:val="00CD167B"/>
    <w:rsid w:val="00CD1835"/>
    <w:rsid w:val="00CD18EE"/>
    <w:rsid w:val="00CD1A2F"/>
    <w:rsid w:val="00CD1A72"/>
    <w:rsid w:val="00CD1DC1"/>
    <w:rsid w:val="00CD1FCE"/>
    <w:rsid w:val="00CD20C0"/>
    <w:rsid w:val="00CD23CF"/>
    <w:rsid w:val="00CD2433"/>
    <w:rsid w:val="00CD24C5"/>
    <w:rsid w:val="00CD24F4"/>
    <w:rsid w:val="00CD255D"/>
    <w:rsid w:val="00CD261F"/>
    <w:rsid w:val="00CD27EB"/>
    <w:rsid w:val="00CD2890"/>
    <w:rsid w:val="00CD298E"/>
    <w:rsid w:val="00CD2B20"/>
    <w:rsid w:val="00CD2B3E"/>
    <w:rsid w:val="00CD300A"/>
    <w:rsid w:val="00CD309B"/>
    <w:rsid w:val="00CD3316"/>
    <w:rsid w:val="00CD360C"/>
    <w:rsid w:val="00CD36F7"/>
    <w:rsid w:val="00CD3705"/>
    <w:rsid w:val="00CD375C"/>
    <w:rsid w:val="00CD39B3"/>
    <w:rsid w:val="00CD3ABF"/>
    <w:rsid w:val="00CD3B53"/>
    <w:rsid w:val="00CD3C4E"/>
    <w:rsid w:val="00CD3EA7"/>
    <w:rsid w:val="00CD3F32"/>
    <w:rsid w:val="00CD40D7"/>
    <w:rsid w:val="00CD4220"/>
    <w:rsid w:val="00CD4246"/>
    <w:rsid w:val="00CD4351"/>
    <w:rsid w:val="00CD4681"/>
    <w:rsid w:val="00CD4ACA"/>
    <w:rsid w:val="00CD4B7C"/>
    <w:rsid w:val="00CD4C5B"/>
    <w:rsid w:val="00CD5042"/>
    <w:rsid w:val="00CD50FE"/>
    <w:rsid w:val="00CD56BC"/>
    <w:rsid w:val="00CD5730"/>
    <w:rsid w:val="00CD58C4"/>
    <w:rsid w:val="00CD58F4"/>
    <w:rsid w:val="00CD592E"/>
    <w:rsid w:val="00CD59E7"/>
    <w:rsid w:val="00CD60B2"/>
    <w:rsid w:val="00CD60DB"/>
    <w:rsid w:val="00CD60F7"/>
    <w:rsid w:val="00CD6290"/>
    <w:rsid w:val="00CD64B4"/>
    <w:rsid w:val="00CD64C7"/>
    <w:rsid w:val="00CD66C4"/>
    <w:rsid w:val="00CD67C6"/>
    <w:rsid w:val="00CD694C"/>
    <w:rsid w:val="00CD6993"/>
    <w:rsid w:val="00CD6BE8"/>
    <w:rsid w:val="00CD6C11"/>
    <w:rsid w:val="00CD6F19"/>
    <w:rsid w:val="00CD70FE"/>
    <w:rsid w:val="00CD7171"/>
    <w:rsid w:val="00CD7278"/>
    <w:rsid w:val="00CD741E"/>
    <w:rsid w:val="00CD7467"/>
    <w:rsid w:val="00CD74E7"/>
    <w:rsid w:val="00CD74F2"/>
    <w:rsid w:val="00CD7521"/>
    <w:rsid w:val="00CD7580"/>
    <w:rsid w:val="00CD75C2"/>
    <w:rsid w:val="00CD77E3"/>
    <w:rsid w:val="00CD7815"/>
    <w:rsid w:val="00CD7A43"/>
    <w:rsid w:val="00CD7F12"/>
    <w:rsid w:val="00CD7F3A"/>
    <w:rsid w:val="00CE0012"/>
    <w:rsid w:val="00CE0041"/>
    <w:rsid w:val="00CE0177"/>
    <w:rsid w:val="00CE01FE"/>
    <w:rsid w:val="00CE040F"/>
    <w:rsid w:val="00CE047E"/>
    <w:rsid w:val="00CE0522"/>
    <w:rsid w:val="00CE0569"/>
    <w:rsid w:val="00CE089A"/>
    <w:rsid w:val="00CE09A6"/>
    <w:rsid w:val="00CE0C64"/>
    <w:rsid w:val="00CE0D83"/>
    <w:rsid w:val="00CE0EDE"/>
    <w:rsid w:val="00CE10DF"/>
    <w:rsid w:val="00CE127B"/>
    <w:rsid w:val="00CE14BC"/>
    <w:rsid w:val="00CE195E"/>
    <w:rsid w:val="00CE1A46"/>
    <w:rsid w:val="00CE210F"/>
    <w:rsid w:val="00CE213A"/>
    <w:rsid w:val="00CE214B"/>
    <w:rsid w:val="00CE22B7"/>
    <w:rsid w:val="00CE23A0"/>
    <w:rsid w:val="00CE25AB"/>
    <w:rsid w:val="00CE25D6"/>
    <w:rsid w:val="00CE26A1"/>
    <w:rsid w:val="00CE2702"/>
    <w:rsid w:val="00CE271C"/>
    <w:rsid w:val="00CE2795"/>
    <w:rsid w:val="00CE2859"/>
    <w:rsid w:val="00CE2A00"/>
    <w:rsid w:val="00CE2E67"/>
    <w:rsid w:val="00CE2E73"/>
    <w:rsid w:val="00CE316A"/>
    <w:rsid w:val="00CE32D1"/>
    <w:rsid w:val="00CE33A3"/>
    <w:rsid w:val="00CE3496"/>
    <w:rsid w:val="00CE3620"/>
    <w:rsid w:val="00CE37F9"/>
    <w:rsid w:val="00CE395A"/>
    <w:rsid w:val="00CE3A19"/>
    <w:rsid w:val="00CE3A8E"/>
    <w:rsid w:val="00CE3BD5"/>
    <w:rsid w:val="00CE3DF5"/>
    <w:rsid w:val="00CE3E5B"/>
    <w:rsid w:val="00CE3EDF"/>
    <w:rsid w:val="00CE41B6"/>
    <w:rsid w:val="00CE41E8"/>
    <w:rsid w:val="00CE4262"/>
    <w:rsid w:val="00CE42C8"/>
    <w:rsid w:val="00CE4774"/>
    <w:rsid w:val="00CE4784"/>
    <w:rsid w:val="00CE4886"/>
    <w:rsid w:val="00CE4900"/>
    <w:rsid w:val="00CE49EC"/>
    <w:rsid w:val="00CE5394"/>
    <w:rsid w:val="00CE55F4"/>
    <w:rsid w:val="00CE5751"/>
    <w:rsid w:val="00CE57C5"/>
    <w:rsid w:val="00CE57F8"/>
    <w:rsid w:val="00CE5944"/>
    <w:rsid w:val="00CE59C0"/>
    <w:rsid w:val="00CE5D57"/>
    <w:rsid w:val="00CE5D5A"/>
    <w:rsid w:val="00CE5DC6"/>
    <w:rsid w:val="00CE61EC"/>
    <w:rsid w:val="00CE6232"/>
    <w:rsid w:val="00CE64FB"/>
    <w:rsid w:val="00CE6699"/>
    <w:rsid w:val="00CE67F4"/>
    <w:rsid w:val="00CE68DA"/>
    <w:rsid w:val="00CE6909"/>
    <w:rsid w:val="00CE6932"/>
    <w:rsid w:val="00CE6A24"/>
    <w:rsid w:val="00CE6BD0"/>
    <w:rsid w:val="00CE6D83"/>
    <w:rsid w:val="00CE6E4D"/>
    <w:rsid w:val="00CE72D7"/>
    <w:rsid w:val="00CE75FB"/>
    <w:rsid w:val="00CE7C25"/>
    <w:rsid w:val="00CE7C69"/>
    <w:rsid w:val="00CE7C7D"/>
    <w:rsid w:val="00CE7CFD"/>
    <w:rsid w:val="00CE7ECB"/>
    <w:rsid w:val="00CF00D5"/>
    <w:rsid w:val="00CF02CB"/>
    <w:rsid w:val="00CF03CE"/>
    <w:rsid w:val="00CF0546"/>
    <w:rsid w:val="00CF0869"/>
    <w:rsid w:val="00CF0AFF"/>
    <w:rsid w:val="00CF0BBB"/>
    <w:rsid w:val="00CF0C09"/>
    <w:rsid w:val="00CF0C12"/>
    <w:rsid w:val="00CF0C49"/>
    <w:rsid w:val="00CF0CD4"/>
    <w:rsid w:val="00CF0DC8"/>
    <w:rsid w:val="00CF0F90"/>
    <w:rsid w:val="00CF12AE"/>
    <w:rsid w:val="00CF1418"/>
    <w:rsid w:val="00CF1654"/>
    <w:rsid w:val="00CF1773"/>
    <w:rsid w:val="00CF18DD"/>
    <w:rsid w:val="00CF1981"/>
    <w:rsid w:val="00CF1C0A"/>
    <w:rsid w:val="00CF1D70"/>
    <w:rsid w:val="00CF1E7F"/>
    <w:rsid w:val="00CF1FA4"/>
    <w:rsid w:val="00CF2050"/>
    <w:rsid w:val="00CF212C"/>
    <w:rsid w:val="00CF2282"/>
    <w:rsid w:val="00CF2350"/>
    <w:rsid w:val="00CF23A0"/>
    <w:rsid w:val="00CF2438"/>
    <w:rsid w:val="00CF2637"/>
    <w:rsid w:val="00CF27EE"/>
    <w:rsid w:val="00CF27FF"/>
    <w:rsid w:val="00CF29CB"/>
    <w:rsid w:val="00CF2C83"/>
    <w:rsid w:val="00CF2D23"/>
    <w:rsid w:val="00CF2D71"/>
    <w:rsid w:val="00CF2DCD"/>
    <w:rsid w:val="00CF319F"/>
    <w:rsid w:val="00CF3421"/>
    <w:rsid w:val="00CF3485"/>
    <w:rsid w:val="00CF34FC"/>
    <w:rsid w:val="00CF351A"/>
    <w:rsid w:val="00CF3544"/>
    <w:rsid w:val="00CF36E2"/>
    <w:rsid w:val="00CF373F"/>
    <w:rsid w:val="00CF3792"/>
    <w:rsid w:val="00CF381D"/>
    <w:rsid w:val="00CF3830"/>
    <w:rsid w:val="00CF38F3"/>
    <w:rsid w:val="00CF3958"/>
    <w:rsid w:val="00CF39B7"/>
    <w:rsid w:val="00CF3A38"/>
    <w:rsid w:val="00CF3B13"/>
    <w:rsid w:val="00CF3BB5"/>
    <w:rsid w:val="00CF3BE8"/>
    <w:rsid w:val="00CF3D2C"/>
    <w:rsid w:val="00CF3F2F"/>
    <w:rsid w:val="00CF3F30"/>
    <w:rsid w:val="00CF4419"/>
    <w:rsid w:val="00CF482A"/>
    <w:rsid w:val="00CF49AB"/>
    <w:rsid w:val="00CF4DC0"/>
    <w:rsid w:val="00CF4F21"/>
    <w:rsid w:val="00CF4F62"/>
    <w:rsid w:val="00CF55A1"/>
    <w:rsid w:val="00CF5A33"/>
    <w:rsid w:val="00CF5B19"/>
    <w:rsid w:val="00CF5FDD"/>
    <w:rsid w:val="00CF6116"/>
    <w:rsid w:val="00CF631A"/>
    <w:rsid w:val="00CF637F"/>
    <w:rsid w:val="00CF6411"/>
    <w:rsid w:val="00CF6466"/>
    <w:rsid w:val="00CF647A"/>
    <w:rsid w:val="00CF6481"/>
    <w:rsid w:val="00CF6659"/>
    <w:rsid w:val="00CF67C8"/>
    <w:rsid w:val="00CF67F7"/>
    <w:rsid w:val="00CF69CB"/>
    <w:rsid w:val="00CF6B72"/>
    <w:rsid w:val="00CF6C14"/>
    <w:rsid w:val="00CF6C5F"/>
    <w:rsid w:val="00CF6C6D"/>
    <w:rsid w:val="00CF6DE1"/>
    <w:rsid w:val="00CF6F93"/>
    <w:rsid w:val="00CF6FFA"/>
    <w:rsid w:val="00CF736F"/>
    <w:rsid w:val="00CF7472"/>
    <w:rsid w:val="00CF7511"/>
    <w:rsid w:val="00CF7610"/>
    <w:rsid w:val="00CF7796"/>
    <w:rsid w:val="00CF7857"/>
    <w:rsid w:val="00CF78D2"/>
    <w:rsid w:val="00CF7901"/>
    <w:rsid w:val="00CF7A5F"/>
    <w:rsid w:val="00CF7A85"/>
    <w:rsid w:val="00CF7BE7"/>
    <w:rsid w:val="00CF7D11"/>
    <w:rsid w:val="00CF7E76"/>
    <w:rsid w:val="00D00444"/>
    <w:rsid w:val="00D0047C"/>
    <w:rsid w:val="00D004DD"/>
    <w:rsid w:val="00D0086F"/>
    <w:rsid w:val="00D00A84"/>
    <w:rsid w:val="00D00B45"/>
    <w:rsid w:val="00D00B97"/>
    <w:rsid w:val="00D00D31"/>
    <w:rsid w:val="00D00EA6"/>
    <w:rsid w:val="00D00FCD"/>
    <w:rsid w:val="00D011D9"/>
    <w:rsid w:val="00D0128D"/>
    <w:rsid w:val="00D012EC"/>
    <w:rsid w:val="00D019DE"/>
    <w:rsid w:val="00D01A22"/>
    <w:rsid w:val="00D01A78"/>
    <w:rsid w:val="00D01D6B"/>
    <w:rsid w:val="00D0213F"/>
    <w:rsid w:val="00D0240D"/>
    <w:rsid w:val="00D02533"/>
    <w:rsid w:val="00D0268A"/>
    <w:rsid w:val="00D027A2"/>
    <w:rsid w:val="00D027E6"/>
    <w:rsid w:val="00D0287B"/>
    <w:rsid w:val="00D02942"/>
    <w:rsid w:val="00D02D81"/>
    <w:rsid w:val="00D02EF1"/>
    <w:rsid w:val="00D02F8C"/>
    <w:rsid w:val="00D02FF6"/>
    <w:rsid w:val="00D03291"/>
    <w:rsid w:val="00D03304"/>
    <w:rsid w:val="00D03347"/>
    <w:rsid w:val="00D035F0"/>
    <w:rsid w:val="00D03666"/>
    <w:rsid w:val="00D03884"/>
    <w:rsid w:val="00D039AC"/>
    <w:rsid w:val="00D039B0"/>
    <w:rsid w:val="00D03A2D"/>
    <w:rsid w:val="00D03CF7"/>
    <w:rsid w:val="00D03D31"/>
    <w:rsid w:val="00D03D59"/>
    <w:rsid w:val="00D03E06"/>
    <w:rsid w:val="00D03E2D"/>
    <w:rsid w:val="00D04038"/>
    <w:rsid w:val="00D04415"/>
    <w:rsid w:val="00D0450F"/>
    <w:rsid w:val="00D048B1"/>
    <w:rsid w:val="00D04A4C"/>
    <w:rsid w:val="00D04D0A"/>
    <w:rsid w:val="00D04EA6"/>
    <w:rsid w:val="00D04FB6"/>
    <w:rsid w:val="00D04FDA"/>
    <w:rsid w:val="00D05127"/>
    <w:rsid w:val="00D0527E"/>
    <w:rsid w:val="00D052E4"/>
    <w:rsid w:val="00D0535D"/>
    <w:rsid w:val="00D05757"/>
    <w:rsid w:val="00D0582E"/>
    <w:rsid w:val="00D05A30"/>
    <w:rsid w:val="00D05AF7"/>
    <w:rsid w:val="00D05C37"/>
    <w:rsid w:val="00D05CEA"/>
    <w:rsid w:val="00D05DA9"/>
    <w:rsid w:val="00D060B1"/>
    <w:rsid w:val="00D06153"/>
    <w:rsid w:val="00D063AD"/>
    <w:rsid w:val="00D06489"/>
    <w:rsid w:val="00D06632"/>
    <w:rsid w:val="00D06789"/>
    <w:rsid w:val="00D068DF"/>
    <w:rsid w:val="00D06A08"/>
    <w:rsid w:val="00D06C67"/>
    <w:rsid w:val="00D06D3F"/>
    <w:rsid w:val="00D06E20"/>
    <w:rsid w:val="00D070F5"/>
    <w:rsid w:val="00D07336"/>
    <w:rsid w:val="00D073C4"/>
    <w:rsid w:val="00D07452"/>
    <w:rsid w:val="00D074B9"/>
    <w:rsid w:val="00D0750D"/>
    <w:rsid w:val="00D0756B"/>
    <w:rsid w:val="00D0756C"/>
    <w:rsid w:val="00D07589"/>
    <w:rsid w:val="00D07598"/>
    <w:rsid w:val="00D07628"/>
    <w:rsid w:val="00D079D4"/>
    <w:rsid w:val="00D07CB1"/>
    <w:rsid w:val="00D100B9"/>
    <w:rsid w:val="00D101B9"/>
    <w:rsid w:val="00D10239"/>
    <w:rsid w:val="00D1033A"/>
    <w:rsid w:val="00D10367"/>
    <w:rsid w:val="00D10758"/>
    <w:rsid w:val="00D10775"/>
    <w:rsid w:val="00D10B04"/>
    <w:rsid w:val="00D10D37"/>
    <w:rsid w:val="00D1110F"/>
    <w:rsid w:val="00D11173"/>
    <w:rsid w:val="00D1120A"/>
    <w:rsid w:val="00D11249"/>
    <w:rsid w:val="00D114A3"/>
    <w:rsid w:val="00D11570"/>
    <w:rsid w:val="00D11756"/>
    <w:rsid w:val="00D119C9"/>
    <w:rsid w:val="00D11C84"/>
    <w:rsid w:val="00D11EAF"/>
    <w:rsid w:val="00D11F1F"/>
    <w:rsid w:val="00D11F48"/>
    <w:rsid w:val="00D125B5"/>
    <w:rsid w:val="00D126FF"/>
    <w:rsid w:val="00D12873"/>
    <w:rsid w:val="00D12ABA"/>
    <w:rsid w:val="00D12AE8"/>
    <w:rsid w:val="00D12B48"/>
    <w:rsid w:val="00D12B6E"/>
    <w:rsid w:val="00D12B97"/>
    <w:rsid w:val="00D12BC8"/>
    <w:rsid w:val="00D12D7D"/>
    <w:rsid w:val="00D12DBE"/>
    <w:rsid w:val="00D12E82"/>
    <w:rsid w:val="00D1318C"/>
    <w:rsid w:val="00D1336C"/>
    <w:rsid w:val="00D1343A"/>
    <w:rsid w:val="00D1370E"/>
    <w:rsid w:val="00D13AE8"/>
    <w:rsid w:val="00D13E25"/>
    <w:rsid w:val="00D13E5A"/>
    <w:rsid w:val="00D13FEA"/>
    <w:rsid w:val="00D142FF"/>
    <w:rsid w:val="00D143FF"/>
    <w:rsid w:val="00D1444F"/>
    <w:rsid w:val="00D145D8"/>
    <w:rsid w:val="00D14644"/>
    <w:rsid w:val="00D1465B"/>
    <w:rsid w:val="00D146E7"/>
    <w:rsid w:val="00D14753"/>
    <w:rsid w:val="00D149DC"/>
    <w:rsid w:val="00D14A50"/>
    <w:rsid w:val="00D14A6D"/>
    <w:rsid w:val="00D14C8B"/>
    <w:rsid w:val="00D1505B"/>
    <w:rsid w:val="00D15425"/>
    <w:rsid w:val="00D155C0"/>
    <w:rsid w:val="00D15713"/>
    <w:rsid w:val="00D1579F"/>
    <w:rsid w:val="00D157F4"/>
    <w:rsid w:val="00D16048"/>
    <w:rsid w:val="00D160A5"/>
    <w:rsid w:val="00D16129"/>
    <w:rsid w:val="00D16306"/>
    <w:rsid w:val="00D1658B"/>
    <w:rsid w:val="00D165ED"/>
    <w:rsid w:val="00D166DF"/>
    <w:rsid w:val="00D166E4"/>
    <w:rsid w:val="00D1677C"/>
    <w:rsid w:val="00D167D3"/>
    <w:rsid w:val="00D167E7"/>
    <w:rsid w:val="00D1693D"/>
    <w:rsid w:val="00D16A7F"/>
    <w:rsid w:val="00D16B08"/>
    <w:rsid w:val="00D16B3A"/>
    <w:rsid w:val="00D16C4C"/>
    <w:rsid w:val="00D16C75"/>
    <w:rsid w:val="00D16FBD"/>
    <w:rsid w:val="00D1703E"/>
    <w:rsid w:val="00D1708D"/>
    <w:rsid w:val="00D17169"/>
    <w:rsid w:val="00D178FB"/>
    <w:rsid w:val="00D17B2A"/>
    <w:rsid w:val="00D17B43"/>
    <w:rsid w:val="00D17B85"/>
    <w:rsid w:val="00D17C32"/>
    <w:rsid w:val="00D17CDB"/>
    <w:rsid w:val="00D17D07"/>
    <w:rsid w:val="00D17FD9"/>
    <w:rsid w:val="00D201D1"/>
    <w:rsid w:val="00D2031D"/>
    <w:rsid w:val="00D2043E"/>
    <w:rsid w:val="00D2047E"/>
    <w:rsid w:val="00D2053D"/>
    <w:rsid w:val="00D20ABE"/>
    <w:rsid w:val="00D20B16"/>
    <w:rsid w:val="00D20E18"/>
    <w:rsid w:val="00D20EA4"/>
    <w:rsid w:val="00D20F0C"/>
    <w:rsid w:val="00D210FF"/>
    <w:rsid w:val="00D21414"/>
    <w:rsid w:val="00D21818"/>
    <w:rsid w:val="00D21821"/>
    <w:rsid w:val="00D21833"/>
    <w:rsid w:val="00D21B81"/>
    <w:rsid w:val="00D21C64"/>
    <w:rsid w:val="00D21D2C"/>
    <w:rsid w:val="00D2221E"/>
    <w:rsid w:val="00D224B8"/>
    <w:rsid w:val="00D22898"/>
    <w:rsid w:val="00D22987"/>
    <w:rsid w:val="00D22A23"/>
    <w:rsid w:val="00D22A73"/>
    <w:rsid w:val="00D22B76"/>
    <w:rsid w:val="00D22E69"/>
    <w:rsid w:val="00D22FC2"/>
    <w:rsid w:val="00D23076"/>
    <w:rsid w:val="00D23284"/>
    <w:rsid w:val="00D232E8"/>
    <w:rsid w:val="00D2343D"/>
    <w:rsid w:val="00D23622"/>
    <w:rsid w:val="00D236F0"/>
    <w:rsid w:val="00D2397D"/>
    <w:rsid w:val="00D23B7E"/>
    <w:rsid w:val="00D23B8D"/>
    <w:rsid w:val="00D23BC6"/>
    <w:rsid w:val="00D23C15"/>
    <w:rsid w:val="00D23C40"/>
    <w:rsid w:val="00D23C99"/>
    <w:rsid w:val="00D23CCF"/>
    <w:rsid w:val="00D23E32"/>
    <w:rsid w:val="00D23FC6"/>
    <w:rsid w:val="00D2411F"/>
    <w:rsid w:val="00D242D7"/>
    <w:rsid w:val="00D24392"/>
    <w:rsid w:val="00D24625"/>
    <w:rsid w:val="00D24AA3"/>
    <w:rsid w:val="00D24AD1"/>
    <w:rsid w:val="00D24CAC"/>
    <w:rsid w:val="00D24DFC"/>
    <w:rsid w:val="00D24F40"/>
    <w:rsid w:val="00D2505D"/>
    <w:rsid w:val="00D2514C"/>
    <w:rsid w:val="00D256A8"/>
    <w:rsid w:val="00D256C0"/>
    <w:rsid w:val="00D256FE"/>
    <w:rsid w:val="00D25742"/>
    <w:rsid w:val="00D2580D"/>
    <w:rsid w:val="00D259FD"/>
    <w:rsid w:val="00D25A76"/>
    <w:rsid w:val="00D25B79"/>
    <w:rsid w:val="00D25B8B"/>
    <w:rsid w:val="00D25B97"/>
    <w:rsid w:val="00D25BD3"/>
    <w:rsid w:val="00D25D03"/>
    <w:rsid w:val="00D25DBD"/>
    <w:rsid w:val="00D25FB0"/>
    <w:rsid w:val="00D26013"/>
    <w:rsid w:val="00D26026"/>
    <w:rsid w:val="00D260AC"/>
    <w:rsid w:val="00D2617A"/>
    <w:rsid w:val="00D261F0"/>
    <w:rsid w:val="00D26363"/>
    <w:rsid w:val="00D263A7"/>
    <w:rsid w:val="00D263F2"/>
    <w:rsid w:val="00D26424"/>
    <w:rsid w:val="00D26665"/>
    <w:rsid w:val="00D2666A"/>
    <w:rsid w:val="00D26872"/>
    <w:rsid w:val="00D268C6"/>
    <w:rsid w:val="00D269A5"/>
    <w:rsid w:val="00D269EA"/>
    <w:rsid w:val="00D270A4"/>
    <w:rsid w:val="00D27103"/>
    <w:rsid w:val="00D271FA"/>
    <w:rsid w:val="00D2720F"/>
    <w:rsid w:val="00D27245"/>
    <w:rsid w:val="00D27400"/>
    <w:rsid w:val="00D2755E"/>
    <w:rsid w:val="00D27732"/>
    <w:rsid w:val="00D277F9"/>
    <w:rsid w:val="00D27818"/>
    <w:rsid w:val="00D27962"/>
    <w:rsid w:val="00D27999"/>
    <w:rsid w:val="00D27B3B"/>
    <w:rsid w:val="00D27C18"/>
    <w:rsid w:val="00D27CF3"/>
    <w:rsid w:val="00D27D55"/>
    <w:rsid w:val="00D27DC4"/>
    <w:rsid w:val="00D27DF6"/>
    <w:rsid w:val="00D27E80"/>
    <w:rsid w:val="00D27E9B"/>
    <w:rsid w:val="00D27F73"/>
    <w:rsid w:val="00D30124"/>
    <w:rsid w:val="00D30139"/>
    <w:rsid w:val="00D3024B"/>
    <w:rsid w:val="00D3024E"/>
    <w:rsid w:val="00D30284"/>
    <w:rsid w:val="00D302BC"/>
    <w:rsid w:val="00D3042F"/>
    <w:rsid w:val="00D30D7D"/>
    <w:rsid w:val="00D30DC9"/>
    <w:rsid w:val="00D30FF2"/>
    <w:rsid w:val="00D310D4"/>
    <w:rsid w:val="00D310EE"/>
    <w:rsid w:val="00D31179"/>
    <w:rsid w:val="00D311D8"/>
    <w:rsid w:val="00D31412"/>
    <w:rsid w:val="00D31498"/>
    <w:rsid w:val="00D314A9"/>
    <w:rsid w:val="00D316C8"/>
    <w:rsid w:val="00D31B23"/>
    <w:rsid w:val="00D31CDB"/>
    <w:rsid w:val="00D31CE2"/>
    <w:rsid w:val="00D320C7"/>
    <w:rsid w:val="00D32210"/>
    <w:rsid w:val="00D323B6"/>
    <w:rsid w:val="00D3247B"/>
    <w:rsid w:val="00D324CF"/>
    <w:rsid w:val="00D324F6"/>
    <w:rsid w:val="00D325D8"/>
    <w:rsid w:val="00D325F8"/>
    <w:rsid w:val="00D327F6"/>
    <w:rsid w:val="00D328C6"/>
    <w:rsid w:val="00D32915"/>
    <w:rsid w:val="00D3294E"/>
    <w:rsid w:val="00D329F5"/>
    <w:rsid w:val="00D32C0A"/>
    <w:rsid w:val="00D32C20"/>
    <w:rsid w:val="00D32D67"/>
    <w:rsid w:val="00D330F7"/>
    <w:rsid w:val="00D33114"/>
    <w:rsid w:val="00D33194"/>
    <w:rsid w:val="00D33235"/>
    <w:rsid w:val="00D33242"/>
    <w:rsid w:val="00D332C3"/>
    <w:rsid w:val="00D3343C"/>
    <w:rsid w:val="00D3347F"/>
    <w:rsid w:val="00D334F6"/>
    <w:rsid w:val="00D33532"/>
    <w:rsid w:val="00D3354E"/>
    <w:rsid w:val="00D33678"/>
    <w:rsid w:val="00D33884"/>
    <w:rsid w:val="00D33892"/>
    <w:rsid w:val="00D33929"/>
    <w:rsid w:val="00D33997"/>
    <w:rsid w:val="00D33A85"/>
    <w:rsid w:val="00D33BB3"/>
    <w:rsid w:val="00D33C9F"/>
    <w:rsid w:val="00D33DF5"/>
    <w:rsid w:val="00D33E6C"/>
    <w:rsid w:val="00D3413F"/>
    <w:rsid w:val="00D341E1"/>
    <w:rsid w:val="00D342B2"/>
    <w:rsid w:val="00D3433C"/>
    <w:rsid w:val="00D3440F"/>
    <w:rsid w:val="00D3467A"/>
    <w:rsid w:val="00D3473D"/>
    <w:rsid w:val="00D349C2"/>
    <w:rsid w:val="00D34D69"/>
    <w:rsid w:val="00D34F71"/>
    <w:rsid w:val="00D34F74"/>
    <w:rsid w:val="00D35002"/>
    <w:rsid w:val="00D35006"/>
    <w:rsid w:val="00D3503E"/>
    <w:rsid w:val="00D3509F"/>
    <w:rsid w:val="00D352DA"/>
    <w:rsid w:val="00D3534D"/>
    <w:rsid w:val="00D35353"/>
    <w:rsid w:val="00D35417"/>
    <w:rsid w:val="00D3547F"/>
    <w:rsid w:val="00D35531"/>
    <w:rsid w:val="00D35539"/>
    <w:rsid w:val="00D35BE8"/>
    <w:rsid w:val="00D35CA8"/>
    <w:rsid w:val="00D35F35"/>
    <w:rsid w:val="00D3601B"/>
    <w:rsid w:val="00D3619B"/>
    <w:rsid w:val="00D361FD"/>
    <w:rsid w:val="00D3640B"/>
    <w:rsid w:val="00D364E7"/>
    <w:rsid w:val="00D3659E"/>
    <w:rsid w:val="00D36C22"/>
    <w:rsid w:val="00D36E1B"/>
    <w:rsid w:val="00D373BD"/>
    <w:rsid w:val="00D373F7"/>
    <w:rsid w:val="00D3772C"/>
    <w:rsid w:val="00D37857"/>
    <w:rsid w:val="00D379BA"/>
    <w:rsid w:val="00D37A74"/>
    <w:rsid w:val="00D37C07"/>
    <w:rsid w:val="00D37C89"/>
    <w:rsid w:val="00D37D0D"/>
    <w:rsid w:val="00D37D59"/>
    <w:rsid w:val="00D40067"/>
    <w:rsid w:val="00D400BB"/>
    <w:rsid w:val="00D401DC"/>
    <w:rsid w:val="00D40421"/>
    <w:rsid w:val="00D404B8"/>
    <w:rsid w:val="00D404E5"/>
    <w:rsid w:val="00D40637"/>
    <w:rsid w:val="00D40724"/>
    <w:rsid w:val="00D407F1"/>
    <w:rsid w:val="00D40A82"/>
    <w:rsid w:val="00D40B72"/>
    <w:rsid w:val="00D40B91"/>
    <w:rsid w:val="00D40C51"/>
    <w:rsid w:val="00D40D08"/>
    <w:rsid w:val="00D40D1E"/>
    <w:rsid w:val="00D40D98"/>
    <w:rsid w:val="00D40F17"/>
    <w:rsid w:val="00D40FE8"/>
    <w:rsid w:val="00D4111F"/>
    <w:rsid w:val="00D41277"/>
    <w:rsid w:val="00D412DF"/>
    <w:rsid w:val="00D41392"/>
    <w:rsid w:val="00D4149A"/>
    <w:rsid w:val="00D414E6"/>
    <w:rsid w:val="00D41560"/>
    <w:rsid w:val="00D41566"/>
    <w:rsid w:val="00D4174D"/>
    <w:rsid w:val="00D4175E"/>
    <w:rsid w:val="00D41876"/>
    <w:rsid w:val="00D41955"/>
    <w:rsid w:val="00D41A17"/>
    <w:rsid w:val="00D41ACA"/>
    <w:rsid w:val="00D41B09"/>
    <w:rsid w:val="00D41E0C"/>
    <w:rsid w:val="00D41F62"/>
    <w:rsid w:val="00D422EC"/>
    <w:rsid w:val="00D4231F"/>
    <w:rsid w:val="00D42545"/>
    <w:rsid w:val="00D425BF"/>
    <w:rsid w:val="00D429A7"/>
    <w:rsid w:val="00D429E6"/>
    <w:rsid w:val="00D429FC"/>
    <w:rsid w:val="00D42AE9"/>
    <w:rsid w:val="00D42B32"/>
    <w:rsid w:val="00D42D2B"/>
    <w:rsid w:val="00D42F5A"/>
    <w:rsid w:val="00D43081"/>
    <w:rsid w:val="00D43142"/>
    <w:rsid w:val="00D4342E"/>
    <w:rsid w:val="00D43563"/>
    <w:rsid w:val="00D4356F"/>
    <w:rsid w:val="00D437D0"/>
    <w:rsid w:val="00D43C7C"/>
    <w:rsid w:val="00D43CE8"/>
    <w:rsid w:val="00D43D42"/>
    <w:rsid w:val="00D43DAA"/>
    <w:rsid w:val="00D43E56"/>
    <w:rsid w:val="00D43FF2"/>
    <w:rsid w:val="00D440A8"/>
    <w:rsid w:val="00D441ED"/>
    <w:rsid w:val="00D443DE"/>
    <w:rsid w:val="00D445A0"/>
    <w:rsid w:val="00D445C7"/>
    <w:rsid w:val="00D44996"/>
    <w:rsid w:val="00D449F0"/>
    <w:rsid w:val="00D44A3D"/>
    <w:rsid w:val="00D44A40"/>
    <w:rsid w:val="00D44ABF"/>
    <w:rsid w:val="00D44C08"/>
    <w:rsid w:val="00D44C25"/>
    <w:rsid w:val="00D44C5C"/>
    <w:rsid w:val="00D44C97"/>
    <w:rsid w:val="00D44EA2"/>
    <w:rsid w:val="00D44EEB"/>
    <w:rsid w:val="00D450FC"/>
    <w:rsid w:val="00D45149"/>
    <w:rsid w:val="00D4520F"/>
    <w:rsid w:val="00D45274"/>
    <w:rsid w:val="00D45317"/>
    <w:rsid w:val="00D453A4"/>
    <w:rsid w:val="00D4561D"/>
    <w:rsid w:val="00D45781"/>
    <w:rsid w:val="00D45CD7"/>
    <w:rsid w:val="00D45CEA"/>
    <w:rsid w:val="00D45CF6"/>
    <w:rsid w:val="00D45D26"/>
    <w:rsid w:val="00D45DA9"/>
    <w:rsid w:val="00D45E43"/>
    <w:rsid w:val="00D45EC1"/>
    <w:rsid w:val="00D45F33"/>
    <w:rsid w:val="00D45F5D"/>
    <w:rsid w:val="00D4609F"/>
    <w:rsid w:val="00D4626E"/>
    <w:rsid w:val="00D465D3"/>
    <w:rsid w:val="00D46924"/>
    <w:rsid w:val="00D46955"/>
    <w:rsid w:val="00D46A88"/>
    <w:rsid w:val="00D46FCD"/>
    <w:rsid w:val="00D47060"/>
    <w:rsid w:val="00D4706A"/>
    <w:rsid w:val="00D4713A"/>
    <w:rsid w:val="00D473AE"/>
    <w:rsid w:val="00D473D3"/>
    <w:rsid w:val="00D4795D"/>
    <w:rsid w:val="00D479A4"/>
    <w:rsid w:val="00D47A32"/>
    <w:rsid w:val="00D47A99"/>
    <w:rsid w:val="00D47AD8"/>
    <w:rsid w:val="00D47DCA"/>
    <w:rsid w:val="00D47E20"/>
    <w:rsid w:val="00D50117"/>
    <w:rsid w:val="00D50386"/>
    <w:rsid w:val="00D5085B"/>
    <w:rsid w:val="00D5089D"/>
    <w:rsid w:val="00D50DFE"/>
    <w:rsid w:val="00D50F2A"/>
    <w:rsid w:val="00D5113D"/>
    <w:rsid w:val="00D5114F"/>
    <w:rsid w:val="00D51167"/>
    <w:rsid w:val="00D511DE"/>
    <w:rsid w:val="00D512A6"/>
    <w:rsid w:val="00D51419"/>
    <w:rsid w:val="00D515B3"/>
    <w:rsid w:val="00D515B6"/>
    <w:rsid w:val="00D51604"/>
    <w:rsid w:val="00D51624"/>
    <w:rsid w:val="00D5177B"/>
    <w:rsid w:val="00D51ADE"/>
    <w:rsid w:val="00D51C0E"/>
    <w:rsid w:val="00D51DC6"/>
    <w:rsid w:val="00D52418"/>
    <w:rsid w:val="00D5244B"/>
    <w:rsid w:val="00D524AA"/>
    <w:rsid w:val="00D5250D"/>
    <w:rsid w:val="00D52637"/>
    <w:rsid w:val="00D528B8"/>
    <w:rsid w:val="00D52A14"/>
    <w:rsid w:val="00D52D51"/>
    <w:rsid w:val="00D52FC6"/>
    <w:rsid w:val="00D53405"/>
    <w:rsid w:val="00D5355E"/>
    <w:rsid w:val="00D53583"/>
    <w:rsid w:val="00D535E1"/>
    <w:rsid w:val="00D53626"/>
    <w:rsid w:val="00D53634"/>
    <w:rsid w:val="00D53657"/>
    <w:rsid w:val="00D5373B"/>
    <w:rsid w:val="00D538C8"/>
    <w:rsid w:val="00D53902"/>
    <w:rsid w:val="00D53A61"/>
    <w:rsid w:val="00D53CD4"/>
    <w:rsid w:val="00D54047"/>
    <w:rsid w:val="00D542AF"/>
    <w:rsid w:val="00D54345"/>
    <w:rsid w:val="00D54373"/>
    <w:rsid w:val="00D543A5"/>
    <w:rsid w:val="00D546C9"/>
    <w:rsid w:val="00D548B3"/>
    <w:rsid w:val="00D54994"/>
    <w:rsid w:val="00D54A24"/>
    <w:rsid w:val="00D54A48"/>
    <w:rsid w:val="00D54B61"/>
    <w:rsid w:val="00D54E00"/>
    <w:rsid w:val="00D54E31"/>
    <w:rsid w:val="00D54EC6"/>
    <w:rsid w:val="00D550B3"/>
    <w:rsid w:val="00D55122"/>
    <w:rsid w:val="00D55170"/>
    <w:rsid w:val="00D55494"/>
    <w:rsid w:val="00D55499"/>
    <w:rsid w:val="00D55525"/>
    <w:rsid w:val="00D5561F"/>
    <w:rsid w:val="00D55C61"/>
    <w:rsid w:val="00D55CE1"/>
    <w:rsid w:val="00D55DBC"/>
    <w:rsid w:val="00D55DD3"/>
    <w:rsid w:val="00D56105"/>
    <w:rsid w:val="00D5617D"/>
    <w:rsid w:val="00D56187"/>
    <w:rsid w:val="00D56563"/>
    <w:rsid w:val="00D565BF"/>
    <w:rsid w:val="00D56A75"/>
    <w:rsid w:val="00D56CEF"/>
    <w:rsid w:val="00D5731E"/>
    <w:rsid w:val="00D5744B"/>
    <w:rsid w:val="00D575D3"/>
    <w:rsid w:val="00D57758"/>
    <w:rsid w:val="00D57810"/>
    <w:rsid w:val="00D5785F"/>
    <w:rsid w:val="00D578B9"/>
    <w:rsid w:val="00D57A6B"/>
    <w:rsid w:val="00D57C1B"/>
    <w:rsid w:val="00D57E93"/>
    <w:rsid w:val="00D57F67"/>
    <w:rsid w:val="00D57FC9"/>
    <w:rsid w:val="00D6003F"/>
    <w:rsid w:val="00D601F8"/>
    <w:rsid w:val="00D60393"/>
    <w:rsid w:val="00D60BA1"/>
    <w:rsid w:val="00D60DF8"/>
    <w:rsid w:val="00D60E69"/>
    <w:rsid w:val="00D60E93"/>
    <w:rsid w:val="00D60EE1"/>
    <w:rsid w:val="00D60F32"/>
    <w:rsid w:val="00D60F62"/>
    <w:rsid w:val="00D61090"/>
    <w:rsid w:val="00D6117D"/>
    <w:rsid w:val="00D61265"/>
    <w:rsid w:val="00D612BB"/>
    <w:rsid w:val="00D613C3"/>
    <w:rsid w:val="00D61441"/>
    <w:rsid w:val="00D615EB"/>
    <w:rsid w:val="00D616FF"/>
    <w:rsid w:val="00D6175D"/>
    <w:rsid w:val="00D617AC"/>
    <w:rsid w:val="00D61840"/>
    <w:rsid w:val="00D619EF"/>
    <w:rsid w:val="00D61A2E"/>
    <w:rsid w:val="00D61AD8"/>
    <w:rsid w:val="00D61AF3"/>
    <w:rsid w:val="00D61CEA"/>
    <w:rsid w:val="00D62185"/>
    <w:rsid w:val="00D621B6"/>
    <w:rsid w:val="00D6230C"/>
    <w:rsid w:val="00D6241B"/>
    <w:rsid w:val="00D62459"/>
    <w:rsid w:val="00D62536"/>
    <w:rsid w:val="00D62886"/>
    <w:rsid w:val="00D6290D"/>
    <w:rsid w:val="00D62966"/>
    <w:rsid w:val="00D62B66"/>
    <w:rsid w:val="00D63086"/>
    <w:rsid w:val="00D63308"/>
    <w:rsid w:val="00D63381"/>
    <w:rsid w:val="00D63444"/>
    <w:rsid w:val="00D636C1"/>
    <w:rsid w:val="00D636C3"/>
    <w:rsid w:val="00D63940"/>
    <w:rsid w:val="00D63983"/>
    <w:rsid w:val="00D63A5F"/>
    <w:rsid w:val="00D63CCD"/>
    <w:rsid w:val="00D63DB8"/>
    <w:rsid w:val="00D63E07"/>
    <w:rsid w:val="00D63F9B"/>
    <w:rsid w:val="00D6410D"/>
    <w:rsid w:val="00D641E5"/>
    <w:rsid w:val="00D64260"/>
    <w:rsid w:val="00D643CF"/>
    <w:rsid w:val="00D644D1"/>
    <w:rsid w:val="00D644F6"/>
    <w:rsid w:val="00D6491D"/>
    <w:rsid w:val="00D64980"/>
    <w:rsid w:val="00D64988"/>
    <w:rsid w:val="00D64B13"/>
    <w:rsid w:val="00D64C00"/>
    <w:rsid w:val="00D65002"/>
    <w:rsid w:val="00D6516A"/>
    <w:rsid w:val="00D65359"/>
    <w:rsid w:val="00D65380"/>
    <w:rsid w:val="00D65464"/>
    <w:rsid w:val="00D655FE"/>
    <w:rsid w:val="00D65602"/>
    <w:rsid w:val="00D65679"/>
    <w:rsid w:val="00D656A4"/>
    <w:rsid w:val="00D6579D"/>
    <w:rsid w:val="00D657CA"/>
    <w:rsid w:val="00D65943"/>
    <w:rsid w:val="00D65946"/>
    <w:rsid w:val="00D65AA9"/>
    <w:rsid w:val="00D65B44"/>
    <w:rsid w:val="00D6601A"/>
    <w:rsid w:val="00D6631F"/>
    <w:rsid w:val="00D6649B"/>
    <w:rsid w:val="00D66764"/>
    <w:rsid w:val="00D66935"/>
    <w:rsid w:val="00D669A9"/>
    <w:rsid w:val="00D66D68"/>
    <w:rsid w:val="00D66DF0"/>
    <w:rsid w:val="00D66EF0"/>
    <w:rsid w:val="00D670E1"/>
    <w:rsid w:val="00D670F6"/>
    <w:rsid w:val="00D673B1"/>
    <w:rsid w:val="00D674BB"/>
    <w:rsid w:val="00D6774B"/>
    <w:rsid w:val="00D67A6E"/>
    <w:rsid w:val="00D67C75"/>
    <w:rsid w:val="00D67E05"/>
    <w:rsid w:val="00D70105"/>
    <w:rsid w:val="00D703AF"/>
    <w:rsid w:val="00D705BA"/>
    <w:rsid w:val="00D70A7F"/>
    <w:rsid w:val="00D70AF1"/>
    <w:rsid w:val="00D70BFF"/>
    <w:rsid w:val="00D70CCF"/>
    <w:rsid w:val="00D70EB7"/>
    <w:rsid w:val="00D71080"/>
    <w:rsid w:val="00D7160C"/>
    <w:rsid w:val="00D7161F"/>
    <w:rsid w:val="00D7167F"/>
    <w:rsid w:val="00D716C7"/>
    <w:rsid w:val="00D717B1"/>
    <w:rsid w:val="00D71DA4"/>
    <w:rsid w:val="00D71F62"/>
    <w:rsid w:val="00D71FED"/>
    <w:rsid w:val="00D7221C"/>
    <w:rsid w:val="00D724E8"/>
    <w:rsid w:val="00D72531"/>
    <w:rsid w:val="00D72604"/>
    <w:rsid w:val="00D72710"/>
    <w:rsid w:val="00D72824"/>
    <w:rsid w:val="00D72922"/>
    <w:rsid w:val="00D72E84"/>
    <w:rsid w:val="00D72E87"/>
    <w:rsid w:val="00D72F19"/>
    <w:rsid w:val="00D731FB"/>
    <w:rsid w:val="00D731FF"/>
    <w:rsid w:val="00D732D6"/>
    <w:rsid w:val="00D73388"/>
    <w:rsid w:val="00D734A6"/>
    <w:rsid w:val="00D73587"/>
    <w:rsid w:val="00D7358C"/>
    <w:rsid w:val="00D735A3"/>
    <w:rsid w:val="00D73751"/>
    <w:rsid w:val="00D73768"/>
    <w:rsid w:val="00D73A08"/>
    <w:rsid w:val="00D73CF6"/>
    <w:rsid w:val="00D73E89"/>
    <w:rsid w:val="00D73FBE"/>
    <w:rsid w:val="00D741FD"/>
    <w:rsid w:val="00D74303"/>
    <w:rsid w:val="00D743E2"/>
    <w:rsid w:val="00D7450F"/>
    <w:rsid w:val="00D7455E"/>
    <w:rsid w:val="00D745CA"/>
    <w:rsid w:val="00D74A53"/>
    <w:rsid w:val="00D74DC7"/>
    <w:rsid w:val="00D7518D"/>
    <w:rsid w:val="00D75256"/>
    <w:rsid w:val="00D7582C"/>
    <w:rsid w:val="00D75844"/>
    <w:rsid w:val="00D759F1"/>
    <w:rsid w:val="00D75BCB"/>
    <w:rsid w:val="00D75C3F"/>
    <w:rsid w:val="00D75C4B"/>
    <w:rsid w:val="00D75C8F"/>
    <w:rsid w:val="00D75DEA"/>
    <w:rsid w:val="00D75E64"/>
    <w:rsid w:val="00D75F2E"/>
    <w:rsid w:val="00D76242"/>
    <w:rsid w:val="00D76389"/>
    <w:rsid w:val="00D764A5"/>
    <w:rsid w:val="00D7650B"/>
    <w:rsid w:val="00D76693"/>
    <w:rsid w:val="00D7673E"/>
    <w:rsid w:val="00D76AB8"/>
    <w:rsid w:val="00D76E35"/>
    <w:rsid w:val="00D76FAF"/>
    <w:rsid w:val="00D7714D"/>
    <w:rsid w:val="00D7715B"/>
    <w:rsid w:val="00D77322"/>
    <w:rsid w:val="00D773FD"/>
    <w:rsid w:val="00D77561"/>
    <w:rsid w:val="00D778EB"/>
    <w:rsid w:val="00D7797F"/>
    <w:rsid w:val="00D779A2"/>
    <w:rsid w:val="00D77B07"/>
    <w:rsid w:val="00D77F72"/>
    <w:rsid w:val="00D8005C"/>
    <w:rsid w:val="00D803C0"/>
    <w:rsid w:val="00D80528"/>
    <w:rsid w:val="00D8060A"/>
    <w:rsid w:val="00D8069C"/>
    <w:rsid w:val="00D806C0"/>
    <w:rsid w:val="00D8086F"/>
    <w:rsid w:val="00D8094B"/>
    <w:rsid w:val="00D80A20"/>
    <w:rsid w:val="00D80B56"/>
    <w:rsid w:val="00D80C99"/>
    <w:rsid w:val="00D80DAA"/>
    <w:rsid w:val="00D80FF4"/>
    <w:rsid w:val="00D810A6"/>
    <w:rsid w:val="00D8130A"/>
    <w:rsid w:val="00D8162E"/>
    <w:rsid w:val="00D81856"/>
    <w:rsid w:val="00D818E8"/>
    <w:rsid w:val="00D819DE"/>
    <w:rsid w:val="00D81CCB"/>
    <w:rsid w:val="00D82034"/>
    <w:rsid w:val="00D820FD"/>
    <w:rsid w:val="00D825CA"/>
    <w:rsid w:val="00D82651"/>
    <w:rsid w:val="00D826B6"/>
    <w:rsid w:val="00D826C7"/>
    <w:rsid w:val="00D82723"/>
    <w:rsid w:val="00D82AFA"/>
    <w:rsid w:val="00D82E5D"/>
    <w:rsid w:val="00D82E62"/>
    <w:rsid w:val="00D82FAC"/>
    <w:rsid w:val="00D82FB6"/>
    <w:rsid w:val="00D83088"/>
    <w:rsid w:val="00D83282"/>
    <w:rsid w:val="00D834B6"/>
    <w:rsid w:val="00D835BA"/>
    <w:rsid w:val="00D837EC"/>
    <w:rsid w:val="00D838FF"/>
    <w:rsid w:val="00D83959"/>
    <w:rsid w:val="00D839B1"/>
    <w:rsid w:val="00D839EF"/>
    <w:rsid w:val="00D83B56"/>
    <w:rsid w:val="00D83C3C"/>
    <w:rsid w:val="00D83D84"/>
    <w:rsid w:val="00D83FB5"/>
    <w:rsid w:val="00D84118"/>
    <w:rsid w:val="00D84400"/>
    <w:rsid w:val="00D84436"/>
    <w:rsid w:val="00D844EF"/>
    <w:rsid w:val="00D845BC"/>
    <w:rsid w:val="00D84683"/>
    <w:rsid w:val="00D84838"/>
    <w:rsid w:val="00D8487C"/>
    <w:rsid w:val="00D84885"/>
    <w:rsid w:val="00D84D31"/>
    <w:rsid w:val="00D84D90"/>
    <w:rsid w:val="00D85279"/>
    <w:rsid w:val="00D852A9"/>
    <w:rsid w:val="00D854A5"/>
    <w:rsid w:val="00D85594"/>
    <w:rsid w:val="00D85641"/>
    <w:rsid w:val="00D8567E"/>
    <w:rsid w:val="00D858C7"/>
    <w:rsid w:val="00D85925"/>
    <w:rsid w:val="00D85B34"/>
    <w:rsid w:val="00D8610A"/>
    <w:rsid w:val="00D86634"/>
    <w:rsid w:val="00D86644"/>
    <w:rsid w:val="00D867AD"/>
    <w:rsid w:val="00D8680D"/>
    <w:rsid w:val="00D86868"/>
    <w:rsid w:val="00D8686F"/>
    <w:rsid w:val="00D86931"/>
    <w:rsid w:val="00D86B77"/>
    <w:rsid w:val="00D86E2E"/>
    <w:rsid w:val="00D86ED2"/>
    <w:rsid w:val="00D86FFE"/>
    <w:rsid w:val="00D87143"/>
    <w:rsid w:val="00D872C7"/>
    <w:rsid w:val="00D87306"/>
    <w:rsid w:val="00D873DC"/>
    <w:rsid w:val="00D87443"/>
    <w:rsid w:val="00D87510"/>
    <w:rsid w:val="00D8758D"/>
    <w:rsid w:val="00D879E8"/>
    <w:rsid w:val="00D87B49"/>
    <w:rsid w:val="00D87B58"/>
    <w:rsid w:val="00D87D6F"/>
    <w:rsid w:val="00D87E76"/>
    <w:rsid w:val="00D87FB4"/>
    <w:rsid w:val="00D900B5"/>
    <w:rsid w:val="00D901E0"/>
    <w:rsid w:val="00D902CC"/>
    <w:rsid w:val="00D902EE"/>
    <w:rsid w:val="00D9071B"/>
    <w:rsid w:val="00D908B0"/>
    <w:rsid w:val="00D90C44"/>
    <w:rsid w:val="00D90E59"/>
    <w:rsid w:val="00D90E96"/>
    <w:rsid w:val="00D90E9C"/>
    <w:rsid w:val="00D90F18"/>
    <w:rsid w:val="00D90FB9"/>
    <w:rsid w:val="00D910B0"/>
    <w:rsid w:val="00D911D7"/>
    <w:rsid w:val="00D9138A"/>
    <w:rsid w:val="00D913A6"/>
    <w:rsid w:val="00D91564"/>
    <w:rsid w:val="00D9161E"/>
    <w:rsid w:val="00D917DF"/>
    <w:rsid w:val="00D91831"/>
    <w:rsid w:val="00D91A5A"/>
    <w:rsid w:val="00D91A76"/>
    <w:rsid w:val="00D91A7B"/>
    <w:rsid w:val="00D91B9A"/>
    <w:rsid w:val="00D91BDD"/>
    <w:rsid w:val="00D91D86"/>
    <w:rsid w:val="00D91FBE"/>
    <w:rsid w:val="00D92156"/>
    <w:rsid w:val="00D921F7"/>
    <w:rsid w:val="00D9237C"/>
    <w:rsid w:val="00D92562"/>
    <w:rsid w:val="00D925BF"/>
    <w:rsid w:val="00D92876"/>
    <w:rsid w:val="00D92955"/>
    <w:rsid w:val="00D92A08"/>
    <w:rsid w:val="00D92CD9"/>
    <w:rsid w:val="00D92CE9"/>
    <w:rsid w:val="00D92D4A"/>
    <w:rsid w:val="00D92E66"/>
    <w:rsid w:val="00D92EAA"/>
    <w:rsid w:val="00D92FAC"/>
    <w:rsid w:val="00D9308B"/>
    <w:rsid w:val="00D93181"/>
    <w:rsid w:val="00D9318F"/>
    <w:rsid w:val="00D93471"/>
    <w:rsid w:val="00D9361E"/>
    <w:rsid w:val="00D9381E"/>
    <w:rsid w:val="00D93881"/>
    <w:rsid w:val="00D93894"/>
    <w:rsid w:val="00D938D4"/>
    <w:rsid w:val="00D93B8D"/>
    <w:rsid w:val="00D93E68"/>
    <w:rsid w:val="00D93F92"/>
    <w:rsid w:val="00D941BF"/>
    <w:rsid w:val="00D94257"/>
    <w:rsid w:val="00D94335"/>
    <w:rsid w:val="00D94757"/>
    <w:rsid w:val="00D94768"/>
    <w:rsid w:val="00D947EE"/>
    <w:rsid w:val="00D94847"/>
    <w:rsid w:val="00D94AB5"/>
    <w:rsid w:val="00D94ACE"/>
    <w:rsid w:val="00D94C5D"/>
    <w:rsid w:val="00D94D2E"/>
    <w:rsid w:val="00D94E08"/>
    <w:rsid w:val="00D9505A"/>
    <w:rsid w:val="00D95088"/>
    <w:rsid w:val="00D9514D"/>
    <w:rsid w:val="00D9517B"/>
    <w:rsid w:val="00D9527C"/>
    <w:rsid w:val="00D9539C"/>
    <w:rsid w:val="00D9570C"/>
    <w:rsid w:val="00D95728"/>
    <w:rsid w:val="00D95AD2"/>
    <w:rsid w:val="00D95B8B"/>
    <w:rsid w:val="00D95E4F"/>
    <w:rsid w:val="00D95F31"/>
    <w:rsid w:val="00D95FED"/>
    <w:rsid w:val="00D95FF3"/>
    <w:rsid w:val="00D961D3"/>
    <w:rsid w:val="00D96213"/>
    <w:rsid w:val="00D964D9"/>
    <w:rsid w:val="00D96AE7"/>
    <w:rsid w:val="00D96C23"/>
    <w:rsid w:val="00D96CB4"/>
    <w:rsid w:val="00D96D41"/>
    <w:rsid w:val="00D96F5A"/>
    <w:rsid w:val="00D9706F"/>
    <w:rsid w:val="00D9721E"/>
    <w:rsid w:val="00D972D7"/>
    <w:rsid w:val="00D972DD"/>
    <w:rsid w:val="00D9733D"/>
    <w:rsid w:val="00D973AD"/>
    <w:rsid w:val="00D975F2"/>
    <w:rsid w:val="00D97769"/>
    <w:rsid w:val="00D97B5B"/>
    <w:rsid w:val="00D97C3A"/>
    <w:rsid w:val="00DA02A6"/>
    <w:rsid w:val="00DA02DC"/>
    <w:rsid w:val="00DA0325"/>
    <w:rsid w:val="00DA0458"/>
    <w:rsid w:val="00DA049D"/>
    <w:rsid w:val="00DA0636"/>
    <w:rsid w:val="00DA0B4E"/>
    <w:rsid w:val="00DA0CEE"/>
    <w:rsid w:val="00DA0E7A"/>
    <w:rsid w:val="00DA0F39"/>
    <w:rsid w:val="00DA0FA6"/>
    <w:rsid w:val="00DA0FDA"/>
    <w:rsid w:val="00DA105D"/>
    <w:rsid w:val="00DA1092"/>
    <w:rsid w:val="00DA1428"/>
    <w:rsid w:val="00DA154B"/>
    <w:rsid w:val="00DA1593"/>
    <w:rsid w:val="00DA1731"/>
    <w:rsid w:val="00DA1F4A"/>
    <w:rsid w:val="00DA21D2"/>
    <w:rsid w:val="00DA2219"/>
    <w:rsid w:val="00DA2386"/>
    <w:rsid w:val="00DA24D2"/>
    <w:rsid w:val="00DA28E2"/>
    <w:rsid w:val="00DA2C39"/>
    <w:rsid w:val="00DA2C52"/>
    <w:rsid w:val="00DA2E42"/>
    <w:rsid w:val="00DA3003"/>
    <w:rsid w:val="00DA320F"/>
    <w:rsid w:val="00DA3249"/>
    <w:rsid w:val="00DA32A1"/>
    <w:rsid w:val="00DA33C8"/>
    <w:rsid w:val="00DA3465"/>
    <w:rsid w:val="00DA34FB"/>
    <w:rsid w:val="00DA35B6"/>
    <w:rsid w:val="00DA378D"/>
    <w:rsid w:val="00DA38B2"/>
    <w:rsid w:val="00DA3948"/>
    <w:rsid w:val="00DA3A04"/>
    <w:rsid w:val="00DA3C3F"/>
    <w:rsid w:val="00DA3DBC"/>
    <w:rsid w:val="00DA4059"/>
    <w:rsid w:val="00DA4263"/>
    <w:rsid w:val="00DA435E"/>
    <w:rsid w:val="00DA45DD"/>
    <w:rsid w:val="00DA4617"/>
    <w:rsid w:val="00DA4622"/>
    <w:rsid w:val="00DA46C8"/>
    <w:rsid w:val="00DA4745"/>
    <w:rsid w:val="00DA49B4"/>
    <w:rsid w:val="00DA4B38"/>
    <w:rsid w:val="00DA4E0D"/>
    <w:rsid w:val="00DA4EAA"/>
    <w:rsid w:val="00DA4F52"/>
    <w:rsid w:val="00DA50CE"/>
    <w:rsid w:val="00DA5122"/>
    <w:rsid w:val="00DA5132"/>
    <w:rsid w:val="00DA5177"/>
    <w:rsid w:val="00DA51A8"/>
    <w:rsid w:val="00DA51E9"/>
    <w:rsid w:val="00DA5456"/>
    <w:rsid w:val="00DA54A1"/>
    <w:rsid w:val="00DA555B"/>
    <w:rsid w:val="00DA566F"/>
    <w:rsid w:val="00DA5A98"/>
    <w:rsid w:val="00DA5C6A"/>
    <w:rsid w:val="00DA5D52"/>
    <w:rsid w:val="00DA5EA6"/>
    <w:rsid w:val="00DA655F"/>
    <w:rsid w:val="00DA67B7"/>
    <w:rsid w:val="00DA6812"/>
    <w:rsid w:val="00DA68A9"/>
    <w:rsid w:val="00DA69E0"/>
    <w:rsid w:val="00DA70E2"/>
    <w:rsid w:val="00DA7187"/>
    <w:rsid w:val="00DA728C"/>
    <w:rsid w:val="00DA732A"/>
    <w:rsid w:val="00DA73B7"/>
    <w:rsid w:val="00DA751E"/>
    <w:rsid w:val="00DA762F"/>
    <w:rsid w:val="00DA7793"/>
    <w:rsid w:val="00DA77BE"/>
    <w:rsid w:val="00DA7974"/>
    <w:rsid w:val="00DA7A56"/>
    <w:rsid w:val="00DA7DEF"/>
    <w:rsid w:val="00DA7E99"/>
    <w:rsid w:val="00DA7F03"/>
    <w:rsid w:val="00DB00E4"/>
    <w:rsid w:val="00DB028B"/>
    <w:rsid w:val="00DB0355"/>
    <w:rsid w:val="00DB04E2"/>
    <w:rsid w:val="00DB059F"/>
    <w:rsid w:val="00DB06D5"/>
    <w:rsid w:val="00DB0AC1"/>
    <w:rsid w:val="00DB0B18"/>
    <w:rsid w:val="00DB0D26"/>
    <w:rsid w:val="00DB0D83"/>
    <w:rsid w:val="00DB0E0D"/>
    <w:rsid w:val="00DB1051"/>
    <w:rsid w:val="00DB10E9"/>
    <w:rsid w:val="00DB1159"/>
    <w:rsid w:val="00DB121C"/>
    <w:rsid w:val="00DB1245"/>
    <w:rsid w:val="00DB1375"/>
    <w:rsid w:val="00DB1401"/>
    <w:rsid w:val="00DB1824"/>
    <w:rsid w:val="00DB1A5E"/>
    <w:rsid w:val="00DB1B18"/>
    <w:rsid w:val="00DB1B27"/>
    <w:rsid w:val="00DB1CE2"/>
    <w:rsid w:val="00DB1D92"/>
    <w:rsid w:val="00DB21B6"/>
    <w:rsid w:val="00DB23DD"/>
    <w:rsid w:val="00DB246C"/>
    <w:rsid w:val="00DB2504"/>
    <w:rsid w:val="00DB271B"/>
    <w:rsid w:val="00DB2752"/>
    <w:rsid w:val="00DB2860"/>
    <w:rsid w:val="00DB28CE"/>
    <w:rsid w:val="00DB2AE8"/>
    <w:rsid w:val="00DB2B03"/>
    <w:rsid w:val="00DB2BAB"/>
    <w:rsid w:val="00DB2D44"/>
    <w:rsid w:val="00DB2DA0"/>
    <w:rsid w:val="00DB3187"/>
    <w:rsid w:val="00DB318D"/>
    <w:rsid w:val="00DB3417"/>
    <w:rsid w:val="00DB35BB"/>
    <w:rsid w:val="00DB363F"/>
    <w:rsid w:val="00DB36B9"/>
    <w:rsid w:val="00DB37B6"/>
    <w:rsid w:val="00DB385A"/>
    <w:rsid w:val="00DB3BED"/>
    <w:rsid w:val="00DB3ED1"/>
    <w:rsid w:val="00DB3F43"/>
    <w:rsid w:val="00DB4019"/>
    <w:rsid w:val="00DB4226"/>
    <w:rsid w:val="00DB44E8"/>
    <w:rsid w:val="00DB471B"/>
    <w:rsid w:val="00DB4740"/>
    <w:rsid w:val="00DB4846"/>
    <w:rsid w:val="00DB4996"/>
    <w:rsid w:val="00DB4A84"/>
    <w:rsid w:val="00DB4BC6"/>
    <w:rsid w:val="00DB4D4D"/>
    <w:rsid w:val="00DB4DA3"/>
    <w:rsid w:val="00DB4E31"/>
    <w:rsid w:val="00DB4E5D"/>
    <w:rsid w:val="00DB527A"/>
    <w:rsid w:val="00DB52BF"/>
    <w:rsid w:val="00DB53FE"/>
    <w:rsid w:val="00DB54B7"/>
    <w:rsid w:val="00DB55AD"/>
    <w:rsid w:val="00DB58B7"/>
    <w:rsid w:val="00DB58F9"/>
    <w:rsid w:val="00DB59D4"/>
    <w:rsid w:val="00DB5E4A"/>
    <w:rsid w:val="00DB6128"/>
    <w:rsid w:val="00DB616A"/>
    <w:rsid w:val="00DB630E"/>
    <w:rsid w:val="00DB6329"/>
    <w:rsid w:val="00DB6354"/>
    <w:rsid w:val="00DB647E"/>
    <w:rsid w:val="00DB6602"/>
    <w:rsid w:val="00DB688E"/>
    <w:rsid w:val="00DB6A0D"/>
    <w:rsid w:val="00DB6B90"/>
    <w:rsid w:val="00DB6F6E"/>
    <w:rsid w:val="00DB7079"/>
    <w:rsid w:val="00DB7087"/>
    <w:rsid w:val="00DB71DF"/>
    <w:rsid w:val="00DB7202"/>
    <w:rsid w:val="00DB7204"/>
    <w:rsid w:val="00DB7258"/>
    <w:rsid w:val="00DB72C1"/>
    <w:rsid w:val="00DB7333"/>
    <w:rsid w:val="00DB7519"/>
    <w:rsid w:val="00DB77C1"/>
    <w:rsid w:val="00DB78C8"/>
    <w:rsid w:val="00DB7955"/>
    <w:rsid w:val="00DB79F5"/>
    <w:rsid w:val="00DB7A77"/>
    <w:rsid w:val="00DB7C1E"/>
    <w:rsid w:val="00DB7D9C"/>
    <w:rsid w:val="00DB7DE4"/>
    <w:rsid w:val="00DB7FE5"/>
    <w:rsid w:val="00DB7FF0"/>
    <w:rsid w:val="00DC01A5"/>
    <w:rsid w:val="00DC02A7"/>
    <w:rsid w:val="00DC02FA"/>
    <w:rsid w:val="00DC0338"/>
    <w:rsid w:val="00DC0E13"/>
    <w:rsid w:val="00DC0E58"/>
    <w:rsid w:val="00DC13D8"/>
    <w:rsid w:val="00DC14D0"/>
    <w:rsid w:val="00DC1825"/>
    <w:rsid w:val="00DC18DF"/>
    <w:rsid w:val="00DC1917"/>
    <w:rsid w:val="00DC1986"/>
    <w:rsid w:val="00DC1B1E"/>
    <w:rsid w:val="00DC1BC5"/>
    <w:rsid w:val="00DC1CA4"/>
    <w:rsid w:val="00DC1D9C"/>
    <w:rsid w:val="00DC1DC5"/>
    <w:rsid w:val="00DC2014"/>
    <w:rsid w:val="00DC21AD"/>
    <w:rsid w:val="00DC21E0"/>
    <w:rsid w:val="00DC23C9"/>
    <w:rsid w:val="00DC248B"/>
    <w:rsid w:val="00DC24EB"/>
    <w:rsid w:val="00DC26A2"/>
    <w:rsid w:val="00DC2807"/>
    <w:rsid w:val="00DC2A11"/>
    <w:rsid w:val="00DC2BAB"/>
    <w:rsid w:val="00DC2D24"/>
    <w:rsid w:val="00DC2FEA"/>
    <w:rsid w:val="00DC3389"/>
    <w:rsid w:val="00DC3A62"/>
    <w:rsid w:val="00DC3A8C"/>
    <w:rsid w:val="00DC3E02"/>
    <w:rsid w:val="00DC3E31"/>
    <w:rsid w:val="00DC3EAC"/>
    <w:rsid w:val="00DC4292"/>
    <w:rsid w:val="00DC434C"/>
    <w:rsid w:val="00DC445A"/>
    <w:rsid w:val="00DC44F7"/>
    <w:rsid w:val="00DC4514"/>
    <w:rsid w:val="00DC47CF"/>
    <w:rsid w:val="00DC48B3"/>
    <w:rsid w:val="00DC4969"/>
    <w:rsid w:val="00DC4976"/>
    <w:rsid w:val="00DC4A92"/>
    <w:rsid w:val="00DC4AD9"/>
    <w:rsid w:val="00DC4B8D"/>
    <w:rsid w:val="00DC4D72"/>
    <w:rsid w:val="00DC4D82"/>
    <w:rsid w:val="00DC4DBB"/>
    <w:rsid w:val="00DC4EBD"/>
    <w:rsid w:val="00DC4ECF"/>
    <w:rsid w:val="00DC4ED0"/>
    <w:rsid w:val="00DC4ED7"/>
    <w:rsid w:val="00DC4F20"/>
    <w:rsid w:val="00DC4F37"/>
    <w:rsid w:val="00DC5050"/>
    <w:rsid w:val="00DC51B8"/>
    <w:rsid w:val="00DC527D"/>
    <w:rsid w:val="00DC54E2"/>
    <w:rsid w:val="00DC54F5"/>
    <w:rsid w:val="00DC558A"/>
    <w:rsid w:val="00DC55AB"/>
    <w:rsid w:val="00DC571B"/>
    <w:rsid w:val="00DC579C"/>
    <w:rsid w:val="00DC59E3"/>
    <w:rsid w:val="00DC5A9A"/>
    <w:rsid w:val="00DC5B53"/>
    <w:rsid w:val="00DC5D1E"/>
    <w:rsid w:val="00DC5DD2"/>
    <w:rsid w:val="00DC6093"/>
    <w:rsid w:val="00DC6115"/>
    <w:rsid w:val="00DC6527"/>
    <w:rsid w:val="00DC660B"/>
    <w:rsid w:val="00DC6811"/>
    <w:rsid w:val="00DC6AC7"/>
    <w:rsid w:val="00DC6D27"/>
    <w:rsid w:val="00DC6DF4"/>
    <w:rsid w:val="00DC70AA"/>
    <w:rsid w:val="00DC711B"/>
    <w:rsid w:val="00DC71EC"/>
    <w:rsid w:val="00DC7220"/>
    <w:rsid w:val="00DC72F1"/>
    <w:rsid w:val="00DC7309"/>
    <w:rsid w:val="00DC731D"/>
    <w:rsid w:val="00DC7337"/>
    <w:rsid w:val="00DC73C0"/>
    <w:rsid w:val="00DC7538"/>
    <w:rsid w:val="00DC7567"/>
    <w:rsid w:val="00DC7716"/>
    <w:rsid w:val="00DC7796"/>
    <w:rsid w:val="00DC7822"/>
    <w:rsid w:val="00DC7DBB"/>
    <w:rsid w:val="00DC7EA7"/>
    <w:rsid w:val="00DC7FC9"/>
    <w:rsid w:val="00DD0009"/>
    <w:rsid w:val="00DD000C"/>
    <w:rsid w:val="00DD01C6"/>
    <w:rsid w:val="00DD02B5"/>
    <w:rsid w:val="00DD03F7"/>
    <w:rsid w:val="00DD056F"/>
    <w:rsid w:val="00DD062B"/>
    <w:rsid w:val="00DD087F"/>
    <w:rsid w:val="00DD0AD3"/>
    <w:rsid w:val="00DD0B1A"/>
    <w:rsid w:val="00DD0BE9"/>
    <w:rsid w:val="00DD0FCB"/>
    <w:rsid w:val="00DD101C"/>
    <w:rsid w:val="00DD1496"/>
    <w:rsid w:val="00DD15DD"/>
    <w:rsid w:val="00DD16A1"/>
    <w:rsid w:val="00DD175F"/>
    <w:rsid w:val="00DD1838"/>
    <w:rsid w:val="00DD1896"/>
    <w:rsid w:val="00DD1A4F"/>
    <w:rsid w:val="00DD1B08"/>
    <w:rsid w:val="00DD1DC8"/>
    <w:rsid w:val="00DD21BE"/>
    <w:rsid w:val="00DD21ED"/>
    <w:rsid w:val="00DD2254"/>
    <w:rsid w:val="00DD22AF"/>
    <w:rsid w:val="00DD237F"/>
    <w:rsid w:val="00DD2403"/>
    <w:rsid w:val="00DD25E0"/>
    <w:rsid w:val="00DD2763"/>
    <w:rsid w:val="00DD29B4"/>
    <w:rsid w:val="00DD2A41"/>
    <w:rsid w:val="00DD2DC7"/>
    <w:rsid w:val="00DD2DE4"/>
    <w:rsid w:val="00DD2DE7"/>
    <w:rsid w:val="00DD2F75"/>
    <w:rsid w:val="00DD365D"/>
    <w:rsid w:val="00DD38CE"/>
    <w:rsid w:val="00DD3B3F"/>
    <w:rsid w:val="00DD3B8B"/>
    <w:rsid w:val="00DD3C22"/>
    <w:rsid w:val="00DD3CED"/>
    <w:rsid w:val="00DD3D1F"/>
    <w:rsid w:val="00DD410A"/>
    <w:rsid w:val="00DD4249"/>
    <w:rsid w:val="00DD453A"/>
    <w:rsid w:val="00DD4771"/>
    <w:rsid w:val="00DD4867"/>
    <w:rsid w:val="00DD48B7"/>
    <w:rsid w:val="00DD48D2"/>
    <w:rsid w:val="00DD493C"/>
    <w:rsid w:val="00DD4A27"/>
    <w:rsid w:val="00DD4C48"/>
    <w:rsid w:val="00DD4CDD"/>
    <w:rsid w:val="00DD4CF3"/>
    <w:rsid w:val="00DD4D5B"/>
    <w:rsid w:val="00DD4DBC"/>
    <w:rsid w:val="00DD4E84"/>
    <w:rsid w:val="00DD5337"/>
    <w:rsid w:val="00DD54CC"/>
    <w:rsid w:val="00DD581E"/>
    <w:rsid w:val="00DD5D6F"/>
    <w:rsid w:val="00DD5EB4"/>
    <w:rsid w:val="00DD5FA8"/>
    <w:rsid w:val="00DD617C"/>
    <w:rsid w:val="00DD6362"/>
    <w:rsid w:val="00DD6500"/>
    <w:rsid w:val="00DD65E0"/>
    <w:rsid w:val="00DD6605"/>
    <w:rsid w:val="00DD66FE"/>
    <w:rsid w:val="00DD694F"/>
    <w:rsid w:val="00DD6E1D"/>
    <w:rsid w:val="00DD73F1"/>
    <w:rsid w:val="00DD754B"/>
    <w:rsid w:val="00DD757E"/>
    <w:rsid w:val="00DD759F"/>
    <w:rsid w:val="00DD7622"/>
    <w:rsid w:val="00DD76A5"/>
    <w:rsid w:val="00DD773A"/>
    <w:rsid w:val="00DD79EE"/>
    <w:rsid w:val="00DD7A66"/>
    <w:rsid w:val="00DD7B10"/>
    <w:rsid w:val="00DD7BED"/>
    <w:rsid w:val="00DD7CD9"/>
    <w:rsid w:val="00DD7E80"/>
    <w:rsid w:val="00DD7EB7"/>
    <w:rsid w:val="00DD7EF7"/>
    <w:rsid w:val="00DD7F71"/>
    <w:rsid w:val="00DE01F8"/>
    <w:rsid w:val="00DE02DF"/>
    <w:rsid w:val="00DE04C6"/>
    <w:rsid w:val="00DE0581"/>
    <w:rsid w:val="00DE064B"/>
    <w:rsid w:val="00DE09F9"/>
    <w:rsid w:val="00DE0B5B"/>
    <w:rsid w:val="00DE0BCB"/>
    <w:rsid w:val="00DE0D26"/>
    <w:rsid w:val="00DE0D3F"/>
    <w:rsid w:val="00DE0EA9"/>
    <w:rsid w:val="00DE0F85"/>
    <w:rsid w:val="00DE11F2"/>
    <w:rsid w:val="00DE120E"/>
    <w:rsid w:val="00DE1449"/>
    <w:rsid w:val="00DE14BC"/>
    <w:rsid w:val="00DE152C"/>
    <w:rsid w:val="00DE1539"/>
    <w:rsid w:val="00DE1663"/>
    <w:rsid w:val="00DE16B9"/>
    <w:rsid w:val="00DE18AD"/>
    <w:rsid w:val="00DE1A55"/>
    <w:rsid w:val="00DE1B8C"/>
    <w:rsid w:val="00DE1DFD"/>
    <w:rsid w:val="00DE1E5F"/>
    <w:rsid w:val="00DE1F09"/>
    <w:rsid w:val="00DE1FA4"/>
    <w:rsid w:val="00DE22CD"/>
    <w:rsid w:val="00DE23CC"/>
    <w:rsid w:val="00DE2526"/>
    <w:rsid w:val="00DE27F2"/>
    <w:rsid w:val="00DE2982"/>
    <w:rsid w:val="00DE2AD8"/>
    <w:rsid w:val="00DE2B09"/>
    <w:rsid w:val="00DE2CEB"/>
    <w:rsid w:val="00DE30A0"/>
    <w:rsid w:val="00DE3112"/>
    <w:rsid w:val="00DE316C"/>
    <w:rsid w:val="00DE32CA"/>
    <w:rsid w:val="00DE3376"/>
    <w:rsid w:val="00DE3409"/>
    <w:rsid w:val="00DE34A9"/>
    <w:rsid w:val="00DE34BA"/>
    <w:rsid w:val="00DE35F4"/>
    <w:rsid w:val="00DE37C2"/>
    <w:rsid w:val="00DE3823"/>
    <w:rsid w:val="00DE3CE6"/>
    <w:rsid w:val="00DE3D0F"/>
    <w:rsid w:val="00DE3D9A"/>
    <w:rsid w:val="00DE3DB2"/>
    <w:rsid w:val="00DE3E24"/>
    <w:rsid w:val="00DE3FD3"/>
    <w:rsid w:val="00DE451A"/>
    <w:rsid w:val="00DE45EA"/>
    <w:rsid w:val="00DE4689"/>
    <w:rsid w:val="00DE4833"/>
    <w:rsid w:val="00DE48E6"/>
    <w:rsid w:val="00DE4903"/>
    <w:rsid w:val="00DE4918"/>
    <w:rsid w:val="00DE4939"/>
    <w:rsid w:val="00DE4B75"/>
    <w:rsid w:val="00DE4BE0"/>
    <w:rsid w:val="00DE4DB5"/>
    <w:rsid w:val="00DE4E54"/>
    <w:rsid w:val="00DE5145"/>
    <w:rsid w:val="00DE514C"/>
    <w:rsid w:val="00DE52E6"/>
    <w:rsid w:val="00DE531B"/>
    <w:rsid w:val="00DE54AF"/>
    <w:rsid w:val="00DE568C"/>
    <w:rsid w:val="00DE5697"/>
    <w:rsid w:val="00DE5A1C"/>
    <w:rsid w:val="00DE5D47"/>
    <w:rsid w:val="00DE5F15"/>
    <w:rsid w:val="00DE5F4D"/>
    <w:rsid w:val="00DE5FEA"/>
    <w:rsid w:val="00DE60CD"/>
    <w:rsid w:val="00DE620A"/>
    <w:rsid w:val="00DE625A"/>
    <w:rsid w:val="00DE638C"/>
    <w:rsid w:val="00DE64E3"/>
    <w:rsid w:val="00DE6562"/>
    <w:rsid w:val="00DE65BA"/>
    <w:rsid w:val="00DE661B"/>
    <w:rsid w:val="00DE6786"/>
    <w:rsid w:val="00DE682A"/>
    <w:rsid w:val="00DE6AD0"/>
    <w:rsid w:val="00DE6B7C"/>
    <w:rsid w:val="00DE6C78"/>
    <w:rsid w:val="00DE7491"/>
    <w:rsid w:val="00DE7532"/>
    <w:rsid w:val="00DE7614"/>
    <w:rsid w:val="00DE7623"/>
    <w:rsid w:val="00DE77C5"/>
    <w:rsid w:val="00DE77D2"/>
    <w:rsid w:val="00DE7912"/>
    <w:rsid w:val="00DE7B32"/>
    <w:rsid w:val="00DE7C04"/>
    <w:rsid w:val="00DE7C30"/>
    <w:rsid w:val="00DE7E5B"/>
    <w:rsid w:val="00DE7F68"/>
    <w:rsid w:val="00DF003C"/>
    <w:rsid w:val="00DF0091"/>
    <w:rsid w:val="00DF0143"/>
    <w:rsid w:val="00DF0231"/>
    <w:rsid w:val="00DF05B3"/>
    <w:rsid w:val="00DF0796"/>
    <w:rsid w:val="00DF08B1"/>
    <w:rsid w:val="00DF09B9"/>
    <w:rsid w:val="00DF0C51"/>
    <w:rsid w:val="00DF0CFE"/>
    <w:rsid w:val="00DF0E2A"/>
    <w:rsid w:val="00DF0F11"/>
    <w:rsid w:val="00DF1046"/>
    <w:rsid w:val="00DF110E"/>
    <w:rsid w:val="00DF112C"/>
    <w:rsid w:val="00DF113C"/>
    <w:rsid w:val="00DF1266"/>
    <w:rsid w:val="00DF15BE"/>
    <w:rsid w:val="00DF1676"/>
    <w:rsid w:val="00DF1681"/>
    <w:rsid w:val="00DF17D4"/>
    <w:rsid w:val="00DF1B1D"/>
    <w:rsid w:val="00DF1DFB"/>
    <w:rsid w:val="00DF1EC4"/>
    <w:rsid w:val="00DF214B"/>
    <w:rsid w:val="00DF216D"/>
    <w:rsid w:val="00DF23C5"/>
    <w:rsid w:val="00DF263C"/>
    <w:rsid w:val="00DF2808"/>
    <w:rsid w:val="00DF28C6"/>
    <w:rsid w:val="00DF2D7C"/>
    <w:rsid w:val="00DF2DB6"/>
    <w:rsid w:val="00DF2DB9"/>
    <w:rsid w:val="00DF3010"/>
    <w:rsid w:val="00DF3021"/>
    <w:rsid w:val="00DF314C"/>
    <w:rsid w:val="00DF3421"/>
    <w:rsid w:val="00DF360A"/>
    <w:rsid w:val="00DF399E"/>
    <w:rsid w:val="00DF39EB"/>
    <w:rsid w:val="00DF3D5E"/>
    <w:rsid w:val="00DF3D74"/>
    <w:rsid w:val="00DF3EE8"/>
    <w:rsid w:val="00DF3F77"/>
    <w:rsid w:val="00DF408E"/>
    <w:rsid w:val="00DF416B"/>
    <w:rsid w:val="00DF41C7"/>
    <w:rsid w:val="00DF431D"/>
    <w:rsid w:val="00DF438A"/>
    <w:rsid w:val="00DF44D6"/>
    <w:rsid w:val="00DF45EE"/>
    <w:rsid w:val="00DF46EF"/>
    <w:rsid w:val="00DF4A39"/>
    <w:rsid w:val="00DF4BAF"/>
    <w:rsid w:val="00DF4E87"/>
    <w:rsid w:val="00DF5026"/>
    <w:rsid w:val="00DF50B4"/>
    <w:rsid w:val="00DF520A"/>
    <w:rsid w:val="00DF52E0"/>
    <w:rsid w:val="00DF5410"/>
    <w:rsid w:val="00DF552A"/>
    <w:rsid w:val="00DF556C"/>
    <w:rsid w:val="00DF55A7"/>
    <w:rsid w:val="00DF55B7"/>
    <w:rsid w:val="00DF55EC"/>
    <w:rsid w:val="00DF57FF"/>
    <w:rsid w:val="00DF5B4F"/>
    <w:rsid w:val="00DF5B64"/>
    <w:rsid w:val="00DF5D41"/>
    <w:rsid w:val="00DF5D5F"/>
    <w:rsid w:val="00DF5EB1"/>
    <w:rsid w:val="00DF5F84"/>
    <w:rsid w:val="00DF5FD9"/>
    <w:rsid w:val="00DF6360"/>
    <w:rsid w:val="00DF6590"/>
    <w:rsid w:val="00DF6618"/>
    <w:rsid w:val="00DF686B"/>
    <w:rsid w:val="00DF6939"/>
    <w:rsid w:val="00DF6ADB"/>
    <w:rsid w:val="00DF6D73"/>
    <w:rsid w:val="00DF6EAC"/>
    <w:rsid w:val="00DF6EE9"/>
    <w:rsid w:val="00DF6F23"/>
    <w:rsid w:val="00DF7058"/>
    <w:rsid w:val="00DF7090"/>
    <w:rsid w:val="00DF70E6"/>
    <w:rsid w:val="00DF710E"/>
    <w:rsid w:val="00DF7328"/>
    <w:rsid w:val="00DF738C"/>
    <w:rsid w:val="00DF7457"/>
    <w:rsid w:val="00DF74BE"/>
    <w:rsid w:val="00DF74FD"/>
    <w:rsid w:val="00DF7808"/>
    <w:rsid w:val="00DF7824"/>
    <w:rsid w:val="00DF7852"/>
    <w:rsid w:val="00DF7976"/>
    <w:rsid w:val="00DF7DC7"/>
    <w:rsid w:val="00E0020A"/>
    <w:rsid w:val="00E003DE"/>
    <w:rsid w:val="00E003FA"/>
    <w:rsid w:val="00E00485"/>
    <w:rsid w:val="00E005BD"/>
    <w:rsid w:val="00E00755"/>
    <w:rsid w:val="00E00761"/>
    <w:rsid w:val="00E00AC1"/>
    <w:rsid w:val="00E00C61"/>
    <w:rsid w:val="00E00CA5"/>
    <w:rsid w:val="00E00E7C"/>
    <w:rsid w:val="00E00EDB"/>
    <w:rsid w:val="00E00F70"/>
    <w:rsid w:val="00E00FD0"/>
    <w:rsid w:val="00E00FD8"/>
    <w:rsid w:val="00E0125A"/>
    <w:rsid w:val="00E0129A"/>
    <w:rsid w:val="00E014BE"/>
    <w:rsid w:val="00E0177E"/>
    <w:rsid w:val="00E017D9"/>
    <w:rsid w:val="00E01D13"/>
    <w:rsid w:val="00E01D5B"/>
    <w:rsid w:val="00E01FF2"/>
    <w:rsid w:val="00E020E8"/>
    <w:rsid w:val="00E0211D"/>
    <w:rsid w:val="00E02171"/>
    <w:rsid w:val="00E0226E"/>
    <w:rsid w:val="00E022DE"/>
    <w:rsid w:val="00E02936"/>
    <w:rsid w:val="00E029E2"/>
    <w:rsid w:val="00E029FB"/>
    <w:rsid w:val="00E02B36"/>
    <w:rsid w:val="00E02DD9"/>
    <w:rsid w:val="00E02F56"/>
    <w:rsid w:val="00E02FE6"/>
    <w:rsid w:val="00E0319B"/>
    <w:rsid w:val="00E03347"/>
    <w:rsid w:val="00E033CF"/>
    <w:rsid w:val="00E034D3"/>
    <w:rsid w:val="00E03729"/>
    <w:rsid w:val="00E03753"/>
    <w:rsid w:val="00E039FE"/>
    <w:rsid w:val="00E03AD1"/>
    <w:rsid w:val="00E03B7F"/>
    <w:rsid w:val="00E03CB5"/>
    <w:rsid w:val="00E03DAD"/>
    <w:rsid w:val="00E03DE8"/>
    <w:rsid w:val="00E03F49"/>
    <w:rsid w:val="00E03FC3"/>
    <w:rsid w:val="00E040BC"/>
    <w:rsid w:val="00E041B3"/>
    <w:rsid w:val="00E043D5"/>
    <w:rsid w:val="00E044BB"/>
    <w:rsid w:val="00E047EB"/>
    <w:rsid w:val="00E04AF3"/>
    <w:rsid w:val="00E04EB3"/>
    <w:rsid w:val="00E04F8A"/>
    <w:rsid w:val="00E04FEA"/>
    <w:rsid w:val="00E05079"/>
    <w:rsid w:val="00E0594D"/>
    <w:rsid w:val="00E05A6C"/>
    <w:rsid w:val="00E05BA3"/>
    <w:rsid w:val="00E05CB6"/>
    <w:rsid w:val="00E05D54"/>
    <w:rsid w:val="00E05D75"/>
    <w:rsid w:val="00E05E05"/>
    <w:rsid w:val="00E06052"/>
    <w:rsid w:val="00E0609E"/>
    <w:rsid w:val="00E062F4"/>
    <w:rsid w:val="00E06478"/>
    <w:rsid w:val="00E064DB"/>
    <w:rsid w:val="00E067D6"/>
    <w:rsid w:val="00E0686B"/>
    <w:rsid w:val="00E06979"/>
    <w:rsid w:val="00E069C2"/>
    <w:rsid w:val="00E06CE8"/>
    <w:rsid w:val="00E06F3B"/>
    <w:rsid w:val="00E06F44"/>
    <w:rsid w:val="00E06FFD"/>
    <w:rsid w:val="00E07118"/>
    <w:rsid w:val="00E071B1"/>
    <w:rsid w:val="00E07444"/>
    <w:rsid w:val="00E07584"/>
    <w:rsid w:val="00E075BA"/>
    <w:rsid w:val="00E07632"/>
    <w:rsid w:val="00E0799E"/>
    <w:rsid w:val="00E07AD8"/>
    <w:rsid w:val="00E07B76"/>
    <w:rsid w:val="00E07BBA"/>
    <w:rsid w:val="00E07C14"/>
    <w:rsid w:val="00E07D98"/>
    <w:rsid w:val="00E10091"/>
    <w:rsid w:val="00E10297"/>
    <w:rsid w:val="00E10562"/>
    <w:rsid w:val="00E105BA"/>
    <w:rsid w:val="00E10737"/>
    <w:rsid w:val="00E107D6"/>
    <w:rsid w:val="00E10995"/>
    <w:rsid w:val="00E10A3B"/>
    <w:rsid w:val="00E10B83"/>
    <w:rsid w:val="00E10C5D"/>
    <w:rsid w:val="00E10D86"/>
    <w:rsid w:val="00E10E58"/>
    <w:rsid w:val="00E10FF5"/>
    <w:rsid w:val="00E11251"/>
    <w:rsid w:val="00E11453"/>
    <w:rsid w:val="00E1154B"/>
    <w:rsid w:val="00E119F6"/>
    <w:rsid w:val="00E11CC2"/>
    <w:rsid w:val="00E12119"/>
    <w:rsid w:val="00E122EC"/>
    <w:rsid w:val="00E125A5"/>
    <w:rsid w:val="00E12678"/>
    <w:rsid w:val="00E129A3"/>
    <w:rsid w:val="00E12A51"/>
    <w:rsid w:val="00E12ABB"/>
    <w:rsid w:val="00E12B47"/>
    <w:rsid w:val="00E130A1"/>
    <w:rsid w:val="00E131DB"/>
    <w:rsid w:val="00E13327"/>
    <w:rsid w:val="00E133DC"/>
    <w:rsid w:val="00E133F1"/>
    <w:rsid w:val="00E13449"/>
    <w:rsid w:val="00E13467"/>
    <w:rsid w:val="00E134AD"/>
    <w:rsid w:val="00E134F6"/>
    <w:rsid w:val="00E136B5"/>
    <w:rsid w:val="00E136F0"/>
    <w:rsid w:val="00E1373C"/>
    <w:rsid w:val="00E13755"/>
    <w:rsid w:val="00E1381A"/>
    <w:rsid w:val="00E139A6"/>
    <w:rsid w:val="00E13A80"/>
    <w:rsid w:val="00E13BF1"/>
    <w:rsid w:val="00E13C51"/>
    <w:rsid w:val="00E13D2E"/>
    <w:rsid w:val="00E13D39"/>
    <w:rsid w:val="00E13D5C"/>
    <w:rsid w:val="00E13DF9"/>
    <w:rsid w:val="00E13E20"/>
    <w:rsid w:val="00E13FBE"/>
    <w:rsid w:val="00E1448A"/>
    <w:rsid w:val="00E14535"/>
    <w:rsid w:val="00E1454E"/>
    <w:rsid w:val="00E14567"/>
    <w:rsid w:val="00E146DA"/>
    <w:rsid w:val="00E14727"/>
    <w:rsid w:val="00E147EF"/>
    <w:rsid w:val="00E14C1C"/>
    <w:rsid w:val="00E14C57"/>
    <w:rsid w:val="00E14D95"/>
    <w:rsid w:val="00E14EF6"/>
    <w:rsid w:val="00E14F3E"/>
    <w:rsid w:val="00E14F80"/>
    <w:rsid w:val="00E151EB"/>
    <w:rsid w:val="00E1538F"/>
    <w:rsid w:val="00E15696"/>
    <w:rsid w:val="00E156D9"/>
    <w:rsid w:val="00E1575F"/>
    <w:rsid w:val="00E157F0"/>
    <w:rsid w:val="00E1581A"/>
    <w:rsid w:val="00E15AC7"/>
    <w:rsid w:val="00E15B4B"/>
    <w:rsid w:val="00E15DE9"/>
    <w:rsid w:val="00E16623"/>
    <w:rsid w:val="00E16640"/>
    <w:rsid w:val="00E16713"/>
    <w:rsid w:val="00E16784"/>
    <w:rsid w:val="00E167C5"/>
    <w:rsid w:val="00E1686F"/>
    <w:rsid w:val="00E168B2"/>
    <w:rsid w:val="00E16BAA"/>
    <w:rsid w:val="00E16C54"/>
    <w:rsid w:val="00E16DB4"/>
    <w:rsid w:val="00E16EB4"/>
    <w:rsid w:val="00E17194"/>
    <w:rsid w:val="00E1724B"/>
    <w:rsid w:val="00E173E1"/>
    <w:rsid w:val="00E1751C"/>
    <w:rsid w:val="00E17877"/>
    <w:rsid w:val="00E17900"/>
    <w:rsid w:val="00E179DE"/>
    <w:rsid w:val="00E17A9C"/>
    <w:rsid w:val="00E17AA8"/>
    <w:rsid w:val="00E17BDB"/>
    <w:rsid w:val="00E20015"/>
    <w:rsid w:val="00E20073"/>
    <w:rsid w:val="00E200C9"/>
    <w:rsid w:val="00E2014B"/>
    <w:rsid w:val="00E20240"/>
    <w:rsid w:val="00E202FE"/>
    <w:rsid w:val="00E2062F"/>
    <w:rsid w:val="00E20730"/>
    <w:rsid w:val="00E20738"/>
    <w:rsid w:val="00E20943"/>
    <w:rsid w:val="00E20AB8"/>
    <w:rsid w:val="00E20C50"/>
    <w:rsid w:val="00E20C57"/>
    <w:rsid w:val="00E20F9F"/>
    <w:rsid w:val="00E20FCD"/>
    <w:rsid w:val="00E2118F"/>
    <w:rsid w:val="00E21236"/>
    <w:rsid w:val="00E21389"/>
    <w:rsid w:val="00E213F8"/>
    <w:rsid w:val="00E214E3"/>
    <w:rsid w:val="00E21619"/>
    <w:rsid w:val="00E2178B"/>
    <w:rsid w:val="00E21885"/>
    <w:rsid w:val="00E218D7"/>
    <w:rsid w:val="00E21B46"/>
    <w:rsid w:val="00E21C00"/>
    <w:rsid w:val="00E21F39"/>
    <w:rsid w:val="00E21FC0"/>
    <w:rsid w:val="00E22046"/>
    <w:rsid w:val="00E220B9"/>
    <w:rsid w:val="00E221BB"/>
    <w:rsid w:val="00E22226"/>
    <w:rsid w:val="00E22309"/>
    <w:rsid w:val="00E22683"/>
    <w:rsid w:val="00E227F3"/>
    <w:rsid w:val="00E22959"/>
    <w:rsid w:val="00E22A35"/>
    <w:rsid w:val="00E22B4B"/>
    <w:rsid w:val="00E22BF6"/>
    <w:rsid w:val="00E22C42"/>
    <w:rsid w:val="00E22E2A"/>
    <w:rsid w:val="00E22E5F"/>
    <w:rsid w:val="00E22F9A"/>
    <w:rsid w:val="00E231CD"/>
    <w:rsid w:val="00E2320F"/>
    <w:rsid w:val="00E23277"/>
    <w:rsid w:val="00E2341F"/>
    <w:rsid w:val="00E236A6"/>
    <w:rsid w:val="00E239AC"/>
    <w:rsid w:val="00E23A27"/>
    <w:rsid w:val="00E23A6B"/>
    <w:rsid w:val="00E23BC5"/>
    <w:rsid w:val="00E23D76"/>
    <w:rsid w:val="00E23DDF"/>
    <w:rsid w:val="00E23E13"/>
    <w:rsid w:val="00E23F68"/>
    <w:rsid w:val="00E240DE"/>
    <w:rsid w:val="00E24317"/>
    <w:rsid w:val="00E243FC"/>
    <w:rsid w:val="00E24481"/>
    <w:rsid w:val="00E244D0"/>
    <w:rsid w:val="00E245A5"/>
    <w:rsid w:val="00E24611"/>
    <w:rsid w:val="00E24742"/>
    <w:rsid w:val="00E24818"/>
    <w:rsid w:val="00E24BF7"/>
    <w:rsid w:val="00E24DB4"/>
    <w:rsid w:val="00E24FE7"/>
    <w:rsid w:val="00E2511D"/>
    <w:rsid w:val="00E25315"/>
    <w:rsid w:val="00E254DD"/>
    <w:rsid w:val="00E255B1"/>
    <w:rsid w:val="00E256EE"/>
    <w:rsid w:val="00E25712"/>
    <w:rsid w:val="00E25A1D"/>
    <w:rsid w:val="00E25A99"/>
    <w:rsid w:val="00E25C03"/>
    <w:rsid w:val="00E25C29"/>
    <w:rsid w:val="00E25C46"/>
    <w:rsid w:val="00E25CBD"/>
    <w:rsid w:val="00E25ED1"/>
    <w:rsid w:val="00E26080"/>
    <w:rsid w:val="00E2608F"/>
    <w:rsid w:val="00E26384"/>
    <w:rsid w:val="00E26673"/>
    <w:rsid w:val="00E26736"/>
    <w:rsid w:val="00E267CA"/>
    <w:rsid w:val="00E26A2C"/>
    <w:rsid w:val="00E26A66"/>
    <w:rsid w:val="00E26D96"/>
    <w:rsid w:val="00E26FAA"/>
    <w:rsid w:val="00E27015"/>
    <w:rsid w:val="00E27017"/>
    <w:rsid w:val="00E272F3"/>
    <w:rsid w:val="00E2737D"/>
    <w:rsid w:val="00E2738D"/>
    <w:rsid w:val="00E273E5"/>
    <w:rsid w:val="00E2740E"/>
    <w:rsid w:val="00E27721"/>
    <w:rsid w:val="00E27785"/>
    <w:rsid w:val="00E27896"/>
    <w:rsid w:val="00E2791D"/>
    <w:rsid w:val="00E27A0D"/>
    <w:rsid w:val="00E27A25"/>
    <w:rsid w:val="00E27BFC"/>
    <w:rsid w:val="00E27E11"/>
    <w:rsid w:val="00E27EA0"/>
    <w:rsid w:val="00E30069"/>
    <w:rsid w:val="00E30135"/>
    <w:rsid w:val="00E3025A"/>
    <w:rsid w:val="00E302B8"/>
    <w:rsid w:val="00E303F1"/>
    <w:rsid w:val="00E30449"/>
    <w:rsid w:val="00E30948"/>
    <w:rsid w:val="00E3097C"/>
    <w:rsid w:val="00E30A1B"/>
    <w:rsid w:val="00E30DE5"/>
    <w:rsid w:val="00E30E84"/>
    <w:rsid w:val="00E30F4C"/>
    <w:rsid w:val="00E30F69"/>
    <w:rsid w:val="00E30F9B"/>
    <w:rsid w:val="00E31042"/>
    <w:rsid w:val="00E310E2"/>
    <w:rsid w:val="00E31131"/>
    <w:rsid w:val="00E31382"/>
    <w:rsid w:val="00E31507"/>
    <w:rsid w:val="00E315AD"/>
    <w:rsid w:val="00E317B4"/>
    <w:rsid w:val="00E318A3"/>
    <w:rsid w:val="00E318E0"/>
    <w:rsid w:val="00E31A09"/>
    <w:rsid w:val="00E31B45"/>
    <w:rsid w:val="00E31BF9"/>
    <w:rsid w:val="00E31CE7"/>
    <w:rsid w:val="00E31DB1"/>
    <w:rsid w:val="00E31EEC"/>
    <w:rsid w:val="00E31FE7"/>
    <w:rsid w:val="00E32055"/>
    <w:rsid w:val="00E3224F"/>
    <w:rsid w:val="00E32838"/>
    <w:rsid w:val="00E32A93"/>
    <w:rsid w:val="00E32AD9"/>
    <w:rsid w:val="00E32C28"/>
    <w:rsid w:val="00E32CCD"/>
    <w:rsid w:val="00E32CF2"/>
    <w:rsid w:val="00E32FAD"/>
    <w:rsid w:val="00E3316E"/>
    <w:rsid w:val="00E33177"/>
    <w:rsid w:val="00E333D8"/>
    <w:rsid w:val="00E3353D"/>
    <w:rsid w:val="00E33689"/>
    <w:rsid w:val="00E33C2B"/>
    <w:rsid w:val="00E340D8"/>
    <w:rsid w:val="00E34284"/>
    <w:rsid w:val="00E343E0"/>
    <w:rsid w:val="00E34468"/>
    <w:rsid w:val="00E345CB"/>
    <w:rsid w:val="00E346D5"/>
    <w:rsid w:val="00E3473C"/>
    <w:rsid w:val="00E349B7"/>
    <w:rsid w:val="00E34A16"/>
    <w:rsid w:val="00E35032"/>
    <w:rsid w:val="00E35072"/>
    <w:rsid w:val="00E351A5"/>
    <w:rsid w:val="00E35307"/>
    <w:rsid w:val="00E35422"/>
    <w:rsid w:val="00E3546A"/>
    <w:rsid w:val="00E354D3"/>
    <w:rsid w:val="00E355F5"/>
    <w:rsid w:val="00E35991"/>
    <w:rsid w:val="00E35C12"/>
    <w:rsid w:val="00E36053"/>
    <w:rsid w:val="00E36155"/>
    <w:rsid w:val="00E3616E"/>
    <w:rsid w:val="00E362F6"/>
    <w:rsid w:val="00E3638B"/>
    <w:rsid w:val="00E363D9"/>
    <w:rsid w:val="00E36554"/>
    <w:rsid w:val="00E366CA"/>
    <w:rsid w:val="00E3670C"/>
    <w:rsid w:val="00E36CAC"/>
    <w:rsid w:val="00E36DF6"/>
    <w:rsid w:val="00E36E15"/>
    <w:rsid w:val="00E36ED4"/>
    <w:rsid w:val="00E37015"/>
    <w:rsid w:val="00E37128"/>
    <w:rsid w:val="00E3712A"/>
    <w:rsid w:val="00E37316"/>
    <w:rsid w:val="00E374C0"/>
    <w:rsid w:val="00E3755A"/>
    <w:rsid w:val="00E37578"/>
    <w:rsid w:val="00E376B6"/>
    <w:rsid w:val="00E376C9"/>
    <w:rsid w:val="00E377A3"/>
    <w:rsid w:val="00E37847"/>
    <w:rsid w:val="00E3793D"/>
    <w:rsid w:val="00E37BF9"/>
    <w:rsid w:val="00E37C51"/>
    <w:rsid w:val="00E37C5E"/>
    <w:rsid w:val="00E37E0F"/>
    <w:rsid w:val="00E37EBC"/>
    <w:rsid w:val="00E37F50"/>
    <w:rsid w:val="00E40345"/>
    <w:rsid w:val="00E40381"/>
    <w:rsid w:val="00E40482"/>
    <w:rsid w:val="00E404C4"/>
    <w:rsid w:val="00E405EE"/>
    <w:rsid w:val="00E40B80"/>
    <w:rsid w:val="00E40C37"/>
    <w:rsid w:val="00E40CB7"/>
    <w:rsid w:val="00E40D4A"/>
    <w:rsid w:val="00E40E5E"/>
    <w:rsid w:val="00E40F2B"/>
    <w:rsid w:val="00E41132"/>
    <w:rsid w:val="00E411EF"/>
    <w:rsid w:val="00E415B9"/>
    <w:rsid w:val="00E4178B"/>
    <w:rsid w:val="00E4191A"/>
    <w:rsid w:val="00E41A0C"/>
    <w:rsid w:val="00E41BC3"/>
    <w:rsid w:val="00E41CE6"/>
    <w:rsid w:val="00E41E26"/>
    <w:rsid w:val="00E41E47"/>
    <w:rsid w:val="00E41E79"/>
    <w:rsid w:val="00E41ED8"/>
    <w:rsid w:val="00E420C5"/>
    <w:rsid w:val="00E421E3"/>
    <w:rsid w:val="00E42258"/>
    <w:rsid w:val="00E42330"/>
    <w:rsid w:val="00E42497"/>
    <w:rsid w:val="00E428BD"/>
    <w:rsid w:val="00E428E5"/>
    <w:rsid w:val="00E42A14"/>
    <w:rsid w:val="00E42B0C"/>
    <w:rsid w:val="00E42B0D"/>
    <w:rsid w:val="00E42D86"/>
    <w:rsid w:val="00E42E5C"/>
    <w:rsid w:val="00E42F68"/>
    <w:rsid w:val="00E42FE4"/>
    <w:rsid w:val="00E4331D"/>
    <w:rsid w:val="00E43576"/>
    <w:rsid w:val="00E436CF"/>
    <w:rsid w:val="00E43988"/>
    <w:rsid w:val="00E439D6"/>
    <w:rsid w:val="00E43A29"/>
    <w:rsid w:val="00E43C32"/>
    <w:rsid w:val="00E43DDA"/>
    <w:rsid w:val="00E43DDD"/>
    <w:rsid w:val="00E43DFB"/>
    <w:rsid w:val="00E43EB6"/>
    <w:rsid w:val="00E440C9"/>
    <w:rsid w:val="00E44165"/>
    <w:rsid w:val="00E4443A"/>
    <w:rsid w:val="00E444CE"/>
    <w:rsid w:val="00E446E6"/>
    <w:rsid w:val="00E44746"/>
    <w:rsid w:val="00E448A0"/>
    <w:rsid w:val="00E44933"/>
    <w:rsid w:val="00E44A5A"/>
    <w:rsid w:val="00E44BD1"/>
    <w:rsid w:val="00E44C06"/>
    <w:rsid w:val="00E44CF1"/>
    <w:rsid w:val="00E44E45"/>
    <w:rsid w:val="00E44F48"/>
    <w:rsid w:val="00E44FBE"/>
    <w:rsid w:val="00E45060"/>
    <w:rsid w:val="00E45186"/>
    <w:rsid w:val="00E453CA"/>
    <w:rsid w:val="00E4565D"/>
    <w:rsid w:val="00E4568E"/>
    <w:rsid w:val="00E459C5"/>
    <w:rsid w:val="00E45AC3"/>
    <w:rsid w:val="00E45CA5"/>
    <w:rsid w:val="00E45D5B"/>
    <w:rsid w:val="00E45DC1"/>
    <w:rsid w:val="00E461D0"/>
    <w:rsid w:val="00E462E1"/>
    <w:rsid w:val="00E46315"/>
    <w:rsid w:val="00E463A9"/>
    <w:rsid w:val="00E4641B"/>
    <w:rsid w:val="00E46512"/>
    <w:rsid w:val="00E467C5"/>
    <w:rsid w:val="00E468A1"/>
    <w:rsid w:val="00E468A5"/>
    <w:rsid w:val="00E46A5F"/>
    <w:rsid w:val="00E46B10"/>
    <w:rsid w:val="00E46B4A"/>
    <w:rsid w:val="00E46B6F"/>
    <w:rsid w:val="00E46BE3"/>
    <w:rsid w:val="00E46C66"/>
    <w:rsid w:val="00E46F07"/>
    <w:rsid w:val="00E46F1E"/>
    <w:rsid w:val="00E46F3C"/>
    <w:rsid w:val="00E470EA"/>
    <w:rsid w:val="00E470F5"/>
    <w:rsid w:val="00E471EA"/>
    <w:rsid w:val="00E4727E"/>
    <w:rsid w:val="00E47301"/>
    <w:rsid w:val="00E4749D"/>
    <w:rsid w:val="00E4765F"/>
    <w:rsid w:val="00E476DB"/>
    <w:rsid w:val="00E476DF"/>
    <w:rsid w:val="00E47985"/>
    <w:rsid w:val="00E47B67"/>
    <w:rsid w:val="00E47C54"/>
    <w:rsid w:val="00E47D9C"/>
    <w:rsid w:val="00E5007F"/>
    <w:rsid w:val="00E500A5"/>
    <w:rsid w:val="00E500F0"/>
    <w:rsid w:val="00E5040A"/>
    <w:rsid w:val="00E50597"/>
    <w:rsid w:val="00E5062D"/>
    <w:rsid w:val="00E50835"/>
    <w:rsid w:val="00E50873"/>
    <w:rsid w:val="00E508C1"/>
    <w:rsid w:val="00E50B23"/>
    <w:rsid w:val="00E50BD0"/>
    <w:rsid w:val="00E50BED"/>
    <w:rsid w:val="00E50F2F"/>
    <w:rsid w:val="00E51047"/>
    <w:rsid w:val="00E51247"/>
    <w:rsid w:val="00E512FB"/>
    <w:rsid w:val="00E51372"/>
    <w:rsid w:val="00E51405"/>
    <w:rsid w:val="00E51427"/>
    <w:rsid w:val="00E514E3"/>
    <w:rsid w:val="00E51822"/>
    <w:rsid w:val="00E51B09"/>
    <w:rsid w:val="00E51DB0"/>
    <w:rsid w:val="00E51EC4"/>
    <w:rsid w:val="00E52159"/>
    <w:rsid w:val="00E524C5"/>
    <w:rsid w:val="00E52788"/>
    <w:rsid w:val="00E5278A"/>
    <w:rsid w:val="00E527C4"/>
    <w:rsid w:val="00E52ABB"/>
    <w:rsid w:val="00E52BBD"/>
    <w:rsid w:val="00E52C70"/>
    <w:rsid w:val="00E52C82"/>
    <w:rsid w:val="00E52CAF"/>
    <w:rsid w:val="00E52D54"/>
    <w:rsid w:val="00E52DE6"/>
    <w:rsid w:val="00E52E06"/>
    <w:rsid w:val="00E52F6E"/>
    <w:rsid w:val="00E52FC3"/>
    <w:rsid w:val="00E53178"/>
    <w:rsid w:val="00E53186"/>
    <w:rsid w:val="00E535E2"/>
    <w:rsid w:val="00E53626"/>
    <w:rsid w:val="00E5366F"/>
    <w:rsid w:val="00E5368E"/>
    <w:rsid w:val="00E5371A"/>
    <w:rsid w:val="00E53FCC"/>
    <w:rsid w:val="00E54035"/>
    <w:rsid w:val="00E5411A"/>
    <w:rsid w:val="00E54132"/>
    <w:rsid w:val="00E545D5"/>
    <w:rsid w:val="00E5479F"/>
    <w:rsid w:val="00E549BB"/>
    <w:rsid w:val="00E549EB"/>
    <w:rsid w:val="00E54A9F"/>
    <w:rsid w:val="00E54CE2"/>
    <w:rsid w:val="00E54E7A"/>
    <w:rsid w:val="00E551E6"/>
    <w:rsid w:val="00E553A9"/>
    <w:rsid w:val="00E55534"/>
    <w:rsid w:val="00E55633"/>
    <w:rsid w:val="00E55635"/>
    <w:rsid w:val="00E55722"/>
    <w:rsid w:val="00E557EB"/>
    <w:rsid w:val="00E55B7E"/>
    <w:rsid w:val="00E55DB6"/>
    <w:rsid w:val="00E55EA6"/>
    <w:rsid w:val="00E55F02"/>
    <w:rsid w:val="00E5603B"/>
    <w:rsid w:val="00E562DE"/>
    <w:rsid w:val="00E56598"/>
    <w:rsid w:val="00E568A0"/>
    <w:rsid w:val="00E56D56"/>
    <w:rsid w:val="00E56E34"/>
    <w:rsid w:val="00E56FDA"/>
    <w:rsid w:val="00E570C8"/>
    <w:rsid w:val="00E572D9"/>
    <w:rsid w:val="00E57395"/>
    <w:rsid w:val="00E574E2"/>
    <w:rsid w:val="00E5764D"/>
    <w:rsid w:val="00E577FA"/>
    <w:rsid w:val="00E57931"/>
    <w:rsid w:val="00E57952"/>
    <w:rsid w:val="00E579EF"/>
    <w:rsid w:val="00E579FF"/>
    <w:rsid w:val="00E57A07"/>
    <w:rsid w:val="00E57EBF"/>
    <w:rsid w:val="00E6014D"/>
    <w:rsid w:val="00E601CA"/>
    <w:rsid w:val="00E60238"/>
    <w:rsid w:val="00E603CA"/>
    <w:rsid w:val="00E604B5"/>
    <w:rsid w:val="00E605AB"/>
    <w:rsid w:val="00E60684"/>
    <w:rsid w:val="00E608C8"/>
    <w:rsid w:val="00E608E2"/>
    <w:rsid w:val="00E60971"/>
    <w:rsid w:val="00E60993"/>
    <w:rsid w:val="00E61229"/>
    <w:rsid w:val="00E612D0"/>
    <w:rsid w:val="00E6159E"/>
    <w:rsid w:val="00E615D8"/>
    <w:rsid w:val="00E617E1"/>
    <w:rsid w:val="00E61A79"/>
    <w:rsid w:val="00E61B3D"/>
    <w:rsid w:val="00E61BD7"/>
    <w:rsid w:val="00E61C4C"/>
    <w:rsid w:val="00E61D91"/>
    <w:rsid w:val="00E61DFB"/>
    <w:rsid w:val="00E620C4"/>
    <w:rsid w:val="00E621B4"/>
    <w:rsid w:val="00E621E9"/>
    <w:rsid w:val="00E624D8"/>
    <w:rsid w:val="00E6259E"/>
    <w:rsid w:val="00E62915"/>
    <w:rsid w:val="00E62BAA"/>
    <w:rsid w:val="00E62FB7"/>
    <w:rsid w:val="00E63451"/>
    <w:rsid w:val="00E63521"/>
    <w:rsid w:val="00E63546"/>
    <w:rsid w:val="00E6354A"/>
    <w:rsid w:val="00E63559"/>
    <w:rsid w:val="00E63AB7"/>
    <w:rsid w:val="00E63B65"/>
    <w:rsid w:val="00E63CAD"/>
    <w:rsid w:val="00E63D6B"/>
    <w:rsid w:val="00E63E02"/>
    <w:rsid w:val="00E63E80"/>
    <w:rsid w:val="00E641FB"/>
    <w:rsid w:val="00E64378"/>
    <w:rsid w:val="00E6443E"/>
    <w:rsid w:val="00E6448A"/>
    <w:rsid w:val="00E645B8"/>
    <w:rsid w:val="00E64629"/>
    <w:rsid w:val="00E64647"/>
    <w:rsid w:val="00E64808"/>
    <w:rsid w:val="00E64B69"/>
    <w:rsid w:val="00E64D32"/>
    <w:rsid w:val="00E64FCC"/>
    <w:rsid w:val="00E65114"/>
    <w:rsid w:val="00E651D3"/>
    <w:rsid w:val="00E652D4"/>
    <w:rsid w:val="00E65522"/>
    <w:rsid w:val="00E657B6"/>
    <w:rsid w:val="00E6597D"/>
    <w:rsid w:val="00E65A36"/>
    <w:rsid w:val="00E65D57"/>
    <w:rsid w:val="00E65E60"/>
    <w:rsid w:val="00E65E86"/>
    <w:rsid w:val="00E65F0D"/>
    <w:rsid w:val="00E65F4F"/>
    <w:rsid w:val="00E65F96"/>
    <w:rsid w:val="00E661DF"/>
    <w:rsid w:val="00E662BE"/>
    <w:rsid w:val="00E6636D"/>
    <w:rsid w:val="00E664AE"/>
    <w:rsid w:val="00E6662D"/>
    <w:rsid w:val="00E667EC"/>
    <w:rsid w:val="00E66864"/>
    <w:rsid w:val="00E6698C"/>
    <w:rsid w:val="00E66A47"/>
    <w:rsid w:val="00E66B0C"/>
    <w:rsid w:val="00E66C23"/>
    <w:rsid w:val="00E66CA0"/>
    <w:rsid w:val="00E670EF"/>
    <w:rsid w:val="00E6719C"/>
    <w:rsid w:val="00E673D8"/>
    <w:rsid w:val="00E6740A"/>
    <w:rsid w:val="00E6746C"/>
    <w:rsid w:val="00E67539"/>
    <w:rsid w:val="00E675CE"/>
    <w:rsid w:val="00E676D5"/>
    <w:rsid w:val="00E67728"/>
    <w:rsid w:val="00E677BE"/>
    <w:rsid w:val="00E678FC"/>
    <w:rsid w:val="00E67C2C"/>
    <w:rsid w:val="00E67FF2"/>
    <w:rsid w:val="00E70056"/>
    <w:rsid w:val="00E700E0"/>
    <w:rsid w:val="00E703CB"/>
    <w:rsid w:val="00E70520"/>
    <w:rsid w:val="00E70841"/>
    <w:rsid w:val="00E70B0F"/>
    <w:rsid w:val="00E70B9F"/>
    <w:rsid w:val="00E70DDC"/>
    <w:rsid w:val="00E70E6E"/>
    <w:rsid w:val="00E70E73"/>
    <w:rsid w:val="00E70EAA"/>
    <w:rsid w:val="00E70EB5"/>
    <w:rsid w:val="00E70ECA"/>
    <w:rsid w:val="00E710B5"/>
    <w:rsid w:val="00E710D0"/>
    <w:rsid w:val="00E7149B"/>
    <w:rsid w:val="00E717E0"/>
    <w:rsid w:val="00E7185A"/>
    <w:rsid w:val="00E718D2"/>
    <w:rsid w:val="00E71977"/>
    <w:rsid w:val="00E719F5"/>
    <w:rsid w:val="00E71B2D"/>
    <w:rsid w:val="00E71E4A"/>
    <w:rsid w:val="00E722F0"/>
    <w:rsid w:val="00E72725"/>
    <w:rsid w:val="00E72927"/>
    <w:rsid w:val="00E72B2C"/>
    <w:rsid w:val="00E72E50"/>
    <w:rsid w:val="00E72F0A"/>
    <w:rsid w:val="00E73167"/>
    <w:rsid w:val="00E7317B"/>
    <w:rsid w:val="00E73463"/>
    <w:rsid w:val="00E7346C"/>
    <w:rsid w:val="00E734E7"/>
    <w:rsid w:val="00E73571"/>
    <w:rsid w:val="00E73659"/>
    <w:rsid w:val="00E736D3"/>
    <w:rsid w:val="00E737B8"/>
    <w:rsid w:val="00E7382D"/>
    <w:rsid w:val="00E739ED"/>
    <w:rsid w:val="00E73B3A"/>
    <w:rsid w:val="00E73C62"/>
    <w:rsid w:val="00E73D5B"/>
    <w:rsid w:val="00E73DD6"/>
    <w:rsid w:val="00E73E6E"/>
    <w:rsid w:val="00E73E90"/>
    <w:rsid w:val="00E74270"/>
    <w:rsid w:val="00E74285"/>
    <w:rsid w:val="00E742D3"/>
    <w:rsid w:val="00E7460D"/>
    <w:rsid w:val="00E74636"/>
    <w:rsid w:val="00E7466A"/>
    <w:rsid w:val="00E748A6"/>
    <w:rsid w:val="00E748E9"/>
    <w:rsid w:val="00E74997"/>
    <w:rsid w:val="00E74BD8"/>
    <w:rsid w:val="00E74CF1"/>
    <w:rsid w:val="00E74D5D"/>
    <w:rsid w:val="00E74E16"/>
    <w:rsid w:val="00E75179"/>
    <w:rsid w:val="00E756CD"/>
    <w:rsid w:val="00E7572A"/>
    <w:rsid w:val="00E759A7"/>
    <w:rsid w:val="00E759AA"/>
    <w:rsid w:val="00E75A88"/>
    <w:rsid w:val="00E75B74"/>
    <w:rsid w:val="00E75FAC"/>
    <w:rsid w:val="00E76301"/>
    <w:rsid w:val="00E76325"/>
    <w:rsid w:val="00E76508"/>
    <w:rsid w:val="00E7667D"/>
    <w:rsid w:val="00E7668A"/>
    <w:rsid w:val="00E766C8"/>
    <w:rsid w:val="00E76871"/>
    <w:rsid w:val="00E76E98"/>
    <w:rsid w:val="00E76F92"/>
    <w:rsid w:val="00E77179"/>
    <w:rsid w:val="00E77357"/>
    <w:rsid w:val="00E77389"/>
    <w:rsid w:val="00E7738D"/>
    <w:rsid w:val="00E774A0"/>
    <w:rsid w:val="00E775CF"/>
    <w:rsid w:val="00E77646"/>
    <w:rsid w:val="00E776CA"/>
    <w:rsid w:val="00E77706"/>
    <w:rsid w:val="00E77777"/>
    <w:rsid w:val="00E7782D"/>
    <w:rsid w:val="00E778B6"/>
    <w:rsid w:val="00E779C2"/>
    <w:rsid w:val="00E779C3"/>
    <w:rsid w:val="00E77C22"/>
    <w:rsid w:val="00E77E0F"/>
    <w:rsid w:val="00E77E98"/>
    <w:rsid w:val="00E8014C"/>
    <w:rsid w:val="00E8032A"/>
    <w:rsid w:val="00E803EC"/>
    <w:rsid w:val="00E80872"/>
    <w:rsid w:val="00E809D0"/>
    <w:rsid w:val="00E80ADB"/>
    <w:rsid w:val="00E80E10"/>
    <w:rsid w:val="00E80E33"/>
    <w:rsid w:val="00E8109A"/>
    <w:rsid w:val="00E81152"/>
    <w:rsid w:val="00E8117B"/>
    <w:rsid w:val="00E813B6"/>
    <w:rsid w:val="00E815B2"/>
    <w:rsid w:val="00E8169F"/>
    <w:rsid w:val="00E819A2"/>
    <w:rsid w:val="00E81B8D"/>
    <w:rsid w:val="00E81BAD"/>
    <w:rsid w:val="00E81CD8"/>
    <w:rsid w:val="00E8204F"/>
    <w:rsid w:val="00E82207"/>
    <w:rsid w:val="00E823D3"/>
    <w:rsid w:val="00E824CE"/>
    <w:rsid w:val="00E826CE"/>
    <w:rsid w:val="00E82858"/>
    <w:rsid w:val="00E82DE1"/>
    <w:rsid w:val="00E82E49"/>
    <w:rsid w:val="00E82ECF"/>
    <w:rsid w:val="00E82FA4"/>
    <w:rsid w:val="00E8314D"/>
    <w:rsid w:val="00E83237"/>
    <w:rsid w:val="00E8327B"/>
    <w:rsid w:val="00E832CD"/>
    <w:rsid w:val="00E83362"/>
    <w:rsid w:val="00E836A2"/>
    <w:rsid w:val="00E83735"/>
    <w:rsid w:val="00E8378A"/>
    <w:rsid w:val="00E838F4"/>
    <w:rsid w:val="00E83BD6"/>
    <w:rsid w:val="00E83C04"/>
    <w:rsid w:val="00E84051"/>
    <w:rsid w:val="00E84069"/>
    <w:rsid w:val="00E844B0"/>
    <w:rsid w:val="00E844C4"/>
    <w:rsid w:val="00E84737"/>
    <w:rsid w:val="00E847C6"/>
    <w:rsid w:val="00E8483F"/>
    <w:rsid w:val="00E848A1"/>
    <w:rsid w:val="00E84CAC"/>
    <w:rsid w:val="00E84E94"/>
    <w:rsid w:val="00E84F1A"/>
    <w:rsid w:val="00E8503B"/>
    <w:rsid w:val="00E854F3"/>
    <w:rsid w:val="00E85556"/>
    <w:rsid w:val="00E859A5"/>
    <w:rsid w:val="00E85D15"/>
    <w:rsid w:val="00E85DC0"/>
    <w:rsid w:val="00E85F4B"/>
    <w:rsid w:val="00E86013"/>
    <w:rsid w:val="00E8630B"/>
    <w:rsid w:val="00E863EA"/>
    <w:rsid w:val="00E8649D"/>
    <w:rsid w:val="00E86588"/>
    <w:rsid w:val="00E8661A"/>
    <w:rsid w:val="00E866B3"/>
    <w:rsid w:val="00E869C9"/>
    <w:rsid w:val="00E869E5"/>
    <w:rsid w:val="00E86A03"/>
    <w:rsid w:val="00E86A5A"/>
    <w:rsid w:val="00E86AC6"/>
    <w:rsid w:val="00E86AC9"/>
    <w:rsid w:val="00E86B4D"/>
    <w:rsid w:val="00E86C2F"/>
    <w:rsid w:val="00E86C8D"/>
    <w:rsid w:val="00E86D4C"/>
    <w:rsid w:val="00E86DC3"/>
    <w:rsid w:val="00E87153"/>
    <w:rsid w:val="00E8718B"/>
    <w:rsid w:val="00E87271"/>
    <w:rsid w:val="00E8740D"/>
    <w:rsid w:val="00E874E8"/>
    <w:rsid w:val="00E87778"/>
    <w:rsid w:val="00E877B5"/>
    <w:rsid w:val="00E8781D"/>
    <w:rsid w:val="00E87978"/>
    <w:rsid w:val="00E87A7E"/>
    <w:rsid w:val="00E87BA8"/>
    <w:rsid w:val="00E87D37"/>
    <w:rsid w:val="00E87D64"/>
    <w:rsid w:val="00E87FB2"/>
    <w:rsid w:val="00E902AA"/>
    <w:rsid w:val="00E903A0"/>
    <w:rsid w:val="00E904A5"/>
    <w:rsid w:val="00E90565"/>
    <w:rsid w:val="00E90571"/>
    <w:rsid w:val="00E906F1"/>
    <w:rsid w:val="00E906FD"/>
    <w:rsid w:val="00E9082B"/>
    <w:rsid w:val="00E90A5C"/>
    <w:rsid w:val="00E90A85"/>
    <w:rsid w:val="00E90C9F"/>
    <w:rsid w:val="00E90DFC"/>
    <w:rsid w:val="00E9110F"/>
    <w:rsid w:val="00E9114F"/>
    <w:rsid w:val="00E913D8"/>
    <w:rsid w:val="00E91449"/>
    <w:rsid w:val="00E9147E"/>
    <w:rsid w:val="00E914A8"/>
    <w:rsid w:val="00E915A2"/>
    <w:rsid w:val="00E915C1"/>
    <w:rsid w:val="00E91859"/>
    <w:rsid w:val="00E9187A"/>
    <w:rsid w:val="00E91940"/>
    <w:rsid w:val="00E9194D"/>
    <w:rsid w:val="00E91C02"/>
    <w:rsid w:val="00E91EC8"/>
    <w:rsid w:val="00E91F35"/>
    <w:rsid w:val="00E91F97"/>
    <w:rsid w:val="00E91FD0"/>
    <w:rsid w:val="00E9201F"/>
    <w:rsid w:val="00E9227C"/>
    <w:rsid w:val="00E922B2"/>
    <w:rsid w:val="00E92389"/>
    <w:rsid w:val="00E926A7"/>
    <w:rsid w:val="00E92823"/>
    <w:rsid w:val="00E92B08"/>
    <w:rsid w:val="00E92D2A"/>
    <w:rsid w:val="00E92F19"/>
    <w:rsid w:val="00E92F5A"/>
    <w:rsid w:val="00E92F9B"/>
    <w:rsid w:val="00E92FE9"/>
    <w:rsid w:val="00E930CD"/>
    <w:rsid w:val="00E93283"/>
    <w:rsid w:val="00E93366"/>
    <w:rsid w:val="00E93417"/>
    <w:rsid w:val="00E9377C"/>
    <w:rsid w:val="00E937C4"/>
    <w:rsid w:val="00E93928"/>
    <w:rsid w:val="00E93931"/>
    <w:rsid w:val="00E93BDC"/>
    <w:rsid w:val="00E93CE4"/>
    <w:rsid w:val="00E93D20"/>
    <w:rsid w:val="00E93E99"/>
    <w:rsid w:val="00E93ECD"/>
    <w:rsid w:val="00E93EF0"/>
    <w:rsid w:val="00E93F67"/>
    <w:rsid w:val="00E9401B"/>
    <w:rsid w:val="00E9408F"/>
    <w:rsid w:val="00E94451"/>
    <w:rsid w:val="00E94691"/>
    <w:rsid w:val="00E94765"/>
    <w:rsid w:val="00E9479B"/>
    <w:rsid w:val="00E94A33"/>
    <w:rsid w:val="00E94AC5"/>
    <w:rsid w:val="00E94AD2"/>
    <w:rsid w:val="00E94B56"/>
    <w:rsid w:val="00E94D26"/>
    <w:rsid w:val="00E94FA4"/>
    <w:rsid w:val="00E950E4"/>
    <w:rsid w:val="00E95479"/>
    <w:rsid w:val="00E95567"/>
    <w:rsid w:val="00E95657"/>
    <w:rsid w:val="00E957A0"/>
    <w:rsid w:val="00E957D2"/>
    <w:rsid w:val="00E95A58"/>
    <w:rsid w:val="00E95AC2"/>
    <w:rsid w:val="00E95BCE"/>
    <w:rsid w:val="00E95C24"/>
    <w:rsid w:val="00E95DE7"/>
    <w:rsid w:val="00E95E79"/>
    <w:rsid w:val="00E95EDB"/>
    <w:rsid w:val="00E962EB"/>
    <w:rsid w:val="00E96405"/>
    <w:rsid w:val="00E964BF"/>
    <w:rsid w:val="00E964E6"/>
    <w:rsid w:val="00E96507"/>
    <w:rsid w:val="00E96640"/>
    <w:rsid w:val="00E966BC"/>
    <w:rsid w:val="00E966E6"/>
    <w:rsid w:val="00E96866"/>
    <w:rsid w:val="00E968F6"/>
    <w:rsid w:val="00E96BA3"/>
    <w:rsid w:val="00E96BC5"/>
    <w:rsid w:val="00E96BDE"/>
    <w:rsid w:val="00E96E0D"/>
    <w:rsid w:val="00E96F1B"/>
    <w:rsid w:val="00E96F41"/>
    <w:rsid w:val="00E96F62"/>
    <w:rsid w:val="00E96FE2"/>
    <w:rsid w:val="00E971EE"/>
    <w:rsid w:val="00E97200"/>
    <w:rsid w:val="00E972BD"/>
    <w:rsid w:val="00E97585"/>
    <w:rsid w:val="00E977E0"/>
    <w:rsid w:val="00E9780D"/>
    <w:rsid w:val="00E97903"/>
    <w:rsid w:val="00E97978"/>
    <w:rsid w:val="00E97DEB"/>
    <w:rsid w:val="00E97ED0"/>
    <w:rsid w:val="00EA0011"/>
    <w:rsid w:val="00EA003B"/>
    <w:rsid w:val="00EA00BD"/>
    <w:rsid w:val="00EA024A"/>
    <w:rsid w:val="00EA042E"/>
    <w:rsid w:val="00EA04D8"/>
    <w:rsid w:val="00EA0700"/>
    <w:rsid w:val="00EA0760"/>
    <w:rsid w:val="00EA0839"/>
    <w:rsid w:val="00EA0958"/>
    <w:rsid w:val="00EA0D36"/>
    <w:rsid w:val="00EA0DF5"/>
    <w:rsid w:val="00EA1236"/>
    <w:rsid w:val="00EA13F9"/>
    <w:rsid w:val="00EA1660"/>
    <w:rsid w:val="00EA17A9"/>
    <w:rsid w:val="00EA1897"/>
    <w:rsid w:val="00EA18EF"/>
    <w:rsid w:val="00EA19E3"/>
    <w:rsid w:val="00EA1A2D"/>
    <w:rsid w:val="00EA1A4C"/>
    <w:rsid w:val="00EA1C28"/>
    <w:rsid w:val="00EA1FD9"/>
    <w:rsid w:val="00EA231A"/>
    <w:rsid w:val="00EA23A2"/>
    <w:rsid w:val="00EA241F"/>
    <w:rsid w:val="00EA2599"/>
    <w:rsid w:val="00EA2752"/>
    <w:rsid w:val="00EA293A"/>
    <w:rsid w:val="00EA2C03"/>
    <w:rsid w:val="00EA2D17"/>
    <w:rsid w:val="00EA2D2D"/>
    <w:rsid w:val="00EA2EFF"/>
    <w:rsid w:val="00EA2F29"/>
    <w:rsid w:val="00EA3032"/>
    <w:rsid w:val="00EA3083"/>
    <w:rsid w:val="00EA32E4"/>
    <w:rsid w:val="00EA3331"/>
    <w:rsid w:val="00EA334D"/>
    <w:rsid w:val="00EA352D"/>
    <w:rsid w:val="00EA3570"/>
    <w:rsid w:val="00EA3687"/>
    <w:rsid w:val="00EA392B"/>
    <w:rsid w:val="00EA39A8"/>
    <w:rsid w:val="00EA39D2"/>
    <w:rsid w:val="00EA3A68"/>
    <w:rsid w:val="00EA3B2E"/>
    <w:rsid w:val="00EA3FDD"/>
    <w:rsid w:val="00EA42A2"/>
    <w:rsid w:val="00EA45F4"/>
    <w:rsid w:val="00EA4617"/>
    <w:rsid w:val="00EA47DC"/>
    <w:rsid w:val="00EA4999"/>
    <w:rsid w:val="00EA4A05"/>
    <w:rsid w:val="00EA4A28"/>
    <w:rsid w:val="00EA4AA5"/>
    <w:rsid w:val="00EA4AFD"/>
    <w:rsid w:val="00EA4C11"/>
    <w:rsid w:val="00EA4C1E"/>
    <w:rsid w:val="00EA4CC5"/>
    <w:rsid w:val="00EA4ECF"/>
    <w:rsid w:val="00EA4FB1"/>
    <w:rsid w:val="00EA5033"/>
    <w:rsid w:val="00EA504C"/>
    <w:rsid w:val="00EA5576"/>
    <w:rsid w:val="00EA5803"/>
    <w:rsid w:val="00EA580E"/>
    <w:rsid w:val="00EA5B5E"/>
    <w:rsid w:val="00EA5CFA"/>
    <w:rsid w:val="00EA5D4F"/>
    <w:rsid w:val="00EA5F2D"/>
    <w:rsid w:val="00EA5FF6"/>
    <w:rsid w:val="00EA61CD"/>
    <w:rsid w:val="00EA6961"/>
    <w:rsid w:val="00EA698A"/>
    <w:rsid w:val="00EA6B83"/>
    <w:rsid w:val="00EA6E9E"/>
    <w:rsid w:val="00EA70E2"/>
    <w:rsid w:val="00EA710B"/>
    <w:rsid w:val="00EA716F"/>
    <w:rsid w:val="00EA718B"/>
    <w:rsid w:val="00EA74F8"/>
    <w:rsid w:val="00EA7518"/>
    <w:rsid w:val="00EA751B"/>
    <w:rsid w:val="00EA76EF"/>
    <w:rsid w:val="00EA77BC"/>
    <w:rsid w:val="00EA7932"/>
    <w:rsid w:val="00EA79C9"/>
    <w:rsid w:val="00EA79F0"/>
    <w:rsid w:val="00EA7A41"/>
    <w:rsid w:val="00EA7A85"/>
    <w:rsid w:val="00EA7BAA"/>
    <w:rsid w:val="00EA7D98"/>
    <w:rsid w:val="00EA7E6F"/>
    <w:rsid w:val="00EB00B3"/>
    <w:rsid w:val="00EB0161"/>
    <w:rsid w:val="00EB022D"/>
    <w:rsid w:val="00EB03CC"/>
    <w:rsid w:val="00EB05E6"/>
    <w:rsid w:val="00EB0650"/>
    <w:rsid w:val="00EB066F"/>
    <w:rsid w:val="00EB06D3"/>
    <w:rsid w:val="00EB08C0"/>
    <w:rsid w:val="00EB08D7"/>
    <w:rsid w:val="00EB09E4"/>
    <w:rsid w:val="00EB0C00"/>
    <w:rsid w:val="00EB0D11"/>
    <w:rsid w:val="00EB0E73"/>
    <w:rsid w:val="00EB0F36"/>
    <w:rsid w:val="00EB0F6A"/>
    <w:rsid w:val="00EB116E"/>
    <w:rsid w:val="00EB135A"/>
    <w:rsid w:val="00EB152D"/>
    <w:rsid w:val="00EB162F"/>
    <w:rsid w:val="00EB1692"/>
    <w:rsid w:val="00EB18A2"/>
    <w:rsid w:val="00EB1A70"/>
    <w:rsid w:val="00EB1A80"/>
    <w:rsid w:val="00EB1BB5"/>
    <w:rsid w:val="00EB1DB3"/>
    <w:rsid w:val="00EB1E4A"/>
    <w:rsid w:val="00EB21E5"/>
    <w:rsid w:val="00EB2429"/>
    <w:rsid w:val="00EB2482"/>
    <w:rsid w:val="00EB24E8"/>
    <w:rsid w:val="00EB2880"/>
    <w:rsid w:val="00EB29A4"/>
    <w:rsid w:val="00EB2A9A"/>
    <w:rsid w:val="00EB2AB6"/>
    <w:rsid w:val="00EB2EF3"/>
    <w:rsid w:val="00EB3030"/>
    <w:rsid w:val="00EB30D2"/>
    <w:rsid w:val="00EB3144"/>
    <w:rsid w:val="00EB324C"/>
    <w:rsid w:val="00EB3315"/>
    <w:rsid w:val="00EB3585"/>
    <w:rsid w:val="00EB3640"/>
    <w:rsid w:val="00EB370A"/>
    <w:rsid w:val="00EB3922"/>
    <w:rsid w:val="00EB3AE8"/>
    <w:rsid w:val="00EB3BA3"/>
    <w:rsid w:val="00EB3C35"/>
    <w:rsid w:val="00EB3E2D"/>
    <w:rsid w:val="00EB3FA3"/>
    <w:rsid w:val="00EB3FDF"/>
    <w:rsid w:val="00EB3FE8"/>
    <w:rsid w:val="00EB42EC"/>
    <w:rsid w:val="00EB43A8"/>
    <w:rsid w:val="00EB446A"/>
    <w:rsid w:val="00EB4551"/>
    <w:rsid w:val="00EB4602"/>
    <w:rsid w:val="00EB4747"/>
    <w:rsid w:val="00EB4852"/>
    <w:rsid w:val="00EB4B0E"/>
    <w:rsid w:val="00EB4B33"/>
    <w:rsid w:val="00EB4B37"/>
    <w:rsid w:val="00EB4B84"/>
    <w:rsid w:val="00EB4CC9"/>
    <w:rsid w:val="00EB4EDB"/>
    <w:rsid w:val="00EB4FF8"/>
    <w:rsid w:val="00EB5100"/>
    <w:rsid w:val="00EB510B"/>
    <w:rsid w:val="00EB51CB"/>
    <w:rsid w:val="00EB5237"/>
    <w:rsid w:val="00EB531E"/>
    <w:rsid w:val="00EB5421"/>
    <w:rsid w:val="00EB5524"/>
    <w:rsid w:val="00EB55F2"/>
    <w:rsid w:val="00EB567B"/>
    <w:rsid w:val="00EB56F3"/>
    <w:rsid w:val="00EB591E"/>
    <w:rsid w:val="00EB5B9F"/>
    <w:rsid w:val="00EB5E83"/>
    <w:rsid w:val="00EB61B3"/>
    <w:rsid w:val="00EB6497"/>
    <w:rsid w:val="00EB65B4"/>
    <w:rsid w:val="00EB67C2"/>
    <w:rsid w:val="00EB67FC"/>
    <w:rsid w:val="00EB697C"/>
    <w:rsid w:val="00EB6AF6"/>
    <w:rsid w:val="00EB6BD7"/>
    <w:rsid w:val="00EB6DCE"/>
    <w:rsid w:val="00EB6E11"/>
    <w:rsid w:val="00EB7251"/>
    <w:rsid w:val="00EB7478"/>
    <w:rsid w:val="00EB74EC"/>
    <w:rsid w:val="00EB75E7"/>
    <w:rsid w:val="00EB7987"/>
    <w:rsid w:val="00EB7C14"/>
    <w:rsid w:val="00EB7D0B"/>
    <w:rsid w:val="00EB7D93"/>
    <w:rsid w:val="00EC00AA"/>
    <w:rsid w:val="00EC00EC"/>
    <w:rsid w:val="00EC0668"/>
    <w:rsid w:val="00EC079B"/>
    <w:rsid w:val="00EC0909"/>
    <w:rsid w:val="00EC096F"/>
    <w:rsid w:val="00EC09A9"/>
    <w:rsid w:val="00EC09B6"/>
    <w:rsid w:val="00EC0A2E"/>
    <w:rsid w:val="00EC0BF9"/>
    <w:rsid w:val="00EC0CA9"/>
    <w:rsid w:val="00EC107E"/>
    <w:rsid w:val="00EC1591"/>
    <w:rsid w:val="00EC1651"/>
    <w:rsid w:val="00EC1720"/>
    <w:rsid w:val="00EC1725"/>
    <w:rsid w:val="00EC19B5"/>
    <w:rsid w:val="00EC1B0B"/>
    <w:rsid w:val="00EC1B1C"/>
    <w:rsid w:val="00EC1C19"/>
    <w:rsid w:val="00EC1D7B"/>
    <w:rsid w:val="00EC1DD0"/>
    <w:rsid w:val="00EC20C7"/>
    <w:rsid w:val="00EC20F8"/>
    <w:rsid w:val="00EC2361"/>
    <w:rsid w:val="00EC2369"/>
    <w:rsid w:val="00EC23A4"/>
    <w:rsid w:val="00EC2478"/>
    <w:rsid w:val="00EC24FE"/>
    <w:rsid w:val="00EC270B"/>
    <w:rsid w:val="00EC29B9"/>
    <w:rsid w:val="00EC30A2"/>
    <w:rsid w:val="00EC334A"/>
    <w:rsid w:val="00EC33AA"/>
    <w:rsid w:val="00EC37B3"/>
    <w:rsid w:val="00EC3851"/>
    <w:rsid w:val="00EC3882"/>
    <w:rsid w:val="00EC38A2"/>
    <w:rsid w:val="00EC3AFD"/>
    <w:rsid w:val="00EC3B99"/>
    <w:rsid w:val="00EC3DC8"/>
    <w:rsid w:val="00EC3F16"/>
    <w:rsid w:val="00EC4292"/>
    <w:rsid w:val="00EC43D7"/>
    <w:rsid w:val="00EC456B"/>
    <w:rsid w:val="00EC4854"/>
    <w:rsid w:val="00EC4CE5"/>
    <w:rsid w:val="00EC4DD1"/>
    <w:rsid w:val="00EC531A"/>
    <w:rsid w:val="00EC538E"/>
    <w:rsid w:val="00EC5411"/>
    <w:rsid w:val="00EC5624"/>
    <w:rsid w:val="00EC5A9A"/>
    <w:rsid w:val="00EC5AE2"/>
    <w:rsid w:val="00EC5FFA"/>
    <w:rsid w:val="00EC634B"/>
    <w:rsid w:val="00EC634C"/>
    <w:rsid w:val="00EC648F"/>
    <w:rsid w:val="00EC64B6"/>
    <w:rsid w:val="00EC654D"/>
    <w:rsid w:val="00EC6605"/>
    <w:rsid w:val="00EC6653"/>
    <w:rsid w:val="00EC6A52"/>
    <w:rsid w:val="00EC6B3B"/>
    <w:rsid w:val="00EC6BD0"/>
    <w:rsid w:val="00EC6C62"/>
    <w:rsid w:val="00EC6CF0"/>
    <w:rsid w:val="00EC6E0D"/>
    <w:rsid w:val="00EC6E69"/>
    <w:rsid w:val="00EC6F71"/>
    <w:rsid w:val="00EC6FD7"/>
    <w:rsid w:val="00EC708A"/>
    <w:rsid w:val="00EC70BA"/>
    <w:rsid w:val="00EC70E7"/>
    <w:rsid w:val="00EC76C1"/>
    <w:rsid w:val="00EC78E6"/>
    <w:rsid w:val="00EC7A0E"/>
    <w:rsid w:val="00EC7B91"/>
    <w:rsid w:val="00EC7E08"/>
    <w:rsid w:val="00EC7E0A"/>
    <w:rsid w:val="00EC7E75"/>
    <w:rsid w:val="00ED015C"/>
    <w:rsid w:val="00ED0531"/>
    <w:rsid w:val="00ED0807"/>
    <w:rsid w:val="00ED08D9"/>
    <w:rsid w:val="00ED08F3"/>
    <w:rsid w:val="00ED0C4C"/>
    <w:rsid w:val="00ED0CF4"/>
    <w:rsid w:val="00ED0D01"/>
    <w:rsid w:val="00ED0D34"/>
    <w:rsid w:val="00ED12F5"/>
    <w:rsid w:val="00ED136B"/>
    <w:rsid w:val="00ED14A9"/>
    <w:rsid w:val="00ED1603"/>
    <w:rsid w:val="00ED1642"/>
    <w:rsid w:val="00ED1684"/>
    <w:rsid w:val="00ED16DF"/>
    <w:rsid w:val="00ED1709"/>
    <w:rsid w:val="00ED182A"/>
    <w:rsid w:val="00ED221C"/>
    <w:rsid w:val="00ED2248"/>
    <w:rsid w:val="00ED2394"/>
    <w:rsid w:val="00ED25D7"/>
    <w:rsid w:val="00ED2664"/>
    <w:rsid w:val="00ED298C"/>
    <w:rsid w:val="00ED2A1C"/>
    <w:rsid w:val="00ED2A3B"/>
    <w:rsid w:val="00ED2BD8"/>
    <w:rsid w:val="00ED2C07"/>
    <w:rsid w:val="00ED2CD3"/>
    <w:rsid w:val="00ED2D35"/>
    <w:rsid w:val="00ED2DFC"/>
    <w:rsid w:val="00ED2E1C"/>
    <w:rsid w:val="00ED3058"/>
    <w:rsid w:val="00ED30D6"/>
    <w:rsid w:val="00ED31A2"/>
    <w:rsid w:val="00ED3210"/>
    <w:rsid w:val="00ED32CB"/>
    <w:rsid w:val="00ED3355"/>
    <w:rsid w:val="00ED34DC"/>
    <w:rsid w:val="00ED36F6"/>
    <w:rsid w:val="00ED37DC"/>
    <w:rsid w:val="00ED38FC"/>
    <w:rsid w:val="00ED39CD"/>
    <w:rsid w:val="00ED3C0A"/>
    <w:rsid w:val="00ED423F"/>
    <w:rsid w:val="00ED42BB"/>
    <w:rsid w:val="00ED460A"/>
    <w:rsid w:val="00ED4959"/>
    <w:rsid w:val="00ED4A02"/>
    <w:rsid w:val="00ED4A2D"/>
    <w:rsid w:val="00ED4A8A"/>
    <w:rsid w:val="00ED4BF7"/>
    <w:rsid w:val="00ED4CC1"/>
    <w:rsid w:val="00ED4ECA"/>
    <w:rsid w:val="00ED4FB3"/>
    <w:rsid w:val="00ED50EB"/>
    <w:rsid w:val="00ED51DA"/>
    <w:rsid w:val="00ED5215"/>
    <w:rsid w:val="00ED5241"/>
    <w:rsid w:val="00ED5294"/>
    <w:rsid w:val="00ED52E5"/>
    <w:rsid w:val="00ED537A"/>
    <w:rsid w:val="00ED53EF"/>
    <w:rsid w:val="00ED5527"/>
    <w:rsid w:val="00ED55E6"/>
    <w:rsid w:val="00ED567E"/>
    <w:rsid w:val="00ED56A6"/>
    <w:rsid w:val="00ED571A"/>
    <w:rsid w:val="00ED578A"/>
    <w:rsid w:val="00ED57B7"/>
    <w:rsid w:val="00ED5908"/>
    <w:rsid w:val="00ED590A"/>
    <w:rsid w:val="00ED5953"/>
    <w:rsid w:val="00ED5AB3"/>
    <w:rsid w:val="00ED5B95"/>
    <w:rsid w:val="00ED5BAD"/>
    <w:rsid w:val="00ED5DC9"/>
    <w:rsid w:val="00ED5EB4"/>
    <w:rsid w:val="00ED5F0E"/>
    <w:rsid w:val="00ED6166"/>
    <w:rsid w:val="00ED6167"/>
    <w:rsid w:val="00ED63CD"/>
    <w:rsid w:val="00ED65BE"/>
    <w:rsid w:val="00ED69D5"/>
    <w:rsid w:val="00ED6AC5"/>
    <w:rsid w:val="00ED6B9C"/>
    <w:rsid w:val="00ED6F6E"/>
    <w:rsid w:val="00ED6F74"/>
    <w:rsid w:val="00ED7222"/>
    <w:rsid w:val="00ED7224"/>
    <w:rsid w:val="00ED7270"/>
    <w:rsid w:val="00ED727A"/>
    <w:rsid w:val="00ED757C"/>
    <w:rsid w:val="00ED75F1"/>
    <w:rsid w:val="00ED7609"/>
    <w:rsid w:val="00ED79C8"/>
    <w:rsid w:val="00ED7A02"/>
    <w:rsid w:val="00ED7DB7"/>
    <w:rsid w:val="00ED7F07"/>
    <w:rsid w:val="00ED7F55"/>
    <w:rsid w:val="00ED7F62"/>
    <w:rsid w:val="00ED7FB4"/>
    <w:rsid w:val="00EE0075"/>
    <w:rsid w:val="00EE03F4"/>
    <w:rsid w:val="00EE043E"/>
    <w:rsid w:val="00EE0505"/>
    <w:rsid w:val="00EE056A"/>
    <w:rsid w:val="00EE0B2C"/>
    <w:rsid w:val="00EE0B3B"/>
    <w:rsid w:val="00EE0E07"/>
    <w:rsid w:val="00EE10BB"/>
    <w:rsid w:val="00EE11F0"/>
    <w:rsid w:val="00EE1229"/>
    <w:rsid w:val="00EE12E1"/>
    <w:rsid w:val="00EE13B3"/>
    <w:rsid w:val="00EE13BE"/>
    <w:rsid w:val="00EE1523"/>
    <w:rsid w:val="00EE157C"/>
    <w:rsid w:val="00EE1718"/>
    <w:rsid w:val="00EE171D"/>
    <w:rsid w:val="00EE179A"/>
    <w:rsid w:val="00EE1852"/>
    <w:rsid w:val="00EE1936"/>
    <w:rsid w:val="00EE1980"/>
    <w:rsid w:val="00EE1AE1"/>
    <w:rsid w:val="00EE1CB6"/>
    <w:rsid w:val="00EE1CCB"/>
    <w:rsid w:val="00EE1D72"/>
    <w:rsid w:val="00EE1F14"/>
    <w:rsid w:val="00EE210F"/>
    <w:rsid w:val="00EE22BA"/>
    <w:rsid w:val="00EE2827"/>
    <w:rsid w:val="00EE29FE"/>
    <w:rsid w:val="00EE2AB9"/>
    <w:rsid w:val="00EE2E60"/>
    <w:rsid w:val="00EE3184"/>
    <w:rsid w:val="00EE31DB"/>
    <w:rsid w:val="00EE333A"/>
    <w:rsid w:val="00EE33DF"/>
    <w:rsid w:val="00EE346C"/>
    <w:rsid w:val="00EE3887"/>
    <w:rsid w:val="00EE39E2"/>
    <w:rsid w:val="00EE3A50"/>
    <w:rsid w:val="00EE3BCD"/>
    <w:rsid w:val="00EE3CAA"/>
    <w:rsid w:val="00EE3D58"/>
    <w:rsid w:val="00EE3D94"/>
    <w:rsid w:val="00EE3ED5"/>
    <w:rsid w:val="00EE4032"/>
    <w:rsid w:val="00EE406F"/>
    <w:rsid w:val="00EE440E"/>
    <w:rsid w:val="00EE448E"/>
    <w:rsid w:val="00EE459C"/>
    <w:rsid w:val="00EE4612"/>
    <w:rsid w:val="00EE4676"/>
    <w:rsid w:val="00EE46BC"/>
    <w:rsid w:val="00EE4813"/>
    <w:rsid w:val="00EE4948"/>
    <w:rsid w:val="00EE494A"/>
    <w:rsid w:val="00EE499B"/>
    <w:rsid w:val="00EE49D8"/>
    <w:rsid w:val="00EE4D29"/>
    <w:rsid w:val="00EE4E8D"/>
    <w:rsid w:val="00EE4F98"/>
    <w:rsid w:val="00EE5135"/>
    <w:rsid w:val="00EE5210"/>
    <w:rsid w:val="00EE539D"/>
    <w:rsid w:val="00EE57C6"/>
    <w:rsid w:val="00EE57E9"/>
    <w:rsid w:val="00EE5921"/>
    <w:rsid w:val="00EE5ADD"/>
    <w:rsid w:val="00EE5B17"/>
    <w:rsid w:val="00EE5C71"/>
    <w:rsid w:val="00EE5CBB"/>
    <w:rsid w:val="00EE5D44"/>
    <w:rsid w:val="00EE5E53"/>
    <w:rsid w:val="00EE5EDA"/>
    <w:rsid w:val="00EE5F87"/>
    <w:rsid w:val="00EE5FF8"/>
    <w:rsid w:val="00EE625A"/>
    <w:rsid w:val="00EE6272"/>
    <w:rsid w:val="00EE632E"/>
    <w:rsid w:val="00EE6416"/>
    <w:rsid w:val="00EE646C"/>
    <w:rsid w:val="00EE655E"/>
    <w:rsid w:val="00EE65C2"/>
    <w:rsid w:val="00EE66D1"/>
    <w:rsid w:val="00EE66EE"/>
    <w:rsid w:val="00EE6D75"/>
    <w:rsid w:val="00EE6DE1"/>
    <w:rsid w:val="00EE6DE6"/>
    <w:rsid w:val="00EE6E95"/>
    <w:rsid w:val="00EE6EBD"/>
    <w:rsid w:val="00EE6EDB"/>
    <w:rsid w:val="00EE6F51"/>
    <w:rsid w:val="00EE6F67"/>
    <w:rsid w:val="00EE70FC"/>
    <w:rsid w:val="00EE719D"/>
    <w:rsid w:val="00EE725C"/>
    <w:rsid w:val="00EE72F4"/>
    <w:rsid w:val="00EE7335"/>
    <w:rsid w:val="00EE7483"/>
    <w:rsid w:val="00EE7593"/>
    <w:rsid w:val="00EE75C3"/>
    <w:rsid w:val="00EE7786"/>
    <w:rsid w:val="00EE77B9"/>
    <w:rsid w:val="00EE77DA"/>
    <w:rsid w:val="00EE786F"/>
    <w:rsid w:val="00EE7893"/>
    <w:rsid w:val="00EE79D7"/>
    <w:rsid w:val="00EE7B21"/>
    <w:rsid w:val="00EE7B6D"/>
    <w:rsid w:val="00EE7CA6"/>
    <w:rsid w:val="00EE7CC3"/>
    <w:rsid w:val="00EE7D3C"/>
    <w:rsid w:val="00EE7ED9"/>
    <w:rsid w:val="00EF02C4"/>
    <w:rsid w:val="00EF02F0"/>
    <w:rsid w:val="00EF0340"/>
    <w:rsid w:val="00EF05E3"/>
    <w:rsid w:val="00EF0621"/>
    <w:rsid w:val="00EF07A3"/>
    <w:rsid w:val="00EF07EA"/>
    <w:rsid w:val="00EF0B0D"/>
    <w:rsid w:val="00EF0C4D"/>
    <w:rsid w:val="00EF0C9D"/>
    <w:rsid w:val="00EF0CAC"/>
    <w:rsid w:val="00EF0D41"/>
    <w:rsid w:val="00EF1096"/>
    <w:rsid w:val="00EF10F9"/>
    <w:rsid w:val="00EF110F"/>
    <w:rsid w:val="00EF1231"/>
    <w:rsid w:val="00EF12D7"/>
    <w:rsid w:val="00EF134C"/>
    <w:rsid w:val="00EF1364"/>
    <w:rsid w:val="00EF13AB"/>
    <w:rsid w:val="00EF1463"/>
    <w:rsid w:val="00EF16F5"/>
    <w:rsid w:val="00EF178D"/>
    <w:rsid w:val="00EF1967"/>
    <w:rsid w:val="00EF1B4D"/>
    <w:rsid w:val="00EF1D3B"/>
    <w:rsid w:val="00EF1DCB"/>
    <w:rsid w:val="00EF1ECD"/>
    <w:rsid w:val="00EF1ED7"/>
    <w:rsid w:val="00EF1EE4"/>
    <w:rsid w:val="00EF1F06"/>
    <w:rsid w:val="00EF1F72"/>
    <w:rsid w:val="00EF1F78"/>
    <w:rsid w:val="00EF207D"/>
    <w:rsid w:val="00EF20E4"/>
    <w:rsid w:val="00EF2215"/>
    <w:rsid w:val="00EF2741"/>
    <w:rsid w:val="00EF27EF"/>
    <w:rsid w:val="00EF285B"/>
    <w:rsid w:val="00EF2B59"/>
    <w:rsid w:val="00EF2B81"/>
    <w:rsid w:val="00EF2D5D"/>
    <w:rsid w:val="00EF2D7B"/>
    <w:rsid w:val="00EF2DCB"/>
    <w:rsid w:val="00EF2FD1"/>
    <w:rsid w:val="00EF3183"/>
    <w:rsid w:val="00EF3210"/>
    <w:rsid w:val="00EF32AC"/>
    <w:rsid w:val="00EF3601"/>
    <w:rsid w:val="00EF3683"/>
    <w:rsid w:val="00EF3808"/>
    <w:rsid w:val="00EF38EB"/>
    <w:rsid w:val="00EF3948"/>
    <w:rsid w:val="00EF3AB5"/>
    <w:rsid w:val="00EF3AFF"/>
    <w:rsid w:val="00EF3B4F"/>
    <w:rsid w:val="00EF3DBB"/>
    <w:rsid w:val="00EF40EE"/>
    <w:rsid w:val="00EF4150"/>
    <w:rsid w:val="00EF4178"/>
    <w:rsid w:val="00EF4409"/>
    <w:rsid w:val="00EF4567"/>
    <w:rsid w:val="00EF474C"/>
    <w:rsid w:val="00EF48BA"/>
    <w:rsid w:val="00EF497E"/>
    <w:rsid w:val="00EF4992"/>
    <w:rsid w:val="00EF4A67"/>
    <w:rsid w:val="00EF4D52"/>
    <w:rsid w:val="00EF519E"/>
    <w:rsid w:val="00EF51C7"/>
    <w:rsid w:val="00EF52B5"/>
    <w:rsid w:val="00EF5432"/>
    <w:rsid w:val="00EF5601"/>
    <w:rsid w:val="00EF5636"/>
    <w:rsid w:val="00EF5706"/>
    <w:rsid w:val="00EF5A88"/>
    <w:rsid w:val="00EF5B8D"/>
    <w:rsid w:val="00EF5C9D"/>
    <w:rsid w:val="00EF5CB5"/>
    <w:rsid w:val="00EF5D8D"/>
    <w:rsid w:val="00EF5D98"/>
    <w:rsid w:val="00EF5EF1"/>
    <w:rsid w:val="00EF5FC6"/>
    <w:rsid w:val="00EF613B"/>
    <w:rsid w:val="00EF6365"/>
    <w:rsid w:val="00EF63BE"/>
    <w:rsid w:val="00EF6566"/>
    <w:rsid w:val="00EF6631"/>
    <w:rsid w:val="00EF66BF"/>
    <w:rsid w:val="00EF6852"/>
    <w:rsid w:val="00EF691F"/>
    <w:rsid w:val="00EF6949"/>
    <w:rsid w:val="00EF6993"/>
    <w:rsid w:val="00EF6ABA"/>
    <w:rsid w:val="00EF6C6B"/>
    <w:rsid w:val="00EF6F14"/>
    <w:rsid w:val="00EF7112"/>
    <w:rsid w:val="00EF718F"/>
    <w:rsid w:val="00EF71AA"/>
    <w:rsid w:val="00EF7301"/>
    <w:rsid w:val="00EF7329"/>
    <w:rsid w:val="00EF7481"/>
    <w:rsid w:val="00EF7550"/>
    <w:rsid w:val="00EF7585"/>
    <w:rsid w:val="00EF7589"/>
    <w:rsid w:val="00EF793D"/>
    <w:rsid w:val="00EF7D26"/>
    <w:rsid w:val="00EF7DCB"/>
    <w:rsid w:val="00F00215"/>
    <w:rsid w:val="00F003E1"/>
    <w:rsid w:val="00F0053E"/>
    <w:rsid w:val="00F005E2"/>
    <w:rsid w:val="00F00637"/>
    <w:rsid w:val="00F0066D"/>
    <w:rsid w:val="00F007D3"/>
    <w:rsid w:val="00F009CD"/>
    <w:rsid w:val="00F00C30"/>
    <w:rsid w:val="00F00C69"/>
    <w:rsid w:val="00F00F9A"/>
    <w:rsid w:val="00F01122"/>
    <w:rsid w:val="00F0116F"/>
    <w:rsid w:val="00F0145C"/>
    <w:rsid w:val="00F0170F"/>
    <w:rsid w:val="00F017A1"/>
    <w:rsid w:val="00F01B2D"/>
    <w:rsid w:val="00F01C52"/>
    <w:rsid w:val="00F01C77"/>
    <w:rsid w:val="00F01D0A"/>
    <w:rsid w:val="00F01E41"/>
    <w:rsid w:val="00F02324"/>
    <w:rsid w:val="00F0240C"/>
    <w:rsid w:val="00F0269F"/>
    <w:rsid w:val="00F027AC"/>
    <w:rsid w:val="00F0287F"/>
    <w:rsid w:val="00F02C04"/>
    <w:rsid w:val="00F02CA9"/>
    <w:rsid w:val="00F02F5E"/>
    <w:rsid w:val="00F0310B"/>
    <w:rsid w:val="00F032C2"/>
    <w:rsid w:val="00F032E7"/>
    <w:rsid w:val="00F03354"/>
    <w:rsid w:val="00F035AB"/>
    <w:rsid w:val="00F03732"/>
    <w:rsid w:val="00F03822"/>
    <w:rsid w:val="00F03A45"/>
    <w:rsid w:val="00F03F8A"/>
    <w:rsid w:val="00F03FC6"/>
    <w:rsid w:val="00F04071"/>
    <w:rsid w:val="00F04356"/>
    <w:rsid w:val="00F044D3"/>
    <w:rsid w:val="00F04551"/>
    <w:rsid w:val="00F048BB"/>
    <w:rsid w:val="00F04961"/>
    <w:rsid w:val="00F04985"/>
    <w:rsid w:val="00F04B2B"/>
    <w:rsid w:val="00F04CB0"/>
    <w:rsid w:val="00F04CC7"/>
    <w:rsid w:val="00F04D0F"/>
    <w:rsid w:val="00F04DC4"/>
    <w:rsid w:val="00F04EEE"/>
    <w:rsid w:val="00F04F0D"/>
    <w:rsid w:val="00F05093"/>
    <w:rsid w:val="00F05209"/>
    <w:rsid w:val="00F0537D"/>
    <w:rsid w:val="00F05546"/>
    <w:rsid w:val="00F055A2"/>
    <w:rsid w:val="00F0589C"/>
    <w:rsid w:val="00F058A0"/>
    <w:rsid w:val="00F05942"/>
    <w:rsid w:val="00F05AA6"/>
    <w:rsid w:val="00F05ADA"/>
    <w:rsid w:val="00F05C74"/>
    <w:rsid w:val="00F0603E"/>
    <w:rsid w:val="00F06149"/>
    <w:rsid w:val="00F0616C"/>
    <w:rsid w:val="00F0618B"/>
    <w:rsid w:val="00F061A8"/>
    <w:rsid w:val="00F06255"/>
    <w:rsid w:val="00F064A4"/>
    <w:rsid w:val="00F064C1"/>
    <w:rsid w:val="00F0667C"/>
    <w:rsid w:val="00F066C5"/>
    <w:rsid w:val="00F06976"/>
    <w:rsid w:val="00F06C3D"/>
    <w:rsid w:val="00F06C72"/>
    <w:rsid w:val="00F06DE2"/>
    <w:rsid w:val="00F06EFE"/>
    <w:rsid w:val="00F06FD5"/>
    <w:rsid w:val="00F06FE2"/>
    <w:rsid w:val="00F07093"/>
    <w:rsid w:val="00F070D6"/>
    <w:rsid w:val="00F07429"/>
    <w:rsid w:val="00F074BD"/>
    <w:rsid w:val="00F0760C"/>
    <w:rsid w:val="00F0762D"/>
    <w:rsid w:val="00F07643"/>
    <w:rsid w:val="00F07A2B"/>
    <w:rsid w:val="00F07B34"/>
    <w:rsid w:val="00F07C1D"/>
    <w:rsid w:val="00F07CDC"/>
    <w:rsid w:val="00F07D45"/>
    <w:rsid w:val="00F07E1A"/>
    <w:rsid w:val="00F07EA5"/>
    <w:rsid w:val="00F07EF3"/>
    <w:rsid w:val="00F07F76"/>
    <w:rsid w:val="00F1049D"/>
    <w:rsid w:val="00F104A2"/>
    <w:rsid w:val="00F105D5"/>
    <w:rsid w:val="00F106C0"/>
    <w:rsid w:val="00F106CA"/>
    <w:rsid w:val="00F10726"/>
    <w:rsid w:val="00F1076F"/>
    <w:rsid w:val="00F10854"/>
    <w:rsid w:val="00F108E2"/>
    <w:rsid w:val="00F10905"/>
    <w:rsid w:val="00F10B1D"/>
    <w:rsid w:val="00F10CC8"/>
    <w:rsid w:val="00F10D9F"/>
    <w:rsid w:val="00F10DE9"/>
    <w:rsid w:val="00F1100F"/>
    <w:rsid w:val="00F110D1"/>
    <w:rsid w:val="00F1112E"/>
    <w:rsid w:val="00F111F6"/>
    <w:rsid w:val="00F11381"/>
    <w:rsid w:val="00F11444"/>
    <w:rsid w:val="00F1149C"/>
    <w:rsid w:val="00F117F1"/>
    <w:rsid w:val="00F11957"/>
    <w:rsid w:val="00F11BA0"/>
    <w:rsid w:val="00F11CF4"/>
    <w:rsid w:val="00F11EE2"/>
    <w:rsid w:val="00F11FBB"/>
    <w:rsid w:val="00F1242B"/>
    <w:rsid w:val="00F12B92"/>
    <w:rsid w:val="00F12BAE"/>
    <w:rsid w:val="00F12D39"/>
    <w:rsid w:val="00F12E36"/>
    <w:rsid w:val="00F12EAB"/>
    <w:rsid w:val="00F13153"/>
    <w:rsid w:val="00F13216"/>
    <w:rsid w:val="00F133A3"/>
    <w:rsid w:val="00F13423"/>
    <w:rsid w:val="00F13446"/>
    <w:rsid w:val="00F134FD"/>
    <w:rsid w:val="00F1380E"/>
    <w:rsid w:val="00F13D94"/>
    <w:rsid w:val="00F141BE"/>
    <w:rsid w:val="00F142EA"/>
    <w:rsid w:val="00F14381"/>
    <w:rsid w:val="00F14546"/>
    <w:rsid w:val="00F14571"/>
    <w:rsid w:val="00F14639"/>
    <w:rsid w:val="00F14881"/>
    <w:rsid w:val="00F14A21"/>
    <w:rsid w:val="00F14CFC"/>
    <w:rsid w:val="00F14E61"/>
    <w:rsid w:val="00F14E72"/>
    <w:rsid w:val="00F151BE"/>
    <w:rsid w:val="00F152A1"/>
    <w:rsid w:val="00F1540F"/>
    <w:rsid w:val="00F154AE"/>
    <w:rsid w:val="00F154D8"/>
    <w:rsid w:val="00F15634"/>
    <w:rsid w:val="00F1568A"/>
    <w:rsid w:val="00F156FD"/>
    <w:rsid w:val="00F15A51"/>
    <w:rsid w:val="00F15A9B"/>
    <w:rsid w:val="00F15B2B"/>
    <w:rsid w:val="00F15C91"/>
    <w:rsid w:val="00F15FA5"/>
    <w:rsid w:val="00F1602E"/>
    <w:rsid w:val="00F16289"/>
    <w:rsid w:val="00F16529"/>
    <w:rsid w:val="00F1666E"/>
    <w:rsid w:val="00F16681"/>
    <w:rsid w:val="00F17016"/>
    <w:rsid w:val="00F170CE"/>
    <w:rsid w:val="00F172E3"/>
    <w:rsid w:val="00F17456"/>
    <w:rsid w:val="00F1758E"/>
    <w:rsid w:val="00F178B4"/>
    <w:rsid w:val="00F17C85"/>
    <w:rsid w:val="00F17F55"/>
    <w:rsid w:val="00F17F76"/>
    <w:rsid w:val="00F2023D"/>
    <w:rsid w:val="00F20329"/>
    <w:rsid w:val="00F20392"/>
    <w:rsid w:val="00F204C9"/>
    <w:rsid w:val="00F20513"/>
    <w:rsid w:val="00F20833"/>
    <w:rsid w:val="00F2083C"/>
    <w:rsid w:val="00F20904"/>
    <w:rsid w:val="00F20A14"/>
    <w:rsid w:val="00F20BEA"/>
    <w:rsid w:val="00F20F26"/>
    <w:rsid w:val="00F20F31"/>
    <w:rsid w:val="00F20FEC"/>
    <w:rsid w:val="00F21046"/>
    <w:rsid w:val="00F21195"/>
    <w:rsid w:val="00F211D2"/>
    <w:rsid w:val="00F2125F"/>
    <w:rsid w:val="00F2147D"/>
    <w:rsid w:val="00F21554"/>
    <w:rsid w:val="00F21595"/>
    <w:rsid w:val="00F2159D"/>
    <w:rsid w:val="00F2170F"/>
    <w:rsid w:val="00F219FE"/>
    <w:rsid w:val="00F21D2A"/>
    <w:rsid w:val="00F21DB5"/>
    <w:rsid w:val="00F220D0"/>
    <w:rsid w:val="00F220EC"/>
    <w:rsid w:val="00F22521"/>
    <w:rsid w:val="00F2253D"/>
    <w:rsid w:val="00F22584"/>
    <w:rsid w:val="00F22935"/>
    <w:rsid w:val="00F22A31"/>
    <w:rsid w:val="00F22BD5"/>
    <w:rsid w:val="00F2306E"/>
    <w:rsid w:val="00F231AE"/>
    <w:rsid w:val="00F23222"/>
    <w:rsid w:val="00F232AF"/>
    <w:rsid w:val="00F234D8"/>
    <w:rsid w:val="00F236B8"/>
    <w:rsid w:val="00F238CC"/>
    <w:rsid w:val="00F23956"/>
    <w:rsid w:val="00F23A85"/>
    <w:rsid w:val="00F23C1F"/>
    <w:rsid w:val="00F23D4B"/>
    <w:rsid w:val="00F23F1B"/>
    <w:rsid w:val="00F24108"/>
    <w:rsid w:val="00F241D7"/>
    <w:rsid w:val="00F24219"/>
    <w:rsid w:val="00F24228"/>
    <w:rsid w:val="00F242E0"/>
    <w:rsid w:val="00F24612"/>
    <w:rsid w:val="00F246CF"/>
    <w:rsid w:val="00F24718"/>
    <w:rsid w:val="00F2473C"/>
    <w:rsid w:val="00F24765"/>
    <w:rsid w:val="00F24812"/>
    <w:rsid w:val="00F24A15"/>
    <w:rsid w:val="00F24B60"/>
    <w:rsid w:val="00F24CFF"/>
    <w:rsid w:val="00F250F9"/>
    <w:rsid w:val="00F25146"/>
    <w:rsid w:val="00F25234"/>
    <w:rsid w:val="00F253CF"/>
    <w:rsid w:val="00F255B7"/>
    <w:rsid w:val="00F259ED"/>
    <w:rsid w:val="00F25A47"/>
    <w:rsid w:val="00F25C58"/>
    <w:rsid w:val="00F25CC6"/>
    <w:rsid w:val="00F25EDC"/>
    <w:rsid w:val="00F25F38"/>
    <w:rsid w:val="00F26009"/>
    <w:rsid w:val="00F26166"/>
    <w:rsid w:val="00F26237"/>
    <w:rsid w:val="00F26268"/>
    <w:rsid w:val="00F264A2"/>
    <w:rsid w:val="00F26590"/>
    <w:rsid w:val="00F26616"/>
    <w:rsid w:val="00F26859"/>
    <w:rsid w:val="00F26865"/>
    <w:rsid w:val="00F2697D"/>
    <w:rsid w:val="00F26A0C"/>
    <w:rsid w:val="00F26AF1"/>
    <w:rsid w:val="00F26EF2"/>
    <w:rsid w:val="00F271B3"/>
    <w:rsid w:val="00F271BB"/>
    <w:rsid w:val="00F27202"/>
    <w:rsid w:val="00F27512"/>
    <w:rsid w:val="00F2797E"/>
    <w:rsid w:val="00F279AA"/>
    <w:rsid w:val="00F27A6E"/>
    <w:rsid w:val="00F27AA1"/>
    <w:rsid w:val="00F27C26"/>
    <w:rsid w:val="00F27D8A"/>
    <w:rsid w:val="00F300E1"/>
    <w:rsid w:val="00F30554"/>
    <w:rsid w:val="00F30598"/>
    <w:rsid w:val="00F30623"/>
    <w:rsid w:val="00F306B4"/>
    <w:rsid w:val="00F308F1"/>
    <w:rsid w:val="00F30A10"/>
    <w:rsid w:val="00F30B0E"/>
    <w:rsid w:val="00F30B2D"/>
    <w:rsid w:val="00F30ECC"/>
    <w:rsid w:val="00F30F17"/>
    <w:rsid w:val="00F31124"/>
    <w:rsid w:val="00F31440"/>
    <w:rsid w:val="00F31A54"/>
    <w:rsid w:val="00F31AB2"/>
    <w:rsid w:val="00F31C23"/>
    <w:rsid w:val="00F31E45"/>
    <w:rsid w:val="00F32106"/>
    <w:rsid w:val="00F32119"/>
    <w:rsid w:val="00F32211"/>
    <w:rsid w:val="00F3223B"/>
    <w:rsid w:val="00F32465"/>
    <w:rsid w:val="00F325DE"/>
    <w:rsid w:val="00F327B4"/>
    <w:rsid w:val="00F327D3"/>
    <w:rsid w:val="00F32AD5"/>
    <w:rsid w:val="00F32C79"/>
    <w:rsid w:val="00F32D22"/>
    <w:rsid w:val="00F32DBA"/>
    <w:rsid w:val="00F32E05"/>
    <w:rsid w:val="00F32F47"/>
    <w:rsid w:val="00F32F58"/>
    <w:rsid w:val="00F32FFB"/>
    <w:rsid w:val="00F33004"/>
    <w:rsid w:val="00F33073"/>
    <w:rsid w:val="00F3344A"/>
    <w:rsid w:val="00F3381E"/>
    <w:rsid w:val="00F33825"/>
    <w:rsid w:val="00F33ABD"/>
    <w:rsid w:val="00F33B1A"/>
    <w:rsid w:val="00F34199"/>
    <w:rsid w:val="00F3432A"/>
    <w:rsid w:val="00F34338"/>
    <w:rsid w:val="00F34387"/>
    <w:rsid w:val="00F346BC"/>
    <w:rsid w:val="00F34A00"/>
    <w:rsid w:val="00F34C49"/>
    <w:rsid w:val="00F34D12"/>
    <w:rsid w:val="00F34D4A"/>
    <w:rsid w:val="00F34E84"/>
    <w:rsid w:val="00F34F3E"/>
    <w:rsid w:val="00F3510C"/>
    <w:rsid w:val="00F3517B"/>
    <w:rsid w:val="00F351E3"/>
    <w:rsid w:val="00F35259"/>
    <w:rsid w:val="00F35465"/>
    <w:rsid w:val="00F355C4"/>
    <w:rsid w:val="00F35D41"/>
    <w:rsid w:val="00F35F27"/>
    <w:rsid w:val="00F36122"/>
    <w:rsid w:val="00F36346"/>
    <w:rsid w:val="00F36B72"/>
    <w:rsid w:val="00F36B9B"/>
    <w:rsid w:val="00F36CC6"/>
    <w:rsid w:val="00F3748F"/>
    <w:rsid w:val="00F37671"/>
    <w:rsid w:val="00F377B1"/>
    <w:rsid w:val="00F37800"/>
    <w:rsid w:val="00F3793F"/>
    <w:rsid w:val="00F37B49"/>
    <w:rsid w:val="00F37B9B"/>
    <w:rsid w:val="00F37CD2"/>
    <w:rsid w:val="00F37D25"/>
    <w:rsid w:val="00F37D63"/>
    <w:rsid w:val="00F37E2E"/>
    <w:rsid w:val="00F37F33"/>
    <w:rsid w:val="00F4042F"/>
    <w:rsid w:val="00F40737"/>
    <w:rsid w:val="00F40759"/>
    <w:rsid w:val="00F40C64"/>
    <w:rsid w:val="00F40D24"/>
    <w:rsid w:val="00F40E49"/>
    <w:rsid w:val="00F40F2C"/>
    <w:rsid w:val="00F40FC7"/>
    <w:rsid w:val="00F40FEA"/>
    <w:rsid w:val="00F41311"/>
    <w:rsid w:val="00F416E7"/>
    <w:rsid w:val="00F41847"/>
    <w:rsid w:val="00F41904"/>
    <w:rsid w:val="00F4194D"/>
    <w:rsid w:val="00F41B59"/>
    <w:rsid w:val="00F41B91"/>
    <w:rsid w:val="00F41BA6"/>
    <w:rsid w:val="00F41F62"/>
    <w:rsid w:val="00F41F8D"/>
    <w:rsid w:val="00F41FAB"/>
    <w:rsid w:val="00F4215E"/>
    <w:rsid w:val="00F4225A"/>
    <w:rsid w:val="00F422BB"/>
    <w:rsid w:val="00F42441"/>
    <w:rsid w:val="00F42444"/>
    <w:rsid w:val="00F425E2"/>
    <w:rsid w:val="00F42982"/>
    <w:rsid w:val="00F42A69"/>
    <w:rsid w:val="00F42B93"/>
    <w:rsid w:val="00F42BE6"/>
    <w:rsid w:val="00F42D87"/>
    <w:rsid w:val="00F43285"/>
    <w:rsid w:val="00F43361"/>
    <w:rsid w:val="00F436E6"/>
    <w:rsid w:val="00F43883"/>
    <w:rsid w:val="00F43A75"/>
    <w:rsid w:val="00F43C07"/>
    <w:rsid w:val="00F43D9F"/>
    <w:rsid w:val="00F44143"/>
    <w:rsid w:val="00F44168"/>
    <w:rsid w:val="00F4429B"/>
    <w:rsid w:val="00F4433F"/>
    <w:rsid w:val="00F44410"/>
    <w:rsid w:val="00F44590"/>
    <w:rsid w:val="00F4466D"/>
    <w:rsid w:val="00F446FC"/>
    <w:rsid w:val="00F4497B"/>
    <w:rsid w:val="00F44A9E"/>
    <w:rsid w:val="00F44D12"/>
    <w:rsid w:val="00F44D94"/>
    <w:rsid w:val="00F4517B"/>
    <w:rsid w:val="00F4519E"/>
    <w:rsid w:val="00F453F0"/>
    <w:rsid w:val="00F4555F"/>
    <w:rsid w:val="00F45680"/>
    <w:rsid w:val="00F457DF"/>
    <w:rsid w:val="00F45938"/>
    <w:rsid w:val="00F45A38"/>
    <w:rsid w:val="00F45DF3"/>
    <w:rsid w:val="00F45E14"/>
    <w:rsid w:val="00F45EA0"/>
    <w:rsid w:val="00F460E0"/>
    <w:rsid w:val="00F46191"/>
    <w:rsid w:val="00F4624B"/>
    <w:rsid w:val="00F462F2"/>
    <w:rsid w:val="00F463B0"/>
    <w:rsid w:val="00F46480"/>
    <w:rsid w:val="00F467E4"/>
    <w:rsid w:val="00F46806"/>
    <w:rsid w:val="00F46B9E"/>
    <w:rsid w:val="00F46C85"/>
    <w:rsid w:val="00F46DB0"/>
    <w:rsid w:val="00F46E44"/>
    <w:rsid w:val="00F46F4D"/>
    <w:rsid w:val="00F46FE1"/>
    <w:rsid w:val="00F47290"/>
    <w:rsid w:val="00F472BC"/>
    <w:rsid w:val="00F47322"/>
    <w:rsid w:val="00F47499"/>
    <w:rsid w:val="00F47533"/>
    <w:rsid w:val="00F47624"/>
    <w:rsid w:val="00F47653"/>
    <w:rsid w:val="00F47664"/>
    <w:rsid w:val="00F476DB"/>
    <w:rsid w:val="00F4780E"/>
    <w:rsid w:val="00F4786B"/>
    <w:rsid w:val="00F47D18"/>
    <w:rsid w:val="00F47E42"/>
    <w:rsid w:val="00F47E92"/>
    <w:rsid w:val="00F47EB8"/>
    <w:rsid w:val="00F47F0A"/>
    <w:rsid w:val="00F5000D"/>
    <w:rsid w:val="00F50121"/>
    <w:rsid w:val="00F501E3"/>
    <w:rsid w:val="00F5021F"/>
    <w:rsid w:val="00F50260"/>
    <w:rsid w:val="00F5033F"/>
    <w:rsid w:val="00F50541"/>
    <w:rsid w:val="00F50590"/>
    <w:rsid w:val="00F508A1"/>
    <w:rsid w:val="00F50974"/>
    <w:rsid w:val="00F509A8"/>
    <w:rsid w:val="00F50D3A"/>
    <w:rsid w:val="00F50DB8"/>
    <w:rsid w:val="00F50E94"/>
    <w:rsid w:val="00F5118B"/>
    <w:rsid w:val="00F51292"/>
    <w:rsid w:val="00F51464"/>
    <w:rsid w:val="00F515CF"/>
    <w:rsid w:val="00F5164D"/>
    <w:rsid w:val="00F516B5"/>
    <w:rsid w:val="00F5183B"/>
    <w:rsid w:val="00F51FC9"/>
    <w:rsid w:val="00F5201C"/>
    <w:rsid w:val="00F520BB"/>
    <w:rsid w:val="00F52103"/>
    <w:rsid w:val="00F5238E"/>
    <w:rsid w:val="00F52ACD"/>
    <w:rsid w:val="00F52E6F"/>
    <w:rsid w:val="00F52E80"/>
    <w:rsid w:val="00F52F3C"/>
    <w:rsid w:val="00F52FA0"/>
    <w:rsid w:val="00F5310E"/>
    <w:rsid w:val="00F5315B"/>
    <w:rsid w:val="00F531B5"/>
    <w:rsid w:val="00F531F2"/>
    <w:rsid w:val="00F53599"/>
    <w:rsid w:val="00F53A5E"/>
    <w:rsid w:val="00F53B24"/>
    <w:rsid w:val="00F53CE8"/>
    <w:rsid w:val="00F53EE9"/>
    <w:rsid w:val="00F53F34"/>
    <w:rsid w:val="00F53F91"/>
    <w:rsid w:val="00F543B2"/>
    <w:rsid w:val="00F5455A"/>
    <w:rsid w:val="00F5472D"/>
    <w:rsid w:val="00F549C1"/>
    <w:rsid w:val="00F5512B"/>
    <w:rsid w:val="00F5520F"/>
    <w:rsid w:val="00F55474"/>
    <w:rsid w:val="00F5554C"/>
    <w:rsid w:val="00F555B1"/>
    <w:rsid w:val="00F557D9"/>
    <w:rsid w:val="00F559A7"/>
    <w:rsid w:val="00F55AD0"/>
    <w:rsid w:val="00F55B78"/>
    <w:rsid w:val="00F55BB7"/>
    <w:rsid w:val="00F55C93"/>
    <w:rsid w:val="00F55DC2"/>
    <w:rsid w:val="00F55E2F"/>
    <w:rsid w:val="00F55E88"/>
    <w:rsid w:val="00F562FA"/>
    <w:rsid w:val="00F56306"/>
    <w:rsid w:val="00F56534"/>
    <w:rsid w:val="00F56566"/>
    <w:rsid w:val="00F56672"/>
    <w:rsid w:val="00F566F4"/>
    <w:rsid w:val="00F56726"/>
    <w:rsid w:val="00F56764"/>
    <w:rsid w:val="00F56978"/>
    <w:rsid w:val="00F569DC"/>
    <w:rsid w:val="00F56C5F"/>
    <w:rsid w:val="00F56DED"/>
    <w:rsid w:val="00F56E42"/>
    <w:rsid w:val="00F56F91"/>
    <w:rsid w:val="00F56F94"/>
    <w:rsid w:val="00F57033"/>
    <w:rsid w:val="00F573C0"/>
    <w:rsid w:val="00F574BF"/>
    <w:rsid w:val="00F57A13"/>
    <w:rsid w:val="00F57AAE"/>
    <w:rsid w:val="00F57AAF"/>
    <w:rsid w:val="00F57CF4"/>
    <w:rsid w:val="00F57D0C"/>
    <w:rsid w:val="00F57D0D"/>
    <w:rsid w:val="00F57D37"/>
    <w:rsid w:val="00F6009B"/>
    <w:rsid w:val="00F602B3"/>
    <w:rsid w:val="00F6046E"/>
    <w:rsid w:val="00F606DD"/>
    <w:rsid w:val="00F60A29"/>
    <w:rsid w:val="00F60BA0"/>
    <w:rsid w:val="00F60D13"/>
    <w:rsid w:val="00F60E34"/>
    <w:rsid w:val="00F60EA0"/>
    <w:rsid w:val="00F6106D"/>
    <w:rsid w:val="00F61191"/>
    <w:rsid w:val="00F61332"/>
    <w:rsid w:val="00F6141B"/>
    <w:rsid w:val="00F61440"/>
    <w:rsid w:val="00F61446"/>
    <w:rsid w:val="00F614D2"/>
    <w:rsid w:val="00F61543"/>
    <w:rsid w:val="00F615FF"/>
    <w:rsid w:val="00F616A8"/>
    <w:rsid w:val="00F6188E"/>
    <w:rsid w:val="00F61A42"/>
    <w:rsid w:val="00F61AB6"/>
    <w:rsid w:val="00F61B62"/>
    <w:rsid w:val="00F61CD5"/>
    <w:rsid w:val="00F61D86"/>
    <w:rsid w:val="00F62106"/>
    <w:rsid w:val="00F62211"/>
    <w:rsid w:val="00F623B9"/>
    <w:rsid w:val="00F6276E"/>
    <w:rsid w:val="00F62885"/>
    <w:rsid w:val="00F6288D"/>
    <w:rsid w:val="00F62C04"/>
    <w:rsid w:val="00F62DB0"/>
    <w:rsid w:val="00F62E03"/>
    <w:rsid w:val="00F6304B"/>
    <w:rsid w:val="00F631EB"/>
    <w:rsid w:val="00F63346"/>
    <w:rsid w:val="00F633CD"/>
    <w:rsid w:val="00F63467"/>
    <w:rsid w:val="00F634F6"/>
    <w:rsid w:val="00F6364A"/>
    <w:rsid w:val="00F636FA"/>
    <w:rsid w:val="00F63746"/>
    <w:rsid w:val="00F63879"/>
    <w:rsid w:val="00F63932"/>
    <w:rsid w:val="00F63A0C"/>
    <w:rsid w:val="00F63A96"/>
    <w:rsid w:val="00F63B27"/>
    <w:rsid w:val="00F63E53"/>
    <w:rsid w:val="00F63F98"/>
    <w:rsid w:val="00F64092"/>
    <w:rsid w:val="00F641AA"/>
    <w:rsid w:val="00F642C4"/>
    <w:rsid w:val="00F64404"/>
    <w:rsid w:val="00F644E0"/>
    <w:rsid w:val="00F644E1"/>
    <w:rsid w:val="00F645FD"/>
    <w:rsid w:val="00F64617"/>
    <w:rsid w:val="00F646E7"/>
    <w:rsid w:val="00F649DD"/>
    <w:rsid w:val="00F64AF4"/>
    <w:rsid w:val="00F64B75"/>
    <w:rsid w:val="00F64C5C"/>
    <w:rsid w:val="00F64CF2"/>
    <w:rsid w:val="00F64D7C"/>
    <w:rsid w:val="00F64E55"/>
    <w:rsid w:val="00F64EE4"/>
    <w:rsid w:val="00F64FF9"/>
    <w:rsid w:val="00F650FF"/>
    <w:rsid w:val="00F65134"/>
    <w:rsid w:val="00F6540A"/>
    <w:rsid w:val="00F65800"/>
    <w:rsid w:val="00F6590A"/>
    <w:rsid w:val="00F65980"/>
    <w:rsid w:val="00F65A34"/>
    <w:rsid w:val="00F65C9A"/>
    <w:rsid w:val="00F65D8A"/>
    <w:rsid w:val="00F66164"/>
    <w:rsid w:val="00F662A0"/>
    <w:rsid w:val="00F663B2"/>
    <w:rsid w:val="00F663C6"/>
    <w:rsid w:val="00F664E2"/>
    <w:rsid w:val="00F6660D"/>
    <w:rsid w:val="00F666C0"/>
    <w:rsid w:val="00F666C3"/>
    <w:rsid w:val="00F666E4"/>
    <w:rsid w:val="00F6677B"/>
    <w:rsid w:val="00F66CC2"/>
    <w:rsid w:val="00F66D1B"/>
    <w:rsid w:val="00F671B0"/>
    <w:rsid w:val="00F671C2"/>
    <w:rsid w:val="00F672D9"/>
    <w:rsid w:val="00F673A9"/>
    <w:rsid w:val="00F674B7"/>
    <w:rsid w:val="00F67533"/>
    <w:rsid w:val="00F675D5"/>
    <w:rsid w:val="00F676C3"/>
    <w:rsid w:val="00F679F6"/>
    <w:rsid w:val="00F67B82"/>
    <w:rsid w:val="00F67FBA"/>
    <w:rsid w:val="00F70132"/>
    <w:rsid w:val="00F7025F"/>
    <w:rsid w:val="00F702C3"/>
    <w:rsid w:val="00F704AE"/>
    <w:rsid w:val="00F705D9"/>
    <w:rsid w:val="00F705F7"/>
    <w:rsid w:val="00F70749"/>
    <w:rsid w:val="00F70828"/>
    <w:rsid w:val="00F70A9D"/>
    <w:rsid w:val="00F70B00"/>
    <w:rsid w:val="00F70CBB"/>
    <w:rsid w:val="00F70DBF"/>
    <w:rsid w:val="00F70EDD"/>
    <w:rsid w:val="00F7107F"/>
    <w:rsid w:val="00F71223"/>
    <w:rsid w:val="00F71745"/>
    <w:rsid w:val="00F71877"/>
    <w:rsid w:val="00F71A6E"/>
    <w:rsid w:val="00F71BBE"/>
    <w:rsid w:val="00F71C0B"/>
    <w:rsid w:val="00F71C5A"/>
    <w:rsid w:val="00F71CA4"/>
    <w:rsid w:val="00F71DCF"/>
    <w:rsid w:val="00F71E05"/>
    <w:rsid w:val="00F71EC0"/>
    <w:rsid w:val="00F71F51"/>
    <w:rsid w:val="00F72130"/>
    <w:rsid w:val="00F72257"/>
    <w:rsid w:val="00F72408"/>
    <w:rsid w:val="00F7288A"/>
    <w:rsid w:val="00F72896"/>
    <w:rsid w:val="00F72978"/>
    <w:rsid w:val="00F72A8E"/>
    <w:rsid w:val="00F72B5E"/>
    <w:rsid w:val="00F72BFC"/>
    <w:rsid w:val="00F72E0A"/>
    <w:rsid w:val="00F72FA9"/>
    <w:rsid w:val="00F73181"/>
    <w:rsid w:val="00F731F1"/>
    <w:rsid w:val="00F73241"/>
    <w:rsid w:val="00F7330C"/>
    <w:rsid w:val="00F7341C"/>
    <w:rsid w:val="00F73705"/>
    <w:rsid w:val="00F73854"/>
    <w:rsid w:val="00F73903"/>
    <w:rsid w:val="00F73B54"/>
    <w:rsid w:val="00F73F67"/>
    <w:rsid w:val="00F743D8"/>
    <w:rsid w:val="00F74516"/>
    <w:rsid w:val="00F745AD"/>
    <w:rsid w:val="00F745BD"/>
    <w:rsid w:val="00F74726"/>
    <w:rsid w:val="00F748BE"/>
    <w:rsid w:val="00F748E8"/>
    <w:rsid w:val="00F7496A"/>
    <w:rsid w:val="00F74A1A"/>
    <w:rsid w:val="00F74B59"/>
    <w:rsid w:val="00F74F37"/>
    <w:rsid w:val="00F74F8F"/>
    <w:rsid w:val="00F74FB1"/>
    <w:rsid w:val="00F75110"/>
    <w:rsid w:val="00F75147"/>
    <w:rsid w:val="00F7526A"/>
    <w:rsid w:val="00F7555E"/>
    <w:rsid w:val="00F756AE"/>
    <w:rsid w:val="00F757D1"/>
    <w:rsid w:val="00F757EF"/>
    <w:rsid w:val="00F759F8"/>
    <w:rsid w:val="00F760A4"/>
    <w:rsid w:val="00F76666"/>
    <w:rsid w:val="00F76984"/>
    <w:rsid w:val="00F769CF"/>
    <w:rsid w:val="00F76EDB"/>
    <w:rsid w:val="00F76EE1"/>
    <w:rsid w:val="00F76EF9"/>
    <w:rsid w:val="00F76F94"/>
    <w:rsid w:val="00F76FD2"/>
    <w:rsid w:val="00F7731B"/>
    <w:rsid w:val="00F774CB"/>
    <w:rsid w:val="00F7756E"/>
    <w:rsid w:val="00F775FF"/>
    <w:rsid w:val="00F777BB"/>
    <w:rsid w:val="00F77841"/>
    <w:rsid w:val="00F778AD"/>
    <w:rsid w:val="00F77988"/>
    <w:rsid w:val="00F77C4D"/>
    <w:rsid w:val="00F77CCE"/>
    <w:rsid w:val="00F77F29"/>
    <w:rsid w:val="00F8020C"/>
    <w:rsid w:val="00F8035A"/>
    <w:rsid w:val="00F80377"/>
    <w:rsid w:val="00F80447"/>
    <w:rsid w:val="00F805F8"/>
    <w:rsid w:val="00F806AE"/>
    <w:rsid w:val="00F809AF"/>
    <w:rsid w:val="00F80A21"/>
    <w:rsid w:val="00F8100B"/>
    <w:rsid w:val="00F81011"/>
    <w:rsid w:val="00F8110F"/>
    <w:rsid w:val="00F81195"/>
    <w:rsid w:val="00F81233"/>
    <w:rsid w:val="00F81820"/>
    <w:rsid w:val="00F818B4"/>
    <w:rsid w:val="00F8192E"/>
    <w:rsid w:val="00F819F4"/>
    <w:rsid w:val="00F81BAB"/>
    <w:rsid w:val="00F81F34"/>
    <w:rsid w:val="00F8241E"/>
    <w:rsid w:val="00F82586"/>
    <w:rsid w:val="00F82678"/>
    <w:rsid w:val="00F82A03"/>
    <w:rsid w:val="00F82AAB"/>
    <w:rsid w:val="00F82B57"/>
    <w:rsid w:val="00F82C7D"/>
    <w:rsid w:val="00F82C9D"/>
    <w:rsid w:val="00F82E41"/>
    <w:rsid w:val="00F83068"/>
    <w:rsid w:val="00F830B4"/>
    <w:rsid w:val="00F83115"/>
    <w:rsid w:val="00F83226"/>
    <w:rsid w:val="00F833E2"/>
    <w:rsid w:val="00F83453"/>
    <w:rsid w:val="00F83485"/>
    <w:rsid w:val="00F8353E"/>
    <w:rsid w:val="00F836FD"/>
    <w:rsid w:val="00F837B5"/>
    <w:rsid w:val="00F838D1"/>
    <w:rsid w:val="00F839C5"/>
    <w:rsid w:val="00F83AB7"/>
    <w:rsid w:val="00F83E7E"/>
    <w:rsid w:val="00F8400C"/>
    <w:rsid w:val="00F84192"/>
    <w:rsid w:val="00F8422B"/>
    <w:rsid w:val="00F84597"/>
    <w:rsid w:val="00F84742"/>
    <w:rsid w:val="00F84807"/>
    <w:rsid w:val="00F849D1"/>
    <w:rsid w:val="00F84CD7"/>
    <w:rsid w:val="00F84F85"/>
    <w:rsid w:val="00F84FF8"/>
    <w:rsid w:val="00F851AC"/>
    <w:rsid w:val="00F853C6"/>
    <w:rsid w:val="00F85543"/>
    <w:rsid w:val="00F855E1"/>
    <w:rsid w:val="00F85661"/>
    <w:rsid w:val="00F85770"/>
    <w:rsid w:val="00F85836"/>
    <w:rsid w:val="00F8588C"/>
    <w:rsid w:val="00F85948"/>
    <w:rsid w:val="00F85B76"/>
    <w:rsid w:val="00F85C07"/>
    <w:rsid w:val="00F85C71"/>
    <w:rsid w:val="00F85F37"/>
    <w:rsid w:val="00F85F7E"/>
    <w:rsid w:val="00F86255"/>
    <w:rsid w:val="00F862A9"/>
    <w:rsid w:val="00F863A6"/>
    <w:rsid w:val="00F8680A"/>
    <w:rsid w:val="00F86A1A"/>
    <w:rsid w:val="00F86B29"/>
    <w:rsid w:val="00F86D3D"/>
    <w:rsid w:val="00F86EB5"/>
    <w:rsid w:val="00F86F2D"/>
    <w:rsid w:val="00F86F4A"/>
    <w:rsid w:val="00F86FFA"/>
    <w:rsid w:val="00F871FA"/>
    <w:rsid w:val="00F87200"/>
    <w:rsid w:val="00F87393"/>
    <w:rsid w:val="00F8746B"/>
    <w:rsid w:val="00F876B9"/>
    <w:rsid w:val="00F87891"/>
    <w:rsid w:val="00F878C4"/>
    <w:rsid w:val="00F8794A"/>
    <w:rsid w:val="00F87A32"/>
    <w:rsid w:val="00F87C6D"/>
    <w:rsid w:val="00F87DB1"/>
    <w:rsid w:val="00F87E2A"/>
    <w:rsid w:val="00F87E82"/>
    <w:rsid w:val="00F900E6"/>
    <w:rsid w:val="00F901C8"/>
    <w:rsid w:val="00F901E2"/>
    <w:rsid w:val="00F90205"/>
    <w:rsid w:val="00F905A0"/>
    <w:rsid w:val="00F90885"/>
    <w:rsid w:val="00F908F2"/>
    <w:rsid w:val="00F90925"/>
    <w:rsid w:val="00F90968"/>
    <w:rsid w:val="00F90B60"/>
    <w:rsid w:val="00F90BDC"/>
    <w:rsid w:val="00F90D0E"/>
    <w:rsid w:val="00F91087"/>
    <w:rsid w:val="00F911CC"/>
    <w:rsid w:val="00F91350"/>
    <w:rsid w:val="00F917D1"/>
    <w:rsid w:val="00F917E8"/>
    <w:rsid w:val="00F917FD"/>
    <w:rsid w:val="00F91929"/>
    <w:rsid w:val="00F91AD3"/>
    <w:rsid w:val="00F91AEC"/>
    <w:rsid w:val="00F91C77"/>
    <w:rsid w:val="00F91CB7"/>
    <w:rsid w:val="00F91F90"/>
    <w:rsid w:val="00F92081"/>
    <w:rsid w:val="00F920D8"/>
    <w:rsid w:val="00F921C1"/>
    <w:rsid w:val="00F92371"/>
    <w:rsid w:val="00F923A3"/>
    <w:rsid w:val="00F923FC"/>
    <w:rsid w:val="00F92742"/>
    <w:rsid w:val="00F92771"/>
    <w:rsid w:val="00F92956"/>
    <w:rsid w:val="00F92BB4"/>
    <w:rsid w:val="00F92C1D"/>
    <w:rsid w:val="00F92D1D"/>
    <w:rsid w:val="00F92D6D"/>
    <w:rsid w:val="00F92E57"/>
    <w:rsid w:val="00F93381"/>
    <w:rsid w:val="00F93392"/>
    <w:rsid w:val="00F935B3"/>
    <w:rsid w:val="00F936C6"/>
    <w:rsid w:val="00F938A4"/>
    <w:rsid w:val="00F939F1"/>
    <w:rsid w:val="00F93A73"/>
    <w:rsid w:val="00F93BAD"/>
    <w:rsid w:val="00F93BCB"/>
    <w:rsid w:val="00F94100"/>
    <w:rsid w:val="00F94221"/>
    <w:rsid w:val="00F9435D"/>
    <w:rsid w:val="00F9482A"/>
    <w:rsid w:val="00F94C9A"/>
    <w:rsid w:val="00F94D2E"/>
    <w:rsid w:val="00F95031"/>
    <w:rsid w:val="00F95048"/>
    <w:rsid w:val="00F951DC"/>
    <w:rsid w:val="00F9535A"/>
    <w:rsid w:val="00F9546D"/>
    <w:rsid w:val="00F95807"/>
    <w:rsid w:val="00F95951"/>
    <w:rsid w:val="00F95B80"/>
    <w:rsid w:val="00F95BC2"/>
    <w:rsid w:val="00F95D88"/>
    <w:rsid w:val="00F95DC8"/>
    <w:rsid w:val="00F95FA1"/>
    <w:rsid w:val="00F960E8"/>
    <w:rsid w:val="00F9637D"/>
    <w:rsid w:val="00F9643C"/>
    <w:rsid w:val="00F96662"/>
    <w:rsid w:val="00F9683E"/>
    <w:rsid w:val="00F9698A"/>
    <w:rsid w:val="00F969BF"/>
    <w:rsid w:val="00F96D4A"/>
    <w:rsid w:val="00F97230"/>
    <w:rsid w:val="00F973CB"/>
    <w:rsid w:val="00F97404"/>
    <w:rsid w:val="00F97497"/>
    <w:rsid w:val="00F97596"/>
    <w:rsid w:val="00F975C5"/>
    <w:rsid w:val="00F97683"/>
    <w:rsid w:val="00F976DA"/>
    <w:rsid w:val="00F97744"/>
    <w:rsid w:val="00F97791"/>
    <w:rsid w:val="00F977C5"/>
    <w:rsid w:val="00F9784A"/>
    <w:rsid w:val="00FA0166"/>
    <w:rsid w:val="00FA016D"/>
    <w:rsid w:val="00FA0180"/>
    <w:rsid w:val="00FA02AA"/>
    <w:rsid w:val="00FA0795"/>
    <w:rsid w:val="00FA0873"/>
    <w:rsid w:val="00FA0A8B"/>
    <w:rsid w:val="00FA0B29"/>
    <w:rsid w:val="00FA0BA2"/>
    <w:rsid w:val="00FA0D4C"/>
    <w:rsid w:val="00FA0DB3"/>
    <w:rsid w:val="00FA0E14"/>
    <w:rsid w:val="00FA119B"/>
    <w:rsid w:val="00FA1427"/>
    <w:rsid w:val="00FA1BF6"/>
    <w:rsid w:val="00FA1D1E"/>
    <w:rsid w:val="00FA1EFC"/>
    <w:rsid w:val="00FA211F"/>
    <w:rsid w:val="00FA21BB"/>
    <w:rsid w:val="00FA21EA"/>
    <w:rsid w:val="00FA23FF"/>
    <w:rsid w:val="00FA25A7"/>
    <w:rsid w:val="00FA29DF"/>
    <w:rsid w:val="00FA2C7D"/>
    <w:rsid w:val="00FA2E5F"/>
    <w:rsid w:val="00FA2EBF"/>
    <w:rsid w:val="00FA2EF3"/>
    <w:rsid w:val="00FA2EF9"/>
    <w:rsid w:val="00FA2FDD"/>
    <w:rsid w:val="00FA3005"/>
    <w:rsid w:val="00FA301F"/>
    <w:rsid w:val="00FA32B6"/>
    <w:rsid w:val="00FA3321"/>
    <w:rsid w:val="00FA3460"/>
    <w:rsid w:val="00FA3858"/>
    <w:rsid w:val="00FA398B"/>
    <w:rsid w:val="00FA3CA4"/>
    <w:rsid w:val="00FA3E96"/>
    <w:rsid w:val="00FA3FA4"/>
    <w:rsid w:val="00FA419A"/>
    <w:rsid w:val="00FA42BF"/>
    <w:rsid w:val="00FA44D0"/>
    <w:rsid w:val="00FA48D8"/>
    <w:rsid w:val="00FA4C5A"/>
    <w:rsid w:val="00FA4DE7"/>
    <w:rsid w:val="00FA50F4"/>
    <w:rsid w:val="00FA5114"/>
    <w:rsid w:val="00FA5209"/>
    <w:rsid w:val="00FA530F"/>
    <w:rsid w:val="00FA54C2"/>
    <w:rsid w:val="00FA5517"/>
    <w:rsid w:val="00FA5748"/>
    <w:rsid w:val="00FA5750"/>
    <w:rsid w:val="00FA5782"/>
    <w:rsid w:val="00FA58D9"/>
    <w:rsid w:val="00FA5A56"/>
    <w:rsid w:val="00FA5BC1"/>
    <w:rsid w:val="00FA5CB7"/>
    <w:rsid w:val="00FA6095"/>
    <w:rsid w:val="00FA60D0"/>
    <w:rsid w:val="00FA61A3"/>
    <w:rsid w:val="00FA626A"/>
    <w:rsid w:val="00FA674A"/>
    <w:rsid w:val="00FA67E3"/>
    <w:rsid w:val="00FA6CA7"/>
    <w:rsid w:val="00FA6DB8"/>
    <w:rsid w:val="00FA6FEE"/>
    <w:rsid w:val="00FA7194"/>
    <w:rsid w:val="00FA7308"/>
    <w:rsid w:val="00FA7565"/>
    <w:rsid w:val="00FA762F"/>
    <w:rsid w:val="00FA7661"/>
    <w:rsid w:val="00FA76A2"/>
    <w:rsid w:val="00FA77A9"/>
    <w:rsid w:val="00FA78B8"/>
    <w:rsid w:val="00FA7C84"/>
    <w:rsid w:val="00FA7C8F"/>
    <w:rsid w:val="00FA7E71"/>
    <w:rsid w:val="00FB0097"/>
    <w:rsid w:val="00FB0513"/>
    <w:rsid w:val="00FB084A"/>
    <w:rsid w:val="00FB08D2"/>
    <w:rsid w:val="00FB0E40"/>
    <w:rsid w:val="00FB0F54"/>
    <w:rsid w:val="00FB12FB"/>
    <w:rsid w:val="00FB1476"/>
    <w:rsid w:val="00FB150F"/>
    <w:rsid w:val="00FB165B"/>
    <w:rsid w:val="00FB16D7"/>
    <w:rsid w:val="00FB1D69"/>
    <w:rsid w:val="00FB1DE6"/>
    <w:rsid w:val="00FB1E32"/>
    <w:rsid w:val="00FB1EE0"/>
    <w:rsid w:val="00FB1EEE"/>
    <w:rsid w:val="00FB1F2E"/>
    <w:rsid w:val="00FB220C"/>
    <w:rsid w:val="00FB2329"/>
    <w:rsid w:val="00FB24E4"/>
    <w:rsid w:val="00FB250A"/>
    <w:rsid w:val="00FB290B"/>
    <w:rsid w:val="00FB295C"/>
    <w:rsid w:val="00FB29B7"/>
    <w:rsid w:val="00FB2A30"/>
    <w:rsid w:val="00FB2AD5"/>
    <w:rsid w:val="00FB2C40"/>
    <w:rsid w:val="00FB2D37"/>
    <w:rsid w:val="00FB2E2F"/>
    <w:rsid w:val="00FB2E8F"/>
    <w:rsid w:val="00FB2EBB"/>
    <w:rsid w:val="00FB3244"/>
    <w:rsid w:val="00FB337F"/>
    <w:rsid w:val="00FB3412"/>
    <w:rsid w:val="00FB3414"/>
    <w:rsid w:val="00FB35AD"/>
    <w:rsid w:val="00FB37F0"/>
    <w:rsid w:val="00FB38EA"/>
    <w:rsid w:val="00FB3AC7"/>
    <w:rsid w:val="00FB3D14"/>
    <w:rsid w:val="00FB3D49"/>
    <w:rsid w:val="00FB3D51"/>
    <w:rsid w:val="00FB3D89"/>
    <w:rsid w:val="00FB412D"/>
    <w:rsid w:val="00FB416B"/>
    <w:rsid w:val="00FB4276"/>
    <w:rsid w:val="00FB44C7"/>
    <w:rsid w:val="00FB45C0"/>
    <w:rsid w:val="00FB464C"/>
    <w:rsid w:val="00FB48AB"/>
    <w:rsid w:val="00FB4917"/>
    <w:rsid w:val="00FB494C"/>
    <w:rsid w:val="00FB4B09"/>
    <w:rsid w:val="00FB4CD3"/>
    <w:rsid w:val="00FB4E62"/>
    <w:rsid w:val="00FB4F6E"/>
    <w:rsid w:val="00FB4FF9"/>
    <w:rsid w:val="00FB521B"/>
    <w:rsid w:val="00FB539E"/>
    <w:rsid w:val="00FB5476"/>
    <w:rsid w:val="00FB55A9"/>
    <w:rsid w:val="00FB57C8"/>
    <w:rsid w:val="00FB58EE"/>
    <w:rsid w:val="00FB5A39"/>
    <w:rsid w:val="00FB5AC6"/>
    <w:rsid w:val="00FB5BAA"/>
    <w:rsid w:val="00FB60C2"/>
    <w:rsid w:val="00FB631A"/>
    <w:rsid w:val="00FB648D"/>
    <w:rsid w:val="00FB65EF"/>
    <w:rsid w:val="00FB67A2"/>
    <w:rsid w:val="00FB67D0"/>
    <w:rsid w:val="00FB6805"/>
    <w:rsid w:val="00FB6AFD"/>
    <w:rsid w:val="00FB6BE5"/>
    <w:rsid w:val="00FB6C68"/>
    <w:rsid w:val="00FB6DAA"/>
    <w:rsid w:val="00FB6DEF"/>
    <w:rsid w:val="00FB7126"/>
    <w:rsid w:val="00FB7306"/>
    <w:rsid w:val="00FB73E6"/>
    <w:rsid w:val="00FB73F9"/>
    <w:rsid w:val="00FB7797"/>
    <w:rsid w:val="00FB782E"/>
    <w:rsid w:val="00FB78E8"/>
    <w:rsid w:val="00FB7BC7"/>
    <w:rsid w:val="00FB7E74"/>
    <w:rsid w:val="00FB7FD9"/>
    <w:rsid w:val="00FC00B1"/>
    <w:rsid w:val="00FC00FD"/>
    <w:rsid w:val="00FC0149"/>
    <w:rsid w:val="00FC014A"/>
    <w:rsid w:val="00FC02A2"/>
    <w:rsid w:val="00FC0492"/>
    <w:rsid w:val="00FC06FC"/>
    <w:rsid w:val="00FC0984"/>
    <w:rsid w:val="00FC0B0D"/>
    <w:rsid w:val="00FC0C9A"/>
    <w:rsid w:val="00FC0D69"/>
    <w:rsid w:val="00FC115C"/>
    <w:rsid w:val="00FC116B"/>
    <w:rsid w:val="00FC11DC"/>
    <w:rsid w:val="00FC12D6"/>
    <w:rsid w:val="00FC136C"/>
    <w:rsid w:val="00FC15C5"/>
    <w:rsid w:val="00FC1724"/>
    <w:rsid w:val="00FC178A"/>
    <w:rsid w:val="00FC1791"/>
    <w:rsid w:val="00FC17A9"/>
    <w:rsid w:val="00FC17FE"/>
    <w:rsid w:val="00FC192B"/>
    <w:rsid w:val="00FC1A5A"/>
    <w:rsid w:val="00FC1BAE"/>
    <w:rsid w:val="00FC1BFA"/>
    <w:rsid w:val="00FC2097"/>
    <w:rsid w:val="00FC223E"/>
    <w:rsid w:val="00FC226E"/>
    <w:rsid w:val="00FC2351"/>
    <w:rsid w:val="00FC24A3"/>
    <w:rsid w:val="00FC2599"/>
    <w:rsid w:val="00FC2771"/>
    <w:rsid w:val="00FC2AAC"/>
    <w:rsid w:val="00FC2CA7"/>
    <w:rsid w:val="00FC2EE8"/>
    <w:rsid w:val="00FC3258"/>
    <w:rsid w:val="00FC3515"/>
    <w:rsid w:val="00FC35C7"/>
    <w:rsid w:val="00FC3622"/>
    <w:rsid w:val="00FC3676"/>
    <w:rsid w:val="00FC3723"/>
    <w:rsid w:val="00FC3815"/>
    <w:rsid w:val="00FC3822"/>
    <w:rsid w:val="00FC3866"/>
    <w:rsid w:val="00FC3996"/>
    <w:rsid w:val="00FC3AB0"/>
    <w:rsid w:val="00FC3B66"/>
    <w:rsid w:val="00FC3C48"/>
    <w:rsid w:val="00FC3C9A"/>
    <w:rsid w:val="00FC3D38"/>
    <w:rsid w:val="00FC3D8A"/>
    <w:rsid w:val="00FC3E2E"/>
    <w:rsid w:val="00FC3F25"/>
    <w:rsid w:val="00FC41BA"/>
    <w:rsid w:val="00FC42F8"/>
    <w:rsid w:val="00FC4540"/>
    <w:rsid w:val="00FC465C"/>
    <w:rsid w:val="00FC470E"/>
    <w:rsid w:val="00FC47E7"/>
    <w:rsid w:val="00FC4915"/>
    <w:rsid w:val="00FC4959"/>
    <w:rsid w:val="00FC49BE"/>
    <w:rsid w:val="00FC4A61"/>
    <w:rsid w:val="00FC4AEB"/>
    <w:rsid w:val="00FC4EA5"/>
    <w:rsid w:val="00FC4F0B"/>
    <w:rsid w:val="00FC4F91"/>
    <w:rsid w:val="00FC5262"/>
    <w:rsid w:val="00FC5479"/>
    <w:rsid w:val="00FC54AB"/>
    <w:rsid w:val="00FC54CD"/>
    <w:rsid w:val="00FC557D"/>
    <w:rsid w:val="00FC578F"/>
    <w:rsid w:val="00FC5824"/>
    <w:rsid w:val="00FC59D5"/>
    <w:rsid w:val="00FC5D95"/>
    <w:rsid w:val="00FC5E48"/>
    <w:rsid w:val="00FC5E63"/>
    <w:rsid w:val="00FC6407"/>
    <w:rsid w:val="00FC6591"/>
    <w:rsid w:val="00FC6947"/>
    <w:rsid w:val="00FC6B40"/>
    <w:rsid w:val="00FC6E4A"/>
    <w:rsid w:val="00FC6ED7"/>
    <w:rsid w:val="00FC6F12"/>
    <w:rsid w:val="00FC6FF9"/>
    <w:rsid w:val="00FC7070"/>
    <w:rsid w:val="00FC72A6"/>
    <w:rsid w:val="00FC72F7"/>
    <w:rsid w:val="00FC72FA"/>
    <w:rsid w:val="00FC7441"/>
    <w:rsid w:val="00FC74D4"/>
    <w:rsid w:val="00FC75B0"/>
    <w:rsid w:val="00FC7AF9"/>
    <w:rsid w:val="00FC7C4E"/>
    <w:rsid w:val="00FC7C5D"/>
    <w:rsid w:val="00FC7CC0"/>
    <w:rsid w:val="00FD033B"/>
    <w:rsid w:val="00FD0681"/>
    <w:rsid w:val="00FD0773"/>
    <w:rsid w:val="00FD0A02"/>
    <w:rsid w:val="00FD0B19"/>
    <w:rsid w:val="00FD0E4C"/>
    <w:rsid w:val="00FD0F66"/>
    <w:rsid w:val="00FD106F"/>
    <w:rsid w:val="00FD12B8"/>
    <w:rsid w:val="00FD1368"/>
    <w:rsid w:val="00FD13E8"/>
    <w:rsid w:val="00FD1507"/>
    <w:rsid w:val="00FD15D4"/>
    <w:rsid w:val="00FD1925"/>
    <w:rsid w:val="00FD1C5F"/>
    <w:rsid w:val="00FD1CAC"/>
    <w:rsid w:val="00FD1DD9"/>
    <w:rsid w:val="00FD1F6C"/>
    <w:rsid w:val="00FD1F7C"/>
    <w:rsid w:val="00FD2038"/>
    <w:rsid w:val="00FD21A4"/>
    <w:rsid w:val="00FD2223"/>
    <w:rsid w:val="00FD2748"/>
    <w:rsid w:val="00FD2A82"/>
    <w:rsid w:val="00FD2B1C"/>
    <w:rsid w:val="00FD2B84"/>
    <w:rsid w:val="00FD2B97"/>
    <w:rsid w:val="00FD2D63"/>
    <w:rsid w:val="00FD2E67"/>
    <w:rsid w:val="00FD2EAF"/>
    <w:rsid w:val="00FD301A"/>
    <w:rsid w:val="00FD328C"/>
    <w:rsid w:val="00FD32E0"/>
    <w:rsid w:val="00FD34AE"/>
    <w:rsid w:val="00FD3692"/>
    <w:rsid w:val="00FD3815"/>
    <w:rsid w:val="00FD3840"/>
    <w:rsid w:val="00FD3896"/>
    <w:rsid w:val="00FD38E4"/>
    <w:rsid w:val="00FD3902"/>
    <w:rsid w:val="00FD3A6F"/>
    <w:rsid w:val="00FD3AAD"/>
    <w:rsid w:val="00FD3AC5"/>
    <w:rsid w:val="00FD3C18"/>
    <w:rsid w:val="00FD3D4A"/>
    <w:rsid w:val="00FD3D4F"/>
    <w:rsid w:val="00FD3F22"/>
    <w:rsid w:val="00FD3FD9"/>
    <w:rsid w:val="00FD4178"/>
    <w:rsid w:val="00FD41F9"/>
    <w:rsid w:val="00FD42E9"/>
    <w:rsid w:val="00FD475F"/>
    <w:rsid w:val="00FD4769"/>
    <w:rsid w:val="00FD47DC"/>
    <w:rsid w:val="00FD49F6"/>
    <w:rsid w:val="00FD4BDD"/>
    <w:rsid w:val="00FD4C24"/>
    <w:rsid w:val="00FD4CCE"/>
    <w:rsid w:val="00FD4E6D"/>
    <w:rsid w:val="00FD4FD1"/>
    <w:rsid w:val="00FD525B"/>
    <w:rsid w:val="00FD53B0"/>
    <w:rsid w:val="00FD54A7"/>
    <w:rsid w:val="00FD56BF"/>
    <w:rsid w:val="00FD59EA"/>
    <w:rsid w:val="00FD5AAC"/>
    <w:rsid w:val="00FD5ACE"/>
    <w:rsid w:val="00FD5BA6"/>
    <w:rsid w:val="00FD5C07"/>
    <w:rsid w:val="00FD5CAD"/>
    <w:rsid w:val="00FD5E69"/>
    <w:rsid w:val="00FD5FDE"/>
    <w:rsid w:val="00FD6020"/>
    <w:rsid w:val="00FD6066"/>
    <w:rsid w:val="00FD6138"/>
    <w:rsid w:val="00FD617F"/>
    <w:rsid w:val="00FD628D"/>
    <w:rsid w:val="00FD628E"/>
    <w:rsid w:val="00FD62E0"/>
    <w:rsid w:val="00FD6398"/>
    <w:rsid w:val="00FD65E9"/>
    <w:rsid w:val="00FD6693"/>
    <w:rsid w:val="00FD66F2"/>
    <w:rsid w:val="00FD6761"/>
    <w:rsid w:val="00FD6ABF"/>
    <w:rsid w:val="00FD6B19"/>
    <w:rsid w:val="00FD6BBE"/>
    <w:rsid w:val="00FD6D0E"/>
    <w:rsid w:val="00FD6E51"/>
    <w:rsid w:val="00FD6F20"/>
    <w:rsid w:val="00FD7002"/>
    <w:rsid w:val="00FD7096"/>
    <w:rsid w:val="00FD70B9"/>
    <w:rsid w:val="00FD72DB"/>
    <w:rsid w:val="00FD78A8"/>
    <w:rsid w:val="00FD78B4"/>
    <w:rsid w:val="00FD7E63"/>
    <w:rsid w:val="00FE036D"/>
    <w:rsid w:val="00FE0387"/>
    <w:rsid w:val="00FE0880"/>
    <w:rsid w:val="00FE0A88"/>
    <w:rsid w:val="00FE0B1B"/>
    <w:rsid w:val="00FE0BE3"/>
    <w:rsid w:val="00FE0C52"/>
    <w:rsid w:val="00FE0CDF"/>
    <w:rsid w:val="00FE0CED"/>
    <w:rsid w:val="00FE0E2B"/>
    <w:rsid w:val="00FE1297"/>
    <w:rsid w:val="00FE14F6"/>
    <w:rsid w:val="00FE150F"/>
    <w:rsid w:val="00FE15CB"/>
    <w:rsid w:val="00FE1663"/>
    <w:rsid w:val="00FE1914"/>
    <w:rsid w:val="00FE1C1D"/>
    <w:rsid w:val="00FE1E5E"/>
    <w:rsid w:val="00FE1ED4"/>
    <w:rsid w:val="00FE1FC7"/>
    <w:rsid w:val="00FE2085"/>
    <w:rsid w:val="00FE20AD"/>
    <w:rsid w:val="00FE21A4"/>
    <w:rsid w:val="00FE24B1"/>
    <w:rsid w:val="00FE25F0"/>
    <w:rsid w:val="00FE2686"/>
    <w:rsid w:val="00FE26BF"/>
    <w:rsid w:val="00FE273C"/>
    <w:rsid w:val="00FE27AF"/>
    <w:rsid w:val="00FE29FB"/>
    <w:rsid w:val="00FE2BE9"/>
    <w:rsid w:val="00FE2CA0"/>
    <w:rsid w:val="00FE2E0A"/>
    <w:rsid w:val="00FE37DB"/>
    <w:rsid w:val="00FE38A5"/>
    <w:rsid w:val="00FE3939"/>
    <w:rsid w:val="00FE3D93"/>
    <w:rsid w:val="00FE3EA0"/>
    <w:rsid w:val="00FE3ECA"/>
    <w:rsid w:val="00FE3F20"/>
    <w:rsid w:val="00FE3F8D"/>
    <w:rsid w:val="00FE3FB5"/>
    <w:rsid w:val="00FE41A5"/>
    <w:rsid w:val="00FE433A"/>
    <w:rsid w:val="00FE4424"/>
    <w:rsid w:val="00FE45E2"/>
    <w:rsid w:val="00FE4640"/>
    <w:rsid w:val="00FE46F4"/>
    <w:rsid w:val="00FE49B6"/>
    <w:rsid w:val="00FE4A0A"/>
    <w:rsid w:val="00FE4A70"/>
    <w:rsid w:val="00FE4BDB"/>
    <w:rsid w:val="00FE4EBF"/>
    <w:rsid w:val="00FE4ED8"/>
    <w:rsid w:val="00FE4FC9"/>
    <w:rsid w:val="00FE528B"/>
    <w:rsid w:val="00FE52AF"/>
    <w:rsid w:val="00FE5321"/>
    <w:rsid w:val="00FE548F"/>
    <w:rsid w:val="00FE5678"/>
    <w:rsid w:val="00FE5682"/>
    <w:rsid w:val="00FE576E"/>
    <w:rsid w:val="00FE57B7"/>
    <w:rsid w:val="00FE589B"/>
    <w:rsid w:val="00FE5A47"/>
    <w:rsid w:val="00FE5D1A"/>
    <w:rsid w:val="00FE5F3C"/>
    <w:rsid w:val="00FE5FAA"/>
    <w:rsid w:val="00FE6025"/>
    <w:rsid w:val="00FE6570"/>
    <w:rsid w:val="00FE6611"/>
    <w:rsid w:val="00FE692B"/>
    <w:rsid w:val="00FE69ED"/>
    <w:rsid w:val="00FE6BDE"/>
    <w:rsid w:val="00FE6C5A"/>
    <w:rsid w:val="00FE6DEA"/>
    <w:rsid w:val="00FE6F7B"/>
    <w:rsid w:val="00FE703F"/>
    <w:rsid w:val="00FE7041"/>
    <w:rsid w:val="00FE738D"/>
    <w:rsid w:val="00FE75CE"/>
    <w:rsid w:val="00FE7652"/>
    <w:rsid w:val="00FE76DF"/>
    <w:rsid w:val="00FE7AA1"/>
    <w:rsid w:val="00FE7AC9"/>
    <w:rsid w:val="00FE7B72"/>
    <w:rsid w:val="00FE7BEC"/>
    <w:rsid w:val="00FE7C40"/>
    <w:rsid w:val="00FE7EC8"/>
    <w:rsid w:val="00FF0186"/>
    <w:rsid w:val="00FF01C8"/>
    <w:rsid w:val="00FF02B8"/>
    <w:rsid w:val="00FF03BB"/>
    <w:rsid w:val="00FF0426"/>
    <w:rsid w:val="00FF04AB"/>
    <w:rsid w:val="00FF0581"/>
    <w:rsid w:val="00FF058E"/>
    <w:rsid w:val="00FF0617"/>
    <w:rsid w:val="00FF07E6"/>
    <w:rsid w:val="00FF0943"/>
    <w:rsid w:val="00FF0E35"/>
    <w:rsid w:val="00FF0E45"/>
    <w:rsid w:val="00FF0FFB"/>
    <w:rsid w:val="00FF100D"/>
    <w:rsid w:val="00FF1074"/>
    <w:rsid w:val="00FF1175"/>
    <w:rsid w:val="00FF127E"/>
    <w:rsid w:val="00FF1326"/>
    <w:rsid w:val="00FF140F"/>
    <w:rsid w:val="00FF1475"/>
    <w:rsid w:val="00FF150F"/>
    <w:rsid w:val="00FF15A0"/>
    <w:rsid w:val="00FF1694"/>
    <w:rsid w:val="00FF1777"/>
    <w:rsid w:val="00FF19AE"/>
    <w:rsid w:val="00FF1ABB"/>
    <w:rsid w:val="00FF1B9C"/>
    <w:rsid w:val="00FF1CFA"/>
    <w:rsid w:val="00FF1D29"/>
    <w:rsid w:val="00FF1E63"/>
    <w:rsid w:val="00FF1F52"/>
    <w:rsid w:val="00FF24DB"/>
    <w:rsid w:val="00FF283D"/>
    <w:rsid w:val="00FF28BC"/>
    <w:rsid w:val="00FF2B87"/>
    <w:rsid w:val="00FF2C45"/>
    <w:rsid w:val="00FF2CD7"/>
    <w:rsid w:val="00FF2EC6"/>
    <w:rsid w:val="00FF2FF8"/>
    <w:rsid w:val="00FF3104"/>
    <w:rsid w:val="00FF3106"/>
    <w:rsid w:val="00FF3497"/>
    <w:rsid w:val="00FF34A4"/>
    <w:rsid w:val="00FF3B00"/>
    <w:rsid w:val="00FF3BDC"/>
    <w:rsid w:val="00FF3DA2"/>
    <w:rsid w:val="00FF4054"/>
    <w:rsid w:val="00FF421A"/>
    <w:rsid w:val="00FF43C5"/>
    <w:rsid w:val="00FF44F1"/>
    <w:rsid w:val="00FF45E6"/>
    <w:rsid w:val="00FF4726"/>
    <w:rsid w:val="00FF4760"/>
    <w:rsid w:val="00FF484F"/>
    <w:rsid w:val="00FF4AFE"/>
    <w:rsid w:val="00FF4B1B"/>
    <w:rsid w:val="00FF4C06"/>
    <w:rsid w:val="00FF4C21"/>
    <w:rsid w:val="00FF4CF2"/>
    <w:rsid w:val="00FF4D8C"/>
    <w:rsid w:val="00FF4E9D"/>
    <w:rsid w:val="00FF524F"/>
    <w:rsid w:val="00FF5282"/>
    <w:rsid w:val="00FF530C"/>
    <w:rsid w:val="00FF55A5"/>
    <w:rsid w:val="00FF57FA"/>
    <w:rsid w:val="00FF581F"/>
    <w:rsid w:val="00FF59A8"/>
    <w:rsid w:val="00FF59B7"/>
    <w:rsid w:val="00FF5A01"/>
    <w:rsid w:val="00FF5B5C"/>
    <w:rsid w:val="00FF5BCC"/>
    <w:rsid w:val="00FF5BD0"/>
    <w:rsid w:val="00FF5EDF"/>
    <w:rsid w:val="00FF60F4"/>
    <w:rsid w:val="00FF619B"/>
    <w:rsid w:val="00FF62E6"/>
    <w:rsid w:val="00FF63E1"/>
    <w:rsid w:val="00FF6427"/>
    <w:rsid w:val="00FF662F"/>
    <w:rsid w:val="00FF6689"/>
    <w:rsid w:val="00FF669C"/>
    <w:rsid w:val="00FF67EB"/>
    <w:rsid w:val="00FF6842"/>
    <w:rsid w:val="00FF6A8F"/>
    <w:rsid w:val="00FF6ACE"/>
    <w:rsid w:val="00FF6BBB"/>
    <w:rsid w:val="00FF6BD9"/>
    <w:rsid w:val="00FF6D73"/>
    <w:rsid w:val="00FF6E45"/>
    <w:rsid w:val="00FF6F45"/>
    <w:rsid w:val="00FF6F9F"/>
    <w:rsid w:val="00FF7038"/>
    <w:rsid w:val="00FF717C"/>
    <w:rsid w:val="00FF71C3"/>
    <w:rsid w:val="00FF7362"/>
    <w:rsid w:val="00FF76EC"/>
    <w:rsid w:val="00FF779D"/>
    <w:rsid w:val="00FF793D"/>
    <w:rsid w:val="00FF7ABE"/>
    <w:rsid w:val="00FF7D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rules v:ext="edit">
        <o:r id="V:Rule1" type="callout" idref="#AutoShape 110"/>
        <o:r id="V:Rule2" type="callout" idref="#AutoShape 109"/>
      </o:rules>
    </o:shapelayout>
  </w:shapeDefaults>
  <w:decimalSymbol w:val=","/>
  <w:listSeparator w:val=";"/>
  <w14:docId w14:val="5D8FB1E9"/>
  <w15:docId w15:val="{D99F5E1C-286B-4DD1-82A0-E1B5A73EC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63"/>
    <w:rPr>
      <w:sz w:val="24"/>
      <w:szCs w:val="24"/>
    </w:rPr>
  </w:style>
  <w:style w:type="paragraph" w:styleId="Nadpis1">
    <w:name w:val="heading 1"/>
    <w:aliases w:val="01_Heading 1"/>
    <w:basedOn w:val="Normlny"/>
    <w:next w:val="Normlny"/>
    <w:link w:val="Nadpis1Char"/>
    <w:uiPriority w:val="9"/>
    <w:qFormat/>
    <w:rsid w:val="00C1088B"/>
    <w:pPr>
      <w:keepNext/>
      <w:numPr>
        <w:numId w:val="1"/>
      </w:numPr>
      <w:pBdr>
        <w:bottom w:val="single" w:sz="4" w:space="1" w:color="1F497D" w:themeColor="text2"/>
      </w:pBdr>
      <w:tabs>
        <w:tab w:val="left" w:pos="709"/>
      </w:tabs>
      <w:spacing w:after="240"/>
      <w:outlineLvl w:val="0"/>
    </w:pPr>
    <w:rPr>
      <w:rFonts w:ascii="Arial Narrow" w:hAnsi="Arial Narrow" w:cs="Arial"/>
      <w:b/>
      <w:bCs/>
      <w:color w:val="1F497D" w:themeColor="text2"/>
      <w:kern w:val="32"/>
      <w:sz w:val="26"/>
      <w:szCs w:val="32"/>
    </w:rPr>
  </w:style>
  <w:style w:type="paragraph" w:styleId="Nadpis2">
    <w:name w:val="heading 2"/>
    <w:aliases w:val="02_Heading 2"/>
    <w:basedOn w:val="Normlny"/>
    <w:next w:val="Normlny"/>
    <w:link w:val="Nadpis2Char"/>
    <w:qFormat/>
    <w:rsid w:val="00765DFA"/>
    <w:pPr>
      <w:keepNext/>
      <w:numPr>
        <w:ilvl w:val="1"/>
        <w:numId w:val="1"/>
      </w:numPr>
      <w:tabs>
        <w:tab w:val="left" w:pos="709"/>
      </w:tabs>
      <w:spacing w:after="180"/>
      <w:outlineLvl w:val="1"/>
    </w:pPr>
    <w:rPr>
      <w:rFonts w:ascii="Arial Narrow" w:hAnsi="Arial Narrow" w:cs="Arial"/>
      <w:b/>
      <w:bCs/>
      <w:iCs/>
      <w:color w:val="4F81BD" w:themeColor="accent1"/>
      <w:sz w:val="23"/>
      <w:szCs w:val="28"/>
    </w:rPr>
  </w:style>
  <w:style w:type="paragraph" w:styleId="Nadpis3">
    <w:name w:val="heading 3"/>
    <w:aliases w:val="03_Heading 3"/>
    <w:basedOn w:val="Normlny"/>
    <w:next w:val="Normlny"/>
    <w:link w:val="Nadpis3Char"/>
    <w:qFormat/>
    <w:rsid w:val="00031E1D"/>
    <w:pPr>
      <w:keepNext/>
      <w:numPr>
        <w:ilvl w:val="2"/>
        <w:numId w:val="1"/>
      </w:numPr>
      <w:tabs>
        <w:tab w:val="left" w:pos="709"/>
      </w:tabs>
      <w:spacing w:before="180" w:after="120"/>
      <w:outlineLvl w:val="2"/>
    </w:pPr>
    <w:rPr>
      <w:rFonts w:ascii="Arial Narrow" w:hAnsi="Arial Narrow" w:cs="Arial"/>
      <w:b/>
      <w:bCs/>
      <w:color w:val="1F497D" w:themeColor="text2"/>
      <w:sz w:val="22"/>
      <w:szCs w:val="26"/>
    </w:rPr>
  </w:style>
  <w:style w:type="paragraph" w:styleId="Nadpis4">
    <w:name w:val="heading 4"/>
    <w:basedOn w:val="Normlny"/>
    <w:next w:val="Normlny"/>
    <w:link w:val="Nadpis4Char"/>
    <w:qFormat/>
    <w:rsid w:val="00740654"/>
    <w:pPr>
      <w:keepNext/>
      <w:numPr>
        <w:ilvl w:val="3"/>
        <w:numId w:val="1"/>
      </w:numPr>
      <w:tabs>
        <w:tab w:val="left" w:pos="709"/>
      </w:tabs>
      <w:spacing w:before="180" w:after="120"/>
      <w:outlineLvl w:val="3"/>
    </w:pPr>
    <w:rPr>
      <w:rFonts w:ascii="Arial Narrow" w:hAnsi="Arial Narrow"/>
      <w:b/>
      <w:bCs/>
      <w:i/>
      <w:color w:val="548DD4" w:themeColor="text2" w:themeTint="99"/>
      <w:sz w:val="22"/>
      <w:szCs w:val="28"/>
    </w:rPr>
  </w:style>
  <w:style w:type="paragraph" w:styleId="Nadpis5">
    <w:name w:val="heading 5"/>
    <w:aliases w:val="05_Heading 5"/>
    <w:basedOn w:val="Normlny"/>
    <w:next w:val="Normlny"/>
    <w:link w:val="Nadpis5Char"/>
    <w:qFormat/>
    <w:rsid w:val="008B0901"/>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rsid w:val="008B0901"/>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rsid w:val="008B0901"/>
    <w:pPr>
      <w:numPr>
        <w:ilvl w:val="6"/>
        <w:numId w:val="1"/>
      </w:numPr>
      <w:spacing w:before="240" w:after="60"/>
      <w:outlineLvl w:val="6"/>
    </w:pPr>
  </w:style>
  <w:style w:type="paragraph" w:styleId="Nadpis8">
    <w:name w:val="heading 8"/>
    <w:basedOn w:val="Normlny"/>
    <w:next w:val="Normlny"/>
    <w:link w:val="Nadpis8Char"/>
    <w:uiPriority w:val="9"/>
    <w:qFormat/>
    <w:rsid w:val="008B0901"/>
    <w:pPr>
      <w:numPr>
        <w:ilvl w:val="7"/>
        <w:numId w:val="1"/>
      </w:numPr>
      <w:spacing w:before="240" w:after="60"/>
      <w:outlineLvl w:val="7"/>
    </w:pPr>
    <w:rPr>
      <w:i/>
      <w:iCs/>
    </w:rPr>
  </w:style>
  <w:style w:type="paragraph" w:styleId="Nadpis9">
    <w:name w:val="heading 9"/>
    <w:basedOn w:val="Normlny"/>
    <w:next w:val="Normlny"/>
    <w:link w:val="Nadpis9Char"/>
    <w:uiPriority w:val="9"/>
    <w:qFormat/>
    <w:rsid w:val="008B0901"/>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1088B"/>
    <w:rPr>
      <w:rFonts w:ascii="Arial Narrow" w:hAnsi="Arial Narrow" w:cs="Arial"/>
      <w:b/>
      <w:bCs/>
      <w:color w:val="1F497D" w:themeColor="text2"/>
      <w:kern w:val="32"/>
      <w:sz w:val="26"/>
      <w:szCs w:val="32"/>
    </w:rPr>
  </w:style>
  <w:style w:type="paragraph" w:styleId="Obsah1">
    <w:name w:val="toc 1"/>
    <w:aliases w:val="Uroven_1"/>
    <w:basedOn w:val="Normlny"/>
    <w:next w:val="Normlny"/>
    <w:autoRedefine/>
    <w:uiPriority w:val="39"/>
    <w:qFormat/>
    <w:rsid w:val="00A61DDD"/>
    <w:pPr>
      <w:pBdr>
        <w:bottom w:val="single" w:sz="2" w:space="0" w:color="auto"/>
      </w:pBdr>
      <w:tabs>
        <w:tab w:val="left" w:pos="567"/>
        <w:tab w:val="left" w:pos="9072"/>
      </w:tabs>
      <w:spacing w:before="240" w:after="180"/>
      <w:ind w:left="567" w:hanging="567"/>
    </w:pPr>
    <w:rPr>
      <w:rFonts w:cs="Arial"/>
      <w:b/>
      <w:bCs/>
      <w:caps/>
      <w:noProof/>
      <w:color w:val="1F497D" w:themeColor="text2"/>
      <w:sz w:val="22"/>
    </w:rPr>
  </w:style>
  <w:style w:type="paragraph" w:styleId="Obsah2">
    <w:name w:val="toc 2"/>
    <w:basedOn w:val="Normlny"/>
    <w:next w:val="Normlny"/>
    <w:autoRedefine/>
    <w:uiPriority w:val="39"/>
    <w:qFormat/>
    <w:rsid w:val="00C1088B"/>
    <w:pPr>
      <w:tabs>
        <w:tab w:val="left" w:pos="567"/>
        <w:tab w:val="left" w:pos="9072"/>
      </w:tabs>
      <w:spacing w:before="180" w:after="120"/>
      <w:ind w:left="567" w:hanging="567"/>
    </w:pPr>
    <w:rPr>
      <w:b/>
      <w:bCs/>
      <w:sz w:val="23"/>
      <w:szCs w:val="20"/>
    </w:rPr>
  </w:style>
  <w:style w:type="paragraph" w:styleId="Obsah3">
    <w:name w:val="toc 3"/>
    <w:basedOn w:val="Normlny"/>
    <w:next w:val="Normlny"/>
    <w:autoRedefine/>
    <w:uiPriority w:val="39"/>
    <w:qFormat/>
    <w:rsid w:val="009A643C"/>
    <w:pPr>
      <w:tabs>
        <w:tab w:val="left" w:pos="1418"/>
        <w:tab w:val="left" w:pos="9072"/>
      </w:tabs>
      <w:ind w:left="1134" w:hanging="567"/>
    </w:pPr>
    <w:rPr>
      <w:noProof/>
      <w:sz w:val="22"/>
      <w:szCs w:val="20"/>
    </w:rPr>
  </w:style>
  <w:style w:type="paragraph" w:styleId="Pta">
    <w:name w:val="footer"/>
    <w:basedOn w:val="Normlny"/>
    <w:link w:val="PtaChar"/>
    <w:rsid w:val="00EE33DF"/>
    <w:pPr>
      <w:tabs>
        <w:tab w:val="center" w:pos="4536"/>
        <w:tab w:val="right" w:pos="9072"/>
      </w:tabs>
    </w:pPr>
  </w:style>
  <w:style w:type="paragraph" w:styleId="Zkladntext2">
    <w:name w:val="Body Text 2"/>
    <w:basedOn w:val="Normlny"/>
    <w:link w:val="Zkladntext2Char"/>
    <w:semiHidden/>
    <w:rsid w:val="00D72824"/>
    <w:pPr>
      <w:jc w:val="both"/>
    </w:pPr>
  </w:style>
  <w:style w:type="paragraph" w:styleId="Zkladntext">
    <w:name w:val="Body Text"/>
    <w:basedOn w:val="Normlny"/>
    <w:link w:val="ZkladntextChar"/>
    <w:uiPriority w:val="1"/>
    <w:qFormat/>
    <w:rsid w:val="00D72824"/>
    <w:pPr>
      <w:spacing w:after="120"/>
    </w:pPr>
  </w:style>
  <w:style w:type="paragraph" w:styleId="Hlavika">
    <w:name w:val="header"/>
    <w:basedOn w:val="Normlny"/>
    <w:link w:val="HlavikaChar"/>
    <w:uiPriority w:val="99"/>
    <w:rsid w:val="00710F2E"/>
    <w:pPr>
      <w:tabs>
        <w:tab w:val="center" w:pos="4536"/>
        <w:tab w:val="right" w:pos="9072"/>
      </w:tabs>
    </w:pPr>
  </w:style>
  <w:style w:type="paragraph" w:styleId="Textbubliny">
    <w:name w:val="Balloon Text"/>
    <w:basedOn w:val="Normlny"/>
    <w:link w:val="TextbublinyChar"/>
    <w:autoRedefine/>
    <w:uiPriority w:val="99"/>
    <w:semiHidden/>
    <w:rsid w:val="00C37958"/>
    <w:rPr>
      <w:rFonts w:ascii="Tahoma" w:hAnsi="Tahoma" w:cs="Tahoma"/>
      <w:sz w:val="28"/>
      <w:szCs w:val="16"/>
    </w:rPr>
  </w:style>
  <w:style w:type="paragraph" w:customStyle="1" w:styleId="Styl1">
    <w:name w:val="Styl1"/>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2">
    <w:name w:val="Styl2"/>
    <w:basedOn w:val="Normlny"/>
    <w:semiHidden/>
    <w:rsid w:val="00C37958"/>
    <w:pPr>
      <w:pageBreakBefore/>
      <w:widowControl w:val="0"/>
      <w:tabs>
        <w:tab w:val="left" w:pos="1792"/>
      </w:tabs>
      <w:adjustRightInd w:val="0"/>
      <w:ind w:left="1418" w:hanging="1418"/>
      <w:jc w:val="both"/>
      <w:textAlignment w:val="baseline"/>
    </w:pPr>
    <w:rPr>
      <w:b/>
      <w:sz w:val="28"/>
      <w:szCs w:val="28"/>
    </w:rPr>
  </w:style>
  <w:style w:type="paragraph" w:customStyle="1" w:styleId="Styl4">
    <w:name w:val="Styl4"/>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uvod">
    <w:name w:val="uvod"/>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5">
    <w:name w:val="Styl5"/>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Specificky">
    <w:name w:val="Specificky"/>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styleId="Obsah4">
    <w:name w:val="toc 4"/>
    <w:basedOn w:val="Normlny"/>
    <w:next w:val="Normlny"/>
    <w:autoRedefine/>
    <w:uiPriority w:val="39"/>
    <w:rsid w:val="00486EB9"/>
    <w:pPr>
      <w:tabs>
        <w:tab w:val="left" w:pos="567"/>
        <w:tab w:val="left" w:pos="9072"/>
      </w:tabs>
      <w:ind w:left="1134" w:hanging="567"/>
    </w:pPr>
    <w:rPr>
      <w:sz w:val="22"/>
      <w:szCs w:val="20"/>
    </w:rPr>
  </w:style>
  <w:style w:type="table" w:styleId="Mriekatabuky">
    <w:name w:val="Table Grid"/>
    <w:aliases w:val="Deloitte table 3"/>
    <w:basedOn w:val="Normlnatabuka"/>
    <w:rsid w:val="00C37958"/>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_Poznámka pod čiarou,Text poznámky pod èiarou 007,Stinking Styles2,Tekst przypisu- dokt,Char Char Char,Char Char Char Char Char Char Char Char Char,Char Char Ch,Car"/>
    <w:basedOn w:val="Normlny"/>
    <w:link w:val="TextpoznmkypodiarouChar"/>
    <w:uiPriority w:val="99"/>
    <w:rsid w:val="00C37958"/>
    <w:rPr>
      <w:sz w:val="20"/>
      <w:szCs w:val="20"/>
    </w:rPr>
  </w:style>
  <w:style w:type="paragraph" w:customStyle="1" w:styleId="TableText">
    <w:name w:val="Table Text"/>
    <w:basedOn w:val="Normlny"/>
    <w:semiHidden/>
    <w:rsid w:val="00C37958"/>
    <w:pPr>
      <w:spacing w:before="60"/>
    </w:pPr>
    <w:rPr>
      <w:rFonts w:ascii="Arial" w:hAnsi="Arial"/>
      <w:spacing w:val="-5"/>
      <w:sz w:val="16"/>
      <w:szCs w:val="20"/>
      <w:lang w:val="en-US" w:eastAsia="en-US"/>
    </w:rPr>
  </w:style>
  <w:style w:type="paragraph" w:styleId="Popis">
    <w:name w:val="caption"/>
    <w:basedOn w:val="Normlny"/>
    <w:next w:val="Zkladntext"/>
    <w:qFormat/>
    <w:rsid w:val="00C37958"/>
    <w:pPr>
      <w:keepNext/>
      <w:spacing w:before="60" w:after="240" w:line="220" w:lineRule="atLeast"/>
      <w:ind w:left="1134"/>
    </w:pPr>
    <w:rPr>
      <w:rFonts w:ascii="Arial Narrow" w:hAnsi="Arial Narrow"/>
      <w:sz w:val="18"/>
      <w:szCs w:val="20"/>
      <w:lang w:val="en-GB" w:eastAsia="en-US"/>
    </w:rPr>
  </w:style>
  <w:style w:type="paragraph" w:customStyle="1" w:styleId="Odrka1">
    <w:name w:val="Odráka 1"/>
    <w:basedOn w:val="Normlny"/>
    <w:semiHidden/>
    <w:rsid w:val="00C37958"/>
    <w:pPr>
      <w:widowControl w:val="0"/>
      <w:spacing w:before="60" w:line="240" w:lineRule="atLeast"/>
      <w:ind w:left="284" w:hanging="284"/>
      <w:jc w:val="both"/>
    </w:pPr>
    <w:rPr>
      <w:rFonts w:ascii="Arial" w:hAnsi="Arial"/>
      <w:szCs w:val="20"/>
      <w:lang w:eastAsia="cs-CZ"/>
    </w:rPr>
  </w:style>
  <w:style w:type="paragraph" w:styleId="Textkomentra">
    <w:name w:val="annotation text"/>
    <w:basedOn w:val="Normlny"/>
    <w:link w:val="TextkomentraChar"/>
    <w:uiPriority w:val="99"/>
    <w:rsid w:val="00C37958"/>
    <w:rPr>
      <w:sz w:val="20"/>
      <w:szCs w:val="20"/>
    </w:rPr>
  </w:style>
  <w:style w:type="paragraph" w:styleId="Predmetkomentra">
    <w:name w:val="annotation subject"/>
    <w:basedOn w:val="Textkomentra"/>
    <w:next w:val="Textkomentra"/>
    <w:link w:val="PredmetkomentraChar"/>
    <w:semiHidden/>
    <w:rsid w:val="00C37958"/>
    <w:rPr>
      <w:b/>
      <w:bCs/>
    </w:rPr>
  </w:style>
  <w:style w:type="paragraph" w:styleId="Obsah5">
    <w:name w:val="toc 5"/>
    <w:basedOn w:val="Normlny"/>
    <w:next w:val="Normlny"/>
    <w:autoRedefine/>
    <w:uiPriority w:val="39"/>
    <w:rsid w:val="007F1F71"/>
    <w:pPr>
      <w:tabs>
        <w:tab w:val="left" w:pos="567"/>
        <w:tab w:val="left" w:pos="9072"/>
      </w:tabs>
      <w:ind w:left="567"/>
    </w:pPr>
    <w:rPr>
      <w:b/>
      <w:sz w:val="23"/>
      <w:szCs w:val="20"/>
    </w:rPr>
  </w:style>
  <w:style w:type="paragraph" w:styleId="Obsah6">
    <w:name w:val="toc 6"/>
    <w:basedOn w:val="Normlny"/>
    <w:next w:val="Normlny"/>
    <w:autoRedefine/>
    <w:uiPriority w:val="39"/>
    <w:rsid w:val="00C37958"/>
    <w:pPr>
      <w:ind w:left="960"/>
    </w:pPr>
    <w:rPr>
      <w:sz w:val="20"/>
      <w:szCs w:val="20"/>
    </w:rPr>
  </w:style>
  <w:style w:type="paragraph" w:styleId="Obsah7">
    <w:name w:val="toc 7"/>
    <w:basedOn w:val="Normlny"/>
    <w:next w:val="Normlny"/>
    <w:autoRedefine/>
    <w:uiPriority w:val="39"/>
    <w:rsid w:val="00C37958"/>
    <w:pPr>
      <w:ind w:left="1200"/>
    </w:pPr>
    <w:rPr>
      <w:sz w:val="20"/>
      <w:szCs w:val="20"/>
    </w:rPr>
  </w:style>
  <w:style w:type="paragraph" w:styleId="Obsah8">
    <w:name w:val="toc 8"/>
    <w:basedOn w:val="Normlny"/>
    <w:next w:val="Normlny"/>
    <w:autoRedefine/>
    <w:uiPriority w:val="39"/>
    <w:rsid w:val="00C37958"/>
    <w:pPr>
      <w:ind w:left="1440"/>
    </w:pPr>
    <w:rPr>
      <w:sz w:val="20"/>
      <w:szCs w:val="20"/>
    </w:rPr>
  </w:style>
  <w:style w:type="paragraph" w:styleId="Obsah9">
    <w:name w:val="toc 9"/>
    <w:basedOn w:val="Normlny"/>
    <w:next w:val="Normlny"/>
    <w:autoRedefine/>
    <w:uiPriority w:val="39"/>
    <w:rsid w:val="00C37958"/>
    <w:pPr>
      <w:ind w:left="1680"/>
    </w:pPr>
    <w:rPr>
      <w:sz w:val="20"/>
      <w:szCs w:val="20"/>
    </w:rPr>
  </w:style>
  <w:style w:type="table" w:customStyle="1" w:styleId="Mkatabulky1">
    <w:name w:val="Mřížka tabulky1"/>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semiHidden/>
    <w:rsid w:val="00C379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arkazkladnhotextu">
    <w:name w:val="Body Text Indent"/>
    <w:basedOn w:val="Normlny"/>
    <w:link w:val="ZarkazkladnhotextuChar"/>
    <w:semiHidden/>
    <w:rsid w:val="00C37958"/>
    <w:pPr>
      <w:spacing w:after="120"/>
      <w:ind w:left="283"/>
    </w:pPr>
  </w:style>
  <w:style w:type="table" w:customStyle="1" w:styleId="Mkatabulky5">
    <w:name w:val="Mřížka tabulky5"/>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
    <w:basedOn w:val="Normlny"/>
    <w:semiHidden/>
    <w:rsid w:val="00C37958"/>
    <w:pPr>
      <w:jc w:val="both"/>
    </w:pPr>
    <w:rPr>
      <w:rFonts w:ascii="Arial" w:hAnsi="Arial"/>
      <w:spacing w:val="-5"/>
      <w:sz w:val="20"/>
      <w:szCs w:val="20"/>
      <w:lang w:val="en-GB" w:eastAsia="en-US"/>
    </w:rPr>
  </w:style>
  <w:style w:type="paragraph" w:customStyle="1" w:styleId="Odstav-neod">
    <w:name w:val="Odstav-neod"/>
    <w:basedOn w:val="Normlny"/>
    <w:semiHidden/>
    <w:rsid w:val="00C37958"/>
    <w:pPr>
      <w:jc w:val="both"/>
    </w:pPr>
    <w:rPr>
      <w:rFonts w:cs="Mangal"/>
      <w:lang w:eastAsia="cs-CZ" w:bidi="sa-IN"/>
    </w:rPr>
  </w:style>
  <w:style w:type="paragraph" w:customStyle="1" w:styleId="Odrky">
    <w:name w:val="Odrážky"/>
    <w:basedOn w:val="Normlny"/>
    <w:semiHidden/>
    <w:rsid w:val="00C37958"/>
    <w:pPr>
      <w:tabs>
        <w:tab w:val="left" w:pos="360"/>
        <w:tab w:val="num" w:pos="720"/>
      </w:tabs>
      <w:spacing w:before="120"/>
      <w:ind w:left="720" w:hanging="360"/>
      <w:jc w:val="both"/>
    </w:pPr>
    <w:rPr>
      <w:szCs w:val="20"/>
      <w:lang w:val="cs-CZ" w:eastAsia="cs-CZ"/>
    </w:rPr>
  </w:style>
  <w:style w:type="paragraph" w:customStyle="1" w:styleId="slnormal12">
    <w:name w:val="slnormal12"/>
    <w:basedOn w:val="Normlny"/>
    <w:semiHidden/>
    <w:rsid w:val="00C37958"/>
    <w:pPr>
      <w:widowControl w:val="0"/>
      <w:spacing w:before="120"/>
    </w:pPr>
    <w:rPr>
      <w:snapToGrid w:val="0"/>
      <w:szCs w:val="20"/>
      <w:lang w:eastAsia="en-US"/>
    </w:rPr>
  </w:style>
  <w:style w:type="paragraph" w:customStyle="1" w:styleId="tlRiadkovanie15riadka">
    <w:name w:val="Štýl Riadkovanie:  15 riadka"/>
    <w:basedOn w:val="Normlny"/>
    <w:semiHidden/>
    <w:rsid w:val="00C37958"/>
    <w:pPr>
      <w:spacing w:after="120" w:line="360" w:lineRule="auto"/>
      <w:jc w:val="both"/>
    </w:pPr>
    <w:rPr>
      <w:rFonts w:ascii="Arial" w:hAnsi="Arial"/>
      <w:sz w:val="22"/>
      <w:szCs w:val="20"/>
    </w:rPr>
  </w:style>
  <w:style w:type="paragraph" w:customStyle="1" w:styleId="tlArial11ptPodaokrajaRiadkovanie15riadka">
    <w:name w:val="Štýl Arial 11 pt Podľa okraja Riadkovanie:  15 riadka"/>
    <w:basedOn w:val="Normlny"/>
    <w:semiHidden/>
    <w:rsid w:val="00C37958"/>
    <w:pPr>
      <w:spacing w:after="120" w:line="360" w:lineRule="auto"/>
      <w:jc w:val="both"/>
    </w:pPr>
    <w:rPr>
      <w:rFonts w:ascii="Arial" w:hAnsi="Arial"/>
      <w:sz w:val="22"/>
      <w:szCs w:val="20"/>
    </w:rPr>
  </w:style>
  <w:style w:type="paragraph" w:customStyle="1" w:styleId="EntRefer">
    <w:name w:val="EntRefer"/>
    <w:basedOn w:val="Normlny"/>
    <w:semiHidden/>
    <w:rsid w:val="00C37958"/>
    <w:pPr>
      <w:widowControl w:val="0"/>
    </w:pPr>
    <w:rPr>
      <w:b/>
      <w:szCs w:val="20"/>
      <w:lang w:eastAsia="fr-BE"/>
    </w:rPr>
  </w:style>
  <w:style w:type="paragraph" w:customStyle="1" w:styleId="Point0">
    <w:name w:val="Point 0"/>
    <w:basedOn w:val="Normlny"/>
    <w:semiHidden/>
    <w:rsid w:val="00C37958"/>
    <w:pPr>
      <w:spacing w:before="120" w:after="120"/>
      <w:ind w:left="851" w:hanging="851"/>
      <w:jc w:val="both"/>
    </w:pPr>
    <w:rPr>
      <w:szCs w:val="20"/>
      <w:lang w:eastAsia="fr-BE"/>
    </w:rPr>
  </w:style>
  <w:style w:type="paragraph" w:customStyle="1" w:styleId="EntLogo">
    <w:name w:val="EntLogo"/>
    <w:basedOn w:val="Normlny"/>
    <w:next w:val="Normlny"/>
    <w:semiHidden/>
    <w:rsid w:val="00C37958"/>
    <w:pPr>
      <w:widowControl w:val="0"/>
      <w:spacing w:line="360" w:lineRule="auto"/>
    </w:pPr>
    <w:rPr>
      <w:b/>
      <w:szCs w:val="20"/>
      <w:lang w:eastAsia="fr-BE"/>
    </w:rPr>
  </w:style>
  <w:style w:type="paragraph" w:styleId="Zkladntext3">
    <w:name w:val="Body Text 3"/>
    <w:basedOn w:val="Normlny"/>
    <w:link w:val="Zkladntext3Char"/>
    <w:semiHidden/>
    <w:rsid w:val="00C37958"/>
    <w:pPr>
      <w:spacing w:after="120"/>
    </w:pPr>
    <w:rPr>
      <w:sz w:val="16"/>
      <w:szCs w:val="16"/>
      <w:lang w:eastAsia="cs-CZ"/>
    </w:rPr>
  </w:style>
  <w:style w:type="paragraph" w:customStyle="1" w:styleId="BodyText22">
    <w:name w:val="Body Text 22"/>
    <w:basedOn w:val="Normlny"/>
    <w:semiHidden/>
    <w:rsid w:val="00C37958"/>
    <w:pPr>
      <w:widowControl w:val="0"/>
      <w:jc w:val="both"/>
    </w:pPr>
    <w:rPr>
      <w:snapToGrid w:val="0"/>
      <w:szCs w:val="20"/>
      <w:lang w:eastAsia="cs-CZ"/>
    </w:rPr>
  </w:style>
  <w:style w:type="paragraph" w:customStyle="1" w:styleId="Zkladntextb">
    <w:name w:val="Základný text.b"/>
    <w:basedOn w:val="Normlny"/>
    <w:semiHidden/>
    <w:rsid w:val="00C37958"/>
    <w:pPr>
      <w:autoSpaceDE w:val="0"/>
      <w:autoSpaceDN w:val="0"/>
      <w:spacing w:after="240" w:line="240" w:lineRule="atLeast"/>
      <w:ind w:left="1134"/>
      <w:jc w:val="both"/>
    </w:pPr>
    <w:rPr>
      <w:rFonts w:ascii="Arial" w:hAnsi="Arial"/>
      <w:spacing w:val="-5"/>
      <w:sz w:val="20"/>
      <w:szCs w:val="20"/>
      <w:lang w:val="en-GB" w:eastAsia="en-US"/>
    </w:rPr>
  </w:style>
  <w:style w:type="paragraph" w:styleId="Zoznamsodrkami">
    <w:name w:val="List Bullet"/>
    <w:basedOn w:val="Zoznam"/>
    <w:autoRedefine/>
    <w:semiHidden/>
    <w:rsid w:val="00C37958"/>
    <w:pPr>
      <w:spacing w:after="120" w:line="240" w:lineRule="atLeast"/>
      <w:ind w:left="360" w:firstLine="0"/>
      <w:jc w:val="both"/>
    </w:pPr>
    <w:rPr>
      <w:b/>
      <w:spacing w:val="-5"/>
      <w:lang w:eastAsia="en-US"/>
    </w:rPr>
  </w:style>
  <w:style w:type="paragraph" w:styleId="Zoznam">
    <w:name w:val="List"/>
    <w:basedOn w:val="Normlny"/>
    <w:semiHidden/>
    <w:rsid w:val="00C37958"/>
    <w:pPr>
      <w:ind w:left="283" w:hanging="283"/>
    </w:pPr>
  </w:style>
  <w:style w:type="paragraph" w:styleId="Normlnywebov">
    <w:name w:val="Normal (Web)"/>
    <w:basedOn w:val="Normlny"/>
    <w:uiPriority w:val="99"/>
    <w:rsid w:val="00C37958"/>
    <w:pPr>
      <w:spacing w:before="100" w:beforeAutospacing="1" w:after="100" w:afterAutospacing="1"/>
    </w:pPr>
    <w:rPr>
      <w:rFonts w:ascii="Verdana" w:hAnsi="Verdana"/>
      <w:color w:val="000000"/>
      <w:sz w:val="17"/>
      <w:szCs w:val="17"/>
      <w:lang w:val="cs-CZ" w:eastAsia="cs-CZ"/>
    </w:rPr>
  </w:style>
  <w:style w:type="paragraph" w:customStyle="1" w:styleId="Odstavec">
    <w:name w:val="Odstavec"/>
    <w:basedOn w:val="Normlny"/>
    <w:semiHidden/>
    <w:rsid w:val="00C37958"/>
    <w:pPr>
      <w:spacing w:before="120" w:after="20" w:line="276" w:lineRule="auto"/>
      <w:ind w:firstLine="709"/>
      <w:jc w:val="both"/>
    </w:pPr>
    <w:rPr>
      <w:lang w:val="cs-CZ" w:eastAsia="cs-CZ"/>
    </w:rPr>
  </w:style>
  <w:style w:type="character" w:customStyle="1" w:styleId="bChar3">
    <w:name w:val="b Char3"/>
    <w:aliases w:val="Základní text1 Char2,b Char Char Char Char3,b2,Základní text1 Char Char Char4,b Char Char Char Char4"/>
    <w:basedOn w:val="Predvolenpsmoodseku"/>
    <w:semiHidden/>
    <w:rsid w:val="00C37958"/>
    <w:rPr>
      <w:rFonts w:ascii="Arial" w:hAnsi="Arial"/>
      <w:bCs/>
      <w:sz w:val="22"/>
      <w:szCs w:val="22"/>
      <w:lang w:val="en-GB" w:eastAsia="en-US" w:bidi="ar-SA"/>
    </w:rPr>
  </w:style>
  <w:style w:type="table" w:customStyle="1" w:styleId="Mkatabulky7">
    <w:name w:val="Mřížka tabulky7"/>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odstavec"/>
    <w:basedOn w:val="Normlny"/>
    <w:link w:val="NormlnodstavecChar"/>
    <w:semiHidden/>
    <w:rsid w:val="00C37958"/>
    <w:pPr>
      <w:widowControl w:val="0"/>
      <w:numPr>
        <w:ilvl w:val="12"/>
      </w:numPr>
      <w:adjustRightInd w:val="0"/>
      <w:spacing w:before="120" w:line="240" w:lineRule="atLeast"/>
      <w:ind w:firstLine="708"/>
      <w:jc w:val="both"/>
      <w:textAlignment w:val="baseline"/>
    </w:pPr>
    <w:rPr>
      <w:snapToGrid w:val="0"/>
      <w:szCs w:val="20"/>
      <w:lang w:eastAsia="cs-CZ"/>
    </w:rPr>
  </w:style>
  <w:style w:type="table" w:customStyle="1" w:styleId="TabulkaPalik">
    <w:name w:val="Tabulka_Palik"/>
    <w:basedOn w:val="Normlnatabuka"/>
    <w:semiHidden/>
    <w:rsid w:val="00C37958"/>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style>
  <w:style w:type="paragraph" w:styleId="truktradokumentu">
    <w:name w:val="Document Map"/>
    <w:basedOn w:val="Normlny"/>
    <w:link w:val="truktradokumentuChar"/>
    <w:semiHidden/>
    <w:rsid w:val="00C37958"/>
    <w:pPr>
      <w:shd w:val="clear" w:color="auto" w:fill="000080"/>
    </w:pPr>
    <w:rPr>
      <w:rFonts w:ascii="Tahoma" w:hAnsi="Tahoma" w:cs="Tahoma"/>
      <w:sz w:val="20"/>
      <w:szCs w:val="20"/>
    </w:rPr>
  </w:style>
  <w:style w:type="paragraph" w:styleId="Register1">
    <w:name w:val="index 1"/>
    <w:basedOn w:val="Normlny"/>
    <w:next w:val="Normlny"/>
    <w:autoRedefine/>
    <w:semiHidden/>
    <w:rsid w:val="00906DAF"/>
    <w:pPr>
      <w:ind w:left="240" w:hanging="240"/>
    </w:pPr>
  </w:style>
  <w:style w:type="character" w:styleId="slostrany">
    <w:name w:val="page number"/>
    <w:basedOn w:val="Predvolenpsmoodseku"/>
    <w:rsid w:val="007212D8"/>
  </w:style>
  <w:style w:type="character" w:styleId="Hypertextovprepojenie">
    <w:name w:val="Hyperlink"/>
    <w:basedOn w:val="Predvolenpsmoodseku"/>
    <w:uiPriority w:val="99"/>
    <w:rsid w:val="00906DAF"/>
    <w:rPr>
      <w:color w:val="0000FF"/>
      <w:u w:val="single"/>
    </w:rPr>
  </w:style>
  <w:style w:type="paragraph" w:customStyle="1" w:styleId="Normaltext">
    <w:name w:val="Normal text"/>
    <w:rsid w:val="00BE5915"/>
    <w:pPr>
      <w:spacing w:before="120" w:after="120"/>
      <w:jc w:val="both"/>
    </w:pPr>
    <w:rPr>
      <w:rFonts w:ascii="Arial" w:hAnsi="Arial"/>
      <w:szCs w:val="22"/>
      <w:lang w:eastAsia="en-US"/>
    </w:rPr>
  </w:style>
  <w:style w:type="character" w:styleId="Odkaznapoznmkupodiarou">
    <w:name w:val="footnote reference"/>
    <w:aliases w:val="Times 10 Point,Exposant 3 Point,Footnote symbol,Footnote number,Footnote Reference Number,Footnote reference number,Footnote Reference Superscript,EN Footnote Reference,note TESI,Voetnootverwijzing,fr,o,FR,FR1,Footnot,Ref"/>
    <w:basedOn w:val="Predvolenpsmoodseku"/>
    <w:uiPriority w:val="99"/>
    <w:rsid w:val="00274604"/>
    <w:rPr>
      <w:vertAlign w:val="superscript"/>
    </w:rPr>
  </w:style>
  <w:style w:type="paragraph" w:customStyle="1" w:styleId="NzovTabuky">
    <w:name w:val="Názov Tabuľky"/>
    <w:basedOn w:val="Normlnodstavec"/>
    <w:next w:val="Normaltext"/>
    <w:link w:val="NzovTabukyCharChar"/>
    <w:rsid w:val="00535F4D"/>
    <w:pPr>
      <w:numPr>
        <w:ilvl w:val="0"/>
        <w:numId w:val="2"/>
      </w:numPr>
      <w:tabs>
        <w:tab w:val="left" w:pos="342"/>
        <w:tab w:val="left" w:pos="851"/>
      </w:tabs>
      <w:spacing w:before="240" w:after="120" w:line="240" w:lineRule="auto"/>
    </w:pPr>
    <w:rPr>
      <w:sz w:val="23"/>
      <w:szCs w:val="23"/>
    </w:rPr>
  </w:style>
  <w:style w:type="paragraph" w:styleId="Zoznamobrzkov">
    <w:name w:val="table of figures"/>
    <w:basedOn w:val="Normlny"/>
    <w:next w:val="Normlny"/>
    <w:uiPriority w:val="99"/>
    <w:rsid w:val="00BB12B0"/>
    <w:pPr>
      <w:tabs>
        <w:tab w:val="left" w:pos="567"/>
        <w:tab w:val="left" w:leader="dot" w:pos="9356"/>
      </w:tabs>
      <w:ind w:left="851" w:hanging="851"/>
    </w:pPr>
    <w:rPr>
      <w:sz w:val="23"/>
    </w:rPr>
  </w:style>
  <w:style w:type="character" w:customStyle="1" w:styleId="NormlnodstavecChar">
    <w:name w:val="Normální odstavec Char"/>
    <w:basedOn w:val="Predvolenpsmoodseku"/>
    <w:link w:val="Normlnodstavec"/>
    <w:rsid w:val="006B6C74"/>
    <w:rPr>
      <w:snapToGrid w:val="0"/>
      <w:sz w:val="24"/>
      <w:lang w:val="sk-SK" w:eastAsia="cs-CZ" w:bidi="ar-SA"/>
    </w:rPr>
  </w:style>
  <w:style w:type="character" w:customStyle="1" w:styleId="NzovTabukyCharChar">
    <w:name w:val="Názov Tabuľky Char Char"/>
    <w:basedOn w:val="NormlnodstavecChar"/>
    <w:link w:val="NzovTabuky"/>
    <w:rsid w:val="00535F4D"/>
    <w:rPr>
      <w:snapToGrid w:val="0"/>
      <w:sz w:val="23"/>
      <w:szCs w:val="23"/>
      <w:lang w:val="sk-SK" w:eastAsia="cs-CZ" w:bidi="ar-SA"/>
    </w:rPr>
  </w:style>
  <w:style w:type="character" w:styleId="Odkaznakomentr">
    <w:name w:val="annotation reference"/>
    <w:basedOn w:val="Predvolenpsmoodseku"/>
    <w:rsid w:val="00512ACC"/>
    <w:rPr>
      <w:sz w:val="16"/>
      <w:szCs w:val="16"/>
    </w:rPr>
  </w:style>
  <w:style w:type="paragraph" w:styleId="Register9">
    <w:name w:val="index 9"/>
    <w:basedOn w:val="Normlny"/>
    <w:next w:val="Normlny"/>
    <w:autoRedefine/>
    <w:semiHidden/>
    <w:rsid w:val="00C221CD"/>
    <w:pPr>
      <w:ind w:left="2160" w:hanging="240"/>
    </w:pPr>
  </w:style>
  <w:style w:type="paragraph" w:customStyle="1" w:styleId="Char">
    <w:name w:val="Char"/>
    <w:basedOn w:val="Normlny"/>
    <w:rsid w:val="00E25C29"/>
    <w:pPr>
      <w:spacing w:after="160" w:line="240" w:lineRule="exact"/>
      <w:ind w:firstLine="720"/>
    </w:pPr>
    <w:rPr>
      <w:rFonts w:ascii="Tahoma" w:hAnsi="Tahoma"/>
      <w:sz w:val="20"/>
      <w:szCs w:val="20"/>
      <w:lang w:val="en-US" w:eastAsia="en-US"/>
    </w:rPr>
  </w:style>
  <w:style w:type="paragraph" w:customStyle="1" w:styleId="NzovObrzku">
    <w:name w:val="Názov Obrázku"/>
    <w:basedOn w:val="Normlnodstavec"/>
    <w:link w:val="NzovObrzkuChar"/>
    <w:rsid w:val="00A02463"/>
    <w:pPr>
      <w:numPr>
        <w:ilvl w:val="0"/>
        <w:numId w:val="3"/>
      </w:numPr>
      <w:tabs>
        <w:tab w:val="left" w:pos="0"/>
        <w:tab w:val="left" w:pos="342"/>
        <w:tab w:val="left" w:pos="851"/>
      </w:tabs>
      <w:spacing w:before="240" w:after="120" w:line="240" w:lineRule="auto"/>
    </w:pPr>
    <w:rPr>
      <w:sz w:val="23"/>
      <w:szCs w:val="23"/>
    </w:rPr>
  </w:style>
  <w:style w:type="paragraph" w:customStyle="1" w:styleId="tlZkladntextVavo">
    <w:name w:val="Štýl Základný text + Vľavo"/>
    <w:basedOn w:val="Normlny"/>
    <w:rsid w:val="00516FD2"/>
    <w:pPr>
      <w:numPr>
        <w:numId w:val="4"/>
      </w:numPr>
    </w:pPr>
  </w:style>
  <w:style w:type="paragraph" w:customStyle="1" w:styleId="CharCharCharChar">
    <w:name w:val="Char Char Char Char"/>
    <w:basedOn w:val="Normlny"/>
    <w:rsid w:val="004D51ED"/>
    <w:pPr>
      <w:spacing w:after="160" w:line="240" w:lineRule="exact"/>
    </w:pPr>
    <w:rPr>
      <w:rFonts w:ascii="Tahoma" w:hAnsi="Tahoma" w:cs="Tahoma"/>
      <w:sz w:val="20"/>
      <w:szCs w:val="20"/>
      <w:lang w:val="en-US" w:eastAsia="en-US"/>
    </w:rPr>
  </w:style>
  <w:style w:type="table" w:customStyle="1" w:styleId="Mkatabulky10">
    <w:name w:val="Mřížka tabulky10"/>
    <w:basedOn w:val="Normlnatabuka"/>
    <w:next w:val="Mriekatabuky"/>
    <w:rsid w:val="00360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lny"/>
    <w:rsid w:val="00174963"/>
    <w:pPr>
      <w:spacing w:after="160" w:line="240" w:lineRule="exact"/>
    </w:pPr>
    <w:rPr>
      <w:rFonts w:ascii="Tahoma" w:hAnsi="Tahoma"/>
      <w:sz w:val="20"/>
      <w:szCs w:val="20"/>
      <w:lang w:val="en-US" w:eastAsia="en-US"/>
    </w:rPr>
  </w:style>
  <w:style w:type="paragraph" w:customStyle="1" w:styleId="ListNumber1">
    <w:name w:val="List Number 1"/>
    <w:basedOn w:val="Normlny"/>
    <w:rsid w:val="0048556D"/>
    <w:pPr>
      <w:widowControl w:val="0"/>
      <w:numPr>
        <w:numId w:val="5"/>
      </w:numPr>
      <w:adjustRightInd w:val="0"/>
      <w:spacing w:after="240" w:line="360" w:lineRule="atLeast"/>
      <w:jc w:val="both"/>
      <w:textAlignment w:val="baseline"/>
    </w:pPr>
    <w:rPr>
      <w:szCs w:val="20"/>
      <w:lang w:val="en-GB" w:eastAsia="en-US"/>
    </w:rPr>
  </w:style>
  <w:style w:type="paragraph" w:customStyle="1" w:styleId="ListNumber1Level2">
    <w:name w:val="List Number 1 (Level 2)"/>
    <w:basedOn w:val="Normlny"/>
    <w:rsid w:val="0048556D"/>
    <w:pPr>
      <w:widowControl w:val="0"/>
      <w:numPr>
        <w:ilvl w:val="1"/>
        <w:numId w:val="5"/>
      </w:numPr>
      <w:adjustRightInd w:val="0"/>
      <w:spacing w:after="240" w:line="360" w:lineRule="atLeast"/>
      <w:jc w:val="both"/>
      <w:textAlignment w:val="baseline"/>
    </w:pPr>
    <w:rPr>
      <w:szCs w:val="20"/>
      <w:lang w:val="en-GB" w:eastAsia="en-US"/>
    </w:rPr>
  </w:style>
  <w:style w:type="paragraph" w:customStyle="1" w:styleId="ListNumber1Level3">
    <w:name w:val="List Number 1 (Level 3)"/>
    <w:basedOn w:val="Normlny"/>
    <w:rsid w:val="0048556D"/>
    <w:pPr>
      <w:widowControl w:val="0"/>
      <w:numPr>
        <w:ilvl w:val="2"/>
        <w:numId w:val="5"/>
      </w:numPr>
      <w:adjustRightInd w:val="0"/>
      <w:spacing w:after="240" w:line="360" w:lineRule="atLeast"/>
      <w:jc w:val="both"/>
      <w:textAlignment w:val="baseline"/>
    </w:pPr>
    <w:rPr>
      <w:szCs w:val="20"/>
      <w:lang w:val="en-GB" w:eastAsia="en-US"/>
    </w:rPr>
  </w:style>
  <w:style w:type="paragraph" w:customStyle="1" w:styleId="ListNumber1Level4">
    <w:name w:val="List Number 1 (Level 4)"/>
    <w:basedOn w:val="Normlny"/>
    <w:rsid w:val="0048556D"/>
    <w:pPr>
      <w:widowControl w:val="0"/>
      <w:numPr>
        <w:ilvl w:val="3"/>
        <w:numId w:val="5"/>
      </w:numPr>
      <w:adjustRightInd w:val="0"/>
      <w:spacing w:after="240" w:line="360" w:lineRule="atLeast"/>
      <w:jc w:val="both"/>
      <w:textAlignment w:val="baseline"/>
    </w:pPr>
    <w:rPr>
      <w:szCs w:val="20"/>
      <w:lang w:val="en-GB"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y"/>
    <w:rsid w:val="004309E8"/>
    <w:pPr>
      <w:widowControl w:val="0"/>
      <w:adjustRightInd w:val="0"/>
      <w:spacing w:after="160" w:line="240" w:lineRule="exact"/>
      <w:jc w:val="both"/>
      <w:textAlignment w:val="baseline"/>
    </w:pPr>
    <w:rPr>
      <w:rFonts w:ascii="Tahoma" w:hAnsi="Tahoma" w:cs="Tahoma"/>
      <w:sz w:val="20"/>
      <w:szCs w:val="20"/>
      <w:lang w:val="en-US" w:eastAsia="en-US"/>
    </w:rPr>
  </w:style>
  <w:style w:type="character" w:styleId="PouitHypertextovPrepojenie">
    <w:name w:val="FollowedHyperlink"/>
    <w:basedOn w:val="Predvolenpsmoodseku"/>
    <w:rsid w:val="002D0C1C"/>
    <w:rPr>
      <w:color w:val="800080"/>
      <w:u w:val="single"/>
    </w:rPr>
  </w:style>
  <w:style w:type="paragraph" w:customStyle="1" w:styleId="CharCharCharCharCharCharCharCharCharCharChar">
    <w:name w:val="Char Char Char Char Char Char Char Char Char Char Char"/>
    <w:basedOn w:val="Normlny"/>
    <w:rsid w:val="00E2531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1">
    <w:name w:val="Char Char Char1"/>
    <w:basedOn w:val="Normlny"/>
    <w:rsid w:val="00EB3315"/>
    <w:pPr>
      <w:spacing w:after="160" w:line="240" w:lineRule="exact"/>
    </w:pPr>
    <w:rPr>
      <w:rFonts w:ascii="Tahoma" w:hAnsi="Tahoma"/>
      <w:sz w:val="20"/>
      <w:szCs w:val="20"/>
      <w:lang w:val="en-US" w:eastAsia="en-US"/>
    </w:rPr>
  </w:style>
  <w:style w:type="character" w:customStyle="1" w:styleId="NzovTabukyChar">
    <w:name w:val="Názov Tabuľky Char"/>
    <w:basedOn w:val="NormlnodstavecChar"/>
    <w:rsid w:val="00C42A2D"/>
    <w:rPr>
      <w:snapToGrid w:val="0"/>
      <w:sz w:val="23"/>
      <w:szCs w:val="23"/>
      <w:lang w:val="sk-SK" w:eastAsia="cs-CZ" w:bidi="ar-SA"/>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69148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31C3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rsid w:val="00A526ED"/>
    <w:pPr>
      <w:spacing w:after="160" w:line="240" w:lineRule="exact"/>
      <w:ind w:firstLine="720"/>
    </w:pPr>
    <w:rPr>
      <w:rFonts w:ascii="Tahoma" w:hAnsi="Tahoma" w:cs="Tahom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686F7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1CharCharCharCharChar1CharCharCharCharCharChar">
    <w:name w:val="Char Char Char Char Char Char Char Char Char Char Char Char Char Char Char Char Char Char1 Char Char Char Char Char1 Char Char Char Char Char Char"/>
    <w:basedOn w:val="Normlny"/>
    <w:rsid w:val="00DE77D2"/>
    <w:pPr>
      <w:spacing w:after="160" w:line="240" w:lineRule="exact"/>
    </w:pPr>
    <w:rPr>
      <w:rFonts w:ascii="Tahoma" w:hAnsi="Tahoma" w:cs="Tahoma"/>
      <w:sz w:val="20"/>
      <w:szCs w:val="20"/>
      <w:lang w:val="en-US" w:eastAsia="en-US"/>
    </w:rPr>
  </w:style>
  <w:style w:type="character" w:customStyle="1" w:styleId="textinfop1">
    <w:name w:val="textinfop1"/>
    <w:basedOn w:val="Predvolenpsmoodseku"/>
    <w:rsid w:val="00C751DB"/>
    <w:rPr>
      <w:rFonts w:ascii="Tahoma" w:hAnsi="Tahoma" w:cs="Tahoma" w:hint="default"/>
      <w:b w:val="0"/>
      <w:bCs w:val="0"/>
      <w:color w:val="000000"/>
      <w:sz w:val="13"/>
      <w:szCs w:val="13"/>
    </w:rPr>
  </w:style>
  <w:style w:type="paragraph" w:customStyle="1" w:styleId="CharCharCharCharCharCharCharCharCharCharCharCharCharCharCharCharCharChar1CharCharChar">
    <w:name w:val="Char Char Char Char Char Char Char Char Char Char Char Char Char Char Char Char Char Char1 Char Char Char"/>
    <w:basedOn w:val="Normlny"/>
    <w:rsid w:val="001C24DC"/>
    <w:pPr>
      <w:spacing w:after="160" w:line="240" w:lineRule="exact"/>
    </w:pPr>
    <w:rPr>
      <w:rFonts w:ascii="Tahoma" w:hAnsi="Tahoma" w:cs="Tahoma"/>
      <w:sz w:val="20"/>
      <w:szCs w:val="20"/>
      <w:lang w:val="en-US"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lny"/>
    <w:rsid w:val="001C01EC"/>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1CharCharCharChar">
    <w:name w:val="Char Char Char Char Char Char Char Char Char Char Char Char1 Char Char Char Char"/>
    <w:basedOn w:val="Normlny"/>
    <w:rsid w:val="007D32C1"/>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C447BF"/>
    <w:pPr>
      <w:spacing w:after="160" w:line="240" w:lineRule="exact"/>
    </w:pPr>
    <w:rPr>
      <w:rFonts w:ascii="Tahoma" w:hAnsi="Tahoma" w:cs="Tahoma"/>
      <w:sz w:val="20"/>
      <w:szCs w:val="20"/>
      <w:lang w:eastAsia="en-US"/>
    </w:rPr>
  </w:style>
  <w:style w:type="table" w:customStyle="1" w:styleId="Mkatabulky11">
    <w:name w:val="Mřížka tabulky11"/>
    <w:basedOn w:val="Normlnatabuka"/>
    <w:next w:val="Mriekatabuky"/>
    <w:rsid w:val="00696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2">
    <w:name w:val="Char Char Char Char2"/>
    <w:basedOn w:val="Normlny"/>
    <w:rsid w:val="00570661"/>
    <w:pPr>
      <w:spacing w:after="160" w:line="240" w:lineRule="exact"/>
    </w:pPr>
    <w:rPr>
      <w:rFonts w:ascii="Tahoma" w:hAnsi="Tahoma" w:cs="Tahoma"/>
      <w:sz w:val="20"/>
      <w:szCs w:val="20"/>
      <w:lang w:val="en-US" w:eastAsia="en-US"/>
    </w:rPr>
  </w:style>
  <w:style w:type="paragraph" w:styleId="Textvysvetlivky">
    <w:name w:val="endnote text"/>
    <w:basedOn w:val="Normlny"/>
    <w:link w:val="TextvysvetlivkyChar"/>
    <w:semiHidden/>
    <w:rsid w:val="0037048E"/>
    <w:rPr>
      <w:sz w:val="20"/>
      <w:szCs w:val="20"/>
    </w:rPr>
  </w:style>
  <w:style w:type="character" w:styleId="Odkaznavysvetlivku">
    <w:name w:val="endnote reference"/>
    <w:basedOn w:val="Predvolenpsmoodseku"/>
    <w:semiHidden/>
    <w:rsid w:val="0037048E"/>
    <w:rPr>
      <w:vertAlign w:val="superscript"/>
    </w:rPr>
  </w:style>
  <w:style w:type="paragraph" w:customStyle="1" w:styleId="CharCharCharCharCharCharCharCharCharCharCharCharCharCharCharCharCharChar1CharCharCharCharChar4CharCharCharCharCharCharCharCharChar">
    <w:name w:val="Char Char Char Char Char Char Char Char Char Char Char Char Char Char Char Char Char Char1 Char Char Char Char Char4 Char Char Char Char Char Char Char Char Char"/>
    <w:basedOn w:val="Normlny"/>
    <w:rsid w:val="002A0EE8"/>
    <w:pPr>
      <w:spacing w:after="160" w:line="240" w:lineRule="exact"/>
    </w:pPr>
    <w:rPr>
      <w:rFonts w:ascii="Tahoma" w:hAnsi="Tahoma" w:cs="Tahoma"/>
      <w:sz w:val="20"/>
      <w:szCs w:val="20"/>
      <w:lang w:val="en-US" w:eastAsia="en-US"/>
    </w:rPr>
  </w:style>
  <w:style w:type="paragraph" w:styleId="AdresaHTML">
    <w:name w:val="HTML Address"/>
    <w:basedOn w:val="Normlny"/>
    <w:link w:val="AdresaHTMLChar"/>
    <w:rsid w:val="008E7026"/>
    <w:rPr>
      <w:i/>
      <w:iCs/>
    </w:rPr>
  </w:style>
  <w:style w:type="paragraph" w:styleId="Adresanaoblke">
    <w:name w:val="envelope address"/>
    <w:basedOn w:val="Normlny"/>
    <w:rsid w:val="008E7026"/>
    <w:pPr>
      <w:framePr w:w="7920" w:h="1980" w:hRule="exact" w:hSpace="141" w:wrap="auto" w:hAnchor="page" w:xAlign="center" w:yAlign="bottom"/>
      <w:ind w:left="2880"/>
    </w:pPr>
    <w:rPr>
      <w:rFonts w:ascii="Arial" w:hAnsi="Arial" w:cs="Arial"/>
    </w:rPr>
  </w:style>
  <w:style w:type="paragraph" w:styleId="slovanzoznam">
    <w:name w:val="List Number"/>
    <w:basedOn w:val="Normlny"/>
    <w:rsid w:val="008E7026"/>
    <w:pPr>
      <w:numPr>
        <w:numId w:val="6"/>
      </w:numPr>
    </w:pPr>
  </w:style>
  <w:style w:type="paragraph" w:styleId="slovanzoznam2">
    <w:name w:val="List Number 2"/>
    <w:basedOn w:val="Normlny"/>
    <w:rsid w:val="008E7026"/>
    <w:pPr>
      <w:numPr>
        <w:numId w:val="7"/>
      </w:numPr>
    </w:pPr>
  </w:style>
  <w:style w:type="paragraph" w:styleId="slovanzoznam3">
    <w:name w:val="List Number 3"/>
    <w:basedOn w:val="Normlny"/>
    <w:rsid w:val="008E7026"/>
    <w:pPr>
      <w:numPr>
        <w:numId w:val="8"/>
      </w:numPr>
    </w:pPr>
  </w:style>
  <w:style w:type="paragraph" w:styleId="slovanzoznam4">
    <w:name w:val="List Number 4"/>
    <w:basedOn w:val="Normlny"/>
    <w:rsid w:val="008E7026"/>
    <w:pPr>
      <w:numPr>
        <w:numId w:val="9"/>
      </w:numPr>
    </w:pPr>
  </w:style>
  <w:style w:type="paragraph" w:styleId="slovanzoznam5">
    <w:name w:val="List Number 5"/>
    <w:basedOn w:val="Normlny"/>
    <w:rsid w:val="008E7026"/>
    <w:pPr>
      <w:numPr>
        <w:numId w:val="10"/>
      </w:numPr>
    </w:pPr>
  </w:style>
  <w:style w:type="paragraph" w:styleId="Dtum">
    <w:name w:val="Date"/>
    <w:basedOn w:val="Normlny"/>
    <w:next w:val="Normlny"/>
    <w:link w:val="DtumChar"/>
    <w:rsid w:val="008E7026"/>
  </w:style>
  <w:style w:type="paragraph" w:styleId="PredformtovanHTML">
    <w:name w:val="HTML Preformatted"/>
    <w:basedOn w:val="Normlny"/>
    <w:link w:val="PredformtovanHTMLChar"/>
    <w:rsid w:val="008E7026"/>
    <w:rPr>
      <w:rFonts w:ascii="Courier New" w:hAnsi="Courier New" w:cs="Courier New"/>
      <w:sz w:val="20"/>
      <w:szCs w:val="20"/>
    </w:rPr>
  </w:style>
  <w:style w:type="paragraph" w:styleId="Hlavikazoznamucitci">
    <w:name w:val="toa heading"/>
    <w:basedOn w:val="Normlny"/>
    <w:next w:val="Normlny"/>
    <w:semiHidden/>
    <w:rsid w:val="008E7026"/>
    <w:pPr>
      <w:spacing w:before="120"/>
    </w:pPr>
    <w:rPr>
      <w:rFonts w:ascii="Arial" w:hAnsi="Arial" w:cs="Arial"/>
      <w:b/>
      <w:bCs/>
    </w:rPr>
  </w:style>
  <w:style w:type="paragraph" w:styleId="Nadpisregistra">
    <w:name w:val="index heading"/>
    <w:basedOn w:val="Normlny"/>
    <w:next w:val="Register1"/>
    <w:semiHidden/>
    <w:rsid w:val="008E7026"/>
    <w:rPr>
      <w:rFonts w:ascii="Arial" w:hAnsi="Arial" w:cs="Arial"/>
      <w:b/>
      <w:bCs/>
    </w:rPr>
  </w:style>
  <w:style w:type="paragraph" w:styleId="Nadpispoznmky">
    <w:name w:val="Note Heading"/>
    <w:basedOn w:val="Normlny"/>
    <w:next w:val="Normlny"/>
    <w:link w:val="NadpispoznmkyChar"/>
    <w:rsid w:val="008E7026"/>
  </w:style>
  <w:style w:type="paragraph" w:styleId="Nzov">
    <w:name w:val="Title"/>
    <w:aliases w:val="Title Char, Char"/>
    <w:basedOn w:val="Normlny"/>
    <w:link w:val="NzovChar"/>
    <w:qFormat/>
    <w:rsid w:val="008E7026"/>
    <w:pPr>
      <w:spacing w:before="240" w:after="60"/>
      <w:jc w:val="center"/>
      <w:outlineLvl w:val="0"/>
    </w:pPr>
    <w:rPr>
      <w:rFonts w:ascii="Arial" w:hAnsi="Arial" w:cs="Arial"/>
      <w:b/>
      <w:bCs/>
      <w:kern w:val="28"/>
      <w:sz w:val="32"/>
      <w:szCs w:val="32"/>
    </w:rPr>
  </w:style>
  <w:style w:type="paragraph" w:styleId="Normlnysozarkami">
    <w:name w:val="Normal Indent"/>
    <w:basedOn w:val="Normlny"/>
    <w:rsid w:val="008E7026"/>
    <w:pPr>
      <w:ind w:left="708"/>
    </w:pPr>
  </w:style>
  <w:style w:type="paragraph" w:styleId="Oslovenie">
    <w:name w:val="Salutation"/>
    <w:basedOn w:val="Normlny"/>
    <w:next w:val="Normlny"/>
    <w:link w:val="OslovenieChar"/>
    <w:rsid w:val="008E7026"/>
  </w:style>
  <w:style w:type="paragraph" w:styleId="Podpis">
    <w:name w:val="Signature"/>
    <w:basedOn w:val="Normlny"/>
    <w:link w:val="PodpisChar"/>
    <w:rsid w:val="008E7026"/>
    <w:pPr>
      <w:ind w:left="4252"/>
    </w:pPr>
  </w:style>
  <w:style w:type="paragraph" w:styleId="Podpise-mailu">
    <w:name w:val="E-mail Signature"/>
    <w:basedOn w:val="Normlny"/>
    <w:link w:val="Podpise-mailuChar"/>
    <w:rsid w:val="008E7026"/>
  </w:style>
  <w:style w:type="paragraph" w:styleId="Podtitul">
    <w:name w:val="Subtitle"/>
    <w:basedOn w:val="Normlny"/>
    <w:link w:val="PodtitulChar"/>
    <w:qFormat/>
    <w:rsid w:val="008E7026"/>
    <w:pPr>
      <w:spacing w:after="60"/>
      <w:jc w:val="center"/>
      <w:outlineLvl w:val="1"/>
    </w:pPr>
    <w:rPr>
      <w:rFonts w:ascii="Arial" w:hAnsi="Arial" w:cs="Arial"/>
    </w:rPr>
  </w:style>
  <w:style w:type="paragraph" w:styleId="Pokraovaniezoznamu">
    <w:name w:val="List Continue"/>
    <w:basedOn w:val="Normlny"/>
    <w:rsid w:val="008E7026"/>
    <w:pPr>
      <w:spacing w:after="120"/>
      <w:ind w:left="283"/>
    </w:pPr>
  </w:style>
  <w:style w:type="paragraph" w:styleId="Pokraovaniezoznamu2">
    <w:name w:val="List Continue 2"/>
    <w:basedOn w:val="Normlny"/>
    <w:rsid w:val="008E7026"/>
    <w:pPr>
      <w:spacing w:after="120"/>
      <w:ind w:left="566"/>
    </w:pPr>
  </w:style>
  <w:style w:type="paragraph" w:styleId="Pokraovaniezoznamu3">
    <w:name w:val="List Continue 3"/>
    <w:basedOn w:val="Normlny"/>
    <w:rsid w:val="008E7026"/>
    <w:pPr>
      <w:spacing w:after="120"/>
      <w:ind w:left="849"/>
    </w:pPr>
  </w:style>
  <w:style w:type="paragraph" w:styleId="Pokraovaniezoznamu4">
    <w:name w:val="List Continue 4"/>
    <w:basedOn w:val="Normlny"/>
    <w:rsid w:val="008E7026"/>
    <w:pPr>
      <w:spacing w:after="120"/>
      <w:ind w:left="1132"/>
    </w:pPr>
  </w:style>
  <w:style w:type="paragraph" w:styleId="Pokraovaniezoznamu5">
    <w:name w:val="List Continue 5"/>
    <w:basedOn w:val="Normlny"/>
    <w:rsid w:val="008E7026"/>
    <w:pPr>
      <w:spacing w:after="120"/>
      <w:ind w:left="1415"/>
    </w:pPr>
  </w:style>
  <w:style w:type="paragraph" w:styleId="Obyajntext">
    <w:name w:val="Plain Text"/>
    <w:basedOn w:val="Normlny"/>
    <w:link w:val="ObyajntextChar"/>
    <w:uiPriority w:val="99"/>
    <w:rsid w:val="008E7026"/>
    <w:rPr>
      <w:rFonts w:ascii="Courier New" w:hAnsi="Courier New" w:cs="Courier New"/>
      <w:sz w:val="20"/>
      <w:szCs w:val="20"/>
    </w:rPr>
  </w:style>
  <w:style w:type="paragraph" w:styleId="Register2">
    <w:name w:val="index 2"/>
    <w:basedOn w:val="Normlny"/>
    <w:next w:val="Normlny"/>
    <w:autoRedefine/>
    <w:semiHidden/>
    <w:rsid w:val="008E7026"/>
    <w:pPr>
      <w:ind w:left="480" w:hanging="240"/>
    </w:pPr>
  </w:style>
  <w:style w:type="paragraph" w:styleId="Register3">
    <w:name w:val="index 3"/>
    <w:basedOn w:val="Normlny"/>
    <w:next w:val="Normlny"/>
    <w:autoRedefine/>
    <w:semiHidden/>
    <w:rsid w:val="008E7026"/>
    <w:pPr>
      <w:ind w:left="720" w:hanging="240"/>
    </w:pPr>
  </w:style>
  <w:style w:type="paragraph" w:styleId="Register4">
    <w:name w:val="index 4"/>
    <w:basedOn w:val="Normlny"/>
    <w:next w:val="Normlny"/>
    <w:autoRedefine/>
    <w:semiHidden/>
    <w:rsid w:val="008E7026"/>
    <w:pPr>
      <w:ind w:left="960" w:hanging="240"/>
    </w:pPr>
  </w:style>
  <w:style w:type="paragraph" w:styleId="Register5">
    <w:name w:val="index 5"/>
    <w:basedOn w:val="Normlny"/>
    <w:next w:val="Normlny"/>
    <w:autoRedefine/>
    <w:semiHidden/>
    <w:rsid w:val="008E7026"/>
    <w:pPr>
      <w:ind w:left="1200" w:hanging="240"/>
    </w:pPr>
  </w:style>
  <w:style w:type="paragraph" w:styleId="Register6">
    <w:name w:val="index 6"/>
    <w:basedOn w:val="Normlny"/>
    <w:next w:val="Normlny"/>
    <w:autoRedefine/>
    <w:semiHidden/>
    <w:rsid w:val="008E7026"/>
    <w:pPr>
      <w:ind w:left="1440" w:hanging="240"/>
    </w:pPr>
  </w:style>
  <w:style w:type="paragraph" w:styleId="Register7">
    <w:name w:val="index 7"/>
    <w:basedOn w:val="Normlny"/>
    <w:next w:val="Normlny"/>
    <w:autoRedefine/>
    <w:semiHidden/>
    <w:rsid w:val="008E7026"/>
    <w:pPr>
      <w:ind w:left="1680" w:hanging="240"/>
    </w:pPr>
  </w:style>
  <w:style w:type="paragraph" w:styleId="Register8">
    <w:name w:val="index 8"/>
    <w:basedOn w:val="Normlny"/>
    <w:next w:val="Normlny"/>
    <w:autoRedefine/>
    <w:semiHidden/>
    <w:rsid w:val="008E7026"/>
    <w:pPr>
      <w:ind w:left="1920" w:hanging="240"/>
    </w:pPr>
  </w:style>
  <w:style w:type="paragraph" w:styleId="Zoznam2">
    <w:name w:val="List 2"/>
    <w:basedOn w:val="Normlny"/>
    <w:rsid w:val="008E7026"/>
    <w:pPr>
      <w:ind w:left="566" w:hanging="283"/>
    </w:pPr>
  </w:style>
  <w:style w:type="paragraph" w:styleId="Zoznam3">
    <w:name w:val="List 3"/>
    <w:basedOn w:val="Normlny"/>
    <w:rsid w:val="008E7026"/>
    <w:pPr>
      <w:ind w:left="849" w:hanging="283"/>
    </w:pPr>
  </w:style>
  <w:style w:type="paragraph" w:styleId="Zoznam4">
    <w:name w:val="List 4"/>
    <w:basedOn w:val="Normlny"/>
    <w:rsid w:val="008E7026"/>
    <w:pPr>
      <w:ind w:left="1132" w:hanging="283"/>
    </w:pPr>
  </w:style>
  <w:style w:type="paragraph" w:styleId="Zoznam5">
    <w:name w:val="List 5"/>
    <w:basedOn w:val="Normlny"/>
    <w:rsid w:val="008E7026"/>
    <w:pPr>
      <w:ind w:left="1415" w:hanging="283"/>
    </w:pPr>
  </w:style>
  <w:style w:type="paragraph" w:styleId="Zoznamcitci">
    <w:name w:val="table of authorities"/>
    <w:basedOn w:val="Normlny"/>
    <w:next w:val="Normlny"/>
    <w:semiHidden/>
    <w:rsid w:val="008E7026"/>
    <w:pPr>
      <w:ind w:left="240" w:hanging="240"/>
    </w:pPr>
  </w:style>
  <w:style w:type="paragraph" w:styleId="Zoznamsodrkami2">
    <w:name w:val="List Bullet 2"/>
    <w:basedOn w:val="Normlny"/>
    <w:rsid w:val="008E7026"/>
    <w:pPr>
      <w:numPr>
        <w:numId w:val="11"/>
      </w:numPr>
    </w:pPr>
  </w:style>
  <w:style w:type="paragraph" w:styleId="Zoznamsodrkami3">
    <w:name w:val="List Bullet 3"/>
    <w:basedOn w:val="Normlny"/>
    <w:rsid w:val="008E7026"/>
    <w:pPr>
      <w:numPr>
        <w:numId w:val="12"/>
      </w:numPr>
    </w:pPr>
  </w:style>
  <w:style w:type="paragraph" w:styleId="Zoznamsodrkami4">
    <w:name w:val="List Bullet 4"/>
    <w:basedOn w:val="Normlny"/>
    <w:rsid w:val="008E7026"/>
    <w:pPr>
      <w:numPr>
        <w:numId w:val="13"/>
      </w:numPr>
    </w:pPr>
  </w:style>
  <w:style w:type="paragraph" w:styleId="Zoznamsodrkami5">
    <w:name w:val="List Bullet 5"/>
    <w:basedOn w:val="Normlny"/>
    <w:rsid w:val="008E7026"/>
    <w:pPr>
      <w:numPr>
        <w:numId w:val="14"/>
      </w:numPr>
    </w:pPr>
  </w:style>
  <w:style w:type="paragraph" w:styleId="Textmakra">
    <w:name w:val="macro"/>
    <w:link w:val="TextmakraChar"/>
    <w:semiHidden/>
    <w:rsid w:val="008E702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Oznaitext">
    <w:name w:val="Block Text"/>
    <w:basedOn w:val="Normlny"/>
    <w:rsid w:val="008E7026"/>
    <w:pPr>
      <w:spacing w:after="120"/>
      <w:ind w:left="1440" w:right="1440"/>
    </w:pPr>
  </w:style>
  <w:style w:type="paragraph" w:styleId="Hlavikasprvy">
    <w:name w:val="Message Header"/>
    <w:basedOn w:val="Normlny"/>
    <w:link w:val="HlavikasprvyChar"/>
    <w:rsid w:val="008E70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rvzarkazkladnhotextu">
    <w:name w:val="Body Text First Indent"/>
    <w:basedOn w:val="Zkladntext"/>
    <w:link w:val="PrvzarkazkladnhotextuChar"/>
    <w:rsid w:val="008E7026"/>
    <w:pPr>
      <w:ind w:firstLine="210"/>
    </w:pPr>
  </w:style>
  <w:style w:type="paragraph" w:styleId="Prvzarkazkladnhotextu2">
    <w:name w:val="Body Text First Indent 2"/>
    <w:basedOn w:val="Zarkazkladnhotextu"/>
    <w:link w:val="Prvzarkazkladnhotextu2Char"/>
    <w:rsid w:val="008E7026"/>
    <w:pPr>
      <w:ind w:firstLine="210"/>
    </w:pPr>
  </w:style>
  <w:style w:type="paragraph" w:styleId="Zarkazkladnhotextu2">
    <w:name w:val="Body Text Indent 2"/>
    <w:basedOn w:val="Normlny"/>
    <w:link w:val="Zarkazkladnhotextu2Char"/>
    <w:rsid w:val="008E7026"/>
    <w:pPr>
      <w:spacing w:after="120" w:line="480" w:lineRule="auto"/>
      <w:ind w:left="283"/>
    </w:pPr>
  </w:style>
  <w:style w:type="paragraph" w:styleId="Zarkazkladnhotextu3">
    <w:name w:val="Body Text Indent 3"/>
    <w:basedOn w:val="Normlny"/>
    <w:link w:val="Zarkazkladnhotextu3Char"/>
    <w:rsid w:val="008E7026"/>
    <w:pPr>
      <w:spacing w:after="120"/>
      <w:ind w:left="283"/>
    </w:pPr>
    <w:rPr>
      <w:sz w:val="16"/>
      <w:szCs w:val="16"/>
    </w:rPr>
  </w:style>
  <w:style w:type="paragraph" w:styleId="Zver">
    <w:name w:val="Closing"/>
    <w:basedOn w:val="Normlny"/>
    <w:link w:val="ZverChar"/>
    <w:rsid w:val="008E7026"/>
    <w:pPr>
      <w:ind w:left="4252"/>
    </w:pPr>
  </w:style>
  <w:style w:type="paragraph" w:styleId="Spiatonadresanaoblke">
    <w:name w:val="envelope return"/>
    <w:basedOn w:val="Normlny"/>
    <w:rsid w:val="008E7026"/>
    <w:rPr>
      <w:rFonts w:ascii="Arial" w:hAnsi="Arial" w:cs="Arial"/>
      <w:sz w:val="20"/>
      <w:szCs w:val="20"/>
    </w:rPr>
  </w:style>
  <w:style w:type="paragraph" w:styleId="Bezriadkovania">
    <w:name w:val="No Spacing"/>
    <w:uiPriority w:val="1"/>
    <w:qFormat/>
    <w:rsid w:val="009C78FF"/>
    <w:rPr>
      <w:rFonts w:ascii="Arial" w:eastAsia="Calibri" w:hAnsi="Arial" w:cs="Arial"/>
      <w:color w:val="303030"/>
      <w:sz w:val="22"/>
      <w:szCs w:val="22"/>
      <w:lang w:eastAsia="en-US"/>
    </w:rPr>
  </w:style>
  <w:style w:type="character" w:customStyle="1" w:styleId="apple-style-span">
    <w:name w:val="apple-style-span"/>
    <w:basedOn w:val="Predvolenpsmoodseku"/>
    <w:rsid w:val="00073289"/>
  </w:style>
  <w:style w:type="character" w:customStyle="1" w:styleId="apple-converted-space">
    <w:name w:val="apple-converted-space"/>
    <w:basedOn w:val="Predvolenpsmoodseku"/>
    <w:rsid w:val="00073289"/>
  </w:style>
  <w:style w:type="character" w:customStyle="1" w:styleId="Textzstupnhosymbolu1">
    <w:name w:val="Text zástupného symbolu1"/>
    <w:basedOn w:val="Predvolenpsmoodseku"/>
    <w:semiHidden/>
    <w:rsid w:val="00B42FF9"/>
    <w:rPr>
      <w:rFonts w:ascii="Times New Roman" w:hAnsi="Times New Roman" w:cs="Times New Roman" w:hint="default"/>
      <w:color w:val="808080"/>
    </w:rPr>
  </w:style>
  <w:style w:type="paragraph" w:customStyle="1" w:styleId="Default">
    <w:name w:val="Default"/>
    <w:rsid w:val="008A4C17"/>
    <w:pPr>
      <w:autoSpaceDE w:val="0"/>
      <w:autoSpaceDN w:val="0"/>
      <w:adjustRightInd w:val="0"/>
    </w:pPr>
    <w:rPr>
      <w:color w:val="000000"/>
      <w:sz w:val="24"/>
      <w:szCs w:val="24"/>
    </w:rPr>
  </w:style>
  <w:style w:type="paragraph" w:customStyle="1" w:styleId="Obrhajo">
    <w:name w:val="Obr. hajo"/>
    <w:basedOn w:val="NzovObrzku"/>
    <w:link w:val="ObrhajoChar"/>
    <w:qFormat/>
    <w:rsid w:val="00CD3ABF"/>
    <w:pPr>
      <w:numPr>
        <w:numId w:val="22"/>
      </w:numPr>
      <w:tabs>
        <w:tab w:val="clear" w:pos="0"/>
      </w:tabs>
      <w:spacing w:before="180" w:after="0"/>
      <w:ind w:left="0" w:firstLine="0"/>
    </w:pPr>
    <w:rPr>
      <w:b/>
      <w:sz w:val="22"/>
    </w:rPr>
  </w:style>
  <w:style w:type="character" w:customStyle="1" w:styleId="NzovObrzkuChar">
    <w:name w:val="Názov Obrázku Char"/>
    <w:basedOn w:val="Predvolenpsmoodseku"/>
    <w:link w:val="NzovObrzku"/>
    <w:rsid w:val="007454E8"/>
    <w:rPr>
      <w:snapToGrid w:val="0"/>
      <w:sz w:val="23"/>
      <w:szCs w:val="23"/>
      <w:lang w:eastAsia="cs-CZ"/>
    </w:rPr>
  </w:style>
  <w:style w:type="paragraph" w:styleId="Odsekzoznamu">
    <w:name w:val="List Paragraph"/>
    <w:aliases w:val="body,Odsek zoznamu2"/>
    <w:basedOn w:val="Normlny"/>
    <w:link w:val="OdsekzoznamuChar"/>
    <w:uiPriority w:val="34"/>
    <w:qFormat/>
    <w:rsid w:val="00B44BC5"/>
    <w:pPr>
      <w:ind w:left="720"/>
      <w:contextualSpacing/>
    </w:pPr>
  </w:style>
  <w:style w:type="table" w:styleId="Svetlzoznamzvraznenie3">
    <w:name w:val="Light List Accent 3"/>
    <w:basedOn w:val="Normlnatabuka"/>
    <w:uiPriority w:val="61"/>
    <w:rsid w:val="00203BC3"/>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etlzoznamzvraznenie11">
    <w:name w:val="Svetlý zoznam – zvýraznenie 11"/>
    <w:basedOn w:val="Normlnatabuka"/>
    <w:uiPriority w:val="61"/>
    <w:rsid w:val="00203BC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4">
    <w:name w:val="Light List Accent 4"/>
    <w:basedOn w:val="Normlnatabuka"/>
    <w:uiPriority w:val="61"/>
    <w:rsid w:val="00203BC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etlzoznam1">
    <w:name w:val="Svetlý zoznam1"/>
    <w:basedOn w:val="Normlnatabuka"/>
    <w:uiPriority w:val="61"/>
    <w:rsid w:val="00203BC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rednzoznam2zvraznenie1">
    <w:name w:val="Medium List 2 Accent 1"/>
    <w:basedOn w:val="Normlnatabuka"/>
    <w:uiPriority w:val="66"/>
    <w:rsid w:val="00B22E9A"/>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ZkladntextChar">
    <w:name w:val="Základný text Char"/>
    <w:basedOn w:val="Predvolenpsmoodseku"/>
    <w:link w:val="Zkladntext"/>
    <w:uiPriority w:val="1"/>
    <w:rsid w:val="00252314"/>
    <w:rPr>
      <w:sz w:val="24"/>
      <w:szCs w:val="24"/>
    </w:rPr>
  </w:style>
  <w:style w:type="paragraph" w:customStyle="1" w:styleId="titulok">
    <w:name w:val="titulok"/>
    <w:basedOn w:val="Normlny"/>
    <w:rsid w:val="00CF1654"/>
    <w:pPr>
      <w:spacing w:before="100" w:beforeAutospacing="1" w:after="100" w:afterAutospacing="1"/>
      <w:jc w:val="center"/>
    </w:pPr>
    <w:rPr>
      <w:rFonts w:ascii="Arial" w:hAnsi="Arial" w:cs="Arial"/>
      <w:b/>
      <w:bCs/>
      <w:color w:val="007060"/>
    </w:rPr>
  </w:style>
  <w:style w:type="paragraph" w:customStyle="1" w:styleId="Bezriadkovania1">
    <w:name w:val="Bez riadkovania1"/>
    <w:basedOn w:val="Normlny"/>
    <w:semiHidden/>
    <w:rsid w:val="00926490"/>
    <w:rPr>
      <w:rFonts w:ascii="Arial" w:eastAsia="Calibri" w:hAnsi="Arial" w:cs="Arial"/>
      <w:color w:val="303030"/>
      <w:sz w:val="22"/>
      <w:szCs w:val="22"/>
    </w:rPr>
  </w:style>
  <w:style w:type="character" w:customStyle="1" w:styleId="EmailStyle180">
    <w:name w:val="EmailStyle180"/>
    <w:basedOn w:val="Predvolenpsmoodseku"/>
    <w:semiHidden/>
    <w:rsid w:val="006845F6"/>
    <w:rPr>
      <w:rFonts w:ascii="Arial" w:hAnsi="Arial" w:cs="Arial" w:hint="default"/>
      <w:color w:val="000080"/>
      <w:sz w:val="20"/>
      <w:szCs w:val="20"/>
    </w:rPr>
  </w:style>
  <w:style w:type="paragraph" w:customStyle="1" w:styleId="textzakladny">
    <w:name w:val="text zakladny"/>
    <w:basedOn w:val="Normlny"/>
    <w:autoRedefine/>
    <w:rsid w:val="00EB5524"/>
    <w:pPr>
      <w:spacing w:before="120"/>
      <w:jc w:val="both"/>
    </w:pPr>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1,Char Char Char Char Char Char Char Char Char Char,Car Char"/>
    <w:basedOn w:val="Predvolenpsmoodseku"/>
    <w:link w:val="Textpoznmkypodiarou"/>
    <w:uiPriority w:val="99"/>
    <w:rsid w:val="007077B1"/>
  </w:style>
  <w:style w:type="paragraph" w:customStyle="1" w:styleId="TabHajo">
    <w:name w:val="Tab. Hajo"/>
    <w:basedOn w:val="NzovTabuky"/>
    <w:link w:val="TabHajoChar"/>
    <w:qFormat/>
    <w:rsid w:val="00BF0782"/>
    <w:pPr>
      <w:tabs>
        <w:tab w:val="clear" w:pos="342"/>
      </w:tabs>
      <w:ind w:left="1191" w:hanging="1191"/>
    </w:pPr>
  </w:style>
  <w:style w:type="character" w:customStyle="1" w:styleId="TabHajoChar">
    <w:name w:val="Tab. Hajo Char"/>
    <w:basedOn w:val="NzovTabukyCharChar"/>
    <w:link w:val="TabHajo"/>
    <w:rsid w:val="00BF0782"/>
    <w:rPr>
      <w:snapToGrid w:val="0"/>
      <w:sz w:val="23"/>
      <w:szCs w:val="23"/>
      <w:lang w:val="sk-SK" w:eastAsia="cs-CZ" w:bidi="ar-SA"/>
    </w:rPr>
  </w:style>
  <w:style w:type="paragraph" w:customStyle="1" w:styleId="Text1">
    <w:name w:val="Text 1"/>
    <w:basedOn w:val="Normlny"/>
    <w:rsid w:val="00EB3922"/>
    <w:pPr>
      <w:spacing w:before="120" w:after="120"/>
      <w:ind w:left="850"/>
      <w:jc w:val="both"/>
    </w:pPr>
    <w:rPr>
      <w:lang w:eastAsia="en-GB"/>
    </w:rPr>
  </w:style>
  <w:style w:type="character" w:customStyle="1" w:styleId="Nadpis3Char">
    <w:name w:val="Nadpis 3 Char"/>
    <w:aliases w:val="03_Heading 3 Char"/>
    <w:basedOn w:val="Predvolenpsmoodseku"/>
    <w:link w:val="Nadpis3"/>
    <w:rsid w:val="00031E1D"/>
    <w:rPr>
      <w:rFonts w:ascii="Arial Narrow" w:hAnsi="Arial Narrow" w:cs="Arial"/>
      <w:b/>
      <w:bCs/>
      <w:color w:val="1F497D" w:themeColor="text2"/>
      <w:sz w:val="22"/>
      <w:szCs w:val="26"/>
    </w:rPr>
  </w:style>
  <w:style w:type="table" w:customStyle="1" w:styleId="Mriekatabuky1">
    <w:name w:val="Mriežka tabuľky1"/>
    <w:basedOn w:val="Normlnatabuka"/>
    <w:next w:val="Mriekatabuky"/>
    <w:uiPriority w:val="59"/>
    <w:rsid w:val="00EF45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387A89"/>
    <w:rPr>
      <w:b/>
      <w:bCs/>
    </w:rPr>
  </w:style>
  <w:style w:type="character" w:customStyle="1" w:styleId="pre">
    <w:name w:val="pre"/>
    <w:basedOn w:val="Predvolenpsmoodseku"/>
    <w:rsid w:val="00947FDE"/>
  </w:style>
  <w:style w:type="paragraph" w:customStyle="1" w:styleId="Styl3">
    <w:name w:val="Styl3"/>
    <w:basedOn w:val="Normlny"/>
    <w:rsid w:val="00DD73F1"/>
    <w:pPr>
      <w:spacing w:line="360" w:lineRule="auto"/>
    </w:pPr>
    <w:rPr>
      <w:rFonts w:ascii="Arial" w:hAnsi="Arial"/>
      <w:sz w:val="20"/>
      <w:lang w:eastAsia="cs-CZ"/>
    </w:rPr>
  </w:style>
  <w:style w:type="character" w:styleId="Zvraznenie">
    <w:name w:val="Emphasis"/>
    <w:basedOn w:val="Predvolenpsmoodseku"/>
    <w:uiPriority w:val="20"/>
    <w:qFormat/>
    <w:rsid w:val="00C3399A"/>
    <w:rPr>
      <w:i/>
      <w:iCs/>
    </w:rPr>
  </w:style>
  <w:style w:type="paragraph" w:customStyle="1" w:styleId="zkl2">
    <w:name w:val="_zákl.2"/>
    <w:basedOn w:val="Normlny"/>
    <w:rsid w:val="0068106F"/>
    <w:pPr>
      <w:spacing w:before="160"/>
      <w:ind w:firstLine="567"/>
      <w:jc w:val="both"/>
    </w:pPr>
    <w:rPr>
      <w:rFonts w:eastAsiaTheme="minorHAnsi"/>
    </w:rPr>
  </w:style>
  <w:style w:type="paragraph" w:customStyle="1" w:styleId="AUODSEK">
    <w:name w:val="AU ODSEK"/>
    <w:basedOn w:val="Normlny"/>
    <w:rsid w:val="0048210B"/>
    <w:pPr>
      <w:spacing w:before="240"/>
      <w:ind w:firstLine="567"/>
      <w:jc w:val="both"/>
    </w:pPr>
    <w:rPr>
      <w:szCs w:val="20"/>
      <w:lang w:eastAsia="cs-CZ"/>
    </w:rPr>
  </w:style>
  <w:style w:type="character" w:customStyle="1" w:styleId="EmailStyle1941">
    <w:name w:val="EmailStyle1941"/>
    <w:basedOn w:val="Predvolenpsmoodseku"/>
    <w:semiHidden/>
    <w:rsid w:val="007750F3"/>
    <w:rPr>
      <w:rFonts w:ascii="Arial" w:hAnsi="Arial" w:cs="Arial" w:hint="default"/>
      <w:color w:val="000080"/>
      <w:sz w:val="20"/>
      <w:szCs w:val="20"/>
    </w:rPr>
  </w:style>
  <w:style w:type="character" w:customStyle="1" w:styleId="EmailStyle1951">
    <w:name w:val="EmailStyle1951"/>
    <w:basedOn w:val="Predvolenpsmoodseku"/>
    <w:semiHidden/>
    <w:rsid w:val="00C0730B"/>
    <w:rPr>
      <w:rFonts w:ascii="Arial" w:hAnsi="Arial" w:cs="Arial" w:hint="default"/>
      <w:color w:val="000080"/>
      <w:sz w:val="20"/>
      <w:szCs w:val="20"/>
    </w:rPr>
  </w:style>
  <w:style w:type="character" w:customStyle="1" w:styleId="NzovChar">
    <w:name w:val="Názov Char"/>
    <w:aliases w:val="Title Char Char, Char Char"/>
    <w:link w:val="Nzov"/>
    <w:rsid w:val="006156DD"/>
    <w:rPr>
      <w:rFonts w:ascii="Arial" w:hAnsi="Arial" w:cs="Arial"/>
      <w:b/>
      <w:bCs/>
      <w:kern w:val="28"/>
      <w:sz w:val="32"/>
      <w:szCs w:val="32"/>
    </w:rPr>
  </w:style>
  <w:style w:type="paragraph" w:customStyle="1" w:styleId="AUZISTENIE">
    <w:name w:val="AU ZISTENIE"/>
    <w:basedOn w:val="Normlny"/>
    <w:qFormat/>
    <w:rsid w:val="00854495"/>
    <w:pPr>
      <w:overflowPunct w:val="0"/>
      <w:autoSpaceDE w:val="0"/>
      <w:autoSpaceDN w:val="0"/>
      <w:adjustRightInd w:val="0"/>
      <w:jc w:val="both"/>
      <w:textAlignment w:val="baseline"/>
    </w:pPr>
    <w:rPr>
      <w:snapToGrid w:val="0"/>
      <w:sz w:val="22"/>
      <w:szCs w:val="22"/>
      <w:lang w:eastAsia="en-US"/>
    </w:rPr>
  </w:style>
  <w:style w:type="paragraph" w:customStyle="1" w:styleId="PLZISTENIE">
    <w:name w:val="PL ZISTENIE"/>
    <w:basedOn w:val="Normlny"/>
    <w:uiPriority w:val="99"/>
    <w:rsid w:val="00854495"/>
    <w:pPr>
      <w:overflowPunct w:val="0"/>
      <w:autoSpaceDE w:val="0"/>
      <w:autoSpaceDN w:val="0"/>
      <w:adjustRightInd w:val="0"/>
      <w:snapToGrid w:val="0"/>
      <w:spacing w:before="120"/>
      <w:contextualSpacing/>
      <w:jc w:val="both"/>
    </w:pPr>
    <w:rPr>
      <w:sz w:val="22"/>
      <w:szCs w:val="22"/>
      <w:lang w:eastAsia="en-US"/>
    </w:rPr>
  </w:style>
  <w:style w:type="character" w:customStyle="1" w:styleId="HlavikaChar">
    <w:name w:val="Hlavička Char"/>
    <w:link w:val="Hlavika"/>
    <w:uiPriority w:val="99"/>
    <w:rsid w:val="00854495"/>
    <w:rPr>
      <w:sz w:val="24"/>
      <w:szCs w:val="24"/>
    </w:rPr>
  </w:style>
  <w:style w:type="character" w:customStyle="1" w:styleId="TextkomentraChar">
    <w:name w:val="Text komentára Char"/>
    <w:link w:val="Textkomentra"/>
    <w:uiPriority w:val="99"/>
    <w:rsid w:val="008D748A"/>
  </w:style>
  <w:style w:type="character" w:customStyle="1" w:styleId="Nadpis7Char">
    <w:name w:val="Nadpis 7 Char"/>
    <w:link w:val="Nadpis7"/>
    <w:uiPriority w:val="9"/>
    <w:rsid w:val="0078275F"/>
    <w:rPr>
      <w:sz w:val="24"/>
      <w:szCs w:val="24"/>
    </w:rPr>
  </w:style>
  <w:style w:type="paragraph" w:customStyle="1" w:styleId="Tab">
    <w:name w:val="_Tab."/>
    <w:basedOn w:val="NzovTabuky"/>
    <w:next w:val="Normlny"/>
    <w:link w:val="TabChar"/>
    <w:qFormat/>
    <w:rsid w:val="008315B2"/>
    <w:pPr>
      <w:numPr>
        <w:numId w:val="18"/>
      </w:numPr>
      <w:tabs>
        <w:tab w:val="clear" w:pos="342"/>
        <w:tab w:val="left" w:pos="0"/>
      </w:tabs>
      <w:spacing w:before="180" w:after="0"/>
      <w:ind w:left="357" w:hanging="357"/>
      <w:jc w:val="left"/>
    </w:pPr>
    <w:rPr>
      <w:sz w:val="22"/>
    </w:rPr>
  </w:style>
  <w:style w:type="character" w:customStyle="1" w:styleId="TabChar">
    <w:name w:val="_Tab. Char"/>
    <w:basedOn w:val="NzovTabukyCharChar"/>
    <w:link w:val="Tab"/>
    <w:rsid w:val="008315B2"/>
    <w:rPr>
      <w:snapToGrid w:val="0"/>
      <w:sz w:val="22"/>
      <w:szCs w:val="23"/>
      <w:lang w:val="sk-SK" w:eastAsia="cs-CZ" w:bidi="ar-SA"/>
    </w:rPr>
  </w:style>
  <w:style w:type="character" w:customStyle="1" w:styleId="FontStyle88">
    <w:name w:val="Font Style88"/>
    <w:uiPriority w:val="99"/>
    <w:rsid w:val="0079492E"/>
    <w:rPr>
      <w:rFonts w:ascii="Times New Roman" w:hAnsi="Times New Roman" w:cs="Times New Roman"/>
      <w:sz w:val="14"/>
      <w:szCs w:val="14"/>
    </w:rPr>
  </w:style>
  <w:style w:type="paragraph" w:customStyle="1" w:styleId="Style30">
    <w:name w:val="Style30"/>
    <w:basedOn w:val="Normlny"/>
    <w:uiPriority w:val="99"/>
    <w:rsid w:val="0084414B"/>
    <w:pPr>
      <w:widowControl w:val="0"/>
      <w:autoSpaceDE w:val="0"/>
      <w:autoSpaceDN w:val="0"/>
      <w:adjustRightInd w:val="0"/>
    </w:pPr>
  </w:style>
  <w:style w:type="paragraph" w:customStyle="1" w:styleId="Style24">
    <w:name w:val="Style24"/>
    <w:basedOn w:val="Normlny"/>
    <w:uiPriority w:val="99"/>
    <w:rsid w:val="0084414B"/>
    <w:pPr>
      <w:widowControl w:val="0"/>
      <w:autoSpaceDE w:val="0"/>
      <w:autoSpaceDN w:val="0"/>
      <w:adjustRightInd w:val="0"/>
      <w:spacing w:line="187" w:lineRule="exact"/>
    </w:pPr>
  </w:style>
  <w:style w:type="paragraph" w:customStyle="1" w:styleId="Style52">
    <w:name w:val="Style52"/>
    <w:basedOn w:val="Normlny"/>
    <w:uiPriority w:val="99"/>
    <w:rsid w:val="0084414B"/>
    <w:pPr>
      <w:widowControl w:val="0"/>
      <w:autoSpaceDE w:val="0"/>
      <w:autoSpaceDN w:val="0"/>
      <w:adjustRightInd w:val="0"/>
      <w:spacing w:line="187" w:lineRule="exact"/>
      <w:jc w:val="both"/>
    </w:pPr>
  </w:style>
  <w:style w:type="paragraph" w:customStyle="1" w:styleId="Style68">
    <w:name w:val="Style68"/>
    <w:basedOn w:val="Normlny"/>
    <w:uiPriority w:val="99"/>
    <w:rsid w:val="0084414B"/>
    <w:pPr>
      <w:widowControl w:val="0"/>
      <w:autoSpaceDE w:val="0"/>
      <w:autoSpaceDN w:val="0"/>
      <w:adjustRightInd w:val="0"/>
      <w:jc w:val="both"/>
    </w:pPr>
  </w:style>
  <w:style w:type="character" w:customStyle="1" w:styleId="FontStyle86">
    <w:name w:val="Font Style86"/>
    <w:uiPriority w:val="99"/>
    <w:rsid w:val="0084414B"/>
    <w:rPr>
      <w:rFonts w:ascii="Times New Roman" w:hAnsi="Times New Roman" w:cs="Times New Roman"/>
      <w:i/>
      <w:iCs/>
      <w:sz w:val="14"/>
      <w:szCs w:val="14"/>
    </w:rPr>
  </w:style>
  <w:style w:type="paragraph" w:customStyle="1" w:styleId="PRIORITNA">
    <w:name w:val="PRIORITNA"/>
    <w:basedOn w:val="Nadpis2"/>
    <w:link w:val="PRIORITNAChar"/>
    <w:qFormat/>
    <w:rsid w:val="00031E1D"/>
    <w:pPr>
      <w:jc w:val="both"/>
    </w:pPr>
  </w:style>
  <w:style w:type="character" w:customStyle="1" w:styleId="FontStyle51">
    <w:name w:val="Font Style51"/>
    <w:uiPriority w:val="99"/>
    <w:rsid w:val="001A218B"/>
    <w:rPr>
      <w:rFonts w:ascii="Times New Roman" w:hAnsi="Times New Roman" w:cs="Times New Roman"/>
      <w:sz w:val="22"/>
      <w:szCs w:val="22"/>
    </w:rPr>
  </w:style>
  <w:style w:type="character" w:customStyle="1" w:styleId="Nadpis2Char">
    <w:name w:val="Nadpis 2 Char"/>
    <w:aliases w:val="02_Heading 2 Char"/>
    <w:basedOn w:val="Predvolenpsmoodseku"/>
    <w:link w:val="Nadpis2"/>
    <w:rsid w:val="00765DFA"/>
    <w:rPr>
      <w:rFonts w:ascii="Arial Narrow" w:hAnsi="Arial Narrow" w:cs="Arial"/>
      <w:b/>
      <w:bCs/>
      <w:iCs/>
      <w:color w:val="4F81BD" w:themeColor="accent1"/>
      <w:sz w:val="23"/>
      <w:szCs w:val="28"/>
    </w:rPr>
  </w:style>
  <w:style w:type="character" w:customStyle="1" w:styleId="PRIORITNAChar">
    <w:name w:val="PRIORITNA Char"/>
    <w:basedOn w:val="Nadpis2Char"/>
    <w:link w:val="PRIORITNA"/>
    <w:rsid w:val="00031E1D"/>
    <w:rPr>
      <w:rFonts w:ascii="Arial Narrow" w:hAnsi="Arial Narrow" w:cs="Arial"/>
      <w:b/>
      <w:bCs/>
      <w:iCs/>
      <w:color w:val="4F81BD" w:themeColor="accent1"/>
      <w:sz w:val="23"/>
      <w:szCs w:val="28"/>
    </w:rPr>
  </w:style>
  <w:style w:type="paragraph" w:customStyle="1" w:styleId="06Normal">
    <w:name w:val="06_Normal"/>
    <w:link w:val="06NormalChar"/>
    <w:qFormat/>
    <w:rsid w:val="001A218B"/>
    <w:pPr>
      <w:spacing w:before="120" w:after="60"/>
      <w:jc w:val="both"/>
    </w:pPr>
    <w:rPr>
      <w:sz w:val="22"/>
      <w:lang w:eastAsia="en-US"/>
    </w:rPr>
  </w:style>
  <w:style w:type="character" w:customStyle="1" w:styleId="06NormalChar">
    <w:name w:val="06_Normal Char"/>
    <w:link w:val="06Normal"/>
    <w:rsid w:val="001A218B"/>
    <w:rPr>
      <w:sz w:val="22"/>
      <w:lang w:eastAsia="en-US"/>
    </w:rPr>
  </w:style>
  <w:style w:type="paragraph" w:customStyle="1" w:styleId="08Bullet1">
    <w:name w:val="08_Bullet 1"/>
    <w:basedOn w:val="06Normal"/>
    <w:link w:val="08Bullet1Char"/>
    <w:qFormat/>
    <w:rsid w:val="001A218B"/>
    <w:pPr>
      <w:numPr>
        <w:numId w:val="15"/>
      </w:numPr>
      <w:spacing w:before="0" w:after="120"/>
    </w:pPr>
    <w:rPr>
      <w:lang w:eastAsia="cs-CZ"/>
    </w:rPr>
  </w:style>
  <w:style w:type="character" w:customStyle="1" w:styleId="08Bullet1Char">
    <w:name w:val="08_Bullet 1 Char"/>
    <w:link w:val="08Bullet1"/>
    <w:rsid w:val="001A218B"/>
    <w:rPr>
      <w:sz w:val="22"/>
      <w:lang w:eastAsia="cs-CZ"/>
    </w:rPr>
  </w:style>
  <w:style w:type="paragraph" w:customStyle="1" w:styleId="Style40">
    <w:name w:val="Style40"/>
    <w:basedOn w:val="Normlny"/>
    <w:uiPriority w:val="99"/>
    <w:rsid w:val="001A218B"/>
    <w:pPr>
      <w:widowControl w:val="0"/>
      <w:autoSpaceDE w:val="0"/>
      <w:autoSpaceDN w:val="0"/>
      <w:adjustRightInd w:val="0"/>
    </w:pPr>
  </w:style>
  <w:style w:type="paragraph" w:customStyle="1" w:styleId="Style42">
    <w:name w:val="Style42"/>
    <w:basedOn w:val="Normlny"/>
    <w:uiPriority w:val="99"/>
    <w:rsid w:val="001A218B"/>
    <w:pPr>
      <w:widowControl w:val="0"/>
      <w:autoSpaceDE w:val="0"/>
      <w:autoSpaceDN w:val="0"/>
      <w:adjustRightInd w:val="0"/>
      <w:spacing w:line="211" w:lineRule="exact"/>
    </w:pPr>
  </w:style>
  <w:style w:type="character" w:customStyle="1" w:styleId="FontStyle83">
    <w:name w:val="Font Style83"/>
    <w:uiPriority w:val="99"/>
    <w:rsid w:val="001A218B"/>
    <w:rPr>
      <w:rFonts w:ascii="Times New Roman" w:hAnsi="Times New Roman" w:cs="Times New Roman"/>
      <w:b/>
      <w:bCs/>
      <w:sz w:val="16"/>
      <w:szCs w:val="16"/>
    </w:rPr>
  </w:style>
  <w:style w:type="character" w:customStyle="1" w:styleId="FontStyle93">
    <w:name w:val="Font Style93"/>
    <w:uiPriority w:val="99"/>
    <w:rsid w:val="001A218B"/>
    <w:rPr>
      <w:rFonts w:ascii="Times New Roman" w:hAnsi="Times New Roman" w:cs="Times New Roman"/>
      <w:sz w:val="16"/>
      <w:szCs w:val="16"/>
    </w:rPr>
  </w:style>
  <w:style w:type="paragraph" w:customStyle="1" w:styleId="tl1">
    <w:name w:val="Štýl1"/>
    <w:basedOn w:val="Nadpis3"/>
    <w:link w:val="tl1Char"/>
    <w:uiPriority w:val="99"/>
    <w:qFormat/>
    <w:rsid w:val="001A218B"/>
    <w:pPr>
      <w:numPr>
        <w:ilvl w:val="0"/>
        <w:numId w:val="0"/>
      </w:numPr>
      <w:ind w:left="2880" w:hanging="360"/>
      <w:jc w:val="both"/>
    </w:pPr>
    <w:rPr>
      <w:color w:val="4F81BD" w:themeColor="accent1"/>
      <w:sz w:val="23"/>
    </w:rPr>
  </w:style>
  <w:style w:type="character" w:customStyle="1" w:styleId="tl1Char">
    <w:name w:val="Štýl1 Char"/>
    <w:basedOn w:val="Predvolenpsmoodseku"/>
    <w:link w:val="tl1"/>
    <w:uiPriority w:val="99"/>
    <w:rsid w:val="001A218B"/>
    <w:rPr>
      <w:rFonts w:ascii="Arial Narrow" w:hAnsi="Arial Narrow" w:cs="Arial"/>
      <w:b/>
      <w:bCs/>
      <w:color w:val="4F81BD" w:themeColor="accent1"/>
      <w:sz w:val="23"/>
      <w:szCs w:val="26"/>
    </w:rPr>
  </w:style>
  <w:style w:type="character" w:customStyle="1" w:styleId="ObrhajoChar">
    <w:name w:val="Obr. hajo Char"/>
    <w:basedOn w:val="NzovObrzkuChar"/>
    <w:link w:val="Obrhajo"/>
    <w:rsid w:val="00CD3ABF"/>
    <w:rPr>
      <w:b/>
      <w:snapToGrid w:val="0"/>
      <w:sz w:val="22"/>
      <w:szCs w:val="23"/>
      <w:lang w:eastAsia="cs-CZ"/>
    </w:rPr>
  </w:style>
  <w:style w:type="paragraph" w:customStyle="1" w:styleId="Obr">
    <w:name w:val="_Obr."/>
    <w:basedOn w:val="NzovObrzku"/>
    <w:link w:val="ObrChar"/>
    <w:qFormat/>
    <w:rsid w:val="001B44F0"/>
    <w:pPr>
      <w:tabs>
        <w:tab w:val="clear" w:pos="180"/>
        <w:tab w:val="clear" w:pos="342"/>
      </w:tabs>
      <w:spacing w:before="180" w:after="0"/>
      <w:ind w:left="851"/>
    </w:pPr>
    <w:rPr>
      <w:sz w:val="22"/>
      <w:szCs w:val="24"/>
    </w:rPr>
  </w:style>
  <w:style w:type="character" w:customStyle="1" w:styleId="ObrChar">
    <w:name w:val="_Obr. Char"/>
    <w:basedOn w:val="NzovObrzkuChar"/>
    <w:link w:val="Obr"/>
    <w:rsid w:val="001B44F0"/>
    <w:rPr>
      <w:snapToGrid w:val="0"/>
      <w:sz w:val="22"/>
      <w:szCs w:val="24"/>
      <w:lang w:eastAsia="cs-CZ"/>
    </w:rPr>
  </w:style>
  <w:style w:type="paragraph" w:customStyle="1" w:styleId="08TableText">
    <w:name w:val="08_Table_Text"/>
    <w:basedOn w:val="Normlny"/>
    <w:link w:val="08TableTextChar"/>
    <w:qFormat/>
    <w:rsid w:val="00CD3ABF"/>
    <w:pPr>
      <w:spacing w:before="60" w:after="60"/>
      <w:jc w:val="both"/>
    </w:pPr>
    <w:rPr>
      <w:rFonts w:ascii="Arial" w:eastAsia="Calibri" w:hAnsi="Arial" w:cs="Arial"/>
      <w:sz w:val="16"/>
      <w:szCs w:val="20"/>
      <w:lang w:eastAsia="en-US"/>
    </w:rPr>
  </w:style>
  <w:style w:type="character" w:customStyle="1" w:styleId="08TableTextChar">
    <w:name w:val="08_Table_Text Char"/>
    <w:link w:val="08TableText"/>
    <w:rsid w:val="00CD3ABF"/>
    <w:rPr>
      <w:rFonts w:ascii="Arial" w:eastAsia="Calibri" w:hAnsi="Arial" w:cs="Arial"/>
      <w:sz w:val="16"/>
      <w:lang w:eastAsia="en-US"/>
    </w:rPr>
  </w:style>
  <w:style w:type="paragraph" w:customStyle="1" w:styleId="09TableHeading">
    <w:name w:val="09_Table_Heading"/>
    <w:basedOn w:val="08TableText"/>
    <w:link w:val="09TableHeadingChar"/>
    <w:qFormat/>
    <w:rsid w:val="00CD3ABF"/>
    <w:rPr>
      <w:b/>
      <w:color w:val="FFFFFF"/>
    </w:rPr>
  </w:style>
  <w:style w:type="character" w:customStyle="1" w:styleId="09TableHeadingChar">
    <w:name w:val="09_Table_Heading Char"/>
    <w:link w:val="09TableHeading"/>
    <w:rsid w:val="00CD3ABF"/>
    <w:rPr>
      <w:rFonts w:ascii="Arial" w:eastAsia="Calibri" w:hAnsi="Arial" w:cs="Arial"/>
      <w:b/>
      <w:color w:val="FFFFFF"/>
      <w:sz w:val="16"/>
      <w:lang w:eastAsia="en-US"/>
    </w:rPr>
  </w:style>
  <w:style w:type="character" w:customStyle="1" w:styleId="OdsekzoznamuChar">
    <w:name w:val="Odsek zoznamu Char"/>
    <w:aliases w:val="body Char,Odsek zoznamu2 Char"/>
    <w:basedOn w:val="Predvolenpsmoodseku"/>
    <w:link w:val="Odsekzoznamu"/>
    <w:uiPriority w:val="34"/>
    <w:rsid w:val="00772736"/>
    <w:rPr>
      <w:sz w:val="24"/>
      <w:szCs w:val="24"/>
    </w:rPr>
  </w:style>
  <w:style w:type="paragraph" w:customStyle="1" w:styleId="Graf">
    <w:name w:val="_Graf"/>
    <w:basedOn w:val="NzovObrzku"/>
    <w:link w:val="GrafChar"/>
    <w:qFormat/>
    <w:rsid w:val="009D2BD5"/>
    <w:pPr>
      <w:numPr>
        <w:numId w:val="28"/>
      </w:numPr>
      <w:ind w:left="851" w:hanging="851"/>
    </w:pPr>
    <w:rPr>
      <w:sz w:val="22"/>
    </w:rPr>
  </w:style>
  <w:style w:type="character" w:customStyle="1" w:styleId="GrafChar">
    <w:name w:val="_Graf Char"/>
    <w:basedOn w:val="NzovObrzkuChar"/>
    <w:link w:val="Graf"/>
    <w:rsid w:val="009D2BD5"/>
    <w:rPr>
      <w:snapToGrid w:val="0"/>
      <w:sz w:val="22"/>
      <w:szCs w:val="23"/>
      <w:lang w:eastAsia="cs-CZ"/>
    </w:rPr>
  </w:style>
  <w:style w:type="paragraph" w:styleId="Hlavikaobsahu">
    <w:name w:val="TOC Heading"/>
    <w:basedOn w:val="Nadpis1"/>
    <w:next w:val="Normlny"/>
    <w:uiPriority w:val="39"/>
    <w:semiHidden/>
    <w:unhideWhenUsed/>
    <w:qFormat/>
    <w:rsid w:val="00717C03"/>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tl2">
    <w:name w:val="Štýl2"/>
    <w:basedOn w:val="Nadpis4"/>
    <w:link w:val="tl2Char"/>
    <w:qFormat/>
    <w:rsid w:val="007008C5"/>
  </w:style>
  <w:style w:type="character" w:customStyle="1" w:styleId="Nadpis4Char">
    <w:name w:val="Nadpis 4 Char"/>
    <w:basedOn w:val="Predvolenpsmoodseku"/>
    <w:link w:val="Nadpis4"/>
    <w:rsid w:val="00740654"/>
    <w:rPr>
      <w:rFonts w:ascii="Arial Narrow" w:hAnsi="Arial Narrow"/>
      <w:b/>
      <w:bCs/>
      <w:i/>
      <w:color w:val="548DD4" w:themeColor="text2" w:themeTint="99"/>
      <w:sz w:val="22"/>
      <w:szCs w:val="28"/>
    </w:rPr>
  </w:style>
  <w:style w:type="character" w:customStyle="1" w:styleId="tl2Char">
    <w:name w:val="Štýl2 Char"/>
    <w:basedOn w:val="Nadpis4Char"/>
    <w:link w:val="tl2"/>
    <w:rsid w:val="007008C5"/>
    <w:rPr>
      <w:rFonts w:ascii="Arial Narrow" w:hAnsi="Arial Narrow"/>
      <w:b/>
      <w:bCs/>
      <w:i/>
      <w:color w:val="548DD4" w:themeColor="text2" w:themeTint="99"/>
      <w:sz w:val="22"/>
      <w:szCs w:val="28"/>
    </w:rPr>
  </w:style>
  <w:style w:type="paragraph" w:customStyle="1" w:styleId="tl3">
    <w:name w:val="Štýl3"/>
    <w:basedOn w:val="Nadpis4"/>
    <w:link w:val="tl3Char"/>
    <w:qFormat/>
    <w:rsid w:val="00607D47"/>
  </w:style>
  <w:style w:type="character" w:customStyle="1" w:styleId="tl3Char">
    <w:name w:val="Štýl3 Char"/>
    <w:basedOn w:val="Nadpis4Char"/>
    <w:link w:val="tl3"/>
    <w:rsid w:val="00607D47"/>
    <w:rPr>
      <w:rFonts w:ascii="Arial Narrow" w:hAnsi="Arial Narrow"/>
      <w:b/>
      <w:bCs/>
      <w:i/>
      <w:color w:val="548DD4" w:themeColor="text2" w:themeTint="99"/>
      <w:sz w:val="22"/>
      <w:szCs w:val="28"/>
    </w:rPr>
  </w:style>
  <w:style w:type="paragraph" w:customStyle="1" w:styleId="odsaden">
    <w:name w:val="odsadený"/>
    <w:basedOn w:val="Normlny"/>
    <w:uiPriority w:val="99"/>
    <w:rsid w:val="001A49CC"/>
    <w:pPr>
      <w:widowControl w:val="0"/>
      <w:numPr>
        <w:numId w:val="52"/>
      </w:numPr>
      <w:tabs>
        <w:tab w:val="left" w:pos="567"/>
        <w:tab w:val="left" w:pos="1701"/>
      </w:tabs>
      <w:adjustRightInd w:val="0"/>
      <w:spacing w:before="60" w:after="80" w:line="360" w:lineRule="atLeast"/>
      <w:jc w:val="both"/>
      <w:textAlignment w:val="baseline"/>
    </w:pPr>
    <w:rPr>
      <w:lang w:eastAsia="cs-CZ"/>
    </w:rPr>
  </w:style>
  <w:style w:type="paragraph" w:customStyle="1" w:styleId="18Textvtabulke">
    <w:name w:val="18_Text_v_tabulke"/>
    <w:basedOn w:val="Normlny"/>
    <w:link w:val="18TextvtabulkeChar"/>
    <w:qFormat/>
    <w:rsid w:val="002D5849"/>
    <w:rPr>
      <w:sz w:val="18"/>
      <w:szCs w:val="18"/>
    </w:rPr>
  </w:style>
  <w:style w:type="character" w:customStyle="1" w:styleId="18TextvtabulkeChar">
    <w:name w:val="18_Text_v_tabulke Char"/>
    <w:basedOn w:val="Predvolenpsmoodseku"/>
    <w:link w:val="18Textvtabulke"/>
    <w:rsid w:val="002D5849"/>
    <w:rPr>
      <w:sz w:val="18"/>
      <w:szCs w:val="18"/>
    </w:rPr>
  </w:style>
  <w:style w:type="paragraph" w:customStyle="1" w:styleId="09Bullet2">
    <w:name w:val="09_Bullet 2"/>
    <w:basedOn w:val="Normlny"/>
    <w:link w:val="09Bullet2Char"/>
    <w:qFormat/>
    <w:rsid w:val="001A1926"/>
    <w:pPr>
      <w:numPr>
        <w:numId w:val="63"/>
      </w:numPr>
      <w:spacing w:before="120" w:after="120"/>
      <w:jc w:val="both"/>
    </w:pPr>
    <w:rPr>
      <w:sz w:val="22"/>
      <w:szCs w:val="20"/>
      <w:lang w:val="en-US" w:eastAsia="en-US"/>
    </w:rPr>
  </w:style>
  <w:style w:type="character" w:customStyle="1" w:styleId="09Bullet2Char">
    <w:name w:val="09_Bullet 2 Char"/>
    <w:basedOn w:val="08Bullet1Char"/>
    <w:link w:val="09Bullet2"/>
    <w:rsid w:val="001A1926"/>
    <w:rPr>
      <w:sz w:val="22"/>
      <w:lang w:val="en-US" w:eastAsia="en-US"/>
    </w:rPr>
  </w:style>
  <w:style w:type="paragraph" w:styleId="Revzia">
    <w:name w:val="Revision"/>
    <w:hidden/>
    <w:uiPriority w:val="99"/>
    <w:semiHidden/>
    <w:rsid w:val="00D90E59"/>
    <w:rPr>
      <w:sz w:val="24"/>
      <w:szCs w:val="24"/>
    </w:rPr>
  </w:style>
  <w:style w:type="character" w:customStyle="1" w:styleId="Nadpis6Char">
    <w:name w:val="Nadpis 6 Char"/>
    <w:basedOn w:val="Predvolenpsmoodseku"/>
    <w:link w:val="Nadpis6"/>
    <w:uiPriority w:val="9"/>
    <w:rsid w:val="004459AB"/>
    <w:rPr>
      <w:b/>
      <w:bCs/>
      <w:sz w:val="22"/>
      <w:szCs w:val="22"/>
    </w:rPr>
  </w:style>
  <w:style w:type="paragraph" w:customStyle="1" w:styleId="09Table">
    <w:name w:val="09_Table"/>
    <w:basedOn w:val="Normlny"/>
    <w:link w:val="09TableChar"/>
    <w:rsid w:val="008246A5"/>
    <w:pPr>
      <w:jc w:val="center"/>
    </w:pPr>
    <w:rPr>
      <w:sz w:val="18"/>
      <w:szCs w:val="18"/>
    </w:rPr>
  </w:style>
  <w:style w:type="character" w:customStyle="1" w:styleId="09TableChar">
    <w:name w:val="09_Table Char"/>
    <w:basedOn w:val="Predvolenpsmoodseku"/>
    <w:link w:val="09Table"/>
    <w:rsid w:val="008246A5"/>
    <w:rPr>
      <w:sz w:val="18"/>
      <w:szCs w:val="18"/>
    </w:rPr>
  </w:style>
  <w:style w:type="paragraph" w:customStyle="1" w:styleId="Vchodzie">
    <w:name w:val="Východzie"/>
    <w:rsid w:val="00844520"/>
    <w:pPr>
      <w:suppressAutoHyphens/>
      <w:overflowPunct w:val="0"/>
      <w:spacing w:before="120" w:after="120" w:line="276" w:lineRule="auto"/>
      <w:jc w:val="both"/>
    </w:pPr>
    <w:rPr>
      <w:rFonts w:ascii="Calibri" w:eastAsiaTheme="minorEastAsia" w:hAnsi="Calibri" w:cs="Mangal"/>
      <w:color w:val="00000A"/>
      <w:sz w:val="22"/>
      <w:szCs w:val="24"/>
      <w:lang w:eastAsia="en-US"/>
    </w:rPr>
  </w:style>
  <w:style w:type="character" w:customStyle="1" w:styleId="h1a1">
    <w:name w:val="h1a1"/>
    <w:basedOn w:val="Predvolenpsmoodseku"/>
    <w:rsid w:val="00DB77C1"/>
    <w:rPr>
      <w:vanish w:val="0"/>
      <w:webHidden w:val="0"/>
      <w:sz w:val="18"/>
      <w:szCs w:val="18"/>
      <w:specVanish w:val="0"/>
    </w:rPr>
  </w:style>
  <w:style w:type="paragraph" w:customStyle="1" w:styleId="CM1">
    <w:name w:val="CM1"/>
    <w:basedOn w:val="Default"/>
    <w:next w:val="Default"/>
    <w:uiPriority w:val="99"/>
    <w:rsid w:val="008D54D4"/>
    <w:rPr>
      <w:rFonts w:ascii="EUAlbertina" w:hAnsi="EUAlbertina"/>
      <w:color w:val="auto"/>
    </w:rPr>
  </w:style>
  <w:style w:type="paragraph" w:customStyle="1" w:styleId="CM3">
    <w:name w:val="CM3"/>
    <w:basedOn w:val="Default"/>
    <w:next w:val="Default"/>
    <w:uiPriority w:val="99"/>
    <w:rsid w:val="008D54D4"/>
    <w:rPr>
      <w:rFonts w:ascii="EUAlbertina" w:hAnsi="EUAlbertina"/>
      <w:color w:val="auto"/>
    </w:rPr>
  </w:style>
  <w:style w:type="character" w:styleId="Zstupntext">
    <w:name w:val="Placeholder Text"/>
    <w:basedOn w:val="Predvolenpsmoodseku"/>
    <w:uiPriority w:val="99"/>
    <w:semiHidden/>
    <w:rsid w:val="00AE5DAA"/>
    <w:rPr>
      <w:rFonts w:ascii="Times New Roman" w:hAnsi="Times New Roman" w:cs="Times New Roman" w:hint="default"/>
      <w:color w:val="808080"/>
    </w:rPr>
  </w:style>
  <w:style w:type="character" w:customStyle="1" w:styleId="ObyajntextChar">
    <w:name w:val="Obyčajný text Char"/>
    <w:basedOn w:val="Predvolenpsmoodseku"/>
    <w:link w:val="Obyajntext"/>
    <w:uiPriority w:val="99"/>
    <w:rsid w:val="001A6415"/>
    <w:rPr>
      <w:rFonts w:ascii="Courier New" w:hAnsi="Courier New" w:cs="Courier New"/>
    </w:rPr>
  </w:style>
  <w:style w:type="paragraph" w:customStyle="1" w:styleId="Lukas2">
    <w:name w:val="Lukas2"/>
    <w:basedOn w:val="Odsekzoznamu"/>
    <w:qFormat/>
    <w:rsid w:val="00627E8B"/>
    <w:pPr>
      <w:numPr>
        <w:ilvl w:val="1"/>
        <w:numId w:val="83"/>
      </w:numPr>
      <w:tabs>
        <w:tab w:val="num" w:pos="360"/>
      </w:tabs>
      <w:ind w:left="720" w:firstLine="0"/>
    </w:pPr>
    <w:rPr>
      <w:rFonts w:ascii="Arial Narrow" w:hAnsi="Arial Narrow"/>
      <w:b/>
    </w:rPr>
  </w:style>
  <w:style w:type="numbering" w:customStyle="1" w:styleId="tl4">
    <w:name w:val="Štýl4"/>
    <w:uiPriority w:val="99"/>
    <w:rsid w:val="00635945"/>
    <w:pPr>
      <w:numPr>
        <w:numId w:val="111"/>
      </w:numPr>
    </w:pPr>
  </w:style>
  <w:style w:type="paragraph" w:customStyle="1" w:styleId="TableParagraph">
    <w:name w:val="Table Paragraph"/>
    <w:basedOn w:val="Normlny"/>
    <w:uiPriority w:val="1"/>
    <w:qFormat/>
    <w:rsid w:val="00E33689"/>
    <w:pPr>
      <w:widowControl w:val="0"/>
    </w:pPr>
    <w:rPr>
      <w:rFonts w:asciiTheme="minorHAnsi" w:eastAsiaTheme="minorHAnsi" w:hAnsiTheme="minorHAnsi" w:cstheme="minorBidi"/>
      <w:sz w:val="22"/>
      <w:szCs w:val="22"/>
      <w:lang w:val="en-US" w:eastAsia="en-US"/>
    </w:rPr>
  </w:style>
  <w:style w:type="character" w:customStyle="1" w:styleId="Nadpis5Char">
    <w:name w:val="Nadpis 5 Char"/>
    <w:aliases w:val="05_Heading 5 Char"/>
    <w:basedOn w:val="Predvolenpsmoodseku"/>
    <w:link w:val="Nadpis5"/>
    <w:rsid w:val="00E10737"/>
    <w:rPr>
      <w:b/>
      <w:bCs/>
      <w:i/>
      <w:iCs/>
      <w:sz w:val="26"/>
      <w:szCs w:val="26"/>
    </w:rPr>
  </w:style>
  <w:style w:type="character" w:customStyle="1" w:styleId="Nadpis8Char">
    <w:name w:val="Nadpis 8 Char"/>
    <w:basedOn w:val="Predvolenpsmoodseku"/>
    <w:link w:val="Nadpis8"/>
    <w:uiPriority w:val="9"/>
    <w:rsid w:val="00E10737"/>
    <w:rPr>
      <w:i/>
      <w:iCs/>
      <w:sz w:val="24"/>
      <w:szCs w:val="24"/>
    </w:rPr>
  </w:style>
  <w:style w:type="character" w:customStyle="1" w:styleId="Nadpis9Char">
    <w:name w:val="Nadpis 9 Char"/>
    <w:basedOn w:val="Predvolenpsmoodseku"/>
    <w:link w:val="Nadpis9"/>
    <w:uiPriority w:val="9"/>
    <w:rsid w:val="00E10737"/>
    <w:rPr>
      <w:rFonts w:ascii="Arial" w:hAnsi="Arial" w:cs="Arial"/>
      <w:sz w:val="22"/>
      <w:szCs w:val="22"/>
    </w:rPr>
  </w:style>
  <w:style w:type="character" w:customStyle="1" w:styleId="PtaChar">
    <w:name w:val="Päta Char"/>
    <w:basedOn w:val="Predvolenpsmoodseku"/>
    <w:link w:val="Pta"/>
    <w:rsid w:val="00E10737"/>
    <w:rPr>
      <w:sz w:val="24"/>
      <w:szCs w:val="24"/>
    </w:rPr>
  </w:style>
  <w:style w:type="character" w:customStyle="1" w:styleId="Zkladntext2Char">
    <w:name w:val="Základný text 2 Char"/>
    <w:basedOn w:val="Predvolenpsmoodseku"/>
    <w:link w:val="Zkladntext2"/>
    <w:semiHidden/>
    <w:rsid w:val="00E10737"/>
    <w:rPr>
      <w:sz w:val="24"/>
      <w:szCs w:val="24"/>
    </w:rPr>
  </w:style>
  <w:style w:type="character" w:customStyle="1" w:styleId="TextbublinyChar">
    <w:name w:val="Text bubliny Char"/>
    <w:basedOn w:val="Predvolenpsmoodseku"/>
    <w:link w:val="Textbubliny"/>
    <w:uiPriority w:val="99"/>
    <w:semiHidden/>
    <w:rsid w:val="00E10737"/>
    <w:rPr>
      <w:rFonts w:ascii="Tahoma" w:hAnsi="Tahoma" w:cs="Tahoma"/>
      <w:sz w:val="28"/>
      <w:szCs w:val="16"/>
    </w:rPr>
  </w:style>
  <w:style w:type="character" w:customStyle="1" w:styleId="PredmetkomentraChar">
    <w:name w:val="Predmet komentára Char"/>
    <w:basedOn w:val="TextkomentraChar"/>
    <w:link w:val="Predmetkomentra"/>
    <w:semiHidden/>
    <w:rsid w:val="00E10737"/>
    <w:rPr>
      <w:b/>
      <w:bCs/>
    </w:rPr>
  </w:style>
  <w:style w:type="character" w:customStyle="1" w:styleId="ZarkazkladnhotextuChar">
    <w:name w:val="Zarážka základného textu Char"/>
    <w:basedOn w:val="Predvolenpsmoodseku"/>
    <w:link w:val="Zarkazkladnhotextu"/>
    <w:semiHidden/>
    <w:rsid w:val="00E10737"/>
    <w:rPr>
      <w:sz w:val="24"/>
      <w:szCs w:val="24"/>
    </w:rPr>
  </w:style>
  <w:style w:type="character" w:customStyle="1" w:styleId="Zkladntext3Char">
    <w:name w:val="Základný text 3 Char"/>
    <w:basedOn w:val="Predvolenpsmoodseku"/>
    <w:link w:val="Zkladntext3"/>
    <w:semiHidden/>
    <w:rsid w:val="00E10737"/>
    <w:rPr>
      <w:sz w:val="16"/>
      <w:szCs w:val="16"/>
      <w:lang w:eastAsia="cs-CZ"/>
    </w:rPr>
  </w:style>
  <w:style w:type="character" w:customStyle="1" w:styleId="truktradokumentuChar">
    <w:name w:val="Štruktúra dokumentu Char"/>
    <w:basedOn w:val="Predvolenpsmoodseku"/>
    <w:link w:val="truktradokumentu"/>
    <w:semiHidden/>
    <w:rsid w:val="00E10737"/>
    <w:rPr>
      <w:rFonts w:ascii="Tahoma" w:hAnsi="Tahoma" w:cs="Tahoma"/>
      <w:shd w:val="clear" w:color="auto" w:fill="000080"/>
    </w:rPr>
  </w:style>
  <w:style w:type="character" w:customStyle="1" w:styleId="TextvysvetlivkyChar">
    <w:name w:val="Text vysvetlivky Char"/>
    <w:basedOn w:val="Predvolenpsmoodseku"/>
    <w:link w:val="Textvysvetlivky"/>
    <w:semiHidden/>
    <w:rsid w:val="00E10737"/>
  </w:style>
  <w:style w:type="character" w:customStyle="1" w:styleId="AdresaHTMLChar">
    <w:name w:val="Adresa HTML Char"/>
    <w:basedOn w:val="Predvolenpsmoodseku"/>
    <w:link w:val="AdresaHTML"/>
    <w:rsid w:val="00E10737"/>
    <w:rPr>
      <w:i/>
      <w:iCs/>
      <w:sz w:val="24"/>
      <w:szCs w:val="24"/>
    </w:rPr>
  </w:style>
  <w:style w:type="character" w:customStyle="1" w:styleId="DtumChar">
    <w:name w:val="Dátum Char"/>
    <w:basedOn w:val="Predvolenpsmoodseku"/>
    <w:link w:val="Dtum"/>
    <w:rsid w:val="00E10737"/>
    <w:rPr>
      <w:sz w:val="24"/>
      <w:szCs w:val="24"/>
    </w:rPr>
  </w:style>
  <w:style w:type="character" w:customStyle="1" w:styleId="PredformtovanHTMLChar">
    <w:name w:val="Predformátované HTML Char"/>
    <w:basedOn w:val="Predvolenpsmoodseku"/>
    <w:link w:val="PredformtovanHTML"/>
    <w:rsid w:val="00E10737"/>
    <w:rPr>
      <w:rFonts w:ascii="Courier New" w:hAnsi="Courier New" w:cs="Courier New"/>
    </w:rPr>
  </w:style>
  <w:style w:type="character" w:customStyle="1" w:styleId="NadpispoznmkyChar">
    <w:name w:val="Nadpis poznámky Char"/>
    <w:basedOn w:val="Predvolenpsmoodseku"/>
    <w:link w:val="Nadpispoznmky"/>
    <w:rsid w:val="00E10737"/>
    <w:rPr>
      <w:sz w:val="24"/>
      <w:szCs w:val="24"/>
    </w:rPr>
  </w:style>
  <w:style w:type="character" w:customStyle="1" w:styleId="OslovenieChar">
    <w:name w:val="Oslovenie Char"/>
    <w:basedOn w:val="Predvolenpsmoodseku"/>
    <w:link w:val="Oslovenie"/>
    <w:rsid w:val="00E10737"/>
    <w:rPr>
      <w:sz w:val="24"/>
      <w:szCs w:val="24"/>
    </w:rPr>
  </w:style>
  <w:style w:type="character" w:customStyle="1" w:styleId="PodpisChar">
    <w:name w:val="Podpis Char"/>
    <w:basedOn w:val="Predvolenpsmoodseku"/>
    <w:link w:val="Podpis"/>
    <w:rsid w:val="00E10737"/>
    <w:rPr>
      <w:sz w:val="24"/>
      <w:szCs w:val="24"/>
    </w:rPr>
  </w:style>
  <w:style w:type="character" w:customStyle="1" w:styleId="Podpise-mailuChar">
    <w:name w:val="Podpis e-mailu Char"/>
    <w:basedOn w:val="Predvolenpsmoodseku"/>
    <w:link w:val="Podpise-mailu"/>
    <w:rsid w:val="00E10737"/>
    <w:rPr>
      <w:sz w:val="24"/>
      <w:szCs w:val="24"/>
    </w:rPr>
  </w:style>
  <w:style w:type="character" w:customStyle="1" w:styleId="PodtitulChar">
    <w:name w:val="Podtitul Char"/>
    <w:basedOn w:val="Predvolenpsmoodseku"/>
    <w:link w:val="Podtitul"/>
    <w:rsid w:val="00E10737"/>
    <w:rPr>
      <w:rFonts w:ascii="Arial" w:hAnsi="Arial" w:cs="Arial"/>
      <w:sz w:val="24"/>
      <w:szCs w:val="24"/>
    </w:rPr>
  </w:style>
  <w:style w:type="character" w:customStyle="1" w:styleId="TextmakraChar">
    <w:name w:val="Text makra Char"/>
    <w:basedOn w:val="Predvolenpsmoodseku"/>
    <w:link w:val="Textmakra"/>
    <w:semiHidden/>
    <w:rsid w:val="00E10737"/>
    <w:rPr>
      <w:rFonts w:ascii="Courier New" w:hAnsi="Courier New" w:cs="Courier New"/>
    </w:rPr>
  </w:style>
  <w:style w:type="character" w:customStyle="1" w:styleId="HlavikasprvyChar">
    <w:name w:val="Hlavička správy Char"/>
    <w:basedOn w:val="Predvolenpsmoodseku"/>
    <w:link w:val="Hlavikasprvy"/>
    <w:rsid w:val="00E10737"/>
    <w:rPr>
      <w:rFonts w:ascii="Arial" w:hAnsi="Arial" w:cs="Arial"/>
      <w:sz w:val="24"/>
      <w:szCs w:val="24"/>
      <w:shd w:val="pct20" w:color="auto" w:fill="auto"/>
    </w:rPr>
  </w:style>
  <w:style w:type="character" w:customStyle="1" w:styleId="PrvzarkazkladnhotextuChar">
    <w:name w:val="Prvá zarážka základného textu Char"/>
    <w:basedOn w:val="ZkladntextChar"/>
    <w:link w:val="Prvzarkazkladnhotextu"/>
    <w:rsid w:val="00E10737"/>
    <w:rPr>
      <w:sz w:val="24"/>
      <w:szCs w:val="24"/>
    </w:rPr>
  </w:style>
  <w:style w:type="character" w:customStyle="1" w:styleId="Prvzarkazkladnhotextu2Char">
    <w:name w:val="Prvá zarážka základného textu 2 Char"/>
    <w:basedOn w:val="ZarkazkladnhotextuChar"/>
    <w:link w:val="Prvzarkazkladnhotextu2"/>
    <w:rsid w:val="00E10737"/>
    <w:rPr>
      <w:sz w:val="24"/>
      <w:szCs w:val="24"/>
    </w:rPr>
  </w:style>
  <w:style w:type="character" w:customStyle="1" w:styleId="Zarkazkladnhotextu2Char">
    <w:name w:val="Zarážka základného textu 2 Char"/>
    <w:basedOn w:val="Predvolenpsmoodseku"/>
    <w:link w:val="Zarkazkladnhotextu2"/>
    <w:rsid w:val="00E10737"/>
    <w:rPr>
      <w:sz w:val="24"/>
      <w:szCs w:val="24"/>
    </w:rPr>
  </w:style>
  <w:style w:type="character" w:customStyle="1" w:styleId="Zarkazkladnhotextu3Char">
    <w:name w:val="Zarážka základného textu 3 Char"/>
    <w:basedOn w:val="Predvolenpsmoodseku"/>
    <w:link w:val="Zarkazkladnhotextu3"/>
    <w:rsid w:val="00E10737"/>
    <w:rPr>
      <w:sz w:val="16"/>
      <w:szCs w:val="16"/>
    </w:rPr>
  </w:style>
  <w:style w:type="character" w:customStyle="1" w:styleId="ZverChar">
    <w:name w:val="Záver Char"/>
    <w:basedOn w:val="Predvolenpsmoodseku"/>
    <w:link w:val="Zver"/>
    <w:rsid w:val="00E107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5420">
      <w:bodyDiv w:val="1"/>
      <w:marLeft w:val="0"/>
      <w:marRight w:val="0"/>
      <w:marTop w:val="0"/>
      <w:marBottom w:val="0"/>
      <w:divBdr>
        <w:top w:val="none" w:sz="0" w:space="0" w:color="auto"/>
        <w:left w:val="none" w:sz="0" w:space="0" w:color="auto"/>
        <w:bottom w:val="none" w:sz="0" w:space="0" w:color="auto"/>
        <w:right w:val="none" w:sz="0" w:space="0" w:color="auto"/>
      </w:divBdr>
    </w:div>
    <w:div w:id="16540851">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0709519">
      <w:bodyDiv w:val="1"/>
      <w:marLeft w:val="0"/>
      <w:marRight w:val="0"/>
      <w:marTop w:val="0"/>
      <w:marBottom w:val="0"/>
      <w:divBdr>
        <w:top w:val="none" w:sz="0" w:space="0" w:color="auto"/>
        <w:left w:val="none" w:sz="0" w:space="0" w:color="auto"/>
        <w:bottom w:val="none" w:sz="0" w:space="0" w:color="auto"/>
        <w:right w:val="none" w:sz="0" w:space="0" w:color="auto"/>
      </w:divBdr>
    </w:div>
    <w:div w:id="27681337">
      <w:bodyDiv w:val="1"/>
      <w:marLeft w:val="0"/>
      <w:marRight w:val="0"/>
      <w:marTop w:val="0"/>
      <w:marBottom w:val="0"/>
      <w:divBdr>
        <w:top w:val="none" w:sz="0" w:space="0" w:color="auto"/>
        <w:left w:val="none" w:sz="0" w:space="0" w:color="auto"/>
        <w:bottom w:val="none" w:sz="0" w:space="0" w:color="auto"/>
        <w:right w:val="none" w:sz="0" w:space="0" w:color="auto"/>
      </w:divBdr>
    </w:div>
    <w:div w:id="29500336">
      <w:bodyDiv w:val="1"/>
      <w:marLeft w:val="0"/>
      <w:marRight w:val="0"/>
      <w:marTop w:val="0"/>
      <w:marBottom w:val="0"/>
      <w:divBdr>
        <w:top w:val="none" w:sz="0" w:space="0" w:color="auto"/>
        <w:left w:val="none" w:sz="0" w:space="0" w:color="auto"/>
        <w:bottom w:val="none" w:sz="0" w:space="0" w:color="auto"/>
        <w:right w:val="none" w:sz="0" w:space="0" w:color="auto"/>
      </w:divBdr>
    </w:div>
    <w:div w:id="32854820">
      <w:bodyDiv w:val="1"/>
      <w:marLeft w:val="0"/>
      <w:marRight w:val="0"/>
      <w:marTop w:val="0"/>
      <w:marBottom w:val="0"/>
      <w:divBdr>
        <w:top w:val="none" w:sz="0" w:space="0" w:color="auto"/>
        <w:left w:val="none" w:sz="0" w:space="0" w:color="auto"/>
        <w:bottom w:val="none" w:sz="0" w:space="0" w:color="auto"/>
        <w:right w:val="none" w:sz="0" w:space="0" w:color="auto"/>
      </w:divBdr>
    </w:div>
    <w:div w:id="35813307">
      <w:bodyDiv w:val="1"/>
      <w:marLeft w:val="0"/>
      <w:marRight w:val="0"/>
      <w:marTop w:val="0"/>
      <w:marBottom w:val="0"/>
      <w:divBdr>
        <w:top w:val="none" w:sz="0" w:space="0" w:color="auto"/>
        <w:left w:val="none" w:sz="0" w:space="0" w:color="auto"/>
        <w:bottom w:val="none" w:sz="0" w:space="0" w:color="auto"/>
        <w:right w:val="none" w:sz="0" w:space="0" w:color="auto"/>
      </w:divBdr>
    </w:div>
    <w:div w:id="44765631">
      <w:bodyDiv w:val="1"/>
      <w:marLeft w:val="0"/>
      <w:marRight w:val="0"/>
      <w:marTop w:val="0"/>
      <w:marBottom w:val="0"/>
      <w:divBdr>
        <w:top w:val="none" w:sz="0" w:space="0" w:color="auto"/>
        <w:left w:val="none" w:sz="0" w:space="0" w:color="auto"/>
        <w:bottom w:val="none" w:sz="0" w:space="0" w:color="auto"/>
        <w:right w:val="none" w:sz="0" w:space="0" w:color="auto"/>
      </w:divBdr>
    </w:div>
    <w:div w:id="51387234">
      <w:bodyDiv w:val="1"/>
      <w:marLeft w:val="0"/>
      <w:marRight w:val="0"/>
      <w:marTop w:val="0"/>
      <w:marBottom w:val="0"/>
      <w:divBdr>
        <w:top w:val="none" w:sz="0" w:space="0" w:color="auto"/>
        <w:left w:val="none" w:sz="0" w:space="0" w:color="auto"/>
        <w:bottom w:val="none" w:sz="0" w:space="0" w:color="auto"/>
        <w:right w:val="none" w:sz="0" w:space="0" w:color="auto"/>
      </w:divBdr>
    </w:div>
    <w:div w:id="59863201">
      <w:bodyDiv w:val="1"/>
      <w:marLeft w:val="0"/>
      <w:marRight w:val="0"/>
      <w:marTop w:val="0"/>
      <w:marBottom w:val="0"/>
      <w:divBdr>
        <w:top w:val="none" w:sz="0" w:space="0" w:color="auto"/>
        <w:left w:val="none" w:sz="0" w:space="0" w:color="auto"/>
        <w:bottom w:val="none" w:sz="0" w:space="0" w:color="auto"/>
        <w:right w:val="none" w:sz="0" w:space="0" w:color="auto"/>
      </w:divBdr>
    </w:div>
    <w:div w:id="60493594">
      <w:bodyDiv w:val="1"/>
      <w:marLeft w:val="0"/>
      <w:marRight w:val="0"/>
      <w:marTop w:val="0"/>
      <w:marBottom w:val="0"/>
      <w:divBdr>
        <w:top w:val="none" w:sz="0" w:space="0" w:color="auto"/>
        <w:left w:val="none" w:sz="0" w:space="0" w:color="auto"/>
        <w:bottom w:val="none" w:sz="0" w:space="0" w:color="auto"/>
        <w:right w:val="none" w:sz="0" w:space="0" w:color="auto"/>
      </w:divBdr>
    </w:div>
    <w:div w:id="62335656">
      <w:bodyDiv w:val="1"/>
      <w:marLeft w:val="0"/>
      <w:marRight w:val="0"/>
      <w:marTop w:val="0"/>
      <w:marBottom w:val="0"/>
      <w:divBdr>
        <w:top w:val="none" w:sz="0" w:space="0" w:color="auto"/>
        <w:left w:val="none" w:sz="0" w:space="0" w:color="auto"/>
        <w:bottom w:val="none" w:sz="0" w:space="0" w:color="auto"/>
        <w:right w:val="none" w:sz="0" w:space="0" w:color="auto"/>
      </w:divBdr>
    </w:div>
    <w:div w:id="70154008">
      <w:bodyDiv w:val="1"/>
      <w:marLeft w:val="0"/>
      <w:marRight w:val="0"/>
      <w:marTop w:val="0"/>
      <w:marBottom w:val="0"/>
      <w:divBdr>
        <w:top w:val="none" w:sz="0" w:space="0" w:color="auto"/>
        <w:left w:val="none" w:sz="0" w:space="0" w:color="auto"/>
        <w:bottom w:val="none" w:sz="0" w:space="0" w:color="auto"/>
        <w:right w:val="none" w:sz="0" w:space="0" w:color="auto"/>
      </w:divBdr>
    </w:div>
    <w:div w:id="77293420">
      <w:bodyDiv w:val="1"/>
      <w:marLeft w:val="0"/>
      <w:marRight w:val="0"/>
      <w:marTop w:val="0"/>
      <w:marBottom w:val="0"/>
      <w:divBdr>
        <w:top w:val="none" w:sz="0" w:space="0" w:color="auto"/>
        <w:left w:val="none" w:sz="0" w:space="0" w:color="auto"/>
        <w:bottom w:val="none" w:sz="0" w:space="0" w:color="auto"/>
        <w:right w:val="none" w:sz="0" w:space="0" w:color="auto"/>
      </w:divBdr>
    </w:div>
    <w:div w:id="84691636">
      <w:bodyDiv w:val="1"/>
      <w:marLeft w:val="0"/>
      <w:marRight w:val="0"/>
      <w:marTop w:val="0"/>
      <w:marBottom w:val="0"/>
      <w:divBdr>
        <w:top w:val="none" w:sz="0" w:space="0" w:color="auto"/>
        <w:left w:val="none" w:sz="0" w:space="0" w:color="auto"/>
        <w:bottom w:val="none" w:sz="0" w:space="0" w:color="auto"/>
        <w:right w:val="none" w:sz="0" w:space="0" w:color="auto"/>
      </w:divBdr>
    </w:div>
    <w:div w:id="98647330">
      <w:bodyDiv w:val="1"/>
      <w:marLeft w:val="0"/>
      <w:marRight w:val="0"/>
      <w:marTop w:val="0"/>
      <w:marBottom w:val="0"/>
      <w:divBdr>
        <w:top w:val="none" w:sz="0" w:space="0" w:color="auto"/>
        <w:left w:val="none" w:sz="0" w:space="0" w:color="auto"/>
        <w:bottom w:val="none" w:sz="0" w:space="0" w:color="auto"/>
        <w:right w:val="none" w:sz="0" w:space="0" w:color="auto"/>
      </w:divBdr>
    </w:div>
    <w:div w:id="99179342">
      <w:bodyDiv w:val="1"/>
      <w:marLeft w:val="0"/>
      <w:marRight w:val="0"/>
      <w:marTop w:val="0"/>
      <w:marBottom w:val="0"/>
      <w:divBdr>
        <w:top w:val="none" w:sz="0" w:space="0" w:color="auto"/>
        <w:left w:val="none" w:sz="0" w:space="0" w:color="auto"/>
        <w:bottom w:val="none" w:sz="0" w:space="0" w:color="auto"/>
        <w:right w:val="none" w:sz="0" w:space="0" w:color="auto"/>
      </w:divBdr>
    </w:div>
    <w:div w:id="99683851">
      <w:bodyDiv w:val="1"/>
      <w:marLeft w:val="0"/>
      <w:marRight w:val="0"/>
      <w:marTop w:val="0"/>
      <w:marBottom w:val="0"/>
      <w:divBdr>
        <w:top w:val="none" w:sz="0" w:space="0" w:color="auto"/>
        <w:left w:val="none" w:sz="0" w:space="0" w:color="auto"/>
        <w:bottom w:val="none" w:sz="0" w:space="0" w:color="auto"/>
        <w:right w:val="none" w:sz="0" w:space="0" w:color="auto"/>
      </w:divBdr>
    </w:div>
    <w:div w:id="101607826">
      <w:bodyDiv w:val="1"/>
      <w:marLeft w:val="0"/>
      <w:marRight w:val="0"/>
      <w:marTop w:val="0"/>
      <w:marBottom w:val="0"/>
      <w:divBdr>
        <w:top w:val="none" w:sz="0" w:space="0" w:color="auto"/>
        <w:left w:val="none" w:sz="0" w:space="0" w:color="auto"/>
        <w:bottom w:val="none" w:sz="0" w:space="0" w:color="auto"/>
        <w:right w:val="none" w:sz="0" w:space="0" w:color="auto"/>
      </w:divBdr>
    </w:div>
    <w:div w:id="115831551">
      <w:bodyDiv w:val="1"/>
      <w:marLeft w:val="0"/>
      <w:marRight w:val="0"/>
      <w:marTop w:val="0"/>
      <w:marBottom w:val="0"/>
      <w:divBdr>
        <w:top w:val="none" w:sz="0" w:space="0" w:color="auto"/>
        <w:left w:val="none" w:sz="0" w:space="0" w:color="auto"/>
        <w:bottom w:val="none" w:sz="0" w:space="0" w:color="auto"/>
        <w:right w:val="none" w:sz="0" w:space="0" w:color="auto"/>
      </w:divBdr>
    </w:div>
    <w:div w:id="121196889">
      <w:bodyDiv w:val="1"/>
      <w:marLeft w:val="0"/>
      <w:marRight w:val="0"/>
      <w:marTop w:val="0"/>
      <w:marBottom w:val="0"/>
      <w:divBdr>
        <w:top w:val="none" w:sz="0" w:space="0" w:color="auto"/>
        <w:left w:val="none" w:sz="0" w:space="0" w:color="auto"/>
        <w:bottom w:val="none" w:sz="0" w:space="0" w:color="auto"/>
        <w:right w:val="none" w:sz="0" w:space="0" w:color="auto"/>
      </w:divBdr>
    </w:div>
    <w:div w:id="121733078">
      <w:bodyDiv w:val="1"/>
      <w:marLeft w:val="0"/>
      <w:marRight w:val="0"/>
      <w:marTop w:val="0"/>
      <w:marBottom w:val="0"/>
      <w:divBdr>
        <w:top w:val="none" w:sz="0" w:space="0" w:color="auto"/>
        <w:left w:val="none" w:sz="0" w:space="0" w:color="auto"/>
        <w:bottom w:val="none" w:sz="0" w:space="0" w:color="auto"/>
        <w:right w:val="none" w:sz="0" w:space="0" w:color="auto"/>
      </w:divBdr>
    </w:div>
    <w:div w:id="123349829">
      <w:bodyDiv w:val="1"/>
      <w:marLeft w:val="0"/>
      <w:marRight w:val="0"/>
      <w:marTop w:val="0"/>
      <w:marBottom w:val="0"/>
      <w:divBdr>
        <w:top w:val="none" w:sz="0" w:space="0" w:color="auto"/>
        <w:left w:val="none" w:sz="0" w:space="0" w:color="auto"/>
        <w:bottom w:val="none" w:sz="0" w:space="0" w:color="auto"/>
        <w:right w:val="none" w:sz="0" w:space="0" w:color="auto"/>
      </w:divBdr>
    </w:div>
    <w:div w:id="123619666">
      <w:bodyDiv w:val="1"/>
      <w:marLeft w:val="0"/>
      <w:marRight w:val="0"/>
      <w:marTop w:val="0"/>
      <w:marBottom w:val="0"/>
      <w:divBdr>
        <w:top w:val="none" w:sz="0" w:space="0" w:color="auto"/>
        <w:left w:val="none" w:sz="0" w:space="0" w:color="auto"/>
        <w:bottom w:val="none" w:sz="0" w:space="0" w:color="auto"/>
        <w:right w:val="none" w:sz="0" w:space="0" w:color="auto"/>
      </w:divBdr>
    </w:div>
    <w:div w:id="124349520">
      <w:bodyDiv w:val="1"/>
      <w:marLeft w:val="0"/>
      <w:marRight w:val="0"/>
      <w:marTop w:val="0"/>
      <w:marBottom w:val="0"/>
      <w:divBdr>
        <w:top w:val="none" w:sz="0" w:space="0" w:color="auto"/>
        <w:left w:val="none" w:sz="0" w:space="0" w:color="auto"/>
        <w:bottom w:val="none" w:sz="0" w:space="0" w:color="auto"/>
        <w:right w:val="none" w:sz="0" w:space="0" w:color="auto"/>
      </w:divBdr>
    </w:div>
    <w:div w:id="126706348">
      <w:bodyDiv w:val="1"/>
      <w:marLeft w:val="0"/>
      <w:marRight w:val="0"/>
      <w:marTop w:val="0"/>
      <w:marBottom w:val="0"/>
      <w:divBdr>
        <w:top w:val="none" w:sz="0" w:space="0" w:color="auto"/>
        <w:left w:val="none" w:sz="0" w:space="0" w:color="auto"/>
        <w:bottom w:val="none" w:sz="0" w:space="0" w:color="auto"/>
        <w:right w:val="none" w:sz="0" w:space="0" w:color="auto"/>
      </w:divBdr>
    </w:div>
    <w:div w:id="128328028">
      <w:bodyDiv w:val="1"/>
      <w:marLeft w:val="0"/>
      <w:marRight w:val="0"/>
      <w:marTop w:val="0"/>
      <w:marBottom w:val="0"/>
      <w:divBdr>
        <w:top w:val="none" w:sz="0" w:space="0" w:color="auto"/>
        <w:left w:val="none" w:sz="0" w:space="0" w:color="auto"/>
        <w:bottom w:val="none" w:sz="0" w:space="0" w:color="auto"/>
        <w:right w:val="none" w:sz="0" w:space="0" w:color="auto"/>
      </w:divBdr>
    </w:div>
    <w:div w:id="131677535">
      <w:bodyDiv w:val="1"/>
      <w:marLeft w:val="0"/>
      <w:marRight w:val="0"/>
      <w:marTop w:val="0"/>
      <w:marBottom w:val="0"/>
      <w:divBdr>
        <w:top w:val="none" w:sz="0" w:space="0" w:color="auto"/>
        <w:left w:val="none" w:sz="0" w:space="0" w:color="auto"/>
        <w:bottom w:val="none" w:sz="0" w:space="0" w:color="auto"/>
        <w:right w:val="none" w:sz="0" w:space="0" w:color="auto"/>
      </w:divBdr>
    </w:div>
    <w:div w:id="131757125">
      <w:bodyDiv w:val="1"/>
      <w:marLeft w:val="0"/>
      <w:marRight w:val="0"/>
      <w:marTop w:val="0"/>
      <w:marBottom w:val="0"/>
      <w:divBdr>
        <w:top w:val="none" w:sz="0" w:space="0" w:color="auto"/>
        <w:left w:val="none" w:sz="0" w:space="0" w:color="auto"/>
        <w:bottom w:val="none" w:sz="0" w:space="0" w:color="auto"/>
        <w:right w:val="none" w:sz="0" w:space="0" w:color="auto"/>
      </w:divBdr>
    </w:div>
    <w:div w:id="132526792">
      <w:bodyDiv w:val="1"/>
      <w:marLeft w:val="0"/>
      <w:marRight w:val="0"/>
      <w:marTop w:val="0"/>
      <w:marBottom w:val="0"/>
      <w:divBdr>
        <w:top w:val="none" w:sz="0" w:space="0" w:color="auto"/>
        <w:left w:val="none" w:sz="0" w:space="0" w:color="auto"/>
        <w:bottom w:val="none" w:sz="0" w:space="0" w:color="auto"/>
        <w:right w:val="none" w:sz="0" w:space="0" w:color="auto"/>
      </w:divBdr>
    </w:div>
    <w:div w:id="142695260">
      <w:bodyDiv w:val="1"/>
      <w:marLeft w:val="0"/>
      <w:marRight w:val="0"/>
      <w:marTop w:val="0"/>
      <w:marBottom w:val="0"/>
      <w:divBdr>
        <w:top w:val="none" w:sz="0" w:space="0" w:color="auto"/>
        <w:left w:val="none" w:sz="0" w:space="0" w:color="auto"/>
        <w:bottom w:val="none" w:sz="0" w:space="0" w:color="auto"/>
        <w:right w:val="none" w:sz="0" w:space="0" w:color="auto"/>
      </w:divBdr>
    </w:div>
    <w:div w:id="143207868">
      <w:bodyDiv w:val="1"/>
      <w:marLeft w:val="0"/>
      <w:marRight w:val="0"/>
      <w:marTop w:val="0"/>
      <w:marBottom w:val="0"/>
      <w:divBdr>
        <w:top w:val="none" w:sz="0" w:space="0" w:color="auto"/>
        <w:left w:val="none" w:sz="0" w:space="0" w:color="auto"/>
        <w:bottom w:val="none" w:sz="0" w:space="0" w:color="auto"/>
        <w:right w:val="none" w:sz="0" w:space="0" w:color="auto"/>
      </w:divBdr>
    </w:div>
    <w:div w:id="144207545">
      <w:bodyDiv w:val="1"/>
      <w:marLeft w:val="0"/>
      <w:marRight w:val="0"/>
      <w:marTop w:val="0"/>
      <w:marBottom w:val="0"/>
      <w:divBdr>
        <w:top w:val="none" w:sz="0" w:space="0" w:color="auto"/>
        <w:left w:val="none" w:sz="0" w:space="0" w:color="auto"/>
        <w:bottom w:val="none" w:sz="0" w:space="0" w:color="auto"/>
        <w:right w:val="none" w:sz="0" w:space="0" w:color="auto"/>
      </w:divBdr>
    </w:div>
    <w:div w:id="154148274">
      <w:bodyDiv w:val="1"/>
      <w:marLeft w:val="0"/>
      <w:marRight w:val="0"/>
      <w:marTop w:val="0"/>
      <w:marBottom w:val="0"/>
      <w:divBdr>
        <w:top w:val="none" w:sz="0" w:space="0" w:color="auto"/>
        <w:left w:val="none" w:sz="0" w:space="0" w:color="auto"/>
        <w:bottom w:val="none" w:sz="0" w:space="0" w:color="auto"/>
        <w:right w:val="none" w:sz="0" w:space="0" w:color="auto"/>
      </w:divBdr>
    </w:div>
    <w:div w:id="155197231">
      <w:bodyDiv w:val="1"/>
      <w:marLeft w:val="0"/>
      <w:marRight w:val="0"/>
      <w:marTop w:val="0"/>
      <w:marBottom w:val="0"/>
      <w:divBdr>
        <w:top w:val="none" w:sz="0" w:space="0" w:color="auto"/>
        <w:left w:val="none" w:sz="0" w:space="0" w:color="auto"/>
        <w:bottom w:val="none" w:sz="0" w:space="0" w:color="auto"/>
        <w:right w:val="none" w:sz="0" w:space="0" w:color="auto"/>
      </w:divBdr>
    </w:div>
    <w:div w:id="155848537">
      <w:bodyDiv w:val="1"/>
      <w:marLeft w:val="0"/>
      <w:marRight w:val="0"/>
      <w:marTop w:val="0"/>
      <w:marBottom w:val="0"/>
      <w:divBdr>
        <w:top w:val="none" w:sz="0" w:space="0" w:color="auto"/>
        <w:left w:val="none" w:sz="0" w:space="0" w:color="auto"/>
        <w:bottom w:val="none" w:sz="0" w:space="0" w:color="auto"/>
        <w:right w:val="none" w:sz="0" w:space="0" w:color="auto"/>
      </w:divBdr>
    </w:div>
    <w:div w:id="156843669">
      <w:bodyDiv w:val="1"/>
      <w:marLeft w:val="0"/>
      <w:marRight w:val="0"/>
      <w:marTop w:val="0"/>
      <w:marBottom w:val="0"/>
      <w:divBdr>
        <w:top w:val="none" w:sz="0" w:space="0" w:color="auto"/>
        <w:left w:val="none" w:sz="0" w:space="0" w:color="auto"/>
        <w:bottom w:val="none" w:sz="0" w:space="0" w:color="auto"/>
        <w:right w:val="none" w:sz="0" w:space="0" w:color="auto"/>
      </w:divBdr>
    </w:div>
    <w:div w:id="160783337">
      <w:bodyDiv w:val="1"/>
      <w:marLeft w:val="0"/>
      <w:marRight w:val="0"/>
      <w:marTop w:val="0"/>
      <w:marBottom w:val="0"/>
      <w:divBdr>
        <w:top w:val="none" w:sz="0" w:space="0" w:color="auto"/>
        <w:left w:val="none" w:sz="0" w:space="0" w:color="auto"/>
        <w:bottom w:val="none" w:sz="0" w:space="0" w:color="auto"/>
        <w:right w:val="none" w:sz="0" w:space="0" w:color="auto"/>
      </w:divBdr>
    </w:div>
    <w:div w:id="163712969">
      <w:bodyDiv w:val="1"/>
      <w:marLeft w:val="0"/>
      <w:marRight w:val="0"/>
      <w:marTop w:val="0"/>
      <w:marBottom w:val="0"/>
      <w:divBdr>
        <w:top w:val="none" w:sz="0" w:space="0" w:color="auto"/>
        <w:left w:val="none" w:sz="0" w:space="0" w:color="auto"/>
        <w:bottom w:val="none" w:sz="0" w:space="0" w:color="auto"/>
        <w:right w:val="none" w:sz="0" w:space="0" w:color="auto"/>
      </w:divBdr>
    </w:div>
    <w:div w:id="166097529">
      <w:bodyDiv w:val="1"/>
      <w:marLeft w:val="0"/>
      <w:marRight w:val="0"/>
      <w:marTop w:val="0"/>
      <w:marBottom w:val="0"/>
      <w:divBdr>
        <w:top w:val="none" w:sz="0" w:space="0" w:color="auto"/>
        <w:left w:val="none" w:sz="0" w:space="0" w:color="auto"/>
        <w:bottom w:val="none" w:sz="0" w:space="0" w:color="auto"/>
        <w:right w:val="none" w:sz="0" w:space="0" w:color="auto"/>
      </w:divBdr>
    </w:div>
    <w:div w:id="166948619">
      <w:bodyDiv w:val="1"/>
      <w:marLeft w:val="0"/>
      <w:marRight w:val="0"/>
      <w:marTop w:val="0"/>
      <w:marBottom w:val="0"/>
      <w:divBdr>
        <w:top w:val="none" w:sz="0" w:space="0" w:color="auto"/>
        <w:left w:val="none" w:sz="0" w:space="0" w:color="auto"/>
        <w:bottom w:val="none" w:sz="0" w:space="0" w:color="auto"/>
        <w:right w:val="none" w:sz="0" w:space="0" w:color="auto"/>
      </w:divBdr>
    </w:div>
    <w:div w:id="168912491">
      <w:bodyDiv w:val="1"/>
      <w:marLeft w:val="0"/>
      <w:marRight w:val="0"/>
      <w:marTop w:val="0"/>
      <w:marBottom w:val="0"/>
      <w:divBdr>
        <w:top w:val="none" w:sz="0" w:space="0" w:color="auto"/>
        <w:left w:val="none" w:sz="0" w:space="0" w:color="auto"/>
        <w:bottom w:val="none" w:sz="0" w:space="0" w:color="auto"/>
        <w:right w:val="none" w:sz="0" w:space="0" w:color="auto"/>
      </w:divBdr>
    </w:div>
    <w:div w:id="173426273">
      <w:bodyDiv w:val="1"/>
      <w:marLeft w:val="0"/>
      <w:marRight w:val="0"/>
      <w:marTop w:val="0"/>
      <w:marBottom w:val="0"/>
      <w:divBdr>
        <w:top w:val="none" w:sz="0" w:space="0" w:color="auto"/>
        <w:left w:val="none" w:sz="0" w:space="0" w:color="auto"/>
        <w:bottom w:val="none" w:sz="0" w:space="0" w:color="auto"/>
        <w:right w:val="none" w:sz="0" w:space="0" w:color="auto"/>
      </w:divBdr>
    </w:div>
    <w:div w:id="175853212">
      <w:bodyDiv w:val="1"/>
      <w:marLeft w:val="0"/>
      <w:marRight w:val="0"/>
      <w:marTop w:val="0"/>
      <w:marBottom w:val="0"/>
      <w:divBdr>
        <w:top w:val="none" w:sz="0" w:space="0" w:color="auto"/>
        <w:left w:val="none" w:sz="0" w:space="0" w:color="auto"/>
        <w:bottom w:val="none" w:sz="0" w:space="0" w:color="auto"/>
        <w:right w:val="none" w:sz="0" w:space="0" w:color="auto"/>
      </w:divBdr>
    </w:div>
    <w:div w:id="176432945">
      <w:bodyDiv w:val="1"/>
      <w:marLeft w:val="0"/>
      <w:marRight w:val="0"/>
      <w:marTop w:val="0"/>
      <w:marBottom w:val="0"/>
      <w:divBdr>
        <w:top w:val="none" w:sz="0" w:space="0" w:color="auto"/>
        <w:left w:val="none" w:sz="0" w:space="0" w:color="auto"/>
        <w:bottom w:val="none" w:sz="0" w:space="0" w:color="auto"/>
        <w:right w:val="none" w:sz="0" w:space="0" w:color="auto"/>
      </w:divBdr>
    </w:div>
    <w:div w:id="181549950">
      <w:bodyDiv w:val="1"/>
      <w:marLeft w:val="0"/>
      <w:marRight w:val="0"/>
      <w:marTop w:val="0"/>
      <w:marBottom w:val="0"/>
      <w:divBdr>
        <w:top w:val="none" w:sz="0" w:space="0" w:color="auto"/>
        <w:left w:val="none" w:sz="0" w:space="0" w:color="auto"/>
        <w:bottom w:val="none" w:sz="0" w:space="0" w:color="auto"/>
        <w:right w:val="none" w:sz="0" w:space="0" w:color="auto"/>
      </w:divBdr>
    </w:div>
    <w:div w:id="185869392">
      <w:bodyDiv w:val="1"/>
      <w:marLeft w:val="0"/>
      <w:marRight w:val="0"/>
      <w:marTop w:val="0"/>
      <w:marBottom w:val="0"/>
      <w:divBdr>
        <w:top w:val="none" w:sz="0" w:space="0" w:color="auto"/>
        <w:left w:val="none" w:sz="0" w:space="0" w:color="auto"/>
        <w:bottom w:val="none" w:sz="0" w:space="0" w:color="auto"/>
        <w:right w:val="none" w:sz="0" w:space="0" w:color="auto"/>
      </w:divBdr>
    </w:div>
    <w:div w:id="187180945">
      <w:bodyDiv w:val="1"/>
      <w:marLeft w:val="0"/>
      <w:marRight w:val="0"/>
      <w:marTop w:val="0"/>
      <w:marBottom w:val="0"/>
      <w:divBdr>
        <w:top w:val="none" w:sz="0" w:space="0" w:color="auto"/>
        <w:left w:val="none" w:sz="0" w:space="0" w:color="auto"/>
        <w:bottom w:val="none" w:sz="0" w:space="0" w:color="auto"/>
        <w:right w:val="none" w:sz="0" w:space="0" w:color="auto"/>
      </w:divBdr>
    </w:div>
    <w:div w:id="189537281">
      <w:bodyDiv w:val="1"/>
      <w:marLeft w:val="0"/>
      <w:marRight w:val="0"/>
      <w:marTop w:val="0"/>
      <w:marBottom w:val="0"/>
      <w:divBdr>
        <w:top w:val="none" w:sz="0" w:space="0" w:color="auto"/>
        <w:left w:val="none" w:sz="0" w:space="0" w:color="auto"/>
        <w:bottom w:val="none" w:sz="0" w:space="0" w:color="auto"/>
        <w:right w:val="none" w:sz="0" w:space="0" w:color="auto"/>
      </w:divBdr>
    </w:div>
    <w:div w:id="200090093">
      <w:bodyDiv w:val="1"/>
      <w:marLeft w:val="0"/>
      <w:marRight w:val="0"/>
      <w:marTop w:val="0"/>
      <w:marBottom w:val="0"/>
      <w:divBdr>
        <w:top w:val="none" w:sz="0" w:space="0" w:color="auto"/>
        <w:left w:val="none" w:sz="0" w:space="0" w:color="auto"/>
        <w:bottom w:val="none" w:sz="0" w:space="0" w:color="auto"/>
        <w:right w:val="none" w:sz="0" w:space="0" w:color="auto"/>
      </w:divBdr>
    </w:div>
    <w:div w:id="205483177">
      <w:bodyDiv w:val="1"/>
      <w:marLeft w:val="0"/>
      <w:marRight w:val="0"/>
      <w:marTop w:val="0"/>
      <w:marBottom w:val="0"/>
      <w:divBdr>
        <w:top w:val="none" w:sz="0" w:space="0" w:color="auto"/>
        <w:left w:val="none" w:sz="0" w:space="0" w:color="auto"/>
        <w:bottom w:val="none" w:sz="0" w:space="0" w:color="auto"/>
        <w:right w:val="none" w:sz="0" w:space="0" w:color="auto"/>
      </w:divBdr>
    </w:div>
    <w:div w:id="208567458">
      <w:bodyDiv w:val="1"/>
      <w:marLeft w:val="0"/>
      <w:marRight w:val="0"/>
      <w:marTop w:val="0"/>
      <w:marBottom w:val="0"/>
      <w:divBdr>
        <w:top w:val="none" w:sz="0" w:space="0" w:color="auto"/>
        <w:left w:val="none" w:sz="0" w:space="0" w:color="auto"/>
        <w:bottom w:val="none" w:sz="0" w:space="0" w:color="auto"/>
        <w:right w:val="none" w:sz="0" w:space="0" w:color="auto"/>
      </w:divBdr>
    </w:div>
    <w:div w:id="212232062">
      <w:bodyDiv w:val="1"/>
      <w:marLeft w:val="0"/>
      <w:marRight w:val="0"/>
      <w:marTop w:val="0"/>
      <w:marBottom w:val="0"/>
      <w:divBdr>
        <w:top w:val="none" w:sz="0" w:space="0" w:color="auto"/>
        <w:left w:val="none" w:sz="0" w:space="0" w:color="auto"/>
        <w:bottom w:val="none" w:sz="0" w:space="0" w:color="auto"/>
        <w:right w:val="none" w:sz="0" w:space="0" w:color="auto"/>
      </w:divBdr>
    </w:div>
    <w:div w:id="218367257">
      <w:bodyDiv w:val="1"/>
      <w:marLeft w:val="0"/>
      <w:marRight w:val="0"/>
      <w:marTop w:val="0"/>
      <w:marBottom w:val="0"/>
      <w:divBdr>
        <w:top w:val="none" w:sz="0" w:space="0" w:color="auto"/>
        <w:left w:val="none" w:sz="0" w:space="0" w:color="auto"/>
        <w:bottom w:val="none" w:sz="0" w:space="0" w:color="auto"/>
        <w:right w:val="none" w:sz="0" w:space="0" w:color="auto"/>
      </w:divBdr>
    </w:div>
    <w:div w:id="219556480">
      <w:bodyDiv w:val="1"/>
      <w:marLeft w:val="0"/>
      <w:marRight w:val="0"/>
      <w:marTop w:val="0"/>
      <w:marBottom w:val="0"/>
      <w:divBdr>
        <w:top w:val="none" w:sz="0" w:space="0" w:color="auto"/>
        <w:left w:val="none" w:sz="0" w:space="0" w:color="auto"/>
        <w:bottom w:val="none" w:sz="0" w:space="0" w:color="auto"/>
        <w:right w:val="none" w:sz="0" w:space="0" w:color="auto"/>
      </w:divBdr>
    </w:div>
    <w:div w:id="222329856">
      <w:bodyDiv w:val="1"/>
      <w:marLeft w:val="0"/>
      <w:marRight w:val="0"/>
      <w:marTop w:val="0"/>
      <w:marBottom w:val="0"/>
      <w:divBdr>
        <w:top w:val="none" w:sz="0" w:space="0" w:color="auto"/>
        <w:left w:val="none" w:sz="0" w:space="0" w:color="auto"/>
        <w:bottom w:val="none" w:sz="0" w:space="0" w:color="auto"/>
        <w:right w:val="none" w:sz="0" w:space="0" w:color="auto"/>
      </w:divBdr>
    </w:div>
    <w:div w:id="222957926">
      <w:bodyDiv w:val="1"/>
      <w:marLeft w:val="0"/>
      <w:marRight w:val="0"/>
      <w:marTop w:val="0"/>
      <w:marBottom w:val="0"/>
      <w:divBdr>
        <w:top w:val="none" w:sz="0" w:space="0" w:color="auto"/>
        <w:left w:val="none" w:sz="0" w:space="0" w:color="auto"/>
        <w:bottom w:val="none" w:sz="0" w:space="0" w:color="auto"/>
        <w:right w:val="none" w:sz="0" w:space="0" w:color="auto"/>
      </w:divBdr>
    </w:div>
    <w:div w:id="230698243">
      <w:bodyDiv w:val="1"/>
      <w:marLeft w:val="0"/>
      <w:marRight w:val="0"/>
      <w:marTop w:val="0"/>
      <w:marBottom w:val="0"/>
      <w:divBdr>
        <w:top w:val="none" w:sz="0" w:space="0" w:color="auto"/>
        <w:left w:val="none" w:sz="0" w:space="0" w:color="auto"/>
        <w:bottom w:val="none" w:sz="0" w:space="0" w:color="auto"/>
        <w:right w:val="none" w:sz="0" w:space="0" w:color="auto"/>
      </w:divBdr>
    </w:div>
    <w:div w:id="230971678">
      <w:bodyDiv w:val="1"/>
      <w:marLeft w:val="0"/>
      <w:marRight w:val="0"/>
      <w:marTop w:val="0"/>
      <w:marBottom w:val="0"/>
      <w:divBdr>
        <w:top w:val="none" w:sz="0" w:space="0" w:color="auto"/>
        <w:left w:val="none" w:sz="0" w:space="0" w:color="auto"/>
        <w:bottom w:val="none" w:sz="0" w:space="0" w:color="auto"/>
        <w:right w:val="none" w:sz="0" w:space="0" w:color="auto"/>
      </w:divBdr>
    </w:div>
    <w:div w:id="231235564">
      <w:bodyDiv w:val="1"/>
      <w:marLeft w:val="0"/>
      <w:marRight w:val="0"/>
      <w:marTop w:val="0"/>
      <w:marBottom w:val="0"/>
      <w:divBdr>
        <w:top w:val="none" w:sz="0" w:space="0" w:color="auto"/>
        <w:left w:val="none" w:sz="0" w:space="0" w:color="auto"/>
        <w:bottom w:val="none" w:sz="0" w:space="0" w:color="auto"/>
        <w:right w:val="none" w:sz="0" w:space="0" w:color="auto"/>
      </w:divBdr>
    </w:div>
    <w:div w:id="236135252">
      <w:bodyDiv w:val="1"/>
      <w:marLeft w:val="0"/>
      <w:marRight w:val="0"/>
      <w:marTop w:val="0"/>
      <w:marBottom w:val="0"/>
      <w:divBdr>
        <w:top w:val="none" w:sz="0" w:space="0" w:color="auto"/>
        <w:left w:val="none" w:sz="0" w:space="0" w:color="auto"/>
        <w:bottom w:val="none" w:sz="0" w:space="0" w:color="auto"/>
        <w:right w:val="none" w:sz="0" w:space="0" w:color="auto"/>
      </w:divBdr>
    </w:div>
    <w:div w:id="239755651">
      <w:bodyDiv w:val="1"/>
      <w:marLeft w:val="0"/>
      <w:marRight w:val="0"/>
      <w:marTop w:val="0"/>
      <w:marBottom w:val="0"/>
      <w:divBdr>
        <w:top w:val="none" w:sz="0" w:space="0" w:color="auto"/>
        <w:left w:val="none" w:sz="0" w:space="0" w:color="auto"/>
        <w:bottom w:val="none" w:sz="0" w:space="0" w:color="auto"/>
        <w:right w:val="none" w:sz="0" w:space="0" w:color="auto"/>
      </w:divBdr>
    </w:div>
    <w:div w:id="242761601">
      <w:bodyDiv w:val="1"/>
      <w:marLeft w:val="0"/>
      <w:marRight w:val="0"/>
      <w:marTop w:val="0"/>
      <w:marBottom w:val="0"/>
      <w:divBdr>
        <w:top w:val="none" w:sz="0" w:space="0" w:color="auto"/>
        <w:left w:val="none" w:sz="0" w:space="0" w:color="auto"/>
        <w:bottom w:val="none" w:sz="0" w:space="0" w:color="auto"/>
        <w:right w:val="none" w:sz="0" w:space="0" w:color="auto"/>
      </w:divBdr>
    </w:div>
    <w:div w:id="246041105">
      <w:bodyDiv w:val="1"/>
      <w:marLeft w:val="0"/>
      <w:marRight w:val="0"/>
      <w:marTop w:val="0"/>
      <w:marBottom w:val="0"/>
      <w:divBdr>
        <w:top w:val="none" w:sz="0" w:space="0" w:color="auto"/>
        <w:left w:val="none" w:sz="0" w:space="0" w:color="auto"/>
        <w:bottom w:val="none" w:sz="0" w:space="0" w:color="auto"/>
        <w:right w:val="none" w:sz="0" w:space="0" w:color="auto"/>
      </w:divBdr>
    </w:div>
    <w:div w:id="256258916">
      <w:bodyDiv w:val="1"/>
      <w:marLeft w:val="0"/>
      <w:marRight w:val="0"/>
      <w:marTop w:val="0"/>
      <w:marBottom w:val="0"/>
      <w:divBdr>
        <w:top w:val="none" w:sz="0" w:space="0" w:color="auto"/>
        <w:left w:val="none" w:sz="0" w:space="0" w:color="auto"/>
        <w:bottom w:val="none" w:sz="0" w:space="0" w:color="auto"/>
        <w:right w:val="none" w:sz="0" w:space="0" w:color="auto"/>
      </w:divBdr>
    </w:div>
    <w:div w:id="259292649">
      <w:bodyDiv w:val="1"/>
      <w:marLeft w:val="0"/>
      <w:marRight w:val="0"/>
      <w:marTop w:val="0"/>
      <w:marBottom w:val="0"/>
      <w:divBdr>
        <w:top w:val="none" w:sz="0" w:space="0" w:color="auto"/>
        <w:left w:val="none" w:sz="0" w:space="0" w:color="auto"/>
        <w:bottom w:val="none" w:sz="0" w:space="0" w:color="auto"/>
        <w:right w:val="none" w:sz="0" w:space="0" w:color="auto"/>
      </w:divBdr>
    </w:div>
    <w:div w:id="260531092">
      <w:bodyDiv w:val="1"/>
      <w:marLeft w:val="0"/>
      <w:marRight w:val="0"/>
      <w:marTop w:val="0"/>
      <w:marBottom w:val="0"/>
      <w:divBdr>
        <w:top w:val="none" w:sz="0" w:space="0" w:color="auto"/>
        <w:left w:val="none" w:sz="0" w:space="0" w:color="auto"/>
        <w:bottom w:val="none" w:sz="0" w:space="0" w:color="auto"/>
        <w:right w:val="none" w:sz="0" w:space="0" w:color="auto"/>
      </w:divBdr>
    </w:div>
    <w:div w:id="266694247">
      <w:bodyDiv w:val="1"/>
      <w:marLeft w:val="0"/>
      <w:marRight w:val="0"/>
      <w:marTop w:val="0"/>
      <w:marBottom w:val="0"/>
      <w:divBdr>
        <w:top w:val="none" w:sz="0" w:space="0" w:color="auto"/>
        <w:left w:val="none" w:sz="0" w:space="0" w:color="auto"/>
        <w:bottom w:val="none" w:sz="0" w:space="0" w:color="auto"/>
        <w:right w:val="none" w:sz="0" w:space="0" w:color="auto"/>
      </w:divBdr>
    </w:div>
    <w:div w:id="271400623">
      <w:bodyDiv w:val="1"/>
      <w:marLeft w:val="0"/>
      <w:marRight w:val="0"/>
      <w:marTop w:val="0"/>
      <w:marBottom w:val="0"/>
      <w:divBdr>
        <w:top w:val="none" w:sz="0" w:space="0" w:color="auto"/>
        <w:left w:val="none" w:sz="0" w:space="0" w:color="auto"/>
        <w:bottom w:val="none" w:sz="0" w:space="0" w:color="auto"/>
        <w:right w:val="none" w:sz="0" w:space="0" w:color="auto"/>
      </w:divBdr>
    </w:div>
    <w:div w:id="272833078">
      <w:bodyDiv w:val="1"/>
      <w:marLeft w:val="0"/>
      <w:marRight w:val="0"/>
      <w:marTop w:val="0"/>
      <w:marBottom w:val="0"/>
      <w:divBdr>
        <w:top w:val="none" w:sz="0" w:space="0" w:color="auto"/>
        <w:left w:val="none" w:sz="0" w:space="0" w:color="auto"/>
        <w:bottom w:val="none" w:sz="0" w:space="0" w:color="auto"/>
        <w:right w:val="none" w:sz="0" w:space="0" w:color="auto"/>
      </w:divBdr>
    </w:div>
    <w:div w:id="275606329">
      <w:bodyDiv w:val="1"/>
      <w:marLeft w:val="0"/>
      <w:marRight w:val="0"/>
      <w:marTop w:val="0"/>
      <w:marBottom w:val="0"/>
      <w:divBdr>
        <w:top w:val="none" w:sz="0" w:space="0" w:color="auto"/>
        <w:left w:val="none" w:sz="0" w:space="0" w:color="auto"/>
        <w:bottom w:val="none" w:sz="0" w:space="0" w:color="auto"/>
        <w:right w:val="none" w:sz="0" w:space="0" w:color="auto"/>
      </w:divBdr>
      <w:divsChild>
        <w:div w:id="66921578">
          <w:marLeft w:val="0"/>
          <w:marRight w:val="0"/>
          <w:marTop w:val="0"/>
          <w:marBottom w:val="0"/>
          <w:divBdr>
            <w:top w:val="none" w:sz="0" w:space="0" w:color="auto"/>
            <w:left w:val="none" w:sz="0" w:space="0" w:color="auto"/>
            <w:bottom w:val="none" w:sz="0" w:space="0" w:color="auto"/>
            <w:right w:val="none" w:sz="0" w:space="0" w:color="auto"/>
          </w:divBdr>
        </w:div>
        <w:div w:id="932010693">
          <w:marLeft w:val="0"/>
          <w:marRight w:val="0"/>
          <w:marTop w:val="0"/>
          <w:marBottom w:val="0"/>
          <w:divBdr>
            <w:top w:val="none" w:sz="0" w:space="0" w:color="auto"/>
            <w:left w:val="none" w:sz="0" w:space="0" w:color="auto"/>
            <w:bottom w:val="none" w:sz="0" w:space="0" w:color="auto"/>
            <w:right w:val="none" w:sz="0" w:space="0" w:color="auto"/>
          </w:divBdr>
        </w:div>
        <w:div w:id="1425807308">
          <w:marLeft w:val="0"/>
          <w:marRight w:val="0"/>
          <w:marTop w:val="0"/>
          <w:marBottom w:val="0"/>
          <w:divBdr>
            <w:top w:val="none" w:sz="0" w:space="0" w:color="auto"/>
            <w:left w:val="none" w:sz="0" w:space="0" w:color="auto"/>
            <w:bottom w:val="none" w:sz="0" w:space="0" w:color="auto"/>
            <w:right w:val="none" w:sz="0" w:space="0" w:color="auto"/>
          </w:divBdr>
        </w:div>
        <w:div w:id="1611626652">
          <w:marLeft w:val="0"/>
          <w:marRight w:val="0"/>
          <w:marTop w:val="0"/>
          <w:marBottom w:val="0"/>
          <w:divBdr>
            <w:top w:val="none" w:sz="0" w:space="0" w:color="auto"/>
            <w:left w:val="none" w:sz="0" w:space="0" w:color="auto"/>
            <w:bottom w:val="none" w:sz="0" w:space="0" w:color="auto"/>
            <w:right w:val="none" w:sz="0" w:space="0" w:color="auto"/>
          </w:divBdr>
        </w:div>
        <w:div w:id="1624845718">
          <w:marLeft w:val="0"/>
          <w:marRight w:val="0"/>
          <w:marTop w:val="0"/>
          <w:marBottom w:val="0"/>
          <w:divBdr>
            <w:top w:val="none" w:sz="0" w:space="0" w:color="auto"/>
            <w:left w:val="none" w:sz="0" w:space="0" w:color="auto"/>
            <w:bottom w:val="none" w:sz="0" w:space="0" w:color="auto"/>
            <w:right w:val="none" w:sz="0" w:space="0" w:color="auto"/>
          </w:divBdr>
        </w:div>
      </w:divsChild>
    </w:div>
    <w:div w:id="278070430">
      <w:bodyDiv w:val="1"/>
      <w:marLeft w:val="0"/>
      <w:marRight w:val="0"/>
      <w:marTop w:val="0"/>
      <w:marBottom w:val="0"/>
      <w:divBdr>
        <w:top w:val="none" w:sz="0" w:space="0" w:color="auto"/>
        <w:left w:val="none" w:sz="0" w:space="0" w:color="auto"/>
        <w:bottom w:val="none" w:sz="0" w:space="0" w:color="auto"/>
        <w:right w:val="none" w:sz="0" w:space="0" w:color="auto"/>
      </w:divBdr>
    </w:div>
    <w:div w:id="282923128">
      <w:bodyDiv w:val="1"/>
      <w:marLeft w:val="0"/>
      <w:marRight w:val="0"/>
      <w:marTop w:val="0"/>
      <w:marBottom w:val="0"/>
      <w:divBdr>
        <w:top w:val="none" w:sz="0" w:space="0" w:color="auto"/>
        <w:left w:val="none" w:sz="0" w:space="0" w:color="auto"/>
        <w:bottom w:val="none" w:sz="0" w:space="0" w:color="auto"/>
        <w:right w:val="none" w:sz="0" w:space="0" w:color="auto"/>
      </w:divBdr>
    </w:div>
    <w:div w:id="284043261">
      <w:bodyDiv w:val="1"/>
      <w:marLeft w:val="0"/>
      <w:marRight w:val="0"/>
      <w:marTop w:val="0"/>
      <w:marBottom w:val="0"/>
      <w:divBdr>
        <w:top w:val="none" w:sz="0" w:space="0" w:color="auto"/>
        <w:left w:val="none" w:sz="0" w:space="0" w:color="auto"/>
        <w:bottom w:val="none" w:sz="0" w:space="0" w:color="auto"/>
        <w:right w:val="none" w:sz="0" w:space="0" w:color="auto"/>
      </w:divBdr>
    </w:div>
    <w:div w:id="284426823">
      <w:bodyDiv w:val="1"/>
      <w:marLeft w:val="0"/>
      <w:marRight w:val="0"/>
      <w:marTop w:val="0"/>
      <w:marBottom w:val="0"/>
      <w:divBdr>
        <w:top w:val="none" w:sz="0" w:space="0" w:color="auto"/>
        <w:left w:val="none" w:sz="0" w:space="0" w:color="auto"/>
        <w:bottom w:val="none" w:sz="0" w:space="0" w:color="auto"/>
        <w:right w:val="none" w:sz="0" w:space="0" w:color="auto"/>
      </w:divBdr>
    </w:div>
    <w:div w:id="284624631">
      <w:bodyDiv w:val="1"/>
      <w:marLeft w:val="0"/>
      <w:marRight w:val="0"/>
      <w:marTop w:val="0"/>
      <w:marBottom w:val="0"/>
      <w:divBdr>
        <w:top w:val="none" w:sz="0" w:space="0" w:color="auto"/>
        <w:left w:val="none" w:sz="0" w:space="0" w:color="auto"/>
        <w:bottom w:val="none" w:sz="0" w:space="0" w:color="auto"/>
        <w:right w:val="none" w:sz="0" w:space="0" w:color="auto"/>
      </w:divBdr>
    </w:div>
    <w:div w:id="286158181">
      <w:bodyDiv w:val="1"/>
      <w:marLeft w:val="0"/>
      <w:marRight w:val="0"/>
      <w:marTop w:val="0"/>
      <w:marBottom w:val="0"/>
      <w:divBdr>
        <w:top w:val="none" w:sz="0" w:space="0" w:color="auto"/>
        <w:left w:val="none" w:sz="0" w:space="0" w:color="auto"/>
        <w:bottom w:val="none" w:sz="0" w:space="0" w:color="auto"/>
        <w:right w:val="none" w:sz="0" w:space="0" w:color="auto"/>
      </w:divBdr>
    </w:div>
    <w:div w:id="296303288">
      <w:bodyDiv w:val="1"/>
      <w:marLeft w:val="0"/>
      <w:marRight w:val="0"/>
      <w:marTop w:val="0"/>
      <w:marBottom w:val="0"/>
      <w:divBdr>
        <w:top w:val="none" w:sz="0" w:space="0" w:color="auto"/>
        <w:left w:val="none" w:sz="0" w:space="0" w:color="auto"/>
        <w:bottom w:val="none" w:sz="0" w:space="0" w:color="auto"/>
        <w:right w:val="none" w:sz="0" w:space="0" w:color="auto"/>
      </w:divBdr>
    </w:div>
    <w:div w:id="299964637">
      <w:bodyDiv w:val="1"/>
      <w:marLeft w:val="0"/>
      <w:marRight w:val="0"/>
      <w:marTop w:val="0"/>
      <w:marBottom w:val="0"/>
      <w:divBdr>
        <w:top w:val="none" w:sz="0" w:space="0" w:color="auto"/>
        <w:left w:val="none" w:sz="0" w:space="0" w:color="auto"/>
        <w:bottom w:val="none" w:sz="0" w:space="0" w:color="auto"/>
        <w:right w:val="none" w:sz="0" w:space="0" w:color="auto"/>
      </w:divBdr>
    </w:div>
    <w:div w:id="301933028">
      <w:bodyDiv w:val="1"/>
      <w:marLeft w:val="0"/>
      <w:marRight w:val="0"/>
      <w:marTop w:val="0"/>
      <w:marBottom w:val="0"/>
      <w:divBdr>
        <w:top w:val="none" w:sz="0" w:space="0" w:color="auto"/>
        <w:left w:val="none" w:sz="0" w:space="0" w:color="auto"/>
        <w:bottom w:val="none" w:sz="0" w:space="0" w:color="auto"/>
        <w:right w:val="none" w:sz="0" w:space="0" w:color="auto"/>
      </w:divBdr>
    </w:div>
    <w:div w:id="310788983">
      <w:bodyDiv w:val="1"/>
      <w:marLeft w:val="0"/>
      <w:marRight w:val="0"/>
      <w:marTop w:val="0"/>
      <w:marBottom w:val="0"/>
      <w:divBdr>
        <w:top w:val="none" w:sz="0" w:space="0" w:color="auto"/>
        <w:left w:val="none" w:sz="0" w:space="0" w:color="auto"/>
        <w:bottom w:val="none" w:sz="0" w:space="0" w:color="auto"/>
        <w:right w:val="none" w:sz="0" w:space="0" w:color="auto"/>
      </w:divBdr>
    </w:div>
    <w:div w:id="314577491">
      <w:bodyDiv w:val="1"/>
      <w:marLeft w:val="0"/>
      <w:marRight w:val="0"/>
      <w:marTop w:val="0"/>
      <w:marBottom w:val="0"/>
      <w:divBdr>
        <w:top w:val="none" w:sz="0" w:space="0" w:color="auto"/>
        <w:left w:val="none" w:sz="0" w:space="0" w:color="auto"/>
        <w:bottom w:val="none" w:sz="0" w:space="0" w:color="auto"/>
        <w:right w:val="none" w:sz="0" w:space="0" w:color="auto"/>
      </w:divBdr>
    </w:div>
    <w:div w:id="318654067">
      <w:bodyDiv w:val="1"/>
      <w:marLeft w:val="0"/>
      <w:marRight w:val="0"/>
      <w:marTop w:val="0"/>
      <w:marBottom w:val="0"/>
      <w:divBdr>
        <w:top w:val="none" w:sz="0" w:space="0" w:color="auto"/>
        <w:left w:val="none" w:sz="0" w:space="0" w:color="auto"/>
        <w:bottom w:val="none" w:sz="0" w:space="0" w:color="auto"/>
        <w:right w:val="none" w:sz="0" w:space="0" w:color="auto"/>
      </w:divBdr>
    </w:div>
    <w:div w:id="320743721">
      <w:bodyDiv w:val="1"/>
      <w:marLeft w:val="0"/>
      <w:marRight w:val="0"/>
      <w:marTop w:val="0"/>
      <w:marBottom w:val="0"/>
      <w:divBdr>
        <w:top w:val="none" w:sz="0" w:space="0" w:color="auto"/>
        <w:left w:val="none" w:sz="0" w:space="0" w:color="auto"/>
        <w:bottom w:val="none" w:sz="0" w:space="0" w:color="auto"/>
        <w:right w:val="none" w:sz="0" w:space="0" w:color="auto"/>
      </w:divBdr>
    </w:div>
    <w:div w:id="325014774">
      <w:bodyDiv w:val="1"/>
      <w:marLeft w:val="0"/>
      <w:marRight w:val="0"/>
      <w:marTop w:val="0"/>
      <w:marBottom w:val="0"/>
      <w:divBdr>
        <w:top w:val="none" w:sz="0" w:space="0" w:color="auto"/>
        <w:left w:val="none" w:sz="0" w:space="0" w:color="auto"/>
        <w:bottom w:val="none" w:sz="0" w:space="0" w:color="auto"/>
        <w:right w:val="none" w:sz="0" w:space="0" w:color="auto"/>
      </w:divBdr>
    </w:div>
    <w:div w:id="327829539">
      <w:bodyDiv w:val="1"/>
      <w:marLeft w:val="0"/>
      <w:marRight w:val="0"/>
      <w:marTop w:val="0"/>
      <w:marBottom w:val="0"/>
      <w:divBdr>
        <w:top w:val="none" w:sz="0" w:space="0" w:color="auto"/>
        <w:left w:val="none" w:sz="0" w:space="0" w:color="auto"/>
        <w:bottom w:val="none" w:sz="0" w:space="0" w:color="auto"/>
        <w:right w:val="none" w:sz="0" w:space="0" w:color="auto"/>
      </w:divBdr>
    </w:div>
    <w:div w:id="329333389">
      <w:bodyDiv w:val="1"/>
      <w:marLeft w:val="0"/>
      <w:marRight w:val="0"/>
      <w:marTop w:val="0"/>
      <w:marBottom w:val="0"/>
      <w:divBdr>
        <w:top w:val="none" w:sz="0" w:space="0" w:color="auto"/>
        <w:left w:val="none" w:sz="0" w:space="0" w:color="auto"/>
        <w:bottom w:val="none" w:sz="0" w:space="0" w:color="auto"/>
        <w:right w:val="none" w:sz="0" w:space="0" w:color="auto"/>
      </w:divBdr>
    </w:div>
    <w:div w:id="329985247">
      <w:bodyDiv w:val="1"/>
      <w:marLeft w:val="0"/>
      <w:marRight w:val="0"/>
      <w:marTop w:val="0"/>
      <w:marBottom w:val="0"/>
      <w:divBdr>
        <w:top w:val="none" w:sz="0" w:space="0" w:color="auto"/>
        <w:left w:val="none" w:sz="0" w:space="0" w:color="auto"/>
        <w:bottom w:val="none" w:sz="0" w:space="0" w:color="auto"/>
        <w:right w:val="none" w:sz="0" w:space="0" w:color="auto"/>
      </w:divBdr>
    </w:div>
    <w:div w:id="332877510">
      <w:bodyDiv w:val="1"/>
      <w:marLeft w:val="0"/>
      <w:marRight w:val="0"/>
      <w:marTop w:val="0"/>
      <w:marBottom w:val="0"/>
      <w:divBdr>
        <w:top w:val="none" w:sz="0" w:space="0" w:color="auto"/>
        <w:left w:val="none" w:sz="0" w:space="0" w:color="auto"/>
        <w:bottom w:val="none" w:sz="0" w:space="0" w:color="auto"/>
        <w:right w:val="none" w:sz="0" w:space="0" w:color="auto"/>
      </w:divBdr>
    </w:div>
    <w:div w:id="343021950">
      <w:bodyDiv w:val="1"/>
      <w:marLeft w:val="0"/>
      <w:marRight w:val="0"/>
      <w:marTop w:val="0"/>
      <w:marBottom w:val="0"/>
      <w:divBdr>
        <w:top w:val="none" w:sz="0" w:space="0" w:color="auto"/>
        <w:left w:val="none" w:sz="0" w:space="0" w:color="auto"/>
        <w:bottom w:val="none" w:sz="0" w:space="0" w:color="auto"/>
        <w:right w:val="none" w:sz="0" w:space="0" w:color="auto"/>
      </w:divBdr>
    </w:div>
    <w:div w:id="346449659">
      <w:bodyDiv w:val="1"/>
      <w:marLeft w:val="0"/>
      <w:marRight w:val="0"/>
      <w:marTop w:val="0"/>
      <w:marBottom w:val="0"/>
      <w:divBdr>
        <w:top w:val="none" w:sz="0" w:space="0" w:color="auto"/>
        <w:left w:val="none" w:sz="0" w:space="0" w:color="auto"/>
        <w:bottom w:val="none" w:sz="0" w:space="0" w:color="auto"/>
        <w:right w:val="none" w:sz="0" w:space="0" w:color="auto"/>
      </w:divBdr>
    </w:div>
    <w:div w:id="347292855">
      <w:bodyDiv w:val="1"/>
      <w:marLeft w:val="0"/>
      <w:marRight w:val="0"/>
      <w:marTop w:val="0"/>
      <w:marBottom w:val="0"/>
      <w:divBdr>
        <w:top w:val="none" w:sz="0" w:space="0" w:color="auto"/>
        <w:left w:val="none" w:sz="0" w:space="0" w:color="auto"/>
        <w:bottom w:val="none" w:sz="0" w:space="0" w:color="auto"/>
        <w:right w:val="none" w:sz="0" w:space="0" w:color="auto"/>
      </w:divBdr>
      <w:divsChild>
        <w:div w:id="1537041195">
          <w:marLeft w:val="0"/>
          <w:marRight w:val="0"/>
          <w:marTop w:val="0"/>
          <w:marBottom w:val="0"/>
          <w:divBdr>
            <w:top w:val="none" w:sz="0" w:space="0" w:color="auto"/>
            <w:left w:val="none" w:sz="0" w:space="0" w:color="auto"/>
            <w:bottom w:val="none" w:sz="0" w:space="0" w:color="auto"/>
            <w:right w:val="none" w:sz="0" w:space="0" w:color="auto"/>
          </w:divBdr>
          <w:divsChild>
            <w:div w:id="2069839682">
              <w:marLeft w:val="0"/>
              <w:marRight w:val="0"/>
              <w:marTop w:val="0"/>
              <w:marBottom w:val="0"/>
              <w:divBdr>
                <w:top w:val="none" w:sz="0" w:space="0" w:color="auto"/>
                <w:left w:val="none" w:sz="0" w:space="0" w:color="auto"/>
                <w:bottom w:val="none" w:sz="0" w:space="0" w:color="auto"/>
                <w:right w:val="none" w:sz="0" w:space="0" w:color="auto"/>
              </w:divBdr>
              <w:divsChild>
                <w:div w:id="1310133399">
                  <w:marLeft w:val="0"/>
                  <w:marRight w:val="0"/>
                  <w:marTop w:val="0"/>
                  <w:marBottom w:val="0"/>
                  <w:divBdr>
                    <w:top w:val="none" w:sz="0" w:space="0" w:color="auto"/>
                    <w:left w:val="none" w:sz="0" w:space="0" w:color="auto"/>
                    <w:bottom w:val="none" w:sz="0" w:space="0" w:color="auto"/>
                    <w:right w:val="none" w:sz="0" w:space="0" w:color="auto"/>
                  </w:divBdr>
                  <w:divsChild>
                    <w:div w:id="5768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8081">
      <w:bodyDiv w:val="1"/>
      <w:marLeft w:val="0"/>
      <w:marRight w:val="0"/>
      <w:marTop w:val="0"/>
      <w:marBottom w:val="0"/>
      <w:divBdr>
        <w:top w:val="none" w:sz="0" w:space="0" w:color="auto"/>
        <w:left w:val="none" w:sz="0" w:space="0" w:color="auto"/>
        <w:bottom w:val="none" w:sz="0" w:space="0" w:color="auto"/>
        <w:right w:val="none" w:sz="0" w:space="0" w:color="auto"/>
      </w:divBdr>
    </w:div>
    <w:div w:id="349449914">
      <w:bodyDiv w:val="1"/>
      <w:marLeft w:val="0"/>
      <w:marRight w:val="0"/>
      <w:marTop w:val="0"/>
      <w:marBottom w:val="0"/>
      <w:divBdr>
        <w:top w:val="none" w:sz="0" w:space="0" w:color="auto"/>
        <w:left w:val="none" w:sz="0" w:space="0" w:color="auto"/>
        <w:bottom w:val="none" w:sz="0" w:space="0" w:color="auto"/>
        <w:right w:val="none" w:sz="0" w:space="0" w:color="auto"/>
      </w:divBdr>
    </w:div>
    <w:div w:id="356584637">
      <w:bodyDiv w:val="1"/>
      <w:marLeft w:val="0"/>
      <w:marRight w:val="0"/>
      <w:marTop w:val="0"/>
      <w:marBottom w:val="0"/>
      <w:divBdr>
        <w:top w:val="none" w:sz="0" w:space="0" w:color="auto"/>
        <w:left w:val="none" w:sz="0" w:space="0" w:color="auto"/>
        <w:bottom w:val="none" w:sz="0" w:space="0" w:color="auto"/>
        <w:right w:val="none" w:sz="0" w:space="0" w:color="auto"/>
      </w:divBdr>
    </w:div>
    <w:div w:id="359401923">
      <w:bodyDiv w:val="1"/>
      <w:marLeft w:val="0"/>
      <w:marRight w:val="0"/>
      <w:marTop w:val="0"/>
      <w:marBottom w:val="0"/>
      <w:divBdr>
        <w:top w:val="none" w:sz="0" w:space="0" w:color="auto"/>
        <w:left w:val="none" w:sz="0" w:space="0" w:color="auto"/>
        <w:bottom w:val="none" w:sz="0" w:space="0" w:color="auto"/>
        <w:right w:val="none" w:sz="0" w:space="0" w:color="auto"/>
      </w:divBdr>
    </w:div>
    <w:div w:id="359821292">
      <w:bodyDiv w:val="1"/>
      <w:marLeft w:val="0"/>
      <w:marRight w:val="0"/>
      <w:marTop w:val="0"/>
      <w:marBottom w:val="0"/>
      <w:divBdr>
        <w:top w:val="none" w:sz="0" w:space="0" w:color="auto"/>
        <w:left w:val="none" w:sz="0" w:space="0" w:color="auto"/>
        <w:bottom w:val="none" w:sz="0" w:space="0" w:color="auto"/>
        <w:right w:val="none" w:sz="0" w:space="0" w:color="auto"/>
      </w:divBdr>
    </w:div>
    <w:div w:id="365984414">
      <w:bodyDiv w:val="1"/>
      <w:marLeft w:val="0"/>
      <w:marRight w:val="0"/>
      <w:marTop w:val="0"/>
      <w:marBottom w:val="0"/>
      <w:divBdr>
        <w:top w:val="none" w:sz="0" w:space="0" w:color="auto"/>
        <w:left w:val="none" w:sz="0" w:space="0" w:color="auto"/>
        <w:bottom w:val="none" w:sz="0" w:space="0" w:color="auto"/>
        <w:right w:val="none" w:sz="0" w:space="0" w:color="auto"/>
      </w:divBdr>
    </w:div>
    <w:div w:id="368143999">
      <w:bodyDiv w:val="1"/>
      <w:marLeft w:val="0"/>
      <w:marRight w:val="0"/>
      <w:marTop w:val="0"/>
      <w:marBottom w:val="0"/>
      <w:divBdr>
        <w:top w:val="none" w:sz="0" w:space="0" w:color="auto"/>
        <w:left w:val="none" w:sz="0" w:space="0" w:color="auto"/>
        <w:bottom w:val="none" w:sz="0" w:space="0" w:color="auto"/>
        <w:right w:val="none" w:sz="0" w:space="0" w:color="auto"/>
      </w:divBdr>
    </w:div>
    <w:div w:id="374620799">
      <w:bodyDiv w:val="1"/>
      <w:marLeft w:val="0"/>
      <w:marRight w:val="0"/>
      <w:marTop w:val="0"/>
      <w:marBottom w:val="0"/>
      <w:divBdr>
        <w:top w:val="none" w:sz="0" w:space="0" w:color="auto"/>
        <w:left w:val="none" w:sz="0" w:space="0" w:color="auto"/>
        <w:bottom w:val="none" w:sz="0" w:space="0" w:color="auto"/>
        <w:right w:val="none" w:sz="0" w:space="0" w:color="auto"/>
      </w:divBdr>
    </w:div>
    <w:div w:id="374935918">
      <w:bodyDiv w:val="1"/>
      <w:marLeft w:val="0"/>
      <w:marRight w:val="0"/>
      <w:marTop w:val="0"/>
      <w:marBottom w:val="0"/>
      <w:divBdr>
        <w:top w:val="none" w:sz="0" w:space="0" w:color="auto"/>
        <w:left w:val="none" w:sz="0" w:space="0" w:color="auto"/>
        <w:bottom w:val="none" w:sz="0" w:space="0" w:color="auto"/>
        <w:right w:val="none" w:sz="0" w:space="0" w:color="auto"/>
      </w:divBdr>
    </w:div>
    <w:div w:id="378667828">
      <w:bodyDiv w:val="1"/>
      <w:marLeft w:val="0"/>
      <w:marRight w:val="0"/>
      <w:marTop w:val="0"/>
      <w:marBottom w:val="0"/>
      <w:divBdr>
        <w:top w:val="none" w:sz="0" w:space="0" w:color="auto"/>
        <w:left w:val="none" w:sz="0" w:space="0" w:color="auto"/>
        <w:bottom w:val="none" w:sz="0" w:space="0" w:color="auto"/>
        <w:right w:val="none" w:sz="0" w:space="0" w:color="auto"/>
      </w:divBdr>
    </w:div>
    <w:div w:id="380255718">
      <w:bodyDiv w:val="1"/>
      <w:marLeft w:val="0"/>
      <w:marRight w:val="0"/>
      <w:marTop w:val="0"/>
      <w:marBottom w:val="0"/>
      <w:divBdr>
        <w:top w:val="none" w:sz="0" w:space="0" w:color="auto"/>
        <w:left w:val="none" w:sz="0" w:space="0" w:color="auto"/>
        <w:bottom w:val="none" w:sz="0" w:space="0" w:color="auto"/>
        <w:right w:val="none" w:sz="0" w:space="0" w:color="auto"/>
      </w:divBdr>
    </w:div>
    <w:div w:id="381635699">
      <w:bodyDiv w:val="1"/>
      <w:marLeft w:val="0"/>
      <w:marRight w:val="0"/>
      <w:marTop w:val="0"/>
      <w:marBottom w:val="0"/>
      <w:divBdr>
        <w:top w:val="none" w:sz="0" w:space="0" w:color="auto"/>
        <w:left w:val="none" w:sz="0" w:space="0" w:color="auto"/>
        <w:bottom w:val="none" w:sz="0" w:space="0" w:color="auto"/>
        <w:right w:val="none" w:sz="0" w:space="0" w:color="auto"/>
      </w:divBdr>
      <w:divsChild>
        <w:div w:id="1313945377">
          <w:marLeft w:val="0"/>
          <w:marRight w:val="0"/>
          <w:marTop w:val="0"/>
          <w:marBottom w:val="0"/>
          <w:divBdr>
            <w:top w:val="none" w:sz="0" w:space="0" w:color="auto"/>
            <w:left w:val="none" w:sz="0" w:space="0" w:color="auto"/>
            <w:bottom w:val="none" w:sz="0" w:space="0" w:color="auto"/>
            <w:right w:val="none" w:sz="0" w:space="0" w:color="auto"/>
          </w:divBdr>
          <w:divsChild>
            <w:div w:id="1276517140">
              <w:marLeft w:val="0"/>
              <w:marRight w:val="0"/>
              <w:marTop w:val="0"/>
              <w:marBottom w:val="0"/>
              <w:divBdr>
                <w:top w:val="none" w:sz="0" w:space="0" w:color="auto"/>
                <w:left w:val="none" w:sz="0" w:space="0" w:color="auto"/>
                <w:bottom w:val="none" w:sz="0" w:space="0" w:color="auto"/>
                <w:right w:val="none" w:sz="0" w:space="0" w:color="auto"/>
              </w:divBdr>
              <w:divsChild>
                <w:div w:id="519854375">
                  <w:marLeft w:val="0"/>
                  <w:marRight w:val="0"/>
                  <w:marTop w:val="0"/>
                  <w:marBottom w:val="0"/>
                  <w:divBdr>
                    <w:top w:val="none" w:sz="0" w:space="0" w:color="auto"/>
                    <w:left w:val="none" w:sz="0" w:space="0" w:color="auto"/>
                    <w:bottom w:val="none" w:sz="0" w:space="0" w:color="auto"/>
                    <w:right w:val="none" w:sz="0" w:space="0" w:color="auto"/>
                  </w:divBdr>
                  <w:divsChild>
                    <w:div w:id="167520233">
                      <w:marLeft w:val="0"/>
                      <w:marRight w:val="0"/>
                      <w:marTop w:val="0"/>
                      <w:marBottom w:val="0"/>
                      <w:divBdr>
                        <w:top w:val="none" w:sz="0" w:space="0" w:color="auto"/>
                        <w:left w:val="none" w:sz="0" w:space="0" w:color="auto"/>
                        <w:bottom w:val="none" w:sz="0" w:space="0" w:color="auto"/>
                        <w:right w:val="none" w:sz="0" w:space="0" w:color="auto"/>
                      </w:divBdr>
                      <w:divsChild>
                        <w:div w:id="624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558779">
      <w:bodyDiv w:val="1"/>
      <w:marLeft w:val="0"/>
      <w:marRight w:val="0"/>
      <w:marTop w:val="0"/>
      <w:marBottom w:val="0"/>
      <w:divBdr>
        <w:top w:val="none" w:sz="0" w:space="0" w:color="auto"/>
        <w:left w:val="none" w:sz="0" w:space="0" w:color="auto"/>
        <w:bottom w:val="none" w:sz="0" w:space="0" w:color="auto"/>
        <w:right w:val="none" w:sz="0" w:space="0" w:color="auto"/>
      </w:divBdr>
    </w:div>
    <w:div w:id="382876126">
      <w:bodyDiv w:val="1"/>
      <w:marLeft w:val="0"/>
      <w:marRight w:val="0"/>
      <w:marTop w:val="0"/>
      <w:marBottom w:val="0"/>
      <w:divBdr>
        <w:top w:val="none" w:sz="0" w:space="0" w:color="auto"/>
        <w:left w:val="none" w:sz="0" w:space="0" w:color="auto"/>
        <w:bottom w:val="none" w:sz="0" w:space="0" w:color="auto"/>
        <w:right w:val="none" w:sz="0" w:space="0" w:color="auto"/>
      </w:divBdr>
    </w:div>
    <w:div w:id="383649855">
      <w:bodyDiv w:val="1"/>
      <w:marLeft w:val="0"/>
      <w:marRight w:val="0"/>
      <w:marTop w:val="0"/>
      <w:marBottom w:val="0"/>
      <w:divBdr>
        <w:top w:val="none" w:sz="0" w:space="0" w:color="auto"/>
        <w:left w:val="none" w:sz="0" w:space="0" w:color="auto"/>
        <w:bottom w:val="none" w:sz="0" w:space="0" w:color="auto"/>
        <w:right w:val="none" w:sz="0" w:space="0" w:color="auto"/>
      </w:divBdr>
    </w:div>
    <w:div w:id="383716484">
      <w:bodyDiv w:val="1"/>
      <w:marLeft w:val="0"/>
      <w:marRight w:val="0"/>
      <w:marTop w:val="0"/>
      <w:marBottom w:val="0"/>
      <w:divBdr>
        <w:top w:val="none" w:sz="0" w:space="0" w:color="auto"/>
        <w:left w:val="none" w:sz="0" w:space="0" w:color="auto"/>
        <w:bottom w:val="none" w:sz="0" w:space="0" w:color="auto"/>
        <w:right w:val="none" w:sz="0" w:space="0" w:color="auto"/>
      </w:divBdr>
    </w:div>
    <w:div w:id="385571332">
      <w:bodyDiv w:val="1"/>
      <w:marLeft w:val="0"/>
      <w:marRight w:val="0"/>
      <w:marTop w:val="0"/>
      <w:marBottom w:val="0"/>
      <w:divBdr>
        <w:top w:val="none" w:sz="0" w:space="0" w:color="auto"/>
        <w:left w:val="none" w:sz="0" w:space="0" w:color="auto"/>
        <w:bottom w:val="none" w:sz="0" w:space="0" w:color="auto"/>
        <w:right w:val="none" w:sz="0" w:space="0" w:color="auto"/>
      </w:divBdr>
    </w:div>
    <w:div w:id="386924816">
      <w:bodyDiv w:val="1"/>
      <w:marLeft w:val="0"/>
      <w:marRight w:val="0"/>
      <w:marTop w:val="0"/>
      <w:marBottom w:val="0"/>
      <w:divBdr>
        <w:top w:val="none" w:sz="0" w:space="0" w:color="auto"/>
        <w:left w:val="none" w:sz="0" w:space="0" w:color="auto"/>
        <w:bottom w:val="none" w:sz="0" w:space="0" w:color="auto"/>
        <w:right w:val="none" w:sz="0" w:space="0" w:color="auto"/>
      </w:divBdr>
    </w:div>
    <w:div w:id="394161878">
      <w:bodyDiv w:val="1"/>
      <w:marLeft w:val="0"/>
      <w:marRight w:val="0"/>
      <w:marTop w:val="0"/>
      <w:marBottom w:val="0"/>
      <w:divBdr>
        <w:top w:val="none" w:sz="0" w:space="0" w:color="auto"/>
        <w:left w:val="none" w:sz="0" w:space="0" w:color="auto"/>
        <w:bottom w:val="none" w:sz="0" w:space="0" w:color="auto"/>
        <w:right w:val="none" w:sz="0" w:space="0" w:color="auto"/>
      </w:divBdr>
    </w:div>
    <w:div w:id="394548459">
      <w:bodyDiv w:val="1"/>
      <w:marLeft w:val="0"/>
      <w:marRight w:val="0"/>
      <w:marTop w:val="0"/>
      <w:marBottom w:val="0"/>
      <w:divBdr>
        <w:top w:val="none" w:sz="0" w:space="0" w:color="auto"/>
        <w:left w:val="none" w:sz="0" w:space="0" w:color="auto"/>
        <w:bottom w:val="none" w:sz="0" w:space="0" w:color="auto"/>
        <w:right w:val="none" w:sz="0" w:space="0" w:color="auto"/>
      </w:divBdr>
    </w:div>
    <w:div w:id="399328015">
      <w:bodyDiv w:val="1"/>
      <w:marLeft w:val="0"/>
      <w:marRight w:val="0"/>
      <w:marTop w:val="0"/>
      <w:marBottom w:val="0"/>
      <w:divBdr>
        <w:top w:val="none" w:sz="0" w:space="0" w:color="auto"/>
        <w:left w:val="none" w:sz="0" w:space="0" w:color="auto"/>
        <w:bottom w:val="none" w:sz="0" w:space="0" w:color="auto"/>
        <w:right w:val="none" w:sz="0" w:space="0" w:color="auto"/>
      </w:divBdr>
    </w:div>
    <w:div w:id="403915104">
      <w:bodyDiv w:val="1"/>
      <w:marLeft w:val="0"/>
      <w:marRight w:val="0"/>
      <w:marTop w:val="0"/>
      <w:marBottom w:val="0"/>
      <w:divBdr>
        <w:top w:val="none" w:sz="0" w:space="0" w:color="auto"/>
        <w:left w:val="none" w:sz="0" w:space="0" w:color="auto"/>
        <w:bottom w:val="none" w:sz="0" w:space="0" w:color="auto"/>
        <w:right w:val="none" w:sz="0" w:space="0" w:color="auto"/>
      </w:divBdr>
    </w:div>
    <w:div w:id="414939165">
      <w:bodyDiv w:val="1"/>
      <w:marLeft w:val="0"/>
      <w:marRight w:val="0"/>
      <w:marTop w:val="0"/>
      <w:marBottom w:val="0"/>
      <w:divBdr>
        <w:top w:val="none" w:sz="0" w:space="0" w:color="auto"/>
        <w:left w:val="none" w:sz="0" w:space="0" w:color="auto"/>
        <w:bottom w:val="none" w:sz="0" w:space="0" w:color="auto"/>
        <w:right w:val="none" w:sz="0" w:space="0" w:color="auto"/>
      </w:divBdr>
    </w:div>
    <w:div w:id="415250320">
      <w:bodyDiv w:val="1"/>
      <w:marLeft w:val="0"/>
      <w:marRight w:val="0"/>
      <w:marTop w:val="0"/>
      <w:marBottom w:val="0"/>
      <w:divBdr>
        <w:top w:val="none" w:sz="0" w:space="0" w:color="auto"/>
        <w:left w:val="none" w:sz="0" w:space="0" w:color="auto"/>
        <w:bottom w:val="none" w:sz="0" w:space="0" w:color="auto"/>
        <w:right w:val="none" w:sz="0" w:space="0" w:color="auto"/>
      </w:divBdr>
    </w:div>
    <w:div w:id="417212896">
      <w:bodyDiv w:val="1"/>
      <w:marLeft w:val="0"/>
      <w:marRight w:val="0"/>
      <w:marTop w:val="0"/>
      <w:marBottom w:val="0"/>
      <w:divBdr>
        <w:top w:val="none" w:sz="0" w:space="0" w:color="auto"/>
        <w:left w:val="none" w:sz="0" w:space="0" w:color="auto"/>
        <w:bottom w:val="none" w:sz="0" w:space="0" w:color="auto"/>
        <w:right w:val="none" w:sz="0" w:space="0" w:color="auto"/>
      </w:divBdr>
    </w:div>
    <w:div w:id="419374470">
      <w:bodyDiv w:val="1"/>
      <w:marLeft w:val="0"/>
      <w:marRight w:val="0"/>
      <w:marTop w:val="0"/>
      <w:marBottom w:val="0"/>
      <w:divBdr>
        <w:top w:val="none" w:sz="0" w:space="0" w:color="auto"/>
        <w:left w:val="none" w:sz="0" w:space="0" w:color="auto"/>
        <w:bottom w:val="none" w:sz="0" w:space="0" w:color="auto"/>
        <w:right w:val="none" w:sz="0" w:space="0" w:color="auto"/>
      </w:divBdr>
    </w:div>
    <w:div w:id="423456812">
      <w:bodyDiv w:val="1"/>
      <w:marLeft w:val="0"/>
      <w:marRight w:val="0"/>
      <w:marTop w:val="0"/>
      <w:marBottom w:val="0"/>
      <w:divBdr>
        <w:top w:val="none" w:sz="0" w:space="0" w:color="auto"/>
        <w:left w:val="none" w:sz="0" w:space="0" w:color="auto"/>
        <w:bottom w:val="none" w:sz="0" w:space="0" w:color="auto"/>
        <w:right w:val="none" w:sz="0" w:space="0" w:color="auto"/>
      </w:divBdr>
    </w:div>
    <w:div w:id="426970772">
      <w:bodyDiv w:val="1"/>
      <w:marLeft w:val="0"/>
      <w:marRight w:val="0"/>
      <w:marTop w:val="0"/>
      <w:marBottom w:val="0"/>
      <w:divBdr>
        <w:top w:val="none" w:sz="0" w:space="0" w:color="auto"/>
        <w:left w:val="none" w:sz="0" w:space="0" w:color="auto"/>
        <w:bottom w:val="none" w:sz="0" w:space="0" w:color="auto"/>
        <w:right w:val="none" w:sz="0" w:space="0" w:color="auto"/>
      </w:divBdr>
    </w:div>
    <w:div w:id="433210409">
      <w:bodyDiv w:val="1"/>
      <w:marLeft w:val="0"/>
      <w:marRight w:val="0"/>
      <w:marTop w:val="0"/>
      <w:marBottom w:val="0"/>
      <w:divBdr>
        <w:top w:val="none" w:sz="0" w:space="0" w:color="auto"/>
        <w:left w:val="none" w:sz="0" w:space="0" w:color="auto"/>
        <w:bottom w:val="none" w:sz="0" w:space="0" w:color="auto"/>
        <w:right w:val="none" w:sz="0" w:space="0" w:color="auto"/>
      </w:divBdr>
    </w:div>
    <w:div w:id="440950757">
      <w:bodyDiv w:val="1"/>
      <w:marLeft w:val="0"/>
      <w:marRight w:val="0"/>
      <w:marTop w:val="0"/>
      <w:marBottom w:val="0"/>
      <w:divBdr>
        <w:top w:val="none" w:sz="0" w:space="0" w:color="auto"/>
        <w:left w:val="none" w:sz="0" w:space="0" w:color="auto"/>
        <w:bottom w:val="none" w:sz="0" w:space="0" w:color="auto"/>
        <w:right w:val="none" w:sz="0" w:space="0" w:color="auto"/>
      </w:divBdr>
    </w:div>
    <w:div w:id="446580678">
      <w:bodyDiv w:val="1"/>
      <w:marLeft w:val="0"/>
      <w:marRight w:val="0"/>
      <w:marTop w:val="0"/>
      <w:marBottom w:val="0"/>
      <w:divBdr>
        <w:top w:val="none" w:sz="0" w:space="0" w:color="auto"/>
        <w:left w:val="none" w:sz="0" w:space="0" w:color="auto"/>
        <w:bottom w:val="none" w:sz="0" w:space="0" w:color="auto"/>
        <w:right w:val="none" w:sz="0" w:space="0" w:color="auto"/>
      </w:divBdr>
    </w:div>
    <w:div w:id="447163304">
      <w:bodyDiv w:val="1"/>
      <w:marLeft w:val="0"/>
      <w:marRight w:val="0"/>
      <w:marTop w:val="0"/>
      <w:marBottom w:val="0"/>
      <w:divBdr>
        <w:top w:val="none" w:sz="0" w:space="0" w:color="auto"/>
        <w:left w:val="none" w:sz="0" w:space="0" w:color="auto"/>
        <w:bottom w:val="none" w:sz="0" w:space="0" w:color="auto"/>
        <w:right w:val="none" w:sz="0" w:space="0" w:color="auto"/>
      </w:divBdr>
    </w:div>
    <w:div w:id="448742103">
      <w:bodyDiv w:val="1"/>
      <w:marLeft w:val="0"/>
      <w:marRight w:val="0"/>
      <w:marTop w:val="0"/>
      <w:marBottom w:val="0"/>
      <w:divBdr>
        <w:top w:val="none" w:sz="0" w:space="0" w:color="auto"/>
        <w:left w:val="none" w:sz="0" w:space="0" w:color="auto"/>
        <w:bottom w:val="none" w:sz="0" w:space="0" w:color="auto"/>
        <w:right w:val="none" w:sz="0" w:space="0" w:color="auto"/>
      </w:divBdr>
    </w:div>
    <w:div w:id="449125951">
      <w:bodyDiv w:val="1"/>
      <w:marLeft w:val="0"/>
      <w:marRight w:val="0"/>
      <w:marTop w:val="0"/>
      <w:marBottom w:val="0"/>
      <w:divBdr>
        <w:top w:val="none" w:sz="0" w:space="0" w:color="auto"/>
        <w:left w:val="none" w:sz="0" w:space="0" w:color="auto"/>
        <w:bottom w:val="none" w:sz="0" w:space="0" w:color="auto"/>
        <w:right w:val="none" w:sz="0" w:space="0" w:color="auto"/>
      </w:divBdr>
    </w:div>
    <w:div w:id="449784163">
      <w:bodyDiv w:val="1"/>
      <w:marLeft w:val="0"/>
      <w:marRight w:val="0"/>
      <w:marTop w:val="0"/>
      <w:marBottom w:val="0"/>
      <w:divBdr>
        <w:top w:val="none" w:sz="0" w:space="0" w:color="auto"/>
        <w:left w:val="none" w:sz="0" w:space="0" w:color="auto"/>
        <w:bottom w:val="none" w:sz="0" w:space="0" w:color="auto"/>
        <w:right w:val="none" w:sz="0" w:space="0" w:color="auto"/>
      </w:divBdr>
    </w:div>
    <w:div w:id="451291579">
      <w:bodyDiv w:val="1"/>
      <w:marLeft w:val="0"/>
      <w:marRight w:val="0"/>
      <w:marTop w:val="0"/>
      <w:marBottom w:val="0"/>
      <w:divBdr>
        <w:top w:val="none" w:sz="0" w:space="0" w:color="auto"/>
        <w:left w:val="none" w:sz="0" w:space="0" w:color="auto"/>
        <w:bottom w:val="none" w:sz="0" w:space="0" w:color="auto"/>
        <w:right w:val="none" w:sz="0" w:space="0" w:color="auto"/>
      </w:divBdr>
    </w:div>
    <w:div w:id="464812349">
      <w:bodyDiv w:val="1"/>
      <w:marLeft w:val="0"/>
      <w:marRight w:val="0"/>
      <w:marTop w:val="0"/>
      <w:marBottom w:val="0"/>
      <w:divBdr>
        <w:top w:val="none" w:sz="0" w:space="0" w:color="auto"/>
        <w:left w:val="none" w:sz="0" w:space="0" w:color="auto"/>
        <w:bottom w:val="none" w:sz="0" w:space="0" w:color="auto"/>
        <w:right w:val="none" w:sz="0" w:space="0" w:color="auto"/>
      </w:divBdr>
    </w:div>
    <w:div w:id="464812990">
      <w:bodyDiv w:val="1"/>
      <w:marLeft w:val="0"/>
      <w:marRight w:val="0"/>
      <w:marTop w:val="0"/>
      <w:marBottom w:val="0"/>
      <w:divBdr>
        <w:top w:val="none" w:sz="0" w:space="0" w:color="auto"/>
        <w:left w:val="none" w:sz="0" w:space="0" w:color="auto"/>
        <w:bottom w:val="none" w:sz="0" w:space="0" w:color="auto"/>
        <w:right w:val="none" w:sz="0" w:space="0" w:color="auto"/>
      </w:divBdr>
    </w:div>
    <w:div w:id="473646654">
      <w:bodyDiv w:val="1"/>
      <w:marLeft w:val="0"/>
      <w:marRight w:val="0"/>
      <w:marTop w:val="0"/>
      <w:marBottom w:val="0"/>
      <w:divBdr>
        <w:top w:val="none" w:sz="0" w:space="0" w:color="auto"/>
        <w:left w:val="none" w:sz="0" w:space="0" w:color="auto"/>
        <w:bottom w:val="none" w:sz="0" w:space="0" w:color="auto"/>
        <w:right w:val="none" w:sz="0" w:space="0" w:color="auto"/>
      </w:divBdr>
    </w:div>
    <w:div w:id="476915727">
      <w:bodyDiv w:val="1"/>
      <w:marLeft w:val="0"/>
      <w:marRight w:val="0"/>
      <w:marTop w:val="0"/>
      <w:marBottom w:val="0"/>
      <w:divBdr>
        <w:top w:val="none" w:sz="0" w:space="0" w:color="auto"/>
        <w:left w:val="none" w:sz="0" w:space="0" w:color="auto"/>
        <w:bottom w:val="none" w:sz="0" w:space="0" w:color="auto"/>
        <w:right w:val="none" w:sz="0" w:space="0" w:color="auto"/>
      </w:divBdr>
    </w:div>
    <w:div w:id="483282087">
      <w:bodyDiv w:val="1"/>
      <w:marLeft w:val="0"/>
      <w:marRight w:val="0"/>
      <w:marTop w:val="0"/>
      <w:marBottom w:val="0"/>
      <w:divBdr>
        <w:top w:val="none" w:sz="0" w:space="0" w:color="auto"/>
        <w:left w:val="none" w:sz="0" w:space="0" w:color="auto"/>
        <w:bottom w:val="none" w:sz="0" w:space="0" w:color="auto"/>
        <w:right w:val="none" w:sz="0" w:space="0" w:color="auto"/>
      </w:divBdr>
    </w:div>
    <w:div w:id="484787620">
      <w:bodyDiv w:val="1"/>
      <w:marLeft w:val="0"/>
      <w:marRight w:val="0"/>
      <w:marTop w:val="0"/>
      <w:marBottom w:val="0"/>
      <w:divBdr>
        <w:top w:val="none" w:sz="0" w:space="0" w:color="auto"/>
        <w:left w:val="none" w:sz="0" w:space="0" w:color="auto"/>
        <w:bottom w:val="none" w:sz="0" w:space="0" w:color="auto"/>
        <w:right w:val="none" w:sz="0" w:space="0" w:color="auto"/>
      </w:divBdr>
    </w:div>
    <w:div w:id="487135273">
      <w:bodyDiv w:val="1"/>
      <w:marLeft w:val="0"/>
      <w:marRight w:val="0"/>
      <w:marTop w:val="0"/>
      <w:marBottom w:val="0"/>
      <w:divBdr>
        <w:top w:val="none" w:sz="0" w:space="0" w:color="auto"/>
        <w:left w:val="none" w:sz="0" w:space="0" w:color="auto"/>
        <w:bottom w:val="none" w:sz="0" w:space="0" w:color="auto"/>
        <w:right w:val="none" w:sz="0" w:space="0" w:color="auto"/>
      </w:divBdr>
    </w:div>
    <w:div w:id="493104182">
      <w:bodyDiv w:val="1"/>
      <w:marLeft w:val="0"/>
      <w:marRight w:val="0"/>
      <w:marTop w:val="0"/>
      <w:marBottom w:val="0"/>
      <w:divBdr>
        <w:top w:val="none" w:sz="0" w:space="0" w:color="auto"/>
        <w:left w:val="none" w:sz="0" w:space="0" w:color="auto"/>
        <w:bottom w:val="none" w:sz="0" w:space="0" w:color="auto"/>
        <w:right w:val="none" w:sz="0" w:space="0" w:color="auto"/>
      </w:divBdr>
    </w:div>
    <w:div w:id="494106857">
      <w:bodyDiv w:val="1"/>
      <w:marLeft w:val="0"/>
      <w:marRight w:val="0"/>
      <w:marTop w:val="0"/>
      <w:marBottom w:val="0"/>
      <w:divBdr>
        <w:top w:val="none" w:sz="0" w:space="0" w:color="auto"/>
        <w:left w:val="none" w:sz="0" w:space="0" w:color="auto"/>
        <w:bottom w:val="none" w:sz="0" w:space="0" w:color="auto"/>
        <w:right w:val="none" w:sz="0" w:space="0" w:color="auto"/>
      </w:divBdr>
    </w:div>
    <w:div w:id="501891500">
      <w:bodyDiv w:val="1"/>
      <w:marLeft w:val="0"/>
      <w:marRight w:val="0"/>
      <w:marTop w:val="0"/>
      <w:marBottom w:val="0"/>
      <w:divBdr>
        <w:top w:val="none" w:sz="0" w:space="0" w:color="auto"/>
        <w:left w:val="none" w:sz="0" w:space="0" w:color="auto"/>
        <w:bottom w:val="none" w:sz="0" w:space="0" w:color="auto"/>
        <w:right w:val="none" w:sz="0" w:space="0" w:color="auto"/>
      </w:divBdr>
    </w:div>
    <w:div w:id="504563356">
      <w:bodyDiv w:val="1"/>
      <w:marLeft w:val="0"/>
      <w:marRight w:val="0"/>
      <w:marTop w:val="0"/>
      <w:marBottom w:val="0"/>
      <w:divBdr>
        <w:top w:val="none" w:sz="0" w:space="0" w:color="auto"/>
        <w:left w:val="none" w:sz="0" w:space="0" w:color="auto"/>
        <w:bottom w:val="none" w:sz="0" w:space="0" w:color="auto"/>
        <w:right w:val="none" w:sz="0" w:space="0" w:color="auto"/>
      </w:divBdr>
      <w:divsChild>
        <w:div w:id="1613588214">
          <w:marLeft w:val="0"/>
          <w:marRight w:val="0"/>
          <w:marTop w:val="0"/>
          <w:marBottom w:val="0"/>
          <w:divBdr>
            <w:top w:val="none" w:sz="0" w:space="0" w:color="auto"/>
            <w:left w:val="none" w:sz="0" w:space="0" w:color="auto"/>
            <w:bottom w:val="none" w:sz="0" w:space="0" w:color="auto"/>
            <w:right w:val="none" w:sz="0" w:space="0" w:color="auto"/>
          </w:divBdr>
          <w:divsChild>
            <w:div w:id="1990205048">
              <w:marLeft w:val="0"/>
              <w:marRight w:val="0"/>
              <w:marTop w:val="150"/>
              <w:marBottom w:val="0"/>
              <w:divBdr>
                <w:top w:val="none" w:sz="0" w:space="0" w:color="auto"/>
                <w:left w:val="none" w:sz="0" w:space="0" w:color="auto"/>
                <w:bottom w:val="none" w:sz="0" w:space="0" w:color="auto"/>
                <w:right w:val="none" w:sz="0" w:space="0" w:color="auto"/>
              </w:divBdr>
              <w:divsChild>
                <w:div w:id="571475181">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504980968">
      <w:bodyDiv w:val="1"/>
      <w:marLeft w:val="0"/>
      <w:marRight w:val="0"/>
      <w:marTop w:val="0"/>
      <w:marBottom w:val="0"/>
      <w:divBdr>
        <w:top w:val="none" w:sz="0" w:space="0" w:color="auto"/>
        <w:left w:val="none" w:sz="0" w:space="0" w:color="auto"/>
        <w:bottom w:val="none" w:sz="0" w:space="0" w:color="auto"/>
        <w:right w:val="none" w:sz="0" w:space="0" w:color="auto"/>
      </w:divBdr>
    </w:div>
    <w:div w:id="505511367">
      <w:bodyDiv w:val="1"/>
      <w:marLeft w:val="0"/>
      <w:marRight w:val="0"/>
      <w:marTop w:val="0"/>
      <w:marBottom w:val="0"/>
      <w:divBdr>
        <w:top w:val="none" w:sz="0" w:space="0" w:color="auto"/>
        <w:left w:val="none" w:sz="0" w:space="0" w:color="auto"/>
        <w:bottom w:val="none" w:sz="0" w:space="0" w:color="auto"/>
        <w:right w:val="none" w:sz="0" w:space="0" w:color="auto"/>
      </w:divBdr>
    </w:div>
    <w:div w:id="509174499">
      <w:bodyDiv w:val="1"/>
      <w:marLeft w:val="0"/>
      <w:marRight w:val="0"/>
      <w:marTop w:val="0"/>
      <w:marBottom w:val="0"/>
      <w:divBdr>
        <w:top w:val="none" w:sz="0" w:space="0" w:color="auto"/>
        <w:left w:val="none" w:sz="0" w:space="0" w:color="auto"/>
        <w:bottom w:val="none" w:sz="0" w:space="0" w:color="auto"/>
        <w:right w:val="none" w:sz="0" w:space="0" w:color="auto"/>
      </w:divBdr>
    </w:div>
    <w:div w:id="5138120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524">
          <w:marLeft w:val="0"/>
          <w:marRight w:val="0"/>
          <w:marTop w:val="0"/>
          <w:marBottom w:val="0"/>
          <w:divBdr>
            <w:top w:val="none" w:sz="0" w:space="0" w:color="auto"/>
            <w:left w:val="none" w:sz="0" w:space="0" w:color="auto"/>
            <w:bottom w:val="none" w:sz="0" w:space="0" w:color="auto"/>
            <w:right w:val="none" w:sz="0" w:space="0" w:color="auto"/>
          </w:divBdr>
          <w:divsChild>
            <w:div w:id="1443694974">
              <w:marLeft w:val="0"/>
              <w:marRight w:val="0"/>
              <w:marTop w:val="0"/>
              <w:marBottom w:val="0"/>
              <w:divBdr>
                <w:top w:val="none" w:sz="0" w:space="0" w:color="auto"/>
                <w:left w:val="none" w:sz="0" w:space="0" w:color="auto"/>
                <w:bottom w:val="none" w:sz="0" w:space="0" w:color="auto"/>
                <w:right w:val="none" w:sz="0" w:space="0" w:color="auto"/>
              </w:divBdr>
              <w:divsChild>
                <w:div w:id="2101177013">
                  <w:marLeft w:val="0"/>
                  <w:marRight w:val="0"/>
                  <w:marTop w:val="0"/>
                  <w:marBottom w:val="0"/>
                  <w:divBdr>
                    <w:top w:val="none" w:sz="0" w:space="0" w:color="auto"/>
                    <w:left w:val="none" w:sz="0" w:space="0" w:color="auto"/>
                    <w:bottom w:val="none" w:sz="0" w:space="0" w:color="auto"/>
                    <w:right w:val="none" w:sz="0" w:space="0" w:color="auto"/>
                  </w:divBdr>
                  <w:divsChild>
                    <w:div w:id="5700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9081">
      <w:bodyDiv w:val="1"/>
      <w:marLeft w:val="0"/>
      <w:marRight w:val="0"/>
      <w:marTop w:val="0"/>
      <w:marBottom w:val="0"/>
      <w:divBdr>
        <w:top w:val="none" w:sz="0" w:space="0" w:color="auto"/>
        <w:left w:val="none" w:sz="0" w:space="0" w:color="auto"/>
        <w:bottom w:val="none" w:sz="0" w:space="0" w:color="auto"/>
        <w:right w:val="none" w:sz="0" w:space="0" w:color="auto"/>
      </w:divBdr>
    </w:div>
    <w:div w:id="528643703">
      <w:bodyDiv w:val="1"/>
      <w:marLeft w:val="0"/>
      <w:marRight w:val="0"/>
      <w:marTop w:val="0"/>
      <w:marBottom w:val="0"/>
      <w:divBdr>
        <w:top w:val="none" w:sz="0" w:space="0" w:color="auto"/>
        <w:left w:val="none" w:sz="0" w:space="0" w:color="auto"/>
        <w:bottom w:val="none" w:sz="0" w:space="0" w:color="auto"/>
        <w:right w:val="none" w:sz="0" w:space="0" w:color="auto"/>
      </w:divBdr>
    </w:div>
    <w:div w:id="529731830">
      <w:bodyDiv w:val="1"/>
      <w:marLeft w:val="0"/>
      <w:marRight w:val="0"/>
      <w:marTop w:val="0"/>
      <w:marBottom w:val="0"/>
      <w:divBdr>
        <w:top w:val="none" w:sz="0" w:space="0" w:color="auto"/>
        <w:left w:val="none" w:sz="0" w:space="0" w:color="auto"/>
        <w:bottom w:val="none" w:sz="0" w:space="0" w:color="auto"/>
        <w:right w:val="none" w:sz="0" w:space="0" w:color="auto"/>
      </w:divBdr>
    </w:div>
    <w:div w:id="532881981">
      <w:bodyDiv w:val="1"/>
      <w:marLeft w:val="0"/>
      <w:marRight w:val="0"/>
      <w:marTop w:val="0"/>
      <w:marBottom w:val="0"/>
      <w:divBdr>
        <w:top w:val="none" w:sz="0" w:space="0" w:color="auto"/>
        <w:left w:val="none" w:sz="0" w:space="0" w:color="auto"/>
        <w:bottom w:val="none" w:sz="0" w:space="0" w:color="auto"/>
        <w:right w:val="none" w:sz="0" w:space="0" w:color="auto"/>
      </w:divBdr>
    </w:div>
    <w:div w:id="533271975">
      <w:bodyDiv w:val="1"/>
      <w:marLeft w:val="0"/>
      <w:marRight w:val="0"/>
      <w:marTop w:val="0"/>
      <w:marBottom w:val="0"/>
      <w:divBdr>
        <w:top w:val="none" w:sz="0" w:space="0" w:color="auto"/>
        <w:left w:val="none" w:sz="0" w:space="0" w:color="auto"/>
        <w:bottom w:val="none" w:sz="0" w:space="0" w:color="auto"/>
        <w:right w:val="none" w:sz="0" w:space="0" w:color="auto"/>
      </w:divBdr>
    </w:div>
    <w:div w:id="534926994">
      <w:bodyDiv w:val="1"/>
      <w:marLeft w:val="0"/>
      <w:marRight w:val="0"/>
      <w:marTop w:val="0"/>
      <w:marBottom w:val="0"/>
      <w:divBdr>
        <w:top w:val="none" w:sz="0" w:space="0" w:color="auto"/>
        <w:left w:val="none" w:sz="0" w:space="0" w:color="auto"/>
        <w:bottom w:val="none" w:sz="0" w:space="0" w:color="auto"/>
        <w:right w:val="none" w:sz="0" w:space="0" w:color="auto"/>
      </w:divBdr>
    </w:div>
    <w:div w:id="537356941">
      <w:bodyDiv w:val="1"/>
      <w:marLeft w:val="0"/>
      <w:marRight w:val="0"/>
      <w:marTop w:val="0"/>
      <w:marBottom w:val="0"/>
      <w:divBdr>
        <w:top w:val="none" w:sz="0" w:space="0" w:color="auto"/>
        <w:left w:val="none" w:sz="0" w:space="0" w:color="auto"/>
        <w:bottom w:val="none" w:sz="0" w:space="0" w:color="auto"/>
        <w:right w:val="none" w:sz="0" w:space="0" w:color="auto"/>
      </w:divBdr>
    </w:div>
    <w:div w:id="541133188">
      <w:bodyDiv w:val="1"/>
      <w:marLeft w:val="0"/>
      <w:marRight w:val="0"/>
      <w:marTop w:val="0"/>
      <w:marBottom w:val="0"/>
      <w:divBdr>
        <w:top w:val="none" w:sz="0" w:space="0" w:color="auto"/>
        <w:left w:val="none" w:sz="0" w:space="0" w:color="auto"/>
        <w:bottom w:val="none" w:sz="0" w:space="0" w:color="auto"/>
        <w:right w:val="none" w:sz="0" w:space="0" w:color="auto"/>
      </w:divBdr>
    </w:div>
    <w:div w:id="546644542">
      <w:bodyDiv w:val="1"/>
      <w:marLeft w:val="0"/>
      <w:marRight w:val="0"/>
      <w:marTop w:val="0"/>
      <w:marBottom w:val="0"/>
      <w:divBdr>
        <w:top w:val="none" w:sz="0" w:space="0" w:color="auto"/>
        <w:left w:val="none" w:sz="0" w:space="0" w:color="auto"/>
        <w:bottom w:val="none" w:sz="0" w:space="0" w:color="auto"/>
        <w:right w:val="none" w:sz="0" w:space="0" w:color="auto"/>
      </w:divBdr>
      <w:divsChild>
        <w:div w:id="1544710919">
          <w:marLeft w:val="0"/>
          <w:marRight w:val="0"/>
          <w:marTop w:val="0"/>
          <w:marBottom w:val="0"/>
          <w:divBdr>
            <w:top w:val="none" w:sz="0" w:space="0" w:color="auto"/>
            <w:left w:val="none" w:sz="0" w:space="0" w:color="auto"/>
            <w:bottom w:val="none" w:sz="0" w:space="0" w:color="auto"/>
            <w:right w:val="none" w:sz="0" w:space="0" w:color="auto"/>
          </w:divBdr>
          <w:divsChild>
            <w:div w:id="1389188388">
              <w:marLeft w:val="0"/>
              <w:marRight w:val="0"/>
              <w:marTop w:val="0"/>
              <w:marBottom w:val="0"/>
              <w:divBdr>
                <w:top w:val="none" w:sz="0" w:space="0" w:color="auto"/>
                <w:left w:val="none" w:sz="0" w:space="0" w:color="auto"/>
                <w:bottom w:val="none" w:sz="0" w:space="0" w:color="auto"/>
                <w:right w:val="none" w:sz="0" w:space="0" w:color="auto"/>
              </w:divBdr>
              <w:divsChild>
                <w:div w:id="1823539325">
                  <w:marLeft w:val="0"/>
                  <w:marRight w:val="0"/>
                  <w:marTop w:val="0"/>
                  <w:marBottom w:val="0"/>
                  <w:divBdr>
                    <w:top w:val="none" w:sz="0" w:space="0" w:color="auto"/>
                    <w:left w:val="none" w:sz="0" w:space="0" w:color="auto"/>
                    <w:bottom w:val="none" w:sz="0" w:space="0" w:color="auto"/>
                    <w:right w:val="none" w:sz="0" w:space="0" w:color="auto"/>
                  </w:divBdr>
                  <w:divsChild>
                    <w:div w:id="1654527764">
                      <w:marLeft w:val="0"/>
                      <w:marRight w:val="0"/>
                      <w:marTop w:val="0"/>
                      <w:marBottom w:val="0"/>
                      <w:divBdr>
                        <w:top w:val="none" w:sz="0" w:space="0" w:color="auto"/>
                        <w:left w:val="none" w:sz="0" w:space="0" w:color="auto"/>
                        <w:bottom w:val="none" w:sz="0" w:space="0" w:color="auto"/>
                        <w:right w:val="none" w:sz="0" w:space="0" w:color="auto"/>
                      </w:divBdr>
                      <w:divsChild>
                        <w:div w:id="1238173772">
                          <w:marLeft w:val="0"/>
                          <w:marRight w:val="0"/>
                          <w:marTop w:val="0"/>
                          <w:marBottom w:val="0"/>
                          <w:divBdr>
                            <w:top w:val="none" w:sz="0" w:space="0" w:color="auto"/>
                            <w:left w:val="none" w:sz="0" w:space="0" w:color="auto"/>
                            <w:bottom w:val="none" w:sz="0" w:space="0" w:color="auto"/>
                            <w:right w:val="none" w:sz="0" w:space="0" w:color="auto"/>
                          </w:divBdr>
                          <w:divsChild>
                            <w:div w:id="933130220">
                              <w:marLeft w:val="0"/>
                              <w:marRight w:val="0"/>
                              <w:marTop w:val="0"/>
                              <w:marBottom w:val="0"/>
                              <w:divBdr>
                                <w:top w:val="none" w:sz="0" w:space="0" w:color="auto"/>
                                <w:left w:val="none" w:sz="0" w:space="0" w:color="auto"/>
                                <w:bottom w:val="none" w:sz="0" w:space="0" w:color="auto"/>
                                <w:right w:val="none" w:sz="0" w:space="0" w:color="auto"/>
                              </w:divBdr>
                              <w:divsChild>
                                <w:div w:id="404687130">
                                  <w:marLeft w:val="0"/>
                                  <w:marRight w:val="0"/>
                                  <w:marTop w:val="0"/>
                                  <w:marBottom w:val="0"/>
                                  <w:divBdr>
                                    <w:top w:val="none" w:sz="0" w:space="0" w:color="auto"/>
                                    <w:left w:val="none" w:sz="0" w:space="0" w:color="auto"/>
                                    <w:bottom w:val="none" w:sz="0" w:space="0" w:color="auto"/>
                                    <w:right w:val="none" w:sz="0" w:space="0" w:color="auto"/>
                                  </w:divBdr>
                                  <w:divsChild>
                                    <w:div w:id="431173119">
                                      <w:marLeft w:val="0"/>
                                      <w:marRight w:val="0"/>
                                      <w:marTop w:val="0"/>
                                      <w:marBottom w:val="0"/>
                                      <w:divBdr>
                                        <w:top w:val="none" w:sz="0" w:space="0" w:color="auto"/>
                                        <w:left w:val="none" w:sz="0" w:space="0" w:color="auto"/>
                                        <w:bottom w:val="none" w:sz="0" w:space="0" w:color="auto"/>
                                        <w:right w:val="none" w:sz="0" w:space="0" w:color="auto"/>
                                      </w:divBdr>
                                      <w:divsChild>
                                        <w:div w:id="329141631">
                                          <w:marLeft w:val="0"/>
                                          <w:marRight w:val="0"/>
                                          <w:marTop w:val="0"/>
                                          <w:marBottom w:val="0"/>
                                          <w:divBdr>
                                            <w:top w:val="none" w:sz="0" w:space="0" w:color="auto"/>
                                            <w:left w:val="none" w:sz="0" w:space="0" w:color="auto"/>
                                            <w:bottom w:val="none" w:sz="0" w:space="0" w:color="auto"/>
                                            <w:right w:val="none" w:sz="0" w:space="0" w:color="auto"/>
                                          </w:divBdr>
                                          <w:divsChild>
                                            <w:div w:id="226692361">
                                              <w:marLeft w:val="0"/>
                                              <w:marRight w:val="0"/>
                                              <w:marTop w:val="0"/>
                                              <w:marBottom w:val="0"/>
                                              <w:divBdr>
                                                <w:top w:val="none" w:sz="0" w:space="0" w:color="auto"/>
                                                <w:left w:val="none" w:sz="0" w:space="0" w:color="auto"/>
                                                <w:bottom w:val="none" w:sz="0" w:space="0" w:color="auto"/>
                                                <w:right w:val="none" w:sz="0" w:space="0" w:color="auto"/>
                                              </w:divBdr>
                                              <w:divsChild>
                                                <w:div w:id="599408204">
                                                  <w:marLeft w:val="0"/>
                                                  <w:marRight w:val="0"/>
                                                  <w:marTop w:val="0"/>
                                                  <w:marBottom w:val="0"/>
                                                  <w:divBdr>
                                                    <w:top w:val="none" w:sz="0" w:space="0" w:color="auto"/>
                                                    <w:left w:val="none" w:sz="0" w:space="0" w:color="auto"/>
                                                    <w:bottom w:val="none" w:sz="0" w:space="0" w:color="auto"/>
                                                    <w:right w:val="none" w:sz="0" w:space="0" w:color="auto"/>
                                                  </w:divBdr>
                                                  <w:divsChild>
                                                    <w:div w:id="1023632038">
                                                      <w:marLeft w:val="0"/>
                                                      <w:marRight w:val="0"/>
                                                      <w:marTop w:val="0"/>
                                                      <w:marBottom w:val="0"/>
                                                      <w:divBdr>
                                                        <w:top w:val="none" w:sz="0" w:space="0" w:color="auto"/>
                                                        <w:left w:val="none" w:sz="0" w:space="0" w:color="auto"/>
                                                        <w:bottom w:val="none" w:sz="0" w:space="0" w:color="auto"/>
                                                        <w:right w:val="none" w:sz="0" w:space="0" w:color="auto"/>
                                                      </w:divBdr>
                                                      <w:divsChild>
                                                        <w:div w:id="1770347511">
                                                          <w:marLeft w:val="0"/>
                                                          <w:marRight w:val="0"/>
                                                          <w:marTop w:val="0"/>
                                                          <w:marBottom w:val="0"/>
                                                          <w:divBdr>
                                                            <w:top w:val="none" w:sz="0" w:space="0" w:color="auto"/>
                                                            <w:left w:val="single" w:sz="6" w:space="0" w:color="DCDCDC"/>
                                                            <w:bottom w:val="none" w:sz="0" w:space="0" w:color="auto"/>
                                                            <w:right w:val="single" w:sz="6" w:space="0" w:color="DCDCDC"/>
                                                          </w:divBdr>
                                                          <w:divsChild>
                                                            <w:div w:id="508569472">
                                                              <w:marLeft w:val="0"/>
                                                              <w:marRight w:val="0"/>
                                                              <w:marTop w:val="0"/>
                                                              <w:marBottom w:val="0"/>
                                                              <w:divBdr>
                                                                <w:top w:val="none" w:sz="0" w:space="0" w:color="auto"/>
                                                                <w:left w:val="none" w:sz="0" w:space="0" w:color="auto"/>
                                                                <w:bottom w:val="none" w:sz="0" w:space="0" w:color="auto"/>
                                                                <w:right w:val="none" w:sz="0" w:space="0" w:color="auto"/>
                                                              </w:divBdr>
                                                              <w:divsChild>
                                                                <w:div w:id="1756392583">
                                                                  <w:marLeft w:val="0"/>
                                                                  <w:marRight w:val="0"/>
                                                                  <w:marTop w:val="0"/>
                                                                  <w:marBottom w:val="0"/>
                                                                  <w:divBdr>
                                                                    <w:top w:val="none" w:sz="0" w:space="0" w:color="auto"/>
                                                                    <w:left w:val="none" w:sz="0" w:space="0" w:color="auto"/>
                                                                    <w:bottom w:val="none" w:sz="0" w:space="0" w:color="auto"/>
                                                                    <w:right w:val="none" w:sz="0" w:space="0" w:color="auto"/>
                                                                  </w:divBdr>
                                                                  <w:divsChild>
                                                                    <w:div w:id="365327037">
                                                                      <w:marLeft w:val="0"/>
                                                                      <w:marRight w:val="0"/>
                                                                      <w:marTop w:val="0"/>
                                                                      <w:marBottom w:val="0"/>
                                                                      <w:divBdr>
                                                                        <w:top w:val="none" w:sz="0" w:space="0" w:color="auto"/>
                                                                        <w:left w:val="single" w:sz="6" w:space="0" w:color="DCDCDC"/>
                                                                        <w:bottom w:val="none" w:sz="0" w:space="0" w:color="auto"/>
                                                                        <w:right w:val="single" w:sz="6" w:space="0" w:color="DCDCDC"/>
                                                                      </w:divBdr>
                                                                      <w:divsChild>
                                                                        <w:div w:id="2092962868">
                                                                          <w:marLeft w:val="0"/>
                                                                          <w:marRight w:val="0"/>
                                                                          <w:marTop w:val="0"/>
                                                                          <w:marBottom w:val="0"/>
                                                                          <w:divBdr>
                                                                            <w:top w:val="none" w:sz="0" w:space="0" w:color="auto"/>
                                                                            <w:left w:val="none" w:sz="0" w:space="0" w:color="auto"/>
                                                                            <w:bottom w:val="none" w:sz="0" w:space="0" w:color="auto"/>
                                                                            <w:right w:val="none" w:sz="0" w:space="0" w:color="auto"/>
                                                                          </w:divBdr>
                                                                          <w:divsChild>
                                                                            <w:div w:id="2141805077">
                                                                              <w:marLeft w:val="0"/>
                                                                              <w:marRight w:val="0"/>
                                                                              <w:marTop w:val="0"/>
                                                                              <w:marBottom w:val="0"/>
                                                                              <w:divBdr>
                                                                                <w:top w:val="none" w:sz="0" w:space="0" w:color="auto"/>
                                                                                <w:left w:val="none" w:sz="0" w:space="0" w:color="auto"/>
                                                                                <w:bottom w:val="none" w:sz="0" w:space="0" w:color="auto"/>
                                                                                <w:right w:val="none" w:sz="0" w:space="0" w:color="auto"/>
                                                                              </w:divBdr>
                                                                              <w:divsChild>
                                                                                <w:div w:id="884564435">
                                                                                  <w:marLeft w:val="0"/>
                                                                                  <w:marRight w:val="0"/>
                                                                                  <w:marTop w:val="0"/>
                                                                                  <w:marBottom w:val="0"/>
                                                                                  <w:divBdr>
                                                                                    <w:top w:val="none" w:sz="0" w:space="0" w:color="auto"/>
                                                                                    <w:left w:val="none" w:sz="0" w:space="0" w:color="auto"/>
                                                                                    <w:bottom w:val="none" w:sz="0" w:space="0" w:color="auto"/>
                                                                                    <w:right w:val="none" w:sz="0" w:space="0" w:color="auto"/>
                                                                                  </w:divBdr>
                                                                                  <w:divsChild>
                                                                                    <w:div w:id="1040669754">
                                                                                      <w:marLeft w:val="0"/>
                                                                                      <w:marRight w:val="0"/>
                                                                                      <w:marTop w:val="0"/>
                                                                                      <w:marBottom w:val="0"/>
                                                                                      <w:divBdr>
                                                                                        <w:top w:val="none" w:sz="0" w:space="0" w:color="auto"/>
                                                                                        <w:left w:val="none" w:sz="0" w:space="0" w:color="auto"/>
                                                                                        <w:bottom w:val="none" w:sz="0" w:space="0" w:color="auto"/>
                                                                                        <w:right w:val="none" w:sz="0" w:space="0" w:color="auto"/>
                                                                                      </w:divBdr>
                                                                                      <w:divsChild>
                                                                                        <w:div w:id="1538741245">
                                                                                          <w:marLeft w:val="0"/>
                                                                                          <w:marRight w:val="0"/>
                                                                                          <w:marTop w:val="0"/>
                                                                                          <w:marBottom w:val="0"/>
                                                                                          <w:divBdr>
                                                                                            <w:top w:val="none" w:sz="0" w:space="0" w:color="auto"/>
                                                                                            <w:left w:val="none" w:sz="0" w:space="0" w:color="auto"/>
                                                                                            <w:bottom w:val="none" w:sz="0" w:space="0" w:color="auto"/>
                                                                                            <w:right w:val="none" w:sz="0" w:space="0" w:color="auto"/>
                                                                                          </w:divBdr>
                                                                                          <w:divsChild>
                                                                                            <w:div w:id="563033571">
                                                                                              <w:marLeft w:val="0"/>
                                                                                              <w:marRight w:val="0"/>
                                                                                              <w:marTop w:val="0"/>
                                                                                              <w:marBottom w:val="0"/>
                                                                                              <w:divBdr>
                                                                                                <w:top w:val="none" w:sz="0" w:space="0" w:color="auto"/>
                                                                                                <w:left w:val="none" w:sz="0" w:space="0" w:color="auto"/>
                                                                                                <w:bottom w:val="none" w:sz="0" w:space="0" w:color="auto"/>
                                                                                                <w:right w:val="none" w:sz="0" w:space="0" w:color="auto"/>
                                                                                              </w:divBdr>
                                                                                              <w:divsChild>
                                                                                                <w:div w:id="453015928">
                                                                                                  <w:marLeft w:val="0"/>
                                                                                                  <w:marRight w:val="0"/>
                                                                                                  <w:marTop w:val="0"/>
                                                                                                  <w:marBottom w:val="0"/>
                                                                                                  <w:divBdr>
                                                                                                    <w:top w:val="none" w:sz="0" w:space="0" w:color="auto"/>
                                                                                                    <w:left w:val="none" w:sz="0" w:space="0" w:color="auto"/>
                                                                                                    <w:bottom w:val="none" w:sz="0" w:space="0" w:color="auto"/>
                                                                                                    <w:right w:val="none" w:sz="0" w:space="0" w:color="auto"/>
                                                                                                  </w:divBdr>
                                                                                                  <w:divsChild>
                                                                                                    <w:div w:id="1638222116">
                                                                                                      <w:marLeft w:val="0"/>
                                                                                                      <w:marRight w:val="0"/>
                                                                                                      <w:marTop w:val="0"/>
                                                                                                      <w:marBottom w:val="0"/>
                                                                                                      <w:divBdr>
                                                                                                        <w:top w:val="none" w:sz="0" w:space="0" w:color="auto"/>
                                                                                                        <w:left w:val="none" w:sz="0" w:space="0" w:color="auto"/>
                                                                                                        <w:bottom w:val="none" w:sz="0" w:space="0" w:color="auto"/>
                                                                                                        <w:right w:val="none" w:sz="0" w:space="0" w:color="auto"/>
                                                                                                      </w:divBdr>
                                                                                                      <w:divsChild>
                                                                                                        <w:div w:id="2025592326">
                                                                                                          <w:marLeft w:val="0"/>
                                                                                                          <w:marRight w:val="0"/>
                                                                                                          <w:marTop w:val="0"/>
                                                                                                          <w:marBottom w:val="0"/>
                                                                                                          <w:divBdr>
                                                                                                            <w:top w:val="none" w:sz="0" w:space="0" w:color="auto"/>
                                                                                                            <w:left w:val="none" w:sz="0" w:space="0" w:color="auto"/>
                                                                                                            <w:bottom w:val="none" w:sz="0" w:space="0" w:color="auto"/>
                                                                                                            <w:right w:val="none" w:sz="0" w:space="0" w:color="auto"/>
                                                                                                          </w:divBdr>
                                                                                                          <w:divsChild>
                                                                                                            <w:div w:id="512840826">
                                                                                                              <w:marLeft w:val="0"/>
                                                                                                              <w:marRight w:val="0"/>
                                                                                                              <w:marTop w:val="0"/>
                                                                                                              <w:marBottom w:val="0"/>
                                                                                                              <w:divBdr>
                                                                                                                <w:top w:val="none" w:sz="0" w:space="0" w:color="auto"/>
                                                                                                                <w:left w:val="none" w:sz="0" w:space="0" w:color="auto"/>
                                                                                                                <w:bottom w:val="none" w:sz="0" w:space="0" w:color="auto"/>
                                                                                                                <w:right w:val="none" w:sz="0" w:space="0" w:color="auto"/>
                                                                                                              </w:divBdr>
                                                                                                              <w:divsChild>
                                                                                                                <w:div w:id="287510667">
                                                                                                                  <w:marLeft w:val="0"/>
                                                                                                                  <w:marRight w:val="0"/>
                                                                                                                  <w:marTop w:val="0"/>
                                                                                                                  <w:marBottom w:val="0"/>
                                                                                                                  <w:divBdr>
                                                                                                                    <w:top w:val="none" w:sz="0" w:space="0" w:color="auto"/>
                                                                                                                    <w:left w:val="none" w:sz="0" w:space="0" w:color="auto"/>
                                                                                                                    <w:bottom w:val="none" w:sz="0" w:space="0" w:color="auto"/>
                                                                                                                    <w:right w:val="none" w:sz="0" w:space="0" w:color="auto"/>
                                                                                                                  </w:divBdr>
                                                                                                                  <w:divsChild>
                                                                                                                    <w:div w:id="1914241762">
                                                                                                                      <w:marLeft w:val="0"/>
                                                                                                                      <w:marRight w:val="0"/>
                                                                                                                      <w:marTop w:val="0"/>
                                                                                                                      <w:marBottom w:val="0"/>
                                                                                                                      <w:divBdr>
                                                                                                                        <w:top w:val="none" w:sz="0" w:space="0" w:color="auto"/>
                                                                                                                        <w:left w:val="single" w:sz="6" w:space="0" w:color="DCDCDC"/>
                                                                                                                        <w:bottom w:val="none" w:sz="0" w:space="0" w:color="auto"/>
                                                                                                                        <w:right w:val="single" w:sz="6" w:space="0" w:color="DCDCDC"/>
                                                                                                                      </w:divBdr>
                                                                                                                      <w:divsChild>
                                                                                                                        <w:div w:id="1698844961">
                                                                                                                          <w:marLeft w:val="0"/>
                                                                                                                          <w:marRight w:val="0"/>
                                                                                                                          <w:marTop w:val="0"/>
                                                                                                                          <w:marBottom w:val="0"/>
                                                                                                                          <w:divBdr>
                                                                                                                            <w:top w:val="none" w:sz="0" w:space="0" w:color="auto"/>
                                                                                                                            <w:left w:val="none" w:sz="0" w:space="0" w:color="auto"/>
                                                                                                                            <w:bottom w:val="none" w:sz="0" w:space="0" w:color="auto"/>
                                                                                                                            <w:right w:val="none" w:sz="0" w:space="0" w:color="auto"/>
                                                                                                                          </w:divBdr>
                                                                                                                          <w:divsChild>
                                                                                                                            <w:div w:id="301690163">
                                                                                                                              <w:marLeft w:val="0"/>
                                                                                                                              <w:marRight w:val="0"/>
                                                                                                                              <w:marTop w:val="0"/>
                                                                                                                              <w:marBottom w:val="0"/>
                                                                                                                              <w:divBdr>
                                                                                                                                <w:top w:val="none" w:sz="0" w:space="0" w:color="auto"/>
                                                                                                                                <w:left w:val="none" w:sz="0" w:space="0" w:color="auto"/>
                                                                                                                                <w:bottom w:val="none" w:sz="0" w:space="0" w:color="auto"/>
                                                                                                                                <w:right w:val="none" w:sz="0" w:space="0" w:color="auto"/>
                                                                                                                              </w:divBdr>
                                                                                                                              <w:divsChild>
                                                                                                                                <w:div w:id="1083718550">
                                                                                                                                  <w:marLeft w:val="0"/>
                                                                                                                                  <w:marRight w:val="0"/>
                                                                                                                                  <w:marTop w:val="0"/>
                                                                                                                                  <w:marBottom w:val="0"/>
                                                                                                                                  <w:divBdr>
                                                                                                                                    <w:top w:val="none" w:sz="0" w:space="0" w:color="auto"/>
                                                                                                                                    <w:left w:val="none" w:sz="0" w:space="0" w:color="auto"/>
                                                                                                                                    <w:bottom w:val="none" w:sz="0" w:space="0" w:color="auto"/>
                                                                                                                                    <w:right w:val="none" w:sz="0" w:space="0" w:color="auto"/>
                                                                                                                                  </w:divBdr>
                                                                                                                                  <w:divsChild>
                                                                                                                                    <w:div w:id="1646858680">
                                                                                                                                      <w:marLeft w:val="0"/>
                                                                                                                                      <w:marRight w:val="0"/>
                                                                                                                                      <w:marTop w:val="0"/>
                                                                                                                                      <w:marBottom w:val="0"/>
                                                                                                                                      <w:divBdr>
                                                                                                                                        <w:top w:val="none" w:sz="0" w:space="0" w:color="auto"/>
                                                                                                                                        <w:left w:val="none" w:sz="0" w:space="0" w:color="auto"/>
                                                                                                                                        <w:bottom w:val="none" w:sz="0" w:space="0" w:color="auto"/>
                                                                                                                                        <w:right w:val="none" w:sz="0" w:space="0" w:color="auto"/>
                                                                                                                                      </w:divBdr>
                                                                                                                                      <w:divsChild>
                                                                                                                                        <w:div w:id="1008483221">
                                                                                                                                          <w:marLeft w:val="0"/>
                                                                                                                                          <w:marRight w:val="0"/>
                                                                                                                                          <w:marTop w:val="0"/>
                                                                                                                                          <w:marBottom w:val="0"/>
                                                                                                                                          <w:divBdr>
                                                                                                                                            <w:top w:val="none" w:sz="0" w:space="0" w:color="auto"/>
                                                                                                                                            <w:left w:val="none" w:sz="0" w:space="0" w:color="auto"/>
                                                                                                                                            <w:bottom w:val="none" w:sz="0" w:space="0" w:color="auto"/>
                                                                                                                                            <w:right w:val="none" w:sz="0" w:space="0" w:color="auto"/>
                                                                                                                                          </w:divBdr>
                                                                                                                                          <w:divsChild>
                                                                                                                                            <w:div w:id="2124497819">
                                                                                                                                              <w:marLeft w:val="0"/>
                                                                                                                                              <w:marRight w:val="0"/>
                                                                                                                                              <w:marTop w:val="0"/>
                                                                                                                                              <w:marBottom w:val="0"/>
                                                                                                                                              <w:divBdr>
                                                                                                                                                <w:top w:val="none" w:sz="0" w:space="0" w:color="auto"/>
                                                                                                                                                <w:left w:val="none" w:sz="0" w:space="0" w:color="auto"/>
                                                                                                                                                <w:bottom w:val="none" w:sz="0" w:space="0" w:color="auto"/>
                                                                                                                                                <w:right w:val="none" w:sz="0" w:space="0" w:color="auto"/>
                                                                                                                                              </w:divBdr>
                                                                                                                                              <w:divsChild>
                                                                                                                                                <w:div w:id="6569007">
                                                                                                                                                  <w:marLeft w:val="0"/>
                                                                                                                                                  <w:marRight w:val="0"/>
                                                                                                                                                  <w:marTop w:val="0"/>
                                                                                                                                                  <w:marBottom w:val="0"/>
                                                                                                                                                  <w:divBdr>
                                                                                                                                                    <w:top w:val="none" w:sz="0" w:space="0" w:color="auto"/>
                                                                                                                                                    <w:left w:val="none" w:sz="0" w:space="0" w:color="auto"/>
                                                                                                                                                    <w:bottom w:val="none" w:sz="0" w:space="0" w:color="auto"/>
                                                                                                                                                    <w:right w:val="none" w:sz="0" w:space="0" w:color="auto"/>
                                                                                                                                                  </w:divBdr>
                                                                                                                                                  <w:divsChild>
                                                                                                                                                    <w:div w:id="366443365">
                                                                                                                                                      <w:marLeft w:val="0"/>
                                                                                                                                                      <w:marRight w:val="0"/>
                                                                                                                                                      <w:marTop w:val="0"/>
                                                                                                                                                      <w:marBottom w:val="0"/>
                                                                                                                                                      <w:divBdr>
                                                                                                                                                        <w:top w:val="none" w:sz="0" w:space="0" w:color="auto"/>
                                                                                                                                                        <w:left w:val="none" w:sz="0" w:space="0" w:color="auto"/>
                                                                                                                                                        <w:bottom w:val="none" w:sz="0" w:space="0" w:color="auto"/>
                                                                                                                                                        <w:right w:val="none" w:sz="0" w:space="0" w:color="auto"/>
                                                                                                                                                      </w:divBdr>
                                                                                                                                                      <w:divsChild>
                                                                                                                                                        <w:div w:id="909726776">
                                                                                                                                                          <w:marLeft w:val="0"/>
                                                                                                                                                          <w:marRight w:val="0"/>
                                                                                                                                                          <w:marTop w:val="0"/>
                                                                                                                                                          <w:marBottom w:val="0"/>
                                                                                                                                                          <w:divBdr>
                                                                                                                                                            <w:top w:val="none" w:sz="0" w:space="0" w:color="auto"/>
                                                                                                                                                            <w:left w:val="none" w:sz="0" w:space="0" w:color="auto"/>
                                                                                                                                                            <w:bottom w:val="none" w:sz="0" w:space="0" w:color="auto"/>
                                                                                                                                                            <w:right w:val="none" w:sz="0" w:space="0" w:color="auto"/>
                                                                                                                                                          </w:divBdr>
                                                                                                                                                          <w:divsChild>
                                                                                                                                                            <w:div w:id="1438326634">
                                                                                                                                                              <w:marLeft w:val="0"/>
                                                                                                                                                              <w:marRight w:val="0"/>
                                                                                                                                                              <w:marTop w:val="0"/>
                                                                                                                                                              <w:marBottom w:val="0"/>
                                                                                                                                                              <w:divBdr>
                                                                                                                                                                <w:top w:val="none" w:sz="0" w:space="0" w:color="auto"/>
                                                                                                                                                                <w:left w:val="none" w:sz="0" w:space="0" w:color="auto"/>
                                                                                                                                                                <w:bottom w:val="none" w:sz="0" w:space="0" w:color="auto"/>
                                                                                                                                                                <w:right w:val="none" w:sz="0" w:space="0" w:color="auto"/>
                                                                                                                                                              </w:divBdr>
                                                                                                                                                              <w:divsChild>
                                                                                                                                                                <w:div w:id="44761555">
                                                                                                                                                                  <w:marLeft w:val="0"/>
                                                                                                                                                                  <w:marRight w:val="0"/>
                                                                                                                                                                  <w:marTop w:val="0"/>
                                                                                                                                                                  <w:marBottom w:val="0"/>
                                                                                                                                                                  <w:divBdr>
                                                                                                                                                                    <w:top w:val="none" w:sz="0" w:space="0" w:color="auto"/>
                                                                                                                                                                    <w:left w:val="none" w:sz="0" w:space="0" w:color="auto"/>
                                                                                                                                                                    <w:bottom w:val="none" w:sz="0" w:space="0" w:color="auto"/>
                                                                                                                                                                    <w:right w:val="none" w:sz="0" w:space="0" w:color="auto"/>
                                                                                                                                                                  </w:divBdr>
                                                                                                                                                                </w:div>
                                                                                                                                                                <w:div w:id="75395753">
                                                                                                                                                                  <w:marLeft w:val="0"/>
                                                                                                                                                                  <w:marRight w:val="0"/>
                                                                                                                                                                  <w:marTop w:val="0"/>
                                                                                                                                                                  <w:marBottom w:val="0"/>
                                                                                                                                                                  <w:divBdr>
                                                                                                                                                                    <w:top w:val="none" w:sz="0" w:space="0" w:color="auto"/>
                                                                                                                                                                    <w:left w:val="none" w:sz="0" w:space="0" w:color="auto"/>
                                                                                                                                                                    <w:bottom w:val="none" w:sz="0" w:space="0" w:color="auto"/>
                                                                                                                                                                    <w:right w:val="none" w:sz="0" w:space="0" w:color="auto"/>
                                                                                                                                                                  </w:divBdr>
                                                                                                                                                                </w:div>
                                                                                                                                                                <w:div w:id="79134353">
                                                                                                                                                                  <w:marLeft w:val="0"/>
                                                                                                                                                                  <w:marRight w:val="0"/>
                                                                                                                                                                  <w:marTop w:val="0"/>
                                                                                                                                                                  <w:marBottom w:val="0"/>
                                                                                                                                                                  <w:divBdr>
                                                                                                                                                                    <w:top w:val="none" w:sz="0" w:space="0" w:color="auto"/>
                                                                                                                                                                    <w:left w:val="none" w:sz="0" w:space="0" w:color="auto"/>
                                                                                                                                                                    <w:bottom w:val="none" w:sz="0" w:space="0" w:color="auto"/>
                                                                                                                                                                    <w:right w:val="none" w:sz="0" w:space="0" w:color="auto"/>
                                                                                                                                                                  </w:divBdr>
                                                                                                                                                                </w:div>
                                                                                                                                                                <w:div w:id="109517740">
                                                                                                                                                                  <w:marLeft w:val="0"/>
                                                                                                                                                                  <w:marRight w:val="0"/>
                                                                                                                                                                  <w:marTop w:val="0"/>
                                                                                                                                                                  <w:marBottom w:val="0"/>
                                                                                                                                                                  <w:divBdr>
                                                                                                                                                                    <w:top w:val="none" w:sz="0" w:space="0" w:color="auto"/>
                                                                                                                                                                    <w:left w:val="none" w:sz="0" w:space="0" w:color="auto"/>
                                                                                                                                                                    <w:bottom w:val="none" w:sz="0" w:space="0" w:color="auto"/>
                                                                                                                                                                    <w:right w:val="none" w:sz="0" w:space="0" w:color="auto"/>
                                                                                                                                                                  </w:divBdr>
                                                                                                                                                                </w:div>
                                                                                                                                                                <w:div w:id="290863342">
                                                                                                                                                                  <w:marLeft w:val="0"/>
                                                                                                                                                                  <w:marRight w:val="0"/>
                                                                                                                                                                  <w:marTop w:val="0"/>
                                                                                                                                                                  <w:marBottom w:val="0"/>
                                                                                                                                                                  <w:divBdr>
                                                                                                                                                                    <w:top w:val="none" w:sz="0" w:space="0" w:color="auto"/>
                                                                                                                                                                    <w:left w:val="none" w:sz="0" w:space="0" w:color="auto"/>
                                                                                                                                                                    <w:bottom w:val="none" w:sz="0" w:space="0" w:color="auto"/>
                                                                                                                                                                    <w:right w:val="none" w:sz="0" w:space="0" w:color="auto"/>
                                                                                                                                                                  </w:divBdr>
                                                                                                                                                                </w:div>
                                                                                                                                                                <w:div w:id="466821014">
                                                                                                                                                                  <w:marLeft w:val="0"/>
                                                                                                                                                                  <w:marRight w:val="0"/>
                                                                                                                                                                  <w:marTop w:val="0"/>
                                                                                                                                                                  <w:marBottom w:val="0"/>
                                                                                                                                                                  <w:divBdr>
                                                                                                                                                                    <w:top w:val="none" w:sz="0" w:space="0" w:color="auto"/>
                                                                                                                                                                    <w:left w:val="none" w:sz="0" w:space="0" w:color="auto"/>
                                                                                                                                                                    <w:bottom w:val="none" w:sz="0" w:space="0" w:color="auto"/>
                                                                                                                                                                    <w:right w:val="none" w:sz="0" w:space="0" w:color="auto"/>
                                                                                                                                                                  </w:divBdr>
                                                                                                                                                                </w:div>
                                                                                                                                                                <w:div w:id="487744739">
                                                                                                                                                                  <w:marLeft w:val="0"/>
                                                                                                                                                                  <w:marRight w:val="0"/>
                                                                                                                                                                  <w:marTop w:val="0"/>
                                                                                                                                                                  <w:marBottom w:val="0"/>
                                                                                                                                                                  <w:divBdr>
                                                                                                                                                                    <w:top w:val="none" w:sz="0" w:space="0" w:color="auto"/>
                                                                                                                                                                    <w:left w:val="none" w:sz="0" w:space="0" w:color="auto"/>
                                                                                                                                                                    <w:bottom w:val="none" w:sz="0" w:space="0" w:color="auto"/>
                                                                                                                                                                    <w:right w:val="none" w:sz="0" w:space="0" w:color="auto"/>
                                                                                                                                                                  </w:divBdr>
                                                                                                                                                                </w:div>
                                                                                                                                                                <w:div w:id="545141622">
                                                                                                                                                                  <w:marLeft w:val="0"/>
                                                                                                                                                                  <w:marRight w:val="0"/>
                                                                                                                                                                  <w:marTop w:val="0"/>
                                                                                                                                                                  <w:marBottom w:val="0"/>
                                                                                                                                                                  <w:divBdr>
                                                                                                                                                                    <w:top w:val="none" w:sz="0" w:space="0" w:color="auto"/>
                                                                                                                                                                    <w:left w:val="none" w:sz="0" w:space="0" w:color="auto"/>
                                                                                                                                                                    <w:bottom w:val="none" w:sz="0" w:space="0" w:color="auto"/>
                                                                                                                                                                    <w:right w:val="none" w:sz="0" w:space="0" w:color="auto"/>
                                                                                                                                                                  </w:divBdr>
                                                                                                                                                                </w:div>
                                                                                                                                                                <w:div w:id="546726516">
                                                                                                                                                                  <w:marLeft w:val="0"/>
                                                                                                                                                                  <w:marRight w:val="0"/>
                                                                                                                                                                  <w:marTop w:val="0"/>
                                                                                                                                                                  <w:marBottom w:val="0"/>
                                                                                                                                                                  <w:divBdr>
                                                                                                                                                                    <w:top w:val="none" w:sz="0" w:space="0" w:color="auto"/>
                                                                                                                                                                    <w:left w:val="none" w:sz="0" w:space="0" w:color="auto"/>
                                                                                                                                                                    <w:bottom w:val="none" w:sz="0" w:space="0" w:color="auto"/>
                                                                                                                                                                    <w:right w:val="none" w:sz="0" w:space="0" w:color="auto"/>
                                                                                                                                                                  </w:divBdr>
                                                                                                                                                                </w:div>
                                                                                                                                                                <w:div w:id="644241121">
                                                                                                                                                                  <w:marLeft w:val="0"/>
                                                                                                                                                                  <w:marRight w:val="0"/>
                                                                                                                                                                  <w:marTop w:val="0"/>
                                                                                                                                                                  <w:marBottom w:val="0"/>
                                                                                                                                                                  <w:divBdr>
                                                                                                                                                                    <w:top w:val="none" w:sz="0" w:space="0" w:color="auto"/>
                                                                                                                                                                    <w:left w:val="none" w:sz="0" w:space="0" w:color="auto"/>
                                                                                                                                                                    <w:bottom w:val="none" w:sz="0" w:space="0" w:color="auto"/>
                                                                                                                                                                    <w:right w:val="none" w:sz="0" w:space="0" w:color="auto"/>
                                                                                                                                                                  </w:divBdr>
                                                                                                                                                                </w:div>
                                                                                                                                                                <w:div w:id="656884801">
                                                                                                                                                                  <w:marLeft w:val="0"/>
                                                                                                                                                                  <w:marRight w:val="0"/>
                                                                                                                                                                  <w:marTop w:val="0"/>
                                                                                                                                                                  <w:marBottom w:val="0"/>
                                                                                                                                                                  <w:divBdr>
                                                                                                                                                                    <w:top w:val="none" w:sz="0" w:space="0" w:color="auto"/>
                                                                                                                                                                    <w:left w:val="none" w:sz="0" w:space="0" w:color="auto"/>
                                                                                                                                                                    <w:bottom w:val="none" w:sz="0" w:space="0" w:color="auto"/>
                                                                                                                                                                    <w:right w:val="none" w:sz="0" w:space="0" w:color="auto"/>
                                                                                                                                                                  </w:divBdr>
                                                                                                                                                                </w:div>
                                                                                                                                                                <w:div w:id="658460865">
                                                                                                                                                                  <w:marLeft w:val="0"/>
                                                                                                                                                                  <w:marRight w:val="0"/>
                                                                                                                                                                  <w:marTop w:val="0"/>
                                                                                                                                                                  <w:marBottom w:val="0"/>
                                                                                                                                                                  <w:divBdr>
                                                                                                                                                                    <w:top w:val="none" w:sz="0" w:space="0" w:color="auto"/>
                                                                                                                                                                    <w:left w:val="none" w:sz="0" w:space="0" w:color="auto"/>
                                                                                                                                                                    <w:bottom w:val="none" w:sz="0" w:space="0" w:color="auto"/>
                                                                                                                                                                    <w:right w:val="none" w:sz="0" w:space="0" w:color="auto"/>
                                                                                                                                                                  </w:divBdr>
                                                                                                                                                                </w:div>
                                                                                                                                                                <w:div w:id="681512017">
                                                                                                                                                                  <w:marLeft w:val="0"/>
                                                                                                                                                                  <w:marRight w:val="0"/>
                                                                                                                                                                  <w:marTop w:val="0"/>
                                                                                                                                                                  <w:marBottom w:val="0"/>
                                                                                                                                                                  <w:divBdr>
                                                                                                                                                                    <w:top w:val="none" w:sz="0" w:space="0" w:color="auto"/>
                                                                                                                                                                    <w:left w:val="none" w:sz="0" w:space="0" w:color="auto"/>
                                                                                                                                                                    <w:bottom w:val="none" w:sz="0" w:space="0" w:color="auto"/>
                                                                                                                                                                    <w:right w:val="none" w:sz="0" w:space="0" w:color="auto"/>
                                                                                                                                                                  </w:divBdr>
                                                                                                                                                                </w:div>
                                                                                                                                                                <w:div w:id="739593723">
                                                                                                                                                                  <w:marLeft w:val="0"/>
                                                                                                                                                                  <w:marRight w:val="0"/>
                                                                                                                                                                  <w:marTop w:val="0"/>
                                                                                                                                                                  <w:marBottom w:val="0"/>
                                                                                                                                                                  <w:divBdr>
                                                                                                                                                                    <w:top w:val="none" w:sz="0" w:space="0" w:color="auto"/>
                                                                                                                                                                    <w:left w:val="none" w:sz="0" w:space="0" w:color="auto"/>
                                                                                                                                                                    <w:bottom w:val="none" w:sz="0" w:space="0" w:color="auto"/>
                                                                                                                                                                    <w:right w:val="none" w:sz="0" w:space="0" w:color="auto"/>
                                                                                                                                                                  </w:divBdr>
                                                                                                                                                                </w:div>
                                                                                                                                                                <w:div w:id="807550442">
                                                                                                                                                                  <w:marLeft w:val="0"/>
                                                                                                                                                                  <w:marRight w:val="0"/>
                                                                                                                                                                  <w:marTop w:val="0"/>
                                                                                                                                                                  <w:marBottom w:val="0"/>
                                                                                                                                                                  <w:divBdr>
                                                                                                                                                                    <w:top w:val="none" w:sz="0" w:space="0" w:color="auto"/>
                                                                                                                                                                    <w:left w:val="none" w:sz="0" w:space="0" w:color="auto"/>
                                                                                                                                                                    <w:bottom w:val="none" w:sz="0" w:space="0" w:color="auto"/>
                                                                                                                                                                    <w:right w:val="none" w:sz="0" w:space="0" w:color="auto"/>
                                                                                                                                                                  </w:divBdr>
                                                                                                                                                                </w:div>
                                                                                                                                                                <w:div w:id="861473001">
                                                                                                                                                                  <w:marLeft w:val="0"/>
                                                                                                                                                                  <w:marRight w:val="0"/>
                                                                                                                                                                  <w:marTop w:val="0"/>
                                                                                                                                                                  <w:marBottom w:val="0"/>
                                                                                                                                                                  <w:divBdr>
                                                                                                                                                                    <w:top w:val="none" w:sz="0" w:space="0" w:color="auto"/>
                                                                                                                                                                    <w:left w:val="none" w:sz="0" w:space="0" w:color="auto"/>
                                                                                                                                                                    <w:bottom w:val="none" w:sz="0" w:space="0" w:color="auto"/>
                                                                                                                                                                    <w:right w:val="none" w:sz="0" w:space="0" w:color="auto"/>
                                                                                                                                                                  </w:divBdr>
                                                                                                                                                                </w:div>
                                                                                                                                                                <w:div w:id="908003277">
                                                                                                                                                                  <w:marLeft w:val="0"/>
                                                                                                                                                                  <w:marRight w:val="0"/>
                                                                                                                                                                  <w:marTop w:val="0"/>
                                                                                                                                                                  <w:marBottom w:val="0"/>
                                                                                                                                                                  <w:divBdr>
                                                                                                                                                                    <w:top w:val="none" w:sz="0" w:space="0" w:color="auto"/>
                                                                                                                                                                    <w:left w:val="none" w:sz="0" w:space="0" w:color="auto"/>
                                                                                                                                                                    <w:bottom w:val="none" w:sz="0" w:space="0" w:color="auto"/>
                                                                                                                                                                    <w:right w:val="none" w:sz="0" w:space="0" w:color="auto"/>
                                                                                                                                                                  </w:divBdr>
                                                                                                                                                                </w:div>
                                                                                                                                                                <w:div w:id="954213056">
                                                                                                                                                                  <w:marLeft w:val="0"/>
                                                                                                                                                                  <w:marRight w:val="0"/>
                                                                                                                                                                  <w:marTop w:val="0"/>
                                                                                                                                                                  <w:marBottom w:val="0"/>
                                                                                                                                                                  <w:divBdr>
                                                                                                                                                                    <w:top w:val="none" w:sz="0" w:space="0" w:color="auto"/>
                                                                                                                                                                    <w:left w:val="none" w:sz="0" w:space="0" w:color="auto"/>
                                                                                                                                                                    <w:bottom w:val="none" w:sz="0" w:space="0" w:color="auto"/>
                                                                                                                                                                    <w:right w:val="none" w:sz="0" w:space="0" w:color="auto"/>
                                                                                                                                                                  </w:divBdr>
                                                                                                                                                                </w:div>
                                                                                                                                                                <w:div w:id="1016731484">
                                                                                                                                                                  <w:marLeft w:val="0"/>
                                                                                                                                                                  <w:marRight w:val="0"/>
                                                                                                                                                                  <w:marTop w:val="0"/>
                                                                                                                                                                  <w:marBottom w:val="0"/>
                                                                                                                                                                  <w:divBdr>
                                                                                                                                                                    <w:top w:val="none" w:sz="0" w:space="0" w:color="auto"/>
                                                                                                                                                                    <w:left w:val="none" w:sz="0" w:space="0" w:color="auto"/>
                                                                                                                                                                    <w:bottom w:val="none" w:sz="0" w:space="0" w:color="auto"/>
                                                                                                                                                                    <w:right w:val="none" w:sz="0" w:space="0" w:color="auto"/>
                                                                                                                                                                  </w:divBdr>
                                                                                                                                                                </w:div>
                                                                                                                                                                <w:div w:id="1062874214">
                                                                                                                                                                  <w:marLeft w:val="0"/>
                                                                                                                                                                  <w:marRight w:val="0"/>
                                                                                                                                                                  <w:marTop w:val="0"/>
                                                                                                                                                                  <w:marBottom w:val="0"/>
                                                                                                                                                                  <w:divBdr>
                                                                                                                                                                    <w:top w:val="none" w:sz="0" w:space="0" w:color="auto"/>
                                                                                                                                                                    <w:left w:val="none" w:sz="0" w:space="0" w:color="auto"/>
                                                                                                                                                                    <w:bottom w:val="none" w:sz="0" w:space="0" w:color="auto"/>
                                                                                                                                                                    <w:right w:val="none" w:sz="0" w:space="0" w:color="auto"/>
                                                                                                                                                                  </w:divBdr>
                                                                                                                                                                </w:div>
                                                                                                                                                                <w:div w:id="1384980243">
                                                                                                                                                                  <w:marLeft w:val="0"/>
                                                                                                                                                                  <w:marRight w:val="0"/>
                                                                                                                                                                  <w:marTop w:val="0"/>
                                                                                                                                                                  <w:marBottom w:val="0"/>
                                                                                                                                                                  <w:divBdr>
                                                                                                                                                                    <w:top w:val="none" w:sz="0" w:space="0" w:color="auto"/>
                                                                                                                                                                    <w:left w:val="none" w:sz="0" w:space="0" w:color="auto"/>
                                                                                                                                                                    <w:bottom w:val="none" w:sz="0" w:space="0" w:color="auto"/>
                                                                                                                                                                    <w:right w:val="none" w:sz="0" w:space="0" w:color="auto"/>
                                                                                                                                                                  </w:divBdr>
                                                                                                                                                                </w:div>
                                                                                                                                                                <w:div w:id="1403872284">
                                                                                                                                                                  <w:marLeft w:val="0"/>
                                                                                                                                                                  <w:marRight w:val="0"/>
                                                                                                                                                                  <w:marTop w:val="0"/>
                                                                                                                                                                  <w:marBottom w:val="0"/>
                                                                                                                                                                  <w:divBdr>
                                                                                                                                                                    <w:top w:val="none" w:sz="0" w:space="0" w:color="auto"/>
                                                                                                                                                                    <w:left w:val="none" w:sz="0" w:space="0" w:color="auto"/>
                                                                                                                                                                    <w:bottom w:val="none" w:sz="0" w:space="0" w:color="auto"/>
                                                                                                                                                                    <w:right w:val="none" w:sz="0" w:space="0" w:color="auto"/>
                                                                                                                                                                  </w:divBdr>
                                                                                                                                                                </w:div>
                                                                                                                                                                <w:div w:id="1524053101">
                                                                                                                                                                  <w:marLeft w:val="0"/>
                                                                                                                                                                  <w:marRight w:val="0"/>
                                                                                                                                                                  <w:marTop w:val="0"/>
                                                                                                                                                                  <w:marBottom w:val="0"/>
                                                                                                                                                                  <w:divBdr>
                                                                                                                                                                    <w:top w:val="none" w:sz="0" w:space="0" w:color="auto"/>
                                                                                                                                                                    <w:left w:val="none" w:sz="0" w:space="0" w:color="auto"/>
                                                                                                                                                                    <w:bottom w:val="none" w:sz="0" w:space="0" w:color="auto"/>
                                                                                                                                                                    <w:right w:val="none" w:sz="0" w:space="0" w:color="auto"/>
                                                                                                                                                                  </w:divBdr>
                                                                                                                                                                </w:div>
                                                                                                                                                                <w:div w:id="1575165377">
                                                                                                                                                                  <w:marLeft w:val="0"/>
                                                                                                                                                                  <w:marRight w:val="0"/>
                                                                                                                                                                  <w:marTop w:val="0"/>
                                                                                                                                                                  <w:marBottom w:val="0"/>
                                                                                                                                                                  <w:divBdr>
                                                                                                                                                                    <w:top w:val="none" w:sz="0" w:space="0" w:color="auto"/>
                                                                                                                                                                    <w:left w:val="none" w:sz="0" w:space="0" w:color="auto"/>
                                                                                                                                                                    <w:bottom w:val="none" w:sz="0" w:space="0" w:color="auto"/>
                                                                                                                                                                    <w:right w:val="none" w:sz="0" w:space="0" w:color="auto"/>
                                                                                                                                                                  </w:divBdr>
                                                                                                                                                                </w:div>
                                                                                                                                                                <w:div w:id="1580362300">
                                                                                                                                                                  <w:marLeft w:val="0"/>
                                                                                                                                                                  <w:marRight w:val="0"/>
                                                                                                                                                                  <w:marTop w:val="0"/>
                                                                                                                                                                  <w:marBottom w:val="0"/>
                                                                                                                                                                  <w:divBdr>
                                                                                                                                                                    <w:top w:val="none" w:sz="0" w:space="0" w:color="auto"/>
                                                                                                                                                                    <w:left w:val="none" w:sz="0" w:space="0" w:color="auto"/>
                                                                                                                                                                    <w:bottom w:val="none" w:sz="0" w:space="0" w:color="auto"/>
                                                                                                                                                                    <w:right w:val="none" w:sz="0" w:space="0" w:color="auto"/>
                                                                                                                                                                  </w:divBdr>
                                                                                                                                                                </w:div>
                                                                                                                                                                <w:div w:id="1616787093">
                                                                                                                                                                  <w:marLeft w:val="0"/>
                                                                                                                                                                  <w:marRight w:val="0"/>
                                                                                                                                                                  <w:marTop w:val="0"/>
                                                                                                                                                                  <w:marBottom w:val="0"/>
                                                                                                                                                                  <w:divBdr>
                                                                                                                                                                    <w:top w:val="none" w:sz="0" w:space="0" w:color="auto"/>
                                                                                                                                                                    <w:left w:val="none" w:sz="0" w:space="0" w:color="auto"/>
                                                                                                                                                                    <w:bottom w:val="none" w:sz="0" w:space="0" w:color="auto"/>
                                                                                                                                                                    <w:right w:val="none" w:sz="0" w:space="0" w:color="auto"/>
                                                                                                                                                                  </w:divBdr>
                                                                                                                                                                </w:div>
                                                                                                                                                                <w:div w:id="1690452663">
                                                                                                                                                                  <w:marLeft w:val="0"/>
                                                                                                                                                                  <w:marRight w:val="0"/>
                                                                                                                                                                  <w:marTop w:val="0"/>
                                                                                                                                                                  <w:marBottom w:val="0"/>
                                                                                                                                                                  <w:divBdr>
                                                                                                                                                                    <w:top w:val="none" w:sz="0" w:space="0" w:color="auto"/>
                                                                                                                                                                    <w:left w:val="none" w:sz="0" w:space="0" w:color="auto"/>
                                                                                                                                                                    <w:bottom w:val="none" w:sz="0" w:space="0" w:color="auto"/>
                                                                                                                                                                    <w:right w:val="none" w:sz="0" w:space="0" w:color="auto"/>
                                                                                                                                                                  </w:divBdr>
                                                                                                                                                                </w:div>
                                                                                                                                                                <w:div w:id="198137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1188237">
      <w:bodyDiv w:val="1"/>
      <w:marLeft w:val="0"/>
      <w:marRight w:val="0"/>
      <w:marTop w:val="0"/>
      <w:marBottom w:val="0"/>
      <w:divBdr>
        <w:top w:val="none" w:sz="0" w:space="0" w:color="auto"/>
        <w:left w:val="none" w:sz="0" w:space="0" w:color="auto"/>
        <w:bottom w:val="none" w:sz="0" w:space="0" w:color="auto"/>
        <w:right w:val="none" w:sz="0" w:space="0" w:color="auto"/>
      </w:divBdr>
    </w:div>
    <w:div w:id="578563419">
      <w:bodyDiv w:val="1"/>
      <w:marLeft w:val="0"/>
      <w:marRight w:val="0"/>
      <w:marTop w:val="0"/>
      <w:marBottom w:val="0"/>
      <w:divBdr>
        <w:top w:val="none" w:sz="0" w:space="0" w:color="auto"/>
        <w:left w:val="none" w:sz="0" w:space="0" w:color="auto"/>
        <w:bottom w:val="none" w:sz="0" w:space="0" w:color="auto"/>
        <w:right w:val="none" w:sz="0" w:space="0" w:color="auto"/>
      </w:divBdr>
    </w:div>
    <w:div w:id="581716164">
      <w:bodyDiv w:val="1"/>
      <w:marLeft w:val="0"/>
      <w:marRight w:val="0"/>
      <w:marTop w:val="0"/>
      <w:marBottom w:val="0"/>
      <w:divBdr>
        <w:top w:val="none" w:sz="0" w:space="0" w:color="auto"/>
        <w:left w:val="none" w:sz="0" w:space="0" w:color="auto"/>
        <w:bottom w:val="none" w:sz="0" w:space="0" w:color="auto"/>
        <w:right w:val="none" w:sz="0" w:space="0" w:color="auto"/>
      </w:divBdr>
    </w:div>
    <w:div w:id="581718631">
      <w:bodyDiv w:val="1"/>
      <w:marLeft w:val="0"/>
      <w:marRight w:val="0"/>
      <w:marTop w:val="0"/>
      <w:marBottom w:val="0"/>
      <w:divBdr>
        <w:top w:val="none" w:sz="0" w:space="0" w:color="auto"/>
        <w:left w:val="none" w:sz="0" w:space="0" w:color="auto"/>
        <w:bottom w:val="none" w:sz="0" w:space="0" w:color="auto"/>
        <w:right w:val="none" w:sz="0" w:space="0" w:color="auto"/>
      </w:divBdr>
      <w:divsChild>
        <w:div w:id="1640694331">
          <w:marLeft w:val="0"/>
          <w:marRight w:val="0"/>
          <w:marTop w:val="0"/>
          <w:marBottom w:val="0"/>
          <w:divBdr>
            <w:top w:val="none" w:sz="0" w:space="0" w:color="auto"/>
            <w:left w:val="none" w:sz="0" w:space="0" w:color="auto"/>
            <w:bottom w:val="none" w:sz="0" w:space="0" w:color="auto"/>
            <w:right w:val="none" w:sz="0" w:space="0" w:color="auto"/>
          </w:divBdr>
        </w:div>
      </w:divsChild>
    </w:div>
    <w:div w:id="584149161">
      <w:bodyDiv w:val="1"/>
      <w:marLeft w:val="0"/>
      <w:marRight w:val="0"/>
      <w:marTop w:val="0"/>
      <w:marBottom w:val="0"/>
      <w:divBdr>
        <w:top w:val="none" w:sz="0" w:space="0" w:color="auto"/>
        <w:left w:val="none" w:sz="0" w:space="0" w:color="auto"/>
        <w:bottom w:val="none" w:sz="0" w:space="0" w:color="auto"/>
        <w:right w:val="none" w:sz="0" w:space="0" w:color="auto"/>
      </w:divBdr>
    </w:div>
    <w:div w:id="588540136">
      <w:bodyDiv w:val="1"/>
      <w:marLeft w:val="0"/>
      <w:marRight w:val="0"/>
      <w:marTop w:val="0"/>
      <w:marBottom w:val="0"/>
      <w:divBdr>
        <w:top w:val="none" w:sz="0" w:space="0" w:color="auto"/>
        <w:left w:val="none" w:sz="0" w:space="0" w:color="auto"/>
        <w:bottom w:val="none" w:sz="0" w:space="0" w:color="auto"/>
        <w:right w:val="none" w:sz="0" w:space="0" w:color="auto"/>
      </w:divBdr>
    </w:div>
    <w:div w:id="607006046">
      <w:bodyDiv w:val="1"/>
      <w:marLeft w:val="0"/>
      <w:marRight w:val="0"/>
      <w:marTop w:val="0"/>
      <w:marBottom w:val="0"/>
      <w:divBdr>
        <w:top w:val="none" w:sz="0" w:space="0" w:color="auto"/>
        <w:left w:val="none" w:sz="0" w:space="0" w:color="auto"/>
        <w:bottom w:val="none" w:sz="0" w:space="0" w:color="auto"/>
        <w:right w:val="none" w:sz="0" w:space="0" w:color="auto"/>
      </w:divBdr>
    </w:div>
    <w:div w:id="607738690">
      <w:bodyDiv w:val="1"/>
      <w:marLeft w:val="0"/>
      <w:marRight w:val="0"/>
      <w:marTop w:val="0"/>
      <w:marBottom w:val="0"/>
      <w:divBdr>
        <w:top w:val="none" w:sz="0" w:space="0" w:color="auto"/>
        <w:left w:val="none" w:sz="0" w:space="0" w:color="auto"/>
        <w:bottom w:val="none" w:sz="0" w:space="0" w:color="auto"/>
        <w:right w:val="none" w:sz="0" w:space="0" w:color="auto"/>
      </w:divBdr>
    </w:div>
    <w:div w:id="608270655">
      <w:bodyDiv w:val="1"/>
      <w:marLeft w:val="0"/>
      <w:marRight w:val="0"/>
      <w:marTop w:val="0"/>
      <w:marBottom w:val="0"/>
      <w:divBdr>
        <w:top w:val="none" w:sz="0" w:space="0" w:color="auto"/>
        <w:left w:val="none" w:sz="0" w:space="0" w:color="auto"/>
        <w:bottom w:val="none" w:sz="0" w:space="0" w:color="auto"/>
        <w:right w:val="none" w:sz="0" w:space="0" w:color="auto"/>
      </w:divBdr>
    </w:div>
    <w:div w:id="611547560">
      <w:bodyDiv w:val="1"/>
      <w:marLeft w:val="0"/>
      <w:marRight w:val="0"/>
      <w:marTop w:val="0"/>
      <w:marBottom w:val="0"/>
      <w:divBdr>
        <w:top w:val="none" w:sz="0" w:space="0" w:color="auto"/>
        <w:left w:val="none" w:sz="0" w:space="0" w:color="auto"/>
        <w:bottom w:val="none" w:sz="0" w:space="0" w:color="auto"/>
        <w:right w:val="none" w:sz="0" w:space="0" w:color="auto"/>
      </w:divBdr>
    </w:div>
    <w:div w:id="615143017">
      <w:bodyDiv w:val="1"/>
      <w:marLeft w:val="0"/>
      <w:marRight w:val="0"/>
      <w:marTop w:val="0"/>
      <w:marBottom w:val="0"/>
      <w:divBdr>
        <w:top w:val="none" w:sz="0" w:space="0" w:color="auto"/>
        <w:left w:val="none" w:sz="0" w:space="0" w:color="auto"/>
        <w:bottom w:val="none" w:sz="0" w:space="0" w:color="auto"/>
        <w:right w:val="none" w:sz="0" w:space="0" w:color="auto"/>
      </w:divBdr>
    </w:div>
    <w:div w:id="621688739">
      <w:bodyDiv w:val="1"/>
      <w:marLeft w:val="0"/>
      <w:marRight w:val="0"/>
      <w:marTop w:val="0"/>
      <w:marBottom w:val="0"/>
      <w:divBdr>
        <w:top w:val="none" w:sz="0" w:space="0" w:color="auto"/>
        <w:left w:val="none" w:sz="0" w:space="0" w:color="auto"/>
        <w:bottom w:val="none" w:sz="0" w:space="0" w:color="auto"/>
        <w:right w:val="none" w:sz="0" w:space="0" w:color="auto"/>
      </w:divBdr>
    </w:div>
    <w:div w:id="628516597">
      <w:bodyDiv w:val="1"/>
      <w:marLeft w:val="0"/>
      <w:marRight w:val="0"/>
      <w:marTop w:val="0"/>
      <w:marBottom w:val="0"/>
      <w:divBdr>
        <w:top w:val="none" w:sz="0" w:space="0" w:color="auto"/>
        <w:left w:val="none" w:sz="0" w:space="0" w:color="auto"/>
        <w:bottom w:val="none" w:sz="0" w:space="0" w:color="auto"/>
        <w:right w:val="none" w:sz="0" w:space="0" w:color="auto"/>
      </w:divBdr>
    </w:div>
    <w:div w:id="631247390">
      <w:bodyDiv w:val="1"/>
      <w:marLeft w:val="0"/>
      <w:marRight w:val="0"/>
      <w:marTop w:val="0"/>
      <w:marBottom w:val="0"/>
      <w:divBdr>
        <w:top w:val="none" w:sz="0" w:space="0" w:color="auto"/>
        <w:left w:val="none" w:sz="0" w:space="0" w:color="auto"/>
        <w:bottom w:val="none" w:sz="0" w:space="0" w:color="auto"/>
        <w:right w:val="none" w:sz="0" w:space="0" w:color="auto"/>
      </w:divBdr>
    </w:div>
    <w:div w:id="634602208">
      <w:bodyDiv w:val="1"/>
      <w:marLeft w:val="0"/>
      <w:marRight w:val="0"/>
      <w:marTop w:val="0"/>
      <w:marBottom w:val="0"/>
      <w:divBdr>
        <w:top w:val="none" w:sz="0" w:space="0" w:color="auto"/>
        <w:left w:val="none" w:sz="0" w:space="0" w:color="auto"/>
        <w:bottom w:val="none" w:sz="0" w:space="0" w:color="auto"/>
        <w:right w:val="none" w:sz="0" w:space="0" w:color="auto"/>
      </w:divBdr>
    </w:div>
    <w:div w:id="643390725">
      <w:bodyDiv w:val="1"/>
      <w:marLeft w:val="0"/>
      <w:marRight w:val="0"/>
      <w:marTop w:val="0"/>
      <w:marBottom w:val="0"/>
      <w:divBdr>
        <w:top w:val="none" w:sz="0" w:space="0" w:color="auto"/>
        <w:left w:val="none" w:sz="0" w:space="0" w:color="auto"/>
        <w:bottom w:val="none" w:sz="0" w:space="0" w:color="auto"/>
        <w:right w:val="none" w:sz="0" w:space="0" w:color="auto"/>
      </w:divBdr>
    </w:div>
    <w:div w:id="643892309">
      <w:bodyDiv w:val="1"/>
      <w:marLeft w:val="0"/>
      <w:marRight w:val="0"/>
      <w:marTop w:val="0"/>
      <w:marBottom w:val="0"/>
      <w:divBdr>
        <w:top w:val="none" w:sz="0" w:space="0" w:color="auto"/>
        <w:left w:val="none" w:sz="0" w:space="0" w:color="auto"/>
        <w:bottom w:val="none" w:sz="0" w:space="0" w:color="auto"/>
        <w:right w:val="none" w:sz="0" w:space="0" w:color="auto"/>
      </w:divBdr>
    </w:div>
    <w:div w:id="653797849">
      <w:bodyDiv w:val="1"/>
      <w:marLeft w:val="0"/>
      <w:marRight w:val="0"/>
      <w:marTop w:val="0"/>
      <w:marBottom w:val="0"/>
      <w:divBdr>
        <w:top w:val="none" w:sz="0" w:space="0" w:color="auto"/>
        <w:left w:val="none" w:sz="0" w:space="0" w:color="auto"/>
        <w:bottom w:val="none" w:sz="0" w:space="0" w:color="auto"/>
        <w:right w:val="none" w:sz="0" w:space="0" w:color="auto"/>
      </w:divBdr>
    </w:div>
    <w:div w:id="656036111">
      <w:bodyDiv w:val="1"/>
      <w:marLeft w:val="0"/>
      <w:marRight w:val="0"/>
      <w:marTop w:val="0"/>
      <w:marBottom w:val="0"/>
      <w:divBdr>
        <w:top w:val="none" w:sz="0" w:space="0" w:color="auto"/>
        <w:left w:val="none" w:sz="0" w:space="0" w:color="auto"/>
        <w:bottom w:val="none" w:sz="0" w:space="0" w:color="auto"/>
        <w:right w:val="none" w:sz="0" w:space="0" w:color="auto"/>
      </w:divBdr>
    </w:div>
    <w:div w:id="659773525">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674695854">
      <w:bodyDiv w:val="1"/>
      <w:marLeft w:val="0"/>
      <w:marRight w:val="0"/>
      <w:marTop w:val="0"/>
      <w:marBottom w:val="0"/>
      <w:divBdr>
        <w:top w:val="none" w:sz="0" w:space="0" w:color="auto"/>
        <w:left w:val="none" w:sz="0" w:space="0" w:color="auto"/>
        <w:bottom w:val="none" w:sz="0" w:space="0" w:color="auto"/>
        <w:right w:val="none" w:sz="0" w:space="0" w:color="auto"/>
      </w:divBdr>
    </w:div>
    <w:div w:id="678653112">
      <w:bodyDiv w:val="1"/>
      <w:marLeft w:val="0"/>
      <w:marRight w:val="0"/>
      <w:marTop w:val="0"/>
      <w:marBottom w:val="0"/>
      <w:divBdr>
        <w:top w:val="none" w:sz="0" w:space="0" w:color="auto"/>
        <w:left w:val="none" w:sz="0" w:space="0" w:color="auto"/>
        <w:bottom w:val="none" w:sz="0" w:space="0" w:color="auto"/>
        <w:right w:val="none" w:sz="0" w:space="0" w:color="auto"/>
      </w:divBdr>
    </w:div>
    <w:div w:id="682511984">
      <w:bodyDiv w:val="1"/>
      <w:marLeft w:val="0"/>
      <w:marRight w:val="0"/>
      <w:marTop w:val="0"/>
      <w:marBottom w:val="0"/>
      <w:divBdr>
        <w:top w:val="none" w:sz="0" w:space="0" w:color="auto"/>
        <w:left w:val="none" w:sz="0" w:space="0" w:color="auto"/>
        <w:bottom w:val="none" w:sz="0" w:space="0" w:color="auto"/>
        <w:right w:val="none" w:sz="0" w:space="0" w:color="auto"/>
      </w:divBdr>
    </w:div>
    <w:div w:id="682705510">
      <w:bodyDiv w:val="1"/>
      <w:marLeft w:val="0"/>
      <w:marRight w:val="0"/>
      <w:marTop w:val="0"/>
      <w:marBottom w:val="0"/>
      <w:divBdr>
        <w:top w:val="none" w:sz="0" w:space="0" w:color="auto"/>
        <w:left w:val="none" w:sz="0" w:space="0" w:color="auto"/>
        <w:bottom w:val="none" w:sz="0" w:space="0" w:color="auto"/>
        <w:right w:val="none" w:sz="0" w:space="0" w:color="auto"/>
      </w:divBdr>
    </w:div>
    <w:div w:id="689530027">
      <w:bodyDiv w:val="1"/>
      <w:marLeft w:val="0"/>
      <w:marRight w:val="0"/>
      <w:marTop w:val="0"/>
      <w:marBottom w:val="0"/>
      <w:divBdr>
        <w:top w:val="none" w:sz="0" w:space="0" w:color="auto"/>
        <w:left w:val="none" w:sz="0" w:space="0" w:color="auto"/>
        <w:bottom w:val="none" w:sz="0" w:space="0" w:color="auto"/>
        <w:right w:val="none" w:sz="0" w:space="0" w:color="auto"/>
      </w:divBdr>
    </w:div>
    <w:div w:id="691298278">
      <w:bodyDiv w:val="1"/>
      <w:marLeft w:val="0"/>
      <w:marRight w:val="0"/>
      <w:marTop w:val="0"/>
      <w:marBottom w:val="0"/>
      <w:divBdr>
        <w:top w:val="none" w:sz="0" w:space="0" w:color="auto"/>
        <w:left w:val="none" w:sz="0" w:space="0" w:color="auto"/>
        <w:bottom w:val="none" w:sz="0" w:space="0" w:color="auto"/>
        <w:right w:val="none" w:sz="0" w:space="0" w:color="auto"/>
      </w:divBdr>
    </w:div>
    <w:div w:id="697394369">
      <w:bodyDiv w:val="1"/>
      <w:marLeft w:val="0"/>
      <w:marRight w:val="0"/>
      <w:marTop w:val="0"/>
      <w:marBottom w:val="0"/>
      <w:divBdr>
        <w:top w:val="none" w:sz="0" w:space="0" w:color="auto"/>
        <w:left w:val="none" w:sz="0" w:space="0" w:color="auto"/>
        <w:bottom w:val="none" w:sz="0" w:space="0" w:color="auto"/>
        <w:right w:val="none" w:sz="0" w:space="0" w:color="auto"/>
      </w:divBdr>
      <w:divsChild>
        <w:div w:id="2021732393">
          <w:marLeft w:val="0"/>
          <w:marRight w:val="0"/>
          <w:marTop w:val="0"/>
          <w:marBottom w:val="0"/>
          <w:divBdr>
            <w:top w:val="none" w:sz="0" w:space="0" w:color="auto"/>
            <w:left w:val="none" w:sz="0" w:space="0" w:color="auto"/>
            <w:bottom w:val="none" w:sz="0" w:space="0" w:color="auto"/>
            <w:right w:val="none" w:sz="0" w:space="0" w:color="auto"/>
          </w:divBdr>
        </w:div>
      </w:divsChild>
    </w:div>
    <w:div w:id="701633324">
      <w:bodyDiv w:val="1"/>
      <w:marLeft w:val="0"/>
      <w:marRight w:val="0"/>
      <w:marTop w:val="0"/>
      <w:marBottom w:val="0"/>
      <w:divBdr>
        <w:top w:val="none" w:sz="0" w:space="0" w:color="auto"/>
        <w:left w:val="none" w:sz="0" w:space="0" w:color="auto"/>
        <w:bottom w:val="none" w:sz="0" w:space="0" w:color="auto"/>
        <w:right w:val="none" w:sz="0" w:space="0" w:color="auto"/>
      </w:divBdr>
    </w:div>
    <w:div w:id="702629822">
      <w:bodyDiv w:val="1"/>
      <w:marLeft w:val="0"/>
      <w:marRight w:val="0"/>
      <w:marTop w:val="0"/>
      <w:marBottom w:val="0"/>
      <w:divBdr>
        <w:top w:val="none" w:sz="0" w:space="0" w:color="auto"/>
        <w:left w:val="none" w:sz="0" w:space="0" w:color="auto"/>
        <w:bottom w:val="none" w:sz="0" w:space="0" w:color="auto"/>
        <w:right w:val="none" w:sz="0" w:space="0" w:color="auto"/>
      </w:divBdr>
    </w:div>
    <w:div w:id="703209156">
      <w:bodyDiv w:val="1"/>
      <w:marLeft w:val="0"/>
      <w:marRight w:val="0"/>
      <w:marTop w:val="0"/>
      <w:marBottom w:val="0"/>
      <w:divBdr>
        <w:top w:val="none" w:sz="0" w:space="0" w:color="auto"/>
        <w:left w:val="none" w:sz="0" w:space="0" w:color="auto"/>
        <w:bottom w:val="none" w:sz="0" w:space="0" w:color="auto"/>
        <w:right w:val="none" w:sz="0" w:space="0" w:color="auto"/>
      </w:divBdr>
    </w:div>
    <w:div w:id="724185672">
      <w:bodyDiv w:val="1"/>
      <w:marLeft w:val="0"/>
      <w:marRight w:val="0"/>
      <w:marTop w:val="0"/>
      <w:marBottom w:val="0"/>
      <w:divBdr>
        <w:top w:val="none" w:sz="0" w:space="0" w:color="auto"/>
        <w:left w:val="none" w:sz="0" w:space="0" w:color="auto"/>
        <w:bottom w:val="none" w:sz="0" w:space="0" w:color="auto"/>
        <w:right w:val="none" w:sz="0" w:space="0" w:color="auto"/>
      </w:divBdr>
      <w:divsChild>
        <w:div w:id="1978949426">
          <w:marLeft w:val="0"/>
          <w:marRight w:val="0"/>
          <w:marTop w:val="0"/>
          <w:marBottom w:val="0"/>
          <w:divBdr>
            <w:top w:val="none" w:sz="0" w:space="0" w:color="auto"/>
            <w:left w:val="none" w:sz="0" w:space="0" w:color="auto"/>
            <w:bottom w:val="none" w:sz="0" w:space="0" w:color="auto"/>
            <w:right w:val="none" w:sz="0" w:space="0" w:color="auto"/>
          </w:divBdr>
          <w:divsChild>
            <w:div w:id="2086800972">
              <w:marLeft w:val="0"/>
              <w:marRight w:val="0"/>
              <w:marTop w:val="0"/>
              <w:marBottom w:val="0"/>
              <w:divBdr>
                <w:top w:val="none" w:sz="0" w:space="0" w:color="auto"/>
                <w:left w:val="none" w:sz="0" w:space="0" w:color="auto"/>
                <w:bottom w:val="none" w:sz="0" w:space="0" w:color="auto"/>
                <w:right w:val="none" w:sz="0" w:space="0" w:color="auto"/>
              </w:divBdr>
              <w:divsChild>
                <w:div w:id="1870218525">
                  <w:marLeft w:val="0"/>
                  <w:marRight w:val="0"/>
                  <w:marTop w:val="0"/>
                  <w:marBottom w:val="0"/>
                  <w:divBdr>
                    <w:top w:val="none" w:sz="0" w:space="0" w:color="auto"/>
                    <w:left w:val="none" w:sz="0" w:space="0" w:color="auto"/>
                    <w:bottom w:val="none" w:sz="0" w:space="0" w:color="auto"/>
                    <w:right w:val="none" w:sz="0" w:space="0" w:color="auto"/>
                  </w:divBdr>
                  <w:divsChild>
                    <w:div w:id="1708992931">
                      <w:marLeft w:val="0"/>
                      <w:marRight w:val="0"/>
                      <w:marTop w:val="0"/>
                      <w:marBottom w:val="0"/>
                      <w:divBdr>
                        <w:top w:val="none" w:sz="0" w:space="0" w:color="auto"/>
                        <w:left w:val="none" w:sz="0" w:space="0" w:color="auto"/>
                        <w:bottom w:val="none" w:sz="0" w:space="0" w:color="auto"/>
                        <w:right w:val="none" w:sz="0" w:space="0" w:color="auto"/>
                      </w:divBdr>
                      <w:divsChild>
                        <w:div w:id="6300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420609">
      <w:bodyDiv w:val="1"/>
      <w:marLeft w:val="0"/>
      <w:marRight w:val="0"/>
      <w:marTop w:val="0"/>
      <w:marBottom w:val="0"/>
      <w:divBdr>
        <w:top w:val="none" w:sz="0" w:space="0" w:color="auto"/>
        <w:left w:val="none" w:sz="0" w:space="0" w:color="auto"/>
        <w:bottom w:val="none" w:sz="0" w:space="0" w:color="auto"/>
        <w:right w:val="none" w:sz="0" w:space="0" w:color="auto"/>
      </w:divBdr>
    </w:div>
    <w:div w:id="731924715">
      <w:bodyDiv w:val="1"/>
      <w:marLeft w:val="0"/>
      <w:marRight w:val="0"/>
      <w:marTop w:val="0"/>
      <w:marBottom w:val="0"/>
      <w:divBdr>
        <w:top w:val="none" w:sz="0" w:space="0" w:color="auto"/>
        <w:left w:val="none" w:sz="0" w:space="0" w:color="auto"/>
        <w:bottom w:val="none" w:sz="0" w:space="0" w:color="auto"/>
        <w:right w:val="none" w:sz="0" w:space="0" w:color="auto"/>
      </w:divBdr>
    </w:div>
    <w:div w:id="743186803">
      <w:bodyDiv w:val="1"/>
      <w:marLeft w:val="0"/>
      <w:marRight w:val="0"/>
      <w:marTop w:val="0"/>
      <w:marBottom w:val="0"/>
      <w:divBdr>
        <w:top w:val="none" w:sz="0" w:space="0" w:color="auto"/>
        <w:left w:val="none" w:sz="0" w:space="0" w:color="auto"/>
        <w:bottom w:val="none" w:sz="0" w:space="0" w:color="auto"/>
        <w:right w:val="none" w:sz="0" w:space="0" w:color="auto"/>
      </w:divBdr>
      <w:divsChild>
        <w:div w:id="1450121452">
          <w:marLeft w:val="0"/>
          <w:marRight w:val="0"/>
          <w:marTop w:val="0"/>
          <w:marBottom w:val="0"/>
          <w:divBdr>
            <w:top w:val="none" w:sz="0" w:space="0" w:color="auto"/>
            <w:left w:val="none" w:sz="0" w:space="0" w:color="auto"/>
            <w:bottom w:val="none" w:sz="0" w:space="0" w:color="auto"/>
            <w:right w:val="none" w:sz="0" w:space="0" w:color="auto"/>
          </w:divBdr>
          <w:divsChild>
            <w:div w:id="1330713036">
              <w:marLeft w:val="0"/>
              <w:marRight w:val="0"/>
              <w:marTop w:val="0"/>
              <w:marBottom w:val="0"/>
              <w:divBdr>
                <w:top w:val="none" w:sz="0" w:space="0" w:color="auto"/>
                <w:left w:val="none" w:sz="0" w:space="0" w:color="auto"/>
                <w:bottom w:val="none" w:sz="0" w:space="0" w:color="auto"/>
                <w:right w:val="none" w:sz="0" w:space="0" w:color="auto"/>
              </w:divBdr>
              <w:divsChild>
                <w:div w:id="1987973136">
                  <w:marLeft w:val="0"/>
                  <w:marRight w:val="0"/>
                  <w:marTop w:val="0"/>
                  <w:marBottom w:val="0"/>
                  <w:divBdr>
                    <w:top w:val="none" w:sz="0" w:space="0" w:color="auto"/>
                    <w:left w:val="none" w:sz="0" w:space="0" w:color="auto"/>
                    <w:bottom w:val="none" w:sz="0" w:space="0" w:color="auto"/>
                    <w:right w:val="none" w:sz="0" w:space="0" w:color="auto"/>
                  </w:divBdr>
                  <w:divsChild>
                    <w:div w:id="6606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9298">
      <w:bodyDiv w:val="1"/>
      <w:marLeft w:val="0"/>
      <w:marRight w:val="0"/>
      <w:marTop w:val="0"/>
      <w:marBottom w:val="0"/>
      <w:divBdr>
        <w:top w:val="none" w:sz="0" w:space="0" w:color="auto"/>
        <w:left w:val="none" w:sz="0" w:space="0" w:color="auto"/>
        <w:bottom w:val="none" w:sz="0" w:space="0" w:color="auto"/>
        <w:right w:val="none" w:sz="0" w:space="0" w:color="auto"/>
      </w:divBdr>
    </w:div>
    <w:div w:id="763109791">
      <w:bodyDiv w:val="1"/>
      <w:marLeft w:val="0"/>
      <w:marRight w:val="0"/>
      <w:marTop w:val="0"/>
      <w:marBottom w:val="0"/>
      <w:divBdr>
        <w:top w:val="none" w:sz="0" w:space="0" w:color="auto"/>
        <w:left w:val="none" w:sz="0" w:space="0" w:color="auto"/>
        <w:bottom w:val="none" w:sz="0" w:space="0" w:color="auto"/>
        <w:right w:val="none" w:sz="0" w:space="0" w:color="auto"/>
      </w:divBdr>
    </w:div>
    <w:div w:id="766537353">
      <w:bodyDiv w:val="1"/>
      <w:marLeft w:val="0"/>
      <w:marRight w:val="0"/>
      <w:marTop w:val="0"/>
      <w:marBottom w:val="0"/>
      <w:divBdr>
        <w:top w:val="none" w:sz="0" w:space="0" w:color="auto"/>
        <w:left w:val="none" w:sz="0" w:space="0" w:color="auto"/>
        <w:bottom w:val="none" w:sz="0" w:space="0" w:color="auto"/>
        <w:right w:val="none" w:sz="0" w:space="0" w:color="auto"/>
      </w:divBdr>
    </w:div>
    <w:div w:id="770247528">
      <w:bodyDiv w:val="1"/>
      <w:marLeft w:val="0"/>
      <w:marRight w:val="0"/>
      <w:marTop w:val="0"/>
      <w:marBottom w:val="0"/>
      <w:divBdr>
        <w:top w:val="none" w:sz="0" w:space="0" w:color="auto"/>
        <w:left w:val="none" w:sz="0" w:space="0" w:color="auto"/>
        <w:bottom w:val="none" w:sz="0" w:space="0" w:color="auto"/>
        <w:right w:val="none" w:sz="0" w:space="0" w:color="auto"/>
      </w:divBdr>
    </w:div>
    <w:div w:id="772163226">
      <w:bodyDiv w:val="1"/>
      <w:marLeft w:val="0"/>
      <w:marRight w:val="0"/>
      <w:marTop w:val="0"/>
      <w:marBottom w:val="0"/>
      <w:divBdr>
        <w:top w:val="none" w:sz="0" w:space="0" w:color="auto"/>
        <w:left w:val="none" w:sz="0" w:space="0" w:color="auto"/>
        <w:bottom w:val="none" w:sz="0" w:space="0" w:color="auto"/>
        <w:right w:val="none" w:sz="0" w:space="0" w:color="auto"/>
      </w:divBdr>
    </w:div>
    <w:div w:id="784151935">
      <w:bodyDiv w:val="1"/>
      <w:marLeft w:val="0"/>
      <w:marRight w:val="0"/>
      <w:marTop w:val="0"/>
      <w:marBottom w:val="0"/>
      <w:divBdr>
        <w:top w:val="none" w:sz="0" w:space="0" w:color="auto"/>
        <w:left w:val="none" w:sz="0" w:space="0" w:color="auto"/>
        <w:bottom w:val="none" w:sz="0" w:space="0" w:color="auto"/>
        <w:right w:val="none" w:sz="0" w:space="0" w:color="auto"/>
      </w:divBdr>
    </w:div>
    <w:div w:id="790175788">
      <w:bodyDiv w:val="1"/>
      <w:marLeft w:val="0"/>
      <w:marRight w:val="0"/>
      <w:marTop w:val="0"/>
      <w:marBottom w:val="0"/>
      <w:divBdr>
        <w:top w:val="none" w:sz="0" w:space="0" w:color="auto"/>
        <w:left w:val="none" w:sz="0" w:space="0" w:color="auto"/>
        <w:bottom w:val="none" w:sz="0" w:space="0" w:color="auto"/>
        <w:right w:val="none" w:sz="0" w:space="0" w:color="auto"/>
      </w:divBdr>
    </w:div>
    <w:div w:id="796526013">
      <w:bodyDiv w:val="1"/>
      <w:marLeft w:val="0"/>
      <w:marRight w:val="0"/>
      <w:marTop w:val="0"/>
      <w:marBottom w:val="0"/>
      <w:divBdr>
        <w:top w:val="none" w:sz="0" w:space="0" w:color="auto"/>
        <w:left w:val="none" w:sz="0" w:space="0" w:color="auto"/>
        <w:bottom w:val="none" w:sz="0" w:space="0" w:color="auto"/>
        <w:right w:val="none" w:sz="0" w:space="0" w:color="auto"/>
      </w:divBdr>
    </w:div>
    <w:div w:id="799106534">
      <w:bodyDiv w:val="1"/>
      <w:marLeft w:val="0"/>
      <w:marRight w:val="0"/>
      <w:marTop w:val="0"/>
      <w:marBottom w:val="0"/>
      <w:divBdr>
        <w:top w:val="none" w:sz="0" w:space="0" w:color="auto"/>
        <w:left w:val="none" w:sz="0" w:space="0" w:color="auto"/>
        <w:bottom w:val="none" w:sz="0" w:space="0" w:color="auto"/>
        <w:right w:val="none" w:sz="0" w:space="0" w:color="auto"/>
      </w:divBdr>
    </w:div>
    <w:div w:id="803277599">
      <w:bodyDiv w:val="1"/>
      <w:marLeft w:val="0"/>
      <w:marRight w:val="0"/>
      <w:marTop w:val="0"/>
      <w:marBottom w:val="0"/>
      <w:divBdr>
        <w:top w:val="none" w:sz="0" w:space="0" w:color="auto"/>
        <w:left w:val="none" w:sz="0" w:space="0" w:color="auto"/>
        <w:bottom w:val="none" w:sz="0" w:space="0" w:color="auto"/>
        <w:right w:val="none" w:sz="0" w:space="0" w:color="auto"/>
      </w:divBdr>
    </w:div>
    <w:div w:id="805198591">
      <w:bodyDiv w:val="1"/>
      <w:marLeft w:val="0"/>
      <w:marRight w:val="0"/>
      <w:marTop w:val="0"/>
      <w:marBottom w:val="0"/>
      <w:divBdr>
        <w:top w:val="none" w:sz="0" w:space="0" w:color="auto"/>
        <w:left w:val="none" w:sz="0" w:space="0" w:color="auto"/>
        <w:bottom w:val="none" w:sz="0" w:space="0" w:color="auto"/>
        <w:right w:val="none" w:sz="0" w:space="0" w:color="auto"/>
      </w:divBdr>
    </w:div>
    <w:div w:id="805200110">
      <w:bodyDiv w:val="1"/>
      <w:marLeft w:val="0"/>
      <w:marRight w:val="0"/>
      <w:marTop w:val="0"/>
      <w:marBottom w:val="0"/>
      <w:divBdr>
        <w:top w:val="none" w:sz="0" w:space="0" w:color="auto"/>
        <w:left w:val="none" w:sz="0" w:space="0" w:color="auto"/>
        <w:bottom w:val="none" w:sz="0" w:space="0" w:color="auto"/>
        <w:right w:val="none" w:sz="0" w:space="0" w:color="auto"/>
      </w:divBdr>
    </w:div>
    <w:div w:id="814640325">
      <w:bodyDiv w:val="1"/>
      <w:marLeft w:val="0"/>
      <w:marRight w:val="0"/>
      <w:marTop w:val="0"/>
      <w:marBottom w:val="0"/>
      <w:divBdr>
        <w:top w:val="none" w:sz="0" w:space="0" w:color="auto"/>
        <w:left w:val="none" w:sz="0" w:space="0" w:color="auto"/>
        <w:bottom w:val="none" w:sz="0" w:space="0" w:color="auto"/>
        <w:right w:val="none" w:sz="0" w:space="0" w:color="auto"/>
      </w:divBdr>
    </w:div>
    <w:div w:id="818962789">
      <w:bodyDiv w:val="1"/>
      <w:marLeft w:val="0"/>
      <w:marRight w:val="0"/>
      <w:marTop w:val="0"/>
      <w:marBottom w:val="0"/>
      <w:divBdr>
        <w:top w:val="none" w:sz="0" w:space="0" w:color="auto"/>
        <w:left w:val="none" w:sz="0" w:space="0" w:color="auto"/>
        <w:bottom w:val="none" w:sz="0" w:space="0" w:color="auto"/>
        <w:right w:val="none" w:sz="0" w:space="0" w:color="auto"/>
      </w:divBdr>
    </w:div>
    <w:div w:id="819077409">
      <w:bodyDiv w:val="1"/>
      <w:marLeft w:val="0"/>
      <w:marRight w:val="0"/>
      <w:marTop w:val="0"/>
      <w:marBottom w:val="0"/>
      <w:divBdr>
        <w:top w:val="none" w:sz="0" w:space="0" w:color="auto"/>
        <w:left w:val="none" w:sz="0" w:space="0" w:color="auto"/>
        <w:bottom w:val="none" w:sz="0" w:space="0" w:color="auto"/>
        <w:right w:val="none" w:sz="0" w:space="0" w:color="auto"/>
      </w:divBdr>
    </w:div>
    <w:div w:id="821967424">
      <w:bodyDiv w:val="1"/>
      <w:marLeft w:val="0"/>
      <w:marRight w:val="0"/>
      <w:marTop w:val="0"/>
      <w:marBottom w:val="0"/>
      <w:divBdr>
        <w:top w:val="none" w:sz="0" w:space="0" w:color="auto"/>
        <w:left w:val="none" w:sz="0" w:space="0" w:color="auto"/>
        <w:bottom w:val="none" w:sz="0" w:space="0" w:color="auto"/>
        <w:right w:val="none" w:sz="0" w:space="0" w:color="auto"/>
      </w:divBdr>
      <w:divsChild>
        <w:div w:id="132529394">
          <w:marLeft w:val="0"/>
          <w:marRight w:val="0"/>
          <w:marTop w:val="0"/>
          <w:marBottom w:val="0"/>
          <w:divBdr>
            <w:top w:val="none" w:sz="0" w:space="0" w:color="auto"/>
            <w:left w:val="none" w:sz="0" w:space="0" w:color="auto"/>
            <w:bottom w:val="none" w:sz="0" w:space="0" w:color="auto"/>
            <w:right w:val="none" w:sz="0" w:space="0" w:color="auto"/>
          </w:divBdr>
          <w:divsChild>
            <w:div w:id="1706059416">
              <w:marLeft w:val="0"/>
              <w:marRight w:val="0"/>
              <w:marTop w:val="0"/>
              <w:marBottom w:val="0"/>
              <w:divBdr>
                <w:top w:val="none" w:sz="0" w:space="0" w:color="auto"/>
                <w:left w:val="none" w:sz="0" w:space="0" w:color="auto"/>
                <w:bottom w:val="none" w:sz="0" w:space="0" w:color="auto"/>
                <w:right w:val="none" w:sz="0" w:space="0" w:color="auto"/>
              </w:divBdr>
              <w:divsChild>
                <w:div w:id="1256740976">
                  <w:marLeft w:val="0"/>
                  <w:marRight w:val="0"/>
                  <w:marTop w:val="0"/>
                  <w:marBottom w:val="0"/>
                  <w:divBdr>
                    <w:top w:val="none" w:sz="0" w:space="0" w:color="auto"/>
                    <w:left w:val="none" w:sz="0" w:space="0" w:color="auto"/>
                    <w:bottom w:val="none" w:sz="0" w:space="0" w:color="auto"/>
                    <w:right w:val="none" w:sz="0" w:space="0" w:color="auto"/>
                  </w:divBdr>
                  <w:divsChild>
                    <w:div w:id="1827286184">
                      <w:marLeft w:val="0"/>
                      <w:marRight w:val="0"/>
                      <w:marTop w:val="0"/>
                      <w:marBottom w:val="0"/>
                      <w:divBdr>
                        <w:top w:val="none" w:sz="0" w:space="0" w:color="auto"/>
                        <w:left w:val="none" w:sz="0" w:space="0" w:color="auto"/>
                        <w:bottom w:val="none" w:sz="0" w:space="0" w:color="auto"/>
                        <w:right w:val="none" w:sz="0" w:space="0" w:color="auto"/>
                      </w:divBdr>
                      <w:divsChild>
                        <w:div w:id="2683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6282">
      <w:bodyDiv w:val="1"/>
      <w:marLeft w:val="0"/>
      <w:marRight w:val="0"/>
      <w:marTop w:val="0"/>
      <w:marBottom w:val="0"/>
      <w:divBdr>
        <w:top w:val="none" w:sz="0" w:space="0" w:color="auto"/>
        <w:left w:val="none" w:sz="0" w:space="0" w:color="auto"/>
        <w:bottom w:val="none" w:sz="0" w:space="0" w:color="auto"/>
        <w:right w:val="none" w:sz="0" w:space="0" w:color="auto"/>
      </w:divBdr>
    </w:div>
    <w:div w:id="825123806">
      <w:bodyDiv w:val="1"/>
      <w:marLeft w:val="0"/>
      <w:marRight w:val="0"/>
      <w:marTop w:val="0"/>
      <w:marBottom w:val="0"/>
      <w:divBdr>
        <w:top w:val="none" w:sz="0" w:space="0" w:color="auto"/>
        <w:left w:val="none" w:sz="0" w:space="0" w:color="auto"/>
        <w:bottom w:val="none" w:sz="0" w:space="0" w:color="auto"/>
        <w:right w:val="none" w:sz="0" w:space="0" w:color="auto"/>
      </w:divBdr>
    </w:div>
    <w:div w:id="832526841">
      <w:bodyDiv w:val="1"/>
      <w:marLeft w:val="0"/>
      <w:marRight w:val="0"/>
      <w:marTop w:val="0"/>
      <w:marBottom w:val="0"/>
      <w:divBdr>
        <w:top w:val="none" w:sz="0" w:space="0" w:color="auto"/>
        <w:left w:val="none" w:sz="0" w:space="0" w:color="auto"/>
        <w:bottom w:val="none" w:sz="0" w:space="0" w:color="auto"/>
        <w:right w:val="none" w:sz="0" w:space="0" w:color="auto"/>
      </w:divBdr>
    </w:div>
    <w:div w:id="832644297">
      <w:bodyDiv w:val="1"/>
      <w:marLeft w:val="0"/>
      <w:marRight w:val="0"/>
      <w:marTop w:val="0"/>
      <w:marBottom w:val="0"/>
      <w:divBdr>
        <w:top w:val="none" w:sz="0" w:space="0" w:color="auto"/>
        <w:left w:val="none" w:sz="0" w:space="0" w:color="auto"/>
        <w:bottom w:val="none" w:sz="0" w:space="0" w:color="auto"/>
        <w:right w:val="none" w:sz="0" w:space="0" w:color="auto"/>
      </w:divBdr>
    </w:div>
    <w:div w:id="838158279">
      <w:bodyDiv w:val="1"/>
      <w:marLeft w:val="0"/>
      <w:marRight w:val="0"/>
      <w:marTop w:val="0"/>
      <w:marBottom w:val="0"/>
      <w:divBdr>
        <w:top w:val="none" w:sz="0" w:space="0" w:color="auto"/>
        <w:left w:val="none" w:sz="0" w:space="0" w:color="auto"/>
        <w:bottom w:val="none" w:sz="0" w:space="0" w:color="auto"/>
        <w:right w:val="none" w:sz="0" w:space="0" w:color="auto"/>
      </w:divBdr>
    </w:div>
    <w:div w:id="842864777">
      <w:bodyDiv w:val="1"/>
      <w:marLeft w:val="0"/>
      <w:marRight w:val="0"/>
      <w:marTop w:val="0"/>
      <w:marBottom w:val="0"/>
      <w:divBdr>
        <w:top w:val="none" w:sz="0" w:space="0" w:color="auto"/>
        <w:left w:val="none" w:sz="0" w:space="0" w:color="auto"/>
        <w:bottom w:val="none" w:sz="0" w:space="0" w:color="auto"/>
        <w:right w:val="none" w:sz="0" w:space="0" w:color="auto"/>
      </w:divBdr>
    </w:div>
    <w:div w:id="843201411">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845024862">
      <w:bodyDiv w:val="1"/>
      <w:marLeft w:val="0"/>
      <w:marRight w:val="0"/>
      <w:marTop w:val="0"/>
      <w:marBottom w:val="0"/>
      <w:divBdr>
        <w:top w:val="none" w:sz="0" w:space="0" w:color="auto"/>
        <w:left w:val="none" w:sz="0" w:space="0" w:color="auto"/>
        <w:bottom w:val="none" w:sz="0" w:space="0" w:color="auto"/>
        <w:right w:val="none" w:sz="0" w:space="0" w:color="auto"/>
      </w:divBdr>
    </w:div>
    <w:div w:id="855461581">
      <w:bodyDiv w:val="1"/>
      <w:marLeft w:val="0"/>
      <w:marRight w:val="0"/>
      <w:marTop w:val="0"/>
      <w:marBottom w:val="0"/>
      <w:divBdr>
        <w:top w:val="none" w:sz="0" w:space="0" w:color="auto"/>
        <w:left w:val="none" w:sz="0" w:space="0" w:color="auto"/>
        <w:bottom w:val="none" w:sz="0" w:space="0" w:color="auto"/>
        <w:right w:val="none" w:sz="0" w:space="0" w:color="auto"/>
      </w:divBdr>
    </w:div>
    <w:div w:id="857697680">
      <w:bodyDiv w:val="1"/>
      <w:marLeft w:val="0"/>
      <w:marRight w:val="0"/>
      <w:marTop w:val="0"/>
      <w:marBottom w:val="0"/>
      <w:divBdr>
        <w:top w:val="none" w:sz="0" w:space="0" w:color="auto"/>
        <w:left w:val="none" w:sz="0" w:space="0" w:color="auto"/>
        <w:bottom w:val="none" w:sz="0" w:space="0" w:color="auto"/>
        <w:right w:val="none" w:sz="0" w:space="0" w:color="auto"/>
      </w:divBdr>
    </w:div>
    <w:div w:id="860163774">
      <w:bodyDiv w:val="1"/>
      <w:marLeft w:val="0"/>
      <w:marRight w:val="0"/>
      <w:marTop w:val="0"/>
      <w:marBottom w:val="0"/>
      <w:divBdr>
        <w:top w:val="none" w:sz="0" w:space="0" w:color="auto"/>
        <w:left w:val="none" w:sz="0" w:space="0" w:color="auto"/>
        <w:bottom w:val="none" w:sz="0" w:space="0" w:color="auto"/>
        <w:right w:val="none" w:sz="0" w:space="0" w:color="auto"/>
      </w:divBdr>
    </w:div>
    <w:div w:id="864712030">
      <w:bodyDiv w:val="1"/>
      <w:marLeft w:val="0"/>
      <w:marRight w:val="0"/>
      <w:marTop w:val="0"/>
      <w:marBottom w:val="0"/>
      <w:divBdr>
        <w:top w:val="none" w:sz="0" w:space="0" w:color="auto"/>
        <w:left w:val="none" w:sz="0" w:space="0" w:color="auto"/>
        <w:bottom w:val="none" w:sz="0" w:space="0" w:color="auto"/>
        <w:right w:val="none" w:sz="0" w:space="0" w:color="auto"/>
      </w:divBdr>
    </w:div>
    <w:div w:id="866060420">
      <w:bodyDiv w:val="1"/>
      <w:marLeft w:val="0"/>
      <w:marRight w:val="0"/>
      <w:marTop w:val="0"/>
      <w:marBottom w:val="0"/>
      <w:divBdr>
        <w:top w:val="none" w:sz="0" w:space="0" w:color="auto"/>
        <w:left w:val="none" w:sz="0" w:space="0" w:color="auto"/>
        <w:bottom w:val="none" w:sz="0" w:space="0" w:color="auto"/>
        <w:right w:val="none" w:sz="0" w:space="0" w:color="auto"/>
      </w:divBdr>
    </w:div>
    <w:div w:id="871845849">
      <w:bodyDiv w:val="1"/>
      <w:marLeft w:val="0"/>
      <w:marRight w:val="0"/>
      <w:marTop w:val="0"/>
      <w:marBottom w:val="0"/>
      <w:divBdr>
        <w:top w:val="none" w:sz="0" w:space="0" w:color="auto"/>
        <w:left w:val="none" w:sz="0" w:space="0" w:color="auto"/>
        <w:bottom w:val="none" w:sz="0" w:space="0" w:color="auto"/>
        <w:right w:val="none" w:sz="0" w:space="0" w:color="auto"/>
      </w:divBdr>
      <w:divsChild>
        <w:div w:id="1851675321">
          <w:marLeft w:val="0"/>
          <w:marRight w:val="300"/>
          <w:marTop w:val="0"/>
          <w:marBottom w:val="0"/>
          <w:divBdr>
            <w:top w:val="none" w:sz="0" w:space="0" w:color="auto"/>
            <w:left w:val="none" w:sz="0" w:space="0" w:color="auto"/>
            <w:bottom w:val="none" w:sz="0" w:space="0" w:color="auto"/>
            <w:right w:val="none" w:sz="0" w:space="0" w:color="auto"/>
          </w:divBdr>
          <w:divsChild>
            <w:div w:id="16484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221">
      <w:bodyDiv w:val="1"/>
      <w:marLeft w:val="0"/>
      <w:marRight w:val="0"/>
      <w:marTop w:val="0"/>
      <w:marBottom w:val="0"/>
      <w:divBdr>
        <w:top w:val="none" w:sz="0" w:space="0" w:color="auto"/>
        <w:left w:val="none" w:sz="0" w:space="0" w:color="auto"/>
        <w:bottom w:val="none" w:sz="0" w:space="0" w:color="auto"/>
        <w:right w:val="none" w:sz="0" w:space="0" w:color="auto"/>
      </w:divBdr>
      <w:divsChild>
        <w:div w:id="896403648">
          <w:marLeft w:val="0"/>
          <w:marRight w:val="0"/>
          <w:marTop w:val="0"/>
          <w:marBottom w:val="0"/>
          <w:divBdr>
            <w:top w:val="none" w:sz="0" w:space="0" w:color="auto"/>
            <w:left w:val="none" w:sz="0" w:space="0" w:color="auto"/>
            <w:bottom w:val="none" w:sz="0" w:space="0" w:color="auto"/>
            <w:right w:val="none" w:sz="0" w:space="0" w:color="auto"/>
          </w:divBdr>
          <w:divsChild>
            <w:div w:id="1612400122">
              <w:marLeft w:val="0"/>
              <w:marRight w:val="0"/>
              <w:marTop w:val="0"/>
              <w:marBottom w:val="0"/>
              <w:divBdr>
                <w:top w:val="none" w:sz="0" w:space="0" w:color="auto"/>
                <w:left w:val="none" w:sz="0" w:space="0" w:color="auto"/>
                <w:bottom w:val="none" w:sz="0" w:space="0" w:color="auto"/>
                <w:right w:val="none" w:sz="0" w:space="0" w:color="auto"/>
              </w:divBdr>
              <w:divsChild>
                <w:div w:id="2099524544">
                  <w:marLeft w:val="0"/>
                  <w:marRight w:val="0"/>
                  <w:marTop w:val="0"/>
                  <w:marBottom w:val="0"/>
                  <w:divBdr>
                    <w:top w:val="none" w:sz="0" w:space="0" w:color="auto"/>
                    <w:left w:val="none" w:sz="0" w:space="0" w:color="auto"/>
                    <w:bottom w:val="none" w:sz="0" w:space="0" w:color="auto"/>
                    <w:right w:val="none" w:sz="0" w:space="0" w:color="auto"/>
                  </w:divBdr>
                  <w:divsChild>
                    <w:div w:id="1290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4329">
      <w:bodyDiv w:val="1"/>
      <w:marLeft w:val="0"/>
      <w:marRight w:val="0"/>
      <w:marTop w:val="0"/>
      <w:marBottom w:val="0"/>
      <w:divBdr>
        <w:top w:val="none" w:sz="0" w:space="0" w:color="auto"/>
        <w:left w:val="none" w:sz="0" w:space="0" w:color="auto"/>
        <w:bottom w:val="none" w:sz="0" w:space="0" w:color="auto"/>
        <w:right w:val="none" w:sz="0" w:space="0" w:color="auto"/>
      </w:divBdr>
    </w:div>
    <w:div w:id="880676850">
      <w:bodyDiv w:val="1"/>
      <w:marLeft w:val="0"/>
      <w:marRight w:val="0"/>
      <w:marTop w:val="0"/>
      <w:marBottom w:val="0"/>
      <w:divBdr>
        <w:top w:val="none" w:sz="0" w:space="0" w:color="auto"/>
        <w:left w:val="none" w:sz="0" w:space="0" w:color="auto"/>
        <w:bottom w:val="none" w:sz="0" w:space="0" w:color="auto"/>
        <w:right w:val="none" w:sz="0" w:space="0" w:color="auto"/>
      </w:divBdr>
    </w:div>
    <w:div w:id="889607862">
      <w:bodyDiv w:val="1"/>
      <w:marLeft w:val="0"/>
      <w:marRight w:val="0"/>
      <w:marTop w:val="0"/>
      <w:marBottom w:val="0"/>
      <w:divBdr>
        <w:top w:val="none" w:sz="0" w:space="0" w:color="auto"/>
        <w:left w:val="none" w:sz="0" w:space="0" w:color="auto"/>
        <w:bottom w:val="none" w:sz="0" w:space="0" w:color="auto"/>
        <w:right w:val="none" w:sz="0" w:space="0" w:color="auto"/>
      </w:divBdr>
    </w:div>
    <w:div w:id="899823545">
      <w:bodyDiv w:val="1"/>
      <w:marLeft w:val="0"/>
      <w:marRight w:val="0"/>
      <w:marTop w:val="0"/>
      <w:marBottom w:val="0"/>
      <w:divBdr>
        <w:top w:val="none" w:sz="0" w:space="0" w:color="auto"/>
        <w:left w:val="none" w:sz="0" w:space="0" w:color="auto"/>
        <w:bottom w:val="none" w:sz="0" w:space="0" w:color="auto"/>
        <w:right w:val="none" w:sz="0" w:space="0" w:color="auto"/>
      </w:divBdr>
    </w:div>
    <w:div w:id="900678746">
      <w:bodyDiv w:val="1"/>
      <w:marLeft w:val="0"/>
      <w:marRight w:val="0"/>
      <w:marTop w:val="0"/>
      <w:marBottom w:val="0"/>
      <w:divBdr>
        <w:top w:val="none" w:sz="0" w:space="0" w:color="auto"/>
        <w:left w:val="none" w:sz="0" w:space="0" w:color="auto"/>
        <w:bottom w:val="none" w:sz="0" w:space="0" w:color="auto"/>
        <w:right w:val="none" w:sz="0" w:space="0" w:color="auto"/>
      </w:divBdr>
    </w:div>
    <w:div w:id="912083572">
      <w:bodyDiv w:val="1"/>
      <w:marLeft w:val="0"/>
      <w:marRight w:val="0"/>
      <w:marTop w:val="0"/>
      <w:marBottom w:val="0"/>
      <w:divBdr>
        <w:top w:val="none" w:sz="0" w:space="0" w:color="auto"/>
        <w:left w:val="none" w:sz="0" w:space="0" w:color="auto"/>
        <w:bottom w:val="none" w:sz="0" w:space="0" w:color="auto"/>
        <w:right w:val="none" w:sz="0" w:space="0" w:color="auto"/>
      </w:divBdr>
    </w:div>
    <w:div w:id="929580100">
      <w:bodyDiv w:val="1"/>
      <w:marLeft w:val="0"/>
      <w:marRight w:val="0"/>
      <w:marTop w:val="0"/>
      <w:marBottom w:val="0"/>
      <w:divBdr>
        <w:top w:val="none" w:sz="0" w:space="0" w:color="auto"/>
        <w:left w:val="none" w:sz="0" w:space="0" w:color="auto"/>
        <w:bottom w:val="none" w:sz="0" w:space="0" w:color="auto"/>
        <w:right w:val="none" w:sz="0" w:space="0" w:color="auto"/>
      </w:divBdr>
    </w:div>
    <w:div w:id="933786504">
      <w:bodyDiv w:val="1"/>
      <w:marLeft w:val="0"/>
      <w:marRight w:val="0"/>
      <w:marTop w:val="0"/>
      <w:marBottom w:val="0"/>
      <w:divBdr>
        <w:top w:val="none" w:sz="0" w:space="0" w:color="auto"/>
        <w:left w:val="none" w:sz="0" w:space="0" w:color="auto"/>
        <w:bottom w:val="none" w:sz="0" w:space="0" w:color="auto"/>
        <w:right w:val="none" w:sz="0" w:space="0" w:color="auto"/>
      </w:divBdr>
    </w:div>
    <w:div w:id="940258583">
      <w:bodyDiv w:val="1"/>
      <w:marLeft w:val="0"/>
      <w:marRight w:val="0"/>
      <w:marTop w:val="0"/>
      <w:marBottom w:val="0"/>
      <w:divBdr>
        <w:top w:val="none" w:sz="0" w:space="0" w:color="auto"/>
        <w:left w:val="none" w:sz="0" w:space="0" w:color="auto"/>
        <w:bottom w:val="none" w:sz="0" w:space="0" w:color="auto"/>
        <w:right w:val="none" w:sz="0" w:space="0" w:color="auto"/>
      </w:divBdr>
    </w:div>
    <w:div w:id="940839303">
      <w:bodyDiv w:val="1"/>
      <w:marLeft w:val="0"/>
      <w:marRight w:val="0"/>
      <w:marTop w:val="0"/>
      <w:marBottom w:val="0"/>
      <w:divBdr>
        <w:top w:val="none" w:sz="0" w:space="0" w:color="auto"/>
        <w:left w:val="none" w:sz="0" w:space="0" w:color="auto"/>
        <w:bottom w:val="none" w:sz="0" w:space="0" w:color="auto"/>
        <w:right w:val="none" w:sz="0" w:space="0" w:color="auto"/>
      </w:divBdr>
    </w:div>
    <w:div w:id="943415876">
      <w:bodyDiv w:val="1"/>
      <w:marLeft w:val="0"/>
      <w:marRight w:val="0"/>
      <w:marTop w:val="0"/>
      <w:marBottom w:val="0"/>
      <w:divBdr>
        <w:top w:val="none" w:sz="0" w:space="0" w:color="auto"/>
        <w:left w:val="none" w:sz="0" w:space="0" w:color="auto"/>
        <w:bottom w:val="none" w:sz="0" w:space="0" w:color="auto"/>
        <w:right w:val="none" w:sz="0" w:space="0" w:color="auto"/>
      </w:divBdr>
    </w:div>
    <w:div w:id="952977946">
      <w:bodyDiv w:val="1"/>
      <w:marLeft w:val="0"/>
      <w:marRight w:val="0"/>
      <w:marTop w:val="0"/>
      <w:marBottom w:val="0"/>
      <w:divBdr>
        <w:top w:val="none" w:sz="0" w:space="0" w:color="auto"/>
        <w:left w:val="none" w:sz="0" w:space="0" w:color="auto"/>
        <w:bottom w:val="none" w:sz="0" w:space="0" w:color="auto"/>
        <w:right w:val="none" w:sz="0" w:space="0" w:color="auto"/>
      </w:divBdr>
    </w:div>
    <w:div w:id="957951353">
      <w:bodyDiv w:val="1"/>
      <w:marLeft w:val="0"/>
      <w:marRight w:val="0"/>
      <w:marTop w:val="0"/>
      <w:marBottom w:val="0"/>
      <w:divBdr>
        <w:top w:val="none" w:sz="0" w:space="0" w:color="auto"/>
        <w:left w:val="none" w:sz="0" w:space="0" w:color="auto"/>
        <w:bottom w:val="none" w:sz="0" w:space="0" w:color="auto"/>
        <w:right w:val="none" w:sz="0" w:space="0" w:color="auto"/>
      </w:divBdr>
    </w:div>
    <w:div w:id="965770933">
      <w:bodyDiv w:val="1"/>
      <w:marLeft w:val="0"/>
      <w:marRight w:val="0"/>
      <w:marTop w:val="0"/>
      <w:marBottom w:val="0"/>
      <w:divBdr>
        <w:top w:val="none" w:sz="0" w:space="0" w:color="auto"/>
        <w:left w:val="none" w:sz="0" w:space="0" w:color="auto"/>
        <w:bottom w:val="none" w:sz="0" w:space="0" w:color="auto"/>
        <w:right w:val="none" w:sz="0" w:space="0" w:color="auto"/>
      </w:divBdr>
      <w:divsChild>
        <w:div w:id="2081562928">
          <w:marLeft w:val="0"/>
          <w:marRight w:val="0"/>
          <w:marTop w:val="0"/>
          <w:marBottom w:val="0"/>
          <w:divBdr>
            <w:top w:val="none" w:sz="0" w:space="0" w:color="auto"/>
            <w:left w:val="none" w:sz="0" w:space="0" w:color="auto"/>
            <w:bottom w:val="none" w:sz="0" w:space="0" w:color="auto"/>
            <w:right w:val="none" w:sz="0" w:space="0" w:color="auto"/>
          </w:divBdr>
          <w:divsChild>
            <w:div w:id="942886233">
              <w:marLeft w:val="0"/>
              <w:marRight w:val="0"/>
              <w:marTop w:val="75"/>
              <w:marBottom w:val="0"/>
              <w:divBdr>
                <w:top w:val="none" w:sz="0" w:space="0" w:color="auto"/>
                <w:left w:val="none" w:sz="0" w:space="0" w:color="auto"/>
                <w:bottom w:val="none" w:sz="0" w:space="0" w:color="auto"/>
                <w:right w:val="none" w:sz="0" w:space="0" w:color="auto"/>
              </w:divBdr>
              <w:divsChild>
                <w:div w:id="5909905">
                  <w:marLeft w:val="2970"/>
                  <w:marRight w:val="2970"/>
                  <w:marTop w:val="0"/>
                  <w:marBottom w:val="0"/>
                  <w:divBdr>
                    <w:top w:val="none" w:sz="0" w:space="0" w:color="auto"/>
                    <w:left w:val="none" w:sz="0" w:space="0" w:color="auto"/>
                    <w:bottom w:val="none" w:sz="0" w:space="0" w:color="auto"/>
                    <w:right w:val="none" w:sz="0" w:space="0" w:color="auto"/>
                  </w:divBdr>
                </w:div>
              </w:divsChild>
            </w:div>
          </w:divsChild>
        </w:div>
      </w:divsChild>
    </w:div>
    <w:div w:id="966200421">
      <w:bodyDiv w:val="1"/>
      <w:marLeft w:val="0"/>
      <w:marRight w:val="0"/>
      <w:marTop w:val="0"/>
      <w:marBottom w:val="0"/>
      <w:divBdr>
        <w:top w:val="none" w:sz="0" w:space="0" w:color="auto"/>
        <w:left w:val="none" w:sz="0" w:space="0" w:color="auto"/>
        <w:bottom w:val="none" w:sz="0" w:space="0" w:color="auto"/>
        <w:right w:val="none" w:sz="0" w:space="0" w:color="auto"/>
      </w:divBdr>
      <w:divsChild>
        <w:div w:id="108203804">
          <w:marLeft w:val="0"/>
          <w:marRight w:val="0"/>
          <w:marTop w:val="0"/>
          <w:marBottom w:val="0"/>
          <w:divBdr>
            <w:top w:val="none" w:sz="0" w:space="0" w:color="auto"/>
            <w:left w:val="none" w:sz="0" w:space="0" w:color="auto"/>
            <w:bottom w:val="none" w:sz="0" w:space="0" w:color="auto"/>
            <w:right w:val="none" w:sz="0" w:space="0" w:color="auto"/>
          </w:divBdr>
        </w:div>
      </w:divsChild>
    </w:div>
    <w:div w:id="967659404">
      <w:bodyDiv w:val="1"/>
      <w:marLeft w:val="0"/>
      <w:marRight w:val="0"/>
      <w:marTop w:val="0"/>
      <w:marBottom w:val="0"/>
      <w:divBdr>
        <w:top w:val="none" w:sz="0" w:space="0" w:color="auto"/>
        <w:left w:val="none" w:sz="0" w:space="0" w:color="auto"/>
        <w:bottom w:val="none" w:sz="0" w:space="0" w:color="auto"/>
        <w:right w:val="none" w:sz="0" w:space="0" w:color="auto"/>
      </w:divBdr>
    </w:div>
    <w:div w:id="968052340">
      <w:bodyDiv w:val="1"/>
      <w:marLeft w:val="0"/>
      <w:marRight w:val="0"/>
      <w:marTop w:val="0"/>
      <w:marBottom w:val="0"/>
      <w:divBdr>
        <w:top w:val="none" w:sz="0" w:space="0" w:color="auto"/>
        <w:left w:val="none" w:sz="0" w:space="0" w:color="auto"/>
        <w:bottom w:val="none" w:sz="0" w:space="0" w:color="auto"/>
        <w:right w:val="none" w:sz="0" w:space="0" w:color="auto"/>
      </w:divBdr>
    </w:div>
    <w:div w:id="972101566">
      <w:bodyDiv w:val="1"/>
      <w:marLeft w:val="0"/>
      <w:marRight w:val="0"/>
      <w:marTop w:val="0"/>
      <w:marBottom w:val="0"/>
      <w:divBdr>
        <w:top w:val="none" w:sz="0" w:space="0" w:color="auto"/>
        <w:left w:val="none" w:sz="0" w:space="0" w:color="auto"/>
        <w:bottom w:val="none" w:sz="0" w:space="0" w:color="auto"/>
        <w:right w:val="none" w:sz="0" w:space="0" w:color="auto"/>
      </w:divBdr>
    </w:div>
    <w:div w:id="972489750">
      <w:bodyDiv w:val="1"/>
      <w:marLeft w:val="0"/>
      <w:marRight w:val="0"/>
      <w:marTop w:val="0"/>
      <w:marBottom w:val="0"/>
      <w:divBdr>
        <w:top w:val="none" w:sz="0" w:space="0" w:color="auto"/>
        <w:left w:val="none" w:sz="0" w:space="0" w:color="auto"/>
        <w:bottom w:val="none" w:sz="0" w:space="0" w:color="auto"/>
        <w:right w:val="none" w:sz="0" w:space="0" w:color="auto"/>
      </w:divBdr>
    </w:div>
    <w:div w:id="976373318">
      <w:bodyDiv w:val="1"/>
      <w:marLeft w:val="0"/>
      <w:marRight w:val="0"/>
      <w:marTop w:val="0"/>
      <w:marBottom w:val="0"/>
      <w:divBdr>
        <w:top w:val="none" w:sz="0" w:space="0" w:color="auto"/>
        <w:left w:val="none" w:sz="0" w:space="0" w:color="auto"/>
        <w:bottom w:val="none" w:sz="0" w:space="0" w:color="auto"/>
        <w:right w:val="none" w:sz="0" w:space="0" w:color="auto"/>
      </w:divBdr>
    </w:div>
    <w:div w:id="994187156">
      <w:bodyDiv w:val="1"/>
      <w:marLeft w:val="0"/>
      <w:marRight w:val="0"/>
      <w:marTop w:val="0"/>
      <w:marBottom w:val="0"/>
      <w:divBdr>
        <w:top w:val="none" w:sz="0" w:space="0" w:color="auto"/>
        <w:left w:val="none" w:sz="0" w:space="0" w:color="auto"/>
        <w:bottom w:val="none" w:sz="0" w:space="0" w:color="auto"/>
        <w:right w:val="none" w:sz="0" w:space="0" w:color="auto"/>
      </w:divBdr>
    </w:div>
    <w:div w:id="1001927578">
      <w:bodyDiv w:val="1"/>
      <w:marLeft w:val="0"/>
      <w:marRight w:val="0"/>
      <w:marTop w:val="0"/>
      <w:marBottom w:val="0"/>
      <w:divBdr>
        <w:top w:val="none" w:sz="0" w:space="0" w:color="auto"/>
        <w:left w:val="none" w:sz="0" w:space="0" w:color="auto"/>
        <w:bottom w:val="none" w:sz="0" w:space="0" w:color="auto"/>
        <w:right w:val="none" w:sz="0" w:space="0" w:color="auto"/>
      </w:divBdr>
    </w:div>
    <w:div w:id="1007289667">
      <w:bodyDiv w:val="1"/>
      <w:marLeft w:val="0"/>
      <w:marRight w:val="0"/>
      <w:marTop w:val="0"/>
      <w:marBottom w:val="0"/>
      <w:divBdr>
        <w:top w:val="none" w:sz="0" w:space="0" w:color="auto"/>
        <w:left w:val="none" w:sz="0" w:space="0" w:color="auto"/>
        <w:bottom w:val="none" w:sz="0" w:space="0" w:color="auto"/>
        <w:right w:val="none" w:sz="0" w:space="0" w:color="auto"/>
      </w:divBdr>
      <w:divsChild>
        <w:div w:id="1603999814">
          <w:marLeft w:val="0"/>
          <w:marRight w:val="0"/>
          <w:marTop w:val="100"/>
          <w:marBottom w:val="100"/>
          <w:divBdr>
            <w:top w:val="none" w:sz="0" w:space="0" w:color="auto"/>
            <w:left w:val="none" w:sz="0" w:space="0" w:color="auto"/>
            <w:bottom w:val="none" w:sz="0" w:space="0" w:color="auto"/>
            <w:right w:val="none" w:sz="0" w:space="0" w:color="auto"/>
          </w:divBdr>
          <w:divsChild>
            <w:div w:id="337201226">
              <w:marLeft w:val="0"/>
              <w:marRight w:val="0"/>
              <w:marTop w:val="0"/>
              <w:marBottom w:val="0"/>
              <w:divBdr>
                <w:top w:val="none" w:sz="0" w:space="0" w:color="auto"/>
                <w:left w:val="none" w:sz="0" w:space="0" w:color="auto"/>
                <w:bottom w:val="none" w:sz="0" w:space="0" w:color="auto"/>
                <w:right w:val="none" w:sz="0" w:space="0" w:color="auto"/>
              </w:divBdr>
              <w:divsChild>
                <w:div w:id="1217819730">
                  <w:marLeft w:val="0"/>
                  <w:marRight w:val="0"/>
                  <w:marTop w:val="0"/>
                  <w:marBottom w:val="0"/>
                  <w:divBdr>
                    <w:top w:val="single" w:sz="6" w:space="21" w:color="C4D4E4"/>
                    <w:left w:val="none" w:sz="0" w:space="0" w:color="auto"/>
                    <w:bottom w:val="none" w:sz="0" w:space="0" w:color="auto"/>
                    <w:right w:val="none" w:sz="0" w:space="0" w:color="auto"/>
                  </w:divBdr>
                  <w:divsChild>
                    <w:div w:id="2103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01547">
      <w:bodyDiv w:val="1"/>
      <w:marLeft w:val="0"/>
      <w:marRight w:val="0"/>
      <w:marTop w:val="0"/>
      <w:marBottom w:val="0"/>
      <w:divBdr>
        <w:top w:val="none" w:sz="0" w:space="0" w:color="auto"/>
        <w:left w:val="none" w:sz="0" w:space="0" w:color="auto"/>
        <w:bottom w:val="none" w:sz="0" w:space="0" w:color="auto"/>
        <w:right w:val="none" w:sz="0" w:space="0" w:color="auto"/>
      </w:divBdr>
    </w:div>
    <w:div w:id="1014646229">
      <w:bodyDiv w:val="1"/>
      <w:marLeft w:val="0"/>
      <w:marRight w:val="0"/>
      <w:marTop w:val="0"/>
      <w:marBottom w:val="0"/>
      <w:divBdr>
        <w:top w:val="none" w:sz="0" w:space="0" w:color="auto"/>
        <w:left w:val="none" w:sz="0" w:space="0" w:color="auto"/>
        <w:bottom w:val="none" w:sz="0" w:space="0" w:color="auto"/>
        <w:right w:val="none" w:sz="0" w:space="0" w:color="auto"/>
      </w:divBdr>
    </w:div>
    <w:div w:id="1014956462">
      <w:bodyDiv w:val="1"/>
      <w:marLeft w:val="0"/>
      <w:marRight w:val="0"/>
      <w:marTop w:val="0"/>
      <w:marBottom w:val="0"/>
      <w:divBdr>
        <w:top w:val="none" w:sz="0" w:space="0" w:color="auto"/>
        <w:left w:val="none" w:sz="0" w:space="0" w:color="auto"/>
        <w:bottom w:val="none" w:sz="0" w:space="0" w:color="auto"/>
        <w:right w:val="none" w:sz="0" w:space="0" w:color="auto"/>
      </w:divBdr>
    </w:div>
    <w:div w:id="1018042821">
      <w:bodyDiv w:val="1"/>
      <w:marLeft w:val="0"/>
      <w:marRight w:val="0"/>
      <w:marTop w:val="0"/>
      <w:marBottom w:val="0"/>
      <w:divBdr>
        <w:top w:val="none" w:sz="0" w:space="0" w:color="auto"/>
        <w:left w:val="none" w:sz="0" w:space="0" w:color="auto"/>
        <w:bottom w:val="none" w:sz="0" w:space="0" w:color="auto"/>
        <w:right w:val="none" w:sz="0" w:space="0" w:color="auto"/>
      </w:divBdr>
    </w:div>
    <w:div w:id="1018435446">
      <w:bodyDiv w:val="1"/>
      <w:marLeft w:val="0"/>
      <w:marRight w:val="0"/>
      <w:marTop w:val="0"/>
      <w:marBottom w:val="0"/>
      <w:divBdr>
        <w:top w:val="none" w:sz="0" w:space="0" w:color="auto"/>
        <w:left w:val="none" w:sz="0" w:space="0" w:color="auto"/>
        <w:bottom w:val="none" w:sz="0" w:space="0" w:color="auto"/>
        <w:right w:val="none" w:sz="0" w:space="0" w:color="auto"/>
      </w:divBdr>
    </w:div>
    <w:div w:id="1021661242">
      <w:bodyDiv w:val="1"/>
      <w:marLeft w:val="0"/>
      <w:marRight w:val="0"/>
      <w:marTop w:val="0"/>
      <w:marBottom w:val="0"/>
      <w:divBdr>
        <w:top w:val="none" w:sz="0" w:space="0" w:color="auto"/>
        <w:left w:val="none" w:sz="0" w:space="0" w:color="auto"/>
        <w:bottom w:val="none" w:sz="0" w:space="0" w:color="auto"/>
        <w:right w:val="none" w:sz="0" w:space="0" w:color="auto"/>
      </w:divBdr>
    </w:div>
    <w:div w:id="1022785299">
      <w:bodyDiv w:val="1"/>
      <w:marLeft w:val="0"/>
      <w:marRight w:val="0"/>
      <w:marTop w:val="0"/>
      <w:marBottom w:val="0"/>
      <w:divBdr>
        <w:top w:val="none" w:sz="0" w:space="0" w:color="auto"/>
        <w:left w:val="none" w:sz="0" w:space="0" w:color="auto"/>
        <w:bottom w:val="none" w:sz="0" w:space="0" w:color="auto"/>
        <w:right w:val="none" w:sz="0" w:space="0" w:color="auto"/>
      </w:divBdr>
    </w:div>
    <w:div w:id="1039163204">
      <w:bodyDiv w:val="1"/>
      <w:marLeft w:val="0"/>
      <w:marRight w:val="0"/>
      <w:marTop w:val="0"/>
      <w:marBottom w:val="0"/>
      <w:divBdr>
        <w:top w:val="none" w:sz="0" w:space="0" w:color="auto"/>
        <w:left w:val="none" w:sz="0" w:space="0" w:color="auto"/>
        <w:bottom w:val="none" w:sz="0" w:space="0" w:color="auto"/>
        <w:right w:val="none" w:sz="0" w:space="0" w:color="auto"/>
      </w:divBdr>
    </w:div>
    <w:div w:id="1041318057">
      <w:bodyDiv w:val="1"/>
      <w:marLeft w:val="0"/>
      <w:marRight w:val="0"/>
      <w:marTop w:val="0"/>
      <w:marBottom w:val="0"/>
      <w:divBdr>
        <w:top w:val="none" w:sz="0" w:space="0" w:color="auto"/>
        <w:left w:val="none" w:sz="0" w:space="0" w:color="auto"/>
        <w:bottom w:val="none" w:sz="0" w:space="0" w:color="auto"/>
        <w:right w:val="none" w:sz="0" w:space="0" w:color="auto"/>
      </w:divBdr>
    </w:div>
    <w:div w:id="1042174411">
      <w:bodyDiv w:val="1"/>
      <w:marLeft w:val="0"/>
      <w:marRight w:val="0"/>
      <w:marTop w:val="0"/>
      <w:marBottom w:val="0"/>
      <w:divBdr>
        <w:top w:val="none" w:sz="0" w:space="0" w:color="auto"/>
        <w:left w:val="none" w:sz="0" w:space="0" w:color="auto"/>
        <w:bottom w:val="none" w:sz="0" w:space="0" w:color="auto"/>
        <w:right w:val="none" w:sz="0" w:space="0" w:color="auto"/>
      </w:divBdr>
    </w:div>
    <w:div w:id="1046100651">
      <w:bodyDiv w:val="1"/>
      <w:marLeft w:val="0"/>
      <w:marRight w:val="0"/>
      <w:marTop w:val="0"/>
      <w:marBottom w:val="0"/>
      <w:divBdr>
        <w:top w:val="none" w:sz="0" w:space="0" w:color="auto"/>
        <w:left w:val="none" w:sz="0" w:space="0" w:color="auto"/>
        <w:bottom w:val="none" w:sz="0" w:space="0" w:color="auto"/>
        <w:right w:val="none" w:sz="0" w:space="0" w:color="auto"/>
      </w:divBdr>
    </w:div>
    <w:div w:id="1050617266">
      <w:bodyDiv w:val="1"/>
      <w:marLeft w:val="0"/>
      <w:marRight w:val="0"/>
      <w:marTop w:val="0"/>
      <w:marBottom w:val="0"/>
      <w:divBdr>
        <w:top w:val="none" w:sz="0" w:space="0" w:color="auto"/>
        <w:left w:val="none" w:sz="0" w:space="0" w:color="auto"/>
        <w:bottom w:val="none" w:sz="0" w:space="0" w:color="auto"/>
        <w:right w:val="none" w:sz="0" w:space="0" w:color="auto"/>
      </w:divBdr>
    </w:div>
    <w:div w:id="1057240732">
      <w:bodyDiv w:val="1"/>
      <w:marLeft w:val="0"/>
      <w:marRight w:val="0"/>
      <w:marTop w:val="0"/>
      <w:marBottom w:val="0"/>
      <w:divBdr>
        <w:top w:val="none" w:sz="0" w:space="0" w:color="auto"/>
        <w:left w:val="none" w:sz="0" w:space="0" w:color="auto"/>
        <w:bottom w:val="none" w:sz="0" w:space="0" w:color="auto"/>
        <w:right w:val="none" w:sz="0" w:space="0" w:color="auto"/>
      </w:divBdr>
    </w:div>
    <w:div w:id="1060641262">
      <w:bodyDiv w:val="1"/>
      <w:marLeft w:val="0"/>
      <w:marRight w:val="0"/>
      <w:marTop w:val="0"/>
      <w:marBottom w:val="0"/>
      <w:divBdr>
        <w:top w:val="none" w:sz="0" w:space="0" w:color="auto"/>
        <w:left w:val="none" w:sz="0" w:space="0" w:color="auto"/>
        <w:bottom w:val="none" w:sz="0" w:space="0" w:color="auto"/>
        <w:right w:val="none" w:sz="0" w:space="0" w:color="auto"/>
      </w:divBdr>
    </w:div>
    <w:div w:id="1067336285">
      <w:bodyDiv w:val="1"/>
      <w:marLeft w:val="0"/>
      <w:marRight w:val="0"/>
      <w:marTop w:val="0"/>
      <w:marBottom w:val="0"/>
      <w:divBdr>
        <w:top w:val="none" w:sz="0" w:space="0" w:color="auto"/>
        <w:left w:val="none" w:sz="0" w:space="0" w:color="auto"/>
        <w:bottom w:val="none" w:sz="0" w:space="0" w:color="auto"/>
        <w:right w:val="none" w:sz="0" w:space="0" w:color="auto"/>
      </w:divBdr>
    </w:div>
    <w:div w:id="1072966180">
      <w:bodyDiv w:val="1"/>
      <w:marLeft w:val="0"/>
      <w:marRight w:val="0"/>
      <w:marTop w:val="0"/>
      <w:marBottom w:val="0"/>
      <w:divBdr>
        <w:top w:val="none" w:sz="0" w:space="0" w:color="auto"/>
        <w:left w:val="none" w:sz="0" w:space="0" w:color="auto"/>
        <w:bottom w:val="none" w:sz="0" w:space="0" w:color="auto"/>
        <w:right w:val="none" w:sz="0" w:space="0" w:color="auto"/>
      </w:divBdr>
    </w:div>
    <w:div w:id="1073241942">
      <w:bodyDiv w:val="1"/>
      <w:marLeft w:val="0"/>
      <w:marRight w:val="0"/>
      <w:marTop w:val="0"/>
      <w:marBottom w:val="0"/>
      <w:divBdr>
        <w:top w:val="none" w:sz="0" w:space="0" w:color="auto"/>
        <w:left w:val="none" w:sz="0" w:space="0" w:color="auto"/>
        <w:bottom w:val="none" w:sz="0" w:space="0" w:color="auto"/>
        <w:right w:val="none" w:sz="0" w:space="0" w:color="auto"/>
      </w:divBdr>
    </w:div>
    <w:div w:id="1077481296">
      <w:bodyDiv w:val="1"/>
      <w:marLeft w:val="0"/>
      <w:marRight w:val="0"/>
      <w:marTop w:val="0"/>
      <w:marBottom w:val="0"/>
      <w:divBdr>
        <w:top w:val="none" w:sz="0" w:space="0" w:color="auto"/>
        <w:left w:val="none" w:sz="0" w:space="0" w:color="auto"/>
        <w:bottom w:val="none" w:sz="0" w:space="0" w:color="auto"/>
        <w:right w:val="none" w:sz="0" w:space="0" w:color="auto"/>
      </w:divBdr>
    </w:div>
    <w:div w:id="1085152788">
      <w:bodyDiv w:val="1"/>
      <w:marLeft w:val="0"/>
      <w:marRight w:val="0"/>
      <w:marTop w:val="0"/>
      <w:marBottom w:val="0"/>
      <w:divBdr>
        <w:top w:val="none" w:sz="0" w:space="0" w:color="auto"/>
        <w:left w:val="none" w:sz="0" w:space="0" w:color="auto"/>
        <w:bottom w:val="none" w:sz="0" w:space="0" w:color="auto"/>
        <w:right w:val="none" w:sz="0" w:space="0" w:color="auto"/>
      </w:divBdr>
    </w:div>
    <w:div w:id="1086926534">
      <w:bodyDiv w:val="1"/>
      <w:marLeft w:val="0"/>
      <w:marRight w:val="0"/>
      <w:marTop w:val="0"/>
      <w:marBottom w:val="0"/>
      <w:divBdr>
        <w:top w:val="none" w:sz="0" w:space="0" w:color="auto"/>
        <w:left w:val="none" w:sz="0" w:space="0" w:color="auto"/>
        <w:bottom w:val="none" w:sz="0" w:space="0" w:color="auto"/>
        <w:right w:val="none" w:sz="0" w:space="0" w:color="auto"/>
      </w:divBdr>
    </w:div>
    <w:div w:id="1100226339">
      <w:bodyDiv w:val="1"/>
      <w:marLeft w:val="0"/>
      <w:marRight w:val="0"/>
      <w:marTop w:val="0"/>
      <w:marBottom w:val="0"/>
      <w:divBdr>
        <w:top w:val="none" w:sz="0" w:space="0" w:color="auto"/>
        <w:left w:val="none" w:sz="0" w:space="0" w:color="auto"/>
        <w:bottom w:val="none" w:sz="0" w:space="0" w:color="auto"/>
        <w:right w:val="none" w:sz="0" w:space="0" w:color="auto"/>
      </w:divBdr>
    </w:div>
    <w:div w:id="1100831289">
      <w:bodyDiv w:val="1"/>
      <w:marLeft w:val="0"/>
      <w:marRight w:val="0"/>
      <w:marTop w:val="0"/>
      <w:marBottom w:val="0"/>
      <w:divBdr>
        <w:top w:val="none" w:sz="0" w:space="0" w:color="auto"/>
        <w:left w:val="none" w:sz="0" w:space="0" w:color="auto"/>
        <w:bottom w:val="none" w:sz="0" w:space="0" w:color="auto"/>
        <w:right w:val="none" w:sz="0" w:space="0" w:color="auto"/>
      </w:divBdr>
    </w:div>
    <w:div w:id="1110248468">
      <w:bodyDiv w:val="1"/>
      <w:marLeft w:val="0"/>
      <w:marRight w:val="0"/>
      <w:marTop w:val="0"/>
      <w:marBottom w:val="0"/>
      <w:divBdr>
        <w:top w:val="none" w:sz="0" w:space="0" w:color="auto"/>
        <w:left w:val="none" w:sz="0" w:space="0" w:color="auto"/>
        <w:bottom w:val="none" w:sz="0" w:space="0" w:color="auto"/>
        <w:right w:val="none" w:sz="0" w:space="0" w:color="auto"/>
      </w:divBdr>
    </w:div>
    <w:div w:id="1111633220">
      <w:bodyDiv w:val="1"/>
      <w:marLeft w:val="0"/>
      <w:marRight w:val="0"/>
      <w:marTop w:val="0"/>
      <w:marBottom w:val="0"/>
      <w:divBdr>
        <w:top w:val="none" w:sz="0" w:space="0" w:color="auto"/>
        <w:left w:val="none" w:sz="0" w:space="0" w:color="auto"/>
        <w:bottom w:val="none" w:sz="0" w:space="0" w:color="auto"/>
        <w:right w:val="none" w:sz="0" w:space="0" w:color="auto"/>
      </w:divBdr>
    </w:div>
    <w:div w:id="1112944352">
      <w:bodyDiv w:val="1"/>
      <w:marLeft w:val="0"/>
      <w:marRight w:val="0"/>
      <w:marTop w:val="0"/>
      <w:marBottom w:val="0"/>
      <w:divBdr>
        <w:top w:val="none" w:sz="0" w:space="0" w:color="auto"/>
        <w:left w:val="none" w:sz="0" w:space="0" w:color="auto"/>
        <w:bottom w:val="none" w:sz="0" w:space="0" w:color="auto"/>
        <w:right w:val="none" w:sz="0" w:space="0" w:color="auto"/>
      </w:divBdr>
    </w:div>
    <w:div w:id="1118913443">
      <w:bodyDiv w:val="1"/>
      <w:marLeft w:val="0"/>
      <w:marRight w:val="0"/>
      <w:marTop w:val="0"/>
      <w:marBottom w:val="0"/>
      <w:divBdr>
        <w:top w:val="none" w:sz="0" w:space="0" w:color="auto"/>
        <w:left w:val="none" w:sz="0" w:space="0" w:color="auto"/>
        <w:bottom w:val="none" w:sz="0" w:space="0" w:color="auto"/>
        <w:right w:val="none" w:sz="0" w:space="0" w:color="auto"/>
      </w:divBdr>
    </w:div>
    <w:div w:id="1122263601">
      <w:bodyDiv w:val="1"/>
      <w:marLeft w:val="0"/>
      <w:marRight w:val="0"/>
      <w:marTop w:val="0"/>
      <w:marBottom w:val="0"/>
      <w:divBdr>
        <w:top w:val="none" w:sz="0" w:space="0" w:color="auto"/>
        <w:left w:val="none" w:sz="0" w:space="0" w:color="auto"/>
        <w:bottom w:val="none" w:sz="0" w:space="0" w:color="auto"/>
        <w:right w:val="none" w:sz="0" w:space="0" w:color="auto"/>
      </w:divBdr>
    </w:div>
    <w:div w:id="1126195252">
      <w:bodyDiv w:val="1"/>
      <w:marLeft w:val="0"/>
      <w:marRight w:val="0"/>
      <w:marTop w:val="0"/>
      <w:marBottom w:val="0"/>
      <w:divBdr>
        <w:top w:val="none" w:sz="0" w:space="0" w:color="auto"/>
        <w:left w:val="none" w:sz="0" w:space="0" w:color="auto"/>
        <w:bottom w:val="none" w:sz="0" w:space="0" w:color="auto"/>
        <w:right w:val="none" w:sz="0" w:space="0" w:color="auto"/>
      </w:divBdr>
    </w:div>
    <w:div w:id="1129513380">
      <w:bodyDiv w:val="1"/>
      <w:marLeft w:val="0"/>
      <w:marRight w:val="0"/>
      <w:marTop w:val="0"/>
      <w:marBottom w:val="0"/>
      <w:divBdr>
        <w:top w:val="none" w:sz="0" w:space="0" w:color="auto"/>
        <w:left w:val="none" w:sz="0" w:space="0" w:color="auto"/>
        <w:bottom w:val="none" w:sz="0" w:space="0" w:color="auto"/>
        <w:right w:val="none" w:sz="0" w:space="0" w:color="auto"/>
      </w:divBdr>
    </w:div>
    <w:div w:id="1133601409">
      <w:bodyDiv w:val="1"/>
      <w:marLeft w:val="0"/>
      <w:marRight w:val="0"/>
      <w:marTop w:val="0"/>
      <w:marBottom w:val="0"/>
      <w:divBdr>
        <w:top w:val="none" w:sz="0" w:space="0" w:color="auto"/>
        <w:left w:val="none" w:sz="0" w:space="0" w:color="auto"/>
        <w:bottom w:val="none" w:sz="0" w:space="0" w:color="auto"/>
        <w:right w:val="none" w:sz="0" w:space="0" w:color="auto"/>
      </w:divBdr>
    </w:div>
    <w:div w:id="1140607534">
      <w:bodyDiv w:val="1"/>
      <w:marLeft w:val="0"/>
      <w:marRight w:val="0"/>
      <w:marTop w:val="0"/>
      <w:marBottom w:val="0"/>
      <w:divBdr>
        <w:top w:val="none" w:sz="0" w:space="0" w:color="auto"/>
        <w:left w:val="none" w:sz="0" w:space="0" w:color="auto"/>
        <w:bottom w:val="none" w:sz="0" w:space="0" w:color="auto"/>
        <w:right w:val="none" w:sz="0" w:space="0" w:color="auto"/>
      </w:divBdr>
    </w:div>
    <w:div w:id="1142040614">
      <w:bodyDiv w:val="1"/>
      <w:marLeft w:val="0"/>
      <w:marRight w:val="0"/>
      <w:marTop w:val="0"/>
      <w:marBottom w:val="0"/>
      <w:divBdr>
        <w:top w:val="none" w:sz="0" w:space="0" w:color="auto"/>
        <w:left w:val="none" w:sz="0" w:space="0" w:color="auto"/>
        <w:bottom w:val="none" w:sz="0" w:space="0" w:color="auto"/>
        <w:right w:val="none" w:sz="0" w:space="0" w:color="auto"/>
      </w:divBdr>
    </w:div>
    <w:div w:id="1142191327">
      <w:bodyDiv w:val="1"/>
      <w:marLeft w:val="0"/>
      <w:marRight w:val="0"/>
      <w:marTop w:val="0"/>
      <w:marBottom w:val="0"/>
      <w:divBdr>
        <w:top w:val="none" w:sz="0" w:space="0" w:color="auto"/>
        <w:left w:val="none" w:sz="0" w:space="0" w:color="auto"/>
        <w:bottom w:val="none" w:sz="0" w:space="0" w:color="auto"/>
        <w:right w:val="none" w:sz="0" w:space="0" w:color="auto"/>
      </w:divBdr>
    </w:div>
    <w:div w:id="1171487710">
      <w:bodyDiv w:val="1"/>
      <w:marLeft w:val="0"/>
      <w:marRight w:val="0"/>
      <w:marTop w:val="0"/>
      <w:marBottom w:val="0"/>
      <w:divBdr>
        <w:top w:val="none" w:sz="0" w:space="0" w:color="auto"/>
        <w:left w:val="none" w:sz="0" w:space="0" w:color="auto"/>
        <w:bottom w:val="none" w:sz="0" w:space="0" w:color="auto"/>
        <w:right w:val="none" w:sz="0" w:space="0" w:color="auto"/>
      </w:divBdr>
    </w:div>
    <w:div w:id="1176307578">
      <w:bodyDiv w:val="1"/>
      <w:marLeft w:val="0"/>
      <w:marRight w:val="0"/>
      <w:marTop w:val="0"/>
      <w:marBottom w:val="0"/>
      <w:divBdr>
        <w:top w:val="none" w:sz="0" w:space="0" w:color="auto"/>
        <w:left w:val="none" w:sz="0" w:space="0" w:color="auto"/>
        <w:bottom w:val="none" w:sz="0" w:space="0" w:color="auto"/>
        <w:right w:val="none" w:sz="0" w:space="0" w:color="auto"/>
      </w:divBdr>
    </w:div>
    <w:div w:id="1184784641">
      <w:bodyDiv w:val="1"/>
      <w:marLeft w:val="0"/>
      <w:marRight w:val="0"/>
      <w:marTop w:val="0"/>
      <w:marBottom w:val="0"/>
      <w:divBdr>
        <w:top w:val="none" w:sz="0" w:space="0" w:color="auto"/>
        <w:left w:val="none" w:sz="0" w:space="0" w:color="auto"/>
        <w:bottom w:val="none" w:sz="0" w:space="0" w:color="auto"/>
        <w:right w:val="none" w:sz="0" w:space="0" w:color="auto"/>
      </w:divBdr>
    </w:div>
    <w:div w:id="1189830572">
      <w:bodyDiv w:val="1"/>
      <w:marLeft w:val="0"/>
      <w:marRight w:val="0"/>
      <w:marTop w:val="0"/>
      <w:marBottom w:val="0"/>
      <w:divBdr>
        <w:top w:val="none" w:sz="0" w:space="0" w:color="auto"/>
        <w:left w:val="none" w:sz="0" w:space="0" w:color="auto"/>
        <w:bottom w:val="none" w:sz="0" w:space="0" w:color="auto"/>
        <w:right w:val="none" w:sz="0" w:space="0" w:color="auto"/>
      </w:divBdr>
    </w:div>
    <w:div w:id="1191839027">
      <w:bodyDiv w:val="1"/>
      <w:marLeft w:val="0"/>
      <w:marRight w:val="0"/>
      <w:marTop w:val="0"/>
      <w:marBottom w:val="0"/>
      <w:divBdr>
        <w:top w:val="none" w:sz="0" w:space="0" w:color="auto"/>
        <w:left w:val="none" w:sz="0" w:space="0" w:color="auto"/>
        <w:bottom w:val="none" w:sz="0" w:space="0" w:color="auto"/>
        <w:right w:val="none" w:sz="0" w:space="0" w:color="auto"/>
      </w:divBdr>
    </w:div>
    <w:div w:id="1192647255">
      <w:bodyDiv w:val="1"/>
      <w:marLeft w:val="0"/>
      <w:marRight w:val="0"/>
      <w:marTop w:val="0"/>
      <w:marBottom w:val="0"/>
      <w:divBdr>
        <w:top w:val="none" w:sz="0" w:space="0" w:color="auto"/>
        <w:left w:val="none" w:sz="0" w:space="0" w:color="auto"/>
        <w:bottom w:val="none" w:sz="0" w:space="0" w:color="auto"/>
        <w:right w:val="none" w:sz="0" w:space="0" w:color="auto"/>
      </w:divBdr>
    </w:div>
    <w:div w:id="1195190474">
      <w:bodyDiv w:val="1"/>
      <w:marLeft w:val="0"/>
      <w:marRight w:val="0"/>
      <w:marTop w:val="0"/>
      <w:marBottom w:val="0"/>
      <w:divBdr>
        <w:top w:val="none" w:sz="0" w:space="0" w:color="auto"/>
        <w:left w:val="none" w:sz="0" w:space="0" w:color="auto"/>
        <w:bottom w:val="none" w:sz="0" w:space="0" w:color="auto"/>
        <w:right w:val="none" w:sz="0" w:space="0" w:color="auto"/>
      </w:divBdr>
    </w:div>
    <w:div w:id="1198156996">
      <w:bodyDiv w:val="1"/>
      <w:marLeft w:val="0"/>
      <w:marRight w:val="0"/>
      <w:marTop w:val="0"/>
      <w:marBottom w:val="0"/>
      <w:divBdr>
        <w:top w:val="none" w:sz="0" w:space="0" w:color="auto"/>
        <w:left w:val="none" w:sz="0" w:space="0" w:color="auto"/>
        <w:bottom w:val="none" w:sz="0" w:space="0" w:color="auto"/>
        <w:right w:val="none" w:sz="0" w:space="0" w:color="auto"/>
      </w:divBdr>
    </w:div>
    <w:div w:id="1200314731">
      <w:bodyDiv w:val="1"/>
      <w:marLeft w:val="0"/>
      <w:marRight w:val="0"/>
      <w:marTop w:val="0"/>
      <w:marBottom w:val="0"/>
      <w:divBdr>
        <w:top w:val="none" w:sz="0" w:space="0" w:color="auto"/>
        <w:left w:val="none" w:sz="0" w:space="0" w:color="auto"/>
        <w:bottom w:val="none" w:sz="0" w:space="0" w:color="auto"/>
        <w:right w:val="none" w:sz="0" w:space="0" w:color="auto"/>
      </w:divBdr>
    </w:div>
    <w:div w:id="1200701772">
      <w:bodyDiv w:val="1"/>
      <w:marLeft w:val="0"/>
      <w:marRight w:val="0"/>
      <w:marTop w:val="0"/>
      <w:marBottom w:val="0"/>
      <w:divBdr>
        <w:top w:val="none" w:sz="0" w:space="0" w:color="auto"/>
        <w:left w:val="none" w:sz="0" w:space="0" w:color="auto"/>
        <w:bottom w:val="none" w:sz="0" w:space="0" w:color="auto"/>
        <w:right w:val="none" w:sz="0" w:space="0" w:color="auto"/>
      </w:divBdr>
    </w:div>
    <w:div w:id="1220363612">
      <w:bodyDiv w:val="1"/>
      <w:marLeft w:val="0"/>
      <w:marRight w:val="0"/>
      <w:marTop w:val="0"/>
      <w:marBottom w:val="0"/>
      <w:divBdr>
        <w:top w:val="none" w:sz="0" w:space="0" w:color="auto"/>
        <w:left w:val="none" w:sz="0" w:space="0" w:color="auto"/>
        <w:bottom w:val="none" w:sz="0" w:space="0" w:color="auto"/>
        <w:right w:val="none" w:sz="0" w:space="0" w:color="auto"/>
      </w:divBdr>
    </w:div>
    <w:div w:id="1222596834">
      <w:bodyDiv w:val="1"/>
      <w:marLeft w:val="0"/>
      <w:marRight w:val="0"/>
      <w:marTop w:val="0"/>
      <w:marBottom w:val="0"/>
      <w:divBdr>
        <w:top w:val="none" w:sz="0" w:space="0" w:color="auto"/>
        <w:left w:val="none" w:sz="0" w:space="0" w:color="auto"/>
        <w:bottom w:val="none" w:sz="0" w:space="0" w:color="auto"/>
        <w:right w:val="none" w:sz="0" w:space="0" w:color="auto"/>
      </w:divBdr>
    </w:div>
    <w:div w:id="1225406760">
      <w:bodyDiv w:val="1"/>
      <w:marLeft w:val="0"/>
      <w:marRight w:val="0"/>
      <w:marTop w:val="0"/>
      <w:marBottom w:val="0"/>
      <w:divBdr>
        <w:top w:val="none" w:sz="0" w:space="0" w:color="auto"/>
        <w:left w:val="none" w:sz="0" w:space="0" w:color="auto"/>
        <w:bottom w:val="none" w:sz="0" w:space="0" w:color="auto"/>
        <w:right w:val="none" w:sz="0" w:space="0" w:color="auto"/>
      </w:divBdr>
    </w:div>
    <w:div w:id="1225989091">
      <w:bodyDiv w:val="1"/>
      <w:marLeft w:val="0"/>
      <w:marRight w:val="0"/>
      <w:marTop w:val="0"/>
      <w:marBottom w:val="0"/>
      <w:divBdr>
        <w:top w:val="none" w:sz="0" w:space="0" w:color="auto"/>
        <w:left w:val="none" w:sz="0" w:space="0" w:color="auto"/>
        <w:bottom w:val="none" w:sz="0" w:space="0" w:color="auto"/>
        <w:right w:val="none" w:sz="0" w:space="0" w:color="auto"/>
      </w:divBdr>
    </w:div>
    <w:div w:id="1227910395">
      <w:bodyDiv w:val="1"/>
      <w:marLeft w:val="0"/>
      <w:marRight w:val="0"/>
      <w:marTop w:val="0"/>
      <w:marBottom w:val="0"/>
      <w:divBdr>
        <w:top w:val="none" w:sz="0" w:space="0" w:color="auto"/>
        <w:left w:val="none" w:sz="0" w:space="0" w:color="auto"/>
        <w:bottom w:val="none" w:sz="0" w:space="0" w:color="auto"/>
        <w:right w:val="none" w:sz="0" w:space="0" w:color="auto"/>
      </w:divBdr>
    </w:div>
    <w:div w:id="1232960629">
      <w:bodyDiv w:val="1"/>
      <w:marLeft w:val="0"/>
      <w:marRight w:val="0"/>
      <w:marTop w:val="0"/>
      <w:marBottom w:val="0"/>
      <w:divBdr>
        <w:top w:val="none" w:sz="0" w:space="0" w:color="auto"/>
        <w:left w:val="none" w:sz="0" w:space="0" w:color="auto"/>
        <w:bottom w:val="none" w:sz="0" w:space="0" w:color="auto"/>
        <w:right w:val="none" w:sz="0" w:space="0" w:color="auto"/>
      </w:divBdr>
    </w:div>
    <w:div w:id="1238587888">
      <w:bodyDiv w:val="1"/>
      <w:marLeft w:val="0"/>
      <w:marRight w:val="0"/>
      <w:marTop w:val="0"/>
      <w:marBottom w:val="0"/>
      <w:divBdr>
        <w:top w:val="none" w:sz="0" w:space="0" w:color="auto"/>
        <w:left w:val="none" w:sz="0" w:space="0" w:color="auto"/>
        <w:bottom w:val="none" w:sz="0" w:space="0" w:color="auto"/>
        <w:right w:val="none" w:sz="0" w:space="0" w:color="auto"/>
      </w:divBdr>
    </w:div>
    <w:div w:id="1247039058">
      <w:bodyDiv w:val="1"/>
      <w:marLeft w:val="0"/>
      <w:marRight w:val="0"/>
      <w:marTop w:val="0"/>
      <w:marBottom w:val="0"/>
      <w:divBdr>
        <w:top w:val="none" w:sz="0" w:space="0" w:color="auto"/>
        <w:left w:val="none" w:sz="0" w:space="0" w:color="auto"/>
        <w:bottom w:val="none" w:sz="0" w:space="0" w:color="auto"/>
        <w:right w:val="none" w:sz="0" w:space="0" w:color="auto"/>
      </w:divBdr>
    </w:div>
    <w:div w:id="1249197686">
      <w:bodyDiv w:val="1"/>
      <w:marLeft w:val="0"/>
      <w:marRight w:val="0"/>
      <w:marTop w:val="0"/>
      <w:marBottom w:val="0"/>
      <w:divBdr>
        <w:top w:val="none" w:sz="0" w:space="0" w:color="auto"/>
        <w:left w:val="none" w:sz="0" w:space="0" w:color="auto"/>
        <w:bottom w:val="none" w:sz="0" w:space="0" w:color="auto"/>
        <w:right w:val="none" w:sz="0" w:space="0" w:color="auto"/>
      </w:divBdr>
    </w:div>
    <w:div w:id="1251309405">
      <w:bodyDiv w:val="1"/>
      <w:marLeft w:val="0"/>
      <w:marRight w:val="0"/>
      <w:marTop w:val="0"/>
      <w:marBottom w:val="0"/>
      <w:divBdr>
        <w:top w:val="none" w:sz="0" w:space="0" w:color="auto"/>
        <w:left w:val="none" w:sz="0" w:space="0" w:color="auto"/>
        <w:bottom w:val="none" w:sz="0" w:space="0" w:color="auto"/>
        <w:right w:val="none" w:sz="0" w:space="0" w:color="auto"/>
      </w:divBdr>
    </w:div>
    <w:div w:id="1254587904">
      <w:bodyDiv w:val="1"/>
      <w:marLeft w:val="0"/>
      <w:marRight w:val="0"/>
      <w:marTop w:val="0"/>
      <w:marBottom w:val="0"/>
      <w:divBdr>
        <w:top w:val="none" w:sz="0" w:space="0" w:color="auto"/>
        <w:left w:val="none" w:sz="0" w:space="0" w:color="auto"/>
        <w:bottom w:val="none" w:sz="0" w:space="0" w:color="auto"/>
        <w:right w:val="none" w:sz="0" w:space="0" w:color="auto"/>
      </w:divBdr>
    </w:div>
    <w:div w:id="1255823837">
      <w:bodyDiv w:val="1"/>
      <w:marLeft w:val="0"/>
      <w:marRight w:val="0"/>
      <w:marTop w:val="0"/>
      <w:marBottom w:val="0"/>
      <w:divBdr>
        <w:top w:val="none" w:sz="0" w:space="0" w:color="auto"/>
        <w:left w:val="none" w:sz="0" w:space="0" w:color="auto"/>
        <w:bottom w:val="none" w:sz="0" w:space="0" w:color="auto"/>
        <w:right w:val="none" w:sz="0" w:space="0" w:color="auto"/>
      </w:divBdr>
    </w:div>
    <w:div w:id="1256086176">
      <w:bodyDiv w:val="1"/>
      <w:marLeft w:val="0"/>
      <w:marRight w:val="0"/>
      <w:marTop w:val="0"/>
      <w:marBottom w:val="0"/>
      <w:divBdr>
        <w:top w:val="none" w:sz="0" w:space="0" w:color="auto"/>
        <w:left w:val="none" w:sz="0" w:space="0" w:color="auto"/>
        <w:bottom w:val="none" w:sz="0" w:space="0" w:color="auto"/>
        <w:right w:val="none" w:sz="0" w:space="0" w:color="auto"/>
      </w:divBdr>
    </w:div>
    <w:div w:id="1258711913">
      <w:bodyDiv w:val="1"/>
      <w:marLeft w:val="0"/>
      <w:marRight w:val="0"/>
      <w:marTop w:val="0"/>
      <w:marBottom w:val="0"/>
      <w:divBdr>
        <w:top w:val="none" w:sz="0" w:space="0" w:color="auto"/>
        <w:left w:val="none" w:sz="0" w:space="0" w:color="auto"/>
        <w:bottom w:val="none" w:sz="0" w:space="0" w:color="auto"/>
        <w:right w:val="none" w:sz="0" w:space="0" w:color="auto"/>
      </w:divBdr>
    </w:div>
    <w:div w:id="1264337536">
      <w:bodyDiv w:val="1"/>
      <w:marLeft w:val="0"/>
      <w:marRight w:val="0"/>
      <w:marTop w:val="0"/>
      <w:marBottom w:val="0"/>
      <w:divBdr>
        <w:top w:val="none" w:sz="0" w:space="0" w:color="auto"/>
        <w:left w:val="none" w:sz="0" w:space="0" w:color="auto"/>
        <w:bottom w:val="none" w:sz="0" w:space="0" w:color="auto"/>
        <w:right w:val="none" w:sz="0" w:space="0" w:color="auto"/>
      </w:divBdr>
    </w:div>
    <w:div w:id="1282224095">
      <w:bodyDiv w:val="1"/>
      <w:marLeft w:val="0"/>
      <w:marRight w:val="0"/>
      <w:marTop w:val="0"/>
      <w:marBottom w:val="0"/>
      <w:divBdr>
        <w:top w:val="none" w:sz="0" w:space="0" w:color="auto"/>
        <w:left w:val="none" w:sz="0" w:space="0" w:color="auto"/>
        <w:bottom w:val="none" w:sz="0" w:space="0" w:color="auto"/>
        <w:right w:val="none" w:sz="0" w:space="0" w:color="auto"/>
      </w:divBdr>
    </w:div>
    <w:div w:id="1284506500">
      <w:bodyDiv w:val="1"/>
      <w:marLeft w:val="0"/>
      <w:marRight w:val="0"/>
      <w:marTop w:val="0"/>
      <w:marBottom w:val="0"/>
      <w:divBdr>
        <w:top w:val="none" w:sz="0" w:space="0" w:color="auto"/>
        <w:left w:val="none" w:sz="0" w:space="0" w:color="auto"/>
        <w:bottom w:val="none" w:sz="0" w:space="0" w:color="auto"/>
        <w:right w:val="none" w:sz="0" w:space="0" w:color="auto"/>
      </w:divBdr>
    </w:div>
    <w:div w:id="1289118493">
      <w:bodyDiv w:val="1"/>
      <w:marLeft w:val="0"/>
      <w:marRight w:val="0"/>
      <w:marTop w:val="0"/>
      <w:marBottom w:val="0"/>
      <w:divBdr>
        <w:top w:val="none" w:sz="0" w:space="0" w:color="auto"/>
        <w:left w:val="none" w:sz="0" w:space="0" w:color="auto"/>
        <w:bottom w:val="none" w:sz="0" w:space="0" w:color="auto"/>
        <w:right w:val="none" w:sz="0" w:space="0" w:color="auto"/>
      </w:divBdr>
    </w:div>
    <w:div w:id="1294747163">
      <w:bodyDiv w:val="1"/>
      <w:marLeft w:val="0"/>
      <w:marRight w:val="0"/>
      <w:marTop w:val="0"/>
      <w:marBottom w:val="0"/>
      <w:divBdr>
        <w:top w:val="none" w:sz="0" w:space="0" w:color="auto"/>
        <w:left w:val="none" w:sz="0" w:space="0" w:color="auto"/>
        <w:bottom w:val="none" w:sz="0" w:space="0" w:color="auto"/>
        <w:right w:val="none" w:sz="0" w:space="0" w:color="auto"/>
      </w:divBdr>
    </w:div>
    <w:div w:id="1298610120">
      <w:bodyDiv w:val="1"/>
      <w:marLeft w:val="0"/>
      <w:marRight w:val="0"/>
      <w:marTop w:val="0"/>
      <w:marBottom w:val="0"/>
      <w:divBdr>
        <w:top w:val="none" w:sz="0" w:space="0" w:color="auto"/>
        <w:left w:val="none" w:sz="0" w:space="0" w:color="auto"/>
        <w:bottom w:val="none" w:sz="0" w:space="0" w:color="auto"/>
        <w:right w:val="none" w:sz="0" w:space="0" w:color="auto"/>
      </w:divBdr>
    </w:div>
    <w:div w:id="1304308595">
      <w:bodyDiv w:val="1"/>
      <w:marLeft w:val="0"/>
      <w:marRight w:val="0"/>
      <w:marTop w:val="0"/>
      <w:marBottom w:val="0"/>
      <w:divBdr>
        <w:top w:val="none" w:sz="0" w:space="0" w:color="auto"/>
        <w:left w:val="none" w:sz="0" w:space="0" w:color="auto"/>
        <w:bottom w:val="none" w:sz="0" w:space="0" w:color="auto"/>
        <w:right w:val="none" w:sz="0" w:space="0" w:color="auto"/>
      </w:divBdr>
    </w:div>
    <w:div w:id="1317494661">
      <w:bodyDiv w:val="1"/>
      <w:marLeft w:val="0"/>
      <w:marRight w:val="0"/>
      <w:marTop w:val="0"/>
      <w:marBottom w:val="0"/>
      <w:divBdr>
        <w:top w:val="none" w:sz="0" w:space="0" w:color="auto"/>
        <w:left w:val="none" w:sz="0" w:space="0" w:color="auto"/>
        <w:bottom w:val="none" w:sz="0" w:space="0" w:color="auto"/>
        <w:right w:val="none" w:sz="0" w:space="0" w:color="auto"/>
      </w:divBdr>
    </w:div>
    <w:div w:id="1320616553">
      <w:bodyDiv w:val="1"/>
      <w:marLeft w:val="0"/>
      <w:marRight w:val="0"/>
      <w:marTop w:val="0"/>
      <w:marBottom w:val="0"/>
      <w:divBdr>
        <w:top w:val="none" w:sz="0" w:space="0" w:color="auto"/>
        <w:left w:val="none" w:sz="0" w:space="0" w:color="auto"/>
        <w:bottom w:val="none" w:sz="0" w:space="0" w:color="auto"/>
        <w:right w:val="none" w:sz="0" w:space="0" w:color="auto"/>
      </w:divBdr>
    </w:div>
    <w:div w:id="1322810661">
      <w:bodyDiv w:val="1"/>
      <w:marLeft w:val="0"/>
      <w:marRight w:val="0"/>
      <w:marTop w:val="0"/>
      <w:marBottom w:val="0"/>
      <w:divBdr>
        <w:top w:val="none" w:sz="0" w:space="0" w:color="auto"/>
        <w:left w:val="none" w:sz="0" w:space="0" w:color="auto"/>
        <w:bottom w:val="none" w:sz="0" w:space="0" w:color="auto"/>
        <w:right w:val="none" w:sz="0" w:space="0" w:color="auto"/>
      </w:divBdr>
    </w:div>
    <w:div w:id="1323006140">
      <w:bodyDiv w:val="1"/>
      <w:marLeft w:val="0"/>
      <w:marRight w:val="0"/>
      <w:marTop w:val="0"/>
      <w:marBottom w:val="0"/>
      <w:divBdr>
        <w:top w:val="none" w:sz="0" w:space="0" w:color="auto"/>
        <w:left w:val="none" w:sz="0" w:space="0" w:color="auto"/>
        <w:bottom w:val="none" w:sz="0" w:space="0" w:color="auto"/>
        <w:right w:val="none" w:sz="0" w:space="0" w:color="auto"/>
      </w:divBdr>
    </w:div>
    <w:div w:id="1323659864">
      <w:bodyDiv w:val="1"/>
      <w:marLeft w:val="0"/>
      <w:marRight w:val="0"/>
      <w:marTop w:val="0"/>
      <w:marBottom w:val="0"/>
      <w:divBdr>
        <w:top w:val="none" w:sz="0" w:space="0" w:color="auto"/>
        <w:left w:val="none" w:sz="0" w:space="0" w:color="auto"/>
        <w:bottom w:val="none" w:sz="0" w:space="0" w:color="auto"/>
        <w:right w:val="none" w:sz="0" w:space="0" w:color="auto"/>
      </w:divBdr>
    </w:div>
    <w:div w:id="1324820982">
      <w:bodyDiv w:val="1"/>
      <w:marLeft w:val="0"/>
      <w:marRight w:val="0"/>
      <w:marTop w:val="0"/>
      <w:marBottom w:val="0"/>
      <w:divBdr>
        <w:top w:val="none" w:sz="0" w:space="0" w:color="auto"/>
        <w:left w:val="none" w:sz="0" w:space="0" w:color="auto"/>
        <w:bottom w:val="none" w:sz="0" w:space="0" w:color="auto"/>
        <w:right w:val="none" w:sz="0" w:space="0" w:color="auto"/>
      </w:divBdr>
    </w:div>
    <w:div w:id="1326936522">
      <w:bodyDiv w:val="1"/>
      <w:marLeft w:val="0"/>
      <w:marRight w:val="0"/>
      <w:marTop w:val="0"/>
      <w:marBottom w:val="0"/>
      <w:divBdr>
        <w:top w:val="none" w:sz="0" w:space="0" w:color="auto"/>
        <w:left w:val="none" w:sz="0" w:space="0" w:color="auto"/>
        <w:bottom w:val="none" w:sz="0" w:space="0" w:color="auto"/>
        <w:right w:val="none" w:sz="0" w:space="0" w:color="auto"/>
      </w:divBdr>
    </w:div>
    <w:div w:id="1330525055">
      <w:bodyDiv w:val="1"/>
      <w:marLeft w:val="0"/>
      <w:marRight w:val="0"/>
      <w:marTop w:val="0"/>
      <w:marBottom w:val="0"/>
      <w:divBdr>
        <w:top w:val="none" w:sz="0" w:space="0" w:color="auto"/>
        <w:left w:val="none" w:sz="0" w:space="0" w:color="auto"/>
        <w:bottom w:val="none" w:sz="0" w:space="0" w:color="auto"/>
        <w:right w:val="none" w:sz="0" w:space="0" w:color="auto"/>
      </w:divBdr>
    </w:div>
    <w:div w:id="1350913330">
      <w:bodyDiv w:val="1"/>
      <w:marLeft w:val="0"/>
      <w:marRight w:val="0"/>
      <w:marTop w:val="0"/>
      <w:marBottom w:val="0"/>
      <w:divBdr>
        <w:top w:val="none" w:sz="0" w:space="0" w:color="auto"/>
        <w:left w:val="none" w:sz="0" w:space="0" w:color="auto"/>
        <w:bottom w:val="none" w:sz="0" w:space="0" w:color="auto"/>
        <w:right w:val="none" w:sz="0" w:space="0" w:color="auto"/>
      </w:divBdr>
    </w:div>
    <w:div w:id="1350984508">
      <w:bodyDiv w:val="1"/>
      <w:marLeft w:val="0"/>
      <w:marRight w:val="0"/>
      <w:marTop w:val="0"/>
      <w:marBottom w:val="0"/>
      <w:divBdr>
        <w:top w:val="none" w:sz="0" w:space="0" w:color="auto"/>
        <w:left w:val="none" w:sz="0" w:space="0" w:color="auto"/>
        <w:bottom w:val="none" w:sz="0" w:space="0" w:color="auto"/>
        <w:right w:val="none" w:sz="0" w:space="0" w:color="auto"/>
      </w:divBdr>
    </w:div>
    <w:div w:id="1360549082">
      <w:bodyDiv w:val="1"/>
      <w:marLeft w:val="0"/>
      <w:marRight w:val="0"/>
      <w:marTop w:val="0"/>
      <w:marBottom w:val="0"/>
      <w:divBdr>
        <w:top w:val="none" w:sz="0" w:space="0" w:color="auto"/>
        <w:left w:val="none" w:sz="0" w:space="0" w:color="auto"/>
        <w:bottom w:val="none" w:sz="0" w:space="0" w:color="auto"/>
        <w:right w:val="none" w:sz="0" w:space="0" w:color="auto"/>
      </w:divBdr>
    </w:div>
    <w:div w:id="1361784852">
      <w:bodyDiv w:val="1"/>
      <w:marLeft w:val="0"/>
      <w:marRight w:val="0"/>
      <w:marTop w:val="0"/>
      <w:marBottom w:val="0"/>
      <w:divBdr>
        <w:top w:val="none" w:sz="0" w:space="0" w:color="auto"/>
        <w:left w:val="none" w:sz="0" w:space="0" w:color="auto"/>
        <w:bottom w:val="none" w:sz="0" w:space="0" w:color="auto"/>
        <w:right w:val="none" w:sz="0" w:space="0" w:color="auto"/>
      </w:divBdr>
    </w:div>
    <w:div w:id="1368064841">
      <w:bodyDiv w:val="1"/>
      <w:marLeft w:val="0"/>
      <w:marRight w:val="0"/>
      <w:marTop w:val="0"/>
      <w:marBottom w:val="0"/>
      <w:divBdr>
        <w:top w:val="none" w:sz="0" w:space="0" w:color="auto"/>
        <w:left w:val="none" w:sz="0" w:space="0" w:color="auto"/>
        <w:bottom w:val="none" w:sz="0" w:space="0" w:color="auto"/>
        <w:right w:val="none" w:sz="0" w:space="0" w:color="auto"/>
      </w:divBdr>
    </w:div>
    <w:div w:id="1383213674">
      <w:bodyDiv w:val="1"/>
      <w:marLeft w:val="0"/>
      <w:marRight w:val="0"/>
      <w:marTop w:val="0"/>
      <w:marBottom w:val="0"/>
      <w:divBdr>
        <w:top w:val="none" w:sz="0" w:space="0" w:color="auto"/>
        <w:left w:val="none" w:sz="0" w:space="0" w:color="auto"/>
        <w:bottom w:val="none" w:sz="0" w:space="0" w:color="auto"/>
        <w:right w:val="none" w:sz="0" w:space="0" w:color="auto"/>
      </w:divBdr>
    </w:div>
    <w:div w:id="1383670812">
      <w:bodyDiv w:val="1"/>
      <w:marLeft w:val="0"/>
      <w:marRight w:val="0"/>
      <w:marTop w:val="0"/>
      <w:marBottom w:val="0"/>
      <w:divBdr>
        <w:top w:val="none" w:sz="0" w:space="0" w:color="auto"/>
        <w:left w:val="none" w:sz="0" w:space="0" w:color="auto"/>
        <w:bottom w:val="none" w:sz="0" w:space="0" w:color="auto"/>
        <w:right w:val="none" w:sz="0" w:space="0" w:color="auto"/>
      </w:divBdr>
    </w:div>
    <w:div w:id="1390496546">
      <w:bodyDiv w:val="1"/>
      <w:marLeft w:val="0"/>
      <w:marRight w:val="0"/>
      <w:marTop w:val="0"/>
      <w:marBottom w:val="0"/>
      <w:divBdr>
        <w:top w:val="none" w:sz="0" w:space="0" w:color="auto"/>
        <w:left w:val="none" w:sz="0" w:space="0" w:color="auto"/>
        <w:bottom w:val="none" w:sz="0" w:space="0" w:color="auto"/>
        <w:right w:val="none" w:sz="0" w:space="0" w:color="auto"/>
      </w:divBdr>
    </w:div>
    <w:div w:id="1393966180">
      <w:bodyDiv w:val="1"/>
      <w:marLeft w:val="0"/>
      <w:marRight w:val="0"/>
      <w:marTop w:val="0"/>
      <w:marBottom w:val="0"/>
      <w:divBdr>
        <w:top w:val="none" w:sz="0" w:space="0" w:color="auto"/>
        <w:left w:val="none" w:sz="0" w:space="0" w:color="auto"/>
        <w:bottom w:val="none" w:sz="0" w:space="0" w:color="auto"/>
        <w:right w:val="none" w:sz="0" w:space="0" w:color="auto"/>
      </w:divBdr>
    </w:div>
    <w:div w:id="1396665271">
      <w:bodyDiv w:val="1"/>
      <w:marLeft w:val="0"/>
      <w:marRight w:val="0"/>
      <w:marTop w:val="0"/>
      <w:marBottom w:val="0"/>
      <w:divBdr>
        <w:top w:val="none" w:sz="0" w:space="0" w:color="auto"/>
        <w:left w:val="none" w:sz="0" w:space="0" w:color="auto"/>
        <w:bottom w:val="none" w:sz="0" w:space="0" w:color="auto"/>
        <w:right w:val="none" w:sz="0" w:space="0" w:color="auto"/>
      </w:divBdr>
    </w:div>
    <w:div w:id="1407998787">
      <w:bodyDiv w:val="1"/>
      <w:marLeft w:val="0"/>
      <w:marRight w:val="0"/>
      <w:marTop w:val="0"/>
      <w:marBottom w:val="0"/>
      <w:divBdr>
        <w:top w:val="none" w:sz="0" w:space="0" w:color="auto"/>
        <w:left w:val="none" w:sz="0" w:space="0" w:color="auto"/>
        <w:bottom w:val="none" w:sz="0" w:space="0" w:color="auto"/>
        <w:right w:val="none" w:sz="0" w:space="0" w:color="auto"/>
      </w:divBdr>
    </w:div>
    <w:div w:id="1409230523">
      <w:bodyDiv w:val="1"/>
      <w:marLeft w:val="0"/>
      <w:marRight w:val="0"/>
      <w:marTop w:val="0"/>
      <w:marBottom w:val="0"/>
      <w:divBdr>
        <w:top w:val="none" w:sz="0" w:space="0" w:color="auto"/>
        <w:left w:val="none" w:sz="0" w:space="0" w:color="auto"/>
        <w:bottom w:val="none" w:sz="0" w:space="0" w:color="auto"/>
        <w:right w:val="none" w:sz="0" w:space="0" w:color="auto"/>
      </w:divBdr>
      <w:divsChild>
        <w:div w:id="724721486">
          <w:marLeft w:val="0"/>
          <w:marRight w:val="0"/>
          <w:marTop w:val="0"/>
          <w:marBottom w:val="0"/>
          <w:divBdr>
            <w:top w:val="none" w:sz="0" w:space="0" w:color="auto"/>
            <w:left w:val="none" w:sz="0" w:space="0" w:color="auto"/>
            <w:bottom w:val="none" w:sz="0" w:space="0" w:color="auto"/>
            <w:right w:val="none" w:sz="0" w:space="0" w:color="auto"/>
          </w:divBdr>
          <w:divsChild>
            <w:div w:id="948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311">
      <w:bodyDiv w:val="1"/>
      <w:marLeft w:val="0"/>
      <w:marRight w:val="0"/>
      <w:marTop w:val="0"/>
      <w:marBottom w:val="0"/>
      <w:divBdr>
        <w:top w:val="none" w:sz="0" w:space="0" w:color="auto"/>
        <w:left w:val="none" w:sz="0" w:space="0" w:color="auto"/>
        <w:bottom w:val="none" w:sz="0" w:space="0" w:color="auto"/>
        <w:right w:val="none" w:sz="0" w:space="0" w:color="auto"/>
      </w:divBdr>
    </w:div>
    <w:div w:id="1443651120">
      <w:bodyDiv w:val="1"/>
      <w:marLeft w:val="0"/>
      <w:marRight w:val="0"/>
      <w:marTop w:val="0"/>
      <w:marBottom w:val="0"/>
      <w:divBdr>
        <w:top w:val="none" w:sz="0" w:space="0" w:color="auto"/>
        <w:left w:val="none" w:sz="0" w:space="0" w:color="auto"/>
        <w:bottom w:val="none" w:sz="0" w:space="0" w:color="auto"/>
        <w:right w:val="none" w:sz="0" w:space="0" w:color="auto"/>
      </w:divBdr>
    </w:div>
    <w:div w:id="1444497118">
      <w:bodyDiv w:val="1"/>
      <w:marLeft w:val="0"/>
      <w:marRight w:val="0"/>
      <w:marTop w:val="0"/>
      <w:marBottom w:val="0"/>
      <w:divBdr>
        <w:top w:val="none" w:sz="0" w:space="0" w:color="auto"/>
        <w:left w:val="none" w:sz="0" w:space="0" w:color="auto"/>
        <w:bottom w:val="none" w:sz="0" w:space="0" w:color="auto"/>
        <w:right w:val="none" w:sz="0" w:space="0" w:color="auto"/>
      </w:divBdr>
    </w:div>
    <w:div w:id="1445465744">
      <w:bodyDiv w:val="1"/>
      <w:marLeft w:val="0"/>
      <w:marRight w:val="0"/>
      <w:marTop w:val="0"/>
      <w:marBottom w:val="0"/>
      <w:divBdr>
        <w:top w:val="none" w:sz="0" w:space="0" w:color="auto"/>
        <w:left w:val="none" w:sz="0" w:space="0" w:color="auto"/>
        <w:bottom w:val="none" w:sz="0" w:space="0" w:color="auto"/>
        <w:right w:val="none" w:sz="0" w:space="0" w:color="auto"/>
      </w:divBdr>
    </w:div>
    <w:div w:id="1451781219">
      <w:bodyDiv w:val="1"/>
      <w:marLeft w:val="0"/>
      <w:marRight w:val="0"/>
      <w:marTop w:val="0"/>
      <w:marBottom w:val="0"/>
      <w:divBdr>
        <w:top w:val="none" w:sz="0" w:space="0" w:color="auto"/>
        <w:left w:val="none" w:sz="0" w:space="0" w:color="auto"/>
        <w:bottom w:val="none" w:sz="0" w:space="0" w:color="auto"/>
        <w:right w:val="none" w:sz="0" w:space="0" w:color="auto"/>
      </w:divBdr>
      <w:divsChild>
        <w:div w:id="1069615354">
          <w:marLeft w:val="0"/>
          <w:marRight w:val="0"/>
          <w:marTop w:val="0"/>
          <w:marBottom w:val="0"/>
          <w:divBdr>
            <w:top w:val="none" w:sz="0" w:space="0" w:color="auto"/>
            <w:left w:val="none" w:sz="0" w:space="0" w:color="auto"/>
            <w:bottom w:val="none" w:sz="0" w:space="0" w:color="auto"/>
            <w:right w:val="none" w:sz="0" w:space="0" w:color="auto"/>
          </w:divBdr>
          <w:divsChild>
            <w:div w:id="963537232">
              <w:marLeft w:val="0"/>
              <w:marRight w:val="0"/>
              <w:marTop w:val="0"/>
              <w:marBottom w:val="0"/>
              <w:divBdr>
                <w:top w:val="none" w:sz="0" w:space="0" w:color="auto"/>
                <w:left w:val="none" w:sz="0" w:space="0" w:color="auto"/>
                <w:bottom w:val="none" w:sz="0" w:space="0" w:color="auto"/>
                <w:right w:val="none" w:sz="0" w:space="0" w:color="auto"/>
              </w:divBdr>
            </w:div>
            <w:div w:id="16861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5247">
      <w:bodyDiv w:val="1"/>
      <w:marLeft w:val="0"/>
      <w:marRight w:val="0"/>
      <w:marTop w:val="0"/>
      <w:marBottom w:val="0"/>
      <w:divBdr>
        <w:top w:val="none" w:sz="0" w:space="0" w:color="auto"/>
        <w:left w:val="none" w:sz="0" w:space="0" w:color="auto"/>
        <w:bottom w:val="none" w:sz="0" w:space="0" w:color="auto"/>
        <w:right w:val="none" w:sz="0" w:space="0" w:color="auto"/>
      </w:divBdr>
    </w:div>
    <w:div w:id="1480225488">
      <w:bodyDiv w:val="1"/>
      <w:marLeft w:val="0"/>
      <w:marRight w:val="0"/>
      <w:marTop w:val="0"/>
      <w:marBottom w:val="0"/>
      <w:divBdr>
        <w:top w:val="none" w:sz="0" w:space="0" w:color="auto"/>
        <w:left w:val="none" w:sz="0" w:space="0" w:color="auto"/>
        <w:bottom w:val="none" w:sz="0" w:space="0" w:color="auto"/>
        <w:right w:val="none" w:sz="0" w:space="0" w:color="auto"/>
      </w:divBdr>
    </w:div>
    <w:div w:id="1491210183">
      <w:bodyDiv w:val="1"/>
      <w:marLeft w:val="0"/>
      <w:marRight w:val="0"/>
      <w:marTop w:val="0"/>
      <w:marBottom w:val="0"/>
      <w:divBdr>
        <w:top w:val="none" w:sz="0" w:space="0" w:color="auto"/>
        <w:left w:val="none" w:sz="0" w:space="0" w:color="auto"/>
        <w:bottom w:val="none" w:sz="0" w:space="0" w:color="auto"/>
        <w:right w:val="none" w:sz="0" w:space="0" w:color="auto"/>
      </w:divBdr>
      <w:divsChild>
        <w:div w:id="777792254">
          <w:marLeft w:val="0"/>
          <w:marRight w:val="0"/>
          <w:marTop w:val="0"/>
          <w:marBottom w:val="0"/>
          <w:divBdr>
            <w:top w:val="none" w:sz="0" w:space="0" w:color="auto"/>
            <w:left w:val="none" w:sz="0" w:space="0" w:color="auto"/>
            <w:bottom w:val="none" w:sz="0" w:space="0" w:color="auto"/>
            <w:right w:val="none" w:sz="0" w:space="0" w:color="auto"/>
          </w:divBdr>
        </w:div>
      </w:divsChild>
    </w:div>
    <w:div w:id="1497108731">
      <w:bodyDiv w:val="1"/>
      <w:marLeft w:val="0"/>
      <w:marRight w:val="0"/>
      <w:marTop w:val="0"/>
      <w:marBottom w:val="0"/>
      <w:divBdr>
        <w:top w:val="none" w:sz="0" w:space="0" w:color="auto"/>
        <w:left w:val="none" w:sz="0" w:space="0" w:color="auto"/>
        <w:bottom w:val="none" w:sz="0" w:space="0" w:color="auto"/>
        <w:right w:val="none" w:sz="0" w:space="0" w:color="auto"/>
      </w:divBdr>
    </w:div>
    <w:div w:id="1500343764">
      <w:bodyDiv w:val="1"/>
      <w:marLeft w:val="0"/>
      <w:marRight w:val="0"/>
      <w:marTop w:val="0"/>
      <w:marBottom w:val="0"/>
      <w:divBdr>
        <w:top w:val="none" w:sz="0" w:space="0" w:color="auto"/>
        <w:left w:val="none" w:sz="0" w:space="0" w:color="auto"/>
        <w:bottom w:val="none" w:sz="0" w:space="0" w:color="auto"/>
        <w:right w:val="none" w:sz="0" w:space="0" w:color="auto"/>
      </w:divBdr>
    </w:div>
    <w:div w:id="1500539148">
      <w:bodyDiv w:val="1"/>
      <w:marLeft w:val="0"/>
      <w:marRight w:val="0"/>
      <w:marTop w:val="0"/>
      <w:marBottom w:val="0"/>
      <w:divBdr>
        <w:top w:val="none" w:sz="0" w:space="0" w:color="auto"/>
        <w:left w:val="none" w:sz="0" w:space="0" w:color="auto"/>
        <w:bottom w:val="none" w:sz="0" w:space="0" w:color="auto"/>
        <w:right w:val="none" w:sz="0" w:space="0" w:color="auto"/>
      </w:divBdr>
    </w:div>
    <w:div w:id="1506628748">
      <w:bodyDiv w:val="1"/>
      <w:marLeft w:val="0"/>
      <w:marRight w:val="0"/>
      <w:marTop w:val="0"/>
      <w:marBottom w:val="0"/>
      <w:divBdr>
        <w:top w:val="none" w:sz="0" w:space="0" w:color="auto"/>
        <w:left w:val="none" w:sz="0" w:space="0" w:color="auto"/>
        <w:bottom w:val="none" w:sz="0" w:space="0" w:color="auto"/>
        <w:right w:val="none" w:sz="0" w:space="0" w:color="auto"/>
      </w:divBdr>
    </w:div>
    <w:div w:id="1510828626">
      <w:bodyDiv w:val="1"/>
      <w:marLeft w:val="0"/>
      <w:marRight w:val="0"/>
      <w:marTop w:val="0"/>
      <w:marBottom w:val="0"/>
      <w:divBdr>
        <w:top w:val="none" w:sz="0" w:space="0" w:color="auto"/>
        <w:left w:val="none" w:sz="0" w:space="0" w:color="auto"/>
        <w:bottom w:val="none" w:sz="0" w:space="0" w:color="auto"/>
        <w:right w:val="none" w:sz="0" w:space="0" w:color="auto"/>
      </w:divBdr>
      <w:divsChild>
        <w:div w:id="1164928316">
          <w:marLeft w:val="0"/>
          <w:marRight w:val="0"/>
          <w:marTop w:val="0"/>
          <w:marBottom w:val="0"/>
          <w:divBdr>
            <w:top w:val="none" w:sz="0" w:space="0" w:color="auto"/>
            <w:left w:val="none" w:sz="0" w:space="0" w:color="auto"/>
            <w:bottom w:val="none" w:sz="0" w:space="0" w:color="auto"/>
            <w:right w:val="none" w:sz="0" w:space="0" w:color="auto"/>
          </w:divBdr>
          <w:divsChild>
            <w:div w:id="500395938">
              <w:marLeft w:val="2669"/>
              <w:marRight w:val="198"/>
              <w:marTop w:val="0"/>
              <w:marBottom w:val="264"/>
              <w:divBdr>
                <w:top w:val="none" w:sz="0" w:space="0" w:color="auto"/>
                <w:left w:val="none" w:sz="0" w:space="0" w:color="auto"/>
                <w:bottom w:val="none" w:sz="0" w:space="0" w:color="auto"/>
                <w:right w:val="none" w:sz="0" w:space="0" w:color="auto"/>
              </w:divBdr>
              <w:divsChild>
                <w:div w:id="1728260290">
                  <w:marLeft w:val="0"/>
                  <w:marRight w:val="0"/>
                  <w:marTop w:val="0"/>
                  <w:marBottom w:val="0"/>
                  <w:divBdr>
                    <w:top w:val="none" w:sz="0" w:space="0" w:color="auto"/>
                    <w:left w:val="single" w:sz="4" w:space="0" w:color="000000"/>
                    <w:bottom w:val="single" w:sz="4" w:space="0" w:color="000000"/>
                    <w:right w:val="single" w:sz="4" w:space="0" w:color="000000"/>
                  </w:divBdr>
                  <w:divsChild>
                    <w:div w:id="1417168650">
                      <w:marLeft w:val="0"/>
                      <w:marRight w:val="0"/>
                      <w:marTop w:val="0"/>
                      <w:marBottom w:val="264"/>
                      <w:divBdr>
                        <w:top w:val="none" w:sz="0" w:space="0" w:color="auto"/>
                        <w:left w:val="none" w:sz="0" w:space="0" w:color="auto"/>
                        <w:bottom w:val="none" w:sz="0" w:space="0" w:color="auto"/>
                        <w:right w:val="none" w:sz="0" w:space="0" w:color="auto"/>
                      </w:divBdr>
                      <w:divsChild>
                        <w:div w:id="1629314574">
                          <w:marLeft w:val="0"/>
                          <w:marRight w:val="0"/>
                          <w:marTop w:val="0"/>
                          <w:marBottom w:val="0"/>
                          <w:divBdr>
                            <w:top w:val="none" w:sz="0" w:space="0" w:color="auto"/>
                            <w:left w:val="none" w:sz="0" w:space="0" w:color="auto"/>
                            <w:bottom w:val="none" w:sz="0" w:space="0" w:color="auto"/>
                            <w:right w:val="none" w:sz="0" w:space="0" w:color="auto"/>
                          </w:divBdr>
                          <w:divsChild>
                            <w:div w:id="340936775">
                              <w:marLeft w:val="0"/>
                              <w:marRight w:val="0"/>
                              <w:marTop w:val="0"/>
                              <w:marBottom w:val="0"/>
                              <w:divBdr>
                                <w:top w:val="none" w:sz="0" w:space="0" w:color="auto"/>
                                <w:left w:val="none" w:sz="0" w:space="0" w:color="auto"/>
                                <w:bottom w:val="none" w:sz="0" w:space="0" w:color="auto"/>
                                <w:right w:val="none" w:sz="0" w:space="0" w:color="auto"/>
                              </w:divBdr>
                              <w:divsChild>
                                <w:div w:id="2106143791">
                                  <w:marLeft w:val="0"/>
                                  <w:marRight w:val="0"/>
                                  <w:marTop w:val="0"/>
                                  <w:marBottom w:val="0"/>
                                  <w:divBdr>
                                    <w:top w:val="none" w:sz="0" w:space="0" w:color="auto"/>
                                    <w:left w:val="none" w:sz="0" w:space="0" w:color="auto"/>
                                    <w:bottom w:val="none" w:sz="0" w:space="0" w:color="auto"/>
                                    <w:right w:val="none" w:sz="0" w:space="0" w:color="auto"/>
                                  </w:divBdr>
                                  <w:divsChild>
                                    <w:div w:id="109009186">
                                      <w:marLeft w:val="0"/>
                                      <w:marRight w:val="0"/>
                                      <w:marTop w:val="132"/>
                                      <w:marBottom w:val="132"/>
                                      <w:divBdr>
                                        <w:top w:val="none" w:sz="0" w:space="0" w:color="auto"/>
                                        <w:left w:val="none" w:sz="0" w:space="0" w:color="auto"/>
                                        <w:bottom w:val="none" w:sz="0" w:space="0" w:color="auto"/>
                                        <w:right w:val="none" w:sz="0" w:space="0" w:color="auto"/>
                                      </w:divBdr>
                                      <w:divsChild>
                                        <w:div w:id="296422656">
                                          <w:marLeft w:val="264"/>
                                          <w:marRight w:val="0"/>
                                          <w:marTop w:val="66"/>
                                          <w:marBottom w:val="0"/>
                                          <w:divBdr>
                                            <w:top w:val="none" w:sz="0" w:space="0" w:color="auto"/>
                                            <w:left w:val="none" w:sz="0" w:space="0" w:color="auto"/>
                                            <w:bottom w:val="none" w:sz="0" w:space="0" w:color="auto"/>
                                            <w:right w:val="none" w:sz="0" w:space="0" w:color="auto"/>
                                          </w:divBdr>
                                          <w:divsChild>
                                            <w:div w:id="1972519858">
                                              <w:marLeft w:val="661"/>
                                              <w:marRight w:val="0"/>
                                              <w:marTop w:val="0"/>
                                              <w:marBottom w:val="0"/>
                                              <w:divBdr>
                                                <w:top w:val="none" w:sz="0" w:space="0" w:color="auto"/>
                                                <w:left w:val="none" w:sz="0" w:space="0" w:color="auto"/>
                                                <w:bottom w:val="none" w:sz="0" w:space="0" w:color="auto"/>
                                                <w:right w:val="none" w:sz="0" w:space="0" w:color="auto"/>
                                              </w:divBdr>
                                            </w:div>
                                          </w:divsChild>
                                        </w:div>
                                        <w:div w:id="2046633883">
                                          <w:marLeft w:val="264"/>
                                          <w:marRight w:val="0"/>
                                          <w:marTop w:val="66"/>
                                          <w:marBottom w:val="0"/>
                                          <w:divBdr>
                                            <w:top w:val="none" w:sz="0" w:space="0" w:color="auto"/>
                                            <w:left w:val="none" w:sz="0" w:space="0" w:color="auto"/>
                                            <w:bottom w:val="none" w:sz="0" w:space="0" w:color="auto"/>
                                            <w:right w:val="none" w:sz="0" w:space="0" w:color="auto"/>
                                          </w:divBdr>
                                          <w:divsChild>
                                            <w:div w:id="1268732316">
                                              <w:marLeft w:val="6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139220">
      <w:bodyDiv w:val="1"/>
      <w:marLeft w:val="0"/>
      <w:marRight w:val="0"/>
      <w:marTop w:val="0"/>
      <w:marBottom w:val="0"/>
      <w:divBdr>
        <w:top w:val="none" w:sz="0" w:space="0" w:color="auto"/>
        <w:left w:val="none" w:sz="0" w:space="0" w:color="auto"/>
        <w:bottom w:val="none" w:sz="0" w:space="0" w:color="auto"/>
        <w:right w:val="none" w:sz="0" w:space="0" w:color="auto"/>
      </w:divBdr>
      <w:divsChild>
        <w:div w:id="273051611">
          <w:marLeft w:val="0"/>
          <w:marRight w:val="0"/>
          <w:marTop w:val="0"/>
          <w:marBottom w:val="0"/>
          <w:divBdr>
            <w:top w:val="none" w:sz="0" w:space="0" w:color="auto"/>
            <w:left w:val="none" w:sz="0" w:space="0" w:color="auto"/>
            <w:bottom w:val="none" w:sz="0" w:space="0" w:color="auto"/>
            <w:right w:val="none" w:sz="0" w:space="0" w:color="auto"/>
          </w:divBdr>
          <w:divsChild>
            <w:div w:id="25452010">
              <w:marLeft w:val="0"/>
              <w:marRight w:val="0"/>
              <w:marTop w:val="0"/>
              <w:marBottom w:val="0"/>
              <w:divBdr>
                <w:top w:val="none" w:sz="0" w:space="0" w:color="auto"/>
                <w:left w:val="none" w:sz="0" w:space="0" w:color="auto"/>
                <w:bottom w:val="none" w:sz="0" w:space="0" w:color="auto"/>
                <w:right w:val="none" w:sz="0" w:space="0" w:color="auto"/>
              </w:divBdr>
              <w:divsChild>
                <w:div w:id="219445006">
                  <w:marLeft w:val="0"/>
                  <w:marRight w:val="0"/>
                  <w:marTop w:val="0"/>
                  <w:marBottom w:val="0"/>
                  <w:divBdr>
                    <w:top w:val="none" w:sz="0" w:space="0" w:color="auto"/>
                    <w:left w:val="none" w:sz="0" w:space="0" w:color="auto"/>
                    <w:bottom w:val="none" w:sz="0" w:space="0" w:color="auto"/>
                    <w:right w:val="none" w:sz="0" w:space="0" w:color="auto"/>
                  </w:divBdr>
                  <w:divsChild>
                    <w:div w:id="1524976879">
                      <w:marLeft w:val="0"/>
                      <w:marRight w:val="0"/>
                      <w:marTop w:val="0"/>
                      <w:marBottom w:val="0"/>
                      <w:divBdr>
                        <w:top w:val="none" w:sz="0" w:space="0" w:color="auto"/>
                        <w:left w:val="none" w:sz="0" w:space="0" w:color="auto"/>
                        <w:bottom w:val="none" w:sz="0" w:space="0" w:color="auto"/>
                        <w:right w:val="none" w:sz="0" w:space="0" w:color="auto"/>
                      </w:divBdr>
                      <w:divsChild>
                        <w:div w:id="337269044">
                          <w:marLeft w:val="0"/>
                          <w:marRight w:val="0"/>
                          <w:marTop w:val="0"/>
                          <w:marBottom w:val="0"/>
                          <w:divBdr>
                            <w:top w:val="none" w:sz="0" w:space="0" w:color="auto"/>
                            <w:left w:val="none" w:sz="0" w:space="0" w:color="auto"/>
                            <w:bottom w:val="none" w:sz="0" w:space="0" w:color="auto"/>
                            <w:right w:val="none" w:sz="0" w:space="0" w:color="auto"/>
                          </w:divBdr>
                          <w:divsChild>
                            <w:div w:id="1914781300">
                              <w:marLeft w:val="0"/>
                              <w:marRight w:val="0"/>
                              <w:marTop w:val="0"/>
                              <w:marBottom w:val="0"/>
                              <w:divBdr>
                                <w:top w:val="none" w:sz="0" w:space="0" w:color="auto"/>
                                <w:left w:val="none" w:sz="0" w:space="0" w:color="auto"/>
                                <w:bottom w:val="none" w:sz="0" w:space="0" w:color="auto"/>
                                <w:right w:val="none" w:sz="0" w:space="0" w:color="auto"/>
                              </w:divBdr>
                              <w:divsChild>
                                <w:div w:id="477384579">
                                  <w:marLeft w:val="0"/>
                                  <w:marRight w:val="0"/>
                                  <w:marTop w:val="0"/>
                                  <w:marBottom w:val="0"/>
                                  <w:divBdr>
                                    <w:top w:val="none" w:sz="0" w:space="0" w:color="auto"/>
                                    <w:left w:val="none" w:sz="0" w:space="0" w:color="auto"/>
                                    <w:bottom w:val="none" w:sz="0" w:space="0" w:color="auto"/>
                                    <w:right w:val="none" w:sz="0" w:space="0" w:color="auto"/>
                                  </w:divBdr>
                                  <w:divsChild>
                                    <w:div w:id="1593393437">
                                      <w:marLeft w:val="0"/>
                                      <w:marRight w:val="0"/>
                                      <w:marTop w:val="0"/>
                                      <w:marBottom w:val="0"/>
                                      <w:divBdr>
                                        <w:top w:val="none" w:sz="0" w:space="0" w:color="auto"/>
                                        <w:left w:val="none" w:sz="0" w:space="0" w:color="auto"/>
                                        <w:bottom w:val="none" w:sz="0" w:space="0" w:color="auto"/>
                                        <w:right w:val="none" w:sz="0" w:space="0" w:color="auto"/>
                                      </w:divBdr>
                                      <w:divsChild>
                                        <w:div w:id="2056006965">
                                          <w:marLeft w:val="0"/>
                                          <w:marRight w:val="0"/>
                                          <w:marTop w:val="0"/>
                                          <w:marBottom w:val="0"/>
                                          <w:divBdr>
                                            <w:top w:val="none" w:sz="0" w:space="0" w:color="auto"/>
                                            <w:left w:val="none" w:sz="0" w:space="0" w:color="auto"/>
                                            <w:bottom w:val="none" w:sz="0" w:space="0" w:color="auto"/>
                                            <w:right w:val="none" w:sz="0" w:space="0" w:color="auto"/>
                                          </w:divBdr>
                                          <w:divsChild>
                                            <w:div w:id="339963918">
                                              <w:marLeft w:val="0"/>
                                              <w:marRight w:val="0"/>
                                              <w:marTop w:val="0"/>
                                              <w:marBottom w:val="0"/>
                                              <w:divBdr>
                                                <w:top w:val="none" w:sz="0" w:space="0" w:color="auto"/>
                                                <w:left w:val="none" w:sz="0" w:space="0" w:color="auto"/>
                                                <w:bottom w:val="none" w:sz="0" w:space="0" w:color="auto"/>
                                                <w:right w:val="none" w:sz="0" w:space="0" w:color="auto"/>
                                              </w:divBdr>
                                              <w:divsChild>
                                                <w:div w:id="154422424">
                                                  <w:marLeft w:val="0"/>
                                                  <w:marRight w:val="0"/>
                                                  <w:marTop w:val="0"/>
                                                  <w:marBottom w:val="0"/>
                                                  <w:divBdr>
                                                    <w:top w:val="none" w:sz="0" w:space="0" w:color="auto"/>
                                                    <w:left w:val="none" w:sz="0" w:space="0" w:color="auto"/>
                                                    <w:bottom w:val="none" w:sz="0" w:space="0" w:color="auto"/>
                                                    <w:right w:val="none" w:sz="0" w:space="0" w:color="auto"/>
                                                  </w:divBdr>
                                                  <w:divsChild>
                                                    <w:div w:id="641614966">
                                                      <w:marLeft w:val="0"/>
                                                      <w:marRight w:val="0"/>
                                                      <w:marTop w:val="0"/>
                                                      <w:marBottom w:val="0"/>
                                                      <w:divBdr>
                                                        <w:top w:val="none" w:sz="0" w:space="0" w:color="auto"/>
                                                        <w:left w:val="none" w:sz="0" w:space="0" w:color="auto"/>
                                                        <w:bottom w:val="none" w:sz="0" w:space="0" w:color="auto"/>
                                                        <w:right w:val="none" w:sz="0" w:space="0" w:color="auto"/>
                                                      </w:divBdr>
                                                      <w:divsChild>
                                                        <w:div w:id="40180295">
                                                          <w:marLeft w:val="0"/>
                                                          <w:marRight w:val="0"/>
                                                          <w:marTop w:val="0"/>
                                                          <w:marBottom w:val="0"/>
                                                          <w:divBdr>
                                                            <w:top w:val="none" w:sz="0" w:space="0" w:color="auto"/>
                                                            <w:left w:val="single" w:sz="6" w:space="0" w:color="DCDCDC"/>
                                                            <w:bottom w:val="none" w:sz="0" w:space="0" w:color="auto"/>
                                                            <w:right w:val="single" w:sz="6" w:space="0" w:color="DCDCDC"/>
                                                          </w:divBdr>
                                                          <w:divsChild>
                                                            <w:div w:id="970792045">
                                                              <w:marLeft w:val="0"/>
                                                              <w:marRight w:val="0"/>
                                                              <w:marTop w:val="0"/>
                                                              <w:marBottom w:val="0"/>
                                                              <w:divBdr>
                                                                <w:top w:val="none" w:sz="0" w:space="0" w:color="auto"/>
                                                                <w:left w:val="none" w:sz="0" w:space="0" w:color="auto"/>
                                                                <w:bottom w:val="none" w:sz="0" w:space="0" w:color="auto"/>
                                                                <w:right w:val="none" w:sz="0" w:space="0" w:color="auto"/>
                                                              </w:divBdr>
                                                              <w:divsChild>
                                                                <w:div w:id="1133596155">
                                                                  <w:marLeft w:val="0"/>
                                                                  <w:marRight w:val="0"/>
                                                                  <w:marTop w:val="0"/>
                                                                  <w:marBottom w:val="0"/>
                                                                  <w:divBdr>
                                                                    <w:top w:val="none" w:sz="0" w:space="0" w:color="auto"/>
                                                                    <w:left w:val="none" w:sz="0" w:space="0" w:color="auto"/>
                                                                    <w:bottom w:val="none" w:sz="0" w:space="0" w:color="auto"/>
                                                                    <w:right w:val="none" w:sz="0" w:space="0" w:color="auto"/>
                                                                  </w:divBdr>
                                                                  <w:divsChild>
                                                                    <w:div w:id="1859544573">
                                                                      <w:marLeft w:val="0"/>
                                                                      <w:marRight w:val="0"/>
                                                                      <w:marTop w:val="0"/>
                                                                      <w:marBottom w:val="0"/>
                                                                      <w:divBdr>
                                                                        <w:top w:val="none" w:sz="0" w:space="0" w:color="auto"/>
                                                                        <w:left w:val="single" w:sz="6" w:space="0" w:color="DCDCDC"/>
                                                                        <w:bottom w:val="none" w:sz="0" w:space="0" w:color="auto"/>
                                                                        <w:right w:val="single" w:sz="6" w:space="0" w:color="DCDCDC"/>
                                                                      </w:divBdr>
                                                                      <w:divsChild>
                                                                        <w:div w:id="346368890">
                                                                          <w:marLeft w:val="0"/>
                                                                          <w:marRight w:val="0"/>
                                                                          <w:marTop w:val="0"/>
                                                                          <w:marBottom w:val="0"/>
                                                                          <w:divBdr>
                                                                            <w:top w:val="none" w:sz="0" w:space="0" w:color="auto"/>
                                                                            <w:left w:val="none" w:sz="0" w:space="0" w:color="auto"/>
                                                                            <w:bottom w:val="none" w:sz="0" w:space="0" w:color="auto"/>
                                                                            <w:right w:val="none" w:sz="0" w:space="0" w:color="auto"/>
                                                                          </w:divBdr>
                                                                          <w:divsChild>
                                                                            <w:div w:id="1715077240">
                                                                              <w:marLeft w:val="0"/>
                                                                              <w:marRight w:val="0"/>
                                                                              <w:marTop w:val="0"/>
                                                                              <w:marBottom w:val="0"/>
                                                                              <w:divBdr>
                                                                                <w:top w:val="none" w:sz="0" w:space="0" w:color="auto"/>
                                                                                <w:left w:val="none" w:sz="0" w:space="0" w:color="auto"/>
                                                                                <w:bottom w:val="none" w:sz="0" w:space="0" w:color="auto"/>
                                                                                <w:right w:val="none" w:sz="0" w:space="0" w:color="auto"/>
                                                                              </w:divBdr>
                                                                              <w:divsChild>
                                                                                <w:div w:id="2067491403">
                                                                                  <w:marLeft w:val="0"/>
                                                                                  <w:marRight w:val="0"/>
                                                                                  <w:marTop w:val="0"/>
                                                                                  <w:marBottom w:val="0"/>
                                                                                  <w:divBdr>
                                                                                    <w:top w:val="none" w:sz="0" w:space="0" w:color="auto"/>
                                                                                    <w:left w:val="none" w:sz="0" w:space="0" w:color="auto"/>
                                                                                    <w:bottom w:val="none" w:sz="0" w:space="0" w:color="auto"/>
                                                                                    <w:right w:val="none" w:sz="0" w:space="0" w:color="auto"/>
                                                                                  </w:divBdr>
                                                                                  <w:divsChild>
                                                                                    <w:div w:id="953252746">
                                                                                      <w:marLeft w:val="0"/>
                                                                                      <w:marRight w:val="0"/>
                                                                                      <w:marTop w:val="0"/>
                                                                                      <w:marBottom w:val="0"/>
                                                                                      <w:divBdr>
                                                                                        <w:top w:val="none" w:sz="0" w:space="0" w:color="auto"/>
                                                                                        <w:left w:val="none" w:sz="0" w:space="0" w:color="auto"/>
                                                                                        <w:bottom w:val="none" w:sz="0" w:space="0" w:color="auto"/>
                                                                                        <w:right w:val="none" w:sz="0" w:space="0" w:color="auto"/>
                                                                                      </w:divBdr>
                                                                                      <w:divsChild>
                                                                                        <w:div w:id="1144541178">
                                                                                          <w:marLeft w:val="0"/>
                                                                                          <w:marRight w:val="0"/>
                                                                                          <w:marTop w:val="0"/>
                                                                                          <w:marBottom w:val="0"/>
                                                                                          <w:divBdr>
                                                                                            <w:top w:val="none" w:sz="0" w:space="0" w:color="auto"/>
                                                                                            <w:left w:val="none" w:sz="0" w:space="0" w:color="auto"/>
                                                                                            <w:bottom w:val="none" w:sz="0" w:space="0" w:color="auto"/>
                                                                                            <w:right w:val="none" w:sz="0" w:space="0" w:color="auto"/>
                                                                                          </w:divBdr>
                                                                                          <w:divsChild>
                                                                                            <w:div w:id="1001196903">
                                                                                              <w:marLeft w:val="0"/>
                                                                                              <w:marRight w:val="0"/>
                                                                                              <w:marTop w:val="0"/>
                                                                                              <w:marBottom w:val="0"/>
                                                                                              <w:divBdr>
                                                                                                <w:top w:val="none" w:sz="0" w:space="0" w:color="auto"/>
                                                                                                <w:left w:val="none" w:sz="0" w:space="0" w:color="auto"/>
                                                                                                <w:bottom w:val="none" w:sz="0" w:space="0" w:color="auto"/>
                                                                                                <w:right w:val="none" w:sz="0" w:space="0" w:color="auto"/>
                                                                                              </w:divBdr>
                                                                                              <w:divsChild>
                                                                                                <w:div w:id="2016569943">
                                                                                                  <w:marLeft w:val="0"/>
                                                                                                  <w:marRight w:val="0"/>
                                                                                                  <w:marTop w:val="0"/>
                                                                                                  <w:marBottom w:val="0"/>
                                                                                                  <w:divBdr>
                                                                                                    <w:top w:val="none" w:sz="0" w:space="0" w:color="auto"/>
                                                                                                    <w:left w:val="none" w:sz="0" w:space="0" w:color="auto"/>
                                                                                                    <w:bottom w:val="none" w:sz="0" w:space="0" w:color="auto"/>
                                                                                                    <w:right w:val="none" w:sz="0" w:space="0" w:color="auto"/>
                                                                                                  </w:divBdr>
                                                                                                  <w:divsChild>
                                                                                                    <w:div w:id="638268753">
                                                                                                      <w:marLeft w:val="0"/>
                                                                                                      <w:marRight w:val="0"/>
                                                                                                      <w:marTop w:val="0"/>
                                                                                                      <w:marBottom w:val="0"/>
                                                                                                      <w:divBdr>
                                                                                                        <w:top w:val="none" w:sz="0" w:space="0" w:color="auto"/>
                                                                                                        <w:left w:val="none" w:sz="0" w:space="0" w:color="auto"/>
                                                                                                        <w:bottom w:val="none" w:sz="0" w:space="0" w:color="auto"/>
                                                                                                        <w:right w:val="none" w:sz="0" w:space="0" w:color="auto"/>
                                                                                                      </w:divBdr>
                                                                                                      <w:divsChild>
                                                                                                        <w:div w:id="1084644429">
                                                                                                          <w:marLeft w:val="0"/>
                                                                                                          <w:marRight w:val="0"/>
                                                                                                          <w:marTop w:val="0"/>
                                                                                                          <w:marBottom w:val="0"/>
                                                                                                          <w:divBdr>
                                                                                                            <w:top w:val="none" w:sz="0" w:space="0" w:color="auto"/>
                                                                                                            <w:left w:val="none" w:sz="0" w:space="0" w:color="auto"/>
                                                                                                            <w:bottom w:val="none" w:sz="0" w:space="0" w:color="auto"/>
                                                                                                            <w:right w:val="none" w:sz="0" w:space="0" w:color="auto"/>
                                                                                                          </w:divBdr>
                                                                                                          <w:divsChild>
                                                                                                            <w:div w:id="1711611027">
                                                                                                              <w:marLeft w:val="0"/>
                                                                                                              <w:marRight w:val="0"/>
                                                                                                              <w:marTop w:val="0"/>
                                                                                                              <w:marBottom w:val="0"/>
                                                                                                              <w:divBdr>
                                                                                                                <w:top w:val="none" w:sz="0" w:space="0" w:color="auto"/>
                                                                                                                <w:left w:val="none" w:sz="0" w:space="0" w:color="auto"/>
                                                                                                                <w:bottom w:val="none" w:sz="0" w:space="0" w:color="auto"/>
                                                                                                                <w:right w:val="none" w:sz="0" w:space="0" w:color="auto"/>
                                                                                                              </w:divBdr>
                                                                                                              <w:divsChild>
                                                                                                                <w:div w:id="1198854955">
                                                                                                                  <w:marLeft w:val="0"/>
                                                                                                                  <w:marRight w:val="0"/>
                                                                                                                  <w:marTop w:val="0"/>
                                                                                                                  <w:marBottom w:val="0"/>
                                                                                                                  <w:divBdr>
                                                                                                                    <w:top w:val="none" w:sz="0" w:space="0" w:color="auto"/>
                                                                                                                    <w:left w:val="none" w:sz="0" w:space="0" w:color="auto"/>
                                                                                                                    <w:bottom w:val="none" w:sz="0" w:space="0" w:color="auto"/>
                                                                                                                    <w:right w:val="none" w:sz="0" w:space="0" w:color="auto"/>
                                                                                                                  </w:divBdr>
                                                                                                                  <w:divsChild>
                                                                                                                    <w:div w:id="1215579022">
                                                                                                                      <w:marLeft w:val="0"/>
                                                                                                                      <w:marRight w:val="0"/>
                                                                                                                      <w:marTop w:val="0"/>
                                                                                                                      <w:marBottom w:val="0"/>
                                                                                                                      <w:divBdr>
                                                                                                                        <w:top w:val="none" w:sz="0" w:space="0" w:color="auto"/>
                                                                                                                        <w:left w:val="single" w:sz="6" w:space="0" w:color="DCDCDC"/>
                                                                                                                        <w:bottom w:val="none" w:sz="0" w:space="0" w:color="auto"/>
                                                                                                                        <w:right w:val="single" w:sz="6" w:space="0" w:color="DCDCDC"/>
                                                                                                                      </w:divBdr>
                                                                                                                      <w:divsChild>
                                                                                                                        <w:div w:id="1596400788">
                                                                                                                          <w:marLeft w:val="0"/>
                                                                                                                          <w:marRight w:val="0"/>
                                                                                                                          <w:marTop w:val="0"/>
                                                                                                                          <w:marBottom w:val="0"/>
                                                                                                                          <w:divBdr>
                                                                                                                            <w:top w:val="none" w:sz="0" w:space="0" w:color="auto"/>
                                                                                                                            <w:left w:val="none" w:sz="0" w:space="0" w:color="auto"/>
                                                                                                                            <w:bottom w:val="none" w:sz="0" w:space="0" w:color="auto"/>
                                                                                                                            <w:right w:val="none" w:sz="0" w:space="0" w:color="auto"/>
                                                                                                                          </w:divBdr>
                                                                                                                          <w:divsChild>
                                                                                                                            <w:div w:id="1402216072">
                                                                                                                              <w:marLeft w:val="0"/>
                                                                                                                              <w:marRight w:val="0"/>
                                                                                                                              <w:marTop w:val="0"/>
                                                                                                                              <w:marBottom w:val="0"/>
                                                                                                                              <w:divBdr>
                                                                                                                                <w:top w:val="none" w:sz="0" w:space="0" w:color="auto"/>
                                                                                                                                <w:left w:val="none" w:sz="0" w:space="0" w:color="auto"/>
                                                                                                                                <w:bottom w:val="none" w:sz="0" w:space="0" w:color="auto"/>
                                                                                                                                <w:right w:val="none" w:sz="0" w:space="0" w:color="auto"/>
                                                                                                                              </w:divBdr>
                                                                                                                              <w:divsChild>
                                                                                                                                <w:div w:id="2041782290">
                                                                                                                                  <w:marLeft w:val="0"/>
                                                                                                                                  <w:marRight w:val="0"/>
                                                                                                                                  <w:marTop w:val="0"/>
                                                                                                                                  <w:marBottom w:val="0"/>
                                                                                                                                  <w:divBdr>
                                                                                                                                    <w:top w:val="none" w:sz="0" w:space="0" w:color="auto"/>
                                                                                                                                    <w:left w:val="none" w:sz="0" w:space="0" w:color="auto"/>
                                                                                                                                    <w:bottom w:val="none" w:sz="0" w:space="0" w:color="auto"/>
                                                                                                                                    <w:right w:val="none" w:sz="0" w:space="0" w:color="auto"/>
                                                                                                                                  </w:divBdr>
                                                                                                                                  <w:divsChild>
                                                                                                                                    <w:div w:id="1878855581">
                                                                                                                                      <w:marLeft w:val="0"/>
                                                                                                                                      <w:marRight w:val="0"/>
                                                                                                                                      <w:marTop w:val="0"/>
                                                                                                                                      <w:marBottom w:val="0"/>
                                                                                                                                      <w:divBdr>
                                                                                                                                        <w:top w:val="none" w:sz="0" w:space="0" w:color="auto"/>
                                                                                                                                        <w:left w:val="none" w:sz="0" w:space="0" w:color="auto"/>
                                                                                                                                        <w:bottom w:val="none" w:sz="0" w:space="0" w:color="auto"/>
                                                                                                                                        <w:right w:val="none" w:sz="0" w:space="0" w:color="auto"/>
                                                                                                                                      </w:divBdr>
                                                                                                                                      <w:divsChild>
                                                                                                                                        <w:div w:id="604729962">
                                                                                                                                          <w:marLeft w:val="0"/>
                                                                                                                                          <w:marRight w:val="0"/>
                                                                                                                                          <w:marTop w:val="0"/>
                                                                                                                                          <w:marBottom w:val="0"/>
                                                                                                                                          <w:divBdr>
                                                                                                                                            <w:top w:val="none" w:sz="0" w:space="0" w:color="auto"/>
                                                                                                                                            <w:left w:val="none" w:sz="0" w:space="0" w:color="auto"/>
                                                                                                                                            <w:bottom w:val="none" w:sz="0" w:space="0" w:color="auto"/>
                                                                                                                                            <w:right w:val="none" w:sz="0" w:space="0" w:color="auto"/>
                                                                                                                                          </w:divBdr>
                                                                                                                                          <w:divsChild>
                                                                                                                                            <w:div w:id="405030164">
                                                                                                                                              <w:marLeft w:val="0"/>
                                                                                                                                              <w:marRight w:val="0"/>
                                                                                                                                              <w:marTop w:val="0"/>
                                                                                                                                              <w:marBottom w:val="0"/>
                                                                                                                                              <w:divBdr>
                                                                                                                                                <w:top w:val="none" w:sz="0" w:space="0" w:color="auto"/>
                                                                                                                                                <w:left w:val="none" w:sz="0" w:space="0" w:color="auto"/>
                                                                                                                                                <w:bottom w:val="none" w:sz="0" w:space="0" w:color="auto"/>
                                                                                                                                                <w:right w:val="none" w:sz="0" w:space="0" w:color="auto"/>
                                                                                                                                              </w:divBdr>
                                                                                                                                              <w:divsChild>
                                                                                                                                                <w:div w:id="1767574366">
                                                                                                                                                  <w:marLeft w:val="0"/>
                                                                                                                                                  <w:marRight w:val="0"/>
                                                                                                                                                  <w:marTop w:val="0"/>
                                                                                                                                                  <w:marBottom w:val="0"/>
                                                                                                                                                  <w:divBdr>
                                                                                                                                                    <w:top w:val="none" w:sz="0" w:space="0" w:color="auto"/>
                                                                                                                                                    <w:left w:val="none" w:sz="0" w:space="0" w:color="auto"/>
                                                                                                                                                    <w:bottom w:val="none" w:sz="0" w:space="0" w:color="auto"/>
                                                                                                                                                    <w:right w:val="none" w:sz="0" w:space="0" w:color="auto"/>
                                                                                                                                                  </w:divBdr>
                                                                                                                                                  <w:divsChild>
                                                                                                                                                    <w:div w:id="153300231">
                                                                                                                                                      <w:marLeft w:val="0"/>
                                                                                                                                                      <w:marRight w:val="0"/>
                                                                                                                                                      <w:marTop w:val="0"/>
                                                                                                                                                      <w:marBottom w:val="0"/>
                                                                                                                                                      <w:divBdr>
                                                                                                                                                        <w:top w:val="none" w:sz="0" w:space="0" w:color="auto"/>
                                                                                                                                                        <w:left w:val="none" w:sz="0" w:space="0" w:color="auto"/>
                                                                                                                                                        <w:bottom w:val="none" w:sz="0" w:space="0" w:color="auto"/>
                                                                                                                                                        <w:right w:val="none" w:sz="0" w:space="0" w:color="auto"/>
                                                                                                                                                      </w:divBdr>
                                                                                                                                                      <w:divsChild>
                                                                                                                                                        <w:div w:id="863521193">
                                                                                                                                                          <w:marLeft w:val="0"/>
                                                                                                                                                          <w:marRight w:val="0"/>
                                                                                                                                                          <w:marTop w:val="0"/>
                                                                                                                                                          <w:marBottom w:val="0"/>
                                                                                                                                                          <w:divBdr>
                                                                                                                                                            <w:top w:val="none" w:sz="0" w:space="0" w:color="auto"/>
                                                                                                                                                            <w:left w:val="none" w:sz="0" w:space="0" w:color="auto"/>
                                                                                                                                                            <w:bottom w:val="none" w:sz="0" w:space="0" w:color="auto"/>
                                                                                                                                                            <w:right w:val="none" w:sz="0" w:space="0" w:color="auto"/>
                                                                                                                                                          </w:divBdr>
                                                                                                                                                          <w:divsChild>
                                                                                                                                                            <w:div w:id="1666401106">
                                                                                                                                                              <w:marLeft w:val="0"/>
                                                                                                                                                              <w:marRight w:val="0"/>
                                                                                                                                                              <w:marTop w:val="0"/>
                                                                                                                                                              <w:marBottom w:val="0"/>
                                                                                                                                                              <w:divBdr>
                                                                                                                                                                <w:top w:val="none" w:sz="0" w:space="0" w:color="auto"/>
                                                                                                                                                                <w:left w:val="none" w:sz="0" w:space="0" w:color="auto"/>
                                                                                                                                                                <w:bottom w:val="none" w:sz="0" w:space="0" w:color="auto"/>
                                                                                                                                                                <w:right w:val="none" w:sz="0" w:space="0" w:color="auto"/>
                                                                                                                                                              </w:divBdr>
                                                                                                                                                              <w:divsChild>
                                                                                                                                                                <w:div w:id="76942603">
                                                                                                                                                                  <w:marLeft w:val="0"/>
                                                                                                                                                                  <w:marRight w:val="0"/>
                                                                                                                                                                  <w:marTop w:val="0"/>
                                                                                                                                                                  <w:marBottom w:val="0"/>
                                                                                                                                                                  <w:divBdr>
                                                                                                                                                                    <w:top w:val="none" w:sz="0" w:space="0" w:color="auto"/>
                                                                                                                                                                    <w:left w:val="none" w:sz="0" w:space="0" w:color="auto"/>
                                                                                                                                                                    <w:bottom w:val="none" w:sz="0" w:space="0" w:color="auto"/>
                                                                                                                                                                    <w:right w:val="none" w:sz="0" w:space="0" w:color="auto"/>
                                                                                                                                                                  </w:divBdr>
                                                                                                                                                                </w:div>
                                                                                                                                                                <w:div w:id="113059491">
                                                                                                                                                                  <w:marLeft w:val="0"/>
                                                                                                                                                                  <w:marRight w:val="0"/>
                                                                                                                                                                  <w:marTop w:val="0"/>
                                                                                                                                                                  <w:marBottom w:val="0"/>
                                                                                                                                                                  <w:divBdr>
                                                                                                                                                                    <w:top w:val="none" w:sz="0" w:space="0" w:color="auto"/>
                                                                                                                                                                    <w:left w:val="none" w:sz="0" w:space="0" w:color="auto"/>
                                                                                                                                                                    <w:bottom w:val="none" w:sz="0" w:space="0" w:color="auto"/>
                                                                                                                                                                    <w:right w:val="none" w:sz="0" w:space="0" w:color="auto"/>
                                                                                                                                                                  </w:divBdr>
                                                                                                                                                                </w:div>
                                                                                                                                                                <w:div w:id="373695240">
                                                                                                                                                                  <w:marLeft w:val="0"/>
                                                                                                                                                                  <w:marRight w:val="0"/>
                                                                                                                                                                  <w:marTop w:val="0"/>
                                                                                                                                                                  <w:marBottom w:val="0"/>
                                                                                                                                                                  <w:divBdr>
                                                                                                                                                                    <w:top w:val="none" w:sz="0" w:space="0" w:color="auto"/>
                                                                                                                                                                    <w:left w:val="none" w:sz="0" w:space="0" w:color="auto"/>
                                                                                                                                                                    <w:bottom w:val="none" w:sz="0" w:space="0" w:color="auto"/>
                                                                                                                                                                    <w:right w:val="none" w:sz="0" w:space="0" w:color="auto"/>
                                                                                                                                                                  </w:divBdr>
                                                                                                                                                                </w:div>
                                                                                                                                                                <w:div w:id="410395071">
                                                                                                                                                                  <w:marLeft w:val="0"/>
                                                                                                                                                                  <w:marRight w:val="0"/>
                                                                                                                                                                  <w:marTop w:val="0"/>
                                                                                                                                                                  <w:marBottom w:val="0"/>
                                                                                                                                                                  <w:divBdr>
                                                                                                                                                                    <w:top w:val="none" w:sz="0" w:space="0" w:color="auto"/>
                                                                                                                                                                    <w:left w:val="none" w:sz="0" w:space="0" w:color="auto"/>
                                                                                                                                                                    <w:bottom w:val="none" w:sz="0" w:space="0" w:color="auto"/>
                                                                                                                                                                    <w:right w:val="none" w:sz="0" w:space="0" w:color="auto"/>
                                                                                                                                                                  </w:divBdr>
                                                                                                                                                                </w:div>
                                                                                                                                                                <w:div w:id="547422490">
                                                                                                                                                                  <w:marLeft w:val="0"/>
                                                                                                                                                                  <w:marRight w:val="0"/>
                                                                                                                                                                  <w:marTop w:val="0"/>
                                                                                                                                                                  <w:marBottom w:val="0"/>
                                                                                                                                                                  <w:divBdr>
                                                                                                                                                                    <w:top w:val="none" w:sz="0" w:space="0" w:color="auto"/>
                                                                                                                                                                    <w:left w:val="none" w:sz="0" w:space="0" w:color="auto"/>
                                                                                                                                                                    <w:bottom w:val="none" w:sz="0" w:space="0" w:color="auto"/>
                                                                                                                                                                    <w:right w:val="none" w:sz="0" w:space="0" w:color="auto"/>
                                                                                                                                                                  </w:divBdr>
                                                                                                                                                                </w:div>
                                                                                                                                                                <w:div w:id="573778649">
                                                                                                                                                                  <w:marLeft w:val="0"/>
                                                                                                                                                                  <w:marRight w:val="0"/>
                                                                                                                                                                  <w:marTop w:val="0"/>
                                                                                                                                                                  <w:marBottom w:val="0"/>
                                                                                                                                                                  <w:divBdr>
                                                                                                                                                                    <w:top w:val="none" w:sz="0" w:space="0" w:color="auto"/>
                                                                                                                                                                    <w:left w:val="none" w:sz="0" w:space="0" w:color="auto"/>
                                                                                                                                                                    <w:bottom w:val="none" w:sz="0" w:space="0" w:color="auto"/>
                                                                                                                                                                    <w:right w:val="none" w:sz="0" w:space="0" w:color="auto"/>
                                                                                                                                                                  </w:divBdr>
                                                                                                                                                                </w:div>
                                                                                                                                                                <w:div w:id="628895501">
                                                                                                                                                                  <w:marLeft w:val="0"/>
                                                                                                                                                                  <w:marRight w:val="0"/>
                                                                                                                                                                  <w:marTop w:val="0"/>
                                                                                                                                                                  <w:marBottom w:val="0"/>
                                                                                                                                                                  <w:divBdr>
                                                                                                                                                                    <w:top w:val="none" w:sz="0" w:space="0" w:color="auto"/>
                                                                                                                                                                    <w:left w:val="none" w:sz="0" w:space="0" w:color="auto"/>
                                                                                                                                                                    <w:bottom w:val="none" w:sz="0" w:space="0" w:color="auto"/>
                                                                                                                                                                    <w:right w:val="none" w:sz="0" w:space="0" w:color="auto"/>
                                                                                                                                                                  </w:divBdr>
                                                                                                                                                                </w:div>
                                                                                                                                                                <w:div w:id="657196818">
                                                                                                                                                                  <w:marLeft w:val="0"/>
                                                                                                                                                                  <w:marRight w:val="0"/>
                                                                                                                                                                  <w:marTop w:val="0"/>
                                                                                                                                                                  <w:marBottom w:val="0"/>
                                                                                                                                                                  <w:divBdr>
                                                                                                                                                                    <w:top w:val="none" w:sz="0" w:space="0" w:color="auto"/>
                                                                                                                                                                    <w:left w:val="none" w:sz="0" w:space="0" w:color="auto"/>
                                                                                                                                                                    <w:bottom w:val="none" w:sz="0" w:space="0" w:color="auto"/>
                                                                                                                                                                    <w:right w:val="none" w:sz="0" w:space="0" w:color="auto"/>
                                                                                                                                                                  </w:divBdr>
                                                                                                                                                                </w:div>
                                                                                                                                                                <w:div w:id="978730021">
                                                                                                                                                                  <w:marLeft w:val="0"/>
                                                                                                                                                                  <w:marRight w:val="0"/>
                                                                                                                                                                  <w:marTop w:val="0"/>
                                                                                                                                                                  <w:marBottom w:val="0"/>
                                                                                                                                                                  <w:divBdr>
                                                                                                                                                                    <w:top w:val="none" w:sz="0" w:space="0" w:color="auto"/>
                                                                                                                                                                    <w:left w:val="none" w:sz="0" w:space="0" w:color="auto"/>
                                                                                                                                                                    <w:bottom w:val="none" w:sz="0" w:space="0" w:color="auto"/>
                                                                                                                                                                    <w:right w:val="none" w:sz="0" w:space="0" w:color="auto"/>
                                                                                                                                                                  </w:divBdr>
                                                                                                                                                                </w:div>
                                                                                                                                                                <w:div w:id="1018967727">
                                                                                                                                                                  <w:marLeft w:val="0"/>
                                                                                                                                                                  <w:marRight w:val="0"/>
                                                                                                                                                                  <w:marTop w:val="0"/>
                                                                                                                                                                  <w:marBottom w:val="0"/>
                                                                                                                                                                  <w:divBdr>
                                                                                                                                                                    <w:top w:val="none" w:sz="0" w:space="0" w:color="auto"/>
                                                                                                                                                                    <w:left w:val="none" w:sz="0" w:space="0" w:color="auto"/>
                                                                                                                                                                    <w:bottom w:val="none" w:sz="0" w:space="0" w:color="auto"/>
                                                                                                                                                                    <w:right w:val="none" w:sz="0" w:space="0" w:color="auto"/>
                                                                                                                                                                  </w:divBdr>
                                                                                                                                                                </w:div>
                                                                                                                                                                <w:div w:id="1121921756">
                                                                                                                                                                  <w:marLeft w:val="0"/>
                                                                                                                                                                  <w:marRight w:val="0"/>
                                                                                                                                                                  <w:marTop w:val="0"/>
                                                                                                                                                                  <w:marBottom w:val="0"/>
                                                                                                                                                                  <w:divBdr>
                                                                                                                                                                    <w:top w:val="none" w:sz="0" w:space="0" w:color="auto"/>
                                                                                                                                                                    <w:left w:val="none" w:sz="0" w:space="0" w:color="auto"/>
                                                                                                                                                                    <w:bottom w:val="none" w:sz="0" w:space="0" w:color="auto"/>
                                                                                                                                                                    <w:right w:val="none" w:sz="0" w:space="0" w:color="auto"/>
                                                                                                                                                                  </w:divBdr>
                                                                                                                                                                </w:div>
                                                                                                                                                                <w:div w:id="1168905247">
                                                                                                                                                                  <w:marLeft w:val="0"/>
                                                                                                                                                                  <w:marRight w:val="0"/>
                                                                                                                                                                  <w:marTop w:val="0"/>
                                                                                                                                                                  <w:marBottom w:val="0"/>
                                                                                                                                                                  <w:divBdr>
                                                                                                                                                                    <w:top w:val="none" w:sz="0" w:space="0" w:color="auto"/>
                                                                                                                                                                    <w:left w:val="none" w:sz="0" w:space="0" w:color="auto"/>
                                                                                                                                                                    <w:bottom w:val="none" w:sz="0" w:space="0" w:color="auto"/>
                                                                                                                                                                    <w:right w:val="none" w:sz="0" w:space="0" w:color="auto"/>
                                                                                                                                                                  </w:divBdr>
                                                                                                                                                                </w:div>
                                                                                                                                                                <w:div w:id="1172526856">
                                                                                                                                                                  <w:marLeft w:val="0"/>
                                                                                                                                                                  <w:marRight w:val="0"/>
                                                                                                                                                                  <w:marTop w:val="0"/>
                                                                                                                                                                  <w:marBottom w:val="0"/>
                                                                                                                                                                  <w:divBdr>
                                                                                                                                                                    <w:top w:val="none" w:sz="0" w:space="0" w:color="auto"/>
                                                                                                                                                                    <w:left w:val="none" w:sz="0" w:space="0" w:color="auto"/>
                                                                                                                                                                    <w:bottom w:val="none" w:sz="0" w:space="0" w:color="auto"/>
                                                                                                                                                                    <w:right w:val="none" w:sz="0" w:space="0" w:color="auto"/>
                                                                                                                                                                  </w:divBdr>
                                                                                                                                                                </w:div>
                                                                                                                                                                <w:div w:id="1356690658">
                                                                                                                                                                  <w:marLeft w:val="0"/>
                                                                                                                                                                  <w:marRight w:val="0"/>
                                                                                                                                                                  <w:marTop w:val="0"/>
                                                                                                                                                                  <w:marBottom w:val="0"/>
                                                                                                                                                                  <w:divBdr>
                                                                                                                                                                    <w:top w:val="none" w:sz="0" w:space="0" w:color="auto"/>
                                                                                                                                                                    <w:left w:val="none" w:sz="0" w:space="0" w:color="auto"/>
                                                                                                                                                                    <w:bottom w:val="none" w:sz="0" w:space="0" w:color="auto"/>
                                                                                                                                                                    <w:right w:val="none" w:sz="0" w:space="0" w:color="auto"/>
                                                                                                                                                                  </w:divBdr>
                                                                                                                                                                </w:div>
                                                                                                                                                                <w:div w:id="1375690925">
                                                                                                                                                                  <w:marLeft w:val="0"/>
                                                                                                                                                                  <w:marRight w:val="0"/>
                                                                                                                                                                  <w:marTop w:val="0"/>
                                                                                                                                                                  <w:marBottom w:val="0"/>
                                                                                                                                                                  <w:divBdr>
                                                                                                                                                                    <w:top w:val="none" w:sz="0" w:space="0" w:color="auto"/>
                                                                                                                                                                    <w:left w:val="none" w:sz="0" w:space="0" w:color="auto"/>
                                                                                                                                                                    <w:bottom w:val="none" w:sz="0" w:space="0" w:color="auto"/>
                                                                                                                                                                    <w:right w:val="none" w:sz="0" w:space="0" w:color="auto"/>
                                                                                                                                                                  </w:divBdr>
                                                                                                                                                                </w:div>
                                                                                                                                                                <w:div w:id="1398474571">
                                                                                                                                                                  <w:marLeft w:val="0"/>
                                                                                                                                                                  <w:marRight w:val="0"/>
                                                                                                                                                                  <w:marTop w:val="0"/>
                                                                                                                                                                  <w:marBottom w:val="0"/>
                                                                                                                                                                  <w:divBdr>
                                                                                                                                                                    <w:top w:val="none" w:sz="0" w:space="0" w:color="auto"/>
                                                                                                                                                                    <w:left w:val="none" w:sz="0" w:space="0" w:color="auto"/>
                                                                                                                                                                    <w:bottom w:val="none" w:sz="0" w:space="0" w:color="auto"/>
                                                                                                                                                                    <w:right w:val="none" w:sz="0" w:space="0" w:color="auto"/>
                                                                                                                                                                  </w:divBdr>
                                                                                                                                                                </w:div>
                                                                                                                                                                <w:div w:id="1428817658">
                                                                                                                                                                  <w:marLeft w:val="0"/>
                                                                                                                                                                  <w:marRight w:val="0"/>
                                                                                                                                                                  <w:marTop w:val="0"/>
                                                                                                                                                                  <w:marBottom w:val="0"/>
                                                                                                                                                                  <w:divBdr>
                                                                                                                                                                    <w:top w:val="none" w:sz="0" w:space="0" w:color="auto"/>
                                                                                                                                                                    <w:left w:val="none" w:sz="0" w:space="0" w:color="auto"/>
                                                                                                                                                                    <w:bottom w:val="none" w:sz="0" w:space="0" w:color="auto"/>
                                                                                                                                                                    <w:right w:val="none" w:sz="0" w:space="0" w:color="auto"/>
                                                                                                                                                                  </w:divBdr>
                                                                                                                                                                </w:div>
                                                                                                                                                                <w:div w:id="1524780415">
                                                                                                                                                                  <w:marLeft w:val="0"/>
                                                                                                                                                                  <w:marRight w:val="0"/>
                                                                                                                                                                  <w:marTop w:val="0"/>
                                                                                                                                                                  <w:marBottom w:val="0"/>
                                                                                                                                                                  <w:divBdr>
                                                                                                                                                                    <w:top w:val="none" w:sz="0" w:space="0" w:color="auto"/>
                                                                                                                                                                    <w:left w:val="none" w:sz="0" w:space="0" w:color="auto"/>
                                                                                                                                                                    <w:bottom w:val="none" w:sz="0" w:space="0" w:color="auto"/>
                                                                                                                                                                    <w:right w:val="none" w:sz="0" w:space="0" w:color="auto"/>
                                                                                                                                                                  </w:divBdr>
                                                                                                                                                                </w:div>
                                                                                                                                                                <w:div w:id="1618565286">
                                                                                                                                                                  <w:marLeft w:val="0"/>
                                                                                                                                                                  <w:marRight w:val="0"/>
                                                                                                                                                                  <w:marTop w:val="0"/>
                                                                                                                                                                  <w:marBottom w:val="0"/>
                                                                                                                                                                  <w:divBdr>
                                                                                                                                                                    <w:top w:val="none" w:sz="0" w:space="0" w:color="auto"/>
                                                                                                                                                                    <w:left w:val="none" w:sz="0" w:space="0" w:color="auto"/>
                                                                                                                                                                    <w:bottom w:val="none" w:sz="0" w:space="0" w:color="auto"/>
                                                                                                                                                                    <w:right w:val="none" w:sz="0" w:space="0" w:color="auto"/>
                                                                                                                                                                  </w:divBdr>
                                                                                                                                                                </w:div>
                                                                                                                                                                <w:div w:id="1623222825">
                                                                                                                                                                  <w:marLeft w:val="0"/>
                                                                                                                                                                  <w:marRight w:val="0"/>
                                                                                                                                                                  <w:marTop w:val="0"/>
                                                                                                                                                                  <w:marBottom w:val="0"/>
                                                                                                                                                                  <w:divBdr>
                                                                                                                                                                    <w:top w:val="none" w:sz="0" w:space="0" w:color="auto"/>
                                                                                                                                                                    <w:left w:val="none" w:sz="0" w:space="0" w:color="auto"/>
                                                                                                                                                                    <w:bottom w:val="none" w:sz="0" w:space="0" w:color="auto"/>
                                                                                                                                                                    <w:right w:val="none" w:sz="0" w:space="0" w:color="auto"/>
                                                                                                                                                                  </w:divBdr>
                                                                                                                                                                </w:div>
                                                                                                                                                                <w:div w:id="1703287801">
                                                                                                                                                                  <w:marLeft w:val="0"/>
                                                                                                                                                                  <w:marRight w:val="0"/>
                                                                                                                                                                  <w:marTop w:val="0"/>
                                                                                                                                                                  <w:marBottom w:val="0"/>
                                                                                                                                                                  <w:divBdr>
                                                                                                                                                                    <w:top w:val="none" w:sz="0" w:space="0" w:color="auto"/>
                                                                                                                                                                    <w:left w:val="none" w:sz="0" w:space="0" w:color="auto"/>
                                                                                                                                                                    <w:bottom w:val="none" w:sz="0" w:space="0" w:color="auto"/>
                                                                                                                                                                    <w:right w:val="none" w:sz="0" w:space="0" w:color="auto"/>
                                                                                                                                                                  </w:divBdr>
                                                                                                                                                                </w:div>
                                                                                                                                                                <w:div w:id="1709799702">
                                                                                                                                                                  <w:marLeft w:val="0"/>
                                                                                                                                                                  <w:marRight w:val="0"/>
                                                                                                                                                                  <w:marTop w:val="0"/>
                                                                                                                                                                  <w:marBottom w:val="0"/>
                                                                                                                                                                  <w:divBdr>
                                                                                                                                                                    <w:top w:val="none" w:sz="0" w:space="0" w:color="auto"/>
                                                                                                                                                                    <w:left w:val="none" w:sz="0" w:space="0" w:color="auto"/>
                                                                                                                                                                    <w:bottom w:val="none" w:sz="0" w:space="0" w:color="auto"/>
                                                                                                                                                                    <w:right w:val="none" w:sz="0" w:space="0" w:color="auto"/>
                                                                                                                                                                  </w:divBdr>
                                                                                                                                                                </w:div>
                                                                                                                                                                <w:div w:id="1820730206">
                                                                                                                                                                  <w:marLeft w:val="0"/>
                                                                                                                                                                  <w:marRight w:val="0"/>
                                                                                                                                                                  <w:marTop w:val="0"/>
                                                                                                                                                                  <w:marBottom w:val="0"/>
                                                                                                                                                                  <w:divBdr>
                                                                                                                                                                    <w:top w:val="none" w:sz="0" w:space="0" w:color="auto"/>
                                                                                                                                                                    <w:left w:val="none" w:sz="0" w:space="0" w:color="auto"/>
                                                                                                                                                                    <w:bottom w:val="none" w:sz="0" w:space="0" w:color="auto"/>
                                                                                                                                                                    <w:right w:val="none" w:sz="0" w:space="0" w:color="auto"/>
                                                                                                                                                                  </w:divBdr>
                                                                                                                                                                </w:div>
                                                                                                                                                                <w:div w:id="1823425648">
                                                                                                                                                                  <w:marLeft w:val="0"/>
                                                                                                                                                                  <w:marRight w:val="0"/>
                                                                                                                                                                  <w:marTop w:val="0"/>
                                                                                                                                                                  <w:marBottom w:val="0"/>
                                                                                                                                                                  <w:divBdr>
                                                                                                                                                                    <w:top w:val="none" w:sz="0" w:space="0" w:color="auto"/>
                                                                                                                                                                    <w:left w:val="none" w:sz="0" w:space="0" w:color="auto"/>
                                                                                                                                                                    <w:bottom w:val="none" w:sz="0" w:space="0" w:color="auto"/>
                                                                                                                                                                    <w:right w:val="none" w:sz="0" w:space="0" w:color="auto"/>
                                                                                                                                                                  </w:divBdr>
                                                                                                                                                                </w:div>
                                                                                                                                                                <w:div w:id="1833837087">
                                                                                                                                                                  <w:marLeft w:val="0"/>
                                                                                                                                                                  <w:marRight w:val="0"/>
                                                                                                                                                                  <w:marTop w:val="0"/>
                                                                                                                                                                  <w:marBottom w:val="0"/>
                                                                                                                                                                  <w:divBdr>
                                                                                                                                                                    <w:top w:val="none" w:sz="0" w:space="0" w:color="auto"/>
                                                                                                                                                                    <w:left w:val="none" w:sz="0" w:space="0" w:color="auto"/>
                                                                                                                                                                    <w:bottom w:val="none" w:sz="0" w:space="0" w:color="auto"/>
                                                                                                                                                                    <w:right w:val="none" w:sz="0" w:space="0" w:color="auto"/>
                                                                                                                                                                  </w:divBdr>
                                                                                                                                                                </w:div>
                                                                                                                                                                <w:div w:id="1897693042">
                                                                                                                                                                  <w:marLeft w:val="0"/>
                                                                                                                                                                  <w:marRight w:val="0"/>
                                                                                                                                                                  <w:marTop w:val="0"/>
                                                                                                                                                                  <w:marBottom w:val="0"/>
                                                                                                                                                                  <w:divBdr>
                                                                                                                                                                    <w:top w:val="none" w:sz="0" w:space="0" w:color="auto"/>
                                                                                                                                                                    <w:left w:val="none" w:sz="0" w:space="0" w:color="auto"/>
                                                                                                                                                                    <w:bottom w:val="none" w:sz="0" w:space="0" w:color="auto"/>
                                                                                                                                                                    <w:right w:val="none" w:sz="0" w:space="0" w:color="auto"/>
                                                                                                                                                                  </w:divBdr>
                                                                                                                                                                </w:div>
                                                                                                                                                                <w:div w:id="1963883507">
                                                                                                                                                                  <w:marLeft w:val="0"/>
                                                                                                                                                                  <w:marRight w:val="0"/>
                                                                                                                                                                  <w:marTop w:val="0"/>
                                                                                                                                                                  <w:marBottom w:val="0"/>
                                                                                                                                                                  <w:divBdr>
                                                                                                                                                                    <w:top w:val="none" w:sz="0" w:space="0" w:color="auto"/>
                                                                                                                                                                    <w:left w:val="none" w:sz="0" w:space="0" w:color="auto"/>
                                                                                                                                                                    <w:bottom w:val="none" w:sz="0" w:space="0" w:color="auto"/>
                                                                                                                                                                    <w:right w:val="none" w:sz="0" w:space="0" w:color="auto"/>
                                                                                                                                                                  </w:divBdr>
                                                                                                                                                                </w:div>
                                                                                                                                                                <w:div w:id="21434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6307025">
      <w:bodyDiv w:val="1"/>
      <w:marLeft w:val="0"/>
      <w:marRight w:val="0"/>
      <w:marTop w:val="0"/>
      <w:marBottom w:val="0"/>
      <w:divBdr>
        <w:top w:val="none" w:sz="0" w:space="0" w:color="auto"/>
        <w:left w:val="none" w:sz="0" w:space="0" w:color="auto"/>
        <w:bottom w:val="none" w:sz="0" w:space="0" w:color="auto"/>
        <w:right w:val="none" w:sz="0" w:space="0" w:color="auto"/>
      </w:divBdr>
      <w:divsChild>
        <w:div w:id="104623491">
          <w:marLeft w:val="0"/>
          <w:marRight w:val="0"/>
          <w:marTop w:val="0"/>
          <w:marBottom w:val="0"/>
          <w:divBdr>
            <w:top w:val="single" w:sz="6" w:space="0" w:color="D7D7D7"/>
            <w:left w:val="single" w:sz="6" w:space="0" w:color="D7D7D7"/>
            <w:bottom w:val="single" w:sz="6" w:space="0" w:color="D7D7D7"/>
            <w:right w:val="single" w:sz="6" w:space="0" w:color="D7D7D7"/>
          </w:divBdr>
          <w:divsChild>
            <w:div w:id="3647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34429">
      <w:bodyDiv w:val="1"/>
      <w:marLeft w:val="0"/>
      <w:marRight w:val="0"/>
      <w:marTop w:val="0"/>
      <w:marBottom w:val="0"/>
      <w:divBdr>
        <w:top w:val="none" w:sz="0" w:space="0" w:color="auto"/>
        <w:left w:val="none" w:sz="0" w:space="0" w:color="auto"/>
        <w:bottom w:val="none" w:sz="0" w:space="0" w:color="auto"/>
        <w:right w:val="none" w:sz="0" w:space="0" w:color="auto"/>
      </w:divBdr>
    </w:div>
    <w:div w:id="1552113282">
      <w:bodyDiv w:val="1"/>
      <w:marLeft w:val="0"/>
      <w:marRight w:val="0"/>
      <w:marTop w:val="0"/>
      <w:marBottom w:val="0"/>
      <w:divBdr>
        <w:top w:val="none" w:sz="0" w:space="0" w:color="auto"/>
        <w:left w:val="none" w:sz="0" w:space="0" w:color="auto"/>
        <w:bottom w:val="none" w:sz="0" w:space="0" w:color="auto"/>
        <w:right w:val="none" w:sz="0" w:space="0" w:color="auto"/>
      </w:divBdr>
    </w:div>
    <w:div w:id="1556772141">
      <w:bodyDiv w:val="1"/>
      <w:marLeft w:val="0"/>
      <w:marRight w:val="0"/>
      <w:marTop w:val="0"/>
      <w:marBottom w:val="0"/>
      <w:divBdr>
        <w:top w:val="none" w:sz="0" w:space="0" w:color="auto"/>
        <w:left w:val="none" w:sz="0" w:space="0" w:color="auto"/>
        <w:bottom w:val="none" w:sz="0" w:space="0" w:color="auto"/>
        <w:right w:val="none" w:sz="0" w:space="0" w:color="auto"/>
      </w:divBdr>
    </w:div>
    <w:div w:id="1566573598">
      <w:bodyDiv w:val="1"/>
      <w:marLeft w:val="0"/>
      <w:marRight w:val="0"/>
      <w:marTop w:val="0"/>
      <w:marBottom w:val="0"/>
      <w:divBdr>
        <w:top w:val="none" w:sz="0" w:space="0" w:color="auto"/>
        <w:left w:val="none" w:sz="0" w:space="0" w:color="auto"/>
        <w:bottom w:val="none" w:sz="0" w:space="0" w:color="auto"/>
        <w:right w:val="none" w:sz="0" w:space="0" w:color="auto"/>
      </w:divBdr>
    </w:div>
    <w:div w:id="1570143135">
      <w:bodyDiv w:val="1"/>
      <w:marLeft w:val="0"/>
      <w:marRight w:val="0"/>
      <w:marTop w:val="0"/>
      <w:marBottom w:val="0"/>
      <w:divBdr>
        <w:top w:val="none" w:sz="0" w:space="0" w:color="auto"/>
        <w:left w:val="none" w:sz="0" w:space="0" w:color="auto"/>
        <w:bottom w:val="none" w:sz="0" w:space="0" w:color="auto"/>
        <w:right w:val="none" w:sz="0" w:space="0" w:color="auto"/>
      </w:divBdr>
    </w:div>
    <w:div w:id="1571695559">
      <w:bodyDiv w:val="1"/>
      <w:marLeft w:val="0"/>
      <w:marRight w:val="0"/>
      <w:marTop w:val="0"/>
      <w:marBottom w:val="0"/>
      <w:divBdr>
        <w:top w:val="none" w:sz="0" w:space="0" w:color="auto"/>
        <w:left w:val="none" w:sz="0" w:space="0" w:color="auto"/>
        <w:bottom w:val="none" w:sz="0" w:space="0" w:color="auto"/>
        <w:right w:val="none" w:sz="0" w:space="0" w:color="auto"/>
      </w:divBdr>
    </w:div>
    <w:div w:id="1574046094">
      <w:bodyDiv w:val="1"/>
      <w:marLeft w:val="0"/>
      <w:marRight w:val="0"/>
      <w:marTop w:val="0"/>
      <w:marBottom w:val="0"/>
      <w:divBdr>
        <w:top w:val="none" w:sz="0" w:space="0" w:color="auto"/>
        <w:left w:val="none" w:sz="0" w:space="0" w:color="auto"/>
        <w:bottom w:val="none" w:sz="0" w:space="0" w:color="auto"/>
        <w:right w:val="none" w:sz="0" w:space="0" w:color="auto"/>
      </w:divBdr>
    </w:div>
    <w:div w:id="1579095562">
      <w:bodyDiv w:val="1"/>
      <w:marLeft w:val="0"/>
      <w:marRight w:val="0"/>
      <w:marTop w:val="0"/>
      <w:marBottom w:val="0"/>
      <w:divBdr>
        <w:top w:val="none" w:sz="0" w:space="0" w:color="auto"/>
        <w:left w:val="none" w:sz="0" w:space="0" w:color="auto"/>
        <w:bottom w:val="none" w:sz="0" w:space="0" w:color="auto"/>
        <w:right w:val="none" w:sz="0" w:space="0" w:color="auto"/>
      </w:divBdr>
    </w:div>
    <w:div w:id="1592275169">
      <w:bodyDiv w:val="1"/>
      <w:marLeft w:val="0"/>
      <w:marRight w:val="0"/>
      <w:marTop w:val="0"/>
      <w:marBottom w:val="0"/>
      <w:divBdr>
        <w:top w:val="none" w:sz="0" w:space="0" w:color="auto"/>
        <w:left w:val="none" w:sz="0" w:space="0" w:color="auto"/>
        <w:bottom w:val="none" w:sz="0" w:space="0" w:color="auto"/>
        <w:right w:val="none" w:sz="0" w:space="0" w:color="auto"/>
      </w:divBdr>
    </w:div>
    <w:div w:id="1597060316">
      <w:bodyDiv w:val="1"/>
      <w:marLeft w:val="0"/>
      <w:marRight w:val="0"/>
      <w:marTop w:val="0"/>
      <w:marBottom w:val="0"/>
      <w:divBdr>
        <w:top w:val="none" w:sz="0" w:space="0" w:color="auto"/>
        <w:left w:val="none" w:sz="0" w:space="0" w:color="auto"/>
        <w:bottom w:val="none" w:sz="0" w:space="0" w:color="auto"/>
        <w:right w:val="none" w:sz="0" w:space="0" w:color="auto"/>
      </w:divBdr>
    </w:div>
    <w:div w:id="1599632317">
      <w:bodyDiv w:val="1"/>
      <w:marLeft w:val="0"/>
      <w:marRight w:val="0"/>
      <w:marTop w:val="0"/>
      <w:marBottom w:val="0"/>
      <w:divBdr>
        <w:top w:val="none" w:sz="0" w:space="0" w:color="auto"/>
        <w:left w:val="none" w:sz="0" w:space="0" w:color="auto"/>
        <w:bottom w:val="none" w:sz="0" w:space="0" w:color="auto"/>
        <w:right w:val="none" w:sz="0" w:space="0" w:color="auto"/>
      </w:divBdr>
    </w:div>
    <w:div w:id="1600332775">
      <w:bodyDiv w:val="1"/>
      <w:marLeft w:val="0"/>
      <w:marRight w:val="0"/>
      <w:marTop w:val="0"/>
      <w:marBottom w:val="0"/>
      <w:divBdr>
        <w:top w:val="none" w:sz="0" w:space="0" w:color="auto"/>
        <w:left w:val="none" w:sz="0" w:space="0" w:color="auto"/>
        <w:bottom w:val="none" w:sz="0" w:space="0" w:color="auto"/>
        <w:right w:val="none" w:sz="0" w:space="0" w:color="auto"/>
      </w:divBdr>
    </w:div>
    <w:div w:id="1600673515">
      <w:bodyDiv w:val="1"/>
      <w:marLeft w:val="0"/>
      <w:marRight w:val="0"/>
      <w:marTop w:val="0"/>
      <w:marBottom w:val="0"/>
      <w:divBdr>
        <w:top w:val="none" w:sz="0" w:space="0" w:color="auto"/>
        <w:left w:val="none" w:sz="0" w:space="0" w:color="auto"/>
        <w:bottom w:val="none" w:sz="0" w:space="0" w:color="auto"/>
        <w:right w:val="none" w:sz="0" w:space="0" w:color="auto"/>
      </w:divBdr>
    </w:div>
    <w:div w:id="1602375442">
      <w:bodyDiv w:val="1"/>
      <w:marLeft w:val="0"/>
      <w:marRight w:val="0"/>
      <w:marTop w:val="0"/>
      <w:marBottom w:val="0"/>
      <w:divBdr>
        <w:top w:val="none" w:sz="0" w:space="0" w:color="auto"/>
        <w:left w:val="none" w:sz="0" w:space="0" w:color="auto"/>
        <w:bottom w:val="none" w:sz="0" w:space="0" w:color="auto"/>
        <w:right w:val="none" w:sz="0" w:space="0" w:color="auto"/>
      </w:divBdr>
    </w:div>
    <w:div w:id="1602495347">
      <w:bodyDiv w:val="1"/>
      <w:marLeft w:val="0"/>
      <w:marRight w:val="0"/>
      <w:marTop w:val="0"/>
      <w:marBottom w:val="0"/>
      <w:divBdr>
        <w:top w:val="none" w:sz="0" w:space="0" w:color="auto"/>
        <w:left w:val="none" w:sz="0" w:space="0" w:color="auto"/>
        <w:bottom w:val="none" w:sz="0" w:space="0" w:color="auto"/>
        <w:right w:val="none" w:sz="0" w:space="0" w:color="auto"/>
      </w:divBdr>
    </w:div>
    <w:div w:id="1603804592">
      <w:bodyDiv w:val="1"/>
      <w:marLeft w:val="0"/>
      <w:marRight w:val="0"/>
      <w:marTop w:val="0"/>
      <w:marBottom w:val="0"/>
      <w:divBdr>
        <w:top w:val="none" w:sz="0" w:space="0" w:color="auto"/>
        <w:left w:val="none" w:sz="0" w:space="0" w:color="auto"/>
        <w:bottom w:val="none" w:sz="0" w:space="0" w:color="auto"/>
        <w:right w:val="none" w:sz="0" w:space="0" w:color="auto"/>
      </w:divBdr>
    </w:div>
    <w:div w:id="1613711064">
      <w:bodyDiv w:val="1"/>
      <w:marLeft w:val="0"/>
      <w:marRight w:val="0"/>
      <w:marTop w:val="0"/>
      <w:marBottom w:val="0"/>
      <w:divBdr>
        <w:top w:val="none" w:sz="0" w:space="0" w:color="auto"/>
        <w:left w:val="none" w:sz="0" w:space="0" w:color="auto"/>
        <w:bottom w:val="none" w:sz="0" w:space="0" w:color="auto"/>
        <w:right w:val="none" w:sz="0" w:space="0" w:color="auto"/>
      </w:divBdr>
    </w:div>
    <w:div w:id="1614938590">
      <w:bodyDiv w:val="1"/>
      <w:marLeft w:val="0"/>
      <w:marRight w:val="0"/>
      <w:marTop w:val="0"/>
      <w:marBottom w:val="0"/>
      <w:divBdr>
        <w:top w:val="none" w:sz="0" w:space="0" w:color="auto"/>
        <w:left w:val="none" w:sz="0" w:space="0" w:color="auto"/>
        <w:bottom w:val="none" w:sz="0" w:space="0" w:color="auto"/>
        <w:right w:val="none" w:sz="0" w:space="0" w:color="auto"/>
      </w:divBdr>
    </w:div>
    <w:div w:id="1622879148">
      <w:bodyDiv w:val="1"/>
      <w:marLeft w:val="0"/>
      <w:marRight w:val="0"/>
      <w:marTop w:val="0"/>
      <w:marBottom w:val="0"/>
      <w:divBdr>
        <w:top w:val="none" w:sz="0" w:space="0" w:color="auto"/>
        <w:left w:val="none" w:sz="0" w:space="0" w:color="auto"/>
        <w:bottom w:val="none" w:sz="0" w:space="0" w:color="auto"/>
        <w:right w:val="none" w:sz="0" w:space="0" w:color="auto"/>
      </w:divBdr>
    </w:div>
    <w:div w:id="1628316171">
      <w:bodyDiv w:val="1"/>
      <w:marLeft w:val="0"/>
      <w:marRight w:val="0"/>
      <w:marTop w:val="0"/>
      <w:marBottom w:val="0"/>
      <w:divBdr>
        <w:top w:val="none" w:sz="0" w:space="0" w:color="auto"/>
        <w:left w:val="none" w:sz="0" w:space="0" w:color="auto"/>
        <w:bottom w:val="none" w:sz="0" w:space="0" w:color="auto"/>
        <w:right w:val="none" w:sz="0" w:space="0" w:color="auto"/>
      </w:divBdr>
    </w:div>
    <w:div w:id="1633825314">
      <w:bodyDiv w:val="1"/>
      <w:marLeft w:val="0"/>
      <w:marRight w:val="0"/>
      <w:marTop w:val="0"/>
      <w:marBottom w:val="0"/>
      <w:divBdr>
        <w:top w:val="none" w:sz="0" w:space="0" w:color="auto"/>
        <w:left w:val="none" w:sz="0" w:space="0" w:color="auto"/>
        <w:bottom w:val="none" w:sz="0" w:space="0" w:color="auto"/>
        <w:right w:val="none" w:sz="0" w:space="0" w:color="auto"/>
      </w:divBdr>
    </w:div>
    <w:div w:id="1634560591">
      <w:bodyDiv w:val="1"/>
      <w:marLeft w:val="0"/>
      <w:marRight w:val="0"/>
      <w:marTop w:val="0"/>
      <w:marBottom w:val="0"/>
      <w:divBdr>
        <w:top w:val="none" w:sz="0" w:space="0" w:color="auto"/>
        <w:left w:val="none" w:sz="0" w:space="0" w:color="auto"/>
        <w:bottom w:val="none" w:sz="0" w:space="0" w:color="auto"/>
        <w:right w:val="none" w:sz="0" w:space="0" w:color="auto"/>
      </w:divBdr>
    </w:div>
    <w:div w:id="1637444643">
      <w:bodyDiv w:val="1"/>
      <w:marLeft w:val="0"/>
      <w:marRight w:val="0"/>
      <w:marTop w:val="0"/>
      <w:marBottom w:val="0"/>
      <w:divBdr>
        <w:top w:val="none" w:sz="0" w:space="0" w:color="auto"/>
        <w:left w:val="none" w:sz="0" w:space="0" w:color="auto"/>
        <w:bottom w:val="none" w:sz="0" w:space="0" w:color="auto"/>
        <w:right w:val="none" w:sz="0" w:space="0" w:color="auto"/>
      </w:divBdr>
    </w:div>
    <w:div w:id="1642033657">
      <w:bodyDiv w:val="1"/>
      <w:marLeft w:val="0"/>
      <w:marRight w:val="0"/>
      <w:marTop w:val="0"/>
      <w:marBottom w:val="0"/>
      <w:divBdr>
        <w:top w:val="none" w:sz="0" w:space="0" w:color="auto"/>
        <w:left w:val="none" w:sz="0" w:space="0" w:color="auto"/>
        <w:bottom w:val="none" w:sz="0" w:space="0" w:color="auto"/>
        <w:right w:val="none" w:sz="0" w:space="0" w:color="auto"/>
      </w:divBdr>
    </w:div>
    <w:div w:id="1643728582">
      <w:bodyDiv w:val="1"/>
      <w:marLeft w:val="0"/>
      <w:marRight w:val="0"/>
      <w:marTop w:val="0"/>
      <w:marBottom w:val="0"/>
      <w:divBdr>
        <w:top w:val="none" w:sz="0" w:space="0" w:color="auto"/>
        <w:left w:val="none" w:sz="0" w:space="0" w:color="auto"/>
        <w:bottom w:val="none" w:sz="0" w:space="0" w:color="auto"/>
        <w:right w:val="none" w:sz="0" w:space="0" w:color="auto"/>
      </w:divBdr>
    </w:div>
    <w:div w:id="1645741006">
      <w:bodyDiv w:val="1"/>
      <w:marLeft w:val="0"/>
      <w:marRight w:val="0"/>
      <w:marTop w:val="0"/>
      <w:marBottom w:val="0"/>
      <w:divBdr>
        <w:top w:val="none" w:sz="0" w:space="0" w:color="auto"/>
        <w:left w:val="none" w:sz="0" w:space="0" w:color="auto"/>
        <w:bottom w:val="none" w:sz="0" w:space="0" w:color="auto"/>
        <w:right w:val="none" w:sz="0" w:space="0" w:color="auto"/>
      </w:divBdr>
    </w:div>
    <w:div w:id="1649478801">
      <w:bodyDiv w:val="1"/>
      <w:marLeft w:val="0"/>
      <w:marRight w:val="0"/>
      <w:marTop w:val="0"/>
      <w:marBottom w:val="0"/>
      <w:divBdr>
        <w:top w:val="none" w:sz="0" w:space="0" w:color="auto"/>
        <w:left w:val="none" w:sz="0" w:space="0" w:color="auto"/>
        <w:bottom w:val="none" w:sz="0" w:space="0" w:color="auto"/>
        <w:right w:val="none" w:sz="0" w:space="0" w:color="auto"/>
      </w:divBdr>
    </w:div>
    <w:div w:id="1653870260">
      <w:bodyDiv w:val="1"/>
      <w:marLeft w:val="0"/>
      <w:marRight w:val="0"/>
      <w:marTop w:val="0"/>
      <w:marBottom w:val="0"/>
      <w:divBdr>
        <w:top w:val="none" w:sz="0" w:space="0" w:color="auto"/>
        <w:left w:val="none" w:sz="0" w:space="0" w:color="auto"/>
        <w:bottom w:val="none" w:sz="0" w:space="0" w:color="auto"/>
        <w:right w:val="none" w:sz="0" w:space="0" w:color="auto"/>
      </w:divBdr>
    </w:div>
    <w:div w:id="1655140501">
      <w:bodyDiv w:val="1"/>
      <w:marLeft w:val="0"/>
      <w:marRight w:val="0"/>
      <w:marTop w:val="0"/>
      <w:marBottom w:val="0"/>
      <w:divBdr>
        <w:top w:val="none" w:sz="0" w:space="0" w:color="auto"/>
        <w:left w:val="none" w:sz="0" w:space="0" w:color="auto"/>
        <w:bottom w:val="none" w:sz="0" w:space="0" w:color="auto"/>
        <w:right w:val="none" w:sz="0" w:space="0" w:color="auto"/>
      </w:divBdr>
    </w:div>
    <w:div w:id="1657562545">
      <w:bodyDiv w:val="1"/>
      <w:marLeft w:val="0"/>
      <w:marRight w:val="0"/>
      <w:marTop w:val="0"/>
      <w:marBottom w:val="0"/>
      <w:divBdr>
        <w:top w:val="none" w:sz="0" w:space="0" w:color="auto"/>
        <w:left w:val="none" w:sz="0" w:space="0" w:color="auto"/>
        <w:bottom w:val="none" w:sz="0" w:space="0" w:color="auto"/>
        <w:right w:val="none" w:sz="0" w:space="0" w:color="auto"/>
      </w:divBdr>
    </w:div>
    <w:div w:id="1665472614">
      <w:bodyDiv w:val="1"/>
      <w:marLeft w:val="0"/>
      <w:marRight w:val="0"/>
      <w:marTop w:val="0"/>
      <w:marBottom w:val="0"/>
      <w:divBdr>
        <w:top w:val="none" w:sz="0" w:space="0" w:color="auto"/>
        <w:left w:val="none" w:sz="0" w:space="0" w:color="auto"/>
        <w:bottom w:val="none" w:sz="0" w:space="0" w:color="auto"/>
        <w:right w:val="none" w:sz="0" w:space="0" w:color="auto"/>
      </w:divBdr>
    </w:div>
    <w:div w:id="1672685803">
      <w:bodyDiv w:val="1"/>
      <w:marLeft w:val="0"/>
      <w:marRight w:val="0"/>
      <w:marTop w:val="0"/>
      <w:marBottom w:val="0"/>
      <w:divBdr>
        <w:top w:val="none" w:sz="0" w:space="0" w:color="auto"/>
        <w:left w:val="none" w:sz="0" w:space="0" w:color="auto"/>
        <w:bottom w:val="none" w:sz="0" w:space="0" w:color="auto"/>
        <w:right w:val="none" w:sz="0" w:space="0" w:color="auto"/>
      </w:divBdr>
      <w:divsChild>
        <w:div w:id="2070036293">
          <w:marLeft w:val="0"/>
          <w:marRight w:val="0"/>
          <w:marTop w:val="0"/>
          <w:marBottom w:val="0"/>
          <w:divBdr>
            <w:top w:val="none" w:sz="0" w:space="0" w:color="auto"/>
            <w:left w:val="none" w:sz="0" w:space="0" w:color="auto"/>
            <w:bottom w:val="none" w:sz="0" w:space="0" w:color="auto"/>
            <w:right w:val="none" w:sz="0" w:space="0" w:color="auto"/>
          </w:divBdr>
          <w:divsChild>
            <w:div w:id="1780641686">
              <w:marLeft w:val="0"/>
              <w:marRight w:val="0"/>
              <w:marTop w:val="0"/>
              <w:marBottom w:val="0"/>
              <w:divBdr>
                <w:top w:val="none" w:sz="0" w:space="0" w:color="auto"/>
                <w:left w:val="none" w:sz="0" w:space="0" w:color="auto"/>
                <w:bottom w:val="none" w:sz="0" w:space="0" w:color="auto"/>
                <w:right w:val="none" w:sz="0" w:space="0" w:color="auto"/>
              </w:divBdr>
              <w:divsChild>
                <w:div w:id="834565248">
                  <w:marLeft w:val="0"/>
                  <w:marRight w:val="0"/>
                  <w:marTop w:val="0"/>
                  <w:marBottom w:val="0"/>
                  <w:divBdr>
                    <w:top w:val="none" w:sz="0" w:space="0" w:color="auto"/>
                    <w:left w:val="none" w:sz="0" w:space="0" w:color="auto"/>
                    <w:bottom w:val="none" w:sz="0" w:space="0" w:color="auto"/>
                    <w:right w:val="none" w:sz="0" w:space="0" w:color="auto"/>
                  </w:divBdr>
                  <w:divsChild>
                    <w:div w:id="19107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85342">
      <w:bodyDiv w:val="1"/>
      <w:marLeft w:val="0"/>
      <w:marRight w:val="0"/>
      <w:marTop w:val="0"/>
      <w:marBottom w:val="0"/>
      <w:divBdr>
        <w:top w:val="none" w:sz="0" w:space="0" w:color="auto"/>
        <w:left w:val="none" w:sz="0" w:space="0" w:color="auto"/>
        <w:bottom w:val="none" w:sz="0" w:space="0" w:color="auto"/>
        <w:right w:val="none" w:sz="0" w:space="0" w:color="auto"/>
      </w:divBdr>
    </w:div>
    <w:div w:id="1676221868">
      <w:bodyDiv w:val="1"/>
      <w:marLeft w:val="0"/>
      <w:marRight w:val="0"/>
      <w:marTop w:val="0"/>
      <w:marBottom w:val="0"/>
      <w:divBdr>
        <w:top w:val="none" w:sz="0" w:space="0" w:color="auto"/>
        <w:left w:val="none" w:sz="0" w:space="0" w:color="auto"/>
        <w:bottom w:val="none" w:sz="0" w:space="0" w:color="auto"/>
        <w:right w:val="none" w:sz="0" w:space="0" w:color="auto"/>
      </w:divBdr>
    </w:div>
    <w:div w:id="1677076841">
      <w:bodyDiv w:val="1"/>
      <w:marLeft w:val="0"/>
      <w:marRight w:val="0"/>
      <w:marTop w:val="0"/>
      <w:marBottom w:val="0"/>
      <w:divBdr>
        <w:top w:val="none" w:sz="0" w:space="0" w:color="auto"/>
        <w:left w:val="none" w:sz="0" w:space="0" w:color="auto"/>
        <w:bottom w:val="none" w:sz="0" w:space="0" w:color="auto"/>
        <w:right w:val="none" w:sz="0" w:space="0" w:color="auto"/>
      </w:divBdr>
    </w:div>
    <w:div w:id="1678339225">
      <w:bodyDiv w:val="1"/>
      <w:marLeft w:val="0"/>
      <w:marRight w:val="0"/>
      <w:marTop w:val="0"/>
      <w:marBottom w:val="0"/>
      <w:divBdr>
        <w:top w:val="none" w:sz="0" w:space="0" w:color="auto"/>
        <w:left w:val="none" w:sz="0" w:space="0" w:color="auto"/>
        <w:bottom w:val="none" w:sz="0" w:space="0" w:color="auto"/>
        <w:right w:val="none" w:sz="0" w:space="0" w:color="auto"/>
      </w:divBdr>
    </w:div>
    <w:div w:id="1686204482">
      <w:bodyDiv w:val="1"/>
      <w:marLeft w:val="300"/>
      <w:marRight w:val="300"/>
      <w:marTop w:val="300"/>
      <w:marBottom w:val="300"/>
      <w:divBdr>
        <w:top w:val="none" w:sz="0" w:space="0" w:color="auto"/>
        <w:left w:val="none" w:sz="0" w:space="0" w:color="auto"/>
        <w:bottom w:val="none" w:sz="0" w:space="0" w:color="auto"/>
        <w:right w:val="none" w:sz="0" w:space="0" w:color="auto"/>
      </w:divBdr>
    </w:div>
    <w:div w:id="1687058984">
      <w:bodyDiv w:val="1"/>
      <w:marLeft w:val="0"/>
      <w:marRight w:val="0"/>
      <w:marTop w:val="0"/>
      <w:marBottom w:val="0"/>
      <w:divBdr>
        <w:top w:val="none" w:sz="0" w:space="0" w:color="auto"/>
        <w:left w:val="none" w:sz="0" w:space="0" w:color="auto"/>
        <w:bottom w:val="none" w:sz="0" w:space="0" w:color="auto"/>
        <w:right w:val="none" w:sz="0" w:space="0" w:color="auto"/>
      </w:divBdr>
    </w:div>
    <w:div w:id="1693023234">
      <w:bodyDiv w:val="1"/>
      <w:marLeft w:val="0"/>
      <w:marRight w:val="0"/>
      <w:marTop w:val="0"/>
      <w:marBottom w:val="0"/>
      <w:divBdr>
        <w:top w:val="none" w:sz="0" w:space="0" w:color="auto"/>
        <w:left w:val="none" w:sz="0" w:space="0" w:color="auto"/>
        <w:bottom w:val="none" w:sz="0" w:space="0" w:color="auto"/>
        <w:right w:val="none" w:sz="0" w:space="0" w:color="auto"/>
      </w:divBdr>
    </w:div>
    <w:div w:id="1693260861">
      <w:bodyDiv w:val="1"/>
      <w:marLeft w:val="0"/>
      <w:marRight w:val="0"/>
      <w:marTop w:val="0"/>
      <w:marBottom w:val="0"/>
      <w:divBdr>
        <w:top w:val="none" w:sz="0" w:space="0" w:color="auto"/>
        <w:left w:val="none" w:sz="0" w:space="0" w:color="auto"/>
        <w:bottom w:val="none" w:sz="0" w:space="0" w:color="auto"/>
        <w:right w:val="none" w:sz="0" w:space="0" w:color="auto"/>
      </w:divBdr>
    </w:div>
    <w:div w:id="1695619314">
      <w:bodyDiv w:val="1"/>
      <w:marLeft w:val="0"/>
      <w:marRight w:val="0"/>
      <w:marTop w:val="0"/>
      <w:marBottom w:val="0"/>
      <w:divBdr>
        <w:top w:val="none" w:sz="0" w:space="0" w:color="auto"/>
        <w:left w:val="none" w:sz="0" w:space="0" w:color="auto"/>
        <w:bottom w:val="none" w:sz="0" w:space="0" w:color="auto"/>
        <w:right w:val="none" w:sz="0" w:space="0" w:color="auto"/>
      </w:divBdr>
    </w:div>
    <w:div w:id="1698431413">
      <w:bodyDiv w:val="1"/>
      <w:marLeft w:val="0"/>
      <w:marRight w:val="0"/>
      <w:marTop w:val="0"/>
      <w:marBottom w:val="0"/>
      <w:divBdr>
        <w:top w:val="none" w:sz="0" w:space="0" w:color="auto"/>
        <w:left w:val="none" w:sz="0" w:space="0" w:color="auto"/>
        <w:bottom w:val="none" w:sz="0" w:space="0" w:color="auto"/>
        <w:right w:val="none" w:sz="0" w:space="0" w:color="auto"/>
      </w:divBdr>
    </w:div>
    <w:div w:id="1700203719">
      <w:bodyDiv w:val="1"/>
      <w:marLeft w:val="0"/>
      <w:marRight w:val="0"/>
      <w:marTop w:val="0"/>
      <w:marBottom w:val="0"/>
      <w:divBdr>
        <w:top w:val="none" w:sz="0" w:space="0" w:color="auto"/>
        <w:left w:val="none" w:sz="0" w:space="0" w:color="auto"/>
        <w:bottom w:val="none" w:sz="0" w:space="0" w:color="auto"/>
        <w:right w:val="none" w:sz="0" w:space="0" w:color="auto"/>
      </w:divBdr>
    </w:div>
    <w:div w:id="1703095113">
      <w:bodyDiv w:val="1"/>
      <w:marLeft w:val="0"/>
      <w:marRight w:val="0"/>
      <w:marTop w:val="0"/>
      <w:marBottom w:val="0"/>
      <w:divBdr>
        <w:top w:val="none" w:sz="0" w:space="0" w:color="auto"/>
        <w:left w:val="none" w:sz="0" w:space="0" w:color="auto"/>
        <w:bottom w:val="none" w:sz="0" w:space="0" w:color="auto"/>
        <w:right w:val="none" w:sz="0" w:space="0" w:color="auto"/>
      </w:divBdr>
    </w:div>
    <w:div w:id="1705010847">
      <w:bodyDiv w:val="1"/>
      <w:marLeft w:val="0"/>
      <w:marRight w:val="0"/>
      <w:marTop w:val="0"/>
      <w:marBottom w:val="0"/>
      <w:divBdr>
        <w:top w:val="none" w:sz="0" w:space="0" w:color="auto"/>
        <w:left w:val="none" w:sz="0" w:space="0" w:color="auto"/>
        <w:bottom w:val="none" w:sz="0" w:space="0" w:color="auto"/>
        <w:right w:val="none" w:sz="0" w:space="0" w:color="auto"/>
      </w:divBdr>
    </w:div>
    <w:div w:id="1708026430">
      <w:bodyDiv w:val="1"/>
      <w:marLeft w:val="0"/>
      <w:marRight w:val="0"/>
      <w:marTop w:val="0"/>
      <w:marBottom w:val="0"/>
      <w:divBdr>
        <w:top w:val="none" w:sz="0" w:space="0" w:color="auto"/>
        <w:left w:val="none" w:sz="0" w:space="0" w:color="auto"/>
        <w:bottom w:val="none" w:sz="0" w:space="0" w:color="auto"/>
        <w:right w:val="none" w:sz="0" w:space="0" w:color="auto"/>
      </w:divBdr>
    </w:div>
    <w:div w:id="1708598766">
      <w:bodyDiv w:val="1"/>
      <w:marLeft w:val="0"/>
      <w:marRight w:val="0"/>
      <w:marTop w:val="0"/>
      <w:marBottom w:val="0"/>
      <w:divBdr>
        <w:top w:val="none" w:sz="0" w:space="0" w:color="auto"/>
        <w:left w:val="none" w:sz="0" w:space="0" w:color="auto"/>
        <w:bottom w:val="none" w:sz="0" w:space="0" w:color="auto"/>
        <w:right w:val="none" w:sz="0" w:space="0" w:color="auto"/>
      </w:divBdr>
    </w:div>
    <w:div w:id="1708800797">
      <w:bodyDiv w:val="1"/>
      <w:marLeft w:val="0"/>
      <w:marRight w:val="0"/>
      <w:marTop w:val="0"/>
      <w:marBottom w:val="0"/>
      <w:divBdr>
        <w:top w:val="none" w:sz="0" w:space="0" w:color="auto"/>
        <w:left w:val="none" w:sz="0" w:space="0" w:color="auto"/>
        <w:bottom w:val="none" w:sz="0" w:space="0" w:color="auto"/>
        <w:right w:val="none" w:sz="0" w:space="0" w:color="auto"/>
      </w:divBdr>
    </w:div>
    <w:div w:id="1712606447">
      <w:bodyDiv w:val="1"/>
      <w:marLeft w:val="0"/>
      <w:marRight w:val="0"/>
      <w:marTop w:val="0"/>
      <w:marBottom w:val="0"/>
      <w:divBdr>
        <w:top w:val="none" w:sz="0" w:space="0" w:color="auto"/>
        <w:left w:val="none" w:sz="0" w:space="0" w:color="auto"/>
        <w:bottom w:val="none" w:sz="0" w:space="0" w:color="auto"/>
        <w:right w:val="none" w:sz="0" w:space="0" w:color="auto"/>
      </w:divBdr>
    </w:div>
    <w:div w:id="1720937358">
      <w:bodyDiv w:val="1"/>
      <w:marLeft w:val="50"/>
      <w:marRight w:val="0"/>
      <w:marTop w:val="63"/>
      <w:marBottom w:val="63"/>
      <w:divBdr>
        <w:top w:val="none" w:sz="0" w:space="0" w:color="auto"/>
        <w:left w:val="none" w:sz="0" w:space="0" w:color="auto"/>
        <w:bottom w:val="none" w:sz="0" w:space="0" w:color="auto"/>
        <w:right w:val="none" w:sz="0" w:space="0" w:color="auto"/>
      </w:divBdr>
      <w:divsChild>
        <w:div w:id="1976444179">
          <w:marLeft w:val="0"/>
          <w:marRight w:val="0"/>
          <w:marTop w:val="0"/>
          <w:marBottom w:val="0"/>
          <w:divBdr>
            <w:top w:val="none" w:sz="0" w:space="0" w:color="auto"/>
            <w:left w:val="none" w:sz="0" w:space="0" w:color="auto"/>
            <w:bottom w:val="none" w:sz="0" w:space="0" w:color="auto"/>
            <w:right w:val="none" w:sz="0" w:space="0" w:color="auto"/>
          </w:divBdr>
        </w:div>
      </w:divsChild>
    </w:div>
    <w:div w:id="1720981561">
      <w:bodyDiv w:val="1"/>
      <w:marLeft w:val="0"/>
      <w:marRight w:val="0"/>
      <w:marTop w:val="0"/>
      <w:marBottom w:val="0"/>
      <w:divBdr>
        <w:top w:val="none" w:sz="0" w:space="0" w:color="auto"/>
        <w:left w:val="none" w:sz="0" w:space="0" w:color="auto"/>
        <w:bottom w:val="none" w:sz="0" w:space="0" w:color="auto"/>
        <w:right w:val="none" w:sz="0" w:space="0" w:color="auto"/>
      </w:divBdr>
    </w:div>
    <w:div w:id="1721707744">
      <w:bodyDiv w:val="1"/>
      <w:marLeft w:val="0"/>
      <w:marRight w:val="0"/>
      <w:marTop w:val="0"/>
      <w:marBottom w:val="0"/>
      <w:divBdr>
        <w:top w:val="none" w:sz="0" w:space="0" w:color="auto"/>
        <w:left w:val="none" w:sz="0" w:space="0" w:color="auto"/>
        <w:bottom w:val="none" w:sz="0" w:space="0" w:color="auto"/>
        <w:right w:val="none" w:sz="0" w:space="0" w:color="auto"/>
      </w:divBdr>
    </w:div>
    <w:div w:id="1723601943">
      <w:bodyDiv w:val="1"/>
      <w:marLeft w:val="0"/>
      <w:marRight w:val="0"/>
      <w:marTop w:val="0"/>
      <w:marBottom w:val="0"/>
      <w:divBdr>
        <w:top w:val="none" w:sz="0" w:space="0" w:color="auto"/>
        <w:left w:val="none" w:sz="0" w:space="0" w:color="auto"/>
        <w:bottom w:val="none" w:sz="0" w:space="0" w:color="auto"/>
        <w:right w:val="none" w:sz="0" w:space="0" w:color="auto"/>
      </w:divBdr>
    </w:div>
    <w:div w:id="1724058863">
      <w:bodyDiv w:val="1"/>
      <w:marLeft w:val="0"/>
      <w:marRight w:val="0"/>
      <w:marTop w:val="0"/>
      <w:marBottom w:val="0"/>
      <w:divBdr>
        <w:top w:val="none" w:sz="0" w:space="0" w:color="auto"/>
        <w:left w:val="none" w:sz="0" w:space="0" w:color="auto"/>
        <w:bottom w:val="none" w:sz="0" w:space="0" w:color="auto"/>
        <w:right w:val="none" w:sz="0" w:space="0" w:color="auto"/>
      </w:divBdr>
    </w:div>
    <w:div w:id="1724211926">
      <w:bodyDiv w:val="1"/>
      <w:marLeft w:val="0"/>
      <w:marRight w:val="0"/>
      <w:marTop w:val="0"/>
      <w:marBottom w:val="0"/>
      <w:divBdr>
        <w:top w:val="none" w:sz="0" w:space="0" w:color="auto"/>
        <w:left w:val="none" w:sz="0" w:space="0" w:color="auto"/>
        <w:bottom w:val="none" w:sz="0" w:space="0" w:color="auto"/>
        <w:right w:val="none" w:sz="0" w:space="0" w:color="auto"/>
      </w:divBdr>
    </w:div>
    <w:div w:id="1728263110">
      <w:bodyDiv w:val="1"/>
      <w:marLeft w:val="0"/>
      <w:marRight w:val="0"/>
      <w:marTop w:val="0"/>
      <w:marBottom w:val="0"/>
      <w:divBdr>
        <w:top w:val="none" w:sz="0" w:space="0" w:color="auto"/>
        <w:left w:val="none" w:sz="0" w:space="0" w:color="auto"/>
        <w:bottom w:val="none" w:sz="0" w:space="0" w:color="auto"/>
        <w:right w:val="none" w:sz="0" w:space="0" w:color="auto"/>
      </w:divBdr>
    </w:div>
    <w:div w:id="1735665488">
      <w:bodyDiv w:val="1"/>
      <w:marLeft w:val="0"/>
      <w:marRight w:val="0"/>
      <w:marTop w:val="0"/>
      <w:marBottom w:val="0"/>
      <w:divBdr>
        <w:top w:val="none" w:sz="0" w:space="0" w:color="auto"/>
        <w:left w:val="none" w:sz="0" w:space="0" w:color="auto"/>
        <w:bottom w:val="none" w:sz="0" w:space="0" w:color="auto"/>
        <w:right w:val="none" w:sz="0" w:space="0" w:color="auto"/>
      </w:divBdr>
    </w:div>
    <w:div w:id="1737513667">
      <w:bodyDiv w:val="1"/>
      <w:marLeft w:val="0"/>
      <w:marRight w:val="0"/>
      <w:marTop w:val="0"/>
      <w:marBottom w:val="0"/>
      <w:divBdr>
        <w:top w:val="none" w:sz="0" w:space="0" w:color="auto"/>
        <w:left w:val="none" w:sz="0" w:space="0" w:color="auto"/>
        <w:bottom w:val="none" w:sz="0" w:space="0" w:color="auto"/>
        <w:right w:val="none" w:sz="0" w:space="0" w:color="auto"/>
      </w:divBdr>
    </w:div>
    <w:div w:id="1747920184">
      <w:bodyDiv w:val="1"/>
      <w:marLeft w:val="0"/>
      <w:marRight w:val="0"/>
      <w:marTop w:val="0"/>
      <w:marBottom w:val="0"/>
      <w:divBdr>
        <w:top w:val="none" w:sz="0" w:space="0" w:color="auto"/>
        <w:left w:val="none" w:sz="0" w:space="0" w:color="auto"/>
        <w:bottom w:val="none" w:sz="0" w:space="0" w:color="auto"/>
        <w:right w:val="none" w:sz="0" w:space="0" w:color="auto"/>
      </w:divBdr>
    </w:div>
    <w:div w:id="1753504414">
      <w:bodyDiv w:val="1"/>
      <w:marLeft w:val="0"/>
      <w:marRight w:val="0"/>
      <w:marTop w:val="0"/>
      <w:marBottom w:val="0"/>
      <w:divBdr>
        <w:top w:val="none" w:sz="0" w:space="0" w:color="auto"/>
        <w:left w:val="none" w:sz="0" w:space="0" w:color="auto"/>
        <w:bottom w:val="none" w:sz="0" w:space="0" w:color="auto"/>
        <w:right w:val="none" w:sz="0" w:space="0" w:color="auto"/>
      </w:divBdr>
    </w:div>
    <w:div w:id="1754009030">
      <w:bodyDiv w:val="1"/>
      <w:marLeft w:val="0"/>
      <w:marRight w:val="0"/>
      <w:marTop w:val="0"/>
      <w:marBottom w:val="0"/>
      <w:divBdr>
        <w:top w:val="none" w:sz="0" w:space="0" w:color="auto"/>
        <w:left w:val="none" w:sz="0" w:space="0" w:color="auto"/>
        <w:bottom w:val="none" w:sz="0" w:space="0" w:color="auto"/>
        <w:right w:val="none" w:sz="0" w:space="0" w:color="auto"/>
      </w:divBdr>
    </w:div>
    <w:div w:id="1766345134">
      <w:bodyDiv w:val="1"/>
      <w:marLeft w:val="0"/>
      <w:marRight w:val="0"/>
      <w:marTop w:val="0"/>
      <w:marBottom w:val="0"/>
      <w:divBdr>
        <w:top w:val="none" w:sz="0" w:space="0" w:color="auto"/>
        <w:left w:val="none" w:sz="0" w:space="0" w:color="auto"/>
        <w:bottom w:val="none" w:sz="0" w:space="0" w:color="auto"/>
        <w:right w:val="none" w:sz="0" w:space="0" w:color="auto"/>
      </w:divBdr>
    </w:div>
    <w:div w:id="1769157377">
      <w:bodyDiv w:val="1"/>
      <w:marLeft w:val="0"/>
      <w:marRight w:val="0"/>
      <w:marTop w:val="0"/>
      <w:marBottom w:val="0"/>
      <w:divBdr>
        <w:top w:val="none" w:sz="0" w:space="0" w:color="auto"/>
        <w:left w:val="none" w:sz="0" w:space="0" w:color="auto"/>
        <w:bottom w:val="none" w:sz="0" w:space="0" w:color="auto"/>
        <w:right w:val="none" w:sz="0" w:space="0" w:color="auto"/>
      </w:divBdr>
    </w:div>
    <w:div w:id="1774204821">
      <w:bodyDiv w:val="1"/>
      <w:marLeft w:val="0"/>
      <w:marRight w:val="0"/>
      <w:marTop w:val="0"/>
      <w:marBottom w:val="0"/>
      <w:divBdr>
        <w:top w:val="none" w:sz="0" w:space="0" w:color="auto"/>
        <w:left w:val="none" w:sz="0" w:space="0" w:color="auto"/>
        <w:bottom w:val="none" w:sz="0" w:space="0" w:color="auto"/>
        <w:right w:val="none" w:sz="0" w:space="0" w:color="auto"/>
      </w:divBdr>
    </w:div>
    <w:div w:id="1774471839">
      <w:bodyDiv w:val="1"/>
      <w:marLeft w:val="0"/>
      <w:marRight w:val="0"/>
      <w:marTop w:val="0"/>
      <w:marBottom w:val="0"/>
      <w:divBdr>
        <w:top w:val="none" w:sz="0" w:space="0" w:color="auto"/>
        <w:left w:val="none" w:sz="0" w:space="0" w:color="auto"/>
        <w:bottom w:val="none" w:sz="0" w:space="0" w:color="auto"/>
        <w:right w:val="none" w:sz="0" w:space="0" w:color="auto"/>
      </w:divBdr>
    </w:div>
    <w:div w:id="1778981993">
      <w:bodyDiv w:val="1"/>
      <w:marLeft w:val="0"/>
      <w:marRight w:val="0"/>
      <w:marTop w:val="0"/>
      <w:marBottom w:val="0"/>
      <w:divBdr>
        <w:top w:val="none" w:sz="0" w:space="0" w:color="auto"/>
        <w:left w:val="none" w:sz="0" w:space="0" w:color="auto"/>
        <w:bottom w:val="none" w:sz="0" w:space="0" w:color="auto"/>
        <w:right w:val="none" w:sz="0" w:space="0" w:color="auto"/>
      </w:divBdr>
    </w:div>
    <w:div w:id="1783453916">
      <w:bodyDiv w:val="1"/>
      <w:marLeft w:val="0"/>
      <w:marRight w:val="0"/>
      <w:marTop w:val="0"/>
      <w:marBottom w:val="0"/>
      <w:divBdr>
        <w:top w:val="none" w:sz="0" w:space="0" w:color="auto"/>
        <w:left w:val="none" w:sz="0" w:space="0" w:color="auto"/>
        <w:bottom w:val="none" w:sz="0" w:space="0" w:color="auto"/>
        <w:right w:val="none" w:sz="0" w:space="0" w:color="auto"/>
      </w:divBdr>
    </w:div>
    <w:div w:id="1790583818">
      <w:bodyDiv w:val="1"/>
      <w:marLeft w:val="0"/>
      <w:marRight w:val="0"/>
      <w:marTop w:val="0"/>
      <w:marBottom w:val="0"/>
      <w:divBdr>
        <w:top w:val="none" w:sz="0" w:space="0" w:color="auto"/>
        <w:left w:val="none" w:sz="0" w:space="0" w:color="auto"/>
        <w:bottom w:val="none" w:sz="0" w:space="0" w:color="auto"/>
        <w:right w:val="none" w:sz="0" w:space="0" w:color="auto"/>
      </w:divBdr>
    </w:div>
    <w:div w:id="1796220308">
      <w:bodyDiv w:val="1"/>
      <w:marLeft w:val="0"/>
      <w:marRight w:val="0"/>
      <w:marTop w:val="0"/>
      <w:marBottom w:val="0"/>
      <w:divBdr>
        <w:top w:val="none" w:sz="0" w:space="0" w:color="auto"/>
        <w:left w:val="none" w:sz="0" w:space="0" w:color="auto"/>
        <w:bottom w:val="none" w:sz="0" w:space="0" w:color="auto"/>
        <w:right w:val="none" w:sz="0" w:space="0" w:color="auto"/>
      </w:divBdr>
    </w:div>
    <w:div w:id="1797988198">
      <w:bodyDiv w:val="1"/>
      <w:marLeft w:val="0"/>
      <w:marRight w:val="0"/>
      <w:marTop w:val="0"/>
      <w:marBottom w:val="0"/>
      <w:divBdr>
        <w:top w:val="none" w:sz="0" w:space="0" w:color="auto"/>
        <w:left w:val="none" w:sz="0" w:space="0" w:color="auto"/>
        <w:bottom w:val="none" w:sz="0" w:space="0" w:color="auto"/>
        <w:right w:val="none" w:sz="0" w:space="0" w:color="auto"/>
      </w:divBdr>
    </w:div>
    <w:div w:id="1798915266">
      <w:bodyDiv w:val="1"/>
      <w:marLeft w:val="0"/>
      <w:marRight w:val="0"/>
      <w:marTop w:val="0"/>
      <w:marBottom w:val="0"/>
      <w:divBdr>
        <w:top w:val="none" w:sz="0" w:space="0" w:color="auto"/>
        <w:left w:val="none" w:sz="0" w:space="0" w:color="auto"/>
        <w:bottom w:val="none" w:sz="0" w:space="0" w:color="auto"/>
        <w:right w:val="none" w:sz="0" w:space="0" w:color="auto"/>
      </w:divBdr>
    </w:div>
    <w:div w:id="1811244920">
      <w:bodyDiv w:val="1"/>
      <w:marLeft w:val="0"/>
      <w:marRight w:val="0"/>
      <w:marTop w:val="0"/>
      <w:marBottom w:val="0"/>
      <w:divBdr>
        <w:top w:val="none" w:sz="0" w:space="0" w:color="auto"/>
        <w:left w:val="none" w:sz="0" w:space="0" w:color="auto"/>
        <w:bottom w:val="none" w:sz="0" w:space="0" w:color="auto"/>
        <w:right w:val="none" w:sz="0" w:space="0" w:color="auto"/>
      </w:divBdr>
    </w:div>
    <w:div w:id="1814640573">
      <w:bodyDiv w:val="1"/>
      <w:marLeft w:val="0"/>
      <w:marRight w:val="0"/>
      <w:marTop w:val="0"/>
      <w:marBottom w:val="0"/>
      <w:divBdr>
        <w:top w:val="none" w:sz="0" w:space="0" w:color="auto"/>
        <w:left w:val="none" w:sz="0" w:space="0" w:color="auto"/>
        <w:bottom w:val="none" w:sz="0" w:space="0" w:color="auto"/>
        <w:right w:val="none" w:sz="0" w:space="0" w:color="auto"/>
      </w:divBdr>
    </w:div>
    <w:div w:id="1816293020">
      <w:bodyDiv w:val="1"/>
      <w:marLeft w:val="0"/>
      <w:marRight w:val="0"/>
      <w:marTop w:val="0"/>
      <w:marBottom w:val="0"/>
      <w:divBdr>
        <w:top w:val="none" w:sz="0" w:space="0" w:color="auto"/>
        <w:left w:val="none" w:sz="0" w:space="0" w:color="auto"/>
        <w:bottom w:val="none" w:sz="0" w:space="0" w:color="auto"/>
        <w:right w:val="none" w:sz="0" w:space="0" w:color="auto"/>
      </w:divBdr>
    </w:div>
    <w:div w:id="1821576704">
      <w:bodyDiv w:val="1"/>
      <w:marLeft w:val="0"/>
      <w:marRight w:val="0"/>
      <w:marTop w:val="0"/>
      <w:marBottom w:val="0"/>
      <w:divBdr>
        <w:top w:val="none" w:sz="0" w:space="0" w:color="auto"/>
        <w:left w:val="none" w:sz="0" w:space="0" w:color="auto"/>
        <w:bottom w:val="none" w:sz="0" w:space="0" w:color="auto"/>
        <w:right w:val="none" w:sz="0" w:space="0" w:color="auto"/>
      </w:divBdr>
    </w:div>
    <w:div w:id="1824079555">
      <w:bodyDiv w:val="1"/>
      <w:marLeft w:val="0"/>
      <w:marRight w:val="0"/>
      <w:marTop w:val="0"/>
      <w:marBottom w:val="0"/>
      <w:divBdr>
        <w:top w:val="none" w:sz="0" w:space="0" w:color="auto"/>
        <w:left w:val="none" w:sz="0" w:space="0" w:color="auto"/>
        <w:bottom w:val="none" w:sz="0" w:space="0" w:color="auto"/>
        <w:right w:val="none" w:sz="0" w:space="0" w:color="auto"/>
      </w:divBdr>
    </w:div>
    <w:div w:id="1846364437">
      <w:bodyDiv w:val="1"/>
      <w:marLeft w:val="0"/>
      <w:marRight w:val="0"/>
      <w:marTop w:val="0"/>
      <w:marBottom w:val="0"/>
      <w:divBdr>
        <w:top w:val="none" w:sz="0" w:space="0" w:color="auto"/>
        <w:left w:val="none" w:sz="0" w:space="0" w:color="auto"/>
        <w:bottom w:val="none" w:sz="0" w:space="0" w:color="auto"/>
        <w:right w:val="none" w:sz="0" w:space="0" w:color="auto"/>
      </w:divBdr>
    </w:div>
    <w:div w:id="1852139489">
      <w:bodyDiv w:val="1"/>
      <w:marLeft w:val="0"/>
      <w:marRight w:val="0"/>
      <w:marTop w:val="0"/>
      <w:marBottom w:val="0"/>
      <w:divBdr>
        <w:top w:val="none" w:sz="0" w:space="0" w:color="auto"/>
        <w:left w:val="none" w:sz="0" w:space="0" w:color="auto"/>
        <w:bottom w:val="none" w:sz="0" w:space="0" w:color="auto"/>
        <w:right w:val="none" w:sz="0" w:space="0" w:color="auto"/>
      </w:divBdr>
    </w:div>
    <w:div w:id="1858545090">
      <w:bodyDiv w:val="1"/>
      <w:marLeft w:val="0"/>
      <w:marRight w:val="0"/>
      <w:marTop w:val="0"/>
      <w:marBottom w:val="0"/>
      <w:divBdr>
        <w:top w:val="none" w:sz="0" w:space="0" w:color="auto"/>
        <w:left w:val="none" w:sz="0" w:space="0" w:color="auto"/>
        <w:bottom w:val="none" w:sz="0" w:space="0" w:color="auto"/>
        <w:right w:val="none" w:sz="0" w:space="0" w:color="auto"/>
      </w:divBdr>
    </w:div>
    <w:div w:id="1859270967">
      <w:bodyDiv w:val="1"/>
      <w:marLeft w:val="0"/>
      <w:marRight w:val="0"/>
      <w:marTop w:val="0"/>
      <w:marBottom w:val="0"/>
      <w:divBdr>
        <w:top w:val="none" w:sz="0" w:space="0" w:color="auto"/>
        <w:left w:val="none" w:sz="0" w:space="0" w:color="auto"/>
        <w:bottom w:val="none" w:sz="0" w:space="0" w:color="auto"/>
        <w:right w:val="none" w:sz="0" w:space="0" w:color="auto"/>
      </w:divBdr>
    </w:div>
    <w:div w:id="1863202598">
      <w:bodyDiv w:val="1"/>
      <w:marLeft w:val="0"/>
      <w:marRight w:val="0"/>
      <w:marTop w:val="0"/>
      <w:marBottom w:val="0"/>
      <w:divBdr>
        <w:top w:val="none" w:sz="0" w:space="0" w:color="auto"/>
        <w:left w:val="none" w:sz="0" w:space="0" w:color="auto"/>
        <w:bottom w:val="none" w:sz="0" w:space="0" w:color="auto"/>
        <w:right w:val="none" w:sz="0" w:space="0" w:color="auto"/>
      </w:divBdr>
      <w:divsChild>
        <w:div w:id="160001248">
          <w:marLeft w:val="0"/>
          <w:marRight w:val="0"/>
          <w:marTop w:val="0"/>
          <w:marBottom w:val="0"/>
          <w:divBdr>
            <w:top w:val="none" w:sz="0" w:space="0" w:color="auto"/>
            <w:left w:val="none" w:sz="0" w:space="0" w:color="auto"/>
            <w:bottom w:val="none" w:sz="0" w:space="0" w:color="auto"/>
            <w:right w:val="none" w:sz="0" w:space="0" w:color="auto"/>
          </w:divBdr>
          <w:divsChild>
            <w:div w:id="2055690260">
              <w:marLeft w:val="0"/>
              <w:marRight w:val="0"/>
              <w:marTop w:val="0"/>
              <w:marBottom w:val="0"/>
              <w:divBdr>
                <w:top w:val="none" w:sz="0" w:space="0" w:color="auto"/>
                <w:left w:val="single" w:sz="24" w:space="0" w:color="FFFFFF"/>
                <w:bottom w:val="none" w:sz="0" w:space="0" w:color="auto"/>
                <w:right w:val="none" w:sz="0" w:space="0" w:color="auto"/>
              </w:divBdr>
              <w:divsChild>
                <w:div w:id="1579053674">
                  <w:marLeft w:val="0"/>
                  <w:marRight w:val="0"/>
                  <w:marTop w:val="0"/>
                  <w:marBottom w:val="0"/>
                  <w:divBdr>
                    <w:top w:val="none" w:sz="0" w:space="0" w:color="auto"/>
                    <w:left w:val="none" w:sz="0" w:space="0" w:color="auto"/>
                    <w:bottom w:val="none" w:sz="0" w:space="0" w:color="auto"/>
                    <w:right w:val="none" w:sz="0" w:space="0" w:color="auto"/>
                  </w:divBdr>
                  <w:divsChild>
                    <w:div w:id="1533423011">
                      <w:marLeft w:val="120"/>
                      <w:marRight w:val="120"/>
                      <w:marTop w:val="0"/>
                      <w:marBottom w:val="0"/>
                      <w:divBdr>
                        <w:top w:val="none" w:sz="0" w:space="0" w:color="auto"/>
                        <w:left w:val="none" w:sz="0" w:space="0" w:color="auto"/>
                        <w:bottom w:val="none" w:sz="0" w:space="0" w:color="auto"/>
                        <w:right w:val="none" w:sz="0" w:space="0" w:color="auto"/>
                      </w:divBdr>
                      <w:divsChild>
                        <w:div w:id="2001887151">
                          <w:marLeft w:val="0"/>
                          <w:marRight w:val="0"/>
                          <w:marTop w:val="0"/>
                          <w:marBottom w:val="0"/>
                          <w:divBdr>
                            <w:top w:val="none" w:sz="0" w:space="0" w:color="auto"/>
                            <w:left w:val="none" w:sz="0" w:space="0" w:color="auto"/>
                            <w:bottom w:val="none" w:sz="0" w:space="0" w:color="auto"/>
                            <w:right w:val="none" w:sz="0" w:space="0" w:color="auto"/>
                          </w:divBdr>
                          <w:divsChild>
                            <w:div w:id="148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4374">
      <w:bodyDiv w:val="1"/>
      <w:marLeft w:val="0"/>
      <w:marRight w:val="0"/>
      <w:marTop w:val="0"/>
      <w:marBottom w:val="0"/>
      <w:divBdr>
        <w:top w:val="none" w:sz="0" w:space="0" w:color="auto"/>
        <w:left w:val="none" w:sz="0" w:space="0" w:color="auto"/>
        <w:bottom w:val="none" w:sz="0" w:space="0" w:color="auto"/>
        <w:right w:val="none" w:sz="0" w:space="0" w:color="auto"/>
      </w:divBdr>
    </w:div>
    <w:div w:id="1869491119">
      <w:bodyDiv w:val="1"/>
      <w:marLeft w:val="0"/>
      <w:marRight w:val="0"/>
      <w:marTop w:val="0"/>
      <w:marBottom w:val="0"/>
      <w:divBdr>
        <w:top w:val="none" w:sz="0" w:space="0" w:color="auto"/>
        <w:left w:val="none" w:sz="0" w:space="0" w:color="auto"/>
        <w:bottom w:val="none" w:sz="0" w:space="0" w:color="auto"/>
        <w:right w:val="none" w:sz="0" w:space="0" w:color="auto"/>
      </w:divBdr>
    </w:div>
    <w:div w:id="1872257900">
      <w:bodyDiv w:val="1"/>
      <w:marLeft w:val="0"/>
      <w:marRight w:val="0"/>
      <w:marTop w:val="0"/>
      <w:marBottom w:val="0"/>
      <w:divBdr>
        <w:top w:val="none" w:sz="0" w:space="0" w:color="auto"/>
        <w:left w:val="none" w:sz="0" w:space="0" w:color="auto"/>
        <w:bottom w:val="none" w:sz="0" w:space="0" w:color="auto"/>
        <w:right w:val="none" w:sz="0" w:space="0" w:color="auto"/>
      </w:divBdr>
    </w:div>
    <w:div w:id="1873612852">
      <w:bodyDiv w:val="1"/>
      <w:marLeft w:val="0"/>
      <w:marRight w:val="0"/>
      <w:marTop w:val="0"/>
      <w:marBottom w:val="0"/>
      <w:divBdr>
        <w:top w:val="none" w:sz="0" w:space="0" w:color="auto"/>
        <w:left w:val="none" w:sz="0" w:space="0" w:color="auto"/>
        <w:bottom w:val="none" w:sz="0" w:space="0" w:color="auto"/>
        <w:right w:val="none" w:sz="0" w:space="0" w:color="auto"/>
      </w:divBdr>
    </w:div>
    <w:div w:id="1875342310">
      <w:bodyDiv w:val="1"/>
      <w:marLeft w:val="0"/>
      <w:marRight w:val="0"/>
      <w:marTop w:val="0"/>
      <w:marBottom w:val="0"/>
      <w:divBdr>
        <w:top w:val="none" w:sz="0" w:space="0" w:color="auto"/>
        <w:left w:val="none" w:sz="0" w:space="0" w:color="auto"/>
        <w:bottom w:val="none" w:sz="0" w:space="0" w:color="auto"/>
        <w:right w:val="none" w:sz="0" w:space="0" w:color="auto"/>
      </w:divBdr>
    </w:div>
    <w:div w:id="1875917904">
      <w:bodyDiv w:val="1"/>
      <w:marLeft w:val="0"/>
      <w:marRight w:val="0"/>
      <w:marTop w:val="0"/>
      <w:marBottom w:val="0"/>
      <w:divBdr>
        <w:top w:val="none" w:sz="0" w:space="0" w:color="auto"/>
        <w:left w:val="none" w:sz="0" w:space="0" w:color="auto"/>
        <w:bottom w:val="none" w:sz="0" w:space="0" w:color="auto"/>
        <w:right w:val="none" w:sz="0" w:space="0" w:color="auto"/>
      </w:divBdr>
    </w:div>
    <w:div w:id="1882009617">
      <w:bodyDiv w:val="1"/>
      <w:marLeft w:val="0"/>
      <w:marRight w:val="0"/>
      <w:marTop w:val="0"/>
      <w:marBottom w:val="0"/>
      <w:divBdr>
        <w:top w:val="none" w:sz="0" w:space="0" w:color="auto"/>
        <w:left w:val="none" w:sz="0" w:space="0" w:color="auto"/>
        <w:bottom w:val="none" w:sz="0" w:space="0" w:color="auto"/>
        <w:right w:val="none" w:sz="0" w:space="0" w:color="auto"/>
      </w:divBdr>
    </w:div>
    <w:div w:id="1883786856">
      <w:bodyDiv w:val="1"/>
      <w:marLeft w:val="0"/>
      <w:marRight w:val="0"/>
      <w:marTop w:val="0"/>
      <w:marBottom w:val="0"/>
      <w:divBdr>
        <w:top w:val="none" w:sz="0" w:space="0" w:color="auto"/>
        <w:left w:val="none" w:sz="0" w:space="0" w:color="auto"/>
        <w:bottom w:val="none" w:sz="0" w:space="0" w:color="auto"/>
        <w:right w:val="none" w:sz="0" w:space="0" w:color="auto"/>
      </w:divBdr>
    </w:div>
    <w:div w:id="1886481857">
      <w:bodyDiv w:val="1"/>
      <w:marLeft w:val="0"/>
      <w:marRight w:val="0"/>
      <w:marTop w:val="0"/>
      <w:marBottom w:val="0"/>
      <w:divBdr>
        <w:top w:val="none" w:sz="0" w:space="0" w:color="auto"/>
        <w:left w:val="none" w:sz="0" w:space="0" w:color="auto"/>
        <w:bottom w:val="none" w:sz="0" w:space="0" w:color="auto"/>
        <w:right w:val="none" w:sz="0" w:space="0" w:color="auto"/>
      </w:divBdr>
    </w:div>
    <w:div w:id="1898710406">
      <w:bodyDiv w:val="1"/>
      <w:marLeft w:val="0"/>
      <w:marRight w:val="0"/>
      <w:marTop w:val="0"/>
      <w:marBottom w:val="0"/>
      <w:divBdr>
        <w:top w:val="none" w:sz="0" w:space="0" w:color="auto"/>
        <w:left w:val="none" w:sz="0" w:space="0" w:color="auto"/>
        <w:bottom w:val="none" w:sz="0" w:space="0" w:color="auto"/>
        <w:right w:val="none" w:sz="0" w:space="0" w:color="auto"/>
      </w:divBdr>
    </w:div>
    <w:div w:id="1900282973">
      <w:bodyDiv w:val="1"/>
      <w:marLeft w:val="0"/>
      <w:marRight w:val="0"/>
      <w:marTop w:val="0"/>
      <w:marBottom w:val="0"/>
      <w:divBdr>
        <w:top w:val="none" w:sz="0" w:space="0" w:color="auto"/>
        <w:left w:val="none" w:sz="0" w:space="0" w:color="auto"/>
        <w:bottom w:val="none" w:sz="0" w:space="0" w:color="auto"/>
        <w:right w:val="none" w:sz="0" w:space="0" w:color="auto"/>
      </w:divBdr>
    </w:div>
    <w:div w:id="1903833737">
      <w:bodyDiv w:val="1"/>
      <w:marLeft w:val="0"/>
      <w:marRight w:val="0"/>
      <w:marTop w:val="0"/>
      <w:marBottom w:val="0"/>
      <w:divBdr>
        <w:top w:val="none" w:sz="0" w:space="0" w:color="auto"/>
        <w:left w:val="none" w:sz="0" w:space="0" w:color="auto"/>
        <w:bottom w:val="none" w:sz="0" w:space="0" w:color="auto"/>
        <w:right w:val="none" w:sz="0" w:space="0" w:color="auto"/>
      </w:divBdr>
    </w:div>
    <w:div w:id="1913929076">
      <w:bodyDiv w:val="1"/>
      <w:marLeft w:val="0"/>
      <w:marRight w:val="0"/>
      <w:marTop w:val="0"/>
      <w:marBottom w:val="0"/>
      <w:divBdr>
        <w:top w:val="none" w:sz="0" w:space="0" w:color="auto"/>
        <w:left w:val="none" w:sz="0" w:space="0" w:color="auto"/>
        <w:bottom w:val="none" w:sz="0" w:space="0" w:color="auto"/>
        <w:right w:val="none" w:sz="0" w:space="0" w:color="auto"/>
      </w:divBdr>
    </w:div>
    <w:div w:id="1918510114">
      <w:bodyDiv w:val="1"/>
      <w:marLeft w:val="0"/>
      <w:marRight w:val="0"/>
      <w:marTop w:val="0"/>
      <w:marBottom w:val="0"/>
      <w:divBdr>
        <w:top w:val="none" w:sz="0" w:space="0" w:color="auto"/>
        <w:left w:val="none" w:sz="0" w:space="0" w:color="auto"/>
        <w:bottom w:val="none" w:sz="0" w:space="0" w:color="auto"/>
        <w:right w:val="none" w:sz="0" w:space="0" w:color="auto"/>
      </w:divBdr>
    </w:div>
    <w:div w:id="1920627045">
      <w:bodyDiv w:val="1"/>
      <w:marLeft w:val="0"/>
      <w:marRight w:val="0"/>
      <w:marTop w:val="0"/>
      <w:marBottom w:val="0"/>
      <w:divBdr>
        <w:top w:val="none" w:sz="0" w:space="0" w:color="auto"/>
        <w:left w:val="none" w:sz="0" w:space="0" w:color="auto"/>
        <w:bottom w:val="none" w:sz="0" w:space="0" w:color="auto"/>
        <w:right w:val="none" w:sz="0" w:space="0" w:color="auto"/>
      </w:divBdr>
    </w:div>
    <w:div w:id="1921404088">
      <w:bodyDiv w:val="1"/>
      <w:marLeft w:val="0"/>
      <w:marRight w:val="0"/>
      <w:marTop w:val="0"/>
      <w:marBottom w:val="0"/>
      <w:divBdr>
        <w:top w:val="none" w:sz="0" w:space="0" w:color="auto"/>
        <w:left w:val="none" w:sz="0" w:space="0" w:color="auto"/>
        <w:bottom w:val="none" w:sz="0" w:space="0" w:color="auto"/>
        <w:right w:val="none" w:sz="0" w:space="0" w:color="auto"/>
      </w:divBdr>
    </w:div>
    <w:div w:id="1924299325">
      <w:bodyDiv w:val="1"/>
      <w:marLeft w:val="0"/>
      <w:marRight w:val="0"/>
      <w:marTop w:val="0"/>
      <w:marBottom w:val="0"/>
      <w:divBdr>
        <w:top w:val="none" w:sz="0" w:space="0" w:color="auto"/>
        <w:left w:val="none" w:sz="0" w:space="0" w:color="auto"/>
        <w:bottom w:val="none" w:sz="0" w:space="0" w:color="auto"/>
        <w:right w:val="none" w:sz="0" w:space="0" w:color="auto"/>
      </w:divBdr>
    </w:div>
    <w:div w:id="1927575666">
      <w:bodyDiv w:val="1"/>
      <w:marLeft w:val="0"/>
      <w:marRight w:val="0"/>
      <w:marTop w:val="0"/>
      <w:marBottom w:val="0"/>
      <w:divBdr>
        <w:top w:val="none" w:sz="0" w:space="0" w:color="auto"/>
        <w:left w:val="none" w:sz="0" w:space="0" w:color="auto"/>
        <w:bottom w:val="none" w:sz="0" w:space="0" w:color="auto"/>
        <w:right w:val="none" w:sz="0" w:space="0" w:color="auto"/>
      </w:divBdr>
    </w:div>
    <w:div w:id="1947346418">
      <w:bodyDiv w:val="1"/>
      <w:marLeft w:val="0"/>
      <w:marRight w:val="0"/>
      <w:marTop w:val="0"/>
      <w:marBottom w:val="0"/>
      <w:divBdr>
        <w:top w:val="none" w:sz="0" w:space="0" w:color="auto"/>
        <w:left w:val="none" w:sz="0" w:space="0" w:color="auto"/>
        <w:bottom w:val="none" w:sz="0" w:space="0" w:color="auto"/>
        <w:right w:val="none" w:sz="0" w:space="0" w:color="auto"/>
      </w:divBdr>
    </w:div>
    <w:div w:id="1952125064">
      <w:bodyDiv w:val="1"/>
      <w:marLeft w:val="0"/>
      <w:marRight w:val="0"/>
      <w:marTop w:val="0"/>
      <w:marBottom w:val="0"/>
      <w:divBdr>
        <w:top w:val="none" w:sz="0" w:space="0" w:color="auto"/>
        <w:left w:val="none" w:sz="0" w:space="0" w:color="auto"/>
        <w:bottom w:val="none" w:sz="0" w:space="0" w:color="auto"/>
        <w:right w:val="none" w:sz="0" w:space="0" w:color="auto"/>
      </w:divBdr>
    </w:div>
    <w:div w:id="1962959441">
      <w:bodyDiv w:val="1"/>
      <w:marLeft w:val="0"/>
      <w:marRight w:val="0"/>
      <w:marTop w:val="0"/>
      <w:marBottom w:val="0"/>
      <w:divBdr>
        <w:top w:val="none" w:sz="0" w:space="0" w:color="auto"/>
        <w:left w:val="none" w:sz="0" w:space="0" w:color="auto"/>
        <w:bottom w:val="none" w:sz="0" w:space="0" w:color="auto"/>
        <w:right w:val="none" w:sz="0" w:space="0" w:color="auto"/>
      </w:divBdr>
    </w:div>
    <w:div w:id="1966039217">
      <w:bodyDiv w:val="1"/>
      <w:marLeft w:val="0"/>
      <w:marRight w:val="0"/>
      <w:marTop w:val="0"/>
      <w:marBottom w:val="0"/>
      <w:divBdr>
        <w:top w:val="none" w:sz="0" w:space="0" w:color="auto"/>
        <w:left w:val="none" w:sz="0" w:space="0" w:color="auto"/>
        <w:bottom w:val="none" w:sz="0" w:space="0" w:color="auto"/>
        <w:right w:val="none" w:sz="0" w:space="0" w:color="auto"/>
      </w:divBdr>
    </w:div>
    <w:div w:id="1966735787">
      <w:bodyDiv w:val="1"/>
      <w:marLeft w:val="0"/>
      <w:marRight w:val="0"/>
      <w:marTop w:val="0"/>
      <w:marBottom w:val="0"/>
      <w:divBdr>
        <w:top w:val="none" w:sz="0" w:space="0" w:color="auto"/>
        <w:left w:val="none" w:sz="0" w:space="0" w:color="auto"/>
        <w:bottom w:val="none" w:sz="0" w:space="0" w:color="auto"/>
        <w:right w:val="none" w:sz="0" w:space="0" w:color="auto"/>
      </w:divBdr>
    </w:div>
    <w:div w:id="1970551951">
      <w:bodyDiv w:val="1"/>
      <w:marLeft w:val="0"/>
      <w:marRight w:val="0"/>
      <w:marTop w:val="0"/>
      <w:marBottom w:val="0"/>
      <w:divBdr>
        <w:top w:val="none" w:sz="0" w:space="0" w:color="auto"/>
        <w:left w:val="none" w:sz="0" w:space="0" w:color="auto"/>
        <w:bottom w:val="none" w:sz="0" w:space="0" w:color="auto"/>
        <w:right w:val="none" w:sz="0" w:space="0" w:color="auto"/>
      </w:divBdr>
    </w:div>
    <w:div w:id="1981156599">
      <w:bodyDiv w:val="1"/>
      <w:marLeft w:val="0"/>
      <w:marRight w:val="0"/>
      <w:marTop w:val="0"/>
      <w:marBottom w:val="0"/>
      <w:divBdr>
        <w:top w:val="none" w:sz="0" w:space="0" w:color="auto"/>
        <w:left w:val="none" w:sz="0" w:space="0" w:color="auto"/>
        <w:bottom w:val="none" w:sz="0" w:space="0" w:color="auto"/>
        <w:right w:val="none" w:sz="0" w:space="0" w:color="auto"/>
      </w:divBdr>
    </w:div>
    <w:div w:id="1981960414">
      <w:bodyDiv w:val="1"/>
      <w:marLeft w:val="0"/>
      <w:marRight w:val="0"/>
      <w:marTop w:val="0"/>
      <w:marBottom w:val="0"/>
      <w:divBdr>
        <w:top w:val="none" w:sz="0" w:space="0" w:color="auto"/>
        <w:left w:val="none" w:sz="0" w:space="0" w:color="auto"/>
        <w:bottom w:val="none" w:sz="0" w:space="0" w:color="auto"/>
        <w:right w:val="none" w:sz="0" w:space="0" w:color="auto"/>
      </w:divBdr>
    </w:div>
    <w:div w:id="1987321981">
      <w:bodyDiv w:val="1"/>
      <w:marLeft w:val="0"/>
      <w:marRight w:val="0"/>
      <w:marTop w:val="0"/>
      <w:marBottom w:val="0"/>
      <w:divBdr>
        <w:top w:val="none" w:sz="0" w:space="0" w:color="auto"/>
        <w:left w:val="none" w:sz="0" w:space="0" w:color="auto"/>
        <w:bottom w:val="none" w:sz="0" w:space="0" w:color="auto"/>
        <w:right w:val="none" w:sz="0" w:space="0" w:color="auto"/>
      </w:divBdr>
    </w:div>
    <w:div w:id="1988241965">
      <w:bodyDiv w:val="1"/>
      <w:marLeft w:val="0"/>
      <w:marRight w:val="0"/>
      <w:marTop w:val="0"/>
      <w:marBottom w:val="0"/>
      <w:divBdr>
        <w:top w:val="none" w:sz="0" w:space="0" w:color="auto"/>
        <w:left w:val="none" w:sz="0" w:space="0" w:color="auto"/>
        <w:bottom w:val="none" w:sz="0" w:space="0" w:color="auto"/>
        <w:right w:val="none" w:sz="0" w:space="0" w:color="auto"/>
      </w:divBdr>
    </w:div>
    <w:div w:id="1996764975">
      <w:bodyDiv w:val="1"/>
      <w:marLeft w:val="0"/>
      <w:marRight w:val="0"/>
      <w:marTop w:val="0"/>
      <w:marBottom w:val="0"/>
      <w:divBdr>
        <w:top w:val="none" w:sz="0" w:space="0" w:color="auto"/>
        <w:left w:val="none" w:sz="0" w:space="0" w:color="auto"/>
        <w:bottom w:val="none" w:sz="0" w:space="0" w:color="auto"/>
        <w:right w:val="none" w:sz="0" w:space="0" w:color="auto"/>
      </w:divBdr>
    </w:div>
    <w:div w:id="2000889519">
      <w:bodyDiv w:val="1"/>
      <w:marLeft w:val="0"/>
      <w:marRight w:val="0"/>
      <w:marTop w:val="0"/>
      <w:marBottom w:val="0"/>
      <w:divBdr>
        <w:top w:val="none" w:sz="0" w:space="0" w:color="auto"/>
        <w:left w:val="none" w:sz="0" w:space="0" w:color="auto"/>
        <w:bottom w:val="none" w:sz="0" w:space="0" w:color="auto"/>
        <w:right w:val="none" w:sz="0" w:space="0" w:color="auto"/>
      </w:divBdr>
    </w:div>
    <w:div w:id="2004355739">
      <w:bodyDiv w:val="1"/>
      <w:marLeft w:val="0"/>
      <w:marRight w:val="0"/>
      <w:marTop w:val="0"/>
      <w:marBottom w:val="0"/>
      <w:divBdr>
        <w:top w:val="none" w:sz="0" w:space="0" w:color="auto"/>
        <w:left w:val="none" w:sz="0" w:space="0" w:color="auto"/>
        <w:bottom w:val="none" w:sz="0" w:space="0" w:color="auto"/>
        <w:right w:val="none" w:sz="0" w:space="0" w:color="auto"/>
      </w:divBdr>
    </w:div>
    <w:div w:id="2005425020">
      <w:bodyDiv w:val="1"/>
      <w:marLeft w:val="0"/>
      <w:marRight w:val="0"/>
      <w:marTop w:val="0"/>
      <w:marBottom w:val="0"/>
      <w:divBdr>
        <w:top w:val="none" w:sz="0" w:space="0" w:color="auto"/>
        <w:left w:val="none" w:sz="0" w:space="0" w:color="auto"/>
        <w:bottom w:val="none" w:sz="0" w:space="0" w:color="auto"/>
        <w:right w:val="none" w:sz="0" w:space="0" w:color="auto"/>
      </w:divBdr>
    </w:div>
    <w:div w:id="2006664166">
      <w:bodyDiv w:val="1"/>
      <w:marLeft w:val="0"/>
      <w:marRight w:val="0"/>
      <w:marTop w:val="0"/>
      <w:marBottom w:val="0"/>
      <w:divBdr>
        <w:top w:val="none" w:sz="0" w:space="0" w:color="auto"/>
        <w:left w:val="none" w:sz="0" w:space="0" w:color="auto"/>
        <w:bottom w:val="none" w:sz="0" w:space="0" w:color="auto"/>
        <w:right w:val="none" w:sz="0" w:space="0" w:color="auto"/>
      </w:divBdr>
    </w:div>
    <w:div w:id="2010910062">
      <w:bodyDiv w:val="1"/>
      <w:marLeft w:val="0"/>
      <w:marRight w:val="0"/>
      <w:marTop w:val="0"/>
      <w:marBottom w:val="0"/>
      <w:divBdr>
        <w:top w:val="none" w:sz="0" w:space="0" w:color="auto"/>
        <w:left w:val="none" w:sz="0" w:space="0" w:color="auto"/>
        <w:bottom w:val="none" w:sz="0" w:space="0" w:color="auto"/>
        <w:right w:val="none" w:sz="0" w:space="0" w:color="auto"/>
      </w:divBdr>
    </w:div>
    <w:div w:id="2013992496">
      <w:bodyDiv w:val="1"/>
      <w:marLeft w:val="0"/>
      <w:marRight w:val="0"/>
      <w:marTop w:val="0"/>
      <w:marBottom w:val="0"/>
      <w:divBdr>
        <w:top w:val="none" w:sz="0" w:space="0" w:color="auto"/>
        <w:left w:val="none" w:sz="0" w:space="0" w:color="auto"/>
        <w:bottom w:val="none" w:sz="0" w:space="0" w:color="auto"/>
        <w:right w:val="none" w:sz="0" w:space="0" w:color="auto"/>
      </w:divBdr>
    </w:div>
    <w:div w:id="2019427654">
      <w:bodyDiv w:val="1"/>
      <w:marLeft w:val="0"/>
      <w:marRight w:val="0"/>
      <w:marTop w:val="0"/>
      <w:marBottom w:val="0"/>
      <w:divBdr>
        <w:top w:val="none" w:sz="0" w:space="0" w:color="auto"/>
        <w:left w:val="none" w:sz="0" w:space="0" w:color="auto"/>
        <w:bottom w:val="none" w:sz="0" w:space="0" w:color="auto"/>
        <w:right w:val="none" w:sz="0" w:space="0" w:color="auto"/>
      </w:divBdr>
    </w:div>
    <w:div w:id="2020546237">
      <w:bodyDiv w:val="1"/>
      <w:marLeft w:val="0"/>
      <w:marRight w:val="0"/>
      <w:marTop w:val="0"/>
      <w:marBottom w:val="0"/>
      <w:divBdr>
        <w:top w:val="none" w:sz="0" w:space="0" w:color="auto"/>
        <w:left w:val="none" w:sz="0" w:space="0" w:color="auto"/>
        <w:bottom w:val="none" w:sz="0" w:space="0" w:color="auto"/>
        <w:right w:val="none" w:sz="0" w:space="0" w:color="auto"/>
      </w:divBdr>
    </w:div>
    <w:div w:id="2023162065">
      <w:bodyDiv w:val="1"/>
      <w:marLeft w:val="0"/>
      <w:marRight w:val="0"/>
      <w:marTop w:val="0"/>
      <w:marBottom w:val="0"/>
      <w:divBdr>
        <w:top w:val="none" w:sz="0" w:space="0" w:color="auto"/>
        <w:left w:val="none" w:sz="0" w:space="0" w:color="auto"/>
        <w:bottom w:val="none" w:sz="0" w:space="0" w:color="auto"/>
        <w:right w:val="none" w:sz="0" w:space="0" w:color="auto"/>
      </w:divBdr>
    </w:div>
    <w:div w:id="2025858591">
      <w:bodyDiv w:val="1"/>
      <w:marLeft w:val="0"/>
      <w:marRight w:val="0"/>
      <w:marTop w:val="0"/>
      <w:marBottom w:val="0"/>
      <w:divBdr>
        <w:top w:val="none" w:sz="0" w:space="0" w:color="auto"/>
        <w:left w:val="none" w:sz="0" w:space="0" w:color="auto"/>
        <w:bottom w:val="none" w:sz="0" w:space="0" w:color="auto"/>
        <w:right w:val="none" w:sz="0" w:space="0" w:color="auto"/>
      </w:divBdr>
    </w:div>
    <w:div w:id="2030108713">
      <w:bodyDiv w:val="1"/>
      <w:marLeft w:val="0"/>
      <w:marRight w:val="0"/>
      <w:marTop w:val="0"/>
      <w:marBottom w:val="0"/>
      <w:divBdr>
        <w:top w:val="none" w:sz="0" w:space="0" w:color="auto"/>
        <w:left w:val="none" w:sz="0" w:space="0" w:color="auto"/>
        <w:bottom w:val="none" w:sz="0" w:space="0" w:color="auto"/>
        <w:right w:val="none" w:sz="0" w:space="0" w:color="auto"/>
      </w:divBdr>
    </w:div>
    <w:div w:id="2034381578">
      <w:bodyDiv w:val="1"/>
      <w:marLeft w:val="0"/>
      <w:marRight w:val="0"/>
      <w:marTop w:val="0"/>
      <w:marBottom w:val="0"/>
      <w:divBdr>
        <w:top w:val="none" w:sz="0" w:space="0" w:color="auto"/>
        <w:left w:val="none" w:sz="0" w:space="0" w:color="auto"/>
        <w:bottom w:val="none" w:sz="0" w:space="0" w:color="auto"/>
        <w:right w:val="none" w:sz="0" w:space="0" w:color="auto"/>
      </w:divBdr>
    </w:div>
    <w:div w:id="2034643955">
      <w:bodyDiv w:val="1"/>
      <w:marLeft w:val="0"/>
      <w:marRight w:val="0"/>
      <w:marTop w:val="0"/>
      <w:marBottom w:val="0"/>
      <w:divBdr>
        <w:top w:val="none" w:sz="0" w:space="0" w:color="auto"/>
        <w:left w:val="none" w:sz="0" w:space="0" w:color="auto"/>
        <w:bottom w:val="none" w:sz="0" w:space="0" w:color="auto"/>
        <w:right w:val="none" w:sz="0" w:space="0" w:color="auto"/>
      </w:divBdr>
    </w:div>
    <w:div w:id="2039574326">
      <w:bodyDiv w:val="1"/>
      <w:marLeft w:val="0"/>
      <w:marRight w:val="0"/>
      <w:marTop w:val="0"/>
      <w:marBottom w:val="0"/>
      <w:divBdr>
        <w:top w:val="none" w:sz="0" w:space="0" w:color="auto"/>
        <w:left w:val="none" w:sz="0" w:space="0" w:color="auto"/>
        <w:bottom w:val="none" w:sz="0" w:space="0" w:color="auto"/>
        <w:right w:val="none" w:sz="0" w:space="0" w:color="auto"/>
      </w:divBdr>
    </w:div>
    <w:div w:id="2042127987">
      <w:bodyDiv w:val="1"/>
      <w:marLeft w:val="0"/>
      <w:marRight w:val="0"/>
      <w:marTop w:val="0"/>
      <w:marBottom w:val="0"/>
      <w:divBdr>
        <w:top w:val="none" w:sz="0" w:space="0" w:color="auto"/>
        <w:left w:val="none" w:sz="0" w:space="0" w:color="auto"/>
        <w:bottom w:val="none" w:sz="0" w:space="0" w:color="auto"/>
        <w:right w:val="none" w:sz="0" w:space="0" w:color="auto"/>
      </w:divBdr>
    </w:div>
    <w:div w:id="2042629646">
      <w:bodyDiv w:val="1"/>
      <w:marLeft w:val="0"/>
      <w:marRight w:val="0"/>
      <w:marTop w:val="0"/>
      <w:marBottom w:val="0"/>
      <w:divBdr>
        <w:top w:val="none" w:sz="0" w:space="0" w:color="auto"/>
        <w:left w:val="none" w:sz="0" w:space="0" w:color="auto"/>
        <w:bottom w:val="none" w:sz="0" w:space="0" w:color="auto"/>
        <w:right w:val="none" w:sz="0" w:space="0" w:color="auto"/>
      </w:divBdr>
    </w:div>
    <w:div w:id="2045788498">
      <w:bodyDiv w:val="1"/>
      <w:marLeft w:val="0"/>
      <w:marRight w:val="0"/>
      <w:marTop w:val="0"/>
      <w:marBottom w:val="0"/>
      <w:divBdr>
        <w:top w:val="none" w:sz="0" w:space="0" w:color="auto"/>
        <w:left w:val="none" w:sz="0" w:space="0" w:color="auto"/>
        <w:bottom w:val="none" w:sz="0" w:space="0" w:color="auto"/>
        <w:right w:val="none" w:sz="0" w:space="0" w:color="auto"/>
      </w:divBdr>
    </w:div>
    <w:div w:id="2051762643">
      <w:bodyDiv w:val="1"/>
      <w:marLeft w:val="0"/>
      <w:marRight w:val="0"/>
      <w:marTop w:val="0"/>
      <w:marBottom w:val="0"/>
      <w:divBdr>
        <w:top w:val="none" w:sz="0" w:space="0" w:color="auto"/>
        <w:left w:val="none" w:sz="0" w:space="0" w:color="auto"/>
        <w:bottom w:val="none" w:sz="0" w:space="0" w:color="auto"/>
        <w:right w:val="none" w:sz="0" w:space="0" w:color="auto"/>
      </w:divBdr>
    </w:div>
    <w:div w:id="2059238610">
      <w:bodyDiv w:val="1"/>
      <w:marLeft w:val="0"/>
      <w:marRight w:val="0"/>
      <w:marTop w:val="0"/>
      <w:marBottom w:val="0"/>
      <w:divBdr>
        <w:top w:val="none" w:sz="0" w:space="0" w:color="auto"/>
        <w:left w:val="none" w:sz="0" w:space="0" w:color="auto"/>
        <w:bottom w:val="none" w:sz="0" w:space="0" w:color="auto"/>
        <w:right w:val="none" w:sz="0" w:space="0" w:color="auto"/>
      </w:divBdr>
    </w:div>
    <w:div w:id="2062971713">
      <w:bodyDiv w:val="1"/>
      <w:marLeft w:val="0"/>
      <w:marRight w:val="0"/>
      <w:marTop w:val="0"/>
      <w:marBottom w:val="0"/>
      <w:divBdr>
        <w:top w:val="none" w:sz="0" w:space="0" w:color="auto"/>
        <w:left w:val="none" w:sz="0" w:space="0" w:color="auto"/>
        <w:bottom w:val="none" w:sz="0" w:space="0" w:color="auto"/>
        <w:right w:val="none" w:sz="0" w:space="0" w:color="auto"/>
      </w:divBdr>
    </w:div>
    <w:div w:id="2064598451">
      <w:bodyDiv w:val="1"/>
      <w:marLeft w:val="0"/>
      <w:marRight w:val="0"/>
      <w:marTop w:val="0"/>
      <w:marBottom w:val="0"/>
      <w:divBdr>
        <w:top w:val="none" w:sz="0" w:space="0" w:color="auto"/>
        <w:left w:val="none" w:sz="0" w:space="0" w:color="auto"/>
        <w:bottom w:val="none" w:sz="0" w:space="0" w:color="auto"/>
        <w:right w:val="none" w:sz="0" w:space="0" w:color="auto"/>
      </w:divBdr>
    </w:div>
    <w:div w:id="2065828650">
      <w:bodyDiv w:val="1"/>
      <w:marLeft w:val="0"/>
      <w:marRight w:val="0"/>
      <w:marTop w:val="0"/>
      <w:marBottom w:val="0"/>
      <w:divBdr>
        <w:top w:val="none" w:sz="0" w:space="0" w:color="auto"/>
        <w:left w:val="none" w:sz="0" w:space="0" w:color="auto"/>
        <w:bottom w:val="none" w:sz="0" w:space="0" w:color="auto"/>
        <w:right w:val="none" w:sz="0" w:space="0" w:color="auto"/>
      </w:divBdr>
    </w:div>
    <w:div w:id="2069955900">
      <w:bodyDiv w:val="1"/>
      <w:marLeft w:val="0"/>
      <w:marRight w:val="0"/>
      <w:marTop w:val="0"/>
      <w:marBottom w:val="0"/>
      <w:divBdr>
        <w:top w:val="none" w:sz="0" w:space="0" w:color="auto"/>
        <w:left w:val="none" w:sz="0" w:space="0" w:color="auto"/>
        <w:bottom w:val="none" w:sz="0" w:space="0" w:color="auto"/>
        <w:right w:val="none" w:sz="0" w:space="0" w:color="auto"/>
      </w:divBdr>
    </w:div>
    <w:div w:id="2085225942">
      <w:bodyDiv w:val="1"/>
      <w:marLeft w:val="0"/>
      <w:marRight w:val="0"/>
      <w:marTop w:val="0"/>
      <w:marBottom w:val="0"/>
      <w:divBdr>
        <w:top w:val="none" w:sz="0" w:space="0" w:color="auto"/>
        <w:left w:val="none" w:sz="0" w:space="0" w:color="auto"/>
        <w:bottom w:val="none" w:sz="0" w:space="0" w:color="auto"/>
        <w:right w:val="none" w:sz="0" w:space="0" w:color="auto"/>
      </w:divBdr>
    </w:div>
    <w:div w:id="2085687801">
      <w:bodyDiv w:val="1"/>
      <w:marLeft w:val="0"/>
      <w:marRight w:val="0"/>
      <w:marTop w:val="0"/>
      <w:marBottom w:val="0"/>
      <w:divBdr>
        <w:top w:val="none" w:sz="0" w:space="0" w:color="auto"/>
        <w:left w:val="none" w:sz="0" w:space="0" w:color="auto"/>
        <w:bottom w:val="none" w:sz="0" w:space="0" w:color="auto"/>
        <w:right w:val="none" w:sz="0" w:space="0" w:color="auto"/>
      </w:divBdr>
    </w:div>
    <w:div w:id="2085761071">
      <w:bodyDiv w:val="1"/>
      <w:marLeft w:val="0"/>
      <w:marRight w:val="0"/>
      <w:marTop w:val="0"/>
      <w:marBottom w:val="0"/>
      <w:divBdr>
        <w:top w:val="none" w:sz="0" w:space="0" w:color="auto"/>
        <w:left w:val="none" w:sz="0" w:space="0" w:color="auto"/>
        <w:bottom w:val="none" w:sz="0" w:space="0" w:color="auto"/>
        <w:right w:val="none" w:sz="0" w:space="0" w:color="auto"/>
      </w:divBdr>
    </w:div>
    <w:div w:id="2090930492">
      <w:bodyDiv w:val="1"/>
      <w:marLeft w:val="0"/>
      <w:marRight w:val="0"/>
      <w:marTop w:val="0"/>
      <w:marBottom w:val="0"/>
      <w:divBdr>
        <w:top w:val="none" w:sz="0" w:space="0" w:color="auto"/>
        <w:left w:val="none" w:sz="0" w:space="0" w:color="auto"/>
        <w:bottom w:val="none" w:sz="0" w:space="0" w:color="auto"/>
        <w:right w:val="none" w:sz="0" w:space="0" w:color="auto"/>
      </w:divBdr>
    </w:div>
    <w:div w:id="2095515935">
      <w:bodyDiv w:val="1"/>
      <w:marLeft w:val="0"/>
      <w:marRight w:val="0"/>
      <w:marTop w:val="0"/>
      <w:marBottom w:val="0"/>
      <w:divBdr>
        <w:top w:val="none" w:sz="0" w:space="0" w:color="auto"/>
        <w:left w:val="none" w:sz="0" w:space="0" w:color="auto"/>
        <w:bottom w:val="none" w:sz="0" w:space="0" w:color="auto"/>
        <w:right w:val="none" w:sz="0" w:space="0" w:color="auto"/>
      </w:divBdr>
    </w:div>
    <w:div w:id="2106151496">
      <w:bodyDiv w:val="1"/>
      <w:marLeft w:val="0"/>
      <w:marRight w:val="0"/>
      <w:marTop w:val="0"/>
      <w:marBottom w:val="0"/>
      <w:divBdr>
        <w:top w:val="none" w:sz="0" w:space="0" w:color="auto"/>
        <w:left w:val="none" w:sz="0" w:space="0" w:color="auto"/>
        <w:bottom w:val="none" w:sz="0" w:space="0" w:color="auto"/>
        <w:right w:val="none" w:sz="0" w:space="0" w:color="auto"/>
      </w:divBdr>
    </w:div>
    <w:div w:id="2109885735">
      <w:bodyDiv w:val="1"/>
      <w:marLeft w:val="0"/>
      <w:marRight w:val="0"/>
      <w:marTop w:val="0"/>
      <w:marBottom w:val="0"/>
      <w:divBdr>
        <w:top w:val="none" w:sz="0" w:space="0" w:color="auto"/>
        <w:left w:val="none" w:sz="0" w:space="0" w:color="auto"/>
        <w:bottom w:val="none" w:sz="0" w:space="0" w:color="auto"/>
        <w:right w:val="none" w:sz="0" w:space="0" w:color="auto"/>
      </w:divBdr>
    </w:div>
    <w:div w:id="2111703374">
      <w:bodyDiv w:val="1"/>
      <w:marLeft w:val="0"/>
      <w:marRight w:val="0"/>
      <w:marTop w:val="0"/>
      <w:marBottom w:val="0"/>
      <w:divBdr>
        <w:top w:val="none" w:sz="0" w:space="0" w:color="auto"/>
        <w:left w:val="none" w:sz="0" w:space="0" w:color="auto"/>
        <w:bottom w:val="none" w:sz="0" w:space="0" w:color="auto"/>
        <w:right w:val="none" w:sz="0" w:space="0" w:color="auto"/>
      </w:divBdr>
    </w:div>
    <w:div w:id="2112583541">
      <w:bodyDiv w:val="1"/>
      <w:marLeft w:val="0"/>
      <w:marRight w:val="0"/>
      <w:marTop w:val="0"/>
      <w:marBottom w:val="0"/>
      <w:divBdr>
        <w:top w:val="none" w:sz="0" w:space="0" w:color="auto"/>
        <w:left w:val="none" w:sz="0" w:space="0" w:color="auto"/>
        <w:bottom w:val="none" w:sz="0" w:space="0" w:color="auto"/>
        <w:right w:val="none" w:sz="0" w:space="0" w:color="auto"/>
      </w:divBdr>
    </w:div>
    <w:div w:id="2117208086">
      <w:bodyDiv w:val="1"/>
      <w:marLeft w:val="0"/>
      <w:marRight w:val="0"/>
      <w:marTop w:val="0"/>
      <w:marBottom w:val="0"/>
      <w:divBdr>
        <w:top w:val="none" w:sz="0" w:space="0" w:color="auto"/>
        <w:left w:val="none" w:sz="0" w:space="0" w:color="auto"/>
        <w:bottom w:val="none" w:sz="0" w:space="0" w:color="auto"/>
        <w:right w:val="none" w:sz="0" w:space="0" w:color="auto"/>
      </w:divBdr>
    </w:div>
    <w:div w:id="2119713046">
      <w:bodyDiv w:val="1"/>
      <w:marLeft w:val="0"/>
      <w:marRight w:val="0"/>
      <w:marTop w:val="0"/>
      <w:marBottom w:val="0"/>
      <w:divBdr>
        <w:top w:val="none" w:sz="0" w:space="0" w:color="auto"/>
        <w:left w:val="none" w:sz="0" w:space="0" w:color="auto"/>
        <w:bottom w:val="none" w:sz="0" w:space="0" w:color="auto"/>
        <w:right w:val="none" w:sz="0" w:space="0" w:color="auto"/>
      </w:divBdr>
    </w:div>
    <w:div w:id="2121339140">
      <w:bodyDiv w:val="1"/>
      <w:marLeft w:val="0"/>
      <w:marRight w:val="0"/>
      <w:marTop w:val="0"/>
      <w:marBottom w:val="0"/>
      <w:divBdr>
        <w:top w:val="none" w:sz="0" w:space="0" w:color="auto"/>
        <w:left w:val="none" w:sz="0" w:space="0" w:color="auto"/>
        <w:bottom w:val="none" w:sz="0" w:space="0" w:color="auto"/>
        <w:right w:val="none" w:sz="0" w:space="0" w:color="auto"/>
      </w:divBdr>
    </w:div>
    <w:div w:id="2132822528">
      <w:bodyDiv w:val="1"/>
      <w:marLeft w:val="0"/>
      <w:marRight w:val="0"/>
      <w:marTop w:val="0"/>
      <w:marBottom w:val="0"/>
      <w:divBdr>
        <w:top w:val="none" w:sz="0" w:space="0" w:color="auto"/>
        <w:left w:val="none" w:sz="0" w:space="0" w:color="auto"/>
        <w:bottom w:val="none" w:sz="0" w:space="0" w:color="auto"/>
        <w:right w:val="none" w:sz="0" w:space="0" w:color="auto"/>
      </w:divBdr>
    </w:div>
    <w:div w:id="2134325181">
      <w:bodyDiv w:val="1"/>
      <w:marLeft w:val="0"/>
      <w:marRight w:val="0"/>
      <w:marTop w:val="0"/>
      <w:marBottom w:val="0"/>
      <w:divBdr>
        <w:top w:val="none" w:sz="0" w:space="0" w:color="auto"/>
        <w:left w:val="none" w:sz="0" w:space="0" w:color="auto"/>
        <w:bottom w:val="none" w:sz="0" w:space="0" w:color="auto"/>
        <w:right w:val="none" w:sz="0" w:space="0" w:color="auto"/>
      </w:divBdr>
    </w:div>
    <w:div w:id="2138796261">
      <w:bodyDiv w:val="1"/>
      <w:marLeft w:val="0"/>
      <w:marRight w:val="0"/>
      <w:marTop w:val="0"/>
      <w:marBottom w:val="0"/>
      <w:divBdr>
        <w:top w:val="none" w:sz="0" w:space="0" w:color="auto"/>
        <w:left w:val="none" w:sz="0" w:space="0" w:color="auto"/>
        <w:bottom w:val="none" w:sz="0" w:space="0" w:color="auto"/>
        <w:right w:val="none" w:sz="0" w:space="0" w:color="auto"/>
      </w:divBdr>
    </w:div>
    <w:div w:id="21403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header" Target="header4.xml"/><Relationship Id="rId42" Type="http://schemas.openxmlformats.org/officeDocument/2006/relationships/header" Target="header20.xml"/><Relationship Id="rId47" Type="http://schemas.openxmlformats.org/officeDocument/2006/relationships/hyperlink" Target="http://www.telecom.gov.sk/index/index.php?ids=147132" TargetMode="External"/><Relationship Id="rId63" Type="http://schemas.openxmlformats.org/officeDocument/2006/relationships/hyperlink" Target="http://www.nrsr.sk/web/Default.aspx?-" TargetMode="External"/><Relationship Id="rId68" Type="http://schemas.openxmlformats.org/officeDocument/2006/relationships/hyperlink" Target="http://www.epi.sk/Main/Default.aspx?Template=~%2FMain%2FTArticles.ascx&amp;LngID=0&amp;zzsrlnkid=4654186&amp;phContent=~%2FZzSR%2FShowRule.ascx&amp;RuleId=14927&amp;pa=13597" TargetMode="External"/><Relationship Id="rId84" Type="http://schemas.openxmlformats.org/officeDocument/2006/relationships/hyperlink" Target="http://www.sazp.sk/public/index/go.php?id=81&amp;prm3=686" TargetMode="External"/><Relationship Id="rId89" Type="http://schemas.openxmlformats.org/officeDocument/2006/relationships/hyperlink" Target="http://isdv.fri.uniza.sk/CourseDetail.aspx?moduleId=26750" TargetMode="External"/><Relationship Id="rId7" Type="http://schemas.openxmlformats.org/officeDocument/2006/relationships/settings" Target="settings.xml"/><Relationship Id="rId71" Type="http://schemas.openxmlformats.org/officeDocument/2006/relationships/hyperlink" Target="http://www.gender.gov.sk/?page_id=294" TargetMode="External"/><Relationship Id="rId92" Type="http://schemas.openxmlformats.org/officeDocument/2006/relationships/header" Target="header23.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eader" Target="header10.xml"/><Relationship Id="rId11" Type="http://schemas.openxmlformats.org/officeDocument/2006/relationships/image" Target="media/image1.jpeg"/><Relationship Id="rId24" Type="http://schemas.openxmlformats.org/officeDocument/2006/relationships/footer" Target="footer4.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header" Target="header19.xml"/><Relationship Id="rId45" Type="http://schemas.openxmlformats.org/officeDocument/2006/relationships/hyperlink" Target="http://www.telecom.gov.sk/index/index.php?ids=147132" TargetMode="External"/><Relationship Id="rId53" Type="http://schemas.openxmlformats.org/officeDocument/2006/relationships/hyperlink" Target="http://www.rokovania.sk/Rokovanie.aspx/BodRokovaniaDetail?idMaterial=23177" TargetMode="External"/><Relationship Id="rId58" Type="http://schemas.openxmlformats.org/officeDocument/2006/relationships/hyperlink" Target="http://www.rokovanie.sk/Rokovanie" TargetMode="External"/><Relationship Id="rId66" Type="http://schemas.openxmlformats.org/officeDocument/2006/relationships/hyperlink" Target="https://www.slov-lex.sk/pravne-predpisy/SK/ZZ/2016/290/20170101" TargetMode="External"/><Relationship Id="rId74" Type="http://schemas.openxmlformats.org/officeDocument/2006/relationships/hyperlink" Target="http://www.upsvar.sk/buxus/docs//urady/VK/vo/13-z095.pdf" TargetMode="External"/><Relationship Id="rId79" Type="http://schemas.openxmlformats.org/officeDocument/2006/relationships/hyperlink" Target="http://www.uvo.gov.sk/domov" TargetMode="External"/><Relationship Id="rId87" Type="http://schemas.openxmlformats.org/officeDocument/2006/relationships/hyperlink" Target="http://www.radavladylp.gov.sk/po-rokovani-rady-vlady-pre-ludske-prava-narodnostne-mensiny-a-rodovu-rovnost/" TargetMode="External"/><Relationship Id="rId102" Type="http://schemas.openxmlformats.org/officeDocument/2006/relationships/header" Target="header28.xml"/><Relationship Id="rId5" Type="http://schemas.openxmlformats.org/officeDocument/2006/relationships/numbering" Target="numbering.xml"/><Relationship Id="rId61" Type="http://schemas.openxmlformats.org/officeDocument/2006/relationships/hyperlink" Target="http://www.zakonypreludi.sk/zz/2013-357" TargetMode="External"/><Relationship Id="rId82" Type="http://schemas.openxmlformats.org/officeDocument/2006/relationships/hyperlink" Target="http://www.rokovania.sk/Rokovanie.aspx/BodRokovaniaDetail?idMaterial=23688" TargetMode="External"/><Relationship Id="rId90" Type="http://schemas.openxmlformats.org/officeDocument/2006/relationships/hyperlink" Target="http://isdv.fri.uniza.sk/CourseDetail.aspx?moduleId=26746" TargetMode="External"/><Relationship Id="rId95" Type="http://schemas.openxmlformats.org/officeDocument/2006/relationships/footer" Target="footer9.xml"/><Relationship Id="rId19" Type="http://schemas.openxmlformats.org/officeDocument/2006/relationships/footer" Target="footer2.xml"/><Relationship Id="rId14" Type="http://schemas.openxmlformats.org/officeDocument/2006/relationships/image" Target="media/image4.png"/><Relationship Id="rId22" Type="http://schemas.openxmlformats.org/officeDocument/2006/relationships/footer" Target="footer3.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6.xml"/><Relationship Id="rId43" Type="http://schemas.openxmlformats.org/officeDocument/2006/relationships/header" Target="header21.xml"/><Relationship Id="rId48" Type="http://schemas.openxmlformats.org/officeDocument/2006/relationships/hyperlink" Target="http://www.telecom.gov.sk/index/index.php?ids=147132" TargetMode="External"/><Relationship Id="rId56" Type="http://schemas.openxmlformats.org/officeDocument/2006/relationships/hyperlink" Target="http://www.rokovania.sk/Rokovanie.aspx/BodRokovaniaDetail?idMaterial=23177" TargetMode="External"/><Relationship Id="rId64" Type="http://schemas.openxmlformats.org/officeDocument/2006/relationships/hyperlink" Target="http://hsr.rokovania/" TargetMode="External"/><Relationship Id="rId69" Type="http://schemas.openxmlformats.org/officeDocument/2006/relationships/hyperlink" Target="http://www.gender.gov.sk/?page_id=72" TargetMode="External"/><Relationship Id="rId77" Type="http://schemas.openxmlformats.org/officeDocument/2006/relationships/hyperlink" Target="http://www.ropka.sk/sk/verejne-obstaravania/" TargetMode="External"/><Relationship Id="rId100" Type="http://schemas.openxmlformats.org/officeDocument/2006/relationships/header" Target="header27.xml"/><Relationship Id="rId105"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www.rokovania.sk/Rokovanie.aspx/BodRokovaniaDetail?idMaterial=23177" TargetMode="External"/><Relationship Id="rId72" Type="http://schemas.openxmlformats.org/officeDocument/2006/relationships/hyperlink" Target="http://www.rokovania.sk/Rokovanie.aspx/BodRokovaniaDetail?idMaterial=23180" TargetMode="External"/><Relationship Id="rId80" Type="http://schemas.openxmlformats.org/officeDocument/2006/relationships/hyperlink" Target="http://www.uvo.gov.sk/metodicke-usmernenia" TargetMode="External"/><Relationship Id="rId85" Type="http://schemas.openxmlformats.org/officeDocument/2006/relationships/hyperlink" Target="http://www.radavladylp.gov.sk/po-rokovani-rady-vlady-pre-ludske-prava-narodnostne-mensiny-a-rodovu-rovnost/" TargetMode="External"/><Relationship Id="rId93" Type="http://schemas.openxmlformats.org/officeDocument/2006/relationships/footer" Target="footer8.xml"/><Relationship Id="rId98" Type="http://schemas.openxmlformats.org/officeDocument/2006/relationships/header" Target="header26.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eader" Target="header14.xml"/><Relationship Id="rId38" Type="http://schemas.openxmlformats.org/officeDocument/2006/relationships/footer" Target="footer5.xml"/><Relationship Id="rId46" Type="http://schemas.openxmlformats.org/officeDocument/2006/relationships/hyperlink" Target="http://www.telecom.gov.sk/index/index.php?ids=147132" TargetMode="External"/><Relationship Id="rId59" Type="http://schemas.openxmlformats.org/officeDocument/2006/relationships/hyperlink" Target="http://www.vedatechnika.sk/SK/" TargetMode="External"/><Relationship Id="rId67" Type="http://schemas.openxmlformats.org/officeDocument/2006/relationships/hyperlink" Target="http://www.rokovania.sk/Rokovanie.aspx/BodRokovaniaDetail?idMaterial=24182" TargetMode="External"/><Relationship Id="rId103" Type="http://schemas.openxmlformats.org/officeDocument/2006/relationships/header" Target="header29.xml"/><Relationship Id="rId20" Type="http://schemas.openxmlformats.org/officeDocument/2006/relationships/header" Target="header3.xml"/><Relationship Id="rId41" Type="http://schemas.openxmlformats.org/officeDocument/2006/relationships/footer" Target="footer7.xml"/><Relationship Id="rId54" Type="http://schemas.openxmlformats.org/officeDocument/2006/relationships/hyperlink" Target="http://www.rokovania.sk/Rokovanie.aspx/BodRokovaniaDetail?idMaterial=23177" TargetMode="External"/><Relationship Id="rId62" Type="http://schemas.openxmlformats.org/officeDocument/2006/relationships/hyperlink" Target="http://www.rokovania.sk/Rokovanie" TargetMode="External"/><Relationship Id="rId70" Type="http://schemas.openxmlformats.org/officeDocument/2006/relationships/hyperlink" Target="http://www.gender.gov.sk/?page_id=347" TargetMode="External"/><Relationship Id="rId75" Type="http://schemas.openxmlformats.org/officeDocument/2006/relationships/hyperlink" Target="http://www.rokovania.sk/Rokovanie.aspx/BodRokovaniaDetail?idMaterial=21941" TargetMode="External"/><Relationship Id="rId83" Type="http://schemas.openxmlformats.org/officeDocument/2006/relationships/hyperlink" Target="http://www.rokovania.sk/Rokovanie.aspx/BodRokovaniaDetail?idMaterial=23688" TargetMode="External"/><Relationship Id="rId88" Type="http://schemas.openxmlformats.org/officeDocument/2006/relationships/hyperlink" Target="http://www.institutrr.sk/elearning/" TargetMode="External"/><Relationship Id="rId91" Type="http://schemas.openxmlformats.org/officeDocument/2006/relationships/hyperlink" Target="http://www.enviroportal.sk" TargetMode="External"/><Relationship Id="rId96" Type="http://schemas.openxmlformats.org/officeDocument/2006/relationships/hyperlink" Target="http://www.vicepremier.gov.sk"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eader" Target="header5.xml"/><Relationship Id="rId28" Type="http://schemas.openxmlformats.org/officeDocument/2006/relationships/header" Target="header9.xml"/><Relationship Id="rId36" Type="http://schemas.openxmlformats.org/officeDocument/2006/relationships/header" Target="header17.xml"/><Relationship Id="rId49" Type="http://schemas.openxmlformats.org/officeDocument/2006/relationships/hyperlink" Target="http://www.telecom.gov.sk/index/index.php?ids=147132" TargetMode="External"/><Relationship Id="rId57" Type="http://schemas.openxmlformats.org/officeDocument/2006/relationships/hyperlink" Target="http://www.rokovania.sk/Rokovanie.aspx/BodRokovaniaDetail?idMaterial=23177" TargetMode="External"/><Relationship Id="rId10" Type="http://schemas.openxmlformats.org/officeDocument/2006/relationships/endnotes" Target="endnotes.xml"/><Relationship Id="rId31" Type="http://schemas.openxmlformats.org/officeDocument/2006/relationships/header" Target="header12.xml"/><Relationship Id="rId44" Type="http://schemas.openxmlformats.org/officeDocument/2006/relationships/header" Target="header22.xml"/><Relationship Id="rId52" Type="http://schemas.openxmlformats.org/officeDocument/2006/relationships/hyperlink" Target="http://www.rokovania.sk/Rokovanie.aspx/BodRokovaniaDetail?idMaterial=23177" TargetMode="External"/><Relationship Id="rId60" Type="http://schemas.openxmlformats.org/officeDocument/2006/relationships/hyperlink" Target="http://www.zakonypreludi.sk/zz/2011-547" TargetMode="External"/><Relationship Id="rId65" Type="http://schemas.openxmlformats.org/officeDocument/2006/relationships/hyperlink" Target="http://www.nrsr.sk/web/Default.aspx?sid=zakony/zakon&amp;ZakZborID=13&amp;CisObdobia=7&amp;CPT=190" TargetMode="External"/><Relationship Id="rId73"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78" Type="http://schemas.openxmlformats.org/officeDocument/2006/relationships/hyperlink" Target="http://www.uvo.gov.sk/za-obdobie-od-1.1.2013-do-30.6.2013" TargetMode="External"/><Relationship Id="rId81" Type="http://schemas.openxmlformats.org/officeDocument/2006/relationships/hyperlink" Target="http://www.jaspi.justice.gov.sk" TargetMode="External"/><Relationship Id="rId86" Type="http://schemas.openxmlformats.org/officeDocument/2006/relationships/hyperlink" Target="http://www.radavladylp.gov.sk/po-rokovani-rady-vlady-pre-ludske-prava-narodnostne-mensiny-a-rodovu-rovnost/" TargetMode="External"/><Relationship Id="rId94" Type="http://schemas.openxmlformats.org/officeDocument/2006/relationships/header" Target="header24.xml"/><Relationship Id="rId99" Type="http://schemas.openxmlformats.org/officeDocument/2006/relationships/footer" Target="footer10.xml"/><Relationship Id="rId10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eader" Target="header2.xml"/><Relationship Id="rId39" Type="http://schemas.openxmlformats.org/officeDocument/2006/relationships/footer" Target="footer6.xml"/><Relationship Id="rId34" Type="http://schemas.openxmlformats.org/officeDocument/2006/relationships/header" Target="header15.xml"/><Relationship Id="rId50" Type="http://schemas.openxmlformats.org/officeDocument/2006/relationships/hyperlink" Target="http://www.telecom.gov.sk/index/index.php?ids=147132" TargetMode="External"/><Relationship Id="rId55" Type="http://schemas.openxmlformats.org/officeDocument/2006/relationships/hyperlink" Target="http://www.rokovania.sk/Rokovanie.aspx/BodRokovaniaDetail?idMaterial=23177" TargetMode="External"/><Relationship Id="rId76" Type="http://schemas.openxmlformats.org/officeDocument/2006/relationships/hyperlink" Target="http://www.opzp.sk/dokumenty/projektove-dokumenty/rozhodnutia-uvo-sr-v-procesoch-vo-v-ramci-projketov-op-zp-v-programovom-obdobi-2007-2013/" TargetMode="External"/><Relationship Id="rId97" Type="http://schemas.openxmlformats.org/officeDocument/2006/relationships/header" Target="header25.xml"/><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cdb.sk/sk/Vystupy-CDB/Statisticke-prehlady/Dlzky-cestnych-komunikacii.alej" TargetMode="External"/><Relationship Id="rId13" Type="http://schemas.openxmlformats.org/officeDocument/2006/relationships/hyperlink" Target="http://www.minv.sk/?romske-komunity-uvod&amp;subor=160529" TargetMode="External"/><Relationship Id="rId18" Type="http://schemas.openxmlformats.org/officeDocument/2006/relationships/hyperlink" Target="https://rokovania.gov.sk/RVL/Material/21622/1" TargetMode="External"/><Relationship Id="rId3" Type="http://schemas.openxmlformats.org/officeDocument/2006/relationships/hyperlink" Target="http://www.rokovania.sk/Rokovanie.aspx/" TargetMode="External"/><Relationship Id="rId7" Type="http://schemas.openxmlformats.org/officeDocument/2006/relationships/hyperlink" Target="http://www.zssk.sk" TargetMode="External"/><Relationship Id="rId12" Type="http://schemas.openxmlformats.org/officeDocument/2006/relationships/hyperlink" Target="http://www.minv.sk/swift_data/source/romovia/dokumenty/StrategiaSR_integraciaRomov.pdf" TargetMode="External"/><Relationship Id="rId17" Type="http://schemas.openxmlformats.org/officeDocument/2006/relationships/hyperlink" Target="https://www.slov-lex.sk/pravne-predpisy/SK/ZZ/2001/575/" TargetMode="External"/><Relationship Id="rId2" Type="http://schemas.openxmlformats.org/officeDocument/2006/relationships/hyperlink" Target="http://ec.europa.eu/regional_policy/what/future/pdf/partnership/sk_position_paper_sk.pdf" TargetMode="External"/><Relationship Id="rId16" Type="http://schemas.openxmlformats.org/officeDocument/2006/relationships/hyperlink" Target="https://www.slov-lex.sk/pravne-predpisy/SK/ZZ/2001/575/" TargetMode="External"/><Relationship Id="rId1" Type="http://schemas.openxmlformats.org/officeDocument/2006/relationships/hyperlink" Target="https://www.slov-lex.sk/pravne-predpisy/SK/ZZ/2001/575/" TargetMode="External"/><Relationship Id="rId6" Type="http://schemas.openxmlformats.org/officeDocument/2006/relationships/hyperlink" Target="http://www.telecom.gov.sk/files/statistika_vud/preprava_nakl.htm" TargetMode="External"/><Relationship Id="rId11" Type="http://schemas.openxmlformats.org/officeDocument/2006/relationships/hyperlink" Target="http://www.minv.sk/?atlas_2013" TargetMode="External"/><Relationship Id="rId5" Type="http://schemas.openxmlformats.org/officeDocument/2006/relationships/hyperlink" Target="https://www.slov-lex.sk/pravne-predpisy/SK/ZZ/2001/575/" TargetMode="External"/><Relationship Id="rId15" Type="http://schemas.openxmlformats.org/officeDocument/2006/relationships/hyperlink" Target="http://eur-lex.europa.eu/LexUriServ/LexUriServ.do?uri=COM:2013:0083:FIN:SK:PDF" TargetMode="External"/><Relationship Id="rId10" Type="http://schemas.openxmlformats.org/officeDocument/2006/relationships/hyperlink" Target="http://ec.europa.eu/information_society/newsroom/cf/itemdetail.cfm?item_id=6537" TargetMode="External"/><Relationship Id="rId4" Type="http://schemas.openxmlformats.org/officeDocument/2006/relationships/hyperlink" Target="http://ec.europa.eu/enterprise/policies/innovation/files/ius/ius-2014_en.pdf" TargetMode="External"/><Relationship Id="rId9" Type="http://schemas.openxmlformats.org/officeDocument/2006/relationships/hyperlink" Target="http://ec.europa.eu/information_society/newsroom/cf/itemdetail.cfm?item_id=6537" TargetMode="External"/><Relationship Id="rId14" Type="http://schemas.openxmlformats.org/officeDocument/2006/relationships/hyperlink" Target="http://ec.europa.eu/justice/discrimination/files/com_2013_460_en.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8CF4D-8B2C-4CEE-B23F-601FFC753001}">
  <ds:schemaRefs>
    <ds:schemaRef ds:uri="http://schemas.microsoft.com/sharepoint/v3/contenttype/forms"/>
  </ds:schemaRefs>
</ds:datastoreItem>
</file>

<file path=customXml/itemProps2.xml><?xml version="1.0" encoding="utf-8"?>
<ds:datastoreItem xmlns:ds="http://schemas.openxmlformats.org/officeDocument/2006/customXml" ds:itemID="{983D159A-1A49-4A83-9ED9-9474CB084E0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75E7546A-C071-4E62-83FE-408BB31B8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906A0B2-198D-4D5C-912A-8A6D579F8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5073</TotalTime>
  <Pages>275</Pages>
  <Words>110581</Words>
  <Characters>630315</Characters>
  <Application>Microsoft Office Word</Application>
  <DocSecurity>0</DocSecurity>
  <Lines>5252</Lines>
  <Paragraphs>1478</Paragraphs>
  <ScaleCrop>false</ScaleCrop>
  <HeadingPairs>
    <vt:vector size="8" baseType="variant">
      <vt:variant>
        <vt:lpstr>Názov</vt:lpstr>
      </vt:variant>
      <vt:variant>
        <vt:i4>1</vt:i4>
      </vt:variant>
      <vt:variant>
        <vt:lpstr>Title</vt:lpstr>
      </vt:variant>
      <vt:variant>
        <vt:i4>1</vt:i4>
      </vt:variant>
      <vt:variant>
        <vt:lpstr>Headings</vt:lpstr>
      </vt:variant>
      <vt:variant>
        <vt:i4>15</vt:i4>
      </vt:variant>
      <vt:variant>
        <vt:lpstr>Název</vt:lpstr>
      </vt:variant>
      <vt:variant>
        <vt:i4>1</vt:i4>
      </vt:variant>
    </vt:vector>
  </HeadingPairs>
  <TitlesOfParts>
    <vt:vector size="18" baseType="lpstr">
      <vt:lpstr>Operačný program Integrovaná infraštruktúra 2014 - 2020</vt:lpstr>
      <vt:lpstr>Operačný program Integrovaná infraštruktúra 2014 - 2020</vt:lpstr>
      <vt:lpstr/>
      <vt:lpstr/>
      <vt:lpstr>Stratégia operačného programu</vt:lpstr>
      <vt:lpstr>    Stratégia OP pre príspevok k stratégii EÚ pre inteligentný, udržateľný a inkluzí</vt:lpstr>
      <vt:lpstr>        Popis stratégie OP z hľadiska prínosu k stratégii Európa 2020 a k dosiahnutiu ek</vt:lpstr>
      <vt:lpstr>        Zdôvodnenie výberu tematických cieľov a príslušných investičných priorít</vt:lpstr>
      <vt:lpstr>    Zdôvodnenie finančnej alokácie OP</vt:lpstr>
      <vt:lpstr>Prioritné osi</vt:lpstr>
      <vt:lpstr>    Popis prioritných osí okrem technickej pomoci</vt:lpstr>
      <vt:lpstr>    PRIORITNÁ OS 1: ŽELEZNIČNÁ INFRAŠTRUKTÚRA (TEN-T CORE) A OBNOVA MOBILNÝCH PROSTR</vt:lpstr>
      <vt:lpstr>    </vt:lpstr>
      <vt:lpstr>        Fond, kategória regiónu a základ pre výpočet podpory Únie</vt:lpstr>
      <vt:lpstr>        INVESTIČNÁ PRIORITA 7i): Podpora multimodálneho jednotného európskeho dopravného</vt:lpstr>
      <vt:lpstr>        INVESTIČNÁ PRIORITA 7iii): Vývoj a modernizácia komplexných, interoperabilných ž</vt:lpstr>
      <vt:lpstr>        Aktivity, ktoré budú podporené v rámci investičnej priority</vt:lpstr>
      <vt:lpstr>Výročná správa o implementácii OPD za rok 2009</vt:lpstr>
    </vt:vector>
  </TitlesOfParts>
  <Company>Ministerstvo financií</Company>
  <LinksUpToDate>false</LinksUpToDate>
  <CharactersWithSpaces>739418</CharactersWithSpaces>
  <SharedDoc>false</SharedDoc>
  <HLinks>
    <vt:vector size="672" baseType="variant">
      <vt:variant>
        <vt:i4>1048628</vt:i4>
      </vt:variant>
      <vt:variant>
        <vt:i4>804</vt:i4>
      </vt:variant>
      <vt:variant>
        <vt:i4>0</vt:i4>
      </vt:variant>
      <vt:variant>
        <vt:i4>5</vt:i4>
      </vt:variant>
      <vt:variant>
        <vt:lpwstr/>
      </vt:variant>
      <vt:variant>
        <vt:lpwstr>_Toc258398791</vt:lpwstr>
      </vt:variant>
      <vt:variant>
        <vt:i4>1048628</vt:i4>
      </vt:variant>
      <vt:variant>
        <vt:i4>798</vt:i4>
      </vt:variant>
      <vt:variant>
        <vt:i4>0</vt:i4>
      </vt:variant>
      <vt:variant>
        <vt:i4>5</vt:i4>
      </vt:variant>
      <vt:variant>
        <vt:lpwstr/>
      </vt:variant>
      <vt:variant>
        <vt:lpwstr>_Toc258398790</vt:lpwstr>
      </vt:variant>
      <vt:variant>
        <vt:i4>1114164</vt:i4>
      </vt:variant>
      <vt:variant>
        <vt:i4>792</vt:i4>
      </vt:variant>
      <vt:variant>
        <vt:i4>0</vt:i4>
      </vt:variant>
      <vt:variant>
        <vt:i4>5</vt:i4>
      </vt:variant>
      <vt:variant>
        <vt:lpwstr/>
      </vt:variant>
      <vt:variant>
        <vt:lpwstr>_Toc258398789</vt:lpwstr>
      </vt:variant>
      <vt:variant>
        <vt:i4>1114164</vt:i4>
      </vt:variant>
      <vt:variant>
        <vt:i4>786</vt:i4>
      </vt:variant>
      <vt:variant>
        <vt:i4>0</vt:i4>
      </vt:variant>
      <vt:variant>
        <vt:i4>5</vt:i4>
      </vt:variant>
      <vt:variant>
        <vt:lpwstr/>
      </vt:variant>
      <vt:variant>
        <vt:lpwstr>_Toc258398788</vt:lpwstr>
      </vt:variant>
      <vt:variant>
        <vt:i4>1114164</vt:i4>
      </vt:variant>
      <vt:variant>
        <vt:i4>780</vt:i4>
      </vt:variant>
      <vt:variant>
        <vt:i4>0</vt:i4>
      </vt:variant>
      <vt:variant>
        <vt:i4>5</vt:i4>
      </vt:variant>
      <vt:variant>
        <vt:lpwstr/>
      </vt:variant>
      <vt:variant>
        <vt:lpwstr>_Toc258398787</vt:lpwstr>
      </vt:variant>
      <vt:variant>
        <vt:i4>1114164</vt:i4>
      </vt:variant>
      <vt:variant>
        <vt:i4>774</vt:i4>
      </vt:variant>
      <vt:variant>
        <vt:i4>0</vt:i4>
      </vt:variant>
      <vt:variant>
        <vt:i4>5</vt:i4>
      </vt:variant>
      <vt:variant>
        <vt:lpwstr/>
      </vt:variant>
      <vt:variant>
        <vt:lpwstr>_Toc258398786</vt:lpwstr>
      </vt:variant>
      <vt:variant>
        <vt:i4>1114164</vt:i4>
      </vt:variant>
      <vt:variant>
        <vt:i4>768</vt:i4>
      </vt:variant>
      <vt:variant>
        <vt:i4>0</vt:i4>
      </vt:variant>
      <vt:variant>
        <vt:i4>5</vt:i4>
      </vt:variant>
      <vt:variant>
        <vt:lpwstr/>
      </vt:variant>
      <vt:variant>
        <vt:lpwstr>_Toc258398785</vt:lpwstr>
      </vt:variant>
      <vt:variant>
        <vt:i4>1114164</vt:i4>
      </vt:variant>
      <vt:variant>
        <vt:i4>762</vt:i4>
      </vt:variant>
      <vt:variant>
        <vt:i4>0</vt:i4>
      </vt:variant>
      <vt:variant>
        <vt:i4>5</vt:i4>
      </vt:variant>
      <vt:variant>
        <vt:lpwstr/>
      </vt:variant>
      <vt:variant>
        <vt:lpwstr>_Toc258398784</vt:lpwstr>
      </vt:variant>
      <vt:variant>
        <vt:i4>1114164</vt:i4>
      </vt:variant>
      <vt:variant>
        <vt:i4>756</vt:i4>
      </vt:variant>
      <vt:variant>
        <vt:i4>0</vt:i4>
      </vt:variant>
      <vt:variant>
        <vt:i4>5</vt:i4>
      </vt:variant>
      <vt:variant>
        <vt:lpwstr/>
      </vt:variant>
      <vt:variant>
        <vt:lpwstr>_Toc258398783</vt:lpwstr>
      </vt:variant>
      <vt:variant>
        <vt:i4>1114164</vt:i4>
      </vt:variant>
      <vt:variant>
        <vt:i4>750</vt:i4>
      </vt:variant>
      <vt:variant>
        <vt:i4>0</vt:i4>
      </vt:variant>
      <vt:variant>
        <vt:i4>5</vt:i4>
      </vt:variant>
      <vt:variant>
        <vt:lpwstr/>
      </vt:variant>
      <vt:variant>
        <vt:lpwstr>_Toc258398782</vt:lpwstr>
      </vt:variant>
      <vt:variant>
        <vt:i4>1114164</vt:i4>
      </vt:variant>
      <vt:variant>
        <vt:i4>744</vt:i4>
      </vt:variant>
      <vt:variant>
        <vt:i4>0</vt:i4>
      </vt:variant>
      <vt:variant>
        <vt:i4>5</vt:i4>
      </vt:variant>
      <vt:variant>
        <vt:lpwstr/>
      </vt:variant>
      <vt:variant>
        <vt:lpwstr>_Toc258398781</vt:lpwstr>
      </vt:variant>
      <vt:variant>
        <vt:i4>1114164</vt:i4>
      </vt:variant>
      <vt:variant>
        <vt:i4>738</vt:i4>
      </vt:variant>
      <vt:variant>
        <vt:i4>0</vt:i4>
      </vt:variant>
      <vt:variant>
        <vt:i4>5</vt:i4>
      </vt:variant>
      <vt:variant>
        <vt:lpwstr/>
      </vt:variant>
      <vt:variant>
        <vt:lpwstr>_Toc258398780</vt:lpwstr>
      </vt:variant>
      <vt:variant>
        <vt:i4>1966132</vt:i4>
      </vt:variant>
      <vt:variant>
        <vt:i4>732</vt:i4>
      </vt:variant>
      <vt:variant>
        <vt:i4>0</vt:i4>
      </vt:variant>
      <vt:variant>
        <vt:i4>5</vt:i4>
      </vt:variant>
      <vt:variant>
        <vt:lpwstr/>
      </vt:variant>
      <vt:variant>
        <vt:lpwstr>_Toc258398779</vt:lpwstr>
      </vt:variant>
      <vt:variant>
        <vt:i4>1966132</vt:i4>
      </vt:variant>
      <vt:variant>
        <vt:i4>726</vt:i4>
      </vt:variant>
      <vt:variant>
        <vt:i4>0</vt:i4>
      </vt:variant>
      <vt:variant>
        <vt:i4>5</vt:i4>
      </vt:variant>
      <vt:variant>
        <vt:lpwstr/>
      </vt:variant>
      <vt:variant>
        <vt:lpwstr>_Toc258398778</vt:lpwstr>
      </vt:variant>
      <vt:variant>
        <vt:i4>1966132</vt:i4>
      </vt:variant>
      <vt:variant>
        <vt:i4>720</vt:i4>
      </vt:variant>
      <vt:variant>
        <vt:i4>0</vt:i4>
      </vt:variant>
      <vt:variant>
        <vt:i4>5</vt:i4>
      </vt:variant>
      <vt:variant>
        <vt:lpwstr/>
      </vt:variant>
      <vt:variant>
        <vt:lpwstr>_Toc258398777</vt:lpwstr>
      </vt:variant>
      <vt:variant>
        <vt:i4>1966132</vt:i4>
      </vt:variant>
      <vt:variant>
        <vt:i4>714</vt:i4>
      </vt:variant>
      <vt:variant>
        <vt:i4>0</vt:i4>
      </vt:variant>
      <vt:variant>
        <vt:i4>5</vt:i4>
      </vt:variant>
      <vt:variant>
        <vt:lpwstr/>
      </vt:variant>
      <vt:variant>
        <vt:lpwstr>_Toc258398776</vt:lpwstr>
      </vt:variant>
      <vt:variant>
        <vt:i4>1966132</vt:i4>
      </vt:variant>
      <vt:variant>
        <vt:i4>708</vt:i4>
      </vt:variant>
      <vt:variant>
        <vt:i4>0</vt:i4>
      </vt:variant>
      <vt:variant>
        <vt:i4>5</vt:i4>
      </vt:variant>
      <vt:variant>
        <vt:lpwstr/>
      </vt:variant>
      <vt:variant>
        <vt:lpwstr>_Toc258398775</vt:lpwstr>
      </vt:variant>
      <vt:variant>
        <vt:i4>1966132</vt:i4>
      </vt:variant>
      <vt:variant>
        <vt:i4>702</vt:i4>
      </vt:variant>
      <vt:variant>
        <vt:i4>0</vt:i4>
      </vt:variant>
      <vt:variant>
        <vt:i4>5</vt:i4>
      </vt:variant>
      <vt:variant>
        <vt:lpwstr/>
      </vt:variant>
      <vt:variant>
        <vt:lpwstr>_Toc258398774</vt:lpwstr>
      </vt:variant>
      <vt:variant>
        <vt:i4>1966132</vt:i4>
      </vt:variant>
      <vt:variant>
        <vt:i4>696</vt:i4>
      </vt:variant>
      <vt:variant>
        <vt:i4>0</vt:i4>
      </vt:variant>
      <vt:variant>
        <vt:i4>5</vt:i4>
      </vt:variant>
      <vt:variant>
        <vt:lpwstr/>
      </vt:variant>
      <vt:variant>
        <vt:lpwstr>_Toc258398773</vt:lpwstr>
      </vt:variant>
      <vt:variant>
        <vt:i4>1966132</vt:i4>
      </vt:variant>
      <vt:variant>
        <vt:i4>690</vt:i4>
      </vt:variant>
      <vt:variant>
        <vt:i4>0</vt:i4>
      </vt:variant>
      <vt:variant>
        <vt:i4>5</vt:i4>
      </vt:variant>
      <vt:variant>
        <vt:lpwstr/>
      </vt:variant>
      <vt:variant>
        <vt:lpwstr>_Toc258398772</vt:lpwstr>
      </vt:variant>
      <vt:variant>
        <vt:i4>1966132</vt:i4>
      </vt:variant>
      <vt:variant>
        <vt:i4>684</vt:i4>
      </vt:variant>
      <vt:variant>
        <vt:i4>0</vt:i4>
      </vt:variant>
      <vt:variant>
        <vt:i4>5</vt:i4>
      </vt:variant>
      <vt:variant>
        <vt:lpwstr/>
      </vt:variant>
      <vt:variant>
        <vt:lpwstr>_Toc258398771</vt:lpwstr>
      </vt:variant>
      <vt:variant>
        <vt:i4>1966132</vt:i4>
      </vt:variant>
      <vt:variant>
        <vt:i4>678</vt:i4>
      </vt:variant>
      <vt:variant>
        <vt:i4>0</vt:i4>
      </vt:variant>
      <vt:variant>
        <vt:i4>5</vt:i4>
      </vt:variant>
      <vt:variant>
        <vt:lpwstr/>
      </vt:variant>
      <vt:variant>
        <vt:lpwstr>_Toc258398770</vt:lpwstr>
      </vt:variant>
      <vt:variant>
        <vt:i4>2031668</vt:i4>
      </vt:variant>
      <vt:variant>
        <vt:i4>672</vt:i4>
      </vt:variant>
      <vt:variant>
        <vt:i4>0</vt:i4>
      </vt:variant>
      <vt:variant>
        <vt:i4>5</vt:i4>
      </vt:variant>
      <vt:variant>
        <vt:lpwstr/>
      </vt:variant>
      <vt:variant>
        <vt:lpwstr>_Toc258398769</vt:lpwstr>
      </vt:variant>
      <vt:variant>
        <vt:i4>2031668</vt:i4>
      </vt:variant>
      <vt:variant>
        <vt:i4>666</vt:i4>
      </vt:variant>
      <vt:variant>
        <vt:i4>0</vt:i4>
      </vt:variant>
      <vt:variant>
        <vt:i4>5</vt:i4>
      </vt:variant>
      <vt:variant>
        <vt:lpwstr/>
      </vt:variant>
      <vt:variant>
        <vt:lpwstr>_Toc258398768</vt:lpwstr>
      </vt:variant>
      <vt:variant>
        <vt:i4>2031668</vt:i4>
      </vt:variant>
      <vt:variant>
        <vt:i4>660</vt:i4>
      </vt:variant>
      <vt:variant>
        <vt:i4>0</vt:i4>
      </vt:variant>
      <vt:variant>
        <vt:i4>5</vt:i4>
      </vt:variant>
      <vt:variant>
        <vt:lpwstr/>
      </vt:variant>
      <vt:variant>
        <vt:lpwstr>_Toc258398767</vt:lpwstr>
      </vt:variant>
      <vt:variant>
        <vt:i4>2031668</vt:i4>
      </vt:variant>
      <vt:variant>
        <vt:i4>654</vt:i4>
      </vt:variant>
      <vt:variant>
        <vt:i4>0</vt:i4>
      </vt:variant>
      <vt:variant>
        <vt:i4>5</vt:i4>
      </vt:variant>
      <vt:variant>
        <vt:lpwstr/>
      </vt:variant>
      <vt:variant>
        <vt:lpwstr>_Toc258398766</vt:lpwstr>
      </vt:variant>
      <vt:variant>
        <vt:i4>2031668</vt:i4>
      </vt:variant>
      <vt:variant>
        <vt:i4>648</vt:i4>
      </vt:variant>
      <vt:variant>
        <vt:i4>0</vt:i4>
      </vt:variant>
      <vt:variant>
        <vt:i4>5</vt:i4>
      </vt:variant>
      <vt:variant>
        <vt:lpwstr/>
      </vt:variant>
      <vt:variant>
        <vt:lpwstr>_Toc258398765</vt:lpwstr>
      </vt:variant>
      <vt:variant>
        <vt:i4>2031668</vt:i4>
      </vt:variant>
      <vt:variant>
        <vt:i4>642</vt:i4>
      </vt:variant>
      <vt:variant>
        <vt:i4>0</vt:i4>
      </vt:variant>
      <vt:variant>
        <vt:i4>5</vt:i4>
      </vt:variant>
      <vt:variant>
        <vt:lpwstr/>
      </vt:variant>
      <vt:variant>
        <vt:lpwstr>_Toc258398764</vt:lpwstr>
      </vt:variant>
      <vt:variant>
        <vt:i4>2031668</vt:i4>
      </vt:variant>
      <vt:variant>
        <vt:i4>636</vt:i4>
      </vt:variant>
      <vt:variant>
        <vt:i4>0</vt:i4>
      </vt:variant>
      <vt:variant>
        <vt:i4>5</vt:i4>
      </vt:variant>
      <vt:variant>
        <vt:lpwstr/>
      </vt:variant>
      <vt:variant>
        <vt:lpwstr>_Toc258398763</vt:lpwstr>
      </vt:variant>
      <vt:variant>
        <vt:i4>2031668</vt:i4>
      </vt:variant>
      <vt:variant>
        <vt:i4>630</vt:i4>
      </vt:variant>
      <vt:variant>
        <vt:i4>0</vt:i4>
      </vt:variant>
      <vt:variant>
        <vt:i4>5</vt:i4>
      </vt:variant>
      <vt:variant>
        <vt:lpwstr/>
      </vt:variant>
      <vt:variant>
        <vt:lpwstr>_Toc258398762</vt:lpwstr>
      </vt:variant>
      <vt:variant>
        <vt:i4>2031668</vt:i4>
      </vt:variant>
      <vt:variant>
        <vt:i4>624</vt:i4>
      </vt:variant>
      <vt:variant>
        <vt:i4>0</vt:i4>
      </vt:variant>
      <vt:variant>
        <vt:i4>5</vt:i4>
      </vt:variant>
      <vt:variant>
        <vt:lpwstr/>
      </vt:variant>
      <vt:variant>
        <vt:lpwstr>_Toc258398761</vt:lpwstr>
      </vt:variant>
      <vt:variant>
        <vt:i4>2031668</vt:i4>
      </vt:variant>
      <vt:variant>
        <vt:i4>618</vt:i4>
      </vt:variant>
      <vt:variant>
        <vt:i4>0</vt:i4>
      </vt:variant>
      <vt:variant>
        <vt:i4>5</vt:i4>
      </vt:variant>
      <vt:variant>
        <vt:lpwstr/>
      </vt:variant>
      <vt:variant>
        <vt:lpwstr>_Toc258398760</vt:lpwstr>
      </vt:variant>
      <vt:variant>
        <vt:i4>1835060</vt:i4>
      </vt:variant>
      <vt:variant>
        <vt:i4>612</vt:i4>
      </vt:variant>
      <vt:variant>
        <vt:i4>0</vt:i4>
      </vt:variant>
      <vt:variant>
        <vt:i4>5</vt:i4>
      </vt:variant>
      <vt:variant>
        <vt:lpwstr/>
      </vt:variant>
      <vt:variant>
        <vt:lpwstr>_Toc258398759</vt:lpwstr>
      </vt:variant>
      <vt:variant>
        <vt:i4>6750305</vt:i4>
      </vt:variant>
      <vt:variant>
        <vt:i4>607</vt:i4>
      </vt:variant>
      <vt:variant>
        <vt:i4>0</vt:i4>
      </vt:variant>
      <vt:variant>
        <vt:i4>5</vt:i4>
      </vt:variant>
      <vt:variant>
        <vt:lpwstr>../../../../../../Documents and Settings/palko/Application Data/Microsoft/Word/www.nsrr.sk</vt:lpwstr>
      </vt:variant>
      <vt:variant>
        <vt:lpwstr/>
      </vt:variant>
      <vt:variant>
        <vt:i4>3211374</vt:i4>
      </vt:variant>
      <vt:variant>
        <vt:i4>604</vt:i4>
      </vt:variant>
      <vt:variant>
        <vt:i4>0</vt:i4>
      </vt:variant>
      <vt:variant>
        <vt:i4>5</vt:i4>
      </vt:variant>
      <vt:variant>
        <vt:lpwstr>www.mdpt-opd.sk</vt:lpwstr>
      </vt:variant>
      <vt:variant>
        <vt:lpwstr/>
      </vt:variant>
      <vt:variant>
        <vt:i4>7340091</vt:i4>
      </vt:variant>
      <vt:variant>
        <vt:i4>601</vt:i4>
      </vt:variant>
      <vt:variant>
        <vt:i4>0</vt:i4>
      </vt:variant>
      <vt:variant>
        <vt:i4>5</vt:i4>
      </vt:variant>
      <vt:variant>
        <vt:lpwstr>http://www.telecom.gov.sk/</vt:lpwstr>
      </vt:variant>
      <vt:variant>
        <vt:lpwstr/>
      </vt:variant>
      <vt:variant>
        <vt:i4>4849683</vt:i4>
      </vt:variant>
      <vt:variant>
        <vt:i4>598</vt:i4>
      </vt:variant>
      <vt:variant>
        <vt:i4>0</vt:i4>
      </vt:variant>
      <vt:variant>
        <vt:i4>5</vt:i4>
      </vt:variant>
      <vt:variant>
        <vt:lpwstr>../../../../../../Documents and Settings/palko/Application Data/Microsoft/Word/www.telecom.gov.sk</vt:lpwstr>
      </vt:variant>
      <vt:variant>
        <vt:lpwstr/>
      </vt:variant>
      <vt:variant>
        <vt:i4>4849683</vt:i4>
      </vt:variant>
      <vt:variant>
        <vt:i4>595</vt:i4>
      </vt:variant>
      <vt:variant>
        <vt:i4>0</vt:i4>
      </vt:variant>
      <vt:variant>
        <vt:i4>5</vt:i4>
      </vt:variant>
      <vt:variant>
        <vt:lpwstr>../../../../../../Documents and Settings/palko/Application Data/Microsoft/Word/www.telecom.gov.sk</vt:lpwstr>
      </vt:variant>
      <vt:variant>
        <vt:lpwstr/>
      </vt:variant>
      <vt:variant>
        <vt:i4>6750305</vt:i4>
      </vt:variant>
      <vt:variant>
        <vt:i4>592</vt:i4>
      </vt:variant>
      <vt:variant>
        <vt:i4>0</vt:i4>
      </vt:variant>
      <vt:variant>
        <vt:i4>5</vt:i4>
      </vt:variant>
      <vt:variant>
        <vt:lpwstr>../../../../../../Documents and Settings/palko/Application Data/Microsoft/Word/www.nsrr.sk</vt:lpwstr>
      </vt:variant>
      <vt:variant>
        <vt:lpwstr/>
      </vt:variant>
      <vt:variant>
        <vt:i4>7340091</vt:i4>
      </vt:variant>
      <vt:variant>
        <vt:i4>586</vt:i4>
      </vt:variant>
      <vt:variant>
        <vt:i4>0</vt:i4>
      </vt:variant>
      <vt:variant>
        <vt:i4>5</vt:i4>
      </vt:variant>
      <vt:variant>
        <vt:lpwstr>http://www.telecom.gov.sk/</vt:lpwstr>
      </vt:variant>
      <vt:variant>
        <vt:lpwstr/>
      </vt:variant>
      <vt:variant>
        <vt:i4>2097218</vt:i4>
      </vt:variant>
      <vt:variant>
        <vt:i4>495</vt:i4>
      </vt:variant>
      <vt:variant>
        <vt:i4>0</vt:i4>
      </vt:variant>
      <vt:variant>
        <vt:i4>5</vt:i4>
      </vt:variant>
      <vt:variant>
        <vt:lpwstr>http://sk.wikipedia.org/wiki/Horn%C3%A9_Ozorovce</vt:lpwstr>
      </vt:variant>
      <vt:variant>
        <vt:lpwstr/>
      </vt:variant>
      <vt:variant>
        <vt:i4>3276866</vt:i4>
      </vt:variant>
      <vt:variant>
        <vt:i4>492</vt:i4>
      </vt:variant>
      <vt:variant>
        <vt:i4>0</vt:i4>
      </vt:variant>
      <vt:variant>
        <vt:i4>5</vt:i4>
      </vt:variant>
      <vt:variant>
        <vt:lpwstr>http://sk.wikipedia.org/wiki/Doln%C3%A9_Ozorovce</vt:lpwstr>
      </vt:variant>
      <vt:variant>
        <vt:lpwstr/>
      </vt:variant>
      <vt:variant>
        <vt:i4>4849683</vt:i4>
      </vt:variant>
      <vt:variant>
        <vt:i4>393</vt:i4>
      </vt:variant>
      <vt:variant>
        <vt:i4>0</vt:i4>
      </vt:variant>
      <vt:variant>
        <vt:i4>5</vt:i4>
      </vt:variant>
      <vt:variant>
        <vt:lpwstr>../../../../../../Documents and Settings/palko/Application Data/Microsoft/Word/www.telecom.gov.sk</vt:lpwstr>
      </vt:variant>
      <vt:variant>
        <vt:lpwstr/>
      </vt:variant>
      <vt:variant>
        <vt:i4>2949162</vt:i4>
      </vt:variant>
      <vt:variant>
        <vt:i4>390</vt:i4>
      </vt:variant>
      <vt:variant>
        <vt:i4>0</vt:i4>
      </vt:variant>
      <vt:variant>
        <vt:i4>5</vt:i4>
      </vt:variant>
      <vt:variant>
        <vt:lpwstr>www.itms.sk</vt:lpwstr>
      </vt:variant>
      <vt:variant>
        <vt:lpwstr/>
      </vt:variant>
      <vt:variant>
        <vt:i4>4849683</vt:i4>
      </vt:variant>
      <vt:variant>
        <vt:i4>387</vt:i4>
      </vt:variant>
      <vt:variant>
        <vt:i4>0</vt:i4>
      </vt:variant>
      <vt:variant>
        <vt:i4>5</vt:i4>
      </vt:variant>
      <vt:variant>
        <vt:lpwstr>../../../../../../Documents and Settings/palko/Application Data/Microsoft/Word/www.telecom.gov.sk</vt:lpwstr>
      </vt:variant>
      <vt:variant>
        <vt:lpwstr/>
      </vt:variant>
      <vt:variant>
        <vt:i4>8192037</vt:i4>
      </vt:variant>
      <vt:variant>
        <vt:i4>384</vt:i4>
      </vt:variant>
      <vt:variant>
        <vt:i4>0</vt:i4>
      </vt:variant>
      <vt:variant>
        <vt:i4>5</vt:i4>
      </vt:variant>
      <vt:variant>
        <vt:lpwstr>../../../../../../Documents and Settings/palko/Application Data/Microsoft/Documents and Settings/Hajnik/Local Settings/Temp/notes6030C8/www.telecom.gov.sk</vt:lpwstr>
      </vt:variant>
      <vt:variant>
        <vt:lpwstr/>
      </vt:variant>
      <vt:variant>
        <vt:i4>8192037</vt:i4>
      </vt:variant>
      <vt:variant>
        <vt:i4>381</vt:i4>
      </vt:variant>
      <vt:variant>
        <vt:i4>0</vt:i4>
      </vt:variant>
      <vt:variant>
        <vt:i4>5</vt:i4>
      </vt:variant>
      <vt:variant>
        <vt:lpwstr>../../../../../../Documents and Settings/palko/Application Data/Microsoft/Documents and Settings/Hajnik/Local Settings/Temp/notes6030C8/www.telecom.gov.sk</vt:lpwstr>
      </vt:variant>
      <vt:variant>
        <vt:lpwstr/>
      </vt:variant>
      <vt:variant>
        <vt:i4>4849683</vt:i4>
      </vt:variant>
      <vt:variant>
        <vt:i4>378</vt:i4>
      </vt:variant>
      <vt:variant>
        <vt:i4>0</vt:i4>
      </vt:variant>
      <vt:variant>
        <vt:i4>5</vt:i4>
      </vt:variant>
      <vt:variant>
        <vt:lpwstr>../../../../../../Documents and Settings/palko/Application Data/Microsoft/Word/www.telecom.gov.sk</vt:lpwstr>
      </vt:variant>
      <vt:variant>
        <vt:lpwstr/>
      </vt:variant>
      <vt:variant>
        <vt:i4>7340148</vt:i4>
      </vt:variant>
      <vt:variant>
        <vt:i4>375</vt:i4>
      </vt:variant>
      <vt:variant>
        <vt:i4>0</vt:i4>
      </vt:variant>
      <vt:variant>
        <vt:i4>5</vt:i4>
      </vt:variant>
      <vt:variant>
        <vt:lpwstr>http://www.vlada.gov.sk/6578/rada-vlady-pre-regionalnu-politiku-a-dohlad-nad-strukturalnymi-operaciami.php</vt:lpwstr>
      </vt:variant>
      <vt:variant>
        <vt:lpwstr/>
      </vt:variant>
      <vt:variant>
        <vt:i4>7340091</vt:i4>
      </vt:variant>
      <vt:variant>
        <vt:i4>372</vt:i4>
      </vt:variant>
      <vt:variant>
        <vt:i4>0</vt:i4>
      </vt:variant>
      <vt:variant>
        <vt:i4>5</vt:i4>
      </vt:variant>
      <vt:variant>
        <vt:lpwstr>http://www.telecom.gov.sk/</vt:lpwstr>
      </vt:variant>
      <vt:variant>
        <vt:lpwstr/>
      </vt:variant>
      <vt:variant>
        <vt:i4>8192037</vt:i4>
      </vt:variant>
      <vt:variant>
        <vt:i4>369</vt:i4>
      </vt:variant>
      <vt:variant>
        <vt:i4>0</vt:i4>
      </vt:variant>
      <vt:variant>
        <vt:i4>5</vt:i4>
      </vt:variant>
      <vt:variant>
        <vt:lpwstr>../../../../../../Documents and Settings/palko/Application Data/Microsoft/Documents and Settings/Hajnik/Local Settings/Temp/notes6030C8/www.telecom.gov.sk</vt:lpwstr>
      </vt:variant>
      <vt:variant>
        <vt:lpwstr/>
      </vt:variant>
      <vt:variant>
        <vt:i4>1310782</vt:i4>
      </vt:variant>
      <vt:variant>
        <vt:i4>356</vt:i4>
      </vt:variant>
      <vt:variant>
        <vt:i4>0</vt:i4>
      </vt:variant>
      <vt:variant>
        <vt:i4>5</vt:i4>
      </vt:variant>
      <vt:variant>
        <vt:lpwstr/>
      </vt:variant>
      <vt:variant>
        <vt:lpwstr>_Toc279746153</vt:lpwstr>
      </vt:variant>
      <vt:variant>
        <vt:i4>1310782</vt:i4>
      </vt:variant>
      <vt:variant>
        <vt:i4>350</vt:i4>
      </vt:variant>
      <vt:variant>
        <vt:i4>0</vt:i4>
      </vt:variant>
      <vt:variant>
        <vt:i4>5</vt:i4>
      </vt:variant>
      <vt:variant>
        <vt:lpwstr/>
      </vt:variant>
      <vt:variant>
        <vt:lpwstr>_Toc279746152</vt:lpwstr>
      </vt:variant>
      <vt:variant>
        <vt:i4>1310782</vt:i4>
      </vt:variant>
      <vt:variant>
        <vt:i4>344</vt:i4>
      </vt:variant>
      <vt:variant>
        <vt:i4>0</vt:i4>
      </vt:variant>
      <vt:variant>
        <vt:i4>5</vt:i4>
      </vt:variant>
      <vt:variant>
        <vt:lpwstr/>
      </vt:variant>
      <vt:variant>
        <vt:lpwstr>_Toc279746151</vt:lpwstr>
      </vt:variant>
      <vt:variant>
        <vt:i4>1310782</vt:i4>
      </vt:variant>
      <vt:variant>
        <vt:i4>338</vt:i4>
      </vt:variant>
      <vt:variant>
        <vt:i4>0</vt:i4>
      </vt:variant>
      <vt:variant>
        <vt:i4>5</vt:i4>
      </vt:variant>
      <vt:variant>
        <vt:lpwstr/>
      </vt:variant>
      <vt:variant>
        <vt:lpwstr>_Toc279746150</vt:lpwstr>
      </vt:variant>
      <vt:variant>
        <vt:i4>1376318</vt:i4>
      </vt:variant>
      <vt:variant>
        <vt:i4>332</vt:i4>
      </vt:variant>
      <vt:variant>
        <vt:i4>0</vt:i4>
      </vt:variant>
      <vt:variant>
        <vt:i4>5</vt:i4>
      </vt:variant>
      <vt:variant>
        <vt:lpwstr/>
      </vt:variant>
      <vt:variant>
        <vt:lpwstr>_Toc279746149</vt:lpwstr>
      </vt:variant>
      <vt:variant>
        <vt:i4>1376318</vt:i4>
      </vt:variant>
      <vt:variant>
        <vt:i4>326</vt:i4>
      </vt:variant>
      <vt:variant>
        <vt:i4>0</vt:i4>
      </vt:variant>
      <vt:variant>
        <vt:i4>5</vt:i4>
      </vt:variant>
      <vt:variant>
        <vt:lpwstr/>
      </vt:variant>
      <vt:variant>
        <vt:lpwstr>_Toc279746148</vt:lpwstr>
      </vt:variant>
      <vt:variant>
        <vt:i4>1376318</vt:i4>
      </vt:variant>
      <vt:variant>
        <vt:i4>320</vt:i4>
      </vt:variant>
      <vt:variant>
        <vt:i4>0</vt:i4>
      </vt:variant>
      <vt:variant>
        <vt:i4>5</vt:i4>
      </vt:variant>
      <vt:variant>
        <vt:lpwstr/>
      </vt:variant>
      <vt:variant>
        <vt:lpwstr>_Toc279746147</vt:lpwstr>
      </vt:variant>
      <vt:variant>
        <vt:i4>1376318</vt:i4>
      </vt:variant>
      <vt:variant>
        <vt:i4>314</vt:i4>
      </vt:variant>
      <vt:variant>
        <vt:i4>0</vt:i4>
      </vt:variant>
      <vt:variant>
        <vt:i4>5</vt:i4>
      </vt:variant>
      <vt:variant>
        <vt:lpwstr/>
      </vt:variant>
      <vt:variant>
        <vt:lpwstr>_Toc279746146</vt:lpwstr>
      </vt:variant>
      <vt:variant>
        <vt:i4>1376318</vt:i4>
      </vt:variant>
      <vt:variant>
        <vt:i4>308</vt:i4>
      </vt:variant>
      <vt:variant>
        <vt:i4>0</vt:i4>
      </vt:variant>
      <vt:variant>
        <vt:i4>5</vt:i4>
      </vt:variant>
      <vt:variant>
        <vt:lpwstr/>
      </vt:variant>
      <vt:variant>
        <vt:lpwstr>_Toc279746145</vt:lpwstr>
      </vt:variant>
      <vt:variant>
        <vt:i4>1376318</vt:i4>
      </vt:variant>
      <vt:variant>
        <vt:i4>302</vt:i4>
      </vt:variant>
      <vt:variant>
        <vt:i4>0</vt:i4>
      </vt:variant>
      <vt:variant>
        <vt:i4>5</vt:i4>
      </vt:variant>
      <vt:variant>
        <vt:lpwstr/>
      </vt:variant>
      <vt:variant>
        <vt:lpwstr>_Toc279746144</vt:lpwstr>
      </vt:variant>
      <vt:variant>
        <vt:i4>1376318</vt:i4>
      </vt:variant>
      <vt:variant>
        <vt:i4>296</vt:i4>
      </vt:variant>
      <vt:variant>
        <vt:i4>0</vt:i4>
      </vt:variant>
      <vt:variant>
        <vt:i4>5</vt:i4>
      </vt:variant>
      <vt:variant>
        <vt:lpwstr/>
      </vt:variant>
      <vt:variant>
        <vt:lpwstr>_Toc279746143</vt:lpwstr>
      </vt:variant>
      <vt:variant>
        <vt:i4>1376318</vt:i4>
      </vt:variant>
      <vt:variant>
        <vt:i4>290</vt:i4>
      </vt:variant>
      <vt:variant>
        <vt:i4>0</vt:i4>
      </vt:variant>
      <vt:variant>
        <vt:i4>5</vt:i4>
      </vt:variant>
      <vt:variant>
        <vt:lpwstr/>
      </vt:variant>
      <vt:variant>
        <vt:lpwstr>_Toc279746142</vt:lpwstr>
      </vt:variant>
      <vt:variant>
        <vt:i4>1376318</vt:i4>
      </vt:variant>
      <vt:variant>
        <vt:i4>284</vt:i4>
      </vt:variant>
      <vt:variant>
        <vt:i4>0</vt:i4>
      </vt:variant>
      <vt:variant>
        <vt:i4>5</vt:i4>
      </vt:variant>
      <vt:variant>
        <vt:lpwstr/>
      </vt:variant>
      <vt:variant>
        <vt:lpwstr>_Toc279746141</vt:lpwstr>
      </vt:variant>
      <vt:variant>
        <vt:i4>1376318</vt:i4>
      </vt:variant>
      <vt:variant>
        <vt:i4>278</vt:i4>
      </vt:variant>
      <vt:variant>
        <vt:i4>0</vt:i4>
      </vt:variant>
      <vt:variant>
        <vt:i4>5</vt:i4>
      </vt:variant>
      <vt:variant>
        <vt:lpwstr/>
      </vt:variant>
      <vt:variant>
        <vt:lpwstr>_Toc279746140</vt:lpwstr>
      </vt:variant>
      <vt:variant>
        <vt:i4>1179710</vt:i4>
      </vt:variant>
      <vt:variant>
        <vt:i4>272</vt:i4>
      </vt:variant>
      <vt:variant>
        <vt:i4>0</vt:i4>
      </vt:variant>
      <vt:variant>
        <vt:i4>5</vt:i4>
      </vt:variant>
      <vt:variant>
        <vt:lpwstr/>
      </vt:variant>
      <vt:variant>
        <vt:lpwstr>_Toc279746139</vt:lpwstr>
      </vt:variant>
      <vt:variant>
        <vt:i4>1179710</vt:i4>
      </vt:variant>
      <vt:variant>
        <vt:i4>266</vt:i4>
      </vt:variant>
      <vt:variant>
        <vt:i4>0</vt:i4>
      </vt:variant>
      <vt:variant>
        <vt:i4>5</vt:i4>
      </vt:variant>
      <vt:variant>
        <vt:lpwstr/>
      </vt:variant>
      <vt:variant>
        <vt:lpwstr>_Toc279746138</vt:lpwstr>
      </vt:variant>
      <vt:variant>
        <vt:i4>1179710</vt:i4>
      </vt:variant>
      <vt:variant>
        <vt:i4>260</vt:i4>
      </vt:variant>
      <vt:variant>
        <vt:i4>0</vt:i4>
      </vt:variant>
      <vt:variant>
        <vt:i4>5</vt:i4>
      </vt:variant>
      <vt:variant>
        <vt:lpwstr/>
      </vt:variant>
      <vt:variant>
        <vt:lpwstr>_Toc279746137</vt:lpwstr>
      </vt:variant>
      <vt:variant>
        <vt:i4>1179710</vt:i4>
      </vt:variant>
      <vt:variant>
        <vt:i4>254</vt:i4>
      </vt:variant>
      <vt:variant>
        <vt:i4>0</vt:i4>
      </vt:variant>
      <vt:variant>
        <vt:i4>5</vt:i4>
      </vt:variant>
      <vt:variant>
        <vt:lpwstr/>
      </vt:variant>
      <vt:variant>
        <vt:lpwstr>_Toc279746136</vt:lpwstr>
      </vt:variant>
      <vt:variant>
        <vt:i4>1179710</vt:i4>
      </vt:variant>
      <vt:variant>
        <vt:i4>248</vt:i4>
      </vt:variant>
      <vt:variant>
        <vt:i4>0</vt:i4>
      </vt:variant>
      <vt:variant>
        <vt:i4>5</vt:i4>
      </vt:variant>
      <vt:variant>
        <vt:lpwstr/>
      </vt:variant>
      <vt:variant>
        <vt:lpwstr>_Toc279746135</vt:lpwstr>
      </vt:variant>
      <vt:variant>
        <vt:i4>1179710</vt:i4>
      </vt:variant>
      <vt:variant>
        <vt:i4>242</vt:i4>
      </vt:variant>
      <vt:variant>
        <vt:i4>0</vt:i4>
      </vt:variant>
      <vt:variant>
        <vt:i4>5</vt:i4>
      </vt:variant>
      <vt:variant>
        <vt:lpwstr/>
      </vt:variant>
      <vt:variant>
        <vt:lpwstr>_Toc279746134</vt:lpwstr>
      </vt:variant>
      <vt:variant>
        <vt:i4>1179710</vt:i4>
      </vt:variant>
      <vt:variant>
        <vt:i4>236</vt:i4>
      </vt:variant>
      <vt:variant>
        <vt:i4>0</vt:i4>
      </vt:variant>
      <vt:variant>
        <vt:i4>5</vt:i4>
      </vt:variant>
      <vt:variant>
        <vt:lpwstr/>
      </vt:variant>
      <vt:variant>
        <vt:lpwstr>_Toc279746133</vt:lpwstr>
      </vt:variant>
      <vt:variant>
        <vt:i4>1179710</vt:i4>
      </vt:variant>
      <vt:variant>
        <vt:i4>230</vt:i4>
      </vt:variant>
      <vt:variant>
        <vt:i4>0</vt:i4>
      </vt:variant>
      <vt:variant>
        <vt:i4>5</vt:i4>
      </vt:variant>
      <vt:variant>
        <vt:lpwstr/>
      </vt:variant>
      <vt:variant>
        <vt:lpwstr>_Toc279746132</vt:lpwstr>
      </vt:variant>
      <vt:variant>
        <vt:i4>1179710</vt:i4>
      </vt:variant>
      <vt:variant>
        <vt:i4>224</vt:i4>
      </vt:variant>
      <vt:variant>
        <vt:i4>0</vt:i4>
      </vt:variant>
      <vt:variant>
        <vt:i4>5</vt:i4>
      </vt:variant>
      <vt:variant>
        <vt:lpwstr/>
      </vt:variant>
      <vt:variant>
        <vt:lpwstr>_Toc279746131</vt:lpwstr>
      </vt:variant>
      <vt:variant>
        <vt:i4>1179710</vt:i4>
      </vt:variant>
      <vt:variant>
        <vt:i4>218</vt:i4>
      </vt:variant>
      <vt:variant>
        <vt:i4>0</vt:i4>
      </vt:variant>
      <vt:variant>
        <vt:i4>5</vt:i4>
      </vt:variant>
      <vt:variant>
        <vt:lpwstr/>
      </vt:variant>
      <vt:variant>
        <vt:lpwstr>_Toc279746130</vt:lpwstr>
      </vt:variant>
      <vt:variant>
        <vt:i4>1245246</vt:i4>
      </vt:variant>
      <vt:variant>
        <vt:i4>212</vt:i4>
      </vt:variant>
      <vt:variant>
        <vt:i4>0</vt:i4>
      </vt:variant>
      <vt:variant>
        <vt:i4>5</vt:i4>
      </vt:variant>
      <vt:variant>
        <vt:lpwstr/>
      </vt:variant>
      <vt:variant>
        <vt:lpwstr>_Toc279746129</vt:lpwstr>
      </vt:variant>
      <vt:variant>
        <vt:i4>1245246</vt:i4>
      </vt:variant>
      <vt:variant>
        <vt:i4>206</vt:i4>
      </vt:variant>
      <vt:variant>
        <vt:i4>0</vt:i4>
      </vt:variant>
      <vt:variant>
        <vt:i4>5</vt:i4>
      </vt:variant>
      <vt:variant>
        <vt:lpwstr/>
      </vt:variant>
      <vt:variant>
        <vt:lpwstr>_Toc279746128</vt:lpwstr>
      </vt:variant>
      <vt:variant>
        <vt:i4>1245246</vt:i4>
      </vt:variant>
      <vt:variant>
        <vt:i4>200</vt:i4>
      </vt:variant>
      <vt:variant>
        <vt:i4>0</vt:i4>
      </vt:variant>
      <vt:variant>
        <vt:i4>5</vt:i4>
      </vt:variant>
      <vt:variant>
        <vt:lpwstr/>
      </vt:variant>
      <vt:variant>
        <vt:lpwstr>_Toc279746127</vt:lpwstr>
      </vt:variant>
      <vt:variant>
        <vt:i4>1245246</vt:i4>
      </vt:variant>
      <vt:variant>
        <vt:i4>194</vt:i4>
      </vt:variant>
      <vt:variant>
        <vt:i4>0</vt:i4>
      </vt:variant>
      <vt:variant>
        <vt:i4>5</vt:i4>
      </vt:variant>
      <vt:variant>
        <vt:lpwstr/>
      </vt:variant>
      <vt:variant>
        <vt:lpwstr>_Toc279746126</vt:lpwstr>
      </vt:variant>
      <vt:variant>
        <vt:i4>1245246</vt:i4>
      </vt:variant>
      <vt:variant>
        <vt:i4>188</vt:i4>
      </vt:variant>
      <vt:variant>
        <vt:i4>0</vt:i4>
      </vt:variant>
      <vt:variant>
        <vt:i4>5</vt:i4>
      </vt:variant>
      <vt:variant>
        <vt:lpwstr/>
      </vt:variant>
      <vt:variant>
        <vt:lpwstr>_Toc279746125</vt:lpwstr>
      </vt:variant>
      <vt:variant>
        <vt:i4>1245246</vt:i4>
      </vt:variant>
      <vt:variant>
        <vt:i4>182</vt:i4>
      </vt:variant>
      <vt:variant>
        <vt:i4>0</vt:i4>
      </vt:variant>
      <vt:variant>
        <vt:i4>5</vt:i4>
      </vt:variant>
      <vt:variant>
        <vt:lpwstr/>
      </vt:variant>
      <vt:variant>
        <vt:lpwstr>_Toc279746124</vt:lpwstr>
      </vt:variant>
      <vt:variant>
        <vt:i4>1245246</vt:i4>
      </vt:variant>
      <vt:variant>
        <vt:i4>176</vt:i4>
      </vt:variant>
      <vt:variant>
        <vt:i4>0</vt:i4>
      </vt:variant>
      <vt:variant>
        <vt:i4>5</vt:i4>
      </vt:variant>
      <vt:variant>
        <vt:lpwstr/>
      </vt:variant>
      <vt:variant>
        <vt:lpwstr>_Toc279746123</vt:lpwstr>
      </vt:variant>
      <vt:variant>
        <vt:i4>1245246</vt:i4>
      </vt:variant>
      <vt:variant>
        <vt:i4>170</vt:i4>
      </vt:variant>
      <vt:variant>
        <vt:i4>0</vt:i4>
      </vt:variant>
      <vt:variant>
        <vt:i4>5</vt:i4>
      </vt:variant>
      <vt:variant>
        <vt:lpwstr/>
      </vt:variant>
      <vt:variant>
        <vt:lpwstr>_Toc279746122</vt:lpwstr>
      </vt:variant>
      <vt:variant>
        <vt:i4>1245246</vt:i4>
      </vt:variant>
      <vt:variant>
        <vt:i4>164</vt:i4>
      </vt:variant>
      <vt:variant>
        <vt:i4>0</vt:i4>
      </vt:variant>
      <vt:variant>
        <vt:i4>5</vt:i4>
      </vt:variant>
      <vt:variant>
        <vt:lpwstr/>
      </vt:variant>
      <vt:variant>
        <vt:lpwstr>_Toc279746121</vt:lpwstr>
      </vt:variant>
      <vt:variant>
        <vt:i4>1245246</vt:i4>
      </vt:variant>
      <vt:variant>
        <vt:i4>158</vt:i4>
      </vt:variant>
      <vt:variant>
        <vt:i4>0</vt:i4>
      </vt:variant>
      <vt:variant>
        <vt:i4>5</vt:i4>
      </vt:variant>
      <vt:variant>
        <vt:lpwstr/>
      </vt:variant>
      <vt:variant>
        <vt:lpwstr>_Toc279746120</vt:lpwstr>
      </vt:variant>
      <vt:variant>
        <vt:i4>1048638</vt:i4>
      </vt:variant>
      <vt:variant>
        <vt:i4>152</vt:i4>
      </vt:variant>
      <vt:variant>
        <vt:i4>0</vt:i4>
      </vt:variant>
      <vt:variant>
        <vt:i4>5</vt:i4>
      </vt:variant>
      <vt:variant>
        <vt:lpwstr/>
      </vt:variant>
      <vt:variant>
        <vt:lpwstr>_Toc279746119</vt:lpwstr>
      </vt:variant>
      <vt:variant>
        <vt:i4>1048638</vt:i4>
      </vt:variant>
      <vt:variant>
        <vt:i4>146</vt:i4>
      </vt:variant>
      <vt:variant>
        <vt:i4>0</vt:i4>
      </vt:variant>
      <vt:variant>
        <vt:i4>5</vt:i4>
      </vt:variant>
      <vt:variant>
        <vt:lpwstr/>
      </vt:variant>
      <vt:variant>
        <vt:lpwstr>_Toc279746118</vt:lpwstr>
      </vt:variant>
      <vt:variant>
        <vt:i4>1048638</vt:i4>
      </vt:variant>
      <vt:variant>
        <vt:i4>140</vt:i4>
      </vt:variant>
      <vt:variant>
        <vt:i4>0</vt:i4>
      </vt:variant>
      <vt:variant>
        <vt:i4>5</vt:i4>
      </vt:variant>
      <vt:variant>
        <vt:lpwstr/>
      </vt:variant>
      <vt:variant>
        <vt:lpwstr>_Toc279746117</vt:lpwstr>
      </vt:variant>
      <vt:variant>
        <vt:i4>1048638</vt:i4>
      </vt:variant>
      <vt:variant>
        <vt:i4>134</vt:i4>
      </vt:variant>
      <vt:variant>
        <vt:i4>0</vt:i4>
      </vt:variant>
      <vt:variant>
        <vt:i4>5</vt:i4>
      </vt:variant>
      <vt:variant>
        <vt:lpwstr/>
      </vt:variant>
      <vt:variant>
        <vt:lpwstr>_Toc279746116</vt:lpwstr>
      </vt:variant>
      <vt:variant>
        <vt:i4>1048638</vt:i4>
      </vt:variant>
      <vt:variant>
        <vt:i4>128</vt:i4>
      </vt:variant>
      <vt:variant>
        <vt:i4>0</vt:i4>
      </vt:variant>
      <vt:variant>
        <vt:i4>5</vt:i4>
      </vt:variant>
      <vt:variant>
        <vt:lpwstr/>
      </vt:variant>
      <vt:variant>
        <vt:lpwstr>_Toc279746115</vt:lpwstr>
      </vt:variant>
      <vt:variant>
        <vt:i4>1048638</vt:i4>
      </vt:variant>
      <vt:variant>
        <vt:i4>122</vt:i4>
      </vt:variant>
      <vt:variant>
        <vt:i4>0</vt:i4>
      </vt:variant>
      <vt:variant>
        <vt:i4>5</vt:i4>
      </vt:variant>
      <vt:variant>
        <vt:lpwstr/>
      </vt:variant>
      <vt:variant>
        <vt:lpwstr>_Toc279746114</vt:lpwstr>
      </vt:variant>
      <vt:variant>
        <vt:i4>1048638</vt:i4>
      </vt:variant>
      <vt:variant>
        <vt:i4>116</vt:i4>
      </vt:variant>
      <vt:variant>
        <vt:i4>0</vt:i4>
      </vt:variant>
      <vt:variant>
        <vt:i4>5</vt:i4>
      </vt:variant>
      <vt:variant>
        <vt:lpwstr/>
      </vt:variant>
      <vt:variant>
        <vt:lpwstr>_Toc279746113</vt:lpwstr>
      </vt:variant>
      <vt:variant>
        <vt:i4>1048638</vt:i4>
      </vt:variant>
      <vt:variant>
        <vt:i4>110</vt:i4>
      </vt:variant>
      <vt:variant>
        <vt:i4>0</vt:i4>
      </vt:variant>
      <vt:variant>
        <vt:i4>5</vt:i4>
      </vt:variant>
      <vt:variant>
        <vt:lpwstr/>
      </vt:variant>
      <vt:variant>
        <vt:lpwstr>_Toc279746112</vt:lpwstr>
      </vt:variant>
      <vt:variant>
        <vt:i4>1048638</vt:i4>
      </vt:variant>
      <vt:variant>
        <vt:i4>104</vt:i4>
      </vt:variant>
      <vt:variant>
        <vt:i4>0</vt:i4>
      </vt:variant>
      <vt:variant>
        <vt:i4>5</vt:i4>
      </vt:variant>
      <vt:variant>
        <vt:lpwstr/>
      </vt:variant>
      <vt:variant>
        <vt:lpwstr>_Toc279746111</vt:lpwstr>
      </vt:variant>
      <vt:variant>
        <vt:i4>1048638</vt:i4>
      </vt:variant>
      <vt:variant>
        <vt:i4>98</vt:i4>
      </vt:variant>
      <vt:variant>
        <vt:i4>0</vt:i4>
      </vt:variant>
      <vt:variant>
        <vt:i4>5</vt:i4>
      </vt:variant>
      <vt:variant>
        <vt:lpwstr/>
      </vt:variant>
      <vt:variant>
        <vt:lpwstr>_Toc279746110</vt:lpwstr>
      </vt:variant>
      <vt:variant>
        <vt:i4>1114174</vt:i4>
      </vt:variant>
      <vt:variant>
        <vt:i4>92</vt:i4>
      </vt:variant>
      <vt:variant>
        <vt:i4>0</vt:i4>
      </vt:variant>
      <vt:variant>
        <vt:i4>5</vt:i4>
      </vt:variant>
      <vt:variant>
        <vt:lpwstr/>
      </vt:variant>
      <vt:variant>
        <vt:lpwstr>_Toc279746109</vt:lpwstr>
      </vt:variant>
      <vt:variant>
        <vt:i4>1114174</vt:i4>
      </vt:variant>
      <vt:variant>
        <vt:i4>86</vt:i4>
      </vt:variant>
      <vt:variant>
        <vt:i4>0</vt:i4>
      </vt:variant>
      <vt:variant>
        <vt:i4>5</vt:i4>
      </vt:variant>
      <vt:variant>
        <vt:lpwstr/>
      </vt:variant>
      <vt:variant>
        <vt:lpwstr>_Toc279746108</vt:lpwstr>
      </vt:variant>
      <vt:variant>
        <vt:i4>1114174</vt:i4>
      </vt:variant>
      <vt:variant>
        <vt:i4>80</vt:i4>
      </vt:variant>
      <vt:variant>
        <vt:i4>0</vt:i4>
      </vt:variant>
      <vt:variant>
        <vt:i4>5</vt:i4>
      </vt:variant>
      <vt:variant>
        <vt:lpwstr/>
      </vt:variant>
      <vt:variant>
        <vt:lpwstr>_Toc279746107</vt:lpwstr>
      </vt:variant>
      <vt:variant>
        <vt:i4>1114174</vt:i4>
      </vt:variant>
      <vt:variant>
        <vt:i4>74</vt:i4>
      </vt:variant>
      <vt:variant>
        <vt:i4>0</vt:i4>
      </vt:variant>
      <vt:variant>
        <vt:i4>5</vt:i4>
      </vt:variant>
      <vt:variant>
        <vt:lpwstr/>
      </vt:variant>
      <vt:variant>
        <vt:lpwstr>_Toc279746106</vt:lpwstr>
      </vt:variant>
      <vt:variant>
        <vt:i4>1114174</vt:i4>
      </vt:variant>
      <vt:variant>
        <vt:i4>68</vt:i4>
      </vt:variant>
      <vt:variant>
        <vt:i4>0</vt:i4>
      </vt:variant>
      <vt:variant>
        <vt:i4>5</vt:i4>
      </vt:variant>
      <vt:variant>
        <vt:lpwstr/>
      </vt:variant>
      <vt:variant>
        <vt:lpwstr>_Toc279746105</vt:lpwstr>
      </vt:variant>
      <vt:variant>
        <vt:i4>1114174</vt:i4>
      </vt:variant>
      <vt:variant>
        <vt:i4>62</vt:i4>
      </vt:variant>
      <vt:variant>
        <vt:i4>0</vt:i4>
      </vt:variant>
      <vt:variant>
        <vt:i4>5</vt:i4>
      </vt:variant>
      <vt:variant>
        <vt:lpwstr/>
      </vt:variant>
      <vt:variant>
        <vt:lpwstr>_Toc279746104</vt:lpwstr>
      </vt:variant>
      <vt:variant>
        <vt:i4>1114174</vt:i4>
      </vt:variant>
      <vt:variant>
        <vt:i4>56</vt:i4>
      </vt:variant>
      <vt:variant>
        <vt:i4>0</vt:i4>
      </vt:variant>
      <vt:variant>
        <vt:i4>5</vt:i4>
      </vt:variant>
      <vt:variant>
        <vt:lpwstr/>
      </vt:variant>
      <vt:variant>
        <vt:lpwstr>_Toc279746103</vt:lpwstr>
      </vt:variant>
      <vt:variant>
        <vt:i4>1114174</vt:i4>
      </vt:variant>
      <vt:variant>
        <vt:i4>50</vt:i4>
      </vt:variant>
      <vt:variant>
        <vt:i4>0</vt:i4>
      </vt:variant>
      <vt:variant>
        <vt:i4>5</vt:i4>
      </vt:variant>
      <vt:variant>
        <vt:lpwstr/>
      </vt:variant>
      <vt:variant>
        <vt:lpwstr>_Toc279746102</vt:lpwstr>
      </vt:variant>
      <vt:variant>
        <vt:i4>1114174</vt:i4>
      </vt:variant>
      <vt:variant>
        <vt:i4>44</vt:i4>
      </vt:variant>
      <vt:variant>
        <vt:i4>0</vt:i4>
      </vt:variant>
      <vt:variant>
        <vt:i4>5</vt:i4>
      </vt:variant>
      <vt:variant>
        <vt:lpwstr/>
      </vt:variant>
      <vt:variant>
        <vt:lpwstr>_Toc279746101</vt:lpwstr>
      </vt:variant>
      <vt:variant>
        <vt:i4>1114174</vt:i4>
      </vt:variant>
      <vt:variant>
        <vt:i4>38</vt:i4>
      </vt:variant>
      <vt:variant>
        <vt:i4>0</vt:i4>
      </vt:variant>
      <vt:variant>
        <vt:i4>5</vt:i4>
      </vt:variant>
      <vt:variant>
        <vt:lpwstr/>
      </vt:variant>
      <vt:variant>
        <vt:lpwstr>_Toc279746100</vt:lpwstr>
      </vt:variant>
      <vt:variant>
        <vt:i4>1572927</vt:i4>
      </vt:variant>
      <vt:variant>
        <vt:i4>32</vt:i4>
      </vt:variant>
      <vt:variant>
        <vt:i4>0</vt:i4>
      </vt:variant>
      <vt:variant>
        <vt:i4>5</vt:i4>
      </vt:variant>
      <vt:variant>
        <vt:lpwstr/>
      </vt:variant>
      <vt:variant>
        <vt:lpwstr>_Toc279746099</vt:lpwstr>
      </vt:variant>
      <vt:variant>
        <vt:i4>1572927</vt:i4>
      </vt:variant>
      <vt:variant>
        <vt:i4>26</vt:i4>
      </vt:variant>
      <vt:variant>
        <vt:i4>0</vt:i4>
      </vt:variant>
      <vt:variant>
        <vt:i4>5</vt:i4>
      </vt:variant>
      <vt:variant>
        <vt:lpwstr/>
      </vt:variant>
      <vt:variant>
        <vt:lpwstr>_Toc279746098</vt:lpwstr>
      </vt:variant>
      <vt:variant>
        <vt:i4>1572927</vt:i4>
      </vt:variant>
      <vt:variant>
        <vt:i4>20</vt:i4>
      </vt:variant>
      <vt:variant>
        <vt:i4>0</vt:i4>
      </vt:variant>
      <vt:variant>
        <vt:i4>5</vt:i4>
      </vt:variant>
      <vt:variant>
        <vt:lpwstr/>
      </vt:variant>
      <vt:variant>
        <vt:lpwstr>_Toc279746097</vt:lpwstr>
      </vt:variant>
      <vt:variant>
        <vt:i4>1572927</vt:i4>
      </vt:variant>
      <vt:variant>
        <vt:i4>14</vt:i4>
      </vt:variant>
      <vt:variant>
        <vt:i4>0</vt:i4>
      </vt:variant>
      <vt:variant>
        <vt:i4>5</vt:i4>
      </vt:variant>
      <vt:variant>
        <vt:lpwstr/>
      </vt:variant>
      <vt:variant>
        <vt:lpwstr>_Toc279746096</vt:lpwstr>
      </vt:variant>
      <vt:variant>
        <vt:i4>1572927</vt:i4>
      </vt:variant>
      <vt:variant>
        <vt:i4>8</vt:i4>
      </vt:variant>
      <vt:variant>
        <vt:i4>0</vt:i4>
      </vt:variant>
      <vt:variant>
        <vt:i4>5</vt:i4>
      </vt:variant>
      <vt:variant>
        <vt:lpwstr/>
      </vt:variant>
      <vt:variant>
        <vt:lpwstr>_Toc279746095</vt:lpwstr>
      </vt:variant>
      <vt:variant>
        <vt:i4>1572927</vt:i4>
      </vt:variant>
      <vt:variant>
        <vt:i4>2</vt:i4>
      </vt:variant>
      <vt:variant>
        <vt:i4>0</vt:i4>
      </vt:variant>
      <vt:variant>
        <vt:i4>5</vt:i4>
      </vt:variant>
      <vt:variant>
        <vt:lpwstr/>
      </vt:variant>
      <vt:variant>
        <vt:lpwstr>_Toc279746094</vt:lpwstr>
      </vt:variant>
      <vt:variant>
        <vt:i4>5963855</vt:i4>
      </vt:variant>
      <vt:variant>
        <vt:i4>0</vt:i4>
      </vt:variant>
      <vt:variant>
        <vt:i4>0</vt:i4>
      </vt:variant>
      <vt:variant>
        <vt:i4>5</vt:i4>
      </vt:variant>
      <vt:variant>
        <vt:lpwstr>http://www.rokovania.sk/appl/material.nsf/0/80A7136468CAE5B0C12574DA00267103?OpenDocument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Integrovaná infraštruktúra 2014 - 2020</dc:title>
  <dc:creator>Oddelenie programovania dopravnej infraštruktúry</dc:creator>
  <cp:lastModifiedBy>Hajník, Pavol</cp:lastModifiedBy>
  <cp:revision>856</cp:revision>
  <cp:lastPrinted>2019-10-31T06:53:00Z</cp:lastPrinted>
  <dcterms:created xsi:type="dcterms:W3CDTF">2017-10-03T14:15:00Z</dcterms:created>
  <dcterms:modified xsi:type="dcterms:W3CDTF">2020-02-20T15:10:00Z</dcterms:modified>
</cp:coreProperties>
</file>